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09A85" w14:textId="71368C28" w:rsidR="00741AF8" w:rsidRPr="00FD6637" w:rsidRDefault="00487D7E" w:rsidP="00FD6637">
      <w:pPr>
        <w:autoSpaceDE w:val="0"/>
        <w:autoSpaceDN w:val="0"/>
        <w:adjustRightInd w:val="0"/>
        <w:spacing w:after="120" w:line="240" w:lineRule="auto"/>
        <w:rPr>
          <w:rFonts w:ascii="ArialMT" w:hAnsi="ArialMT" w:cs="ArialMT"/>
          <w:b/>
          <w:bCs/>
          <w:sz w:val="24"/>
          <w:szCs w:val="24"/>
        </w:rPr>
      </w:pPr>
      <w:bookmarkStart w:id="0" w:name="_GoBack"/>
      <w:bookmarkEnd w:id="0"/>
      <w:r w:rsidRPr="00FD6637">
        <w:rPr>
          <w:rFonts w:ascii="ArialMT" w:hAnsi="ArialMT" w:cs="ArialMT"/>
          <w:b/>
          <w:bCs/>
          <w:sz w:val="24"/>
          <w:szCs w:val="24"/>
        </w:rPr>
        <w:t xml:space="preserve">To: </w:t>
      </w:r>
      <w:r w:rsidR="00741AF8" w:rsidRPr="00FD6637">
        <w:rPr>
          <w:rFonts w:ascii="ArialMT" w:hAnsi="ArialMT" w:cs="ArialMT"/>
          <w:b/>
          <w:bCs/>
          <w:sz w:val="24"/>
          <w:szCs w:val="24"/>
        </w:rPr>
        <w:t>Office of Management and Budget</w:t>
      </w:r>
      <w:r w:rsidR="00E04A05" w:rsidRPr="00FD6637">
        <w:rPr>
          <w:rFonts w:ascii="ArialMT" w:hAnsi="ArialMT" w:cs="ArialMT"/>
          <w:b/>
          <w:bCs/>
          <w:sz w:val="24"/>
          <w:szCs w:val="24"/>
        </w:rPr>
        <w:t xml:space="preserve"> (OMB)</w:t>
      </w:r>
    </w:p>
    <w:p w14:paraId="7D7DAD08" w14:textId="1C59C8EE" w:rsidR="00D941A2" w:rsidRPr="00FD6637" w:rsidRDefault="00741AF8" w:rsidP="00FD6637">
      <w:pPr>
        <w:autoSpaceDE w:val="0"/>
        <w:autoSpaceDN w:val="0"/>
        <w:adjustRightInd w:val="0"/>
        <w:spacing w:after="120" w:line="240" w:lineRule="auto"/>
        <w:rPr>
          <w:rFonts w:ascii="ArialMT" w:hAnsi="ArialMT" w:cs="ArialMT"/>
          <w:b/>
          <w:bCs/>
          <w:sz w:val="24"/>
          <w:szCs w:val="24"/>
        </w:rPr>
      </w:pPr>
      <w:r w:rsidRPr="00FD6637">
        <w:rPr>
          <w:rFonts w:ascii="ArialMT" w:hAnsi="ArialMT" w:cs="ArialMT"/>
          <w:b/>
          <w:bCs/>
          <w:sz w:val="24"/>
          <w:szCs w:val="24"/>
        </w:rPr>
        <w:t>From: National Center for Education Statistics</w:t>
      </w:r>
      <w:r w:rsidR="00E04A05" w:rsidRPr="00FD6637">
        <w:rPr>
          <w:rFonts w:ascii="ArialMT" w:hAnsi="ArialMT" w:cs="ArialMT"/>
          <w:b/>
          <w:bCs/>
          <w:sz w:val="24"/>
          <w:szCs w:val="24"/>
        </w:rPr>
        <w:t xml:space="preserve"> (NCES)</w:t>
      </w:r>
    </w:p>
    <w:p w14:paraId="015A1D56" w14:textId="29EAC8FC" w:rsidR="007D7DCF" w:rsidRDefault="00D941A2" w:rsidP="00FD6637">
      <w:pPr>
        <w:autoSpaceDE w:val="0"/>
        <w:autoSpaceDN w:val="0"/>
        <w:adjustRightInd w:val="0"/>
        <w:spacing w:after="120" w:line="240" w:lineRule="auto"/>
        <w:rPr>
          <w:rFonts w:ascii="ArialMT" w:hAnsi="ArialMT" w:cs="ArialMT"/>
          <w:b/>
          <w:bCs/>
          <w:sz w:val="24"/>
          <w:szCs w:val="24"/>
        </w:rPr>
      </w:pPr>
      <w:r w:rsidRPr="00FD6637">
        <w:rPr>
          <w:rFonts w:ascii="ArialMT" w:hAnsi="ArialMT" w:cs="ArialMT"/>
          <w:b/>
          <w:bCs/>
          <w:sz w:val="24"/>
          <w:szCs w:val="24"/>
        </w:rPr>
        <w:t xml:space="preserve">Date: </w:t>
      </w:r>
      <w:r w:rsidR="004617C8">
        <w:rPr>
          <w:rFonts w:ascii="ArialMT" w:hAnsi="ArialMT" w:cs="ArialMT"/>
          <w:b/>
          <w:bCs/>
          <w:sz w:val="24"/>
          <w:szCs w:val="24"/>
        </w:rPr>
        <w:t>August</w:t>
      </w:r>
      <w:r w:rsidR="00C157C0">
        <w:rPr>
          <w:rFonts w:ascii="ArialMT" w:hAnsi="ArialMT" w:cs="ArialMT"/>
          <w:b/>
          <w:bCs/>
          <w:sz w:val="24"/>
          <w:szCs w:val="24"/>
        </w:rPr>
        <w:t xml:space="preserve"> 1, 2019</w:t>
      </w:r>
    </w:p>
    <w:p w14:paraId="5D93D99F" w14:textId="7279D87D" w:rsidR="006938D4" w:rsidRPr="00FD6637" w:rsidRDefault="006938D4" w:rsidP="00E95BB7">
      <w:pPr>
        <w:autoSpaceDE w:val="0"/>
        <w:autoSpaceDN w:val="0"/>
        <w:adjustRightInd w:val="0"/>
        <w:spacing w:after="0" w:line="240" w:lineRule="auto"/>
        <w:rPr>
          <w:rFonts w:ascii="ArialMT" w:hAnsi="ArialMT" w:cs="ArialMT"/>
          <w:b/>
          <w:bCs/>
          <w:sz w:val="24"/>
          <w:szCs w:val="24"/>
        </w:rPr>
      </w:pPr>
      <w:r w:rsidRPr="00FD6637">
        <w:rPr>
          <w:rFonts w:ascii="ArialMT" w:hAnsi="ArialMT" w:cs="ArialMT"/>
          <w:b/>
          <w:bCs/>
          <w:sz w:val="24"/>
          <w:szCs w:val="24"/>
        </w:rPr>
        <w:t xml:space="preserve">Subject: </w:t>
      </w:r>
      <w:r w:rsidR="00487D7E" w:rsidRPr="00FD6637">
        <w:rPr>
          <w:rFonts w:ascii="ArialMT" w:hAnsi="ArialMT" w:cs="ArialMT"/>
          <w:b/>
          <w:bCs/>
          <w:sz w:val="24"/>
          <w:szCs w:val="24"/>
        </w:rPr>
        <w:t>Response Memo to OMB</w:t>
      </w:r>
      <w:r w:rsidR="00C157C0">
        <w:rPr>
          <w:rFonts w:ascii="ArialMT" w:hAnsi="ArialMT" w:cs="ArialMT"/>
          <w:b/>
          <w:bCs/>
          <w:sz w:val="24"/>
          <w:szCs w:val="24"/>
        </w:rPr>
        <w:t xml:space="preserve">’s </w:t>
      </w:r>
      <w:r w:rsidR="00C157C0" w:rsidRPr="00C157C0">
        <w:rPr>
          <w:rFonts w:ascii="ArialMT" w:hAnsi="ArialMT" w:cs="ArialMT"/>
          <w:b/>
          <w:bCs/>
          <w:sz w:val="24"/>
          <w:szCs w:val="24"/>
        </w:rPr>
        <w:t xml:space="preserve">6/16/2017 </w:t>
      </w:r>
      <w:r w:rsidR="00C157C0">
        <w:rPr>
          <w:rFonts w:ascii="ArialMT" w:hAnsi="ArialMT" w:cs="ArialMT"/>
          <w:b/>
          <w:bCs/>
          <w:sz w:val="24"/>
          <w:szCs w:val="24"/>
        </w:rPr>
        <w:t>Terms of Clearance for</w:t>
      </w:r>
      <w:r w:rsidR="00487D7E" w:rsidRPr="00FD6637">
        <w:rPr>
          <w:rFonts w:ascii="ArialMT" w:hAnsi="ArialMT" w:cs="ArialMT"/>
          <w:b/>
          <w:bCs/>
          <w:sz w:val="24"/>
          <w:szCs w:val="24"/>
        </w:rPr>
        <w:t xml:space="preserve"> ED</w:t>
      </w:r>
      <w:r w:rsidR="00487D7E" w:rsidRPr="00FD6637">
        <w:rPr>
          <w:rFonts w:ascii="ArialMT" w:hAnsi="ArialMT" w:cs="ArialMT"/>
          <w:b/>
          <w:bCs/>
          <w:i/>
          <w:sz w:val="24"/>
          <w:szCs w:val="24"/>
        </w:rPr>
        <w:t>Facts</w:t>
      </w:r>
      <w:r w:rsidR="00487D7E" w:rsidRPr="00FD6637">
        <w:rPr>
          <w:rFonts w:ascii="ArialMT" w:hAnsi="ArialMT" w:cs="ArialMT"/>
          <w:b/>
          <w:bCs/>
          <w:sz w:val="24"/>
          <w:szCs w:val="24"/>
        </w:rPr>
        <w:t xml:space="preserve"> Information Collection (</w:t>
      </w:r>
      <w:r w:rsidR="00440C78" w:rsidRPr="00FD6637">
        <w:rPr>
          <w:rFonts w:ascii="ArialMT" w:hAnsi="ArialMT" w:cs="ArialMT"/>
          <w:b/>
          <w:bCs/>
          <w:sz w:val="24"/>
          <w:szCs w:val="24"/>
        </w:rPr>
        <w:t>1850-</w:t>
      </w:r>
      <w:r w:rsidRPr="00FD6637">
        <w:rPr>
          <w:rFonts w:ascii="ArialMT" w:hAnsi="ArialMT" w:cs="ArialMT"/>
          <w:b/>
          <w:bCs/>
          <w:sz w:val="24"/>
          <w:szCs w:val="24"/>
        </w:rPr>
        <w:t>0925</w:t>
      </w:r>
      <w:r w:rsidR="00C157C0">
        <w:rPr>
          <w:rFonts w:ascii="ArialMT" w:hAnsi="ArialMT" w:cs="ArialMT"/>
          <w:b/>
          <w:bCs/>
          <w:sz w:val="24"/>
          <w:szCs w:val="24"/>
        </w:rPr>
        <w:t xml:space="preserve"> v.2</w:t>
      </w:r>
      <w:r w:rsidRPr="00FD6637">
        <w:rPr>
          <w:rFonts w:ascii="ArialMT" w:hAnsi="ArialMT" w:cs="ArialMT"/>
          <w:b/>
          <w:bCs/>
          <w:sz w:val="24"/>
          <w:szCs w:val="24"/>
        </w:rPr>
        <w:t>)</w:t>
      </w:r>
    </w:p>
    <w:p w14:paraId="74CA6D70" w14:textId="77777777" w:rsidR="006938D4" w:rsidRDefault="006938D4" w:rsidP="00E95BB7">
      <w:pPr>
        <w:autoSpaceDE w:val="0"/>
        <w:autoSpaceDN w:val="0"/>
        <w:adjustRightInd w:val="0"/>
        <w:spacing w:after="0" w:line="240" w:lineRule="auto"/>
        <w:rPr>
          <w:rFonts w:ascii="ArialMT" w:hAnsi="ArialMT" w:cs="ArialMT"/>
          <w:sz w:val="20"/>
          <w:szCs w:val="20"/>
        </w:rPr>
      </w:pPr>
    </w:p>
    <w:p w14:paraId="22625A29" w14:textId="77777777" w:rsidR="00193765" w:rsidRDefault="00193765" w:rsidP="00193765">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On June 16,</w:t>
      </w:r>
      <w:r w:rsidR="00D941A2">
        <w:rPr>
          <w:rFonts w:ascii="ArialMT" w:hAnsi="ArialMT" w:cs="ArialMT"/>
          <w:sz w:val="20"/>
          <w:szCs w:val="20"/>
        </w:rPr>
        <w:t xml:space="preserve"> </w:t>
      </w:r>
      <w:r w:rsidR="00F80E5F">
        <w:rPr>
          <w:rFonts w:ascii="ArialMT" w:hAnsi="ArialMT" w:cs="ArialMT"/>
          <w:sz w:val="20"/>
          <w:szCs w:val="20"/>
        </w:rPr>
        <w:t>201</w:t>
      </w:r>
      <w:r w:rsidR="00D10E36">
        <w:rPr>
          <w:rFonts w:ascii="ArialMT" w:hAnsi="ArialMT" w:cs="ArialMT"/>
          <w:sz w:val="20"/>
          <w:szCs w:val="20"/>
        </w:rPr>
        <w:t>7</w:t>
      </w:r>
      <w:r w:rsidR="00F80E5F">
        <w:rPr>
          <w:rFonts w:ascii="ArialMT" w:hAnsi="ArialMT" w:cs="ArialMT"/>
          <w:sz w:val="20"/>
          <w:szCs w:val="20"/>
        </w:rPr>
        <w:t xml:space="preserve">, OMB </w:t>
      </w:r>
      <w:r w:rsidR="001A5EED">
        <w:rPr>
          <w:rFonts w:ascii="ArialMT" w:hAnsi="ArialMT" w:cs="ArialMT"/>
          <w:sz w:val="20"/>
          <w:szCs w:val="20"/>
        </w:rPr>
        <w:t xml:space="preserve">approved the </w:t>
      </w:r>
      <w:r w:rsidRPr="00193765">
        <w:rPr>
          <w:rFonts w:ascii="ArialMT" w:hAnsi="ArialMT" w:cs="ArialMT"/>
          <w:sz w:val="20"/>
          <w:szCs w:val="20"/>
        </w:rPr>
        <w:t>ED</w:t>
      </w:r>
      <w:r w:rsidRPr="00193765">
        <w:rPr>
          <w:rFonts w:ascii="ArialMT" w:hAnsi="ArialMT" w:cs="ArialMT"/>
          <w:i/>
          <w:iCs/>
          <w:sz w:val="20"/>
          <w:szCs w:val="20"/>
        </w:rPr>
        <w:t>Facts</w:t>
      </w:r>
      <w:r w:rsidRPr="00193765">
        <w:rPr>
          <w:rFonts w:ascii="ArialMT" w:hAnsi="ArialMT" w:cs="ArialMT"/>
          <w:sz w:val="20"/>
          <w:szCs w:val="20"/>
        </w:rPr>
        <w:t xml:space="preserve"> Data Collection School Years 2016-17, 2017-18, and 2018-19</w:t>
      </w:r>
      <w:r>
        <w:rPr>
          <w:rFonts w:ascii="ArialMT" w:hAnsi="ArialMT" w:cs="ArialMT"/>
          <w:sz w:val="20"/>
          <w:szCs w:val="20"/>
        </w:rPr>
        <w:t xml:space="preserve"> request</w:t>
      </w:r>
      <w:r w:rsidR="0068588E">
        <w:rPr>
          <w:rFonts w:ascii="ArialMT" w:hAnsi="ArialMT" w:cs="ArialMT"/>
          <w:sz w:val="20"/>
          <w:szCs w:val="20"/>
        </w:rPr>
        <w:t xml:space="preserve"> (1850-0925</w:t>
      </w:r>
      <w:r>
        <w:rPr>
          <w:rFonts w:ascii="ArialMT" w:hAnsi="ArialMT" w:cs="ArialMT"/>
          <w:sz w:val="20"/>
          <w:szCs w:val="20"/>
        </w:rPr>
        <w:t xml:space="preserve"> v.2</w:t>
      </w:r>
      <w:r w:rsidR="0068588E">
        <w:rPr>
          <w:rFonts w:ascii="ArialMT" w:hAnsi="ArialMT" w:cs="ArialMT"/>
          <w:sz w:val="20"/>
          <w:szCs w:val="20"/>
        </w:rPr>
        <w:t xml:space="preserve">) </w:t>
      </w:r>
      <w:r>
        <w:rPr>
          <w:rFonts w:ascii="ArialMT" w:hAnsi="ArialMT" w:cs="ArialMT"/>
          <w:sz w:val="20"/>
          <w:szCs w:val="20"/>
        </w:rPr>
        <w:t>stipulating</w:t>
      </w:r>
      <w:r w:rsidR="0068588E">
        <w:rPr>
          <w:rFonts w:ascii="ArialMT" w:hAnsi="ArialMT" w:cs="ArialMT"/>
          <w:sz w:val="20"/>
          <w:szCs w:val="20"/>
        </w:rPr>
        <w:t xml:space="preserve"> </w:t>
      </w:r>
      <w:r>
        <w:rPr>
          <w:rFonts w:ascii="ArialMT" w:hAnsi="ArialMT" w:cs="ArialMT"/>
          <w:sz w:val="20"/>
          <w:szCs w:val="20"/>
        </w:rPr>
        <w:t xml:space="preserve">the following </w:t>
      </w:r>
      <w:r w:rsidR="0068588E">
        <w:rPr>
          <w:rFonts w:ascii="ArialMT" w:hAnsi="ArialMT" w:cs="ArialMT"/>
          <w:sz w:val="20"/>
          <w:szCs w:val="20"/>
        </w:rPr>
        <w:t xml:space="preserve">terms of </w:t>
      </w:r>
      <w:r w:rsidR="00844291">
        <w:rPr>
          <w:rFonts w:ascii="ArialMT" w:hAnsi="ArialMT" w:cs="ArialMT"/>
          <w:sz w:val="20"/>
          <w:szCs w:val="20"/>
        </w:rPr>
        <w:t>clearance:</w:t>
      </w:r>
    </w:p>
    <w:p w14:paraId="002C7EFD" w14:textId="77777777" w:rsidR="00193765" w:rsidRDefault="007D7DCF" w:rsidP="00193765">
      <w:pPr>
        <w:autoSpaceDE w:val="0"/>
        <w:autoSpaceDN w:val="0"/>
        <w:adjustRightInd w:val="0"/>
        <w:spacing w:after="120" w:line="240" w:lineRule="auto"/>
        <w:rPr>
          <w:rFonts w:ascii="ArialMT" w:hAnsi="ArialMT" w:cs="ArialMT"/>
          <w:i/>
          <w:sz w:val="20"/>
          <w:szCs w:val="20"/>
        </w:rPr>
      </w:pPr>
      <w:r>
        <w:rPr>
          <w:rFonts w:ascii="ArialMT" w:hAnsi="ArialMT" w:cs="ArialMT"/>
          <w:i/>
          <w:sz w:val="20"/>
          <w:szCs w:val="20"/>
        </w:rPr>
        <w:t>“</w:t>
      </w:r>
      <w:r w:rsidR="00E95BB7" w:rsidRPr="00240D97">
        <w:rPr>
          <w:rFonts w:ascii="ArialMT" w:hAnsi="ArialMT" w:cs="ArialMT"/>
          <w:i/>
          <w:sz w:val="20"/>
          <w:szCs w:val="20"/>
        </w:rPr>
        <w:t>Congressional Review Act in early 2017, NCES did not adopt the definitions and guidance</w:t>
      </w:r>
      <w:r>
        <w:rPr>
          <w:rFonts w:ascii="ArialMT" w:hAnsi="ArialMT" w:cs="ArialMT"/>
          <w:i/>
          <w:sz w:val="20"/>
          <w:szCs w:val="20"/>
        </w:rPr>
        <w:t xml:space="preserve"> </w:t>
      </w:r>
      <w:r w:rsidR="00E95BB7" w:rsidRPr="00240D97">
        <w:rPr>
          <w:rFonts w:ascii="ArialMT" w:hAnsi="ArialMT" w:cs="ArialMT"/>
          <w:i/>
          <w:sz w:val="20"/>
          <w:szCs w:val="20"/>
        </w:rPr>
        <w:t>included in ESSA for the measurement of children in foster care, military-connectedness, and</w:t>
      </w:r>
      <w:r>
        <w:rPr>
          <w:rFonts w:ascii="ArialMT" w:hAnsi="ArialMT" w:cs="ArialMT"/>
          <w:i/>
          <w:sz w:val="20"/>
          <w:szCs w:val="20"/>
        </w:rPr>
        <w:t xml:space="preserve"> </w:t>
      </w:r>
      <w:r w:rsidR="00E95BB7" w:rsidRPr="00240D97">
        <w:rPr>
          <w:rFonts w:ascii="ArialMT" w:hAnsi="ArialMT" w:cs="ArialMT"/>
          <w:i/>
          <w:sz w:val="20"/>
          <w:szCs w:val="20"/>
        </w:rPr>
        <w:t>accountability indicators in the EDFacts collection.</w:t>
      </w:r>
    </w:p>
    <w:p w14:paraId="7C09D26C" w14:textId="77777777" w:rsidR="00193765" w:rsidRDefault="00E95BB7" w:rsidP="00193765">
      <w:pPr>
        <w:autoSpaceDE w:val="0"/>
        <w:autoSpaceDN w:val="0"/>
        <w:adjustRightInd w:val="0"/>
        <w:spacing w:after="120" w:line="240" w:lineRule="auto"/>
        <w:rPr>
          <w:rFonts w:ascii="ArialMT" w:hAnsi="ArialMT" w:cs="ArialMT"/>
          <w:i/>
          <w:sz w:val="20"/>
          <w:szCs w:val="20"/>
        </w:rPr>
      </w:pPr>
      <w:r w:rsidRPr="00240D97">
        <w:rPr>
          <w:rFonts w:ascii="ArialMT" w:hAnsi="ArialMT" w:cs="ArialMT"/>
          <w:i/>
          <w:sz w:val="20"/>
          <w:szCs w:val="20"/>
        </w:rPr>
        <w:t>The proposed collection is approved as submitted under the following terms of clearance, designed to inform OMB on key issues related to the utility of the information collected: within 24 months of the clearance date, NCES will submit to OMB a report describing:</w:t>
      </w:r>
    </w:p>
    <w:p w14:paraId="2B43F3D3" w14:textId="461057EC" w:rsidR="00E04A05" w:rsidRPr="00FD6637" w:rsidRDefault="00E95BB7" w:rsidP="00193765">
      <w:pPr>
        <w:pStyle w:val="ListParagraph"/>
        <w:numPr>
          <w:ilvl w:val="0"/>
          <w:numId w:val="3"/>
        </w:numPr>
        <w:autoSpaceDE w:val="0"/>
        <w:autoSpaceDN w:val="0"/>
        <w:adjustRightInd w:val="0"/>
        <w:spacing w:after="120" w:line="240" w:lineRule="auto"/>
        <w:contextualSpacing w:val="0"/>
        <w:rPr>
          <w:rFonts w:ascii="ArialMT" w:hAnsi="ArialMT" w:cs="ArialMT"/>
          <w:i/>
          <w:sz w:val="20"/>
          <w:szCs w:val="20"/>
        </w:rPr>
      </w:pPr>
      <w:r w:rsidRPr="00FD6637">
        <w:rPr>
          <w:rFonts w:ascii="ArialMT" w:hAnsi="ArialMT" w:cs="ArialMT"/>
          <w:i/>
          <w:sz w:val="20"/>
          <w:szCs w:val="20"/>
        </w:rPr>
        <w:t>differences in the measurement or definition of these concepts across reporting entities (including discussion of types of data submitted, number of levels for indicators, and variation between states);</w:t>
      </w:r>
    </w:p>
    <w:p w14:paraId="12660E0E" w14:textId="77777777" w:rsidR="007D7DCF" w:rsidRDefault="00E95BB7" w:rsidP="00193765">
      <w:pPr>
        <w:pStyle w:val="ListParagraph"/>
        <w:numPr>
          <w:ilvl w:val="0"/>
          <w:numId w:val="3"/>
        </w:numPr>
        <w:autoSpaceDE w:val="0"/>
        <w:autoSpaceDN w:val="0"/>
        <w:adjustRightInd w:val="0"/>
        <w:spacing w:after="120" w:line="240" w:lineRule="auto"/>
        <w:contextualSpacing w:val="0"/>
        <w:rPr>
          <w:rFonts w:ascii="ArialMT" w:hAnsi="ArialMT" w:cs="ArialMT"/>
          <w:i/>
          <w:sz w:val="20"/>
          <w:szCs w:val="20"/>
        </w:rPr>
      </w:pPr>
      <w:r w:rsidRPr="00FD6637">
        <w:rPr>
          <w:rFonts w:ascii="ArialMT" w:hAnsi="ArialMT" w:cs="ArialMT"/>
          <w:i/>
          <w:sz w:val="20"/>
          <w:szCs w:val="20"/>
        </w:rPr>
        <w:t>a discussion of the utility of these measures given those differences, including challenges in combining data and making comparisons across states; and</w:t>
      </w:r>
    </w:p>
    <w:p w14:paraId="1A497CAF" w14:textId="77777777" w:rsidR="00193765" w:rsidRDefault="00E95BB7" w:rsidP="00193765">
      <w:pPr>
        <w:pStyle w:val="ListParagraph"/>
        <w:numPr>
          <w:ilvl w:val="0"/>
          <w:numId w:val="3"/>
        </w:numPr>
        <w:autoSpaceDE w:val="0"/>
        <w:autoSpaceDN w:val="0"/>
        <w:adjustRightInd w:val="0"/>
        <w:spacing w:after="120" w:line="240" w:lineRule="auto"/>
        <w:contextualSpacing w:val="0"/>
        <w:rPr>
          <w:rFonts w:ascii="ArialMT" w:hAnsi="ArialMT" w:cs="ArialMT"/>
          <w:sz w:val="20"/>
          <w:szCs w:val="20"/>
        </w:rPr>
      </w:pPr>
      <w:r w:rsidRPr="00FD6637">
        <w:rPr>
          <w:rFonts w:ascii="ArialMT" w:hAnsi="ArialMT" w:cs="ArialMT"/>
          <w:i/>
          <w:sz w:val="20"/>
          <w:szCs w:val="20"/>
        </w:rPr>
        <w:t>a discussion of potential steps that ED can take to increase the utility and consistency of these measures.</w:t>
      </w:r>
      <w:r w:rsidR="007D7DCF">
        <w:rPr>
          <w:rFonts w:ascii="ArialMT" w:hAnsi="ArialMT" w:cs="ArialMT"/>
          <w:i/>
          <w:sz w:val="20"/>
          <w:szCs w:val="20"/>
        </w:rPr>
        <w:t>”</w:t>
      </w:r>
    </w:p>
    <w:p w14:paraId="75B2BB10" w14:textId="1FDA71B9" w:rsidR="00A15B83" w:rsidRDefault="00A15B83" w:rsidP="00193765">
      <w:pPr>
        <w:autoSpaceDE w:val="0"/>
        <w:autoSpaceDN w:val="0"/>
        <w:adjustRightInd w:val="0"/>
        <w:spacing w:after="120" w:line="240" w:lineRule="auto"/>
        <w:rPr>
          <w:rFonts w:ascii="ArialMT" w:hAnsi="ArialMT" w:cs="ArialMT"/>
          <w:b/>
          <w:sz w:val="20"/>
          <w:szCs w:val="20"/>
        </w:rPr>
      </w:pPr>
      <w:r>
        <w:rPr>
          <w:rFonts w:ascii="ArialMT" w:hAnsi="ArialMT" w:cs="ArialMT"/>
          <w:b/>
          <w:sz w:val="20"/>
          <w:szCs w:val="20"/>
        </w:rPr>
        <w:t>Clarification:</w:t>
      </w:r>
    </w:p>
    <w:p w14:paraId="27ECD5E8" w14:textId="77777777" w:rsidR="00193765" w:rsidRDefault="006C10D5" w:rsidP="00193765">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The opening statement above indicates that “NCES did not adopt</w:t>
      </w:r>
      <w:r w:rsidR="00FE3B5E">
        <w:rPr>
          <w:rFonts w:ascii="ArialMT" w:hAnsi="ArialMT" w:cs="ArialMT"/>
          <w:sz w:val="20"/>
          <w:szCs w:val="20"/>
        </w:rPr>
        <w:t xml:space="preserve"> the definitions and guidance in ESSA </w:t>
      </w:r>
      <w:r>
        <w:rPr>
          <w:rFonts w:ascii="ArialMT" w:hAnsi="ArialMT" w:cs="ArialMT"/>
          <w:sz w:val="20"/>
          <w:szCs w:val="20"/>
        </w:rPr>
        <w:t>…”</w:t>
      </w:r>
    </w:p>
    <w:p w14:paraId="24C7B655" w14:textId="0B4CC7E5" w:rsidR="00193765" w:rsidRDefault="003C2C40" w:rsidP="00193765">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However, i</w:t>
      </w:r>
      <w:r w:rsidR="00FE3B5E">
        <w:rPr>
          <w:rFonts w:ascii="ArialMT" w:hAnsi="ArialMT" w:cs="ArialMT"/>
          <w:sz w:val="20"/>
          <w:szCs w:val="20"/>
        </w:rPr>
        <w:t>n 1850-0925</w:t>
      </w:r>
      <w:r w:rsidR="00A84D41">
        <w:rPr>
          <w:rFonts w:ascii="ArialMT" w:hAnsi="ArialMT" w:cs="ArialMT"/>
          <w:sz w:val="20"/>
          <w:szCs w:val="20"/>
        </w:rPr>
        <w:t xml:space="preserve"> v.2</w:t>
      </w:r>
      <w:r w:rsidR="00FE3B5E">
        <w:rPr>
          <w:rFonts w:ascii="ArialMT" w:hAnsi="ArialMT" w:cs="ArialMT"/>
          <w:sz w:val="20"/>
          <w:szCs w:val="20"/>
        </w:rPr>
        <w:t xml:space="preserve">, </w:t>
      </w:r>
      <w:r w:rsidR="00264D8E">
        <w:rPr>
          <w:rFonts w:ascii="ArialMT" w:hAnsi="ArialMT" w:cs="ArialMT"/>
          <w:sz w:val="20"/>
          <w:szCs w:val="20"/>
        </w:rPr>
        <w:t xml:space="preserve">NCES did adopt the language in </w:t>
      </w:r>
      <w:r w:rsidR="00805EF9">
        <w:rPr>
          <w:rFonts w:ascii="ArialMT" w:hAnsi="ArialMT" w:cs="ArialMT"/>
          <w:sz w:val="20"/>
          <w:szCs w:val="20"/>
        </w:rPr>
        <w:t xml:space="preserve">the </w:t>
      </w:r>
      <w:r w:rsidR="00805EF9" w:rsidRPr="00805EF9">
        <w:rPr>
          <w:rFonts w:ascii="ArialMT" w:hAnsi="ArialMT" w:cs="ArialMT"/>
          <w:sz w:val="20"/>
          <w:szCs w:val="20"/>
        </w:rPr>
        <w:t>Every Student Succeeds Act (ESSA)</w:t>
      </w:r>
      <w:r w:rsidR="00FE3B5E">
        <w:rPr>
          <w:rFonts w:ascii="ArialMT" w:hAnsi="ArialMT" w:cs="ArialMT"/>
          <w:sz w:val="20"/>
          <w:szCs w:val="20"/>
        </w:rPr>
        <w:t xml:space="preserve">. </w:t>
      </w:r>
      <w:r w:rsidR="006B26D3">
        <w:rPr>
          <w:rFonts w:ascii="ArialMT" w:hAnsi="ArialMT" w:cs="ArialMT"/>
          <w:sz w:val="20"/>
          <w:szCs w:val="20"/>
        </w:rPr>
        <w:t xml:space="preserve">What was not included was guidance proposed in documents that were withdrawn or in development. </w:t>
      </w:r>
      <w:r w:rsidR="00C913C7">
        <w:rPr>
          <w:rFonts w:ascii="ArialMT" w:hAnsi="ArialMT" w:cs="ArialMT"/>
          <w:sz w:val="20"/>
          <w:szCs w:val="20"/>
        </w:rPr>
        <w:t xml:space="preserve">Since guidance is managed by USDOE data stewards, it would not be appropriate for NCES to include </w:t>
      </w:r>
      <w:r w:rsidR="006B2E6F">
        <w:rPr>
          <w:rFonts w:ascii="ArialMT" w:hAnsi="ArialMT" w:cs="ArialMT"/>
          <w:b/>
          <w:sz w:val="20"/>
          <w:szCs w:val="20"/>
        </w:rPr>
        <w:t>proposed</w:t>
      </w:r>
      <w:r w:rsidR="006B2E6F">
        <w:rPr>
          <w:rFonts w:ascii="ArialMT" w:hAnsi="ArialMT" w:cs="ArialMT"/>
          <w:sz w:val="20"/>
          <w:szCs w:val="20"/>
        </w:rPr>
        <w:t xml:space="preserve"> definitions or guidance </w:t>
      </w:r>
      <w:r>
        <w:rPr>
          <w:rFonts w:ascii="ArialMT" w:hAnsi="ArialMT" w:cs="ArialMT"/>
          <w:sz w:val="20"/>
          <w:szCs w:val="20"/>
        </w:rPr>
        <w:t>in the case that</w:t>
      </w:r>
      <w:r w:rsidR="006B2E6F">
        <w:rPr>
          <w:rFonts w:ascii="ArialMT" w:hAnsi="ArialMT" w:cs="ArialMT"/>
          <w:sz w:val="20"/>
          <w:szCs w:val="20"/>
        </w:rPr>
        <w:t xml:space="preserve"> 1850-0925</w:t>
      </w:r>
      <w:r w:rsidR="00C913C7">
        <w:rPr>
          <w:rFonts w:ascii="ArialMT" w:hAnsi="ArialMT" w:cs="ArialMT"/>
          <w:sz w:val="20"/>
          <w:szCs w:val="20"/>
        </w:rPr>
        <w:t xml:space="preserve"> </w:t>
      </w:r>
      <w:r>
        <w:rPr>
          <w:rFonts w:ascii="ArialMT" w:hAnsi="ArialMT" w:cs="ArialMT"/>
          <w:sz w:val="20"/>
          <w:szCs w:val="20"/>
        </w:rPr>
        <w:t xml:space="preserve">is </w:t>
      </w:r>
      <w:r w:rsidR="00403435">
        <w:rPr>
          <w:rFonts w:ascii="ArialMT" w:hAnsi="ArialMT" w:cs="ArialMT"/>
          <w:sz w:val="20"/>
          <w:szCs w:val="20"/>
        </w:rPr>
        <w:t>managed in another public input process</w:t>
      </w:r>
      <w:r w:rsidR="006B2E6F">
        <w:rPr>
          <w:rFonts w:ascii="ArialMT" w:hAnsi="ArialMT" w:cs="ArialMT"/>
          <w:sz w:val="20"/>
          <w:szCs w:val="20"/>
        </w:rPr>
        <w:t>.</w:t>
      </w:r>
    </w:p>
    <w:p w14:paraId="57072083" w14:textId="16EE8FBB" w:rsidR="00193765" w:rsidRDefault="00F86FC9" w:rsidP="00193765">
      <w:pPr>
        <w:autoSpaceDE w:val="0"/>
        <w:autoSpaceDN w:val="0"/>
        <w:adjustRightInd w:val="0"/>
        <w:spacing w:after="120" w:line="240" w:lineRule="auto"/>
        <w:rPr>
          <w:rFonts w:ascii="ArialMT" w:hAnsi="ArialMT" w:cs="ArialMT"/>
          <w:b/>
          <w:sz w:val="20"/>
          <w:szCs w:val="20"/>
        </w:rPr>
      </w:pPr>
      <w:r w:rsidRPr="00DB1786">
        <w:rPr>
          <w:rFonts w:ascii="ArialMT" w:hAnsi="ArialMT" w:cs="ArialMT"/>
          <w:b/>
          <w:sz w:val="20"/>
          <w:szCs w:val="20"/>
        </w:rPr>
        <w:t>Related Events:</w:t>
      </w:r>
    </w:p>
    <w:p w14:paraId="5C3538DC" w14:textId="1B9D464E" w:rsidR="00193765" w:rsidRDefault="003E15EA" w:rsidP="00193765">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 xml:space="preserve">In addition to the statute, </w:t>
      </w:r>
      <w:r w:rsidR="006A6504">
        <w:rPr>
          <w:rFonts w:ascii="ArialMT" w:hAnsi="ArialMT" w:cs="ArialMT"/>
          <w:sz w:val="20"/>
          <w:szCs w:val="20"/>
        </w:rPr>
        <w:t>ESSA</w:t>
      </w:r>
      <w:r w:rsidR="001A0E46">
        <w:rPr>
          <w:rFonts w:ascii="ArialMT" w:hAnsi="ArialMT" w:cs="ArialMT"/>
          <w:sz w:val="20"/>
          <w:szCs w:val="20"/>
        </w:rPr>
        <w:t xml:space="preserve"> </w:t>
      </w:r>
      <w:r w:rsidR="006F76FD">
        <w:rPr>
          <w:rFonts w:ascii="ArialMT" w:hAnsi="ArialMT" w:cs="ArialMT"/>
          <w:sz w:val="20"/>
          <w:szCs w:val="20"/>
        </w:rPr>
        <w:t>guidance documen</w:t>
      </w:r>
      <w:r w:rsidR="00D7531A">
        <w:rPr>
          <w:rFonts w:ascii="ArialMT" w:hAnsi="ArialMT" w:cs="ArialMT"/>
          <w:sz w:val="20"/>
          <w:szCs w:val="20"/>
        </w:rPr>
        <w:t>ts</w:t>
      </w:r>
      <w:r w:rsidR="00805EF9">
        <w:rPr>
          <w:rStyle w:val="FootnoteReference"/>
          <w:rFonts w:ascii="ArialMT" w:hAnsi="ArialMT" w:cs="ArialMT"/>
          <w:sz w:val="20"/>
          <w:szCs w:val="20"/>
        </w:rPr>
        <w:footnoteReference w:id="1"/>
      </w:r>
      <w:r w:rsidR="00D7531A">
        <w:rPr>
          <w:rFonts w:ascii="ArialMT" w:hAnsi="ArialMT" w:cs="ArialMT"/>
          <w:sz w:val="20"/>
          <w:szCs w:val="20"/>
        </w:rPr>
        <w:t xml:space="preserve"> </w:t>
      </w:r>
      <w:r w:rsidR="007F3230">
        <w:rPr>
          <w:rFonts w:ascii="ArialMT" w:hAnsi="ArialMT" w:cs="ArialMT"/>
          <w:sz w:val="20"/>
          <w:szCs w:val="20"/>
        </w:rPr>
        <w:t xml:space="preserve">offer information to stakeholders that </w:t>
      </w:r>
      <w:r w:rsidR="00D7531A">
        <w:rPr>
          <w:rFonts w:ascii="ArialMT" w:hAnsi="ArialMT" w:cs="ArialMT"/>
          <w:sz w:val="20"/>
          <w:szCs w:val="20"/>
        </w:rPr>
        <w:t>range from require</w:t>
      </w:r>
      <w:r w:rsidR="007F3230">
        <w:rPr>
          <w:rFonts w:ascii="ArialMT" w:hAnsi="ArialMT" w:cs="ArialMT"/>
          <w:sz w:val="20"/>
          <w:szCs w:val="20"/>
        </w:rPr>
        <w:t>ments</w:t>
      </w:r>
      <w:r w:rsidR="00D7531A">
        <w:rPr>
          <w:rFonts w:ascii="ArialMT" w:hAnsi="ArialMT" w:cs="ArialMT"/>
          <w:sz w:val="20"/>
          <w:szCs w:val="20"/>
        </w:rPr>
        <w:t xml:space="preserve"> to</w:t>
      </w:r>
      <w:r w:rsidR="003C60F0">
        <w:rPr>
          <w:rFonts w:ascii="ArialMT" w:hAnsi="ArialMT" w:cs="ArialMT"/>
          <w:sz w:val="20"/>
          <w:szCs w:val="20"/>
        </w:rPr>
        <w:t xml:space="preserve"> resource</w:t>
      </w:r>
      <w:r w:rsidR="00D7531A">
        <w:rPr>
          <w:rFonts w:ascii="ArialMT" w:hAnsi="ArialMT" w:cs="ArialMT"/>
          <w:sz w:val="20"/>
          <w:szCs w:val="20"/>
        </w:rPr>
        <w:t xml:space="preserve"> (</w:t>
      </w:r>
      <w:r w:rsidR="00990A99">
        <w:rPr>
          <w:rFonts w:ascii="ArialMT" w:hAnsi="ArialMT" w:cs="ArialMT"/>
          <w:sz w:val="20"/>
          <w:szCs w:val="20"/>
        </w:rPr>
        <w:t xml:space="preserve">e.g., </w:t>
      </w:r>
      <w:r w:rsidR="00D22E88">
        <w:rPr>
          <w:rFonts w:ascii="ArialMT" w:hAnsi="ArialMT" w:cs="ArialMT"/>
          <w:sz w:val="20"/>
          <w:szCs w:val="20"/>
        </w:rPr>
        <w:t>regulatory, non-regulatory, Dear Colleague letters</w:t>
      </w:r>
      <w:r w:rsidR="00C84494">
        <w:rPr>
          <w:rFonts w:ascii="ArialMT" w:hAnsi="ArialMT" w:cs="ArialMT"/>
          <w:sz w:val="20"/>
          <w:szCs w:val="20"/>
        </w:rPr>
        <w:t>, technical assistance</w:t>
      </w:r>
      <w:r w:rsidR="003C2C40">
        <w:rPr>
          <w:rFonts w:ascii="ArialMT" w:hAnsi="ArialMT" w:cs="ArialMT"/>
          <w:sz w:val="20"/>
          <w:szCs w:val="20"/>
        </w:rPr>
        <w:t xml:space="preserve"> etc.</w:t>
      </w:r>
      <w:r w:rsidR="00D22E88">
        <w:rPr>
          <w:rFonts w:ascii="ArialMT" w:hAnsi="ArialMT" w:cs="ArialMT"/>
          <w:sz w:val="20"/>
          <w:szCs w:val="20"/>
        </w:rPr>
        <w:t>)</w:t>
      </w:r>
      <w:r w:rsidR="00D7531A">
        <w:rPr>
          <w:rFonts w:ascii="ArialMT" w:hAnsi="ArialMT" w:cs="ArialMT"/>
          <w:sz w:val="20"/>
          <w:szCs w:val="20"/>
        </w:rPr>
        <w:t xml:space="preserve">. </w:t>
      </w:r>
      <w:r w:rsidR="003C2C40">
        <w:rPr>
          <w:rFonts w:ascii="ArialMT" w:hAnsi="ArialMT" w:cs="ArialMT"/>
          <w:sz w:val="20"/>
          <w:szCs w:val="20"/>
        </w:rPr>
        <w:t>In accordance with</w:t>
      </w:r>
      <w:r w:rsidR="00990A99">
        <w:rPr>
          <w:rFonts w:ascii="ArialMT" w:hAnsi="ArialMT" w:cs="ArialMT"/>
          <w:sz w:val="20"/>
          <w:szCs w:val="20"/>
        </w:rPr>
        <w:t xml:space="preserve"> ESSA, each program office </w:t>
      </w:r>
      <w:r w:rsidR="00493CD3">
        <w:rPr>
          <w:rFonts w:ascii="ArialMT" w:hAnsi="ArialMT" w:cs="ArialMT"/>
          <w:sz w:val="20"/>
          <w:szCs w:val="20"/>
        </w:rPr>
        <w:t xml:space="preserve">analyzed the law and determined where states have flexibility </w:t>
      </w:r>
      <w:r w:rsidR="008601FC">
        <w:rPr>
          <w:rFonts w:ascii="ArialMT" w:hAnsi="ArialMT" w:cs="ArialMT"/>
          <w:sz w:val="20"/>
          <w:szCs w:val="20"/>
        </w:rPr>
        <w:t>in policy decision</w:t>
      </w:r>
      <w:r w:rsidR="003C2C40">
        <w:rPr>
          <w:rFonts w:ascii="ArialMT" w:hAnsi="ArialMT" w:cs="ArialMT"/>
          <w:sz w:val="20"/>
          <w:szCs w:val="20"/>
        </w:rPr>
        <w:t>s</w:t>
      </w:r>
      <w:r w:rsidR="008601FC">
        <w:rPr>
          <w:rFonts w:ascii="ArialMT" w:hAnsi="ArialMT" w:cs="ArialMT"/>
          <w:sz w:val="20"/>
          <w:szCs w:val="20"/>
        </w:rPr>
        <w:t xml:space="preserve"> that impact data reporting requirements</w:t>
      </w:r>
      <w:r w:rsidR="00F52F33">
        <w:rPr>
          <w:rFonts w:ascii="ArialMT" w:hAnsi="ArialMT" w:cs="ArialMT"/>
          <w:sz w:val="20"/>
          <w:szCs w:val="20"/>
        </w:rPr>
        <w:t>. As decisions were made, each grant program</w:t>
      </w:r>
      <w:r w:rsidR="002F7584">
        <w:rPr>
          <w:rFonts w:ascii="ArialMT" w:hAnsi="ArialMT" w:cs="ArialMT"/>
          <w:sz w:val="20"/>
          <w:szCs w:val="20"/>
        </w:rPr>
        <w:t xml:space="preserve"> worked with their respective stakeholder groups</w:t>
      </w:r>
      <w:r w:rsidR="00D76F84">
        <w:rPr>
          <w:rFonts w:ascii="ArialMT" w:hAnsi="ArialMT" w:cs="ArialMT"/>
          <w:sz w:val="20"/>
          <w:szCs w:val="20"/>
        </w:rPr>
        <w:t xml:space="preserve"> to develop </w:t>
      </w:r>
      <w:r w:rsidR="00750BF0">
        <w:rPr>
          <w:rFonts w:ascii="ArialMT" w:hAnsi="ArialMT" w:cs="ArialMT"/>
          <w:sz w:val="20"/>
          <w:szCs w:val="20"/>
        </w:rPr>
        <w:t xml:space="preserve">clarification and </w:t>
      </w:r>
      <w:r w:rsidR="00D76F84">
        <w:rPr>
          <w:rFonts w:ascii="ArialMT" w:hAnsi="ArialMT" w:cs="ArialMT"/>
          <w:sz w:val="20"/>
          <w:szCs w:val="20"/>
        </w:rPr>
        <w:t>guidance</w:t>
      </w:r>
      <w:r w:rsidR="00750BF0">
        <w:rPr>
          <w:rFonts w:ascii="ArialMT" w:hAnsi="ArialMT" w:cs="ArialMT"/>
          <w:sz w:val="20"/>
          <w:szCs w:val="20"/>
        </w:rPr>
        <w:t>.</w:t>
      </w:r>
      <w:r w:rsidR="00F02D89">
        <w:rPr>
          <w:rFonts w:ascii="ArialMT" w:hAnsi="ArialMT" w:cs="ArialMT"/>
          <w:sz w:val="20"/>
          <w:szCs w:val="20"/>
        </w:rPr>
        <w:t xml:space="preserve"> The </w:t>
      </w:r>
      <w:r w:rsidR="00A84D41" w:rsidRPr="00193765">
        <w:rPr>
          <w:rFonts w:ascii="ArialMT" w:hAnsi="ArialMT" w:cs="ArialMT"/>
          <w:sz w:val="20"/>
          <w:szCs w:val="20"/>
        </w:rPr>
        <w:t>ED</w:t>
      </w:r>
      <w:r w:rsidR="00A84D41" w:rsidRPr="00193765">
        <w:rPr>
          <w:rFonts w:ascii="ArialMT" w:hAnsi="ArialMT" w:cs="ArialMT"/>
          <w:i/>
          <w:iCs/>
          <w:sz w:val="20"/>
          <w:szCs w:val="20"/>
        </w:rPr>
        <w:t>Facts</w:t>
      </w:r>
      <w:r w:rsidR="00A84D41" w:rsidRPr="00193765">
        <w:rPr>
          <w:rFonts w:ascii="ArialMT" w:hAnsi="ArialMT" w:cs="ArialMT"/>
          <w:sz w:val="20"/>
          <w:szCs w:val="20"/>
        </w:rPr>
        <w:t xml:space="preserve"> Data Collection School Years 2016-17, 2017-18, and 2018-19</w:t>
      </w:r>
      <w:r w:rsidR="00A84D41">
        <w:rPr>
          <w:rFonts w:ascii="ArialMT" w:hAnsi="ArialMT" w:cs="ArialMT"/>
          <w:sz w:val="20"/>
          <w:szCs w:val="20"/>
        </w:rPr>
        <w:t xml:space="preserve"> request (1850-0925 v.2) </w:t>
      </w:r>
      <w:r w:rsidR="00F02D89">
        <w:rPr>
          <w:rFonts w:ascii="ArialMT" w:hAnsi="ArialMT" w:cs="ArialMT"/>
          <w:sz w:val="20"/>
          <w:szCs w:val="20"/>
        </w:rPr>
        <w:t>reflected those program decisions.</w:t>
      </w:r>
    </w:p>
    <w:p w14:paraId="40324CCC" w14:textId="77777777" w:rsidR="00193765" w:rsidRDefault="00B37E42" w:rsidP="00193765">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Key decisions related to foster care, military connectedness, and accountability reporting requirements:</w:t>
      </w:r>
    </w:p>
    <w:p w14:paraId="38C699D8" w14:textId="00D32B57" w:rsidR="00C51310" w:rsidRDefault="00C94035" w:rsidP="00193765">
      <w:pPr>
        <w:pStyle w:val="ListParagraph"/>
        <w:numPr>
          <w:ilvl w:val="0"/>
          <w:numId w:val="8"/>
        </w:numPr>
        <w:autoSpaceDE w:val="0"/>
        <w:autoSpaceDN w:val="0"/>
        <w:adjustRightInd w:val="0"/>
        <w:spacing w:after="120" w:line="240" w:lineRule="auto"/>
        <w:contextualSpacing w:val="0"/>
        <w:rPr>
          <w:rFonts w:ascii="ArialMT" w:hAnsi="ArialMT" w:cs="ArialMT"/>
          <w:sz w:val="20"/>
          <w:szCs w:val="20"/>
        </w:rPr>
      </w:pPr>
      <w:r w:rsidRPr="00C51310">
        <w:rPr>
          <w:rFonts w:ascii="ArialMT" w:hAnsi="ArialMT" w:cs="ArialMT"/>
          <w:sz w:val="20"/>
          <w:szCs w:val="20"/>
        </w:rPr>
        <w:t xml:space="preserve">December 2015 </w:t>
      </w:r>
      <w:r w:rsidR="008C400C" w:rsidRPr="00C51310">
        <w:rPr>
          <w:rFonts w:ascii="ArialMT" w:hAnsi="ArialMT" w:cs="ArialMT"/>
          <w:sz w:val="20"/>
          <w:szCs w:val="20"/>
        </w:rPr>
        <w:t>–</w:t>
      </w:r>
      <w:r w:rsidRPr="00C51310">
        <w:rPr>
          <w:rFonts w:ascii="ArialMT" w:hAnsi="ArialMT" w:cs="ArialMT"/>
          <w:sz w:val="20"/>
          <w:szCs w:val="20"/>
        </w:rPr>
        <w:t xml:space="preserve"> </w:t>
      </w:r>
      <w:r w:rsidR="008C400C" w:rsidRPr="00C51310">
        <w:rPr>
          <w:rFonts w:ascii="ArialMT" w:hAnsi="ArialMT" w:cs="ArialMT"/>
          <w:sz w:val="20"/>
          <w:szCs w:val="20"/>
        </w:rPr>
        <w:t>Every Student Succeeds Act (</w:t>
      </w:r>
      <w:r w:rsidR="00240D97" w:rsidRPr="00C51310">
        <w:rPr>
          <w:rFonts w:ascii="ArialMT" w:hAnsi="ArialMT" w:cs="ArialMT"/>
          <w:sz w:val="20"/>
          <w:szCs w:val="20"/>
        </w:rPr>
        <w:t>ESSA</w:t>
      </w:r>
      <w:r w:rsidR="008C400C" w:rsidRPr="00C51310">
        <w:rPr>
          <w:rFonts w:ascii="ArialMT" w:hAnsi="ArialMT" w:cs="ArialMT"/>
          <w:sz w:val="20"/>
          <w:szCs w:val="20"/>
        </w:rPr>
        <w:t>)</w:t>
      </w:r>
      <w:r w:rsidR="0020196D" w:rsidRPr="00C51310">
        <w:rPr>
          <w:rFonts w:ascii="ArialMT" w:hAnsi="ArialMT" w:cs="ArialMT"/>
          <w:sz w:val="20"/>
          <w:szCs w:val="20"/>
        </w:rPr>
        <w:t xml:space="preserve"> signed by President Obama; reauthorization of the </w:t>
      </w:r>
      <w:r w:rsidR="00C51310" w:rsidRPr="00C51310">
        <w:rPr>
          <w:rFonts w:ascii="ArialMT" w:hAnsi="ArialMT" w:cs="ArialMT"/>
          <w:sz w:val="20"/>
          <w:szCs w:val="20"/>
        </w:rPr>
        <w:t>Elementary and Secondary Education Act (ESEA)</w:t>
      </w:r>
    </w:p>
    <w:p w14:paraId="7DCF900E" w14:textId="77777777" w:rsidR="007D7DCF" w:rsidRDefault="00C51310" w:rsidP="00193765">
      <w:pPr>
        <w:pStyle w:val="ListParagraph"/>
        <w:numPr>
          <w:ilvl w:val="0"/>
          <w:numId w:val="8"/>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2</w:t>
      </w:r>
      <w:r w:rsidR="00486C17" w:rsidRPr="00C51310">
        <w:rPr>
          <w:rFonts w:ascii="ArialMT" w:hAnsi="ArialMT" w:cs="ArialMT"/>
          <w:sz w:val="20"/>
          <w:szCs w:val="20"/>
        </w:rPr>
        <w:t xml:space="preserve">016 </w:t>
      </w:r>
      <w:r>
        <w:rPr>
          <w:rFonts w:ascii="ArialMT" w:hAnsi="ArialMT" w:cs="ArialMT"/>
          <w:sz w:val="20"/>
          <w:szCs w:val="20"/>
        </w:rPr>
        <w:t>–</w:t>
      </w:r>
      <w:r w:rsidR="00486C17" w:rsidRPr="00C51310">
        <w:rPr>
          <w:rFonts w:ascii="ArialMT" w:hAnsi="ArialMT" w:cs="ArialMT"/>
          <w:sz w:val="20"/>
          <w:szCs w:val="20"/>
        </w:rPr>
        <w:t xml:space="preserve"> </w:t>
      </w:r>
      <w:r>
        <w:rPr>
          <w:rFonts w:ascii="ArialMT" w:hAnsi="ArialMT" w:cs="ArialMT"/>
          <w:sz w:val="20"/>
          <w:szCs w:val="20"/>
        </w:rPr>
        <w:t xml:space="preserve">USDOE developed </w:t>
      </w:r>
      <w:r w:rsidR="00240D97" w:rsidRPr="00C51310">
        <w:rPr>
          <w:rFonts w:ascii="ArialMT" w:hAnsi="ArialMT" w:cs="ArialMT"/>
          <w:sz w:val="20"/>
          <w:szCs w:val="20"/>
        </w:rPr>
        <w:t>ESSA regulations</w:t>
      </w:r>
      <w:r w:rsidR="00753521">
        <w:rPr>
          <w:rFonts w:ascii="ArialMT" w:hAnsi="ArialMT" w:cs="ArialMT"/>
          <w:sz w:val="20"/>
          <w:szCs w:val="20"/>
        </w:rPr>
        <w:t xml:space="preserve"> and non-regulatory guidance</w:t>
      </w:r>
    </w:p>
    <w:p w14:paraId="2DC610D5" w14:textId="68C4A34E" w:rsidR="003E7393" w:rsidRDefault="003E7393" w:rsidP="00193765">
      <w:pPr>
        <w:pStyle w:val="ListParagraph"/>
        <w:numPr>
          <w:ilvl w:val="0"/>
          <w:numId w:val="8"/>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June 2016</w:t>
      </w:r>
      <w:r w:rsidR="00DB1415">
        <w:rPr>
          <w:rFonts w:ascii="ArialMT" w:hAnsi="ArialMT" w:cs="ArialMT"/>
          <w:sz w:val="20"/>
          <w:szCs w:val="20"/>
        </w:rPr>
        <w:t xml:space="preserve"> </w:t>
      </w:r>
      <w:r>
        <w:rPr>
          <w:rFonts w:ascii="ArialMT" w:hAnsi="ArialMT" w:cs="ArialMT"/>
          <w:sz w:val="20"/>
          <w:szCs w:val="20"/>
        </w:rPr>
        <w:t xml:space="preserve">- USDOE released </w:t>
      </w:r>
      <w:hyperlink r:id="rId13" w:history="1">
        <w:r w:rsidR="00DB1415" w:rsidRPr="00DB1415">
          <w:rPr>
            <w:rStyle w:val="Hyperlink"/>
            <w:rFonts w:ascii="ArialMT" w:hAnsi="ArialMT" w:cs="ArialMT"/>
            <w:sz w:val="20"/>
            <w:szCs w:val="20"/>
          </w:rPr>
          <w:t xml:space="preserve">non-regulatory </w:t>
        </w:r>
        <w:r w:rsidRPr="00DB1415">
          <w:rPr>
            <w:rStyle w:val="Hyperlink"/>
            <w:rFonts w:ascii="ArialMT" w:hAnsi="ArialMT" w:cs="ArialMT"/>
            <w:sz w:val="20"/>
            <w:szCs w:val="20"/>
          </w:rPr>
          <w:t>guidance</w:t>
        </w:r>
      </w:hyperlink>
      <w:r>
        <w:rPr>
          <w:rFonts w:ascii="ArialMT" w:hAnsi="ArialMT" w:cs="ArialMT"/>
          <w:sz w:val="20"/>
          <w:szCs w:val="20"/>
        </w:rPr>
        <w:t xml:space="preserve"> about </w:t>
      </w:r>
      <w:r w:rsidR="00DB1415">
        <w:rPr>
          <w:rFonts w:ascii="ArialMT" w:hAnsi="ArialMT" w:cs="ArialMT"/>
          <w:sz w:val="20"/>
          <w:szCs w:val="20"/>
        </w:rPr>
        <w:t>students in foster care</w:t>
      </w:r>
      <w:r w:rsidR="00547212">
        <w:rPr>
          <w:rFonts w:ascii="ArialMT" w:hAnsi="ArialMT" w:cs="ArialMT"/>
          <w:sz w:val="20"/>
          <w:szCs w:val="20"/>
        </w:rPr>
        <w:t xml:space="preserve"> (</w:t>
      </w:r>
      <w:r w:rsidR="00805EF9">
        <w:rPr>
          <w:rFonts w:ascii="ArialMT" w:hAnsi="ArialMT" w:cs="ArialMT"/>
          <w:sz w:val="20"/>
          <w:szCs w:val="20"/>
        </w:rPr>
        <w:t xml:space="preserve">attached with this memo in </w:t>
      </w:r>
      <w:r w:rsidR="00805EF9" w:rsidRPr="00FA11F7">
        <w:rPr>
          <w:rFonts w:ascii="ArialMT" w:hAnsi="ArialMT" w:cs="ArialMT"/>
          <w:i/>
          <w:iCs/>
          <w:sz w:val="20"/>
          <w:szCs w:val="20"/>
        </w:rPr>
        <w:t>2016-06-23 ED Foster Care Guidance.pdf</w:t>
      </w:r>
      <w:r w:rsidR="00805EF9">
        <w:rPr>
          <w:rFonts w:ascii="ArialMT" w:hAnsi="ArialMT" w:cs="ArialMT"/>
          <w:sz w:val="20"/>
          <w:szCs w:val="20"/>
        </w:rPr>
        <w:t>)</w:t>
      </w:r>
    </w:p>
    <w:p w14:paraId="2446F9F9" w14:textId="77777777" w:rsidR="007D7DCF" w:rsidRDefault="00974A2A" w:rsidP="00193765">
      <w:pPr>
        <w:pStyle w:val="ListParagraph"/>
        <w:numPr>
          <w:ilvl w:val="0"/>
          <w:numId w:val="8"/>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 xml:space="preserve">November 2016 </w:t>
      </w:r>
      <w:r w:rsidR="00753521">
        <w:rPr>
          <w:rFonts w:ascii="ArialMT" w:hAnsi="ArialMT" w:cs="ArialMT"/>
          <w:sz w:val="20"/>
          <w:szCs w:val="20"/>
        </w:rPr>
        <w:t>–</w:t>
      </w:r>
      <w:r>
        <w:rPr>
          <w:rFonts w:ascii="ArialMT" w:hAnsi="ArialMT" w:cs="ArialMT"/>
          <w:sz w:val="20"/>
          <w:szCs w:val="20"/>
        </w:rPr>
        <w:t xml:space="preserve"> </w:t>
      </w:r>
      <w:r w:rsidR="00753521">
        <w:rPr>
          <w:rFonts w:ascii="ArialMT" w:hAnsi="ArialMT" w:cs="ArialMT"/>
          <w:sz w:val="20"/>
          <w:szCs w:val="20"/>
        </w:rPr>
        <w:t xml:space="preserve">USDOE released </w:t>
      </w:r>
      <w:r w:rsidR="005E0603">
        <w:rPr>
          <w:rFonts w:ascii="ArialMT" w:hAnsi="ArialMT" w:cs="ArialMT"/>
          <w:sz w:val="20"/>
          <w:szCs w:val="20"/>
        </w:rPr>
        <w:t xml:space="preserve">Accountability and State Plan </w:t>
      </w:r>
      <w:r w:rsidR="00753521">
        <w:rPr>
          <w:rFonts w:ascii="ArialMT" w:hAnsi="ArialMT" w:cs="ArialMT"/>
          <w:sz w:val="20"/>
          <w:szCs w:val="20"/>
        </w:rPr>
        <w:t>regulations</w:t>
      </w:r>
    </w:p>
    <w:p w14:paraId="163322C2" w14:textId="77777777" w:rsidR="007D7DCF" w:rsidRDefault="00BE2579" w:rsidP="00193765">
      <w:pPr>
        <w:pStyle w:val="ListParagraph"/>
        <w:numPr>
          <w:ilvl w:val="0"/>
          <w:numId w:val="8"/>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 xml:space="preserve">March </w:t>
      </w:r>
      <w:r w:rsidR="00940EA1">
        <w:rPr>
          <w:rFonts w:ascii="ArialMT" w:hAnsi="ArialMT" w:cs="ArialMT"/>
          <w:sz w:val="20"/>
          <w:szCs w:val="20"/>
        </w:rPr>
        <w:t xml:space="preserve">2017 – </w:t>
      </w:r>
      <w:r w:rsidR="00A91FAF">
        <w:rPr>
          <w:rFonts w:ascii="ArialMT" w:hAnsi="ArialMT" w:cs="ArialMT"/>
          <w:sz w:val="20"/>
          <w:szCs w:val="20"/>
        </w:rPr>
        <w:t>Resolution of disapproval of ESSA Accountability and State Plan regulations</w:t>
      </w:r>
    </w:p>
    <w:p w14:paraId="27E90422" w14:textId="544C1A7A" w:rsidR="00193765" w:rsidRDefault="00A11D3F" w:rsidP="00193765">
      <w:pPr>
        <w:pStyle w:val="ListParagraph"/>
        <w:numPr>
          <w:ilvl w:val="0"/>
          <w:numId w:val="8"/>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 xml:space="preserve">January - </w:t>
      </w:r>
      <w:r w:rsidR="009F4B69">
        <w:rPr>
          <w:rFonts w:ascii="ArialMT" w:hAnsi="ArialMT" w:cs="ArialMT"/>
          <w:sz w:val="20"/>
          <w:szCs w:val="20"/>
        </w:rPr>
        <w:t xml:space="preserve">May 2017 – </w:t>
      </w:r>
      <w:r w:rsidR="00A84D41" w:rsidRPr="00193765">
        <w:rPr>
          <w:rFonts w:ascii="ArialMT" w:hAnsi="ArialMT" w:cs="ArialMT"/>
          <w:sz w:val="20"/>
          <w:szCs w:val="20"/>
        </w:rPr>
        <w:t>ED</w:t>
      </w:r>
      <w:r w:rsidR="00A84D41" w:rsidRPr="00193765">
        <w:rPr>
          <w:rFonts w:ascii="ArialMT" w:hAnsi="ArialMT" w:cs="ArialMT"/>
          <w:i/>
          <w:iCs/>
          <w:sz w:val="20"/>
          <w:szCs w:val="20"/>
        </w:rPr>
        <w:t>Facts</w:t>
      </w:r>
      <w:r w:rsidR="00A84D41" w:rsidRPr="00193765">
        <w:rPr>
          <w:rFonts w:ascii="ArialMT" w:hAnsi="ArialMT" w:cs="ArialMT"/>
          <w:sz w:val="20"/>
          <w:szCs w:val="20"/>
        </w:rPr>
        <w:t xml:space="preserve"> Data Collection School Years 2016-17, 2017-18, and 2018-19</w:t>
      </w:r>
      <w:r w:rsidR="00A84D41">
        <w:rPr>
          <w:rFonts w:ascii="ArialMT" w:hAnsi="ArialMT" w:cs="ArialMT"/>
          <w:sz w:val="20"/>
          <w:szCs w:val="20"/>
        </w:rPr>
        <w:t xml:space="preserve"> request (1850-0925 v.2) </w:t>
      </w:r>
      <w:r w:rsidR="009F4B69">
        <w:rPr>
          <w:rFonts w:ascii="ArialMT" w:hAnsi="ArialMT" w:cs="ArialMT"/>
          <w:sz w:val="20"/>
          <w:szCs w:val="20"/>
        </w:rPr>
        <w:t>revis</w:t>
      </w:r>
      <w:r w:rsidR="008A2011">
        <w:rPr>
          <w:rFonts w:ascii="ArialMT" w:hAnsi="ArialMT" w:cs="ArialMT"/>
          <w:sz w:val="20"/>
          <w:szCs w:val="20"/>
        </w:rPr>
        <w:t>ed</w:t>
      </w:r>
      <w:r w:rsidR="009F4B69">
        <w:rPr>
          <w:rFonts w:ascii="ArialMT" w:hAnsi="ArialMT" w:cs="ArialMT"/>
          <w:sz w:val="20"/>
          <w:szCs w:val="20"/>
        </w:rPr>
        <w:t xml:space="preserve"> to reflect</w:t>
      </w:r>
      <w:r>
        <w:rPr>
          <w:rFonts w:ascii="ArialMT" w:hAnsi="ArialMT" w:cs="ArialMT"/>
          <w:sz w:val="20"/>
          <w:szCs w:val="20"/>
        </w:rPr>
        <w:t xml:space="preserve"> current</w:t>
      </w:r>
      <w:r w:rsidR="009F4B69">
        <w:rPr>
          <w:rFonts w:ascii="ArialMT" w:hAnsi="ArialMT" w:cs="ArialMT"/>
          <w:sz w:val="20"/>
          <w:szCs w:val="20"/>
        </w:rPr>
        <w:t xml:space="preserve"> </w:t>
      </w:r>
      <w:r w:rsidR="00420A65">
        <w:rPr>
          <w:rFonts w:ascii="ArialMT" w:hAnsi="ArialMT" w:cs="ArialMT"/>
          <w:sz w:val="20"/>
          <w:szCs w:val="20"/>
        </w:rPr>
        <w:t>legal and policy decisions</w:t>
      </w:r>
      <w:r>
        <w:rPr>
          <w:rFonts w:ascii="ArialMT" w:hAnsi="ArialMT" w:cs="ArialMT"/>
          <w:sz w:val="20"/>
          <w:szCs w:val="20"/>
        </w:rPr>
        <w:t xml:space="preserve"> about </w:t>
      </w:r>
      <w:r w:rsidR="00DA07AB">
        <w:rPr>
          <w:rFonts w:ascii="ArialMT" w:hAnsi="ArialMT" w:cs="ArialMT"/>
          <w:sz w:val="20"/>
          <w:szCs w:val="20"/>
        </w:rPr>
        <w:t>foster care, military-connectedness, and accountability reporting</w:t>
      </w:r>
    </w:p>
    <w:p w14:paraId="06A08E18" w14:textId="043DAA6D" w:rsidR="00A84D41" w:rsidRDefault="00A84D41" w:rsidP="00193765">
      <w:pPr>
        <w:pStyle w:val="ListParagraph"/>
        <w:numPr>
          <w:ilvl w:val="0"/>
          <w:numId w:val="8"/>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 xml:space="preserve">June 16, 2017, OMB approved the </w:t>
      </w:r>
      <w:r w:rsidRPr="00193765">
        <w:rPr>
          <w:rFonts w:ascii="ArialMT" w:hAnsi="ArialMT" w:cs="ArialMT"/>
          <w:sz w:val="20"/>
          <w:szCs w:val="20"/>
        </w:rPr>
        <w:t>ED</w:t>
      </w:r>
      <w:r w:rsidRPr="00193765">
        <w:rPr>
          <w:rFonts w:ascii="ArialMT" w:hAnsi="ArialMT" w:cs="ArialMT"/>
          <w:i/>
          <w:iCs/>
          <w:sz w:val="20"/>
          <w:szCs w:val="20"/>
        </w:rPr>
        <w:t>Facts</w:t>
      </w:r>
      <w:r w:rsidRPr="00193765">
        <w:rPr>
          <w:rFonts w:ascii="ArialMT" w:hAnsi="ArialMT" w:cs="ArialMT"/>
          <w:sz w:val="20"/>
          <w:szCs w:val="20"/>
        </w:rPr>
        <w:t xml:space="preserve"> Data Collection School Years 2016-17, 2017-18, and 2018-19</w:t>
      </w:r>
      <w:r>
        <w:rPr>
          <w:rFonts w:ascii="ArialMT" w:hAnsi="ArialMT" w:cs="ArialMT"/>
          <w:sz w:val="20"/>
          <w:szCs w:val="20"/>
        </w:rPr>
        <w:t xml:space="preserve"> request (1850-0925 v.2) stipulating the terms of clearance being addressed here</w:t>
      </w:r>
    </w:p>
    <w:p w14:paraId="718798D6" w14:textId="77777777" w:rsidR="00193765" w:rsidRDefault="00924103" w:rsidP="00805EF9">
      <w:pPr>
        <w:keepNext/>
        <w:autoSpaceDE w:val="0"/>
        <w:autoSpaceDN w:val="0"/>
        <w:adjustRightInd w:val="0"/>
        <w:spacing w:after="120" w:line="240" w:lineRule="auto"/>
        <w:rPr>
          <w:rFonts w:ascii="ArialMT" w:hAnsi="ArialMT" w:cs="ArialMT"/>
          <w:b/>
          <w:sz w:val="20"/>
          <w:szCs w:val="20"/>
        </w:rPr>
      </w:pPr>
      <w:r w:rsidRPr="00924103">
        <w:rPr>
          <w:rFonts w:ascii="ArialMT" w:hAnsi="ArialMT" w:cs="ArialMT"/>
          <w:b/>
          <w:sz w:val="20"/>
          <w:szCs w:val="20"/>
        </w:rPr>
        <w:lastRenderedPageBreak/>
        <w:t>Roles:</w:t>
      </w:r>
    </w:p>
    <w:p w14:paraId="500FAE51" w14:textId="0E4FA2D0" w:rsidR="00193765" w:rsidRDefault="00A84D41" w:rsidP="00193765">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Each</w:t>
      </w:r>
      <w:r w:rsidR="00864725">
        <w:rPr>
          <w:rFonts w:ascii="ArialMT" w:hAnsi="ArialMT" w:cs="ArialMT"/>
          <w:sz w:val="20"/>
          <w:szCs w:val="20"/>
        </w:rPr>
        <w:t xml:space="preserve"> ED</w:t>
      </w:r>
      <w:r w:rsidR="00864725" w:rsidRPr="00365A01">
        <w:rPr>
          <w:rFonts w:ascii="ArialMT" w:hAnsi="ArialMT" w:cs="ArialMT"/>
          <w:i/>
          <w:sz w:val="20"/>
          <w:szCs w:val="20"/>
        </w:rPr>
        <w:t>Facts</w:t>
      </w:r>
      <w:r w:rsidR="00864725">
        <w:rPr>
          <w:rFonts w:ascii="ArialMT" w:hAnsi="ArialMT" w:cs="ArialMT"/>
          <w:sz w:val="20"/>
          <w:szCs w:val="20"/>
        </w:rPr>
        <w:t xml:space="preserve"> Information Collection package is developed using a data governance model for administrative data.</w:t>
      </w:r>
      <w:r w:rsidR="00365A01">
        <w:rPr>
          <w:rFonts w:ascii="ArialMT" w:hAnsi="ArialMT" w:cs="ArialMT"/>
          <w:sz w:val="20"/>
          <w:szCs w:val="20"/>
        </w:rPr>
        <w:t xml:space="preserve"> The process includes two distinct roles</w:t>
      </w:r>
      <w:r w:rsidR="00D7334A">
        <w:rPr>
          <w:rFonts w:ascii="ArialMT" w:hAnsi="ArialMT" w:cs="ArialMT"/>
          <w:sz w:val="20"/>
          <w:szCs w:val="20"/>
        </w:rPr>
        <w:t>:</w:t>
      </w:r>
    </w:p>
    <w:p w14:paraId="65E2DBBD" w14:textId="79FF3E8D" w:rsidR="007D7DCF" w:rsidRDefault="00963D6F" w:rsidP="00193765">
      <w:pPr>
        <w:pStyle w:val="ListParagraph"/>
        <w:numPr>
          <w:ilvl w:val="0"/>
          <w:numId w:val="4"/>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Technical role</w:t>
      </w:r>
    </w:p>
    <w:p w14:paraId="7735DA7A" w14:textId="77777777" w:rsidR="007D7DCF" w:rsidRDefault="003C2C40" w:rsidP="00193765">
      <w:pPr>
        <w:pStyle w:val="ListParagraph"/>
        <w:numPr>
          <w:ilvl w:val="1"/>
          <w:numId w:val="4"/>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 xml:space="preserve">The </w:t>
      </w:r>
      <w:r w:rsidR="005E4D41">
        <w:rPr>
          <w:rFonts w:ascii="ArialMT" w:hAnsi="ArialMT" w:cs="ArialMT"/>
          <w:sz w:val="20"/>
          <w:szCs w:val="20"/>
        </w:rPr>
        <w:t>NCES</w:t>
      </w:r>
      <w:r w:rsidR="00D7334A">
        <w:rPr>
          <w:rFonts w:ascii="ArialMT" w:hAnsi="ArialMT" w:cs="ArialMT"/>
          <w:sz w:val="20"/>
          <w:szCs w:val="20"/>
        </w:rPr>
        <w:t xml:space="preserve">, </w:t>
      </w:r>
      <w:r w:rsidR="005E4D41">
        <w:rPr>
          <w:rFonts w:ascii="ArialMT" w:hAnsi="ArialMT" w:cs="ArialMT"/>
          <w:sz w:val="20"/>
          <w:szCs w:val="20"/>
        </w:rPr>
        <w:t>E</w:t>
      </w:r>
      <w:r w:rsidR="00D7334A">
        <w:rPr>
          <w:rFonts w:ascii="ArialMT" w:hAnsi="ArialMT" w:cs="ArialMT"/>
          <w:sz w:val="20"/>
          <w:szCs w:val="20"/>
        </w:rPr>
        <w:t>lementary and Secondary Branch (E</w:t>
      </w:r>
      <w:r w:rsidR="005E4D41">
        <w:rPr>
          <w:rFonts w:ascii="ArialMT" w:hAnsi="ArialMT" w:cs="ArialMT"/>
          <w:sz w:val="20"/>
          <w:szCs w:val="20"/>
        </w:rPr>
        <w:t>SB</w:t>
      </w:r>
      <w:r w:rsidR="00D7334A">
        <w:rPr>
          <w:rFonts w:ascii="ArialMT" w:hAnsi="ArialMT" w:cs="ArialMT"/>
          <w:sz w:val="20"/>
          <w:szCs w:val="20"/>
        </w:rPr>
        <w:t>)</w:t>
      </w:r>
      <w:r w:rsidR="00A40342">
        <w:rPr>
          <w:rFonts w:ascii="ArialMT" w:hAnsi="ArialMT" w:cs="ArialMT"/>
          <w:sz w:val="20"/>
          <w:szCs w:val="20"/>
        </w:rPr>
        <w:t xml:space="preserve"> is res</w:t>
      </w:r>
      <w:r w:rsidR="00D7334A">
        <w:rPr>
          <w:rFonts w:ascii="ArialMT" w:hAnsi="ArialMT" w:cs="ArialMT"/>
          <w:sz w:val="20"/>
          <w:szCs w:val="20"/>
        </w:rPr>
        <w:t>ponsible for</w:t>
      </w:r>
      <w:r w:rsidR="00A40342">
        <w:rPr>
          <w:rFonts w:ascii="ArialMT" w:hAnsi="ArialMT" w:cs="ArialMT"/>
          <w:sz w:val="20"/>
          <w:szCs w:val="20"/>
        </w:rPr>
        <w:t xml:space="preserve"> non-policy decisions related to the collection</w:t>
      </w:r>
      <w:r>
        <w:rPr>
          <w:rFonts w:ascii="ArialMT" w:hAnsi="ArialMT" w:cs="ArialMT"/>
          <w:sz w:val="20"/>
          <w:szCs w:val="20"/>
        </w:rPr>
        <w:t xml:space="preserve"> of Pre-K through 12 data</w:t>
      </w:r>
      <w:r w:rsidR="00A40342">
        <w:rPr>
          <w:rFonts w:ascii="ArialMT" w:hAnsi="ArialMT" w:cs="ArialMT"/>
          <w:sz w:val="20"/>
          <w:szCs w:val="20"/>
        </w:rPr>
        <w:t xml:space="preserve">. ESB uses a standardized process for </w:t>
      </w:r>
      <w:r w:rsidR="00B92BB6">
        <w:rPr>
          <w:rFonts w:ascii="ArialMT" w:hAnsi="ArialMT" w:cs="ArialMT"/>
          <w:sz w:val="20"/>
          <w:szCs w:val="20"/>
        </w:rPr>
        <w:t>identifying</w:t>
      </w:r>
      <w:r w:rsidR="00A40342">
        <w:rPr>
          <w:rFonts w:ascii="ArialMT" w:hAnsi="ArialMT" w:cs="ArialMT"/>
          <w:sz w:val="20"/>
          <w:szCs w:val="20"/>
        </w:rPr>
        <w:t xml:space="preserve"> </w:t>
      </w:r>
      <w:r w:rsidR="002318B2">
        <w:rPr>
          <w:rFonts w:ascii="ArialMT" w:hAnsi="ArialMT" w:cs="ArialMT"/>
          <w:sz w:val="20"/>
          <w:szCs w:val="20"/>
        </w:rPr>
        <w:t xml:space="preserve">reporting requirements from program offices, </w:t>
      </w:r>
      <w:r w:rsidR="006D626A">
        <w:rPr>
          <w:rFonts w:ascii="ArialMT" w:hAnsi="ArialMT" w:cs="ArialMT"/>
          <w:sz w:val="20"/>
          <w:szCs w:val="20"/>
        </w:rPr>
        <w:t>manag</w:t>
      </w:r>
      <w:r>
        <w:rPr>
          <w:rFonts w:ascii="ArialMT" w:hAnsi="ArialMT" w:cs="ArialMT"/>
          <w:sz w:val="20"/>
          <w:szCs w:val="20"/>
        </w:rPr>
        <w:t>ing</w:t>
      </w:r>
      <w:r w:rsidR="006D626A">
        <w:rPr>
          <w:rFonts w:ascii="ArialMT" w:hAnsi="ArialMT" w:cs="ArialMT"/>
          <w:sz w:val="20"/>
          <w:szCs w:val="20"/>
        </w:rPr>
        <w:t xml:space="preserve"> the Information Technology contract used to collect data from grantees, </w:t>
      </w:r>
      <w:r w:rsidR="006C0EB1">
        <w:rPr>
          <w:rFonts w:ascii="ArialMT" w:hAnsi="ArialMT" w:cs="ArialMT"/>
          <w:sz w:val="20"/>
          <w:szCs w:val="20"/>
        </w:rPr>
        <w:t>oversee</w:t>
      </w:r>
      <w:r>
        <w:rPr>
          <w:rFonts w:ascii="ArialMT" w:hAnsi="ArialMT" w:cs="ArialMT"/>
          <w:sz w:val="20"/>
          <w:szCs w:val="20"/>
        </w:rPr>
        <w:t>ing</w:t>
      </w:r>
      <w:r w:rsidR="006C0EB1">
        <w:rPr>
          <w:rFonts w:ascii="ArialMT" w:hAnsi="ArialMT" w:cs="ArialMT"/>
          <w:sz w:val="20"/>
          <w:szCs w:val="20"/>
        </w:rPr>
        <w:t xml:space="preserve"> the data security once data are collected, </w:t>
      </w:r>
      <w:r>
        <w:rPr>
          <w:rFonts w:ascii="ArialMT" w:hAnsi="ArialMT" w:cs="ArialMT"/>
          <w:sz w:val="20"/>
          <w:szCs w:val="20"/>
        </w:rPr>
        <w:t xml:space="preserve">and </w:t>
      </w:r>
      <w:r w:rsidR="006C0EB1">
        <w:rPr>
          <w:rFonts w:ascii="ArialMT" w:hAnsi="ArialMT" w:cs="ArialMT"/>
          <w:sz w:val="20"/>
          <w:szCs w:val="20"/>
        </w:rPr>
        <w:t>ensur</w:t>
      </w:r>
      <w:r>
        <w:rPr>
          <w:rFonts w:ascii="ArialMT" w:hAnsi="ArialMT" w:cs="ArialMT"/>
          <w:sz w:val="20"/>
          <w:szCs w:val="20"/>
        </w:rPr>
        <w:t>ing</w:t>
      </w:r>
      <w:r w:rsidR="006C0EB1">
        <w:rPr>
          <w:rFonts w:ascii="ArialMT" w:hAnsi="ArialMT" w:cs="ArialMT"/>
          <w:sz w:val="20"/>
          <w:szCs w:val="20"/>
        </w:rPr>
        <w:t xml:space="preserve"> USDOE stewards have access to the data once collected</w:t>
      </w:r>
      <w:r w:rsidR="00B92BB6">
        <w:rPr>
          <w:rFonts w:ascii="ArialMT" w:hAnsi="ArialMT" w:cs="ArialMT"/>
          <w:sz w:val="20"/>
          <w:szCs w:val="20"/>
        </w:rPr>
        <w:t>.</w:t>
      </w:r>
    </w:p>
    <w:p w14:paraId="6D5E6844" w14:textId="77777777" w:rsidR="00193765" w:rsidRDefault="00B92BB6" w:rsidP="00193765">
      <w:pPr>
        <w:pStyle w:val="ListParagraph"/>
        <w:numPr>
          <w:ilvl w:val="1"/>
          <w:numId w:val="4"/>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 xml:space="preserve">The technical role </w:t>
      </w:r>
      <w:r w:rsidRPr="00F94B59">
        <w:rPr>
          <w:rFonts w:ascii="ArialMT" w:hAnsi="ArialMT" w:cs="ArialMT"/>
          <w:b/>
          <w:sz w:val="20"/>
          <w:szCs w:val="20"/>
        </w:rPr>
        <w:t>does not</w:t>
      </w:r>
      <w:r>
        <w:rPr>
          <w:rFonts w:ascii="ArialMT" w:hAnsi="ArialMT" w:cs="ArialMT"/>
          <w:sz w:val="20"/>
          <w:szCs w:val="20"/>
        </w:rPr>
        <w:t xml:space="preserve"> in</w:t>
      </w:r>
      <w:r w:rsidR="002B5469">
        <w:rPr>
          <w:rFonts w:ascii="ArialMT" w:hAnsi="ArialMT" w:cs="ArialMT"/>
          <w:sz w:val="20"/>
          <w:szCs w:val="20"/>
        </w:rPr>
        <w:t>volve making, changing, or overriding</w:t>
      </w:r>
      <w:r>
        <w:rPr>
          <w:rFonts w:ascii="ArialMT" w:hAnsi="ArialMT" w:cs="ArialMT"/>
          <w:sz w:val="20"/>
          <w:szCs w:val="20"/>
        </w:rPr>
        <w:t xml:space="preserve"> policy decisions</w:t>
      </w:r>
      <w:r w:rsidR="00F94B59">
        <w:rPr>
          <w:rFonts w:ascii="ArialMT" w:hAnsi="ArialMT" w:cs="ArialMT"/>
          <w:sz w:val="20"/>
          <w:szCs w:val="20"/>
        </w:rPr>
        <w:t xml:space="preserve"> made by data stewards</w:t>
      </w:r>
      <w:r>
        <w:rPr>
          <w:rFonts w:ascii="ArialMT" w:hAnsi="ArialMT" w:cs="ArialMT"/>
          <w:sz w:val="20"/>
          <w:szCs w:val="20"/>
        </w:rPr>
        <w:t>.</w:t>
      </w:r>
    </w:p>
    <w:p w14:paraId="2D3D102D" w14:textId="049F4673" w:rsidR="00F94B59" w:rsidRDefault="00F94B59" w:rsidP="00193765">
      <w:pPr>
        <w:pStyle w:val="ListParagraph"/>
        <w:numPr>
          <w:ilvl w:val="0"/>
          <w:numId w:val="4"/>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Data steward role</w:t>
      </w:r>
    </w:p>
    <w:p w14:paraId="11C36A3D" w14:textId="041F5B64" w:rsidR="006B746B" w:rsidRDefault="00CA4176" w:rsidP="00193765">
      <w:pPr>
        <w:pStyle w:val="ListParagraph"/>
        <w:numPr>
          <w:ilvl w:val="1"/>
          <w:numId w:val="4"/>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 xml:space="preserve">Data stewards are data “owners.” Related to this memo, </w:t>
      </w:r>
      <w:r w:rsidR="005E4D41">
        <w:rPr>
          <w:rFonts w:ascii="ArialMT" w:hAnsi="ArialMT" w:cs="ArialMT"/>
          <w:sz w:val="20"/>
          <w:szCs w:val="20"/>
        </w:rPr>
        <w:t>OESE</w:t>
      </w:r>
      <w:r>
        <w:rPr>
          <w:rFonts w:ascii="ArialMT" w:hAnsi="ArialMT" w:cs="ArialMT"/>
          <w:sz w:val="20"/>
          <w:szCs w:val="20"/>
        </w:rPr>
        <w:t xml:space="preserve"> is the steward of children in foster care, military-connect</w:t>
      </w:r>
      <w:r w:rsidR="00BD608D">
        <w:rPr>
          <w:rFonts w:ascii="ArialMT" w:hAnsi="ArialMT" w:cs="ArialMT"/>
          <w:sz w:val="20"/>
          <w:szCs w:val="20"/>
        </w:rPr>
        <w:t>ed</w:t>
      </w:r>
      <w:r>
        <w:rPr>
          <w:rFonts w:ascii="ArialMT" w:hAnsi="ArialMT" w:cs="ArialMT"/>
          <w:sz w:val="20"/>
          <w:szCs w:val="20"/>
        </w:rPr>
        <w:t>ness, and accountability</w:t>
      </w:r>
      <w:r w:rsidR="00CF4EAB">
        <w:rPr>
          <w:rFonts w:ascii="ArialMT" w:hAnsi="ArialMT" w:cs="ArialMT"/>
          <w:sz w:val="20"/>
          <w:szCs w:val="20"/>
        </w:rPr>
        <w:t xml:space="preserve"> data</w:t>
      </w:r>
      <w:r>
        <w:rPr>
          <w:rFonts w:ascii="ArialMT" w:hAnsi="ArialMT" w:cs="ArialMT"/>
          <w:sz w:val="20"/>
          <w:szCs w:val="20"/>
        </w:rPr>
        <w:t>.</w:t>
      </w:r>
      <w:r w:rsidR="00BD608D">
        <w:rPr>
          <w:rFonts w:ascii="ArialMT" w:hAnsi="ArialMT" w:cs="ArialMT"/>
          <w:sz w:val="20"/>
          <w:szCs w:val="20"/>
        </w:rPr>
        <w:t xml:space="preserve"> </w:t>
      </w:r>
      <w:r w:rsidR="00CF4EAB">
        <w:rPr>
          <w:rFonts w:ascii="ArialMT" w:hAnsi="ArialMT" w:cs="ArialMT"/>
          <w:sz w:val="20"/>
          <w:szCs w:val="20"/>
        </w:rPr>
        <w:t>Data s</w:t>
      </w:r>
      <w:r w:rsidR="00BD608D">
        <w:rPr>
          <w:rFonts w:ascii="ArialMT" w:hAnsi="ArialMT" w:cs="ArialMT"/>
          <w:sz w:val="20"/>
          <w:szCs w:val="20"/>
        </w:rPr>
        <w:t>tewards are responsib</w:t>
      </w:r>
      <w:r w:rsidR="00CF4EAB">
        <w:rPr>
          <w:rFonts w:ascii="ArialMT" w:hAnsi="ArialMT" w:cs="ArialMT"/>
          <w:sz w:val="20"/>
          <w:szCs w:val="20"/>
        </w:rPr>
        <w:t>le</w:t>
      </w:r>
      <w:r w:rsidR="00BD608D">
        <w:rPr>
          <w:rFonts w:ascii="ArialMT" w:hAnsi="ArialMT" w:cs="ArialMT"/>
          <w:sz w:val="20"/>
          <w:szCs w:val="20"/>
        </w:rPr>
        <w:t xml:space="preserve"> for determining reporting requirements, developing regulations and non-regulatory guidance (as needed)</w:t>
      </w:r>
      <w:r w:rsidR="000F5B62">
        <w:rPr>
          <w:rFonts w:ascii="ArialMT" w:hAnsi="ArialMT" w:cs="ArialMT"/>
          <w:sz w:val="20"/>
          <w:szCs w:val="20"/>
        </w:rPr>
        <w:t>, and using the data for monitoring grant implementation</w:t>
      </w:r>
      <w:r w:rsidR="00D33C3F">
        <w:rPr>
          <w:rFonts w:ascii="ArialMT" w:hAnsi="ArialMT" w:cs="ArialMT"/>
          <w:sz w:val="20"/>
          <w:szCs w:val="20"/>
        </w:rPr>
        <w:t>.</w:t>
      </w:r>
    </w:p>
    <w:p w14:paraId="0AB28FEA" w14:textId="77777777" w:rsidR="00193765" w:rsidRDefault="006B746B" w:rsidP="00193765">
      <w:pPr>
        <w:pStyle w:val="ListParagraph"/>
        <w:numPr>
          <w:ilvl w:val="1"/>
          <w:numId w:val="4"/>
        </w:numPr>
        <w:autoSpaceDE w:val="0"/>
        <w:autoSpaceDN w:val="0"/>
        <w:adjustRightInd w:val="0"/>
        <w:spacing w:after="120" w:line="240" w:lineRule="auto"/>
        <w:contextualSpacing w:val="0"/>
        <w:rPr>
          <w:rFonts w:ascii="ArialMT" w:hAnsi="ArialMT" w:cs="ArialMT"/>
          <w:sz w:val="20"/>
          <w:szCs w:val="20"/>
        </w:rPr>
      </w:pPr>
      <w:r>
        <w:rPr>
          <w:rFonts w:ascii="ArialMT" w:hAnsi="ArialMT" w:cs="ArialMT"/>
          <w:sz w:val="20"/>
          <w:szCs w:val="20"/>
        </w:rPr>
        <w:t xml:space="preserve">Data stewards look at data </w:t>
      </w:r>
      <w:r w:rsidR="00665833">
        <w:rPr>
          <w:rFonts w:ascii="ArialMT" w:hAnsi="ArialMT" w:cs="ArialMT"/>
          <w:sz w:val="20"/>
          <w:szCs w:val="20"/>
        </w:rPr>
        <w:t xml:space="preserve">by grantee and by program. </w:t>
      </w:r>
      <w:r w:rsidR="00BB113E">
        <w:rPr>
          <w:rFonts w:ascii="ArialMT" w:hAnsi="ArialMT" w:cs="ArialMT"/>
          <w:sz w:val="20"/>
          <w:szCs w:val="20"/>
        </w:rPr>
        <w:t>The data in ED</w:t>
      </w:r>
      <w:r w:rsidR="00BB113E" w:rsidRPr="00BB113E">
        <w:rPr>
          <w:rFonts w:ascii="ArialMT" w:hAnsi="ArialMT" w:cs="ArialMT"/>
          <w:i/>
          <w:sz w:val="20"/>
          <w:szCs w:val="20"/>
        </w:rPr>
        <w:t>Facts</w:t>
      </w:r>
      <w:r w:rsidR="00BB113E">
        <w:rPr>
          <w:rFonts w:ascii="ArialMT" w:hAnsi="ArialMT" w:cs="ArialMT"/>
          <w:sz w:val="20"/>
          <w:szCs w:val="20"/>
        </w:rPr>
        <w:t xml:space="preserve"> are collected with the primary purpose of meeting </w:t>
      </w:r>
      <w:r w:rsidR="00185EF0">
        <w:rPr>
          <w:rFonts w:ascii="ArialMT" w:hAnsi="ArialMT" w:cs="ArialMT"/>
          <w:sz w:val="20"/>
          <w:szCs w:val="20"/>
        </w:rPr>
        <w:t>formula grant data reporting requirements.</w:t>
      </w:r>
    </w:p>
    <w:p w14:paraId="7F25ACE5" w14:textId="77777777" w:rsidR="00193765" w:rsidRPr="00A84D41" w:rsidRDefault="003719FA" w:rsidP="00193765">
      <w:pPr>
        <w:autoSpaceDE w:val="0"/>
        <w:autoSpaceDN w:val="0"/>
        <w:adjustRightInd w:val="0"/>
        <w:spacing w:after="120" w:line="240" w:lineRule="auto"/>
        <w:rPr>
          <w:rFonts w:ascii="ArialMT" w:hAnsi="ArialMT" w:cs="ArialMT"/>
          <w:b/>
          <w:bCs/>
          <w:color w:val="0000CC"/>
          <w:sz w:val="20"/>
          <w:szCs w:val="20"/>
        </w:rPr>
      </w:pPr>
      <w:r w:rsidRPr="00A84D41">
        <w:rPr>
          <w:rFonts w:ascii="ArialMT" w:hAnsi="ArialMT" w:cs="ArialMT"/>
          <w:b/>
          <w:bCs/>
          <w:color w:val="0000CC"/>
          <w:sz w:val="20"/>
          <w:szCs w:val="20"/>
        </w:rPr>
        <w:t xml:space="preserve">Response to </w:t>
      </w:r>
      <w:r w:rsidR="00D912BF" w:rsidRPr="00A84D41">
        <w:rPr>
          <w:rFonts w:ascii="ArialMT" w:hAnsi="ArialMT" w:cs="ArialMT"/>
          <w:b/>
          <w:bCs/>
          <w:color w:val="0000CC"/>
          <w:sz w:val="20"/>
          <w:szCs w:val="20"/>
        </w:rPr>
        <w:t>OMB about key issues related to utility of information collected</w:t>
      </w:r>
      <w:r w:rsidR="003D4D64" w:rsidRPr="00A84D41">
        <w:rPr>
          <w:rFonts w:ascii="ArialMT" w:hAnsi="ArialMT" w:cs="ArialMT"/>
          <w:b/>
          <w:bCs/>
          <w:color w:val="0000CC"/>
          <w:sz w:val="20"/>
          <w:szCs w:val="20"/>
        </w:rPr>
        <w:t xml:space="preserve"> about children in foster care, military-connectedness, and accountability indicators</w:t>
      </w:r>
      <w:r w:rsidR="00D912BF" w:rsidRPr="00A84D41">
        <w:rPr>
          <w:rFonts w:ascii="ArialMT" w:hAnsi="ArialMT" w:cs="ArialMT"/>
          <w:b/>
          <w:bCs/>
          <w:color w:val="0000CC"/>
          <w:sz w:val="20"/>
          <w:szCs w:val="20"/>
        </w:rPr>
        <w:t>:</w:t>
      </w:r>
    </w:p>
    <w:p w14:paraId="7822019C" w14:textId="77777777" w:rsidR="00193765" w:rsidRPr="00A84D41" w:rsidRDefault="0019589B" w:rsidP="00193765">
      <w:pPr>
        <w:pStyle w:val="ListParagraph"/>
        <w:numPr>
          <w:ilvl w:val="0"/>
          <w:numId w:val="16"/>
        </w:numPr>
        <w:autoSpaceDE w:val="0"/>
        <w:autoSpaceDN w:val="0"/>
        <w:adjustRightInd w:val="0"/>
        <w:spacing w:after="120" w:line="240" w:lineRule="auto"/>
        <w:contextualSpacing w:val="0"/>
        <w:rPr>
          <w:rFonts w:ascii="ArialMT" w:hAnsi="ArialMT" w:cs="ArialMT"/>
          <w:i/>
          <w:color w:val="0000CC"/>
          <w:sz w:val="20"/>
          <w:szCs w:val="20"/>
        </w:rPr>
      </w:pPr>
      <w:r w:rsidRPr="00A84D41">
        <w:rPr>
          <w:rFonts w:ascii="ArialMT" w:hAnsi="ArialMT" w:cs="ArialMT"/>
          <w:i/>
          <w:color w:val="0000CC"/>
          <w:sz w:val="20"/>
          <w:szCs w:val="20"/>
        </w:rPr>
        <w:t>differences in the measurement or definition of these concepts across reporting entities (including discussion of types of data submitted, number of levels for indicators, and variation between states)</w:t>
      </w:r>
      <w:r w:rsidR="002A4B01" w:rsidRPr="00A84D41">
        <w:rPr>
          <w:rFonts w:ascii="ArialMT" w:hAnsi="ArialMT" w:cs="ArialMT"/>
          <w:i/>
          <w:color w:val="0000CC"/>
          <w:sz w:val="20"/>
          <w:szCs w:val="20"/>
        </w:rPr>
        <w:t>.</w:t>
      </w:r>
    </w:p>
    <w:p w14:paraId="09AAB0FC" w14:textId="77777777" w:rsidR="00193765" w:rsidRDefault="00D5148F" w:rsidP="00193765">
      <w:pPr>
        <w:autoSpaceDE w:val="0"/>
        <w:autoSpaceDN w:val="0"/>
        <w:adjustRightInd w:val="0"/>
        <w:spacing w:after="120" w:line="240" w:lineRule="auto"/>
        <w:rPr>
          <w:rFonts w:ascii="ArialMT" w:hAnsi="ArialMT" w:cs="ArialMT"/>
          <w:b/>
          <w:bCs/>
          <w:sz w:val="20"/>
          <w:szCs w:val="20"/>
        </w:rPr>
      </w:pPr>
      <w:r w:rsidRPr="00FD6637">
        <w:rPr>
          <w:rFonts w:ascii="ArialMT" w:hAnsi="ArialMT" w:cs="ArialMT"/>
          <w:b/>
          <w:bCs/>
          <w:sz w:val="20"/>
          <w:szCs w:val="20"/>
        </w:rPr>
        <w:t>Types of data submitted</w:t>
      </w:r>
    </w:p>
    <w:p w14:paraId="3720B931" w14:textId="4BA4BB1A" w:rsidR="00375FE5" w:rsidRPr="00FD6637" w:rsidRDefault="00375FE5" w:rsidP="00193765">
      <w:pPr>
        <w:pStyle w:val="Heading2"/>
        <w:spacing w:before="0" w:after="120" w:line="240" w:lineRule="auto"/>
        <w:rPr>
          <w:rFonts w:ascii="ArialMT" w:hAnsi="ArialMT"/>
        </w:rPr>
      </w:pPr>
      <w:r w:rsidRPr="00FD6637">
        <w:rPr>
          <w:rFonts w:ascii="ArialMT" w:hAnsi="ArialMT"/>
        </w:rPr>
        <w:t>Accountability Data</w:t>
      </w:r>
    </w:p>
    <w:p w14:paraId="66E12D41" w14:textId="77777777" w:rsidR="00193765" w:rsidRDefault="003D66AF" w:rsidP="00193765">
      <w:pPr>
        <w:autoSpaceDE w:val="0"/>
        <w:autoSpaceDN w:val="0"/>
        <w:adjustRightInd w:val="0"/>
        <w:spacing w:after="120" w:line="240" w:lineRule="auto"/>
        <w:rPr>
          <w:rFonts w:ascii="ArialMT" w:hAnsi="ArialMT" w:cs="ArialMT"/>
          <w:sz w:val="20"/>
          <w:szCs w:val="20"/>
        </w:rPr>
      </w:pPr>
      <w:r w:rsidRPr="00FD6637">
        <w:rPr>
          <w:rFonts w:ascii="ArialMT" w:hAnsi="ArialMT" w:cs="ArialMT"/>
          <w:sz w:val="20"/>
          <w:szCs w:val="20"/>
        </w:rPr>
        <w:t xml:space="preserve">There are five </w:t>
      </w:r>
      <w:r w:rsidR="006D1AE2">
        <w:rPr>
          <w:rFonts w:ascii="ArialMT" w:hAnsi="ArialMT" w:cs="ArialMT"/>
          <w:sz w:val="20"/>
          <w:szCs w:val="20"/>
        </w:rPr>
        <w:t>D</w:t>
      </w:r>
      <w:r w:rsidRPr="00FD6637">
        <w:rPr>
          <w:rFonts w:ascii="ArialMT" w:hAnsi="ArialMT" w:cs="ArialMT"/>
          <w:sz w:val="20"/>
          <w:szCs w:val="20"/>
        </w:rPr>
        <w:t xml:space="preserve">ata </w:t>
      </w:r>
      <w:r w:rsidR="006D1AE2">
        <w:rPr>
          <w:rFonts w:ascii="ArialMT" w:hAnsi="ArialMT" w:cs="ArialMT"/>
          <w:sz w:val="20"/>
          <w:szCs w:val="20"/>
        </w:rPr>
        <w:t>G</w:t>
      </w:r>
      <w:r w:rsidRPr="00FD6637">
        <w:rPr>
          <w:rFonts w:ascii="ArialMT" w:hAnsi="ArialMT" w:cs="ArialMT"/>
          <w:sz w:val="20"/>
          <w:szCs w:val="20"/>
        </w:rPr>
        <w:t>roups collecting accountability indicator data (see Table 1)</w:t>
      </w:r>
      <w:r w:rsidR="00375FE5" w:rsidRPr="00B2471D">
        <w:rPr>
          <w:rFonts w:ascii="ArialMT" w:hAnsi="ArialMT" w:cs="ArialMT"/>
          <w:sz w:val="20"/>
          <w:szCs w:val="20"/>
        </w:rPr>
        <w:t>.</w:t>
      </w:r>
    </w:p>
    <w:p w14:paraId="24E8B805" w14:textId="74547388" w:rsidR="00375FE5" w:rsidRPr="00FD6637" w:rsidRDefault="00375FE5" w:rsidP="00193765">
      <w:pPr>
        <w:pStyle w:val="Caption"/>
        <w:keepNext/>
        <w:spacing w:before="240" w:after="60"/>
        <w:rPr>
          <w:rFonts w:ascii="ArialMT" w:hAnsi="ArialMT"/>
          <w:b/>
          <w:bCs/>
        </w:rPr>
      </w:pPr>
      <w:r w:rsidRPr="00FD6637">
        <w:rPr>
          <w:rFonts w:ascii="ArialMT" w:hAnsi="ArialMT"/>
          <w:b/>
          <w:bCs/>
          <w:sz w:val="22"/>
          <w:szCs w:val="22"/>
        </w:rPr>
        <w:t xml:space="preserve">Table </w:t>
      </w:r>
      <w:r w:rsidRPr="00FD6637">
        <w:rPr>
          <w:rFonts w:ascii="ArialMT" w:hAnsi="ArialMT"/>
          <w:b/>
          <w:bCs/>
          <w:sz w:val="22"/>
          <w:szCs w:val="22"/>
        </w:rPr>
        <w:fldChar w:fldCharType="begin"/>
      </w:r>
      <w:r w:rsidRPr="00FD6637">
        <w:rPr>
          <w:rFonts w:ascii="ArialMT" w:hAnsi="ArialMT"/>
          <w:b/>
          <w:bCs/>
          <w:sz w:val="22"/>
          <w:szCs w:val="22"/>
        </w:rPr>
        <w:instrText xml:space="preserve"> SEQ Table \* ARABIC </w:instrText>
      </w:r>
      <w:r w:rsidRPr="00FD6637">
        <w:rPr>
          <w:rFonts w:ascii="ArialMT" w:hAnsi="ArialMT"/>
          <w:b/>
          <w:bCs/>
          <w:sz w:val="22"/>
          <w:szCs w:val="22"/>
        </w:rPr>
        <w:fldChar w:fldCharType="separate"/>
      </w:r>
      <w:r w:rsidRPr="00FD6637">
        <w:rPr>
          <w:rFonts w:ascii="ArialMT" w:hAnsi="ArialMT"/>
          <w:b/>
          <w:bCs/>
          <w:noProof/>
          <w:sz w:val="22"/>
          <w:szCs w:val="22"/>
        </w:rPr>
        <w:t>1</w:t>
      </w:r>
      <w:r w:rsidRPr="00FD6637">
        <w:rPr>
          <w:rFonts w:ascii="ArialMT" w:hAnsi="ArialMT"/>
          <w:b/>
          <w:bCs/>
          <w:sz w:val="22"/>
          <w:szCs w:val="22"/>
        </w:rPr>
        <w:fldChar w:fldCharType="end"/>
      </w:r>
      <w:r w:rsidR="00B2471D">
        <w:rPr>
          <w:rFonts w:ascii="ArialMT" w:hAnsi="ArialMT"/>
          <w:b/>
          <w:bCs/>
          <w:sz w:val="22"/>
          <w:szCs w:val="22"/>
        </w:rPr>
        <w:t>.</w:t>
      </w:r>
      <w:r w:rsidRPr="00FD6637">
        <w:rPr>
          <w:rFonts w:ascii="ArialMT" w:hAnsi="ArialMT"/>
          <w:b/>
          <w:bCs/>
          <w:sz w:val="22"/>
          <w:szCs w:val="22"/>
        </w:rPr>
        <w:t xml:space="preserve"> EDFacts Accountability Data (SY 2018-19)</w:t>
      </w:r>
    </w:p>
    <w:tbl>
      <w:tblPr>
        <w:tblStyle w:val="TableGrid"/>
        <w:tblW w:w="0" w:type="auto"/>
        <w:tblLook w:val="04A0" w:firstRow="1" w:lastRow="0" w:firstColumn="1" w:lastColumn="0" w:noHBand="0" w:noVBand="1"/>
      </w:tblPr>
      <w:tblGrid>
        <w:gridCol w:w="2695"/>
        <w:gridCol w:w="3240"/>
        <w:gridCol w:w="4567"/>
      </w:tblGrid>
      <w:tr w:rsidR="002A4B01" w:rsidRPr="00B2471D" w14:paraId="5D912FA7" w14:textId="77777777" w:rsidTr="00785952">
        <w:trPr>
          <w:trHeight w:val="144"/>
          <w:tblHeader/>
        </w:trPr>
        <w:tc>
          <w:tcPr>
            <w:tcW w:w="2695" w:type="dxa"/>
            <w:vAlign w:val="center"/>
          </w:tcPr>
          <w:p w14:paraId="396F7838" w14:textId="59E5D802" w:rsidR="002A4B01" w:rsidRPr="00FD6637" w:rsidRDefault="002A4B01" w:rsidP="00785952">
            <w:pPr>
              <w:autoSpaceDE w:val="0"/>
              <w:autoSpaceDN w:val="0"/>
              <w:adjustRightInd w:val="0"/>
              <w:jc w:val="center"/>
              <w:rPr>
                <w:rFonts w:ascii="ArialMT" w:hAnsi="ArialMT" w:cs="Arial"/>
                <w:sz w:val="20"/>
                <w:szCs w:val="20"/>
              </w:rPr>
            </w:pPr>
            <w:r w:rsidRPr="00FD6637">
              <w:rPr>
                <w:rFonts w:ascii="ArialMT" w:hAnsi="ArialMT" w:cs="Arial"/>
                <w:b/>
                <w:bCs/>
                <w:color w:val="000000"/>
                <w:sz w:val="20"/>
                <w:szCs w:val="20"/>
              </w:rPr>
              <w:t>Name</w:t>
            </w:r>
          </w:p>
        </w:tc>
        <w:tc>
          <w:tcPr>
            <w:tcW w:w="3240" w:type="dxa"/>
            <w:vAlign w:val="center"/>
          </w:tcPr>
          <w:p w14:paraId="2BE6F675" w14:textId="619CA921" w:rsidR="002A4B01" w:rsidRPr="00FD6637" w:rsidRDefault="002A4B01" w:rsidP="00785952">
            <w:pPr>
              <w:autoSpaceDE w:val="0"/>
              <w:autoSpaceDN w:val="0"/>
              <w:adjustRightInd w:val="0"/>
              <w:jc w:val="center"/>
              <w:rPr>
                <w:rFonts w:ascii="ArialMT" w:hAnsi="ArialMT" w:cs="Arial"/>
                <w:sz w:val="20"/>
                <w:szCs w:val="20"/>
              </w:rPr>
            </w:pPr>
            <w:r w:rsidRPr="00FD6637">
              <w:rPr>
                <w:rFonts w:ascii="ArialMT" w:hAnsi="ArialMT" w:cs="Arial"/>
                <w:b/>
                <w:bCs/>
                <w:color w:val="000000"/>
                <w:sz w:val="20"/>
                <w:szCs w:val="20"/>
              </w:rPr>
              <w:t>Definition</w:t>
            </w:r>
          </w:p>
        </w:tc>
        <w:tc>
          <w:tcPr>
            <w:tcW w:w="4567" w:type="dxa"/>
            <w:vAlign w:val="center"/>
          </w:tcPr>
          <w:p w14:paraId="7D4BBCA6" w14:textId="77777777" w:rsidR="002A4B01" w:rsidRPr="00FD6637" w:rsidRDefault="002A4B01" w:rsidP="00785952">
            <w:pPr>
              <w:autoSpaceDE w:val="0"/>
              <w:autoSpaceDN w:val="0"/>
              <w:adjustRightInd w:val="0"/>
              <w:jc w:val="center"/>
              <w:rPr>
                <w:rFonts w:ascii="ArialMT" w:hAnsi="ArialMT" w:cs="Arial"/>
                <w:sz w:val="20"/>
                <w:szCs w:val="20"/>
              </w:rPr>
            </w:pPr>
            <w:r w:rsidRPr="00FD6637">
              <w:rPr>
                <w:rFonts w:ascii="ArialMT" w:hAnsi="ArialMT" w:cs="Arial"/>
                <w:b/>
                <w:bCs/>
                <w:color w:val="000000"/>
                <w:sz w:val="20"/>
                <w:szCs w:val="20"/>
              </w:rPr>
              <w:t>What schools must be reported in this file?</w:t>
            </w:r>
          </w:p>
        </w:tc>
      </w:tr>
      <w:tr w:rsidR="002A4B01" w:rsidRPr="00B2471D" w14:paraId="4564D2B0" w14:textId="77777777" w:rsidTr="00785952">
        <w:trPr>
          <w:trHeight w:val="144"/>
        </w:trPr>
        <w:tc>
          <w:tcPr>
            <w:tcW w:w="2695" w:type="dxa"/>
            <w:vAlign w:val="center"/>
          </w:tcPr>
          <w:p w14:paraId="513AB839"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Graduation Rate Indicator Status</w:t>
            </w:r>
          </w:p>
        </w:tc>
        <w:tc>
          <w:tcPr>
            <w:tcW w:w="3240" w:type="dxa"/>
            <w:vAlign w:val="center"/>
          </w:tcPr>
          <w:p w14:paraId="433572CC"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A school's performance on the graduation rate indicator.</w:t>
            </w:r>
          </w:p>
        </w:tc>
        <w:tc>
          <w:tcPr>
            <w:tcW w:w="4567" w:type="dxa"/>
            <w:vAlign w:val="center"/>
          </w:tcPr>
          <w:p w14:paraId="323C10FF" w14:textId="5211401D"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States must report on all schools included within their accountability system. When reporting on the graduation rate indicator, states should only include high schools that have a 12th grade.</w:t>
            </w:r>
          </w:p>
        </w:tc>
      </w:tr>
      <w:tr w:rsidR="002A4B01" w:rsidRPr="00B2471D" w14:paraId="7D87B659" w14:textId="77777777" w:rsidTr="00785952">
        <w:trPr>
          <w:trHeight w:val="144"/>
        </w:trPr>
        <w:tc>
          <w:tcPr>
            <w:tcW w:w="2695" w:type="dxa"/>
            <w:vAlign w:val="center"/>
          </w:tcPr>
          <w:p w14:paraId="662CC2C7"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Academic Achievement Indicator Status</w:t>
            </w:r>
          </w:p>
        </w:tc>
        <w:tc>
          <w:tcPr>
            <w:tcW w:w="3240" w:type="dxa"/>
            <w:vAlign w:val="center"/>
          </w:tcPr>
          <w:p w14:paraId="3405472A"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A school's performance on the academic achievement indicator for both mathematics and reading/language arts.</w:t>
            </w:r>
          </w:p>
        </w:tc>
        <w:tc>
          <w:tcPr>
            <w:tcW w:w="4567" w:type="dxa"/>
            <w:vAlign w:val="center"/>
          </w:tcPr>
          <w:p w14:paraId="0037F391"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bCs/>
                <w:color w:val="000000"/>
                <w:sz w:val="20"/>
                <w:szCs w:val="20"/>
              </w:rPr>
              <w:t xml:space="preserve">States must report on all schools included within their accountability system. </w:t>
            </w:r>
          </w:p>
        </w:tc>
      </w:tr>
      <w:tr w:rsidR="002A4B01" w:rsidRPr="00B2471D" w14:paraId="6A2A145F" w14:textId="77777777" w:rsidTr="00785952">
        <w:trPr>
          <w:trHeight w:val="144"/>
        </w:trPr>
        <w:tc>
          <w:tcPr>
            <w:tcW w:w="2695" w:type="dxa"/>
            <w:vAlign w:val="center"/>
          </w:tcPr>
          <w:p w14:paraId="659F4021"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Other Academic Indicator Status</w:t>
            </w:r>
          </w:p>
        </w:tc>
        <w:tc>
          <w:tcPr>
            <w:tcW w:w="3240" w:type="dxa"/>
            <w:vAlign w:val="center"/>
          </w:tcPr>
          <w:p w14:paraId="4429A38B"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A school’s performance on the other academic indicator.</w:t>
            </w:r>
          </w:p>
        </w:tc>
        <w:tc>
          <w:tcPr>
            <w:tcW w:w="4567" w:type="dxa"/>
            <w:vAlign w:val="center"/>
          </w:tcPr>
          <w:p w14:paraId="57260F69" w14:textId="68A8C905"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States must report on all schools included within their accountability system. When reporting on the other academic indicator, states should only include elementary schools and secondary schools that are not high schools. </w:t>
            </w:r>
          </w:p>
        </w:tc>
      </w:tr>
      <w:tr w:rsidR="002A4B01" w:rsidRPr="00B2471D" w14:paraId="0D39BF17" w14:textId="77777777" w:rsidTr="00785952">
        <w:trPr>
          <w:trHeight w:val="144"/>
        </w:trPr>
        <w:tc>
          <w:tcPr>
            <w:tcW w:w="2695" w:type="dxa"/>
            <w:vAlign w:val="center"/>
          </w:tcPr>
          <w:p w14:paraId="534A861D"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School Quality or Student Success Indicator Status</w:t>
            </w:r>
          </w:p>
        </w:tc>
        <w:tc>
          <w:tcPr>
            <w:tcW w:w="3240" w:type="dxa"/>
            <w:vAlign w:val="center"/>
          </w:tcPr>
          <w:p w14:paraId="072579FA"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A school's performance on the state-specific indicators of school quality or student success.</w:t>
            </w:r>
          </w:p>
        </w:tc>
        <w:tc>
          <w:tcPr>
            <w:tcW w:w="4567" w:type="dxa"/>
            <w:vAlign w:val="center"/>
          </w:tcPr>
          <w:p w14:paraId="7A1831C1"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States must report on all schools included within their accountability system. </w:t>
            </w:r>
          </w:p>
        </w:tc>
      </w:tr>
      <w:tr w:rsidR="002A4B01" w:rsidRPr="00B2471D" w14:paraId="149B4C9D" w14:textId="77777777" w:rsidTr="00785952">
        <w:trPr>
          <w:trHeight w:val="144"/>
        </w:trPr>
        <w:tc>
          <w:tcPr>
            <w:tcW w:w="2695" w:type="dxa"/>
            <w:vAlign w:val="center"/>
          </w:tcPr>
          <w:p w14:paraId="5994B40D"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Progress Achieving English Language Proficiency Indicator Status</w:t>
            </w:r>
          </w:p>
        </w:tc>
        <w:tc>
          <w:tcPr>
            <w:tcW w:w="3240" w:type="dxa"/>
            <w:vAlign w:val="center"/>
          </w:tcPr>
          <w:p w14:paraId="2940F492"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color w:val="000000"/>
                <w:sz w:val="20"/>
                <w:szCs w:val="20"/>
              </w:rPr>
              <w:t>A school's performance on the progress in achieving English Language proficiency indicator.</w:t>
            </w:r>
          </w:p>
        </w:tc>
        <w:tc>
          <w:tcPr>
            <w:tcW w:w="4567" w:type="dxa"/>
            <w:vAlign w:val="center"/>
          </w:tcPr>
          <w:p w14:paraId="025511DF" w14:textId="77777777" w:rsidR="002A4B01" w:rsidRPr="00FD6637" w:rsidRDefault="002A4B01" w:rsidP="00EB75F3">
            <w:pPr>
              <w:autoSpaceDE w:val="0"/>
              <w:autoSpaceDN w:val="0"/>
              <w:adjustRightInd w:val="0"/>
              <w:rPr>
                <w:rFonts w:ascii="ArialMT" w:hAnsi="ArialMT" w:cs="Arial"/>
                <w:sz w:val="20"/>
                <w:szCs w:val="20"/>
              </w:rPr>
            </w:pPr>
            <w:r w:rsidRPr="00FD6637">
              <w:rPr>
                <w:rFonts w:ascii="ArialMT" w:hAnsi="ArialMT" w:cs="Arial"/>
                <w:bCs/>
                <w:color w:val="000000"/>
                <w:sz w:val="20"/>
                <w:szCs w:val="20"/>
              </w:rPr>
              <w:t xml:space="preserve">States must report on all schools included within their accountability system that have English learners enrolled as of the reporting year. </w:t>
            </w:r>
          </w:p>
        </w:tc>
      </w:tr>
    </w:tbl>
    <w:p w14:paraId="31C880E2" w14:textId="74052428" w:rsidR="00375FE5" w:rsidRPr="00B2471D" w:rsidRDefault="00375FE5" w:rsidP="00FD6637">
      <w:pPr>
        <w:autoSpaceDE w:val="0"/>
        <w:autoSpaceDN w:val="0"/>
        <w:adjustRightInd w:val="0"/>
        <w:spacing w:after="0" w:line="240" w:lineRule="auto"/>
        <w:rPr>
          <w:rFonts w:ascii="ArialMT" w:hAnsi="ArialMT" w:cs="ArialMT"/>
          <w:b/>
          <w:bCs/>
          <w:highlight w:val="yellow"/>
        </w:rPr>
      </w:pPr>
    </w:p>
    <w:p w14:paraId="04D254D6" w14:textId="1AFD9414" w:rsidR="008E085E" w:rsidRDefault="002A4B01" w:rsidP="00193765">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 xml:space="preserve">These </w:t>
      </w:r>
      <w:r w:rsidR="008E085E">
        <w:rPr>
          <w:rFonts w:ascii="ArialMT" w:hAnsi="ArialMT" w:cs="ArialMT"/>
          <w:sz w:val="20"/>
          <w:szCs w:val="20"/>
        </w:rPr>
        <w:t>Data Groups</w:t>
      </w:r>
      <w:r w:rsidR="00375FE5" w:rsidRPr="00B2471D">
        <w:rPr>
          <w:rFonts w:ascii="ArialMT" w:hAnsi="ArialMT" w:cs="ArialMT"/>
          <w:sz w:val="20"/>
          <w:szCs w:val="20"/>
        </w:rPr>
        <w:t xml:space="preserve"> collect a status for the entire education unit (school) as well as for other racial/ethnic and other populations with the school. In its first year of collection, states submitted a range of values, reflecting each state’s individual approach to collecting and determining values for accountability. The accountability indicators analysis in Table 2 is based on </w:t>
      </w:r>
      <w:r w:rsidR="008E085E">
        <w:rPr>
          <w:rFonts w:ascii="ArialMT" w:hAnsi="ArialMT" w:cs="ArialMT"/>
          <w:sz w:val="20"/>
          <w:szCs w:val="20"/>
        </w:rPr>
        <w:t>State submissions.</w:t>
      </w:r>
    </w:p>
    <w:p w14:paraId="7546003D" w14:textId="77777777" w:rsidR="007D7DCF" w:rsidRDefault="00375FE5" w:rsidP="00193765">
      <w:pPr>
        <w:autoSpaceDE w:val="0"/>
        <w:autoSpaceDN w:val="0"/>
        <w:adjustRightInd w:val="0"/>
        <w:spacing w:after="120" w:line="240" w:lineRule="auto"/>
        <w:rPr>
          <w:rFonts w:ascii="ArialMT" w:hAnsi="ArialMT" w:cs="ArialMT"/>
          <w:sz w:val="20"/>
          <w:szCs w:val="20"/>
        </w:rPr>
      </w:pPr>
      <w:r w:rsidRPr="00B2471D">
        <w:rPr>
          <w:rFonts w:ascii="ArialMT" w:hAnsi="ArialMT" w:cs="ArialMT"/>
          <w:sz w:val="20"/>
          <w:szCs w:val="20"/>
        </w:rPr>
        <w:t>State submissions can be broken into the following types of indicators:</w:t>
      </w:r>
    </w:p>
    <w:p w14:paraId="2F3767BA" w14:textId="39866E66" w:rsidR="00375FE5" w:rsidRPr="00FD6637" w:rsidRDefault="00375FE5" w:rsidP="00193765">
      <w:pPr>
        <w:pStyle w:val="ListParagraph"/>
        <w:numPr>
          <w:ilvl w:val="0"/>
          <w:numId w:val="13"/>
        </w:numPr>
        <w:autoSpaceDE w:val="0"/>
        <w:autoSpaceDN w:val="0"/>
        <w:adjustRightInd w:val="0"/>
        <w:spacing w:after="120" w:line="240" w:lineRule="auto"/>
        <w:contextualSpacing w:val="0"/>
        <w:rPr>
          <w:rFonts w:ascii="ArialMT" w:hAnsi="ArialMT" w:cs="ArialMT"/>
          <w:sz w:val="20"/>
          <w:szCs w:val="20"/>
        </w:rPr>
      </w:pPr>
      <w:r w:rsidRPr="00FD6637">
        <w:rPr>
          <w:rFonts w:ascii="ArialMT" w:hAnsi="ArialMT" w:cs="ArialMT"/>
          <w:b/>
          <w:bCs/>
          <w:i/>
          <w:iCs/>
          <w:sz w:val="20"/>
          <w:szCs w:val="20"/>
        </w:rPr>
        <w:t>Categorical/Levels</w:t>
      </w:r>
      <w:r w:rsidRPr="00FD6637">
        <w:rPr>
          <w:rFonts w:ascii="ArialMT" w:hAnsi="ArialMT" w:cs="ArialMT"/>
          <w:sz w:val="20"/>
          <w:szCs w:val="20"/>
        </w:rPr>
        <w:t xml:space="preserve"> </w:t>
      </w:r>
      <w:r w:rsidR="00523ECC">
        <w:rPr>
          <w:rFonts w:ascii="ArialMT" w:hAnsi="ArialMT" w:cs="ArialMT"/>
          <w:sz w:val="20"/>
          <w:szCs w:val="20"/>
        </w:rPr>
        <w:t>–</w:t>
      </w:r>
      <w:r w:rsidRPr="00FD6637">
        <w:rPr>
          <w:rFonts w:ascii="ArialMT" w:hAnsi="ArialMT" w:cs="ArialMT"/>
          <w:sz w:val="20"/>
          <w:szCs w:val="20"/>
        </w:rPr>
        <w:t xml:space="preserve"> State</w:t>
      </w:r>
      <w:r w:rsidR="00523ECC">
        <w:rPr>
          <w:rFonts w:ascii="ArialMT" w:hAnsi="ArialMT" w:cs="ArialMT"/>
          <w:sz w:val="20"/>
          <w:szCs w:val="20"/>
        </w:rPr>
        <w:t xml:space="preserve"> </w:t>
      </w:r>
      <w:r w:rsidRPr="00FD6637">
        <w:rPr>
          <w:rFonts w:ascii="ArialMT" w:hAnsi="ArialMT" w:cs="ArialMT"/>
          <w:sz w:val="20"/>
          <w:szCs w:val="20"/>
        </w:rPr>
        <w:t>submitted discrete levels/categories, e.g. Red/Yellow/Blue or 1/2/3, Good/Fair/Poor</w:t>
      </w:r>
    </w:p>
    <w:p w14:paraId="7B9310E3" w14:textId="18893E7B" w:rsidR="00375FE5" w:rsidRPr="00B2471D" w:rsidRDefault="00375FE5" w:rsidP="00193765">
      <w:pPr>
        <w:pStyle w:val="ListParagraph"/>
        <w:numPr>
          <w:ilvl w:val="0"/>
          <w:numId w:val="12"/>
        </w:numPr>
        <w:autoSpaceDE w:val="0"/>
        <w:autoSpaceDN w:val="0"/>
        <w:adjustRightInd w:val="0"/>
        <w:spacing w:after="120" w:line="240" w:lineRule="auto"/>
        <w:contextualSpacing w:val="0"/>
        <w:rPr>
          <w:rFonts w:ascii="ArialMT" w:hAnsi="ArialMT" w:cs="ArialMT"/>
          <w:sz w:val="20"/>
          <w:szCs w:val="20"/>
        </w:rPr>
      </w:pPr>
      <w:r w:rsidRPr="00FD6637">
        <w:rPr>
          <w:rFonts w:ascii="ArialMT" w:hAnsi="ArialMT" w:cs="ArialMT"/>
          <w:b/>
          <w:bCs/>
          <w:i/>
          <w:iCs/>
          <w:sz w:val="20"/>
          <w:szCs w:val="20"/>
        </w:rPr>
        <w:t>Numeric</w:t>
      </w:r>
      <w:r w:rsidRPr="00B2471D">
        <w:rPr>
          <w:rFonts w:ascii="ArialMT" w:hAnsi="ArialMT" w:cs="ArialMT"/>
          <w:sz w:val="20"/>
          <w:szCs w:val="20"/>
        </w:rPr>
        <w:t xml:space="preserve"> </w:t>
      </w:r>
      <w:r w:rsidR="00523ECC">
        <w:rPr>
          <w:rFonts w:ascii="ArialMT" w:hAnsi="ArialMT" w:cs="ArialMT"/>
          <w:sz w:val="20"/>
          <w:szCs w:val="20"/>
        </w:rPr>
        <w:t>–</w:t>
      </w:r>
      <w:r w:rsidRPr="00B2471D">
        <w:rPr>
          <w:rFonts w:ascii="ArialMT" w:hAnsi="ArialMT" w:cs="ArialMT"/>
          <w:sz w:val="20"/>
          <w:szCs w:val="20"/>
        </w:rPr>
        <w:t xml:space="preserve"> State</w:t>
      </w:r>
      <w:r w:rsidR="00523ECC">
        <w:rPr>
          <w:rFonts w:ascii="ArialMT" w:hAnsi="ArialMT" w:cs="ArialMT"/>
          <w:sz w:val="20"/>
          <w:szCs w:val="20"/>
        </w:rPr>
        <w:t xml:space="preserve"> </w:t>
      </w:r>
      <w:r w:rsidRPr="00B2471D">
        <w:rPr>
          <w:rFonts w:ascii="ArialMT" w:hAnsi="ArialMT" w:cs="ArialMT"/>
          <w:sz w:val="20"/>
          <w:szCs w:val="20"/>
        </w:rPr>
        <w:t>submitted score or aggregation of multiple indicators, usually represented as a percent value</w:t>
      </w:r>
    </w:p>
    <w:p w14:paraId="53FBD381" w14:textId="0A314897" w:rsidR="00375FE5" w:rsidRPr="00B2471D" w:rsidRDefault="00375FE5" w:rsidP="00193765">
      <w:pPr>
        <w:pStyle w:val="ListParagraph"/>
        <w:numPr>
          <w:ilvl w:val="0"/>
          <w:numId w:val="12"/>
        </w:numPr>
        <w:autoSpaceDE w:val="0"/>
        <w:autoSpaceDN w:val="0"/>
        <w:adjustRightInd w:val="0"/>
        <w:spacing w:after="120" w:line="240" w:lineRule="auto"/>
        <w:contextualSpacing w:val="0"/>
        <w:rPr>
          <w:rFonts w:ascii="ArialMT" w:hAnsi="ArialMT" w:cs="ArialMT"/>
          <w:sz w:val="20"/>
          <w:szCs w:val="20"/>
        </w:rPr>
      </w:pPr>
      <w:r w:rsidRPr="00FD6637">
        <w:rPr>
          <w:rFonts w:ascii="ArialMT" w:hAnsi="ArialMT" w:cs="ArialMT"/>
          <w:b/>
          <w:bCs/>
          <w:i/>
          <w:iCs/>
          <w:sz w:val="20"/>
          <w:szCs w:val="20"/>
        </w:rPr>
        <w:t>Composite</w:t>
      </w:r>
      <w:r w:rsidRPr="00B2471D">
        <w:rPr>
          <w:rFonts w:ascii="ArialMT" w:hAnsi="ArialMT" w:cs="ArialMT"/>
          <w:sz w:val="20"/>
          <w:szCs w:val="20"/>
        </w:rPr>
        <w:t xml:space="preserve"> </w:t>
      </w:r>
      <w:r w:rsidR="00523ECC">
        <w:rPr>
          <w:rFonts w:ascii="ArialMT" w:hAnsi="ArialMT" w:cs="ArialMT"/>
          <w:sz w:val="20"/>
          <w:szCs w:val="20"/>
        </w:rPr>
        <w:t>–</w:t>
      </w:r>
      <w:r w:rsidRPr="00B2471D">
        <w:rPr>
          <w:rFonts w:ascii="ArialMT" w:hAnsi="ArialMT" w:cs="ArialMT"/>
          <w:sz w:val="20"/>
          <w:szCs w:val="20"/>
        </w:rPr>
        <w:t xml:space="preserve"> State</w:t>
      </w:r>
      <w:r w:rsidR="00523ECC">
        <w:rPr>
          <w:rFonts w:ascii="ArialMT" w:hAnsi="ArialMT" w:cs="ArialMT"/>
          <w:sz w:val="20"/>
          <w:szCs w:val="20"/>
        </w:rPr>
        <w:t xml:space="preserve"> </w:t>
      </w:r>
      <w:r w:rsidRPr="00B2471D">
        <w:rPr>
          <w:rFonts w:ascii="ArialMT" w:hAnsi="ArialMT" w:cs="ArialMT"/>
          <w:sz w:val="20"/>
          <w:szCs w:val="20"/>
        </w:rPr>
        <w:t>submitted values within a single field for multiple indicators, e.g. a single field containing separate status values for Reading/Language Arts and Mathematics indicators</w:t>
      </w:r>
    </w:p>
    <w:p w14:paraId="7D9C13B8" w14:textId="77777777" w:rsidR="007D7DCF" w:rsidRDefault="00375FE5" w:rsidP="00193765">
      <w:pPr>
        <w:pStyle w:val="ListParagraph"/>
        <w:numPr>
          <w:ilvl w:val="0"/>
          <w:numId w:val="12"/>
        </w:numPr>
        <w:autoSpaceDE w:val="0"/>
        <w:autoSpaceDN w:val="0"/>
        <w:adjustRightInd w:val="0"/>
        <w:spacing w:after="120" w:line="240" w:lineRule="auto"/>
        <w:contextualSpacing w:val="0"/>
        <w:rPr>
          <w:rFonts w:ascii="ArialMT" w:hAnsi="ArialMT" w:cs="ArialMT"/>
          <w:sz w:val="20"/>
          <w:szCs w:val="20"/>
        </w:rPr>
      </w:pPr>
      <w:r w:rsidRPr="00FD6637">
        <w:rPr>
          <w:rFonts w:ascii="ArialMT" w:hAnsi="ArialMT" w:cs="ArialMT"/>
          <w:b/>
          <w:bCs/>
          <w:i/>
          <w:iCs/>
          <w:sz w:val="20"/>
          <w:szCs w:val="20"/>
        </w:rPr>
        <w:t>NA</w:t>
      </w:r>
      <w:r w:rsidR="00523ECC">
        <w:rPr>
          <w:rFonts w:ascii="ArialMT" w:hAnsi="ArialMT" w:cs="ArialMT"/>
          <w:sz w:val="20"/>
          <w:szCs w:val="20"/>
        </w:rPr>
        <w:t xml:space="preserve"> – State submitted v</w:t>
      </w:r>
      <w:r w:rsidRPr="00B2471D">
        <w:rPr>
          <w:rFonts w:ascii="ArialMT" w:hAnsi="ArialMT" w:cs="ArialMT"/>
          <w:sz w:val="20"/>
          <w:szCs w:val="20"/>
        </w:rPr>
        <w:t>alues</w:t>
      </w:r>
      <w:r w:rsidR="00523ECC">
        <w:rPr>
          <w:rFonts w:ascii="ArialMT" w:hAnsi="ArialMT" w:cs="ArialMT"/>
          <w:sz w:val="20"/>
          <w:szCs w:val="20"/>
        </w:rPr>
        <w:t xml:space="preserve"> </w:t>
      </w:r>
      <w:r w:rsidRPr="00B2471D">
        <w:rPr>
          <w:rFonts w:ascii="ArialMT" w:hAnsi="ArialMT" w:cs="ArialMT"/>
          <w:sz w:val="20"/>
          <w:szCs w:val="20"/>
        </w:rPr>
        <w:t>of 'NA' (Not Applicable) or 'Not Identified'</w:t>
      </w:r>
    </w:p>
    <w:p w14:paraId="7BC24653" w14:textId="49A45027" w:rsidR="003D66AF" w:rsidRPr="00FD6637" w:rsidRDefault="003D66AF" w:rsidP="00193765">
      <w:pPr>
        <w:pStyle w:val="Caption"/>
        <w:keepNext/>
        <w:spacing w:before="240" w:after="60"/>
        <w:rPr>
          <w:rFonts w:ascii="ArialMT" w:hAnsi="ArialMT"/>
        </w:rPr>
      </w:pPr>
      <w:r w:rsidRPr="00FD6637">
        <w:rPr>
          <w:rFonts w:ascii="ArialMT" w:hAnsi="ArialMT"/>
          <w:b/>
          <w:bCs/>
          <w:sz w:val="22"/>
          <w:szCs w:val="22"/>
        </w:rPr>
        <w:t xml:space="preserve">Table </w:t>
      </w:r>
      <w:r w:rsidR="00375FE5" w:rsidRPr="00FD6637">
        <w:rPr>
          <w:rFonts w:ascii="ArialMT" w:hAnsi="ArialMT"/>
          <w:b/>
          <w:bCs/>
          <w:sz w:val="22"/>
          <w:szCs w:val="22"/>
        </w:rPr>
        <w:t>2</w:t>
      </w:r>
      <w:r w:rsidRPr="00FD6637">
        <w:rPr>
          <w:rFonts w:ascii="ArialMT" w:hAnsi="ArialMT"/>
          <w:b/>
          <w:bCs/>
          <w:sz w:val="22"/>
          <w:szCs w:val="22"/>
        </w:rPr>
        <w:t>. Types of Accountability Indicator Values</w:t>
      </w:r>
      <w:r w:rsidR="008E085E">
        <w:rPr>
          <w:rFonts w:ascii="ArialMT" w:hAnsi="ArialMT"/>
          <w:b/>
          <w:bCs/>
          <w:sz w:val="22"/>
          <w:szCs w:val="22"/>
        </w:rPr>
        <w:t xml:space="preserve"> Collected</w:t>
      </w:r>
    </w:p>
    <w:tbl>
      <w:tblPr>
        <w:tblStyle w:val="TableGrid"/>
        <w:tblW w:w="5000" w:type="pct"/>
        <w:tblLook w:val="04A0" w:firstRow="1" w:lastRow="0" w:firstColumn="1" w:lastColumn="0" w:noHBand="0" w:noVBand="1"/>
      </w:tblPr>
      <w:tblGrid>
        <w:gridCol w:w="4776"/>
        <w:gridCol w:w="1369"/>
        <w:gridCol w:w="1120"/>
        <w:gridCol w:w="1281"/>
        <w:gridCol w:w="736"/>
        <w:gridCol w:w="1446"/>
      </w:tblGrid>
      <w:tr w:rsidR="00785952" w:rsidRPr="00B2471D" w14:paraId="6ABC4CAB" w14:textId="77777777" w:rsidTr="00785952">
        <w:trPr>
          <w:trHeight w:val="576"/>
          <w:tblHeader/>
        </w:trPr>
        <w:tc>
          <w:tcPr>
            <w:tcW w:w="2226" w:type="pct"/>
            <w:vAlign w:val="center"/>
            <w:hideMark/>
          </w:tcPr>
          <w:p w14:paraId="27F6495E" w14:textId="041B6650" w:rsidR="003D66AF" w:rsidRPr="00785952" w:rsidRDefault="003D66AF" w:rsidP="00785952">
            <w:pPr>
              <w:jc w:val="center"/>
              <w:rPr>
                <w:rFonts w:ascii="ArialMT" w:eastAsia="Times New Roman" w:hAnsi="ArialMT" w:cs="Calibri"/>
                <w:b/>
                <w:bCs/>
                <w:color w:val="000000"/>
                <w:sz w:val="20"/>
                <w:szCs w:val="20"/>
              </w:rPr>
            </w:pPr>
            <w:r w:rsidRPr="00785952">
              <w:rPr>
                <w:rFonts w:ascii="ArialMT" w:eastAsia="Times New Roman" w:hAnsi="ArialMT" w:cs="Calibri"/>
                <w:b/>
                <w:bCs/>
                <w:color w:val="000000"/>
                <w:sz w:val="20"/>
                <w:szCs w:val="20"/>
              </w:rPr>
              <w:t>Data Group</w:t>
            </w:r>
          </w:p>
        </w:tc>
        <w:tc>
          <w:tcPr>
            <w:tcW w:w="638" w:type="pct"/>
            <w:vAlign w:val="center"/>
            <w:hideMark/>
          </w:tcPr>
          <w:p w14:paraId="2E696B06" w14:textId="77777777" w:rsidR="003D66AF" w:rsidRPr="00785952" w:rsidRDefault="003D66AF" w:rsidP="00785952">
            <w:pPr>
              <w:jc w:val="center"/>
              <w:rPr>
                <w:rFonts w:ascii="ArialMT" w:eastAsia="Times New Roman" w:hAnsi="ArialMT" w:cs="Calibri"/>
                <w:b/>
                <w:bCs/>
                <w:color w:val="000000"/>
                <w:sz w:val="20"/>
                <w:szCs w:val="20"/>
              </w:rPr>
            </w:pPr>
            <w:r w:rsidRPr="00785952">
              <w:rPr>
                <w:rFonts w:ascii="ArialMT" w:eastAsia="Times New Roman" w:hAnsi="ArialMT" w:cs="Calibri"/>
                <w:b/>
                <w:bCs/>
                <w:color w:val="000000"/>
                <w:sz w:val="20"/>
                <w:szCs w:val="20"/>
              </w:rPr>
              <w:t>Categorical</w:t>
            </w:r>
          </w:p>
        </w:tc>
        <w:tc>
          <w:tcPr>
            <w:tcW w:w="522" w:type="pct"/>
            <w:vAlign w:val="center"/>
            <w:hideMark/>
          </w:tcPr>
          <w:p w14:paraId="1D3B90C9" w14:textId="77777777" w:rsidR="003D66AF" w:rsidRPr="00785952" w:rsidRDefault="003D66AF" w:rsidP="00785952">
            <w:pPr>
              <w:jc w:val="center"/>
              <w:rPr>
                <w:rFonts w:ascii="ArialMT" w:eastAsia="Times New Roman" w:hAnsi="ArialMT" w:cs="Calibri"/>
                <w:b/>
                <w:bCs/>
                <w:color w:val="000000"/>
                <w:sz w:val="20"/>
                <w:szCs w:val="20"/>
              </w:rPr>
            </w:pPr>
            <w:r w:rsidRPr="00785952">
              <w:rPr>
                <w:rFonts w:ascii="ArialMT" w:eastAsia="Times New Roman" w:hAnsi="ArialMT" w:cs="Calibri"/>
                <w:b/>
                <w:bCs/>
                <w:color w:val="000000"/>
                <w:sz w:val="20"/>
                <w:szCs w:val="20"/>
              </w:rPr>
              <w:t>Numeric</w:t>
            </w:r>
          </w:p>
        </w:tc>
        <w:tc>
          <w:tcPr>
            <w:tcW w:w="597" w:type="pct"/>
            <w:vAlign w:val="center"/>
            <w:hideMark/>
          </w:tcPr>
          <w:p w14:paraId="112E2D10" w14:textId="77777777" w:rsidR="003D66AF" w:rsidRPr="00785952" w:rsidRDefault="003D66AF" w:rsidP="00785952">
            <w:pPr>
              <w:jc w:val="center"/>
              <w:rPr>
                <w:rFonts w:ascii="ArialMT" w:eastAsia="Times New Roman" w:hAnsi="ArialMT" w:cs="Calibri"/>
                <w:b/>
                <w:bCs/>
                <w:color w:val="000000"/>
                <w:sz w:val="20"/>
                <w:szCs w:val="20"/>
              </w:rPr>
            </w:pPr>
            <w:r w:rsidRPr="00785952">
              <w:rPr>
                <w:rFonts w:ascii="ArialMT" w:eastAsia="Times New Roman" w:hAnsi="ArialMT" w:cs="Calibri"/>
                <w:b/>
                <w:bCs/>
                <w:color w:val="000000"/>
                <w:sz w:val="20"/>
                <w:szCs w:val="20"/>
              </w:rPr>
              <w:t>Composite</w:t>
            </w:r>
          </w:p>
        </w:tc>
        <w:tc>
          <w:tcPr>
            <w:tcW w:w="343" w:type="pct"/>
            <w:vAlign w:val="center"/>
            <w:hideMark/>
          </w:tcPr>
          <w:p w14:paraId="33838193" w14:textId="77777777" w:rsidR="003D66AF" w:rsidRPr="00785952" w:rsidRDefault="003D66AF" w:rsidP="00785952">
            <w:pPr>
              <w:jc w:val="center"/>
              <w:rPr>
                <w:rFonts w:ascii="ArialMT" w:eastAsia="Times New Roman" w:hAnsi="ArialMT" w:cs="Calibri"/>
                <w:b/>
                <w:bCs/>
                <w:color w:val="000000"/>
                <w:sz w:val="20"/>
                <w:szCs w:val="20"/>
              </w:rPr>
            </w:pPr>
            <w:r w:rsidRPr="00785952">
              <w:rPr>
                <w:rFonts w:ascii="ArialMT" w:eastAsia="Times New Roman" w:hAnsi="ArialMT" w:cs="Calibri"/>
                <w:b/>
                <w:bCs/>
                <w:color w:val="000000"/>
                <w:sz w:val="20"/>
                <w:szCs w:val="20"/>
              </w:rPr>
              <w:t>NA</w:t>
            </w:r>
          </w:p>
        </w:tc>
        <w:tc>
          <w:tcPr>
            <w:tcW w:w="674" w:type="pct"/>
            <w:vAlign w:val="center"/>
            <w:hideMark/>
          </w:tcPr>
          <w:p w14:paraId="570EB82C" w14:textId="77777777" w:rsidR="003D66AF" w:rsidRPr="00785952" w:rsidRDefault="003D66AF" w:rsidP="00785952">
            <w:pPr>
              <w:jc w:val="center"/>
              <w:rPr>
                <w:rFonts w:ascii="ArialMT" w:eastAsia="Times New Roman" w:hAnsi="ArialMT" w:cs="Calibri"/>
                <w:b/>
                <w:bCs/>
                <w:color w:val="000000"/>
                <w:sz w:val="20"/>
                <w:szCs w:val="20"/>
              </w:rPr>
            </w:pPr>
            <w:r w:rsidRPr="00785952">
              <w:rPr>
                <w:rFonts w:ascii="ArialMT" w:eastAsia="Times New Roman" w:hAnsi="ArialMT" w:cs="Calibri"/>
                <w:b/>
                <w:bCs/>
                <w:color w:val="000000"/>
                <w:sz w:val="20"/>
                <w:szCs w:val="20"/>
              </w:rPr>
              <w:t>Grand Total Reporting</w:t>
            </w:r>
          </w:p>
        </w:tc>
      </w:tr>
      <w:tr w:rsidR="00785952" w:rsidRPr="00B2471D" w14:paraId="41E73650" w14:textId="77777777" w:rsidTr="00785952">
        <w:trPr>
          <w:trHeight w:val="576"/>
        </w:trPr>
        <w:tc>
          <w:tcPr>
            <w:tcW w:w="2226" w:type="pct"/>
            <w:vAlign w:val="center"/>
            <w:hideMark/>
          </w:tcPr>
          <w:p w14:paraId="380C0263" w14:textId="4C5BAF99" w:rsidR="003D66AF" w:rsidRPr="00785952" w:rsidRDefault="003D66AF" w:rsidP="00785952">
            <w:pPr>
              <w:rPr>
                <w:rFonts w:ascii="ArialMT" w:eastAsia="Times New Roman" w:hAnsi="ArialMT" w:cs="Calibri"/>
                <w:color w:val="000000"/>
                <w:sz w:val="20"/>
                <w:szCs w:val="20"/>
              </w:rPr>
            </w:pPr>
            <w:r w:rsidRPr="00785952">
              <w:rPr>
                <w:rFonts w:ascii="ArialMT" w:eastAsia="Times New Roman" w:hAnsi="ArialMT" w:cs="Calibri"/>
                <w:color w:val="000000"/>
                <w:sz w:val="20"/>
                <w:szCs w:val="20"/>
              </w:rPr>
              <w:t>Graduation rate indicator status (DG 834)</w:t>
            </w:r>
          </w:p>
        </w:tc>
        <w:tc>
          <w:tcPr>
            <w:tcW w:w="638" w:type="pct"/>
            <w:vAlign w:val="center"/>
            <w:hideMark/>
          </w:tcPr>
          <w:p w14:paraId="3FC46C6D"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13</w:t>
            </w:r>
          </w:p>
        </w:tc>
        <w:tc>
          <w:tcPr>
            <w:tcW w:w="522" w:type="pct"/>
            <w:vAlign w:val="center"/>
            <w:hideMark/>
          </w:tcPr>
          <w:p w14:paraId="6D8070FB"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19</w:t>
            </w:r>
          </w:p>
        </w:tc>
        <w:tc>
          <w:tcPr>
            <w:tcW w:w="597" w:type="pct"/>
            <w:vAlign w:val="center"/>
            <w:hideMark/>
          </w:tcPr>
          <w:p w14:paraId="737B2FC9"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w:t>
            </w:r>
          </w:p>
        </w:tc>
        <w:tc>
          <w:tcPr>
            <w:tcW w:w="343" w:type="pct"/>
            <w:vAlign w:val="center"/>
            <w:hideMark/>
          </w:tcPr>
          <w:p w14:paraId="57E533B8"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w:t>
            </w:r>
          </w:p>
        </w:tc>
        <w:tc>
          <w:tcPr>
            <w:tcW w:w="674" w:type="pct"/>
            <w:vAlign w:val="center"/>
            <w:hideMark/>
          </w:tcPr>
          <w:p w14:paraId="0EFE03DF"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34</w:t>
            </w:r>
          </w:p>
        </w:tc>
      </w:tr>
      <w:tr w:rsidR="00785952" w:rsidRPr="00B2471D" w14:paraId="189591D1" w14:textId="77777777" w:rsidTr="00785952">
        <w:trPr>
          <w:trHeight w:val="576"/>
        </w:trPr>
        <w:tc>
          <w:tcPr>
            <w:tcW w:w="2226" w:type="pct"/>
            <w:vAlign w:val="center"/>
            <w:hideMark/>
          </w:tcPr>
          <w:p w14:paraId="5E1B6CA8" w14:textId="77777777" w:rsidR="003D66AF" w:rsidRPr="00785952" w:rsidRDefault="003D66AF" w:rsidP="00EB75F3">
            <w:pPr>
              <w:rPr>
                <w:rFonts w:ascii="ArialMT" w:eastAsia="Times New Roman" w:hAnsi="ArialMT" w:cs="Calibri"/>
                <w:color w:val="000000"/>
                <w:sz w:val="20"/>
                <w:szCs w:val="20"/>
              </w:rPr>
            </w:pPr>
            <w:r w:rsidRPr="00785952">
              <w:rPr>
                <w:rFonts w:ascii="ArialMT" w:eastAsia="Times New Roman" w:hAnsi="ArialMT" w:cs="Calibri"/>
                <w:color w:val="000000"/>
                <w:sz w:val="20"/>
                <w:szCs w:val="20"/>
              </w:rPr>
              <w:t>Academic achievement indicator status (DG 835)</w:t>
            </w:r>
          </w:p>
        </w:tc>
        <w:tc>
          <w:tcPr>
            <w:tcW w:w="638" w:type="pct"/>
            <w:vAlign w:val="center"/>
            <w:hideMark/>
          </w:tcPr>
          <w:p w14:paraId="5D2461D0"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14</w:t>
            </w:r>
          </w:p>
        </w:tc>
        <w:tc>
          <w:tcPr>
            <w:tcW w:w="522" w:type="pct"/>
            <w:vAlign w:val="center"/>
            <w:hideMark/>
          </w:tcPr>
          <w:p w14:paraId="57C96145"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15</w:t>
            </w:r>
          </w:p>
        </w:tc>
        <w:tc>
          <w:tcPr>
            <w:tcW w:w="597" w:type="pct"/>
            <w:vAlign w:val="center"/>
            <w:hideMark/>
          </w:tcPr>
          <w:p w14:paraId="63A585CE"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4</w:t>
            </w:r>
          </w:p>
        </w:tc>
        <w:tc>
          <w:tcPr>
            <w:tcW w:w="343" w:type="pct"/>
            <w:vAlign w:val="center"/>
            <w:hideMark/>
          </w:tcPr>
          <w:p w14:paraId="600B25B2"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w:t>
            </w:r>
          </w:p>
        </w:tc>
        <w:tc>
          <w:tcPr>
            <w:tcW w:w="674" w:type="pct"/>
            <w:vAlign w:val="center"/>
            <w:hideMark/>
          </w:tcPr>
          <w:p w14:paraId="26B21327"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34</w:t>
            </w:r>
          </w:p>
        </w:tc>
      </w:tr>
      <w:tr w:rsidR="00785952" w:rsidRPr="00B2471D" w14:paraId="358C7FF4" w14:textId="77777777" w:rsidTr="00785952">
        <w:trPr>
          <w:trHeight w:val="576"/>
        </w:trPr>
        <w:tc>
          <w:tcPr>
            <w:tcW w:w="2226" w:type="pct"/>
            <w:vAlign w:val="center"/>
            <w:hideMark/>
          </w:tcPr>
          <w:p w14:paraId="3D07BFD0" w14:textId="77777777" w:rsidR="003D66AF" w:rsidRPr="00785952" w:rsidRDefault="003D66AF" w:rsidP="00EB75F3">
            <w:pPr>
              <w:rPr>
                <w:rFonts w:ascii="ArialMT" w:eastAsia="Times New Roman" w:hAnsi="ArialMT" w:cs="Calibri"/>
                <w:color w:val="000000"/>
                <w:sz w:val="20"/>
                <w:szCs w:val="20"/>
              </w:rPr>
            </w:pPr>
            <w:r w:rsidRPr="00785952">
              <w:rPr>
                <w:rFonts w:ascii="ArialMT" w:eastAsia="Times New Roman" w:hAnsi="ArialMT" w:cs="Calibri"/>
                <w:color w:val="000000"/>
                <w:sz w:val="20"/>
                <w:szCs w:val="20"/>
              </w:rPr>
              <w:t>Other academic indicator status (DG 836)</w:t>
            </w:r>
          </w:p>
        </w:tc>
        <w:tc>
          <w:tcPr>
            <w:tcW w:w="638" w:type="pct"/>
            <w:vAlign w:val="center"/>
            <w:hideMark/>
          </w:tcPr>
          <w:p w14:paraId="6D5673F0"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13</w:t>
            </w:r>
          </w:p>
        </w:tc>
        <w:tc>
          <w:tcPr>
            <w:tcW w:w="522" w:type="pct"/>
            <w:vAlign w:val="center"/>
            <w:hideMark/>
          </w:tcPr>
          <w:p w14:paraId="28AAB52D"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15</w:t>
            </w:r>
          </w:p>
        </w:tc>
        <w:tc>
          <w:tcPr>
            <w:tcW w:w="597" w:type="pct"/>
            <w:vAlign w:val="center"/>
            <w:hideMark/>
          </w:tcPr>
          <w:p w14:paraId="37F543E8"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3</w:t>
            </w:r>
          </w:p>
        </w:tc>
        <w:tc>
          <w:tcPr>
            <w:tcW w:w="343" w:type="pct"/>
            <w:vAlign w:val="center"/>
            <w:hideMark/>
          </w:tcPr>
          <w:p w14:paraId="573AFCD6"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2</w:t>
            </w:r>
          </w:p>
        </w:tc>
        <w:tc>
          <w:tcPr>
            <w:tcW w:w="674" w:type="pct"/>
            <w:vAlign w:val="center"/>
            <w:hideMark/>
          </w:tcPr>
          <w:p w14:paraId="0D028A9E"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33</w:t>
            </w:r>
          </w:p>
        </w:tc>
      </w:tr>
      <w:tr w:rsidR="00785952" w:rsidRPr="00B2471D" w14:paraId="7B76B1ED" w14:textId="77777777" w:rsidTr="00785952">
        <w:trPr>
          <w:trHeight w:val="576"/>
        </w:trPr>
        <w:tc>
          <w:tcPr>
            <w:tcW w:w="2226" w:type="pct"/>
            <w:vAlign w:val="center"/>
            <w:hideMark/>
          </w:tcPr>
          <w:p w14:paraId="6A158217" w14:textId="77777777" w:rsidR="003D66AF" w:rsidRPr="00785952" w:rsidRDefault="003D66AF" w:rsidP="00EB75F3">
            <w:pPr>
              <w:rPr>
                <w:rFonts w:ascii="ArialMT" w:eastAsia="Times New Roman" w:hAnsi="ArialMT" w:cs="Calibri"/>
                <w:color w:val="000000"/>
                <w:sz w:val="20"/>
                <w:szCs w:val="20"/>
              </w:rPr>
            </w:pPr>
            <w:r w:rsidRPr="00785952">
              <w:rPr>
                <w:rFonts w:ascii="ArialMT" w:eastAsia="Times New Roman" w:hAnsi="ArialMT" w:cs="Calibri"/>
                <w:color w:val="000000"/>
                <w:sz w:val="20"/>
                <w:szCs w:val="20"/>
              </w:rPr>
              <w:t>Progress achieving English language proficiency indicator status (DG 837)</w:t>
            </w:r>
          </w:p>
        </w:tc>
        <w:tc>
          <w:tcPr>
            <w:tcW w:w="638" w:type="pct"/>
            <w:vAlign w:val="center"/>
            <w:hideMark/>
          </w:tcPr>
          <w:p w14:paraId="562C8D03"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14</w:t>
            </w:r>
          </w:p>
        </w:tc>
        <w:tc>
          <w:tcPr>
            <w:tcW w:w="522" w:type="pct"/>
            <w:vAlign w:val="center"/>
            <w:hideMark/>
          </w:tcPr>
          <w:p w14:paraId="062A9212"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17</w:t>
            </w:r>
          </w:p>
        </w:tc>
        <w:tc>
          <w:tcPr>
            <w:tcW w:w="597" w:type="pct"/>
            <w:vAlign w:val="center"/>
            <w:hideMark/>
          </w:tcPr>
          <w:p w14:paraId="2A32782F"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w:t>
            </w:r>
          </w:p>
        </w:tc>
        <w:tc>
          <w:tcPr>
            <w:tcW w:w="343" w:type="pct"/>
            <w:vAlign w:val="center"/>
            <w:hideMark/>
          </w:tcPr>
          <w:p w14:paraId="6D396D07" w14:textId="77777777" w:rsidR="003D66AF" w:rsidRPr="00785952" w:rsidRDefault="003D66AF" w:rsidP="00EB75F3">
            <w:pPr>
              <w:jc w:val="center"/>
              <w:rPr>
                <w:rFonts w:ascii="ArialMT" w:eastAsia="Times New Roman" w:hAnsi="ArialMT" w:cs="Calibri"/>
                <w:color w:val="000000"/>
                <w:sz w:val="20"/>
                <w:szCs w:val="20"/>
              </w:rPr>
            </w:pPr>
          </w:p>
        </w:tc>
        <w:tc>
          <w:tcPr>
            <w:tcW w:w="674" w:type="pct"/>
            <w:vAlign w:val="center"/>
            <w:hideMark/>
          </w:tcPr>
          <w:p w14:paraId="4F188A19"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32</w:t>
            </w:r>
          </w:p>
        </w:tc>
      </w:tr>
      <w:tr w:rsidR="00785952" w:rsidRPr="00B2471D" w14:paraId="41CFCDCE" w14:textId="77777777" w:rsidTr="00785952">
        <w:trPr>
          <w:trHeight w:val="576"/>
        </w:trPr>
        <w:tc>
          <w:tcPr>
            <w:tcW w:w="2226" w:type="pct"/>
            <w:vAlign w:val="center"/>
            <w:hideMark/>
          </w:tcPr>
          <w:p w14:paraId="1394D0EE" w14:textId="77777777" w:rsidR="003D66AF" w:rsidRPr="00785952" w:rsidRDefault="003D66AF" w:rsidP="00EB75F3">
            <w:pPr>
              <w:rPr>
                <w:rFonts w:ascii="ArialMT" w:eastAsia="Times New Roman" w:hAnsi="ArialMT" w:cs="Calibri"/>
                <w:color w:val="000000"/>
                <w:sz w:val="20"/>
                <w:szCs w:val="20"/>
              </w:rPr>
            </w:pPr>
            <w:r w:rsidRPr="00785952">
              <w:rPr>
                <w:rFonts w:ascii="ArialMT" w:eastAsia="Times New Roman" w:hAnsi="ArialMT" w:cs="Calibri"/>
                <w:color w:val="000000"/>
                <w:sz w:val="20"/>
                <w:szCs w:val="20"/>
              </w:rPr>
              <w:t>School quality or student success indicator status (DG 838)</w:t>
            </w:r>
          </w:p>
        </w:tc>
        <w:tc>
          <w:tcPr>
            <w:tcW w:w="638" w:type="pct"/>
            <w:vAlign w:val="center"/>
            <w:hideMark/>
          </w:tcPr>
          <w:p w14:paraId="4F1FE971"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12</w:t>
            </w:r>
          </w:p>
        </w:tc>
        <w:tc>
          <w:tcPr>
            <w:tcW w:w="522" w:type="pct"/>
            <w:vAlign w:val="center"/>
            <w:hideMark/>
          </w:tcPr>
          <w:p w14:paraId="164B699F"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18</w:t>
            </w:r>
          </w:p>
        </w:tc>
        <w:tc>
          <w:tcPr>
            <w:tcW w:w="597" w:type="pct"/>
            <w:vAlign w:val="center"/>
            <w:hideMark/>
          </w:tcPr>
          <w:p w14:paraId="661FBCDF"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1</w:t>
            </w:r>
          </w:p>
        </w:tc>
        <w:tc>
          <w:tcPr>
            <w:tcW w:w="343" w:type="pct"/>
            <w:vAlign w:val="center"/>
            <w:hideMark/>
          </w:tcPr>
          <w:p w14:paraId="6A9D951F"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2</w:t>
            </w:r>
          </w:p>
        </w:tc>
        <w:tc>
          <w:tcPr>
            <w:tcW w:w="674" w:type="pct"/>
            <w:vAlign w:val="center"/>
            <w:hideMark/>
          </w:tcPr>
          <w:p w14:paraId="3A6EA57F" w14:textId="77777777" w:rsidR="003D66AF" w:rsidRPr="00785952" w:rsidRDefault="003D66AF" w:rsidP="00EB75F3">
            <w:pPr>
              <w:jc w:val="center"/>
              <w:rPr>
                <w:rFonts w:ascii="ArialMT" w:eastAsia="Times New Roman" w:hAnsi="ArialMT" w:cs="Calibri"/>
                <w:color w:val="000000"/>
                <w:sz w:val="20"/>
                <w:szCs w:val="20"/>
              </w:rPr>
            </w:pPr>
            <w:r w:rsidRPr="00785952">
              <w:rPr>
                <w:rFonts w:ascii="ArialMT" w:eastAsia="Times New Roman" w:hAnsi="ArialMT" w:cs="Calibri"/>
                <w:color w:val="000000"/>
                <w:sz w:val="20"/>
                <w:szCs w:val="20"/>
              </w:rPr>
              <w:t>33</w:t>
            </w:r>
          </w:p>
        </w:tc>
      </w:tr>
    </w:tbl>
    <w:p w14:paraId="5C173B6A" w14:textId="77777777" w:rsidR="003D66AF" w:rsidRPr="00B2471D" w:rsidRDefault="003D66AF" w:rsidP="003D66AF">
      <w:pPr>
        <w:autoSpaceDE w:val="0"/>
        <w:autoSpaceDN w:val="0"/>
        <w:adjustRightInd w:val="0"/>
        <w:spacing w:after="0" w:line="240" w:lineRule="auto"/>
        <w:ind w:left="720"/>
        <w:rPr>
          <w:rFonts w:ascii="ArialMT" w:hAnsi="ArialMT" w:cs="ArialMT"/>
          <w:sz w:val="20"/>
          <w:szCs w:val="20"/>
          <w:highlight w:val="yellow"/>
        </w:rPr>
      </w:pPr>
    </w:p>
    <w:p w14:paraId="20FFF9B2" w14:textId="77777777" w:rsidR="00193765" w:rsidRDefault="00375FE5" w:rsidP="00193765">
      <w:pPr>
        <w:pStyle w:val="Heading2"/>
        <w:spacing w:before="0" w:after="120" w:line="240" w:lineRule="auto"/>
        <w:rPr>
          <w:rFonts w:ascii="ArialMT" w:hAnsi="ArialMT"/>
        </w:rPr>
      </w:pPr>
      <w:r w:rsidRPr="00FD6637">
        <w:rPr>
          <w:rFonts w:ascii="ArialMT" w:hAnsi="ArialMT"/>
        </w:rPr>
        <w:t>Foster Care and Military Connected Status</w:t>
      </w:r>
      <w:r w:rsidR="006D1AE2">
        <w:rPr>
          <w:rFonts w:ascii="ArialMT" w:hAnsi="ArialMT"/>
        </w:rPr>
        <w:t xml:space="preserve"> Data</w:t>
      </w:r>
    </w:p>
    <w:p w14:paraId="7C586D45" w14:textId="77777777" w:rsidR="00193765" w:rsidRDefault="00FE27B5" w:rsidP="00193765">
      <w:pPr>
        <w:autoSpaceDE w:val="0"/>
        <w:autoSpaceDN w:val="0"/>
        <w:adjustRightInd w:val="0"/>
        <w:spacing w:after="120" w:line="240" w:lineRule="auto"/>
        <w:rPr>
          <w:rFonts w:ascii="ArialMT" w:hAnsi="ArialMT" w:cs="ArialMT"/>
          <w:sz w:val="20"/>
          <w:szCs w:val="20"/>
        </w:rPr>
      </w:pPr>
      <w:r w:rsidRPr="00B2471D">
        <w:rPr>
          <w:rFonts w:ascii="ArialMT" w:hAnsi="ArialMT" w:cs="ArialMT"/>
          <w:sz w:val="20"/>
          <w:szCs w:val="20"/>
        </w:rPr>
        <w:t xml:space="preserve">States report data about </w:t>
      </w:r>
      <w:r w:rsidR="002D54D1" w:rsidRPr="00B2471D">
        <w:rPr>
          <w:rFonts w:ascii="ArialMT" w:hAnsi="ArialMT" w:cs="ArialMT"/>
          <w:sz w:val="20"/>
          <w:szCs w:val="20"/>
        </w:rPr>
        <w:t>students in foster care</w:t>
      </w:r>
      <w:r w:rsidRPr="00B2471D">
        <w:rPr>
          <w:rFonts w:ascii="ArialMT" w:hAnsi="ArialMT" w:cs="ArialMT"/>
          <w:sz w:val="20"/>
          <w:szCs w:val="20"/>
        </w:rPr>
        <w:t xml:space="preserve"> </w:t>
      </w:r>
      <w:r w:rsidR="002D54D1" w:rsidRPr="00B2471D">
        <w:rPr>
          <w:rFonts w:ascii="ArialMT" w:hAnsi="ArialMT" w:cs="ArialMT"/>
          <w:sz w:val="20"/>
          <w:szCs w:val="20"/>
        </w:rPr>
        <w:t xml:space="preserve">in </w:t>
      </w:r>
      <w:r w:rsidRPr="00B2471D">
        <w:rPr>
          <w:rFonts w:ascii="ArialMT" w:hAnsi="ArialMT" w:cs="ArialMT"/>
          <w:sz w:val="20"/>
          <w:szCs w:val="20"/>
        </w:rPr>
        <w:t xml:space="preserve">Adjusted-Cohort Graduation Rate (ACGR), Academic Assessment, and Assessment Participation </w:t>
      </w:r>
      <w:r w:rsidR="002D54D1" w:rsidRPr="00B2471D">
        <w:rPr>
          <w:rFonts w:ascii="ArialMT" w:hAnsi="ArialMT" w:cs="ArialMT"/>
          <w:sz w:val="20"/>
          <w:szCs w:val="20"/>
        </w:rPr>
        <w:t>files</w:t>
      </w:r>
      <w:r w:rsidR="006D1AE2">
        <w:rPr>
          <w:rFonts w:ascii="ArialMT" w:hAnsi="ArialMT" w:cs="ArialMT"/>
          <w:sz w:val="20"/>
          <w:szCs w:val="20"/>
        </w:rPr>
        <w:t>. States</w:t>
      </w:r>
      <w:r w:rsidR="002D54D1" w:rsidRPr="00B2471D">
        <w:rPr>
          <w:rFonts w:ascii="ArialMT" w:hAnsi="ArialMT" w:cs="ArialMT"/>
          <w:sz w:val="20"/>
          <w:szCs w:val="20"/>
        </w:rPr>
        <w:t xml:space="preserve"> report data about military connected students in Academic Assessment and Assessment Participation files (see Table </w:t>
      </w:r>
      <w:r w:rsidR="00B2471D" w:rsidRPr="00B2471D">
        <w:rPr>
          <w:rFonts w:ascii="ArialMT" w:hAnsi="ArialMT" w:cs="ArialMT"/>
          <w:sz w:val="20"/>
          <w:szCs w:val="20"/>
        </w:rPr>
        <w:t>3 below</w:t>
      </w:r>
      <w:r w:rsidR="002D54D1" w:rsidRPr="00B2471D">
        <w:rPr>
          <w:rFonts w:ascii="ArialMT" w:hAnsi="ArialMT" w:cs="ArialMT"/>
          <w:sz w:val="20"/>
          <w:szCs w:val="20"/>
        </w:rPr>
        <w:t>).</w:t>
      </w:r>
    </w:p>
    <w:p w14:paraId="2808E5E1" w14:textId="77777777" w:rsidR="00193765" w:rsidRDefault="000145CC" w:rsidP="00193765">
      <w:pPr>
        <w:autoSpaceDE w:val="0"/>
        <w:autoSpaceDN w:val="0"/>
        <w:adjustRightInd w:val="0"/>
        <w:spacing w:after="120" w:line="240" w:lineRule="auto"/>
        <w:rPr>
          <w:rFonts w:ascii="ArialMT" w:hAnsi="ArialMT" w:cs="ArialMT"/>
          <w:sz w:val="20"/>
          <w:szCs w:val="20"/>
        </w:rPr>
      </w:pPr>
      <w:r w:rsidRPr="00B2471D">
        <w:rPr>
          <w:rFonts w:ascii="ArialMT" w:hAnsi="ArialMT" w:cs="ArialMT"/>
          <w:sz w:val="20"/>
          <w:szCs w:val="20"/>
        </w:rPr>
        <w:t>ED</w:t>
      </w:r>
      <w:r w:rsidRPr="00FD6637">
        <w:rPr>
          <w:rFonts w:ascii="ArialMT" w:hAnsi="ArialMT" w:cs="ArialMT"/>
          <w:i/>
          <w:iCs/>
          <w:sz w:val="20"/>
          <w:szCs w:val="20"/>
        </w:rPr>
        <w:t>Facts</w:t>
      </w:r>
      <w:r w:rsidRPr="00B2471D">
        <w:rPr>
          <w:rFonts w:ascii="ArialMT" w:hAnsi="ArialMT" w:cs="ArialMT"/>
          <w:sz w:val="20"/>
          <w:szCs w:val="20"/>
        </w:rPr>
        <w:t xml:space="preserve"> </w:t>
      </w:r>
      <w:r w:rsidR="00F819CF">
        <w:rPr>
          <w:rFonts w:ascii="ArialMT" w:hAnsi="ArialMT" w:cs="ArialMT"/>
          <w:sz w:val="20"/>
          <w:szCs w:val="20"/>
        </w:rPr>
        <w:t>provides</w:t>
      </w:r>
      <w:r w:rsidRPr="00B2471D">
        <w:rPr>
          <w:rFonts w:ascii="ArialMT" w:hAnsi="ArialMT" w:cs="ArialMT"/>
          <w:sz w:val="20"/>
          <w:szCs w:val="20"/>
        </w:rPr>
        <w:t xml:space="preserve"> g</w:t>
      </w:r>
      <w:r w:rsidR="002D54D1" w:rsidRPr="00B2471D">
        <w:rPr>
          <w:rFonts w:ascii="ArialMT" w:hAnsi="ArialMT" w:cs="ArialMT"/>
          <w:sz w:val="20"/>
          <w:szCs w:val="20"/>
        </w:rPr>
        <w:t>uidance on how to report foster care students and military connected students in the file specifications</w:t>
      </w:r>
      <w:r w:rsidRPr="00B2471D">
        <w:rPr>
          <w:rStyle w:val="FootnoteReference"/>
          <w:rFonts w:ascii="ArialMT" w:hAnsi="ArialMT" w:cs="ArialMT"/>
          <w:sz w:val="20"/>
          <w:szCs w:val="20"/>
        </w:rPr>
        <w:footnoteReference w:id="2"/>
      </w:r>
      <w:r w:rsidR="002D54D1" w:rsidRPr="00B2471D">
        <w:rPr>
          <w:rFonts w:ascii="ArialMT" w:hAnsi="ArialMT" w:cs="ArialMT"/>
          <w:sz w:val="20"/>
          <w:szCs w:val="20"/>
        </w:rPr>
        <w:t>:</w:t>
      </w:r>
    </w:p>
    <w:p w14:paraId="6C4DF0B4" w14:textId="6764FB48" w:rsidR="002D54D1" w:rsidRPr="00FD6637" w:rsidRDefault="002D54D1" w:rsidP="00193765">
      <w:pPr>
        <w:spacing w:after="120" w:line="240" w:lineRule="auto"/>
        <w:ind w:left="720"/>
        <w:rPr>
          <w:rFonts w:ascii="ArialMT" w:hAnsi="ArialMT"/>
          <w:b/>
          <w:sz w:val="20"/>
          <w:szCs w:val="20"/>
        </w:rPr>
      </w:pPr>
      <w:r w:rsidRPr="00FD6637">
        <w:rPr>
          <w:rFonts w:ascii="ArialMT" w:hAnsi="ArialMT"/>
          <w:b/>
          <w:sz w:val="20"/>
          <w:szCs w:val="20"/>
        </w:rPr>
        <w:t>How are student counts reported by Homeless Enrolled Status, Foster Care Status, and Military Connected Status?</w:t>
      </w:r>
    </w:p>
    <w:p w14:paraId="0F9D6AA7" w14:textId="77777777" w:rsidR="007D7DCF" w:rsidRDefault="002D54D1" w:rsidP="00193765">
      <w:pPr>
        <w:spacing w:after="120" w:line="240" w:lineRule="auto"/>
        <w:ind w:left="720"/>
        <w:rPr>
          <w:rFonts w:ascii="ArialMT" w:hAnsi="ArialMT"/>
          <w:sz w:val="20"/>
          <w:szCs w:val="20"/>
        </w:rPr>
      </w:pPr>
      <w:r w:rsidRPr="00FD6637">
        <w:rPr>
          <w:rFonts w:ascii="ArialMT" w:hAnsi="ArialMT"/>
          <w:sz w:val="20"/>
          <w:szCs w:val="20"/>
        </w:rPr>
        <w:t>Under 34 CFR 200.2(b)(11), a State’s assessment system must enable result to be disaggregated within each State, LEA, and school by specific subgroups, including status as homeless child, status as a child in foster care, and status as a student with a parent who is a member of the armed forces on activity duty or serves on full-time National Guard duty.</w:t>
      </w:r>
      <w:r w:rsidR="007D7DCF">
        <w:rPr>
          <w:rFonts w:ascii="ArialMT" w:hAnsi="ArialMT"/>
          <w:sz w:val="20"/>
          <w:szCs w:val="20"/>
        </w:rPr>
        <w:t xml:space="preserve"> </w:t>
      </w:r>
      <w:r w:rsidRPr="00FD6637">
        <w:rPr>
          <w:rFonts w:ascii="ArialMT" w:hAnsi="ArialMT"/>
          <w:sz w:val="20"/>
          <w:szCs w:val="20"/>
        </w:rPr>
        <w:t>Consistent with these requirements, for purposes of submitting data to ED</w:t>
      </w:r>
      <w:r w:rsidRPr="00FD6637">
        <w:rPr>
          <w:rFonts w:ascii="ArialMT" w:hAnsi="ArialMT"/>
          <w:i/>
          <w:sz w:val="20"/>
          <w:szCs w:val="20"/>
        </w:rPr>
        <w:t>Facts</w:t>
      </w:r>
      <w:r w:rsidRPr="00FD6637">
        <w:rPr>
          <w:rFonts w:ascii="ArialMT" w:hAnsi="ArialMT"/>
          <w:sz w:val="20"/>
          <w:szCs w:val="20"/>
        </w:rPr>
        <w:t>, we encourage an SEA to use these same definitions, which are as follows:</w:t>
      </w:r>
    </w:p>
    <w:p w14:paraId="1FC1BA30" w14:textId="77777777" w:rsidR="007D7DCF" w:rsidRDefault="002D54D1" w:rsidP="00193765">
      <w:pPr>
        <w:pStyle w:val="ListParagraph"/>
        <w:numPr>
          <w:ilvl w:val="0"/>
          <w:numId w:val="15"/>
        </w:numPr>
        <w:spacing w:after="120" w:line="240" w:lineRule="auto"/>
        <w:contextualSpacing w:val="0"/>
        <w:rPr>
          <w:rFonts w:ascii="ArialMT" w:hAnsi="ArialMT"/>
          <w:sz w:val="20"/>
          <w:szCs w:val="20"/>
        </w:rPr>
      </w:pPr>
      <w:r w:rsidRPr="00FD6637">
        <w:rPr>
          <w:rFonts w:ascii="ArialMT" w:hAnsi="ArialMT"/>
          <w:sz w:val="20"/>
          <w:szCs w:val="20"/>
        </w:rPr>
        <w:t>Children who are homeless. Status as a homeless child or youth is defined in accordance with section 725(2) of title VII, subtitle B of the McKinney-Vento Homeless Assistance Act, as amended;</w:t>
      </w:r>
    </w:p>
    <w:p w14:paraId="4AF58B7A" w14:textId="725CF883" w:rsidR="00B2471D" w:rsidRPr="00FD6637" w:rsidRDefault="002D54D1" w:rsidP="00193765">
      <w:pPr>
        <w:pStyle w:val="ListParagraph"/>
        <w:numPr>
          <w:ilvl w:val="0"/>
          <w:numId w:val="15"/>
        </w:numPr>
        <w:spacing w:after="120" w:line="240" w:lineRule="auto"/>
        <w:contextualSpacing w:val="0"/>
        <w:rPr>
          <w:rFonts w:ascii="ArialMT" w:hAnsi="ArialMT"/>
          <w:sz w:val="20"/>
          <w:szCs w:val="20"/>
        </w:rPr>
      </w:pPr>
      <w:r w:rsidRPr="00FD6637">
        <w:rPr>
          <w:rFonts w:ascii="ArialMT" w:hAnsi="ArialMT"/>
          <w:sz w:val="20"/>
          <w:szCs w:val="20"/>
        </w:rPr>
        <w:t>Children in foster care. ‘‘Foster care’’ means 24-hour substitute care for children placed away from their parents and for whom the agency under title IV–E of the Social Security Act has placement and care responsibility. This includes, but is not limited to, placements in foster family homes, foster homes of relatives, group homes, emergency shelters, residential facilities, childcare institutions, and preadoptive homes. A child is in foster care in accordance with this definition regardless of whether the foster care facility is licensed and payments are made by the State, tribal, or local agency for the care of the child, whether adoption subsidy payments are being made prior to the finalization of an adoption, or whether there is Federal matching of any payments that are made; and</w:t>
      </w:r>
    </w:p>
    <w:p w14:paraId="337D4ACF" w14:textId="07C53742" w:rsidR="00B2471D" w:rsidRPr="00FD6637" w:rsidRDefault="00B2471D" w:rsidP="00193765">
      <w:pPr>
        <w:pStyle w:val="ListParagraph"/>
        <w:numPr>
          <w:ilvl w:val="0"/>
          <w:numId w:val="15"/>
        </w:numPr>
        <w:spacing w:after="120" w:line="240" w:lineRule="auto"/>
        <w:contextualSpacing w:val="0"/>
        <w:rPr>
          <w:rFonts w:ascii="ArialMT" w:hAnsi="ArialMT"/>
          <w:sz w:val="20"/>
          <w:szCs w:val="20"/>
        </w:rPr>
      </w:pPr>
      <w:r w:rsidRPr="00FD6637">
        <w:rPr>
          <w:rFonts w:ascii="ArialMT" w:hAnsi="ArialMT"/>
          <w:sz w:val="20"/>
          <w:szCs w:val="20"/>
        </w:rPr>
        <w:t>Students who are military connected. Status as a student with a parent who is a member of the armed forces on active duty or serves on full-time National Guard duty, where “armed forces,” “active duty,” and “full-time National Guard duty” have the same meanings given them in 10 U.S.C. 101(a)(4), 101(d)(1), and 101(d)(5).</w:t>
      </w:r>
    </w:p>
    <w:p w14:paraId="27ABD514" w14:textId="7C359B19" w:rsidR="00F819CF" w:rsidRPr="00FD6637" w:rsidRDefault="00825049" w:rsidP="00193765">
      <w:pPr>
        <w:keepNext/>
        <w:spacing w:before="240" w:after="60" w:line="240" w:lineRule="auto"/>
        <w:rPr>
          <w:rFonts w:ascii="ArialMT" w:hAnsi="ArialMT" w:cs="Arial"/>
          <w:b/>
          <w:bCs/>
          <w:sz w:val="20"/>
          <w:szCs w:val="20"/>
        </w:rPr>
      </w:pPr>
      <w:r w:rsidRPr="00FD6637">
        <w:rPr>
          <w:rFonts w:ascii="ArialMT" w:hAnsi="ArialMT"/>
          <w:b/>
          <w:bCs/>
          <w:i/>
          <w:iCs/>
          <w:color w:val="44546A" w:themeColor="text2"/>
        </w:rPr>
        <w:t xml:space="preserve">Table </w:t>
      </w:r>
      <w:r w:rsidR="00B2471D" w:rsidRPr="00FD6637">
        <w:rPr>
          <w:rFonts w:ascii="ArialMT" w:hAnsi="ArialMT"/>
          <w:b/>
          <w:bCs/>
          <w:i/>
          <w:iCs/>
          <w:color w:val="44546A" w:themeColor="text2"/>
        </w:rPr>
        <w:t>3</w:t>
      </w:r>
      <w:r w:rsidRPr="00FD6637">
        <w:rPr>
          <w:rFonts w:ascii="ArialMT" w:hAnsi="ArialMT"/>
          <w:b/>
          <w:bCs/>
          <w:i/>
          <w:iCs/>
          <w:color w:val="44546A" w:themeColor="text2"/>
        </w:rPr>
        <w:t>. EDFacts Data with Foster Care and/or Military Connected Status</w:t>
      </w:r>
      <w:r w:rsidR="00E56E60" w:rsidRPr="00FD6637">
        <w:rPr>
          <w:rFonts w:ascii="ArialMT" w:hAnsi="ArialMT"/>
          <w:b/>
          <w:bCs/>
          <w:i/>
          <w:iCs/>
          <w:color w:val="44546A" w:themeColor="text2"/>
        </w:rPr>
        <w:t xml:space="preserve"> (SY 2018-19)</w:t>
      </w:r>
    </w:p>
    <w:tbl>
      <w:tblPr>
        <w:tblStyle w:val="TableGrid"/>
        <w:tblW w:w="5000" w:type="pct"/>
        <w:tblLook w:val="04A0" w:firstRow="1" w:lastRow="0" w:firstColumn="1" w:lastColumn="0" w:noHBand="0" w:noVBand="1"/>
      </w:tblPr>
      <w:tblGrid>
        <w:gridCol w:w="1650"/>
        <w:gridCol w:w="6630"/>
        <w:gridCol w:w="1171"/>
        <w:gridCol w:w="1277"/>
      </w:tblGrid>
      <w:tr w:rsidR="00785952" w:rsidRPr="00B2471D" w14:paraId="35B1A11A" w14:textId="77777777" w:rsidTr="00785952">
        <w:trPr>
          <w:trHeight w:val="230"/>
          <w:tblHeader/>
        </w:trPr>
        <w:tc>
          <w:tcPr>
            <w:tcW w:w="769" w:type="pct"/>
            <w:vMerge w:val="restart"/>
            <w:vAlign w:val="center"/>
          </w:tcPr>
          <w:p w14:paraId="719118B1" w14:textId="11101AA3" w:rsidR="00785952" w:rsidRPr="002A4B01" w:rsidRDefault="00785952" w:rsidP="00785952">
            <w:pPr>
              <w:autoSpaceDE w:val="0"/>
              <w:autoSpaceDN w:val="0"/>
              <w:adjustRightInd w:val="0"/>
              <w:jc w:val="center"/>
              <w:rPr>
                <w:rFonts w:ascii="ArialMT" w:hAnsi="ArialMT" w:cs="Arial"/>
                <w:sz w:val="20"/>
                <w:szCs w:val="20"/>
              </w:rPr>
            </w:pPr>
            <w:r w:rsidRPr="00FD6637">
              <w:rPr>
                <w:rFonts w:ascii="ArialMT" w:hAnsi="ArialMT" w:cs="Arial"/>
                <w:b/>
                <w:bCs/>
                <w:color w:val="000000"/>
                <w:sz w:val="20"/>
                <w:szCs w:val="20"/>
              </w:rPr>
              <w:t>Name</w:t>
            </w:r>
          </w:p>
        </w:tc>
        <w:tc>
          <w:tcPr>
            <w:tcW w:w="3090" w:type="pct"/>
            <w:vMerge w:val="restart"/>
            <w:vAlign w:val="center"/>
          </w:tcPr>
          <w:p w14:paraId="27EF53A1" w14:textId="31DA9FE1" w:rsidR="00785952" w:rsidRPr="002A4B01" w:rsidRDefault="00785952" w:rsidP="00785952">
            <w:pPr>
              <w:autoSpaceDE w:val="0"/>
              <w:autoSpaceDN w:val="0"/>
              <w:adjustRightInd w:val="0"/>
              <w:jc w:val="center"/>
              <w:rPr>
                <w:rFonts w:ascii="ArialMT" w:hAnsi="ArialMT" w:cs="Arial"/>
                <w:sz w:val="20"/>
                <w:szCs w:val="20"/>
              </w:rPr>
            </w:pPr>
            <w:r w:rsidRPr="00FD6637">
              <w:rPr>
                <w:rFonts w:ascii="ArialMT" w:hAnsi="ArialMT" w:cs="Arial"/>
                <w:b/>
                <w:bCs/>
                <w:color w:val="000000"/>
                <w:sz w:val="20"/>
                <w:szCs w:val="20"/>
              </w:rPr>
              <w:t>Definition</w:t>
            </w:r>
          </w:p>
        </w:tc>
        <w:tc>
          <w:tcPr>
            <w:tcW w:w="1141" w:type="pct"/>
            <w:gridSpan w:val="2"/>
            <w:vAlign w:val="center"/>
          </w:tcPr>
          <w:p w14:paraId="6F37407B" w14:textId="698E4A54" w:rsidR="00785952" w:rsidRPr="002A4B01" w:rsidRDefault="00785952" w:rsidP="00785952">
            <w:pPr>
              <w:autoSpaceDE w:val="0"/>
              <w:autoSpaceDN w:val="0"/>
              <w:adjustRightInd w:val="0"/>
              <w:jc w:val="center"/>
              <w:rPr>
                <w:rFonts w:ascii="ArialMT" w:hAnsi="ArialMT" w:cs="Arial"/>
                <w:sz w:val="20"/>
                <w:szCs w:val="20"/>
              </w:rPr>
            </w:pPr>
            <w:r w:rsidRPr="00FD6637">
              <w:rPr>
                <w:rFonts w:ascii="ArialMT" w:hAnsi="ArialMT" w:cs="Arial"/>
                <w:b/>
                <w:bCs/>
                <w:color w:val="000000"/>
                <w:sz w:val="20"/>
                <w:szCs w:val="20"/>
              </w:rPr>
              <w:t>Status Reported</w:t>
            </w:r>
          </w:p>
        </w:tc>
      </w:tr>
      <w:tr w:rsidR="00785952" w:rsidRPr="00B2471D" w14:paraId="6A859F47" w14:textId="77777777" w:rsidTr="00785952">
        <w:trPr>
          <w:trHeight w:val="230"/>
          <w:tblHeader/>
        </w:trPr>
        <w:tc>
          <w:tcPr>
            <w:tcW w:w="769" w:type="pct"/>
            <w:vMerge/>
            <w:vAlign w:val="center"/>
          </w:tcPr>
          <w:p w14:paraId="25332073" w14:textId="77777777" w:rsidR="00785952" w:rsidRPr="00FD6637" w:rsidRDefault="00785952" w:rsidP="00175DE1">
            <w:pPr>
              <w:autoSpaceDE w:val="0"/>
              <w:autoSpaceDN w:val="0"/>
              <w:adjustRightInd w:val="0"/>
              <w:rPr>
                <w:rFonts w:ascii="ArialMT" w:hAnsi="ArialMT" w:cs="Arial"/>
                <w:b/>
                <w:bCs/>
                <w:color w:val="000000"/>
                <w:sz w:val="20"/>
                <w:szCs w:val="20"/>
              </w:rPr>
            </w:pPr>
          </w:p>
        </w:tc>
        <w:tc>
          <w:tcPr>
            <w:tcW w:w="3090" w:type="pct"/>
            <w:vMerge/>
            <w:vAlign w:val="center"/>
          </w:tcPr>
          <w:p w14:paraId="357094F3" w14:textId="77777777" w:rsidR="00785952" w:rsidRPr="00FD6637" w:rsidRDefault="00785952" w:rsidP="00175DE1">
            <w:pPr>
              <w:autoSpaceDE w:val="0"/>
              <w:autoSpaceDN w:val="0"/>
              <w:adjustRightInd w:val="0"/>
              <w:rPr>
                <w:rFonts w:ascii="ArialMT" w:hAnsi="ArialMT" w:cs="Arial"/>
                <w:b/>
                <w:bCs/>
                <w:color w:val="000000"/>
                <w:sz w:val="20"/>
                <w:szCs w:val="20"/>
              </w:rPr>
            </w:pPr>
          </w:p>
        </w:tc>
        <w:tc>
          <w:tcPr>
            <w:tcW w:w="546" w:type="pct"/>
            <w:vAlign w:val="center"/>
          </w:tcPr>
          <w:p w14:paraId="3B0EF875" w14:textId="174EA20E" w:rsidR="00785952" w:rsidRPr="00FD6637" w:rsidRDefault="00785952" w:rsidP="00785952">
            <w:pPr>
              <w:autoSpaceDE w:val="0"/>
              <w:autoSpaceDN w:val="0"/>
              <w:adjustRightInd w:val="0"/>
              <w:jc w:val="center"/>
              <w:rPr>
                <w:rFonts w:ascii="ArialMT" w:hAnsi="ArialMT" w:cs="Arial"/>
                <w:b/>
                <w:bCs/>
                <w:color w:val="000000"/>
                <w:sz w:val="20"/>
                <w:szCs w:val="20"/>
              </w:rPr>
            </w:pPr>
            <w:r w:rsidRPr="00FD6637">
              <w:rPr>
                <w:rFonts w:ascii="ArialMT" w:hAnsi="ArialMT" w:cs="Arial"/>
                <w:b/>
                <w:bCs/>
                <w:color w:val="000000"/>
                <w:sz w:val="20"/>
                <w:szCs w:val="20"/>
              </w:rPr>
              <w:t>Foster Care</w:t>
            </w:r>
          </w:p>
        </w:tc>
        <w:tc>
          <w:tcPr>
            <w:tcW w:w="595" w:type="pct"/>
            <w:vAlign w:val="center"/>
          </w:tcPr>
          <w:p w14:paraId="485E7399" w14:textId="47B48F44" w:rsidR="00785952" w:rsidRPr="00FD6637" w:rsidRDefault="00785952" w:rsidP="00785952">
            <w:pPr>
              <w:autoSpaceDE w:val="0"/>
              <w:autoSpaceDN w:val="0"/>
              <w:adjustRightInd w:val="0"/>
              <w:jc w:val="center"/>
              <w:rPr>
                <w:rFonts w:ascii="ArialMT" w:hAnsi="ArialMT" w:cs="Arial"/>
                <w:b/>
                <w:bCs/>
                <w:color w:val="000000"/>
                <w:sz w:val="20"/>
                <w:szCs w:val="20"/>
              </w:rPr>
            </w:pPr>
            <w:r w:rsidRPr="00FD6637">
              <w:rPr>
                <w:rFonts w:ascii="ArialMT" w:hAnsi="ArialMT" w:cs="Arial"/>
                <w:b/>
                <w:bCs/>
                <w:color w:val="000000"/>
                <w:sz w:val="20"/>
                <w:szCs w:val="20"/>
              </w:rPr>
              <w:t>Military Connected</w:t>
            </w:r>
          </w:p>
        </w:tc>
      </w:tr>
      <w:tr w:rsidR="00BE4141" w:rsidRPr="00B2471D" w14:paraId="6743F04B" w14:textId="77777777" w:rsidTr="00785952">
        <w:tc>
          <w:tcPr>
            <w:tcW w:w="769" w:type="pct"/>
            <w:vAlign w:val="center"/>
          </w:tcPr>
          <w:p w14:paraId="54383818" w14:textId="657632BA"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Adjusted-Cohort Graduation Rate</w:t>
            </w:r>
          </w:p>
        </w:tc>
        <w:tc>
          <w:tcPr>
            <w:tcW w:w="3090" w:type="pct"/>
            <w:vAlign w:val="center"/>
          </w:tcPr>
          <w:p w14:paraId="6A412585" w14:textId="3D5E6E5D"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number of students who graduate (1) in </w:t>
            </w:r>
            <w:r w:rsidRPr="00FA11F7">
              <w:rPr>
                <w:rFonts w:ascii="ArialMT" w:hAnsi="ArialMT" w:cs="Arial"/>
                <w:color w:val="000000"/>
                <w:sz w:val="20"/>
                <w:szCs w:val="20"/>
                <w:u w:val="single"/>
              </w:rPr>
              <w:t>four</w:t>
            </w:r>
            <w:r w:rsidRPr="00FD6637">
              <w:rPr>
                <w:rFonts w:ascii="ArialMT" w:hAnsi="ArialMT" w:cs="Arial"/>
                <w:color w:val="000000"/>
                <w:sz w:val="20"/>
                <w:szCs w:val="20"/>
              </w:rPr>
              <w:t xml:space="preserve"> years or less with a regular high school diploma or (2) a State-defined alternate high school diploma for students with the most significant cognitive disabilities divided by the number of students who form the adjusted-cohort for the </w:t>
            </w:r>
            <w:r w:rsidRPr="00FA11F7">
              <w:rPr>
                <w:rFonts w:ascii="ArialMT" w:hAnsi="ArialMT" w:cs="Arial"/>
                <w:color w:val="000000"/>
                <w:sz w:val="20"/>
                <w:szCs w:val="20"/>
                <w:u w:val="single"/>
              </w:rPr>
              <w:t>four</w:t>
            </w:r>
            <w:r w:rsidRPr="00FD6637">
              <w:rPr>
                <w:rFonts w:ascii="ArialMT" w:hAnsi="ArialMT" w:cs="Arial"/>
                <w:color w:val="000000"/>
                <w:sz w:val="20"/>
                <w:szCs w:val="20"/>
              </w:rPr>
              <w:t>-year adjusted-cohort graduation rate.</w:t>
            </w:r>
          </w:p>
        </w:tc>
        <w:tc>
          <w:tcPr>
            <w:tcW w:w="546" w:type="pct"/>
            <w:vAlign w:val="center"/>
          </w:tcPr>
          <w:p w14:paraId="780DB811" w14:textId="63C00970"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415B511F" w14:textId="5936EC05"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No</w:t>
            </w:r>
          </w:p>
        </w:tc>
      </w:tr>
      <w:tr w:rsidR="00BE4141" w:rsidRPr="00B2471D" w14:paraId="4FCB9F5D" w14:textId="77777777" w:rsidTr="00785952">
        <w:tc>
          <w:tcPr>
            <w:tcW w:w="769" w:type="pct"/>
            <w:vAlign w:val="center"/>
          </w:tcPr>
          <w:p w14:paraId="5845492A" w14:textId="2418D250"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Adjusted-Cohort Graduation Rate</w:t>
            </w:r>
          </w:p>
        </w:tc>
        <w:tc>
          <w:tcPr>
            <w:tcW w:w="3090" w:type="pct"/>
            <w:vAlign w:val="center"/>
          </w:tcPr>
          <w:p w14:paraId="42AB43E9" w14:textId="63F11F5F"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number of students who graduate (1) in </w:t>
            </w:r>
            <w:r w:rsidRPr="00FA11F7">
              <w:rPr>
                <w:rFonts w:ascii="ArialMT" w:hAnsi="ArialMT" w:cs="Arial"/>
                <w:color w:val="000000"/>
                <w:sz w:val="20"/>
                <w:szCs w:val="20"/>
                <w:u w:val="single"/>
              </w:rPr>
              <w:t>five</w:t>
            </w:r>
            <w:r w:rsidRPr="00FD6637">
              <w:rPr>
                <w:rFonts w:ascii="ArialMT" w:hAnsi="ArialMT" w:cs="Arial"/>
                <w:color w:val="000000"/>
                <w:sz w:val="20"/>
                <w:szCs w:val="20"/>
              </w:rPr>
              <w:t xml:space="preserve"> years or less with a regular high school diploma or (2) a State-defined alternate high school diploma for students with the most significant cognitive disabilities divided by the number of students who form the adjusted-cohort for the </w:t>
            </w:r>
            <w:r w:rsidRPr="00FA11F7">
              <w:rPr>
                <w:rFonts w:ascii="ArialMT" w:hAnsi="ArialMT" w:cs="Arial"/>
                <w:color w:val="000000"/>
                <w:sz w:val="20"/>
                <w:szCs w:val="20"/>
                <w:u w:val="single"/>
              </w:rPr>
              <w:t>five</w:t>
            </w:r>
            <w:r w:rsidRPr="00FD6637">
              <w:rPr>
                <w:rFonts w:ascii="ArialMT" w:hAnsi="ArialMT" w:cs="Arial"/>
                <w:color w:val="000000"/>
                <w:sz w:val="20"/>
                <w:szCs w:val="20"/>
              </w:rPr>
              <w:t>-year adjusted-cohort graduation rate.</w:t>
            </w:r>
          </w:p>
        </w:tc>
        <w:tc>
          <w:tcPr>
            <w:tcW w:w="546" w:type="pct"/>
            <w:vAlign w:val="center"/>
          </w:tcPr>
          <w:p w14:paraId="5912CF1F" w14:textId="17161B9C"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41A0C5A8" w14:textId="462DF7FA"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No</w:t>
            </w:r>
          </w:p>
        </w:tc>
      </w:tr>
      <w:tr w:rsidR="00BE4141" w:rsidRPr="00B2471D" w14:paraId="1D64C41B" w14:textId="77777777" w:rsidTr="00785952">
        <w:tc>
          <w:tcPr>
            <w:tcW w:w="769" w:type="pct"/>
            <w:vAlign w:val="center"/>
          </w:tcPr>
          <w:p w14:paraId="09B0CB09" w14:textId="485FF150"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Adjusted-Cohort Graduation Rate</w:t>
            </w:r>
          </w:p>
        </w:tc>
        <w:tc>
          <w:tcPr>
            <w:tcW w:w="3090" w:type="pct"/>
            <w:vAlign w:val="center"/>
          </w:tcPr>
          <w:p w14:paraId="60E37519" w14:textId="1FCE3911"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number of students who graduate (1) in </w:t>
            </w:r>
            <w:r w:rsidRPr="00FA11F7">
              <w:rPr>
                <w:rFonts w:ascii="ArialMT" w:hAnsi="ArialMT" w:cs="Arial"/>
                <w:color w:val="000000"/>
                <w:sz w:val="20"/>
                <w:szCs w:val="20"/>
                <w:u w:val="single"/>
              </w:rPr>
              <w:t>six</w:t>
            </w:r>
            <w:r w:rsidRPr="00FD6637">
              <w:rPr>
                <w:rFonts w:ascii="ArialMT" w:hAnsi="ArialMT" w:cs="Arial"/>
                <w:color w:val="000000"/>
                <w:sz w:val="20"/>
                <w:szCs w:val="20"/>
              </w:rPr>
              <w:t xml:space="preserve"> years or less with a regular high school diploma or (2) a State-defined alternate high school diploma for students with the most significant cognitive disabilities divided by the number of students who form the adjusted-cohort for the </w:t>
            </w:r>
            <w:r w:rsidRPr="00FA11F7">
              <w:rPr>
                <w:rFonts w:ascii="ArialMT" w:hAnsi="ArialMT" w:cs="Arial"/>
                <w:color w:val="000000"/>
                <w:sz w:val="20"/>
                <w:szCs w:val="20"/>
                <w:u w:val="single"/>
              </w:rPr>
              <w:t>six</w:t>
            </w:r>
            <w:r w:rsidRPr="00FD6637">
              <w:rPr>
                <w:rFonts w:ascii="ArialMT" w:hAnsi="ArialMT" w:cs="Arial"/>
                <w:color w:val="000000"/>
                <w:sz w:val="20"/>
                <w:szCs w:val="20"/>
              </w:rPr>
              <w:t>-year adjusted-cohort graduation rate.</w:t>
            </w:r>
          </w:p>
        </w:tc>
        <w:tc>
          <w:tcPr>
            <w:tcW w:w="546" w:type="pct"/>
            <w:vAlign w:val="center"/>
          </w:tcPr>
          <w:p w14:paraId="32210003" w14:textId="77732983"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370A3374" w14:textId="180C7E07"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No</w:t>
            </w:r>
          </w:p>
        </w:tc>
      </w:tr>
      <w:tr w:rsidR="00BE4141" w:rsidRPr="00B2471D" w14:paraId="794CDCA4" w14:textId="77777777" w:rsidTr="00785952">
        <w:tc>
          <w:tcPr>
            <w:tcW w:w="769" w:type="pct"/>
            <w:vAlign w:val="center"/>
          </w:tcPr>
          <w:p w14:paraId="244A274F" w14:textId="197A9BCC"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Cohorts for Adjusted-Cohort Graduation Rate</w:t>
            </w:r>
          </w:p>
        </w:tc>
        <w:tc>
          <w:tcPr>
            <w:tcW w:w="3090" w:type="pct"/>
            <w:vAlign w:val="center"/>
          </w:tcPr>
          <w:p w14:paraId="126CB6FA" w14:textId="7370ED9F"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number of students in the adjusted-cohort for the </w:t>
            </w:r>
            <w:r w:rsidRPr="00FA11F7">
              <w:rPr>
                <w:rFonts w:ascii="ArialMT" w:hAnsi="ArialMT" w:cs="Arial"/>
                <w:color w:val="000000"/>
                <w:sz w:val="20"/>
                <w:szCs w:val="20"/>
                <w:u w:val="single"/>
              </w:rPr>
              <w:t>four</w:t>
            </w:r>
            <w:r w:rsidRPr="00FD6637">
              <w:rPr>
                <w:rFonts w:ascii="ArialMT" w:hAnsi="ArialMT" w:cs="Arial"/>
                <w:color w:val="000000"/>
                <w:sz w:val="20"/>
                <w:szCs w:val="20"/>
              </w:rPr>
              <w:t xml:space="preserve">-year adjusted-cohort graduation rate who did or did not graduate (1) in </w:t>
            </w:r>
            <w:r w:rsidRPr="00FA11F7">
              <w:rPr>
                <w:rFonts w:ascii="ArialMT" w:hAnsi="ArialMT" w:cs="Arial"/>
                <w:color w:val="000000"/>
                <w:sz w:val="20"/>
                <w:szCs w:val="20"/>
                <w:u w:val="single"/>
              </w:rPr>
              <w:t>four</w:t>
            </w:r>
            <w:r w:rsidRPr="00FD6637">
              <w:rPr>
                <w:rFonts w:ascii="ArialMT" w:hAnsi="ArialMT" w:cs="Arial"/>
                <w:color w:val="000000"/>
                <w:sz w:val="20"/>
                <w:szCs w:val="20"/>
              </w:rPr>
              <w:t xml:space="preserve"> years or less with a regular high school diploma or (2) a State-defined alternate high school diploma for students with the most significant cognitive disabilities.</w:t>
            </w:r>
          </w:p>
        </w:tc>
        <w:tc>
          <w:tcPr>
            <w:tcW w:w="546" w:type="pct"/>
            <w:vAlign w:val="center"/>
          </w:tcPr>
          <w:p w14:paraId="71CDA2B6" w14:textId="410F5984"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78E80D22" w14:textId="04E9E556"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No</w:t>
            </w:r>
          </w:p>
        </w:tc>
      </w:tr>
      <w:tr w:rsidR="00BE4141" w:rsidRPr="00B2471D" w14:paraId="73C97755" w14:textId="77777777" w:rsidTr="00785952">
        <w:tc>
          <w:tcPr>
            <w:tcW w:w="769" w:type="pct"/>
            <w:vAlign w:val="center"/>
          </w:tcPr>
          <w:p w14:paraId="29850322" w14:textId="2719D0BD"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Cohorts for Adjusted-Cohort Graduation Rate</w:t>
            </w:r>
          </w:p>
        </w:tc>
        <w:tc>
          <w:tcPr>
            <w:tcW w:w="3090" w:type="pct"/>
            <w:vAlign w:val="center"/>
          </w:tcPr>
          <w:p w14:paraId="74EE1343" w14:textId="1F199DBD"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number of students in the adjusted cohort for the </w:t>
            </w:r>
            <w:r w:rsidRPr="00FA11F7">
              <w:rPr>
                <w:rFonts w:ascii="ArialMT" w:hAnsi="ArialMT" w:cs="Arial"/>
                <w:color w:val="000000"/>
                <w:sz w:val="20"/>
                <w:szCs w:val="20"/>
                <w:u w:val="single"/>
              </w:rPr>
              <w:t>five</w:t>
            </w:r>
            <w:r w:rsidRPr="00FD6637">
              <w:rPr>
                <w:rFonts w:ascii="ArialMT" w:hAnsi="ArialMT" w:cs="Arial"/>
                <w:color w:val="000000"/>
                <w:sz w:val="20"/>
                <w:szCs w:val="20"/>
              </w:rPr>
              <w:t xml:space="preserve">-year adjusted-cohort graduation rate who did or did not graduate (1) in </w:t>
            </w:r>
            <w:r w:rsidRPr="00FA11F7">
              <w:rPr>
                <w:rFonts w:ascii="ArialMT" w:hAnsi="ArialMT" w:cs="Arial"/>
                <w:color w:val="000000"/>
                <w:sz w:val="20"/>
                <w:szCs w:val="20"/>
                <w:u w:val="single"/>
              </w:rPr>
              <w:t>five</w:t>
            </w:r>
            <w:r w:rsidRPr="00FD6637">
              <w:rPr>
                <w:rFonts w:ascii="ArialMT" w:hAnsi="ArialMT" w:cs="Arial"/>
                <w:color w:val="000000"/>
                <w:sz w:val="20"/>
                <w:szCs w:val="20"/>
              </w:rPr>
              <w:t xml:space="preserve"> years or less with a regular high school diploma or (2) a State-defined alternate high school diploma for students with the most significant cognitive disabilities.</w:t>
            </w:r>
          </w:p>
        </w:tc>
        <w:tc>
          <w:tcPr>
            <w:tcW w:w="546" w:type="pct"/>
            <w:vAlign w:val="center"/>
          </w:tcPr>
          <w:p w14:paraId="1DB995A1" w14:textId="0B85ADFB"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73ADF629" w14:textId="22701B33"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No</w:t>
            </w:r>
          </w:p>
        </w:tc>
      </w:tr>
      <w:tr w:rsidR="00BE4141" w:rsidRPr="00B2471D" w14:paraId="612A41C3" w14:textId="77777777" w:rsidTr="00785952">
        <w:tc>
          <w:tcPr>
            <w:tcW w:w="769" w:type="pct"/>
            <w:vAlign w:val="center"/>
          </w:tcPr>
          <w:p w14:paraId="3053BF7C" w14:textId="6DA832AA"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Cohorts for Adjusted-Cohort Graduation Rate</w:t>
            </w:r>
          </w:p>
        </w:tc>
        <w:tc>
          <w:tcPr>
            <w:tcW w:w="3090" w:type="pct"/>
            <w:vAlign w:val="center"/>
          </w:tcPr>
          <w:p w14:paraId="2905A5C8" w14:textId="42931164"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number of students in the adjusted cohort for the </w:t>
            </w:r>
            <w:r w:rsidRPr="00FA11F7">
              <w:rPr>
                <w:rFonts w:ascii="ArialMT" w:hAnsi="ArialMT" w:cs="Arial"/>
                <w:color w:val="000000"/>
                <w:sz w:val="20"/>
                <w:szCs w:val="20"/>
                <w:u w:val="single"/>
              </w:rPr>
              <w:t>six</w:t>
            </w:r>
            <w:r w:rsidRPr="00FD6637">
              <w:rPr>
                <w:rFonts w:ascii="ArialMT" w:hAnsi="ArialMT" w:cs="Arial"/>
                <w:color w:val="000000"/>
                <w:sz w:val="20"/>
                <w:szCs w:val="20"/>
              </w:rPr>
              <w:t xml:space="preserve">-year adjusted-cohort graduation rate who did or did not graduate (1) in </w:t>
            </w:r>
            <w:r w:rsidRPr="00FA11F7">
              <w:rPr>
                <w:rFonts w:ascii="ArialMT" w:hAnsi="ArialMT" w:cs="Arial"/>
                <w:color w:val="000000"/>
                <w:sz w:val="20"/>
                <w:szCs w:val="20"/>
                <w:u w:val="single"/>
              </w:rPr>
              <w:t>six</w:t>
            </w:r>
            <w:r w:rsidRPr="00FD6637">
              <w:rPr>
                <w:rFonts w:ascii="ArialMT" w:hAnsi="ArialMT" w:cs="Arial"/>
                <w:color w:val="000000"/>
                <w:sz w:val="20"/>
                <w:szCs w:val="20"/>
              </w:rPr>
              <w:t xml:space="preserve"> years or less with a regular high school diploma or (2) a State-defined alternate high school diploma for students with the most significant cognitive disabilities.</w:t>
            </w:r>
          </w:p>
        </w:tc>
        <w:tc>
          <w:tcPr>
            <w:tcW w:w="546" w:type="pct"/>
            <w:vAlign w:val="center"/>
          </w:tcPr>
          <w:p w14:paraId="4C5F5BBF" w14:textId="1BF9B151"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014F7AE5" w14:textId="55142819"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No</w:t>
            </w:r>
          </w:p>
        </w:tc>
      </w:tr>
      <w:tr w:rsidR="00BE4141" w:rsidRPr="00B2471D" w14:paraId="57ABAEC4" w14:textId="77777777" w:rsidTr="00785952">
        <w:tc>
          <w:tcPr>
            <w:tcW w:w="769" w:type="pct"/>
            <w:vAlign w:val="center"/>
          </w:tcPr>
          <w:p w14:paraId="33E67C1B" w14:textId="6CE6721F"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Academic Achievement in Mathematics</w:t>
            </w:r>
          </w:p>
        </w:tc>
        <w:tc>
          <w:tcPr>
            <w:tcW w:w="3090" w:type="pct"/>
            <w:vAlign w:val="center"/>
          </w:tcPr>
          <w:p w14:paraId="4D96C970" w14:textId="517A24B4"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unduplicated number of students who completed the state assessment in </w:t>
            </w:r>
            <w:r w:rsidRPr="00FA11F7">
              <w:rPr>
                <w:rFonts w:ascii="ArialMT" w:hAnsi="ArialMT" w:cs="Arial"/>
                <w:color w:val="000000"/>
                <w:sz w:val="20"/>
                <w:szCs w:val="20"/>
                <w:u w:val="single"/>
              </w:rPr>
              <w:t>mathematics</w:t>
            </w:r>
            <w:r w:rsidRPr="00FD6637">
              <w:rPr>
                <w:rFonts w:ascii="ArialMT" w:hAnsi="ArialMT" w:cs="Arial"/>
                <w:color w:val="000000"/>
                <w:sz w:val="20"/>
                <w:szCs w:val="20"/>
              </w:rPr>
              <w:t xml:space="preserve"> and for whom a proficiency level was assigned.</w:t>
            </w:r>
          </w:p>
        </w:tc>
        <w:tc>
          <w:tcPr>
            <w:tcW w:w="546" w:type="pct"/>
            <w:vAlign w:val="center"/>
          </w:tcPr>
          <w:p w14:paraId="12B09593" w14:textId="65817B46"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1B66F402" w14:textId="33631435"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r>
      <w:tr w:rsidR="00BE4141" w:rsidRPr="00B2471D" w14:paraId="65E18168" w14:textId="77777777" w:rsidTr="00785952">
        <w:tc>
          <w:tcPr>
            <w:tcW w:w="769" w:type="pct"/>
            <w:vAlign w:val="center"/>
          </w:tcPr>
          <w:p w14:paraId="2767304A" w14:textId="328D526D"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Academic Achievement in Reading/</w:t>
            </w:r>
            <w:r w:rsidR="00785952">
              <w:rPr>
                <w:rFonts w:ascii="ArialMT" w:hAnsi="ArialMT" w:cs="Arial"/>
                <w:color w:val="000000"/>
                <w:sz w:val="20"/>
                <w:szCs w:val="20"/>
              </w:rPr>
              <w:t xml:space="preserve"> </w:t>
            </w:r>
            <w:r w:rsidRPr="00FD6637">
              <w:rPr>
                <w:rFonts w:ascii="ArialMT" w:hAnsi="ArialMT" w:cs="Arial"/>
                <w:color w:val="000000"/>
                <w:sz w:val="20"/>
                <w:szCs w:val="20"/>
              </w:rPr>
              <w:t>Language Arts</w:t>
            </w:r>
          </w:p>
        </w:tc>
        <w:tc>
          <w:tcPr>
            <w:tcW w:w="3090" w:type="pct"/>
            <w:vAlign w:val="center"/>
          </w:tcPr>
          <w:p w14:paraId="2010D6BD" w14:textId="791F553E"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unduplicated number of students who completed the state assessment in </w:t>
            </w:r>
            <w:r w:rsidRPr="00FA11F7">
              <w:rPr>
                <w:rFonts w:ascii="ArialMT" w:hAnsi="ArialMT" w:cs="Arial"/>
                <w:color w:val="000000"/>
                <w:sz w:val="20"/>
                <w:szCs w:val="20"/>
                <w:u w:val="single"/>
              </w:rPr>
              <w:t>reading/language arts</w:t>
            </w:r>
            <w:r w:rsidRPr="00FD6637">
              <w:rPr>
                <w:rFonts w:ascii="ArialMT" w:hAnsi="ArialMT" w:cs="Arial"/>
                <w:color w:val="000000"/>
                <w:sz w:val="20"/>
                <w:szCs w:val="20"/>
              </w:rPr>
              <w:t xml:space="preserve"> and for whom a proficiency level was assigned.</w:t>
            </w:r>
          </w:p>
        </w:tc>
        <w:tc>
          <w:tcPr>
            <w:tcW w:w="546" w:type="pct"/>
            <w:vAlign w:val="center"/>
          </w:tcPr>
          <w:p w14:paraId="55949E91" w14:textId="64F7AE94"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4194006F" w14:textId="0CF1495F"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r>
      <w:tr w:rsidR="00BE4141" w:rsidRPr="00B2471D" w14:paraId="6C5E8E34" w14:textId="77777777" w:rsidTr="00785952">
        <w:tc>
          <w:tcPr>
            <w:tcW w:w="769" w:type="pct"/>
            <w:vAlign w:val="center"/>
          </w:tcPr>
          <w:p w14:paraId="69210032" w14:textId="388D4B68"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Academic Achievement in Science</w:t>
            </w:r>
          </w:p>
        </w:tc>
        <w:tc>
          <w:tcPr>
            <w:tcW w:w="3090" w:type="pct"/>
            <w:vAlign w:val="center"/>
          </w:tcPr>
          <w:p w14:paraId="20CD0B57" w14:textId="2300D9D0"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unduplicated number of students who completed the state assessment in </w:t>
            </w:r>
            <w:r w:rsidRPr="00FA11F7">
              <w:rPr>
                <w:rFonts w:ascii="ArialMT" w:hAnsi="ArialMT" w:cs="Arial"/>
                <w:color w:val="000000"/>
                <w:sz w:val="20"/>
                <w:szCs w:val="20"/>
                <w:u w:val="single"/>
              </w:rPr>
              <w:t>science</w:t>
            </w:r>
            <w:r w:rsidRPr="00FD6637">
              <w:rPr>
                <w:rFonts w:ascii="ArialMT" w:hAnsi="ArialMT" w:cs="Arial"/>
                <w:color w:val="000000"/>
                <w:sz w:val="20"/>
                <w:szCs w:val="20"/>
              </w:rPr>
              <w:t xml:space="preserve"> and for whom a proficiency level was assigned.</w:t>
            </w:r>
          </w:p>
        </w:tc>
        <w:tc>
          <w:tcPr>
            <w:tcW w:w="546" w:type="pct"/>
            <w:vAlign w:val="center"/>
          </w:tcPr>
          <w:p w14:paraId="20099B78" w14:textId="04DA1D0D"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2B9E20D6" w14:textId="3E99393D"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r>
      <w:tr w:rsidR="00BE4141" w:rsidRPr="00B2471D" w14:paraId="1C11B225" w14:textId="77777777" w:rsidTr="00785952">
        <w:tc>
          <w:tcPr>
            <w:tcW w:w="769" w:type="pct"/>
            <w:vAlign w:val="center"/>
          </w:tcPr>
          <w:p w14:paraId="59E8A01C" w14:textId="02DBB045"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Assessment Participation in Mathematics</w:t>
            </w:r>
          </w:p>
        </w:tc>
        <w:tc>
          <w:tcPr>
            <w:tcW w:w="3090" w:type="pct"/>
            <w:vAlign w:val="center"/>
          </w:tcPr>
          <w:p w14:paraId="4064882C" w14:textId="3D0737B0"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unduplicated number of students who were enrolled during the period of the state assessment in </w:t>
            </w:r>
            <w:r w:rsidRPr="00FA11F7">
              <w:rPr>
                <w:rFonts w:ascii="ArialMT" w:hAnsi="ArialMT" w:cs="Arial"/>
                <w:color w:val="000000"/>
                <w:sz w:val="20"/>
                <w:szCs w:val="20"/>
                <w:u w:val="single"/>
              </w:rPr>
              <w:t>mathematics</w:t>
            </w:r>
            <w:r w:rsidRPr="00FD6637">
              <w:rPr>
                <w:rFonts w:ascii="ArialMT" w:hAnsi="ArialMT" w:cs="Arial"/>
                <w:color w:val="000000"/>
                <w:sz w:val="20"/>
                <w:szCs w:val="20"/>
              </w:rPr>
              <w:t>.</w:t>
            </w:r>
          </w:p>
        </w:tc>
        <w:tc>
          <w:tcPr>
            <w:tcW w:w="546" w:type="pct"/>
            <w:vAlign w:val="center"/>
          </w:tcPr>
          <w:p w14:paraId="1253B119" w14:textId="0F3749B9"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2FBDB691" w14:textId="5713F2A8"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r>
      <w:tr w:rsidR="00BE4141" w:rsidRPr="00B2471D" w14:paraId="34AFDFB2" w14:textId="77777777" w:rsidTr="00785952">
        <w:tc>
          <w:tcPr>
            <w:tcW w:w="769" w:type="pct"/>
            <w:vAlign w:val="center"/>
          </w:tcPr>
          <w:p w14:paraId="0DA11911" w14:textId="729FE461"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Assessment Participation in Reading/</w:t>
            </w:r>
            <w:r w:rsidR="00785952">
              <w:rPr>
                <w:rFonts w:ascii="ArialMT" w:hAnsi="ArialMT" w:cs="Arial"/>
                <w:color w:val="000000"/>
                <w:sz w:val="20"/>
                <w:szCs w:val="20"/>
              </w:rPr>
              <w:t xml:space="preserve"> </w:t>
            </w:r>
            <w:r w:rsidRPr="00FD6637">
              <w:rPr>
                <w:rFonts w:ascii="ArialMT" w:hAnsi="ArialMT" w:cs="Arial"/>
                <w:color w:val="000000"/>
                <w:sz w:val="20"/>
                <w:szCs w:val="20"/>
              </w:rPr>
              <w:t>Language Arts</w:t>
            </w:r>
          </w:p>
        </w:tc>
        <w:tc>
          <w:tcPr>
            <w:tcW w:w="3090" w:type="pct"/>
            <w:vAlign w:val="center"/>
          </w:tcPr>
          <w:p w14:paraId="488FDAD3" w14:textId="01729DCE"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unduplicated number of students who were enrolled during the period of the state assessment in </w:t>
            </w:r>
            <w:r w:rsidRPr="00FA11F7">
              <w:rPr>
                <w:rFonts w:ascii="ArialMT" w:hAnsi="ArialMT" w:cs="Arial"/>
                <w:color w:val="000000"/>
                <w:sz w:val="20"/>
                <w:szCs w:val="20"/>
                <w:u w:val="single"/>
              </w:rPr>
              <w:t>reading/language arts</w:t>
            </w:r>
            <w:r w:rsidRPr="00FD6637">
              <w:rPr>
                <w:rFonts w:ascii="ArialMT" w:hAnsi="ArialMT" w:cs="Arial"/>
                <w:color w:val="000000"/>
                <w:sz w:val="20"/>
                <w:szCs w:val="20"/>
              </w:rPr>
              <w:t>.</w:t>
            </w:r>
          </w:p>
        </w:tc>
        <w:tc>
          <w:tcPr>
            <w:tcW w:w="546" w:type="pct"/>
            <w:vAlign w:val="center"/>
          </w:tcPr>
          <w:p w14:paraId="68BBE145" w14:textId="5473C9C3"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0ABDF6C0" w14:textId="7910225A"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r>
      <w:tr w:rsidR="00BE4141" w:rsidRPr="00B2471D" w14:paraId="38C81DB8" w14:textId="77777777" w:rsidTr="00785952">
        <w:tc>
          <w:tcPr>
            <w:tcW w:w="769" w:type="pct"/>
            <w:vAlign w:val="center"/>
          </w:tcPr>
          <w:p w14:paraId="6925190E" w14:textId="37F51C20"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Assessment Participation in Science</w:t>
            </w:r>
          </w:p>
        </w:tc>
        <w:tc>
          <w:tcPr>
            <w:tcW w:w="3090" w:type="pct"/>
            <w:vAlign w:val="center"/>
          </w:tcPr>
          <w:p w14:paraId="3EC45621" w14:textId="476485DF" w:rsidR="00BE4141" w:rsidRPr="002A4B01" w:rsidRDefault="00BE4141" w:rsidP="00175DE1">
            <w:pPr>
              <w:autoSpaceDE w:val="0"/>
              <w:autoSpaceDN w:val="0"/>
              <w:adjustRightInd w:val="0"/>
              <w:rPr>
                <w:rFonts w:ascii="ArialMT" w:hAnsi="ArialMT" w:cs="Arial"/>
                <w:sz w:val="20"/>
                <w:szCs w:val="20"/>
              </w:rPr>
            </w:pPr>
            <w:r w:rsidRPr="00FD6637">
              <w:rPr>
                <w:rFonts w:ascii="ArialMT" w:hAnsi="ArialMT" w:cs="Arial"/>
                <w:color w:val="000000"/>
                <w:sz w:val="20"/>
                <w:szCs w:val="20"/>
              </w:rPr>
              <w:t xml:space="preserve">The unduplicated number of students who were enrolled during the period of the state assessment in </w:t>
            </w:r>
            <w:r w:rsidRPr="00FA11F7">
              <w:rPr>
                <w:rFonts w:ascii="ArialMT" w:hAnsi="ArialMT" w:cs="Arial"/>
                <w:color w:val="000000"/>
                <w:sz w:val="20"/>
                <w:szCs w:val="20"/>
                <w:u w:val="single"/>
              </w:rPr>
              <w:t>science</w:t>
            </w:r>
            <w:r w:rsidRPr="00FD6637">
              <w:rPr>
                <w:rFonts w:ascii="ArialMT" w:hAnsi="ArialMT" w:cs="Arial"/>
                <w:color w:val="000000"/>
                <w:sz w:val="20"/>
                <w:szCs w:val="20"/>
              </w:rPr>
              <w:t>.</w:t>
            </w:r>
          </w:p>
        </w:tc>
        <w:tc>
          <w:tcPr>
            <w:tcW w:w="546" w:type="pct"/>
            <w:vAlign w:val="center"/>
          </w:tcPr>
          <w:p w14:paraId="78B30F79" w14:textId="56AD8F53"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c>
          <w:tcPr>
            <w:tcW w:w="595" w:type="pct"/>
            <w:vAlign w:val="center"/>
          </w:tcPr>
          <w:p w14:paraId="08657F0F" w14:textId="5B604FDF" w:rsidR="00BE4141" w:rsidRPr="002A4B01" w:rsidRDefault="00BE4141" w:rsidP="00785952">
            <w:pPr>
              <w:autoSpaceDE w:val="0"/>
              <w:autoSpaceDN w:val="0"/>
              <w:adjustRightInd w:val="0"/>
              <w:jc w:val="center"/>
              <w:rPr>
                <w:rFonts w:ascii="ArialMT" w:hAnsi="ArialMT" w:cs="Arial"/>
                <w:sz w:val="20"/>
                <w:szCs w:val="20"/>
              </w:rPr>
            </w:pPr>
            <w:r w:rsidRPr="00FD6637">
              <w:rPr>
                <w:rFonts w:ascii="ArialMT" w:hAnsi="ArialMT" w:cs="Arial"/>
                <w:color w:val="000000"/>
                <w:sz w:val="20"/>
                <w:szCs w:val="20"/>
              </w:rPr>
              <w:t>Yes</w:t>
            </w:r>
          </w:p>
        </w:tc>
      </w:tr>
    </w:tbl>
    <w:p w14:paraId="5B17EAD9" w14:textId="77777777" w:rsidR="00175DE1" w:rsidRDefault="00175DE1" w:rsidP="00D5148F">
      <w:pPr>
        <w:autoSpaceDE w:val="0"/>
        <w:autoSpaceDN w:val="0"/>
        <w:adjustRightInd w:val="0"/>
        <w:spacing w:after="0" w:line="240" w:lineRule="auto"/>
        <w:ind w:left="720"/>
        <w:rPr>
          <w:rFonts w:ascii="ArialMT" w:hAnsi="ArialMT" w:cs="ArialMT"/>
          <w:sz w:val="20"/>
          <w:szCs w:val="20"/>
        </w:rPr>
      </w:pPr>
    </w:p>
    <w:p w14:paraId="350040F5" w14:textId="77777777" w:rsidR="00193765" w:rsidRDefault="00D5148F" w:rsidP="00193765">
      <w:pPr>
        <w:autoSpaceDE w:val="0"/>
        <w:autoSpaceDN w:val="0"/>
        <w:adjustRightInd w:val="0"/>
        <w:spacing w:after="120" w:line="240" w:lineRule="auto"/>
        <w:jc w:val="both"/>
        <w:rPr>
          <w:rFonts w:ascii="ArialMT" w:eastAsiaTheme="majorEastAsia" w:hAnsi="ArialMT" w:cstheme="majorBidi"/>
          <w:color w:val="2F5496" w:themeColor="accent1" w:themeShade="BF"/>
          <w:sz w:val="26"/>
          <w:szCs w:val="26"/>
        </w:rPr>
      </w:pPr>
      <w:r w:rsidRPr="00FD6637">
        <w:rPr>
          <w:rFonts w:ascii="ArialMT" w:eastAsiaTheme="majorEastAsia" w:hAnsi="ArialMT" w:cstheme="majorBidi"/>
          <w:color w:val="2F5496" w:themeColor="accent1" w:themeShade="BF"/>
          <w:sz w:val="26"/>
          <w:szCs w:val="26"/>
        </w:rPr>
        <w:t>Variation between states</w:t>
      </w:r>
    </w:p>
    <w:p w14:paraId="4D120182" w14:textId="321DD64C" w:rsidR="00DD732E" w:rsidRDefault="007B37A5" w:rsidP="00193765">
      <w:pPr>
        <w:spacing w:after="120" w:line="240" w:lineRule="auto"/>
        <w:rPr>
          <w:rFonts w:ascii="ArialMT" w:hAnsi="ArialMT" w:cs="ArialMT"/>
          <w:sz w:val="20"/>
          <w:szCs w:val="20"/>
        </w:rPr>
      </w:pPr>
      <w:r w:rsidRPr="00FD6637">
        <w:rPr>
          <w:rFonts w:ascii="ArialMT" w:hAnsi="ArialMT" w:cs="ArialMT"/>
          <w:sz w:val="20"/>
          <w:szCs w:val="20"/>
        </w:rPr>
        <w:t>Regarding children in foster care and military-connectedness, ED has included a definition of foster care in the Department’s foster care guidance available at the following location</w:t>
      </w:r>
      <w:r w:rsidR="00FA11F7">
        <w:rPr>
          <w:rFonts w:ascii="ArialMT" w:hAnsi="ArialMT" w:cs="ArialMT"/>
          <w:sz w:val="20"/>
          <w:szCs w:val="20"/>
        </w:rPr>
        <w:t xml:space="preserve"> (and attached with this memo in </w:t>
      </w:r>
      <w:r w:rsidR="00FA11F7" w:rsidRPr="00FA11F7">
        <w:rPr>
          <w:rFonts w:ascii="ArialMT" w:hAnsi="ArialMT" w:cs="ArialMT"/>
          <w:i/>
          <w:iCs/>
          <w:sz w:val="20"/>
          <w:szCs w:val="20"/>
        </w:rPr>
        <w:t>2016-06-23 ED Foster Care Guidance.pdf</w:t>
      </w:r>
      <w:r w:rsidR="00FA11F7">
        <w:rPr>
          <w:rFonts w:ascii="ArialMT" w:hAnsi="ArialMT" w:cs="ArialMT"/>
          <w:sz w:val="20"/>
          <w:szCs w:val="20"/>
        </w:rPr>
        <w:t>)</w:t>
      </w:r>
      <w:r w:rsidRPr="00FD6637">
        <w:rPr>
          <w:rFonts w:ascii="ArialMT" w:hAnsi="ArialMT" w:cs="ArialMT"/>
          <w:sz w:val="20"/>
          <w:szCs w:val="20"/>
        </w:rPr>
        <w:t xml:space="preserve">: </w:t>
      </w:r>
      <w:hyperlink r:id="rId14" w:history="1">
        <w:r w:rsidR="00DD732E" w:rsidRPr="00FD6637">
          <w:rPr>
            <w:rStyle w:val="Hyperlink"/>
            <w:rFonts w:ascii="ArialMT" w:hAnsi="ArialMT" w:cs="ArialMT"/>
            <w:sz w:val="20"/>
            <w:szCs w:val="20"/>
          </w:rPr>
          <w:t>https://www2.ed.gov/policy/elsec/leg/essa/edhhsfostercarenonregulatorguide.pdf</w:t>
        </w:r>
      </w:hyperlink>
    </w:p>
    <w:p w14:paraId="78E868C2" w14:textId="16549377" w:rsidR="007B37A5" w:rsidRPr="00FD6637" w:rsidRDefault="007B37A5" w:rsidP="00193765">
      <w:pPr>
        <w:spacing w:after="120" w:line="240" w:lineRule="auto"/>
        <w:rPr>
          <w:rFonts w:ascii="ArialMT" w:hAnsi="ArialMT" w:cs="ArialMT"/>
          <w:sz w:val="20"/>
          <w:szCs w:val="20"/>
        </w:rPr>
      </w:pPr>
      <w:r w:rsidRPr="00FD6637">
        <w:rPr>
          <w:rFonts w:ascii="ArialMT" w:hAnsi="ArialMT" w:cs="ArialMT"/>
          <w:sz w:val="20"/>
          <w:szCs w:val="20"/>
        </w:rPr>
        <w:t>Additionally, the relevant ED</w:t>
      </w:r>
      <w:r w:rsidRPr="00FD6637">
        <w:rPr>
          <w:rFonts w:ascii="ArialMT" w:hAnsi="ArialMT" w:cs="ArialMT"/>
          <w:i/>
          <w:iCs/>
          <w:sz w:val="20"/>
          <w:szCs w:val="20"/>
        </w:rPr>
        <w:t>Facts</w:t>
      </w:r>
      <w:r w:rsidRPr="00FD6637">
        <w:rPr>
          <w:rFonts w:ascii="ArialMT" w:hAnsi="ArialMT" w:cs="ArialMT"/>
          <w:sz w:val="20"/>
          <w:szCs w:val="20"/>
        </w:rPr>
        <w:t xml:space="preserve"> file specifications include a definition for military-connectedness that the Department </w:t>
      </w:r>
      <w:r w:rsidR="00794597">
        <w:rPr>
          <w:rFonts w:ascii="ArialMT" w:hAnsi="ArialMT" w:cs="ArialMT"/>
          <w:sz w:val="20"/>
          <w:szCs w:val="20"/>
        </w:rPr>
        <w:t>encourages</w:t>
      </w:r>
      <w:r w:rsidRPr="00FD6637">
        <w:rPr>
          <w:rFonts w:ascii="ArialMT" w:hAnsi="ArialMT" w:cs="ArialMT"/>
          <w:sz w:val="20"/>
          <w:szCs w:val="20"/>
        </w:rPr>
        <w:t xml:space="preserve"> States use.</w:t>
      </w:r>
      <w:r w:rsidR="00794597">
        <w:rPr>
          <w:rFonts w:ascii="ArialMT" w:hAnsi="ArialMT" w:cs="ArialMT"/>
          <w:sz w:val="20"/>
          <w:szCs w:val="20"/>
        </w:rPr>
        <w:t xml:space="preserve"> </w:t>
      </w:r>
      <w:r w:rsidRPr="00FD6637">
        <w:rPr>
          <w:rFonts w:ascii="ArialMT" w:hAnsi="ArialMT" w:cs="ArialMT"/>
          <w:sz w:val="20"/>
          <w:szCs w:val="20"/>
        </w:rPr>
        <w:t>Despite the existence of these definitions, it should be noted that the States vary in their capacity to report these data</w:t>
      </w:r>
      <w:r>
        <w:rPr>
          <w:rFonts w:ascii="ArialMT" w:hAnsi="ArialMT" w:cs="ArialMT"/>
          <w:sz w:val="20"/>
          <w:szCs w:val="20"/>
        </w:rPr>
        <w:t>. Especially, because</w:t>
      </w:r>
      <w:r w:rsidRPr="00FD6637">
        <w:rPr>
          <w:rFonts w:ascii="ArialMT" w:hAnsi="ArialMT" w:cs="ArialMT"/>
          <w:sz w:val="20"/>
          <w:szCs w:val="20"/>
        </w:rPr>
        <w:t xml:space="preserve"> these collections are in their early years. Quality and completeness of data </w:t>
      </w:r>
      <w:r w:rsidRPr="007B37A5">
        <w:rPr>
          <w:rFonts w:ascii="ArialMT" w:hAnsi="ArialMT" w:cs="ArialMT"/>
          <w:sz w:val="20"/>
          <w:szCs w:val="20"/>
        </w:rPr>
        <w:t>var</w:t>
      </w:r>
      <w:r w:rsidR="00F30722">
        <w:rPr>
          <w:rFonts w:ascii="ArialMT" w:hAnsi="ArialMT" w:cs="ArialMT"/>
          <w:sz w:val="20"/>
          <w:szCs w:val="20"/>
        </w:rPr>
        <w:t>y but are</w:t>
      </w:r>
      <w:r w:rsidRPr="00FD6637">
        <w:rPr>
          <w:rFonts w:ascii="ArialMT" w:hAnsi="ArialMT" w:cs="ArialMT"/>
          <w:sz w:val="20"/>
          <w:szCs w:val="20"/>
        </w:rPr>
        <w:t xml:space="preserve"> expected to improve over time.</w:t>
      </w:r>
    </w:p>
    <w:p w14:paraId="61E73853" w14:textId="343025B9" w:rsidR="00193765" w:rsidRDefault="007B37A5" w:rsidP="00193765">
      <w:pPr>
        <w:spacing w:after="120" w:line="240" w:lineRule="auto"/>
        <w:rPr>
          <w:rFonts w:ascii="ArialMT" w:hAnsi="ArialMT" w:cs="ArialMT"/>
          <w:sz w:val="20"/>
          <w:szCs w:val="20"/>
        </w:rPr>
      </w:pPr>
      <w:r w:rsidRPr="00FD6637">
        <w:rPr>
          <w:rFonts w:ascii="ArialMT" w:hAnsi="ArialMT" w:cs="ArialMT"/>
          <w:sz w:val="20"/>
          <w:szCs w:val="20"/>
        </w:rPr>
        <w:t>States had considerable flexibility in developing accountability indicators, including how they calculate the results of those indicators, consistent with statutory requirement. For example, States are using different measures for their School Quality or Student Success Indicators based on what they determined to be most meaningful for their State. States were required to report performance on each indicator for each school in accordance with the</w:t>
      </w:r>
      <w:r w:rsidR="00EF717C">
        <w:rPr>
          <w:rFonts w:ascii="ArialMT" w:hAnsi="ArialMT" w:cs="ArialMT"/>
          <w:sz w:val="20"/>
          <w:szCs w:val="20"/>
        </w:rPr>
        <w:t>ir</w:t>
      </w:r>
      <w:r w:rsidRPr="00FD6637">
        <w:rPr>
          <w:rFonts w:ascii="ArialMT" w:hAnsi="ArialMT" w:cs="ArialMT"/>
          <w:sz w:val="20"/>
          <w:szCs w:val="20"/>
        </w:rPr>
        <w:t xml:space="preserve"> approved State plan. For more information about each State plan, see the State plan submission webpage available </w:t>
      </w:r>
      <w:bookmarkStart w:id="1" w:name="_Hlk15493919"/>
      <w:r w:rsidR="00E66FB4" w:rsidRPr="00406A4B">
        <w:rPr>
          <w:rStyle w:val="Hyperlink"/>
          <w:rFonts w:ascii="ArialMT" w:hAnsi="ArialMT" w:cs="ArialMT"/>
          <w:sz w:val="20"/>
          <w:szCs w:val="20"/>
        </w:rPr>
        <w:fldChar w:fldCharType="begin"/>
      </w:r>
      <w:r w:rsidR="002B170F" w:rsidRPr="00406A4B">
        <w:rPr>
          <w:rStyle w:val="Hyperlink"/>
          <w:rFonts w:ascii="ArialMT" w:hAnsi="ArialMT" w:cs="ArialMT"/>
          <w:sz w:val="20"/>
          <w:szCs w:val="20"/>
        </w:rPr>
        <w:instrText>HYPERLINK "https://www2.ed.gov/admins/lead/account/stateplan17/statesubmission.html"</w:instrText>
      </w:r>
      <w:r w:rsidR="00E66FB4" w:rsidRPr="00406A4B">
        <w:rPr>
          <w:rStyle w:val="Hyperlink"/>
          <w:rFonts w:ascii="ArialMT" w:hAnsi="ArialMT" w:cs="ArialMT"/>
          <w:sz w:val="20"/>
          <w:szCs w:val="20"/>
        </w:rPr>
        <w:fldChar w:fldCharType="separate"/>
      </w:r>
      <w:r w:rsidRPr="00406A4B">
        <w:rPr>
          <w:rStyle w:val="Hyperlink"/>
        </w:rPr>
        <w:t>here</w:t>
      </w:r>
      <w:r w:rsidR="00E66FB4" w:rsidRPr="00406A4B">
        <w:rPr>
          <w:rStyle w:val="Hyperlink"/>
        </w:rPr>
        <w:fldChar w:fldCharType="end"/>
      </w:r>
      <w:bookmarkEnd w:id="1"/>
      <w:r w:rsidRPr="00406A4B">
        <w:rPr>
          <w:rStyle w:val="Hyperlink"/>
        </w:rPr>
        <w:t>.</w:t>
      </w:r>
    </w:p>
    <w:p w14:paraId="0F8B79E8" w14:textId="77777777" w:rsidR="00193765" w:rsidRPr="00F30722" w:rsidRDefault="003D7C2A" w:rsidP="00193765">
      <w:pPr>
        <w:pStyle w:val="ListParagraph"/>
        <w:numPr>
          <w:ilvl w:val="0"/>
          <w:numId w:val="16"/>
        </w:numPr>
        <w:autoSpaceDE w:val="0"/>
        <w:autoSpaceDN w:val="0"/>
        <w:adjustRightInd w:val="0"/>
        <w:spacing w:after="120" w:line="240" w:lineRule="auto"/>
        <w:contextualSpacing w:val="0"/>
        <w:rPr>
          <w:rFonts w:ascii="ArialMT" w:hAnsi="ArialMT" w:cs="ArialMT"/>
          <w:i/>
          <w:color w:val="0000CC"/>
          <w:sz w:val="20"/>
          <w:szCs w:val="20"/>
        </w:rPr>
      </w:pPr>
      <w:r w:rsidRPr="00F30722">
        <w:rPr>
          <w:rFonts w:ascii="ArialMT" w:hAnsi="ArialMT" w:cs="ArialMT"/>
          <w:i/>
          <w:color w:val="0000CC"/>
          <w:sz w:val="20"/>
          <w:szCs w:val="20"/>
        </w:rPr>
        <w:t>a discussion of the utility of these measures given those differences, including challenges in combining data and making comparisons across states; and</w:t>
      </w:r>
    </w:p>
    <w:p w14:paraId="79C3ED56" w14:textId="31E78598" w:rsidR="00193765" w:rsidRDefault="00995B0F" w:rsidP="00193765">
      <w:pPr>
        <w:autoSpaceDE w:val="0"/>
        <w:autoSpaceDN w:val="0"/>
        <w:adjustRightInd w:val="0"/>
        <w:spacing w:after="120" w:line="240" w:lineRule="auto"/>
        <w:rPr>
          <w:rFonts w:ascii="ArialMT" w:hAnsi="ArialMT" w:cs="ArialMT"/>
          <w:sz w:val="20"/>
          <w:szCs w:val="20"/>
        </w:rPr>
      </w:pPr>
      <w:r w:rsidRPr="00FD6637">
        <w:rPr>
          <w:rFonts w:ascii="ArialMT" w:hAnsi="ArialMT" w:cs="ArialMT"/>
          <w:sz w:val="20"/>
          <w:szCs w:val="20"/>
        </w:rPr>
        <w:t xml:space="preserve">Given the primary purpose of monitoring grant implementation, OESE is able to analyze data </w:t>
      </w:r>
      <w:r w:rsidR="004D0664" w:rsidRPr="00FD6637">
        <w:rPr>
          <w:rFonts w:ascii="ArialMT" w:hAnsi="ArialMT" w:cs="ArialMT"/>
          <w:sz w:val="20"/>
          <w:szCs w:val="20"/>
        </w:rPr>
        <w:t xml:space="preserve">by looking within the state and </w:t>
      </w:r>
      <w:r w:rsidR="00F63542" w:rsidRPr="00FD6637">
        <w:rPr>
          <w:rFonts w:ascii="ArialMT" w:hAnsi="ArialMT" w:cs="ArialMT"/>
          <w:sz w:val="20"/>
          <w:szCs w:val="20"/>
        </w:rPr>
        <w:t xml:space="preserve">reviewing </w:t>
      </w:r>
      <w:r w:rsidR="004D0664" w:rsidRPr="00FD6637">
        <w:rPr>
          <w:rFonts w:ascii="ArialMT" w:hAnsi="ArialMT" w:cs="ArialMT"/>
          <w:sz w:val="20"/>
          <w:szCs w:val="20"/>
        </w:rPr>
        <w:t xml:space="preserve">data by program. </w:t>
      </w:r>
      <w:r w:rsidR="0077018D">
        <w:rPr>
          <w:rFonts w:ascii="ArialMT" w:hAnsi="ArialMT" w:cs="ArialMT"/>
          <w:sz w:val="20"/>
          <w:szCs w:val="20"/>
        </w:rPr>
        <w:t>While combining data can be challenging across data collection systems (i</w:t>
      </w:r>
      <w:r w:rsidR="0023528E">
        <w:rPr>
          <w:rFonts w:ascii="ArialMT" w:hAnsi="ArialMT" w:cs="ArialMT"/>
          <w:sz w:val="20"/>
          <w:szCs w:val="20"/>
        </w:rPr>
        <w:t>.</w:t>
      </w:r>
      <w:r w:rsidR="0077018D">
        <w:rPr>
          <w:rFonts w:ascii="ArialMT" w:hAnsi="ArialMT" w:cs="ArialMT"/>
          <w:sz w:val="20"/>
          <w:szCs w:val="20"/>
        </w:rPr>
        <w:t>e. ED</w:t>
      </w:r>
      <w:r w:rsidR="0077018D" w:rsidRPr="00FD6637">
        <w:rPr>
          <w:rFonts w:ascii="ArialMT" w:hAnsi="ArialMT" w:cs="ArialMT"/>
          <w:i/>
          <w:iCs/>
          <w:sz w:val="20"/>
          <w:szCs w:val="20"/>
        </w:rPr>
        <w:t>Facts</w:t>
      </w:r>
      <w:r w:rsidR="0077018D">
        <w:rPr>
          <w:rFonts w:ascii="ArialMT" w:hAnsi="ArialMT" w:cs="ArialMT"/>
          <w:sz w:val="20"/>
          <w:szCs w:val="20"/>
        </w:rPr>
        <w:t xml:space="preserve"> vs. Program Office collections), within ED</w:t>
      </w:r>
      <w:r w:rsidR="0077018D">
        <w:rPr>
          <w:rFonts w:ascii="ArialMT" w:hAnsi="ArialMT" w:cs="ArialMT"/>
          <w:i/>
          <w:iCs/>
          <w:sz w:val="20"/>
          <w:szCs w:val="20"/>
        </w:rPr>
        <w:t>Facts</w:t>
      </w:r>
      <w:r w:rsidR="0077018D">
        <w:rPr>
          <w:rFonts w:ascii="ArialMT" w:hAnsi="ArialMT" w:cs="ArialMT"/>
          <w:sz w:val="20"/>
          <w:szCs w:val="20"/>
        </w:rPr>
        <w:t xml:space="preserve"> data are collected using a standardized reporting system. Therefore, ED</w:t>
      </w:r>
      <w:r w:rsidR="0077018D">
        <w:rPr>
          <w:rFonts w:ascii="ArialMT" w:hAnsi="ArialMT" w:cs="ArialMT"/>
          <w:i/>
          <w:iCs/>
          <w:sz w:val="20"/>
          <w:szCs w:val="20"/>
        </w:rPr>
        <w:t>Facts</w:t>
      </w:r>
      <w:r w:rsidR="0077018D">
        <w:rPr>
          <w:rFonts w:ascii="ArialMT" w:hAnsi="ArialMT" w:cs="ArialMT"/>
          <w:sz w:val="20"/>
          <w:szCs w:val="20"/>
        </w:rPr>
        <w:t xml:space="preserve"> is able to create data extracts from the automated system allowing for combining data into easily interpretable data sets and reports. Furthermore, when making data comparisons across states, </w:t>
      </w:r>
      <w:r w:rsidR="00A426EE" w:rsidRPr="00FD6637">
        <w:rPr>
          <w:rFonts w:ascii="ArialMT" w:hAnsi="ArialMT" w:cs="ArialMT"/>
          <w:sz w:val="20"/>
          <w:szCs w:val="20"/>
        </w:rPr>
        <w:t>data limitations are known, documented, and reflected in the use of the data. Variability across states</w:t>
      </w:r>
      <w:r w:rsidR="00C51B99" w:rsidRPr="00FD6637">
        <w:rPr>
          <w:rFonts w:ascii="ArialMT" w:hAnsi="ArialMT" w:cs="ArialMT"/>
          <w:sz w:val="20"/>
          <w:szCs w:val="20"/>
        </w:rPr>
        <w:t xml:space="preserve"> is only problematic if the data user does not understand the purpose and allowable variability in the </w:t>
      </w:r>
      <w:r w:rsidR="007A6F5B" w:rsidRPr="00FD6637">
        <w:rPr>
          <w:rFonts w:ascii="ArialMT" w:hAnsi="ArialMT" w:cs="ArialMT"/>
          <w:sz w:val="20"/>
          <w:szCs w:val="20"/>
        </w:rPr>
        <w:t xml:space="preserve">reporting requirements. Within USDOE, comparisons across states </w:t>
      </w:r>
      <w:r w:rsidR="0023528E">
        <w:rPr>
          <w:rFonts w:ascii="ArialMT" w:hAnsi="ArialMT" w:cs="ArialMT"/>
          <w:sz w:val="20"/>
          <w:szCs w:val="20"/>
        </w:rPr>
        <w:t>are</w:t>
      </w:r>
      <w:r w:rsidR="007A6F5B" w:rsidRPr="00FD6637">
        <w:rPr>
          <w:rFonts w:ascii="ArialMT" w:hAnsi="ArialMT" w:cs="ArialMT"/>
          <w:sz w:val="20"/>
          <w:szCs w:val="20"/>
        </w:rPr>
        <w:t xml:space="preserve"> not problematic.</w:t>
      </w:r>
    </w:p>
    <w:p w14:paraId="19FCD883" w14:textId="33D5D83F" w:rsidR="00824BD7" w:rsidRDefault="00824BD7" w:rsidP="00193765">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For publicly available data sets and file documentation, see The ED</w:t>
      </w:r>
      <w:r>
        <w:rPr>
          <w:rFonts w:ascii="ArialMT" w:hAnsi="ArialMT" w:cs="ArialMT"/>
          <w:i/>
          <w:iCs/>
          <w:sz w:val="20"/>
          <w:szCs w:val="20"/>
        </w:rPr>
        <w:t>Facts</w:t>
      </w:r>
      <w:r>
        <w:rPr>
          <w:rFonts w:ascii="ArialMT" w:hAnsi="ArialMT" w:cs="ArialMT"/>
          <w:sz w:val="20"/>
          <w:szCs w:val="20"/>
        </w:rPr>
        <w:t xml:space="preserve"> Initiative webpage available </w:t>
      </w:r>
      <w:hyperlink r:id="rId15" w:history="1">
        <w:r>
          <w:rPr>
            <w:rStyle w:val="Hyperlink"/>
            <w:rFonts w:ascii="ArialMT" w:hAnsi="ArialMT" w:cs="ArialMT"/>
            <w:sz w:val="20"/>
            <w:szCs w:val="20"/>
          </w:rPr>
          <w:t>here</w:t>
        </w:r>
        <w:r w:rsidRPr="00AD7D38">
          <w:rPr>
            <w:rStyle w:val="Hyperlink"/>
            <w:rFonts w:ascii="ArialMT" w:hAnsi="ArialMT" w:cs="ArialMT"/>
            <w:color w:val="auto"/>
            <w:sz w:val="20"/>
            <w:szCs w:val="20"/>
            <w:u w:val="none"/>
          </w:rPr>
          <w:t>.</w:t>
        </w:r>
      </w:hyperlink>
      <w:r w:rsidR="007D2EB2">
        <w:rPr>
          <w:rStyle w:val="FootnoteReference"/>
          <w:rFonts w:ascii="ArialMT" w:hAnsi="ArialMT" w:cs="ArialMT"/>
          <w:sz w:val="20"/>
          <w:szCs w:val="20"/>
        </w:rPr>
        <w:footnoteReference w:id="3"/>
      </w:r>
    </w:p>
    <w:p w14:paraId="5EB4F6C8" w14:textId="77777777" w:rsidR="00193765" w:rsidRPr="00F30722" w:rsidRDefault="00193643" w:rsidP="00193765">
      <w:pPr>
        <w:pStyle w:val="ListParagraph"/>
        <w:numPr>
          <w:ilvl w:val="0"/>
          <w:numId w:val="16"/>
        </w:numPr>
        <w:autoSpaceDE w:val="0"/>
        <w:autoSpaceDN w:val="0"/>
        <w:adjustRightInd w:val="0"/>
        <w:spacing w:after="120" w:line="240" w:lineRule="auto"/>
        <w:contextualSpacing w:val="0"/>
        <w:rPr>
          <w:rFonts w:ascii="ArialMT" w:hAnsi="ArialMT" w:cs="ArialMT"/>
          <w:i/>
          <w:color w:val="0000CC"/>
          <w:sz w:val="20"/>
          <w:szCs w:val="20"/>
        </w:rPr>
      </w:pPr>
      <w:r w:rsidRPr="00F30722">
        <w:rPr>
          <w:rFonts w:ascii="ArialMT" w:hAnsi="ArialMT" w:cs="ArialMT"/>
          <w:i/>
          <w:color w:val="0000CC"/>
          <w:sz w:val="20"/>
          <w:szCs w:val="20"/>
        </w:rPr>
        <w:t>a discussion of potential steps that ED can take to increase the utility and consistency of these measures</w:t>
      </w:r>
    </w:p>
    <w:p w14:paraId="5595BDE9" w14:textId="441C87CF" w:rsidR="00193765" w:rsidRDefault="00091A53" w:rsidP="00193765">
      <w:pPr>
        <w:autoSpaceDE w:val="0"/>
        <w:autoSpaceDN w:val="0"/>
        <w:adjustRightInd w:val="0"/>
        <w:spacing w:after="120" w:line="240" w:lineRule="auto"/>
        <w:rPr>
          <w:rFonts w:ascii="ArialMT" w:hAnsi="ArialMT" w:cs="ArialMT"/>
          <w:sz w:val="20"/>
          <w:szCs w:val="20"/>
        </w:rPr>
      </w:pPr>
      <w:r w:rsidRPr="00FD6637">
        <w:rPr>
          <w:rFonts w:ascii="ArialMT" w:hAnsi="ArialMT" w:cs="ArialMT"/>
          <w:sz w:val="20"/>
          <w:szCs w:val="20"/>
        </w:rPr>
        <w:t xml:space="preserve">ED grant making offices </w:t>
      </w:r>
      <w:r w:rsidR="00486B26" w:rsidRPr="00FD6637">
        <w:rPr>
          <w:rFonts w:ascii="ArialMT" w:hAnsi="ArialMT" w:cs="ArialMT"/>
          <w:sz w:val="20"/>
          <w:szCs w:val="20"/>
        </w:rPr>
        <w:t xml:space="preserve">are tasked with ensuring </w:t>
      </w:r>
      <w:r w:rsidR="00502F8A">
        <w:rPr>
          <w:rFonts w:ascii="ArialMT" w:hAnsi="ArialMT" w:cs="ArialMT"/>
          <w:sz w:val="20"/>
          <w:szCs w:val="20"/>
        </w:rPr>
        <w:t xml:space="preserve">that </w:t>
      </w:r>
      <w:r w:rsidR="00486B26" w:rsidRPr="00FD6637">
        <w:rPr>
          <w:rFonts w:ascii="ArialMT" w:hAnsi="ArialMT" w:cs="ArialMT"/>
          <w:sz w:val="20"/>
          <w:szCs w:val="20"/>
        </w:rPr>
        <w:t xml:space="preserve">each state </w:t>
      </w:r>
      <w:r w:rsidR="00781740" w:rsidRPr="00FD6637">
        <w:rPr>
          <w:rFonts w:ascii="ArialMT" w:hAnsi="ArialMT" w:cs="ArialMT"/>
          <w:sz w:val="20"/>
          <w:szCs w:val="20"/>
        </w:rPr>
        <w:t xml:space="preserve">grant program is aligned with statutory requirements. ESSA </w:t>
      </w:r>
      <w:r w:rsidR="005601AE" w:rsidRPr="00FD6637">
        <w:rPr>
          <w:rFonts w:ascii="ArialMT" w:hAnsi="ArialMT" w:cs="ArialMT"/>
          <w:sz w:val="20"/>
          <w:szCs w:val="20"/>
        </w:rPr>
        <w:t>allow</w:t>
      </w:r>
      <w:r w:rsidR="001641D2">
        <w:rPr>
          <w:rFonts w:ascii="ArialMT" w:hAnsi="ArialMT" w:cs="ArialMT"/>
          <w:sz w:val="20"/>
          <w:szCs w:val="20"/>
        </w:rPr>
        <w:t>s</w:t>
      </w:r>
      <w:r w:rsidR="005601AE" w:rsidRPr="00FD6637">
        <w:rPr>
          <w:rFonts w:ascii="ArialMT" w:hAnsi="ArialMT" w:cs="ArialMT"/>
          <w:sz w:val="20"/>
          <w:szCs w:val="20"/>
        </w:rPr>
        <w:t xml:space="preserve"> for state variation</w:t>
      </w:r>
      <w:r w:rsidR="00DA1AE3" w:rsidRPr="00FD6637">
        <w:rPr>
          <w:rFonts w:ascii="ArialMT" w:hAnsi="ArialMT" w:cs="ArialMT"/>
          <w:sz w:val="20"/>
          <w:szCs w:val="20"/>
        </w:rPr>
        <w:t xml:space="preserve"> and that is what we see in the data reported. </w:t>
      </w:r>
      <w:r w:rsidR="005601AE" w:rsidRPr="00FD6637">
        <w:rPr>
          <w:rFonts w:ascii="ArialMT" w:hAnsi="ArialMT" w:cs="ArialMT"/>
          <w:sz w:val="20"/>
          <w:szCs w:val="20"/>
        </w:rPr>
        <w:t xml:space="preserve">ED could </w:t>
      </w:r>
      <w:r w:rsidR="00DA1AE3" w:rsidRPr="00FD6637">
        <w:rPr>
          <w:rFonts w:ascii="ArialMT" w:hAnsi="ArialMT" w:cs="ArialMT"/>
          <w:sz w:val="20"/>
          <w:szCs w:val="20"/>
        </w:rPr>
        <w:t xml:space="preserve">mitigate </w:t>
      </w:r>
      <w:r w:rsidR="00B32FCA" w:rsidRPr="00FD6637">
        <w:rPr>
          <w:rFonts w:ascii="ArialMT" w:hAnsi="ArialMT" w:cs="ArialMT"/>
          <w:sz w:val="20"/>
          <w:szCs w:val="20"/>
        </w:rPr>
        <w:t xml:space="preserve">poor use of the data by providing training sessions </w:t>
      </w:r>
      <w:r w:rsidR="001641D2">
        <w:rPr>
          <w:rFonts w:ascii="ArialMT" w:hAnsi="ArialMT" w:cs="ArialMT"/>
          <w:sz w:val="20"/>
          <w:szCs w:val="20"/>
        </w:rPr>
        <w:t>o</w:t>
      </w:r>
      <w:r w:rsidR="00B32FCA" w:rsidRPr="00FD6637">
        <w:rPr>
          <w:rFonts w:ascii="ArialMT" w:hAnsi="ArialMT" w:cs="ArialMT"/>
          <w:sz w:val="20"/>
          <w:szCs w:val="20"/>
        </w:rPr>
        <w:t xml:space="preserve">n ‘how to use ESSA </w:t>
      </w:r>
      <w:r w:rsidR="000555A8" w:rsidRPr="00F63542">
        <w:rPr>
          <w:rFonts w:ascii="ArialMT" w:hAnsi="ArialMT" w:cs="ArialMT"/>
          <w:sz w:val="20"/>
          <w:szCs w:val="20"/>
        </w:rPr>
        <w:t xml:space="preserve">data” </w:t>
      </w:r>
      <w:r w:rsidR="005601AE" w:rsidRPr="00FD6637">
        <w:rPr>
          <w:rFonts w:ascii="ArialMT" w:hAnsi="ArialMT" w:cs="ArialMT"/>
          <w:sz w:val="20"/>
          <w:szCs w:val="20"/>
        </w:rPr>
        <w:t>to promote</w:t>
      </w:r>
      <w:r w:rsidR="001641D2">
        <w:rPr>
          <w:rFonts w:ascii="ArialMT" w:hAnsi="ArialMT" w:cs="ArialMT"/>
          <w:sz w:val="20"/>
          <w:szCs w:val="20"/>
        </w:rPr>
        <w:t xml:space="preserve"> </w:t>
      </w:r>
      <w:r w:rsidR="005601AE" w:rsidRPr="00FD6637">
        <w:rPr>
          <w:rFonts w:ascii="ArialMT" w:hAnsi="ArialMT" w:cs="ArialMT"/>
          <w:sz w:val="20"/>
          <w:szCs w:val="20"/>
        </w:rPr>
        <w:t xml:space="preserve">within state </w:t>
      </w:r>
      <w:r w:rsidR="001476F2" w:rsidRPr="00FD6637">
        <w:rPr>
          <w:rFonts w:ascii="ArialMT" w:hAnsi="ArialMT" w:cs="ArialMT"/>
          <w:sz w:val="20"/>
          <w:szCs w:val="20"/>
        </w:rPr>
        <w:t>trend analyses and de-emphasize across state comparisons.</w:t>
      </w:r>
    </w:p>
    <w:p w14:paraId="554738BC" w14:textId="06CE361E" w:rsidR="00193765" w:rsidRDefault="001641D2" w:rsidP="00193765">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 xml:space="preserve">Furthermore, while the collection, analysis, and use of the data by ED is considered ‘primary data analysis,’ </w:t>
      </w:r>
      <w:r w:rsidR="00502F8A">
        <w:rPr>
          <w:rFonts w:ascii="ArialMT" w:hAnsi="ArialMT" w:cs="ArialMT"/>
          <w:sz w:val="20"/>
          <w:szCs w:val="20"/>
        </w:rPr>
        <w:t xml:space="preserve">once published, </w:t>
      </w:r>
      <w:r>
        <w:rPr>
          <w:rFonts w:ascii="ArialMT" w:hAnsi="ArialMT" w:cs="ArialMT"/>
          <w:sz w:val="20"/>
          <w:szCs w:val="20"/>
        </w:rPr>
        <w:t xml:space="preserve">the use of these data by the public and researchers are considered ‘secondary analysis of existing data.’ Therefore, </w:t>
      </w:r>
      <w:bookmarkStart w:id="2" w:name="_Hlk15494374"/>
      <w:r>
        <w:rPr>
          <w:rFonts w:ascii="ArialMT" w:hAnsi="ArialMT" w:cs="ArialMT"/>
          <w:sz w:val="20"/>
          <w:szCs w:val="20"/>
        </w:rPr>
        <w:t>data notes and documentation</w:t>
      </w:r>
      <w:r w:rsidR="00AD7D38" w:rsidRPr="00AD7D38">
        <w:rPr>
          <w:rFonts w:ascii="ArialMT" w:hAnsi="ArialMT" w:cs="ArialMT"/>
          <w:sz w:val="20"/>
          <w:szCs w:val="20"/>
          <w:vertAlign w:val="superscript"/>
        </w:rPr>
        <w:t>2</w:t>
      </w:r>
      <w:r>
        <w:rPr>
          <w:rFonts w:ascii="ArialMT" w:hAnsi="ArialMT" w:cs="ArialMT"/>
          <w:sz w:val="20"/>
          <w:szCs w:val="20"/>
        </w:rPr>
        <w:t xml:space="preserve"> </w:t>
      </w:r>
      <w:bookmarkEnd w:id="2"/>
      <w:r>
        <w:rPr>
          <w:rFonts w:ascii="ArialMT" w:hAnsi="ArialMT" w:cs="ArialMT"/>
          <w:sz w:val="20"/>
          <w:szCs w:val="20"/>
        </w:rPr>
        <w:t>that clearly support any known data anomalies and interpretations of the submitted data</w:t>
      </w:r>
      <w:r w:rsidR="00E97E1C">
        <w:rPr>
          <w:rFonts w:ascii="ArialMT" w:hAnsi="ArialMT" w:cs="ArialMT"/>
          <w:sz w:val="20"/>
          <w:szCs w:val="20"/>
        </w:rPr>
        <w:t>, within a state,</w:t>
      </w:r>
      <w:r>
        <w:rPr>
          <w:rFonts w:ascii="ArialMT" w:hAnsi="ArialMT" w:cs="ArialMT"/>
          <w:sz w:val="20"/>
          <w:szCs w:val="20"/>
        </w:rPr>
        <w:t xml:space="preserve"> </w:t>
      </w:r>
      <w:r w:rsidR="00E97E1C">
        <w:rPr>
          <w:rFonts w:ascii="ArialMT" w:hAnsi="ArialMT" w:cs="ArialMT"/>
          <w:sz w:val="20"/>
          <w:szCs w:val="20"/>
        </w:rPr>
        <w:t xml:space="preserve">and </w:t>
      </w:r>
      <w:r>
        <w:rPr>
          <w:rFonts w:ascii="ArialMT" w:hAnsi="ArialMT" w:cs="ArialMT"/>
          <w:sz w:val="20"/>
          <w:szCs w:val="20"/>
        </w:rPr>
        <w:t xml:space="preserve">how </w:t>
      </w:r>
      <w:r w:rsidR="00502F8A">
        <w:rPr>
          <w:rFonts w:ascii="ArialMT" w:hAnsi="ArialMT" w:cs="ArialMT"/>
          <w:sz w:val="20"/>
          <w:szCs w:val="20"/>
        </w:rPr>
        <w:t>they</w:t>
      </w:r>
      <w:r>
        <w:rPr>
          <w:rFonts w:ascii="ArialMT" w:hAnsi="ArialMT" w:cs="ArialMT"/>
          <w:sz w:val="20"/>
          <w:szCs w:val="20"/>
        </w:rPr>
        <w:t xml:space="preserve"> </w:t>
      </w:r>
      <w:r w:rsidR="00E97E1C">
        <w:rPr>
          <w:rFonts w:ascii="ArialMT" w:hAnsi="ArialMT" w:cs="ArialMT"/>
          <w:sz w:val="20"/>
          <w:szCs w:val="20"/>
        </w:rPr>
        <w:t xml:space="preserve">may impact the </w:t>
      </w:r>
      <w:r>
        <w:rPr>
          <w:rFonts w:ascii="ArialMT" w:hAnsi="ArialMT" w:cs="ArialMT"/>
          <w:sz w:val="20"/>
          <w:szCs w:val="20"/>
        </w:rPr>
        <w:t>potential ‘secondary use’ of these data will increase the utility and consistency of these measures</w:t>
      </w:r>
      <w:r w:rsidR="00E97E1C">
        <w:rPr>
          <w:rFonts w:ascii="ArialMT" w:hAnsi="ArialMT" w:cs="ArialMT"/>
          <w:sz w:val="20"/>
          <w:szCs w:val="20"/>
        </w:rPr>
        <w:t>.</w:t>
      </w:r>
    </w:p>
    <w:p w14:paraId="6212A906" w14:textId="4F8680FC" w:rsidR="005706A9" w:rsidRPr="00785952" w:rsidRDefault="00E97E1C" w:rsidP="00193765">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 xml:space="preserve">Moreover, the </w:t>
      </w:r>
      <w:r w:rsidR="00742D81">
        <w:rPr>
          <w:rFonts w:ascii="ArialMT" w:hAnsi="ArialMT" w:cs="ArialMT"/>
          <w:sz w:val="20"/>
          <w:szCs w:val="20"/>
        </w:rPr>
        <w:t xml:space="preserve">continued </w:t>
      </w:r>
      <w:r>
        <w:rPr>
          <w:rFonts w:ascii="ArialMT" w:hAnsi="ArialMT" w:cs="ArialMT"/>
          <w:sz w:val="20"/>
          <w:szCs w:val="20"/>
        </w:rPr>
        <w:t xml:space="preserve">communication </w:t>
      </w:r>
      <w:r w:rsidR="00742D81">
        <w:rPr>
          <w:rFonts w:ascii="ArialMT" w:hAnsi="ArialMT" w:cs="ArialMT"/>
          <w:sz w:val="20"/>
          <w:szCs w:val="20"/>
        </w:rPr>
        <w:t>and transparency between ED</w:t>
      </w:r>
      <w:r w:rsidR="00502F8A">
        <w:rPr>
          <w:rFonts w:ascii="ArialMT" w:hAnsi="ArialMT" w:cs="ArialMT"/>
          <w:sz w:val="20"/>
          <w:szCs w:val="20"/>
        </w:rPr>
        <w:t>,</w:t>
      </w:r>
      <w:r w:rsidR="00742D81">
        <w:rPr>
          <w:rFonts w:ascii="ArialMT" w:hAnsi="ArialMT" w:cs="ArialMT"/>
          <w:sz w:val="20"/>
          <w:szCs w:val="20"/>
        </w:rPr>
        <w:t xml:space="preserve"> data submitters</w:t>
      </w:r>
      <w:r w:rsidR="00502F8A">
        <w:rPr>
          <w:rFonts w:ascii="ArialMT" w:hAnsi="ArialMT" w:cs="ArialMT"/>
          <w:sz w:val="20"/>
          <w:szCs w:val="20"/>
        </w:rPr>
        <w:t>,</w:t>
      </w:r>
      <w:r w:rsidR="00742D81">
        <w:rPr>
          <w:rFonts w:ascii="ArialMT" w:hAnsi="ArialMT" w:cs="ArialMT"/>
          <w:sz w:val="20"/>
          <w:szCs w:val="20"/>
        </w:rPr>
        <w:t xml:space="preserve"> and data users</w:t>
      </w:r>
      <w:r>
        <w:rPr>
          <w:rFonts w:ascii="ArialMT" w:hAnsi="ArialMT" w:cs="ArialMT"/>
          <w:sz w:val="20"/>
          <w:szCs w:val="20"/>
        </w:rPr>
        <w:t xml:space="preserve"> are a key factor in ensuring high quality reporting, analysis, and use</w:t>
      </w:r>
      <w:r w:rsidR="00742D81">
        <w:rPr>
          <w:rFonts w:ascii="ArialMT" w:hAnsi="ArialMT" w:cs="ArialMT"/>
          <w:sz w:val="20"/>
          <w:szCs w:val="20"/>
        </w:rPr>
        <w:t xml:space="preserve"> of data</w:t>
      </w:r>
      <w:r>
        <w:rPr>
          <w:rFonts w:ascii="ArialMT" w:hAnsi="ArialMT" w:cs="ArialMT"/>
          <w:sz w:val="20"/>
          <w:szCs w:val="20"/>
        </w:rPr>
        <w:t xml:space="preserve">. All </w:t>
      </w:r>
      <w:r w:rsidR="00742D81">
        <w:rPr>
          <w:rFonts w:ascii="ArialMT" w:hAnsi="ArialMT" w:cs="ArialMT"/>
          <w:sz w:val="20"/>
          <w:szCs w:val="20"/>
        </w:rPr>
        <w:t xml:space="preserve">publicly available </w:t>
      </w:r>
      <w:r>
        <w:rPr>
          <w:rFonts w:ascii="ArialMT" w:hAnsi="ArialMT" w:cs="ArialMT"/>
          <w:sz w:val="20"/>
          <w:szCs w:val="20"/>
        </w:rPr>
        <w:t xml:space="preserve">ED documentation </w:t>
      </w:r>
      <w:r w:rsidR="00502F8A">
        <w:rPr>
          <w:rFonts w:ascii="ArialMT" w:hAnsi="ArialMT" w:cs="ArialMT"/>
          <w:sz w:val="20"/>
          <w:szCs w:val="20"/>
        </w:rPr>
        <w:t>is</w:t>
      </w:r>
      <w:r>
        <w:rPr>
          <w:rFonts w:ascii="ArialMT" w:hAnsi="ArialMT" w:cs="ArialMT"/>
          <w:sz w:val="20"/>
          <w:szCs w:val="20"/>
        </w:rPr>
        <w:t xml:space="preserve"> reviewed</w:t>
      </w:r>
      <w:r w:rsidR="00824BD7">
        <w:rPr>
          <w:rFonts w:ascii="ArialMT" w:hAnsi="ArialMT" w:cs="ArialMT"/>
          <w:sz w:val="20"/>
          <w:szCs w:val="20"/>
        </w:rPr>
        <w:t xml:space="preserve"> by ESB</w:t>
      </w:r>
      <w:r>
        <w:rPr>
          <w:rFonts w:ascii="ArialMT" w:hAnsi="ArialMT" w:cs="ArialMT"/>
          <w:sz w:val="20"/>
          <w:szCs w:val="20"/>
        </w:rPr>
        <w:t xml:space="preserve"> </w:t>
      </w:r>
      <w:r w:rsidR="00824BD7">
        <w:rPr>
          <w:rFonts w:ascii="ArialMT" w:hAnsi="ArialMT" w:cs="ArialMT"/>
          <w:sz w:val="20"/>
          <w:szCs w:val="20"/>
        </w:rPr>
        <w:t xml:space="preserve">and Data Stewards </w:t>
      </w:r>
      <w:r>
        <w:rPr>
          <w:rFonts w:ascii="ArialMT" w:hAnsi="ArialMT" w:cs="ArialMT"/>
          <w:sz w:val="20"/>
          <w:szCs w:val="20"/>
        </w:rPr>
        <w:t>on an annual basis and updated to reflect changing guidance provided by ED</w:t>
      </w:r>
      <w:r w:rsidR="00742D81">
        <w:rPr>
          <w:rFonts w:ascii="ArialMT" w:hAnsi="ArialMT" w:cs="ArialMT"/>
          <w:sz w:val="20"/>
          <w:szCs w:val="20"/>
        </w:rPr>
        <w:t xml:space="preserve"> data stewards</w:t>
      </w:r>
      <w:r>
        <w:rPr>
          <w:rFonts w:ascii="ArialMT" w:hAnsi="ArialMT" w:cs="ArialMT"/>
          <w:sz w:val="20"/>
          <w:szCs w:val="20"/>
        </w:rPr>
        <w:t>. Ultimately, while it is the data user’s responsibility to understand the purpose of the data collection and to reflect that purpose in their analysis, ED continues to provide the necessary support and documentation</w:t>
      </w:r>
      <w:r w:rsidR="004922F0">
        <w:rPr>
          <w:rFonts w:ascii="ArialMT" w:hAnsi="ArialMT" w:cs="ArialMT"/>
          <w:sz w:val="20"/>
          <w:szCs w:val="20"/>
        </w:rPr>
        <w:t>, through the ED</w:t>
      </w:r>
      <w:r w:rsidR="004922F0">
        <w:rPr>
          <w:rFonts w:ascii="ArialMT" w:hAnsi="ArialMT" w:cs="ArialMT"/>
          <w:i/>
          <w:iCs/>
          <w:sz w:val="20"/>
          <w:szCs w:val="20"/>
        </w:rPr>
        <w:t>Facts</w:t>
      </w:r>
      <w:r w:rsidR="004922F0">
        <w:rPr>
          <w:rFonts w:ascii="ArialMT" w:hAnsi="ArialMT" w:cs="ArialMT"/>
          <w:sz w:val="20"/>
          <w:szCs w:val="20"/>
        </w:rPr>
        <w:t xml:space="preserve"> Initiatives webpage </w:t>
      </w:r>
      <w:r w:rsidR="00AD7D38">
        <w:rPr>
          <w:rFonts w:ascii="ArialMT" w:hAnsi="ArialMT" w:cs="ArialMT"/>
          <w:sz w:val="20"/>
          <w:szCs w:val="20"/>
        </w:rPr>
        <w:t xml:space="preserve">(available </w:t>
      </w:r>
      <w:hyperlink r:id="rId16" w:history="1">
        <w:r w:rsidR="00AD7D38">
          <w:rPr>
            <w:rStyle w:val="Hyperlink"/>
            <w:rFonts w:ascii="ArialMT" w:hAnsi="ArialMT" w:cs="ArialMT"/>
            <w:sz w:val="20"/>
            <w:szCs w:val="20"/>
          </w:rPr>
          <w:t>here</w:t>
        </w:r>
      </w:hyperlink>
      <w:r w:rsidR="00AD7D38">
        <w:rPr>
          <w:rFonts w:ascii="ArialMT" w:hAnsi="ArialMT" w:cs="ArialMT"/>
          <w:sz w:val="20"/>
          <w:szCs w:val="20"/>
        </w:rPr>
        <w:t xml:space="preserve">) </w:t>
      </w:r>
      <w:r w:rsidR="004922F0">
        <w:rPr>
          <w:rFonts w:ascii="ArialMT" w:hAnsi="ArialMT" w:cs="ArialMT"/>
          <w:sz w:val="20"/>
          <w:szCs w:val="20"/>
        </w:rPr>
        <w:t>and Partner Support Center (PSC),</w:t>
      </w:r>
      <w:r>
        <w:rPr>
          <w:rFonts w:ascii="ArialMT" w:hAnsi="ArialMT" w:cs="ArialMT"/>
          <w:sz w:val="20"/>
          <w:szCs w:val="20"/>
        </w:rPr>
        <w:t xml:space="preserve"> to try to ensure increased utility and consistency of data collections.</w:t>
      </w:r>
    </w:p>
    <w:sectPr w:rsidR="005706A9" w:rsidRPr="00785952" w:rsidSect="00785952">
      <w:footerReference w:type="default" r:id="rId17"/>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71D15" w14:textId="77777777" w:rsidR="00D25055" w:rsidRDefault="00D25055" w:rsidP="000145CC">
      <w:pPr>
        <w:spacing w:after="0" w:line="240" w:lineRule="auto"/>
      </w:pPr>
      <w:r>
        <w:separator/>
      </w:r>
    </w:p>
  </w:endnote>
  <w:endnote w:type="continuationSeparator" w:id="0">
    <w:p w14:paraId="1989E9A1" w14:textId="77777777" w:rsidR="00D25055" w:rsidRDefault="00D25055" w:rsidP="0001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489956"/>
      <w:docPartObj>
        <w:docPartGallery w:val="Page Numbers (Bottom of Page)"/>
        <w:docPartUnique/>
      </w:docPartObj>
    </w:sdtPr>
    <w:sdtEndPr/>
    <w:sdtContent>
      <w:sdt>
        <w:sdtPr>
          <w:id w:val="1728636285"/>
          <w:docPartObj>
            <w:docPartGallery w:val="Page Numbers (Top of Page)"/>
            <w:docPartUnique/>
          </w:docPartObj>
        </w:sdtPr>
        <w:sdtEndPr/>
        <w:sdtContent>
          <w:p w14:paraId="2A2F7FBD" w14:textId="4D4BE991" w:rsidR="00E04A05" w:rsidRDefault="00E04A05" w:rsidP="007859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321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321D">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7CADE" w14:textId="77777777" w:rsidR="00D25055" w:rsidRDefault="00D25055" w:rsidP="000145CC">
      <w:pPr>
        <w:spacing w:after="0" w:line="240" w:lineRule="auto"/>
      </w:pPr>
      <w:r>
        <w:separator/>
      </w:r>
    </w:p>
  </w:footnote>
  <w:footnote w:type="continuationSeparator" w:id="0">
    <w:p w14:paraId="523F6734" w14:textId="77777777" w:rsidR="00D25055" w:rsidRDefault="00D25055" w:rsidP="000145CC">
      <w:pPr>
        <w:spacing w:after="0" w:line="240" w:lineRule="auto"/>
      </w:pPr>
      <w:r>
        <w:continuationSeparator/>
      </w:r>
    </w:p>
  </w:footnote>
  <w:footnote w:id="1">
    <w:p w14:paraId="7B9ED4F5" w14:textId="3E58752E" w:rsidR="00805EF9" w:rsidRDefault="00805EF9">
      <w:pPr>
        <w:pStyle w:val="FootnoteText"/>
      </w:pPr>
      <w:r>
        <w:rPr>
          <w:rStyle w:val="FootnoteReference"/>
        </w:rPr>
        <w:footnoteRef/>
      </w:r>
      <w:r>
        <w:t xml:space="preserve"> ESSA related resources and documents are provided at: </w:t>
      </w:r>
      <w:hyperlink r:id="rId1" w:history="1">
        <w:r w:rsidRPr="008279F8">
          <w:rPr>
            <w:rStyle w:val="Hyperlink"/>
          </w:rPr>
          <w:t>https://www2.ed.gov/policy/elsec/leg/essa/index.html</w:t>
        </w:r>
      </w:hyperlink>
      <w:r>
        <w:t>.</w:t>
      </w:r>
    </w:p>
  </w:footnote>
  <w:footnote w:id="2">
    <w:p w14:paraId="4DCEB344" w14:textId="7867B1B7" w:rsidR="00DC183A" w:rsidRDefault="00DC183A">
      <w:pPr>
        <w:pStyle w:val="FootnoteText"/>
      </w:pPr>
      <w:r>
        <w:rPr>
          <w:rStyle w:val="FootnoteReference"/>
        </w:rPr>
        <w:footnoteRef/>
      </w:r>
      <w:r>
        <w:t xml:space="preserve"> From the EDFacts SY 2017-18 FS 175 - </w:t>
      </w:r>
      <w:r w:rsidRPr="000145CC">
        <w:t>Academic Achievement in Mathematics File Specifications</w:t>
      </w:r>
      <w:r>
        <w:t xml:space="preserve">, Retrieved on July 16, 2019. </w:t>
      </w:r>
      <w:hyperlink r:id="rId2" w:history="1">
        <w:r>
          <w:rPr>
            <w:rStyle w:val="Hyperlink"/>
          </w:rPr>
          <w:t>https://www2.ed.gov/about/inits/ed/edfacts/sy-17-18-nonxml.html</w:t>
        </w:r>
      </w:hyperlink>
      <w:r>
        <w:t>.</w:t>
      </w:r>
    </w:p>
  </w:footnote>
  <w:footnote w:id="3">
    <w:p w14:paraId="2DD5B790" w14:textId="1428A1E0" w:rsidR="007D2EB2" w:rsidRDefault="007D2EB2">
      <w:pPr>
        <w:pStyle w:val="FootnoteText"/>
      </w:pPr>
      <w:r>
        <w:rPr>
          <w:rStyle w:val="FootnoteReference"/>
        </w:rPr>
        <w:footnoteRef/>
      </w:r>
      <w:r>
        <w:t xml:space="preserve"> </w:t>
      </w:r>
      <w:r w:rsidRPr="007D2EB2">
        <w:t xml:space="preserve">Fostercare and military connected data are new for SY2017-18. These data and file documentation will be made publicly available once Data Quality review with the </w:t>
      </w:r>
      <w:r w:rsidR="00AD7D38">
        <w:t xml:space="preserve">ED </w:t>
      </w:r>
      <w:r w:rsidRPr="007D2EB2">
        <w:t>data stewards is completed.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F2A"/>
    <w:multiLevelType w:val="hybridMultilevel"/>
    <w:tmpl w:val="C5CC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92E89"/>
    <w:multiLevelType w:val="hybridMultilevel"/>
    <w:tmpl w:val="187C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F5681"/>
    <w:multiLevelType w:val="multilevel"/>
    <w:tmpl w:val="D4160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8C762E6"/>
    <w:multiLevelType w:val="hybridMultilevel"/>
    <w:tmpl w:val="7E4C9EBC"/>
    <w:lvl w:ilvl="0" w:tplc="396685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FB5190"/>
    <w:multiLevelType w:val="hybridMultilevel"/>
    <w:tmpl w:val="A342AC5A"/>
    <w:lvl w:ilvl="0" w:tplc="5CE0678A">
      <w:numFmt w:val="bullet"/>
      <w:lvlText w:val="-"/>
      <w:lvlJc w:val="left"/>
      <w:pPr>
        <w:ind w:left="720" w:hanging="360"/>
      </w:pPr>
      <w:rPr>
        <w:rFonts w:ascii="ArialMT" w:eastAsiaTheme="minorHAnsi" w:hAnsi="ArialMT" w:cs="Arial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B2271"/>
    <w:multiLevelType w:val="hybridMultilevel"/>
    <w:tmpl w:val="F468F358"/>
    <w:lvl w:ilvl="0" w:tplc="EFBA7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548FB"/>
    <w:multiLevelType w:val="hybridMultilevel"/>
    <w:tmpl w:val="8FE81FC8"/>
    <w:lvl w:ilvl="0" w:tplc="E7AC4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F42D2"/>
    <w:multiLevelType w:val="hybridMultilevel"/>
    <w:tmpl w:val="57921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5B335A"/>
    <w:multiLevelType w:val="hybridMultilevel"/>
    <w:tmpl w:val="1FFEA596"/>
    <w:lvl w:ilvl="0" w:tplc="E586C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C595E"/>
    <w:multiLevelType w:val="hybridMultilevel"/>
    <w:tmpl w:val="A3A6C716"/>
    <w:lvl w:ilvl="0" w:tplc="EFBA782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2B6E29"/>
    <w:multiLevelType w:val="hybridMultilevel"/>
    <w:tmpl w:val="A3A6C716"/>
    <w:lvl w:ilvl="0" w:tplc="EFBA782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1A41EA"/>
    <w:multiLevelType w:val="hybridMultilevel"/>
    <w:tmpl w:val="BA32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C46EE"/>
    <w:multiLevelType w:val="hybridMultilevel"/>
    <w:tmpl w:val="8FE6E6DA"/>
    <w:lvl w:ilvl="0" w:tplc="DF78B300">
      <w:start w:val="1"/>
      <w:numFmt w:val="decimal"/>
      <w:lvlText w:val="(%1)"/>
      <w:lvlJc w:val="left"/>
      <w:pPr>
        <w:ind w:left="360" w:hanging="360"/>
      </w:pPr>
      <w:rPr>
        <w:rFonts w:ascii="ArialMT" w:eastAsiaTheme="minorHAnsi" w:hAnsi="ArialMT" w:cs="ArialM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F161BA"/>
    <w:multiLevelType w:val="hybridMultilevel"/>
    <w:tmpl w:val="AD3A3B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9C45441"/>
    <w:multiLevelType w:val="hybridMultilevel"/>
    <w:tmpl w:val="32A41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9C0FC9"/>
    <w:multiLevelType w:val="hybridMultilevel"/>
    <w:tmpl w:val="6620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C1AB6"/>
    <w:multiLevelType w:val="hybridMultilevel"/>
    <w:tmpl w:val="E95640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nsid w:val="7CE95239"/>
    <w:multiLevelType w:val="hybridMultilevel"/>
    <w:tmpl w:val="52E8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2"/>
  </w:num>
  <w:num w:numId="4">
    <w:abstractNumId w:val="4"/>
  </w:num>
  <w:num w:numId="5">
    <w:abstractNumId w:val="6"/>
  </w:num>
  <w:num w:numId="6">
    <w:abstractNumId w:val="10"/>
  </w:num>
  <w:num w:numId="7">
    <w:abstractNumId w:val="9"/>
  </w:num>
  <w:num w:numId="8">
    <w:abstractNumId w:val="1"/>
  </w:num>
  <w:num w:numId="9">
    <w:abstractNumId w:val="14"/>
  </w:num>
  <w:num w:numId="10">
    <w:abstractNumId w:val="16"/>
  </w:num>
  <w:num w:numId="11">
    <w:abstractNumId w:val="2"/>
  </w:num>
  <w:num w:numId="12">
    <w:abstractNumId w:val="0"/>
  </w:num>
  <w:num w:numId="13">
    <w:abstractNumId w:val="15"/>
  </w:num>
  <w:num w:numId="14">
    <w:abstractNumId w:val="13"/>
  </w:num>
  <w:num w:numId="15">
    <w:abstractNumId w:val="7"/>
  </w:num>
  <w:num w:numId="16">
    <w:abstractNumId w:val="3"/>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B7"/>
    <w:rsid w:val="000145CC"/>
    <w:rsid w:val="0002008D"/>
    <w:rsid w:val="00043164"/>
    <w:rsid w:val="0004591D"/>
    <w:rsid w:val="00050CAC"/>
    <w:rsid w:val="000555A8"/>
    <w:rsid w:val="00063D29"/>
    <w:rsid w:val="00070ADE"/>
    <w:rsid w:val="00075BAA"/>
    <w:rsid w:val="00091A53"/>
    <w:rsid w:val="000F5B62"/>
    <w:rsid w:val="00131EB9"/>
    <w:rsid w:val="001476F2"/>
    <w:rsid w:val="001641D2"/>
    <w:rsid w:val="00175DE1"/>
    <w:rsid w:val="00177FC3"/>
    <w:rsid w:val="00185EF0"/>
    <w:rsid w:val="001935B9"/>
    <w:rsid w:val="00193643"/>
    <w:rsid w:val="00193765"/>
    <w:rsid w:val="0019589B"/>
    <w:rsid w:val="001A0E46"/>
    <w:rsid w:val="001A5EED"/>
    <w:rsid w:val="0020196D"/>
    <w:rsid w:val="00213A41"/>
    <w:rsid w:val="0021621F"/>
    <w:rsid w:val="002318B2"/>
    <w:rsid w:val="0023528E"/>
    <w:rsid w:val="00240D97"/>
    <w:rsid w:val="002451D0"/>
    <w:rsid w:val="00264D8E"/>
    <w:rsid w:val="0026586D"/>
    <w:rsid w:val="002A39D7"/>
    <w:rsid w:val="002A4B01"/>
    <w:rsid w:val="002B170F"/>
    <w:rsid w:val="002B5469"/>
    <w:rsid w:val="002C38C7"/>
    <w:rsid w:val="002D54D1"/>
    <w:rsid w:val="002F7584"/>
    <w:rsid w:val="00365A01"/>
    <w:rsid w:val="003719FA"/>
    <w:rsid w:val="00375FE5"/>
    <w:rsid w:val="003777CC"/>
    <w:rsid w:val="003917C0"/>
    <w:rsid w:val="00392AB8"/>
    <w:rsid w:val="003B7258"/>
    <w:rsid w:val="003C2C40"/>
    <w:rsid w:val="003C2CA2"/>
    <w:rsid w:val="003C60F0"/>
    <w:rsid w:val="003D4D64"/>
    <w:rsid w:val="003D66AF"/>
    <w:rsid w:val="003D7C2A"/>
    <w:rsid w:val="003E15EA"/>
    <w:rsid w:val="003E7393"/>
    <w:rsid w:val="00400D4C"/>
    <w:rsid w:val="00403435"/>
    <w:rsid w:val="00406A4B"/>
    <w:rsid w:val="00416FE5"/>
    <w:rsid w:val="00420A65"/>
    <w:rsid w:val="00440C78"/>
    <w:rsid w:val="004617C8"/>
    <w:rsid w:val="00463D28"/>
    <w:rsid w:val="004650FB"/>
    <w:rsid w:val="00486B26"/>
    <w:rsid w:val="00486C17"/>
    <w:rsid w:val="00487D7E"/>
    <w:rsid w:val="004922F0"/>
    <w:rsid w:val="00493CD3"/>
    <w:rsid w:val="004D0664"/>
    <w:rsid w:val="004E4DCD"/>
    <w:rsid w:val="00502F8A"/>
    <w:rsid w:val="005170CF"/>
    <w:rsid w:val="00521642"/>
    <w:rsid w:val="00523ECC"/>
    <w:rsid w:val="00534C0B"/>
    <w:rsid w:val="00547212"/>
    <w:rsid w:val="005601AE"/>
    <w:rsid w:val="005706A9"/>
    <w:rsid w:val="005E0603"/>
    <w:rsid w:val="005E4D41"/>
    <w:rsid w:val="00614233"/>
    <w:rsid w:val="006256C9"/>
    <w:rsid w:val="00627D47"/>
    <w:rsid w:val="00631BE5"/>
    <w:rsid w:val="00641B91"/>
    <w:rsid w:val="00662A94"/>
    <w:rsid w:val="00665833"/>
    <w:rsid w:val="00666641"/>
    <w:rsid w:val="006764C5"/>
    <w:rsid w:val="006815AE"/>
    <w:rsid w:val="0068588E"/>
    <w:rsid w:val="006938D4"/>
    <w:rsid w:val="006A6504"/>
    <w:rsid w:val="006B26D3"/>
    <w:rsid w:val="006B2E6F"/>
    <w:rsid w:val="006B746B"/>
    <w:rsid w:val="006C0EB1"/>
    <w:rsid w:val="006C10D5"/>
    <w:rsid w:val="006C551F"/>
    <w:rsid w:val="006D1AE2"/>
    <w:rsid w:val="006D626A"/>
    <w:rsid w:val="006E0EB5"/>
    <w:rsid w:val="006E2C0B"/>
    <w:rsid w:val="006F76FD"/>
    <w:rsid w:val="00701619"/>
    <w:rsid w:val="0073559D"/>
    <w:rsid w:val="00736ABD"/>
    <w:rsid w:val="00741AF8"/>
    <w:rsid w:val="00742D81"/>
    <w:rsid w:val="00750BF0"/>
    <w:rsid w:val="00753521"/>
    <w:rsid w:val="0077018D"/>
    <w:rsid w:val="00781740"/>
    <w:rsid w:val="00785952"/>
    <w:rsid w:val="00793820"/>
    <w:rsid w:val="00794597"/>
    <w:rsid w:val="007A5D25"/>
    <w:rsid w:val="007A6F5B"/>
    <w:rsid w:val="007B37A5"/>
    <w:rsid w:val="007B7BD0"/>
    <w:rsid w:val="007C2B86"/>
    <w:rsid w:val="007D2EB2"/>
    <w:rsid w:val="007D7DCF"/>
    <w:rsid w:val="007F09D6"/>
    <w:rsid w:val="007F1EE9"/>
    <w:rsid w:val="007F3230"/>
    <w:rsid w:val="00805EF9"/>
    <w:rsid w:val="008121A2"/>
    <w:rsid w:val="00824BD7"/>
    <w:rsid w:val="00825049"/>
    <w:rsid w:val="00842937"/>
    <w:rsid w:val="00844291"/>
    <w:rsid w:val="008565A1"/>
    <w:rsid w:val="008601FC"/>
    <w:rsid w:val="0086079A"/>
    <w:rsid w:val="00864725"/>
    <w:rsid w:val="008773F7"/>
    <w:rsid w:val="008A2011"/>
    <w:rsid w:val="008A5AF9"/>
    <w:rsid w:val="008B35C6"/>
    <w:rsid w:val="008C400C"/>
    <w:rsid w:val="008E085E"/>
    <w:rsid w:val="00903FED"/>
    <w:rsid w:val="00924103"/>
    <w:rsid w:val="00940EA1"/>
    <w:rsid w:val="00963D6F"/>
    <w:rsid w:val="00973087"/>
    <w:rsid w:val="00974A2A"/>
    <w:rsid w:val="00990A99"/>
    <w:rsid w:val="00991196"/>
    <w:rsid w:val="00995B0F"/>
    <w:rsid w:val="00995C92"/>
    <w:rsid w:val="009C1827"/>
    <w:rsid w:val="009D0059"/>
    <w:rsid w:val="009D1067"/>
    <w:rsid w:val="009D528B"/>
    <w:rsid w:val="009F4B69"/>
    <w:rsid w:val="009F6720"/>
    <w:rsid w:val="00A11D3F"/>
    <w:rsid w:val="00A1235D"/>
    <w:rsid w:val="00A15B83"/>
    <w:rsid w:val="00A21E2C"/>
    <w:rsid w:val="00A40342"/>
    <w:rsid w:val="00A426EE"/>
    <w:rsid w:val="00A84D41"/>
    <w:rsid w:val="00A91FAF"/>
    <w:rsid w:val="00A9541B"/>
    <w:rsid w:val="00AA4E33"/>
    <w:rsid w:val="00AB5F5B"/>
    <w:rsid w:val="00AD7D38"/>
    <w:rsid w:val="00AE6FC1"/>
    <w:rsid w:val="00B2471D"/>
    <w:rsid w:val="00B32FCA"/>
    <w:rsid w:val="00B37E42"/>
    <w:rsid w:val="00B50952"/>
    <w:rsid w:val="00B74F4E"/>
    <w:rsid w:val="00B90E33"/>
    <w:rsid w:val="00B92BB6"/>
    <w:rsid w:val="00BA1BB3"/>
    <w:rsid w:val="00BB113E"/>
    <w:rsid w:val="00BD608D"/>
    <w:rsid w:val="00BE2579"/>
    <w:rsid w:val="00BE4141"/>
    <w:rsid w:val="00C157C0"/>
    <w:rsid w:val="00C15D26"/>
    <w:rsid w:val="00C229CD"/>
    <w:rsid w:val="00C41B09"/>
    <w:rsid w:val="00C51310"/>
    <w:rsid w:val="00C51B99"/>
    <w:rsid w:val="00C703E7"/>
    <w:rsid w:val="00C84494"/>
    <w:rsid w:val="00C913C7"/>
    <w:rsid w:val="00C94035"/>
    <w:rsid w:val="00C9455B"/>
    <w:rsid w:val="00CA4176"/>
    <w:rsid w:val="00CC197C"/>
    <w:rsid w:val="00CC6511"/>
    <w:rsid w:val="00CF4EAB"/>
    <w:rsid w:val="00D10E36"/>
    <w:rsid w:val="00D13E02"/>
    <w:rsid w:val="00D22E88"/>
    <w:rsid w:val="00D25055"/>
    <w:rsid w:val="00D33C3F"/>
    <w:rsid w:val="00D5148F"/>
    <w:rsid w:val="00D66AD4"/>
    <w:rsid w:val="00D7321D"/>
    <w:rsid w:val="00D7334A"/>
    <w:rsid w:val="00D7531A"/>
    <w:rsid w:val="00D76F84"/>
    <w:rsid w:val="00D912BF"/>
    <w:rsid w:val="00D941A2"/>
    <w:rsid w:val="00DA07AB"/>
    <w:rsid w:val="00DA1AE3"/>
    <w:rsid w:val="00DB1415"/>
    <w:rsid w:val="00DB1786"/>
    <w:rsid w:val="00DC183A"/>
    <w:rsid w:val="00DC3BF3"/>
    <w:rsid w:val="00DD11F7"/>
    <w:rsid w:val="00DD732E"/>
    <w:rsid w:val="00DE4999"/>
    <w:rsid w:val="00E01302"/>
    <w:rsid w:val="00E033C2"/>
    <w:rsid w:val="00E04A05"/>
    <w:rsid w:val="00E16FD7"/>
    <w:rsid w:val="00E32F39"/>
    <w:rsid w:val="00E34585"/>
    <w:rsid w:val="00E354C3"/>
    <w:rsid w:val="00E43BBE"/>
    <w:rsid w:val="00E56E60"/>
    <w:rsid w:val="00E64233"/>
    <w:rsid w:val="00E64B36"/>
    <w:rsid w:val="00E66FB4"/>
    <w:rsid w:val="00E95BB7"/>
    <w:rsid w:val="00E97E1C"/>
    <w:rsid w:val="00EA562F"/>
    <w:rsid w:val="00EE502A"/>
    <w:rsid w:val="00EF717C"/>
    <w:rsid w:val="00F02A21"/>
    <w:rsid w:val="00F02D89"/>
    <w:rsid w:val="00F30722"/>
    <w:rsid w:val="00F52F33"/>
    <w:rsid w:val="00F63542"/>
    <w:rsid w:val="00F753B5"/>
    <w:rsid w:val="00F80E5F"/>
    <w:rsid w:val="00F819CF"/>
    <w:rsid w:val="00F86A51"/>
    <w:rsid w:val="00F86FC9"/>
    <w:rsid w:val="00F94B59"/>
    <w:rsid w:val="00FA11F7"/>
    <w:rsid w:val="00FC3B0C"/>
    <w:rsid w:val="00FC66E0"/>
    <w:rsid w:val="00FD6637"/>
    <w:rsid w:val="00FE27B5"/>
    <w:rsid w:val="00FE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75F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BB7"/>
    <w:pPr>
      <w:ind w:left="720"/>
      <w:contextualSpacing/>
    </w:pPr>
  </w:style>
  <w:style w:type="character" w:styleId="Hyperlink">
    <w:name w:val="Hyperlink"/>
    <w:basedOn w:val="DefaultParagraphFont"/>
    <w:uiPriority w:val="99"/>
    <w:unhideWhenUsed/>
    <w:rsid w:val="007A5D25"/>
    <w:rPr>
      <w:color w:val="0000FF"/>
      <w:u w:val="single"/>
    </w:rPr>
  </w:style>
  <w:style w:type="character" w:customStyle="1" w:styleId="UnresolvedMention">
    <w:name w:val="Unresolved Mention"/>
    <w:basedOn w:val="DefaultParagraphFont"/>
    <w:uiPriority w:val="99"/>
    <w:semiHidden/>
    <w:unhideWhenUsed/>
    <w:rsid w:val="00FC3B0C"/>
    <w:rPr>
      <w:color w:val="605E5C"/>
      <w:shd w:val="clear" w:color="auto" w:fill="E1DFDD"/>
    </w:rPr>
  </w:style>
  <w:style w:type="character" w:styleId="CommentReference">
    <w:name w:val="annotation reference"/>
    <w:basedOn w:val="DefaultParagraphFont"/>
    <w:uiPriority w:val="99"/>
    <w:semiHidden/>
    <w:unhideWhenUsed/>
    <w:rsid w:val="00995C92"/>
    <w:rPr>
      <w:sz w:val="16"/>
      <w:szCs w:val="16"/>
    </w:rPr>
  </w:style>
  <w:style w:type="paragraph" w:styleId="CommentText">
    <w:name w:val="annotation text"/>
    <w:basedOn w:val="Normal"/>
    <w:link w:val="CommentTextChar"/>
    <w:uiPriority w:val="99"/>
    <w:semiHidden/>
    <w:unhideWhenUsed/>
    <w:rsid w:val="00995C92"/>
    <w:pPr>
      <w:spacing w:line="240" w:lineRule="auto"/>
    </w:pPr>
    <w:rPr>
      <w:sz w:val="20"/>
      <w:szCs w:val="20"/>
    </w:rPr>
  </w:style>
  <w:style w:type="character" w:customStyle="1" w:styleId="CommentTextChar">
    <w:name w:val="Comment Text Char"/>
    <w:basedOn w:val="DefaultParagraphFont"/>
    <w:link w:val="CommentText"/>
    <w:uiPriority w:val="99"/>
    <w:semiHidden/>
    <w:rsid w:val="00995C92"/>
    <w:rPr>
      <w:sz w:val="20"/>
      <w:szCs w:val="20"/>
    </w:rPr>
  </w:style>
  <w:style w:type="paragraph" w:styleId="CommentSubject">
    <w:name w:val="annotation subject"/>
    <w:basedOn w:val="CommentText"/>
    <w:next w:val="CommentText"/>
    <w:link w:val="CommentSubjectChar"/>
    <w:uiPriority w:val="99"/>
    <w:semiHidden/>
    <w:unhideWhenUsed/>
    <w:rsid w:val="00995C92"/>
    <w:rPr>
      <w:b/>
      <w:bCs/>
    </w:rPr>
  </w:style>
  <w:style w:type="character" w:customStyle="1" w:styleId="CommentSubjectChar">
    <w:name w:val="Comment Subject Char"/>
    <w:basedOn w:val="CommentTextChar"/>
    <w:link w:val="CommentSubject"/>
    <w:uiPriority w:val="99"/>
    <w:semiHidden/>
    <w:rsid w:val="00995C92"/>
    <w:rPr>
      <w:b/>
      <w:bCs/>
      <w:sz w:val="20"/>
      <w:szCs w:val="20"/>
    </w:rPr>
  </w:style>
  <w:style w:type="paragraph" w:styleId="BalloonText">
    <w:name w:val="Balloon Text"/>
    <w:basedOn w:val="Normal"/>
    <w:link w:val="BalloonTextChar"/>
    <w:uiPriority w:val="99"/>
    <w:semiHidden/>
    <w:unhideWhenUsed/>
    <w:rsid w:val="0099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92"/>
    <w:rPr>
      <w:rFonts w:ascii="Segoe UI" w:hAnsi="Segoe UI" w:cs="Segoe UI"/>
      <w:sz w:val="18"/>
      <w:szCs w:val="18"/>
    </w:rPr>
  </w:style>
  <w:style w:type="table" w:styleId="TableGrid">
    <w:name w:val="Table Grid"/>
    <w:basedOn w:val="TableNormal"/>
    <w:uiPriority w:val="39"/>
    <w:rsid w:val="0017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5DE1"/>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0145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5CC"/>
    <w:rPr>
      <w:sz w:val="20"/>
      <w:szCs w:val="20"/>
    </w:rPr>
  </w:style>
  <w:style w:type="character" w:styleId="FootnoteReference">
    <w:name w:val="footnote reference"/>
    <w:basedOn w:val="DefaultParagraphFont"/>
    <w:uiPriority w:val="99"/>
    <w:semiHidden/>
    <w:unhideWhenUsed/>
    <w:rsid w:val="000145CC"/>
    <w:rPr>
      <w:vertAlign w:val="superscript"/>
    </w:rPr>
  </w:style>
  <w:style w:type="table" w:customStyle="1" w:styleId="GridTable2Accent5">
    <w:name w:val="Grid Table 2 Accent 5"/>
    <w:basedOn w:val="TableNormal"/>
    <w:uiPriority w:val="47"/>
    <w:rsid w:val="00DC183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375FE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0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05"/>
  </w:style>
  <w:style w:type="paragraph" w:styleId="Footer">
    <w:name w:val="footer"/>
    <w:basedOn w:val="Normal"/>
    <w:link w:val="FooterChar"/>
    <w:uiPriority w:val="99"/>
    <w:unhideWhenUsed/>
    <w:rsid w:val="00E0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05"/>
  </w:style>
  <w:style w:type="character" w:styleId="FollowedHyperlink">
    <w:name w:val="FollowedHyperlink"/>
    <w:basedOn w:val="DefaultParagraphFont"/>
    <w:uiPriority w:val="99"/>
    <w:semiHidden/>
    <w:unhideWhenUsed/>
    <w:rsid w:val="001641D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75F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BB7"/>
    <w:pPr>
      <w:ind w:left="720"/>
      <w:contextualSpacing/>
    </w:pPr>
  </w:style>
  <w:style w:type="character" w:styleId="Hyperlink">
    <w:name w:val="Hyperlink"/>
    <w:basedOn w:val="DefaultParagraphFont"/>
    <w:uiPriority w:val="99"/>
    <w:unhideWhenUsed/>
    <w:rsid w:val="007A5D25"/>
    <w:rPr>
      <w:color w:val="0000FF"/>
      <w:u w:val="single"/>
    </w:rPr>
  </w:style>
  <w:style w:type="character" w:customStyle="1" w:styleId="UnresolvedMention">
    <w:name w:val="Unresolved Mention"/>
    <w:basedOn w:val="DefaultParagraphFont"/>
    <w:uiPriority w:val="99"/>
    <w:semiHidden/>
    <w:unhideWhenUsed/>
    <w:rsid w:val="00FC3B0C"/>
    <w:rPr>
      <w:color w:val="605E5C"/>
      <w:shd w:val="clear" w:color="auto" w:fill="E1DFDD"/>
    </w:rPr>
  </w:style>
  <w:style w:type="character" w:styleId="CommentReference">
    <w:name w:val="annotation reference"/>
    <w:basedOn w:val="DefaultParagraphFont"/>
    <w:uiPriority w:val="99"/>
    <w:semiHidden/>
    <w:unhideWhenUsed/>
    <w:rsid w:val="00995C92"/>
    <w:rPr>
      <w:sz w:val="16"/>
      <w:szCs w:val="16"/>
    </w:rPr>
  </w:style>
  <w:style w:type="paragraph" w:styleId="CommentText">
    <w:name w:val="annotation text"/>
    <w:basedOn w:val="Normal"/>
    <w:link w:val="CommentTextChar"/>
    <w:uiPriority w:val="99"/>
    <w:semiHidden/>
    <w:unhideWhenUsed/>
    <w:rsid w:val="00995C92"/>
    <w:pPr>
      <w:spacing w:line="240" w:lineRule="auto"/>
    </w:pPr>
    <w:rPr>
      <w:sz w:val="20"/>
      <w:szCs w:val="20"/>
    </w:rPr>
  </w:style>
  <w:style w:type="character" w:customStyle="1" w:styleId="CommentTextChar">
    <w:name w:val="Comment Text Char"/>
    <w:basedOn w:val="DefaultParagraphFont"/>
    <w:link w:val="CommentText"/>
    <w:uiPriority w:val="99"/>
    <w:semiHidden/>
    <w:rsid w:val="00995C92"/>
    <w:rPr>
      <w:sz w:val="20"/>
      <w:szCs w:val="20"/>
    </w:rPr>
  </w:style>
  <w:style w:type="paragraph" w:styleId="CommentSubject">
    <w:name w:val="annotation subject"/>
    <w:basedOn w:val="CommentText"/>
    <w:next w:val="CommentText"/>
    <w:link w:val="CommentSubjectChar"/>
    <w:uiPriority w:val="99"/>
    <w:semiHidden/>
    <w:unhideWhenUsed/>
    <w:rsid w:val="00995C92"/>
    <w:rPr>
      <w:b/>
      <w:bCs/>
    </w:rPr>
  </w:style>
  <w:style w:type="character" w:customStyle="1" w:styleId="CommentSubjectChar">
    <w:name w:val="Comment Subject Char"/>
    <w:basedOn w:val="CommentTextChar"/>
    <w:link w:val="CommentSubject"/>
    <w:uiPriority w:val="99"/>
    <w:semiHidden/>
    <w:rsid w:val="00995C92"/>
    <w:rPr>
      <w:b/>
      <w:bCs/>
      <w:sz w:val="20"/>
      <w:szCs w:val="20"/>
    </w:rPr>
  </w:style>
  <w:style w:type="paragraph" w:styleId="BalloonText">
    <w:name w:val="Balloon Text"/>
    <w:basedOn w:val="Normal"/>
    <w:link w:val="BalloonTextChar"/>
    <w:uiPriority w:val="99"/>
    <w:semiHidden/>
    <w:unhideWhenUsed/>
    <w:rsid w:val="0099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92"/>
    <w:rPr>
      <w:rFonts w:ascii="Segoe UI" w:hAnsi="Segoe UI" w:cs="Segoe UI"/>
      <w:sz w:val="18"/>
      <w:szCs w:val="18"/>
    </w:rPr>
  </w:style>
  <w:style w:type="table" w:styleId="TableGrid">
    <w:name w:val="Table Grid"/>
    <w:basedOn w:val="TableNormal"/>
    <w:uiPriority w:val="39"/>
    <w:rsid w:val="0017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5DE1"/>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0145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5CC"/>
    <w:rPr>
      <w:sz w:val="20"/>
      <w:szCs w:val="20"/>
    </w:rPr>
  </w:style>
  <w:style w:type="character" w:styleId="FootnoteReference">
    <w:name w:val="footnote reference"/>
    <w:basedOn w:val="DefaultParagraphFont"/>
    <w:uiPriority w:val="99"/>
    <w:semiHidden/>
    <w:unhideWhenUsed/>
    <w:rsid w:val="000145CC"/>
    <w:rPr>
      <w:vertAlign w:val="superscript"/>
    </w:rPr>
  </w:style>
  <w:style w:type="table" w:customStyle="1" w:styleId="GridTable2Accent5">
    <w:name w:val="Grid Table 2 Accent 5"/>
    <w:basedOn w:val="TableNormal"/>
    <w:uiPriority w:val="47"/>
    <w:rsid w:val="00DC183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375FE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0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05"/>
  </w:style>
  <w:style w:type="paragraph" w:styleId="Footer">
    <w:name w:val="footer"/>
    <w:basedOn w:val="Normal"/>
    <w:link w:val="FooterChar"/>
    <w:uiPriority w:val="99"/>
    <w:unhideWhenUsed/>
    <w:rsid w:val="00E0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05"/>
  </w:style>
  <w:style w:type="character" w:styleId="FollowedHyperlink">
    <w:name w:val="FollowedHyperlink"/>
    <w:basedOn w:val="DefaultParagraphFont"/>
    <w:uiPriority w:val="99"/>
    <w:semiHidden/>
    <w:unhideWhenUsed/>
    <w:rsid w:val="001641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7463">
      <w:bodyDiv w:val="1"/>
      <w:marLeft w:val="0"/>
      <w:marRight w:val="0"/>
      <w:marTop w:val="0"/>
      <w:marBottom w:val="0"/>
      <w:divBdr>
        <w:top w:val="none" w:sz="0" w:space="0" w:color="auto"/>
        <w:left w:val="none" w:sz="0" w:space="0" w:color="auto"/>
        <w:bottom w:val="none" w:sz="0" w:space="0" w:color="auto"/>
        <w:right w:val="none" w:sz="0" w:space="0" w:color="auto"/>
      </w:divBdr>
    </w:div>
    <w:div w:id="200629435">
      <w:bodyDiv w:val="1"/>
      <w:marLeft w:val="0"/>
      <w:marRight w:val="0"/>
      <w:marTop w:val="0"/>
      <w:marBottom w:val="0"/>
      <w:divBdr>
        <w:top w:val="none" w:sz="0" w:space="0" w:color="auto"/>
        <w:left w:val="none" w:sz="0" w:space="0" w:color="auto"/>
        <w:bottom w:val="none" w:sz="0" w:space="0" w:color="auto"/>
        <w:right w:val="none" w:sz="0" w:space="0" w:color="auto"/>
      </w:divBdr>
    </w:div>
    <w:div w:id="710030479">
      <w:bodyDiv w:val="1"/>
      <w:marLeft w:val="0"/>
      <w:marRight w:val="0"/>
      <w:marTop w:val="0"/>
      <w:marBottom w:val="0"/>
      <w:divBdr>
        <w:top w:val="none" w:sz="0" w:space="0" w:color="auto"/>
        <w:left w:val="none" w:sz="0" w:space="0" w:color="auto"/>
        <w:bottom w:val="none" w:sz="0" w:space="0" w:color="auto"/>
        <w:right w:val="none" w:sz="0" w:space="0" w:color="auto"/>
      </w:divBdr>
    </w:div>
    <w:div w:id="952248632">
      <w:bodyDiv w:val="1"/>
      <w:marLeft w:val="0"/>
      <w:marRight w:val="0"/>
      <w:marTop w:val="0"/>
      <w:marBottom w:val="0"/>
      <w:divBdr>
        <w:top w:val="none" w:sz="0" w:space="0" w:color="auto"/>
        <w:left w:val="none" w:sz="0" w:space="0" w:color="auto"/>
        <w:bottom w:val="none" w:sz="0" w:space="0" w:color="auto"/>
        <w:right w:val="none" w:sz="0" w:space="0" w:color="auto"/>
      </w:divBdr>
    </w:div>
    <w:div w:id="1229269141">
      <w:bodyDiv w:val="1"/>
      <w:marLeft w:val="0"/>
      <w:marRight w:val="0"/>
      <w:marTop w:val="0"/>
      <w:marBottom w:val="0"/>
      <w:divBdr>
        <w:top w:val="none" w:sz="0" w:space="0" w:color="auto"/>
        <w:left w:val="none" w:sz="0" w:space="0" w:color="auto"/>
        <w:bottom w:val="none" w:sz="0" w:space="0" w:color="auto"/>
        <w:right w:val="none" w:sz="0" w:space="0" w:color="auto"/>
      </w:divBdr>
    </w:div>
    <w:div w:id="1591234591">
      <w:bodyDiv w:val="1"/>
      <w:marLeft w:val="0"/>
      <w:marRight w:val="0"/>
      <w:marTop w:val="0"/>
      <w:marBottom w:val="0"/>
      <w:divBdr>
        <w:top w:val="none" w:sz="0" w:space="0" w:color="auto"/>
        <w:left w:val="none" w:sz="0" w:space="0" w:color="auto"/>
        <w:bottom w:val="none" w:sz="0" w:space="0" w:color="auto"/>
        <w:right w:val="none" w:sz="0" w:space="0" w:color="auto"/>
      </w:divBdr>
    </w:div>
    <w:div w:id="1936206598">
      <w:bodyDiv w:val="1"/>
      <w:marLeft w:val="0"/>
      <w:marRight w:val="0"/>
      <w:marTop w:val="0"/>
      <w:marBottom w:val="0"/>
      <w:divBdr>
        <w:top w:val="none" w:sz="0" w:space="0" w:color="auto"/>
        <w:left w:val="none" w:sz="0" w:space="0" w:color="auto"/>
        <w:bottom w:val="none" w:sz="0" w:space="0" w:color="auto"/>
        <w:right w:val="none" w:sz="0" w:space="0" w:color="auto"/>
      </w:divBdr>
    </w:div>
    <w:div w:id="211301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ed.gov/about/inits/ed/foster-care/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ed.gov/about/inits/ed/edfacts/data-files/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2.ed.gov/about/inits/ed/edfacts/data-files/index.htm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2.ed.gov/policy/elsec/leg/essa/edhhsfostercarenonregulatorguide.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inits/ed/edfacts/sy-17-18-nonxml.html" TargetMode="External"/><Relationship Id="rId1" Type="http://schemas.openxmlformats.org/officeDocument/2006/relationships/hyperlink" Target="https://www2.ed.gov/policy/elsec/leg/ess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75b8f200-01bb-4893-a3c4-f3a17e332d98" xsi:nil="true"/>
    <_dlc_DocId xmlns="b7635ab0-52e7-4e33-aa76-893cd120ef45">DNVT47QTA7NQ-161-307342</_dlc_DocId>
    <_dlc_DocIdUrl xmlns="b7635ab0-52e7-4e33-aa76-893cd120ef45">
      <Url>https://sharepoint.aemcorp.com/ed/etss/_layouts/15/DocIdRedir.aspx?ID=DNVT47QTA7NQ-161-307342</Url>
      <Description>DNVT47QTA7NQ-161-307342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199ce19037b3febe0ddd8d53795555b5">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2cbcd85c175d0214924c5aa48040741a"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0720-0AD8-456F-9A9E-AF69F68FC227}">
  <ds:schemaRefs>
    <ds:schemaRef ds:uri="http://schemas.microsoft.com/office/2006/metadata/properties"/>
    <ds:schemaRef ds:uri="http://schemas.microsoft.com/office/infopath/2007/PartnerControls"/>
    <ds:schemaRef ds:uri="http://schemas.microsoft.com/sharepoint/v3"/>
    <ds:schemaRef ds:uri="75b8f200-01bb-4893-a3c4-f3a17e332d98"/>
    <ds:schemaRef ds:uri="b7635ab0-52e7-4e33-aa76-893cd120ef45"/>
  </ds:schemaRefs>
</ds:datastoreItem>
</file>

<file path=customXml/itemProps2.xml><?xml version="1.0" encoding="utf-8"?>
<ds:datastoreItem xmlns:ds="http://schemas.openxmlformats.org/officeDocument/2006/customXml" ds:itemID="{339D3944-901F-4F08-8A7D-D002D293B498}">
  <ds:schemaRefs>
    <ds:schemaRef ds:uri="http://schemas.microsoft.com/sharepoint/v3/contenttype/forms"/>
  </ds:schemaRefs>
</ds:datastoreItem>
</file>

<file path=customXml/itemProps3.xml><?xml version="1.0" encoding="utf-8"?>
<ds:datastoreItem xmlns:ds="http://schemas.openxmlformats.org/officeDocument/2006/customXml" ds:itemID="{EBA50091-8114-4E79-B815-159D790D643F}">
  <ds:schemaRefs>
    <ds:schemaRef ds:uri="http://schemas.microsoft.com/sharepoint/events"/>
  </ds:schemaRefs>
</ds:datastoreItem>
</file>

<file path=customXml/itemProps4.xml><?xml version="1.0" encoding="utf-8"?>
<ds:datastoreItem xmlns:ds="http://schemas.openxmlformats.org/officeDocument/2006/customXml" ds:itemID="{C19067B4-38B3-462D-9947-CE2E6344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A89691-7DB9-4E63-9DBC-B2DC33DF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Kelly</dc:creator>
  <cp:keywords/>
  <dc:description/>
  <cp:lastModifiedBy>SYSTEM</cp:lastModifiedBy>
  <cp:revision>2</cp:revision>
  <dcterms:created xsi:type="dcterms:W3CDTF">2019-08-02T15:55:00Z</dcterms:created>
  <dcterms:modified xsi:type="dcterms:W3CDTF">2019-08-02T15:55:00Z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3402bb76-0e4f-4a8f-9a6e-bfcad7352170</vt:lpwstr>
  </property>
</Properties>
</file>