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F1117" w14:textId="77777777" w:rsidR="0054472A" w:rsidRPr="00545D17" w:rsidRDefault="0054472A" w:rsidP="0054472A">
      <w:pPr>
        <w:pStyle w:val="C1-CtrBoldHd"/>
        <w:spacing w:after="0"/>
        <w:rPr>
          <w:sz w:val="36"/>
        </w:rPr>
      </w:pPr>
      <w:bookmarkStart w:id="0" w:name="_Toc119829979"/>
      <w:bookmarkStart w:id="1" w:name="_GoBack"/>
      <w:bookmarkEnd w:id="1"/>
    </w:p>
    <w:p w14:paraId="695F8568" w14:textId="77777777" w:rsidR="0054472A" w:rsidRPr="00545D17" w:rsidRDefault="0054472A" w:rsidP="0054472A">
      <w:pPr>
        <w:pStyle w:val="C1-CtrBoldHd"/>
        <w:spacing w:after="0"/>
        <w:rPr>
          <w:sz w:val="36"/>
        </w:rPr>
      </w:pPr>
    </w:p>
    <w:p w14:paraId="0FF72B81" w14:textId="77777777" w:rsidR="00B305D8" w:rsidRPr="00545D17" w:rsidRDefault="00B305D8" w:rsidP="0054472A">
      <w:pPr>
        <w:pStyle w:val="C1-CtrBoldHd"/>
        <w:spacing w:after="0"/>
        <w:rPr>
          <w:sz w:val="36"/>
        </w:rPr>
      </w:pPr>
    </w:p>
    <w:p w14:paraId="108DCFC2" w14:textId="77777777" w:rsidR="0054472A" w:rsidRPr="00545D17" w:rsidRDefault="0054472A" w:rsidP="0054472A">
      <w:pPr>
        <w:pStyle w:val="C1-CtrBoldHd"/>
        <w:spacing w:after="0"/>
      </w:pPr>
    </w:p>
    <w:p w14:paraId="5186BAA0" w14:textId="419518BA" w:rsidR="0054472A" w:rsidRPr="00545D17" w:rsidRDefault="0054472A" w:rsidP="00337B84">
      <w:pPr>
        <w:pStyle w:val="C1-CtrBoldHd"/>
        <w:spacing w:after="0"/>
        <w:rPr>
          <w:sz w:val="32"/>
        </w:rPr>
      </w:pPr>
      <w:r w:rsidRPr="00545D17">
        <w:rPr>
          <w:sz w:val="32"/>
        </w:rPr>
        <w:t>Trends in International mathematics and science study (TIMSS</w:t>
      </w:r>
      <w:r w:rsidR="00337B84" w:rsidRPr="00545D17">
        <w:rPr>
          <w:sz w:val="32"/>
        </w:rPr>
        <w:t>)</w:t>
      </w:r>
      <w:r w:rsidRPr="00545D17">
        <w:rPr>
          <w:sz w:val="32"/>
        </w:rPr>
        <w:t xml:space="preserve"> 2019</w:t>
      </w:r>
      <w:r w:rsidR="00337B84" w:rsidRPr="00545D17">
        <w:rPr>
          <w:sz w:val="32"/>
        </w:rPr>
        <w:t xml:space="preserve"> </w:t>
      </w:r>
      <w:r w:rsidR="00431591" w:rsidRPr="00545D17">
        <w:rPr>
          <w:sz w:val="32"/>
        </w:rPr>
        <w:t>main Study</w:t>
      </w:r>
    </w:p>
    <w:p w14:paraId="38B27FAA" w14:textId="77777777" w:rsidR="0054472A" w:rsidRPr="00545D17" w:rsidRDefault="0054472A" w:rsidP="0054472A">
      <w:pPr>
        <w:pStyle w:val="C1-CtrBoldHd"/>
        <w:spacing w:after="0"/>
        <w:rPr>
          <w:sz w:val="24"/>
        </w:rPr>
      </w:pPr>
    </w:p>
    <w:p w14:paraId="32D87A0B" w14:textId="77777777" w:rsidR="0054472A" w:rsidRPr="00545D17" w:rsidRDefault="0054472A" w:rsidP="0054472A">
      <w:pPr>
        <w:pStyle w:val="C1-CtrBoldHd"/>
        <w:spacing w:after="0"/>
        <w:rPr>
          <w:sz w:val="28"/>
        </w:rPr>
      </w:pPr>
    </w:p>
    <w:p w14:paraId="56979335" w14:textId="77777777" w:rsidR="00B305D8" w:rsidRPr="00545D17" w:rsidRDefault="00B305D8" w:rsidP="0054472A">
      <w:pPr>
        <w:pStyle w:val="C1-CtrBoldHd"/>
        <w:spacing w:after="0"/>
        <w:rPr>
          <w:sz w:val="28"/>
        </w:rPr>
      </w:pPr>
    </w:p>
    <w:p w14:paraId="35CED74E" w14:textId="77777777" w:rsidR="0054472A" w:rsidRPr="00545D17" w:rsidRDefault="0054472A" w:rsidP="0054472A">
      <w:pPr>
        <w:pStyle w:val="C1-CtrBoldHd"/>
        <w:spacing w:after="0"/>
        <w:rPr>
          <w:sz w:val="28"/>
        </w:rPr>
      </w:pPr>
      <w:r w:rsidRPr="00545D17">
        <w:rPr>
          <w:sz w:val="28"/>
        </w:rPr>
        <w:t>REQUEST FOR OMB Clearance</w:t>
      </w:r>
    </w:p>
    <w:p w14:paraId="5B26A6F9" w14:textId="770AEE38" w:rsidR="0054472A" w:rsidRPr="00545D17" w:rsidRDefault="0054472A" w:rsidP="0054472A">
      <w:pPr>
        <w:pStyle w:val="C1-CtrBoldHd"/>
        <w:spacing w:after="0"/>
        <w:rPr>
          <w:sz w:val="28"/>
        </w:rPr>
      </w:pPr>
      <w:r w:rsidRPr="00545D17">
        <w:rPr>
          <w:sz w:val="28"/>
        </w:rPr>
        <w:t xml:space="preserve">OMB# 1850-0695 </w:t>
      </w:r>
      <w:r w:rsidRPr="00545D17">
        <w:rPr>
          <w:caps w:val="0"/>
          <w:sz w:val="28"/>
        </w:rPr>
        <w:t>v</w:t>
      </w:r>
      <w:r w:rsidRPr="00545D17">
        <w:rPr>
          <w:sz w:val="28"/>
        </w:rPr>
        <w:t>.</w:t>
      </w:r>
      <w:r w:rsidR="00920674" w:rsidRPr="00545D17">
        <w:rPr>
          <w:sz w:val="28"/>
        </w:rPr>
        <w:t>1</w:t>
      </w:r>
      <w:r w:rsidR="00271F24" w:rsidRPr="00545D17">
        <w:rPr>
          <w:sz w:val="28"/>
        </w:rPr>
        <w:t>4</w:t>
      </w:r>
    </w:p>
    <w:p w14:paraId="74E07DEA" w14:textId="77777777" w:rsidR="0054472A" w:rsidRPr="00545D17" w:rsidRDefault="0054472A" w:rsidP="0054472A">
      <w:pPr>
        <w:pStyle w:val="C1-CtrBoldHd"/>
        <w:spacing w:after="0"/>
        <w:rPr>
          <w:sz w:val="28"/>
        </w:rPr>
      </w:pPr>
    </w:p>
    <w:p w14:paraId="634B6394" w14:textId="77777777" w:rsidR="0054472A" w:rsidRPr="00545D17" w:rsidRDefault="0054472A" w:rsidP="0054472A">
      <w:pPr>
        <w:pStyle w:val="C1-CtrBoldHd"/>
        <w:spacing w:after="0"/>
        <w:rPr>
          <w:sz w:val="28"/>
        </w:rPr>
      </w:pPr>
    </w:p>
    <w:p w14:paraId="5E38226B" w14:textId="77777777" w:rsidR="0054472A" w:rsidRPr="00545D17" w:rsidRDefault="0054472A" w:rsidP="0054472A">
      <w:pPr>
        <w:pStyle w:val="C1-CtrBoldHd"/>
        <w:spacing w:after="0"/>
        <w:rPr>
          <w:sz w:val="28"/>
        </w:rPr>
      </w:pPr>
    </w:p>
    <w:p w14:paraId="2A8D542A" w14:textId="77777777" w:rsidR="0054472A" w:rsidRPr="00545D17" w:rsidRDefault="0054472A" w:rsidP="0054472A">
      <w:pPr>
        <w:pStyle w:val="C1-CtrBoldHd"/>
        <w:spacing w:after="0"/>
        <w:rPr>
          <w:sz w:val="28"/>
        </w:rPr>
      </w:pPr>
      <w:r w:rsidRPr="00545D17">
        <w:rPr>
          <w:sz w:val="28"/>
        </w:rPr>
        <w:t>Supporting Statement Part B</w:t>
      </w:r>
    </w:p>
    <w:p w14:paraId="0AE29B50" w14:textId="77777777" w:rsidR="0054472A" w:rsidRPr="00545D17" w:rsidRDefault="0054472A" w:rsidP="0054472A">
      <w:pPr>
        <w:pStyle w:val="C1-CtrBoldHd"/>
        <w:spacing w:after="0"/>
        <w:rPr>
          <w:sz w:val="36"/>
        </w:rPr>
      </w:pPr>
    </w:p>
    <w:p w14:paraId="326D0D8D" w14:textId="77777777" w:rsidR="0054472A" w:rsidRPr="00545D17" w:rsidRDefault="0054472A" w:rsidP="0054472A">
      <w:pPr>
        <w:pStyle w:val="C1-CtrBoldHd"/>
        <w:spacing w:after="0"/>
        <w:rPr>
          <w:sz w:val="28"/>
        </w:rPr>
      </w:pPr>
    </w:p>
    <w:p w14:paraId="1CADAAA0" w14:textId="77777777" w:rsidR="0054472A" w:rsidRPr="00545D17" w:rsidRDefault="0054472A" w:rsidP="0054472A">
      <w:pPr>
        <w:pStyle w:val="C1-CtrBoldHd"/>
        <w:spacing w:after="0"/>
        <w:rPr>
          <w:sz w:val="28"/>
        </w:rPr>
      </w:pPr>
    </w:p>
    <w:p w14:paraId="4D776BC7" w14:textId="77777777" w:rsidR="0054472A" w:rsidRPr="00545D17" w:rsidRDefault="0054472A" w:rsidP="0054472A">
      <w:pPr>
        <w:pStyle w:val="C1-CtrBoldHd"/>
        <w:spacing w:after="0"/>
        <w:rPr>
          <w:caps w:val="0"/>
          <w:sz w:val="28"/>
        </w:rPr>
      </w:pPr>
      <w:r w:rsidRPr="00545D17">
        <w:rPr>
          <w:caps w:val="0"/>
          <w:sz w:val="28"/>
        </w:rPr>
        <w:t>Submitted by:</w:t>
      </w:r>
    </w:p>
    <w:p w14:paraId="796E9F36" w14:textId="77777777" w:rsidR="0054472A" w:rsidRPr="00545D17" w:rsidRDefault="0054472A" w:rsidP="0054472A">
      <w:pPr>
        <w:pStyle w:val="C1-CtrBoldHd"/>
        <w:spacing w:after="0"/>
        <w:rPr>
          <w:caps w:val="0"/>
          <w:sz w:val="28"/>
        </w:rPr>
      </w:pPr>
    </w:p>
    <w:p w14:paraId="23DEC65E" w14:textId="77777777" w:rsidR="0054472A" w:rsidRPr="00545D17" w:rsidRDefault="0054472A" w:rsidP="0054472A">
      <w:pPr>
        <w:pStyle w:val="C1-CtrBoldHd"/>
        <w:spacing w:after="0"/>
        <w:rPr>
          <w:sz w:val="28"/>
        </w:rPr>
      </w:pPr>
    </w:p>
    <w:p w14:paraId="346CBF6B" w14:textId="77777777" w:rsidR="0054472A" w:rsidRPr="00545D17" w:rsidRDefault="0054472A" w:rsidP="0054472A">
      <w:pPr>
        <w:pStyle w:val="C1-CtrBoldHd"/>
        <w:spacing w:after="0"/>
        <w:rPr>
          <w:sz w:val="28"/>
        </w:rPr>
      </w:pPr>
      <w:r w:rsidRPr="00545D17">
        <w:rPr>
          <w:caps w:val="0"/>
          <w:sz w:val="28"/>
        </w:rPr>
        <w:t>National Center for Education Statistics</w:t>
      </w:r>
    </w:p>
    <w:p w14:paraId="4AF83959" w14:textId="77777777" w:rsidR="0054472A" w:rsidRPr="00545D17" w:rsidRDefault="0054472A" w:rsidP="0054472A">
      <w:pPr>
        <w:pStyle w:val="C1-CtrBoldHd"/>
        <w:spacing w:after="0"/>
        <w:rPr>
          <w:caps w:val="0"/>
          <w:sz w:val="28"/>
        </w:rPr>
      </w:pPr>
      <w:r w:rsidRPr="00545D17">
        <w:rPr>
          <w:caps w:val="0"/>
          <w:sz w:val="28"/>
        </w:rPr>
        <w:t>U.S. Department of Education</w:t>
      </w:r>
    </w:p>
    <w:p w14:paraId="2FBCDE21" w14:textId="77777777" w:rsidR="0054472A" w:rsidRPr="00545D17" w:rsidRDefault="0054472A" w:rsidP="0054472A">
      <w:pPr>
        <w:pStyle w:val="C1-CtrBoldHd"/>
        <w:spacing w:after="0"/>
        <w:rPr>
          <w:sz w:val="28"/>
        </w:rPr>
      </w:pPr>
      <w:r w:rsidRPr="00545D17">
        <w:rPr>
          <w:caps w:val="0"/>
          <w:sz w:val="28"/>
        </w:rPr>
        <w:t>Institute of Education Sciences</w:t>
      </w:r>
    </w:p>
    <w:p w14:paraId="7BA266CF" w14:textId="77777777" w:rsidR="0054472A" w:rsidRPr="00545D17" w:rsidRDefault="0054472A" w:rsidP="0054472A">
      <w:pPr>
        <w:pStyle w:val="C1-CtrBoldHd"/>
        <w:spacing w:after="0"/>
        <w:rPr>
          <w:sz w:val="28"/>
        </w:rPr>
      </w:pPr>
      <w:r w:rsidRPr="00545D17">
        <w:rPr>
          <w:caps w:val="0"/>
          <w:sz w:val="28"/>
        </w:rPr>
        <w:t>Washington, DC</w:t>
      </w:r>
    </w:p>
    <w:p w14:paraId="204F16B3" w14:textId="77777777" w:rsidR="0054472A" w:rsidRPr="00545D17" w:rsidRDefault="0054472A" w:rsidP="0054472A">
      <w:pPr>
        <w:pStyle w:val="C1-CtrBoldHd"/>
        <w:spacing w:after="0"/>
        <w:rPr>
          <w:sz w:val="28"/>
        </w:rPr>
      </w:pPr>
    </w:p>
    <w:p w14:paraId="1526A27A" w14:textId="77777777" w:rsidR="0054472A" w:rsidRPr="00545D17" w:rsidRDefault="0054472A" w:rsidP="0054472A">
      <w:pPr>
        <w:pStyle w:val="C1-CtrBoldHd"/>
        <w:spacing w:after="0"/>
        <w:rPr>
          <w:sz w:val="28"/>
        </w:rPr>
      </w:pPr>
    </w:p>
    <w:p w14:paraId="0633E6CF" w14:textId="77777777" w:rsidR="0054472A" w:rsidRPr="00545D17" w:rsidRDefault="0054472A" w:rsidP="0054472A">
      <w:pPr>
        <w:pStyle w:val="C1-CtrBoldHd"/>
        <w:spacing w:after="0"/>
        <w:rPr>
          <w:sz w:val="28"/>
        </w:rPr>
      </w:pPr>
    </w:p>
    <w:p w14:paraId="102A476D" w14:textId="77777777" w:rsidR="0054472A" w:rsidRPr="00545D17" w:rsidRDefault="0054472A" w:rsidP="0054472A">
      <w:pPr>
        <w:pStyle w:val="C1-CtrBoldHd"/>
        <w:spacing w:after="0"/>
        <w:rPr>
          <w:sz w:val="28"/>
        </w:rPr>
      </w:pPr>
    </w:p>
    <w:p w14:paraId="4102EB3A" w14:textId="77777777" w:rsidR="0054472A" w:rsidRPr="00545D17" w:rsidRDefault="0054472A" w:rsidP="0054472A">
      <w:pPr>
        <w:pStyle w:val="C1-CtrBoldHd"/>
        <w:spacing w:after="0"/>
        <w:rPr>
          <w:sz w:val="28"/>
        </w:rPr>
      </w:pPr>
    </w:p>
    <w:p w14:paraId="2806E69D" w14:textId="77777777" w:rsidR="0054472A" w:rsidRPr="00545D17" w:rsidRDefault="0054472A" w:rsidP="0054472A">
      <w:pPr>
        <w:pStyle w:val="C1-CtrBoldHd"/>
        <w:spacing w:after="0"/>
        <w:rPr>
          <w:sz w:val="28"/>
        </w:rPr>
      </w:pPr>
    </w:p>
    <w:p w14:paraId="2BC9E702" w14:textId="77777777" w:rsidR="0054472A" w:rsidRPr="00545D17" w:rsidRDefault="0054472A" w:rsidP="0054472A">
      <w:pPr>
        <w:pStyle w:val="C1-CtrBoldHd"/>
        <w:spacing w:after="0"/>
        <w:rPr>
          <w:sz w:val="28"/>
        </w:rPr>
      </w:pPr>
    </w:p>
    <w:p w14:paraId="7BB0069F" w14:textId="77777777" w:rsidR="0054472A" w:rsidRPr="00545D17" w:rsidRDefault="0054472A" w:rsidP="0054472A">
      <w:pPr>
        <w:pStyle w:val="C1-CtrBoldHd"/>
        <w:spacing w:after="0"/>
        <w:rPr>
          <w:sz w:val="28"/>
        </w:rPr>
      </w:pPr>
    </w:p>
    <w:p w14:paraId="2AFB0C3B" w14:textId="77777777" w:rsidR="0054472A" w:rsidRPr="00545D17" w:rsidRDefault="0054472A" w:rsidP="0054472A">
      <w:pPr>
        <w:pStyle w:val="C1-CtrBoldHd"/>
        <w:spacing w:after="0"/>
        <w:rPr>
          <w:sz w:val="28"/>
        </w:rPr>
      </w:pPr>
    </w:p>
    <w:p w14:paraId="7C1100AE" w14:textId="77777777" w:rsidR="0054472A" w:rsidRPr="00545D17" w:rsidRDefault="0054472A" w:rsidP="0054472A">
      <w:pPr>
        <w:pStyle w:val="C1-CtrBoldHd"/>
        <w:spacing w:after="0"/>
        <w:rPr>
          <w:sz w:val="28"/>
        </w:rPr>
      </w:pPr>
    </w:p>
    <w:p w14:paraId="33541DD4" w14:textId="16B0E86C" w:rsidR="0054472A" w:rsidRPr="00545D17" w:rsidRDefault="00271F24" w:rsidP="0054472A">
      <w:pPr>
        <w:pStyle w:val="C1-CtrBoldHd"/>
        <w:spacing w:after="0"/>
        <w:rPr>
          <w:caps w:val="0"/>
          <w:sz w:val="28"/>
        </w:rPr>
      </w:pPr>
      <w:r w:rsidRPr="00545D17">
        <w:rPr>
          <w:caps w:val="0"/>
          <w:sz w:val="28"/>
        </w:rPr>
        <w:t>September 2018</w:t>
      </w:r>
    </w:p>
    <w:p w14:paraId="3D09295B" w14:textId="77777777" w:rsidR="0054472A" w:rsidRPr="00545D17" w:rsidRDefault="0054472A" w:rsidP="0054472A">
      <w:pPr>
        <w:pStyle w:val="C1-CtrBoldHd"/>
        <w:spacing w:after="0"/>
        <w:rPr>
          <w:caps w:val="0"/>
          <w:sz w:val="28"/>
        </w:rPr>
      </w:pPr>
    </w:p>
    <w:p w14:paraId="23844BA5" w14:textId="77777777" w:rsidR="001A7635" w:rsidRPr="00545D17" w:rsidRDefault="001A7635" w:rsidP="00AA5BB5">
      <w:pPr>
        <w:pStyle w:val="C1-CtrBoldHd"/>
        <w:spacing w:after="0"/>
      </w:pPr>
    </w:p>
    <w:p w14:paraId="2556CCA3" w14:textId="77777777" w:rsidR="001A7635" w:rsidRPr="00545D17" w:rsidRDefault="001A7635" w:rsidP="00AA5BB5">
      <w:pPr>
        <w:pStyle w:val="C1-CtrBoldHd"/>
        <w:spacing w:after="0"/>
        <w:rPr>
          <w:color w:val="FF0000"/>
          <w:sz w:val="24"/>
        </w:rPr>
        <w:sectPr w:rsidR="001A7635" w:rsidRPr="00545D17" w:rsidSect="00DB425C">
          <w:footerReference w:type="even" r:id="rId9"/>
          <w:footerReference w:type="default" r:id="rId10"/>
          <w:pgSz w:w="12240" w:h="15840" w:code="1"/>
          <w:pgMar w:top="864" w:right="864" w:bottom="720" w:left="864" w:header="432" w:footer="288"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14:paraId="0DF55EF0" w14:textId="77777777" w:rsidR="00AA5BB5" w:rsidRPr="00545D17" w:rsidRDefault="00AA5BB5" w:rsidP="0070494E">
      <w:pPr>
        <w:pStyle w:val="Heading5"/>
        <w:keepNext w:val="0"/>
        <w:widowControl w:val="0"/>
        <w:numPr>
          <w:ilvl w:val="0"/>
          <w:numId w:val="2"/>
        </w:numPr>
        <w:spacing w:after="120" w:line="22" w:lineRule="atLeast"/>
      </w:pPr>
      <w:bookmarkStart w:id="2" w:name="_Toc240971097"/>
      <w:r w:rsidRPr="00545D17">
        <w:lastRenderedPageBreak/>
        <w:t>COLLECTION OF INFORMATION EMPLOYING STATISTICAL INFORMATION</w:t>
      </w:r>
      <w:bookmarkEnd w:id="0"/>
      <w:bookmarkEnd w:id="2"/>
    </w:p>
    <w:p w14:paraId="1947C8E0" w14:textId="77777777" w:rsidR="0054472A" w:rsidRPr="00545D17" w:rsidRDefault="00AA5BB5" w:rsidP="0070494E">
      <w:pPr>
        <w:pStyle w:val="Heading8"/>
        <w:keepNext w:val="0"/>
        <w:widowControl w:val="0"/>
        <w:spacing w:after="120" w:line="22" w:lineRule="atLeast"/>
        <w:jc w:val="left"/>
      </w:pPr>
      <w:bookmarkStart w:id="3" w:name="_Toc119829980"/>
      <w:r w:rsidRPr="00545D17">
        <w:t>B.1</w:t>
      </w:r>
      <w:r w:rsidRPr="00545D17">
        <w:tab/>
        <w:t>Respondent Universe</w:t>
      </w:r>
      <w:bookmarkEnd w:id="3"/>
    </w:p>
    <w:p w14:paraId="687FDFB8" w14:textId="77777777" w:rsidR="00A81A14" w:rsidRPr="00545D17" w:rsidRDefault="00A81A14" w:rsidP="0070494E">
      <w:pPr>
        <w:pStyle w:val="P1-StandPara"/>
        <w:widowControl w:val="0"/>
        <w:spacing w:after="120" w:line="22" w:lineRule="atLeast"/>
        <w:ind w:firstLine="0"/>
        <w:jc w:val="left"/>
      </w:pPr>
      <w:r w:rsidRPr="00545D17">
        <w:t xml:space="preserve">The respondent universe for the TIMSS 2019 main study is all students enrolled in grade 4 and grade 8 during the 2018-19 school year. A sample of </w:t>
      </w:r>
      <w:r w:rsidR="00D40F06" w:rsidRPr="00545D17">
        <w:t>335</w:t>
      </w:r>
      <w:r w:rsidRPr="00545D17">
        <w:t xml:space="preserve"> schools will be selected for the main study</w:t>
      </w:r>
      <w:r w:rsidR="00271F24" w:rsidRPr="00545D17">
        <w:t xml:space="preserve"> at each grade level</w:t>
      </w:r>
      <w:r w:rsidRPr="00545D17">
        <w:t xml:space="preserve">. Within sampled schools, students will be selected for participation by drawing a random sample of two classes. At grade 8, students will be selected by drawing a sample of two intact mathematics classrooms (in which grade 8 students are enrolled) in each sampled school. </w:t>
      </w:r>
      <w:r w:rsidR="00D40F06" w:rsidRPr="00545D17">
        <w:t>Only students in intact classrooms will be assessed at each grade.</w:t>
      </w:r>
      <w:r w:rsidR="00F106F9" w:rsidRPr="00545D17">
        <w:t xml:space="preserve"> </w:t>
      </w:r>
      <w:r w:rsidR="00D40F06" w:rsidRPr="00545D17">
        <w:t>Most</w:t>
      </w:r>
      <w:r w:rsidRPr="00545D17">
        <w:t xml:space="preserve"> selected students will be asked to participate in a combined electronically administered TIMSS mathematics and science assessment</w:t>
      </w:r>
      <w:r w:rsidR="00D40F06" w:rsidRPr="00545D17">
        <w:t xml:space="preserve"> using the eTIMSS assessment platform</w:t>
      </w:r>
      <w:r w:rsidR="00271F24" w:rsidRPr="00545D17">
        <w:t>, along with a paper questionnaire</w:t>
      </w:r>
      <w:r w:rsidRPr="00545D17">
        <w:t xml:space="preserve">. </w:t>
      </w:r>
      <w:r w:rsidR="00797905" w:rsidRPr="00545D17">
        <w:t>A sample of 1,5</w:t>
      </w:r>
      <w:r w:rsidRPr="00545D17">
        <w:t xml:space="preserve">00 students at each grade will take TIMSS on paper, in order to </w:t>
      </w:r>
      <w:r w:rsidR="00F106F9" w:rsidRPr="00545D17">
        <w:t xml:space="preserve">allow for a </w:t>
      </w:r>
      <w:r w:rsidRPr="00545D17">
        <w:t xml:space="preserve">bridge </w:t>
      </w:r>
      <w:r w:rsidR="00F106F9" w:rsidRPr="00545D17">
        <w:t xml:space="preserve">analysis </w:t>
      </w:r>
      <w:r w:rsidRPr="00545D17">
        <w:t>with paper-based trend lines.</w:t>
      </w:r>
    </w:p>
    <w:p w14:paraId="51D570FB" w14:textId="3E64156E" w:rsidR="00271F24" w:rsidRPr="00545D17" w:rsidRDefault="00271F24" w:rsidP="0070494E">
      <w:pPr>
        <w:pStyle w:val="P1-StandPara"/>
        <w:widowControl w:val="0"/>
        <w:spacing w:after="120" w:line="22" w:lineRule="atLeast"/>
        <w:ind w:firstLine="0"/>
        <w:jc w:val="left"/>
      </w:pPr>
      <w:r w:rsidRPr="00545D17">
        <w:t xml:space="preserve">The respondent universe for the TIMSS 2019 field test was all students enrolled in grade 4 and grade 8 during the 2017-18 school year. </w:t>
      </w:r>
      <w:r w:rsidR="0038307B" w:rsidRPr="00545D17">
        <w:t>A sample of 40 schools was</w:t>
      </w:r>
      <w:r w:rsidRPr="00545D17">
        <w:t xml:space="preserve"> selected for the field test, with the goal of obtaining participation from a minimum of 35 schools at each grade. Within sampled schools, students were selected for participation by drawing a random sample of two classes. At grade 8, students were selected by drawing a sample of two intact mathematics classrooms (in which grade 8 students are enrolled) in each sampled school. All selected students were asked to participate in a combined TIMSS mathematics and science assessment. Only students in intact classrooms </w:t>
      </w:r>
      <w:r w:rsidR="00FB450D" w:rsidRPr="00545D17">
        <w:t>were</w:t>
      </w:r>
      <w:r w:rsidRPr="00545D17">
        <w:t xml:space="preserve"> assessed at each grade.</w:t>
      </w:r>
    </w:p>
    <w:p w14:paraId="5863890E" w14:textId="774DCA90" w:rsidR="00F106F9" w:rsidRPr="00545D17" w:rsidRDefault="00AA5BB5" w:rsidP="0070494E">
      <w:pPr>
        <w:pStyle w:val="Heading3"/>
        <w:keepNext w:val="0"/>
        <w:widowControl w:val="0"/>
        <w:tabs>
          <w:tab w:val="left" w:pos="720"/>
        </w:tabs>
        <w:spacing w:after="120" w:line="22" w:lineRule="atLeast"/>
        <w:rPr>
          <w:bCs w:val="0"/>
        </w:rPr>
      </w:pPr>
      <w:bookmarkStart w:id="4" w:name="_Toc119829981"/>
      <w:r w:rsidRPr="00545D17">
        <w:t>B.2</w:t>
      </w:r>
      <w:r w:rsidR="00FD521C" w:rsidRPr="00545D17">
        <w:tab/>
      </w:r>
      <w:bookmarkEnd w:id="4"/>
      <w:r w:rsidR="00AB0265" w:rsidRPr="00545D17">
        <w:rPr>
          <w:bCs w:val="0"/>
        </w:rPr>
        <w:t>Statistical Methodology</w:t>
      </w:r>
      <w:bookmarkStart w:id="5" w:name="_Toc119829982"/>
    </w:p>
    <w:p w14:paraId="7D8DCA6E" w14:textId="77777777" w:rsidR="005A46B4" w:rsidRPr="00545D17" w:rsidRDefault="00F106F9" w:rsidP="0070494E">
      <w:pPr>
        <w:pStyle w:val="P1-StandPara"/>
        <w:spacing w:after="120" w:line="22" w:lineRule="atLeast"/>
        <w:ind w:firstLine="0"/>
        <w:rPr>
          <w:b/>
        </w:rPr>
      </w:pPr>
      <w:r w:rsidRPr="00545D17">
        <w:rPr>
          <w:b/>
        </w:rPr>
        <w:t xml:space="preserve">Main </w:t>
      </w:r>
      <w:r w:rsidR="005A46B4" w:rsidRPr="00545D17">
        <w:rPr>
          <w:b/>
        </w:rPr>
        <w:t>Study Sampling Plan and Sample</w:t>
      </w:r>
    </w:p>
    <w:p w14:paraId="4BA71A06" w14:textId="4150B086" w:rsidR="005A46B4" w:rsidRPr="00545D17" w:rsidRDefault="005A46B4" w:rsidP="0070494E">
      <w:pPr>
        <w:pStyle w:val="P1-StandPara"/>
        <w:spacing w:after="120" w:line="22" w:lineRule="atLeast"/>
        <w:ind w:firstLine="0"/>
        <w:jc w:val="left"/>
      </w:pPr>
      <w:r w:rsidRPr="00545D17">
        <w:t>The school sample design for the main study must be a probability sample of schools (one sample for each of grades 4 and 8) that fully represents the entire United States. At the same time, to ensure maximum participation it must be designed so as to minimize overlap with other NCES studies involving student assessment that will be conducted around the same time.</w:t>
      </w:r>
    </w:p>
    <w:p w14:paraId="259E0838" w14:textId="77777777" w:rsidR="00F106F9" w:rsidRPr="00545D17" w:rsidRDefault="005A46B4" w:rsidP="0070494E">
      <w:pPr>
        <w:pStyle w:val="P1-StandPara"/>
        <w:spacing w:after="120" w:line="22" w:lineRule="atLeast"/>
        <w:ind w:firstLine="0"/>
        <w:jc w:val="left"/>
      </w:pPr>
      <w:r w:rsidRPr="00545D17">
        <w:t>The main study for TIMSS will take place in the spring of 2019, about two months after a very large NAEP assessment. NAEP will assess several thousand schools nationally, at grades 4 and 8. The NAEP sample will be relatively heavy in smaller states, and in a number of these states all eligible schools will be included in NAEP, especially at grade 8. Thus to be fully representative, the TIMSS sample may include some schools that will have participated in NAEP at the same grade. However, this number can be kept to minimum using the overlap control procedures outlined below.</w:t>
      </w:r>
    </w:p>
    <w:p w14:paraId="45E1CBE9" w14:textId="77777777" w:rsidR="005A46B4" w:rsidRPr="00545D17" w:rsidRDefault="005A46B4" w:rsidP="0070494E">
      <w:pPr>
        <w:pStyle w:val="P1-StandPara"/>
        <w:widowControl w:val="0"/>
        <w:spacing w:after="120" w:line="22" w:lineRule="atLeast"/>
        <w:ind w:firstLine="0"/>
        <w:jc w:val="left"/>
      </w:pPr>
      <w:r w:rsidRPr="00545D17">
        <w:t>Overlap control procedures in studies such as this, where stratified probability proportional to size samples of schools are selected, can be implemented via a procedure that applies Bayes Theorem to modify the conditional probability of selection of a given school for one study, depending upon its selection probability for a second study, and whether or not it was selected for that study. This approach was first documented in a survey sampling application by Keyfitz (1951)</w:t>
      </w:r>
      <w:r w:rsidRPr="00545D17">
        <w:rPr>
          <w:rStyle w:val="FootnoteReference"/>
        </w:rPr>
        <w:footnoteReference w:id="1"/>
      </w:r>
      <w:r w:rsidRPr="00545D17">
        <w:t>. The principles involved can be extended to more than two studies simultaneously, and a procedure for doing this is described by Chowdhury et al. (2000)</w:t>
      </w:r>
      <w:r w:rsidRPr="00545D17">
        <w:rPr>
          <w:rStyle w:val="FootnoteReference"/>
        </w:rPr>
        <w:footnoteReference w:id="2"/>
      </w:r>
      <w:r w:rsidRPr="00545D17">
        <w:t>.</w:t>
      </w:r>
    </w:p>
    <w:p w14:paraId="1876E0B2" w14:textId="6D08F9ED" w:rsidR="005A46B4" w:rsidRPr="00545D17" w:rsidRDefault="005A46B4" w:rsidP="0070494E">
      <w:pPr>
        <w:pStyle w:val="P1-StandPara"/>
        <w:spacing w:after="120" w:line="22" w:lineRule="atLeast"/>
        <w:ind w:firstLine="0"/>
        <w:jc w:val="left"/>
      </w:pPr>
      <w:r w:rsidRPr="00545D17">
        <w:t xml:space="preserve">The sample size for the TIMSS </w:t>
      </w:r>
      <w:r w:rsidR="00797905" w:rsidRPr="00545D17">
        <w:t>main study will be</w:t>
      </w:r>
      <w:r w:rsidR="0038307B" w:rsidRPr="00545D17">
        <w:t xml:space="preserve"> about</w:t>
      </w:r>
      <w:r w:rsidR="00797905" w:rsidRPr="00545D17">
        <w:t xml:space="preserve"> 335</w:t>
      </w:r>
      <w:r w:rsidRPr="00545D17">
        <w:t xml:space="preserve"> schools at each of grades 4 and 8. The sampling frames of grade 4 and 8 schools will be obtained from the most current versions of NCES’s Common Core of Data (CCD) and Private School Survey (PSS) files, restricted to schools having grade 4 or 8 respectively, and eliminating schools in Puerto Rico, U.S. territories, and Department of Defense overseas schools.</w:t>
      </w:r>
    </w:p>
    <w:p w14:paraId="6BF98F5C" w14:textId="77777777" w:rsidR="005A46B4" w:rsidRPr="00545D17" w:rsidRDefault="005A46B4" w:rsidP="0070494E">
      <w:pPr>
        <w:pStyle w:val="P1-StandPara"/>
        <w:spacing w:after="120" w:line="22" w:lineRule="atLeast"/>
        <w:ind w:firstLine="0"/>
        <w:jc w:val="left"/>
      </w:pPr>
      <w:r w:rsidRPr="00545D17">
        <w:t>The sample will be stratified according to school characteristics such as public/private, Census region, poverty status (as measured by the percentage of students in the school receiving free or reduced-price lunch in the National School Lunch Program (NSLP)). This will ensure an appropriate representation of each type of school in the selected sample of schools.</w:t>
      </w:r>
    </w:p>
    <w:p w14:paraId="423421BB" w14:textId="77777777" w:rsidR="00646D19" w:rsidRDefault="005A46B4" w:rsidP="0070494E">
      <w:pPr>
        <w:pStyle w:val="P1-StandPara"/>
        <w:spacing w:after="120" w:line="22" w:lineRule="atLeast"/>
        <w:ind w:firstLine="0"/>
        <w:jc w:val="left"/>
      </w:pPr>
      <w:r w:rsidRPr="00545D17">
        <w:t>Schools will be selected with probability proportional to the number of estimated classes at the appropriate grade (4 or 8), with schools expected to have either one or two classes being given the same selection probability. The use of a probability proportional to sample design ensures that all students have an approximately equal chance of selection, since two classes will be selected from each school regardless of the size of the school.</w:t>
      </w:r>
    </w:p>
    <w:p w14:paraId="18866185" w14:textId="3671AE2F" w:rsidR="005A46B4" w:rsidRPr="00545D17" w:rsidRDefault="005A46B4" w:rsidP="0070494E">
      <w:pPr>
        <w:pStyle w:val="P1-StandPara"/>
        <w:spacing w:after="120" w:line="22" w:lineRule="atLeast"/>
        <w:ind w:firstLine="0"/>
        <w:jc w:val="left"/>
      </w:pPr>
      <w:r w:rsidRPr="00545D17">
        <w:t xml:space="preserve">Student sampling will be accomplished by selecting two classes per school. Each grade 4 school will be asked to prepare a list of classes that is comprehensive and includes each grade 4 student in the school in one of the listed classes. As described above, schools will submit these class and student lists via secure E-filing. Grade 8 schools will be asked to prepare a </w:t>
      </w:r>
      <w:r w:rsidR="00821EB5" w:rsidRPr="00545D17">
        <w:t xml:space="preserve">similar </w:t>
      </w:r>
      <w:r w:rsidRPr="00545D17">
        <w:t xml:space="preserve">list but </w:t>
      </w:r>
      <w:r w:rsidR="00821EB5" w:rsidRPr="00545D17">
        <w:t>with</w:t>
      </w:r>
      <w:r w:rsidRPr="00545D17">
        <w:t xml:space="preserve"> students </w:t>
      </w:r>
      <w:r w:rsidR="00821EB5" w:rsidRPr="00545D17">
        <w:t xml:space="preserve">listed </w:t>
      </w:r>
      <w:r w:rsidRPr="00545D17">
        <w:t>in</w:t>
      </w:r>
      <w:r w:rsidR="00821EB5" w:rsidRPr="00545D17">
        <w:t xml:space="preserve"> their </w:t>
      </w:r>
      <w:r w:rsidRPr="00545D17">
        <w:t>mathematics classes. At either grade, any class with fewer than ten students will be combined with another class to form a ‘pseudoclass’ with at least ten students in it. We will then select two classes (</w:t>
      </w:r>
      <w:r w:rsidR="0061386A" w:rsidRPr="00545D17">
        <w:t xml:space="preserve">regular classes </w:t>
      </w:r>
      <w:r w:rsidRPr="00545D17">
        <w:t xml:space="preserve">or pseudoclasses) from each school, with equal probability, and all students in those classes/pseudoclasses will be included in the sample. If a school has only one or two classes, then all students in the grade will be included in the sample. At grade 8, mathematics classes are used for three reasons. First, this minimizes the burden on mathematics teachers, as only two mathematics teachers need to fill out a teacher questionnaire (but typically more than two science teachers are required to do so </w:t>
      </w:r>
      <w:r w:rsidR="00821EB5" w:rsidRPr="00545D17">
        <w:t>because</w:t>
      </w:r>
      <w:r w:rsidRPr="00545D17">
        <w:t xml:space="preserve"> the students in the two selected math classes often attend more than two different science classes). Second, it makes for sound data for conducting analyses of the extent to which classroom factors moderate the relationship of student factors to achievement (e.g., “Does having a well-qualified math teacher reduce the correlation between math achievement and parental education?”). Third, at grade 8, most students take one and only one mathematics class, and thus mathematics classes make for a foolproof partitioning of the eligible students.</w:t>
      </w:r>
      <w:r w:rsidR="00F106F9" w:rsidRPr="00545D17">
        <w:t xml:space="preserve"> </w:t>
      </w:r>
      <w:r w:rsidR="00A81A14" w:rsidRPr="00545D17">
        <w:t xml:space="preserve">A subset of approximately </w:t>
      </w:r>
      <w:r w:rsidR="00797905" w:rsidRPr="00545D17">
        <w:t>7</w:t>
      </w:r>
      <w:r w:rsidR="00A81A14" w:rsidRPr="00545D17">
        <w:t xml:space="preserve">0 classes sampled </w:t>
      </w:r>
      <w:r w:rsidR="00821EB5" w:rsidRPr="00545D17">
        <w:t xml:space="preserve">at each grade level </w:t>
      </w:r>
      <w:r w:rsidR="00A81A14" w:rsidRPr="00545D17">
        <w:t>will take paper-based TIMSS</w:t>
      </w:r>
      <w:r w:rsidR="00D40F06" w:rsidRPr="00545D17">
        <w:t>, while the remainder will be assessed using the digitally based eTIMSS assessment platform</w:t>
      </w:r>
      <w:r w:rsidR="00A81A14" w:rsidRPr="00545D17">
        <w:t>.</w:t>
      </w:r>
    </w:p>
    <w:p w14:paraId="28801014" w14:textId="77777777" w:rsidR="005A46B4" w:rsidRPr="00545D17" w:rsidRDefault="005A46B4" w:rsidP="0070494E">
      <w:pPr>
        <w:spacing w:after="120" w:line="22" w:lineRule="atLeast"/>
        <w:rPr>
          <w:b/>
          <w:sz w:val="22"/>
          <w:szCs w:val="22"/>
        </w:rPr>
      </w:pPr>
      <w:r w:rsidRPr="00545D17">
        <w:rPr>
          <w:b/>
          <w:sz w:val="22"/>
          <w:szCs w:val="22"/>
        </w:rPr>
        <w:t>Nonresponse Bias Analysis, Weighting, and Sampling Errors</w:t>
      </w:r>
    </w:p>
    <w:p w14:paraId="0E9F6DF0" w14:textId="77777777" w:rsidR="005A46B4" w:rsidRPr="00545D17" w:rsidRDefault="005A46B4" w:rsidP="0070494E">
      <w:pPr>
        <w:spacing w:after="120" w:line="22" w:lineRule="atLeast"/>
        <w:rPr>
          <w:sz w:val="22"/>
          <w:szCs w:val="22"/>
        </w:rPr>
      </w:pPr>
      <w:r w:rsidRPr="00545D17">
        <w:rPr>
          <w:sz w:val="22"/>
          <w:szCs w:val="22"/>
        </w:rPr>
        <w:t>It is possible that nonresponse will occur at both levels: school and student. If so, we will analyze the nonrespondents and provide information about whether and how they differ from the respondents along dimensions for which we have data for the nonresponding units, as required by NCES standards. After the calculation of weights, sampling errors will be calculated for a selection of key indicators incorporating the full complexity of the design, that is, clustering and stratification (see Appendix D for more detail</w:t>
      </w:r>
      <w:r w:rsidR="0061386A" w:rsidRPr="00545D17">
        <w:rPr>
          <w:sz w:val="22"/>
          <w:szCs w:val="22"/>
        </w:rPr>
        <w:t>s</w:t>
      </w:r>
      <w:r w:rsidRPr="00545D17">
        <w:rPr>
          <w:sz w:val="22"/>
          <w:szCs w:val="22"/>
        </w:rPr>
        <w:t>).</w:t>
      </w:r>
    </w:p>
    <w:p w14:paraId="372E5D00" w14:textId="77777777" w:rsidR="00AA5BB5" w:rsidRPr="00545D17" w:rsidRDefault="00AA5BB5" w:rsidP="0070494E">
      <w:pPr>
        <w:pStyle w:val="Heading8"/>
        <w:keepNext w:val="0"/>
        <w:widowControl w:val="0"/>
        <w:spacing w:after="120" w:line="22" w:lineRule="atLeast"/>
        <w:jc w:val="left"/>
        <w:rPr>
          <w:szCs w:val="22"/>
        </w:rPr>
      </w:pPr>
      <w:r w:rsidRPr="00545D17">
        <w:rPr>
          <w:szCs w:val="22"/>
        </w:rPr>
        <w:t>B.3</w:t>
      </w:r>
      <w:r w:rsidRPr="00545D17">
        <w:rPr>
          <w:szCs w:val="22"/>
        </w:rPr>
        <w:tab/>
        <w:t>Maximizing Response Rates</w:t>
      </w:r>
      <w:bookmarkEnd w:id="5"/>
    </w:p>
    <w:p w14:paraId="08B28EC3" w14:textId="77777777" w:rsidR="00F106F9" w:rsidRPr="00545D17" w:rsidRDefault="00682261" w:rsidP="0070494E">
      <w:pPr>
        <w:widowControl w:val="0"/>
        <w:spacing w:after="120" w:line="22" w:lineRule="atLeast"/>
        <w:rPr>
          <w:sz w:val="22"/>
          <w:szCs w:val="22"/>
        </w:rPr>
      </w:pPr>
      <w:r w:rsidRPr="00545D17">
        <w:rPr>
          <w:sz w:val="22"/>
          <w:szCs w:val="22"/>
        </w:rPr>
        <w:t>With the recent exception of TIMSS 2011, the most significant challenge in recruitment for TIMSS has been engaging the schools and gaining their cooperation. The circumstances that aided our success in 2011</w:t>
      </w:r>
      <w:r w:rsidR="00981B35" w:rsidRPr="00545D17">
        <w:rPr>
          <w:sz w:val="22"/>
          <w:szCs w:val="22"/>
        </w:rPr>
        <w:t xml:space="preserve">—the </w:t>
      </w:r>
      <w:r w:rsidRPr="00545D17">
        <w:rPr>
          <w:sz w:val="22"/>
          <w:szCs w:val="22"/>
        </w:rPr>
        <w:t>NAEP-TIMSS Linking Study and the involvement of NAEP State Coordinators</w:t>
      </w:r>
      <w:r w:rsidR="00981B35" w:rsidRPr="00545D17">
        <w:rPr>
          <w:sz w:val="22"/>
          <w:szCs w:val="22"/>
        </w:rPr>
        <w:t>—</w:t>
      </w:r>
      <w:r w:rsidR="007A74C3" w:rsidRPr="00545D17">
        <w:rPr>
          <w:sz w:val="22"/>
          <w:szCs w:val="22"/>
        </w:rPr>
        <w:t>did</w:t>
      </w:r>
      <w:r w:rsidRPr="00545D17">
        <w:rPr>
          <w:sz w:val="22"/>
          <w:szCs w:val="22"/>
        </w:rPr>
        <w:t xml:space="preserve"> not recur in 2015. However, there are important lessons to be learned from </w:t>
      </w:r>
      <w:r w:rsidR="00F41662" w:rsidRPr="00545D17">
        <w:rPr>
          <w:sz w:val="22"/>
          <w:szCs w:val="22"/>
        </w:rPr>
        <w:t>our</w:t>
      </w:r>
      <w:r w:rsidRPr="00545D17">
        <w:rPr>
          <w:sz w:val="22"/>
          <w:szCs w:val="22"/>
        </w:rPr>
        <w:t xml:space="preserve"> </w:t>
      </w:r>
      <w:r w:rsidR="007A74C3" w:rsidRPr="00545D17">
        <w:rPr>
          <w:sz w:val="22"/>
          <w:szCs w:val="22"/>
        </w:rPr>
        <w:t xml:space="preserve">TIMSS 2011 </w:t>
      </w:r>
      <w:r w:rsidRPr="00545D17">
        <w:rPr>
          <w:sz w:val="22"/>
          <w:szCs w:val="22"/>
        </w:rPr>
        <w:t xml:space="preserve">experience that </w:t>
      </w:r>
      <w:r w:rsidR="007A74C3" w:rsidRPr="00545D17">
        <w:rPr>
          <w:sz w:val="22"/>
          <w:szCs w:val="22"/>
        </w:rPr>
        <w:t>were</w:t>
      </w:r>
      <w:r w:rsidRPr="00545D17">
        <w:rPr>
          <w:sz w:val="22"/>
          <w:szCs w:val="22"/>
        </w:rPr>
        <w:t xml:space="preserve"> </w:t>
      </w:r>
      <w:r w:rsidR="0069339D" w:rsidRPr="00545D17">
        <w:rPr>
          <w:sz w:val="22"/>
          <w:szCs w:val="22"/>
        </w:rPr>
        <w:t xml:space="preserve">used in TIMSS 2015 and will be used in the </w:t>
      </w:r>
      <w:r w:rsidR="00E80162" w:rsidRPr="00545D17">
        <w:rPr>
          <w:sz w:val="22"/>
          <w:szCs w:val="22"/>
        </w:rPr>
        <w:t>TIMSS 2019 main study</w:t>
      </w:r>
      <w:r w:rsidRPr="00545D17">
        <w:rPr>
          <w:sz w:val="22"/>
          <w:szCs w:val="22"/>
        </w:rPr>
        <w:t xml:space="preserve">. Given that classrooms are selected, student participation is not as great </w:t>
      </w:r>
      <w:r w:rsidR="002E026A" w:rsidRPr="00545D17">
        <w:rPr>
          <w:sz w:val="22"/>
          <w:szCs w:val="22"/>
        </w:rPr>
        <w:t>of a challenge. H</w:t>
      </w:r>
      <w:r w:rsidRPr="00545D17">
        <w:rPr>
          <w:sz w:val="22"/>
          <w:szCs w:val="22"/>
        </w:rPr>
        <w:t>istorically</w:t>
      </w:r>
      <w:r w:rsidR="00FF3C86" w:rsidRPr="00545D17">
        <w:rPr>
          <w:sz w:val="22"/>
          <w:szCs w:val="22"/>
        </w:rPr>
        <w:t>,</w:t>
      </w:r>
      <w:r w:rsidRPr="00545D17">
        <w:rPr>
          <w:sz w:val="22"/>
          <w:szCs w:val="22"/>
        </w:rPr>
        <w:t xml:space="preserve"> student participation rates have never fallen below 90 percent</w:t>
      </w:r>
      <w:r w:rsidR="002E026A" w:rsidRPr="00545D17">
        <w:rPr>
          <w:sz w:val="22"/>
          <w:szCs w:val="22"/>
        </w:rPr>
        <w:t xml:space="preserve"> (see table 1)</w:t>
      </w:r>
      <w:r w:rsidRPr="00545D17">
        <w:rPr>
          <w:sz w:val="22"/>
          <w:szCs w:val="22"/>
        </w:rPr>
        <w:t xml:space="preserve">. That said, it is important to U.S. TIMSS that students are engaged and try </w:t>
      </w:r>
      <w:r w:rsidR="00F41662" w:rsidRPr="00545D17">
        <w:rPr>
          <w:sz w:val="22"/>
          <w:szCs w:val="22"/>
        </w:rPr>
        <w:t>to do their best</w:t>
      </w:r>
      <w:r w:rsidRPr="00545D17">
        <w:rPr>
          <w:sz w:val="22"/>
          <w:szCs w:val="22"/>
        </w:rPr>
        <w:t xml:space="preserve"> on the assessment</w:t>
      </w:r>
      <w:r w:rsidR="0069339D" w:rsidRPr="00545D17">
        <w:rPr>
          <w:sz w:val="22"/>
          <w:szCs w:val="22"/>
        </w:rPr>
        <w:t>.</w:t>
      </w:r>
    </w:p>
    <w:p w14:paraId="451B8670" w14:textId="77777777" w:rsidR="00B63A83" w:rsidRPr="00545D17" w:rsidRDefault="00B63A83" w:rsidP="0054472A">
      <w:pPr>
        <w:pStyle w:val="P1-StandPara"/>
        <w:spacing w:after="60"/>
        <w:ind w:firstLine="0"/>
        <w:jc w:val="left"/>
        <w:rPr>
          <w:b/>
          <w:sz w:val="24"/>
        </w:rPr>
      </w:pPr>
      <w:r w:rsidRPr="00545D17">
        <w:rPr>
          <w:b/>
          <w:sz w:val="24"/>
        </w:rPr>
        <w:t xml:space="preserve">Table 1. Historical TIMSS school and student participation rates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338"/>
        <w:gridCol w:w="2223"/>
        <w:gridCol w:w="2156"/>
        <w:gridCol w:w="3673"/>
      </w:tblGrid>
      <w:tr w:rsidR="00B63A83" w:rsidRPr="00545D17" w14:paraId="3D8D75D9" w14:textId="77777777" w:rsidTr="00E80162">
        <w:trPr>
          <w:trHeight w:val="288"/>
        </w:trPr>
        <w:tc>
          <w:tcPr>
            <w:tcW w:w="623" w:type="pct"/>
            <w:vMerge w:val="restart"/>
            <w:vAlign w:val="center"/>
          </w:tcPr>
          <w:p w14:paraId="4C0147FC" w14:textId="77777777" w:rsidR="00B63A83" w:rsidRPr="00545D17" w:rsidRDefault="00B63A83" w:rsidP="0034645E">
            <w:pPr>
              <w:jc w:val="center"/>
              <w:rPr>
                <w:b/>
                <w:bCs/>
                <w:color w:val="000000"/>
              </w:rPr>
            </w:pPr>
            <w:r w:rsidRPr="00545D17">
              <w:rPr>
                <w:b/>
                <w:bCs/>
                <w:color w:val="000000"/>
              </w:rPr>
              <w:t>Year</w:t>
            </w:r>
          </w:p>
        </w:tc>
        <w:tc>
          <w:tcPr>
            <w:tcW w:w="623" w:type="pct"/>
            <w:vMerge w:val="restart"/>
            <w:shd w:val="clear" w:color="auto" w:fill="auto"/>
            <w:noWrap/>
            <w:vAlign w:val="center"/>
            <w:hideMark/>
          </w:tcPr>
          <w:p w14:paraId="68336B75" w14:textId="77777777" w:rsidR="00B63A83" w:rsidRPr="00545D17" w:rsidRDefault="00B63A83" w:rsidP="0034645E">
            <w:pPr>
              <w:jc w:val="center"/>
              <w:rPr>
                <w:b/>
                <w:bCs/>
                <w:color w:val="000000"/>
              </w:rPr>
            </w:pPr>
            <w:r w:rsidRPr="00545D17">
              <w:rPr>
                <w:b/>
                <w:bCs/>
                <w:color w:val="000000"/>
              </w:rPr>
              <w:t>Grade</w:t>
            </w:r>
          </w:p>
        </w:tc>
        <w:tc>
          <w:tcPr>
            <w:tcW w:w="2041" w:type="pct"/>
            <w:gridSpan w:val="2"/>
            <w:shd w:val="clear" w:color="auto" w:fill="auto"/>
            <w:noWrap/>
            <w:vAlign w:val="center"/>
            <w:hideMark/>
          </w:tcPr>
          <w:p w14:paraId="17AE4A56" w14:textId="77777777" w:rsidR="00B63A83" w:rsidRPr="00545D17" w:rsidRDefault="00B63A83" w:rsidP="0034645E">
            <w:pPr>
              <w:jc w:val="center"/>
              <w:rPr>
                <w:b/>
                <w:color w:val="000000"/>
              </w:rPr>
            </w:pPr>
            <w:r w:rsidRPr="00545D17">
              <w:rPr>
                <w:b/>
                <w:color w:val="000000"/>
                <w:sz w:val="22"/>
                <w:szCs w:val="22"/>
              </w:rPr>
              <w:t>School Participation Rate</w:t>
            </w:r>
          </w:p>
        </w:tc>
        <w:tc>
          <w:tcPr>
            <w:tcW w:w="1712" w:type="pct"/>
            <w:vMerge w:val="restart"/>
            <w:shd w:val="clear" w:color="auto" w:fill="auto"/>
            <w:noWrap/>
            <w:vAlign w:val="center"/>
            <w:hideMark/>
          </w:tcPr>
          <w:p w14:paraId="14668F20" w14:textId="77777777" w:rsidR="00B63A83" w:rsidRPr="00545D17" w:rsidRDefault="00B63A83" w:rsidP="0034645E">
            <w:pPr>
              <w:jc w:val="center"/>
              <w:rPr>
                <w:b/>
                <w:color w:val="000000"/>
              </w:rPr>
            </w:pPr>
            <w:r w:rsidRPr="00545D17">
              <w:rPr>
                <w:b/>
                <w:color w:val="000000"/>
                <w:sz w:val="22"/>
                <w:szCs w:val="22"/>
              </w:rPr>
              <w:t>Overall Student Participation Rate</w:t>
            </w:r>
          </w:p>
        </w:tc>
      </w:tr>
      <w:tr w:rsidR="00B63A83" w:rsidRPr="00545D17" w14:paraId="2839E474" w14:textId="77777777" w:rsidTr="00E80162">
        <w:trPr>
          <w:trHeight w:val="288"/>
        </w:trPr>
        <w:tc>
          <w:tcPr>
            <w:tcW w:w="623" w:type="pct"/>
            <w:vMerge/>
            <w:vAlign w:val="center"/>
          </w:tcPr>
          <w:p w14:paraId="76EEDAA6" w14:textId="77777777" w:rsidR="00B63A83" w:rsidRPr="00545D17" w:rsidRDefault="00B63A83" w:rsidP="0034645E">
            <w:pPr>
              <w:jc w:val="center"/>
              <w:rPr>
                <w:b/>
                <w:color w:val="000000"/>
                <w:sz w:val="22"/>
                <w:szCs w:val="22"/>
              </w:rPr>
            </w:pPr>
          </w:p>
        </w:tc>
        <w:tc>
          <w:tcPr>
            <w:tcW w:w="623" w:type="pct"/>
            <w:vMerge/>
            <w:shd w:val="clear" w:color="auto" w:fill="auto"/>
            <w:noWrap/>
            <w:vAlign w:val="center"/>
            <w:hideMark/>
          </w:tcPr>
          <w:p w14:paraId="444703D2" w14:textId="77777777" w:rsidR="00B63A83" w:rsidRPr="00545D17" w:rsidRDefault="00B63A83" w:rsidP="0034645E">
            <w:pPr>
              <w:jc w:val="center"/>
              <w:rPr>
                <w:b/>
                <w:color w:val="000000"/>
              </w:rPr>
            </w:pPr>
          </w:p>
        </w:tc>
        <w:tc>
          <w:tcPr>
            <w:tcW w:w="1036" w:type="pct"/>
            <w:shd w:val="clear" w:color="auto" w:fill="auto"/>
            <w:noWrap/>
            <w:vAlign w:val="center"/>
            <w:hideMark/>
          </w:tcPr>
          <w:p w14:paraId="736A7052" w14:textId="77777777" w:rsidR="00B63A83" w:rsidRPr="00545D17" w:rsidRDefault="00B63A83" w:rsidP="0034645E">
            <w:pPr>
              <w:jc w:val="center"/>
              <w:rPr>
                <w:b/>
                <w:color w:val="000000"/>
              </w:rPr>
            </w:pPr>
            <w:r w:rsidRPr="00545D17">
              <w:rPr>
                <w:b/>
                <w:color w:val="000000"/>
                <w:sz w:val="22"/>
              </w:rPr>
              <w:t>Before Replacement</w:t>
            </w:r>
          </w:p>
        </w:tc>
        <w:tc>
          <w:tcPr>
            <w:tcW w:w="1005" w:type="pct"/>
            <w:shd w:val="clear" w:color="auto" w:fill="auto"/>
            <w:noWrap/>
            <w:vAlign w:val="center"/>
            <w:hideMark/>
          </w:tcPr>
          <w:p w14:paraId="5563DC3E" w14:textId="77777777" w:rsidR="00B63A83" w:rsidRPr="00545D17" w:rsidRDefault="00B63A83" w:rsidP="0034645E">
            <w:pPr>
              <w:jc w:val="center"/>
              <w:rPr>
                <w:b/>
                <w:color w:val="000000"/>
              </w:rPr>
            </w:pPr>
            <w:r w:rsidRPr="00545D17">
              <w:rPr>
                <w:b/>
                <w:color w:val="000000"/>
                <w:sz w:val="22"/>
              </w:rPr>
              <w:t>After Replacement</w:t>
            </w:r>
          </w:p>
        </w:tc>
        <w:tc>
          <w:tcPr>
            <w:tcW w:w="1712" w:type="pct"/>
            <w:vMerge/>
            <w:shd w:val="clear" w:color="auto" w:fill="auto"/>
            <w:noWrap/>
            <w:vAlign w:val="center"/>
            <w:hideMark/>
          </w:tcPr>
          <w:p w14:paraId="73052A6F" w14:textId="77777777" w:rsidR="00B63A83" w:rsidRPr="00545D17" w:rsidRDefault="00B63A83" w:rsidP="0034645E">
            <w:pPr>
              <w:jc w:val="center"/>
              <w:rPr>
                <w:color w:val="000000"/>
              </w:rPr>
            </w:pPr>
          </w:p>
        </w:tc>
      </w:tr>
      <w:tr w:rsidR="00E80162" w:rsidRPr="00545D17" w14:paraId="0702CF17" w14:textId="77777777" w:rsidTr="00E80162">
        <w:trPr>
          <w:trHeight w:val="288"/>
        </w:trPr>
        <w:tc>
          <w:tcPr>
            <w:tcW w:w="623" w:type="pct"/>
            <w:vMerge w:val="restart"/>
            <w:vAlign w:val="center"/>
          </w:tcPr>
          <w:p w14:paraId="4FFE00FE" w14:textId="77777777" w:rsidR="00E80162" w:rsidRPr="00545D17" w:rsidRDefault="00E80162" w:rsidP="0034645E">
            <w:pPr>
              <w:jc w:val="center"/>
              <w:rPr>
                <w:b/>
                <w:color w:val="000000"/>
                <w:sz w:val="22"/>
                <w:szCs w:val="22"/>
              </w:rPr>
            </w:pPr>
            <w:r w:rsidRPr="00545D17">
              <w:rPr>
                <w:b/>
                <w:color w:val="000000"/>
                <w:sz w:val="22"/>
                <w:szCs w:val="22"/>
              </w:rPr>
              <w:t>2015</w:t>
            </w:r>
          </w:p>
        </w:tc>
        <w:tc>
          <w:tcPr>
            <w:tcW w:w="623" w:type="pct"/>
            <w:shd w:val="clear" w:color="auto" w:fill="auto"/>
            <w:noWrap/>
            <w:vAlign w:val="center"/>
          </w:tcPr>
          <w:p w14:paraId="5E78FBB8" w14:textId="77777777" w:rsidR="00E80162" w:rsidRPr="00545D17" w:rsidRDefault="00E80162" w:rsidP="0034645E">
            <w:pPr>
              <w:jc w:val="center"/>
              <w:rPr>
                <w:color w:val="000000"/>
                <w:sz w:val="22"/>
                <w:szCs w:val="22"/>
              </w:rPr>
            </w:pPr>
            <w:r w:rsidRPr="00545D17">
              <w:rPr>
                <w:color w:val="000000"/>
                <w:sz w:val="22"/>
                <w:szCs w:val="22"/>
              </w:rPr>
              <w:t>4</w:t>
            </w:r>
          </w:p>
        </w:tc>
        <w:tc>
          <w:tcPr>
            <w:tcW w:w="1036" w:type="pct"/>
            <w:shd w:val="clear" w:color="auto" w:fill="auto"/>
            <w:noWrap/>
            <w:vAlign w:val="center"/>
          </w:tcPr>
          <w:p w14:paraId="625DADD0" w14:textId="77777777" w:rsidR="00E80162" w:rsidRPr="00545D17" w:rsidRDefault="006520EE" w:rsidP="0034645E">
            <w:pPr>
              <w:jc w:val="center"/>
              <w:rPr>
                <w:color w:val="000000"/>
                <w:sz w:val="22"/>
                <w:szCs w:val="22"/>
              </w:rPr>
            </w:pPr>
            <w:r w:rsidRPr="00545D17">
              <w:rPr>
                <w:color w:val="000000"/>
                <w:sz w:val="22"/>
                <w:szCs w:val="22"/>
              </w:rPr>
              <w:t>79</w:t>
            </w:r>
          </w:p>
        </w:tc>
        <w:tc>
          <w:tcPr>
            <w:tcW w:w="1005" w:type="pct"/>
            <w:shd w:val="clear" w:color="auto" w:fill="auto"/>
            <w:noWrap/>
            <w:vAlign w:val="center"/>
          </w:tcPr>
          <w:p w14:paraId="3EE1FAF3" w14:textId="77777777" w:rsidR="00E80162" w:rsidRPr="00545D17" w:rsidRDefault="006520EE" w:rsidP="0034645E">
            <w:pPr>
              <w:jc w:val="center"/>
              <w:rPr>
                <w:color w:val="000000"/>
                <w:sz w:val="22"/>
                <w:szCs w:val="22"/>
              </w:rPr>
            </w:pPr>
            <w:r w:rsidRPr="00545D17">
              <w:rPr>
                <w:color w:val="000000"/>
                <w:sz w:val="22"/>
                <w:szCs w:val="22"/>
              </w:rPr>
              <w:t>85</w:t>
            </w:r>
          </w:p>
        </w:tc>
        <w:tc>
          <w:tcPr>
            <w:tcW w:w="1712" w:type="pct"/>
            <w:shd w:val="clear" w:color="auto" w:fill="auto"/>
            <w:noWrap/>
            <w:vAlign w:val="center"/>
          </w:tcPr>
          <w:p w14:paraId="7E6515D0" w14:textId="77777777" w:rsidR="00E80162" w:rsidRPr="00545D17" w:rsidRDefault="006520EE" w:rsidP="0034645E">
            <w:pPr>
              <w:jc w:val="center"/>
              <w:rPr>
                <w:color w:val="000000"/>
                <w:sz w:val="22"/>
                <w:szCs w:val="22"/>
              </w:rPr>
            </w:pPr>
            <w:r w:rsidRPr="00545D17">
              <w:rPr>
                <w:color w:val="000000"/>
                <w:sz w:val="22"/>
                <w:szCs w:val="22"/>
              </w:rPr>
              <w:t>96</w:t>
            </w:r>
          </w:p>
        </w:tc>
      </w:tr>
      <w:tr w:rsidR="00E80162" w:rsidRPr="00545D17" w14:paraId="2B9C11FD" w14:textId="77777777" w:rsidTr="00E80162">
        <w:trPr>
          <w:trHeight w:val="288"/>
        </w:trPr>
        <w:tc>
          <w:tcPr>
            <w:tcW w:w="623" w:type="pct"/>
            <w:vMerge/>
            <w:vAlign w:val="center"/>
          </w:tcPr>
          <w:p w14:paraId="11CF6905" w14:textId="77777777" w:rsidR="00E80162" w:rsidRPr="00545D17" w:rsidRDefault="00E80162" w:rsidP="0034645E">
            <w:pPr>
              <w:jc w:val="center"/>
              <w:rPr>
                <w:b/>
                <w:color w:val="000000"/>
                <w:sz w:val="22"/>
                <w:szCs w:val="22"/>
              </w:rPr>
            </w:pPr>
          </w:p>
        </w:tc>
        <w:tc>
          <w:tcPr>
            <w:tcW w:w="623" w:type="pct"/>
            <w:shd w:val="clear" w:color="auto" w:fill="auto"/>
            <w:noWrap/>
            <w:vAlign w:val="center"/>
          </w:tcPr>
          <w:p w14:paraId="5CFC991D" w14:textId="77777777" w:rsidR="00E80162" w:rsidRPr="00545D17" w:rsidRDefault="00E80162" w:rsidP="0034645E">
            <w:pPr>
              <w:jc w:val="center"/>
              <w:rPr>
                <w:color w:val="000000"/>
                <w:sz w:val="22"/>
                <w:szCs w:val="22"/>
              </w:rPr>
            </w:pPr>
            <w:r w:rsidRPr="00545D17">
              <w:rPr>
                <w:color w:val="000000"/>
                <w:sz w:val="22"/>
                <w:szCs w:val="22"/>
              </w:rPr>
              <w:t>8</w:t>
            </w:r>
          </w:p>
        </w:tc>
        <w:tc>
          <w:tcPr>
            <w:tcW w:w="1036" w:type="pct"/>
            <w:shd w:val="clear" w:color="auto" w:fill="auto"/>
            <w:noWrap/>
            <w:vAlign w:val="center"/>
          </w:tcPr>
          <w:p w14:paraId="618AE57E" w14:textId="77777777" w:rsidR="00E80162" w:rsidRPr="00545D17" w:rsidRDefault="006520EE" w:rsidP="0034645E">
            <w:pPr>
              <w:jc w:val="center"/>
              <w:rPr>
                <w:color w:val="000000"/>
                <w:sz w:val="22"/>
                <w:szCs w:val="22"/>
              </w:rPr>
            </w:pPr>
            <w:r w:rsidRPr="00545D17">
              <w:rPr>
                <w:color w:val="000000"/>
                <w:sz w:val="22"/>
                <w:szCs w:val="22"/>
              </w:rPr>
              <w:t>78</w:t>
            </w:r>
          </w:p>
        </w:tc>
        <w:tc>
          <w:tcPr>
            <w:tcW w:w="1005" w:type="pct"/>
            <w:shd w:val="clear" w:color="auto" w:fill="auto"/>
            <w:noWrap/>
            <w:vAlign w:val="center"/>
          </w:tcPr>
          <w:p w14:paraId="28930B8F" w14:textId="77777777" w:rsidR="00E80162" w:rsidRPr="00545D17" w:rsidRDefault="006520EE" w:rsidP="0034645E">
            <w:pPr>
              <w:jc w:val="center"/>
              <w:rPr>
                <w:color w:val="000000"/>
                <w:sz w:val="22"/>
                <w:szCs w:val="22"/>
              </w:rPr>
            </w:pPr>
            <w:r w:rsidRPr="00545D17">
              <w:rPr>
                <w:color w:val="000000"/>
                <w:sz w:val="22"/>
                <w:szCs w:val="22"/>
              </w:rPr>
              <w:t>84</w:t>
            </w:r>
          </w:p>
        </w:tc>
        <w:tc>
          <w:tcPr>
            <w:tcW w:w="1712" w:type="pct"/>
            <w:shd w:val="clear" w:color="auto" w:fill="auto"/>
            <w:noWrap/>
            <w:vAlign w:val="center"/>
          </w:tcPr>
          <w:p w14:paraId="2C2F3F4C" w14:textId="77777777" w:rsidR="00E80162" w:rsidRPr="00545D17" w:rsidRDefault="006520EE" w:rsidP="0034645E">
            <w:pPr>
              <w:jc w:val="center"/>
              <w:rPr>
                <w:color w:val="000000"/>
                <w:sz w:val="22"/>
                <w:szCs w:val="22"/>
              </w:rPr>
            </w:pPr>
            <w:r w:rsidRPr="00545D17">
              <w:rPr>
                <w:color w:val="000000"/>
                <w:sz w:val="22"/>
                <w:szCs w:val="22"/>
              </w:rPr>
              <w:t>94</w:t>
            </w:r>
          </w:p>
        </w:tc>
      </w:tr>
      <w:tr w:rsidR="00E80162" w:rsidRPr="00545D17" w14:paraId="7D89C5AA" w14:textId="77777777" w:rsidTr="00E80162">
        <w:trPr>
          <w:trHeight w:val="288"/>
        </w:trPr>
        <w:tc>
          <w:tcPr>
            <w:tcW w:w="623" w:type="pct"/>
            <w:vMerge w:val="restart"/>
            <w:vAlign w:val="center"/>
          </w:tcPr>
          <w:p w14:paraId="1D6AE669" w14:textId="77777777" w:rsidR="00E80162" w:rsidRPr="00545D17" w:rsidRDefault="00E80162" w:rsidP="0034645E">
            <w:pPr>
              <w:jc w:val="center"/>
              <w:rPr>
                <w:b/>
                <w:color w:val="000000"/>
              </w:rPr>
            </w:pPr>
            <w:r w:rsidRPr="00545D17">
              <w:rPr>
                <w:b/>
                <w:color w:val="000000"/>
                <w:sz w:val="22"/>
                <w:szCs w:val="22"/>
              </w:rPr>
              <w:t>2011</w:t>
            </w:r>
          </w:p>
        </w:tc>
        <w:tc>
          <w:tcPr>
            <w:tcW w:w="623" w:type="pct"/>
            <w:shd w:val="clear" w:color="auto" w:fill="auto"/>
            <w:noWrap/>
            <w:vAlign w:val="center"/>
            <w:hideMark/>
          </w:tcPr>
          <w:p w14:paraId="29161945" w14:textId="77777777" w:rsidR="00E80162" w:rsidRPr="00545D17" w:rsidRDefault="00E80162" w:rsidP="0034645E">
            <w:pPr>
              <w:jc w:val="center"/>
              <w:rPr>
                <w:color w:val="000000"/>
              </w:rPr>
            </w:pPr>
            <w:r w:rsidRPr="00545D17">
              <w:rPr>
                <w:color w:val="000000"/>
                <w:sz w:val="22"/>
                <w:szCs w:val="22"/>
              </w:rPr>
              <w:t>4</w:t>
            </w:r>
          </w:p>
        </w:tc>
        <w:tc>
          <w:tcPr>
            <w:tcW w:w="1036" w:type="pct"/>
            <w:shd w:val="clear" w:color="auto" w:fill="auto"/>
            <w:noWrap/>
            <w:vAlign w:val="center"/>
            <w:hideMark/>
          </w:tcPr>
          <w:p w14:paraId="4FD43EB6" w14:textId="77777777" w:rsidR="00E80162" w:rsidRPr="00545D17" w:rsidRDefault="00E80162" w:rsidP="0034645E">
            <w:pPr>
              <w:jc w:val="center"/>
              <w:rPr>
                <w:color w:val="000000"/>
              </w:rPr>
            </w:pPr>
            <w:r w:rsidRPr="00545D17">
              <w:rPr>
                <w:color w:val="000000"/>
                <w:sz w:val="22"/>
                <w:szCs w:val="22"/>
              </w:rPr>
              <w:t>79</w:t>
            </w:r>
          </w:p>
        </w:tc>
        <w:tc>
          <w:tcPr>
            <w:tcW w:w="1005" w:type="pct"/>
            <w:shd w:val="clear" w:color="auto" w:fill="auto"/>
            <w:noWrap/>
            <w:vAlign w:val="center"/>
            <w:hideMark/>
          </w:tcPr>
          <w:p w14:paraId="1C76B35F" w14:textId="77777777" w:rsidR="00E80162" w:rsidRPr="00545D17" w:rsidRDefault="00E80162" w:rsidP="0034645E">
            <w:pPr>
              <w:jc w:val="center"/>
              <w:rPr>
                <w:color w:val="000000"/>
              </w:rPr>
            </w:pPr>
            <w:r w:rsidRPr="00545D17">
              <w:rPr>
                <w:color w:val="000000"/>
                <w:sz w:val="22"/>
                <w:szCs w:val="22"/>
              </w:rPr>
              <w:t>84</w:t>
            </w:r>
          </w:p>
        </w:tc>
        <w:tc>
          <w:tcPr>
            <w:tcW w:w="1712" w:type="pct"/>
            <w:shd w:val="clear" w:color="auto" w:fill="auto"/>
            <w:noWrap/>
            <w:vAlign w:val="center"/>
            <w:hideMark/>
          </w:tcPr>
          <w:p w14:paraId="10CC0288" w14:textId="77777777" w:rsidR="00E80162" w:rsidRPr="00545D17" w:rsidRDefault="00E80162" w:rsidP="0034645E">
            <w:pPr>
              <w:jc w:val="center"/>
              <w:rPr>
                <w:color w:val="000000"/>
              </w:rPr>
            </w:pPr>
            <w:r w:rsidRPr="00545D17">
              <w:rPr>
                <w:color w:val="000000"/>
                <w:sz w:val="22"/>
                <w:szCs w:val="22"/>
              </w:rPr>
              <w:t>95</w:t>
            </w:r>
          </w:p>
        </w:tc>
      </w:tr>
      <w:tr w:rsidR="00E80162" w:rsidRPr="00545D17" w14:paraId="3A021457" w14:textId="77777777" w:rsidTr="00E80162">
        <w:trPr>
          <w:trHeight w:val="288"/>
        </w:trPr>
        <w:tc>
          <w:tcPr>
            <w:tcW w:w="623" w:type="pct"/>
            <w:vMerge/>
            <w:vAlign w:val="center"/>
          </w:tcPr>
          <w:p w14:paraId="2970F5AF" w14:textId="77777777" w:rsidR="00E80162" w:rsidRPr="00545D17" w:rsidRDefault="00E80162" w:rsidP="0034645E">
            <w:pPr>
              <w:jc w:val="center"/>
              <w:rPr>
                <w:color w:val="000000"/>
              </w:rPr>
            </w:pPr>
          </w:p>
        </w:tc>
        <w:tc>
          <w:tcPr>
            <w:tcW w:w="623" w:type="pct"/>
            <w:shd w:val="clear" w:color="auto" w:fill="auto"/>
            <w:noWrap/>
            <w:vAlign w:val="center"/>
            <w:hideMark/>
          </w:tcPr>
          <w:p w14:paraId="6D8DF5D7" w14:textId="77777777" w:rsidR="00E80162" w:rsidRPr="00545D17" w:rsidRDefault="00E80162" w:rsidP="0034645E">
            <w:pPr>
              <w:jc w:val="center"/>
              <w:rPr>
                <w:color w:val="000000"/>
              </w:rPr>
            </w:pPr>
            <w:r w:rsidRPr="00545D17">
              <w:rPr>
                <w:color w:val="000000"/>
                <w:sz w:val="22"/>
                <w:szCs w:val="22"/>
              </w:rPr>
              <w:t>8</w:t>
            </w:r>
          </w:p>
        </w:tc>
        <w:tc>
          <w:tcPr>
            <w:tcW w:w="1036" w:type="pct"/>
            <w:shd w:val="clear" w:color="auto" w:fill="auto"/>
            <w:noWrap/>
            <w:vAlign w:val="center"/>
            <w:hideMark/>
          </w:tcPr>
          <w:p w14:paraId="7A1D2CF1" w14:textId="77777777" w:rsidR="00E80162" w:rsidRPr="00545D17" w:rsidRDefault="00E80162" w:rsidP="0034645E">
            <w:pPr>
              <w:jc w:val="center"/>
              <w:rPr>
                <w:color w:val="000000"/>
              </w:rPr>
            </w:pPr>
            <w:r w:rsidRPr="00545D17">
              <w:rPr>
                <w:color w:val="000000"/>
                <w:sz w:val="22"/>
                <w:szCs w:val="22"/>
              </w:rPr>
              <w:t>87</w:t>
            </w:r>
          </w:p>
        </w:tc>
        <w:tc>
          <w:tcPr>
            <w:tcW w:w="1005" w:type="pct"/>
            <w:shd w:val="clear" w:color="auto" w:fill="auto"/>
            <w:noWrap/>
            <w:vAlign w:val="center"/>
            <w:hideMark/>
          </w:tcPr>
          <w:p w14:paraId="4C5212DC" w14:textId="77777777" w:rsidR="00E80162" w:rsidRPr="00545D17" w:rsidRDefault="00E80162" w:rsidP="0034645E">
            <w:pPr>
              <w:jc w:val="center"/>
              <w:rPr>
                <w:color w:val="000000"/>
              </w:rPr>
            </w:pPr>
            <w:r w:rsidRPr="00545D17">
              <w:rPr>
                <w:color w:val="000000"/>
                <w:sz w:val="22"/>
                <w:szCs w:val="22"/>
              </w:rPr>
              <w:t>87</w:t>
            </w:r>
          </w:p>
        </w:tc>
        <w:tc>
          <w:tcPr>
            <w:tcW w:w="1712" w:type="pct"/>
            <w:shd w:val="clear" w:color="auto" w:fill="auto"/>
            <w:noWrap/>
            <w:vAlign w:val="center"/>
            <w:hideMark/>
          </w:tcPr>
          <w:p w14:paraId="03AA5EC3" w14:textId="77777777" w:rsidR="00E80162" w:rsidRPr="00545D17" w:rsidRDefault="00E80162" w:rsidP="0034645E">
            <w:pPr>
              <w:jc w:val="center"/>
              <w:rPr>
                <w:color w:val="000000"/>
              </w:rPr>
            </w:pPr>
            <w:r w:rsidRPr="00545D17">
              <w:rPr>
                <w:color w:val="000000"/>
                <w:sz w:val="22"/>
                <w:szCs w:val="22"/>
              </w:rPr>
              <w:t>94</w:t>
            </w:r>
          </w:p>
        </w:tc>
      </w:tr>
      <w:tr w:rsidR="00B63A83" w:rsidRPr="00545D17" w14:paraId="102DE654" w14:textId="77777777" w:rsidTr="00E80162">
        <w:trPr>
          <w:trHeight w:val="288"/>
        </w:trPr>
        <w:tc>
          <w:tcPr>
            <w:tcW w:w="623" w:type="pct"/>
            <w:vMerge w:val="restart"/>
            <w:vAlign w:val="center"/>
          </w:tcPr>
          <w:p w14:paraId="7CD31B9A" w14:textId="77777777" w:rsidR="00B63A83" w:rsidRPr="00545D17" w:rsidRDefault="00B63A83" w:rsidP="0034645E">
            <w:pPr>
              <w:jc w:val="center"/>
              <w:rPr>
                <w:b/>
                <w:color w:val="000000"/>
              </w:rPr>
            </w:pPr>
            <w:r w:rsidRPr="00545D17">
              <w:rPr>
                <w:b/>
                <w:color w:val="000000"/>
                <w:sz w:val="22"/>
                <w:szCs w:val="22"/>
              </w:rPr>
              <w:t>2007</w:t>
            </w:r>
          </w:p>
        </w:tc>
        <w:tc>
          <w:tcPr>
            <w:tcW w:w="623" w:type="pct"/>
            <w:shd w:val="clear" w:color="auto" w:fill="auto"/>
            <w:noWrap/>
            <w:vAlign w:val="center"/>
            <w:hideMark/>
          </w:tcPr>
          <w:p w14:paraId="49D6E685" w14:textId="77777777" w:rsidR="00B63A83" w:rsidRPr="00545D17" w:rsidRDefault="00B63A83" w:rsidP="0034645E">
            <w:pPr>
              <w:jc w:val="center"/>
              <w:rPr>
                <w:color w:val="000000"/>
              </w:rPr>
            </w:pPr>
            <w:r w:rsidRPr="00545D17">
              <w:rPr>
                <w:color w:val="000000"/>
                <w:sz w:val="22"/>
                <w:szCs w:val="22"/>
              </w:rPr>
              <w:t>4</w:t>
            </w:r>
          </w:p>
        </w:tc>
        <w:tc>
          <w:tcPr>
            <w:tcW w:w="1036" w:type="pct"/>
            <w:shd w:val="clear" w:color="auto" w:fill="auto"/>
            <w:noWrap/>
            <w:vAlign w:val="center"/>
            <w:hideMark/>
          </w:tcPr>
          <w:p w14:paraId="545654A8" w14:textId="77777777" w:rsidR="00B63A83" w:rsidRPr="00545D17" w:rsidRDefault="00B63A83" w:rsidP="0034645E">
            <w:pPr>
              <w:jc w:val="center"/>
              <w:rPr>
                <w:color w:val="000000"/>
              </w:rPr>
            </w:pPr>
            <w:r w:rsidRPr="00545D17">
              <w:rPr>
                <w:color w:val="000000"/>
                <w:sz w:val="22"/>
                <w:szCs w:val="22"/>
              </w:rPr>
              <w:t>70</w:t>
            </w:r>
          </w:p>
        </w:tc>
        <w:tc>
          <w:tcPr>
            <w:tcW w:w="1005" w:type="pct"/>
            <w:shd w:val="clear" w:color="auto" w:fill="auto"/>
            <w:noWrap/>
            <w:vAlign w:val="center"/>
            <w:hideMark/>
          </w:tcPr>
          <w:p w14:paraId="0EFA90CB" w14:textId="77777777" w:rsidR="00B63A83" w:rsidRPr="00545D17" w:rsidRDefault="00B63A83" w:rsidP="0034645E">
            <w:pPr>
              <w:jc w:val="center"/>
              <w:rPr>
                <w:color w:val="000000"/>
              </w:rPr>
            </w:pPr>
            <w:r w:rsidRPr="00545D17">
              <w:rPr>
                <w:color w:val="000000"/>
                <w:sz w:val="22"/>
                <w:szCs w:val="22"/>
              </w:rPr>
              <w:t>89</w:t>
            </w:r>
          </w:p>
        </w:tc>
        <w:tc>
          <w:tcPr>
            <w:tcW w:w="1712" w:type="pct"/>
            <w:shd w:val="clear" w:color="auto" w:fill="auto"/>
            <w:noWrap/>
            <w:vAlign w:val="center"/>
            <w:hideMark/>
          </w:tcPr>
          <w:p w14:paraId="3D917478" w14:textId="77777777" w:rsidR="00B63A83" w:rsidRPr="00545D17" w:rsidRDefault="00B63A83" w:rsidP="0034645E">
            <w:pPr>
              <w:jc w:val="center"/>
              <w:rPr>
                <w:color w:val="000000"/>
              </w:rPr>
            </w:pPr>
            <w:r w:rsidRPr="00545D17">
              <w:rPr>
                <w:color w:val="000000"/>
                <w:sz w:val="22"/>
                <w:szCs w:val="22"/>
              </w:rPr>
              <w:t>95</w:t>
            </w:r>
          </w:p>
        </w:tc>
      </w:tr>
      <w:tr w:rsidR="00B63A83" w:rsidRPr="00545D17" w14:paraId="0BFA2CB4" w14:textId="77777777" w:rsidTr="00E80162">
        <w:trPr>
          <w:trHeight w:val="288"/>
        </w:trPr>
        <w:tc>
          <w:tcPr>
            <w:tcW w:w="623" w:type="pct"/>
            <w:vMerge/>
            <w:vAlign w:val="center"/>
          </w:tcPr>
          <w:p w14:paraId="4BE9E9F9" w14:textId="77777777" w:rsidR="00B63A83" w:rsidRPr="00545D17" w:rsidRDefault="00B63A83" w:rsidP="0034645E">
            <w:pPr>
              <w:jc w:val="center"/>
              <w:rPr>
                <w:color w:val="000000"/>
              </w:rPr>
            </w:pPr>
          </w:p>
        </w:tc>
        <w:tc>
          <w:tcPr>
            <w:tcW w:w="623" w:type="pct"/>
            <w:shd w:val="clear" w:color="auto" w:fill="auto"/>
            <w:noWrap/>
            <w:vAlign w:val="center"/>
            <w:hideMark/>
          </w:tcPr>
          <w:p w14:paraId="67C1DDE8" w14:textId="77777777" w:rsidR="00B63A83" w:rsidRPr="00545D17" w:rsidRDefault="00B63A83" w:rsidP="0034645E">
            <w:pPr>
              <w:jc w:val="center"/>
              <w:rPr>
                <w:color w:val="000000"/>
              </w:rPr>
            </w:pPr>
            <w:r w:rsidRPr="00545D17">
              <w:rPr>
                <w:color w:val="000000"/>
                <w:sz w:val="22"/>
                <w:szCs w:val="22"/>
              </w:rPr>
              <w:t>8</w:t>
            </w:r>
          </w:p>
        </w:tc>
        <w:tc>
          <w:tcPr>
            <w:tcW w:w="1036" w:type="pct"/>
            <w:shd w:val="clear" w:color="auto" w:fill="auto"/>
            <w:noWrap/>
            <w:vAlign w:val="center"/>
            <w:hideMark/>
          </w:tcPr>
          <w:p w14:paraId="136AEF11" w14:textId="77777777" w:rsidR="00B63A83" w:rsidRPr="00545D17" w:rsidRDefault="00B63A83" w:rsidP="0034645E">
            <w:pPr>
              <w:jc w:val="center"/>
              <w:rPr>
                <w:color w:val="000000"/>
              </w:rPr>
            </w:pPr>
            <w:r w:rsidRPr="00545D17">
              <w:rPr>
                <w:color w:val="000000"/>
                <w:sz w:val="22"/>
                <w:szCs w:val="22"/>
              </w:rPr>
              <w:t>68</w:t>
            </w:r>
          </w:p>
        </w:tc>
        <w:tc>
          <w:tcPr>
            <w:tcW w:w="1005" w:type="pct"/>
            <w:shd w:val="clear" w:color="auto" w:fill="auto"/>
            <w:noWrap/>
            <w:vAlign w:val="center"/>
            <w:hideMark/>
          </w:tcPr>
          <w:p w14:paraId="0862143B" w14:textId="77777777" w:rsidR="00B63A83" w:rsidRPr="00545D17" w:rsidRDefault="00B63A83" w:rsidP="0034645E">
            <w:pPr>
              <w:jc w:val="center"/>
              <w:rPr>
                <w:color w:val="000000"/>
              </w:rPr>
            </w:pPr>
            <w:r w:rsidRPr="00545D17">
              <w:rPr>
                <w:color w:val="000000"/>
                <w:sz w:val="22"/>
                <w:szCs w:val="22"/>
              </w:rPr>
              <w:t>83</w:t>
            </w:r>
          </w:p>
        </w:tc>
        <w:tc>
          <w:tcPr>
            <w:tcW w:w="1712" w:type="pct"/>
            <w:shd w:val="clear" w:color="auto" w:fill="auto"/>
            <w:noWrap/>
            <w:vAlign w:val="center"/>
            <w:hideMark/>
          </w:tcPr>
          <w:p w14:paraId="35AEBFA0" w14:textId="77777777" w:rsidR="00B63A83" w:rsidRPr="00545D17" w:rsidRDefault="00B63A83" w:rsidP="0034645E">
            <w:pPr>
              <w:jc w:val="center"/>
              <w:rPr>
                <w:color w:val="000000"/>
              </w:rPr>
            </w:pPr>
            <w:r w:rsidRPr="00545D17">
              <w:rPr>
                <w:color w:val="000000"/>
                <w:sz w:val="22"/>
                <w:szCs w:val="22"/>
              </w:rPr>
              <w:t>93</w:t>
            </w:r>
          </w:p>
        </w:tc>
      </w:tr>
      <w:tr w:rsidR="00B63A83" w:rsidRPr="00545D17" w14:paraId="28234135" w14:textId="77777777" w:rsidTr="00E80162">
        <w:trPr>
          <w:trHeight w:val="288"/>
        </w:trPr>
        <w:tc>
          <w:tcPr>
            <w:tcW w:w="623" w:type="pct"/>
            <w:vMerge w:val="restart"/>
            <w:vAlign w:val="center"/>
          </w:tcPr>
          <w:p w14:paraId="1791A51F" w14:textId="77777777" w:rsidR="00B63A83" w:rsidRPr="00545D17" w:rsidRDefault="00B63A83" w:rsidP="0034645E">
            <w:pPr>
              <w:jc w:val="center"/>
              <w:rPr>
                <w:b/>
                <w:color w:val="000000"/>
              </w:rPr>
            </w:pPr>
            <w:r w:rsidRPr="00545D17">
              <w:rPr>
                <w:b/>
                <w:color w:val="000000"/>
                <w:sz w:val="22"/>
                <w:szCs w:val="22"/>
              </w:rPr>
              <w:t>2003</w:t>
            </w:r>
          </w:p>
        </w:tc>
        <w:tc>
          <w:tcPr>
            <w:tcW w:w="623" w:type="pct"/>
            <w:shd w:val="clear" w:color="auto" w:fill="auto"/>
            <w:noWrap/>
            <w:vAlign w:val="center"/>
            <w:hideMark/>
          </w:tcPr>
          <w:p w14:paraId="497864C9" w14:textId="77777777" w:rsidR="00B63A83" w:rsidRPr="00545D17" w:rsidRDefault="00B63A83" w:rsidP="0034645E">
            <w:pPr>
              <w:jc w:val="center"/>
              <w:rPr>
                <w:color w:val="000000"/>
              </w:rPr>
            </w:pPr>
            <w:r w:rsidRPr="00545D17">
              <w:rPr>
                <w:color w:val="000000"/>
                <w:sz w:val="22"/>
                <w:szCs w:val="22"/>
              </w:rPr>
              <w:t>4</w:t>
            </w:r>
          </w:p>
        </w:tc>
        <w:tc>
          <w:tcPr>
            <w:tcW w:w="1036" w:type="pct"/>
            <w:shd w:val="clear" w:color="auto" w:fill="auto"/>
            <w:noWrap/>
            <w:vAlign w:val="center"/>
            <w:hideMark/>
          </w:tcPr>
          <w:p w14:paraId="2ABF5AA6" w14:textId="77777777" w:rsidR="00B63A83" w:rsidRPr="00545D17" w:rsidRDefault="00B63A83" w:rsidP="0034645E">
            <w:pPr>
              <w:jc w:val="center"/>
              <w:rPr>
                <w:color w:val="000000"/>
              </w:rPr>
            </w:pPr>
            <w:r w:rsidRPr="00545D17">
              <w:rPr>
                <w:color w:val="000000"/>
                <w:sz w:val="22"/>
                <w:szCs w:val="22"/>
              </w:rPr>
              <w:t>70</w:t>
            </w:r>
          </w:p>
        </w:tc>
        <w:tc>
          <w:tcPr>
            <w:tcW w:w="1005" w:type="pct"/>
            <w:shd w:val="clear" w:color="auto" w:fill="auto"/>
            <w:noWrap/>
            <w:vAlign w:val="center"/>
            <w:hideMark/>
          </w:tcPr>
          <w:p w14:paraId="0A054DCD" w14:textId="77777777" w:rsidR="00B63A83" w:rsidRPr="00545D17" w:rsidRDefault="00B63A83" w:rsidP="0034645E">
            <w:pPr>
              <w:jc w:val="center"/>
              <w:rPr>
                <w:color w:val="000000"/>
              </w:rPr>
            </w:pPr>
            <w:r w:rsidRPr="00545D17">
              <w:rPr>
                <w:color w:val="000000"/>
                <w:sz w:val="22"/>
                <w:szCs w:val="22"/>
              </w:rPr>
              <w:t>82</w:t>
            </w:r>
          </w:p>
        </w:tc>
        <w:tc>
          <w:tcPr>
            <w:tcW w:w="1712" w:type="pct"/>
            <w:shd w:val="clear" w:color="auto" w:fill="auto"/>
            <w:noWrap/>
            <w:vAlign w:val="center"/>
            <w:hideMark/>
          </w:tcPr>
          <w:p w14:paraId="08866D7E" w14:textId="77777777" w:rsidR="00B63A83" w:rsidRPr="00545D17" w:rsidRDefault="00B63A83" w:rsidP="0034645E">
            <w:pPr>
              <w:jc w:val="center"/>
              <w:rPr>
                <w:color w:val="000000"/>
              </w:rPr>
            </w:pPr>
            <w:r w:rsidRPr="00545D17">
              <w:rPr>
                <w:color w:val="000000"/>
                <w:sz w:val="22"/>
                <w:szCs w:val="22"/>
              </w:rPr>
              <w:t>95</w:t>
            </w:r>
          </w:p>
        </w:tc>
      </w:tr>
      <w:tr w:rsidR="00B63A83" w:rsidRPr="00545D17" w14:paraId="5E36D3B8" w14:textId="77777777" w:rsidTr="00E80162">
        <w:trPr>
          <w:trHeight w:val="288"/>
        </w:trPr>
        <w:tc>
          <w:tcPr>
            <w:tcW w:w="623" w:type="pct"/>
            <w:vMerge/>
            <w:vAlign w:val="center"/>
          </w:tcPr>
          <w:p w14:paraId="6B895E33" w14:textId="77777777" w:rsidR="00B63A83" w:rsidRPr="00545D17" w:rsidRDefault="00B63A83" w:rsidP="0034645E">
            <w:pPr>
              <w:jc w:val="center"/>
              <w:rPr>
                <w:color w:val="000000"/>
              </w:rPr>
            </w:pPr>
          </w:p>
        </w:tc>
        <w:tc>
          <w:tcPr>
            <w:tcW w:w="623" w:type="pct"/>
            <w:shd w:val="clear" w:color="auto" w:fill="auto"/>
            <w:noWrap/>
            <w:vAlign w:val="center"/>
            <w:hideMark/>
          </w:tcPr>
          <w:p w14:paraId="0FEFC377" w14:textId="77777777" w:rsidR="00B63A83" w:rsidRPr="00545D17" w:rsidRDefault="00B63A83" w:rsidP="0034645E">
            <w:pPr>
              <w:jc w:val="center"/>
              <w:rPr>
                <w:color w:val="000000"/>
              </w:rPr>
            </w:pPr>
            <w:r w:rsidRPr="00545D17">
              <w:rPr>
                <w:color w:val="000000"/>
                <w:sz w:val="22"/>
                <w:szCs w:val="22"/>
              </w:rPr>
              <w:t>8</w:t>
            </w:r>
          </w:p>
        </w:tc>
        <w:tc>
          <w:tcPr>
            <w:tcW w:w="1036" w:type="pct"/>
            <w:shd w:val="clear" w:color="auto" w:fill="auto"/>
            <w:noWrap/>
            <w:vAlign w:val="center"/>
            <w:hideMark/>
          </w:tcPr>
          <w:p w14:paraId="7C2A664C" w14:textId="77777777" w:rsidR="00B63A83" w:rsidRPr="00545D17" w:rsidRDefault="00B63A83" w:rsidP="0034645E">
            <w:pPr>
              <w:jc w:val="center"/>
              <w:rPr>
                <w:color w:val="000000"/>
              </w:rPr>
            </w:pPr>
            <w:r w:rsidRPr="00545D17">
              <w:rPr>
                <w:color w:val="000000"/>
                <w:sz w:val="22"/>
                <w:szCs w:val="22"/>
              </w:rPr>
              <w:t>71</w:t>
            </w:r>
          </w:p>
        </w:tc>
        <w:tc>
          <w:tcPr>
            <w:tcW w:w="1005" w:type="pct"/>
            <w:shd w:val="clear" w:color="auto" w:fill="auto"/>
            <w:noWrap/>
            <w:vAlign w:val="center"/>
            <w:hideMark/>
          </w:tcPr>
          <w:p w14:paraId="01A3690D" w14:textId="77777777" w:rsidR="00B63A83" w:rsidRPr="00545D17" w:rsidRDefault="00B63A83" w:rsidP="0034645E">
            <w:pPr>
              <w:jc w:val="center"/>
              <w:rPr>
                <w:color w:val="000000"/>
              </w:rPr>
            </w:pPr>
            <w:r w:rsidRPr="00545D17">
              <w:rPr>
                <w:color w:val="000000"/>
                <w:sz w:val="22"/>
                <w:szCs w:val="22"/>
              </w:rPr>
              <w:t>78</w:t>
            </w:r>
          </w:p>
        </w:tc>
        <w:tc>
          <w:tcPr>
            <w:tcW w:w="1712" w:type="pct"/>
            <w:shd w:val="clear" w:color="auto" w:fill="auto"/>
            <w:noWrap/>
            <w:vAlign w:val="center"/>
            <w:hideMark/>
          </w:tcPr>
          <w:p w14:paraId="7501B983" w14:textId="77777777" w:rsidR="00B63A83" w:rsidRPr="00545D17" w:rsidRDefault="00B63A83" w:rsidP="0034645E">
            <w:pPr>
              <w:jc w:val="center"/>
              <w:rPr>
                <w:color w:val="000000"/>
              </w:rPr>
            </w:pPr>
            <w:r w:rsidRPr="00545D17">
              <w:rPr>
                <w:color w:val="000000"/>
                <w:sz w:val="22"/>
                <w:szCs w:val="22"/>
              </w:rPr>
              <w:t>94</w:t>
            </w:r>
          </w:p>
        </w:tc>
      </w:tr>
      <w:tr w:rsidR="00B63A83" w:rsidRPr="00545D17" w14:paraId="26F40BBC" w14:textId="77777777" w:rsidTr="00E80162">
        <w:trPr>
          <w:trHeight w:val="288"/>
        </w:trPr>
        <w:tc>
          <w:tcPr>
            <w:tcW w:w="623" w:type="pct"/>
            <w:vAlign w:val="center"/>
          </w:tcPr>
          <w:p w14:paraId="78652C42" w14:textId="77777777" w:rsidR="00B63A83" w:rsidRPr="00545D17" w:rsidRDefault="00B63A83" w:rsidP="0034645E">
            <w:pPr>
              <w:jc w:val="center"/>
              <w:rPr>
                <w:b/>
                <w:color w:val="000000"/>
              </w:rPr>
            </w:pPr>
            <w:r w:rsidRPr="00545D17">
              <w:rPr>
                <w:b/>
                <w:color w:val="000000"/>
                <w:sz w:val="22"/>
                <w:szCs w:val="22"/>
              </w:rPr>
              <w:t>1999</w:t>
            </w:r>
          </w:p>
        </w:tc>
        <w:tc>
          <w:tcPr>
            <w:tcW w:w="623" w:type="pct"/>
            <w:shd w:val="clear" w:color="auto" w:fill="auto"/>
            <w:noWrap/>
            <w:vAlign w:val="center"/>
            <w:hideMark/>
          </w:tcPr>
          <w:p w14:paraId="5C5FC7D3" w14:textId="77777777" w:rsidR="00B63A83" w:rsidRPr="00545D17" w:rsidRDefault="00B63A83" w:rsidP="0034645E">
            <w:pPr>
              <w:jc w:val="center"/>
              <w:rPr>
                <w:color w:val="000000"/>
              </w:rPr>
            </w:pPr>
            <w:r w:rsidRPr="00545D17">
              <w:rPr>
                <w:color w:val="000000"/>
                <w:sz w:val="22"/>
                <w:szCs w:val="22"/>
              </w:rPr>
              <w:t>8</w:t>
            </w:r>
          </w:p>
        </w:tc>
        <w:tc>
          <w:tcPr>
            <w:tcW w:w="1036" w:type="pct"/>
            <w:shd w:val="clear" w:color="auto" w:fill="auto"/>
            <w:noWrap/>
            <w:vAlign w:val="center"/>
            <w:hideMark/>
          </w:tcPr>
          <w:p w14:paraId="6181E090" w14:textId="77777777" w:rsidR="00B63A83" w:rsidRPr="00545D17" w:rsidRDefault="00B63A83" w:rsidP="0034645E">
            <w:pPr>
              <w:jc w:val="center"/>
              <w:rPr>
                <w:color w:val="000000"/>
              </w:rPr>
            </w:pPr>
            <w:r w:rsidRPr="00545D17">
              <w:rPr>
                <w:color w:val="000000"/>
                <w:sz w:val="22"/>
                <w:szCs w:val="22"/>
              </w:rPr>
              <w:t>83</w:t>
            </w:r>
          </w:p>
        </w:tc>
        <w:tc>
          <w:tcPr>
            <w:tcW w:w="1005" w:type="pct"/>
            <w:shd w:val="clear" w:color="auto" w:fill="auto"/>
            <w:noWrap/>
            <w:vAlign w:val="center"/>
            <w:hideMark/>
          </w:tcPr>
          <w:p w14:paraId="4E90D844" w14:textId="77777777" w:rsidR="00B63A83" w:rsidRPr="00545D17" w:rsidRDefault="00B63A83" w:rsidP="0034645E">
            <w:pPr>
              <w:jc w:val="center"/>
              <w:rPr>
                <w:color w:val="000000"/>
              </w:rPr>
            </w:pPr>
            <w:r w:rsidRPr="00545D17">
              <w:rPr>
                <w:color w:val="000000"/>
                <w:sz w:val="22"/>
                <w:szCs w:val="22"/>
              </w:rPr>
              <w:t>90</w:t>
            </w:r>
          </w:p>
        </w:tc>
        <w:tc>
          <w:tcPr>
            <w:tcW w:w="1712" w:type="pct"/>
            <w:shd w:val="clear" w:color="auto" w:fill="auto"/>
            <w:noWrap/>
            <w:vAlign w:val="center"/>
            <w:hideMark/>
          </w:tcPr>
          <w:p w14:paraId="25C58E62" w14:textId="77777777" w:rsidR="00B63A83" w:rsidRPr="00545D17" w:rsidRDefault="00B63A83" w:rsidP="0034645E">
            <w:pPr>
              <w:jc w:val="center"/>
              <w:rPr>
                <w:color w:val="000000"/>
              </w:rPr>
            </w:pPr>
            <w:r w:rsidRPr="00545D17">
              <w:rPr>
                <w:color w:val="000000"/>
                <w:sz w:val="22"/>
                <w:szCs w:val="22"/>
              </w:rPr>
              <w:t>94</w:t>
            </w:r>
          </w:p>
        </w:tc>
      </w:tr>
      <w:tr w:rsidR="00B63A83" w:rsidRPr="00545D17" w14:paraId="49322210" w14:textId="77777777" w:rsidTr="00E80162">
        <w:trPr>
          <w:trHeight w:val="288"/>
        </w:trPr>
        <w:tc>
          <w:tcPr>
            <w:tcW w:w="623" w:type="pct"/>
            <w:vAlign w:val="center"/>
          </w:tcPr>
          <w:p w14:paraId="7B7305BB" w14:textId="77777777" w:rsidR="00B63A83" w:rsidRPr="00545D17" w:rsidRDefault="00B63A83" w:rsidP="0034645E">
            <w:pPr>
              <w:jc w:val="center"/>
              <w:rPr>
                <w:b/>
                <w:color w:val="000000"/>
              </w:rPr>
            </w:pPr>
            <w:r w:rsidRPr="00545D17">
              <w:rPr>
                <w:b/>
                <w:color w:val="000000"/>
                <w:sz w:val="22"/>
                <w:szCs w:val="22"/>
              </w:rPr>
              <w:t>1995</w:t>
            </w:r>
          </w:p>
        </w:tc>
        <w:tc>
          <w:tcPr>
            <w:tcW w:w="623" w:type="pct"/>
            <w:shd w:val="clear" w:color="auto" w:fill="auto"/>
            <w:noWrap/>
            <w:vAlign w:val="center"/>
            <w:hideMark/>
          </w:tcPr>
          <w:p w14:paraId="06AFE05B" w14:textId="77777777" w:rsidR="00B63A83" w:rsidRPr="00545D17" w:rsidRDefault="00B63A83" w:rsidP="0034645E">
            <w:pPr>
              <w:jc w:val="center"/>
              <w:rPr>
                <w:color w:val="000000"/>
              </w:rPr>
            </w:pPr>
            <w:r w:rsidRPr="00545D17">
              <w:rPr>
                <w:color w:val="000000"/>
                <w:sz w:val="22"/>
                <w:szCs w:val="22"/>
              </w:rPr>
              <w:t>4</w:t>
            </w:r>
          </w:p>
        </w:tc>
        <w:tc>
          <w:tcPr>
            <w:tcW w:w="1036" w:type="pct"/>
            <w:shd w:val="clear" w:color="auto" w:fill="auto"/>
            <w:noWrap/>
            <w:vAlign w:val="center"/>
            <w:hideMark/>
          </w:tcPr>
          <w:p w14:paraId="243EBBA2" w14:textId="77777777" w:rsidR="00B63A83" w:rsidRPr="00545D17" w:rsidRDefault="00B63A83" w:rsidP="0034645E">
            <w:pPr>
              <w:jc w:val="center"/>
              <w:rPr>
                <w:color w:val="000000"/>
              </w:rPr>
            </w:pPr>
            <w:r w:rsidRPr="00545D17">
              <w:rPr>
                <w:color w:val="000000"/>
                <w:sz w:val="22"/>
                <w:szCs w:val="22"/>
              </w:rPr>
              <w:t>86</w:t>
            </w:r>
          </w:p>
        </w:tc>
        <w:tc>
          <w:tcPr>
            <w:tcW w:w="1005" w:type="pct"/>
            <w:shd w:val="clear" w:color="auto" w:fill="auto"/>
            <w:noWrap/>
            <w:vAlign w:val="center"/>
            <w:hideMark/>
          </w:tcPr>
          <w:p w14:paraId="15B0EEA6" w14:textId="77777777" w:rsidR="00B63A83" w:rsidRPr="00545D17" w:rsidRDefault="00B63A83" w:rsidP="0034645E">
            <w:pPr>
              <w:jc w:val="center"/>
              <w:rPr>
                <w:color w:val="000000"/>
              </w:rPr>
            </w:pPr>
            <w:r w:rsidRPr="00545D17">
              <w:rPr>
                <w:color w:val="000000"/>
                <w:sz w:val="22"/>
                <w:szCs w:val="22"/>
              </w:rPr>
              <w:t>NA</w:t>
            </w:r>
          </w:p>
        </w:tc>
        <w:tc>
          <w:tcPr>
            <w:tcW w:w="1712" w:type="pct"/>
            <w:shd w:val="clear" w:color="auto" w:fill="auto"/>
            <w:noWrap/>
            <w:vAlign w:val="center"/>
            <w:hideMark/>
          </w:tcPr>
          <w:p w14:paraId="3FC02401" w14:textId="77777777" w:rsidR="00B63A83" w:rsidRPr="00545D17" w:rsidRDefault="00B63A83" w:rsidP="0034645E">
            <w:pPr>
              <w:jc w:val="center"/>
              <w:rPr>
                <w:color w:val="000000"/>
              </w:rPr>
            </w:pPr>
            <w:r w:rsidRPr="00545D17">
              <w:rPr>
                <w:color w:val="000000"/>
                <w:sz w:val="22"/>
                <w:szCs w:val="22"/>
              </w:rPr>
              <w:t>94</w:t>
            </w:r>
          </w:p>
        </w:tc>
      </w:tr>
    </w:tbl>
    <w:p w14:paraId="2351A8A4" w14:textId="77777777" w:rsidR="00B63A83" w:rsidRPr="00545D17" w:rsidRDefault="00B63A83" w:rsidP="0054472A">
      <w:pPr>
        <w:rPr>
          <w:sz w:val="22"/>
          <w:szCs w:val="22"/>
        </w:rPr>
      </w:pPr>
    </w:p>
    <w:p w14:paraId="0EBF537A" w14:textId="77777777" w:rsidR="00A22E18" w:rsidRPr="00545D17" w:rsidRDefault="00A22E18" w:rsidP="00646D19">
      <w:pPr>
        <w:pStyle w:val="P1-StandPara"/>
        <w:widowControl w:val="0"/>
        <w:spacing w:after="60" w:line="240" w:lineRule="atLeast"/>
        <w:ind w:firstLine="0"/>
        <w:jc w:val="left"/>
        <w:rPr>
          <w:szCs w:val="22"/>
        </w:rPr>
      </w:pPr>
      <w:r w:rsidRPr="00545D17">
        <w:rPr>
          <w:szCs w:val="22"/>
        </w:rPr>
        <w:t>Our approach to school recruitment is to:</w:t>
      </w:r>
    </w:p>
    <w:p w14:paraId="5CF23620" w14:textId="77777777" w:rsidR="00A22E18" w:rsidRPr="00545D17" w:rsidRDefault="00A22E18" w:rsidP="00646D19">
      <w:pPr>
        <w:pStyle w:val="N1-1stBullet"/>
        <w:widowControl w:val="0"/>
        <w:numPr>
          <w:ilvl w:val="0"/>
          <w:numId w:val="7"/>
        </w:numPr>
        <w:tabs>
          <w:tab w:val="clear" w:pos="1152"/>
        </w:tabs>
        <w:spacing w:after="60"/>
        <w:ind w:left="907" w:hanging="331"/>
        <w:rPr>
          <w:rFonts w:ascii="Times New Roman" w:hAnsi="Times New Roman"/>
          <w:sz w:val="22"/>
          <w:szCs w:val="22"/>
        </w:rPr>
      </w:pPr>
      <w:r w:rsidRPr="00545D17">
        <w:rPr>
          <w:rFonts w:ascii="Times New Roman" w:hAnsi="Times New Roman"/>
          <w:sz w:val="22"/>
          <w:szCs w:val="22"/>
        </w:rPr>
        <w:t>Obtain endorsements about the value of TIMSS from relevant organizations;</w:t>
      </w:r>
    </w:p>
    <w:p w14:paraId="53135C6A" w14:textId="77777777" w:rsidR="0054472A" w:rsidRPr="00545D17" w:rsidRDefault="002E026A" w:rsidP="00646D19">
      <w:pPr>
        <w:pStyle w:val="N1-1stBullet"/>
        <w:widowControl w:val="0"/>
        <w:numPr>
          <w:ilvl w:val="0"/>
          <w:numId w:val="7"/>
        </w:numPr>
        <w:tabs>
          <w:tab w:val="clear" w:pos="1152"/>
        </w:tabs>
        <w:spacing w:after="60"/>
        <w:ind w:left="907" w:hanging="331"/>
        <w:rPr>
          <w:rFonts w:ascii="Times New Roman" w:hAnsi="Times New Roman"/>
          <w:sz w:val="22"/>
          <w:szCs w:val="22"/>
        </w:rPr>
      </w:pPr>
      <w:r w:rsidRPr="00545D17">
        <w:rPr>
          <w:rFonts w:ascii="Times New Roman" w:hAnsi="Times New Roman"/>
          <w:sz w:val="22"/>
          <w:szCs w:val="22"/>
        </w:rPr>
        <w:t>Inform C</w:t>
      </w:r>
      <w:r w:rsidR="00A22E18" w:rsidRPr="00545D17">
        <w:rPr>
          <w:rFonts w:ascii="Times New Roman" w:hAnsi="Times New Roman"/>
          <w:sz w:val="22"/>
          <w:szCs w:val="22"/>
        </w:rPr>
        <w:t>hief</w:t>
      </w:r>
      <w:r w:rsidRPr="00545D17">
        <w:rPr>
          <w:rFonts w:ascii="Times New Roman" w:hAnsi="Times New Roman"/>
          <w:sz w:val="22"/>
          <w:szCs w:val="22"/>
        </w:rPr>
        <w:t xml:space="preserve"> State Officers </w:t>
      </w:r>
      <w:r w:rsidR="00A22E18" w:rsidRPr="00545D17">
        <w:rPr>
          <w:rFonts w:ascii="Times New Roman" w:hAnsi="Times New Roman"/>
          <w:sz w:val="22"/>
          <w:szCs w:val="22"/>
        </w:rPr>
        <w:t>and test directors about the sample of schools in their state.</w:t>
      </w:r>
    </w:p>
    <w:p w14:paraId="28CD32D7" w14:textId="77777777" w:rsidR="00A22E18" w:rsidRPr="00545D17" w:rsidRDefault="0069339D" w:rsidP="00646D19">
      <w:pPr>
        <w:pStyle w:val="N1-1stBullet"/>
        <w:widowControl w:val="0"/>
        <w:numPr>
          <w:ilvl w:val="0"/>
          <w:numId w:val="7"/>
        </w:numPr>
        <w:tabs>
          <w:tab w:val="clear" w:pos="1152"/>
        </w:tabs>
        <w:spacing w:after="60"/>
        <w:ind w:left="907" w:hanging="331"/>
        <w:rPr>
          <w:rFonts w:ascii="Times New Roman" w:hAnsi="Times New Roman"/>
          <w:sz w:val="22"/>
          <w:szCs w:val="22"/>
        </w:rPr>
      </w:pPr>
      <w:r w:rsidRPr="00545D17">
        <w:rPr>
          <w:rFonts w:ascii="Times New Roman" w:hAnsi="Times New Roman"/>
          <w:sz w:val="22"/>
          <w:szCs w:val="22"/>
        </w:rPr>
        <w:t>Use the assistance of NAEP State Coordinators to recruit districts and schools, providing key state agency involvement in recruitment;</w:t>
      </w:r>
    </w:p>
    <w:p w14:paraId="63241DE5" w14:textId="77777777" w:rsidR="00A22E18" w:rsidRPr="00545D17" w:rsidRDefault="00A22E18" w:rsidP="00646D19">
      <w:pPr>
        <w:pStyle w:val="N1-1stBullet"/>
        <w:widowControl w:val="0"/>
        <w:numPr>
          <w:ilvl w:val="0"/>
          <w:numId w:val="7"/>
        </w:numPr>
        <w:tabs>
          <w:tab w:val="clear" w:pos="1152"/>
        </w:tabs>
        <w:spacing w:after="60"/>
        <w:ind w:left="907" w:hanging="331"/>
        <w:rPr>
          <w:rFonts w:ascii="Times New Roman" w:hAnsi="Times New Roman"/>
          <w:sz w:val="22"/>
          <w:szCs w:val="22"/>
        </w:rPr>
      </w:pPr>
      <w:r w:rsidRPr="00545D17">
        <w:rPr>
          <w:rFonts w:ascii="Times New Roman" w:hAnsi="Times New Roman"/>
          <w:sz w:val="22"/>
          <w:szCs w:val="22"/>
        </w:rPr>
        <w:t>Send letters and informational materials to schools and districts. These letters will be customized by type of school;</w:t>
      </w:r>
    </w:p>
    <w:p w14:paraId="7B9BD871" w14:textId="77777777" w:rsidR="00A22E18" w:rsidRPr="00545D17" w:rsidRDefault="00A22E18" w:rsidP="00646D19">
      <w:pPr>
        <w:pStyle w:val="N1-1stBullet"/>
        <w:widowControl w:val="0"/>
        <w:numPr>
          <w:ilvl w:val="0"/>
          <w:numId w:val="7"/>
        </w:numPr>
        <w:tabs>
          <w:tab w:val="clear" w:pos="1152"/>
        </w:tabs>
        <w:spacing w:after="60"/>
        <w:ind w:left="907" w:hanging="331"/>
        <w:rPr>
          <w:rFonts w:ascii="Times New Roman" w:hAnsi="Times New Roman"/>
          <w:sz w:val="22"/>
          <w:szCs w:val="22"/>
        </w:rPr>
      </w:pPr>
      <w:r w:rsidRPr="00545D17">
        <w:rPr>
          <w:rFonts w:ascii="Times New Roman" w:hAnsi="Times New Roman"/>
          <w:sz w:val="22"/>
          <w:szCs w:val="22"/>
        </w:rPr>
        <w:t>Train experienced</w:t>
      </w:r>
      <w:r w:rsidR="002E026A" w:rsidRPr="00545D17">
        <w:rPr>
          <w:rFonts w:ascii="Times New Roman" w:hAnsi="Times New Roman"/>
          <w:sz w:val="22"/>
          <w:szCs w:val="22"/>
        </w:rPr>
        <w:t xml:space="preserve"> </w:t>
      </w:r>
      <w:r w:rsidR="0069339D" w:rsidRPr="00545D17">
        <w:rPr>
          <w:rFonts w:ascii="Times New Roman" w:hAnsi="Times New Roman"/>
          <w:sz w:val="22"/>
          <w:szCs w:val="22"/>
        </w:rPr>
        <w:t>NAEP State Coordinators</w:t>
      </w:r>
      <w:r w:rsidR="002E026A" w:rsidRPr="00545D17">
        <w:rPr>
          <w:rFonts w:ascii="Times New Roman" w:hAnsi="Times New Roman"/>
          <w:sz w:val="22"/>
          <w:szCs w:val="22"/>
        </w:rPr>
        <w:t xml:space="preserve"> about TIMSS;</w:t>
      </w:r>
    </w:p>
    <w:p w14:paraId="24CB69BA" w14:textId="77777777" w:rsidR="00A22E18" w:rsidRPr="00545D17" w:rsidRDefault="00A22E18" w:rsidP="00646D19">
      <w:pPr>
        <w:pStyle w:val="N1-1stBullet"/>
        <w:widowControl w:val="0"/>
        <w:numPr>
          <w:ilvl w:val="0"/>
          <w:numId w:val="7"/>
        </w:numPr>
        <w:tabs>
          <w:tab w:val="clear" w:pos="1152"/>
        </w:tabs>
        <w:spacing w:after="60"/>
        <w:ind w:left="907" w:hanging="331"/>
        <w:rPr>
          <w:rFonts w:ascii="Times New Roman" w:hAnsi="Times New Roman"/>
          <w:sz w:val="22"/>
          <w:szCs w:val="22"/>
        </w:rPr>
      </w:pPr>
      <w:r w:rsidRPr="00545D17">
        <w:rPr>
          <w:rFonts w:ascii="Times New Roman" w:hAnsi="Times New Roman"/>
          <w:sz w:val="22"/>
          <w:szCs w:val="22"/>
        </w:rPr>
        <w:t>Implement strategies from NAEP’s Private School Recruiting Toolkit. This toolkit, developed for NAEP, includes well-honed techniques used to recruit a very challenging type of school</w:t>
      </w:r>
      <w:r w:rsidR="002E026A" w:rsidRPr="00545D17">
        <w:rPr>
          <w:rFonts w:ascii="Times New Roman" w:hAnsi="Times New Roman"/>
          <w:sz w:val="22"/>
          <w:szCs w:val="22"/>
        </w:rPr>
        <w:t>s</w:t>
      </w:r>
      <w:r w:rsidRPr="00545D17">
        <w:rPr>
          <w:rFonts w:ascii="Times New Roman" w:hAnsi="Times New Roman"/>
          <w:sz w:val="22"/>
          <w:szCs w:val="22"/>
        </w:rPr>
        <w:t>;</w:t>
      </w:r>
    </w:p>
    <w:p w14:paraId="2AA3D605" w14:textId="77777777" w:rsidR="00A22E18" w:rsidRPr="00545D17" w:rsidRDefault="00A22E18" w:rsidP="00646D19">
      <w:pPr>
        <w:pStyle w:val="N1-1stBullet"/>
        <w:widowControl w:val="0"/>
        <w:numPr>
          <w:ilvl w:val="0"/>
          <w:numId w:val="7"/>
        </w:numPr>
        <w:tabs>
          <w:tab w:val="clear" w:pos="1152"/>
        </w:tabs>
        <w:spacing w:after="60"/>
        <w:ind w:left="907" w:hanging="331"/>
        <w:rPr>
          <w:rFonts w:ascii="Times New Roman" w:hAnsi="Times New Roman"/>
          <w:sz w:val="22"/>
          <w:szCs w:val="22"/>
        </w:rPr>
      </w:pPr>
      <w:r w:rsidRPr="00545D17">
        <w:rPr>
          <w:rFonts w:ascii="Times New Roman" w:hAnsi="Times New Roman"/>
          <w:sz w:val="22"/>
          <w:szCs w:val="22"/>
        </w:rPr>
        <w:t>Follow</w:t>
      </w:r>
      <w:r w:rsidR="00F41662" w:rsidRPr="00545D17">
        <w:rPr>
          <w:rFonts w:ascii="Times New Roman" w:hAnsi="Times New Roman"/>
          <w:sz w:val="22"/>
          <w:szCs w:val="22"/>
        </w:rPr>
        <w:t>-</w:t>
      </w:r>
      <w:r w:rsidRPr="00545D17">
        <w:rPr>
          <w:rFonts w:ascii="Times New Roman" w:hAnsi="Times New Roman"/>
          <w:sz w:val="22"/>
          <w:szCs w:val="22"/>
        </w:rPr>
        <w:t>up mailings with telephone calls to explain the study and schools involvement, including placing the TIMSS assessment date on school calendars;</w:t>
      </w:r>
    </w:p>
    <w:p w14:paraId="5931638C" w14:textId="77777777" w:rsidR="00646D19" w:rsidRDefault="00A22E18" w:rsidP="00646D19">
      <w:pPr>
        <w:pStyle w:val="N1-1stBullet"/>
        <w:widowControl w:val="0"/>
        <w:numPr>
          <w:ilvl w:val="0"/>
          <w:numId w:val="7"/>
        </w:numPr>
        <w:tabs>
          <w:tab w:val="clear" w:pos="1152"/>
        </w:tabs>
        <w:spacing w:after="60"/>
        <w:ind w:left="907" w:hanging="331"/>
        <w:rPr>
          <w:rFonts w:ascii="Times New Roman" w:hAnsi="Times New Roman"/>
          <w:sz w:val="22"/>
          <w:szCs w:val="22"/>
        </w:rPr>
      </w:pPr>
      <w:r w:rsidRPr="00545D17">
        <w:rPr>
          <w:rFonts w:ascii="Times New Roman" w:hAnsi="Times New Roman"/>
          <w:sz w:val="22"/>
          <w:szCs w:val="22"/>
        </w:rPr>
        <w:t>Maintain continued contact until schools have built a relationship with the recruiter and fully understand TIMSS;</w:t>
      </w:r>
    </w:p>
    <w:p w14:paraId="0A3A5E91" w14:textId="287CDCDA" w:rsidR="00A22E18" w:rsidRPr="00545D17" w:rsidRDefault="00CD15EC" w:rsidP="00646D19">
      <w:pPr>
        <w:pStyle w:val="N1-1stBullet"/>
        <w:widowControl w:val="0"/>
        <w:numPr>
          <w:ilvl w:val="0"/>
          <w:numId w:val="7"/>
        </w:numPr>
        <w:tabs>
          <w:tab w:val="clear" w:pos="1152"/>
        </w:tabs>
        <w:spacing w:after="60"/>
        <w:ind w:left="907" w:hanging="331"/>
        <w:rPr>
          <w:rFonts w:ascii="Times New Roman" w:hAnsi="Times New Roman"/>
          <w:sz w:val="22"/>
          <w:szCs w:val="22"/>
        </w:rPr>
      </w:pPr>
      <w:r w:rsidRPr="00545D17">
        <w:rPr>
          <w:rFonts w:ascii="Times New Roman" w:hAnsi="Times New Roman"/>
          <w:sz w:val="22"/>
          <w:szCs w:val="22"/>
        </w:rPr>
        <w:t xml:space="preserve">Use second-tier school incentives of up to $800 for select schools; </w:t>
      </w:r>
      <w:r w:rsidR="00A22E18" w:rsidRPr="00545D17">
        <w:rPr>
          <w:rFonts w:ascii="Times New Roman" w:hAnsi="Times New Roman"/>
          <w:sz w:val="22"/>
          <w:szCs w:val="22"/>
        </w:rPr>
        <w:t>and</w:t>
      </w:r>
    </w:p>
    <w:p w14:paraId="7C4A84F0" w14:textId="77777777" w:rsidR="00F41662" w:rsidRPr="00545D17" w:rsidRDefault="00A22E18" w:rsidP="0070494E">
      <w:pPr>
        <w:pStyle w:val="N1-1stBullet"/>
        <w:widowControl w:val="0"/>
        <w:numPr>
          <w:ilvl w:val="0"/>
          <w:numId w:val="7"/>
        </w:numPr>
        <w:tabs>
          <w:tab w:val="clear" w:pos="1152"/>
        </w:tabs>
        <w:spacing w:after="120"/>
        <w:ind w:left="907" w:hanging="331"/>
        <w:rPr>
          <w:b/>
        </w:rPr>
      </w:pPr>
      <w:r w:rsidRPr="00545D17">
        <w:rPr>
          <w:rFonts w:ascii="Times New Roman" w:hAnsi="Times New Roman"/>
          <w:sz w:val="22"/>
          <w:szCs w:val="22"/>
        </w:rPr>
        <w:t>Make in-person visits</w:t>
      </w:r>
      <w:r w:rsidR="002E026A" w:rsidRPr="00545D17">
        <w:rPr>
          <w:rFonts w:ascii="Times New Roman" w:hAnsi="Times New Roman"/>
          <w:sz w:val="22"/>
          <w:szCs w:val="22"/>
        </w:rPr>
        <w:t xml:space="preserve"> to some schools</w:t>
      </w:r>
      <w:r w:rsidR="00981B35" w:rsidRPr="00545D17">
        <w:rPr>
          <w:rFonts w:ascii="Times New Roman" w:hAnsi="Times New Roman"/>
          <w:sz w:val="22"/>
          <w:szCs w:val="22"/>
        </w:rPr>
        <w:t>,</w:t>
      </w:r>
      <w:r w:rsidRPr="00545D17">
        <w:rPr>
          <w:rFonts w:ascii="Times New Roman" w:hAnsi="Times New Roman"/>
          <w:sz w:val="22"/>
          <w:szCs w:val="22"/>
        </w:rPr>
        <w:t xml:space="preserve"> as </w:t>
      </w:r>
      <w:r w:rsidR="00981B35" w:rsidRPr="00545D17">
        <w:rPr>
          <w:rFonts w:ascii="Times New Roman" w:hAnsi="Times New Roman"/>
          <w:sz w:val="22"/>
          <w:szCs w:val="22"/>
        </w:rPr>
        <w:t>necessary</w:t>
      </w:r>
      <w:r w:rsidRPr="00545D17">
        <w:rPr>
          <w:rFonts w:ascii="Times New Roman" w:hAnsi="Times New Roman"/>
          <w:sz w:val="22"/>
          <w:szCs w:val="22"/>
        </w:rPr>
        <w:t>.</w:t>
      </w:r>
      <w:bookmarkStart w:id="6" w:name="_Toc119829983"/>
    </w:p>
    <w:p w14:paraId="5606B2C4" w14:textId="4DF69A6C" w:rsidR="00ED77A1" w:rsidRPr="00545D17" w:rsidRDefault="00AA5BB5" w:rsidP="0070494E">
      <w:pPr>
        <w:pStyle w:val="Heading8"/>
        <w:keepNext w:val="0"/>
        <w:widowControl w:val="0"/>
        <w:spacing w:after="120" w:line="240" w:lineRule="atLeast"/>
        <w:jc w:val="left"/>
      </w:pPr>
      <w:r w:rsidRPr="00545D17">
        <w:t>B.4</w:t>
      </w:r>
      <w:r w:rsidRPr="00545D17">
        <w:tab/>
      </w:r>
      <w:bookmarkEnd w:id="6"/>
      <w:r w:rsidR="00ED77A1" w:rsidRPr="00545D17">
        <w:t xml:space="preserve">Purpose of </w:t>
      </w:r>
      <w:r w:rsidR="001425A6" w:rsidRPr="00545D17">
        <w:t>Pilot</w:t>
      </w:r>
      <w:r w:rsidR="0071651D" w:rsidRPr="00545D17">
        <w:t>,</w:t>
      </w:r>
      <w:r w:rsidR="0038307B" w:rsidRPr="00545D17">
        <w:t xml:space="preserve"> </w:t>
      </w:r>
      <w:r w:rsidR="00C563F1" w:rsidRPr="00545D17">
        <w:t>Field Test</w:t>
      </w:r>
      <w:r w:rsidR="0071651D" w:rsidRPr="00545D17">
        <w:t>, Pre-Testing</w:t>
      </w:r>
      <w:r w:rsidR="00C563F1" w:rsidRPr="00545D17">
        <w:t xml:space="preserve"> </w:t>
      </w:r>
      <w:r w:rsidR="00ED77A1" w:rsidRPr="00545D17">
        <w:t>and Data Uses</w:t>
      </w:r>
    </w:p>
    <w:p w14:paraId="574E7D9F" w14:textId="2EAB081A" w:rsidR="00646D19" w:rsidRDefault="00AA0EF2" w:rsidP="0070494E">
      <w:pPr>
        <w:pStyle w:val="P1-StandPara"/>
        <w:widowControl w:val="0"/>
        <w:spacing w:after="120" w:line="240" w:lineRule="atLeast"/>
        <w:ind w:firstLine="0"/>
        <w:jc w:val="left"/>
      </w:pPr>
      <w:r w:rsidRPr="00545D17">
        <w:t>The U.S. participated in eTIMSS pilot in spring 2017 to</w:t>
      </w:r>
      <w:r w:rsidR="00AA5BB5" w:rsidRPr="00545D17">
        <w:t xml:space="preserve"> </w:t>
      </w:r>
      <w:r w:rsidR="00AA101D" w:rsidRPr="00545D17">
        <w:t xml:space="preserve">test out </w:t>
      </w:r>
      <w:r w:rsidR="001425A6" w:rsidRPr="00545D17">
        <w:t xml:space="preserve">items that </w:t>
      </w:r>
      <w:r w:rsidRPr="00545D17">
        <w:t>were</w:t>
      </w:r>
      <w:r w:rsidR="001425A6" w:rsidRPr="00545D17">
        <w:t xml:space="preserve"> transferred from paper to digital format, assess the performance of new items developed to take advantage of technology, and evaluate the mode effect of transitioning from paper to digital format.</w:t>
      </w:r>
    </w:p>
    <w:p w14:paraId="07EE9587" w14:textId="3601DDCB" w:rsidR="00AA0EF2" w:rsidRPr="00545D17" w:rsidRDefault="00C563F1" w:rsidP="0070494E">
      <w:pPr>
        <w:pStyle w:val="P1-StandPara"/>
        <w:widowControl w:val="0"/>
        <w:spacing w:after="120" w:line="240" w:lineRule="atLeast"/>
        <w:ind w:firstLine="0"/>
        <w:jc w:val="left"/>
      </w:pPr>
      <w:r w:rsidRPr="00545D17">
        <w:t xml:space="preserve">The </w:t>
      </w:r>
      <w:r w:rsidR="00AA0EF2" w:rsidRPr="00545D17">
        <w:t>TIMSS</w:t>
      </w:r>
      <w:r w:rsidRPr="00545D17">
        <w:t xml:space="preserve"> field test </w:t>
      </w:r>
      <w:r w:rsidR="00AA0EF2" w:rsidRPr="00545D17">
        <w:t xml:space="preserve">was conducted in spring 2018 across most participating education systems </w:t>
      </w:r>
      <w:r w:rsidRPr="00545D17">
        <w:t>to evaluate sampling and data collection procedures, new and legacy TIMSS items in the eTIMSS electronic platform, and student, teacher, and school questionnaires</w:t>
      </w:r>
      <w:r w:rsidR="00486787" w:rsidRPr="00545D17">
        <w:t xml:space="preserve"> in preparation for the main study in 2019</w:t>
      </w:r>
      <w:r w:rsidR="00F41662" w:rsidRPr="00545D17">
        <w:t>.</w:t>
      </w:r>
      <w:r w:rsidR="00646D19">
        <w:t xml:space="preserve"> </w:t>
      </w:r>
      <w:r w:rsidR="00AA0EF2" w:rsidRPr="00545D17">
        <w:t>In the U.S.</w:t>
      </w:r>
      <w:r w:rsidR="00C468A3" w:rsidRPr="00545D17">
        <w:t xml:space="preserve">, 35 schools at grade 4 and 34 schools at grade 8 participated in the field test, including approximately 1,500 fourth-graders, 1,400 </w:t>
      </w:r>
      <w:r w:rsidR="00AA0EF2" w:rsidRPr="00545D17">
        <w:t xml:space="preserve">eighth-graders, and </w:t>
      </w:r>
      <w:r w:rsidR="00C468A3" w:rsidRPr="00545D17">
        <w:t>200</w:t>
      </w:r>
      <w:r w:rsidR="00AA0EF2" w:rsidRPr="00545D17">
        <w:t xml:space="preserve"> teachers.</w:t>
      </w:r>
      <w:r w:rsidR="00646D19">
        <w:t xml:space="preserve"> </w:t>
      </w:r>
      <w:r w:rsidR="00C468A3" w:rsidRPr="00545D17">
        <w:t xml:space="preserve">Gaining participation of schools continues to be a challenge, and we </w:t>
      </w:r>
      <w:r w:rsidR="005F3B1F">
        <w:t xml:space="preserve">will most likely need to </w:t>
      </w:r>
      <w:r w:rsidR="00C468A3" w:rsidRPr="00545D17">
        <w:t>implement</w:t>
      </w:r>
      <w:r w:rsidR="005F3B1F">
        <w:t xml:space="preserve"> the </w:t>
      </w:r>
      <w:r w:rsidR="00C468A3" w:rsidRPr="00545D17">
        <w:t xml:space="preserve">second-tier incentives </w:t>
      </w:r>
      <w:r w:rsidR="005F3B1F">
        <w:t xml:space="preserve">in the main study </w:t>
      </w:r>
      <w:r w:rsidR="00C468A3" w:rsidRPr="00545D17">
        <w:t xml:space="preserve">to </w:t>
      </w:r>
      <w:r w:rsidR="005F3B1F">
        <w:t xml:space="preserve">achieve sufficient </w:t>
      </w:r>
      <w:r w:rsidR="00C468A3" w:rsidRPr="00545D17">
        <w:t>participation.</w:t>
      </w:r>
      <w:r w:rsidR="00646D19">
        <w:t xml:space="preserve"> </w:t>
      </w:r>
      <w:r w:rsidR="00C468A3" w:rsidRPr="00545D17">
        <w:t xml:space="preserve">The assessment window for the main study is </w:t>
      </w:r>
      <w:r w:rsidR="0038307B" w:rsidRPr="00545D17">
        <w:t xml:space="preserve">a few weeks </w:t>
      </w:r>
      <w:r w:rsidR="00C468A3" w:rsidRPr="00545D17">
        <w:t>longer</w:t>
      </w:r>
      <w:r w:rsidR="00544091">
        <w:t xml:space="preserve"> than in the field test</w:t>
      </w:r>
      <w:r w:rsidR="00C468A3" w:rsidRPr="00545D17">
        <w:t>, allowing us to be more flexible in rescheduling schools as necessary to accommodate school conflicts.</w:t>
      </w:r>
    </w:p>
    <w:p w14:paraId="2AB4C7A1" w14:textId="2FD84CA9" w:rsidR="00646D19" w:rsidRDefault="00C468A3" w:rsidP="0070494E">
      <w:pPr>
        <w:pStyle w:val="P1-StandPara"/>
        <w:widowControl w:val="0"/>
        <w:spacing w:after="120" w:line="240" w:lineRule="atLeast"/>
        <w:ind w:firstLine="0"/>
        <w:jc w:val="left"/>
      </w:pPr>
      <w:r w:rsidRPr="00545D17">
        <w:t xml:space="preserve">In addition, during the field test we evaluated a new eTIMSS delivery system </w:t>
      </w:r>
      <w:r w:rsidR="00544091">
        <w:t xml:space="preserve">that </w:t>
      </w:r>
      <w:r w:rsidRPr="00545D17">
        <w:t>us</w:t>
      </w:r>
      <w:r w:rsidR="00544091">
        <w:t>es</w:t>
      </w:r>
      <w:r w:rsidRPr="00545D17">
        <w:t xml:space="preserve"> routers provided </w:t>
      </w:r>
      <w:r w:rsidR="00544091">
        <w:t xml:space="preserve">by us </w:t>
      </w:r>
      <w:r w:rsidRPr="00545D17">
        <w:t>that connected to each student tablet.</w:t>
      </w:r>
      <w:r w:rsidR="00646D19">
        <w:t xml:space="preserve"> </w:t>
      </w:r>
      <w:r w:rsidRPr="00545D17">
        <w:t>This method was successful and streamline</w:t>
      </w:r>
      <w:r w:rsidR="004435A0">
        <w:t>d</w:t>
      </w:r>
      <w:r w:rsidRPr="00545D17">
        <w:t xml:space="preserve"> the data collection and data upload process, </w:t>
      </w:r>
      <w:r w:rsidR="004435A0">
        <w:t>so</w:t>
      </w:r>
      <w:r w:rsidRPr="00545D17">
        <w:t xml:space="preserve"> we will use the router method again in the main study.</w:t>
      </w:r>
      <w:r w:rsidR="00646D19">
        <w:t xml:space="preserve"> </w:t>
      </w:r>
      <w:r w:rsidRPr="00545D17">
        <w:t xml:space="preserve">We were able to determine that data upload for </w:t>
      </w:r>
      <w:r w:rsidR="00EF719B" w:rsidRPr="00545D17">
        <w:t>teacher and school questionnaires</w:t>
      </w:r>
      <w:r w:rsidR="004435A0">
        <w:t xml:space="preserve"> and for </w:t>
      </w:r>
      <w:r w:rsidR="00EF719B" w:rsidRPr="00545D17">
        <w:t>student cognitive data</w:t>
      </w:r>
      <w:r w:rsidRPr="00545D17">
        <w:t xml:space="preserve"> was successful, with no </w:t>
      </w:r>
      <w:r w:rsidR="004435A0">
        <w:t xml:space="preserve">information </w:t>
      </w:r>
      <w:r w:rsidRPr="00545D17">
        <w:t>loss</w:t>
      </w:r>
      <w:r w:rsidR="004435A0">
        <w:t>es</w:t>
      </w:r>
      <w:r w:rsidRPr="00545D17">
        <w:t>.</w:t>
      </w:r>
      <w:r w:rsidR="00646D19">
        <w:t xml:space="preserve"> </w:t>
      </w:r>
      <w:r w:rsidRPr="00545D17">
        <w:t>Pearson, under subcontract to Westat, was also able to score open-ended questions using the international scoring system which was new in the field test, and will be used again</w:t>
      </w:r>
      <w:r w:rsidR="00EF719B" w:rsidRPr="00545D17">
        <w:t xml:space="preserve"> in the main study.</w:t>
      </w:r>
    </w:p>
    <w:p w14:paraId="60EAA811" w14:textId="107D6FA2" w:rsidR="00EF719B" w:rsidRPr="00545D17" w:rsidRDefault="00EF719B" w:rsidP="0070494E">
      <w:pPr>
        <w:pStyle w:val="P1-StandPara"/>
        <w:widowControl w:val="0"/>
        <w:spacing w:after="120" w:line="240" w:lineRule="atLeast"/>
        <w:ind w:firstLine="0"/>
        <w:jc w:val="left"/>
      </w:pPr>
      <w:r w:rsidRPr="00545D17">
        <w:t xml:space="preserve">Because there continues to be updates and revisions to the eTIMSS assessment platform, </w:t>
      </w:r>
      <w:r w:rsidR="00CC3F59" w:rsidRPr="00545D17">
        <w:t xml:space="preserve">in addition to fully testing </w:t>
      </w:r>
      <w:r w:rsidR="00CC3F59">
        <w:t xml:space="preserve">it </w:t>
      </w:r>
      <w:r w:rsidR="00CC3F59" w:rsidRPr="00545D17">
        <w:t>internally, prior to the main study</w:t>
      </w:r>
      <w:r w:rsidR="00CC3F59">
        <w:t>,</w:t>
      </w:r>
      <w:r w:rsidR="00CC3F59" w:rsidRPr="00545D17">
        <w:t xml:space="preserve"> </w:t>
      </w:r>
      <w:r w:rsidRPr="00545D17">
        <w:t xml:space="preserve">we will conduct pre-testing sessions </w:t>
      </w:r>
      <w:r w:rsidR="00CC3F59">
        <w:t>between</w:t>
      </w:r>
      <w:r w:rsidRPr="00545D17">
        <w:t xml:space="preserve"> late December 2018 </w:t>
      </w:r>
      <w:r w:rsidR="00CC3F59">
        <w:t>and</w:t>
      </w:r>
      <w:r w:rsidRPr="00545D17">
        <w:t xml:space="preserve"> early January 2019 with fourth and eighth-graders (OMB# 1850-0803 v. 238).</w:t>
      </w:r>
    </w:p>
    <w:p w14:paraId="253E8120" w14:textId="77777777" w:rsidR="00AA5BB5" w:rsidRPr="00545D17" w:rsidRDefault="00AA5BB5" w:rsidP="0070494E">
      <w:pPr>
        <w:pStyle w:val="Heading8"/>
        <w:keepNext w:val="0"/>
        <w:widowControl w:val="0"/>
        <w:spacing w:after="120" w:line="240" w:lineRule="atLeast"/>
        <w:jc w:val="left"/>
      </w:pPr>
      <w:bookmarkStart w:id="7" w:name="_Toc119829984"/>
      <w:r w:rsidRPr="00545D17">
        <w:t>B.5</w:t>
      </w:r>
      <w:r w:rsidRPr="00545D17">
        <w:tab/>
        <w:t xml:space="preserve">Individuals Consulted on </w:t>
      </w:r>
      <w:r w:rsidR="00ED77A1" w:rsidRPr="00545D17">
        <w:t>Study</w:t>
      </w:r>
      <w:r w:rsidRPr="00545D17">
        <w:t xml:space="preserve"> Design</w:t>
      </w:r>
      <w:bookmarkEnd w:id="7"/>
    </w:p>
    <w:p w14:paraId="69EC6025" w14:textId="117D3476" w:rsidR="001A7635" w:rsidRPr="00545D17" w:rsidRDefault="001A7635" w:rsidP="0070494E">
      <w:pPr>
        <w:pStyle w:val="N2-2ndBullet"/>
        <w:widowControl w:val="0"/>
        <w:tabs>
          <w:tab w:val="clear" w:pos="720"/>
        </w:tabs>
        <w:spacing w:after="120"/>
        <w:ind w:left="0" w:firstLine="0"/>
        <w:jc w:val="left"/>
      </w:pPr>
      <w:r w:rsidRPr="00545D17">
        <w:t xml:space="preserve">Overall direction for TIMSS is provided by </w:t>
      </w:r>
      <w:r w:rsidR="00AA0EF2" w:rsidRPr="00545D17">
        <w:t>Lydia Malley</w:t>
      </w:r>
      <w:r w:rsidRPr="00545D17">
        <w:t>, National Research Coordinator, National Center for Education Statistics</w:t>
      </w:r>
      <w:r w:rsidR="008925E5" w:rsidRPr="00545D17">
        <w:t xml:space="preserve"> (NCES)</w:t>
      </w:r>
      <w:r w:rsidRPr="00545D17">
        <w:t>, U.S. Department of Education</w:t>
      </w:r>
      <w:r w:rsidR="008925E5" w:rsidRPr="00545D17">
        <w:t>, in consultation with a number of NCES statistical staff.</w:t>
      </w:r>
    </w:p>
    <w:p w14:paraId="2C315C23" w14:textId="77777777" w:rsidR="00AA5BB5" w:rsidRPr="00545D17" w:rsidRDefault="00AA5BB5" w:rsidP="00AE008F">
      <w:pPr>
        <w:pStyle w:val="P1-StandPara"/>
        <w:widowControl w:val="0"/>
        <w:spacing w:after="20" w:line="240" w:lineRule="atLeast"/>
        <w:ind w:firstLine="0"/>
        <w:jc w:val="left"/>
      </w:pPr>
      <w:r w:rsidRPr="00545D17">
        <w:t>The following persons are responsible for the statistical design of TIMSS:</w:t>
      </w:r>
    </w:p>
    <w:p w14:paraId="7CA86561" w14:textId="77777777" w:rsidR="00AA5BB5" w:rsidRPr="00545D17" w:rsidRDefault="009566D5" w:rsidP="00AE008F">
      <w:pPr>
        <w:pStyle w:val="N2-2ndBullet"/>
        <w:widowControl w:val="0"/>
        <w:numPr>
          <w:ilvl w:val="0"/>
          <w:numId w:val="1"/>
        </w:numPr>
        <w:tabs>
          <w:tab w:val="num" w:pos="-72"/>
        </w:tabs>
        <w:spacing w:after="20"/>
        <w:ind w:left="1008" w:hanging="288"/>
        <w:jc w:val="left"/>
      </w:pPr>
      <w:r w:rsidRPr="00545D17">
        <w:t>Pierre Foy</w:t>
      </w:r>
      <w:r w:rsidR="00ED77A1" w:rsidRPr="00545D17">
        <w:t xml:space="preserve">. </w:t>
      </w:r>
      <w:r w:rsidR="00AA5BB5" w:rsidRPr="00545D17">
        <w:t>TIMSS International Study Center, Boston College (617-552-6253)</w:t>
      </w:r>
      <w:r w:rsidR="00BF43F9" w:rsidRPr="00545D17">
        <w:t>; and</w:t>
      </w:r>
    </w:p>
    <w:p w14:paraId="6346430E" w14:textId="77777777" w:rsidR="00AA5BB5" w:rsidRPr="00545D17" w:rsidRDefault="007427FD" w:rsidP="00AE008F">
      <w:pPr>
        <w:pStyle w:val="N2-2ndBullet"/>
        <w:widowControl w:val="0"/>
        <w:numPr>
          <w:ilvl w:val="0"/>
          <w:numId w:val="1"/>
        </w:numPr>
        <w:tabs>
          <w:tab w:val="num" w:pos="-72"/>
        </w:tabs>
        <w:spacing w:after="20"/>
        <w:ind w:left="1008" w:hanging="288"/>
        <w:jc w:val="left"/>
      </w:pPr>
      <w:r w:rsidRPr="00545D17">
        <w:t>Sylvie LaRoche</w:t>
      </w:r>
      <w:r w:rsidR="009566D5" w:rsidRPr="00545D17">
        <w:t xml:space="preserve">, </w:t>
      </w:r>
      <w:r w:rsidR="00ED77A1" w:rsidRPr="00545D17">
        <w:t>Statistics Canada (613-</w:t>
      </w:r>
      <w:r w:rsidRPr="00545D17">
        <w:t>863</w:t>
      </w:r>
      <w:r w:rsidR="00ED77A1" w:rsidRPr="00545D17">
        <w:t>-</w:t>
      </w:r>
      <w:r w:rsidRPr="00545D17">
        <w:t>9480</w:t>
      </w:r>
      <w:r w:rsidR="00ED77A1" w:rsidRPr="00545D17">
        <w:t>)</w:t>
      </w:r>
      <w:r w:rsidR="00BF43F9" w:rsidRPr="00545D17">
        <w:t>.</w:t>
      </w:r>
    </w:p>
    <w:p w14:paraId="19876401" w14:textId="77777777" w:rsidR="00AA5BB5" w:rsidRPr="00545D17" w:rsidRDefault="00AA5BB5" w:rsidP="00AE008F">
      <w:pPr>
        <w:pStyle w:val="P1-StandPara"/>
        <w:widowControl w:val="0"/>
        <w:spacing w:after="20" w:line="240" w:lineRule="atLeast"/>
        <w:ind w:firstLine="0"/>
        <w:jc w:val="left"/>
      </w:pPr>
      <w:r w:rsidRPr="00545D17">
        <w:t>Westat is the contractor responsible for sampling and data analysis:</w:t>
      </w:r>
    </w:p>
    <w:p w14:paraId="7A142DC3" w14:textId="77777777" w:rsidR="00AA5BB5" w:rsidRPr="00545D17" w:rsidRDefault="00783519" w:rsidP="00AE008F">
      <w:pPr>
        <w:pStyle w:val="N2-2ndBullet"/>
        <w:widowControl w:val="0"/>
        <w:numPr>
          <w:ilvl w:val="0"/>
          <w:numId w:val="1"/>
        </w:numPr>
        <w:tabs>
          <w:tab w:val="num" w:pos="-72"/>
        </w:tabs>
        <w:spacing w:after="20"/>
        <w:ind w:left="1008" w:hanging="288"/>
        <w:jc w:val="left"/>
      </w:pPr>
      <w:r w:rsidRPr="00545D17">
        <w:t>Chris Averett</w:t>
      </w:r>
      <w:r w:rsidR="00AA5BB5" w:rsidRPr="00545D17">
        <w:t>, Pr</w:t>
      </w:r>
      <w:r w:rsidRPr="00545D17">
        <w:t>oject Director, Westat (301-314-2492</w:t>
      </w:r>
      <w:r w:rsidR="00AA5BB5" w:rsidRPr="00545D17">
        <w:t>)</w:t>
      </w:r>
      <w:r w:rsidR="00BF43F9" w:rsidRPr="00545D17">
        <w:t>; and</w:t>
      </w:r>
    </w:p>
    <w:p w14:paraId="732C82E7" w14:textId="77777777" w:rsidR="00AA5BB5" w:rsidRPr="00545D17" w:rsidRDefault="00AA5BB5" w:rsidP="00AE008F">
      <w:pPr>
        <w:pStyle w:val="N2-2ndBullet"/>
        <w:widowControl w:val="0"/>
        <w:numPr>
          <w:ilvl w:val="0"/>
          <w:numId w:val="1"/>
        </w:numPr>
        <w:tabs>
          <w:tab w:val="num" w:pos="-72"/>
        </w:tabs>
        <w:spacing w:after="20"/>
        <w:ind w:left="1008" w:hanging="288"/>
        <w:jc w:val="left"/>
      </w:pPr>
      <w:r w:rsidRPr="00545D17">
        <w:t>David Ferraro, Senior Statistician, Westat (301-251-4261)</w:t>
      </w:r>
      <w:r w:rsidR="00BF43F9" w:rsidRPr="00545D17">
        <w:t>.</w:t>
      </w:r>
    </w:p>
    <w:p w14:paraId="0DA6DBDF" w14:textId="77777777" w:rsidR="00AA5BB5" w:rsidRPr="00545D17" w:rsidRDefault="00AA5BB5" w:rsidP="00AE008F">
      <w:pPr>
        <w:pStyle w:val="P1-StandPara"/>
        <w:widowControl w:val="0"/>
        <w:spacing w:after="20" w:line="240" w:lineRule="atLeast"/>
        <w:ind w:firstLine="0"/>
        <w:jc w:val="left"/>
      </w:pPr>
      <w:r w:rsidRPr="00545D17">
        <w:t>Analysis and reporting will be performed by:</w:t>
      </w:r>
    </w:p>
    <w:p w14:paraId="554DA88B" w14:textId="77777777" w:rsidR="00DF2B36" w:rsidRPr="00545D17" w:rsidRDefault="00DF2B36" w:rsidP="00AE008F">
      <w:pPr>
        <w:pStyle w:val="N2-2ndBullet"/>
        <w:widowControl w:val="0"/>
        <w:numPr>
          <w:ilvl w:val="0"/>
          <w:numId w:val="1"/>
        </w:numPr>
        <w:tabs>
          <w:tab w:val="num" w:pos="-72"/>
        </w:tabs>
        <w:spacing w:after="20"/>
        <w:ind w:left="1008" w:hanging="288"/>
        <w:jc w:val="left"/>
      </w:pPr>
      <w:r w:rsidRPr="00545D17">
        <w:t>National Center for Education Statistics, U.S. Department of Education;</w:t>
      </w:r>
    </w:p>
    <w:p w14:paraId="1F47AE9F" w14:textId="77777777" w:rsidR="00AA0EF2" w:rsidRPr="00545D17" w:rsidRDefault="00AA5BB5" w:rsidP="00AE008F">
      <w:pPr>
        <w:pStyle w:val="N2-2ndBullet"/>
        <w:widowControl w:val="0"/>
        <w:numPr>
          <w:ilvl w:val="0"/>
          <w:numId w:val="1"/>
        </w:numPr>
        <w:tabs>
          <w:tab w:val="num" w:pos="-72"/>
        </w:tabs>
        <w:spacing w:after="20"/>
        <w:ind w:left="1008" w:hanging="288"/>
        <w:jc w:val="left"/>
      </w:pPr>
      <w:r w:rsidRPr="00545D17">
        <w:t>TIMSS International Study Center, Boston College</w:t>
      </w:r>
    </w:p>
    <w:p w14:paraId="1C02C03D" w14:textId="77777777" w:rsidR="00AA5BB5" w:rsidRPr="00545D17" w:rsidRDefault="00AA0EF2" w:rsidP="00AE008F">
      <w:pPr>
        <w:pStyle w:val="N2-2ndBullet"/>
        <w:widowControl w:val="0"/>
        <w:numPr>
          <w:ilvl w:val="0"/>
          <w:numId w:val="1"/>
        </w:numPr>
        <w:tabs>
          <w:tab w:val="num" w:pos="-72"/>
        </w:tabs>
        <w:spacing w:after="20"/>
        <w:ind w:left="1008" w:hanging="288"/>
        <w:jc w:val="left"/>
      </w:pPr>
      <w:r w:rsidRPr="00545D17">
        <w:t>Westat</w:t>
      </w:r>
      <w:r w:rsidR="00BF43F9" w:rsidRPr="00545D17">
        <w:t>;</w:t>
      </w:r>
      <w:r w:rsidR="00DF2B36" w:rsidRPr="00545D17">
        <w:t xml:space="preserve"> and</w:t>
      </w:r>
    </w:p>
    <w:p w14:paraId="309599A9" w14:textId="77777777" w:rsidR="00DF2B36" w:rsidRPr="00545D17" w:rsidRDefault="009566D5" w:rsidP="00AE008F">
      <w:pPr>
        <w:pStyle w:val="N2-2ndBullet"/>
        <w:widowControl w:val="0"/>
        <w:numPr>
          <w:ilvl w:val="0"/>
          <w:numId w:val="1"/>
        </w:numPr>
        <w:tabs>
          <w:tab w:val="num" w:pos="-72"/>
        </w:tabs>
        <w:spacing w:after="0"/>
        <w:ind w:left="1008" w:hanging="288"/>
        <w:jc w:val="left"/>
      </w:pPr>
      <w:r w:rsidRPr="00545D17">
        <w:t>American Institutes for Research, under contract to Westat</w:t>
      </w:r>
      <w:r w:rsidR="00DF2B36" w:rsidRPr="00545D17">
        <w:t>.</w:t>
      </w:r>
    </w:p>
    <w:sectPr w:rsidR="00DF2B36" w:rsidRPr="00545D17" w:rsidSect="00DB425C">
      <w:footerReference w:type="default" r:id="rId11"/>
      <w:footerReference w:type="first" r:id="rId12"/>
      <w:pgSz w:w="12240" w:h="15840" w:code="1"/>
      <w:pgMar w:top="864" w:right="864" w:bottom="720" w:left="864" w:header="432" w:footer="288"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461D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11681" w14:textId="77777777" w:rsidR="00E55147" w:rsidRDefault="00E55147" w:rsidP="00465DE7">
      <w:r>
        <w:separator/>
      </w:r>
    </w:p>
  </w:endnote>
  <w:endnote w:type="continuationSeparator" w:id="0">
    <w:p w14:paraId="26412EC0" w14:textId="77777777" w:rsidR="00E55147" w:rsidRDefault="00E55147" w:rsidP="0046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9E9F8" w14:textId="77777777" w:rsidR="00773BF8" w:rsidRDefault="00FB09D9">
    <w:pPr>
      <w:pStyle w:val="Footer"/>
      <w:framePr w:wrap="around" w:vAnchor="text" w:hAnchor="margin" w:xAlign="center" w:y="1"/>
      <w:rPr>
        <w:rStyle w:val="PageNumber"/>
        <w:sz w:val="24"/>
      </w:rPr>
    </w:pPr>
    <w:r>
      <w:rPr>
        <w:rStyle w:val="PageNumber"/>
      </w:rPr>
      <w:fldChar w:fldCharType="begin"/>
    </w:r>
    <w:r w:rsidR="00773BF8">
      <w:rPr>
        <w:rStyle w:val="PageNumber"/>
      </w:rPr>
      <w:instrText xml:space="preserve">PAGE  </w:instrText>
    </w:r>
    <w:r>
      <w:rPr>
        <w:rStyle w:val="PageNumber"/>
      </w:rPr>
      <w:fldChar w:fldCharType="end"/>
    </w:r>
  </w:p>
  <w:p w14:paraId="0C71AC3C" w14:textId="77777777" w:rsidR="00773BF8" w:rsidRDefault="00773B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70E96" w14:textId="77777777" w:rsidR="00773BF8" w:rsidRPr="00292C6F" w:rsidRDefault="00773BF8" w:rsidP="00292C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881464"/>
      <w:docPartObj>
        <w:docPartGallery w:val="Page Numbers (Bottom of Page)"/>
        <w:docPartUnique/>
      </w:docPartObj>
    </w:sdtPr>
    <w:sdtEndPr>
      <w:rPr>
        <w:noProof/>
      </w:rPr>
    </w:sdtEndPr>
    <w:sdtContent>
      <w:p w14:paraId="4C846CBE" w14:textId="77777777" w:rsidR="00773BF8" w:rsidRDefault="00B01586" w:rsidP="0054472A">
        <w:pPr>
          <w:pStyle w:val="Footer"/>
          <w:spacing w:line="240" w:lineRule="auto"/>
          <w:jc w:val="center"/>
        </w:pPr>
        <w:r>
          <w:fldChar w:fldCharType="begin"/>
        </w:r>
        <w:r>
          <w:instrText xml:space="preserve"> PAGE   \* MERGEFORMAT </w:instrText>
        </w:r>
        <w:r>
          <w:fldChar w:fldCharType="separate"/>
        </w:r>
        <w:r w:rsidR="00AE008F">
          <w:rPr>
            <w:noProof/>
          </w:rPr>
          <w:t>3</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49851"/>
      <w:docPartObj>
        <w:docPartGallery w:val="Page Numbers (Bottom of Page)"/>
        <w:docPartUnique/>
      </w:docPartObj>
    </w:sdtPr>
    <w:sdtEndPr>
      <w:rPr>
        <w:noProof/>
      </w:rPr>
    </w:sdtEndPr>
    <w:sdtContent>
      <w:p w14:paraId="09676B10" w14:textId="77777777" w:rsidR="00B01586" w:rsidRDefault="00B01586" w:rsidP="00F874E9">
        <w:pPr>
          <w:pStyle w:val="Footer"/>
          <w:jc w:val="center"/>
        </w:pPr>
        <w:r>
          <w:fldChar w:fldCharType="begin"/>
        </w:r>
        <w:r>
          <w:instrText xml:space="preserve"> PAGE   \* MERGEFORMAT </w:instrText>
        </w:r>
        <w:r>
          <w:fldChar w:fldCharType="separate"/>
        </w:r>
        <w:r w:rsidR="00AE008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0D56B" w14:textId="77777777" w:rsidR="00E55147" w:rsidRDefault="00E55147" w:rsidP="00465DE7">
      <w:r>
        <w:separator/>
      </w:r>
    </w:p>
  </w:footnote>
  <w:footnote w:type="continuationSeparator" w:id="0">
    <w:p w14:paraId="25A6750E" w14:textId="77777777" w:rsidR="00E55147" w:rsidRDefault="00E55147" w:rsidP="00465DE7">
      <w:r>
        <w:continuationSeparator/>
      </w:r>
    </w:p>
  </w:footnote>
  <w:footnote w:id="1">
    <w:p w14:paraId="501ED8E0" w14:textId="77777777" w:rsidR="005A46B4" w:rsidRPr="00821EB5" w:rsidRDefault="005A46B4" w:rsidP="005A46B4">
      <w:pPr>
        <w:autoSpaceDE w:val="0"/>
        <w:autoSpaceDN w:val="0"/>
        <w:adjustRightInd w:val="0"/>
        <w:rPr>
          <w:sz w:val="18"/>
          <w:szCs w:val="18"/>
        </w:rPr>
      </w:pPr>
      <w:r w:rsidRPr="00821EB5">
        <w:rPr>
          <w:rStyle w:val="FootnoteReference"/>
          <w:sz w:val="18"/>
          <w:szCs w:val="18"/>
        </w:rPr>
        <w:footnoteRef/>
      </w:r>
      <w:r w:rsidRPr="00821EB5">
        <w:rPr>
          <w:sz w:val="18"/>
          <w:szCs w:val="18"/>
        </w:rPr>
        <w:t xml:space="preserve"> </w:t>
      </w:r>
      <w:r w:rsidRPr="00821EB5">
        <w:rPr>
          <w:rFonts w:eastAsiaTheme="minorHAnsi"/>
          <w:sz w:val="18"/>
          <w:szCs w:val="18"/>
        </w:rPr>
        <w:t xml:space="preserve">Keyfitz, N. (1951). Sampling with Probabilities Proportional to Size: Adjustment for Changes in Probabilities. </w:t>
      </w:r>
      <w:r w:rsidRPr="00821EB5">
        <w:rPr>
          <w:rFonts w:eastAsiaTheme="minorHAnsi"/>
          <w:i/>
          <w:iCs/>
          <w:sz w:val="18"/>
          <w:szCs w:val="18"/>
        </w:rPr>
        <w:t>Journal of the American Statistical Association</w:t>
      </w:r>
      <w:r w:rsidRPr="00821EB5">
        <w:rPr>
          <w:rFonts w:eastAsiaTheme="minorHAnsi"/>
          <w:sz w:val="18"/>
          <w:szCs w:val="18"/>
        </w:rPr>
        <w:t>, 46, 105-109.</w:t>
      </w:r>
    </w:p>
  </w:footnote>
  <w:footnote w:id="2">
    <w:p w14:paraId="4A72E024" w14:textId="77777777" w:rsidR="005A46B4" w:rsidRPr="00821EB5" w:rsidRDefault="005A46B4" w:rsidP="005A46B4">
      <w:pPr>
        <w:pStyle w:val="FootnoteText"/>
        <w:rPr>
          <w:sz w:val="18"/>
          <w:szCs w:val="18"/>
        </w:rPr>
      </w:pPr>
      <w:r w:rsidRPr="00821EB5">
        <w:rPr>
          <w:rStyle w:val="FootnoteReference"/>
          <w:sz w:val="18"/>
          <w:szCs w:val="18"/>
        </w:rPr>
        <w:footnoteRef/>
      </w:r>
      <w:r w:rsidRPr="00821EB5">
        <w:rPr>
          <w:sz w:val="18"/>
          <w:szCs w:val="18"/>
        </w:rPr>
        <w:t xml:space="preserve"> Chowdhury, S., Chu, A., &amp; Kaufman, S. (2000). Minimizing overlap in NCES surveys. Proceedings of the Survey Methods Research Section, American Statistical Association, 174-179. Retrieved from </w:t>
      </w:r>
      <w:r w:rsidRPr="00821EB5">
        <w:rPr>
          <w:bCs/>
          <w:color w:val="0066FF"/>
          <w:sz w:val="18"/>
          <w:szCs w:val="18"/>
        </w:rPr>
        <w:t>http://www.amstat.org/sections/srms/ proceedings/papers/2000_025.pdf</w:t>
      </w:r>
      <w:r w:rsidRPr="00821EB5">
        <w:rPr>
          <w:bCs/>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375283"/>
    <w:multiLevelType w:val="hybridMultilevel"/>
    <w:tmpl w:val="5E30E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342BDC"/>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16F5E"/>
    <w:multiLevelType w:val="hybridMultilevel"/>
    <w:tmpl w:val="7E8A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FE7661"/>
    <w:multiLevelType w:val="hybridMultilevel"/>
    <w:tmpl w:val="AE940552"/>
    <w:lvl w:ilvl="0" w:tplc="E25444AA">
      <w:start w:val="2"/>
      <w:numFmt w:val="upperLetter"/>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60CA5F9A"/>
    <w:multiLevelType w:val="hybridMultilevel"/>
    <w:tmpl w:val="B938242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891FFC"/>
    <w:multiLevelType w:val="hybridMultilevel"/>
    <w:tmpl w:val="7D14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7A34E8"/>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2"/>
  </w:num>
  <w:num w:numId="5">
    <w:abstractNumId w:val="8"/>
  </w:num>
  <w:num w:numId="6">
    <w:abstractNumId w:val="1"/>
  </w:num>
  <w:num w:numId="7">
    <w:abstractNumId w:val="6"/>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Averett">
    <w15:presenceInfo w15:providerId="AD" w15:userId="S-1-5-21-2083667071-1112689225-1550850067-9540"/>
  </w15:person>
  <w15:person w15:author="David Ferraro">
    <w15:presenceInfo w15:providerId="None" w15:userId="David Ferr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B5"/>
    <w:rsid w:val="00004A66"/>
    <w:rsid w:val="0001363F"/>
    <w:rsid w:val="0001678B"/>
    <w:rsid w:val="000603AF"/>
    <w:rsid w:val="00070D23"/>
    <w:rsid w:val="00084A9D"/>
    <w:rsid w:val="000918E6"/>
    <w:rsid w:val="0009736B"/>
    <w:rsid w:val="000C2ED3"/>
    <w:rsid w:val="000D2917"/>
    <w:rsid w:val="000E231C"/>
    <w:rsid w:val="000E2BE6"/>
    <w:rsid w:val="000E4B9E"/>
    <w:rsid w:val="000F3C1F"/>
    <w:rsid w:val="000F4FAB"/>
    <w:rsid w:val="00107E00"/>
    <w:rsid w:val="00111908"/>
    <w:rsid w:val="00112158"/>
    <w:rsid w:val="00116E46"/>
    <w:rsid w:val="0012695F"/>
    <w:rsid w:val="00127CF3"/>
    <w:rsid w:val="00140004"/>
    <w:rsid w:val="001425A6"/>
    <w:rsid w:val="001428BA"/>
    <w:rsid w:val="00166FB1"/>
    <w:rsid w:val="00183A74"/>
    <w:rsid w:val="00190F9E"/>
    <w:rsid w:val="001A259F"/>
    <w:rsid w:val="001A5204"/>
    <w:rsid w:val="001A55D4"/>
    <w:rsid w:val="001A7635"/>
    <w:rsid w:val="001B0D41"/>
    <w:rsid w:val="001C1559"/>
    <w:rsid w:val="001C1FAD"/>
    <w:rsid w:val="001D36E8"/>
    <w:rsid w:val="001E0D90"/>
    <w:rsid w:val="001E571F"/>
    <w:rsid w:val="001F0D8A"/>
    <w:rsid w:val="001F1C22"/>
    <w:rsid w:val="00234077"/>
    <w:rsid w:val="00235A66"/>
    <w:rsid w:val="00236780"/>
    <w:rsid w:val="00242D92"/>
    <w:rsid w:val="00251236"/>
    <w:rsid w:val="0026122A"/>
    <w:rsid w:val="00264847"/>
    <w:rsid w:val="00271F24"/>
    <w:rsid w:val="002904D8"/>
    <w:rsid w:val="00292C6F"/>
    <w:rsid w:val="002A467E"/>
    <w:rsid w:val="002B2A24"/>
    <w:rsid w:val="002C72D1"/>
    <w:rsid w:val="002E026A"/>
    <w:rsid w:val="002E6195"/>
    <w:rsid w:val="00323F75"/>
    <w:rsid w:val="00324149"/>
    <w:rsid w:val="00337B84"/>
    <w:rsid w:val="00337E3A"/>
    <w:rsid w:val="00345EF8"/>
    <w:rsid w:val="00347AB2"/>
    <w:rsid w:val="0035664E"/>
    <w:rsid w:val="00362F7D"/>
    <w:rsid w:val="00373459"/>
    <w:rsid w:val="0038307B"/>
    <w:rsid w:val="00383A25"/>
    <w:rsid w:val="0039658C"/>
    <w:rsid w:val="003C12DA"/>
    <w:rsid w:val="003F0FEC"/>
    <w:rsid w:val="003F1A50"/>
    <w:rsid w:val="003F6566"/>
    <w:rsid w:val="0040138C"/>
    <w:rsid w:val="00406209"/>
    <w:rsid w:val="00424D2C"/>
    <w:rsid w:val="00431591"/>
    <w:rsid w:val="004435A0"/>
    <w:rsid w:val="00444655"/>
    <w:rsid w:val="00463584"/>
    <w:rsid w:val="00465357"/>
    <w:rsid w:val="00465DE7"/>
    <w:rsid w:val="00472A6F"/>
    <w:rsid w:val="00474C61"/>
    <w:rsid w:val="004776B1"/>
    <w:rsid w:val="00486787"/>
    <w:rsid w:val="0049395C"/>
    <w:rsid w:val="004C6907"/>
    <w:rsid w:val="004D3A1E"/>
    <w:rsid w:val="004F2C98"/>
    <w:rsid w:val="004F6C8B"/>
    <w:rsid w:val="0050013D"/>
    <w:rsid w:val="005020E3"/>
    <w:rsid w:val="005155F5"/>
    <w:rsid w:val="00523787"/>
    <w:rsid w:val="00537E17"/>
    <w:rsid w:val="005430EA"/>
    <w:rsid w:val="00544091"/>
    <w:rsid w:val="0054472A"/>
    <w:rsid w:val="00545D17"/>
    <w:rsid w:val="00552C8E"/>
    <w:rsid w:val="00565452"/>
    <w:rsid w:val="005725BA"/>
    <w:rsid w:val="00576D4C"/>
    <w:rsid w:val="00584910"/>
    <w:rsid w:val="00594B61"/>
    <w:rsid w:val="005A46B4"/>
    <w:rsid w:val="005C7518"/>
    <w:rsid w:val="005F12F1"/>
    <w:rsid w:val="005F3B1F"/>
    <w:rsid w:val="006013AE"/>
    <w:rsid w:val="0060518C"/>
    <w:rsid w:val="0061386A"/>
    <w:rsid w:val="00616D46"/>
    <w:rsid w:val="00620BBD"/>
    <w:rsid w:val="00644686"/>
    <w:rsid w:val="00646D19"/>
    <w:rsid w:val="006520EE"/>
    <w:rsid w:val="00653CD5"/>
    <w:rsid w:val="006656EA"/>
    <w:rsid w:val="006716BC"/>
    <w:rsid w:val="006740C0"/>
    <w:rsid w:val="00676436"/>
    <w:rsid w:val="00677683"/>
    <w:rsid w:val="00682261"/>
    <w:rsid w:val="00683AD9"/>
    <w:rsid w:val="00683DB5"/>
    <w:rsid w:val="006848AD"/>
    <w:rsid w:val="0068565C"/>
    <w:rsid w:val="0069339D"/>
    <w:rsid w:val="006A3FC0"/>
    <w:rsid w:val="006B12BB"/>
    <w:rsid w:val="006B2613"/>
    <w:rsid w:val="006B74C1"/>
    <w:rsid w:val="006D261F"/>
    <w:rsid w:val="006E15DF"/>
    <w:rsid w:val="006F0AC9"/>
    <w:rsid w:val="007021E7"/>
    <w:rsid w:val="0070494E"/>
    <w:rsid w:val="00707F55"/>
    <w:rsid w:val="0071651D"/>
    <w:rsid w:val="00732D73"/>
    <w:rsid w:val="00736C3B"/>
    <w:rsid w:val="007427FD"/>
    <w:rsid w:val="007540E3"/>
    <w:rsid w:val="00756748"/>
    <w:rsid w:val="0076178B"/>
    <w:rsid w:val="00765070"/>
    <w:rsid w:val="007655E3"/>
    <w:rsid w:val="00767393"/>
    <w:rsid w:val="0077031E"/>
    <w:rsid w:val="007716C4"/>
    <w:rsid w:val="00773BF8"/>
    <w:rsid w:val="007751D8"/>
    <w:rsid w:val="00775287"/>
    <w:rsid w:val="007816B1"/>
    <w:rsid w:val="00783519"/>
    <w:rsid w:val="00797905"/>
    <w:rsid w:val="007A4EBA"/>
    <w:rsid w:val="007A74C3"/>
    <w:rsid w:val="007C5DD9"/>
    <w:rsid w:val="008044D4"/>
    <w:rsid w:val="008061CB"/>
    <w:rsid w:val="00811805"/>
    <w:rsid w:val="00815099"/>
    <w:rsid w:val="00821EB5"/>
    <w:rsid w:val="008254F6"/>
    <w:rsid w:val="00863A57"/>
    <w:rsid w:val="00871C07"/>
    <w:rsid w:val="0088266D"/>
    <w:rsid w:val="008925E5"/>
    <w:rsid w:val="008A0033"/>
    <w:rsid w:val="008A07B8"/>
    <w:rsid w:val="008A1ADF"/>
    <w:rsid w:val="008A1FA9"/>
    <w:rsid w:val="008C100C"/>
    <w:rsid w:val="008E53DB"/>
    <w:rsid w:val="008F58C0"/>
    <w:rsid w:val="00902723"/>
    <w:rsid w:val="009048CE"/>
    <w:rsid w:val="009075C5"/>
    <w:rsid w:val="00920674"/>
    <w:rsid w:val="009321C6"/>
    <w:rsid w:val="0093743A"/>
    <w:rsid w:val="00940A2E"/>
    <w:rsid w:val="009529CC"/>
    <w:rsid w:val="009566D5"/>
    <w:rsid w:val="00973659"/>
    <w:rsid w:val="00981B35"/>
    <w:rsid w:val="009A2E8D"/>
    <w:rsid w:val="009A48E1"/>
    <w:rsid w:val="009B2BCA"/>
    <w:rsid w:val="009C77D6"/>
    <w:rsid w:val="009D06C4"/>
    <w:rsid w:val="009F25C8"/>
    <w:rsid w:val="009F364C"/>
    <w:rsid w:val="009F5D42"/>
    <w:rsid w:val="00A03925"/>
    <w:rsid w:val="00A068ED"/>
    <w:rsid w:val="00A14BBE"/>
    <w:rsid w:val="00A22E18"/>
    <w:rsid w:val="00A42BD9"/>
    <w:rsid w:val="00A6171B"/>
    <w:rsid w:val="00A66F33"/>
    <w:rsid w:val="00A71FCB"/>
    <w:rsid w:val="00A81A14"/>
    <w:rsid w:val="00A83225"/>
    <w:rsid w:val="00A83E6D"/>
    <w:rsid w:val="00AA0EF2"/>
    <w:rsid w:val="00AA101D"/>
    <w:rsid w:val="00AA5BB5"/>
    <w:rsid w:val="00AB0265"/>
    <w:rsid w:val="00AB0A34"/>
    <w:rsid w:val="00AC49E4"/>
    <w:rsid w:val="00AC784F"/>
    <w:rsid w:val="00AE008F"/>
    <w:rsid w:val="00AE2FC2"/>
    <w:rsid w:val="00B01586"/>
    <w:rsid w:val="00B0187F"/>
    <w:rsid w:val="00B12878"/>
    <w:rsid w:val="00B12A6C"/>
    <w:rsid w:val="00B22FA8"/>
    <w:rsid w:val="00B305D8"/>
    <w:rsid w:val="00B51DE4"/>
    <w:rsid w:val="00B56FAF"/>
    <w:rsid w:val="00B63A83"/>
    <w:rsid w:val="00B74171"/>
    <w:rsid w:val="00B92706"/>
    <w:rsid w:val="00BA1E71"/>
    <w:rsid w:val="00BA3F73"/>
    <w:rsid w:val="00BB54AA"/>
    <w:rsid w:val="00BE25C2"/>
    <w:rsid w:val="00BF43F9"/>
    <w:rsid w:val="00C03897"/>
    <w:rsid w:val="00C13CC9"/>
    <w:rsid w:val="00C2085A"/>
    <w:rsid w:val="00C2686F"/>
    <w:rsid w:val="00C468A3"/>
    <w:rsid w:val="00C563F1"/>
    <w:rsid w:val="00C63893"/>
    <w:rsid w:val="00C64DC7"/>
    <w:rsid w:val="00C71E2F"/>
    <w:rsid w:val="00C91735"/>
    <w:rsid w:val="00CB4BAF"/>
    <w:rsid w:val="00CB7630"/>
    <w:rsid w:val="00CC3F59"/>
    <w:rsid w:val="00CD15EC"/>
    <w:rsid w:val="00CD5D03"/>
    <w:rsid w:val="00CE0024"/>
    <w:rsid w:val="00CE415B"/>
    <w:rsid w:val="00CE4650"/>
    <w:rsid w:val="00CF4E56"/>
    <w:rsid w:val="00D11F42"/>
    <w:rsid w:val="00D12190"/>
    <w:rsid w:val="00D40F06"/>
    <w:rsid w:val="00D41B80"/>
    <w:rsid w:val="00D86F29"/>
    <w:rsid w:val="00D95270"/>
    <w:rsid w:val="00DA0C3B"/>
    <w:rsid w:val="00DA4951"/>
    <w:rsid w:val="00DA4EE1"/>
    <w:rsid w:val="00DB2630"/>
    <w:rsid w:val="00DB425C"/>
    <w:rsid w:val="00DC416A"/>
    <w:rsid w:val="00DF2B36"/>
    <w:rsid w:val="00DF74C8"/>
    <w:rsid w:val="00E021BB"/>
    <w:rsid w:val="00E15837"/>
    <w:rsid w:val="00E15917"/>
    <w:rsid w:val="00E16020"/>
    <w:rsid w:val="00E200FD"/>
    <w:rsid w:val="00E31138"/>
    <w:rsid w:val="00E55147"/>
    <w:rsid w:val="00E57C37"/>
    <w:rsid w:val="00E61FA5"/>
    <w:rsid w:val="00E6381C"/>
    <w:rsid w:val="00E80162"/>
    <w:rsid w:val="00E80F63"/>
    <w:rsid w:val="00E83135"/>
    <w:rsid w:val="00E85F83"/>
    <w:rsid w:val="00EA0949"/>
    <w:rsid w:val="00EA7D23"/>
    <w:rsid w:val="00EB39FD"/>
    <w:rsid w:val="00EB44FE"/>
    <w:rsid w:val="00EC6D44"/>
    <w:rsid w:val="00ED488F"/>
    <w:rsid w:val="00ED77A1"/>
    <w:rsid w:val="00EF719B"/>
    <w:rsid w:val="00F106F9"/>
    <w:rsid w:val="00F27B69"/>
    <w:rsid w:val="00F32383"/>
    <w:rsid w:val="00F35A57"/>
    <w:rsid w:val="00F36B51"/>
    <w:rsid w:val="00F41662"/>
    <w:rsid w:val="00F43786"/>
    <w:rsid w:val="00F501DD"/>
    <w:rsid w:val="00F63CD5"/>
    <w:rsid w:val="00F65C60"/>
    <w:rsid w:val="00F874E9"/>
    <w:rsid w:val="00F91B66"/>
    <w:rsid w:val="00FA0FBE"/>
    <w:rsid w:val="00FB09D9"/>
    <w:rsid w:val="00FB450D"/>
    <w:rsid w:val="00FB5681"/>
    <w:rsid w:val="00FC0C2E"/>
    <w:rsid w:val="00FC323B"/>
    <w:rsid w:val="00FC39FE"/>
    <w:rsid w:val="00FD521C"/>
    <w:rsid w:val="00FE5B95"/>
    <w:rsid w:val="00FE776D"/>
    <w:rsid w:val="00FF3476"/>
    <w:rsid w:val="00FF3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0A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paragraph" w:customStyle="1" w:styleId="Pa1">
    <w:name w:val="Pa1"/>
    <w:basedOn w:val="Normal"/>
    <w:next w:val="Normal"/>
    <w:uiPriority w:val="99"/>
    <w:rsid w:val="008A0033"/>
    <w:pPr>
      <w:autoSpaceDE w:val="0"/>
      <w:autoSpaceDN w:val="0"/>
      <w:adjustRightInd w:val="0"/>
      <w:spacing w:line="241" w:lineRule="atLeast"/>
    </w:pPr>
    <w:rPr>
      <w:rFonts w:ascii="Minion Pro" w:eastAsiaTheme="minorHAnsi" w:hAnsi="Minion Pro"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paragraph" w:customStyle="1" w:styleId="Pa1">
    <w:name w:val="Pa1"/>
    <w:basedOn w:val="Normal"/>
    <w:next w:val="Normal"/>
    <w:uiPriority w:val="99"/>
    <w:rsid w:val="008A0033"/>
    <w:pPr>
      <w:autoSpaceDE w:val="0"/>
      <w:autoSpaceDN w:val="0"/>
      <w:adjustRightInd w:val="0"/>
      <w:spacing w:line="241" w:lineRule="atLeast"/>
    </w:pPr>
    <w:rPr>
      <w:rFonts w:ascii="Minion Pro" w:eastAsiaTheme="minorHAnsi" w:hAnsi="Minion Pro"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826821">
      <w:bodyDiv w:val="1"/>
      <w:marLeft w:val="0"/>
      <w:marRight w:val="0"/>
      <w:marTop w:val="0"/>
      <w:marBottom w:val="0"/>
      <w:divBdr>
        <w:top w:val="none" w:sz="0" w:space="0" w:color="auto"/>
        <w:left w:val="none" w:sz="0" w:space="0" w:color="auto"/>
        <w:bottom w:val="none" w:sz="0" w:space="0" w:color="auto"/>
        <w:right w:val="none" w:sz="0" w:space="0" w:color="auto"/>
      </w:divBdr>
    </w:div>
    <w:div w:id="12365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E459C-5DFD-4441-943F-D8E8F9C7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SYSTEM</cp:lastModifiedBy>
  <cp:revision>2</cp:revision>
  <cp:lastPrinted>2017-05-24T18:03:00Z</cp:lastPrinted>
  <dcterms:created xsi:type="dcterms:W3CDTF">2018-09-17T11:50:00Z</dcterms:created>
  <dcterms:modified xsi:type="dcterms:W3CDTF">2018-09-17T11:50:00Z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1858876526</vt:i4>
  </property>
  <property fmtid="{D5CDD505-2E9C-101B-9397-08002B2CF9AE}" pid="3" name="_NewReviewCycle">
    <vt:lpwstr/>
  </property>
  <property fmtid="{D5CDD505-2E9C-101B-9397-08002B2CF9AE}" pid="4" name="_EmailSubject">
    <vt:lpwstr>TIMSS 2019 Main Study (1850-0695 v.14)</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