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FA65DF" w:rsidRDefault="00565565" w:rsidP="00C44615">
      <w:pPr>
        <w:tabs>
          <w:tab w:val="right" w:pos="10080"/>
        </w:tabs>
        <w:rPr>
          <w:rFonts w:ascii="Times New Roman" w:hAnsi="Times New Roman"/>
          <w:sz w:val="24"/>
          <w:szCs w:val="24"/>
        </w:rPr>
      </w:pPr>
      <w:bookmarkStart w:id="0" w:name="_GoBack"/>
      <w:bookmarkEnd w:id="0"/>
      <w:r w:rsidRPr="00FA65DF">
        <w:rPr>
          <w:rFonts w:ascii="Times New Roman" w:hAnsi="Times New Roman"/>
          <w:sz w:val="24"/>
          <w:szCs w:val="24"/>
        </w:rPr>
        <w:tab/>
      </w:r>
      <w:r w:rsidR="00EC7F98">
        <w:rPr>
          <w:rFonts w:ascii="Times New Roman" w:hAnsi="Times New Roman"/>
          <w:sz w:val="24"/>
          <w:szCs w:val="24"/>
        </w:rPr>
        <w:t>Octo</w:t>
      </w:r>
      <w:r w:rsidR="0090368D">
        <w:rPr>
          <w:rFonts w:ascii="Times New Roman" w:hAnsi="Times New Roman"/>
          <w:sz w:val="24"/>
          <w:szCs w:val="24"/>
        </w:rPr>
        <w:t>ber</w:t>
      </w:r>
      <w:r w:rsidR="00116FE2" w:rsidRPr="00FA65DF">
        <w:rPr>
          <w:rFonts w:ascii="Times New Roman" w:hAnsi="Times New Roman"/>
          <w:sz w:val="24"/>
          <w:szCs w:val="24"/>
        </w:rPr>
        <w:t xml:space="preserve"> </w:t>
      </w:r>
      <w:r w:rsidR="0055580E">
        <w:rPr>
          <w:rFonts w:ascii="Times New Roman" w:hAnsi="Times New Roman"/>
          <w:sz w:val="24"/>
          <w:szCs w:val="24"/>
        </w:rPr>
        <w:t>2</w:t>
      </w:r>
      <w:r w:rsidR="008B54F5">
        <w:rPr>
          <w:rFonts w:ascii="Times New Roman" w:hAnsi="Times New Roman"/>
          <w:sz w:val="24"/>
          <w:szCs w:val="24"/>
        </w:rPr>
        <w:t>3</w:t>
      </w:r>
      <w:r w:rsidR="00116FE2" w:rsidRPr="00FA65DF">
        <w:rPr>
          <w:rFonts w:ascii="Times New Roman" w:hAnsi="Times New Roman"/>
          <w:sz w:val="24"/>
          <w:szCs w:val="24"/>
        </w:rPr>
        <w:t>, 2018</w:t>
      </w:r>
    </w:p>
    <w:p w:rsidR="00BE4155" w:rsidRPr="00FA65DF" w:rsidRDefault="00BE4155" w:rsidP="008B54F5">
      <w:pPr>
        <w:spacing w:before="360"/>
        <w:outlineLvl w:val="0"/>
        <w:rPr>
          <w:rFonts w:ascii="Times New Roman" w:hAnsi="Times New Roman"/>
          <w:b/>
          <w:sz w:val="24"/>
          <w:szCs w:val="24"/>
        </w:rPr>
      </w:pPr>
      <w:r w:rsidRPr="00FA65DF">
        <w:rPr>
          <w:rFonts w:ascii="Times New Roman" w:hAnsi="Times New Roman"/>
          <w:b/>
          <w:sz w:val="24"/>
          <w:szCs w:val="24"/>
        </w:rPr>
        <w:t>MEMORANDUM</w:t>
      </w:r>
    </w:p>
    <w:p w:rsidR="00BE4155" w:rsidRPr="00FA65DF" w:rsidRDefault="00BE4155" w:rsidP="00C44615">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To:</w:t>
      </w:r>
      <w:r w:rsidRPr="00FA65DF">
        <w:rPr>
          <w:rStyle w:val="MessageHeaderLabel"/>
          <w:rFonts w:ascii="Times New Roman" w:hAnsi="Times New Roman" w:cs="Times New Roman"/>
          <w:sz w:val="24"/>
          <w:szCs w:val="24"/>
        </w:rPr>
        <w:tab/>
      </w:r>
      <w:r w:rsidR="00C44615" w:rsidRPr="00FA65DF">
        <w:rPr>
          <w:rStyle w:val="MessageHeaderLabel"/>
          <w:rFonts w:ascii="Times New Roman" w:hAnsi="Times New Roman" w:cs="Times New Roman"/>
          <w:b w:val="0"/>
          <w:sz w:val="24"/>
          <w:szCs w:val="24"/>
        </w:rPr>
        <w:t>Robert Siviniski, OMB</w:t>
      </w:r>
    </w:p>
    <w:p w:rsidR="00BE4155" w:rsidRPr="00FA65DF" w:rsidRDefault="00BE4155" w:rsidP="002267D6">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From:</w:t>
      </w:r>
      <w:r w:rsidRPr="00FA65DF">
        <w:rPr>
          <w:sz w:val="24"/>
          <w:szCs w:val="24"/>
        </w:rPr>
        <w:tab/>
      </w:r>
      <w:r w:rsidR="0090368D">
        <w:rPr>
          <w:sz w:val="24"/>
          <w:szCs w:val="24"/>
        </w:rPr>
        <w:t>Sarah Grady</w:t>
      </w:r>
      <w:r w:rsidR="00A76613" w:rsidRPr="00FA65DF">
        <w:rPr>
          <w:sz w:val="24"/>
          <w:szCs w:val="24"/>
        </w:rPr>
        <w:t xml:space="preserve">, </w:t>
      </w:r>
      <w:r w:rsidR="002267D6" w:rsidRPr="00FA65DF">
        <w:rPr>
          <w:sz w:val="24"/>
          <w:szCs w:val="24"/>
        </w:rPr>
        <w:t>NCES</w:t>
      </w:r>
    </w:p>
    <w:p w:rsidR="002267D6" w:rsidRPr="00FA65DF" w:rsidRDefault="002267D6" w:rsidP="00EA6F04">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Through:</w:t>
      </w:r>
      <w:r w:rsidRPr="00FA65DF">
        <w:rPr>
          <w:sz w:val="24"/>
          <w:szCs w:val="24"/>
        </w:rPr>
        <w:tab/>
        <w:t>Kashka Kubzdela, NCES</w:t>
      </w:r>
    </w:p>
    <w:p w:rsidR="00BE4155" w:rsidRPr="00FA65DF" w:rsidRDefault="00BE4155" w:rsidP="005F410A">
      <w:pPr>
        <w:pStyle w:val="Heading31"/>
        <w:numPr>
          <w:ilvl w:val="0"/>
          <w:numId w:val="0"/>
        </w:numPr>
        <w:spacing w:after="120" w:line="240" w:lineRule="auto"/>
        <w:ind w:left="1260" w:hanging="1260"/>
        <w:jc w:val="left"/>
        <w:rPr>
          <w:rFonts w:ascii="Times New Roman" w:hAnsi="Times New Roman" w:cs="Times New Roman"/>
          <w:sz w:val="24"/>
          <w:szCs w:val="24"/>
        </w:rPr>
      </w:pPr>
      <w:r w:rsidRPr="00FA65DF">
        <w:rPr>
          <w:rStyle w:val="MessageHeaderLabel"/>
          <w:rFonts w:ascii="Times New Roman" w:hAnsi="Times New Roman" w:cs="Times New Roman"/>
          <w:sz w:val="24"/>
          <w:szCs w:val="24"/>
        </w:rPr>
        <w:t>Re:</w:t>
      </w:r>
      <w:r w:rsidRPr="00FA65DF">
        <w:rPr>
          <w:rFonts w:ascii="Times New Roman" w:hAnsi="Times New Roman" w:cs="Times New Roman"/>
          <w:sz w:val="24"/>
          <w:szCs w:val="24"/>
        </w:rPr>
        <w:tab/>
      </w:r>
      <w:r w:rsidR="0090368D" w:rsidRPr="0090368D">
        <w:rPr>
          <w:rFonts w:ascii="Times New Roman" w:hAnsi="Times New Roman" w:cs="Times New Roman"/>
          <w:caps w:val="0"/>
          <w:sz w:val="24"/>
          <w:szCs w:val="24"/>
        </w:rPr>
        <w:t xml:space="preserve">National Household Education Survey </w:t>
      </w:r>
      <w:r w:rsidR="0090368D" w:rsidRPr="0090368D">
        <w:rPr>
          <w:rFonts w:ascii="Times New Roman" w:hAnsi="Times New Roman" w:cs="Times New Roman"/>
          <w:sz w:val="24"/>
          <w:szCs w:val="24"/>
        </w:rPr>
        <w:t>2019 (NHES:2019)</w:t>
      </w:r>
      <w:r w:rsidR="00C44615" w:rsidRPr="00FA65DF">
        <w:rPr>
          <w:rFonts w:ascii="Times New Roman" w:hAnsi="Times New Roman" w:cs="Times New Roman"/>
          <w:caps w:val="0"/>
          <w:sz w:val="24"/>
          <w:szCs w:val="24"/>
        </w:rPr>
        <w:t xml:space="preserve"> </w:t>
      </w:r>
      <w:r w:rsidR="004A73A0" w:rsidRPr="004A73A0">
        <w:rPr>
          <w:rFonts w:ascii="Times New Roman" w:hAnsi="Times New Roman" w:cs="Times New Roman"/>
          <w:caps w:val="0"/>
          <w:sz w:val="24"/>
          <w:szCs w:val="24"/>
        </w:rPr>
        <w:t xml:space="preserve">Nonresponding Households </w:t>
      </w:r>
      <w:r w:rsidR="0068043F">
        <w:rPr>
          <w:rFonts w:ascii="Times New Roman" w:hAnsi="Times New Roman" w:cs="Times New Roman"/>
          <w:caps w:val="0"/>
          <w:sz w:val="24"/>
          <w:szCs w:val="24"/>
        </w:rPr>
        <w:t>In-</w:t>
      </w:r>
      <w:r w:rsidR="00BF73C1">
        <w:rPr>
          <w:rFonts w:ascii="Times New Roman" w:hAnsi="Times New Roman" w:cs="Times New Roman"/>
          <w:caps w:val="0"/>
          <w:sz w:val="24"/>
          <w:szCs w:val="24"/>
        </w:rPr>
        <w:t>P</w:t>
      </w:r>
      <w:r w:rsidR="0068043F">
        <w:rPr>
          <w:rFonts w:ascii="Times New Roman" w:hAnsi="Times New Roman" w:cs="Times New Roman"/>
          <w:caps w:val="0"/>
          <w:sz w:val="24"/>
          <w:szCs w:val="24"/>
        </w:rPr>
        <w:t xml:space="preserve">erson </w:t>
      </w:r>
      <w:r w:rsidR="004A73A0">
        <w:rPr>
          <w:rFonts w:ascii="Times New Roman" w:hAnsi="Times New Roman" w:cs="Times New Roman"/>
          <w:caps w:val="0"/>
          <w:sz w:val="24"/>
          <w:szCs w:val="24"/>
        </w:rPr>
        <w:t xml:space="preserve">Study </w:t>
      </w:r>
      <w:r w:rsidR="00EC7F98">
        <w:rPr>
          <w:rFonts w:ascii="Times New Roman" w:hAnsi="Times New Roman" w:cs="Times New Roman"/>
          <w:caps w:val="0"/>
          <w:sz w:val="24"/>
          <w:szCs w:val="24"/>
        </w:rPr>
        <w:t>Update</w:t>
      </w:r>
      <w:r w:rsidR="005F410A">
        <w:rPr>
          <w:rFonts w:ascii="Times New Roman" w:hAnsi="Times New Roman" w:cs="Times New Roman"/>
          <w:caps w:val="0"/>
          <w:sz w:val="24"/>
          <w:szCs w:val="24"/>
        </w:rPr>
        <w:t xml:space="preserve"> </w:t>
      </w:r>
      <w:r w:rsidR="002267D6" w:rsidRPr="00FA65DF">
        <w:rPr>
          <w:rFonts w:ascii="Times New Roman" w:hAnsi="Times New Roman" w:cs="Times New Roman"/>
          <w:sz w:val="24"/>
          <w:szCs w:val="24"/>
        </w:rPr>
        <w:t>(</w:t>
      </w:r>
      <w:r w:rsidR="00EA6F04" w:rsidRPr="00FA65DF">
        <w:rPr>
          <w:rFonts w:ascii="Times New Roman" w:hAnsi="Times New Roman" w:cs="Times New Roman"/>
          <w:sz w:val="24"/>
          <w:szCs w:val="24"/>
        </w:rPr>
        <w:t xml:space="preserve">OMB# </w:t>
      </w:r>
      <w:r w:rsidR="0090368D" w:rsidRPr="0090368D">
        <w:rPr>
          <w:rFonts w:ascii="Times New Roman" w:hAnsi="Times New Roman" w:cs="Times New Roman"/>
          <w:sz w:val="24"/>
          <w:szCs w:val="24"/>
        </w:rPr>
        <w:t xml:space="preserve">1850-0768 </w:t>
      </w:r>
      <w:r w:rsidR="00775C8F" w:rsidRPr="0090368D">
        <w:rPr>
          <w:rFonts w:ascii="Times New Roman" w:hAnsi="Times New Roman" w:cs="Times New Roman"/>
          <w:caps w:val="0"/>
          <w:sz w:val="24"/>
          <w:szCs w:val="24"/>
        </w:rPr>
        <w:t>v</w:t>
      </w:r>
      <w:r w:rsidR="0090368D" w:rsidRPr="0090368D">
        <w:rPr>
          <w:rFonts w:ascii="Times New Roman" w:hAnsi="Times New Roman" w:cs="Times New Roman"/>
          <w:sz w:val="24"/>
          <w:szCs w:val="24"/>
        </w:rPr>
        <w:t>.1</w:t>
      </w:r>
      <w:r w:rsidR="00EC7F98">
        <w:rPr>
          <w:rFonts w:ascii="Times New Roman" w:hAnsi="Times New Roman" w:cs="Times New Roman"/>
          <w:sz w:val="24"/>
          <w:szCs w:val="24"/>
        </w:rPr>
        <w:t>6</w:t>
      </w:r>
      <w:r w:rsidR="002267D6" w:rsidRPr="00FA65DF">
        <w:rPr>
          <w:rFonts w:ascii="Times New Roman" w:hAnsi="Times New Roman" w:cs="Times New Roman"/>
          <w:sz w:val="24"/>
          <w:szCs w:val="24"/>
        </w:rPr>
        <w:t>)</w:t>
      </w:r>
    </w:p>
    <w:p w:rsidR="00565565" w:rsidRPr="008D26E2" w:rsidRDefault="00565565">
      <w:pPr>
        <w:spacing w:after="0" w:line="240" w:lineRule="auto"/>
        <w:rPr>
          <w:rFonts w:ascii="Times New Roman" w:hAnsi="Times New Roman"/>
        </w:rPr>
      </w:pPr>
    </w:p>
    <w:p w:rsidR="002E3413" w:rsidRDefault="00F7002A" w:rsidP="00702D75">
      <w:pPr>
        <w:rPr>
          <w:rFonts w:ascii="Times New Roman" w:hAnsi="Times New Roman"/>
          <w:sz w:val="24"/>
          <w:szCs w:val="24"/>
        </w:rPr>
      </w:pPr>
      <w:r w:rsidRPr="00F7002A">
        <w:rPr>
          <w:rFonts w:ascii="Times New Roman" w:hAnsi="Times New Roman"/>
          <w:sz w:val="24"/>
          <w:szCs w:val="24"/>
        </w:rPr>
        <w:t>The National Household Education Survey (NHES) is a data collection program of the National Center for Education Statistics (NCES) designed to provide descriptive data on the education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their children’s education, school choice, homeschooling, and civic involvement. Th</w:t>
      </w:r>
      <w:r w:rsidR="00775C8F">
        <w:rPr>
          <w:rFonts w:ascii="Times New Roman" w:hAnsi="Times New Roman"/>
          <w:sz w:val="24"/>
          <w:szCs w:val="24"/>
        </w:rPr>
        <w:t>e</w:t>
      </w:r>
      <w:r w:rsidRPr="00F7002A">
        <w:rPr>
          <w:rFonts w:ascii="Times New Roman" w:hAnsi="Times New Roman"/>
          <w:sz w:val="24"/>
          <w:szCs w:val="24"/>
        </w:rPr>
        <w:t xml:space="preserve"> request to conduct the NHES:2019 full scale data collection, from December 2018 through September 2019, in conjunction with an In-Person Study of Nonresponding Households, designed to provide insight about nonresponse that can help plan future survey administrations</w:t>
      </w:r>
      <w:r w:rsidR="00775C8F">
        <w:rPr>
          <w:rFonts w:ascii="Times New Roman" w:hAnsi="Times New Roman"/>
          <w:sz w:val="24"/>
          <w:szCs w:val="24"/>
        </w:rPr>
        <w:t xml:space="preserve"> was approved in September 2018 (OMB# </w:t>
      </w:r>
      <w:r w:rsidR="00775C8F" w:rsidRPr="0090368D">
        <w:rPr>
          <w:rFonts w:ascii="Times New Roman" w:hAnsi="Times New Roman"/>
          <w:sz w:val="24"/>
          <w:szCs w:val="24"/>
        </w:rPr>
        <w:t>1850-0768 v.1</w:t>
      </w:r>
      <w:r w:rsidR="00775C8F">
        <w:rPr>
          <w:rFonts w:ascii="Times New Roman" w:hAnsi="Times New Roman"/>
          <w:sz w:val="24"/>
          <w:szCs w:val="24"/>
        </w:rPr>
        <w:t>4</w:t>
      </w:r>
      <w:r w:rsidR="00CF466C">
        <w:rPr>
          <w:rFonts w:ascii="Times New Roman" w:hAnsi="Times New Roman"/>
          <w:sz w:val="24"/>
          <w:szCs w:val="24"/>
        </w:rPr>
        <w:t>-15</w:t>
      </w:r>
      <w:r w:rsidR="00775C8F">
        <w:rPr>
          <w:rFonts w:ascii="Times New Roman" w:hAnsi="Times New Roman"/>
          <w:sz w:val="24"/>
          <w:szCs w:val="24"/>
        </w:rPr>
        <w:t>)</w:t>
      </w:r>
      <w:r w:rsidRPr="00F7002A">
        <w:rPr>
          <w:rFonts w:ascii="Times New Roman" w:hAnsi="Times New Roman"/>
          <w:sz w:val="24"/>
          <w:szCs w:val="24"/>
        </w:rPr>
        <w:t>. NHES:2019 will use mail and web data collection modes and will field two surveys: The Early Childhood Program Participation survey (ECPP) and the Parent and Family Involvement in Education survey (PFI).</w:t>
      </w:r>
      <w:r w:rsidR="000364C2">
        <w:rPr>
          <w:rFonts w:ascii="Times New Roman" w:hAnsi="Times New Roman"/>
          <w:sz w:val="24"/>
          <w:szCs w:val="24"/>
        </w:rPr>
        <w:t xml:space="preserve"> </w:t>
      </w:r>
      <w:r w:rsidR="00CC0B5E">
        <w:rPr>
          <w:rFonts w:ascii="Times New Roman" w:hAnsi="Times New Roman"/>
          <w:sz w:val="24"/>
          <w:szCs w:val="24"/>
        </w:rPr>
        <w:t xml:space="preserve">This request provides the </w:t>
      </w:r>
      <w:r w:rsidR="002E3413">
        <w:rPr>
          <w:rFonts w:ascii="Times New Roman" w:hAnsi="Times New Roman"/>
          <w:sz w:val="24"/>
          <w:szCs w:val="24"/>
        </w:rPr>
        <w:t xml:space="preserve">expected update on the final plan for </w:t>
      </w:r>
      <w:r w:rsidR="004A73A0">
        <w:rPr>
          <w:rFonts w:ascii="Times New Roman" w:hAnsi="Times New Roman"/>
          <w:sz w:val="24"/>
          <w:szCs w:val="24"/>
        </w:rPr>
        <w:t xml:space="preserve">the </w:t>
      </w:r>
      <w:r w:rsidR="002E3413">
        <w:rPr>
          <w:rFonts w:ascii="Times New Roman" w:hAnsi="Times New Roman"/>
          <w:sz w:val="24"/>
          <w:szCs w:val="24"/>
        </w:rPr>
        <w:t>NHES:2019</w:t>
      </w:r>
      <w:r w:rsidR="002E3413" w:rsidRPr="002E3413">
        <w:rPr>
          <w:rFonts w:ascii="Times New Roman" w:hAnsi="Times New Roman"/>
          <w:sz w:val="24"/>
          <w:szCs w:val="24"/>
        </w:rPr>
        <w:t xml:space="preserve"> </w:t>
      </w:r>
      <w:r w:rsidR="002E3413" w:rsidRPr="00F7002A">
        <w:rPr>
          <w:rFonts w:ascii="Times New Roman" w:hAnsi="Times New Roman"/>
          <w:sz w:val="24"/>
          <w:szCs w:val="24"/>
        </w:rPr>
        <w:t>In-Person Study of Nonresponding Households</w:t>
      </w:r>
      <w:r w:rsidR="002A2922">
        <w:rPr>
          <w:rFonts w:ascii="Times New Roman" w:hAnsi="Times New Roman"/>
          <w:sz w:val="24"/>
          <w:szCs w:val="24"/>
        </w:rPr>
        <w:t>.</w:t>
      </w:r>
    </w:p>
    <w:p w:rsidR="0013477F" w:rsidRDefault="0013477F" w:rsidP="00702D75">
      <w:pPr>
        <w:rPr>
          <w:rFonts w:ascii="Times New Roman" w:hAnsi="Times New Roman"/>
          <w:sz w:val="24"/>
          <w:szCs w:val="24"/>
        </w:rPr>
      </w:pPr>
      <w:r>
        <w:rPr>
          <w:rFonts w:ascii="Times New Roman" w:hAnsi="Times New Roman"/>
          <w:sz w:val="24"/>
          <w:szCs w:val="24"/>
        </w:rPr>
        <w:t>Due to resource constraints and concerns about generalizability, the originally proposed</w:t>
      </w:r>
      <w:r w:rsidR="0055580E">
        <w:rPr>
          <w:rFonts w:ascii="Times New Roman" w:hAnsi="Times New Roman"/>
          <w:sz w:val="24"/>
          <w:szCs w:val="24"/>
        </w:rPr>
        <w:t xml:space="preserve"> short</w:t>
      </w:r>
      <w:r>
        <w:rPr>
          <w:rFonts w:ascii="Times New Roman" w:hAnsi="Times New Roman"/>
          <w:sz w:val="24"/>
          <w:szCs w:val="24"/>
        </w:rPr>
        <w:t xml:space="preserve"> structured interviews and comparable sample of responding households are no longer proposed.</w:t>
      </w:r>
      <w:r w:rsidR="00B42931">
        <w:rPr>
          <w:rFonts w:ascii="Times New Roman" w:hAnsi="Times New Roman"/>
          <w:sz w:val="24"/>
          <w:szCs w:val="24"/>
        </w:rPr>
        <w:t xml:space="preserve"> </w:t>
      </w:r>
      <w:r>
        <w:rPr>
          <w:rFonts w:ascii="Times New Roman" w:hAnsi="Times New Roman"/>
          <w:sz w:val="24"/>
          <w:szCs w:val="24"/>
        </w:rPr>
        <w:t>These are replaced by an enhanc</w:t>
      </w:r>
      <w:r w:rsidR="00B42931">
        <w:rPr>
          <w:rFonts w:ascii="Times New Roman" w:hAnsi="Times New Roman"/>
          <w:sz w:val="24"/>
          <w:szCs w:val="24"/>
        </w:rPr>
        <w:t>ed address observation effort.</w:t>
      </w:r>
    </w:p>
    <w:p w:rsidR="009C197E" w:rsidRDefault="00D2646B" w:rsidP="00702D75">
      <w:pPr>
        <w:rPr>
          <w:rFonts w:ascii="Times New Roman" w:hAnsi="Times New Roman"/>
          <w:sz w:val="24"/>
          <w:szCs w:val="24"/>
        </w:rPr>
      </w:pPr>
      <w:r w:rsidRPr="00D2646B">
        <w:rPr>
          <w:rFonts w:ascii="Times New Roman" w:hAnsi="Times New Roman"/>
          <w:sz w:val="24"/>
          <w:szCs w:val="24"/>
        </w:rPr>
        <w:t>All materials on pages 1</w:t>
      </w:r>
      <w:r w:rsidR="004F2BD8">
        <w:rPr>
          <w:rFonts w:ascii="Times New Roman" w:hAnsi="Times New Roman"/>
          <w:sz w:val="24"/>
          <w:szCs w:val="24"/>
        </w:rPr>
        <w:t>4</w:t>
      </w:r>
      <w:r w:rsidRPr="00D2646B">
        <w:rPr>
          <w:rFonts w:ascii="Times New Roman" w:hAnsi="Times New Roman"/>
          <w:sz w:val="24"/>
          <w:szCs w:val="24"/>
        </w:rPr>
        <w:t>-3</w:t>
      </w:r>
      <w:r w:rsidR="004F2BD8">
        <w:rPr>
          <w:rFonts w:ascii="Times New Roman" w:hAnsi="Times New Roman"/>
          <w:sz w:val="24"/>
          <w:szCs w:val="24"/>
        </w:rPr>
        <w:t>6</w:t>
      </w:r>
      <w:r w:rsidRPr="00D2646B">
        <w:rPr>
          <w:rFonts w:ascii="Times New Roman" w:hAnsi="Times New Roman"/>
          <w:sz w:val="24"/>
          <w:szCs w:val="24"/>
        </w:rPr>
        <w:t xml:space="preserve"> and 4</w:t>
      </w:r>
      <w:r w:rsidR="004F2BD8">
        <w:rPr>
          <w:rFonts w:ascii="Times New Roman" w:hAnsi="Times New Roman"/>
          <w:sz w:val="24"/>
          <w:szCs w:val="24"/>
        </w:rPr>
        <w:t>8</w:t>
      </w:r>
      <w:r w:rsidRPr="00D2646B">
        <w:rPr>
          <w:rFonts w:ascii="Times New Roman" w:hAnsi="Times New Roman"/>
          <w:sz w:val="24"/>
          <w:szCs w:val="24"/>
        </w:rPr>
        <w:t>-5</w:t>
      </w:r>
      <w:r w:rsidR="004F2BD8">
        <w:rPr>
          <w:rFonts w:ascii="Times New Roman" w:hAnsi="Times New Roman"/>
          <w:sz w:val="24"/>
          <w:szCs w:val="24"/>
        </w:rPr>
        <w:t>1</w:t>
      </w:r>
      <w:r w:rsidRPr="00D2646B">
        <w:rPr>
          <w:rFonts w:ascii="Times New Roman" w:hAnsi="Times New Roman"/>
          <w:sz w:val="24"/>
          <w:szCs w:val="24"/>
        </w:rPr>
        <w:t xml:space="preserve"> </w:t>
      </w:r>
      <w:r>
        <w:rPr>
          <w:rFonts w:ascii="Times New Roman" w:hAnsi="Times New Roman"/>
          <w:sz w:val="24"/>
          <w:szCs w:val="24"/>
        </w:rPr>
        <w:t xml:space="preserve">of Appendix 4 </w:t>
      </w:r>
      <w:r w:rsidRPr="00D2646B">
        <w:rPr>
          <w:rFonts w:ascii="Times New Roman" w:hAnsi="Times New Roman"/>
          <w:sz w:val="24"/>
          <w:szCs w:val="24"/>
        </w:rPr>
        <w:t>are newly added</w:t>
      </w:r>
      <w:r>
        <w:rPr>
          <w:rFonts w:ascii="Times New Roman" w:hAnsi="Times New Roman"/>
          <w:sz w:val="24"/>
          <w:szCs w:val="24"/>
        </w:rPr>
        <w:t xml:space="preserve">. Please also note that </w:t>
      </w:r>
      <w:r w:rsidR="009C197E" w:rsidRPr="009C197E">
        <w:rPr>
          <w:rFonts w:ascii="Times New Roman" w:hAnsi="Times New Roman"/>
          <w:sz w:val="24"/>
          <w:szCs w:val="24"/>
        </w:rPr>
        <w:t xml:space="preserve">Attachment B.2. </w:t>
      </w:r>
      <w:r w:rsidR="009C197E">
        <w:rPr>
          <w:rFonts w:ascii="Times New Roman" w:hAnsi="Times New Roman"/>
          <w:sz w:val="24"/>
          <w:szCs w:val="24"/>
        </w:rPr>
        <w:t xml:space="preserve">of Appendix 4 </w:t>
      </w:r>
      <w:r w:rsidR="009C197E" w:rsidRPr="009C197E">
        <w:rPr>
          <w:rFonts w:ascii="Times New Roman" w:hAnsi="Times New Roman"/>
          <w:sz w:val="24"/>
          <w:szCs w:val="24"/>
        </w:rPr>
        <w:t>will provide the Spanish versions of the materials that will be used to interact with households sampled for the qualitative interview. These materials will be provided to OMB as a change request in November 2018</w:t>
      </w:r>
      <w:r w:rsidR="009C197E">
        <w:rPr>
          <w:rFonts w:ascii="Times New Roman" w:hAnsi="Times New Roman"/>
          <w:sz w:val="24"/>
          <w:szCs w:val="24"/>
        </w:rPr>
        <w:t>.</w:t>
      </w:r>
    </w:p>
    <w:p w:rsidR="00220EDA" w:rsidRDefault="00220EDA" w:rsidP="00220EDA">
      <w:pPr>
        <w:rPr>
          <w:rFonts w:ascii="Times New Roman" w:hAnsi="Times New Roman"/>
          <w:sz w:val="24"/>
          <w:szCs w:val="24"/>
        </w:rPr>
      </w:pPr>
      <w:r w:rsidRPr="00220EDA">
        <w:rPr>
          <w:rFonts w:ascii="Times New Roman" w:hAnsi="Times New Roman"/>
          <w:sz w:val="24"/>
          <w:szCs w:val="24"/>
        </w:rPr>
        <w:t>The change</w:t>
      </w:r>
      <w:r w:rsidR="002A2922">
        <w:rPr>
          <w:rFonts w:ascii="Times New Roman" w:hAnsi="Times New Roman"/>
          <w:sz w:val="24"/>
          <w:szCs w:val="24"/>
        </w:rPr>
        <w:t>s</w:t>
      </w:r>
      <w:r w:rsidRPr="00220EDA">
        <w:rPr>
          <w:rFonts w:ascii="Times New Roman" w:hAnsi="Times New Roman"/>
          <w:sz w:val="24"/>
          <w:szCs w:val="24"/>
        </w:rPr>
        <w:t xml:space="preserve"> described in this document do not affect </w:t>
      </w:r>
      <w:r w:rsidR="001778EC" w:rsidRPr="00220EDA">
        <w:rPr>
          <w:rFonts w:ascii="Times New Roman" w:hAnsi="Times New Roman"/>
          <w:sz w:val="24"/>
          <w:szCs w:val="24"/>
        </w:rPr>
        <w:t>the total cost to the federal government for this study</w:t>
      </w:r>
      <w:r w:rsidR="001778EC">
        <w:rPr>
          <w:rFonts w:ascii="Times New Roman" w:hAnsi="Times New Roman"/>
          <w:sz w:val="24"/>
          <w:szCs w:val="24"/>
        </w:rPr>
        <w:t xml:space="preserve">. The revision to </w:t>
      </w:r>
      <w:r w:rsidRPr="00220EDA">
        <w:rPr>
          <w:rFonts w:ascii="Times New Roman" w:hAnsi="Times New Roman"/>
          <w:sz w:val="24"/>
          <w:szCs w:val="24"/>
        </w:rPr>
        <w:t xml:space="preserve">the estimated response burden </w:t>
      </w:r>
      <w:r w:rsidR="001778EC">
        <w:rPr>
          <w:rFonts w:ascii="Times New Roman" w:hAnsi="Times New Roman"/>
          <w:sz w:val="24"/>
          <w:szCs w:val="24"/>
        </w:rPr>
        <w:t>is detailed below</w:t>
      </w:r>
      <w:r w:rsidRPr="00220EDA">
        <w:rPr>
          <w:rFonts w:ascii="Times New Roman" w:hAnsi="Times New Roman"/>
          <w:sz w:val="24"/>
          <w:szCs w:val="24"/>
        </w:rPr>
        <w:t>.</w:t>
      </w:r>
    </w:p>
    <w:p w:rsidR="008F4DAD" w:rsidRPr="00220EDA" w:rsidRDefault="008F4DAD" w:rsidP="00220EDA">
      <w:pPr>
        <w:rPr>
          <w:rFonts w:ascii="Times New Roman" w:hAnsi="Times New Roman"/>
          <w:sz w:val="24"/>
          <w:szCs w:val="24"/>
        </w:rPr>
      </w:pPr>
      <w:r>
        <w:rPr>
          <w:rFonts w:ascii="Times New Roman" w:hAnsi="Times New Roman"/>
          <w:sz w:val="24"/>
          <w:szCs w:val="24"/>
        </w:rPr>
        <w:t>Revisions to the content of the approved submission documents (Parts A and B and Appendix 4) are reflected in tracked changes below.</w:t>
      </w:r>
    </w:p>
    <w:p w:rsidR="001778EC" w:rsidRPr="00282624" w:rsidRDefault="001778EC" w:rsidP="001778EC">
      <w:pPr>
        <w:rPr>
          <w:rFonts w:ascii="Times New Roman" w:hAnsi="Times New Roman"/>
          <w:b/>
          <w:sz w:val="24"/>
          <w:szCs w:val="24"/>
          <w:u w:val="single"/>
        </w:rPr>
      </w:pPr>
      <w:r w:rsidRPr="00282624">
        <w:rPr>
          <w:rFonts w:ascii="Times New Roman" w:hAnsi="Times New Roman"/>
          <w:b/>
          <w:sz w:val="24"/>
          <w:szCs w:val="24"/>
          <w:u w:val="single"/>
        </w:rPr>
        <w:t xml:space="preserve">Part </w:t>
      </w:r>
      <w:r>
        <w:rPr>
          <w:rFonts w:ascii="Times New Roman" w:hAnsi="Times New Roman"/>
          <w:b/>
          <w:sz w:val="24"/>
          <w:szCs w:val="24"/>
          <w:u w:val="single"/>
        </w:rPr>
        <w:t>A Supporting Statement</w:t>
      </w:r>
    </w:p>
    <w:p w:rsidR="00370F78" w:rsidRPr="00500AE4" w:rsidRDefault="00370F78" w:rsidP="00261427">
      <w:pPr>
        <w:rPr>
          <w:rFonts w:ascii="Times New Roman" w:hAnsi="Times New Roman"/>
        </w:rPr>
      </w:pPr>
      <w:r w:rsidRPr="00500AE4">
        <w:rPr>
          <w:rFonts w:ascii="Times New Roman" w:hAnsi="Times New Roman"/>
        </w:rPr>
        <w:t>(p.1)</w:t>
      </w:r>
    </w:p>
    <w:p w:rsidR="001778EC" w:rsidRPr="00500AE4" w:rsidRDefault="00C90312" w:rsidP="00261427">
      <w:pPr>
        <w:rPr>
          <w:rFonts w:ascii="Times New Roman" w:hAnsi="Times New Roman"/>
          <w:b/>
          <w:sz w:val="24"/>
          <w:szCs w:val="24"/>
          <w:u w:val="single"/>
        </w:rPr>
      </w:pPr>
      <w:r w:rsidRPr="00500AE4">
        <w:rPr>
          <w:rFonts w:ascii="Times New Roman" w:hAnsi="Times New Roman"/>
        </w:rPr>
        <w:t xml:space="preserve">The contact materials, final interview protocols, and final sample selection details for this study </w:t>
      </w:r>
      <w:r w:rsidRPr="00500AE4">
        <w:rPr>
          <w:rFonts w:ascii="Times New Roman" w:hAnsi="Times New Roman"/>
          <w:strike/>
          <w:color w:val="FF0000"/>
        </w:rPr>
        <w:t>will be submitted to OMB for review with a 30-day public comment period in fall 2018</w:t>
      </w:r>
      <w:r w:rsidRPr="00500AE4">
        <w:rPr>
          <w:rFonts w:ascii="Times New Roman" w:hAnsi="Times New Roman"/>
        </w:rPr>
        <w:t xml:space="preserve"> </w:t>
      </w:r>
      <w:r w:rsidRPr="00500AE4">
        <w:rPr>
          <w:rFonts w:ascii="Times New Roman" w:hAnsi="Times New Roman"/>
          <w:color w:val="FF0000"/>
        </w:rPr>
        <w:t>are also included in Appendix 4</w:t>
      </w:r>
      <w:r w:rsidRPr="00500AE4">
        <w:rPr>
          <w:rFonts w:ascii="Times New Roman" w:hAnsi="Times New Roman"/>
        </w:rPr>
        <w:t>.</w:t>
      </w:r>
    </w:p>
    <w:p w:rsidR="001778EC" w:rsidRPr="00370F78" w:rsidRDefault="00370F78" w:rsidP="00261427">
      <w:pPr>
        <w:rPr>
          <w:rFonts w:ascii="Times New Roman" w:hAnsi="Times New Roman"/>
          <w:sz w:val="24"/>
          <w:szCs w:val="24"/>
          <w:u w:val="single"/>
        </w:rPr>
      </w:pPr>
      <w:r w:rsidRPr="00370F78">
        <w:rPr>
          <w:rFonts w:ascii="Times New Roman" w:hAnsi="Times New Roman"/>
          <w:sz w:val="24"/>
          <w:szCs w:val="24"/>
          <w:u w:val="single"/>
        </w:rPr>
        <w:lastRenderedPageBreak/>
        <w:t>(pp.5-6)</w:t>
      </w:r>
    </w:p>
    <w:p w:rsidR="00370F78" w:rsidRPr="00216ACE" w:rsidRDefault="00370F78" w:rsidP="00370F78">
      <w:pPr>
        <w:pStyle w:val="N2-2ndBullet"/>
        <w:keepNext/>
        <w:numPr>
          <w:ilvl w:val="0"/>
          <w:numId w:val="0"/>
        </w:numPr>
        <w:tabs>
          <w:tab w:val="clear" w:pos="1728"/>
        </w:tabs>
        <w:spacing w:after="120" w:line="240" w:lineRule="auto"/>
        <w:ind w:left="720"/>
        <w:jc w:val="left"/>
        <w:rPr>
          <w:b/>
        </w:rPr>
      </w:pPr>
      <w:r w:rsidRPr="00216ACE">
        <w:rPr>
          <w:b/>
        </w:rPr>
        <w:t>In-Person Study of NHES:2019 Nonresponding Households</w:t>
      </w:r>
    </w:p>
    <w:p w:rsidR="00C80716" w:rsidRDefault="00370F78" w:rsidP="00370F78">
      <w:pPr>
        <w:pStyle w:val="P1-StandPara"/>
        <w:widowControl w:val="0"/>
        <w:spacing w:after="120" w:line="240" w:lineRule="auto"/>
        <w:ind w:firstLine="0"/>
        <w:jc w:val="left"/>
        <w:rPr>
          <w:color w:val="FF0000"/>
          <w:szCs w:val="22"/>
        </w:rPr>
      </w:pPr>
      <w:r w:rsidRPr="0004281F">
        <w:rPr>
          <w:szCs w:val="22"/>
        </w:rPr>
        <w:t>Given continued declines in response rates to both NHES and to household surveys more broadly – and the growing challenges associated with conducting cost-efficient, high-quality, representative data collections, NCES will conduct the In-Person Study of NHES:2019 Nonresponding Households during the NHES:2019 administration</w:t>
      </w:r>
      <w:r>
        <w:rPr>
          <w:szCs w:val="22"/>
        </w:rPr>
        <w:t>. This study</w:t>
      </w:r>
      <w:r w:rsidRPr="003D30DF">
        <w:rPr>
          <w:szCs w:val="22"/>
        </w:rPr>
        <w:t xml:space="preserve"> </w:t>
      </w:r>
      <w:r>
        <w:rPr>
          <w:szCs w:val="22"/>
        </w:rPr>
        <w:t>will focus on understanding the reasons for the growing level of nonresponse to NHES and to mail-based household surveys. Furthermore, the study will focus on s</w:t>
      </w:r>
      <w:r w:rsidRPr="00486E2A">
        <w:rPr>
          <w:szCs w:val="22"/>
        </w:rPr>
        <w:t>creener rather than topical nonrespondents because of the impact that screener nonresponse has on both the screener response rate and each NHES topical survey’s overall response rate; and because NHES screener response rates are lower than topical response rates.</w:t>
      </w:r>
      <w:r w:rsidRPr="00A85CD6">
        <w:rPr>
          <w:rStyle w:val="FootnoteReference"/>
          <w:szCs w:val="22"/>
        </w:rPr>
        <w:footnoteReference w:id="1"/>
      </w:r>
      <w:r>
        <w:rPr>
          <w:szCs w:val="22"/>
        </w:rPr>
        <w:t xml:space="preserve"> This study will consist of t</w:t>
      </w:r>
      <w:r w:rsidRPr="0004281F">
        <w:rPr>
          <w:szCs w:val="22"/>
        </w:rPr>
        <w:t xml:space="preserve">wo </w:t>
      </w:r>
      <w:r w:rsidRPr="00B71BEF">
        <w:rPr>
          <w:strike/>
          <w:color w:val="FF0000"/>
          <w:szCs w:val="22"/>
        </w:rPr>
        <w:t>separate interview</w:t>
      </w:r>
      <w:r w:rsidRPr="00B71BEF">
        <w:rPr>
          <w:color w:val="FF0000"/>
          <w:szCs w:val="22"/>
        </w:rPr>
        <w:t xml:space="preserve"> </w:t>
      </w:r>
      <w:r w:rsidRPr="0004281F">
        <w:rPr>
          <w:szCs w:val="22"/>
        </w:rPr>
        <w:t xml:space="preserve">operations: (a) </w:t>
      </w:r>
      <w:r w:rsidRPr="00B71BEF">
        <w:rPr>
          <w:strike/>
          <w:color w:val="FF0000"/>
          <w:szCs w:val="22"/>
        </w:rPr>
        <w:t>structured interviews and (b)</w:t>
      </w:r>
      <w:r w:rsidRPr="0004281F">
        <w:rPr>
          <w:szCs w:val="22"/>
        </w:rPr>
        <w:t xml:space="preserve"> qualitative interviews</w:t>
      </w:r>
      <w:r w:rsidRPr="00B71BEF">
        <w:rPr>
          <w:strike/>
          <w:color w:val="FF0000"/>
          <w:szCs w:val="22"/>
        </w:rPr>
        <w:t>. Due to the differences in interview protocols, data from these two sets of interviews will be analyzed separately.</w:t>
      </w:r>
      <w:r w:rsidRPr="00B71BEF">
        <w:rPr>
          <w:color w:val="FF0000"/>
          <w:szCs w:val="22"/>
        </w:rPr>
        <w:t xml:space="preserve"> and (b) address and neighborhood observations.</w:t>
      </w:r>
      <w:r w:rsidRPr="00486E2A">
        <w:rPr>
          <w:szCs w:val="22"/>
        </w:rPr>
        <w:t xml:space="preserve"> A</w:t>
      </w:r>
      <w:r>
        <w:rPr>
          <w:szCs w:val="22"/>
        </w:rPr>
        <w:t>ppendix 4</w:t>
      </w:r>
      <w:r w:rsidRPr="00486E2A">
        <w:rPr>
          <w:szCs w:val="22"/>
        </w:rPr>
        <w:t xml:space="preserve"> of this submission discusses the importance of condu</w:t>
      </w:r>
      <w:r>
        <w:rPr>
          <w:szCs w:val="22"/>
        </w:rPr>
        <w:t xml:space="preserve">cting this study and provides a </w:t>
      </w:r>
      <w:r w:rsidRPr="008617FA">
        <w:rPr>
          <w:strike/>
          <w:color w:val="FF0000"/>
          <w:szCs w:val="22"/>
        </w:rPr>
        <w:t>more</w:t>
      </w:r>
      <w:r>
        <w:rPr>
          <w:szCs w:val="22"/>
        </w:rPr>
        <w:t xml:space="preserve"> detailed</w:t>
      </w:r>
      <w:r w:rsidRPr="00486E2A">
        <w:rPr>
          <w:szCs w:val="22"/>
        </w:rPr>
        <w:t xml:space="preserve"> overvie</w:t>
      </w:r>
      <w:r w:rsidRPr="0004281F">
        <w:rPr>
          <w:szCs w:val="22"/>
        </w:rPr>
        <w:t>w of its methods.</w:t>
      </w:r>
      <w:r>
        <w:rPr>
          <w:szCs w:val="22"/>
        </w:rPr>
        <w:t xml:space="preserve"> </w:t>
      </w:r>
      <w:r w:rsidRPr="003E47B8">
        <w:rPr>
          <w:strike/>
          <w:color w:val="FF0000"/>
          <w:szCs w:val="22"/>
        </w:rPr>
        <w:t>The finalized procedures and</w:t>
      </w:r>
      <w:r w:rsidR="00AB4096" w:rsidRPr="00AB4096">
        <w:rPr>
          <w:color w:val="FF0000"/>
          <w:szCs w:val="22"/>
        </w:rPr>
        <w:t xml:space="preserve"> </w:t>
      </w:r>
      <w:r w:rsidRPr="00DE355F">
        <w:rPr>
          <w:color w:val="FF0000"/>
          <w:szCs w:val="22"/>
        </w:rPr>
        <w:t xml:space="preserve">It also </w:t>
      </w:r>
      <w:r w:rsidR="00A11191">
        <w:rPr>
          <w:color w:val="FF0000"/>
          <w:szCs w:val="22"/>
        </w:rPr>
        <w:t>provi</w:t>
      </w:r>
      <w:r w:rsidRPr="00DE355F">
        <w:rPr>
          <w:color w:val="FF0000"/>
          <w:szCs w:val="22"/>
        </w:rPr>
        <w:t xml:space="preserve">des </w:t>
      </w:r>
      <w:r w:rsidR="00A11191">
        <w:rPr>
          <w:color w:val="FF0000"/>
          <w:szCs w:val="22"/>
        </w:rPr>
        <w:t xml:space="preserve">the study’s </w:t>
      </w:r>
      <w:r w:rsidRPr="00DE355F">
        <w:rPr>
          <w:color w:val="FF0000"/>
          <w:szCs w:val="22"/>
        </w:rPr>
        <w:t>contact and interview protocol</w:t>
      </w:r>
      <w:r>
        <w:rPr>
          <w:szCs w:val="22"/>
        </w:rPr>
        <w:t xml:space="preserve"> materials </w:t>
      </w:r>
      <w:r w:rsidRPr="00A11191">
        <w:rPr>
          <w:strike/>
          <w:color w:val="FF0000"/>
          <w:szCs w:val="22"/>
        </w:rPr>
        <w:t>for the</w:t>
      </w:r>
      <w:r w:rsidRPr="00A11191">
        <w:rPr>
          <w:color w:val="FF0000"/>
          <w:szCs w:val="22"/>
        </w:rPr>
        <w:t xml:space="preserve"> </w:t>
      </w:r>
      <w:r w:rsidRPr="003E47B8">
        <w:rPr>
          <w:strike/>
          <w:color w:val="FF0000"/>
          <w:szCs w:val="22"/>
        </w:rPr>
        <w:t>In-Person Study of NHES:2019 Nonresponding Households will be submitted for OMB’s review with a 30-day public comment period in fall 2018</w:t>
      </w:r>
      <w:r w:rsidRPr="001A3588">
        <w:rPr>
          <w:szCs w:val="22"/>
        </w:rPr>
        <w:t>.</w:t>
      </w:r>
    </w:p>
    <w:p w:rsidR="00370F78" w:rsidRPr="003E47B8" w:rsidRDefault="00370F78" w:rsidP="00370F78">
      <w:pPr>
        <w:pStyle w:val="N2-2ndBullet"/>
        <w:numPr>
          <w:ilvl w:val="0"/>
          <w:numId w:val="0"/>
        </w:numPr>
        <w:tabs>
          <w:tab w:val="clear" w:pos="1728"/>
        </w:tabs>
        <w:spacing w:after="120" w:line="240" w:lineRule="auto"/>
        <w:ind w:firstLine="720"/>
        <w:jc w:val="left"/>
        <w:rPr>
          <w:i/>
          <w:strike/>
          <w:color w:val="FF0000"/>
          <w:szCs w:val="22"/>
        </w:rPr>
      </w:pPr>
      <w:r w:rsidRPr="003E47B8">
        <w:rPr>
          <w:i/>
          <w:strike/>
          <w:color w:val="FF0000"/>
          <w:szCs w:val="22"/>
        </w:rPr>
        <w:t>Structured interviews</w:t>
      </w:r>
    </w:p>
    <w:p w:rsidR="00370F78" w:rsidRPr="006568A4" w:rsidRDefault="00370F78" w:rsidP="00370F78">
      <w:pPr>
        <w:pStyle w:val="P1-StandPara"/>
        <w:spacing w:after="120" w:line="240" w:lineRule="auto"/>
        <w:ind w:firstLine="0"/>
        <w:jc w:val="left"/>
        <w:rPr>
          <w:szCs w:val="22"/>
        </w:rPr>
      </w:pPr>
      <w:r w:rsidRPr="003E47B8">
        <w:rPr>
          <w:strike/>
          <w:color w:val="FF0000"/>
          <w:szCs w:val="22"/>
        </w:rPr>
        <w:t>The primary goal of the structured interviews is to understand who lives in nonrespondent households and the household members’ primary reasons for nonresponse. Approximately 350 screener nonrespondents will be sampled and 230 structured interviews will be conducted with NHES screener nonrespondents. Sampled cases will be clustered around 2 to 4 U.S. cities and will be located within 70 miles of the center of those cities. They will be sent an advance letter that includes $2 or $5 cash</w:t>
      </w:r>
      <w:r w:rsidRPr="003E47B8">
        <w:rPr>
          <w:strike/>
          <w:color w:val="FF0000"/>
        </w:rPr>
        <w:footnoteReference w:id="2"/>
      </w:r>
      <w:r w:rsidRPr="003E47B8">
        <w:rPr>
          <w:strike/>
          <w:color w:val="FF0000"/>
          <w:szCs w:val="22"/>
        </w:rPr>
        <w:t>, invites them to participate in the in-person study, and indicates that someone will be visiting their home to ask them to complete an interview. The advance letter will not ask for a response or action from the household member, only inform them that an interviewer will visit their house. All sampled cases will be offered an additional $25 cash incentive for completing the interview. When field interviewers first reach a sampled address, they will complete a brief observation of the neighborhood and address as unobtrusively as possible to record observable characteristics of nonresponding addresses. Next, the field interviewer will attempt to conduct a 10-minute (on average) structured interview with the adult who usually opens the mail, or with another adult who is available. Most of the follow-up interview will be devoted to understanding the reason(s) for the household’s lack of response to the screener, with a particular focus on understanding at which stage this household’s response process was interrupted (e.g., did the package reach the household, did the household members open it, etc.), in addition to obtaining basic demographic characteristics and attitudes that may impact the response decision, such as privacy concerns or perceived level of burden. Interviews will be conducted in both English and Spanish.</w:t>
      </w:r>
    </w:p>
    <w:p w:rsidR="00370F78" w:rsidRPr="0076026A" w:rsidRDefault="00370F78" w:rsidP="00370F78">
      <w:pPr>
        <w:pStyle w:val="N2-2ndBullet"/>
        <w:numPr>
          <w:ilvl w:val="0"/>
          <w:numId w:val="0"/>
        </w:numPr>
        <w:tabs>
          <w:tab w:val="clear" w:pos="1728"/>
        </w:tabs>
        <w:spacing w:after="120" w:line="240" w:lineRule="auto"/>
        <w:ind w:firstLine="720"/>
        <w:jc w:val="left"/>
        <w:rPr>
          <w:b/>
          <w:i/>
        </w:rPr>
      </w:pPr>
      <w:r>
        <w:rPr>
          <w:b/>
          <w:i/>
        </w:rPr>
        <w:t>Q</w:t>
      </w:r>
      <w:r w:rsidRPr="0076026A">
        <w:rPr>
          <w:b/>
          <w:i/>
        </w:rPr>
        <w:t>ua</w:t>
      </w:r>
      <w:r>
        <w:rPr>
          <w:b/>
          <w:i/>
        </w:rPr>
        <w:t>li</w:t>
      </w:r>
      <w:r w:rsidRPr="0076026A">
        <w:rPr>
          <w:b/>
          <w:i/>
        </w:rPr>
        <w:t>tative interviews</w:t>
      </w:r>
    </w:p>
    <w:p w:rsidR="00370F78" w:rsidRDefault="00370F78" w:rsidP="00370F78">
      <w:pPr>
        <w:pStyle w:val="P1-StandPara"/>
        <w:spacing w:after="120" w:line="240" w:lineRule="auto"/>
        <w:ind w:firstLine="0"/>
        <w:jc w:val="left"/>
        <w:rPr>
          <w:szCs w:val="22"/>
        </w:rPr>
      </w:pPr>
      <w:r w:rsidRPr="006568A4">
        <w:rPr>
          <w:szCs w:val="22"/>
        </w:rPr>
        <w:t xml:space="preserve">Approximately </w:t>
      </w:r>
      <w:r w:rsidRPr="003E47B8">
        <w:rPr>
          <w:strike/>
          <w:color w:val="FF0000"/>
          <w:szCs w:val="22"/>
        </w:rPr>
        <w:t>480 additional</w:t>
      </w:r>
      <w:r w:rsidR="001A3588" w:rsidRPr="001A3588">
        <w:rPr>
          <w:color w:val="FF0000"/>
          <w:szCs w:val="22"/>
        </w:rPr>
        <w:t xml:space="preserve"> </w:t>
      </w:r>
      <w:r w:rsidRPr="00CD0AE8">
        <w:rPr>
          <w:color w:val="FF0000"/>
          <w:szCs w:val="22"/>
        </w:rPr>
        <w:t>500</w:t>
      </w:r>
      <w:r w:rsidRPr="006568A4">
        <w:rPr>
          <w:szCs w:val="22"/>
        </w:rPr>
        <w:t xml:space="preserve"> NHES</w:t>
      </w:r>
      <w:r>
        <w:rPr>
          <w:szCs w:val="22"/>
        </w:rPr>
        <w:t>:2019</w:t>
      </w:r>
      <w:r w:rsidRPr="006568A4">
        <w:rPr>
          <w:szCs w:val="22"/>
        </w:rPr>
        <w:t xml:space="preserve"> </w:t>
      </w:r>
      <w:r w:rsidRPr="00486E2A">
        <w:rPr>
          <w:szCs w:val="22"/>
        </w:rPr>
        <w:t>screener nonrespondents</w:t>
      </w:r>
      <w:r w:rsidRPr="006568A4">
        <w:rPr>
          <w:szCs w:val="22"/>
        </w:rPr>
        <w:t xml:space="preserve"> will be </w:t>
      </w:r>
      <w:r w:rsidRPr="003E47B8">
        <w:rPr>
          <w:strike/>
          <w:color w:val="FF0000"/>
          <w:szCs w:val="22"/>
        </w:rPr>
        <w:t>sampled</w:t>
      </w:r>
      <w:r w:rsidR="001A3588" w:rsidRPr="001A3588">
        <w:rPr>
          <w:color w:val="FF0000"/>
          <w:szCs w:val="22"/>
        </w:rPr>
        <w:t xml:space="preserve"> </w:t>
      </w:r>
      <w:r w:rsidRPr="00CD0AE8">
        <w:rPr>
          <w:color w:val="FF0000"/>
          <w:szCs w:val="22"/>
        </w:rPr>
        <w:t>selected</w:t>
      </w:r>
      <w:r>
        <w:rPr>
          <w:szCs w:val="22"/>
        </w:rPr>
        <w:t xml:space="preserve"> to </w:t>
      </w:r>
      <w:r w:rsidRPr="003E47B8">
        <w:rPr>
          <w:strike/>
          <w:color w:val="FF0000"/>
          <w:szCs w:val="22"/>
        </w:rPr>
        <w:t>conduct up to 80</w:t>
      </w:r>
      <w:r w:rsidR="001A3588" w:rsidRPr="001A3588">
        <w:rPr>
          <w:color w:val="FF0000"/>
          <w:szCs w:val="22"/>
        </w:rPr>
        <w:t xml:space="preserve"> </w:t>
      </w:r>
      <w:r w:rsidRPr="00CD0AE8">
        <w:rPr>
          <w:color w:val="FF0000"/>
          <w:szCs w:val="22"/>
        </w:rPr>
        <w:t>participate in</w:t>
      </w:r>
      <w:r>
        <w:rPr>
          <w:szCs w:val="22"/>
        </w:rPr>
        <w:t xml:space="preserve"> qualitative</w:t>
      </w:r>
      <w:r w:rsidRPr="003E47B8">
        <w:rPr>
          <w:strike/>
          <w:color w:val="FF0000"/>
          <w:szCs w:val="22"/>
        </w:rPr>
        <w:t>, semi-structured</w:t>
      </w:r>
      <w:r w:rsidRPr="00CD0AE8">
        <w:rPr>
          <w:color w:val="FF0000"/>
          <w:szCs w:val="22"/>
        </w:rPr>
        <w:t xml:space="preserve"> interviews, with a goal of obtaining approximately 100 completed qualitative</w:t>
      </w:r>
      <w:r w:rsidRPr="006568A4">
        <w:rPr>
          <w:szCs w:val="22"/>
        </w:rPr>
        <w:t xml:space="preserve"> interviews</w:t>
      </w:r>
      <w:r w:rsidR="006C1144">
        <w:rPr>
          <w:szCs w:val="22"/>
        </w:rPr>
        <w:t xml:space="preserve"> </w:t>
      </w:r>
      <w:r w:rsidR="006C1144" w:rsidRPr="006C1144">
        <w:rPr>
          <w:color w:val="FF0000"/>
          <w:szCs w:val="22"/>
        </w:rPr>
        <w:t>(see appendix 4 for sampling details)</w:t>
      </w:r>
      <w:r w:rsidRPr="006568A4">
        <w:rPr>
          <w:szCs w:val="22"/>
        </w:rPr>
        <w:t xml:space="preserve">. </w:t>
      </w:r>
      <w:r w:rsidRPr="0094344F">
        <w:rPr>
          <w:strike/>
          <w:color w:val="FF0000"/>
          <w:szCs w:val="22"/>
        </w:rPr>
        <w:t>The NHES:2019 screener nonrespondents may be stratified to focus on a handful of key household characteristics available on the sampling frame that are likely to drive differences in reasons for nonresponse and could be used for targeting NHES materials and contact protocols in future administrations: (1) whether the household has children living in it, (2) whether the household is Hispanic or is expected to prefer to respond in Spanish, and (3) whether the household</w:t>
      </w:r>
      <w:r w:rsidR="00E155B6" w:rsidRPr="0094344F">
        <w:rPr>
          <w:strike/>
          <w:color w:val="FF0000"/>
          <w:szCs w:val="22"/>
        </w:rPr>
        <w:t xml:space="preserve"> </w:t>
      </w:r>
      <w:r w:rsidRPr="0094344F">
        <w:rPr>
          <w:strike/>
          <w:color w:val="FF0000"/>
          <w:szCs w:val="22"/>
        </w:rPr>
        <w:t>is located in an urban area or a rural area. A final sample design and strata will be specified in the fall 2018 OMB submission (with a 30-day public comment period). Cases will be clustered near 2 to 3 U.S. cities and will be located</w:t>
      </w:r>
      <w:r w:rsidR="00F9084F" w:rsidRPr="0094344F">
        <w:rPr>
          <w:strike/>
          <w:color w:val="FF0000"/>
          <w:szCs w:val="22"/>
        </w:rPr>
        <w:t xml:space="preserve"> </w:t>
      </w:r>
      <w:r w:rsidRPr="0094344F">
        <w:rPr>
          <w:strike/>
          <w:color w:val="FF0000"/>
          <w:szCs w:val="22"/>
        </w:rPr>
        <w:t>within 70 miles of the center of those cities. The 70-mile radius will allow for sampling of rural addresses.</w:t>
      </w:r>
      <w:r>
        <w:rPr>
          <w:szCs w:val="22"/>
        </w:rPr>
        <w:t xml:space="preserve"> </w:t>
      </w:r>
      <w:r w:rsidRPr="008F29B0">
        <w:rPr>
          <w:szCs w:val="22"/>
        </w:rPr>
        <w:t xml:space="preserve">Sampled cases will be sent an </w:t>
      </w:r>
      <w:r w:rsidRPr="00911A82">
        <w:rPr>
          <w:strike/>
          <w:color w:val="FF0000"/>
          <w:szCs w:val="22"/>
        </w:rPr>
        <w:t>advance</w:t>
      </w:r>
      <w:r w:rsidR="00F9084F" w:rsidRPr="00F9084F">
        <w:rPr>
          <w:color w:val="FF0000"/>
          <w:szCs w:val="22"/>
        </w:rPr>
        <w:t xml:space="preserve"> </w:t>
      </w:r>
      <w:r w:rsidRPr="00500AE4">
        <w:rPr>
          <w:color w:val="FF0000"/>
          <w:szCs w:val="22"/>
        </w:rPr>
        <w:t>invitation</w:t>
      </w:r>
      <w:r w:rsidRPr="008F29B0">
        <w:rPr>
          <w:szCs w:val="22"/>
        </w:rPr>
        <w:t xml:space="preserve"> let</w:t>
      </w:r>
      <w:r>
        <w:rPr>
          <w:szCs w:val="22"/>
        </w:rPr>
        <w:t xml:space="preserve">ter that includes </w:t>
      </w:r>
      <w:r w:rsidRPr="00911A82">
        <w:rPr>
          <w:strike/>
          <w:color w:val="FF0000"/>
          <w:szCs w:val="22"/>
        </w:rPr>
        <w:t>$2 or</w:t>
      </w:r>
      <w:r>
        <w:rPr>
          <w:szCs w:val="22"/>
        </w:rPr>
        <w:t xml:space="preserve"> $5 </w:t>
      </w:r>
      <w:r w:rsidRPr="00F9084F">
        <w:rPr>
          <w:szCs w:val="22"/>
        </w:rPr>
        <w:t>cash</w:t>
      </w:r>
      <w:r w:rsidRPr="006926B1">
        <w:rPr>
          <w:strike/>
          <w:color w:val="FF0000"/>
          <w:szCs w:val="22"/>
          <w:vertAlign w:val="superscript"/>
        </w:rPr>
        <w:t>3</w:t>
      </w:r>
      <w:r w:rsidRPr="008F29B0">
        <w:rPr>
          <w:szCs w:val="22"/>
        </w:rPr>
        <w:t xml:space="preserve">, invites them to participate in the in-person study, </w:t>
      </w:r>
      <w:r w:rsidRPr="006926B1">
        <w:rPr>
          <w:strike/>
          <w:color w:val="FF0000"/>
          <w:szCs w:val="22"/>
        </w:rPr>
        <w:t xml:space="preserve">and indicates that someone will </w:t>
      </w:r>
      <w:r w:rsidRPr="00500AE4">
        <w:rPr>
          <w:color w:val="FF0000"/>
          <w:szCs w:val="22"/>
        </w:rPr>
        <w:t>informs them of the contingent incentive, and provides</w:t>
      </w:r>
      <w:r w:rsidR="00173C82">
        <w:rPr>
          <w:color w:val="FF0000"/>
          <w:szCs w:val="22"/>
        </w:rPr>
        <w:t xml:space="preserve"> </w:t>
      </w:r>
      <w:r w:rsidR="00B53D8B">
        <w:rPr>
          <w:color w:val="FF0000"/>
          <w:szCs w:val="22"/>
        </w:rPr>
        <w:t xml:space="preserve">them with </w:t>
      </w:r>
      <w:r w:rsidR="00173C82" w:rsidRPr="00173C82">
        <w:rPr>
          <w:color w:val="FF0000"/>
          <w:szCs w:val="22"/>
        </w:rPr>
        <w:t>NHES staff</w:t>
      </w:r>
      <w:r w:rsidRPr="00500AE4">
        <w:rPr>
          <w:color w:val="FF0000"/>
          <w:szCs w:val="22"/>
        </w:rPr>
        <w:t xml:space="preserve"> </w:t>
      </w:r>
      <w:r>
        <w:rPr>
          <w:szCs w:val="22"/>
        </w:rPr>
        <w:t xml:space="preserve">contact </w:t>
      </w:r>
      <w:r w:rsidRPr="006926B1">
        <w:rPr>
          <w:strike/>
          <w:color w:val="FF0000"/>
          <w:szCs w:val="22"/>
        </w:rPr>
        <w:t>them</w:t>
      </w:r>
      <w:r w:rsidRPr="00F1184E">
        <w:rPr>
          <w:color w:val="FF0000"/>
          <w:szCs w:val="22"/>
        </w:rPr>
        <w:t xml:space="preserve"> </w:t>
      </w:r>
      <w:r w:rsidRPr="00500AE4">
        <w:rPr>
          <w:color w:val="FF0000"/>
          <w:szCs w:val="22"/>
        </w:rPr>
        <w:t>information for letting the researchers know that they would like to participate</w:t>
      </w:r>
      <w:r w:rsidR="00173C82">
        <w:rPr>
          <w:color w:val="FF0000"/>
          <w:szCs w:val="22"/>
        </w:rPr>
        <w:t xml:space="preserve">. </w:t>
      </w:r>
      <w:r w:rsidRPr="00500AE4">
        <w:rPr>
          <w:color w:val="FF0000"/>
          <w:szCs w:val="22"/>
        </w:rPr>
        <w:t xml:space="preserve">Sample members that do not respond </w:t>
      </w:r>
      <w:r>
        <w:rPr>
          <w:szCs w:val="22"/>
        </w:rPr>
        <w:t xml:space="preserve">to </w:t>
      </w:r>
      <w:r w:rsidRPr="006926B1">
        <w:rPr>
          <w:strike/>
          <w:color w:val="FF0000"/>
          <w:szCs w:val="22"/>
        </w:rPr>
        <w:t>schedule</w:t>
      </w:r>
      <w:r w:rsidR="00173C82" w:rsidRPr="00173C82">
        <w:rPr>
          <w:color w:val="FF0000"/>
          <w:szCs w:val="22"/>
        </w:rPr>
        <w:t xml:space="preserve"> </w:t>
      </w:r>
      <w:r w:rsidRPr="00500AE4">
        <w:rPr>
          <w:color w:val="FF0000"/>
          <w:szCs w:val="22"/>
        </w:rPr>
        <w:t>the invitation letter will receive up to two additional reminder postcards</w:t>
      </w:r>
      <w:r w:rsidR="00173C82">
        <w:rPr>
          <w:color w:val="FF0000"/>
          <w:szCs w:val="22"/>
        </w:rPr>
        <w:t>. A</w:t>
      </w:r>
      <w:r w:rsidRPr="00500AE4">
        <w:rPr>
          <w:color w:val="FF0000"/>
          <w:szCs w:val="22"/>
        </w:rPr>
        <w:t xml:space="preserve">ddresses with telephone numbers will </w:t>
      </w:r>
      <w:r w:rsidR="009748E4">
        <w:rPr>
          <w:color w:val="FF0000"/>
          <w:szCs w:val="22"/>
        </w:rPr>
        <w:t>additionally</w:t>
      </w:r>
      <w:r w:rsidRPr="00500AE4">
        <w:rPr>
          <w:color w:val="FF0000"/>
          <w:szCs w:val="22"/>
        </w:rPr>
        <w:t xml:space="preserve"> receive up to 4 phone call reminders. An in-person recruitment period will also take place, where all households that have neither agreed nor declined to participate will be visited by</w:t>
      </w:r>
      <w:r w:rsidRPr="0072783F">
        <w:rPr>
          <w:szCs w:val="22"/>
        </w:rPr>
        <w:t xml:space="preserve"> an interviewer</w:t>
      </w:r>
      <w:r w:rsidRPr="009748E4">
        <w:rPr>
          <w:szCs w:val="22"/>
        </w:rPr>
        <w:t>.</w:t>
      </w:r>
      <w:r w:rsidRPr="00500AE4">
        <w:rPr>
          <w:color w:val="FF0000"/>
          <w:szCs w:val="22"/>
        </w:rPr>
        <w:t xml:space="preserve"> The follow-up mailings will be spread out over several weeks and will be paired with in-person recruitment.</w:t>
      </w:r>
      <w:r>
        <w:rPr>
          <w:szCs w:val="22"/>
        </w:rPr>
        <w:t xml:space="preserve"> </w:t>
      </w:r>
      <w:r w:rsidRPr="008F29B0">
        <w:rPr>
          <w:szCs w:val="22"/>
        </w:rPr>
        <w:t>All</w:t>
      </w:r>
      <w:r w:rsidRPr="00500AE4">
        <w:rPr>
          <w:color w:val="FF0000"/>
          <w:szCs w:val="22"/>
        </w:rPr>
        <w:t xml:space="preserve"> sampled</w:t>
      </w:r>
      <w:r>
        <w:rPr>
          <w:szCs w:val="22"/>
        </w:rPr>
        <w:t xml:space="preserve"> </w:t>
      </w:r>
      <w:r w:rsidRPr="008F29B0">
        <w:rPr>
          <w:szCs w:val="22"/>
        </w:rPr>
        <w:t xml:space="preserve">cases will be offered an additional $120 </w:t>
      </w:r>
      <w:r>
        <w:rPr>
          <w:szCs w:val="22"/>
        </w:rPr>
        <w:t xml:space="preserve">cash </w:t>
      </w:r>
      <w:r w:rsidRPr="008F29B0">
        <w:rPr>
          <w:szCs w:val="22"/>
        </w:rPr>
        <w:t xml:space="preserve">incentive for completing the </w:t>
      </w:r>
      <w:r>
        <w:rPr>
          <w:szCs w:val="22"/>
        </w:rPr>
        <w:t xml:space="preserve">90-minute </w:t>
      </w:r>
      <w:r w:rsidRPr="008F29B0">
        <w:rPr>
          <w:szCs w:val="22"/>
        </w:rPr>
        <w:t xml:space="preserve">interview and this incentive will be mentioned in all recruitment materials. </w:t>
      </w:r>
      <w:r w:rsidRPr="006568A4">
        <w:rPr>
          <w:szCs w:val="22"/>
        </w:rPr>
        <w:t>Interviews will be conducted in both English and Spanish</w:t>
      </w:r>
      <w:r>
        <w:rPr>
          <w:szCs w:val="22"/>
        </w:rPr>
        <w:t xml:space="preserve">, and </w:t>
      </w:r>
      <w:r w:rsidRPr="006568A4">
        <w:rPr>
          <w:szCs w:val="22"/>
        </w:rPr>
        <w:t>will be audio-recorde</w:t>
      </w:r>
      <w:r>
        <w:rPr>
          <w:szCs w:val="22"/>
        </w:rPr>
        <w:t>d, with participant</w:t>
      </w:r>
      <w:r w:rsidR="00E105D1" w:rsidRPr="00E105D1">
        <w:rPr>
          <w:color w:val="FF0000"/>
          <w:szCs w:val="22"/>
        </w:rPr>
        <w:t>’s</w:t>
      </w:r>
      <w:r>
        <w:rPr>
          <w:szCs w:val="22"/>
        </w:rPr>
        <w:t xml:space="preserve"> permission</w:t>
      </w:r>
      <w:r w:rsidRPr="00E105D1">
        <w:rPr>
          <w:color w:val="FF0000"/>
          <w:szCs w:val="22"/>
        </w:rPr>
        <w:t xml:space="preserve"> </w:t>
      </w:r>
      <w:r w:rsidRPr="006926B1">
        <w:rPr>
          <w:strike/>
          <w:color w:val="FF0000"/>
          <w:szCs w:val="22"/>
        </w:rPr>
        <w:t>(note that due to their brevity and structured nature, the structured interviews will not be audio recorded)</w:t>
      </w:r>
      <w:r>
        <w:rPr>
          <w:szCs w:val="22"/>
        </w:rPr>
        <w:t>.</w:t>
      </w:r>
    </w:p>
    <w:p w:rsidR="00370F78" w:rsidRPr="00500AE4" w:rsidRDefault="00370F78" w:rsidP="00500AE4">
      <w:pPr>
        <w:pStyle w:val="N2-2ndBullet"/>
        <w:numPr>
          <w:ilvl w:val="0"/>
          <w:numId w:val="0"/>
        </w:numPr>
        <w:tabs>
          <w:tab w:val="clear" w:pos="1728"/>
        </w:tabs>
        <w:spacing w:after="0" w:line="240" w:lineRule="auto"/>
        <w:ind w:firstLine="720"/>
        <w:jc w:val="left"/>
        <w:rPr>
          <w:b/>
          <w:i/>
          <w:color w:val="FF0000"/>
        </w:rPr>
      </w:pPr>
      <w:r w:rsidRPr="00500AE4">
        <w:rPr>
          <w:b/>
          <w:i/>
          <w:color w:val="FF0000"/>
        </w:rPr>
        <w:t>Address and neighborhood observations</w:t>
      </w:r>
    </w:p>
    <w:p w:rsidR="00370F78" w:rsidRPr="00500AE4" w:rsidRDefault="004B1A7A" w:rsidP="00C547CB">
      <w:pPr>
        <w:spacing w:after="120" w:line="240" w:lineRule="auto"/>
        <w:rPr>
          <w:rFonts w:ascii="Times New Roman" w:hAnsi="Times New Roman"/>
          <w:color w:val="FF0000"/>
        </w:rPr>
      </w:pPr>
      <w:r w:rsidRPr="004B1A7A">
        <w:rPr>
          <w:rFonts w:ascii="Times New Roman" w:hAnsi="Times New Roman"/>
          <w:color w:val="FF0000"/>
        </w:rPr>
        <w:t xml:space="preserve">Approximately 750 addresses will be sampled from among NHES:2019 early screener nonrespondents for address and neighborhood observations. Of these, 500 will be selected for and invited to take part in the qualitative interview study (to yield approximately 100 completed 90-minute interviews). If nonresponse clustering patterns result in lower than estimated cost of observing and interviewing the target numbers of addresses, more addresses will be selected for the address/neighborhood observations. The objective of these observations is to determine the types of addresses that are prone to nonresponse or having their NHES mailings be undeliverable, and to assess the accuracy of the information available </w:t>
      </w:r>
      <w:r>
        <w:rPr>
          <w:rFonts w:ascii="Times New Roman" w:hAnsi="Times New Roman"/>
          <w:color w:val="FF0000"/>
        </w:rPr>
        <w:t>on the frame for such addresses</w:t>
      </w:r>
      <w:r w:rsidR="00370F78" w:rsidRPr="00500AE4">
        <w:rPr>
          <w:rFonts w:ascii="Times New Roman" w:hAnsi="Times New Roman"/>
          <w:color w:val="FF0000"/>
        </w:rPr>
        <w:t>.</w:t>
      </w:r>
    </w:p>
    <w:p w:rsidR="00370F78" w:rsidRDefault="0054037C" w:rsidP="00261427">
      <w:pPr>
        <w:rPr>
          <w:rFonts w:ascii="Times New Roman" w:hAnsi="Times New Roman"/>
          <w:sz w:val="24"/>
          <w:szCs w:val="24"/>
        </w:rPr>
      </w:pPr>
      <w:r>
        <w:rPr>
          <w:rFonts w:ascii="Times New Roman" w:hAnsi="Times New Roman"/>
          <w:sz w:val="24"/>
          <w:szCs w:val="24"/>
        </w:rPr>
        <w:t>(p.10)</w:t>
      </w:r>
    </w:p>
    <w:p w:rsidR="0054037C" w:rsidRPr="0054037C" w:rsidRDefault="0054037C" w:rsidP="0054037C">
      <w:pPr>
        <w:spacing w:after="120" w:line="240" w:lineRule="auto"/>
        <w:rPr>
          <w:rFonts w:ascii="Times New Roman" w:hAnsi="Times New Roman"/>
          <w:sz w:val="24"/>
          <w:szCs w:val="24"/>
        </w:rPr>
      </w:pPr>
      <w:r w:rsidRPr="0054037C">
        <w:rPr>
          <w:rFonts w:ascii="Times New Roman" w:hAnsi="Times New Roman"/>
          <w:i/>
        </w:rPr>
        <w:t xml:space="preserve">In-Person Study of NHES:2019 Nonresponding Households incentives. </w:t>
      </w:r>
      <w:r w:rsidRPr="0054037C">
        <w:rPr>
          <w:rFonts w:ascii="Times New Roman" w:hAnsi="Times New Roman"/>
          <w:strike/>
          <w:color w:val="FF0000"/>
        </w:rPr>
        <w:t>Sampled cases</w:t>
      </w:r>
      <w:r w:rsidRPr="0054037C">
        <w:rPr>
          <w:rFonts w:ascii="Times New Roman" w:hAnsi="Times New Roman"/>
          <w:color w:val="FF0000"/>
        </w:rPr>
        <w:t xml:space="preserve"> Cases sampled for the qualitative interview</w:t>
      </w:r>
      <w:r w:rsidRPr="0054037C">
        <w:rPr>
          <w:rFonts w:ascii="Times New Roman" w:hAnsi="Times New Roman"/>
        </w:rPr>
        <w:t xml:space="preserve"> will be sent an advance letter that includes </w:t>
      </w:r>
      <w:r w:rsidRPr="0054037C">
        <w:rPr>
          <w:rFonts w:ascii="Times New Roman" w:hAnsi="Times New Roman"/>
          <w:strike/>
          <w:color w:val="FF0000"/>
        </w:rPr>
        <w:t>$2 or</w:t>
      </w:r>
      <w:r w:rsidRPr="0054037C">
        <w:rPr>
          <w:rFonts w:ascii="Times New Roman" w:hAnsi="Times New Roman"/>
          <w:color w:val="FF0000"/>
        </w:rPr>
        <w:t xml:space="preserve"> </w:t>
      </w:r>
      <w:r w:rsidRPr="0054037C">
        <w:rPr>
          <w:rFonts w:ascii="Times New Roman" w:hAnsi="Times New Roman"/>
        </w:rPr>
        <w:t>$5 cash</w:t>
      </w:r>
      <w:r w:rsidRPr="0054037C">
        <w:rPr>
          <w:rStyle w:val="FootnoteReference"/>
          <w:rFonts w:ascii="Times New Roman" w:hAnsi="Times New Roman"/>
          <w:strike/>
          <w:color w:val="FF0000"/>
        </w:rPr>
        <w:footnoteReference w:id="3"/>
      </w:r>
      <w:r w:rsidRPr="0054037C">
        <w:rPr>
          <w:rFonts w:ascii="Times New Roman" w:hAnsi="Times New Roman"/>
        </w:rPr>
        <w:t xml:space="preserve"> and invites them to participate in the in-person study. All cases sampled for the </w:t>
      </w:r>
      <w:r w:rsidRPr="0054037C">
        <w:rPr>
          <w:rFonts w:ascii="Times New Roman" w:hAnsi="Times New Roman"/>
          <w:strike/>
          <w:color w:val="FF0000"/>
        </w:rPr>
        <w:t>structured interview will be offered an additional $25 in cash for completing the 10-minute in-person interview, while all cases sampled for the</w:t>
      </w:r>
      <w:r w:rsidRPr="0054037C">
        <w:rPr>
          <w:rFonts w:ascii="Times New Roman" w:hAnsi="Times New Roman"/>
          <w:color w:val="FF0000"/>
        </w:rPr>
        <w:t xml:space="preserve"> </w:t>
      </w:r>
      <w:r w:rsidRPr="0054037C">
        <w:rPr>
          <w:rFonts w:ascii="Times New Roman" w:hAnsi="Times New Roman"/>
        </w:rPr>
        <w:t>qualitative interview will be offered an additional $120 in cash for completing the 90-minute in-person interview. These incentives are designed to demonstrate to participants that their time and participation is valued and to take into account that both samples are comprised of households that have already shown reluctance to participate in the survey (see Appendix 4 for additional discussion of the incentive amount)</w:t>
      </w:r>
      <w:r w:rsidRPr="0054037C">
        <w:rPr>
          <w:rFonts w:ascii="Times New Roman" w:eastAsiaTheme="majorEastAsia" w:hAnsi="Times New Roman"/>
        </w:rPr>
        <w:t>.</w:t>
      </w:r>
    </w:p>
    <w:p w:rsidR="001778EC" w:rsidRDefault="00924E9A" w:rsidP="00261427">
      <w:pPr>
        <w:rPr>
          <w:rFonts w:ascii="Times New Roman" w:hAnsi="Times New Roman"/>
          <w:sz w:val="24"/>
          <w:szCs w:val="24"/>
        </w:rPr>
      </w:pPr>
      <w:r>
        <w:rPr>
          <w:rFonts w:ascii="Times New Roman" w:hAnsi="Times New Roman"/>
          <w:sz w:val="24"/>
          <w:szCs w:val="24"/>
        </w:rPr>
        <w:t>(p.13)</w:t>
      </w:r>
    </w:p>
    <w:tbl>
      <w:tblPr>
        <w:tblW w:w="5000" w:type="pct"/>
        <w:tblLook w:val="04A0" w:firstRow="1" w:lastRow="0" w:firstColumn="1" w:lastColumn="0" w:noHBand="0" w:noVBand="1"/>
      </w:tblPr>
      <w:tblGrid>
        <w:gridCol w:w="237"/>
        <w:gridCol w:w="3449"/>
        <w:gridCol w:w="916"/>
        <w:gridCol w:w="1392"/>
        <w:gridCol w:w="1332"/>
        <w:gridCol w:w="1463"/>
        <w:gridCol w:w="931"/>
        <w:gridCol w:w="1008"/>
      </w:tblGrid>
      <w:tr w:rsidR="005B177B" w:rsidRPr="00322812" w:rsidTr="00C81A1A">
        <w:trPr>
          <w:cantSplit/>
          <w:trHeight w:val="315"/>
        </w:trPr>
        <w:tc>
          <w:tcPr>
            <w:tcW w:w="110" w:type="pct"/>
            <w:tcBorders>
              <w:top w:val="nil"/>
              <w:left w:val="nil"/>
              <w:bottom w:val="single" w:sz="12" w:space="0" w:color="auto"/>
              <w:right w:val="nil"/>
            </w:tcBorders>
            <w:shd w:val="clear" w:color="auto" w:fill="auto"/>
          </w:tcPr>
          <w:p w:rsidR="005B177B" w:rsidRPr="00322812" w:rsidRDefault="005B177B" w:rsidP="005D707E">
            <w:pPr>
              <w:pStyle w:val="Heading2"/>
              <w:spacing w:before="0" w:line="240" w:lineRule="auto"/>
              <w:rPr>
                <w:rFonts w:ascii="Times New Roman" w:hAnsi="Times New Roman" w:cs="Times New Roman"/>
              </w:rPr>
            </w:pPr>
          </w:p>
        </w:tc>
        <w:tc>
          <w:tcPr>
            <w:tcW w:w="4890" w:type="pct"/>
            <w:gridSpan w:val="7"/>
            <w:tcBorders>
              <w:top w:val="nil"/>
              <w:left w:val="nil"/>
              <w:bottom w:val="single" w:sz="12" w:space="0" w:color="auto"/>
              <w:right w:val="nil"/>
            </w:tcBorders>
            <w:shd w:val="clear" w:color="auto" w:fill="auto"/>
            <w:noWrap/>
            <w:vAlign w:val="bottom"/>
            <w:hideMark/>
          </w:tcPr>
          <w:p w:rsidR="005B177B" w:rsidRPr="00322812" w:rsidRDefault="005B177B" w:rsidP="005D707E">
            <w:pPr>
              <w:pStyle w:val="Heading2"/>
              <w:spacing w:before="0" w:line="240" w:lineRule="auto"/>
              <w:rPr>
                <w:rFonts w:ascii="Times New Roman" w:hAnsi="Times New Roman" w:cs="Times New Roman"/>
              </w:rPr>
            </w:pPr>
            <w:r w:rsidRPr="00322812">
              <w:rPr>
                <w:rFonts w:ascii="Times New Roman" w:hAnsi="Times New Roman" w:cs="Times New Roman"/>
              </w:rPr>
              <w:br w:type="page"/>
            </w:r>
            <w:bookmarkStart w:id="1" w:name="_Toc512938283"/>
            <w:bookmarkStart w:id="2" w:name="_Hlk508647547"/>
            <w:r w:rsidRPr="00322812">
              <w:rPr>
                <w:rFonts w:ascii="Times New Roman" w:hAnsi="Times New Roman" w:cs="Times New Roman"/>
              </w:rPr>
              <w:t>Table 1. Estimated response burden for NHES:2019</w:t>
            </w:r>
            <w:bookmarkEnd w:id="1"/>
          </w:p>
        </w:tc>
      </w:tr>
      <w:tr w:rsidR="00936DD3" w:rsidRPr="00322812" w:rsidTr="00C81A1A">
        <w:trPr>
          <w:cantSplit/>
          <w:trHeight w:val="144"/>
        </w:trPr>
        <w:tc>
          <w:tcPr>
            <w:tcW w:w="1717" w:type="pct"/>
            <w:gridSpan w:val="2"/>
            <w:tcBorders>
              <w:top w:val="nil"/>
              <w:left w:val="nil"/>
              <w:bottom w:val="single" w:sz="12" w:space="0" w:color="auto"/>
              <w:right w:val="nil"/>
            </w:tcBorders>
            <w:shd w:val="clear" w:color="auto" w:fill="auto"/>
            <w:vAlign w:val="center"/>
            <w:hideMark/>
          </w:tcPr>
          <w:p w:rsidR="005B177B" w:rsidRPr="00322812" w:rsidRDefault="005B177B" w:rsidP="005D707E">
            <w:pPr>
              <w:spacing w:after="0" w:line="240" w:lineRule="auto"/>
              <w:rPr>
                <w:rFonts w:ascii="Times New Roman" w:hAnsi="Times New Roman"/>
                <w:color w:val="000000"/>
                <w:sz w:val="18"/>
                <w:szCs w:val="18"/>
              </w:rPr>
            </w:pPr>
            <w:r w:rsidRPr="00322812">
              <w:rPr>
                <w:rFonts w:ascii="Times New Roman" w:hAnsi="Times New Roman"/>
                <w:color w:val="000000"/>
                <w:sz w:val="18"/>
                <w:szCs w:val="18"/>
              </w:rPr>
              <w:t>Interview forms</w:t>
            </w:r>
          </w:p>
        </w:tc>
        <w:tc>
          <w:tcPr>
            <w:tcW w:w="427" w:type="pct"/>
            <w:tcBorders>
              <w:top w:val="nil"/>
              <w:left w:val="nil"/>
              <w:bottom w:val="single" w:sz="12" w:space="0" w:color="auto"/>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Number Sampled</w:t>
            </w:r>
          </w:p>
        </w:tc>
        <w:tc>
          <w:tcPr>
            <w:tcW w:w="649" w:type="pct"/>
            <w:tcBorders>
              <w:top w:val="nil"/>
              <w:left w:val="nil"/>
              <w:bottom w:val="single" w:sz="12" w:space="0" w:color="auto"/>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Anticipated Response Rate</w:t>
            </w:r>
          </w:p>
        </w:tc>
        <w:tc>
          <w:tcPr>
            <w:tcW w:w="621" w:type="pct"/>
            <w:tcBorders>
              <w:top w:val="nil"/>
              <w:left w:val="nil"/>
              <w:bottom w:val="single" w:sz="12" w:space="0" w:color="auto"/>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Estimated Number of Respondents</w:t>
            </w:r>
          </w:p>
        </w:tc>
        <w:tc>
          <w:tcPr>
            <w:tcW w:w="682" w:type="pct"/>
            <w:tcBorders>
              <w:top w:val="nil"/>
              <w:left w:val="nil"/>
              <w:bottom w:val="single" w:sz="12" w:space="0" w:color="auto"/>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Estimated Number of Responses</w:t>
            </w:r>
          </w:p>
        </w:tc>
        <w:tc>
          <w:tcPr>
            <w:tcW w:w="434" w:type="pct"/>
            <w:tcBorders>
              <w:top w:val="nil"/>
              <w:left w:val="nil"/>
              <w:bottom w:val="single" w:sz="12" w:space="0" w:color="auto"/>
              <w:right w:val="nil"/>
            </w:tcBorders>
            <w:shd w:val="clear" w:color="auto" w:fill="auto"/>
            <w:vAlign w:val="center"/>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Average Time Per Response (minutes)</w:t>
            </w:r>
          </w:p>
        </w:tc>
        <w:tc>
          <w:tcPr>
            <w:tcW w:w="470" w:type="pct"/>
            <w:tcBorders>
              <w:top w:val="nil"/>
              <w:left w:val="nil"/>
              <w:bottom w:val="single" w:sz="12" w:space="0" w:color="auto"/>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Total Time (hours)</w:t>
            </w:r>
          </w:p>
        </w:tc>
      </w:tr>
      <w:tr w:rsidR="00936DD3" w:rsidRPr="00322812" w:rsidTr="00C81A1A">
        <w:trPr>
          <w:cantSplit/>
          <w:trHeight w:val="144"/>
        </w:trPr>
        <w:tc>
          <w:tcPr>
            <w:tcW w:w="1717" w:type="pct"/>
            <w:gridSpan w:val="2"/>
            <w:tcBorders>
              <w:top w:val="nil"/>
              <w:left w:val="nil"/>
              <w:bottom w:val="nil"/>
              <w:right w:val="nil"/>
            </w:tcBorders>
            <w:shd w:val="clear" w:color="auto" w:fill="auto"/>
            <w:vAlign w:val="center"/>
          </w:tcPr>
          <w:p w:rsidR="005B177B" w:rsidRPr="00322812" w:rsidRDefault="005B177B" w:rsidP="005D707E">
            <w:pPr>
              <w:spacing w:after="0" w:line="240" w:lineRule="auto"/>
              <w:rPr>
                <w:rFonts w:ascii="Times New Roman" w:hAnsi="Times New Roman"/>
                <w:b/>
                <w:color w:val="000000"/>
                <w:sz w:val="18"/>
                <w:szCs w:val="18"/>
              </w:rPr>
            </w:pPr>
            <w:r w:rsidRPr="00322812">
              <w:rPr>
                <w:rFonts w:ascii="Times New Roman" w:hAnsi="Times New Roman"/>
                <w:b/>
                <w:color w:val="000000"/>
                <w:sz w:val="18"/>
                <w:szCs w:val="18"/>
              </w:rPr>
              <w:t>Main study</w:t>
            </w:r>
            <w:r w:rsidRPr="00322812">
              <w:rPr>
                <w:rFonts w:ascii="Times New Roman" w:hAnsi="Times New Roman"/>
                <w:b/>
                <w:color w:val="000000"/>
                <w:sz w:val="18"/>
                <w:szCs w:val="18"/>
                <w:vertAlign w:val="superscript"/>
              </w:rPr>
              <w:t>1</w:t>
            </w:r>
          </w:p>
        </w:tc>
        <w:tc>
          <w:tcPr>
            <w:tcW w:w="427" w:type="pct"/>
            <w:tcBorders>
              <w:top w:val="nil"/>
              <w:left w:val="nil"/>
              <w:bottom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color w:val="000000"/>
                <w:sz w:val="18"/>
                <w:szCs w:val="18"/>
              </w:rPr>
            </w:pPr>
          </w:p>
        </w:tc>
        <w:tc>
          <w:tcPr>
            <w:tcW w:w="649" w:type="pct"/>
            <w:tcBorders>
              <w:top w:val="nil"/>
              <w:left w:val="nil"/>
              <w:bottom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color w:val="000000"/>
                <w:sz w:val="18"/>
                <w:szCs w:val="18"/>
              </w:rPr>
            </w:pPr>
          </w:p>
        </w:tc>
        <w:tc>
          <w:tcPr>
            <w:tcW w:w="621" w:type="pct"/>
            <w:tcBorders>
              <w:top w:val="nil"/>
              <w:left w:val="nil"/>
              <w:bottom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color w:val="000000"/>
                <w:sz w:val="18"/>
                <w:szCs w:val="18"/>
              </w:rPr>
            </w:pPr>
          </w:p>
        </w:tc>
        <w:tc>
          <w:tcPr>
            <w:tcW w:w="682" w:type="pct"/>
            <w:tcBorders>
              <w:top w:val="nil"/>
              <w:left w:val="nil"/>
              <w:bottom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color w:val="000000"/>
                <w:sz w:val="18"/>
                <w:szCs w:val="18"/>
              </w:rPr>
            </w:pPr>
          </w:p>
        </w:tc>
        <w:tc>
          <w:tcPr>
            <w:tcW w:w="434" w:type="pct"/>
            <w:tcBorders>
              <w:top w:val="nil"/>
              <w:left w:val="nil"/>
              <w:bottom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color w:val="000000"/>
                <w:sz w:val="18"/>
                <w:szCs w:val="18"/>
              </w:rPr>
            </w:pPr>
          </w:p>
        </w:tc>
        <w:tc>
          <w:tcPr>
            <w:tcW w:w="470" w:type="pct"/>
            <w:tcBorders>
              <w:top w:val="nil"/>
              <w:left w:val="nil"/>
              <w:bottom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color w:val="000000"/>
                <w:sz w:val="18"/>
                <w:szCs w:val="18"/>
              </w:rPr>
            </w:pPr>
          </w:p>
        </w:tc>
      </w:tr>
      <w:tr w:rsidR="00936DD3" w:rsidRPr="00322812" w:rsidTr="00C81A1A">
        <w:trPr>
          <w:cantSplit/>
          <w:trHeight w:val="144"/>
        </w:trPr>
        <w:tc>
          <w:tcPr>
            <w:tcW w:w="1717" w:type="pct"/>
            <w:gridSpan w:val="2"/>
            <w:tcBorders>
              <w:top w:val="nil"/>
              <w:left w:val="nil"/>
              <w:bottom w:val="nil"/>
              <w:right w:val="nil"/>
            </w:tcBorders>
            <w:shd w:val="clear" w:color="auto" w:fill="auto"/>
            <w:vAlign w:val="center"/>
            <w:hideMark/>
          </w:tcPr>
          <w:p w:rsidR="005B177B" w:rsidRPr="00322812" w:rsidRDefault="005B177B" w:rsidP="005D707E">
            <w:pPr>
              <w:spacing w:after="0" w:line="240" w:lineRule="auto"/>
              <w:rPr>
                <w:rFonts w:ascii="Times New Roman" w:hAnsi="Times New Roman"/>
                <w:color w:val="000000"/>
                <w:sz w:val="18"/>
                <w:szCs w:val="18"/>
              </w:rPr>
            </w:pPr>
            <w:r w:rsidRPr="00322812">
              <w:rPr>
                <w:rFonts w:ascii="Times New Roman" w:hAnsi="Times New Roman"/>
                <w:color w:val="000000"/>
                <w:sz w:val="18"/>
                <w:szCs w:val="18"/>
              </w:rPr>
              <w:t xml:space="preserve">  Screener</w:t>
            </w:r>
          </w:p>
        </w:tc>
        <w:tc>
          <w:tcPr>
            <w:tcW w:w="427" w:type="pct"/>
            <w:tcBorders>
              <w:top w:val="nil"/>
              <w:left w:val="nil"/>
              <w:bottom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205,000*</w:t>
            </w:r>
          </w:p>
        </w:tc>
        <w:tc>
          <w:tcPr>
            <w:tcW w:w="649" w:type="pct"/>
            <w:tcBorders>
              <w:top w:val="nil"/>
              <w:left w:val="nil"/>
              <w:bottom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53.545%*</w:t>
            </w:r>
          </w:p>
        </w:tc>
        <w:tc>
          <w:tcPr>
            <w:tcW w:w="621" w:type="pct"/>
            <w:tcBorders>
              <w:top w:val="nil"/>
              <w:left w:val="nil"/>
              <w:bottom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98,790</w:t>
            </w:r>
          </w:p>
        </w:tc>
        <w:tc>
          <w:tcPr>
            <w:tcW w:w="682" w:type="pct"/>
            <w:tcBorders>
              <w:top w:val="nil"/>
              <w:left w:val="nil"/>
              <w:bottom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98,790</w:t>
            </w:r>
          </w:p>
        </w:tc>
        <w:tc>
          <w:tcPr>
            <w:tcW w:w="434" w:type="pct"/>
            <w:tcBorders>
              <w:top w:val="nil"/>
              <w:left w:val="nil"/>
              <w:bottom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3</w:t>
            </w:r>
          </w:p>
        </w:tc>
        <w:tc>
          <w:tcPr>
            <w:tcW w:w="470" w:type="pct"/>
            <w:tcBorders>
              <w:top w:val="nil"/>
              <w:left w:val="nil"/>
              <w:bottom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4,940</w:t>
            </w:r>
          </w:p>
        </w:tc>
      </w:tr>
      <w:tr w:rsidR="00936DD3" w:rsidRPr="00322812" w:rsidTr="00C81A1A">
        <w:trPr>
          <w:cantSplit/>
          <w:trHeight w:val="144"/>
        </w:trPr>
        <w:tc>
          <w:tcPr>
            <w:tcW w:w="1717" w:type="pct"/>
            <w:gridSpan w:val="2"/>
            <w:tcBorders>
              <w:top w:val="nil"/>
              <w:left w:val="nil"/>
              <w:bottom w:val="nil"/>
              <w:right w:val="nil"/>
            </w:tcBorders>
            <w:shd w:val="clear" w:color="auto" w:fill="auto"/>
            <w:vAlign w:val="center"/>
            <w:hideMark/>
          </w:tcPr>
          <w:p w:rsidR="005B177B" w:rsidRPr="00322812" w:rsidRDefault="005B177B" w:rsidP="005D707E">
            <w:pPr>
              <w:spacing w:after="0" w:line="240" w:lineRule="auto"/>
              <w:rPr>
                <w:rFonts w:ascii="Times New Roman" w:hAnsi="Times New Roman"/>
                <w:color w:val="000000"/>
                <w:sz w:val="18"/>
                <w:szCs w:val="18"/>
              </w:rPr>
            </w:pPr>
            <w:r w:rsidRPr="00322812">
              <w:rPr>
                <w:rFonts w:ascii="Times New Roman" w:hAnsi="Times New Roman"/>
                <w:color w:val="000000"/>
                <w:sz w:val="18"/>
                <w:szCs w:val="18"/>
              </w:rPr>
              <w:t xml:space="preserve">  ECPP questionnaire</w:t>
            </w:r>
          </w:p>
        </w:tc>
        <w:tc>
          <w:tcPr>
            <w:tcW w:w="427" w:type="pct"/>
            <w:tcBorders>
              <w:top w:val="nil"/>
              <w:left w:val="nil"/>
              <w:bottom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8,495</w:t>
            </w:r>
          </w:p>
        </w:tc>
        <w:tc>
          <w:tcPr>
            <w:tcW w:w="649" w:type="pct"/>
            <w:tcBorders>
              <w:top w:val="nil"/>
              <w:left w:val="nil"/>
              <w:bottom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82.220%</w:t>
            </w:r>
          </w:p>
        </w:tc>
        <w:tc>
          <w:tcPr>
            <w:tcW w:w="621" w:type="pct"/>
            <w:tcBorders>
              <w:top w:val="nil"/>
              <w:left w:val="nil"/>
              <w:bottom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6,984</w:t>
            </w:r>
          </w:p>
        </w:tc>
        <w:tc>
          <w:tcPr>
            <w:tcW w:w="682" w:type="pct"/>
            <w:tcBorders>
              <w:top w:val="nil"/>
              <w:left w:val="nil"/>
              <w:bottom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6,984</w:t>
            </w:r>
          </w:p>
        </w:tc>
        <w:tc>
          <w:tcPr>
            <w:tcW w:w="434" w:type="pct"/>
            <w:tcBorders>
              <w:top w:val="nil"/>
              <w:left w:val="nil"/>
              <w:bottom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20</w:t>
            </w:r>
          </w:p>
        </w:tc>
        <w:tc>
          <w:tcPr>
            <w:tcW w:w="470" w:type="pct"/>
            <w:tcBorders>
              <w:top w:val="nil"/>
              <w:left w:val="nil"/>
              <w:bottom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2,328</w:t>
            </w:r>
          </w:p>
        </w:tc>
      </w:tr>
      <w:tr w:rsidR="00936DD3" w:rsidRPr="00322812" w:rsidTr="00C81A1A">
        <w:trPr>
          <w:cantSplit/>
          <w:trHeight w:val="144"/>
        </w:trPr>
        <w:tc>
          <w:tcPr>
            <w:tcW w:w="1717" w:type="pct"/>
            <w:gridSpan w:val="2"/>
            <w:tcBorders>
              <w:top w:val="nil"/>
              <w:left w:val="nil"/>
              <w:right w:val="nil"/>
            </w:tcBorders>
            <w:shd w:val="clear" w:color="auto" w:fill="auto"/>
            <w:vAlign w:val="center"/>
            <w:hideMark/>
          </w:tcPr>
          <w:p w:rsidR="005B177B" w:rsidRPr="00322812" w:rsidRDefault="005B177B" w:rsidP="005D707E">
            <w:pPr>
              <w:spacing w:after="0" w:line="240" w:lineRule="auto"/>
              <w:rPr>
                <w:rFonts w:ascii="Times New Roman" w:hAnsi="Times New Roman"/>
                <w:color w:val="000000"/>
                <w:sz w:val="18"/>
                <w:szCs w:val="18"/>
              </w:rPr>
            </w:pPr>
            <w:r w:rsidRPr="00322812">
              <w:rPr>
                <w:rFonts w:ascii="Times New Roman" w:hAnsi="Times New Roman"/>
                <w:color w:val="000000"/>
                <w:sz w:val="18"/>
                <w:szCs w:val="18"/>
              </w:rPr>
              <w:t xml:space="preserve">  PFI questionnaire</w:t>
            </w:r>
          </w:p>
        </w:tc>
        <w:tc>
          <w:tcPr>
            <w:tcW w:w="427" w:type="pct"/>
            <w:tcBorders>
              <w:top w:val="nil"/>
              <w:left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19,893</w:t>
            </w:r>
          </w:p>
        </w:tc>
        <w:tc>
          <w:tcPr>
            <w:tcW w:w="649" w:type="pct"/>
            <w:tcBorders>
              <w:top w:val="nil"/>
              <w:left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82.910%</w:t>
            </w:r>
          </w:p>
        </w:tc>
        <w:tc>
          <w:tcPr>
            <w:tcW w:w="621" w:type="pct"/>
            <w:tcBorders>
              <w:top w:val="nil"/>
              <w:left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16,493</w:t>
            </w:r>
          </w:p>
        </w:tc>
        <w:tc>
          <w:tcPr>
            <w:tcW w:w="682" w:type="pct"/>
            <w:tcBorders>
              <w:top w:val="nil"/>
              <w:left w:val="nil"/>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16,493</w:t>
            </w:r>
          </w:p>
        </w:tc>
        <w:tc>
          <w:tcPr>
            <w:tcW w:w="434" w:type="pct"/>
            <w:tcBorders>
              <w:top w:val="nil"/>
              <w:left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20</w:t>
            </w:r>
          </w:p>
        </w:tc>
        <w:tc>
          <w:tcPr>
            <w:tcW w:w="470" w:type="pct"/>
            <w:tcBorders>
              <w:top w:val="nil"/>
              <w:left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5,498</w:t>
            </w:r>
          </w:p>
        </w:tc>
      </w:tr>
      <w:tr w:rsidR="00936DD3" w:rsidRPr="00322812" w:rsidTr="00C81A1A">
        <w:trPr>
          <w:cantSplit/>
          <w:trHeight w:val="144"/>
        </w:trPr>
        <w:tc>
          <w:tcPr>
            <w:tcW w:w="1717" w:type="pct"/>
            <w:gridSpan w:val="2"/>
            <w:tcBorders>
              <w:top w:val="nil"/>
              <w:left w:val="nil"/>
              <w:right w:val="nil"/>
            </w:tcBorders>
            <w:shd w:val="clear" w:color="auto" w:fill="auto"/>
            <w:vAlign w:val="center"/>
          </w:tcPr>
          <w:p w:rsidR="005B177B" w:rsidRPr="00322812" w:rsidRDefault="005B177B" w:rsidP="005D707E">
            <w:pPr>
              <w:spacing w:after="0" w:line="240" w:lineRule="auto"/>
              <w:rPr>
                <w:rFonts w:ascii="Times New Roman" w:hAnsi="Times New Roman"/>
                <w:b/>
                <w:color w:val="000000"/>
                <w:sz w:val="18"/>
                <w:szCs w:val="18"/>
              </w:rPr>
            </w:pPr>
            <w:r w:rsidRPr="00322812">
              <w:rPr>
                <w:rFonts w:ascii="Times New Roman" w:hAnsi="Times New Roman"/>
                <w:b/>
                <w:color w:val="000000"/>
                <w:sz w:val="18"/>
                <w:szCs w:val="18"/>
              </w:rPr>
              <w:t>Nonresponding household study</w:t>
            </w:r>
            <w:r w:rsidRPr="00322812">
              <w:rPr>
                <w:rFonts w:ascii="Times New Roman" w:hAnsi="Times New Roman"/>
                <w:b/>
                <w:color w:val="000000"/>
                <w:sz w:val="18"/>
                <w:szCs w:val="18"/>
                <w:vertAlign w:val="superscript"/>
              </w:rPr>
              <w:t>2</w:t>
            </w:r>
          </w:p>
        </w:tc>
        <w:tc>
          <w:tcPr>
            <w:tcW w:w="427" w:type="pct"/>
            <w:tcBorders>
              <w:top w:val="nil"/>
              <w:left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color w:val="000000"/>
                <w:sz w:val="18"/>
                <w:szCs w:val="18"/>
              </w:rPr>
            </w:pPr>
          </w:p>
        </w:tc>
        <w:tc>
          <w:tcPr>
            <w:tcW w:w="649" w:type="pct"/>
            <w:tcBorders>
              <w:top w:val="nil"/>
              <w:left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color w:val="000000"/>
                <w:sz w:val="18"/>
                <w:szCs w:val="18"/>
              </w:rPr>
            </w:pPr>
          </w:p>
        </w:tc>
        <w:tc>
          <w:tcPr>
            <w:tcW w:w="621" w:type="pct"/>
            <w:tcBorders>
              <w:top w:val="nil"/>
              <w:left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color w:val="000000"/>
                <w:sz w:val="18"/>
                <w:szCs w:val="18"/>
              </w:rPr>
            </w:pPr>
          </w:p>
        </w:tc>
        <w:tc>
          <w:tcPr>
            <w:tcW w:w="682" w:type="pct"/>
            <w:tcBorders>
              <w:top w:val="nil"/>
              <w:left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color w:val="000000"/>
                <w:sz w:val="18"/>
                <w:szCs w:val="18"/>
              </w:rPr>
            </w:pPr>
          </w:p>
        </w:tc>
        <w:tc>
          <w:tcPr>
            <w:tcW w:w="434" w:type="pct"/>
            <w:tcBorders>
              <w:top w:val="nil"/>
              <w:left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color w:val="000000"/>
                <w:sz w:val="18"/>
                <w:szCs w:val="18"/>
              </w:rPr>
            </w:pPr>
          </w:p>
        </w:tc>
        <w:tc>
          <w:tcPr>
            <w:tcW w:w="470" w:type="pct"/>
            <w:tcBorders>
              <w:top w:val="nil"/>
              <w:left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color w:val="000000"/>
                <w:sz w:val="18"/>
                <w:szCs w:val="18"/>
              </w:rPr>
            </w:pPr>
          </w:p>
        </w:tc>
      </w:tr>
      <w:tr w:rsidR="001870F3" w:rsidRPr="001870F3" w:rsidTr="00C81A1A">
        <w:trPr>
          <w:cantSplit/>
          <w:trHeight w:val="144"/>
        </w:trPr>
        <w:tc>
          <w:tcPr>
            <w:tcW w:w="1717" w:type="pct"/>
            <w:gridSpan w:val="2"/>
            <w:tcBorders>
              <w:top w:val="nil"/>
              <w:left w:val="nil"/>
              <w:right w:val="nil"/>
            </w:tcBorders>
            <w:shd w:val="clear" w:color="auto" w:fill="auto"/>
            <w:vAlign w:val="center"/>
          </w:tcPr>
          <w:p w:rsidR="005B177B" w:rsidRPr="001870F3" w:rsidRDefault="005B177B" w:rsidP="005D707E">
            <w:pPr>
              <w:spacing w:after="0" w:line="240" w:lineRule="auto"/>
              <w:ind w:left="75"/>
              <w:rPr>
                <w:rFonts w:ascii="Times New Roman" w:hAnsi="Times New Roman"/>
                <w:strike/>
                <w:color w:val="FF0000"/>
                <w:sz w:val="18"/>
                <w:szCs w:val="18"/>
              </w:rPr>
            </w:pPr>
            <w:r w:rsidRPr="001870F3">
              <w:rPr>
                <w:rFonts w:ascii="Times New Roman" w:hAnsi="Times New Roman"/>
                <w:strike/>
                <w:color w:val="FF0000"/>
                <w:sz w:val="18"/>
                <w:szCs w:val="18"/>
              </w:rPr>
              <w:t>Structured interview recruitment screener</w:t>
            </w:r>
          </w:p>
        </w:tc>
        <w:tc>
          <w:tcPr>
            <w:tcW w:w="427" w:type="pct"/>
            <w:tcBorders>
              <w:top w:val="nil"/>
              <w:left w:val="nil"/>
              <w:right w:val="nil"/>
            </w:tcBorders>
            <w:shd w:val="clear" w:color="auto" w:fill="auto"/>
            <w:vAlign w:val="center"/>
          </w:tcPr>
          <w:p w:rsidR="005B177B" w:rsidRPr="001870F3" w:rsidRDefault="005B177B" w:rsidP="005D707E">
            <w:pPr>
              <w:spacing w:after="0" w:line="240" w:lineRule="auto"/>
              <w:jc w:val="right"/>
              <w:rPr>
                <w:rFonts w:ascii="Times New Roman" w:hAnsi="Times New Roman"/>
                <w:strike/>
                <w:color w:val="FF0000"/>
                <w:sz w:val="18"/>
                <w:szCs w:val="18"/>
              </w:rPr>
            </w:pPr>
            <w:r w:rsidRPr="001870F3">
              <w:rPr>
                <w:rFonts w:ascii="Times New Roman" w:hAnsi="Times New Roman"/>
                <w:strike/>
                <w:color w:val="FF0000"/>
                <w:sz w:val="18"/>
                <w:szCs w:val="18"/>
              </w:rPr>
              <w:t>350</w:t>
            </w:r>
          </w:p>
        </w:tc>
        <w:tc>
          <w:tcPr>
            <w:tcW w:w="649" w:type="pct"/>
            <w:tcBorders>
              <w:top w:val="nil"/>
              <w:left w:val="nil"/>
              <w:right w:val="nil"/>
            </w:tcBorders>
            <w:shd w:val="clear" w:color="auto" w:fill="auto"/>
            <w:vAlign w:val="center"/>
          </w:tcPr>
          <w:p w:rsidR="005B177B" w:rsidRPr="001870F3" w:rsidRDefault="005B177B" w:rsidP="005D707E">
            <w:pPr>
              <w:spacing w:after="0" w:line="240" w:lineRule="auto"/>
              <w:jc w:val="right"/>
              <w:rPr>
                <w:rFonts w:ascii="Times New Roman" w:hAnsi="Times New Roman"/>
                <w:strike/>
                <w:color w:val="FF0000"/>
                <w:sz w:val="18"/>
                <w:szCs w:val="18"/>
              </w:rPr>
            </w:pPr>
            <w:r w:rsidRPr="001870F3">
              <w:rPr>
                <w:rFonts w:ascii="Times New Roman" w:hAnsi="Times New Roman"/>
                <w:strike/>
                <w:color w:val="FF0000"/>
                <w:sz w:val="18"/>
                <w:szCs w:val="18"/>
              </w:rPr>
              <w:t>85.714%</w:t>
            </w:r>
          </w:p>
        </w:tc>
        <w:tc>
          <w:tcPr>
            <w:tcW w:w="621" w:type="pct"/>
            <w:tcBorders>
              <w:top w:val="nil"/>
              <w:left w:val="nil"/>
              <w:right w:val="nil"/>
            </w:tcBorders>
            <w:shd w:val="clear" w:color="auto" w:fill="auto"/>
            <w:vAlign w:val="center"/>
          </w:tcPr>
          <w:p w:rsidR="005B177B" w:rsidRPr="001870F3" w:rsidRDefault="005B177B" w:rsidP="005D707E">
            <w:pPr>
              <w:spacing w:after="0" w:line="240" w:lineRule="auto"/>
              <w:jc w:val="right"/>
              <w:rPr>
                <w:rFonts w:ascii="Times New Roman" w:hAnsi="Times New Roman"/>
                <w:strike/>
                <w:color w:val="FF0000"/>
                <w:sz w:val="18"/>
                <w:szCs w:val="18"/>
              </w:rPr>
            </w:pPr>
            <w:r w:rsidRPr="001870F3">
              <w:rPr>
                <w:rFonts w:ascii="Times New Roman" w:hAnsi="Times New Roman"/>
                <w:strike/>
                <w:color w:val="FF0000"/>
                <w:sz w:val="18"/>
                <w:szCs w:val="18"/>
              </w:rPr>
              <w:t>300</w:t>
            </w:r>
          </w:p>
        </w:tc>
        <w:tc>
          <w:tcPr>
            <w:tcW w:w="682" w:type="pct"/>
            <w:tcBorders>
              <w:top w:val="nil"/>
              <w:left w:val="nil"/>
              <w:right w:val="nil"/>
            </w:tcBorders>
            <w:shd w:val="clear" w:color="auto" w:fill="auto"/>
            <w:vAlign w:val="center"/>
          </w:tcPr>
          <w:p w:rsidR="005B177B" w:rsidRPr="001870F3" w:rsidRDefault="005B177B" w:rsidP="005D707E">
            <w:pPr>
              <w:spacing w:after="0" w:line="240" w:lineRule="auto"/>
              <w:jc w:val="right"/>
              <w:rPr>
                <w:rFonts w:ascii="Times New Roman" w:hAnsi="Times New Roman"/>
                <w:strike/>
                <w:color w:val="FF0000"/>
                <w:sz w:val="18"/>
                <w:szCs w:val="18"/>
              </w:rPr>
            </w:pPr>
            <w:r w:rsidRPr="001870F3">
              <w:rPr>
                <w:rFonts w:ascii="Times New Roman" w:hAnsi="Times New Roman"/>
                <w:strike/>
                <w:color w:val="FF0000"/>
                <w:sz w:val="18"/>
                <w:szCs w:val="18"/>
              </w:rPr>
              <w:t>300</w:t>
            </w:r>
          </w:p>
        </w:tc>
        <w:tc>
          <w:tcPr>
            <w:tcW w:w="434" w:type="pct"/>
            <w:tcBorders>
              <w:top w:val="nil"/>
              <w:left w:val="nil"/>
              <w:right w:val="nil"/>
            </w:tcBorders>
            <w:shd w:val="clear" w:color="auto" w:fill="auto"/>
            <w:vAlign w:val="center"/>
          </w:tcPr>
          <w:p w:rsidR="005B177B" w:rsidRPr="001870F3" w:rsidRDefault="005B177B" w:rsidP="005D707E">
            <w:pPr>
              <w:spacing w:after="0" w:line="240" w:lineRule="auto"/>
              <w:jc w:val="right"/>
              <w:rPr>
                <w:rFonts w:ascii="Times New Roman" w:hAnsi="Times New Roman"/>
                <w:strike/>
                <w:color w:val="FF0000"/>
                <w:sz w:val="18"/>
                <w:szCs w:val="18"/>
              </w:rPr>
            </w:pPr>
            <w:r w:rsidRPr="001870F3">
              <w:rPr>
                <w:rFonts w:ascii="Times New Roman" w:hAnsi="Times New Roman"/>
                <w:strike/>
                <w:color w:val="FF0000"/>
                <w:sz w:val="18"/>
                <w:szCs w:val="18"/>
              </w:rPr>
              <w:t>3</w:t>
            </w:r>
          </w:p>
        </w:tc>
        <w:tc>
          <w:tcPr>
            <w:tcW w:w="470" w:type="pct"/>
            <w:tcBorders>
              <w:top w:val="nil"/>
              <w:left w:val="nil"/>
              <w:right w:val="nil"/>
            </w:tcBorders>
            <w:shd w:val="clear" w:color="auto" w:fill="auto"/>
            <w:vAlign w:val="center"/>
          </w:tcPr>
          <w:p w:rsidR="005B177B" w:rsidRPr="001870F3" w:rsidRDefault="005B177B" w:rsidP="005D707E">
            <w:pPr>
              <w:spacing w:after="0" w:line="240" w:lineRule="auto"/>
              <w:jc w:val="right"/>
              <w:rPr>
                <w:rFonts w:ascii="Times New Roman" w:hAnsi="Times New Roman"/>
                <w:strike/>
                <w:color w:val="FF0000"/>
                <w:sz w:val="18"/>
                <w:szCs w:val="18"/>
              </w:rPr>
            </w:pPr>
            <w:r w:rsidRPr="001870F3">
              <w:rPr>
                <w:rFonts w:ascii="Times New Roman" w:hAnsi="Times New Roman"/>
                <w:strike/>
                <w:color w:val="FF0000"/>
                <w:sz w:val="18"/>
                <w:szCs w:val="18"/>
              </w:rPr>
              <w:t>15</w:t>
            </w:r>
          </w:p>
        </w:tc>
      </w:tr>
      <w:tr w:rsidR="001870F3" w:rsidRPr="001870F3" w:rsidTr="00C81A1A">
        <w:trPr>
          <w:cantSplit/>
          <w:trHeight w:val="144"/>
        </w:trPr>
        <w:tc>
          <w:tcPr>
            <w:tcW w:w="1717" w:type="pct"/>
            <w:gridSpan w:val="2"/>
            <w:tcBorders>
              <w:top w:val="nil"/>
              <w:left w:val="nil"/>
              <w:right w:val="nil"/>
            </w:tcBorders>
            <w:shd w:val="clear" w:color="auto" w:fill="auto"/>
            <w:vAlign w:val="center"/>
          </w:tcPr>
          <w:p w:rsidR="005B177B" w:rsidRPr="001870F3" w:rsidRDefault="005B177B" w:rsidP="005D707E">
            <w:pPr>
              <w:spacing w:after="0" w:line="240" w:lineRule="auto"/>
              <w:ind w:left="75"/>
              <w:rPr>
                <w:rFonts w:ascii="Times New Roman" w:hAnsi="Times New Roman"/>
                <w:strike/>
                <w:color w:val="FF0000"/>
                <w:sz w:val="18"/>
                <w:szCs w:val="18"/>
              </w:rPr>
            </w:pPr>
            <w:r w:rsidRPr="001870F3">
              <w:rPr>
                <w:rFonts w:ascii="Times New Roman" w:hAnsi="Times New Roman"/>
                <w:strike/>
                <w:color w:val="FF0000"/>
                <w:sz w:val="18"/>
                <w:szCs w:val="18"/>
              </w:rPr>
              <w:t>Structured interview</w:t>
            </w:r>
          </w:p>
        </w:tc>
        <w:tc>
          <w:tcPr>
            <w:tcW w:w="427" w:type="pct"/>
            <w:tcBorders>
              <w:top w:val="nil"/>
              <w:left w:val="nil"/>
              <w:right w:val="nil"/>
            </w:tcBorders>
            <w:shd w:val="clear" w:color="auto" w:fill="auto"/>
            <w:vAlign w:val="center"/>
          </w:tcPr>
          <w:p w:rsidR="005B177B" w:rsidRPr="001870F3" w:rsidRDefault="005B177B" w:rsidP="005D707E">
            <w:pPr>
              <w:spacing w:after="0" w:line="240" w:lineRule="auto"/>
              <w:jc w:val="right"/>
              <w:rPr>
                <w:rFonts w:ascii="Times New Roman" w:hAnsi="Times New Roman"/>
                <w:strike/>
                <w:color w:val="FF0000"/>
                <w:sz w:val="18"/>
                <w:szCs w:val="18"/>
              </w:rPr>
            </w:pPr>
            <w:r w:rsidRPr="001870F3">
              <w:rPr>
                <w:rFonts w:ascii="Times New Roman" w:hAnsi="Times New Roman"/>
                <w:strike/>
                <w:color w:val="FF0000"/>
                <w:sz w:val="18"/>
                <w:szCs w:val="18"/>
              </w:rPr>
              <w:t>300</w:t>
            </w:r>
          </w:p>
        </w:tc>
        <w:tc>
          <w:tcPr>
            <w:tcW w:w="649" w:type="pct"/>
            <w:tcBorders>
              <w:top w:val="nil"/>
              <w:left w:val="nil"/>
              <w:right w:val="nil"/>
            </w:tcBorders>
            <w:shd w:val="clear" w:color="auto" w:fill="auto"/>
            <w:vAlign w:val="center"/>
          </w:tcPr>
          <w:p w:rsidR="005B177B" w:rsidRPr="001870F3" w:rsidRDefault="005B177B" w:rsidP="005D707E">
            <w:pPr>
              <w:spacing w:after="0" w:line="240" w:lineRule="auto"/>
              <w:jc w:val="right"/>
              <w:rPr>
                <w:rFonts w:ascii="Times New Roman" w:hAnsi="Times New Roman"/>
                <w:strike/>
                <w:color w:val="FF0000"/>
                <w:sz w:val="18"/>
                <w:szCs w:val="18"/>
              </w:rPr>
            </w:pPr>
            <w:r w:rsidRPr="001870F3">
              <w:rPr>
                <w:rFonts w:ascii="Times New Roman" w:hAnsi="Times New Roman"/>
                <w:strike/>
                <w:color w:val="FF0000"/>
                <w:sz w:val="18"/>
                <w:szCs w:val="18"/>
              </w:rPr>
              <w:t>76.667%</w:t>
            </w:r>
          </w:p>
        </w:tc>
        <w:tc>
          <w:tcPr>
            <w:tcW w:w="621" w:type="pct"/>
            <w:tcBorders>
              <w:top w:val="nil"/>
              <w:left w:val="nil"/>
              <w:right w:val="nil"/>
            </w:tcBorders>
            <w:shd w:val="clear" w:color="auto" w:fill="auto"/>
            <w:vAlign w:val="center"/>
          </w:tcPr>
          <w:p w:rsidR="005B177B" w:rsidRPr="001870F3" w:rsidRDefault="005B177B" w:rsidP="005D707E">
            <w:pPr>
              <w:spacing w:after="0" w:line="240" w:lineRule="auto"/>
              <w:jc w:val="right"/>
              <w:rPr>
                <w:rFonts w:ascii="Times New Roman" w:hAnsi="Times New Roman"/>
                <w:strike/>
                <w:color w:val="FF0000"/>
                <w:sz w:val="18"/>
                <w:szCs w:val="18"/>
              </w:rPr>
            </w:pPr>
            <w:r w:rsidRPr="001870F3">
              <w:rPr>
                <w:rFonts w:ascii="Times New Roman" w:hAnsi="Times New Roman"/>
                <w:strike/>
                <w:color w:val="FF0000"/>
                <w:sz w:val="18"/>
                <w:szCs w:val="18"/>
              </w:rPr>
              <w:t>230</w:t>
            </w:r>
          </w:p>
        </w:tc>
        <w:tc>
          <w:tcPr>
            <w:tcW w:w="682" w:type="pct"/>
            <w:tcBorders>
              <w:top w:val="nil"/>
              <w:left w:val="nil"/>
              <w:right w:val="nil"/>
            </w:tcBorders>
            <w:shd w:val="clear" w:color="auto" w:fill="auto"/>
            <w:vAlign w:val="center"/>
          </w:tcPr>
          <w:p w:rsidR="005B177B" w:rsidRPr="001870F3" w:rsidRDefault="005B177B" w:rsidP="005D707E">
            <w:pPr>
              <w:spacing w:after="0" w:line="240" w:lineRule="auto"/>
              <w:jc w:val="right"/>
              <w:rPr>
                <w:rFonts w:ascii="Times New Roman" w:hAnsi="Times New Roman"/>
                <w:strike/>
                <w:color w:val="FF0000"/>
                <w:sz w:val="18"/>
                <w:szCs w:val="18"/>
              </w:rPr>
            </w:pPr>
            <w:r w:rsidRPr="001870F3">
              <w:rPr>
                <w:rFonts w:ascii="Times New Roman" w:hAnsi="Times New Roman"/>
                <w:strike/>
                <w:color w:val="FF0000"/>
                <w:sz w:val="18"/>
                <w:szCs w:val="18"/>
              </w:rPr>
              <w:t>230</w:t>
            </w:r>
          </w:p>
        </w:tc>
        <w:tc>
          <w:tcPr>
            <w:tcW w:w="434" w:type="pct"/>
            <w:tcBorders>
              <w:top w:val="nil"/>
              <w:left w:val="nil"/>
              <w:right w:val="nil"/>
            </w:tcBorders>
            <w:shd w:val="clear" w:color="auto" w:fill="auto"/>
            <w:vAlign w:val="center"/>
          </w:tcPr>
          <w:p w:rsidR="005B177B" w:rsidRPr="001870F3" w:rsidRDefault="005B177B" w:rsidP="005D707E">
            <w:pPr>
              <w:spacing w:after="0" w:line="240" w:lineRule="auto"/>
              <w:jc w:val="right"/>
              <w:rPr>
                <w:rFonts w:ascii="Times New Roman" w:hAnsi="Times New Roman"/>
                <w:strike/>
                <w:color w:val="FF0000"/>
                <w:sz w:val="18"/>
                <w:szCs w:val="18"/>
              </w:rPr>
            </w:pPr>
            <w:r w:rsidRPr="001870F3">
              <w:rPr>
                <w:rFonts w:ascii="Times New Roman" w:hAnsi="Times New Roman"/>
                <w:strike/>
                <w:color w:val="FF0000"/>
                <w:sz w:val="18"/>
                <w:szCs w:val="18"/>
              </w:rPr>
              <w:t>10</w:t>
            </w:r>
          </w:p>
        </w:tc>
        <w:tc>
          <w:tcPr>
            <w:tcW w:w="470" w:type="pct"/>
            <w:tcBorders>
              <w:top w:val="nil"/>
              <w:left w:val="nil"/>
              <w:right w:val="nil"/>
            </w:tcBorders>
            <w:shd w:val="clear" w:color="auto" w:fill="auto"/>
            <w:vAlign w:val="center"/>
          </w:tcPr>
          <w:p w:rsidR="005B177B" w:rsidRPr="001870F3" w:rsidRDefault="005B177B" w:rsidP="005D707E">
            <w:pPr>
              <w:spacing w:after="0" w:line="240" w:lineRule="auto"/>
              <w:jc w:val="right"/>
              <w:rPr>
                <w:rFonts w:ascii="Times New Roman" w:hAnsi="Times New Roman"/>
                <w:strike/>
                <w:color w:val="FF0000"/>
                <w:sz w:val="18"/>
                <w:szCs w:val="18"/>
              </w:rPr>
            </w:pPr>
            <w:r w:rsidRPr="001870F3">
              <w:rPr>
                <w:rFonts w:ascii="Times New Roman" w:hAnsi="Times New Roman"/>
                <w:strike/>
                <w:color w:val="FF0000"/>
                <w:sz w:val="18"/>
                <w:szCs w:val="18"/>
              </w:rPr>
              <w:t>38</w:t>
            </w:r>
          </w:p>
        </w:tc>
      </w:tr>
      <w:tr w:rsidR="00936DD3" w:rsidRPr="00322812" w:rsidTr="00C81A1A">
        <w:trPr>
          <w:cantSplit/>
          <w:trHeight w:val="144"/>
        </w:trPr>
        <w:tc>
          <w:tcPr>
            <w:tcW w:w="1717" w:type="pct"/>
            <w:gridSpan w:val="2"/>
            <w:tcBorders>
              <w:top w:val="nil"/>
              <w:left w:val="nil"/>
              <w:right w:val="nil"/>
            </w:tcBorders>
            <w:shd w:val="clear" w:color="auto" w:fill="auto"/>
            <w:vAlign w:val="center"/>
          </w:tcPr>
          <w:p w:rsidR="005B177B" w:rsidRPr="00322812" w:rsidRDefault="005B177B" w:rsidP="005D707E">
            <w:pPr>
              <w:spacing w:after="0" w:line="240" w:lineRule="auto"/>
              <w:ind w:left="75"/>
              <w:rPr>
                <w:rFonts w:ascii="Times New Roman" w:hAnsi="Times New Roman"/>
                <w:color w:val="000000"/>
                <w:sz w:val="18"/>
                <w:szCs w:val="18"/>
              </w:rPr>
            </w:pPr>
            <w:r w:rsidRPr="00322812">
              <w:rPr>
                <w:rFonts w:ascii="Times New Roman" w:hAnsi="Times New Roman"/>
                <w:color w:val="000000"/>
                <w:sz w:val="18"/>
                <w:szCs w:val="18"/>
              </w:rPr>
              <w:t>Qualitative interview recruitment screener</w:t>
            </w:r>
          </w:p>
        </w:tc>
        <w:tc>
          <w:tcPr>
            <w:tcW w:w="427" w:type="pct"/>
            <w:tcBorders>
              <w:top w:val="nil"/>
              <w:left w:val="nil"/>
              <w:right w:val="nil"/>
            </w:tcBorders>
            <w:shd w:val="clear" w:color="auto" w:fill="auto"/>
            <w:vAlign w:val="center"/>
          </w:tcPr>
          <w:p w:rsidR="005B177B" w:rsidRPr="007D16DC" w:rsidRDefault="005B177B" w:rsidP="005D707E">
            <w:pPr>
              <w:spacing w:after="0" w:line="240" w:lineRule="auto"/>
              <w:jc w:val="right"/>
              <w:rPr>
                <w:rFonts w:ascii="Times New Roman" w:hAnsi="Times New Roman"/>
                <w:color w:val="FF0000"/>
                <w:sz w:val="18"/>
                <w:szCs w:val="18"/>
              </w:rPr>
            </w:pPr>
            <w:r w:rsidRPr="007D16DC">
              <w:rPr>
                <w:rFonts w:ascii="Times New Roman" w:hAnsi="Times New Roman"/>
                <w:strike/>
                <w:color w:val="FF0000"/>
                <w:sz w:val="18"/>
                <w:szCs w:val="18"/>
              </w:rPr>
              <w:t>480</w:t>
            </w:r>
            <w:r w:rsidR="007E1975" w:rsidRPr="007E1975">
              <w:rPr>
                <w:rFonts w:ascii="Times New Roman" w:hAnsi="Times New Roman"/>
                <w:color w:val="FF0000"/>
                <w:sz w:val="18"/>
                <w:szCs w:val="18"/>
              </w:rPr>
              <w:t xml:space="preserve"> </w:t>
            </w:r>
            <w:r w:rsidRPr="007D16DC">
              <w:rPr>
                <w:rFonts w:ascii="Times New Roman" w:hAnsi="Times New Roman"/>
                <w:color w:val="FF0000"/>
                <w:sz w:val="18"/>
                <w:szCs w:val="18"/>
              </w:rPr>
              <w:t>500</w:t>
            </w:r>
          </w:p>
        </w:tc>
        <w:tc>
          <w:tcPr>
            <w:tcW w:w="649" w:type="pct"/>
            <w:tcBorders>
              <w:top w:val="nil"/>
              <w:left w:val="nil"/>
              <w:right w:val="nil"/>
            </w:tcBorders>
            <w:shd w:val="clear" w:color="auto" w:fill="auto"/>
            <w:vAlign w:val="center"/>
          </w:tcPr>
          <w:p w:rsidR="005B177B" w:rsidRPr="007D16DC" w:rsidRDefault="005B177B" w:rsidP="005D707E">
            <w:pPr>
              <w:spacing w:after="0" w:line="240" w:lineRule="auto"/>
              <w:jc w:val="right"/>
              <w:rPr>
                <w:rFonts w:ascii="Times New Roman" w:hAnsi="Times New Roman"/>
                <w:color w:val="FF0000"/>
                <w:sz w:val="18"/>
                <w:szCs w:val="18"/>
              </w:rPr>
            </w:pPr>
            <w:r w:rsidRPr="00863978">
              <w:rPr>
                <w:rFonts w:ascii="Times New Roman" w:hAnsi="Times New Roman"/>
                <w:strike/>
                <w:color w:val="FF0000"/>
                <w:sz w:val="18"/>
                <w:szCs w:val="18"/>
              </w:rPr>
              <w:t>62.500</w:t>
            </w:r>
            <w:r w:rsidR="007E1975" w:rsidRPr="007E1975">
              <w:rPr>
                <w:rFonts w:ascii="Times New Roman" w:hAnsi="Times New Roman"/>
                <w:color w:val="FF0000"/>
                <w:sz w:val="18"/>
                <w:szCs w:val="18"/>
              </w:rPr>
              <w:t xml:space="preserve"> </w:t>
            </w:r>
            <w:r w:rsidRPr="007D16DC">
              <w:rPr>
                <w:rFonts w:ascii="Times New Roman" w:hAnsi="Times New Roman"/>
                <w:color w:val="FF0000"/>
                <w:sz w:val="18"/>
                <w:szCs w:val="18"/>
              </w:rPr>
              <w:t>75.000%</w:t>
            </w:r>
          </w:p>
        </w:tc>
        <w:tc>
          <w:tcPr>
            <w:tcW w:w="621" w:type="pct"/>
            <w:tcBorders>
              <w:top w:val="nil"/>
              <w:left w:val="nil"/>
              <w:right w:val="nil"/>
            </w:tcBorders>
            <w:shd w:val="clear" w:color="auto" w:fill="auto"/>
            <w:vAlign w:val="center"/>
          </w:tcPr>
          <w:p w:rsidR="005B177B" w:rsidRPr="007D16DC" w:rsidRDefault="005B177B" w:rsidP="005D707E">
            <w:pPr>
              <w:spacing w:after="0" w:line="240" w:lineRule="auto"/>
              <w:jc w:val="right"/>
              <w:rPr>
                <w:rFonts w:ascii="Times New Roman" w:hAnsi="Times New Roman"/>
                <w:color w:val="FF0000"/>
                <w:sz w:val="18"/>
                <w:szCs w:val="18"/>
              </w:rPr>
            </w:pPr>
            <w:r w:rsidRPr="00863978">
              <w:rPr>
                <w:rFonts w:ascii="Times New Roman" w:hAnsi="Times New Roman"/>
                <w:strike/>
                <w:color w:val="FF0000"/>
                <w:sz w:val="18"/>
                <w:szCs w:val="18"/>
              </w:rPr>
              <w:t>300</w:t>
            </w:r>
            <w:r w:rsidR="00D774A8" w:rsidRPr="00D774A8">
              <w:rPr>
                <w:rFonts w:ascii="Times New Roman" w:hAnsi="Times New Roman"/>
                <w:color w:val="FF0000"/>
                <w:sz w:val="18"/>
                <w:szCs w:val="18"/>
              </w:rPr>
              <w:t xml:space="preserve"> </w:t>
            </w:r>
            <w:r w:rsidRPr="007D16DC">
              <w:rPr>
                <w:rFonts w:ascii="Times New Roman" w:hAnsi="Times New Roman"/>
                <w:color w:val="FF0000"/>
                <w:sz w:val="18"/>
                <w:szCs w:val="18"/>
              </w:rPr>
              <w:t>375</w:t>
            </w:r>
          </w:p>
        </w:tc>
        <w:tc>
          <w:tcPr>
            <w:tcW w:w="682" w:type="pct"/>
            <w:tcBorders>
              <w:top w:val="nil"/>
              <w:left w:val="nil"/>
              <w:right w:val="nil"/>
            </w:tcBorders>
            <w:shd w:val="clear" w:color="auto" w:fill="auto"/>
            <w:vAlign w:val="center"/>
          </w:tcPr>
          <w:p w:rsidR="005B177B" w:rsidRPr="007D16DC" w:rsidRDefault="005B177B" w:rsidP="005D707E">
            <w:pPr>
              <w:spacing w:after="0" w:line="240" w:lineRule="auto"/>
              <w:jc w:val="right"/>
              <w:rPr>
                <w:rFonts w:ascii="Times New Roman" w:hAnsi="Times New Roman"/>
                <w:color w:val="FF0000"/>
                <w:sz w:val="18"/>
                <w:szCs w:val="18"/>
              </w:rPr>
            </w:pPr>
            <w:r w:rsidRPr="00863978">
              <w:rPr>
                <w:rFonts w:ascii="Times New Roman" w:hAnsi="Times New Roman"/>
                <w:strike/>
                <w:color w:val="FF0000"/>
                <w:sz w:val="18"/>
                <w:szCs w:val="18"/>
              </w:rPr>
              <w:t>300</w:t>
            </w:r>
            <w:r w:rsidR="00D774A8" w:rsidRPr="00D774A8">
              <w:rPr>
                <w:rFonts w:ascii="Times New Roman" w:hAnsi="Times New Roman"/>
                <w:color w:val="FF0000"/>
                <w:sz w:val="18"/>
                <w:szCs w:val="18"/>
              </w:rPr>
              <w:t xml:space="preserve"> </w:t>
            </w:r>
            <w:r w:rsidRPr="007D16DC">
              <w:rPr>
                <w:rFonts w:ascii="Times New Roman" w:hAnsi="Times New Roman"/>
                <w:color w:val="FF0000"/>
                <w:sz w:val="18"/>
                <w:szCs w:val="18"/>
              </w:rPr>
              <w:t>375</w:t>
            </w:r>
          </w:p>
        </w:tc>
        <w:tc>
          <w:tcPr>
            <w:tcW w:w="434" w:type="pct"/>
            <w:tcBorders>
              <w:top w:val="nil"/>
              <w:left w:val="nil"/>
              <w:right w:val="nil"/>
            </w:tcBorders>
            <w:shd w:val="clear" w:color="auto" w:fill="auto"/>
            <w:vAlign w:val="center"/>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5</w:t>
            </w:r>
          </w:p>
        </w:tc>
        <w:tc>
          <w:tcPr>
            <w:tcW w:w="470" w:type="pct"/>
            <w:tcBorders>
              <w:top w:val="nil"/>
              <w:left w:val="nil"/>
              <w:right w:val="nil"/>
            </w:tcBorders>
            <w:shd w:val="clear" w:color="auto" w:fill="auto"/>
            <w:vAlign w:val="center"/>
          </w:tcPr>
          <w:p w:rsidR="005B177B" w:rsidRPr="007D16DC" w:rsidRDefault="005B177B" w:rsidP="005D707E">
            <w:pPr>
              <w:spacing w:after="0" w:line="240" w:lineRule="auto"/>
              <w:jc w:val="right"/>
              <w:rPr>
                <w:rFonts w:ascii="Times New Roman" w:hAnsi="Times New Roman"/>
                <w:color w:val="FF0000"/>
                <w:sz w:val="18"/>
                <w:szCs w:val="18"/>
              </w:rPr>
            </w:pPr>
            <w:r w:rsidRPr="00863978">
              <w:rPr>
                <w:rFonts w:ascii="Times New Roman" w:hAnsi="Times New Roman"/>
                <w:strike/>
                <w:color w:val="FF0000"/>
                <w:sz w:val="18"/>
                <w:szCs w:val="18"/>
              </w:rPr>
              <w:t>25</w:t>
            </w:r>
            <w:r w:rsidR="00D774A8" w:rsidRPr="00D774A8">
              <w:rPr>
                <w:rFonts w:ascii="Times New Roman" w:hAnsi="Times New Roman"/>
                <w:color w:val="FF0000"/>
                <w:sz w:val="18"/>
                <w:szCs w:val="18"/>
              </w:rPr>
              <w:t xml:space="preserve"> </w:t>
            </w:r>
            <w:r w:rsidRPr="007D16DC">
              <w:rPr>
                <w:rFonts w:ascii="Times New Roman" w:hAnsi="Times New Roman"/>
                <w:color w:val="FF0000"/>
                <w:sz w:val="18"/>
                <w:szCs w:val="18"/>
              </w:rPr>
              <w:t>32</w:t>
            </w:r>
          </w:p>
        </w:tc>
      </w:tr>
      <w:tr w:rsidR="00936DD3" w:rsidRPr="00322812" w:rsidTr="00C81A1A">
        <w:trPr>
          <w:cantSplit/>
          <w:trHeight w:val="144"/>
        </w:trPr>
        <w:tc>
          <w:tcPr>
            <w:tcW w:w="1717" w:type="pct"/>
            <w:gridSpan w:val="2"/>
            <w:tcBorders>
              <w:left w:val="nil"/>
              <w:bottom w:val="single" w:sz="8" w:space="0" w:color="auto"/>
              <w:right w:val="nil"/>
            </w:tcBorders>
            <w:shd w:val="clear" w:color="auto" w:fill="auto"/>
            <w:vAlign w:val="center"/>
          </w:tcPr>
          <w:p w:rsidR="005B177B" w:rsidRPr="00322812" w:rsidRDefault="005B177B" w:rsidP="005D707E">
            <w:pPr>
              <w:spacing w:after="0" w:line="240" w:lineRule="auto"/>
              <w:ind w:left="75"/>
              <w:rPr>
                <w:rFonts w:ascii="Times New Roman" w:hAnsi="Times New Roman"/>
                <w:color w:val="000000"/>
                <w:sz w:val="18"/>
                <w:szCs w:val="18"/>
              </w:rPr>
            </w:pPr>
            <w:r w:rsidRPr="00322812">
              <w:rPr>
                <w:rFonts w:ascii="Times New Roman" w:hAnsi="Times New Roman"/>
                <w:color w:val="000000"/>
                <w:sz w:val="18"/>
                <w:szCs w:val="18"/>
              </w:rPr>
              <w:t>Qualitative interview</w:t>
            </w:r>
          </w:p>
        </w:tc>
        <w:tc>
          <w:tcPr>
            <w:tcW w:w="427" w:type="pct"/>
            <w:tcBorders>
              <w:left w:val="nil"/>
              <w:bottom w:val="single" w:sz="8" w:space="0" w:color="auto"/>
              <w:right w:val="nil"/>
            </w:tcBorders>
            <w:shd w:val="clear" w:color="auto" w:fill="auto"/>
            <w:vAlign w:val="center"/>
          </w:tcPr>
          <w:p w:rsidR="005B177B" w:rsidRPr="007D16DC" w:rsidRDefault="005B177B" w:rsidP="005D707E">
            <w:pPr>
              <w:spacing w:after="0" w:line="240" w:lineRule="auto"/>
              <w:jc w:val="right"/>
              <w:rPr>
                <w:rFonts w:ascii="Times New Roman" w:hAnsi="Times New Roman"/>
                <w:color w:val="FF0000"/>
                <w:sz w:val="18"/>
                <w:szCs w:val="18"/>
              </w:rPr>
            </w:pPr>
            <w:r w:rsidRPr="00863978">
              <w:rPr>
                <w:rFonts w:ascii="Times New Roman" w:hAnsi="Times New Roman"/>
                <w:strike/>
                <w:color w:val="FF0000"/>
                <w:sz w:val="18"/>
                <w:szCs w:val="18"/>
              </w:rPr>
              <w:t>300</w:t>
            </w:r>
            <w:r w:rsidR="007E1975" w:rsidRPr="007E1975">
              <w:rPr>
                <w:rFonts w:ascii="Times New Roman" w:hAnsi="Times New Roman"/>
                <w:color w:val="FF0000"/>
                <w:sz w:val="18"/>
                <w:szCs w:val="18"/>
              </w:rPr>
              <w:t xml:space="preserve"> </w:t>
            </w:r>
            <w:r w:rsidRPr="007D16DC">
              <w:rPr>
                <w:rFonts w:ascii="Times New Roman" w:hAnsi="Times New Roman"/>
                <w:color w:val="FF0000"/>
                <w:sz w:val="18"/>
                <w:szCs w:val="18"/>
              </w:rPr>
              <w:t>375</w:t>
            </w:r>
          </w:p>
        </w:tc>
        <w:tc>
          <w:tcPr>
            <w:tcW w:w="649" w:type="pct"/>
            <w:tcBorders>
              <w:left w:val="nil"/>
              <w:bottom w:val="single" w:sz="8" w:space="0" w:color="auto"/>
              <w:right w:val="nil"/>
            </w:tcBorders>
            <w:shd w:val="clear" w:color="auto" w:fill="auto"/>
            <w:vAlign w:val="center"/>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26.667%</w:t>
            </w:r>
          </w:p>
        </w:tc>
        <w:tc>
          <w:tcPr>
            <w:tcW w:w="621" w:type="pct"/>
            <w:tcBorders>
              <w:left w:val="nil"/>
              <w:bottom w:val="single" w:sz="8" w:space="0" w:color="auto"/>
              <w:right w:val="nil"/>
            </w:tcBorders>
            <w:shd w:val="clear" w:color="auto" w:fill="auto"/>
            <w:vAlign w:val="center"/>
          </w:tcPr>
          <w:p w:rsidR="005B177B" w:rsidRPr="007D16DC" w:rsidRDefault="005B177B" w:rsidP="005D707E">
            <w:pPr>
              <w:spacing w:after="0" w:line="240" w:lineRule="auto"/>
              <w:jc w:val="right"/>
              <w:rPr>
                <w:rFonts w:ascii="Times New Roman" w:hAnsi="Times New Roman"/>
                <w:color w:val="FF0000"/>
                <w:sz w:val="18"/>
                <w:szCs w:val="18"/>
              </w:rPr>
            </w:pPr>
            <w:r w:rsidRPr="00863978">
              <w:rPr>
                <w:rFonts w:ascii="Times New Roman" w:hAnsi="Times New Roman"/>
                <w:strike/>
                <w:color w:val="FF0000"/>
                <w:sz w:val="18"/>
                <w:szCs w:val="18"/>
              </w:rPr>
              <w:t>80</w:t>
            </w:r>
            <w:r w:rsidRPr="007D16DC">
              <w:rPr>
                <w:rFonts w:ascii="Times New Roman" w:hAnsi="Times New Roman"/>
                <w:color w:val="FF0000"/>
                <w:sz w:val="18"/>
                <w:szCs w:val="18"/>
              </w:rPr>
              <w:t>100</w:t>
            </w:r>
          </w:p>
        </w:tc>
        <w:tc>
          <w:tcPr>
            <w:tcW w:w="682" w:type="pct"/>
            <w:tcBorders>
              <w:left w:val="nil"/>
              <w:bottom w:val="single" w:sz="8" w:space="0" w:color="auto"/>
              <w:right w:val="nil"/>
            </w:tcBorders>
            <w:shd w:val="clear" w:color="auto" w:fill="auto"/>
            <w:vAlign w:val="center"/>
          </w:tcPr>
          <w:p w:rsidR="005B177B" w:rsidRPr="007D16DC" w:rsidRDefault="005B177B" w:rsidP="005D707E">
            <w:pPr>
              <w:spacing w:after="0" w:line="240" w:lineRule="auto"/>
              <w:jc w:val="right"/>
              <w:rPr>
                <w:rFonts w:ascii="Times New Roman" w:hAnsi="Times New Roman"/>
                <w:color w:val="FF0000"/>
                <w:sz w:val="18"/>
                <w:szCs w:val="18"/>
              </w:rPr>
            </w:pPr>
            <w:r w:rsidRPr="00863978">
              <w:rPr>
                <w:rFonts w:ascii="Times New Roman" w:hAnsi="Times New Roman"/>
                <w:strike/>
                <w:color w:val="FF0000"/>
                <w:sz w:val="18"/>
                <w:szCs w:val="18"/>
              </w:rPr>
              <w:t>80</w:t>
            </w:r>
            <w:r w:rsidRPr="007D16DC">
              <w:rPr>
                <w:rFonts w:ascii="Times New Roman" w:hAnsi="Times New Roman"/>
                <w:color w:val="FF0000"/>
                <w:sz w:val="18"/>
                <w:szCs w:val="18"/>
              </w:rPr>
              <w:t>100</w:t>
            </w:r>
          </w:p>
        </w:tc>
        <w:tc>
          <w:tcPr>
            <w:tcW w:w="434" w:type="pct"/>
            <w:tcBorders>
              <w:left w:val="nil"/>
              <w:bottom w:val="single" w:sz="8" w:space="0" w:color="auto"/>
              <w:right w:val="nil"/>
            </w:tcBorders>
            <w:shd w:val="clear" w:color="auto" w:fill="auto"/>
            <w:vAlign w:val="center"/>
          </w:tcPr>
          <w:p w:rsidR="005B177B" w:rsidRPr="00322812" w:rsidRDefault="005B177B" w:rsidP="005D707E">
            <w:pPr>
              <w:spacing w:after="0" w:line="240" w:lineRule="auto"/>
              <w:jc w:val="right"/>
              <w:rPr>
                <w:rFonts w:ascii="Times New Roman" w:hAnsi="Times New Roman"/>
                <w:color w:val="000000"/>
                <w:sz w:val="18"/>
                <w:szCs w:val="18"/>
              </w:rPr>
            </w:pPr>
            <w:r w:rsidRPr="00322812">
              <w:rPr>
                <w:rFonts w:ascii="Times New Roman" w:hAnsi="Times New Roman"/>
                <w:color w:val="000000"/>
                <w:sz w:val="18"/>
                <w:szCs w:val="18"/>
              </w:rPr>
              <w:t>90</w:t>
            </w:r>
          </w:p>
        </w:tc>
        <w:tc>
          <w:tcPr>
            <w:tcW w:w="470" w:type="pct"/>
            <w:tcBorders>
              <w:left w:val="nil"/>
              <w:bottom w:val="single" w:sz="8" w:space="0" w:color="auto"/>
              <w:right w:val="nil"/>
            </w:tcBorders>
            <w:shd w:val="clear" w:color="auto" w:fill="auto"/>
            <w:vAlign w:val="center"/>
          </w:tcPr>
          <w:p w:rsidR="005B177B" w:rsidRPr="007D16DC" w:rsidRDefault="005B177B" w:rsidP="005D707E">
            <w:pPr>
              <w:spacing w:after="0" w:line="240" w:lineRule="auto"/>
              <w:jc w:val="right"/>
              <w:rPr>
                <w:rFonts w:ascii="Times New Roman" w:hAnsi="Times New Roman"/>
                <w:color w:val="FF0000"/>
                <w:sz w:val="18"/>
                <w:szCs w:val="18"/>
              </w:rPr>
            </w:pPr>
            <w:r w:rsidRPr="00863978">
              <w:rPr>
                <w:rFonts w:ascii="Times New Roman" w:hAnsi="Times New Roman"/>
                <w:strike/>
                <w:color w:val="FF0000"/>
                <w:sz w:val="18"/>
                <w:szCs w:val="18"/>
              </w:rPr>
              <w:t>120</w:t>
            </w:r>
            <w:r w:rsidRPr="007D16DC">
              <w:rPr>
                <w:rFonts w:ascii="Times New Roman" w:hAnsi="Times New Roman"/>
                <w:color w:val="FF0000"/>
                <w:sz w:val="18"/>
                <w:szCs w:val="18"/>
              </w:rPr>
              <w:t>150</w:t>
            </w:r>
          </w:p>
        </w:tc>
      </w:tr>
      <w:tr w:rsidR="00936DD3" w:rsidRPr="00322812" w:rsidTr="00C81A1A">
        <w:trPr>
          <w:cantSplit/>
          <w:trHeight w:val="144"/>
        </w:trPr>
        <w:tc>
          <w:tcPr>
            <w:tcW w:w="1717" w:type="pct"/>
            <w:gridSpan w:val="2"/>
            <w:tcBorders>
              <w:top w:val="nil"/>
              <w:left w:val="nil"/>
              <w:bottom w:val="single" w:sz="8" w:space="0" w:color="auto"/>
              <w:right w:val="nil"/>
            </w:tcBorders>
            <w:shd w:val="clear" w:color="auto" w:fill="auto"/>
            <w:vAlign w:val="center"/>
            <w:hideMark/>
          </w:tcPr>
          <w:p w:rsidR="005B177B" w:rsidRPr="00322812" w:rsidRDefault="005B177B" w:rsidP="005D707E">
            <w:pPr>
              <w:spacing w:after="0" w:line="240" w:lineRule="auto"/>
              <w:rPr>
                <w:rFonts w:ascii="Times New Roman" w:hAnsi="Times New Roman"/>
                <w:b/>
                <w:bCs/>
                <w:color w:val="000000"/>
                <w:sz w:val="18"/>
                <w:szCs w:val="18"/>
              </w:rPr>
            </w:pPr>
            <w:r w:rsidRPr="00322812">
              <w:rPr>
                <w:rFonts w:ascii="Times New Roman" w:hAnsi="Times New Roman"/>
                <w:b/>
                <w:bCs/>
                <w:color w:val="000000"/>
                <w:sz w:val="18"/>
                <w:szCs w:val="18"/>
              </w:rPr>
              <w:t>Study Total</w:t>
            </w:r>
          </w:p>
        </w:tc>
        <w:tc>
          <w:tcPr>
            <w:tcW w:w="427" w:type="pct"/>
            <w:tcBorders>
              <w:top w:val="nil"/>
              <w:left w:val="nil"/>
              <w:bottom w:val="single" w:sz="8" w:space="0" w:color="auto"/>
              <w:right w:val="nil"/>
            </w:tcBorders>
            <w:shd w:val="clear" w:color="auto" w:fill="auto"/>
            <w:vAlign w:val="center"/>
            <w:hideMark/>
          </w:tcPr>
          <w:p w:rsidR="005B177B" w:rsidRPr="00322812" w:rsidRDefault="005B177B" w:rsidP="005D707E">
            <w:pPr>
              <w:spacing w:after="0" w:line="240" w:lineRule="auto"/>
              <w:rPr>
                <w:rFonts w:ascii="Times New Roman" w:hAnsi="Times New Roman"/>
                <w:color w:val="000000"/>
                <w:sz w:val="18"/>
                <w:szCs w:val="18"/>
              </w:rPr>
            </w:pPr>
            <w:r w:rsidRPr="00322812">
              <w:rPr>
                <w:rFonts w:ascii="Times New Roman" w:hAnsi="Times New Roman"/>
                <w:color w:val="000000"/>
                <w:sz w:val="18"/>
                <w:szCs w:val="18"/>
              </w:rPr>
              <w:t> </w:t>
            </w:r>
          </w:p>
        </w:tc>
        <w:tc>
          <w:tcPr>
            <w:tcW w:w="649" w:type="pct"/>
            <w:tcBorders>
              <w:top w:val="nil"/>
              <w:left w:val="nil"/>
              <w:bottom w:val="single" w:sz="8" w:space="0" w:color="auto"/>
              <w:right w:val="nil"/>
            </w:tcBorders>
            <w:shd w:val="clear" w:color="auto" w:fill="auto"/>
            <w:vAlign w:val="center"/>
            <w:hideMark/>
          </w:tcPr>
          <w:p w:rsidR="005B177B" w:rsidRPr="00322812" w:rsidRDefault="005B177B" w:rsidP="005D707E">
            <w:pPr>
              <w:spacing w:after="0" w:line="240" w:lineRule="auto"/>
              <w:jc w:val="right"/>
              <w:rPr>
                <w:rFonts w:ascii="Times New Roman" w:hAnsi="Times New Roman"/>
                <w:b/>
                <w:color w:val="000000"/>
                <w:sz w:val="18"/>
                <w:szCs w:val="18"/>
              </w:rPr>
            </w:pPr>
            <w:r w:rsidRPr="00322812">
              <w:rPr>
                <w:rFonts w:ascii="Times New Roman" w:hAnsi="Times New Roman"/>
                <w:b/>
                <w:color w:val="000000"/>
                <w:sz w:val="18"/>
                <w:szCs w:val="18"/>
              </w:rPr>
              <w:t> </w:t>
            </w:r>
          </w:p>
        </w:tc>
        <w:tc>
          <w:tcPr>
            <w:tcW w:w="621" w:type="pct"/>
            <w:tcBorders>
              <w:top w:val="nil"/>
              <w:left w:val="nil"/>
              <w:bottom w:val="single" w:sz="8" w:space="0" w:color="auto"/>
              <w:right w:val="nil"/>
            </w:tcBorders>
            <w:shd w:val="clear" w:color="auto" w:fill="auto"/>
            <w:vAlign w:val="center"/>
          </w:tcPr>
          <w:p w:rsidR="005B177B" w:rsidRPr="007D16DC" w:rsidRDefault="005B177B" w:rsidP="005D707E">
            <w:pPr>
              <w:spacing w:after="0" w:line="240" w:lineRule="auto"/>
              <w:jc w:val="right"/>
              <w:rPr>
                <w:rFonts w:ascii="Times New Roman" w:hAnsi="Times New Roman"/>
                <w:b/>
                <w:bCs/>
                <w:color w:val="FF0000"/>
                <w:sz w:val="18"/>
                <w:szCs w:val="18"/>
              </w:rPr>
            </w:pPr>
            <w:r w:rsidRPr="00863978">
              <w:rPr>
                <w:rFonts w:ascii="Times New Roman" w:hAnsi="Times New Roman"/>
                <w:b/>
                <w:strike/>
                <w:color w:val="FF0000"/>
                <w:sz w:val="18"/>
                <w:szCs w:val="18"/>
              </w:rPr>
              <w:t>98,790</w:t>
            </w:r>
            <w:r w:rsidR="00D774A8" w:rsidRPr="00D774A8">
              <w:rPr>
                <w:rFonts w:ascii="Times New Roman" w:hAnsi="Times New Roman"/>
                <w:b/>
                <w:color w:val="FF0000"/>
                <w:sz w:val="18"/>
                <w:szCs w:val="18"/>
              </w:rPr>
              <w:t xml:space="preserve"> </w:t>
            </w:r>
            <w:r w:rsidR="00C50E64">
              <w:rPr>
                <w:rFonts w:ascii="Times New Roman" w:hAnsi="Times New Roman"/>
                <w:b/>
                <w:bCs/>
                <w:color w:val="FF0000"/>
                <w:sz w:val="18"/>
                <w:szCs w:val="18"/>
              </w:rPr>
              <w:t>99</w:t>
            </w:r>
            <w:r w:rsidRPr="007D16DC">
              <w:rPr>
                <w:rFonts w:ascii="Times New Roman" w:hAnsi="Times New Roman"/>
                <w:b/>
                <w:bCs/>
                <w:color w:val="FF0000"/>
                <w:sz w:val="18"/>
                <w:szCs w:val="18"/>
              </w:rPr>
              <w:t>,</w:t>
            </w:r>
            <w:r w:rsidR="00C50E64">
              <w:rPr>
                <w:rFonts w:ascii="Times New Roman" w:hAnsi="Times New Roman"/>
                <w:b/>
                <w:bCs/>
                <w:color w:val="FF0000"/>
                <w:sz w:val="18"/>
                <w:szCs w:val="18"/>
              </w:rPr>
              <w:t>165</w:t>
            </w:r>
          </w:p>
        </w:tc>
        <w:tc>
          <w:tcPr>
            <w:tcW w:w="682" w:type="pct"/>
            <w:tcBorders>
              <w:top w:val="nil"/>
              <w:left w:val="nil"/>
              <w:bottom w:val="single" w:sz="8" w:space="0" w:color="auto"/>
              <w:right w:val="nil"/>
            </w:tcBorders>
            <w:shd w:val="clear" w:color="auto" w:fill="auto"/>
            <w:vAlign w:val="center"/>
          </w:tcPr>
          <w:p w:rsidR="005B177B" w:rsidRPr="007D16DC" w:rsidRDefault="005B177B" w:rsidP="005D707E">
            <w:pPr>
              <w:spacing w:after="0" w:line="240" w:lineRule="auto"/>
              <w:jc w:val="right"/>
              <w:rPr>
                <w:rFonts w:ascii="Times New Roman" w:hAnsi="Times New Roman"/>
                <w:b/>
                <w:bCs/>
                <w:color w:val="FF0000"/>
                <w:sz w:val="18"/>
                <w:szCs w:val="18"/>
              </w:rPr>
            </w:pPr>
            <w:r w:rsidRPr="00863978">
              <w:rPr>
                <w:rFonts w:ascii="Times New Roman" w:hAnsi="Times New Roman"/>
                <w:b/>
                <w:strike/>
                <w:color w:val="FF0000"/>
                <w:sz w:val="18"/>
                <w:szCs w:val="18"/>
              </w:rPr>
              <w:t>123,177</w:t>
            </w:r>
            <w:r w:rsidR="00D774A8" w:rsidRPr="00D774A8">
              <w:rPr>
                <w:rFonts w:ascii="Times New Roman" w:hAnsi="Times New Roman"/>
                <w:b/>
                <w:color w:val="FF0000"/>
                <w:sz w:val="18"/>
                <w:szCs w:val="18"/>
              </w:rPr>
              <w:t xml:space="preserve"> </w:t>
            </w:r>
            <w:r w:rsidRPr="007D16DC">
              <w:rPr>
                <w:rFonts w:ascii="Times New Roman" w:hAnsi="Times New Roman"/>
                <w:b/>
                <w:bCs/>
                <w:color w:val="FF0000"/>
                <w:sz w:val="18"/>
                <w:szCs w:val="18"/>
              </w:rPr>
              <w:t>122,742</w:t>
            </w:r>
          </w:p>
        </w:tc>
        <w:tc>
          <w:tcPr>
            <w:tcW w:w="434" w:type="pct"/>
            <w:tcBorders>
              <w:top w:val="nil"/>
              <w:left w:val="nil"/>
              <w:bottom w:val="single" w:sz="8" w:space="0" w:color="auto"/>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bCs/>
                <w:color w:val="000000"/>
                <w:sz w:val="18"/>
                <w:szCs w:val="18"/>
              </w:rPr>
            </w:pPr>
            <w:r w:rsidRPr="00322812">
              <w:rPr>
                <w:rFonts w:ascii="Times New Roman" w:hAnsi="Times New Roman"/>
                <w:b/>
                <w:bCs/>
                <w:color w:val="000000"/>
                <w:sz w:val="18"/>
                <w:szCs w:val="18"/>
              </w:rPr>
              <w:t> </w:t>
            </w:r>
          </w:p>
        </w:tc>
        <w:tc>
          <w:tcPr>
            <w:tcW w:w="470" w:type="pct"/>
            <w:tcBorders>
              <w:top w:val="nil"/>
              <w:left w:val="nil"/>
              <w:bottom w:val="single" w:sz="8" w:space="0" w:color="auto"/>
              <w:right w:val="nil"/>
            </w:tcBorders>
            <w:shd w:val="clear" w:color="auto" w:fill="auto"/>
            <w:vAlign w:val="center"/>
          </w:tcPr>
          <w:p w:rsidR="005B177B" w:rsidRPr="00322812" w:rsidRDefault="005B177B" w:rsidP="005D707E">
            <w:pPr>
              <w:spacing w:after="0" w:line="240" w:lineRule="auto"/>
              <w:jc w:val="right"/>
              <w:rPr>
                <w:rFonts w:ascii="Times New Roman" w:hAnsi="Times New Roman"/>
                <w:b/>
                <w:bCs/>
                <w:color w:val="000000"/>
                <w:sz w:val="18"/>
                <w:szCs w:val="18"/>
              </w:rPr>
            </w:pPr>
            <w:r w:rsidRPr="00322812">
              <w:rPr>
                <w:rFonts w:ascii="Times New Roman" w:hAnsi="Times New Roman"/>
                <w:b/>
                <w:bCs/>
                <w:color w:val="000000"/>
                <w:sz w:val="18"/>
                <w:szCs w:val="18"/>
              </w:rPr>
              <w:t>12,</w:t>
            </w:r>
            <w:r w:rsidRPr="00863978">
              <w:rPr>
                <w:rFonts w:ascii="Times New Roman" w:hAnsi="Times New Roman"/>
                <w:b/>
                <w:strike/>
                <w:color w:val="FF0000"/>
                <w:sz w:val="18"/>
                <w:szCs w:val="18"/>
              </w:rPr>
              <w:t>964</w:t>
            </w:r>
            <w:r w:rsidR="00D774A8" w:rsidRPr="00D774A8">
              <w:rPr>
                <w:rFonts w:ascii="Times New Roman" w:hAnsi="Times New Roman"/>
                <w:b/>
                <w:color w:val="FF0000"/>
                <w:sz w:val="18"/>
                <w:szCs w:val="18"/>
              </w:rPr>
              <w:t xml:space="preserve"> </w:t>
            </w:r>
            <w:r w:rsidRPr="007D16DC">
              <w:rPr>
                <w:rFonts w:ascii="Times New Roman" w:hAnsi="Times New Roman"/>
                <w:b/>
                <w:bCs/>
                <w:color w:val="FF0000"/>
                <w:sz w:val="18"/>
                <w:szCs w:val="18"/>
              </w:rPr>
              <w:t>948</w:t>
            </w:r>
          </w:p>
        </w:tc>
      </w:tr>
      <w:tr w:rsidR="005B177B" w:rsidRPr="00322812" w:rsidTr="00B34FF2">
        <w:trPr>
          <w:cantSplit/>
          <w:trHeight w:val="898"/>
        </w:trPr>
        <w:tc>
          <w:tcPr>
            <w:tcW w:w="5000" w:type="pct"/>
            <w:gridSpan w:val="8"/>
            <w:tcBorders>
              <w:top w:val="single" w:sz="8" w:space="0" w:color="auto"/>
              <w:left w:val="nil"/>
            </w:tcBorders>
            <w:shd w:val="clear" w:color="auto" w:fill="auto"/>
          </w:tcPr>
          <w:p w:rsidR="005B177B" w:rsidRPr="00322812" w:rsidRDefault="005B177B" w:rsidP="00B34FF2">
            <w:pPr>
              <w:widowControl w:val="0"/>
              <w:spacing w:after="0" w:line="240" w:lineRule="auto"/>
              <w:ind w:left="144" w:hanging="144"/>
              <w:rPr>
                <w:rFonts w:ascii="Times New Roman" w:hAnsi="Times New Roman"/>
                <w:color w:val="000000"/>
                <w:sz w:val="18"/>
                <w:szCs w:val="18"/>
              </w:rPr>
            </w:pPr>
            <w:r w:rsidRPr="00322812">
              <w:rPr>
                <w:rFonts w:ascii="Times New Roman" w:hAnsi="Times New Roman"/>
                <w:color w:val="000000"/>
                <w:sz w:val="18"/>
                <w:szCs w:val="18"/>
                <w:vertAlign w:val="superscript"/>
              </w:rPr>
              <w:t>2</w:t>
            </w:r>
            <w:r w:rsidRPr="00322812">
              <w:rPr>
                <w:rFonts w:ascii="Times New Roman" w:hAnsi="Times New Roman"/>
                <w:color w:val="000000"/>
                <w:sz w:val="18"/>
                <w:szCs w:val="18"/>
              </w:rPr>
              <w:t xml:space="preserve">The estimated number of respondents to the recruitment screeners </w:t>
            </w:r>
            <w:r w:rsidRPr="008358C8">
              <w:rPr>
                <w:rFonts w:ascii="Times New Roman" w:hAnsi="Times New Roman"/>
                <w:sz w:val="18"/>
                <w:szCs w:val="18"/>
              </w:rPr>
              <w:t xml:space="preserve">for </w:t>
            </w:r>
            <w:r w:rsidRPr="001870F3">
              <w:rPr>
                <w:rFonts w:ascii="Times New Roman" w:hAnsi="Times New Roman"/>
                <w:strike/>
                <w:color w:val="FF0000"/>
                <w:sz w:val="18"/>
                <w:szCs w:val="18"/>
              </w:rPr>
              <w:t>both the structured and</w:t>
            </w:r>
            <w:r w:rsidRPr="00B34FF2">
              <w:rPr>
                <w:rFonts w:ascii="Times New Roman" w:hAnsi="Times New Roman"/>
                <w:sz w:val="18"/>
                <w:szCs w:val="18"/>
              </w:rPr>
              <w:t xml:space="preserve"> qualitative interviews is different </w:t>
            </w:r>
            <w:r w:rsidRPr="00322812">
              <w:rPr>
                <w:rFonts w:ascii="Times New Roman" w:hAnsi="Times New Roman"/>
                <w:color w:val="000000"/>
                <w:sz w:val="18"/>
                <w:szCs w:val="18"/>
              </w:rPr>
              <w:t xml:space="preserve">than the number of completed interviews </w:t>
            </w:r>
            <w:r w:rsidRPr="001870F3">
              <w:rPr>
                <w:rFonts w:ascii="Times New Roman" w:hAnsi="Times New Roman"/>
                <w:strike/>
                <w:color w:val="FF0000"/>
                <w:sz w:val="18"/>
                <w:szCs w:val="18"/>
              </w:rPr>
              <w:t>to each of the two studies</w:t>
            </w:r>
            <w:r w:rsidRPr="001870F3">
              <w:rPr>
                <w:rFonts w:ascii="Times New Roman" w:hAnsi="Times New Roman"/>
                <w:color w:val="FF0000"/>
                <w:sz w:val="18"/>
                <w:szCs w:val="18"/>
              </w:rPr>
              <w:t xml:space="preserve"> </w:t>
            </w:r>
            <w:r w:rsidRPr="00322812">
              <w:rPr>
                <w:rFonts w:ascii="Times New Roman" w:hAnsi="Times New Roman"/>
                <w:color w:val="000000"/>
                <w:sz w:val="18"/>
                <w:szCs w:val="18"/>
              </w:rPr>
              <w:t xml:space="preserve">because it is expected that </w:t>
            </w:r>
            <w:r w:rsidRPr="001870F3">
              <w:rPr>
                <w:rFonts w:ascii="Times New Roman" w:hAnsi="Times New Roman"/>
                <w:strike/>
                <w:color w:val="FF0000"/>
                <w:sz w:val="18"/>
                <w:szCs w:val="18"/>
              </w:rPr>
              <w:t>about 23% of recruited participants in the 10-minute structured interview will not participate and</w:t>
            </w:r>
            <w:r w:rsidRPr="00322812">
              <w:rPr>
                <w:rFonts w:ascii="Times New Roman" w:hAnsi="Times New Roman"/>
                <w:color w:val="000000"/>
                <w:sz w:val="18"/>
                <w:szCs w:val="18"/>
              </w:rPr>
              <w:t xml:space="preserve"> about 73% of recruited participants in the 90-minute qualitative interview will not participate due to either not being home during the scheduled interview time or refusing to start the interview after recruitment, given the burden.</w:t>
            </w:r>
          </w:p>
        </w:tc>
      </w:tr>
      <w:bookmarkEnd w:id="2"/>
    </w:tbl>
    <w:p w:rsidR="005B177B" w:rsidRPr="00322812" w:rsidRDefault="005B177B" w:rsidP="005D707E">
      <w:pPr>
        <w:pStyle w:val="P1-StandPara"/>
        <w:spacing w:line="240" w:lineRule="auto"/>
        <w:ind w:firstLine="0"/>
      </w:pPr>
    </w:p>
    <w:p w:rsidR="005B177B" w:rsidRDefault="005B177B" w:rsidP="005B177B">
      <w:pPr>
        <w:pStyle w:val="P1-StandPara"/>
        <w:widowControl w:val="0"/>
        <w:spacing w:after="120" w:line="240" w:lineRule="auto"/>
        <w:ind w:firstLine="0"/>
      </w:pPr>
      <w:r w:rsidRPr="00322812">
        <w:t>NHES:2019 will screen 205,000 households. An expected screener response rate of approximately 54 percent and an address ineligibility</w:t>
      </w:r>
      <w:r w:rsidRPr="00322812">
        <w:rPr>
          <w:rStyle w:val="FootnoteReference"/>
        </w:rPr>
        <w:footnoteReference w:id="4"/>
      </w:r>
      <w:r w:rsidRPr="00322812">
        <w:t xml:space="preserve"> rate of approximately 10 percent are assumed, bringing the total number of expected screeners to 98,790.</w:t>
      </w:r>
      <w:r w:rsidRPr="00322812">
        <w:rPr>
          <w:rStyle w:val="FootnoteReference"/>
        </w:rPr>
        <w:footnoteReference w:id="5"/>
      </w:r>
      <w:r w:rsidRPr="00322812">
        <w:t xml:space="preserve"> From these completed screeners, it is expected that approximately 29 percent will contain an eligible child. A detailed description of the planned sampling design is provided in this submission in Supporting Statement Part B. The hourly wage rate of $24.33 is based on the average for all civilian workers from the September 2017 National Compensation Survey (</w:t>
      </w:r>
      <w:hyperlink r:id="rId9" w:history="1">
        <w:r w:rsidRPr="00322812">
          <w:rPr>
            <w:color w:val="0000CC"/>
          </w:rPr>
          <w:t>http://www.bls.gov/news.release/ecec.t02.htm</w:t>
        </w:r>
      </w:hyperlink>
      <w:r w:rsidRPr="00322812">
        <w:t>). For NHES:2019, a total of 12,</w:t>
      </w:r>
      <w:r w:rsidRPr="000A2FA3">
        <w:rPr>
          <w:strike/>
          <w:color w:val="FF0000"/>
        </w:rPr>
        <w:t>964</w:t>
      </w:r>
      <w:r w:rsidRPr="000A2FA3">
        <w:rPr>
          <w:color w:val="FF0000"/>
        </w:rPr>
        <w:t>948</w:t>
      </w:r>
      <w:r w:rsidRPr="00322812">
        <w:t xml:space="preserve"> burden hours are anticipated, resulting in a total burden time cost to respondents of approximately $315,</w:t>
      </w:r>
      <w:r w:rsidRPr="000A2FA3">
        <w:rPr>
          <w:strike/>
          <w:color w:val="FF0000"/>
        </w:rPr>
        <w:t>414</w:t>
      </w:r>
      <w:r w:rsidRPr="000A2FA3">
        <w:rPr>
          <w:color w:val="FF0000"/>
        </w:rPr>
        <w:t>02</w:t>
      </w:r>
      <w:r w:rsidR="00CA3837">
        <w:rPr>
          <w:color w:val="FF0000"/>
        </w:rPr>
        <w:t>5</w:t>
      </w:r>
      <w:r w:rsidRPr="00322812">
        <w:t>.</w:t>
      </w:r>
    </w:p>
    <w:p w:rsidR="004E2335" w:rsidRDefault="004E2335" w:rsidP="004E2335">
      <w:pPr>
        <w:spacing w:after="0" w:line="240" w:lineRule="auto"/>
        <w:rPr>
          <w:rFonts w:ascii="Times New Roman" w:hAnsi="Times New Roman"/>
          <w:sz w:val="24"/>
          <w:szCs w:val="24"/>
        </w:rPr>
      </w:pPr>
    </w:p>
    <w:p w:rsidR="006330CB" w:rsidRPr="00282624" w:rsidRDefault="006330CB" w:rsidP="008C015E">
      <w:pPr>
        <w:keepNext/>
        <w:rPr>
          <w:rFonts w:ascii="Times New Roman" w:hAnsi="Times New Roman"/>
          <w:b/>
          <w:sz w:val="24"/>
          <w:szCs w:val="24"/>
          <w:u w:val="single"/>
        </w:rPr>
      </w:pPr>
      <w:r w:rsidRPr="00282624">
        <w:rPr>
          <w:rFonts w:ascii="Times New Roman" w:hAnsi="Times New Roman"/>
          <w:b/>
          <w:sz w:val="24"/>
          <w:szCs w:val="24"/>
          <w:u w:val="single"/>
        </w:rPr>
        <w:t xml:space="preserve">Part </w:t>
      </w:r>
      <w:r>
        <w:rPr>
          <w:rFonts w:ascii="Times New Roman" w:hAnsi="Times New Roman"/>
          <w:b/>
          <w:sz w:val="24"/>
          <w:szCs w:val="24"/>
          <w:u w:val="single"/>
        </w:rPr>
        <w:t>B Supporting Statement</w:t>
      </w:r>
    </w:p>
    <w:p w:rsidR="006330CB" w:rsidRPr="006330CB" w:rsidRDefault="006330CB" w:rsidP="006330CB">
      <w:pPr>
        <w:rPr>
          <w:rFonts w:ascii="Times New Roman" w:hAnsi="Times New Roman"/>
        </w:rPr>
      </w:pPr>
      <w:r w:rsidRPr="006330CB">
        <w:rPr>
          <w:rFonts w:ascii="Times New Roman" w:hAnsi="Times New Roman"/>
        </w:rPr>
        <w:t>(p.9)</w:t>
      </w:r>
    </w:p>
    <w:p w:rsidR="00924E9A" w:rsidRPr="006330CB" w:rsidRDefault="006330CB" w:rsidP="006330CB">
      <w:pPr>
        <w:spacing w:after="120" w:line="240" w:lineRule="auto"/>
        <w:rPr>
          <w:rFonts w:ascii="Times New Roman" w:hAnsi="Times New Roman"/>
          <w:sz w:val="24"/>
          <w:szCs w:val="24"/>
        </w:rPr>
      </w:pPr>
      <w:r w:rsidRPr="006330CB">
        <w:rPr>
          <w:rFonts w:ascii="Times New Roman" w:hAnsi="Times New Roman"/>
        </w:rPr>
        <w:t>Additionally, in conjunction with NHES:2019, NCES plans to conduct an In-Person Study of NHES:2019 Nonresponding Households, designed to provide insight about nonresponse that can help plan future survey administrations. This in-person study is described in detail in Appendix 4 of this submission</w:t>
      </w:r>
      <w:r w:rsidRPr="006330CB">
        <w:rPr>
          <w:rFonts w:ascii="Times New Roman" w:hAnsi="Times New Roman"/>
          <w:strike/>
          <w:color w:val="FF0000"/>
        </w:rPr>
        <w:t>; its contact materials, final interview protocols, and final sample selection details will be submitted to OMB for review with a 30-day public comment period in fall 2018</w:t>
      </w:r>
      <w:r w:rsidRPr="006330CB">
        <w:rPr>
          <w:rFonts w:ascii="Times New Roman" w:hAnsi="Times New Roman"/>
        </w:rPr>
        <w:t>.</w:t>
      </w:r>
    </w:p>
    <w:p w:rsidR="006330CB" w:rsidRDefault="00F96ECB" w:rsidP="00261427">
      <w:pPr>
        <w:rPr>
          <w:rFonts w:ascii="Times New Roman" w:hAnsi="Times New Roman"/>
          <w:sz w:val="24"/>
          <w:szCs w:val="24"/>
        </w:rPr>
      </w:pPr>
      <w:r>
        <w:rPr>
          <w:rFonts w:ascii="Times New Roman" w:hAnsi="Times New Roman"/>
          <w:sz w:val="24"/>
          <w:szCs w:val="24"/>
        </w:rPr>
        <w:t>(p.</w:t>
      </w:r>
      <w:r w:rsidR="0086496C">
        <w:rPr>
          <w:rFonts w:ascii="Times New Roman" w:hAnsi="Times New Roman"/>
          <w:sz w:val="24"/>
          <w:szCs w:val="24"/>
        </w:rPr>
        <w:t>23)</w:t>
      </w:r>
    </w:p>
    <w:p w:rsidR="0086496C" w:rsidRPr="0086496C" w:rsidRDefault="0086496C" w:rsidP="0086496C">
      <w:pPr>
        <w:pStyle w:val="P1-StandPara"/>
        <w:spacing w:after="120" w:line="240" w:lineRule="auto"/>
        <w:ind w:firstLine="0"/>
        <w:jc w:val="left"/>
      </w:pPr>
      <w:r w:rsidRPr="0086496C">
        <w:t xml:space="preserve">The in-person study of nonresponding households will use </w:t>
      </w:r>
      <w:r w:rsidRPr="0086496C">
        <w:rPr>
          <w:strike/>
          <w:color w:val="FF0000"/>
        </w:rPr>
        <w:t>structured and</w:t>
      </w:r>
      <w:r w:rsidRPr="0086496C">
        <w:rPr>
          <w:color w:val="FF0000"/>
        </w:rPr>
        <w:t xml:space="preserve"> </w:t>
      </w:r>
      <w:r w:rsidRPr="0086496C">
        <w:t>qualitative in-person interviews</w:t>
      </w:r>
      <w:r w:rsidRPr="0086496C">
        <w:rPr>
          <w:strike/>
          <w:color w:val="FF0000"/>
        </w:rPr>
        <w:t>, as well as</w:t>
      </w:r>
      <w:r w:rsidRPr="0086496C">
        <w:t xml:space="preserve"> </w:t>
      </w:r>
      <w:r w:rsidRPr="0086496C">
        <w:rPr>
          <w:color w:val="FF0000"/>
        </w:rPr>
        <w:t>and</w:t>
      </w:r>
      <w:r w:rsidRPr="0086496C">
        <w:t xml:space="preserve"> address and </w:t>
      </w:r>
      <w:r w:rsidRPr="0086496C">
        <w:rPr>
          <w:strike/>
          <w:color w:val="FF0000"/>
        </w:rPr>
        <w:t>household</w:t>
      </w:r>
      <w:r w:rsidRPr="0086496C">
        <w:rPr>
          <w:color w:val="FF0000"/>
        </w:rPr>
        <w:t xml:space="preserve"> neighborhood</w:t>
      </w:r>
      <w:r w:rsidRPr="0086496C">
        <w:t xml:space="preserve"> observations to assess whether the existing theories surrounding household survey nonresponse are applicable to NHES. The study is designed to provide additional actionable information about how to combat the growing nonresponse problem in NHES and other federal government household surveys that use mail to contact sample members. It is expected that the results of this study will be used to improve the design of NHES:2022, with the goal of increasing the response rate and the representativeness of the respondents. Potential changes could include modifications to the nonresponse follow-up protocol, the type of incentives offered, and the presentation of contact materials.</w:t>
      </w:r>
    </w:p>
    <w:p w:rsidR="0086496C" w:rsidRPr="0086496C" w:rsidRDefault="0086496C" w:rsidP="0086496C">
      <w:pPr>
        <w:spacing w:after="120" w:line="240" w:lineRule="auto"/>
        <w:rPr>
          <w:rFonts w:ascii="Times New Roman" w:hAnsi="Times New Roman"/>
          <w:sz w:val="24"/>
          <w:szCs w:val="24"/>
        </w:rPr>
      </w:pPr>
      <w:r w:rsidRPr="0086496C">
        <w:rPr>
          <w:rFonts w:ascii="Times New Roman" w:hAnsi="Times New Roman"/>
        </w:rPr>
        <w:t xml:space="preserve">This in-person study is described in detail in Appendix 4 of this submission. The </w:t>
      </w:r>
      <w:r w:rsidRPr="0086496C">
        <w:rPr>
          <w:rFonts w:ascii="Times New Roman" w:hAnsi="Times New Roman"/>
          <w:color w:val="FF0000"/>
        </w:rPr>
        <w:t>Appendix also includes</w:t>
      </w:r>
      <w:r w:rsidRPr="0086496C">
        <w:rPr>
          <w:rFonts w:ascii="Times New Roman" w:hAnsi="Times New Roman"/>
        </w:rPr>
        <w:t xml:space="preserve"> contact materials, final interview protocols, and final sample selection details for this </w:t>
      </w:r>
      <w:r w:rsidRPr="0086496C">
        <w:rPr>
          <w:rFonts w:ascii="Times New Roman" w:eastAsia="Times New Roman" w:hAnsi="Times New Roman"/>
          <w:szCs w:val="20"/>
        </w:rPr>
        <w:t xml:space="preserve">study </w:t>
      </w:r>
      <w:r w:rsidRPr="0086496C">
        <w:rPr>
          <w:rFonts w:ascii="Times New Roman" w:eastAsia="Times New Roman" w:hAnsi="Times New Roman"/>
          <w:strike/>
          <w:color w:val="FF0000"/>
          <w:szCs w:val="20"/>
        </w:rPr>
        <w:t>will be submitted to OMB for review with a 30-day public comment period in fall 2018</w:t>
      </w:r>
      <w:r w:rsidRPr="0086496C">
        <w:rPr>
          <w:rFonts w:ascii="Times New Roman" w:hAnsi="Times New Roman"/>
        </w:rPr>
        <w:t>.</w:t>
      </w:r>
    </w:p>
    <w:p w:rsidR="006330CB" w:rsidRDefault="009F7975" w:rsidP="0086496C">
      <w:pPr>
        <w:spacing w:after="120" w:line="240" w:lineRule="auto"/>
        <w:rPr>
          <w:rFonts w:ascii="Times New Roman" w:hAnsi="Times New Roman"/>
          <w:sz w:val="24"/>
          <w:szCs w:val="24"/>
        </w:rPr>
      </w:pPr>
      <w:r>
        <w:rPr>
          <w:rFonts w:ascii="Times New Roman" w:hAnsi="Times New Roman"/>
          <w:sz w:val="24"/>
          <w:szCs w:val="24"/>
        </w:rPr>
        <w:t>(p.</w:t>
      </w:r>
      <w:r w:rsidR="00A7405B">
        <w:rPr>
          <w:rFonts w:ascii="Times New Roman" w:hAnsi="Times New Roman"/>
          <w:sz w:val="24"/>
          <w:szCs w:val="24"/>
        </w:rPr>
        <w:t>31)</w:t>
      </w:r>
    </w:p>
    <w:p w:rsidR="00A7405B" w:rsidRPr="0086496C" w:rsidRDefault="0016664A" w:rsidP="0086496C">
      <w:pPr>
        <w:spacing w:after="120" w:line="240" w:lineRule="auto"/>
        <w:rPr>
          <w:rFonts w:ascii="Times New Roman" w:hAnsi="Times New Roman"/>
          <w:sz w:val="24"/>
          <w:szCs w:val="24"/>
        </w:rPr>
      </w:pPr>
      <w:r w:rsidRPr="00E772E8">
        <w:rPr>
          <w:rFonts w:ascii="Times New Roman" w:hAnsi="Times New Roman"/>
          <w:b/>
        </w:rPr>
        <w:t>In</w:t>
      </w:r>
      <w:r>
        <w:rPr>
          <w:rFonts w:ascii="Times New Roman" w:hAnsi="Times New Roman"/>
          <w:b/>
        </w:rPr>
        <w:t>-P</w:t>
      </w:r>
      <w:r w:rsidRPr="00E772E8">
        <w:rPr>
          <w:rFonts w:ascii="Times New Roman" w:hAnsi="Times New Roman"/>
          <w:b/>
        </w:rPr>
        <w:t>erson St</w:t>
      </w:r>
      <w:r w:rsidRPr="00D7002A">
        <w:rPr>
          <w:rFonts w:ascii="Times New Roman" w:hAnsi="Times New Roman"/>
          <w:b/>
        </w:rPr>
        <w:t>udy of NHES:2019 Nonrespond</w:t>
      </w:r>
      <w:r w:rsidRPr="008F6E33">
        <w:rPr>
          <w:rFonts w:ascii="Times New Roman" w:hAnsi="Times New Roman"/>
          <w:b/>
        </w:rPr>
        <w:t>ing Household</w:t>
      </w:r>
      <w:r w:rsidRPr="00E70177">
        <w:rPr>
          <w:rFonts w:ascii="Times New Roman" w:hAnsi="Times New Roman"/>
          <w:b/>
        </w:rPr>
        <w:t>s:</w:t>
      </w:r>
      <w:r w:rsidRPr="00E772E8">
        <w:rPr>
          <w:rFonts w:ascii="Times New Roman" w:hAnsi="Times New Roman"/>
        </w:rPr>
        <w:t xml:space="preserve"> </w:t>
      </w:r>
      <w:r w:rsidRPr="00B30789">
        <w:rPr>
          <w:rFonts w:ascii="Times New Roman" w:hAnsi="Times New Roman"/>
          <w:szCs w:val="20"/>
        </w:rPr>
        <w:t>As described in Part A, section A.2, and section B.2</w:t>
      </w:r>
      <w:r w:rsidR="0076466B" w:rsidRPr="0076466B">
        <w:t xml:space="preserve"> </w:t>
      </w:r>
      <w:r w:rsidR="0076466B" w:rsidRPr="0076466B">
        <w:rPr>
          <w:rFonts w:ascii="Times New Roman" w:hAnsi="Times New Roman"/>
          <w:color w:val="FF0000"/>
          <w:szCs w:val="20"/>
        </w:rPr>
        <w:t>of this document</w:t>
      </w:r>
      <w:r w:rsidRPr="00435C2E">
        <w:rPr>
          <w:rFonts w:ascii="Times New Roman" w:hAnsi="Times New Roman"/>
          <w:szCs w:val="20"/>
        </w:rPr>
        <w:t xml:space="preserve">, the in-person study of nonresponding households will use </w:t>
      </w:r>
      <w:r w:rsidRPr="0016664A">
        <w:rPr>
          <w:rFonts w:ascii="Times New Roman" w:hAnsi="Times New Roman"/>
          <w:strike/>
          <w:color w:val="FF0000"/>
          <w:szCs w:val="20"/>
        </w:rPr>
        <w:t xml:space="preserve">structured and </w:t>
      </w:r>
      <w:r w:rsidRPr="00435C2E">
        <w:rPr>
          <w:rFonts w:ascii="Times New Roman" w:hAnsi="Times New Roman"/>
          <w:szCs w:val="20"/>
        </w:rPr>
        <w:t>qualitative in-person interviews</w:t>
      </w:r>
      <w:r w:rsidRPr="0016664A">
        <w:rPr>
          <w:rFonts w:ascii="Times New Roman" w:hAnsi="Times New Roman"/>
          <w:strike/>
          <w:color w:val="FF0000"/>
          <w:szCs w:val="20"/>
        </w:rPr>
        <w:t>, as well as</w:t>
      </w:r>
      <w:r>
        <w:rPr>
          <w:rFonts w:ascii="Times New Roman" w:hAnsi="Times New Roman"/>
          <w:szCs w:val="20"/>
        </w:rPr>
        <w:t xml:space="preserve"> </w:t>
      </w:r>
      <w:r w:rsidRPr="00F921E0">
        <w:rPr>
          <w:rFonts w:ascii="Times New Roman" w:hAnsi="Times New Roman"/>
          <w:color w:val="FF0000"/>
          <w:szCs w:val="20"/>
        </w:rPr>
        <w:t>and</w:t>
      </w:r>
      <w:r w:rsidRPr="00435C2E">
        <w:rPr>
          <w:rFonts w:ascii="Times New Roman" w:hAnsi="Times New Roman"/>
          <w:szCs w:val="20"/>
        </w:rPr>
        <w:t xml:space="preserve"> address and </w:t>
      </w:r>
      <w:r w:rsidRPr="0016664A">
        <w:rPr>
          <w:rFonts w:ascii="Times New Roman" w:hAnsi="Times New Roman"/>
          <w:strike/>
          <w:color w:val="FF0000"/>
          <w:szCs w:val="20"/>
        </w:rPr>
        <w:t>household</w:t>
      </w:r>
      <w:r w:rsidR="00F921E0" w:rsidRPr="00F921E0">
        <w:rPr>
          <w:rFonts w:ascii="Times New Roman" w:hAnsi="Times New Roman"/>
          <w:color w:val="FF0000"/>
          <w:szCs w:val="20"/>
        </w:rPr>
        <w:t xml:space="preserve"> </w:t>
      </w:r>
      <w:r w:rsidRPr="00F921E0">
        <w:rPr>
          <w:rFonts w:ascii="Times New Roman" w:hAnsi="Times New Roman"/>
          <w:color w:val="FF0000"/>
          <w:szCs w:val="20"/>
        </w:rPr>
        <w:t>neighborhood</w:t>
      </w:r>
      <w:r w:rsidRPr="00435C2E">
        <w:rPr>
          <w:rFonts w:ascii="Times New Roman" w:hAnsi="Times New Roman"/>
          <w:szCs w:val="20"/>
        </w:rPr>
        <w:t xml:space="preserve"> observations to assess whether the existing theories surrounding household survey nonresponse are applicable to </w:t>
      </w:r>
      <w:r>
        <w:rPr>
          <w:rFonts w:ascii="Times New Roman" w:hAnsi="Times New Roman"/>
          <w:szCs w:val="20"/>
        </w:rPr>
        <w:t>NHES</w:t>
      </w:r>
      <w:r w:rsidRPr="00435C2E">
        <w:rPr>
          <w:rFonts w:ascii="Times New Roman" w:hAnsi="Times New Roman"/>
          <w:szCs w:val="20"/>
        </w:rPr>
        <w:t xml:space="preserve">. </w:t>
      </w:r>
      <w:r w:rsidRPr="0016664A">
        <w:rPr>
          <w:rFonts w:ascii="Times New Roman" w:hAnsi="Times New Roman"/>
          <w:strike/>
          <w:color w:val="FF0000"/>
          <w:szCs w:val="20"/>
        </w:rPr>
        <w:t>230 completed structured interviews and 80</w:t>
      </w:r>
      <w:r w:rsidR="00F921E0" w:rsidRPr="00F921E0">
        <w:rPr>
          <w:rFonts w:ascii="Times New Roman" w:hAnsi="Times New Roman"/>
          <w:color w:val="FF0000"/>
          <w:szCs w:val="20"/>
        </w:rPr>
        <w:t xml:space="preserve"> </w:t>
      </w:r>
      <w:r w:rsidRPr="00F921E0">
        <w:rPr>
          <w:rFonts w:ascii="Times New Roman" w:hAnsi="Times New Roman"/>
          <w:color w:val="FF0000"/>
          <w:szCs w:val="20"/>
        </w:rPr>
        <w:t>100</w:t>
      </w:r>
      <w:r w:rsidRPr="00435C2E">
        <w:rPr>
          <w:rFonts w:ascii="Times New Roman" w:hAnsi="Times New Roman"/>
          <w:szCs w:val="20"/>
        </w:rPr>
        <w:t xml:space="preserve"> semi-structured, qualitative interviews </w:t>
      </w:r>
      <w:r w:rsidRPr="00C82639">
        <w:rPr>
          <w:rFonts w:ascii="Times New Roman" w:hAnsi="Times New Roman"/>
          <w:color w:val="FF0000"/>
          <w:szCs w:val="20"/>
        </w:rPr>
        <w:t xml:space="preserve">and </w:t>
      </w:r>
      <w:r w:rsidR="0076466B" w:rsidRPr="0076466B">
        <w:rPr>
          <w:rFonts w:ascii="Times New Roman" w:hAnsi="Times New Roman"/>
          <w:color w:val="FF0000"/>
          <w:szCs w:val="20"/>
        </w:rPr>
        <w:t xml:space="preserve">approximately </w:t>
      </w:r>
      <w:r w:rsidRPr="00C82639">
        <w:rPr>
          <w:rFonts w:ascii="Times New Roman" w:hAnsi="Times New Roman"/>
          <w:color w:val="FF0000"/>
          <w:szCs w:val="20"/>
        </w:rPr>
        <w:t xml:space="preserve">750 </w:t>
      </w:r>
      <w:r w:rsidR="0076466B" w:rsidRPr="0076466B">
        <w:rPr>
          <w:rFonts w:ascii="Times New Roman" w:hAnsi="Times New Roman"/>
          <w:color w:val="FF0000"/>
          <w:szCs w:val="20"/>
        </w:rPr>
        <w:t>(or more of budget permits)</w:t>
      </w:r>
      <w:r w:rsidR="0076466B">
        <w:rPr>
          <w:rFonts w:ascii="Times New Roman" w:hAnsi="Times New Roman"/>
          <w:color w:val="FF0000"/>
          <w:szCs w:val="20"/>
        </w:rPr>
        <w:t xml:space="preserve"> </w:t>
      </w:r>
      <w:r w:rsidRPr="00C82639">
        <w:rPr>
          <w:rFonts w:ascii="Times New Roman" w:hAnsi="Times New Roman"/>
          <w:color w:val="FF0000"/>
          <w:szCs w:val="20"/>
        </w:rPr>
        <w:t xml:space="preserve">address and neighborhood observations </w:t>
      </w:r>
      <w:r w:rsidRPr="00435C2E">
        <w:rPr>
          <w:rFonts w:ascii="Times New Roman" w:hAnsi="Times New Roman"/>
          <w:szCs w:val="20"/>
        </w:rPr>
        <w:t>will be completed with NHES</w:t>
      </w:r>
      <w:r w:rsidR="00EE1526">
        <w:rPr>
          <w:rFonts w:ascii="Times New Roman" w:hAnsi="Times New Roman"/>
          <w:color w:val="FF0000"/>
          <w:szCs w:val="20"/>
        </w:rPr>
        <w:t>:2019</w:t>
      </w:r>
      <w:r w:rsidRPr="00435C2E">
        <w:rPr>
          <w:rFonts w:ascii="Times New Roman" w:hAnsi="Times New Roman"/>
          <w:szCs w:val="20"/>
        </w:rPr>
        <w:t xml:space="preserve"> nonrespond</w:t>
      </w:r>
      <w:r w:rsidRPr="00EE1526">
        <w:rPr>
          <w:rFonts w:ascii="Times New Roman" w:hAnsi="Times New Roman"/>
          <w:strike/>
          <w:color w:val="FF0000"/>
          <w:szCs w:val="20"/>
        </w:rPr>
        <w:t>ents</w:t>
      </w:r>
      <w:r w:rsidR="00EE1526">
        <w:rPr>
          <w:rFonts w:ascii="Times New Roman" w:hAnsi="Times New Roman"/>
          <w:color w:val="FF0000"/>
          <w:szCs w:val="20"/>
        </w:rPr>
        <w:t>ing addresses</w:t>
      </w:r>
      <w:r w:rsidRPr="00435C2E">
        <w:rPr>
          <w:rFonts w:ascii="Times New Roman" w:hAnsi="Times New Roman"/>
          <w:szCs w:val="20"/>
        </w:rPr>
        <w:t>. Additional detail is provided in A</w:t>
      </w:r>
      <w:r>
        <w:rPr>
          <w:rFonts w:ascii="Times New Roman" w:hAnsi="Times New Roman"/>
          <w:szCs w:val="20"/>
        </w:rPr>
        <w:t>ppendix 4</w:t>
      </w:r>
      <w:r w:rsidR="005B7B8C">
        <w:rPr>
          <w:rFonts w:ascii="Times New Roman" w:hAnsi="Times New Roman"/>
          <w:color w:val="FF0000"/>
          <w:szCs w:val="20"/>
        </w:rPr>
        <w:t>, which</w:t>
      </w:r>
      <w:r w:rsidRPr="00F921E0">
        <w:rPr>
          <w:rFonts w:ascii="Times New Roman" w:hAnsi="Times New Roman"/>
          <w:color w:val="FF0000"/>
          <w:szCs w:val="20"/>
        </w:rPr>
        <w:t xml:space="preserve"> also includes contact materials, final interview protocols, and</w:t>
      </w:r>
      <w:r w:rsidRPr="00476372">
        <w:rPr>
          <w:rFonts w:ascii="Times New Roman" w:hAnsi="Times New Roman"/>
          <w:szCs w:val="20"/>
        </w:rPr>
        <w:t xml:space="preserve"> final sample selection details </w:t>
      </w:r>
      <w:r w:rsidRPr="0016664A">
        <w:rPr>
          <w:rFonts w:ascii="Times New Roman" w:hAnsi="Times New Roman"/>
          <w:strike/>
          <w:color w:val="FF0000"/>
          <w:szCs w:val="20"/>
        </w:rPr>
        <w:t>and planned analyses</w:t>
      </w:r>
      <w:r>
        <w:rPr>
          <w:rFonts w:ascii="Times New Roman" w:hAnsi="Times New Roman"/>
          <w:szCs w:val="20"/>
        </w:rPr>
        <w:t xml:space="preserve"> </w:t>
      </w:r>
      <w:r w:rsidRPr="00476372">
        <w:rPr>
          <w:rFonts w:ascii="Times New Roman" w:hAnsi="Times New Roman"/>
          <w:szCs w:val="20"/>
        </w:rPr>
        <w:t>for this study</w:t>
      </w:r>
      <w:r w:rsidRPr="00E102D1">
        <w:rPr>
          <w:rFonts w:ascii="Times New Roman" w:hAnsi="Times New Roman"/>
          <w:szCs w:val="20"/>
        </w:rPr>
        <w:t xml:space="preserve"> </w:t>
      </w:r>
      <w:r w:rsidRPr="0016664A">
        <w:rPr>
          <w:rFonts w:ascii="Times New Roman" w:hAnsi="Times New Roman"/>
          <w:strike/>
          <w:color w:val="FF0000"/>
          <w:szCs w:val="20"/>
        </w:rPr>
        <w:t>will be submitted to OMB for review with a 30-day public comment period in fall 2018</w:t>
      </w:r>
      <w:r w:rsidRPr="00476372">
        <w:rPr>
          <w:rFonts w:ascii="Times New Roman" w:hAnsi="Times New Roman"/>
          <w:szCs w:val="20"/>
        </w:rPr>
        <w:t>.</w:t>
      </w:r>
    </w:p>
    <w:p w:rsidR="006330CB" w:rsidRPr="00B132E5" w:rsidRDefault="00B132E5" w:rsidP="008C015E">
      <w:pPr>
        <w:spacing w:after="120" w:line="240" w:lineRule="auto"/>
        <w:rPr>
          <w:rFonts w:ascii="Times New Roman" w:hAnsi="Times New Roman"/>
          <w:b/>
          <w:sz w:val="24"/>
          <w:szCs w:val="24"/>
          <w:u w:val="single"/>
        </w:rPr>
      </w:pPr>
      <w:r w:rsidRPr="00B132E5">
        <w:rPr>
          <w:rFonts w:ascii="Times New Roman" w:hAnsi="Times New Roman"/>
          <w:b/>
          <w:sz w:val="24"/>
          <w:szCs w:val="24"/>
          <w:u w:val="single"/>
        </w:rPr>
        <w:t>Appendix 1 – NHES 2019 Contact Materials</w:t>
      </w:r>
    </w:p>
    <w:p w:rsidR="00B42931" w:rsidRPr="00823AAB" w:rsidRDefault="00B132E5" w:rsidP="00823AAB">
      <w:pPr>
        <w:spacing w:after="120" w:line="240" w:lineRule="auto"/>
        <w:rPr>
          <w:rFonts w:ascii="Times New Roman" w:hAnsi="Times New Roman"/>
        </w:rPr>
      </w:pPr>
      <w:r w:rsidRPr="00823AAB">
        <w:rPr>
          <w:rFonts w:ascii="Times New Roman" w:hAnsi="Times New Roman"/>
        </w:rPr>
        <w:t xml:space="preserve">Appendix </w:t>
      </w:r>
      <w:r w:rsidR="00823AAB">
        <w:rPr>
          <w:rFonts w:ascii="Times New Roman" w:hAnsi="Times New Roman"/>
        </w:rPr>
        <w:t>1</w:t>
      </w:r>
      <w:r w:rsidRPr="00823AAB">
        <w:rPr>
          <w:rFonts w:ascii="Times New Roman" w:hAnsi="Times New Roman"/>
        </w:rPr>
        <w:t xml:space="preserve"> has been updated to reflect the endorsements that have been received for NHES.</w:t>
      </w:r>
      <w:r w:rsidR="00B42931" w:rsidRPr="00823AAB">
        <w:rPr>
          <w:rFonts w:ascii="Times New Roman" w:hAnsi="Times New Roman"/>
        </w:rPr>
        <w:t xml:space="preserve"> </w:t>
      </w:r>
      <w:r w:rsidRPr="00823AAB">
        <w:rPr>
          <w:rFonts w:ascii="Times New Roman" w:hAnsi="Times New Roman"/>
        </w:rPr>
        <w:t xml:space="preserve">Specifically, the sections titled “Initial screener package letters” and “Third screener package </w:t>
      </w:r>
      <w:r w:rsidR="00823AAB">
        <w:rPr>
          <w:rFonts w:ascii="Times New Roman" w:hAnsi="Times New Roman"/>
        </w:rPr>
        <w:t>letters” was revised as follows:</w:t>
      </w:r>
    </w:p>
    <w:p w:rsidR="008C015E" w:rsidRPr="00823AAB" w:rsidRDefault="008C015E" w:rsidP="00823AAB">
      <w:pPr>
        <w:spacing w:after="120" w:line="240" w:lineRule="auto"/>
        <w:rPr>
          <w:rFonts w:ascii="Times New Roman" w:hAnsi="Times New Roman"/>
        </w:rPr>
      </w:pPr>
      <w:r w:rsidRPr="00823AAB">
        <w:rPr>
          <w:rFonts w:ascii="Times New Roman" w:hAnsi="Times New Roman"/>
        </w:rPr>
        <w:t>(p.</w:t>
      </w:r>
      <w:r w:rsidR="002A07E9">
        <w:rPr>
          <w:rFonts w:ascii="Times New Roman" w:hAnsi="Times New Roman"/>
        </w:rPr>
        <w:t>24</w:t>
      </w:r>
      <w:r w:rsidRPr="00823AAB">
        <w:rPr>
          <w:rFonts w:ascii="Times New Roman" w:hAnsi="Times New Roman"/>
        </w:rPr>
        <w:t>)</w:t>
      </w:r>
    </w:p>
    <w:p w:rsidR="00B132E5" w:rsidRPr="00823AAB" w:rsidRDefault="00B132E5" w:rsidP="00823AAB">
      <w:pPr>
        <w:spacing w:after="120" w:line="240" w:lineRule="auto"/>
        <w:rPr>
          <w:rFonts w:ascii="Times New Roman" w:eastAsia="Times New Roman" w:hAnsi="Times New Roman"/>
        </w:rPr>
      </w:pPr>
      <w:r w:rsidRPr="00823AAB">
        <w:rPr>
          <w:rFonts w:ascii="Times New Roman" w:eastAsia="Times New Roman" w:hAnsi="Times New Roman"/>
        </w:rPr>
        <w:t xml:space="preserve">Further, addresses that are part of the tailored materials experiment group and are predicted to have Spanish speakers will receive NHES-11LB(T). Those sampled for the tailored materials experiment group but not predicted to have Spanish speakers will receive the NHES-11L(W) noted above. The tailored letter includes endorsements from organizations and programs that </w:t>
      </w:r>
      <w:r w:rsidRPr="007E6255">
        <w:rPr>
          <w:rFonts w:ascii="Times New Roman" w:eastAsia="Times New Roman" w:hAnsi="Times New Roman"/>
          <w:strike/>
          <w:color w:val="FF0000"/>
        </w:rPr>
        <w:t>are currently being pursued</w:t>
      </w:r>
      <w:r w:rsidR="007E6255">
        <w:rPr>
          <w:rFonts w:ascii="Times New Roman" w:eastAsia="Times New Roman" w:hAnsi="Times New Roman"/>
        </w:rPr>
        <w:t xml:space="preserve"> </w:t>
      </w:r>
      <w:r w:rsidRPr="007E6255">
        <w:rPr>
          <w:rFonts w:ascii="Times New Roman" w:eastAsia="Times New Roman" w:hAnsi="Times New Roman"/>
          <w:color w:val="FF0000"/>
        </w:rPr>
        <w:t>have been obtained</w:t>
      </w:r>
      <w:r w:rsidRPr="00823AAB">
        <w:rPr>
          <w:rFonts w:ascii="Times New Roman" w:eastAsia="Times New Roman" w:hAnsi="Times New Roman"/>
        </w:rPr>
        <w:t xml:space="preserve"> by NCES </w:t>
      </w:r>
      <w:r w:rsidRPr="00081626">
        <w:rPr>
          <w:rFonts w:ascii="Times New Roman" w:eastAsia="Times New Roman" w:hAnsi="Times New Roman"/>
          <w:strike/>
          <w:color w:val="FF0000"/>
        </w:rPr>
        <w:t>but have not yet been obtained</w:t>
      </w:r>
      <w:r w:rsidRPr="00823AAB">
        <w:rPr>
          <w:rFonts w:ascii="Times New Roman" w:eastAsia="Times New Roman" w:hAnsi="Times New Roman"/>
        </w:rPr>
        <w:t xml:space="preserve">. </w:t>
      </w:r>
      <w:r w:rsidRPr="00081626">
        <w:rPr>
          <w:rFonts w:ascii="Times New Roman" w:eastAsia="Times New Roman" w:hAnsi="Times New Roman"/>
          <w:strike/>
          <w:color w:val="FF0000"/>
        </w:rPr>
        <w:t>A</w:t>
      </w:r>
      <w:r w:rsidR="007E6255">
        <w:rPr>
          <w:rFonts w:ascii="Times New Roman" w:eastAsia="Times New Roman" w:hAnsi="Times New Roman"/>
        </w:rPr>
        <w:t xml:space="preserve"> </w:t>
      </w:r>
      <w:r w:rsidRPr="007E6255">
        <w:rPr>
          <w:rFonts w:ascii="Times New Roman" w:eastAsia="Times New Roman" w:hAnsi="Times New Roman"/>
          <w:color w:val="FF0000"/>
        </w:rPr>
        <w:t>The</w:t>
      </w:r>
      <w:r w:rsidRPr="00823AAB">
        <w:rPr>
          <w:rFonts w:ascii="Times New Roman" w:eastAsia="Times New Roman" w:hAnsi="Times New Roman"/>
        </w:rPr>
        <w:t xml:space="preserve"> letter </w:t>
      </w:r>
      <w:r w:rsidRPr="00081626">
        <w:rPr>
          <w:rFonts w:ascii="Times New Roman" w:eastAsia="Times New Roman" w:hAnsi="Times New Roman"/>
          <w:strike/>
          <w:color w:val="FF0000"/>
        </w:rPr>
        <w:t>that will be</w:t>
      </w:r>
      <w:r w:rsidRPr="00823AAB">
        <w:rPr>
          <w:rFonts w:ascii="Times New Roman" w:eastAsia="Times New Roman" w:hAnsi="Times New Roman"/>
        </w:rPr>
        <w:t xml:space="preserve"> used to seek endorsements is provided preceding the tailored screener materials.</w:t>
      </w:r>
    </w:p>
    <w:p w:rsidR="002A07E9" w:rsidRPr="00823AAB" w:rsidRDefault="002A07E9" w:rsidP="002A07E9">
      <w:pPr>
        <w:spacing w:after="120" w:line="240" w:lineRule="auto"/>
        <w:rPr>
          <w:rFonts w:ascii="Times New Roman" w:hAnsi="Times New Roman"/>
        </w:rPr>
      </w:pPr>
      <w:r w:rsidRPr="00823AAB">
        <w:rPr>
          <w:rFonts w:ascii="Times New Roman" w:hAnsi="Times New Roman"/>
        </w:rPr>
        <w:t>(p.</w:t>
      </w:r>
      <w:r>
        <w:rPr>
          <w:rFonts w:ascii="Times New Roman" w:hAnsi="Times New Roman"/>
        </w:rPr>
        <w:t>75</w:t>
      </w:r>
      <w:r w:rsidRPr="00823AAB">
        <w:rPr>
          <w:rFonts w:ascii="Times New Roman" w:hAnsi="Times New Roman"/>
        </w:rPr>
        <w:t>)</w:t>
      </w:r>
    </w:p>
    <w:p w:rsidR="00B132E5" w:rsidRPr="00823AAB" w:rsidRDefault="00B132E5" w:rsidP="00823AAB">
      <w:pPr>
        <w:spacing w:after="120" w:line="240" w:lineRule="auto"/>
        <w:rPr>
          <w:rFonts w:ascii="Times New Roman" w:eastAsia="Times New Roman" w:hAnsi="Times New Roman"/>
        </w:rPr>
      </w:pPr>
      <w:r w:rsidRPr="00823AAB">
        <w:rPr>
          <w:rFonts w:ascii="Times New Roman" w:eastAsia="Times New Roman" w:hAnsi="Times New Roman"/>
        </w:rPr>
        <w:t xml:space="preserve">Addresses that are part of the tailored materials experiment group and are predicted to have Spanish speakers will receive the NHES-13LB(T) letter. Those sampled for the tailored materials experiment group but not predicted to have Spanish speakers will receive the NHES-13L(M) noted above. The tailored letter includes endorsements from organizations and programs that </w:t>
      </w:r>
      <w:r w:rsidRPr="00081626">
        <w:rPr>
          <w:rFonts w:ascii="Times New Roman" w:eastAsia="Times New Roman" w:hAnsi="Times New Roman"/>
          <w:strike/>
          <w:color w:val="FF0000"/>
        </w:rPr>
        <w:t>are currently being pursued</w:t>
      </w:r>
      <w:r w:rsidR="007E6255">
        <w:rPr>
          <w:rFonts w:ascii="Times New Roman" w:eastAsia="Times New Roman" w:hAnsi="Times New Roman"/>
        </w:rPr>
        <w:t xml:space="preserve"> </w:t>
      </w:r>
      <w:r w:rsidRPr="00081626">
        <w:rPr>
          <w:rFonts w:ascii="Times New Roman" w:eastAsia="Times New Roman" w:hAnsi="Times New Roman"/>
          <w:color w:val="FF0000"/>
        </w:rPr>
        <w:t>have been obtained</w:t>
      </w:r>
      <w:r w:rsidRPr="00823AAB">
        <w:rPr>
          <w:rFonts w:ascii="Times New Roman" w:eastAsia="Times New Roman" w:hAnsi="Times New Roman"/>
        </w:rPr>
        <w:t xml:space="preserve"> by NCES </w:t>
      </w:r>
      <w:r w:rsidRPr="00081626">
        <w:rPr>
          <w:rFonts w:ascii="Times New Roman" w:eastAsia="Times New Roman" w:hAnsi="Times New Roman"/>
          <w:strike/>
          <w:color w:val="FF0000"/>
        </w:rPr>
        <w:t>but have not yet been obtained</w:t>
      </w:r>
      <w:r w:rsidRPr="00823AAB">
        <w:rPr>
          <w:rFonts w:ascii="Times New Roman" w:eastAsia="Times New Roman" w:hAnsi="Times New Roman"/>
        </w:rPr>
        <w:t>.</w:t>
      </w:r>
    </w:p>
    <w:p w:rsidR="00B42931" w:rsidRPr="00823AAB" w:rsidRDefault="00B132E5" w:rsidP="00823AAB">
      <w:pPr>
        <w:spacing w:after="120" w:line="240" w:lineRule="auto"/>
        <w:rPr>
          <w:rFonts w:ascii="Times New Roman" w:hAnsi="Times New Roman"/>
        </w:rPr>
      </w:pPr>
      <w:r w:rsidRPr="00823AAB">
        <w:rPr>
          <w:rFonts w:ascii="Times New Roman" w:hAnsi="Times New Roman"/>
        </w:rPr>
        <w:t>The letters in these sections have been revised to show the endorsements.</w:t>
      </w:r>
    </w:p>
    <w:p w:rsidR="00726A44" w:rsidRPr="00282624" w:rsidRDefault="0029050C" w:rsidP="00726A44">
      <w:pPr>
        <w:rPr>
          <w:rFonts w:ascii="Times New Roman" w:hAnsi="Times New Roman"/>
          <w:b/>
          <w:sz w:val="24"/>
          <w:szCs w:val="24"/>
          <w:u w:val="single"/>
        </w:rPr>
      </w:pPr>
      <w:r>
        <w:rPr>
          <w:rFonts w:ascii="Times New Roman" w:hAnsi="Times New Roman"/>
          <w:b/>
          <w:sz w:val="24"/>
          <w:szCs w:val="24"/>
          <w:u w:val="single"/>
        </w:rPr>
        <w:t xml:space="preserve">Appendix 4 – </w:t>
      </w:r>
      <w:r w:rsidRPr="0029050C">
        <w:rPr>
          <w:rFonts w:ascii="Times New Roman" w:hAnsi="Times New Roman"/>
          <w:b/>
          <w:sz w:val="24"/>
          <w:szCs w:val="24"/>
          <w:u w:val="single"/>
        </w:rPr>
        <w:t>In-Person Study of NHES:2019 Nonresponding Households</w:t>
      </w:r>
    </w:p>
    <w:p w:rsidR="00726A44" w:rsidRPr="00924E9A" w:rsidRDefault="0029050C" w:rsidP="00261427">
      <w:pPr>
        <w:rPr>
          <w:rFonts w:ascii="Times New Roman" w:hAnsi="Times New Roman"/>
          <w:sz w:val="24"/>
          <w:szCs w:val="24"/>
        </w:rPr>
      </w:pPr>
      <w:r w:rsidRPr="00C80716">
        <w:rPr>
          <w:rFonts w:ascii="Times New Roman" w:hAnsi="Times New Roman"/>
          <w:sz w:val="24"/>
          <w:szCs w:val="24"/>
          <w:highlight w:val="yellow"/>
        </w:rPr>
        <w:t>All material</w:t>
      </w:r>
      <w:r w:rsidR="00BF5B13">
        <w:rPr>
          <w:rFonts w:ascii="Times New Roman" w:hAnsi="Times New Roman"/>
          <w:sz w:val="24"/>
          <w:szCs w:val="24"/>
          <w:highlight w:val="yellow"/>
        </w:rPr>
        <w:t>s</w:t>
      </w:r>
      <w:r w:rsidRPr="00C80716">
        <w:rPr>
          <w:rFonts w:ascii="Times New Roman" w:hAnsi="Times New Roman"/>
          <w:sz w:val="24"/>
          <w:szCs w:val="24"/>
          <w:highlight w:val="yellow"/>
        </w:rPr>
        <w:t xml:space="preserve"> on page</w:t>
      </w:r>
      <w:r w:rsidR="00BF5B13">
        <w:rPr>
          <w:rFonts w:ascii="Times New Roman" w:hAnsi="Times New Roman"/>
          <w:sz w:val="24"/>
          <w:szCs w:val="24"/>
          <w:highlight w:val="yellow"/>
        </w:rPr>
        <w:t>s</w:t>
      </w:r>
      <w:r w:rsidRPr="00C80716">
        <w:rPr>
          <w:rFonts w:ascii="Times New Roman" w:hAnsi="Times New Roman"/>
          <w:sz w:val="24"/>
          <w:szCs w:val="24"/>
          <w:highlight w:val="yellow"/>
        </w:rPr>
        <w:t xml:space="preserve"> 1</w:t>
      </w:r>
      <w:r w:rsidR="004F2BD8">
        <w:rPr>
          <w:rFonts w:ascii="Times New Roman" w:hAnsi="Times New Roman"/>
          <w:sz w:val="24"/>
          <w:szCs w:val="24"/>
          <w:highlight w:val="yellow"/>
        </w:rPr>
        <w:t>4</w:t>
      </w:r>
      <w:r w:rsidR="00BF5B13">
        <w:rPr>
          <w:rFonts w:ascii="Times New Roman" w:hAnsi="Times New Roman"/>
          <w:sz w:val="24"/>
          <w:szCs w:val="24"/>
          <w:highlight w:val="yellow"/>
        </w:rPr>
        <w:t>-3</w:t>
      </w:r>
      <w:r w:rsidR="004F2BD8">
        <w:rPr>
          <w:rFonts w:ascii="Times New Roman" w:hAnsi="Times New Roman"/>
          <w:sz w:val="24"/>
          <w:szCs w:val="24"/>
          <w:highlight w:val="yellow"/>
        </w:rPr>
        <w:t>6</w:t>
      </w:r>
      <w:r w:rsidRPr="00C80716">
        <w:rPr>
          <w:rFonts w:ascii="Times New Roman" w:hAnsi="Times New Roman"/>
          <w:sz w:val="24"/>
          <w:szCs w:val="24"/>
          <w:highlight w:val="yellow"/>
        </w:rPr>
        <w:t xml:space="preserve"> </w:t>
      </w:r>
      <w:r w:rsidR="000E2963">
        <w:rPr>
          <w:rFonts w:ascii="Times New Roman" w:hAnsi="Times New Roman"/>
          <w:sz w:val="24"/>
          <w:szCs w:val="24"/>
          <w:highlight w:val="yellow"/>
        </w:rPr>
        <w:t xml:space="preserve">and </w:t>
      </w:r>
      <w:r w:rsidR="00DB6819">
        <w:rPr>
          <w:rFonts w:ascii="Times New Roman" w:hAnsi="Times New Roman"/>
          <w:sz w:val="24"/>
          <w:szCs w:val="24"/>
          <w:highlight w:val="yellow"/>
        </w:rPr>
        <w:t>4</w:t>
      </w:r>
      <w:r w:rsidR="004F2BD8">
        <w:rPr>
          <w:rFonts w:ascii="Times New Roman" w:hAnsi="Times New Roman"/>
          <w:sz w:val="24"/>
          <w:szCs w:val="24"/>
          <w:highlight w:val="yellow"/>
        </w:rPr>
        <w:t>8</w:t>
      </w:r>
      <w:r w:rsidR="00DB6819">
        <w:rPr>
          <w:rFonts w:ascii="Times New Roman" w:hAnsi="Times New Roman"/>
          <w:sz w:val="24"/>
          <w:szCs w:val="24"/>
          <w:highlight w:val="yellow"/>
        </w:rPr>
        <w:t>-5</w:t>
      </w:r>
      <w:r w:rsidR="004F2BD8">
        <w:rPr>
          <w:rFonts w:ascii="Times New Roman" w:hAnsi="Times New Roman"/>
          <w:sz w:val="24"/>
          <w:szCs w:val="24"/>
          <w:highlight w:val="yellow"/>
        </w:rPr>
        <w:t>1</w:t>
      </w:r>
      <w:r w:rsidR="00DB6819">
        <w:rPr>
          <w:rFonts w:ascii="Times New Roman" w:hAnsi="Times New Roman"/>
          <w:sz w:val="24"/>
          <w:szCs w:val="24"/>
          <w:highlight w:val="yellow"/>
        </w:rPr>
        <w:t xml:space="preserve"> </w:t>
      </w:r>
      <w:r w:rsidR="00BF5B13">
        <w:rPr>
          <w:rFonts w:ascii="Times New Roman" w:hAnsi="Times New Roman"/>
          <w:sz w:val="24"/>
          <w:szCs w:val="24"/>
          <w:highlight w:val="yellow"/>
        </w:rPr>
        <w:t>are</w:t>
      </w:r>
      <w:r w:rsidRPr="00C80716">
        <w:rPr>
          <w:rFonts w:ascii="Times New Roman" w:hAnsi="Times New Roman"/>
          <w:sz w:val="24"/>
          <w:szCs w:val="24"/>
          <w:highlight w:val="yellow"/>
        </w:rPr>
        <w:t xml:space="preserve"> </w:t>
      </w:r>
      <w:r w:rsidRPr="000E2963">
        <w:rPr>
          <w:rFonts w:ascii="Times New Roman" w:hAnsi="Times New Roman"/>
          <w:sz w:val="24"/>
          <w:szCs w:val="24"/>
          <w:highlight w:val="yellow"/>
        </w:rPr>
        <w:t>new</w:t>
      </w:r>
      <w:r w:rsidR="000E2963" w:rsidRPr="000E2963">
        <w:rPr>
          <w:rFonts w:ascii="Times New Roman" w:hAnsi="Times New Roman"/>
          <w:sz w:val="24"/>
          <w:szCs w:val="24"/>
          <w:highlight w:val="yellow"/>
        </w:rPr>
        <w:t>ly added</w:t>
      </w:r>
      <w:r>
        <w:rPr>
          <w:rFonts w:ascii="Times New Roman" w:hAnsi="Times New Roman"/>
          <w:sz w:val="24"/>
          <w:szCs w:val="24"/>
        </w:rPr>
        <w:t>. Additionally, the following revisions were made:</w:t>
      </w:r>
    </w:p>
    <w:p w:rsidR="00F7002A" w:rsidRPr="004450A2" w:rsidRDefault="00F86A5E" w:rsidP="004450A2">
      <w:pPr>
        <w:spacing w:after="120" w:line="240" w:lineRule="auto"/>
        <w:rPr>
          <w:rFonts w:ascii="Times New Roman" w:hAnsi="Times New Roman"/>
        </w:rPr>
      </w:pPr>
      <w:r w:rsidRPr="004450A2">
        <w:rPr>
          <w:rFonts w:ascii="Times New Roman" w:hAnsi="Times New Roman"/>
        </w:rPr>
        <w:t>(p.1)</w:t>
      </w:r>
    </w:p>
    <w:p w:rsidR="00176B47" w:rsidRPr="004450A2" w:rsidRDefault="00176B47" w:rsidP="004450A2">
      <w:pPr>
        <w:pStyle w:val="NoSpacing"/>
        <w:widowControl w:val="0"/>
        <w:spacing w:after="120"/>
        <w:rPr>
          <w:rFonts w:ascii="Times New Roman" w:hAnsi="Times New Roman" w:cs="Times New Roman"/>
        </w:rPr>
      </w:pPr>
      <w:bookmarkStart w:id="3" w:name="_Toc511740553"/>
      <w:r w:rsidRPr="00CB3A26">
        <w:rPr>
          <w:rFonts w:ascii="Times New Roman" w:hAnsi="Times New Roman" w:cs="Times New Roman"/>
          <w:strike/>
          <w:color w:val="FF0000"/>
        </w:rPr>
        <w:t>Two separate interview operations will be conducted to</w:t>
      </w:r>
      <w:r w:rsidR="003E5BB4" w:rsidRPr="003E5BB4">
        <w:rPr>
          <w:rFonts w:ascii="Times New Roman" w:hAnsi="Times New Roman" w:cs="Times New Roman"/>
          <w:color w:val="FF0000"/>
        </w:rPr>
        <w:t xml:space="preserve"> </w:t>
      </w:r>
      <w:r w:rsidRPr="00CB3A26">
        <w:rPr>
          <w:rFonts w:ascii="Times New Roman" w:hAnsi="Times New Roman" w:cs="Times New Roman"/>
          <w:color w:val="FF0000"/>
        </w:rPr>
        <w:t>To</w:t>
      </w:r>
      <w:r w:rsidRPr="004450A2">
        <w:rPr>
          <w:rFonts w:ascii="Times New Roman" w:hAnsi="Times New Roman" w:cs="Times New Roman"/>
        </w:rPr>
        <w:t xml:space="preserve"> address these research questions</w:t>
      </w:r>
      <w:r w:rsidR="00503E37">
        <w:rPr>
          <w:rFonts w:ascii="Times New Roman" w:hAnsi="Times New Roman" w:cs="Times New Roman"/>
        </w:rPr>
        <w:t xml:space="preserve"> </w:t>
      </w:r>
      <w:r w:rsidR="00503E37">
        <w:rPr>
          <w:rFonts w:ascii="Times New Roman" w:hAnsi="Times New Roman" w:cs="Times New Roman"/>
          <w:color w:val="FF0000"/>
        </w:rPr>
        <w:t>we will conduct</w:t>
      </w:r>
      <w:r w:rsidR="00877DF5" w:rsidRPr="00877DF5">
        <w:rPr>
          <w:rFonts w:ascii="Times New Roman" w:hAnsi="Times New Roman" w:cs="Times New Roman"/>
          <w:color w:val="FF0000"/>
        </w:rPr>
        <w:t xml:space="preserve"> </w:t>
      </w:r>
      <w:r w:rsidR="00877DF5" w:rsidRPr="00340B5F">
        <w:rPr>
          <w:rFonts w:ascii="Times New Roman" w:hAnsi="Times New Roman" w:cs="Times New Roman"/>
        </w:rPr>
        <w:t>approximately</w:t>
      </w:r>
      <w:r w:rsidR="00503E37">
        <w:rPr>
          <w:rFonts w:ascii="Times New Roman" w:hAnsi="Times New Roman" w:cs="Times New Roman"/>
          <w:color w:val="FF0000"/>
        </w:rPr>
        <w:t>:</w:t>
      </w:r>
      <w:r w:rsidRPr="004450A2">
        <w:rPr>
          <w:rFonts w:ascii="Times New Roman" w:hAnsi="Times New Roman" w:cs="Times New Roman"/>
        </w:rPr>
        <w:t xml:space="preserve"> (a) </w:t>
      </w:r>
      <w:r w:rsidRPr="003E5BB4">
        <w:rPr>
          <w:rFonts w:ascii="Times New Roman" w:hAnsi="Times New Roman" w:cs="Times New Roman"/>
          <w:strike/>
          <w:color w:val="FF0000"/>
        </w:rPr>
        <w:t>230 10-minute interviews using a structured interview protocol and neighborhood observations (“structured interviews”) and (b) approximately 80</w:t>
      </w:r>
      <w:r w:rsidR="003E5BB4" w:rsidRPr="003E5BB4">
        <w:rPr>
          <w:rFonts w:ascii="Times New Roman" w:hAnsi="Times New Roman" w:cs="Times New Roman"/>
          <w:color w:val="FF0000"/>
        </w:rPr>
        <w:t xml:space="preserve"> </w:t>
      </w:r>
      <w:r w:rsidRPr="003E5BB4">
        <w:rPr>
          <w:rFonts w:ascii="Times New Roman" w:hAnsi="Times New Roman" w:cs="Times New Roman"/>
          <w:color w:val="FF0000"/>
        </w:rPr>
        <w:t>100</w:t>
      </w:r>
      <w:r w:rsidR="00503E37">
        <w:rPr>
          <w:rFonts w:ascii="Times New Roman" w:hAnsi="Times New Roman" w:cs="Times New Roman"/>
          <w:color w:val="FF0000"/>
        </w:rPr>
        <w:t xml:space="preserve"> of</w:t>
      </w:r>
      <w:r w:rsidRPr="004450A2">
        <w:rPr>
          <w:rFonts w:ascii="Times New Roman" w:hAnsi="Times New Roman" w:cs="Times New Roman"/>
        </w:rPr>
        <w:t xml:space="preserve"> 90-minute interviews using </w:t>
      </w:r>
      <w:r w:rsidRPr="002C14D4">
        <w:rPr>
          <w:rFonts w:ascii="Times New Roman" w:hAnsi="Times New Roman" w:cs="Times New Roman"/>
          <w:strike/>
          <w:color w:val="FF0000"/>
        </w:rPr>
        <w:t>a semi-structured</w:t>
      </w:r>
      <w:r w:rsidR="003E5BB4">
        <w:rPr>
          <w:rFonts w:ascii="Times New Roman" w:hAnsi="Times New Roman" w:cs="Times New Roman"/>
        </w:rPr>
        <w:t xml:space="preserve"> </w:t>
      </w:r>
      <w:r w:rsidRPr="002C14D4">
        <w:rPr>
          <w:rFonts w:ascii="Times New Roman" w:hAnsi="Times New Roman" w:cs="Times New Roman"/>
          <w:color w:val="FF0000"/>
        </w:rPr>
        <w:t>an unstructured</w:t>
      </w:r>
      <w:r w:rsidRPr="004450A2">
        <w:rPr>
          <w:rFonts w:ascii="Times New Roman" w:hAnsi="Times New Roman" w:cs="Times New Roman"/>
        </w:rPr>
        <w:t xml:space="preserve">, qualitative interview protocol </w:t>
      </w:r>
      <w:r w:rsidRPr="00340B5F">
        <w:rPr>
          <w:rFonts w:ascii="Times New Roman" w:hAnsi="Times New Roman" w:cs="Times New Roman"/>
        </w:rPr>
        <w:t xml:space="preserve">and </w:t>
      </w:r>
      <w:r w:rsidRPr="002C14D4">
        <w:rPr>
          <w:rFonts w:ascii="Times New Roman" w:hAnsi="Times New Roman" w:cs="Times New Roman"/>
          <w:strike/>
          <w:color w:val="FF0000"/>
        </w:rPr>
        <w:t>home observations (“qualitative interviews”). Due to the differences in interview protocols, data from these two sets of interviews</w:t>
      </w:r>
      <w:r w:rsidR="003E5BB4">
        <w:rPr>
          <w:rFonts w:ascii="Times New Roman" w:hAnsi="Times New Roman" w:cs="Times New Roman"/>
        </w:rPr>
        <w:t xml:space="preserve"> </w:t>
      </w:r>
      <w:r w:rsidRPr="002C14D4">
        <w:rPr>
          <w:rFonts w:ascii="Times New Roman" w:hAnsi="Times New Roman" w:cs="Times New Roman"/>
          <w:color w:val="FF0000"/>
        </w:rPr>
        <w:t>(b) 750 address and neighborhood observations</w:t>
      </w:r>
      <w:r w:rsidRPr="004450A2">
        <w:rPr>
          <w:rFonts w:ascii="Times New Roman" w:hAnsi="Times New Roman" w:cs="Times New Roman"/>
        </w:rPr>
        <w:t xml:space="preserve"> </w:t>
      </w:r>
      <w:r w:rsidRPr="00877DF5">
        <w:rPr>
          <w:rFonts w:ascii="Times New Roman" w:hAnsi="Times New Roman" w:cs="Times New Roman"/>
          <w:strike/>
          <w:color w:val="FF0000"/>
        </w:rPr>
        <w:t xml:space="preserve">will be </w:t>
      </w:r>
      <w:r w:rsidRPr="002C14D4">
        <w:rPr>
          <w:rFonts w:ascii="Times New Roman" w:hAnsi="Times New Roman" w:cs="Times New Roman"/>
          <w:strike/>
          <w:color w:val="FF0000"/>
        </w:rPr>
        <w:t>analyzed separately</w:t>
      </w:r>
      <w:r w:rsidRPr="004450A2">
        <w:rPr>
          <w:rFonts w:ascii="Times New Roman" w:hAnsi="Times New Roman" w:cs="Times New Roman"/>
        </w:rPr>
        <w:t>. This document discusses the importance of conducting this study and provides an overview of its methods.</w:t>
      </w:r>
    </w:p>
    <w:p w:rsidR="00A71F00" w:rsidRPr="004450A2" w:rsidRDefault="00A71F00" w:rsidP="004450A2">
      <w:pPr>
        <w:spacing w:after="120" w:line="240" w:lineRule="auto"/>
        <w:rPr>
          <w:rFonts w:ascii="Times New Roman" w:hAnsi="Times New Roman"/>
        </w:rPr>
      </w:pPr>
      <w:r w:rsidRPr="004450A2">
        <w:rPr>
          <w:rFonts w:ascii="Times New Roman" w:hAnsi="Times New Roman"/>
        </w:rPr>
        <w:t>(pp.</w:t>
      </w:r>
      <w:r w:rsidR="00100303" w:rsidRPr="004450A2">
        <w:rPr>
          <w:rFonts w:ascii="Times New Roman" w:hAnsi="Times New Roman"/>
        </w:rPr>
        <w:t>3</w:t>
      </w:r>
      <w:r w:rsidRPr="004450A2">
        <w:rPr>
          <w:rFonts w:ascii="Times New Roman" w:hAnsi="Times New Roman"/>
        </w:rPr>
        <w:t>-</w:t>
      </w:r>
      <w:r w:rsidR="00100303" w:rsidRPr="004450A2">
        <w:rPr>
          <w:rFonts w:ascii="Times New Roman" w:hAnsi="Times New Roman"/>
        </w:rPr>
        <w:t>5</w:t>
      </w:r>
      <w:r w:rsidRPr="004450A2">
        <w:rPr>
          <w:rFonts w:ascii="Times New Roman" w:hAnsi="Times New Roman"/>
        </w:rPr>
        <w:t>)</w:t>
      </w:r>
    </w:p>
    <w:p w:rsidR="00176B47" w:rsidRPr="004450A2" w:rsidRDefault="00176B47" w:rsidP="004450A2">
      <w:pPr>
        <w:pStyle w:val="Heading2"/>
        <w:keepNext w:val="0"/>
        <w:keepLines w:val="0"/>
        <w:widowControl w:val="0"/>
        <w:spacing w:before="0" w:after="120" w:line="240" w:lineRule="auto"/>
        <w:rPr>
          <w:sz w:val="22"/>
          <w:szCs w:val="22"/>
        </w:rPr>
      </w:pPr>
      <w:bookmarkStart w:id="4" w:name="_Toc511740558"/>
      <w:bookmarkStart w:id="5" w:name="_Toc512799231"/>
      <w:bookmarkStart w:id="6" w:name="_Toc525901855"/>
      <w:bookmarkEnd w:id="3"/>
      <w:r w:rsidRPr="004450A2">
        <w:rPr>
          <w:sz w:val="22"/>
          <w:szCs w:val="22"/>
        </w:rPr>
        <w:t>2. The proposed study</w:t>
      </w:r>
      <w:bookmarkEnd w:id="4"/>
      <w:bookmarkEnd w:id="5"/>
      <w:bookmarkEnd w:id="6"/>
    </w:p>
    <w:p w:rsidR="00176B47" w:rsidRPr="004450A2" w:rsidRDefault="00176B47" w:rsidP="004450A2">
      <w:pPr>
        <w:widowControl w:val="0"/>
        <w:spacing w:after="120" w:line="240" w:lineRule="auto"/>
        <w:rPr>
          <w:rFonts w:ascii="Times New Roman" w:hAnsi="Times New Roman"/>
        </w:rPr>
      </w:pPr>
      <w:r w:rsidRPr="004450A2">
        <w:rPr>
          <w:rFonts w:ascii="Times New Roman" w:hAnsi="Times New Roman"/>
        </w:rPr>
        <w:t xml:space="preserve">The proposed </w:t>
      </w:r>
      <w:r w:rsidRPr="004450A2">
        <w:rPr>
          <w:rFonts w:ascii="Times New Roman" w:eastAsia="Times New Roman" w:hAnsi="Times New Roman"/>
        </w:rPr>
        <w:t>In-Person Study of NHES:2019 Nonresponding Households</w:t>
      </w:r>
      <w:r w:rsidRPr="004450A2">
        <w:rPr>
          <w:rFonts w:ascii="Times New Roman" w:hAnsi="Times New Roman"/>
        </w:rPr>
        <w:t xml:space="preserve"> will use </w:t>
      </w:r>
      <w:r w:rsidRPr="002C14D4">
        <w:rPr>
          <w:rFonts w:ascii="Times New Roman" w:eastAsiaTheme="minorHAnsi" w:hAnsi="Times New Roman"/>
          <w:strike/>
          <w:color w:val="FF0000"/>
        </w:rPr>
        <w:t>structured and</w:t>
      </w:r>
      <w:r w:rsidRPr="004450A2">
        <w:rPr>
          <w:rFonts w:ascii="Times New Roman" w:hAnsi="Times New Roman"/>
        </w:rPr>
        <w:t xml:space="preserve"> qualitative in-person interviews, as well as address and </w:t>
      </w:r>
      <w:r w:rsidRPr="002C14D4">
        <w:rPr>
          <w:rFonts w:ascii="Times New Roman" w:eastAsiaTheme="minorHAnsi" w:hAnsi="Times New Roman"/>
          <w:strike/>
          <w:color w:val="FF0000"/>
        </w:rPr>
        <w:t>household</w:t>
      </w:r>
      <w:r w:rsidR="003E5BB4">
        <w:rPr>
          <w:rFonts w:ascii="Times New Roman" w:hAnsi="Times New Roman"/>
        </w:rPr>
        <w:t xml:space="preserve"> </w:t>
      </w:r>
      <w:r w:rsidRPr="002C14D4">
        <w:rPr>
          <w:rFonts w:ascii="Times New Roman" w:hAnsi="Times New Roman"/>
          <w:color w:val="FF0000"/>
        </w:rPr>
        <w:t>neighborhood</w:t>
      </w:r>
      <w:r w:rsidRPr="004450A2">
        <w:rPr>
          <w:rFonts w:ascii="Times New Roman" w:hAnsi="Times New Roman"/>
        </w:rPr>
        <w:t xml:space="preserve"> observations to assess whether the existing theories surrounding household survey nonresponse are applicable to NHES. The study is designed to provide additional actionable information about how to combat the growing nonresponse problem in </w:t>
      </w:r>
      <w:r w:rsidRPr="00630248">
        <w:rPr>
          <w:rFonts w:ascii="Times New Roman" w:eastAsiaTheme="minorHAnsi" w:hAnsi="Times New Roman"/>
        </w:rPr>
        <w:t>NHES</w:t>
      </w:r>
      <w:r w:rsidRPr="002C14D4">
        <w:rPr>
          <w:rFonts w:ascii="Times New Roman" w:eastAsiaTheme="minorHAnsi" w:hAnsi="Times New Roman"/>
          <w:strike/>
          <w:color w:val="FF0000"/>
        </w:rPr>
        <w:t xml:space="preserve"> and other federal government household surveys that use mail to contact sample members</w:t>
      </w:r>
      <w:r w:rsidRPr="004450A2">
        <w:rPr>
          <w:rFonts w:ascii="Times New Roman" w:hAnsi="Times New Roman"/>
        </w:rPr>
        <w:t>. It is expected that the results of this study will be used to improve the design of NHES, with the goal of increasing the response rate and the representativeness of the respondents. Potential changes could include modifications to the nonresponse follow-up protocol, the type of incentives offered, and the presentation of contact materials.</w:t>
      </w:r>
    </w:p>
    <w:p w:rsidR="00176B47" w:rsidRPr="00A11006" w:rsidRDefault="00176B47" w:rsidP="004450A2">
      <w:pPr>
        <w:pStyle w:val="Heading3"/>
        <w:keepNext w:val="0"/>
        <w:keepLines w:val="0"/>
        <w:widowControl w:val="0"/>
        <w:numPr>
          <w:ilvl w:val="1"/>
          <w:numId w:val="22"/>
        </w:numPr>
        <w:spacing w:before="0" w:after="120" w:line="240" w:lineRule="auto"/>
        <w:rPr>
          <w:strike/>
          <w:color w:val="FF0000"/>
        </w:rPr>
      </w:pPr>
      <w:bookmarkStart w:id="7" w:name="_Toc512799232"/>
      <w:bookmarkStart w:id="8" w:name="_Toc511740559"/>
      <w:r w:rsidRPr="00A11006">
        <w:rPr>
          <w:strike/>
          <w:color w:val="FF0000"/>
        </w:rPr>
        <w:t>Structured interview methodology</w:t>
      </w:r>
      <w:bookmarkEnd w:id="7"/>
      <w:bookmarkEnd w:id="8"/>
    </w:p>
    <w:p w:rsidR="00176B47" w:rsidRPr="00A11006" w:rsidRDefault="00176B47" w:rsidP="004450A2">
      <w:pPr>
        <w:pStyle w:val="NoSpacing"/>
        <w:widowControl w:val="0"/>
        <w:spacing w:after="120"/>
        <w:rPr>
          <w:rFonts w:ascii="Times New Roman" w:hAnsi="Times New Roman" w:cs="Times New Roman"/>
          <w:strike/>
          <w:color w:val="FF0000"/>
        </w:rPr>
      </w:pPr>
      <w:r w:rsidRPr="00A11006">
        <w:rPr>
          <w:rFonts w:ascii="Times New Roman" w:hAnsi="Times New Roman" w:cs="Times New Roman"/>
          <w:strike/>
          <w:color w:val="FF0000"/>
        </w:rPr>
        <w:t>The primary goal of the structured interviews is to understand who lives in nonrespondent households and the household members’ primary reasons for nonresponse.</w:t>
      </w:r>
    </w:p>
    <w:p w:rsidR="00C80716" w:rsidRDefault="00176B47" w:rsidP="004450A2">
      <w:pPr>
        <w:widowControl w:val="0"/>
        <w:spacing w:after="120" w:line="240" w:lineRule="auto"/>
        <w:rPr>
          <w:rFonts w:ascii="Times New Roman" w:hAnsi="Times New Roman"/>
        </w:rPr>
      </w:pPr>
      <w:r w:rsidRPr="00A11006">
        <w:rPr>
          <w:rFonts w:ascii="Times New Roman" w:hAnsi="Times New Roman"/>
          <w:strike/>
          <w:color w:val="FF0000"/>
        </w:rPr>
        <w:t xml:space="preserve">Approximately 230 structured interviews will be conducted with NHES screener nonrespondents. </w:t>
      </w:r>
      <w:r w:rsidRPr="004450A2">
        <w:rPr>
          <w:rFonts w:ascii="Times New Roman" w:hAnsi="Times New Roman"/>
        </w:rPr>
        <w:t>Screener nonrespondents, rather than topical nonrespondents, are the focus of the study because of the impact that screener nonresponse has on both the screener response rate and each NHES survey’s overall response rate and because NHES screener response rates are lower than topical response rates.</w:t>
      </w:r>
      <w:r w:rsidRPr="004450A2">
        <w:rPr>
          <w:rFonts w:ascii="Times New Roman" w:hAnsi="Times New Roman"/>
          <w:vertAlign w:val="superscript"/>
        </w:rPr>
        <w:footnoteReference w:id="6"/>
      </w:r>
      <w:r w:rsidRPr="004450A2">
        <w:rPr>
          <w:rFonts w:ascii="Times New Roman" w:hAnsi="Times New Roman"/>
        </w:rPr>
        <w:t xml:space="preserve"> Larger numbers of screener nonrespondents are anticipated to be clustered in metropolitan areas than in more rural locales. Exhibit 1 plots the location of NHES:2016 screener nonrespondents. As expected, screener nonrespondents are widely dispersed, but there is some clustering around large cities.</w:t>
      </w:r>
    </w:p>
    <w:p w:rsidR="00176B47" w:rsidRPr="00A11006" w:rsidRDefault="00176B47" w:rsidP="004450A2">
      <w:pPr>
        <w:pStyle w:val="Default"/>
        <w:widowControl w:val="0"/>
        <w:spacing w:after="120"/>
        <w:rPr>
          <w:rFonts w:ascii="Times New Roman" w:hAnsi="Times New Roman" w:cs="Times New Roman"/>
          <w:strike/>
          <w:color w:val="FF0000"/>
          <w:sz w:val="22"/>
          <w:szCs w:val="22"/>
        </w:rPr>
      </w:pPr>
      <w:r w:rsidRPr="00A11006">
        <w:rPr>
          <w:rFonts w:ascii="Times New Roman" w:hAnsi="Times New Roman" w:cs="Times New Roman"/>
          <w:strike/>
          <w:color w:val="FF0000"/>
          <w:sz w:val="22"/>
          <w:szCs w:val="22"/>
        </w:rPr>
        <w:t>About 350 screener nonrespondents will be sampled to yield these 230 completed interviews. Sampled cases will be clustered around 2 to 4 U.S. cities and will be located within 70 miles of the center of those cities. To evaluate the representativeness of the sample drawn from the cities under consideration (Chicago, IL; Washington, DC; Atlanta, GA; Austin, TX; and San Mateo, CA), we have conducted a preliminary analysis using NHES:2016 data to identify potential biases in cases reached under this design compared to cases that are located outside of these five city areas. Focusing on statistically significant biases of five percentage points or more, this analysis suggests that the following groups would be overrepresented in this study sample:</w:t>
      </w:r>
    </w:p>
    <w:p w:rsidR="00176B47" w:rsidRPr="00A11006" w:rsidRDefault="00176B47" w:rsidP="004450A2">
      <w:pPr>
        <w:pStyle w:val="ListParagraph"/>
        <w:widowControl w:val="0"/>
        <w:numPr>
          <w:ilvl w:val="0"/>
          <w:numId w:val="18"/>
        </w:numPr>
        <w:autoSpaceDE w:val="0"/>
        <w:autoSpaceDN w:val="0"/>
        <w:adjustRightInd w:val="0"/>
        <w:spacing w:after="120" w:line="240" w:lineRule="auto"/>
        <w:rPr>
          <w:rFonts w:ascii="Times New Roman" w:hAnsi="Times New Roman"/>
          <w:strike/>
          <w:color w:val="FF0000"/>
        </w:rPr>
      </w:pPr>
      <w:r w:rsidRPr="00A11006">
        <w:rPr>
          <w:rFonts w:ascii="Times New Roman" w:hAnsi="Times New Roman"/>
          <w:strike/>
          <w:color w:val="FF0000"/>
        </w:rPr>
        <w:t>Addresses in high percent Hispanic strata (and addresses that are in strata that are neither high percent Black nor high percent Hispanic would be underrepresented);</w:t>
      </w:r>
    </w:p>
    <w:p w:rsidR="00176B47" w:rsidRPr="00A11006" w:rsidRDefault="00176B47" w:rsidP="004450A2">
      <w:pPr>
        <w:pStyle w:val="ListParagraph"/>
        <w:widowControl w:val="0"/>
        <w:numPr>
          <w:ilvl w:val="0"/>
          <w:numId w:val="18"/>
        </w:numPr>
        <w:autoSpaceDE w:val="0"/>
        <w:autoSpaceDN w:val="0"/>
        <w:adjustRightInd w:val="0"/>
        <w:spacing w:after="120" w:line="240" w:lineRule="auto"/>
        <w:rPr>
          <w:rFonts w:ascii="Times New Roman" w:hAnsi="Times New Roman"/>
          <w:strike/>
          <w:color w:val="FF0000"/>
        </w:rPr>
      </w:pPr>
      <w:r w:rsidRPr="00A11006">
        <w:rPr>
          <w:rFonts w:ascii="Times New Roman" w:hAnsi="Times New Roman"/>
          <w:strike/>
          <w:color w:val="FF0000"/>
        </w:rPr>
        <w:t>Addresses where the head of the household is Hispanic (and those where the head of household is White would be underrepresented);</w:t>
      </w:r>
    </w:p>
    <w:p w:rsidR="00176B47" w:rsidRPr="00A11006" w:rsidRDefault="00176B47" w:rsidP="004450A2">
      <w:pPr>
        <w:pStyle w:val="ListParagraph"/>
        <w:widowControl w:val="0"/>
        <w:numPr>
          <w:ilvl w:val="0"/>
          <w:numId w:val="18"/>
        </w:numPr>
        <w:autoSpaceDE w:val="0"/>
        <w:autoSpaceDN w:val="0"/>
        <w:adjustRightInd w:val="0"/>
        <w:spacing w:after="120" w:line="240" w:lineRule="auto"/>
        <w:rPr>
          <w:rFonts w:ascii="Times New Roman" w:hAnsi="Times New Roman"/>
          <w:strike/>
          <w:color w:val="FF0000"/>
        </w:rPr>
      </w:pPr>
      <w:r w:rsidRPr="00A11006">
        <w:rPr>
          <w:rFonts w:ascii="Times New Roman" w:hAnsi="Times New Roman"/>
          <w:strike/>
          <w:color w:val="FF0000"/>
        </w:rPr>
        <w:t>Addresses that received bilingual mailings (and those that did not would be underrepresented);</w:t>
      </w:r>
    </w:p>
    <w:p w:rsidR="00176B47" w:rsidRPr="00A11006" w:rsidRDefault="00176B47" w:rsidP="004450A2">
      <w:pPr>
        <w:pStyle w:val="ListParagraph"/>
        <w:widowControl w:val="0"/>
        <w:numPr>
          <w:ilvl w:val="0"/>
          <w:numId w:val="18"/>
        </w:numPr>
        <w:autoSpaceDE w:val="0"/>
        <w:autoSpaceDN w:val="0"/>
        <w:adjustRightInd w:val="0"/>
        <w:spacing w:after="120" w:line="240" w:lineRule="auto"/>
        <w:rPr>
          <w:rFonts w:ascii="Times New Roman" w:hAnsi="Times New Roman"/>
          <w:strike/>
          <w:color w:val="FF0000"/>
        </w:rPr>
      </w:pPr>
      <w:r w:rsidRPr="00A11006">
        <w:rPr>
          <w:rFonts w:ascii="Times New Roman" w:hAnsi="Times New Roman"/>
          <w:strike/>
          <w:color w:val="FF0000"/>
        </w:rPr>
        <w:t>Addresses in block groups that are 100 percent urban (and those that are located in block groups that are 50 percent or less urban would be underrepresented); and</w:t>
      </w:r>
    </w:p>
    <w:p w:rsidR="00176B47" w:rsidRPr="00A11006" w:rsidRDefault="00176B47" w:rsidP="004450A2">
      <w:pPr>
        <w:pStyle w:val="ListParagraph"/>
        <w:widowControl w:val="0"/>
        <w:numPr>
          <w:ilvl w:val="0"/>
          <w:numId w:val="18"/>
        </w:numPr>
        <w:autoSpaceDE w:val="0"/>
        <w:autoSpaceDN w:val="0"/>
        <w:adjustRightInd w:val="0"/>
        <w:spacing w:after="120" w:line="240" w:lineRule="auto"/>
        <w:rPr>
          <w:rFonts w:ascii="Times New Roman" w:hAnsi="Times New Roman"/>
          <w:strike/>
          <w:color w:val="FF0000"/>
        </w:rPr>
      </w:pPr>
      <w:r w:rsidRPr="00A11006">
        <w:rPr>
          <w:rFonts w:ascii="Times New Roman" w:hAnsi="Times New Roman"/>
          <w:strike/>
          <w:color w:val="FF0000"/>
        </w:rPr>
        <w:t>Addresses with Census low response scores (LRS) in the fifth (lowest propensity) quintile (and those in the second highest quintile would be underrepresented).</w:t>
      </w:r>
    </w:p>
    <w:p w:rsidR="00176B47" w:rsidRPr="004450A2" w:rsidRDefault="00176B47" w:rsidP="004450A2">
      <w:pPr>
        <w:widowControl w:val="0"/>
        <w:spacing w:after="120" w:line="240" w:lineRule="auto"/>
        <w:jc w:val="center"/>
        <w:rPr>
          <w:rFonts w:ascii="Times New Roman" w:hAnsi="Times New Roman"/>
        </w:rPr>
      </w:pPr>
      <w:r w:rsidRPr="004450A2">
        <w:rPr>
          <w:rFonts w:ascii="Times New Roman" w:hAnsi="Times New Roman"/>
          <w:b/>
        </w:rPr>
        <w:t>Exhibit 1. Location of NHES:2016 Screener Nonrespondents</w:t>
      </w:r>
    </w:p>
    <w:p w:rsidR="00176B47" w:rsidRPr="004450A2" w:rsidRDefault="00176B47" w:rsidP="004450A2">
      <w:pPr>
        <w:widowControl w:val="0"/>
        <w:spacing w:after="120" w:line="240" w:lineRule="auto"/>
        <w:jc w:val="center"/>
        <w:rPr>
          <w:rFonts w:ascii="Times New Roman" w:hAnsi="Times New Roman"/>
        </w:rPr>
      </w:pPr>
      <w:r w:rsidRPr="004450A2">
        <w:rPr>
          <w:rFonts w:ascii="Times New Roman" w:hAnsi="Times New Roman"/>
          <w:noProof/>
        </w:rPr>
        <w:drawing>
          <wp:inline distT="0" distB="0" distL="0" distR="0" wp14:anchorId="0A93DC34" wp14:editId="657376F4">
            <wp:extent cx="4264761" cy="2719978"/>
            <wp:effectExtent l="0" t="0" r="2540" b="4445"/>
            <wp:docPr id="4" name="Picture 4" descr="C:\Users\rmedway\AppData\Local\Microsoft\Windows\Temporary Internet Files\Content.Outlook\ZADALSL8\map_int_063017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edway\AppData\Local\Microsoft\Windows\Temporary Internet Files\Content.Outlook\ZADALSL8\map_int_063017_2.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6801" t="12503" r="6227" b="15714"/>
                    <a:stretch/>
                  </pic:blipFill>
                  <pic:spPr bwMode="auto">
                    <a:xfrm>
                      <a:off x="0" y="0"/>
                      <a:ext cx="4286906" cy="2734101"/>
                    </a:xfrm>
                    <a:prstGeom prst="rect">
                      <a:avLst/>
                    </a:prstGeom>
                    <a:noFill/>
                    <a:ln>
                      <a:noFill/>
                    </a:ln>
                    <a:extLst>
                      <a:ext uri="{53640926-AAD7-44D8-BBD7-CCE9431645EC}">
                        <a14:shadowObscured xmlns:a14="http://schemas.microsoft.com/office/drawing/2010/main"/>
                      </a:ext>
                    </a:extLst>
                  </pic:spPr>
                </pic:pic>
              </a:graphicData>
            </a:graphic>
          </wp:inline>
        </w:drawing>
      </w:r>
    </w:p>
    <w:p w:rsidR="00176B47" w:rsidRPr="004450A2" w:rsidRDefault="00176B47" w:rsidP="004450A2">
      <w:pPr>
        <w:spacing w:after="120" w:line="240" w:lineRule="auto"/>
        <w:rPr>
          <w:rFonts w:ascii="Times New Roman" w:hAnsi="Times New Roman"/>
        </w:rPr>
      </w:pPr>
      <w:r w:rsidRPr="00AF6E66">
        <w:rPr>
          <w:rFonts w:ascii="Times New Roman" w:hAnsi="Times New Roman"/>
          <w:strike/>
          <w:color w:val="FF0000"/>
        </w:rPr>
        <w:t>Though cases located near cities overrepresent certain subgroups of nonrespondents (such as those that are Hispanic or urban dwellers), these are also the groups that tend to be less likely to respond to NHES. In</w:t>
      </w:r>
      <w:r w:rsidR="00A11006">
        <w:rPr>
          <w:rFonts w:ascii="Times New Roman" w:hAnsi="Times New Roman"/>
        </w:rPr>
        <w:t xml:space="preserve"> </w:t>
      </w:r>
      <w:r w:rsidRPr="00AF6E66">
        <w:rPr>
          <w:rFonts w:ascii="Times New Roman" w:hAnsi="Times New Roman"/>
          <w:color w:val="FF0000"/>
        </w:rPr>
        <w:t>Moreover, in</w:t>
      </w:r>
      <w:r w:rsidRPr="004450A2">
        <w:rPr>
          <w:rFonts w:ascii="Times New Roman" w:hAnsi="Times New Roman"/>
        </w:rPr>
        <w:t xml:space="preserve"> NHES:2016, household in tracts with 40% of more Hispanic persons, high rise apartments, and renters had lower weighted screener response rates, 55.9%, 58.9%, and 56.6% respectively (see Attachment A in this document for screener response rates by additional subgroups) (McPhee et al. 2018). </w:t>
      </w:r>
      <w:r w:rsidRPr="002C14D4">
        <w:rPr>
          <w:rFonts w:ascii="Times New Roman" w:hAnsi="Times New Roman"/>
          <w:strike/>
          <w:color w:val="FF0000"/>
        </w:rPr>
        <w:t>This study is an opportunity to learn more about the specific response barriers faced by these specific types of sample members. For example, are sample members that need bilingual mailings getting them, and are sample members living in multi-unit or high-rise buildings receiving their mailings? While the resulting sample will not be nationally representative, it will be large enough to provide rich data about these important subgroups of nonrespondents.</w:t>
      </w:r>
    </w:p>
    <w:p w:rsidR="00176B47" w:rsidRPr="004450A2" w:rsidRDefault="00176B47" w:rsidP="004450A2">
      <w:pPr>
        <w:spacing w:after="120" w:line="240" w:lineRule="auto"/>
        <w:rPr>
          <w:rFonts w:asciiTheme="minorHAnsi" w:hAnsiTheme="minorHAnsi"/>
        </w:rPr>
      </w:pPr>
      <w:r w:rsidRPr="004450A2">
        <w:rPr>
          <w:rFonts w:ascii="Times New Roman" w:hAnsi="Times New Roman"/>
        </w:rPr>
        <w:t>Analyses of the resulting data are expected to illuminate some of the factors associated with nonresponse and inform revisions to the content and design of recruitment materials to be used in NHES:2022.</w:t>
      </w:r>
    </w:p>
    <w:p w:rsidR="00176B47" w:rsidRPr="002C14D4" w:rsidRDefault="00176B47" w:rsidP="004450A2">
      <w:pPr>
        <w:pStyle w:val="Heading4"/>
        <w:keepNext w:val="0"/>
        <w:keepLines w:val="0"/>
        <w:widowControl w:val="0"/>
        <w:spacing w:before="0" w:after="120" w:line="240" w:lineRule="auto"/>
        <w:rPr>
          <w:strike/>
          <w:color w:val="FF0000"/>
        </w:rPr>
      </w:pPr>
      <w:bookmarkStart w:id="9" w:name="_Toc525579209"/>
      <w:bookmarkStart w:id="10" w:name="_Toc525579210"/>
      <w:bookmarkStart w:id="11" w:name="_Toc525579211"/>
      <w:bookmarkStart w:id="12" w:name="_Toc525579212"/>
      <w:bookmarkStart w:id="13" w:name="_Toc525579213"/>
      <w:bookmarkStart w:id="14" w:name="_Toc525579214"/>
      <w:bookmarkStart w:id="15" w:name="_Toc525579215"/>
      <w:bookmarkStart w:id="16" w:name="_Toc525579277"/>
      <w:bookmarkStart w:id="17" w:name="_Toc525579278"/>
      <w:bookmarkStart w:id="18" w:name="_Toc525579284"/>
      <w:bookmarkStart w:id="19" w:name="_Toc525579285"/>
      <w:bookmarkStart w:id="20" w:name="_Toc525579286"/>
      <w:bookmarkStart w:id="21" w:name="_Toc525579288"/>
      <w:bookmarkStart w:id="22" w:name="_Toc525579289"/>
      <w:bookmarkStart w:id="23" w:name="_Toc525579291"/>
      <w:bookmarkStart w:id="24" w:name="_Toc525579292"/>
      <w:bookmarkStart w:id="25" w:name="_Toc525579321"/>
      <w:bookmarkStart w:id="26" w:name="_Toc525579322"/>
      <w:bookmarkStart w:id="27" w:name="_Toc525579323"/>
      <w:bookmarkStart w:id="28" w:name="_Toc525579325"/>
      <w:bookmarkStart w:id="29" w:name="_Toc525579326"/>
      <w:bookmarkStart w:id="30" w:name="_Toc525579327"/>
      <w:bookmarkStart w:id="31" w:name="_Toc525579328"/>
      <w:bookmarkStart w:id="32" w:name="_Toc525579334"/>
      <w:bookmarkStart w:id="33" w:name="_Toc525579335"/>
      <w:bookmarkStart w:id="34" w:name="_Toc525579336"/>
      <w:bookmarkStart w:id="35" w:name="_Toc525579337"/>
      <w:bookmarkStart w:id="36" w:name="_Toc525579338"/>
      <w:bookmarkStart w:id="37" w:name="_Toc525579340"/>
      <w:bookmarkStart w:id="38" w:name="_Toc525579341"/>
      <w:bookmarkStart w:id="39" w:name="_Toc525579350"/>
      <w:bookmarkStart w:id="40" w:name="_Toc525579359"/>
      <w:bookmarkStart w:id="41" w:name="_Toc525579363"/>
      <w:bookmarkStart w:id="42" w:name="_Toc525579367"/>
      <w:bookmarkStart w:id="43" w:name="_Toc525579376"/>
      <w:bookmarkStart w:id="44" w:name="_Toc525579384"/>
      <w:bookmarkStart w:id="45" w:name="_Toc525579388"/>
      <w:bookmarkStart w:id="46" w:name="_Toc525579396"/>
      <w:bookmarkStart w:id="47" w:name="_Toc525579400"/>
      <w:bookmarkStart w:id="48" w:name="_Toc525579404"/>
      <w:bookmarkStart w:id="49" w:name="_Toc525579419"/>
      <w:bookmarkStart w:id="50" w:name="_Toc525579423"/>
      <w:bookmarkStart w:id="51" w:name="_Toc525579434"/>
      <w:bookmarkStart w:id="52" w:name="_Toc525579438"/>
      <w:bookmarkStart w:id="53" w:name="_Toc525579456"/>
      <w:bookmarkStart w:id="54" w:name="_Toc525579460"/>
      <w:bookmarkStart w:id="55" w:name="_Toc525579468"/>
      <w:bookmarkStart w:id="56" w:name="_Toc525579472"/>
      <w:bookmarkStart w:id="57" w:name="_Toc525579474"/>
      <w:bookmarkStart w:id="58" w:name="_Toc525579505"/>
      <w:bookmarkStart w:id="59" w:name="_Toc525579530"/>
      <w:bookmarkStart w:id="60" w:name="_Toc512799233"/>
      <w:bookmarkStart w:id="61" w:name="_Toc52590185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2C14D4">
        <w:rPr>
          <w:strike/>
          <w:color w:val="FF0000"/>
        </w:rPr>
        <w:t>2.1.1 Recruitment</w:t>
      </w:r>
    </w:p>
    <w:p w:rsidR="00176B47" w:rsidRPr="002C14D4" w:rsidRDefault="00176B47" w:rsidP="004450A2">
      <w:pPr>
        <w:pStyle w:val="NoSpacing"/>
        <w:widowControl w:val="0"/>
        <w:spacing w:after="120"/>
        <w:rPr>
          <w:rFonts w:ascii="Times New Roman" w:hAnsi="Times New Roman" w:cs="Times New Roman"/>
          <w:strike/>
          <w:color w:val="FF0000"/>
        </w:rPr>
      </w:pPr>
      <w:r w:rsidRPr="002C14D4">
        <w:rPr>
          <w:rFonts w:ascii="Times New Roman" w:hAnsi="Times New Roman" w:cs="Times New Roman"/>
          <w:strike/>
          <w:color w:val="FF0000"/>
        </w:rPr>
        <w:t>Sampled cases will be sent an advance letter that includes $2 or $5 cash</w:t>
      </w:r>
      <w:r w:rsidRPr="002C14D4">
        <w:rPr>
          <w:rStyle w:val="FootnoteReference"/>
          <w:rFonts w:ascii="Times New Roman" w:hAnsi="Times New Roman"/>
          <w:strike/>
          <w:color w:val="FF0000"/>
        </w:rPr>
        <w:footnoteReference w:id="7"/>
      </w:r>
      <w:r w:rsidRPr="002C14D4">
        <w:rPr>
          <w:rFonts w:ascii="Times New Roman" w:hAnsi="Times New Roman" w:cs="Times New Roman"/>
          <w:strike/>
          <w:color w:val="FF0000"/>
        </w:rPr>
        <w:t>, invites them to participate in the in-person study, and indicates that someone will be visiting their home to ask them to complete an interview. The advance letter does not ask for a response or action from the household member. Its purpose is to inform the household that an interviewer will visit their house. All sampled cases will be offered an additional $25 cash incentive for completing the interview. This incentive is designed to demonstrate to participants that their time and participation is valued and takes into account that the sample is comprised of households that have already shown reluctance to participate in the survey. Recruitment materials will be branded as coming from the National Center for Education Statistics (NCES). The participant will receive a consent form to read and sign before the interview starts, and will be able to keep a copy of the form for their records. The details of obtaining consent and the consent forms will be submitted for OMB’s review with a 30-day public comment period in fall 2018.</w:t>
      </w:r>
    </w:p>
    <w:p w:rsidR="00176B47" w:rsidRPr="002C14D4" w:rsidRDefault="00176B47" w:rsidP="004450A2">
      <w:pPr>
        <w:pStyle w:val="Heading4"/>
        <w:keepLines w:val="0"/>
        <w:widowControl w:val="0"/>
        <w:spacing w:before="0" w:after="120" w:line="240" w:lineRule="auto"/>
        <w:rPr>
          <w:strike/>
          <w:color w:val="FF0000"/>
        </w:rPr>
      </w:pPr>
      <w:r w:rsidRPr="002C14D4">
        <w:rPr>
          <w:strike/>
          <w:color w:val="FF0000"/>
        </w:rPr>
        <w:t>2.1.2 Address observations</w:t>
      </w:r>
    </w:p>
    <w:p w:rsidR="00176B47" w:rsidRPr="002C14D4" w:rsidRDefault="00176B47" w:rsidP="004450A2">
      <w:pPr>
        <w:pStyle w:val="NoSpacing"/>
        <w:widowControl w:val="0"/>
        <w:spacing w:after="120"/>
        <w:rPr>
          <w:rFonts w:ascii="Times New Roman" w:hAnsi="Times New Roman" w:cs="Times New Roman"/>
          <w:strike/>
          <w:color w:val="FF0000"/>
        </w:rPr>
      </w:pPr>
      <w:r w:rsidRPr="002C14D4">
        <w:rPr>
          <w:rFonts w:ascii="Times New Roman" w:hAnsi="Times New Roman" w:cs="Times New Roman"/>
          <w:strike/>
          <w:color w:val="FF0000"/>
        </w:rPr>
        <w:t>When field interviewers first reach a sampled address, they will complete a brief observation of the neighborhood and address as unobtrusively as possible. The main goal of this observation task is to better understand the characteristics of nonresponding addresses (e.g., whether they appear to be occupied or whether there are objects present that suggest children live there such as children’s outdoor toys). The observations also will assess quality of the United States Postal Service (USPS) return service (for example, are there addresses that actually appear to be vacant or nonexistent? Is it possible to locate the addresses that had at least one mailing returned as undeliverable, and, if so, what are their characteristics?).</w:t>
      </w:r>
    </w:p>
    <w:p w:rsidR="00176B47" w:rsidRPr="002C14D4" w:rsidRDefault="00176B47" w:rsidP="004450A2">
      <w:pPr>
        <w:pStyle w:val="Heading4"/>
        <w:keepNext w:val="0"/>
        <w:keepLines w:val="0"/>
        <w:widowControl w:val="0"/>
        <w:spacing w:before="0" w:after="120" w:line="240" w:lineRule="auto"/>
        <w:rPr>
          <w:strike/>
          <w:color w:val="FF0000"/>
        </w:rPr>
      </w:pPr>
      <w:r w:rsidRPr="002C14D4">
        <w:rPr>
          <w:strike/>
          <w:color w:val="FF0000"/>
        </w:rPr>
        <w:t>2.1.3 Structured interview protocol</w:t>
      </w:r>
    </w:p>
    <w:p w:rsidR="00176B47" w:rsidRPr="002C14D4" w:rsidRDefault="00176B47" w:rsidP="004450A2">
      <w:pPr>
        <w:pStyle w:val="NoSpacing"/>
        <w:widowControl w:val="0"/>
        <w:spacing w:after="120"/>
        <w:rPr>
          <w:rFonts w:ascii="Times New Roman" w:hAnsi="Times New Roman" w:cs="Times New Roman"/>
          <w:strike/>
          <w:color w:val="FF0000"/>
        </w:rPr>
      </w:pPr>
      <w:r w:rsidRPr="002C14D4">
        <w:rPr>
          <w:rFonts w:ascii="Times New Roman" w:hAnsi="Times New Roman" w:cs="Times New Roman"/>
          <w:strike/>
          <w:color w:val="FF0000"/>
        </w:rPr>
        <w:t xml:space="preserve">Upon completion of the address observation, the field interviewer will ring the bell or knock on the door of the home. If no one answers the door, the interviewer will leave a “Sorry I Missed You” card at the household. The card will indicate that he or she stopped by and will return at a later day and time. It also will contain a phone number the sample member can call to learn more about the study and/or schedule an interview. </w:t>
      </w:r>
      <w:bookmarkStart w:id="62" w:name="_Hlk512942015"/>
      <w:r w:rsidRPr="002C14D4">
        <w:rPr>
          <w:rFonts w:ascii="Times New Roman" w:hAnsi="Times New Roman" w:cs="Times New Roman"/>
          <w:strike/>
          <w:color w:val="FF0000"/>
        </w:rPr>
        <w:t>If someone answers the door, the field interviewer will introduce him- or herself, show their identification badge and forms to indicate that they are part of the study, mention the advance letter, and attempt to speak with the adult living at this address who usually opens the mail.</w:t>
      </w:r>
      <w:r w:rsidRPr="002C14D4">
        <w:rPr>
          <w:rStyle w:val="FootnoteReference"/>
          <w:rFonts w:ascii="Times New Roman" w:hAnsi="Times New Roman"/>
          <w:strike/>
          <w:color w:val="FF0000"/>
        </w:rPr>
        <w:footnoteReference w:id="8"/>
      </w:r>
      <w:r w:rsidRPr="002C14D4">
        <w:rPr>
          <w:rFonts w:ascii="Times New Roman" w:hAnsi="Times New Roman" w:cs="Times New Roman"/>
          <w:strike/>
          <w:color w:val="FF0000"/>
        </w:rPr>
        <w:t xml:space="preserve"> </w:t>
      </w:r>
      <w:bookmarkEnd w:id="62"/>
      <w:r w:rsidRPr="002C14D4">
        <w:rPr>
          <w:rFonts w:ascii="Times New Roman" w:hAnsi="Times New Roman" w:cs="Times New Roman"/>
          <w:strike/>
          <w:color w:val="FF0000"/>
        </w:rPr>
        <w:t xml:space="preserve">If that person is not available, the interviewer will attempt to interview another available adult living in the household. Interviews will be voluntary and will last approximately 10 minutes. </w:t>
      </w:r>
      <w:bookmarkStart w:id="63" w:name="_Hlk512947601"/>
      <w:r w:rsidRPr="002C14D4">
        <w:rPr>
          <w:rFonts w:ascii="Times New Roman" w:hAnsi="Times New Roman" w:cs="Times New Roman"/>
          <w:strike/>
          <w:color w:val="FF0000"/>
        </w:rPr>
        <w:t>Interviews will be carried out by trained field interviewers who will be further trained for this specific study before data collection begins. Some interviewers will be Spanish bilingual speakers so that they can conduct interviews in Spanish if needed.</w:t>
      </w:r>
      <w:bookmarkEnd w:id="63"/>
    </w:p>
    <w:p w:rsidR="00176B47" w:rsidRPr="002C14D4" w:rsidRDefault="00176B47" w:rsidP="004450A2">
      <w:pPr>
        <w:pStyle w:val="NoSpacing"/>
        <w:widowControl w:val="0"/>
        <w:spacing w:after="120"/>
        <w:rPr>
          <w:rFonts w:ascii="Times New Roman" w:hAnsi="Times New Roman" w:cs="Times New Roman"/>
          <w:strike/>
          <w:color w:val="FF0000"/>
        </w:rPr>
      </w:pPr>
      <w:r w:rsidRPr="002C14D4">
        <w:rPr>
          <w:rFonts w:ascii="Times New Roman" w:hAnsi="Times New Roman" w:cs="Times New Roman"/>
          <w:strike/>
          <w:color w:val="FF0000"/>
        </w:rPr>
        <w:t>The goal of the interview is to understand the reason(s) for the household’s lack of response to the screener, with a focus on understanding at which stage this household’s response process was interrupted (e.g., did the NHES:2019 survey package reach the household, did the household members open it?). The interviewer also will collect basic demographic household characteristics; for example, whether any household members are eligible for the NHES topical surveys (generally, children in 12</w:t>
      </w:r>
      <w:r w:rsidRPr="002C14D4">
        <w:rPr>
          <w:rFonts w:ascii="Times New Roman" w:hAnsi="Times New Roman" w:cs="Times New Roman"/>
          <w:strike/>
          <w:color w:val="FF0000"/>
          <w:vertAlign w:val="superscript"/>
        </w:rPr>
        <w:t>th</w:t>
      </w:r>
      <w:r w:rsidRPr="002C14D4">
        <w:rPr>
          <w:rFonts w:ascii="Times New Roman" w:hAnsi="Times New Roman" w:cs="Times New Roman"/>
          <w:strike/>
          <w:color w:val="FF0000"/>
        </w:rPr>
        <w:t xml:space="preserve"> grade or younger).</w:t>
      </w:r>
      <w:r w:rsidRPr="002C14D4">
        <w:rPr>
          <w:rStyle w:val="FootnoteReference"/>
          <w:rFonts w:ascii="Times New Roman" w:hAnsi="Times New Roman"/>
          <w:strike/>
          <w:color w:val="FF0000"/>
        </w:rPr>
        <w:footnoteReference w:id="9"/>
      </w:r>
      <w:r w:rsidRPr="002C14D4">
        <w:rPr>
          <w:rFonts w:ascii="Times New Roman" w:hAnsi="Times New Roman" w:cs="Times New Roman"/>
          <w:strike/>
          <w:color w:val="FF0000"/>
        </w:rPr>
        <w:t xml:space="preserve"> Finally, the interview will include questions about characteristics that may be drivers of the nonrespondent status of the household, such as privacy and confidentiality concerns, busyness, topic salience, and attitudes toward surveys or the federal government (Brick and Williams 2013; Groves et al. 2004; Kulka et al. 1991; Singer and Presser 2008). Interviews will be conducted in both English and Spanish. Data quality control procedures will be undertaken; several options, such as audio recording or manager follow-up with a subset of participants, are currently being evaluated. The structured interview protocol and contact materials are currently being developed (see Attachment B in this document for an outline of the protocol’s content). The finalized procedures, interview protocol, and contact materials for the In-Person Study of NHES:2019 Nonresponding Households will be submitted for OMB’s review with a 30-day public comment period in fall 2018.</w:t>
      </w:r>
    </w:p>
    <w:p w:rsidR="00176B47" w:rsidRPr="004450A2" w:rsidRDefault="00176B47" w:rsidP="00F259AA">
      <w:pPr>
        <w:pStyle w:val="Heading3"/>
        <w:keepNext w:val="0"/>
        <w:keepLines w:val="0"/>
        <w:widowControl w:val="0"/>
        <w:numPr>
          <w:ilvl w:val="1"/>
          <w:numId w:val="26"/>
        </w:numPr>
        <w:spacing w:before="0" w:after="120" w:line="240" w:lineRule="auto"/>
      </w:pPr>
      <w:r w:rsidRPr="004450A2">
        <w:t>Qualitative interview methodology</w:t>
      </w:r>
      <w:bookmarkEnd w:id="60"/>
      <w:bookmarkEnd w:id="61"/>
    </w:p>
    <w:p w:rsidR="00176B47" w:rsidRPr="004450A2" w:rsidRDefault="00176B47" w:rsidP="004450A2">
      <w:pPr>
        <w:widowControl w:val="0"/>
        <w:spacing w:after="120" w:line="240" w:lineRule="auto"/>
        <w:rPr>
          <w:rFonts w:ascii="Times New Roman" w:hAnsi="Times New Roman"/>
        </w:rPr>
      </w:pPr>
      <w:bookmarkStart w:id="64" w:name="_Hlk525144919"/>
      <w:r w:rsidRPr="004450A2">
        <w:rPr>
          <w:rFonts w:ascii="Times New Roman" w:hAnsi="Times New Roman"/>
        </w:rPr>
        <w:t xml:space="preserve">Qualitative research is particularly useful for trying to understand </w:t>
      </w:r>
      <w:r w:rsidRPr="004450A2">
        <w:rPr>
          <w:rFonts w:ascii="Times New Roman" w:hAnsi="Times New Roman"/>
          <w:iCs/>
        </w:rPr>
        <w:t>how</w:t>
      </w:r>
      <w:r w:rsidRPr="004450A2">
        <w:rPr>
          <w:rFonts w:ascii="Times New Roman" w:hAnsi="Times New Roman"/>
          <w:i/>
          <w:iCs/>
        </w:rPr>
        <w:t xml:space="preserve"> </w:t>
      </w:r>
      <w:r w:rsidRPr="004450A2">
        <w:rPr>
          <w:rFonts w:ascii="Times New Roman" w:hAnsi="Times New Roman"/>
        </w:rPr>
        <w:t xml:space="preserve">people make sense of their lives and experiences. To gain a deeper understanding of why some sample members do not respond to the NHES screener, approximately </w:t>
      </w:r>
      <w:r w:rsidRPr="006349BB">
        <w:rPr>
          <w:rFonts w:ascii="Times New Roman" w:hAnsi="Times New Roman"/>
          <w:strike/>
          <w:color w:val="FF0000"/>
        </w:rPr>
        <w:t>80 semi-structured</w:t>
      </w:r>
      <w:r w:rsidR="0057133A">
        <w:rPr>
          <w:rFonts w:ascii="Times New Roman" w:hAnsi="Times New Roman"/>
        </w:rPr>
        <w:t xml:space="preserve"> </w:t>
      </w:r>
      <w:r w:rsidRPr="006B2C44">
        <w:rPr>
          <w:rFonts w:ascii="Times New Roman" w:hAnsi="Times New Roman"/>
          <w:color w:val="FF0000"/>
        </w:rPr>
        <w:t>100 unstructured</w:t>
      </w:r>
      <w:r w:rsidRPr="004450A2">
        <w:rPr>
          <w:rFonts w:ascii="Times New Roman" w:hAnsi="Times New Roman"/>
        </w:rPr>
        <w:t xml:space="preserve">, qualitative interviews will be conducted with screener nonrespondents. These interviews are designed </w:t>
      </w:r>
      <w:r w:rsidRPr="0063198D">
        <w:rPr>
          <w:rFonts w:ascii="Times New Roman" w:hAnsi="Times New Roman"/>
        </w:rPr>
        <w:t xml:space="preserve">to </w:t>
      </w:r>
      <w:r w:rsidRPr="006349BB">
        <w:rPr>
          <w:rFonts w:ascii="Times New Roman" w:hAnsi="Times New Roman"/>
          <w:strike/>
          <w:color w:val="FF0000"/>
        </w:rPr>
        <w:t>be longer and</w:t>
      </w:r>
      <w:r w:rsidRPr="004450A2">
        <w:rPr>
          <w:rFonts w:ascii="Times New Roman" w:hAnsi="Times New Roman"/>
        </w:rPr>
        <w:t xml:space="preserve"> provide </w:t>
      </w:r>
      <w:r w:rsidRPr="006349BB">
        <w:rPr>
          <w:rFonts w:ascii="Times New Roman" w:hAnsi="Times New Roman"/>
          <w:strike/>
          <w:color w:val="FF0000"/>
        </w:rPr>
        <w:t>richer</w:t>
      </w:r>
      <w:r w:rsidR="0057133A">
        <w:rPr>
          <w:rFonts w:ascii="Times New Roman" w:hAnsi="Times New Roman"/>
        </w:rPr>
        <w:t xml:space="preserve"> </w:t>
      </w:r>
      <w:r w:rsidRPr="006B2C44">
        <w:rPr>
          <w:rFonts w:ascii="Times New Roman" w:hAnsi="Times New Roman"/>
          <w:color w:val="FF0000"/>
        </w:rPr>
        <w:t>rich</w:t>
      </w:r>
      <w:r w:rsidRPr="004450A2">
        <w:rPr>
          <w:rFonts w:ascii="Times New Roman" w:hAnsi="Times New Roman"/>
        </w:rPr>
        <w:t xml:space="preserve"> and </w:t>
      </w:r>
      <w:r w:rsidRPr="006349BB">
        <w:rPr>
          <w:rFonts w:ascii="Times New Roman" w:hAnsi="Times New Roman"/>
          <w:strike/>
          <w:color w:val="FF0000"/>
        </w:rPr>
        <w:t xml:space="preserve">more </w:t>
      </w:r>
      <w:r w:rsidRPr="004450A2">
        <w:rPr>
          <w:rFonts w:ascii="Times New Roman" w:hAnsi="Times New Roman"/>
        </w:rPr>
        <w:t xml:space="preserve">nuanced information </w:t>
      </w:r>
      <w:r w:rsidRPr="006349BB">
        <w:rPr>
          <w:rFonts w:ascii="Times New Roman" w:hAnsi="Times New Roman"/>
          <w:strike/>
          <w:color w:val="FF0000"/>
        </w:rPr>
        <w:t>than the structured interviews described above</w:t>
      </w:r>
      <w:r w:rsidR="0057133A">
        <w:rPr>
          <w:rFonts w:ascii="Times New Roman" w:hAnsi="Times New Roman"/>
        </w:rPr>
        <w:t xml:space="preserve"> </w:t>
      </w:r>
      <w:r w:rsidRPr="006B2C44">
        <w:rPr>
          <w:rFonts w:ascii="Times New Roman" w:hAnsi="Times New Roman"/>
          <w:color w:val="FF0000"/>
        </w:rPr>
        <w:t>about survey nonresponse</w:t>
      </w:r>
      <w:r w:rsidRPr="004450A2">
        <w:rPr>
          <w:rFonts w:ascii="Times New Roman" w:hAnsi="Times New Roman"/>
        </w:rPr>
        <w:t>.</w:t>
      </w:r>
    </w:p>
    <w:bookmarkEnd w:id="64"/>
    <w:p w:rsidR="003B06F2" w:rsidRDefault="00176B47" w:rsidP="004450A2">
      <w:pPr>
        <w:pStyle w:val="NoSpacing"/>
        <w:widowControl w:val="0"/>
        <w:spacing w:after="120"/>
        <w:rPr>
          <w:rFonts w:ascii="Times New Roman" w:hAnsi="Times New Roman" w:cs="Times New Roman"/>
          <w:color w:val="FF0000"/>
        </w:rPr>
      </w:pPr>
      <w:r w:rsidRPr="006B2C44">
        <w:rPr>
          <w:rFonts w:ascii="Times New Roman" w:hAnsi="Times New Roman" w:cs="Times New Roman"/>
          <w:color w:val="FF0000"/>
        </w:rPr>
        <w:t xml:space="preserve">The NHES:2019 screener </w:t>
      </w:r>
      <w:r w:rsidRPr="004450A2">
        <w:rPr>
          <w:rFonts w:ascii="Times New Roman" w:hAnsi="Times New Roman" w:cs="Times New Roman"/>
        </w:rPr>
        <w:t xml:space="preserve">nonrespondents </w:t>
      </w:r>
      <w:r w:rsidRPr="000F777C">
        <w:rPr>
          <w:rFonts w:ascii="Times New Roman" w:hAnsi="Times New Roman" w:cs="Times New Roman"/>
          <w:strike/>
          <w:color w:val="FF0000"/>
        </w:rPr>
        <w:t>may</w:t>
      </w:r>
      <w:r w:rsidR="000F777C" w:rsidRPr="000F777C">
        <w:rPr>
          <w:rFonts w:ascii="Times New Roman" w:hAnsi="Times New Roman" w:cs="Times New Roman"/>
          <w:color w:val="FF0000"/>
        </w:rPr>
        <w:t xml:space="preserve"> will</w:t>
      </w:r>
      <w:r w:rsidRPr="004450A2">
        <w:rPr>
          <w:rFonts w:ascii="Times New Roman" w:hAnsi="Times New Roman" w:cs="Times New Roman"/>
        </w:rPr>
        <w:t xml:space="preserve"> be stratified</w:t>
      </w:r>
      <w:r w:rsidRPr="006B2C44">
        <w:rPr>
          <w:rFonts w:ascii="Times New Roman" w:hAnsi="Times New Roman" w:cs="Times New Roman"/>
          <w:strike/>
          <w:color w:val="FF0000"/>
        </w:rPr>
        <w:t xml:space="preserve"> and sampled</w:t>
      </w:r>
      <w:r w:rsidRPr="004450A2">
        <w:rPr>
          <w:rFonts w:ascii="Times New Roman" w:hAnsi="Times New Roman" w:cs="Times New Roman"/>
        </w:rPr>
        <w:t xml:space="preserve"> to focus on a handful of key household characteristics available on the sampling frame that are likely to drive differences in reasons for nonresponse and could be used for targeting NHES materials and contact protocols in future administrations</w:t>
      </w:r>
      <w:r w:rsidR="000F777C">
        <w:rPr>
          <w:rFonts w:ascii="Times New Roman" w:hAnsi="Times New Roman" w:cs="Times New Roman"/>
          <w:color w:val="FF0000"/>
        </w:rPr>
        <w:t>, such as</w:t>
      </w:r>
      <w:r w:rsidRPr="004450A2">
        <w:rPr>
          <w:rFonts w:ascii="Times New Roman" w:hAnsi="Times New Roman" w:cs="Times New Roman"/>
        </w:rPr>
        <w:t xml:space="preserve"> (1) whether the household </w:t>
      </w:r>
      <w:r w:rsidRPr="006B2C44">
        <w:rPr>
          <w:rFonts w:ascii="Times New Roman" w:hAnsi="Times New Roman" w:cs="Times New Roman"/>
          <w:strike/>
          <w:color w:val="FF0000"/>
        </w:rPr>
        <w:t xml:space="preserve">has children living in it, (2) whether the household </w:t>
      </w:r>
      <w:r w:rsidRPr="004450A2">
        <w:rPr>
          <w:rFonts w:ascii="Times New Roman" w:hAnsi="Times New Roman" w:cs="Times New Roman"/>
        </w:rPr>
        <w:t>is Hispanic or is expected to prefer to respond in Spanish, and (</w:t>
      </w:r>
      <w:r w:rsidRPr="006B2C44">
        <w:rPr>
          <w:rFonts w:ascii="Times New Roman" w:hAnsi="Times New Roman" w:cs="Times New Roman"/>
          <w:strike/>
          <w:color w:val="FF0000"/>
        </w:rPr>
        <w:t>3) whether the household</w:t>
      </w:r>
      <w:r w:rsidR="0057133A">
        <w:rPr>
          <w:rFonts w:ascii="Times New Roman" w:hAnsi="Times New Roman" w:cs="Times New Roman"/>
        </w:rPr>
        <w:t xml:space="preserve"> </w:t>
      </w:r>
      <w:r w:rsidRPr="00D10E17">
        <w:rPr>
          <w:rFonts w:ascii="Times New Roman" w:hAnsi="Times New Roman" w:cs="Times New Roman"/>
          <w:color w:val="FF0000"/>
        </w:rPr>
        <w:t xml:space="preserve">2) </w:t>
      </w:r>
      <w:r w:rsidR="0063198D">
        <w:rPr>
          <w:rFonts w:ascii="Times New Roman" w:hAnsi="Times New Roman" w:cs="Times New Roman"/>
          <w:color w:val="FF0000"/>
        </w:rPr>
        <w:t xml:space="preserve">in </w:t>
      </w:r>
      <w:r w:rsidRPr="00D10E17">
        <w:rPr>
          <w:rFonts w:ascii="Times New Roman" w:hAnsi="Times New Roman" w:cs="Times New Roman"/>
          <w:color w:val="FF0000"/>
        </w:rPr>
        <w:t>what part of the United States the address</w:t>
      </w:r>
      <w:r w:rsidRPr="004450A2">
        <w:rPr>
          <w:rFonts w:ascii="Times New Roman" w:hAnsi="Times New Roman" w:cs="Times New Roman"/>
        </w:rPr>
        <w:t xml:space="preserve"> is located </w:t>
      </w:r>
      <w:r w:rsidRPr="006B2C44">
        <w:rPr>
          <w:rFonts w:ascii="Times New Roman" w:hAnsi="Times New Roman" w:cs="Times New Roman"/>
          <w:strike/>
          <w:color w:val="FF0000"/>
        </w:rPr>
        <w:t>an urban area or a rural area. A final sample design .</w:t>
      </w:r>
      <w:r w:rsidR="00B42931">
        <w:rPr>
          <w:rFonts w:ascii="Times New Roman" w:hAnsi="Times New Roman" w:cs="Times New Roman"/>
        </w:rPr>
        <w:t xml:space="preserve"> </w:t>
      </w:r>
      <w:r w:rsidRPr="00D10E17">
        <w:rPr>
          <w:rFonts w:ascii="Times New Roman" w:hAnsi="Times New Roman" w:cs="Times New Roman"/>
          <w:color w:val="FF0000"/>
        </w:rPr>
        <w:t xml:space="preserve">Cases will be sampled from </w:t>
      </w:r>
      <w:r w:rsidR="005E69A4">
        <w:rPr>
          <w:rFonts w:ascii="Times New Roman" w:hAnsi="Times New Roman" w:cs="Times New Roman"/>
          <w:color w:val="FF0000"/>
        </w:rPr>
        <w:t>three or more sites</w:t>
      </w:r>
      <w:r w:rsidRPr="00D10E17">
        <w:rPr>
          <w:rFonts w:ascii="Times New Roman" w:hAnsi="Times New Roman" w:cs="Times New Roman"/>
          <w:color w:val="FF0000"/>
        </w:rPr>
        <w:t xml:space="preserve"> </w:t>
      </w:r>
      <w:r w:rsidRPr="004450A2">
        <w:rPr>
          <w:rFonts w:ascii="Times New Roman" w:hAnsi="Times New Roman" w:cs="Times New Roman"/>
        </w:rPr>
        <w:t xml:space="preserve">and </w:t>
      </w:r>
      <w:r w:rsidRPr="006B2C44">
        <w:rPr>
          <w:rFonts w:ascii="Times New Roman" w:hAnsi="Times New Roman" w:cs="Times New Roman"/>
          <w:strike/>
          <w:color w:val="FF0000"/>
        </w:rPr>
        <w:t>sampling strata will be specified in the fall 2018 submission. In addition,</w:t>
      </w:r>
      <w:r w:rsidR="00B42931">
        <w:rPr>
          <w:rFonts w:ascii="Times New Roman" w:hAnsi="Times New Roman" w:cs="Times New Roman"/>
          <w:strike/>
          <w:color w:val="FF0000"/>
        </w:rPr>
        <w:t xml:space="preserve"> </w:t>
      </w:r>
      <w:r w:rsidRPr="004450A2">
        <w:rPr>
          <w:rFonts w:ascii="Times New Roman" w:hAnsi="Times New Roman" w:cs="Times New Roman"/>
        </w:rPr>
        <w:t xml:space="preserve">the cases </w:t>
      </w:r>
      <w:r w:rsidRPr="00D10E17">
        <w:rPr>
          <w:rFonts w:ascii="Times New Roman" w:hAnsi="Times New Roman" w:cs="Times New Roman"/>
          <w:color w:val="FF0000"/>
        </w:rPr>
        <w:t xml:space="preserve">sampled for each site </w:t>
      </w:r>
      <w:r w:rsidRPr="004450A2">
        <w:rPr>
          <w:rFonts w:ascii="Times New Roman" w:hAnsi="Times New Roman" w:cs="Times New Roman"/>
        </w:rPr>
        <w:t xml:space="preserve">will be clustered </w:t>
      </w:r>
      <w:r w:rsidRPr="006B2C44">
        <w:rPr>
          <w:rFonts w:ascii="Times New Roman" w:hAnsi="Times New Roman" w:cs="Times New Roman"/>
          <w:strike/>
          <w:color w:val="FF0000"/>
        </w:rPr>
        <w:t>near 2 to 4 U.S. cities and will be located</w:t>
      </w:r>
      <w:r w:rsidRPr="004450A2">
        <w:rPr>
          <w:rFonts w:ascii="Times New Roman" w:hAnsi="Times New Roman" w:cs="Times New Roman"/>
        </w:rPr>
        <w:t xml:space="preserve"> within </w:t>
      </w:r>
      <w:r w:rsidRPr="006B2C44">
        <w:rPr>
          <w:rFonts w:ascii="Times New Roman" w:hAnsi="Times New Roman" w:cs="Times New Roman"/>
          <w:strike/>
          <w:color w:val="FF0000"/>
        </w:rPr>
        <w:t>70 miles of the center of those cities. The 70</w:t>
      </w:r>
      <w:r w:rsidR="0057133A">
        <w:rPr>
          <w:rFonts w:ascii="Times New Roman" w:hAnsi="Times New Roman" w:cs="Times New Roman"/>
        </w:rPr>
        <w:t xml:space="preserve"> </w:t>
      </w:r>
      <w:r w:rsidRPr="00D10E17">
        <w:rPr>
          <w:rFonts w:ascii="Times New Roman" w:hAnsi="Times New Roman" w:cs="Times New Roman"/>
          <w:color w:val="FF0000"/>
        </w:rPr>
        <w:t xml:space="preserve">an area with </w:t>
      </w:r>
      <w:r w:rsidR="005C670F" w:rsidRPr="005C670F">
        <w:rPr>
          <w:rFonts w:ascii="Times New Roman" w:hAnsi="Times New Roman" w:cs="Times New Roman"/>
          <w:color w:val="FF0000"/>
        </w:rPr>
        <w:t xml:space="preserve">approximately </w:t>
      </w:r>
      <w:r w:rsidRPr="00D10E17">
        <w:rPr>
          <w:rFonts w:ascii="Times New Roman" w:hAnsi="Times New Roman" w:cs="Times New Roman"/>
          <w:color w:val="FF0000"/>
        </w:rPr>
        <w:t>a 30</w:t>
      </w:r>
      <w:r w:rsidRPr="004450A2">
        <w:rPr>
          <w:rFonts w:ascii="Times New Roman" w:hAnsi="Times New Roman" w:cs="Times New Roman"/>
        </w:rPr>
        <w:t>-mile radius</w:t>
      </w:r>
      <w:r w:rsidRPr="00D10E17">
        <w:rPr>
          <w:rFonts w:ascii="Times New Roman" w:hAnsi="Times New Roman" w:cs="Times New Roman"/>
          <w:color w:val="FF0000"/>
        </w:rPr>
        <w:t>.</w:t>
      </w:r>
      <w:r w:rsidRPr="00D10E17">
        <w:rPr>
          <w:rStyle w:val="FootnoteReference"/>
          <w:rFonts w:ascii="Times New Roman" w:hAnsi="Times New Roman"/>
          <w:color w:val="FF0000"/>
        </w:rPr>
        <w:footnoteReference w:id="10"/>
      </w:r>
      <w:r w:rsidRPr="00D10E17">
        <w:rPr>
          <w:rFonts w:ascii="Times New Roman" w:hAnsi="Times New Roman" w:cs="Times New Roman"/>
          <w:color w:val="FF0000"/>
        </w:rPr>
        <w:t xml:space="preserve"> This design </w:t>
      </w:r>
      <w:r w:rsidRPr="004450A2">
        <w:rPr>
          <w:rFonts w:ascii="Times New Roman" w:hAnsi="Times New Roman" w:cs="Times New Roman"/>
        </w:rPr>
        <w:t xml:space="preserve">will allow for sampling of </w:t>
      </w:r>
      <w:r w:rsidRPr="00D10E17">
        <w:rPr>
          <w:rFonts w:ascii="Times New Roman" w:hAnsi="Times New Roman" w:cs="Times New Roman"/>
          <w:color w:val="FF0000"/>
        </w:rPr>
        <w:t xml:space="preserve">some </w:t>
      </w:r>
      <w:r w:rsidRPr="004450A2">
        <w:rPr>
          <w:rFonts w:ascii="Times New Roman" w:hAnsi="Times New Roman" w:cs="Times New Roman"/>
        </w:rPr>
        <w:t xml:space="preserve">rural addresses </w:t>
      </w:r>
      <w:r w:rsidRPr="00D10E17">
        <w:rPr>
          <w:rFonts w:ascii="Times New Roman" w:hAnsi="Times New Roman" w:cs="Times New Roman"/>
          <w:strike/>
          <w:color w:val="FF0000"/>
        </w:rPr>
        <w:t>(e.g., villages and towns such as Sollitt, IL, which is 45 miles south of Chicago, IL and is</w:t>
      </w:r>
      <w:r w:rsidRPr="009F5198">
        <w:rPr>
          <w:rFonts w:ascii="Times New Roman" w:hAnsi="Times New Roman" w:cs="Times New Roman"/>
          <w:color w:val="FF0000"/>
        </w:rPr>
        <w:t>, while still maintaining</w:t>
      </w:r>
      <w:r w:rsidRPr="004450A2">
        <w:rPr>
          <w:rFonts w:ascii="Times New Roman" w:hAnsi="Times New Roman" w:cs="Times New Roman"/>
        </w:rPr>
        <w:t xml:space="preserve"> a </w:t>
      </w:r>
      <w:r w:rsidRPr="009F5198">
        <w:rPr>
          <w:rFonts w:ascii="Times New Roman" w:hAnsi="Times New Roman" w:cs="Times New Roman"/>
          <w:strike/>
          <w:color w:val="FF0000"/>
        </w:rPr>
        <w:t>rural community with fewer than 100 people within the community).</w:t>
      </w:r>
      <w:r w:rsidR="00FC780F">
        <w:rPr>
          <w:rFonts w:ascii="Times New Roman" w:hAnsi="Times New Roman" w:cs="Times New Roman"/>
        </w:rPr>
        <w:t xml:space="preserve"> </w:t>
      </w:r>
      <w:r w:rsidRPr="009F5198">
        <w:rPr>
          <w:rFonts w:ascii="Times New Roman" w:hAnsi="Times New Roman" w:cs="Times New Roman"/>
          <w:color w:val="FF0000"/>
        </w:rPr>
        <w:t>manageable driving distance for the interviewers.</w:t>
      </w:r>
      <w:r w:rsidRPr="004450A2">
        <w:rPr>
          <w:rFonts w:ascii="Times New Roman" w:hAnsi="Times New Roman" w:cs="Times New Roman"/>
        </w:rPr>
        <w:t xml:space="preserve"> Approximately </w:t>
      </w:r>
      <w:r w:rsidR="0006024F" w:rsidRPr="0006024F">
        <w:rPr>
          <w:rFonts w:ascii="Times New Roman" w:hAnsi="Times New Roman" w:cs="Times New Roman"/>
          <w:color w:val="FF0000"/>
        </w:rPr>
        <w:t>750 addresses will be sampled from among NHES:2019 early screener nonrespondents for address and neighborhood observations. Of these,</w:t>
      </w:r>
      <w:r w:rsidR="00533535">
        <w:rPr>
          <w:rFonts w:ascii="Times New Roman" w:hAnsi="Times New Roman" w:cs="Times New Roman"/>
          <w:color w:val="FF0000"/>
        </w:rPr>
        <w:t xml:space="preserve"> </w:t>
      </w:r>
      <w:r w:rsidRPr="009F5198">
        <w:rPr>
          <w:rFonts w:ascii="Times New Roman" w:hAnsi="Times New Roman" w:cs="Times New Roman"/>
          <w:strike/>
          <w:color w:val="FF0000"/>
        </w:rPr>
        <w:t>480</w:t>
      </w:r>
      <w:r w:rsidR="00FC780F">
        <w:rPr>
          <w:rFonts w:ascii="Times New Roman" w:hAnsi="Times New Roman" w:cs="Times New Roman"/>
        </w:rPr>
        <w:t xml:space="preserve"> </w:t>
      </w:r>
      <w:r w:rsidRPr="009F5198">
        <w:rPr>
          <w:rFonts w:ascii="Times New Roman" w:hAnsi="Times New Roman" w:cs="Times New Roman"/>
          <w:color w:val="FF0000"/>
        </w:rPr>
        <w:t>500</w:t>
      </w:r>
      <w:r w:rsidRPr="004450A2">
        <w:rPr>
          <w:rFonts w:ascii="Times New Roman" w:hAnsi="Times New Roman" w:cs="Times New Roman"/>
        </w:rPr>
        <w:t xml:space="preserve"> </w:t>
      </w:r>
      <w:r w:rsidRPr="00533535">
        <w:rPr>
          <w:rFonts w:ascii="Times New Roman" w:hAnsi="Times New Roman" w:cs="Times New Roman"/>
          <w:strike/>
          <w:color w:val="FF0000"/>
        </w:rPr>
        <w:t>households</w:t>
      </w:r>
      <w:r w:rsidRPr="004450A2">
        <w:rPr>
          <w:rFonts w:ascii="Times New Roman" w:hAnsi="Times New Roman" w:cs="Times New Roman"/>
        </w:rPr>
        <w:t xml:space="preserve"> will be </w:t>
      </w:r>
      <w:r w:rsidRPr="00533535">
        <w:rPr>
          <w:rFonts w:ascii="Times New Roman" w:hAnsi="Times New Roman" w:cs="Times New Roman"/>
          <w:strike/>
          <w:color w:val="FF0000"/>
        </w:rPr>
        <w:t>sampled</w:t>
      </w:r>
      <w:r w:rsidRPr="004450A2">
        <w:rPr>
          <w:rFonts w:ascii="Times New Roman" w:hAnsi="Times New Roman" w:cs="Times New Roman"/>
        </w:rPr>
        <w:t xml:space="preserve"> </w:t>
      </w:r>
      <w:r w:rsidR="00533535" w:rsidRPr="0006024F">
        <w:rPr>
          <w:rFonts w:ascii="Times New Roman" w:hAnsi="Times New Roman" w:cs="Times New Roman"/>
          <w:color w:val="FF0000"/>
        </w:rPr>
        <w:t>selected for and invited to take part in the qualitative interview study (</w:t>
      </w:r>
      <w:r w:rsidRPr="004450A2">
        <w:rPr>
          <w:rFonts w:ascii="Times New Roman" w:hAnsi="Times New Roman" w:cs="Times New Roman"/>
        </w:rPr>
        <w:t xml:space="preserve">to yield approximately </w:t>
      </w:r>
      <w:r w:rsidRPr="009F5198">
        <w:rPr>
          <w:rFonts w:ascii="Times New Roman" w:hAnsi="Times New Roman" w:cs="Times New Roman"/>
          <w:strike/>
          <w:color w:val="FF0000"/>
        </w:rPr>
        <w:t>80</w:t>
      </w:r>
      <w:r w:rsidR="00FC780F">
        <w:rPr>
          <w:rFonts w:ascii="Times New Roman" w:hAnsi="Times New Roman" w:cs="Times New Roman"/>
        </w:rPr>
        <w:t xml:space="preserve"> </w:t>
      </w:r>
      <w:r w:rsidRPr="009F5198">
        <w:rPr>
          <w:rFonts w:ascii="Times New Roman" w:hAnsi="Times New Roman" w:cs="Times New Roman"/>
          <w:color w:val="FF0000"/>
        </w:rPr>
        <w:t>100</w:t>
      </w:r>
      <w:r w:rsidRPr="004450A2">
        <w:rPr>
          <w:rFonts w:ascii="Times New Roman" w:hAnsi="Times New Roman" w:cs="Times New Roman"/>
        </w:rPr>
        <w:t xml:space="preserve"> completed 90-minute interviews</w:t>
      </w:r>
      <w:r w:rsidR="00D82DB2" w:rsidRPr="0006024F">
        <w:rPr>
          <w:rFonts w:ascii="Times New Roman" w:hAnsi="Times New Roman" w:cs="Times New Roman"/>
          <w:color w:val="FF0000"/>
        </w:rPr>
        <w:t>)</w:t>
      </w:r>
      <w:r w:rsidRPr="004450A2">
        <w:rPr>
          <w:rFonts w:ascii="Times New Roman" w:hAnsi="Times New Roman" w:cs="Times New Roman"/>
        </w:rPr>
        <w:t>.</w:t>
      </w:r>
      <w:r w:rsidR="003B06F2" w:rsidRPr="0006024F">
        <w:rPr>
          <w:rFonts w:ascii="Times New Roman" w:hAnsi="Times New Roman" w:cs="Times New Roman"/>
          <w:color w:val="FF0000"/>
        </w:rPr>
        <w:t xml:space="preserve"> If nonresponse clustering patterns result in lower than estimated cost of observing and interviewing the target numbers of addresses, more addresses will be selected for the address/neighborhood observations</w:t>
      </w:r>
      <w:r w:rsidR="00D82DB2">
        <w:rPr>
          <w:rFonts w:ascii="Times New Roman" w:hAnsi="Times New Roman" w:cs="Times New Roman"/>
          <w:color w:val="FF0000"/>
        </w:rPr>
        <w:t>.</w:t>
      </w:r>
    </w:p>
    <w:p w:rsidR="00D82DB2" w:rsidRPr="00D82DB2" w:rsidRDefault="00D82DB2" w:rsidP="00D82DB2">
      <w:pPr>
        <w:pStyle w:val="NoSpacing"/>
        <w:widowControl w:val="0"/>
        <w:spacing w:after="120"/>
        <w:rPr>
          <w:rFonts w:ascii="Times New Roman" w:hAnsi="Times New Roman" w:cs="Times New Roman"/>
          <w:color w:val="FF0000"/>
        </w:rPr>
      </w:pPr>
      <w:r w:rsidRPr="00D82DB2">
        <w:rPr>
          <w:rFonts w:ascii="Times New Roman" w:hAnsi="Times New Roman" w:cs="Times New Roman"/>
          <w:color w:val="FF0000"/>
        </w:rPr>
        <w:t>The cases included in the nonresponse follow-up study will be selected using frame variables that will be identified based on the observed patterns of nonresponse to early NHES:2019 screener mailings. Because NHES:2019 will be the first NHES administration that uses a web-push mixed-mode design (whereas recent NHES administrations used a paper-only design), we are not certain what patterns of screener nonresponse will be observed and thus must wait to determine the actual selection criteria for the nonresponse follow-up study until NHES:2019 screener data collection has begun and patterns of the early NHES:2019 screener nonresponse become known. However, patterns of screener nonresponse to NHES:2016 give some indication of address characteristics that are likely to drive screener nonresponse in 2019, such as: being in an area with a higher percentage of Black or Hispanic residents, being in an area with a higher poverty rate, being in the south, being in a rented (vs. owned) dwelling, being in a multiunit (vs. a single unit) dwelling, not having a phone number available on the frame, or lacking demographic information about the head of the household (such as gender, age, or marital status).</w:t>
      </w:r>
    </w:p>
    <w:p w:rsidR="00D82DB2" w:rsidRPr="00D82DB2" w:rsidRDefault="00D82DB2" w:rsidP="00D82DB2">
      <w:pPr>
        <w:pStyle w:val="NoSpacing"/>
        <w:widowControl w:val="0"/>
        <w:spacing w:after="120"/>
        <w:rPr>
          <w:rFonts w:ascii="Times New Roman" w:hAnsi="Times New Roman" w:cs="Times New Roman"/>
          <w:color w:val="FF0000"/>
        </w:rPr>
      </w:pPr>
      <w:r w:rsidRPr="00D82DB2">
        <w:rPr>
          <w:rFonts w:ascii="Times New Roman" w:hAnsi="Times New Roman" w:cs="Times New Roman"/>
          <w:color w:val="FF0000"/>
        </w:rPr>
        <w:t>Once we determine the subgroups of address characteristics that show the highest likelihood of nonresponse to early NHES:2019 screener mailings, we will identify three or more geographic clusters, of approximately 30-mile-radius each, that will include large enough numbers of nonrespondents from the address characteristics subgroups to meet the recruiting targets for the nonresponse follow-up study. Due to differences in mail delivery challenges in urban versus rural areas (which are key for understanding potential reasons for nonresponse to a mailed survey such as NHES), urbanicity will be one of the factors used in the selection of sites. In addition, we will ensure that each of the at least three clusters will include a diverse group of addresses by characteristics such as region, address characteristics, demographics, etc. Initially, in each selected cluster, address/neighborhood observations will be conducted with the nonresponding households selected from that cluster. From the observed addresses, across all clusters, a subset of 500 addresses will be selected for recruitment for the target 100 in-person qualitative interviews. At this time, the cost of observations and interviews will be determined and, budget permitting, additional NHES:2019 screener nonrespondent addresses may be selected for additional address/neighborhood observations.</w:t>
      </w:r>
    </w:p>
    <w:p w:rsidR="00176B47" w:rsidRPr="009F5198" w:rsidRDefault="00176B47" w:rsidP="004450A2">
      <w:pPr>
        <w:widowControl w:val="0"/>
        <w:spacing w:after="120" w:line="240" w:lineRule="auto"/>
        <w:rPr>
          <w:rFonts w:ascii="Times New Roman" w:hAnsi="Times New Roman"/>
          <w:strike/>
          <w:color w:val="FF0000"/>
        </w:rPr>
      </w:pPr>
      <w:r w:rsidRPr="009F5198">
        <w:rPr>
          <w:rFonts w:ascii="Times New Roman" w:hAnsi="Times New Roman"/>
          <w:strike/>
          <w:color w:val="FF0000"/>
        </w:rPr>
        <w:t>One possible design for the study of nonresponding households is to also follow up with a small sample (n= 50-100) of responding households for the 90-minute semi-structured, qualitative interviews. Data from responding households would provide a comparison to the data from the nonresponding households. Respondent sample cases could be stratified on whether they were early or late responders and on the same demographic characteristics used to identify cases for nonrespondent sampling. If differences are found between the responding and nonresponding groups, this will aid analyses by helping to hone in on the themes in the data from nonrespondents that may be related to nonresponse. If no differences are found between the responding and nonresponding groups, it will be a signal to look at some of the less common themes in the interview data for clues about nonrespondents’ unique characteristics or attitudes. In turn, these less common themes would provide future researchers with better information on which to base interview protocols for research into nonresponse.</w:t>
      </w:r>
    </w:p>
    <w:p w:rsidR="00176B47" w:rsidRPr="009F5198" w:rsidRDefault="00176B47" w:rsidP="004450A2">
      <w:pPr>
        <w:widowControl w:val="0"/>
        <w:spacing w:after="120" w:line="240" w:lineRule="auto"/>
        <w:rPr>
          <w:rFonts w:ascii="Times New Roman" w:hAnsi="Times New Roman"/>
          <w:strike/>
          <w:color w:val="FF0000"/>
        </w:rPr>
      </w:pPr>
      <w:r w:rsidRPr="009F5198">
        <w:rPr>
          <w:rFonts w:ascii="Times New Roman" w:hAnsi="Times New Roman"/>
          <w:strike/>
          <w:color w:val="FF0000"/>
        </w:rPr>
        <w:t>Bates (2007) found that debriefing both respondents and nonrespondents to a mail survey yielded considerably more data from respondents than nonrespondents and that nonrespondents commonly did not remember receiving the mailed survey materials. Collecting data from respondents in addition to nonrespondents would help us to understand whether or not differences in household practices with mail are the linchpin to ABS-survey nonresponse in which contact materials are sent through the mail. Budget may limit our ability to add a sample of responding households. Final decisions and details about the sample design, and whether or not responding households will be included, will be provided for OMB review in fall 2018.</w:t>
      </w:r>
    </w:p>
    <w:p w:rsidR="00176B47" w:rsidRPr="004450A2" w:rsidRDefault="00176B47" w:rsidP="004450A2">
      <w:pPr>
        <w:pStyle w:val="Heading4"/>
        <w:keepNext w:val="0"/>
        <w:keepLines w:val="0"/>
        <w:widowControl w:val="0"/>
        <w:spacing w:before="0" w:after="120" w:line="240" w:lineRule="auto"/>
      </w:pPr>
      <w:r w:rsidRPr="004450A2">
        <w:t>2.1.1 Recruitment</w:t>
      </w:r>
    </w:p>
    <w:p w:rsidR="00176B47" w:rsidRPr="004450A2" w:rsidRDefault="00176B47" w:rsidP="004450A2">
      <w:pPr>
        <w:pStyle w:val="NoSpacing"/>
        <w:widowControl w:val="0"/>
        <w:spacing w:after="120"/>
        <w:rPr>
          <w:rFonts w:ascii="Times New Roman" w:hAnsi="Times New Roman" w:cs="Times New Roman"/>
        </w:rPr>
      </w:pPr>
      <w:r w:rsidRPr="004450A2">
        <w:rPr>
          <w:rFonts w:ascii="Times New Roman" w:hAnsi="Times New Roman" w:cs="Times New Roman"/>
        </w:rPr>
        <w:t>The following recruitment protocol will be used after the NHES:2019 screener data collection closes in late May 2019:</w:t>
      </w:r>
    </w:p>
    <w:p w:rsidR="00176B47" w:rsidRPr="004450A2" w:rsidRDefault="00176B47" w:rsidP="008E1235">
      <w:pPr>
        <w:pStyle w:val="NoSpacing"/>
        <w:widowControl w:val="0"/>
        <w:numPr>
          <w:ilvl w:val="0"/>
          <w:numId w:val="18"/>
        </w:numPr>
        <w:spacing w:after="120"/>
        <w:ind w:left="450" w:hanging="270"/>
        <w:rPr>
          <w:rFonts w:ascii="Times New Roman" w:hAnsi="Times New Roman" w:cs="Times New Roman"/>
        </w:rPr>
      </w:pPr>
      <w:r w:rsidRPr="004450A2">
        <w:rPr>
          <w:rFonts w:ascii="Times New Roman" w:hAnsi="Times New Roman" w:cs="Times New Roman"/>
        </w:rPr>
        <w:t xml:space="preserve">Sampled cases will be sent an </w:t>
      </w:r>
      <w:r w:rsidRPr="00D127A3">
        <w:rPr>
          <w:rFonts w:ascii="Times New Roman" w:hAnsi="Times New Roman" w:cs="Times New Roman"/>
          <w:strike/>
          <w:color w:val="FF0000"/>
        </w:rPr>
        <w:t>advance</w:t>
      </w:r>
      <w:r w:rsidR="00FC780F">
        <w:rPr>
          <w:rFonts w:ascii="Times New Roman" w:hAnsi="Times New Roman" w:cs="Times New Roman"/>
        </w:rPr>
        <w:t xml:space="preserve"> </w:t>
      </w:r>
      <w:r w:rsidRPr="00422813">
        <w:rPr>
          <w:rFonts w:ascii="Times New Roman" w:hAnsi="Times New Roman" w:cs="Times New Roman"/>
          <w:color w:val="FF0000"/>
        </w:rPr>
        <w:t>invitation</w:t>
      </w:r>
      <w:r w:rsidRPr="004450A2">
        <w:rPr>
          <w:rFonts w:ascii="Times New Roman" w:hAnsi="Times New Roman" w:cs="Times New Roman"/>
        </w:rPr>
        <w:t xml:space="preserve"> letter that includes </w:t>
      </w:r>
      <w:r w:rsidRPr="00422813">
        <w:rPr>
          <w:rFonts w:ascii="Times New Roman" w:hAnsi="Times New Roman" w:cs="Times New Roman"/>
          <w:strike/>
          <w:color w:val="FF0000"/>
        </w:rPr>
        <w:t>$2 or</w:t>
      </w:r>
      <w:r w:rsidRPr="004450A2">
        <w:rPr>
          <w:rFonts w:ascii="Times New Roman" w:hAnsi="Times New Roman" w:cs="Times New Roman"/>
        </w:rPr>
        <w:t xml:space="preserve"> $5 cash</w:t>
      </w:r>
      <w:r w:rsidRPr="00BF30E4">
        <w:rPr>
          <w:rStyle w:val="FootnoteReference"/>
          <w:rFonts w:ascii="Times New Roman" w:hAnsi="Times New Roman"/>
          <w:strike/>
          <w:color w:val="FF0000"/>
        </w:rPr>
        <w:footnoteReference w:id="11"/>
      </w:r>
      <w:r w:rsidRPr="004450A2">
        <w:rPr>
          <w:rFonts w:ascii="Times New Roman" w:hAnsi="Times New Roman" w:cs="Times New Roman"/>
        </w:rPr>
        <w:t xml:space="preserve">, invites them to participate in the in-person study, </w:t>
      </w:r>
      <w:r w:rsidRPr="00422813">
        <w:rPr>
          <w:rFonts w:ascii="Times New Roman" w:hAnsi="Times New Roman" w:cs="Times New Roman"/>
          <w:strike/>
          <w:color w:val="FF0000"/>
        </w:rPr>
        <w:t>and indicates that someone will</w:t>
      </w:r>
      <w:r w:rsidR="00FC780F">
        <w:rPr>
          <w:rFonts w:ascii="Times New Roman" w:hAnsi="Times New Roman" w:cs="Times New Roman"/>
        </w:rPr>
        <w:t xml:space="preserve"> </w:t>
      </w:r>
      <w:r w:rsidRPr="00422813">
        <w:rPr>
          <w:rFonts w:ascii="Times New Roman" w:hAnsi="Times New Roman" w:cs="Times New Roman"/>
          <w:color w:val="FF0000"/>
        </w:rPr>
        <w:t xml:space="preserve">informs them of the contingent incentive and provides </w:t>
      </w:r>
      <w:r w:rsidR="00B53D8B" w:rsidRPr="00B53D8B">
        <w:rPr>
          <w:rFonts w:ascii="Times New Roman" w:hAnsi="Times New Roman" w:cs="Times New Roman"/>
          <w:color w:val="FF0000"/>
        </w:rPr>
        <w:t xml:space="preserve">them with NHES staff </w:t>
      </w:r>
      <w:r w:rsidRPr="004450A2">
        <w:rPr>
          <w:rFonts w:ascii="Times New Roman" w:hAnsi="Times New Roman" w:cs="Times New Roman"/>
        </w:rPr>
        <w:t xml:space="preserve">contact </w:t>
      </w:r>
      <w:r w:rsidRPr="00422813">
        <w:rPr>
          <w:rFonts w:ascii="Times New Roman" w:hAnsi="Times New Roman" w:cs="Times New Roman"/>
          <w:strike/>
          <w:color w:val="FF0000"/>
        </w:rPr>
        <w:t>them to schedule an interview. The advance letter does not ask</w:t>
      </w:r>
      <w:r w:rsidR="00FC780F">
        <w:rPr>
          <w:rFonts w:ascii="Times New Roman" w:hAnsi="Times New Roman" w:cs="Times New Roman"/>
        </w:rPr>
        <w:t xml:space="preserve"> </w:t>
      </w:r>
      <w:r w:rsidRPr="00BF30E4">
        <w:rPr>
          <w:rFonts w:ascii="Times New Roman" w:hAnsi="Times New Roman" w:cs="Times New Roman"/>
          <w:color w:val="FF0000"/>
        </w:rPr>
        <w:t>information</w:t>
      </w:r>
      <w:r w:rsidRPr="004450A2">
        <w:rPr>
          <w:rFonts w:ascii="Times New Roman" w:hAnsi="Times New Roman" w:cs="Times New Roman"/>
        </w:rPr>
        <w:t xml:space="preserve"> for </w:t>
      </w:r>
      <w:r w:rsidRPr="00422813">
        <w:rPr>
          <w:rFonts w:ascii="Times New Roman" w:hAnsi="Times New Roman" w:cs="Times New Roman"/>
          <w:strike/>
          <w:color w:val="FF0000"/>
        </w:rPr>
        <w:t>a response or action from the household member. Its purpose is to inform</w:t>
      </w:r>
      <w:r w:rsidR="00FC780F">
        <w:rPr>
          <w:rFonts w:ascii="Times New Roman" w:hAnsi="Times New Roman" w:cs="Times New Roman"/>
        </w:rPr>
        <w:t xml:space="preserve"> </w:t>
      </w:r>
      <w:r w:rsidRPr="00422813">
        <w:rPr>
          <w:rFonts w:ascii="Times New Roman" w:hAnsi="Times New Roman" w:cs="Times New Roman"/>
          <w:color w:val="FF0000"/>
        </w:rPr>
        <w:t xml:space="preserve">letting </w:t>
      </w:r>
      <w:r w:rsidRPr="004450A2">
        <w:rPr>
          <w:rFonts w:ascii="Times New Roman" w:hAnsi="Times New Roman" w:cs="Times New Roman"/>
        </w:rPr>
        <w:t xml:space="preserve">the </w:t>
      </w:r>
      <w:r w:rsidRPr="00422813">
        <w:rPr>
          <w:rFonts w:ascii="Times New Roman" w:hAnsi="Times New Roman" w:cs="Times New Roman"/>
          <w:strike/>
          <w:color w:val="FF0000"/>
        </w:rPr>
        <w:t>household</w:t>
      </w:r>
      <w:r w:rsidR="00FC780F">
        <w:rPr>
          <w:rFonts w:ascii="Times New Roman" w:hAnsi="Times New Roman" w:cs="Times New Roman"/>
        </w:rPr>
        <w:t xml:space="preserve"> </w:t>
      </w:r>
      <w:r w:rsidRPr="00422813">
        <w:rPr>
          <w:rFonts w:ascii="Times New Roman" w:hAnsi="Times New Roman" w:cs="Times New Roman"/>
          <w:color w:val="FF0000"/>
        </w:rPr>
        <w:t xml:space="preserve">researchers know </w:t>
      </w:r>
      <w:r w:rsidRPr="004450A2">
        <w:rPr>
          <w:rFonts w:ascii="Times New Roman" w:hAnsi="Times New Roman" w:cs="Times New Roman"/>
        </w:rPr>
        <w:t xml:space="preserve">that they </w:t>
      </w:r>
      <w:r w:rsidRPr="00422813">
        <w:rPr>
          <w:rFonts w:ascii="Times New Roman" w:hAnsi="Times New Roman" w:cs="Times New Roman"/>
          <w:strike/>
          <w:color w:val="FF0000"/>
        </w:rPr>
        <w:t>will be contacted to schedule an interview at their house</w:t>
      </w:r>
      <w:r w:rsidR="00FC780F">
        <w:rPr>
          <w:rFonts w:ascii="Times New Roman" w:hAnsi="Times New Roman" w:cs="Times New Roman"/>
        </w:rPr>
        <w:t xml:space="preserve"> </w:t>
      </w:r>
      <w:r w:rsidRPr="00422813">
        <w:rPr>
          <w:rFonts w:ascii="Times New Roman" w:hAnsi="Times New Roman" w:cs="Times New Roman"/>
          <w:color w:val="FF0000"/>
        </w:rPr>
        <w:t>would like to participate</w:t>
      </w:r>
      <w:r w:rsidRPr="004450A2">
        <w:rPr>
          <w:rFonts w:ascii="Times New Roman" w:hAnsi="Times New Roman" w:cs="Times New Roman"/>
        </w:rPr>
        <w:t xml:space="preserve">. All sampled cases will be offered an additional $120 cash incentive for completing the interview and this incentive will be mentioned in all recruitment materials. This incentive is designed to demonstrate to participants that their time and participation is valued and takes into account that the sample is comprised of households that have already shown reluctance to participate in the survey (see below for additional discussion of the incentive amount). </w:t>
      </w:r>
      <w:r w:rsidRPr="00956149">
        <w:rPr>
          <w:rFonts w:ascii="Times New Roman" w:hAnsi="Times New Roman" w:cs="Times New Roman"/>
          <w:strike/>
          <w:color w:val="FF0000"/>
        </w:rPr>
        <w:t>Recruitment materials will be branded as coming from the National Center for Education Statistics (NCES).</w:t>
      </w:r>
    </w:p>
    <w:p w:rsidR="00C80716" w:rsidRDefault="00176B47" w:rsidP="007A12FB">
      <w:pPr>
        <w:pStyle w:val="NoSpacing"/>
        <w:widowControl w:val="0"/>
        <w:numPr>
          <w:ilvl w:val="0"/>
          <w:numId w:val="18"/>
        </w:numPr>
        <w:spacing w:after="120"/>
        <w:ind w:left="450" w:hanging="270"/>
        <w:rPr>
          <w:rFonts w:ascii="Times New Roman" w:hAnsi="Times New Roman" w:cs="Times New Roman"/>
          <w:color w:val="FF0000"/>
        </w:rPr>
      </w:pPr>
      <w:r w:rsidRPr="00956149">
        <w:rPr>
          <w:rFonts w:ascii="Times New Roman" w:hAnsi="Times New Roman" w:cs="Times New Roman"/>
          <w:color w:val="FF0000"/>
        </w:rPr>
        <w:t xml:space="preserve">Up to two reminder post cards will be sent to each sampled household that has not yet responded to the nonresponse follow-up study invitation. The first will be sent in the early part of the recruitment period, approximately one week after the invitation letter. A second will be sent to the remaining follow-up nonrespondents about halfway through the recruitment period. These postcards will invite sampled households to participate in the study, remind them about the contingent incentive, provide </w:t>
      </w:r>
      <w:r w:rsidR="007A12FB" w:rsidRPr="007A12FB">
        <w:rPr>
          <w:rFonts w:ascii="Times New Roman" w:hAnsi="Times New Roman" w:cs="Times New Roman"/>
          <w:color w:val="FF0000"/>
        </w:rPr>
        <w:t>them with NHES staff contact information for letting the researchers know that they would like to participate</w:t>
      </w:r>
      <w:r w:rsidRPr="00956149">
        <w:rPr>
          <w:rFonts w:ascii="Times New Roman" w:hAnsi="Times New Roman" w:cs="Times New Roman"/>
          <w:color w:val="FF0000"/>
        </w:rPr>
        <w:t>, and inform them that an interviewer will be visiting their home to try to schedule an interview.</w:t>
      </w:r>
    </w:p>
    <w:p w:rsidR="00176B47" w:rsidRPr="004450A2" w:rsidRDefault="00176B47" w:rsidP="004450A2">
      <w:pPr>
        <w:pStyle w:val="NoSpacing"/>
        <w:widowControl w:val="0"/>
        <w:numPr>
          <w:ilvl w:val="0"/>
          <w:numId w:val="18"/>
        </w:numPr>
        <w:spacing w:after="120"/>
        <w:ind w:left="450" w:hanging="270"/>
        <w:rPr>
          <w:rFonts w:ascii="Times New Roman" w:hAnsi="Times New Roman" w:cs="Times New Roman"/>
        </w:rPr>
      </w:pPr>
      <w:r w:rsidRPr="004450A2">
        <w:rPr>
          <w:rFonts w:ascii="Times New Roman" w:hAnsi="Times New Roman" w:cs="Times New Roman"/>
        </w:rPr>
        <w:t>Recruitment phone calls will occur in two windows for sampled households that have phone numbers available on the sampling frame</w:t>
      </w:r>
      <w:r w:rsidRPr="00956149">
        <w:rPr>
          <w:rFonts w:ascii="Times New Roman" w:hAnsi="Times New Roman" w:cs="Times New Roman"/>
          <w:strike/>
          <w:color w:val="FF0000"/>
        </w:rPr>
        <w:t>. One window will occur at</w:t>
      </w:r>
      <w:r w:rsidR="00B42931">
        <w:rPr>
          <w:rFonts w:ascii="Times New Roman" w:hAnsi="Times New Roman" w:cs="Times New Roman"/>
        </w:rPr>
        <w:t xml:space="preserve"> </w:t>
      </w:r>
      <w:r w:rsidRPr="00956149">
        <w:rPr>
          <w:rFonts w:ascii="Times New Roman" w:hAnsi="Times New Roman" w:cs="Times New Roman"/>
          <w:color w:val="FF0000"/>
        </w:rPr>
        <w:t>and have not yet responded to</w:t>
      </w:r>
      <w:r w:rsidRPr="004450A2">
        <w:rPr>
          <w:rFonts w:ascii="Times New Roman" w:hAnsi="Times New Roman" w:cs="Times New Roman"/>
        </w:rPr>
        <w:t xml:space="preserve"> the </w:t>
      </w:r>
      <w:r w:rsidRPr="00956149">
        <w:rPr>
          <w:rFonts w:ascii="Times New Roman" w:hAnsi="Times New Roman" w:cs="Times New Roman"/>
          <w:strike/>
          <w:color w:val="FF0000"/>
        </w:rPr>
        <w:t>start of</w:t>
      </w:r>
      <w:r w:rsidR="00FC780F">
        <w:rPr>
          <w:rFonts w:ascii="Times New Roman" w:hAnsi="Times New Roman" w:cs="Times New Roman"/>
        </w:rPr>
        <w:t xml:space="preserve"> </w:t>
      </w:r>
      <w:r w:rsidRPr="00956149">
        <w:rPr>
          <w:rFonts w:ascii="Times New Roman" w:hAnsi="Times New Roman" w:cs="Times New Roman"/>
          <w:color w:val="FF0000"/>
        </w:rPr>
        <w:t>nonresponse follow-up study contacts. The first will be early in</w:t>
      </w:r>
      <w:r w:rsidRPr="004450A2">
        <w:rPr>
          <w:rFonts w:ascii="Times New Roman" w:hAnsi="Times New Roman" w:cs="Times New Roman"/>
        </w:rPr>
        <w:t xml:space="preserve"> the recruitment period </w:t>
      </w:r>
      <w:r w:rsidRPr="00956149">
        <w:rPr>
          <w:rFonts w:ascii="Times New Roman" w:hAnsi="Times New Roman" w:cs="Times New Roman"/>
          <w:color w:val="FF0000"/>
        </w:rPr>
        <w:t xml:space="preserve">(shortly after the first reminder postcard) </w:t>
      </w:r>
      <w:r w:rsidRPr="004450A2">
        <w:rPr>
          <w:rFonts w:ascii="Times New Roman" w:hAnsi="Times New Roman" w:cs="Times New Roman"/>
        </w:rPr>
        <w:t xml:space="preserve">and the other </w:t>
      </w:r>
      <w:r w:rsidRPr="00956149">
        <w:rPr>
          <w:rFonts w:ascii="Times New Roman" w:hAnsi="Times New Roman" w:cs="Times New Roman"/>
          <w:color w:val="FF0000"/>
        </w:rPr>
        <w:t xml:space="preserve">will be about </w:t>
      </w:r>
      <w:r w:rsidRPr="004450A2">
        <w:rPr>
          <w:rFonts w:ascii="Times New Roman" w:hAnsi="Times New Roman" w:cs="Times New Roman"/>
        </w:rPr>
        <w:t xml:space="preserve">halfway through the recruitment period. During each window, each household will be called </w:t>
      </w:r>
      <w:r w:rsidRPr="00956149">
        <w:rPr>
          <w:rFonts w:ascii="Times New Roman" w:hAnsi="Times New Roman" w:cs="Times New Roman"/>
          <w:strike/>
          <w:color w:val="FF0000"/>
        </w:rPr>
        <w:t>twice</w:t>
      </w:r>
      <w:r w:rsidR="00FC780F">
        <w:rPr>
          <w:rFonts w:ascii="Times New Roman" w:hAnsi="Times New Roman" w:cs="Times New Roman"/>
        </w:rPr>
        <w:t xml:space="preserve"> </w:t>
      </w:r>
      <w:r w:rsidRPr="00956149">
        <w:rPr>
          <w:rFonts w:ascii="Times New Roman" w:hAnsi="Times New Roman" w:cs="Times New Roman"/>
          <w:color w:val="FF0000"/>
        </w:rPr>
        <w:t>up to two times</w:t>
      </w:r>
      <w:r w:rsidRPr="004450A2">
        <w:rPr>
          <w:rFonts w:ascii="Times New Roman" w:hAnsi="Times New Roman" w:cs="Times New Roman"/>
        </w:rPr>
        <w:t>. One voicemail will be left per calling window if the household does not answer the phone.</w:t>
      </w:r>
    </w:p>
    <w:p w:rsidR="00176B47" w:rsidRPr="004450A2" w:rsidRDefault="00176B47" w:rsidP="004450A2">
      <w:pPr>
        <w:pStyle w:val="NoSpacing"/>
        <w:widowControl w:val="0"/>
        <w:numPr>
          <w:ilvl w:val="0"/>
          <w:numId w:val="18"/>
        </w:numPr>
        <w:spacing w:after="120"/>
        <w:ind w:left="450" w:hanging="270"/>
        <w:rPr>
          <w:rFonts w:ascii="Times New Roman" w:hAnsi="Times New Roman" w:cs="Times New Roman"/>
        </w:rPr>
      </w:pPr>
      <w:bookmarkStart w:id="65" w:name="_Hlk525749797"/>
      <w:r w:rsidRPr="004450A2">
        <w:rPr>
          <w:rFonts w:ascii="Times New Roman" w:hAnsi="Times New Roman" w:cs="Times New Roman"/>
        </w:rPr>
        <w:t xml:space="preserve">An in-person recruitment period </w:t>
      </w:r>
      <w:r w:rsidRPr="00956149">
        <w:rPr>
          <w:rFonts w:ascii="Times New Roman" w:hAnsi="Times New Roman" w:cs="Times New Roman"/>
          <w:color w:val="FF0000"/>
        </w:rPr>
        <w:t xml:space="preserve">will also take place, </w:t>
      </w:r>
      <w:r w:rsidRPr="004450A2">
        <w:rPr>
          <w:rFonts w:ascii="Times New Roman" w:hAnsi="Times New Roman" w:cs="Times New Roman"/>
        </w:rPr>
        <w:t xml:space="preserve">where all households that have neither agreed nor declined to participate </w:t>
      </w:r>
      <w:r w:rsidRPr="00956149">
        <w:rPr>
          <w:rFonts w:ascii="Times New Roman" w:hAnsi="Times New Roman" w:cs="Times New Roman"/>
          <w:strike/>
          <w:color w:val="FF0000"/>
        </w:rPr>
        <w:t xml:space="preserve">over the phone (or do not have a phone number available) </w:t>
      </w:r>
      <w:r w:rsidRPr="004450A2">
        <w:rPr>
          <w:rFonts w:ascii="Times New Roman" w:hAnsi="Times New Roman" w:cs="Times New Roman"/>
        </w:rPr>
        <w:t xml:space="preserve">will be visited by </w:t>
      </w:r>
      <w:r w:rsidRPr="00956149">
        <w:rPr>
          <w:rFonts w:ascii="Times New Roman" w:hAnsi="Times New Roman" w:cs="Times New Roman"/>
          <w:strike/>
          <w:color w:val="FF0000"/>
        </w:rPr>
        <w:t>a recruiter. Recruiters</w:t>
      </w:r>
      <w:r w:rsidR="00FC780F">
        <w:rPr>
          <w:rFonts w:ascii="Times New Roman" w:hAnsi="Times New Roman" w:cs="Times New Roman"/>
        </w:rPr>
        <w:t xml:space="preserve"> </w:t>
      </w:r>
      <w:r w:rsidRPr="00956149">
        <w:rPr>
          <w:rFonts w:ascii="Times New Roman" w:hAnsi="Times New Roman" w:cs="Times New Roman"/>
          <w:color w:val="FF0000"/>
        </w:rPr>
        <w:t xml:space="preserve">an interviewer. </w:t>
      </w:r>
      <w:bookmarkEnd w:id="65"/>
      <w:r w:rsidRPr="00956149">
        <w:rPr>
          <w:rFonts w:ascii="Times New Roman" w:hAnsi="Times New Roman" w:cs="Times New Roman"/>
          <w:color w:val="FF0000"/>
        </w:rPr>
        <w:t>Interviewers</w:t>
      </w:r>
      <w:r w:rsidRPr="004450A2">
        <w:rPr>
          <w:rFonts w:ascii="Times New Roman" w:hAnsi="Times New Roman" w:cs="Times New Roman"/>
        </w:rPr>
        <w:t xml:space="preserve"> will have an identification badge</w:t>
      </w:r>
      <w:r w:rsidR="00714F3D">
        <w:rPr>
          <w:rFonts w:ascii="Times New Roman" w:hAnsi="Times New Roman" w:cs="Times New Roman"/>
          <w:color w:val="FF0000"/>
        </w:rPr>
        <w:t>, which</w:t>
      </w:r>
      <w:r w:rsidRPr="004450A2">
        <w:rPr>
          <w:rFonts w:ascii="Times New Roman" w:hAnsi="Times New Roman" w:cs="Times New Roman"/>
        </w:rPr>
        <w:t xml:space="preserve"> they will show to each household along with study forms to indicate that they are part of the study.</w:t>
      </w:r>
    </w:p>
    <w:p w:rsidR="00C80716" w:rsidRDefault="00176B47" w:rsidP="004450A2">
      <w:pPr>
        <w:pStyle w:val="NoSpacing"/>
        <w:widowControl w:val="0"/>
        <w:spacing w:after="120"/>
        <w:rPr>
          <w:rFonts w:ascii="Times New Roman" w:hAnsi="Times New Roman" w:cs="Times New Roman"/>
          <w:color w:val="FF0000"/>
        </w:rPr>
      </w:pPr>
      <w:r w:rsidRPr="004450A2">
        <w:rPr>
          <w:rFonts w:ascii="Times New Roman" w:hAnsi="Times New Roman" w:cs="Times New Roman"/>
        </w:rPr>
        <w:t xml:space="preserve">The phone and in-person </w:t>
      </w:r>
      <w:r w:rsidRPr="00956149">
        <w:rPr>
          <w:rFonts w:ascii="Times New Roman" w:hAnsi="Times New Roman" w:cs="Times New Roman"/>
          <w:strike/>
          <w:color w:val="FF0000"/>
        </w:rPr>
        <w:t>recruiters</w:t>
      </w:r>
      <w:r w:rsidR="00FC780F">
        <w:rPr>
          <w:rFonts w:ascii="Times New Roman" w:hAnsi="Times New Roman" w:cs="Times New Roman"/>
        </w:rPr>
        <w:t xml:space="preserve"> </w:t>
      </w:r>
      <w:r w:rsidRPr="00956149">
        <w:rPr>
          <w:rFonts w:ascii="Times New Roman" w:hAnsi="Times New Roman" w:cs="Times New Roman"/>
          <w:color w:val="FF0000"/>
        </w:rPr>
        <w:t>recruitment</w:t>
      </w:r>
      <w:r w:rsidRPr="004450A2">
        <w:rPr>
          <w:rFonts w:ascii="Times New Roman" w:hAnsi="Times New Roman" w:cs="Times New Roman"/>
        </w:rPr>
        <w:t xml:space="preserve"> will encourage the household to participate in the in-person interview</w:t>
      </w:r>
      <w:r w:rsidRPr="00956149">
        <w:rPr>
          <w:rFonts w:ascii="Times New Roman" w:hAnsi="Times New Roman" w:cs="Times New Roman"/>
          <w:color w:val="FF0000"/>
        </w:rPr>
        <w:t>, screen for eligibility (</w:t>
      </w:r>
      <w:r w:rsidR="005D7B99">
        <w:rPr>
          <w:rFonts w:ascii="Times New Roman" w:hAnsi="Times New Roman" w:cs="Times New Roman"/>
          <w:color w:val="FF0000"/>
        </w:rPr>
        <w:t>e.g.</w:t>
      </w:r>
      <w:r w:rsidRPr="00956149">
        <w:rPr>
          <w:rFonts w:ascii="Times New Roman" w:hAnsi="Times New Roman" w:cs="Times New Roman"/>
          <w:color w:val="FF0000"/>
        </w:rPr>
        <w:t>, the participant needs to have been living at the address when the NHES:2019 materials were sent),</w:t>
      </w:r>
      <w:r w:rsidRPr="004450A2">
        <w:rPr>
          <w:rFonts w:ascii="Times New Roman" w:hAnsi="Times New Roman" w:cs="Times New Roman"/>
        </w:rPr>
        <w:t xml:space="preserve"> and set up a time </w:t>
      </w:r>
      <w:r w:rsidRPr="00D127A3">
        <w:rPr>
          <w:rFonts w:ascii="Times New Roman" w:hAnsi="Times New Roman" w:cs="Times New Roman"/>
          <w:strike/>
          <w:color w:val="FF0000"/>
        </w:rPr>
        <w:t>for a trained qualitative</w:t>
      </w:r>
      <w:r w:rsidR="00B42931">
        <w:rPr>
          <w:rFonts w:ascii="Times New Roman" w:hAnsi="Times New Roman" w:cs="Times New Roman"/>
          <w:strike/>
          <w:color w:val="FF0000"/>
        </w:rPr>
        <w:t xml:space="preserve"> </w:t>
      </w:r>
      <w:r w:rsidRPr="00D127A3">
        <w:rPr>
          <w:rFonts w:ascii="Times New Roman" w:hAnsi="Times New Roman" w:cs="Times New Roman"/>
          <w:color w:val="FF0000"/>
        </w:rPr>
        <w:t xml:space="preserve">to do the interview. The </w:t>
      </w:r>
      <w:r w:rsidRPr="004450A2">
        <w:rPr>
          <w:rFonts w:ascii="Times New Roman" w:hAnsi="Times New Roman" w:cs="Times New Roman"/>
        </w:rPr>
        <w:t xml:space="preserve">interviewer </w:t>
      </w:r>
      <w:r w:rsidRPr="00D127A3">
        <w:rPr>
          <w:rFonts w:ascii="Times New Roman" w:hAnsi="Times New Roman" w:cs="Times New Roman"/>
          <w:strike/>
          <w:color w:val="FF0000"/>
        </w:rPr>
        <w:t>to do so. The recruiter</w:t>
      </w:r>
      <w:r w:rsidRPr="004450A2">
        <w:rPr>
          <w:rFonts w:ascii="Times New Roman" w:hAnsi="Times New Roman" w:cs="Times New Roman"/>
        </w:rPr>
        <w:t xml:space="preserve"> will attempt to speak with </w:t>
      </w:r>
      <w:r w:rsidRPr="00D127A3">
        <w:rPr>
          <w:rFonts w:ascii="Times New Roman" w:hAnsi="Times New Roman" w:cs="Times New Roman"/>
          <w:strike/>
          <w:color w:val="FF0000"/>
        </w:rPr>
        <w:t>the</w:t>
      </w:r>
      <w:r w:rsidR="00FC780F">
        <w:rPr>
          <w:rFonts w:ascii="Times New Roman" w:hAnsi="Times New Roman" w:cs="Times New Roman"/>
        </w:rPr>
        <w:t xml:space="preserve"> </w:t>
      </w:r>
      <w:r w:rsidRPr="00D127A3">
        <w:rPr>
          <w:rFonts w:ascii="Times New Roman" w:hAnsi="Times New Roman" w:cs="Times New Roman"/>
          <w:color w:val="FF0000"/>
        </w:rPr>
        <w:t>an</w:t>
      </w:r>
      <w:r w:rsidRPr="004450A2">
        <w:rPr>
          <w:rFonts w:ascii="Times New Roman" w:hAnsi="Times New Roman" w:cs="Times New Roman"/>
        </w:rPr>
        <w:t xml:space="preserve"> adult living at this address who usually opens the mail. Should that person not be available, </w:t>
      </w:r>
      <w:r w:rsidRPr="00D127A3">
        <w:rPr>
          <w:rFonts w:ascii="Times New Roman" w:hAnsi="Times New Roman" w:cs="Times New Roman"/>
          <w:strike/>
          <w:color w:val="FF0000"/>
        </w:rPr>
        <w:t>they</w:t>
      </w:r>
      <w:r w:rsidR="00FC780F">
        <w:rPr>
          <w:rFonts w:ascii="Times New Roman" w:hAnsi="Times New Roman" w:cs="Times New Roman"/>
        </w:rPr>
        <w:t xml:space="preserve"> </w:t>
      </w:r>
      <w:r w:rsidRPr="00956149">
        <w:rPr>
          <w:rFonts w:ascii="Times New Roman" w:hAnsi="Times New Roman" w:cs="Times New Roman"/>
          <w:color w:val="FF0000"/>
        </w:rPr>
        <w:t>the interviewer</w:t>
      </w:r>
      <w:r w:rsidRPr="004450A2">
        <w:rPr>
          <w:rFonts w:ascii="Times New Roman" w:hAnsi="Times New Roman" w:cs="Times New Roman"/>
        </w:rPr>
        <w:t xml:space="preserve"> will attempt to speak to another available adult living in the household.</w:t>
      </w:r>
      <w:r w:rsidRPr="00956149">
        <w:rPr>
          <w:rFonts w:ascii="Times New Roman" w:hAnsi="Times New Roman" w:cs="Times New Roman"/>
          <w:color w:val="FF0000"/>
        </w:rPr>
        <w:t xml:space="preserve"> If, when the interviewer arrives, no one answers the door, the interviewer will leave a “Sorry We Missed You” card at the address. The card will indicate that someone stopped by and will return at a later day and time. It will also contain a phone number and e-mail address the sample member can contact to learn more about the study and/or schedule and interview.</w:t>
      </w:r>
    </w:p>
    <w:p w:rsidR="00C80716" w:rsidRDefault="00176B47" w:rsidP="004450A2">
      <w:pPr>
        <w:pStyle w:val="NoSpacing"/>
        <w:widowControl w:val="0"/>
        <w:spacing w:after="120"/>
        <w:rPr>
          <w:rFonts w:ascii="Times New Roman" w:hAnsi="Times New Roman" w:cs="Times New Roman"/>
          <w:color w:val="FF0000"/>
        </w:rPr>
      </w:pPr>
      <w:r w:rsidRPr="00956149">
        <w:rPr>
          <w:rFonts w:ascii="Times New Roman" w:hAnsi="Times New Roman" w:cs="Times New Roman"/>
          <w:color w:val="FF0000"/>
        </w:rPr>
        <w:t xml:space="preserve">All materials will be branded as coming from the National Center for Education Statistics (NCES). For sampled addresses that are expected to have a high likelihood of being Spanish speaking, the mailed recruitment materials will include both English and Spanish; bilingual phone and in-person staff will be </w:t>
      </w:r>
      <w:r w:rsidR="008D4890" w:rsidRPr="008D4890">
        <w:rPr>
          <w:rFonts w:ascii="Times New Roman" w:hAnsi="Times New Roman" w:cs="Times New Roman"/>
          <w:color w:val="FF0000"/>
        </w:rPr>
        <w:t>assigned to these cases</w:t>
      </w:r>
      <w:r w:rsidRPr="00956149">
        <w:rPr>
          <w:rFonts w:ascii="Times New Roman" w:hAnsi="Times New Roman" w:cs="Times New Roman"/>
          <w:color w:val="FF0000"/>
        </w:rPr>
        <w:t>.</w:t>
      </w:r>
    </w:p>
    <w:p w:rsidR="00C80716" w:rsidRDefault="00176B47" w:rsidP="004450A2">
      <w:pPr>
        <w:pStyle w:val="NoSpacing"/>
        <w:widowControl w:val="0"/>
        <w:spacing w:after="120"/>
        <w:rPr>
          <w:rFonts w:ascii="Times New Roman" w:hAnsi="Times New Roman" w:cs="Times New Roman"/>
          <w:color w:val="FF0000"/>
        </w:rPr>
      </w:pPr>
      <w:r w:rsidRPr="004450A2">
        <w:rPr>
          <w:rFonts w:ascii="Times New Roman" w:hAnsi="Times New Roman" w:cs="Times New Roman"/>
        </w:rPr>
        <w:t xml:space="preserve">To maintain engagement and increase the likelihood that recruited households keep their scheduled appointments, the </w:t>
      </w:r>
      <w:r w:rsidRPr="00956149">
        <w:rPr>
          <w:rFonts w:ascii="Times New Roman" w:hAnsi="Times New Roman" w:cs="Times New Roman"/>
          <w:strike/>
          <w:color w:val="FF0000"/>
        </w:rPr>
        <w:t>recruiters</w:t>
      </w:r>
      <w:r w:rsidR="0057133A">
        <w:rPr>
          <w:rFonts w:ascii="Times New Roman" w:hAnsi="Times New Roman" w:cs="Times New Roman"/>
        </w:rPr>
        <w:t xml:space="preserve"> </w:t>
      </w:r>
      <w:r w:rsidRPr="00956149">
        <w:rPr>
          <w:rFonts w:ascii="Times New Roman" w:hAnsi="Times New Roman" w:cs="Times New Roman"/>
          <w:color w:val="FF0000"/>
        </w:rPr>
        <w:t>interviewers</w:t>
      </w:r>
      <w:r w:rsidRPr="004450A2">
        <w:rPr>
          <w:rFonts w:ascii="Times New Roman" w:hAnsi="Times New Roman" w:cs="Times New Roman"/>
        </w:rPr>
        <w:t xml:space="preserve"> also will ask recruited households to provide contact information that can be used to keep them engaged and aware of their upcoming interview appointment. Depending on the type of contact information provided, recruited households will receive: (1) a confirmation email or text shortly after scheduling the appointment</w:t>
      </w:r>
      <w:r w:rsidRPr="00956149">
        <w:rPr>
          <w:rFonts w:ascii="Times New Roman" w:hAnsi="Times New Roman" w:cs="Times New Roman"/>
          <w:strike/>
          <w:color w:val="FF0000"/>
        </w:rPr>
        <w:t>, and (2) a reminder email or text and a reminder phone call in the days leading up to the interview. The interviewer will then call the participant the morning of the interview to confirm he or she is still available to meet. If when the interviewer arrives, no one answers the door, the interviewer will leave a “Sorry I Missed You” card at the household. The card will indicate that he or she stopped by and will return at a later day and time. It also will contain a number the sample member can call to learn more about the study and/or schedule an interview. All interviewers will have an identification badge they will show to the household to indicate they are part of the study.</w:t>
      </w:r>
      <w:r w:rsidRPr="00956149">
        <w:rPr>
          <w:rStyle w:val="FootnoteReference"/>
          <w:rFonts w:ascii="Times New Roman" w:hAnsi="Times New Roman"/>
          <w:strike/>
          <w:color w:val="FF0000"/>
        </w:rPr>
        <w:footnoteReference w:id="12"/>
      </w:r>
      <w:r w:rsidRPr="00956149">
        <w:rPr>
          <w:rFonts w:ascii="Times New Roman" w:hAnsi="Times New Roman" w:cs="Times New Roman"/>
          <w:strike/>
          <w:color w:val="FF0000"/>
        </w:rPr>
        <w:t xml:space="preserve"> </w:t>
      </w:r>
      <w:bookmarkStart w:id="67" w:name="_Hlk512947489"/>
      <w:r w:rsidRPr="00956149">
        <w:rPr>
          <w:rFonts w:ascii="Times New Roman" w:hAnsi="Times New Roman" w:cs="Times New Roman"/>
          <w:strike/>
          <w:color w:val="FF0000"/>
        </w:rPr>
        <w:t xml:space="preserve">Interviews will be carried out by trained qualitative interviewers who will be further trained for this specific study before data collection begins. Some interviewers will be Spanish bilingual speakers so that they can conduct interviews in Spanish if needed. </w:t>
      </w:r>
      <w:bookmarkEnd w:id="67"/>
      <w:r w:rsidRPr="00956149">
        <w:rPr>
          <w:rFonts w:ascii="Times New Roman" w:hAnsi="Times New Roman" w:cs="Times New Roman"/>
          <w:strike/>
          <w:color w:val="FF0000"/>
        </w:rPr>
        <w:t>All materials will be branded as coming from the National Center of Education Statistics (NCES).</w:t>
      </w:r>
      <w:r w:rsidR="00B42931">
        <w:rPr>
          <w:rFonts w:ascii="Times New Roman" w:hAnsi="Times New Roman" w:cs="Times New Roman"/>
        </w:rPr>
        <w:t xml:space="preserve"> </w:t>
      </w:r>
      <w:r w:rsidRPr="00956149">
        <w:rPr>
          <w:rFonts w:ascii="Times New Roman" w:hAnsi="Times New Roman" w:cs="Times New Roman"/>
          <w:color w:val="FF0000"/>
        </w:rPr>
        <w:t xml:space="preserve">(or an appointment reminder card if they are recruited in-person), and (2) a reminder email </w:t>
      </w:r>
      <w:r w:rsidR="00F71270">
        <w:rPr>
          <w:rFonts w:ascii="Times New Roman" w:hAnsi="Times New Roman" w:cs="Times New Roman"/>
          <w:color w:val="FF0000"/>
        </w:rPr>
        <w:t xml:space="preserve">and/or </w:t>
      </w:r>
      <w:r w:rsidRPr="00956149">
        <w:rPr>
          <w:rFonts w:ascii="Times New Roman" w:hAnsi="Times New Roman" w:cs="Times New Roman"/>
          <w:color w:val="FF0000"/>
        </w:rPr>
        <w:t>phone call the day before</w:t>
      </w:r>
      <w:r w:rsidR="00F71270">
        <w:rPr>
          <w:rFonts w:ascii="Times New Roman" w:hAnsi="Times New Roman" w:cs="Times New Roman"/>
          <w:color w:val="FF0000"/>
        </w:rPr>
        <w:t xml:space="preserve"> the interview.</w:t>
      </w:r>
    </w:p>
    <w:p w:rsidR="00176B47" w:rsidRPr="00956149" w:rsidRDefault="00176B47" w:rsidP="004450A2">
      <w:pPr>
        <w:pStyle w:val="NoSpacing"/>
        <w:widowControl w:val="0"/>
        <w:spacing w:after="120"/>
        <w:rPr>
          <w:rFonts w:ascii="Times New Roman" w:hAnsi="Times New Roman" w:cs="Times New Roman"/>
          <w:strike/>
          <w:color w:val="FF0000"/>
        </w:rPr>
      </w:pPr>
      <w:r w:rsidRPr="00956149">
        <w:rPr>
          <w:rFonts w:ascii="Times New Roman" w:hAnsi="Times New Roman" w:cs="Times New Roman"/>
          <w:strike/>
          <w:color w:val="FF0000"/>
        </w:rPr>
        <w:t>The participant will receive a consent form to read and sign before the interview starts, and will be able to keep a copy of the form for their records. The details of obtaining consent and the consent forms will be submitted for OMB’s review with a 30-day public comment period in fall 2018.</w:t>
      </w:r>
    </w:p>
    <w:p w:rsidR="00611120" w:rsidRPr="004450A2" w:rsidRDefault="00611120" w:rsidP="004450A2">
      <w:pPr>
        <w:spacing w:after="120" w:line="240" w:lineRule="auto"/>
        <w:rPr>
          <w:rFonts w:ascii="Times New Roman" w:hAnsi="Times New Roman"/>
        </w:rPr>
      </w:pPr>
      <w:r w:rsidRPr="004450A2">
        <w:rPr>
          <w:rFonts w:ascii="Times New Roman" w:hAnsi="Times New Roman"/>
        </w:rPr>
        <w:t>(pp.</w:t>
      </w:r>
      <w:r w:rsidR="001E4379">
        <w:rPr>
          <w:rFonts w:ascii="Times New Roman" w:hAnsi="Times New Roman"/>
        </w:rPr>
        <w:t>7</w:t>
      </w:r>
      <w:r w:rsidRPr="004450A2">
        <w:rPr>
          <w:rFonts w:ascii="Times New Roman" w:hAnsi="Times New Roman"/>
        </w:rPr>
        <w:t>-</w:t>
      </w:r>
      <w:r w:rsidR="00563519">
        <w:rPr>
          <w:rFonts w:ascii="Times New Roman" w:hAnsi="Times New Roman"/>
        </w:rPr>
        <w:t>8</w:t>
      </w:r>
      <w:r w:rsidRPr="004450A2">
        <w:rPr>
          <w:rFonts w:ascii="Times New Roman" w:hAnsi="Times New Roman"/>
        </w:rPr>
        <w:t>)</w:t>
      </w:r>
    </w:p>
    <w:p w:rsidR="00176B47" w:rsidRPr="004450A2" w:rsidRDefault="00176B47" w:rsidP="004450A2">
      <w:pPr>
        <w:pStyle w:val="Heading4"/>
        <w:keepNext w:val="0"/>
        <w:keepLines w:val="0"/>
        <w:widowControl w:val="0"/>
        <w:spacing w:before="0" w:after="120" w:line="240" w:lineRule="auto"/>
      </w:pPr>
      <w:r w:rsidRPr="004450A2">
        <w:t>2.1.2 Qualitative interview protocol</w:t>
      </w:r>
    </w:p>
    <w:p w:rsidR="00176B47" w:rsidRPr="004450A2" w:rsidRDefault="00176B47" w:rsidP="004450A2">
      <w:pPr>
        <w:widowControl w:val="0"/>
        <w:spacing w:after="120" w:line="240" w:lineRule="auto"/>
        <w:rPr>
          <w:rFonts w:ascii="Times New Roman" w:hAnsi="Times New Roman"/>
        </w:rPr>
      </w:pPr>
      <w:r w:rsidRPr="004450A2">
        <w:rPr>
          <w:rFonts w:ascii="Times New Roman" w:hAnsi="Times New Roman"/>
        </w:rPr>
        <w:t>Qualitative interviews will be voluntary and will last 90 minutes to allow time to obtain consent, give participants sufficient time to reflect on the more open-ended questions included in this protocol, and conduct observations. Because this is exploratory research (trying to find out why something is happening as opposed to testing a hypothesis) maximizing contact time with the participants and giving them enough space to discuss their experience is crucial. Interviews will be conducted in both English and Spanish. All interviews will be audio-recorded with participants’ permission</w:t>
      </w:r>
      <w:r w:rsidRPr="007F0E13">
        <w:rPr>
          <w:rStyle w:val="FootnoteReference"/>
          <w:rFonts w:ascii="Times New Roman" w:hAnsi="Times New Roman"/>
          <w:strike/>
          <w:color w:val="FF0000"/>
        </w:rPr>
        <w:footnoteReference w:id="13"/>
      </w:r>
      <w:r w:rsidRPr="004450A2">
        <w:rPr>
          <w:rFonts w:ascii="Times New Roman" w:hAnsi="Times New Roman"/>
        </w:rPr>
        <w:t>. They will consist of the following kinds of questions:</w:t>
      </w:r>
    </w:p>
    <w:p w:rsidR="00176B47" w:rsidRPr="004450A2" w:rsidRDefault="00176B47" w:rsidP="004450A2">
      <w:pPr>
        <w:pStyle w:val="NoSpacing"/>
        <w:widowControl w:val="0"/>
        <w:numPr>
          <w:ilvl w:val="0"/>
          <w:numId w:val="18"/>
        </w:numPr>
        <w:spacing w:after="120"/>
        <w:ind w:left="540" w:hanging="270"/>
        <w:rPr>
          <w:rFonts w:ascii="Times New Roman" w:hAnsi="Times New Roman" w:cs="Times New Roman"/>
        </w:rPr>
      </w:pPr>
      <w:r w:rsidRPr="004450A2">
        <w:rPr>
          <w:rFonts w:ascii="Times New Roman" w:hAnsi="Times New Roman" w:cs="Times New Roman"/>
        </w:rPr>
        <w:t>Qualitative interview questions that aim to gain a deep understanding of the household’s reasons for nonresponse and what might convince them to respond</w:t>
      </w:r>
      <w:r w:rsidRPr="007F0E13">
        <w:rPr>
          <w:rFonts w:ascii="Times New Roman" w:hAnsi="Times New Roman" w:cs="Times New Roman"/>
          <w:color w:val="FF0000"/>
        </w:rPr>
        <w:t xml:space="preserve"> (covering domains such as understanding of surveys, privacy concerns, attitudes toward the government, attitudes toward education, time use, and civic engagement);</w:t>
      </w:r>
    </w:p>
    <w:p w:rsidR="00176B47" w:rsidRPr="004450A2" w:rsidRDefault="00176B47" w:rsidP="004450A2">
      <w:pPr>
        <w:pStyle w:val="NoSpacing"/>
        <w:widowControl w:val="0"/>
        <w:numPr>
          <w:ilvl w:val="0"/>
          <w:numId w:val="18"/>
        </w:numPr>
        <w:spacing w:after="120"/>
        <w:ind w:left="540" w:hanging="270"/>
        <w:rPr>
          <w:rFonts w:ascii="Times New Roman" w:hAnsi="Times New Roman" w:cs="Times New Roman"/>
        </w:rPr>
      </w:pPr>
      <w:r w:rsidRPr="00956149">
        <w:rPr>
          <w:rFonts w:ascii="Times New Roman" w:hAnsi="Times New Roman" w:cs="Times New Roman"/>
          <w:strike/>
          <w:color w:val="FF0000"/>
        </w:rPr>
        <w:t>Questions adapted from the</w:t>
      </w:r>
      <w:r w:rsidR="00F67571">
        <w:rPr>
          <w:rFonts w:ascii="Times New Roman" w:hAnsi="Times New Roman" w:cs="Times New Roman"/>
        </w:rPr>
        <w:t xml:space="preserve"> </w:t>
      </w:r>
      <w:r w:rsidRPr="00956149">
        <w:rPr>
          <w:rFonts w:ascii="Times New Roman" w:hAnsi="Times New Roman" w:cs="Times New Roman"/>
          <w:color w:val="FF0000"/>
        </w:rPr>
        <w:t>More</w:t>
      </w:r>
      <w:r w:rsidRPr="004450A2">
        <w:rPr>
          <w:rFonts w:ascii="Times New Roman" w:hAnsi="Times New Roman" w:cs="Times New Roman"/>
        </w:rPr>
        <w:t xml:space="preserve"> structured </w:t>
      </w:r>
      <w:r w:rsidRPr="00956149">
        <w:rPr>
          <w:rFonts w:ascii="Times New Roman" w:hAnsi="Times New Roman" w:cs="Times New Roman"/>
          <w:strike/>
          <w:color w:val="FF0000"/>
        </w:rPr>
        <w:t>interviews for the qualitative interview protocol</w:t>
      </w:r>
      <w:r w:rsidR="00F67571">
        <w:rPr>
          <w:rFonts w:ascii="Times New Roman" w:hAnsi="Times New Roman" w:cs="Times New Roman"/>
        </w:rPr>
        <w:t xml:space="preserve"> </w:t>
      </w:r>
      <w:r w:rsidRPr="00956149">
        <w:rPr>
          <w:rFonts w:ascii="Times New Roman" w:hAnsi="Times New Roman" w:cs="Times New Roman"/>
          <w:color w:val="FF0000"/>
        </w:rPr>
        <w:t>questions</w:t>
      </w:r>
      <w:r w:rsidRPr="004450A2">
        <w:rPr>
          <w:rFonts w:ascii="Times New Roman" w:hAnsi="Times New Roman" w:cs="Times New Roman"/>
        </w:rPr>
        <w:t xml:space="preserve">, such as </w:t>
      </w:r>
      <w:r w:rsidRPr="00956149">
        <w:rPr>
          <w:rFonts w:ascii="Times New Roman" w:hAnsi="Times New Roman" w:cs="Times New Roman"/>
          <w:strike/>
          <w:color w:val="FF0000"/>
        </w:rPr>
        <w:t>conducting a household roster by</w:t>
      </w:r>
      <w:r w:rsidRPr="004450A2">
        <w:rPr>
          <w:rFonts w:ascii="Times New Roman" w:hAnsi="Times New Roman" w:cs="Times New Roman"/>
        </w:rPr>
        <w:t xml:space="preserve"> asking about the </w:t>
      </w:r>
      <w:r w:rsidRPr="00956149">
        <w:rPr>
          <w:rFonts w:ascii="Times New Roman" w:hAnsi="Times New Roman" w:cs="Times New Roman"/>
          <w:strike/>
          <w:color w:val="FF0000"/>
        </w:rPr>
        <w:t>other members of the households</w:t>
      </w:r>
      <w:r w:rsidR="00F67571">
        <w:rPr>
          <w:rFonts w:ascii="Times New Roman" w:hAnsi="Times New Roman" w:cs="Times New Roman"/>
        </w:rPr>
        <w:t xml:space="preserve"> </w:t>
      </w:r>
      <w:r w:rsidRPr="00956149">
        <w:rPr>
          <w:rFonts w:ascii="Times New Roman" w:hAnsi="Times New Roman" w:cs="Times New Roman"/>
          <w:color w:val="FF0000"/>
        </w:rPr>
        <w:t>participant’s demographic characteristics,</w:t>
      </w:r>
      <w:r w:rsidRPr="004450A2">
        <w:rPr>
          <w:rFonts w:ascii="Times New Roman" w:hAnsi="Times New Roman" w:cs="Times New Roman"/>
        </w:rPr>
        <w:t xml:space="preserve"> or asking if the participant remembers receiving the NHES mailings;</w:t>
      </w:r>
    </w:p>
    <w:p w:rsidR="00176B47" w:rsidRPr="004450A2" w:rsidRDefault="00176B47" w:rsidP="004450A2">
      <w:pPr>
        <w:pStyle w:val="NoSpacing"/>
        <w:widowControl w:val="0"/>
        <w:numPr>
          <w:ilvl w:val="0"/>
          <w:numId w:val="18"/>
        </w:numPr>
        <w:spacing w:after="120"/>
        <w:ind w:left="540" w:hanging="270"/>
        <w:rPr>
          <w:rFonts w:ascii="Times New Roman" w:hAnsi="Times New Roman" w:cs="Times New Roman"/>
        </w:rPr>
      </w:pPr>
      <w:r w:rsidRPr="004450A2">
        <w:rPr>
          <w:rFonts w:ascii="Times New Roman" w:hAnsi="Times New Roman" w:cs="Times New Roman"/>
        </w:rPr>
        <w:t xml:space="preserve">A mail interaction discussion, </w:t>
      </w:r>
      <w:r w:rsidRPr="00956149">
        <w:rPr>
          <w:rFonts w:ascii="Times New Roman" w:hAnsi="Times New Roman" w:cs="Times New Roman"/>
          <w:color w:val="FF0000"/>
        </w:rPr>
        <w:t xml:space="preserve">using a packet of example mail </w:t>
      </w:r>
      <w:r w:rsidRPr="004450A2">
        <w:rPr>
          <w:rFonts w:ascii="Times New Roman" w:hAnsi="Times New Roman" w:cs="Times New Roman"/>
        </w:rPr>
        <w:t xml:space="preserve">where the interviewer asks the participant </w:t>
      </w:r>
      <w:r w:rsidRPr="00F97F95">
        <w:rPr>
          <w:rFonts w:ascii="Times New Roman" w:hAnsi="Times New Roman" w:cs="Times New Roman"/>
        </w:rPr>
        <w:t xml:space="preserve">to </w:t>
      </w:r>
      <w:r w:rsidRPr="00956149">
        <w:rPr>
          <w:rFonts w:ascii="Times New Roman" w:hAnsi="Times New Roman" w:cs="Times New Roman"/>
          <w:strike/>
          <w:color w:val="FF0000"/>
        </w:rPr>
        <w:t>do things like “show me what you do with your mail when you get it” or “show me</w:t>
      </w:r>
      <w:r w:rsidR="00F67571">
        <w:rPr>
          <w:rFonts w:ascii="Times New Roman" w:hAnsi="Times New Roman" w:cs="Times New Roman"/>
        </w:rPr>
        <w:t xml:space="preserve"> </w:t>
      </w:r>
      <w:r w:rsidRPr="00956149">
        <w:rPr>
          <w:rFonts w:ascii="Times New Roman" w:hAnsi="Times New Roman" w:cs="Times New Roman"/>
          <w:color w:val="FF0000"/>
        </w:rPr>
        <w:t>model</w:t>
      </w:r>
      <w:r w:rsidRPr="004450A2">
        <w:rPr>
          <w:rFonts w:ascii="Times New Roman" w:hAnsi="Times New Roman" w:cs="Times New Roman"/>
        </w:rPr>
        <w:t xml:space="preserve"> how </w:t>
      </w:r>
      <w:r w:rsidRPr="00956149">
        <w:rPr>
          <w:rFonts w:ascii="Times New Roman" w:hAnsi="Times New Roman" w:cs="Times New Roman"/>
          <w:strike/>
          <w:color w:val="FF0000"/>
        </w:rPr>
        <w:t>you decide whether to open a piece of</w:t>
      </w:r>
      <w:r w:rsidR="00F67571">
        <w:rPr>
          <w:rFonts w:ascii="Times New Roman" w:hAnsi="Times New Roman" w:cs="Times New Roman"/>
        </w:rPr>
        <w:t xml:space="preserve"> </w:t>
      </w:r>
      <w:r w:rsidRPr="00956149">
        <w:rPr>
          <w:rFonts w:ascii="Times New Roman" w:hAnsi="Times New Roman" w:cs="Times New Roman"/>
          <w:color w:val="FF0000"/>
        </w:rPr>
        <w:t>they sort</w:t>
      </w:r>
      <w:r w:rsidRPr="004450A2">
        <w:rPr>
          <w:rFonts w:ascii="Times New Roman" w:hAnsi="Times New Roman" w:cs="Times New Roman"/>
        </w:rPr>
        <w:t xml:space="preserve"> mail and</w:t>
      </w:r>
      <w:r w:rsidRPr="00956149">
        <w:rPr>
          <w:rFonts w:ascii="Times New Roman" w:hAnsi="Times New Roman" w:cs="Times New Roman"/>
          <w:color w:val="FF0000"/>
        </w:rPr>
        <w:t xml:space="preserve"> make decisions about what to keep, read</w:t>
      </w:r>
      <w:r w:rsidR="00F97F95">
        <w:rPr>
          <w:rFonts w:ascii="Times New Roman" w:hAnsi="Times New Roman" w:cs="Times New Roman"/>
          <w:color w:val="FF0000"/>
        </w:rPr>
        <w:t>,</w:t>
      </w:r>
      <w:r w:rsidRPr="00956149">
        <w:rPr>
          <w:rFonts w:ascii="Times New Roman" w:hAnsi="Times New Roman" w:cs="Times New Roman"/>
          <w:color w:val="FF0000"/>
        </w:rPr>
        <w:t xml:space="preserve"> or throw away, while the interviewer pro</w:t>
      </w:r>
      <w:r w:rsidR="00A6044D">
        <w:rPr>
          <w:rFonts w:ascii="Times New Roman" w:hAnsi="Times New Roman" w:cs="Times New Roman"/>
          <w:color w:val="FF0000"/>
        </w:rPr>
        <w:t>bes about that decision process; and</w:t>
      </w:r>
    </w:p>
    <w:p w:rsidR="00176B47" w:rsidRPr="004450A2" w:rsidRDefault="00176B47" w:rsidP="004450A2">
      <w:pPr>
        <w:pStyle w:val="NoSpacing"/>
        <w:widowControl w:val="0"/>
        <w:numPr>
          <w:ilvl w:val="0"/>
          <w:numId w:val="18"/>
        </w:numPr>
        <w:spacing w:after="120"/>
        <w:ind w:left="540" w:hanging="270"/>
        <w:rPr>
          <w:rFonts w:ascii="Times New Roman" w:hAnsi="Times New Roman" w:cs="Times New Roman"/>
        </w:rPr>
      </w:pPr>
      <w:r w:rsidRPr="004450A2">
        <w:rPr>
          <w:rFonts w:ascii="Times New Roman" w:hAnsi="Times New Roman" w:cs="Times New Roman"/>
        </w:rPr>
        <w:t>A request for feedback on NHES:2019 screener mailed materials.</w:t>
      </w:r>
    </w:p>
    <w:p w:rsidR="00176B47" w:rsidRPr="004450A2" w:rsidRDefault="00176B47" w:rsidP="004450A2">
      <w:pPr>
        <w:pStyle w:val="Heading4"/>
        <w:keepNext w:val="0"/>
        <w:keepLines w:val="0"/>
        <w:widowControl w:val="0"/>
        <w:spacing w:before="0" w:after="120" w:line="240" w:lineRule="auto"/>
      </w:pPr>
      <w:r w:rsidRPr="004450A2">
        <w:t>2.1.3 Observations</w:t>
      </w:r>
    </w:p>
    <w:p w:rsidR="00176B47" w:rsidRPr="004450A2" w:rsidRDefault="00176B47" w:rsidP="004450A2">
      <w:pPr>
        <w:widowControl w:val="0"/>
        <w:spacing w:after="120" w:line="240" w:lineRule="auto"/>
        <w:rPr>
          <w:rFonts w:ascii="Times New Roman" w:hAnsi="Times New Roman"/>
        </w:rPr>
      </w:pPr>
      <w:r w:rsidRPr="004450A2">
        <w:rPr>
          <w:rFonts w:ascii="Times New Roman" w:hAnsi="Times New Roman"/>
        </w:rPr>
        <w:t xml:space="preserve">The interview will conclude with the interviewer </w:t>
      </w:r>
      <w:r w:rsidRPr="007F0E13">
        <w:rPr>
          <w:rFonts w:ascii="Times New Roman" w:hAnsi="Times New Roman"/>
          <w:strike/>
          <w:color w:val="FF0000"/>
        </w:rPr>
        <w:t>using a brief check list to make</w:t>
      </w:r>
      <w:r w:rsidR="00F67571">
        <w:rPr>
          <w:rFonts w:ascii="Times New Roman" w:hAnsi="Times New Roman"/>
        </w:rPr>
        <w:t xml:space="preserve"> </w:t>
      </w:r>
      <w:r w:rsidRPr="007F0E13">
        <w:rPr>
          <w:rFonts w:ascii="Times New Roman" w:hAnsi="Times New Roman"/>
          <w:color w:val="FF0000"/>
        </w:rPr>
        <w:t>making</w:t>
      </w:r>
      <w:r w:rsidRPr="004450A2">
        <w:rPr>
          <w:rFonts w:ascii="Times New Roman" w:hAnsi="Times New Roman"/>
        </w:rPr>
        <w:t xml:space="preserve"> observations about the home and/or household members, beyond any observations recorded while interacting with the participant during the interview.</w:t>
      </w:r>
      <w:r w:rsidRPr="004450A2" w:rsidDel="001C6FA4">
        <w:rPr>
          <w:rFonts w:ascii="Times New Roman" w:hAnsi="Times New Roman"/>
        </w:rPr>
        <w:t xml:space="preserve"> </w:t>
      </w:r>
      <w:r w:rsidRPr="004450A2">
        <w:rPr>
          <w:rFonts w:ascii="Times New Roman" w:hAnsi="Times New Roman"/>
        </w:rPr>
        <w:t>Observations are important to include in qualitative research because interview questions can often only address attitudes or actions of which participants are cognitively aware. There are likely other observable aspects of participants’ lives that they may not explicitly connect to their lack of participation (e.g., how they organize their mail), as well as observable qualities that nonresponding households may have in common (e.g., whether they display children’s educational achievements). These observations will be used to capture such more nuanced indicators.</w:t>
      </w:r>
    </w:p>
    <w:p w:rsidR="00C80716" w:rsidRDefault="00176B47" w:rsidP="004450A2">
      <w:pPr>
        <w:pStyle w:val="NoSpacing"/>
        <w:widowControl w:val="0"/>
        <w:spacing w:after="120"/>
        <w:rPr>
          <w:rFonts w:ascii="Times New Roman" w:hAnsi="Times New Roman" w:cs="Times New Roman"/>
          <w:color w:val="FF0000"/>
        </w:rPr>
      </w:pPr>
      <w:r w:rsidRPr="004450A2">
        <w:rPr>
          <w:rFonts w:ascii="Times New Roman" w:hAnsi="Times New Roman" w:cs="Times New Roman"/>
        </w:rPr>
        <w:t xml:space="preserve">The </w:t>
      </w:r>
      <w:r w:rsidRPr="007F0E13">
        <w:rPr>
          <w:rFonts w:ascii="Times New Roman" w:hAnsi="Times New Roman" w:cs="Times New Roman"/>
          <w:strike/>
          <w:color w:val="FF0000"/>
        </w:rPr>
        <w:t>qualitative</w:t>
      </w:r>
      <w:r w:rsidR="00F67571">
        <w:rPr>
          <w:rFonts w:ascii="Times New Roman" w:hAnsi="Times New Roman" w:cs="Times New Roman"/>
        </w:rPr>
        <w:t xml:space="preserve"> </w:t>
      </w:r>
      <w:r w:rsidRPr="007F0E13">
        <w:rPr>
          <w:rFonts w:ascii="Times New Roman" w:hAnsi="Times New Roman" w:cs="Times New Roman"/>
          <w:color w:val="FF0000"/>
        </w:rPr>
        <w:t>finalized</w:t>
      </w:r>
      <w:r w:rsidRPr="004450A2">
        <w:rPr>
          <w:rFonts w:ascii="Times New Roman" w:hAnsi="Times New Roman" w:cs="Times New Roman"/>
        </w:rPr>
        <w:t xml:space="preserve"> interview protocol and contact materials </w:t>
      </w:r>
      <w:r w:rsidRPr="007F0E13">
        <w:rPr>
          <w:rFonts w:ascii="Times New Roman" w:hAnsi="Times New Roman" w:cs="Times New Roman"/>
          <w:strike/>
          <w:color w:val="FF0000"/>
        </w:rPr>
        <w:t>are currently being developed (see Attachment B for an outline of the protocol’s content). The finalized procedures, interview protocol, and contact materials</w:t>
      </w:r>
      <w:r w:rsidR="00F67571">
        <w:rPr>
          <w:rFonts w:ascii="Times New Roman" w:hAnsi="Times New Roman" w:cs="Times New Roman"/>
        </w:rPr>
        <w:t xml:space="preserve"> </w:t>
      </w:r>
      <w:r w:rsidRPr="004450A2">
        <w:rPr>
          <w:rFonts w:ascii="Times New Roman" w:hAnsi="Times New Roman" w:cs="Times New Roman"/>
        </w:rPr>
        <w:t xml:space="preserve">for the In-Person Study of NHES:2019 Nonresponding Households </w:t>
      </w:r>
      <w:r w:rsidRPr="00AF6E66">
        <w:rPr>
          <w:rFonts w:ascii="Times New Roman" w:hAnsi="Times New Roman" w:cs="Times New Roman"/>
          <w:color w:val="FF0000"/>
        </w:rPr>
        <w:t xml:space="preserve">qualitative interviews can be found in </w:t>
      </w:r>
      <w:r w:rsidR="005E2EAE">
        <w:rPr>
          <w:rFonts w:ascii="Times New Roman" w:hAnsi="Times New Roman" w:cs="Times New Roman"/>
          <w:color w:val="FF0000"/>
        </w:rPr>
        <w:t xml:space="preserve">the </w:t>
      </w:r>
      <w:r w:rsidRPr="00AF6E66">
        <w:rPr>
          <w:rFonts w:ascii="Times New Roman" w:hAnsi="Times New Roman" w:cs="Times New Roman"/>
          <w:color w:val="FF0000"/>
        </w:rPr>
        <w:t>Attachment B</w:t>
      </w:r>
      <w:r w:rsidR="005E2EAE">
        <w:rPr>
          <w:rFonts w:ascii="Times New Roman" w:hAnsi="Times New Roman" w:cs="Times New Roman"/>
          <w:color w:val="FF0000"/>
        </w:rPr>
        <w:t xml:space="preserve"> of this document</w:t>
      </w:r>
      <w:r w:rsidRPr="00AF6E66">
        <w:rPr>
          <w:rFonts w:ascii="Times New Roman" w:hAnsi="Times New Roman" w:cs="Times New Roman"/>
          <w:color w:val="FF0000"/>
        </w:rPr>
        <w:t>.</w:t>
      </w:r>
    </w:p>
    <w:p w:rsidR="00176B47" w:rsidRPr="00E71982" w:rsidRDefault="00176B47" w:rsidP="004450A2">
      <w:pPr>
        <w:pStyle w:val="Heading3"/>
        <w:spacing w:before="0" w:after="120" w:line="240" w:lineRule="auto"/>
        <w:rPr>
          <w:color w:val="FF0000"/>
        </w:rPr>
      </w:pPr>
      <w:bookmarkStart w:id="68" w:name="_Toc525901857"/>
      <w:bookmarkStart w:id="69" w:name="_Toc511740561"/>
      <w:bookmarkStart w:id="70" w:name="_Toc512799234"/>
      <w:r w:rsidRPr="00E71982">
        <w:rPr>
          <w:color w:val="FF0000"/>
        </w:rPr>
        <w:t>2.2. Address/neighborhood observation</w:t>
      </w:r>
      <w:bookmarkEnd w:id="68"/>
    </w:p>
    <w:p w:rsidR="00C80716" w:rsidRDefault="006B4C1B" w:rsidP="004450A2">
      <w:pPr>
        <w:pStyle w:val="NoSpacing"/>
        <w:widowControl w:val="0"/>
        <w:spacing w:after="120"/>
        <w:rPr>
          <w:rFonts w:ascii="Times New Roman" w:hAnsi="Times New Roman" w:cs="Times New Roman"/>
          <w:color w:val="FF0000"/>
        </w:rPr>
      </w:pPr>
      <w:bookmarkStart w:id="71" w:name="_Hlk525655064"/>
      <w:r w:rsidRPr="006B4C1B">
        <w:rPr>
          <w:rFonts w:ascii="Times New Roman" w:hAnsi="Times New Roman" w:cs="Times New Roman"/>
          <w:color w:val="FF0000"/>
        </w:rPr>
        <w:t>Approximately 750 addresses will be sampled for address and neighborhood observations. Of these, 500 will be also invited to take part in the qualitative interview study (see above), and for the remaining 250 households, only observations will be collected. The objective of these observations is to determine the types of addresses that are prone to nonresponse or having their NHES mailings be undeliverable, and to assess the accuracy of the information available on the frame for such addresses</w:t>
      </w:r>
      <w:r w:rsidR="00176B47" w:rsidRPr="00E71982">
        <w:rPr>
          <w:rFonts w:ascii="Times New Roman" w:hAnsi="Times New Roman" w:cs="Times New Roman"/>
          <w:color w:val="FF0000"/>
        </w:rPr>
        <w:t>.</w:t>
      </w:r>
    </w:p>
    <w:bookmarkEnd w:id="71"/>
    <w:p w:rsidR="00C80716" w:rsidRDefault="006913AB" w:rsidP="004450A2">
      <w:pPr>
        <w:pStyle w:val="NoSpacing"/>
        <w:widowControl w:val="0"/>
        <w:spacing w:after="120"/>
        <w:rPr>
          <w:rFonts w:ascii="Times New Roman" w:hAnsi="Times New Roman" w:cs="Times New Roman"/>
          <w:color w:val="FF0000"/>
        </w:rPr>
      </w:pPr>
      <w:r w:rsidRPr="006913AB">
        <w:rPr>
          <w:rFonts w:ascii="Times New Roman" w:hAnsi="Times New Roman" w:cs="Times New Roman"/>
          <w:color w:val="FF0000"/>
        </w:rPr>
        <w:t>The objective of these observations, which will be carried out by staff contracted for NHES, is to determine the types of addresses that are prone to nonresponse or having their NHES mailings be undeliverable and to assess the accuracy of the information available on the frame for such addresses. The instrument has been programmed to be administered on a tablet or computer to ease data collection efforts and minimize error. Each observer will receive a tablet to complete their observations. The 7-minute observation instrument is designed to evaluate variables from the address-based sample frame. Several of the items are based on existing instruments (e.g., the Neighborhood Observation Instrument (NOI), Contact History Instrument (CHI), the Los Angeles Family and Neighborhood Survey). The instrument also includes a series of characteristics that interviewers will look for and mark off when they observe them for that address or neighborhood. There is also space for entering notes that might provide helpful context about the address or neighborhood. Exhibit 2 below displays a summary of the proposed measures, the frame variables that will be evaluated, and the potential impacts those findings could have on the design of future NHES administrations. To increase efficiency, observers may audio record their observations and transcribe them onto the instrument later</w:t>
      </w:r>
      <w:r w:rsidR="00176B47" w:rsidRPr="00E71982">
        <w:rPr>
          <w:rFonts w:ascii="Times New Roman" w:hAnsi="Times New Roman" w:cs="Times New Roman"/>
          <w:color w:val="FF0000"/>
        </w:rPr>
        <w:t>.</w:t>
      </w:r>
    </w:p>
    <w:p w:rsidR="00176B47" w:rsidRPr="00E71982" w:rsidRDefault="00176B47" w:rsidP="004450A2">
      <w:pPr>
        <w:spacing w:after="120" w:line="240" w:lineRule="auto"/>
        <w:rPr>
          <w:rFonts w:ascii="Times New Roman" w:hAnsi="Times New Roman"/>
          <w:color w:val="FF0000"/>
        </w:rPr>
      </w:pPr>
      <w:r w:rsidRPr="00E71982">
        <w:rPr>
          <w:rFonts w:ascii="Times New Roman" w:hAnsi="Times New Roman"/>
          <w:color w:val="FF0000"/>
        </w:rPr>
        <w:t>Exhibit 2. Summary of proposed measures, frame variables evaluated, and potential impact on NHES design</w:t>
      </w:r>
    </w:p>
    <w:tbl>
      <w:tblPr>
        <w:tblStyle w:val="TableGrid"/>
        <w:tblW w:w="0" w:type="auto"/>
        <w:tblLook w:val="04A0" w:firstRow="1" w:lastRow="0" w:firstColumn="1" w:lastColumn="0" w:noHBand="0" w:noVBand="1"/>
      </w:tblPr>
      <w:tblGrid>
        <w:gridCol w:w="1716"/>
        <w:gridCol w:w="3432"/>
        <w:gridCol w:w="5107"/>
      </w:tblGrid>
      <w:tr w:rsidR="00E71982" w:rsidRPr="00E71982" w:rsidTr="005B4487">
        <w:trPr>
          <w:tblHeader/>
        </w:trPr>
        <w:tc>
          <w:tcPr>
            <w:tcW w:w="1716" w:type="dxa"/>
            <w:shd w:val="clear" w:color="auto" w:fill="95B3D7" w:themeFill="accent1" w:themeFillTint="99"/>
          </w:tcPr>
          <w:p w:rsidR="00176B47" w:rsidRPr="00E71982" w:rsidRDefault="00176B47" w:rsidP="00F15CF9">
            <w:pPr>
              <w:tabs>
                <w:tab w:val="left" w:pos="4365"/>
              </w:tabs>
              <w:spacing w:after="0" w:line="240" w:lineRule="auto"/>
              <w:jc w:val="center"/>
              <w:rPr>
                <w:b/>
                <w:color w:val="FF0000"/>
                <w:sz w:val="20"/>
                <w:szCs w:val="20"/>
              </w:rPr>
            </w:pPr>
            <w:r w:rsidRPr="00E71982">
              <w:rPr>
                <w:b/>
                <w:color w:val="FF0000"/>
                <w:sz w:val="20"/>
                <w:szCs w:val="20"/>
              </w:rPr>
              <w:t>Measure</w:t>
            </w:r>
          </w:p>
        </w:tc>
        <w:tc>
          <w:tcPr>
            <w:tcW w:w="3432" w:type="dxa"/>
            <w:shd w:val="clear" w:color="auto" w:fill="95B3D7" w:themeFill="accent1" w:themeFillTint="99"/>
          </w:tcPr>
          <w:p w:rsidR="00176B47" w:rsidRPr="00E71982" w:rsidRDefault="00176B47" w:rsidP="00F15CF9">
            <w:pPr>
              <w:tabs>
                <w:tab w:val="left" w:pos="4365"/>
              </w:tabs>
              <w:spacing w:after="0" w:line="240" w:lineRule="auto"/>
              <w:jc w:val="center"/>
              <w:rPr>
                <w:b/>
                <w:color w:val="FF0000"/>
                <w:sz w:val="20"/>
                <w:szCs w:val="20"/>
              </w:rPr>
            </w:pPr>
            <w:r w:rsidRPr="00E71982">
              <w:rPr>
                <w:b/>
                <w:color w:val="FF0000"/>
                <w:sz w:val="20"/>
                <w:szCs w:val="20"/>
              </w:rPr>
              <w:t>Frame Variable(s) evaluated</w:t>
            </w:r>
          </w:p>
        </w:tc>
        <w:tc>
          <w:tcPr>
            <w:tcW w:w="5107" w:type="dxa"/>
            <w:shd w:val="clear" w:color="auto" w:fill="95B3D7" w:themeFill="accent1" w:themeFillTint="99"/>
          </w:tcPr>
          <w:p w:rsidR="00176B47" w:rsidRPr="00E71982" w:rsidRDefault="00F15CF9" w:rsidP="00F15CF9">
            <w:pPr>
              <w:tabs>
                <w:tab w:val="left" w:pos="4365"/>
              </w:tabs>
              <w:spacing w:after="0" w:line="240" w:lineRule="auto"/>
              <w:jc w:val="center"/>
              <w:rPr>
                <w:b/>
                <w:color w:val="FF0000"/>
                <w:sz w:val="20"/>
                <w:szCs w:val="20"/>
              </w:rPr>
            </w:pPr>
            <w:r>
              <w:rPr>
                <w:b/>
                <w:color w:val="FF0000"/>
                <w:sz w:val="20"/>
                <w:szCs w:val="20"/>
              </w:rPr>
              <w:t xml:space="preserve">Potential </w:t>
            </w:r>
            <w:r w:rsidR="00176B47" w:rsidRPr="00E71982">
              <w:rPr>
                <w:b/>
                <w:color w:val="FF0000"/>
                <w:sz w:val="20"/>
                <w:szCs w:val="20"/>
              </w:rPr>
              <w:t>Impact</w:t>
            </w:r>
          </w:p>
        </w:tc>
      </w:tr>
      <w:tr w:rsidR="00E71982" w:rsidRPr="00E71982" w:rsidTr="005B4487">
        <w:trPr>
          <w:trHeight w:val="155"/>
        </w:trPr>
        <w:tc>
          <w:tcPr>
            <w:tcW w:w="1716" w:type="dxa"/>
            <w:vMerge w:val="restart"/>
          </w:tcPr>
          <w:p w:rsidR="00176B47" w:rsidRPr="00E71982" w:rsidRDefault="00176B47" w:rsidP="00940280">
            <w:pPr>
              <w:tabs>
                <w:tab w:val="left" w:pos="4365"/>
              </w:tabs>
              <w:spacing w:after="0" w:line="240" w:lineRule="auto"/>
              <w:rPr>
                <w:color w:val="FF0000"/>
                <w:sz w:val="20"/>
                <w:szCs w:val="20"/>
              </w:rPr>
            </w:pPr>
            <w:r w:rsidRPr="00E71982">
              <w:rPr>
                <w:color w:val="FF0000"/>
                <w:sz w:val="20"/>
                <w:szCs w:val="20"/>
              </w:rPr>
              <w:t>Structure type</w:t>
            </w:r>
          </w:p>
        </w:tc>
        <w:tc>
          <w:tcPr>
            <w:tcW w:w="3432" w:type="dxa"/>
            <w:vMerge w:val="restart"/>
          </w:tcPr>
          <w:p w:rsidR="00176B47" w:rsidRPr="00E71982" w:rsidRDefault="00176B47" w:rsidP="00940280">
            <w:pPr>
              <w:pStyle w:val="ListParagraph"/>
              <w:numPr>
                <w:ilvl w:val="0"/>
                <w:numId w:val="25"/>
              </w:numPr>
              <w:tabs>
                <w:tab w:val="left" w:pos="4365"/>
              </w:tabs>
              <w:spacing w:after="0" w:line="240" w:lineRule="auto"/>
              <w:ind w:left="306" w:hanging="270"/>
              <w:contextualSpacing/>
              <w:rPr>
                <w:b/>
                <w:i/>
                <w:color w:val="FF0000"/>
                <w:sz w:val="20"/>
                <w:szCs w:val="20"/>
              </w:rPr>
            </w:pPr>
            <w:r w:rsidRPr="00E71982">
              <w:rPr>
                <w:color w:val="FF0000"/>
                <w:sz w:val="20"/>
                <w:szCs w:val="20"/>
              </w:rPr>
              <w:t>Mailing address type</w:t>
            </w:r>
          </w:p>
          <w:p w:rsidR="00176B47" w:rsidRPr="00E71982" w:rsidRDefault="00176B47" w:rsidP="00940280">
            <w:pPr>
              <w:pStyle w:val="ListParagraph"/>
              <w:numPr>
                <w:ilvl w:val="0"/>
                <w:numId w:val="25"/>
              </w:numPr>
              <w:tabs>
                <w:tab w:val="left" w:pos="4365"/>
              </w:tabs>
              <w:spacing w:after="0" w:line="240" w:lineRule="auto"/>
              <w:ind w:left="306" w:hanging="270"/>
              <w:contextualSpacing/>
              <w:rPr>
                <w:b/>
                <w:i/>
                <w:color w:val="FF0000"/>
                <w:sz w:val="20"/>
                <w:szCs w:val="20"/>
              </w:rPr>
            </w:pPr>
            <w:r w:rsidRPr="00E71982">
              <w:rPr>
                <w:color w:val="FF0000"/>
                <w:sz w:val="20"/>
                <w:szCs w:val="20"/>
              </w:rPr>
              <w:t>Dwelling type</w:t>
            </w:r>
          </w:p>
          <w:p w:rsidR="00176B47" w:rsidRPr="00E71982" w:rsidRDefault="00176B47" w:rsidP="00940280">
            <w:pPr>
              <w:pStyle w:val="ListParagraph"/>
              <w:numPr>
                <w:ilvl w:val="0"/>
                <w:numId w:val="25"/>
              </w:numPr>
              <w:tabs>
                <w:tab w:val="left" w:pos="4365"/>
              </w:tabs>
              <w:spacing w:after="0" w:line="240" w:lineRule="auto"/>
              <w:ind w:left="306" w:hanging="270"/>
              <w:contextualSpacing/>
              <w:rPr>
                <w:b/>
                <w:i/>
                <w:color w:val="FF0000"/>
                <w:sz w:val="20"/>
                <w:szCs w:val="20"/>
              </w:rPr>
            </w:pPr>
            <w:r w:rsidRPr="00E71982">
              <w:rPr>
                <w:color w:val="FF0000"/>
                <w:sz w:val="20"/>
                <w:szCs w:val="20"/>
              </w:rPr>
              <w:t>Address vacancy status</w:t>
            </w:r>
          </w:p>
          <w:p w:rsidR="00176B47" w:rsidRPr="00E71982" w:rsidRDefault="00176B47" w:rsidP="00940280">
            <w:pPr>
              <w:pStyle w:val="ListParagraph"/>
              <w:numPr>
                <w:ilvl w:val="0"/>
                <w:numId w:val="25"/>
              </w:numPr>
              <w:tabs>
                <w:tab w:val="left" w:pos="4365"/>
              </w:tabs>
              <w:spacing w:after="0" w:line="240" w:lineRule="auto"/>
              <w:ind w:left="306" w:hanging="270"/>
              <w:contextualSpacing/>
              <w:rPr>
                <w:b/>
                <w:i/>
                <w:color w:val="FF0000"/>
                <w:sz w:val="20"/>
                <w:szCs w:val="20"/>
              </w:rPr>
            </w:pPr>
            <w:r w:rsidRPr="00E71982">
              <w:rPr>
                <w:color w:val="FF0000"/>
                <w:sz w:val="20"/>
                <w:szCs w:val="20"/>
              </w:rPr>
              <w:t>Seasonal address</w:t>
            </w:r>
          </w:p>
          <w:p w:rsidR="00176B47" w:rsidRPr="00E71982" w:rsidRDefault="00176B47" w:rsidP="00940280">
            <w:pPr>
              <w:pStyle w:val="ListParagraph"/>
              <w:numPr>
                <w:ilvl w:val="0"/>
                <w:numId w:val="25"/>
              </w:numPr>
              <w:tabs>
                <w:tab w:val="left" w:pos="4365"/>
              </w:tabs>
              <w:spacing w:after="0" w:line="240" w:lineRule="auto"/>
              <w:ind w:left="306" w:hanging="270"/>
              <w:contextualSpacing/>
              <w:rPr>
                <w:b/>
                <w:i/>
                <w:color w:val="FF0000"/>
                <w:sz w:val="20"/>
                <w:szCs w:val="20"/>
              </w:rPr>
            </w:pPr>
            <w:r w:rsidRPr="00E71982">
              <w:rPr>
                <w:color w:val="FF0000"/>
                <w:sz w:val="20"/>
                <w:szCs w:val="20"/>
              </w:rPr>
              <w:t>Delivery point usage code</w:t>
            </w:r>
          </w:p>
        </w:tc>
        <w:tc>
          <w:tcPr>
            <w:tcW w:w="5107" w:type="dxa"/>
          </w:tcPr>
          <w:p w:rsidR="00176B47" w:rsidRPr="00E71982" w:rsidRDefault="00176B47" w:rsidP="00940280">
            <w:pPr>
              <w:tabs>
                <w:tab w:val="left" w:pos="4365"/>
              </w:tabs>
              <w:spacing w:after="0" w:line="240" w:lineRule="auto"/>
              <w:rPr>
                <w:color w:val="FF0000"/>
                <w:sz w:val="20"/>
                <w:szCs w:val="20"/>
              </w:rPr>
            </w:pPr>
            <w:r w:rsidRPr="00E71982">
              <w:rPr>
                <w:b/>
                <w:i/>
                <w:color w:val="FF0000"/>
                <w:sz w:val="20"/>
                <w:szCs w:val="20"/>
              </w:rPr>
              <w:t>Mailing method</w:t>
            </w:r>
            <w:r w:rsidRPr="00E71982">
              <w:rPr>
                <w:color w:val="FF0000"/>
                <w:sz w:val="20"/>
                <w:szCs w:val="20"/>
              </w:rPr>
              <w:t xml:space="preserve"> (e.g., use courier service such as FedEx) </w:t>
            </w:r>
          </w:p>
        </w:tc>
      </w:tr>
      <w:tr w:rsidR="00E71982" w:rsidRPr="00E71982" w:rsidTr="005B4487">
        <w:trPr>
          <w:trHeight w:val="154"/>
        </w:trPr>
        <w:tc>
          <w:tcPr>
            <w:tcW w:w="1716" w:type="dxa"/>
            <w:vMerge/>
          </w:tcPr>
          <w:p w:rsidR="00176B47" w:rsidRPr="00E71982" w:rsidRDefault="00176B47" w:rsidP="00940280">
            <w:pPr>
              <w:tabs>
                <w:tab w:val="left" w:pos="4365"/>
              </w:tabs>
              <w:spacing w:after="0" w:line="240" w:lineRule="auto"/>
              <w:rPr>
                <w:color w:val="FF0000"/>
                <w:sz w:val="20"/>
                <w:szCs w:val="20"/>
              </w:rPr>
            </w:pPr>
          </w:p>
        </w:tc>
        <w:tc>
          <w:tcPr>
            <w:tcW w:w="3432" w:type="dxa"/>
            <w:vMerge/>
          </w:tcPr>
          <w:p w:rsidR="00176B47" w:rsidRPr="00E71982" w:rsidRDefault="00176B47" w:rsidP="00940280">
            <w:pPr>
              <w:tabs>
                <w:tab w:val="left" w:pos="4365"/>
              </w:tabs>
              <w:spacing w:after="0" w:line="240" w:lineRule="auto"/>
              <w:ind w:left="306" w:hanging="270"/>
              <w:rPr>
                <w:b/>
                <w:i/>
                <w:color w:val="FF0000"/>
                <w:sz w:val="20"/>
                <w:szCs w:val="20"/>
              </w:rPr>
            </w:pPr>
          </w:p>
        </w:tc>
        <w:tc>
          <w:tcPr>
            <w:tcW w:w="5107" w:type="dxa"/>
          </w:tcPr>
          <w:p w:rsidR="00176B47" w:rsidRPr="00E71982" w:rsidRDefault="00176B47" w:rsidP="00940280">
            <w:pPr>
              <w:tabs>
                <w:tab w:val="left" w:pos="4365"/>
              </w:tabs>
              <w:spacing w:after="0" w:line="240" w:lineRule="auto"/>
              <w:rPr>
                <w:color w:val="FF0000"/>
                <w:sz w:val="20"/>
                <w:szCs w:val="20"/>
              </w:rPr>
            </w:pPr>
            <w:r w:rsidRPr="00E71982">
              <w:rPr>
                <w:b/>
                <w:i/>
                <w:color w:val="FF0000"/>
                <w:sz w:val="20"/>
                <w:szCs w:val="20"/>
              </w:rPr>
              <w:t>Contact materials</w:t>
            </w:r>
            <w:r w:rsidRPr="00E71982">
              <w:rPr>
                <w:color w:val="FF0000"/>
                <w:sz w:val="20"/>
                <w:szCs w:val="20"/>
              </w:rPr>
              <w:t xml:space="preserve"> (e.g., use larger font for address to minimize sorting issues for multi-unit addresses, tailor language of contact materials)</w:t>
            </w:r>
          </w:p>
        </w:tc>
      </w:tr>
      <w:tr w:rsidR="00E71982" w:rsidRPr="00E71982" w:rsidTr="005B4487">
        <w:trPr>
          <w:trHeight w:val="154"/>
        </w:trPr>
        <w:tc>
          <w:tcPr>
            <w:tcW w:w="1716" w:type="dxa"/>
            <w:vMerge/>
          </w:tcPr>
          <w:p w:rsidR="00176B47" w:rsidRPr="00E71982" w:rsidRDefault="00176B47" w:rsidP="00940280">
            <w:pPr>
              <w:tabs>
                <w:tab w:val="left" w:pos="4365"/>
              </w:tabs>
              <w:spacing w:after="0" w:line="240" w:lineRule="auto"/>
              <w:rPr>
                <w:color w:val="FF0000"/>
                <w:sz w:val="20"/>
                <w:szCs w:val="20"/>
              </w:rPr>
            </w:pPr>
          </w:p>
        </w:tc>
        <w:tc>
          <w:tcPr>
            <w:tcW w:w="3432" w:type="dxa"/>
            <w:vMerge/>
          </w:tcPr>
          <w:p w:rsidR="00176B47" w:rsidRPr="00E71982" w:rsidRDefault="00176B47" w:rsidP="00940280">
            <w:pPr>
              <w:tabs>
                <w:tab w:val="left" w:pos="4365"/>
              </w:tabs>
              <w:spacing w:after="0" w:line="240" w:lineRule="auto"/>
              <w:ind w:left="306" w:hanging="270"/>
              <w:rPr>
                <w:b/>
                <w:i/>
                <w:color w:val="FF0000"/>
                <w:sz w:val="20"/>
                <w:szCs w:val="20"/>
              </w:rPr>
            </w:pPr>
          </w:p>
        </w:tc>
        <w:tc>
          <w:tcPr>
            <w:tcW w:w="5107" w:type="dxa"/>
          </w:tcPr>
          <w:p w:rsidR="00176B47" w:rsidRPr="00E71982" w:rsidRDefault="00176B47" w:rsidP="00940280">
            <w:pPr>
              <w:tabs>
                <w:tab w:val="left" w:pos="4365"/>
              </w:tabs>
              <w:spacing w:after="0" w:line="240" w:lineRule="auto"/>
              <w:rPr>
                <w:color w:val="FF0000"/>
                <w:sz w:val="20"/>
                <w:szCs w:val="20"/>
              </w:rPr>
            </w:pPr>
            <w:r w:rsidRPr="00E71982">
              <w:rPr>
                <w:b/>
                <w:i/>
                <w:color w:val="FF0000"/>
                <w:sz w:val="20"/>
                <w:szCs w:val="20"/>
              </w:rPr>
              <w:t xml:space="preserve">Incentive use </w:t>
            </w:r>
            <w:r w:rsidRPr="00E71982">
              <w:rPr>
                <w:color w:val="FF0000"/>
                <w:sz w:val="20"/>
                <w:szCs w:val="20"/>
              </w:rPr>
              <w:t>(e.g., use varied incentives by structure type)</w:t>
            </w:r>
          </w:p>
        </w:tc>
      </w:tr>
      <w:tr w:rsidR="00E71982" w:rsidRPr="00E71982" w:rsidTr="005B4487">
        <w:trPr>
          <w:trHeight w:val="154"/>
        </w:trPr>
        <w:tc>
          <w:tcPr>
            <w:tcW w:w="1716" w:type="dxa"/>
            <w:vMerge/>
          </w:tcPr>
          <w:p w:rsidR="00176B47" w:rsidRPr="00E71982" w:rsidRDefault="00176B47" w:rsidP="00940280">
            <w:pPr>
              <w:tabs>
                <w:tab w:val="left" w:pos="4365"/>
              </w:tabs>
              <w:spacing w:after="0" w:line="240" w:lineRule="auto"/>
              <w:rPr>
                <w:color w:val="FF0000"/>
                <w:sz w:val="20"/>
                <w:szCs w:val="20"/>
              </w:rPr>
            </w:pPr>
          </w:p>
        </w:tc>
        <w:tc>
          <w:tcPr>
            <w:tcW w:w="3432" w:type="dxa"/>
            <w:vMerge/>
          </w:tcPr>
          <w:p w:rsidR="00176B47" w:rsidRPr="00E71982" w:rsidRDefault="00176B47" w:rsidP="00940280">
            <w:pPr>
              <w:tabs>
                <w:tab w:val="left" w:pos="4365"/>
              </w:tabs>
              <w:spacing w:after="0" w:line="240" w:lineRule="auto"/>
              <w:ind w:left="306" w:hanging="270"/>
              <w:rPr>
                <w:b/>
                <w:i/>
                <w:color w:val="FF0000"/>
                <w:sz w:val="20"/>
                <w:szCs w:val="20"/>
              </w:rPr>
            </w:pPr>
          </w:p>
        </w:tc>
        <w:tc>
          <w:tcPr>
            <w:tcW w:w="5107" w:type="dxa"/>
          </w:tcPr>
          <w:p w:rsidR="00176B47" w:rsidRPr="00E71982" w:rsidRDefault="00176B47" w:rsidP="00940280">
            <w:pPr>
              <w:tabs>
                <w:tab w:val="left" w:pos="4365"/>
              </w:tabs>
              <w:spacing w:after="0" w:line="240" w:lineRule="auto"/>
              <w:rPr>
                <w:color w:val="FF0000"/>
                <w:sz w:val="20"/>
                <w:szCs w:val="20"/>
              </w:rPr>
            </w:pPr>
            <w:r w:rsidRPr="00E71982">
              <w:rPr>
                <w:b/>
                <w:i/>
                <w:color w:val="FF0000"/>
                <w:sz w:val="20"/>
                <w:szCs w:val="20"/>
              </w:rPr>
              <w:t>Frame accuracy</w:t>
            </w:r>
            <w:r w:rsidRPr="00E71982">
              <w:rPr>
                <w:color w:val="FF0000"/>
                <w:sz w:val="20"/>
                <w:szCs w:val="20"/>
              </w:rPr>
              <w:t xml:space="preserve"> (e.g., evaluate frame information to improve adaptive design models)</w:t>
            </w:r>
          </w:p>
        </w:tc>
      </w:tr>
      <w:tr w:rsidR="00E71982" w:rsidRPr="00E71982" w:rsidTr="005B4487">
        <w:trPr>
          <w:trHeight w:val="464"/>
        </w:trPr>
        <w:tc>
          <w:tcPr>
            <w:tcW w:w="1716" w:type="dxa"/>
            <w:vMerge w:val="restart"/>
          </w:tcPr>
          <w:p w:rsidR="00176B47" w:rsidRPr="00E71982" w:rsidRDefault="00176B47" w:rsidP="00940280">
            <w:pPr>
              <w:tabs>
                <w:tab w:val="left" w:pos="4365"/>
              </w:tabs>
              <w:spacing w:after="0" w:line="240" w:lineRule="auto"/>
              <w:rPr>
                <w:color w:val="FF0000"/>
                <w:sz w:val="20"/>
                <w:szCs w:val="20"/>
              </w:rPr>
            </w:pPr>
            <w:r w:rsidRPr="00E71982">
              <w:rPr>
                <w:color w:val="FF0000"/>
                <w:sz w:val="20"/>
                <w:szCs w:val="20"/>
              </w:rPr>
              <w:t xml:space="preserve">Occupancy </w:t>
            </w:r>
          </w:p>
        </w:tc>
        <w:tc>
          <w:tcPr>
            <w:tcW w:w="3432" w:type="dxa"/>
            <w:vMerge w:val="restart"/>
          </w:tcPr>
          <w:p w:rsidR="00176B47" w:rsidRPr="00E71982" w:rsidRDefault="00176B47" w:rsidP="00940280">
            <w:pPr>
              <w:pStyle w:val="ListParagraph"/>
              <w:numPr>
                <w:ilvl w:val="0"/>
                <w:numId w:val="25"/>
              </w:numPr>
              <w:tabs>
                <w:tab w:val="left" w:pos="4365"/>
              </w:tabs>
              <w:spacing w:after="0" w:line="240" w:lineRule="auto"/>
              <w:ind w:left="306" w:hanging="270"/>
              <w:contextualSpacing/>
              <w:rPr>
                <w:b/>
                <w:i/>
                <w:color w:val="FF0000"/>
                <w:sz w:val="20"/>
                <w:szCs w:val="20"/>
              </w:rPr>
            </w:pPr>
            <w:r w:rsidRPr="00E71982">
              <w:rPr>
                <w:color w:val="FF0000"/>
                <w:sz w:val="20"/>
                <w:szCs w:val="20"/>
              </w:rPr>
              <w:t>Address vacancy status</w:t>
            </w:r>
          </w:p>
          <w:p w:rsidR="00176B47" w:rsidRPr="00E71982" w:rsidRDefault="00176B47" w:rsidP="00940280">
            <w:pPr>
              <w:pStyle w:val="ListParagraph"/>
              <w:numPr>
                <w:ilvl w:val="0"/>
                <w:numId w:val="25"/>
              </w:numPr>
              <w:tabs>
                <w:tab w:val="left" w:pos="4365"/>
              </w:tabs>
              <w:spacing w:after="0" w:line="240" w:lineRule="auto"/>
              <w:ind w:left="306" w:hanging="270"/>
              <w:contextualSpacing/>
              <w:rPr>
                <w:b/>
                <w:i/>
                <w:color w:val="FF0000"/>
                <w:sz w:val="20"/>
                <w:szCs w:val="20"/>
              </w:rPr>
            </w:pPr>
            <w:r w:rsidRPr="00E71982">
              <w:rPr>
                <w:color w:val="FF0000"/>
                <w:sz w:val="20"/>
                <w:szCs w:val="20"/>
              </w:rPr>
              <w:t>Seasonal address</w:t>
            </w:r>
          </w:p>
          <w:p w:rsidR="00176B47" w:rsidRPr="00E71982" w:rsidRDefault="00176B47" w:rsidP="00940280">
            <w:pPr>
              <w:spacing w:after="0" w:line="240" w:lineRule="auto"/>
              <w:jc w:val="right"/>
              <w:rPr>
                <w:color w:val="FF0000"/>
                <w:sz w:val="20"/>
                <w:szCs w:val="20"/>
              </w:rPr>
            </w:pPr>
          </w:p>
        </w:tc>
        <w:tc>
          <w:tcPr>
            <w:tcW w:w="5107" w:type="dxa"/>
          </w:tcPr>
          <w:p w:rsidR="00176B47" w:rsidRPr="00E71982" w:rsidRDefault="00176B47" w:rsidP="00940280">
            <w:pPr>
              <w:tabs>
                <w:tab w:val="left" w:pos="4365"/>
              </w:tabs>
              <w:spacing w:after="0" w:line="240" w:lineRule="auto"/>
              <w:rPr>
                <w:color w:val="FF0000"/>
                <w:sz w:val="20"/>
                <w:szCs w:val="20"/>
              </w:rPr>
            </w:pPr>
            <w:r w:rsidRPr="00E71982">
              <w:rPr>
                <w:b/>
                <w:i/>
                <w:color w:val="FF0000"/>
                <w:sz w:val="20"/>
                <w:szCs w:val="20"/>
              </w:rPr>
              <w:t>Frame accuracy</w:t>
            </w:r>
            <w:r w:rsidRPr="00E71982">
              <w:rPr>
                <w:color w:val="FF0000"/>
                <w:sz w:val="20"/>
                <w:szCs w:val="20"/>
              </w:rPr>
              <w:t xml:space="preserve"> (e.g., evaluate frame information to improve adaptive design models)</w:t>
            </w:r>
          </w:p>
        </w:tc>
      </w:tr>
      <w:tr w:rsidR="00E71982" w:rsidRPr="00E71982" w:rsidTr="005B4487">
        <w:trPr>
          <w:trHeight w:val="463"/>
        </w:trPr>
        <w:tc>
          <w:tcPr>
            <w:tcW w:w="1716" w:type="dxa"/>
            <w:vMerge/>
          </w:tcPr>
          <w:p w:rsidR="00176B47" w:rsidRPr="00E71982" w:rsidRDefault="00176B47" w:rsidP="00940280">
            <w:pPr>
              <w:tabs>
                <w:tab w:val="left" w:pos="4365"/>
              </w:tabs>
              <w:spacing w:after="0" w:line="240" w:lineRule="auto"/>
              <w:rPr>
                <w:color w:val="FF0000"/>
                <w:sz w:val="20"/>
                <w:szCs w:val="20"/>
              </w:rPr>
            </w:pPr>
          </w:p>
        </w:tc>
        <w:tc>
          <w:tcPr>
            <w:tcW w:w="3432" w:type="dxa"/>
            <w:vMerge/>
          </w:tcPr>
          <w:p w:rsidR="00176B47" w:rsidRPr="00E71982" w:rsidRDefault="00176B47" w:rsidP="00940280">
            <w:pPr>
              <w:tabs>
                <w:tab w:val="left" w:pos="4365"/>
              </w:tabs>
              <w:spacing w:after="0" w:line="240" w:lineRule="auto"/>
              <w:rPr>
                <w:b/>
                <w:i/>
                <w:color w:val="FF0000"/>
                <w:sz w:val="20"/>
                <w:szCs w:val="20"/>
              </w:rPr>
            </w:pPr>
          </w:p>
        </w:tc>
        <w:tc>
          <w:tcPr>
            <w:tcW w:w="5107" w:type="dxa"/>
          </w:tcPr>
          <w:p w:rsidR="00176B47" w:rsidRPr="00E71982" w:rsidRDefault="00176B47" w:rsidP="00940280">
            <w:pPr>
              <w:tabs>
                <w:tab w:val="left" w:pos="4365"/>
              </w:tabs>
              <w:spacing w:after="0" w:line="240" w:lineRule="auto"/>
              <w:rPr>
                <w:color w:val="FF0000"/>
                <w:sz w:val="20"/>
                <w:szCs w:val="20"/>
              </w:rPr>
            </w:pPr>
            <w:r w:rsidRPr="00E71982">
              <w:rPr>
                <w:b/>
                <w:i/>
                <w:color w:val="FF0000"/>
                <w:sz w:val="20"/>
                <w:szCs w:val="20"/>
              </w:rPr>
              <w:t>Eligibility</w:t>
            </w:r>
            <w:r w:rsidRPr="00E71982">
              <w:rPr>
                <w:color w:val="FF0000"/>
                <w:sz w:val="20"/>
                <w:szCs w:val="20"/>
              </w:rPr>
              <w:t xml:space="preserve"> (e.g., confirm whether the postmaster ‘vacant household’ status is accurate) </w:t>
            </w:r>
          </w:p>
        </w:tc>
      </w:tr>
      <w:tr w:rsidR="00E71982" w:rsidRPr="00E71982" w:rsidTr="005B4487">
        <w:trPr>
          <w:trHeight w:val="615"/>
        </w:trPr>
        <w:tc>
          <w:tcPr>
            <w:tcW w:w="1716" w:type="dxa"/>
            <w:vMerge w:val="restart"/>
          </w:tcPr>
          <w:p w:rsidR="00176B47" w:rsidRPr="00E71982" w:rsidRDefault="00176B47" w:rsidP="00940280">
            <w:pPr>
              <w:tabs>
                <w:tab w:val="left" w:pos="4365"/>
              </w:tabs>
              <w:spacing w:after="0" w:line="240" w:lineRule="auto"/>
              <w:rPr>
                <w:color w:val="FF0000"/>
                <w:sz w:val="20"/>
                <w:szCs w:val="20"/>
              </w:rPr>
            </w:pPr>
            <w:r w:rsidRPr="00E71982">
              <w:rPr>
                <w:color w:val="FF0000"/>
                <w:sz w:val="20"/>
                <w:szCs w:val="20"/>
              </w:rPr>
              <w:t xml:space="preserve">Eligibility </w:t>
            </w:r>
          </w:p>
        </w:tc>
        <w:tc>
          <w:tcPr>
            <w:tcW w:w="3432" w:type="dxa"/>
            <w:vMerge w:val="restart"/>
          </w:tcPr>
          <w:p w:rsidR="00176B47" w:rsidRPr="00E71982" w:rsidRDefault="00176B47" w:rsidP="00940280">
            <w:pPr>
              <w:pStyle w:val="ListParagraph"/>
              <w:numPr>
                <w:ilvl w:val="0"/>
                <w:numId w:val="25"/>
              </w:numPr>
              <w:tabs>
                <w:tab w:val="left" w:pos="4365"/>
              </w:tabs>
              <w:spacing w:after="0" w:line="240" w:lineRule="auto"/>
              <w:ind w:left="306" w:hanging="180"/>
              <w:contextualSpacing/>
              <w:rPr>
                <w:color w:val="FF0000"/>
                <w:sz w:val="20"/>
                <w:szCs w:val="20"/>
              </w:rPr>
            </w:pPr>
            <w:r w:rsidRPr="00E71982">
              <w:rPr>
                <w:color w:val="FF0000"/>
                <w:sz w:val="20"/>
                <w:szCs w:val="20"/>
              </w:rPr>
              <w:t>Presence of children</w:t>
            </w:r>
          </w:p>
        </w:tc>
        <w:tc>
          <w:tcPr>
            <w:tcW w:w="5107" w:type="dxa"/>
          </w:tcPr>
          <w:p w:rsidR="00176B47" w:rsidRPr="00E71982" w:rsidRDefault="00176B47" w:rsidP="00940280">
            <w:pPr>
              <w:tabs>
                <w:tab w:val="left" w:pos="4365"/>
              </w:tabs>
              <w:spacing w:after="0" w:line="240" w:lineRule="auto"/>
              <w:rPr>
                <w:color w:val="FF0000"/>
                <w:sz w:val="20"/>
                <w:szCs w:val="20"/>
              </w:rPr>
            </w:pPr>
            <w:r w:rsidRPr="00E71982">
              <w:rPr>
                <w:b/>
                <w:i/>
                <w:color w:val="FF0000"/>
                <w:sz w:val="20"/>
                <w:szCs w:val="20"/>
              </w:rPr>
              <w:t>Topical Eligibility</w:t>
            </w:r>
            <w:r w:rsidRPr="00E71982">
              <w:rPr>
                <w:color w:val="FF0000"/>
                <w:sz w:val="20"/>
                <w:szCs w:val="20"/>
              </w:rPr>
              <w:t xml:space="preserve"> (e.g., assess whether the nonresponse process differs based on topical eligibility)</w:t>
            </w:r>
          </w:p>
        </w:tc>
      </w:tr>
      <w:tr w:rsidR="00E71982" w:rsidRPr="00E71982" w:rsidTr="005B4487">
        <w:trPr>
          <w:trHeight w:val="613"/>
        </w:trPr>
        <w:tc>
          <w:tcPr>
            <w:tcW w:w="1716" w:type="dxa"/>
            <w:vMerge/>
          </w:tcPr>
          <w:p w:rsidR="00176B47" w:rsidRPr="00E71982" w:rsidRDefault="00176B47" w:rsidP="00940280">
            <w:pPr>
              <w:tabs>
                <w:tab w:val="left" w:pos="4365"/>
              </w:tabs>
              <w:spacing w:after="0" w:line="240" w:lineRule="auto"/>
              <w:rPr>
                <w:color w:val="FF0000"/>
                <w:sz w:val="20"/>
                <w:szCs w:val="20"/>
              </w:rPr>
            </w:pPr>
          </w:p>
        </w:tc>
        <w:tc>
          <w:tcPr>
            <w:tcW w:w="3432" w:type="dxa"/>
            <w:vMerge/>
          </w:tcPr>
          <w:p w:rsidR="00176B47" w:rsidRPr="00E71982" w:rsidRDefault="00176B47" w:rsidP="00940280">
            <w:pPr>
              <w:pStyle w:val="ListParagraph"/>
              <w:numPr>
                <w:ilvl w:val="0"/>
                <w:numId w:val="25"/>
              </w:numPr>
              <w:tabs>
                <w:tab w:val="left" w:pos="4365"/>
              </w:tabs>
              <w:spacing w:after="0" w:line="240" w:lineRule="auto"/>
              <w:ind w:left="306" w:hanging="180"/>
              <w:contextualSpacing/>
              <w:rPr>
                <w:color w:val="FF0000"/>
                <w:sz w:val="20"/>
                <w:szCs w:val="20"/>
              </w:rPr>
            </w:pPr>
          </w:p>
        </w:tc>
        <w:tc>
          <w:tcPr>
            <w:tcW w:w="5107" w:type="dxa"/>
          </w:tcPr>
          <w:p w:rsidR="00176B47" w:rsidRPr="00E71982" w:rsidRDefault="00176B47" w:rsidP="00940280">
            <w:pPr>
              <w:tabs>
                <w:tab w:val="left" w:pos="4365"/>
              </w:tabs>
              <w:spacing w:after="0" w:line="240" w:lineRule="auto"/>
              <w:rPr>
                <w:color w:val="FF0000"/>
                <w:sz w:val="20"/>
                <w:szCs w:val="20"/>
              </w:rPr>
            </w:pPr>
            <w:r w:rsidRPr="00E71982">
              <w:rPr>
                <w:b/>
                <w:i/>
                <w:color w:val="FF0000"/>
                <w:sz w:val="20"/>
                <w:szCs w:val="20"/>
              </w:rPr>
              <w:t>Frame accuracy</w:t>
            </w:r>
            <w:r w:rsidRPr="00E71982">
              <w:rPr>
                <w:color w:val="FF0000"/>
                <w:sz w:val="20"/>
                <w:szCs w:val="20"/>
              </w:rPr>
              <w:t xml:space="preserve"> (e.g., evaluate frame information particularly to improve adaptive design models)</w:t>
            </w:r>
          </w:p>
        </w:tc>
      </w:tr>
      <w:tr w:rsidR="00E71982" w:rsidRPr="00E71982" w:rsidTr="005B4487">
        <w:trPr>
          <w:trHeight w:val="613"/>
        </w:trPr>
        <w:tc>
          <w:tcPr>
            <w:tcW w:w="1716" w:type="dxa"/>
            <w:vMerge/>
          </w:tcPr>
          <w:p w:rsidR="00176B47" w:rsidRPr="00E71982" w:rsidRDefault="00176B47" w:rsidP="00940280">
            <w:pPr>
              <w:tabs>
                <w:tab w:val="left" w:pos="4365"/>
              </w:tabs>
              <w:spacing w:after="0" w:line="240" w:lineRule="auto"/>
              <w:rPr>
                <w:color w:val="FF0000"/>
                <w:sz w:val="20"/>
                <w:szCs w:val="20"/>
              </w:rPr>
            </w:pPr>
          </w:p>
        </w:tc>
        <w:tc>
          <w:tcPr>
            <w:tcW w:w="3432" w:type="dxa"/>
            <w:vMerge/>
          </w:tcPr>
          <w:p w:rsidR="00176B47" w:rsidRPr="00E71982" w:rsidRDefault="00176B47" w:rsidP="00940280">
            <w:pPr>
              <w:pStyle w:val="ListParagraph"/>
              <w:numPr>
                <w:ilvl w:val="0"/>
                <w:numId w:val="25"/>
              </w:numPr>
              <w:tabs>
                <w:tab w:val="left" w:pos="4365"/>
              </w:tabs>
              <w:spacing w:after="0" w:line="240" w:lineRule="auto"/>
              <w:ind w:left="306" w:hanging="180"/>
              <w:contextualSpacing/>
              <w:rPr>
                <w:color w:val="FF0000"/>
                <w:sz w:val="20"/>
                <w:szCs w:val="20"/>
              </w:rPr>
            </w:pPr>
          </w:p>
        </w:tc>
        <w:tc>
          <w:tcPr>
            <w:tcW w:w="5107" w:type="dxa"/>
          </w:tcPr>
          <w:p w:rsidR="00176B47" w:rsidRPr="00E71982" w:rsidRDefault="00176B47" w:rsidP="00940280">
            <w:pPr>
              <w:tabs>
                <w:tab w:val="left" w:pos="4365"/>
              </w:tabs>
              <w:spacing w:after="0" w:line="240" w:lineRule="auto"/>
              <w:rPr>
                <w:color w:val="FF0000"/>
                <w:sz w:val="20"/>
                <w:szCs w:val="20"/>
              </w:rPr>
            </w:pPr>
            <w:r w:rsidRPr="00E71982">
              <w:rPr>
                <w:b/>
                <w:i/>
                <w:color w:val="FF0000"/>
                <w:sz w:val="20"/>
                <w:szCs w:val="20"/>
              </w:rPr>
              <w:t>Contact materials</w:t>
            </w:r>
            <w:r w:rsidRPr="00E71982">
              <w:rPr>
                <w:color w:val="FF0000"/>
                <w:sz w:val="20"/>
                <w:szCs w:val="20"/>
              </w:rPr>
              <w:t xml:space="preserve"> (e.g., tailor language used in survey invitation to alleviate privacy concerns of certain households such as households with children)</w:t>
            </w:r>
          </w:p>
        </w:tc>
      </w:tr>
      <w:tr w:rsidR="00E71982" w:rsidRPr="00E71982" w:rsidTr="005B4487">
        <w:trPr>
          <w:trHeight w:val="155"/>
        </w:trPr>
        <w:tc>
          <w:tcPr>
            <w:tcW w:w="1716" w:type="dxa"/>
            <w:vMerge w:val="restart"/>
          </w:tcPr>
          <w:p w:rsidR="00176B47" w:rsidRPr="00E71982" w:rsidRDefault="00176B47" w:rsidP="00940280">
            <w:pPr>
              <w:tabs>
                <w:tab w:val="left" w:pos="4365"/>
              </w:tabs>
              <w:spacing w:after="0" w:line="240" w:lineRule="auto"/>
              <w:rPr>
                <w:color w:val="FF0000"/>
                <w:sz w:val="20"/>
                <w:szCs w:val="20"/>
              </w:rPr>
            </w:pPr>
            <w:r w:rsidRPr="00E71982">
              <w:rPr>
                <w:color w:val="FF0000"/>
                <w:sz w:val="20"/>
                <w:szCs w:val="20"/>
              </w:rPr>
              <w:t>Mail Access</w:t>
            </w:r>
          </w:p>
        </w:tc>
        <w:tc>
          <w:tcPr>
            <w:tcW w:w="3432" w:type="dxa"/>
            <w:vMerge w:val="restart"/>
          </w:tcPr>
          <w:p w:rsidR="00176B47" w:rsidRPr="00E71982" w:rsidRDefault="00176B47" w:rsidP="00940280">
            <w:pPr>
              <w:pStyle w:val="ListParagraph"/>
              <w:numPr>
                <w:ilvl w:val="0"/>
                <w:numId w:val="25"/>
              </w:numPr>
              <w:tabs>
                <w:tab w:val="left" w:pos="4365"/>
              </w:tabs>
              <w:spacing w:after="0" w:line="240" w:lineRule="auto"/>
              <w:ind w:left="306" w:hanging="180"/>
              <w:contextualSpacing/>
              <w:rPr>
                <w:b/>
                <w:i/>
                <w:color w:val="FF0000"/>
                <w:sz w:val="20"/>
                <w:szCs w:val="20"/>
              </w:rPr>
            </w:pPr>
            <w:r w:rsidRPr="00E71982">
              <w:rPr>
                <w:color w:val="FF0000"/>
                <w:sz w:val="20"/>
                <w:szCs w:val="20"/>
              </w:rPr>
              <w:t>Mailing address type</w:t>
            </w:r>
          </w:p>
          <w:p w:rsidR="00176B47" w:rsidRPr="00E71982" w:rsidRDefault="00176B47" w:rsidP="00940280">
            <w:pPr>
              <w:pStyle w:val="ListParagraph"/>
              <w:numPr>
                <w:ilvl w:val="0"/>
                <w:numId w:val="25"/>
              </w:numPr>
              <w:tabs>
                <w:tab w:val="left" w:pos="4365"/>
              </w:tabs>
              <w:spacing w:after="0" w:line="240" w:lineRule="auto"/>
              <w:ind w:left="306" w:hanging="180"/>
              <w:contextualSpacing/>
              <w:rPr>
                <w:color w:val="FF0000"/>
                <w:sz w:val="20"/>
                <w:szCs w:val="20"/>
              </w:rPr>
            </w:pPr>
            <w:r w:rsidRPr="00E71982">
              <w:rPr>
                <w:color w:val="FF0000"/>
                <w:sz w:val="20"/>
                <w:szCs w:val="20"/>
              </w:rPr>
              <w:t>Drop point</w:t>
            </w:r>
          </w:p>
          <w:p w:rsidR="00176B47" w:rsidRPr="00E71982" w:rsidRDefault="00176B47" w:rsidP="00940280">
            <w:pPr>
              <w:pStyle w:val="ListParagraph"/>
              <w:numPr>
                <w:ilvl w:val="0"/>
                <w:numId w:val="25"/>
              </w:numPr>
              <w:tabs>
                <w:tab w:val="left" w:pos="4365"/>
              </w:tabs>
              <w:spacing w:after="0" w:line="240" w:lineRule="auto"/>
              <w:ind w:left="306" w:hanging="180"/>
              <w:contextualSpacing/>
              <w:rPr>
                <w:color w:val="FF0000"/>
                <w:sz w:val="20"/>
                <w:szCs w:val="20"/>
              </w:rPr>
            </w:pPr>
            <w:r w:rsidRPr="00E71982">
              <w:rPr>
                <w:color w:val="FF0000"/>
                <w:sz w:val="20"/>
                <w:szCs w:val="20"/>
              </w:rPr>
              <w:t>Delivery point type code</w:t>
            </w:r>
          </w:p>
        </w:tc>
        <w:tc>
          <w:tcPr>
            <w:tcW w:w="5107" w:type="dxa"/>
          </w:tcPr>
          <w:p w:rsidR="00176B47" w:rsidRPr="00E71982" w:rsidRDefault="00176B47" w:rsidP="00940280">
            <w:pPr>
              <w:tabs>
                <w:tab w:val="left" w:pos="4365"/>
              </w:tabs>
              <w:spacing w:after="0" w:line="240" w:lineRule="auto"/>
              <w:rPr>
                <w:color w:val="FF0000"/>
                <w:sz w:val="20"/>
                <w:szCs w:val="20"/>
              </w:rPr>
            </w:pPr>
            <w:r w:rsidRPr="00E71982">
              <w:rPr>
                <w:b/>
                <w:i/>
                <w:color w:val="FF0000"/>
                <w:sz w:val="20"/>
                <w:szCs w:val="20"/>
              </w:rPr>
              <w:t>Mailing method</w:t>
            </w:r>
            <w:r w:rsidRPr="00E71982">
              <w:rPr>
                <w:color w:val="FF0000"/>
                <w:sz w:val="20"/>
                <w:szCs w:val="20"/>
              </w:rPr>
              <w:t xml:space="preserve"> (e.g., using courier services that provide door-to-door service)</w:t>
            </w:r>
          </w:p>
        </w:tc>
      </w:tr>
      <w:tr w:rsidR="00E71982" w:rsidRPr="00E71982" w:rsidTr="005B4487">
        <w:trPr>
          <w:trHeight w:val="154"/>
        </w:trPr>
        <w:tc>
          <w:tcPr>
            <w:tcW w:w="1716" w:type="dxa"/>
            <w:vMerge/>
          </w:tcPr>
          <w:p w:rsidR="00176B47" w:rsidRPr="00E71982" w:rsidRDefault="00176B47" w:rsidP="00940280">
            <w:pPr>
              <w:tabs>
                <w:tab w:val="left" w:pos="4365"/>
              </w:tabs>
              <w:spacing w:after="0" w:line="240" w:lineRule="auto"/>
              <w:rPr>
                <w:color w:val="FF0000"/>
                <w:sz w:val="20"/>
                <w:szCs w:val="20"/>
              </w:rPr>
            </w:pPr>
          </w:p>
        </w:tc>
        <w:tc>
          <w:tcPr>
            <w:tcW w:w="3432" w:type="dxa"/>
            <w:vMerge/>
          </w:tcPr>
          <w:p w:rsidR="00176B47" w:rsidRPr="00E71982" w:rsidRDefault="00176B47" w:rsidP="00940280">
            <w:pPr>
              <w:pStyle w:val="ListParagraph"/>
              <w:numPr>
                <w:ilvl w:val="0"/>
                <w:numId w:val="25"/>
              </w:numPr>
              <w:tabs>
                <w:tab w:val="left" w:pos="4365"/>
              </w:tabs>
              <w:spacing w:after="0" w:line="240" w:lineRule="auto"/>
              <w:ind w:left="306" w:hanging="180"/>
              <w:contextualSpacing/>
              <w:rPr>
                <w:color w:val="FF0000"/>
                <w:sz w:val="20"/>
                <w:szCs w:val="20"/>
              </w:rPr>
            </w:pPr>
          </w:p>
        </w:tc>
        <w:tc>
          <w:tcPr>
            <w:tcW w:w="5107" w:type="dxa"/>
          </w:tcPr>
          <w:p w:rsidR="00176B47" w:rsidRPr="00E71982" w:rsidRDefault="00176B47" w:rsidP="00940280">
            <w:pPr>
              <w:tabs>
                <w:tab w:val="left" w:pos="4365"/>
              </w:tabs>
              <w:spacing w:after="0" w:line="240" w:lineRule="auto"/>
              <w:rPr>
                <w:color w:val="FF0000"/>
                <w:sz w:val="20"/>
                <w:szCs w:val="20"/>
              </w:rPr>
            </w:pPr>
            <w:r w:rsidRPr="00E71982">
              <w:rPr>
                <w:b/>
                <w:i/>
                <w:color w:val="FF0000"/>
                <w:sz w:val="20"/>
                <w:szCs w:val="20"/>
              </w:rPr>
              <w:t>Contact materials</w:t>
            </w:r>
            <w:r w:rsidRPr="00E71982">
              <w:rPr>
                <w:color w:val="FF0000"/>
                <w:sz w:val="20"/>
                <w:szCs w:val="20"/>
              </w:rPr>
              <w:t xml:space="preserve"> (e.g., use bolder envelope designs such as larger font for addresses where mail mix-up is likely)</w:t>
            </w:r>
          </w:p>
        </w:tc>
      </w:tr>
      <w:tr w:rsidR="00E71982" w:rsidRPr="00E71982" w:rsidTr="005B4487">
        <w:trPr>
          <w:trHeight w:val="154"/>
        </w:trPr>
        <w:tc>
          <w:tcPr>
            <w:tcW w:w="1716" w:type="dxa"/>
            <w:vMerge/>
          </w:tcPr>
          <w:p w:rsidR="00176B47" w:rsidRPr="00E71982" w:rsidRDefault="00176B47" w:rsidP="00940280">
            <w:pPr>
              <w:tabs>
                <w:tab w:val="left" w:pos="4365"/>
              </w:tabs>
              <w:spacing w:after="0" w:line="240" w:lineRule="auto"/>
              <w:rPr>
                <w:color w:val="FF0000"/>
                <w:sz w:val="20"/>
                <w:szCs w:val="20"/>
              </w:rPr>
            </w:pPr>
          </w:p>
        </w:tc>
        <w:tc>
          <w:tcPr>
            <w:tcW w:w="3432" w:type="dxa"/>
            <w:vMerge/>
          </w:tcPr>
          <w:p w:rsidR="00176B47" w:rsidRPr="00E71982" w:rsidRDefault="00176B47" w:rsidP="00940280">
            <w:pPr>
              <w:pStyle w:val="ListParagraph"/>
              <w:numPr>
                <w:ilvl w:val="0"/>
                <w:numId w:val="25"/>
              </w:numPr>
              <w:tabs>
                <w:tab w:val="left" w:pos="4365"/>
              </w:tabs>
              <w:spacing w:after="0" w:line="240" w:lineRule="auto"/>
              <w:ind w:left="306" w:hanging="180"/>
              <w:contextualSpacing/>
              <w:rPr>
                <w:color w:val="FF0000"/>
                <w:sz w:val="20"/>
                <w:szCs w:val="20"/>
              </w:rPr>
            </w:pPr>
          </w:p>
        </w:tc>
        <w:tc>
          <w:tcPr>
            <w:tcW w:w="5107" w:type="dxa"/>
          </w:tcPr>
          <w:p w:rsidR="00176B47" w:rsidRPr="00E71982" w:rsidRDefault="00176B47" w:rsidP="00940280">
            <w:pPr>
              <w:tabs>
                <w:tab w:val="left" w:pos="4365"/>
              </w:tabs>
              <w:spacing w:after="0" w:line="240" w:lineRule="auto"/>
              <w:rPr>
                <w:color w:val="FF0000"/>
                <w:sz w:val="20"/>
                <w:szCs w:val="20"/>
              </w:rPr>
            </w:pPr>
            <w:r w:rsidRPr="00E71982">
              <w:rPr>
                <w:b/>
                <w:i/>
                <w:color w:val="FF0000"/>
                <w:sz w:val="20"/>
                <w:szCs w:val="20"/>
              </w:rPr>
              <w:t>Frame accuracy</w:t>
            </w:r>
            <w:r w:rsidRPr="00E71982">
              <w:rPr>
                <w:color w:val="FF0000"/>
                <w:sz w:val="20"/>
                <w:szCs w:val="20"/>
              </w:rPr>
              <w:t xml:space="preserve"> (e.g., evaluate frame information particularly to improve adaptive design models)</w:t>
            </w:r>
          </w:p>
        </w:tc>
      </w:tr>
      <w:tr w:rsidR="00E71982" w:rsidRPr="00E71982" w:rsidTr="005B4487">
        <w:trPr>
          <w:trHeight w:val="464"/>
        </w:trPr>
        <w:tc>
          <w:tcPr>
            <w:tcW w:w="1716" w:type="dxa"/>
            <w:vMerge w:val="restart"/>
          </w:tcPr>
          <w:p w:rsidR="00176B47" w:rsidRPr="00E71982" w:rsidRDefault="00176B47" w:rsidP="00940280">
            <w:pPr>
              <w:tabs>
                <w:tab w:val="left" w:pos="4365"/>
              </w:tabs>
              <w:spacing w:after="0" w:line="240" w:lineRule="auto"/>
              <w:rPr>
                <w:color w:val="FF0000"/>
                <w:sz w:val="20"/>
                <w:szCs w:val="20"/>
              </w:rPr>
            </w:pPr>
            <w:r w:rsidRPr="00E71982">
              <w:rPr>
                <w:color w:val="FF0000"/>
                <w:sz w:val="20"/>
                <w:szCs w:val="20"/>
              </w:rPr>
              <w:t>Household income</w:t>
            </w:r>
          </w:p>
        </w:tc>
        <w:tc>
          <w:tcPr>
            <w:tcW w:w="3432" w:type="dxa"/>
            <w:vMerge w:val="restart"/>
          </w:tcPr>
          <w:p w:rsidR="00176B47" w:rsidRPr="00E71982" w:rsidRDefault="00176B47" w:rsidP="00940280">
            <w:pPr>
              <w:pStyle w:val="ListParagraph"/>
              <w:numPr>
                <w:ilvl w:val="0"/>
                <w:numId w:val="25"/>
              </w:numPr>
              <w:tabs>
                <w:tab w:val="left" w:pos="4365"/>
              </w:tabs>
              <w:spacing w:after="0" w:line="240" w:lineRule="auto"/>
              <w:ind w:left="306" w:hanging="180"/>
              <w:contextualSpacing/>
              <w:rPr>
                <w:color w:val="FF0000"/>
                <w:sz w:val="20"/>
                <w:szCs w:val="20"/>
              </w:rPr>
            </w:pPr>
            <w:r w:rsidRPr="00E71982">
              <w:rPr>
                <w:color w:val="FF0000"/>
                <w:sz w:val="20"/>
                <w:szCs w:val="20"/>
              </w:rPr>
              <w:t>Household income</w:t>
            </w:r>
          </w:p>
        </w:tc>
        <w:tc>
          <w:tcPr>
            <w:tcW w:w="5107" w:type="dxa"/>
          </w:tcPr>
          <w:p w:rsidR="00176B47" w:rsidRPr="00E71982" w:rsidRDefault="00176B47" w:rsidP="00940280">
            <w:pPr>
              <w:tabs>
                <w:tab w:val="left" w:pos="4365"/>
              </w:tabs>
              <w:spacing w:after="0" w:line="240" w:lineRule="auto"/>
              <w:rPr>
                <w:b/>
                <w:i/>
                <w:color w:val="FF0000"/>
                <w:sz w:val="20"/>
                <w:szCs w:val="20"/>
              </w:rPr>
            </w:pPr>
            <w:r w:rsidRPr="00E71982">
              <w:rPr>
                <w:b/>
                <w:i/>
                <w:color w:val="FF0000"/>
                <w:sz w:val="20"/>
                <w:szCs w:val="20"/>
              </w:rPr>
              <w:t xml:space="preserve">Incentive use </w:t>
            </w:r>
            <w:r w:rsidRPr="00E71982">
              <w:rPr>
                <w:color w:val="FF0000"/>
                <w:sz w:val="20"/>
                <w:szCs w:val="20"/>
              </w:rPr>
              <w:t>(e.g., use varying incentive structures by income level)</w:t>
            </w:r>
          </w:p>
        </w:tc>
      </w:tr>
      <w:tr w:rsidR="00E71982" w:rsidRPr="00E71982" w:rsidTr="005B4487">
        <w:trPr>
          <w:trHeight w:val="463"/>
        </w:trPr>
        <w:tc>
          <w:tcPr>
            <w:tcW w:w="1716" w:type="dxa"/>
            <w:vMerge/>
          </w:tcPr>
          <w:p w:rsidR="00176B47" w:rsidRPr="00E71982" w:rsidRDefault="00176B47" w:rsidP="00940280">
            <w:pPr>
              <w:tabs>
                <w:tab w:val="left" w:pos="4365"/>
              </w:tabs>
              <w:spacing w:after="0" w:line="240" w:lineRule="auto"/>
              <w:rPr>
                <w:color w:val="FF0000"/>
                <w:sz w:val="20"/>
                <w:szCs w:val="20"/>
              </w:rPr>
            </w:pPr>
          </w:p>
        </w:tc>
        <w:tc>
          <w:tcPr>
            <w:tcW w:w="3432" w:type="dxa"/>
            <w:vMerge/>
          </w:tcPr>
          <w:p w:rsidR="00176B47" w:rsidRPr="00E71982" w:rsidRDefault="00176B47" w:rsidP="00940280">
            <w:pPr>
              <w:pStyle w:val="ListParagraph"/>
              <w:numPr>
                <w:ilvl w:val="0"/>
                <w:numId w:val="25"/>
              </w:numPr>
              <w:tabs>
                <w:tab w:val="left" w:pos="4365"/>
              </w:tabs>
              <w:spacing w:after="0" w:line="240" w:lineRule="auto"/>
              <w:contextualSpacing/>
              <w:rPr>
                <w:color w:val="FF0000"/>
                <w:sz w:val="20"/>
                <w:szCs w:val="20"/>
              </w:rPr>
            </w:pPr>
          </w:p>
        </w:tc>
        <w:tc>
          <w:tcPr>
            <w:tcW w:w="5107" w:type="dxa"/>
          </w:tcPr>
          <w:p w:rsidR="00176B47" w:rsidRPr="00E71982" w:rsidRDefault="00176B47" w:rsidP="00940280">
            <w:pPr>
              <w:tabs>
                <w:tab w:val="left" w:pos="4365"/>
              </w:tabs>
              <w:spacing w:after="0" w:line="240" w:lineRule="auto"/>
              <w:rPr>
                <w:b/>
                <w:i/>
                <w:color w:val="FF0000"/>
                <w:sz w:val="20"/>
                <w:szCs w:val="20"/>
              </w:rPr>
            </w:pPr>
            <w:r w:rsidRPr="00E71982">
              <w:rPr>
                <w:b/>
                <w:i/>
                <w:color w:val="FF0000"/>
                <w:sz w:val="20"/>
                <w:szCs w:val="20"/>
              </w:rPr>
              <w:t>Frame accuracy</w:t>
            </w:r>
            <w:r w:rsidRPr="00E71982">
              <w:rPr>
                <w:color w:val="FF0000"/>
                <w:sz w:val="20"/>
                <w:szCs w:val="20"/>
              </w:rPr>
              <w:t xml:space="preserve"> (e.g., evaluate frame information particularly to improve adaptive design models)</w:t>
            </w:r>
          </w:p>
        </w:tc>
      </w:tr>
      <w:tr w:rsidR="00E71982" w:rsidRPr="00E71982" w:rsidTr="005B4487">
        <w:tc>
          <w:tcPr>
            <w:tcW w:w="1716" w:type="dxa"/>
          </w:tcPr>
          <w:p w:rsidR="00176B47" w:rsidRPr="00E71982" w:rsidRDefault="00176B47" w:rsidP="00940280">
            <w:pPr>
              <w:tabs>
                <w:tab w:val="left" w:pos="4365"/>
              </w:tabs>
              <w:spacing w:after="0" w:line="240" w:lineRule="auto"/>
              <w:rPr>
                <w:color w:val="FF0000"/>
                <w:sz w:val="20"/>
                <w:szCs w:val="20"/>
              </w:rPr>
            </w:pPr>
            <w:r w:rsidRPr="00E71982">
              <w:rPr>
                <w:color w:val="FF0000"/>
                <w:sz w:val="20"/>
                <w:szCs w:val="20"/>
              </w:rPr>
              <w:t>Additional address / neighborhood observations</w:t>
            </w:r>
          </w:p>
        </w:tc>
        <w:tc>
          <w:tcPr>
            <w:tcW w:w="3432" w:type="dxa"/>
          </w:tcPr>
          <w:p w:rsidR="00176B47" w:rsidRPr="00E71982" w:rsidRDefault="00176B47" w:rsidP="00940280">
            <w:pPr>
              <w:tabs>
                <w:tab w:val="left" w:pos="4365"/>
              </w:tabs>
              <w:spacing w:after="0" w:line="240" w:lineRule="auto"/>
              <w:rPr>
                <w:color w:val="FF0000"/>
                <w:sz w:val="20"/>
                <w:szCs w:val="20"/>
              </w:rPr>
            </w:pPr>
            <w:r w:rsidRPr="00E71982">
              <w:rPr>
                <w:color w:val="FF0000"/>
                <w:sz w:val="20"/>
                <w:szCs w:val="20"/>
              </w:rPr>
              <w:t xml:space="preserve">None (these observations will be used to assess whether additional census planning database variables should be used for making data collection protocol changes) </w:t>
            </w:r>
          </w:p>
        </w:tc>
        <w:tc>
          <w:tcPr>
            <w:tcW w:w="5107" w:type="dxa"/>
          </w:tcPr>
          <w:p w:rsidR="00176B47" w:rsidRPr="00E71982" w:rsidRDefault="00176B47" w:rsidP="00940280">
            <w:pPr>
              <w:tabs>
                <w:tab w:val="left" w:pos="4365"/>
              </w:tabs>
              <w:spacing w:after="0" w:line="240" w:lineRule="auto"/>
              <w:rPr>
                <w:b/>
                <w:i/>
                <w:color w:val="FF0000"/>
                <w:sz w:val="20"/>
                <w:szCs w:val="20"/>
              </w:rPr>
            </w:pPr>
            <w:r w:rsidRPr="00E71982">
              <w:rPr>
                <w:b/>
                <w:i/>
                <w:color w:val="FF0000"/>
                <w:sz w:val="20"/>
                <w:szCs w:val="20"/>
              </w:rPr>
              <w:t>Contact materials</w:t>
            </w:r>
            <w:r w:rsidRPr="00E71982">
              <w:rPr>
                <w:color w:val="FF0000"/>
                <w:sz w:val="20"/>
                <w:szCs w:val="20"/>
              </w:rPr>
              <w:t xml:space="preserve"> (e.g., tailor emphasis of individual (incentive) versus communal (policy impact) advantages of NHES participation)</w:t>
            </w:r>
          </w:p>
        </w:tc>
      </w:tr>
    </w:tbl>
    <w:p w:rsidR="00176B47" w:rsidRPr="00E71982" w:rsidRDefault="00176B47" w:rsidP="004450A2">
      <w:pPr>
        <w:spacing w:after="120" w:line="240" w:lineRule="auto"/>
        <w:rPr>
          <w:color w:val="FF0000"/>
        </w:rPr>
      </w:pPr>
    </w:p>
    <w:p w:rsidR="00C80716" w:rsidRDefault="00176B47" w:rsidP="004450A2">
      <w:pPr>
        <w:pStyle w:val="NoSpacing"/>
        <w:widowControl w:val="0"/>
        <w:spacing w:after="120"/>
        <w:rPr>
          <w:rFonts w:ascii="Times New Roman" w:hAnsi="Times New Roman" w:cs="Times New Roman"/>
          <w:color w:val="FF0000"/>
        </w:rPr>
      </w:pPr>
      <w:r w:rsidRPr="00E71982">
        <w:rPr>
          <w:rFonts w:ascii="Times New Roman" w:hAnsi="Times New Roman" w:cs="Times New Roman"/>
          <w:color w:val="FF0000"/>
        </w:rPr>
        <w:t xml:space="preserve">As part of the 7-minute observation, observers will also take a picture of the sampled address to validate that the observer was indeed present at the address, to document a time and location of the visit, and to clarify any issues related to the observation the observer may </w:t>
      </w:r>
      <w:r w:rsidR="001603E7" w:rsidRPr="001603E7">
        <w:rPr>
          <w:rFonts w:ascii="Times New Roman" w:hAnsi="Times New Roman" w:cs="Times New Roman"/>
          <w:color w:val="FF0000"/>
        </w:rPr>
        <w:t>have recorded. The photos will only be taken from public spaces such as the street, and will not be taken while on someone’s private property</w:t>
      </w:r>
      <w:r w:rsidRPr="00E71982">
        <w:rPr>
          <w:rFonts w:ascii="Times New Roman" w:hAnsi="Times New Roman" w:cs="Times New Roman"/>
          <w:color w:val="FF0000"/>
        </w:rPr>
        <w:t>.</w:t>
      </w:r>
      <w:r w:rsidR="00057C4D">
        <w:rPr>
          <w:rFonts w:ascii="Times New Roman" w:hAnsi="Times New Roman" w:cs="Times New Roman"/>
          <w:color w:val="FF0000"/>
        </w:rPr>
        <w:t xml:space="preserve"> </w:t>
      </w:r>
      <w:r w:rsidR="00057C4D" w:rsidRPr="00057C4D">
        <w:rPr>
          <w:rFonts w:ascii="Times New Roman" w:hAnsi="Times New Roman" w:cs="Times New Roman"/>
          <w:color w:val="FF0000"/>
        </w:rPr>
        <w:t>The finalized observation protocol for the In-Person Study of NHES:2019 Nonresponding Households is provided in Attachment B</w:t>
      </w:r>
      <w:r w:rsidR="00EC7D69">
        <w:rPr>
          <w:rFonts w:ascii="Times New Roman" w:hAnsi="Times New Roman" w:cs="Times New Roman"/>
          <w:color w:val="FF0000"/>
        </w:rPr>
        <w:t>.3</w:t>
      </w:r>
      <w:r w:rsidR="00057C4D" w:rsidRPr="00057C4D">
        <w:rPr>
          <w:rFonts w:ascii="Times New Roman" w:hAnsi="Times New Roman" w:cs="Times New Roman"/>
          <w:color w:val="FF0000"/>
        </w:rPr>
        <w:t xml:space="preserve"> of this document</w:t>
      </w:r>
    </w:p>
    <w:bookmarkEnd w:id="69"/>
    <w:bookmarkEnd w:id="70"/>
    <w:p w:rsidR="00176B47" w:rsidRPr="004450A2" w:rsidRDefault="00B87C0C" w:rsidP="004450A2">
      <w:pPr>
        <w:spacing w:after="120" w:line="240" w:lineRule="auto"/>
        <w:rPr>
          <w:rFonts w:ascii="Times New Roman" w:hAnsi="Times New Roman"/>
        </w:rPr>
      </w:pPr>
      <w:r w:rsidRPr="00B87C0C">
        <w:rPr>
          <w:rFonts w:ascii="Times New Roman" w:hAnsi="Times New Roman"/>
          <w:sz w:val="24"/>
          <w:szCs w:val="24"/>
          <w:highlight w:val="yellow"/>
        </w:rPr>
        <w:t>All materials on pages 14-36 and 48-51 of Appendix 4 are newly added. Please also note that Attachment B.2. of Appendix 4 (pages 37-47) will provide the Spanish versions of the materials that will be used to interact with households sampled for the qualitative interview. These materials will be provided to OMB as a change request in November 2018.</w:t>
      </w:r>
    </w:p>
    <w:sectPr w:rsidR="00176B47" w:rsidRPr="004450A2" w:rsidSect="00EC36B2">
      <w:footerReference w:type="default" r:id="rId11"/>
      <w:headerReference w:type="first" r:id="rId12"/>
      <w:footerReference w:type="first" r:id="rId13"/>
      <w:pgSz w:w="12240" w:h="15840" w:code="1"/>
      <w:pgMar w:top="864" w:right="864" w:bottom="720" w:left="864" w:header="288"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CC9" w:rsidRDefault="00107CC9" w:rsidP="00F375C9">
      <w:pPr>
        <w:spacing w:after="0" w:line="240" w:lineRule="auto"/>
      </w:pPr>
      <w:r>
        <w:separator/>
      </w:r>
    </w:p>
  </w:endnote>
  <w:endnote w:type="continuationSeparator" w:id="0">
    <w:p w:rsidR="00107CC9" w:rsidRDefault="00107CC9"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d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rsidP="007E1975">
    <w:pPr>
      <w:pStyle w:val="Footer"/>
      <w:jc w:val="center"/>
    </w:pPr>
    <w:r>
      <w:fldChar w:fldCharType="begin"/>
    </w:r>
    <w:r>
      <w:instrText xml:space="preserve"> PAGE   \* MERGEFORMAT </w:instrText>
    </w:r>
    <w:r>
      <w:fldChar w:fldCharType="separate"/>
    </w:r>
    <w:r w:rsidR="008B54F5">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FA25D4" w:rsidP="00502D44">
    <w:pPr>
      <w:pStyle w:val="Footer"/>
      <w:jc w:val="center"/>
      <w:rPr>
        <w:sz w:val="18"/>
      </w:rPr>
    </w:pPr>
    <w:r>
      <w:rPr>
        <w:sz w:val="18"/>
      </w:rPr>
      <w:t>550 12</w:t>
    </w:r>
    <w:r w:rsidRPr="00FA25D4">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CC9" w:rsidRDefault="00107CC9" w:rsidP="00F375C9">
      <w:pPr>
        <w:spacing w:after="0" w:line="240" w:lineRule="auto"/>
      </w:pPr>
      <w:r>
        <w:separator/>
      </w:r>
    </w:p>
  </w:footnote>
  <w:footnote w:type="continuationSeparator" w:id="0">
    <w:p w:rsidR="00107CC9" w:rsidRDefault="00107CC9" w:rsidP="00F375C9">
      <w:pPr>
        <w:spacing w:after="0" w:line="240" w:lineRule="auto"/>
      </w:pPr>
      <w:r>
        <w:continuationSeparator/>
      </w:r>
    </w:p>
  </w:footnote>
  <w:footnote w:id="1">
    <w:p w:rsidR="00370F78" w:rsidRPr="00692C57" w:rsidRDefault="00370F78" w:rsidP="00370F78">
      <w:pPr>
        <w:pStyle w:val="FootnoteText"/>
        <w:spacing w:line="240" w:lineRule="auto"/>
        <w:ind w:left="90" w:hanging="90"/>
        <w:jc w:val="left"/>
      </w:pPr>
      <w:r w:rsidRPr="00692C57">
        <w:rPr>
          <w:rStyle w:val="FootnoteReference"/>
        </w:rPr>
        <w:footnoteRef/>
      </w:r>
      <w:r w:rsidRPr="00692C57">
        <w:t xml:space="preserve"> The final base weighted NHES:2016 screener response rate was 66.4</w:t>
      </w:r>
      <w:r>
        <w:t>%</w:t>
      </w:r>
      <w:r w:rsidRPr="00692C57">
        <w:t xml:space="preserve">. </w:t>
      </w:r>
      <w:r>
        <w:t>ECPP</w:t>
      </w:r>
      <w:r w:rsidRPr="00692C57">
        <w:t xml:space="preserve"> yielded a 73.4</w:t>
      </w:r>
      <w:r>
        <w:t>%, PFI</w:t>
      </w:r>
      <w:r w:rsidRPr="00692C57">
        <w:t xml:space="preserve"> a 74.3</w:t>
      </w:r>
      <w:r>
        <w:t>%, and ATES</w:t>
      </w:r>
      <w:r w:rsidRPr="00692C57">
        <w:t xml:space="preserve"> a 73.1</w:t>
      </w:r>
      <w:r>
        <w:t>%</w:t>
      </w:r>
      <w:r w:rsidRPr="00692C57">
        <w:t xml:space="preserve"> topical response rate. These rates resulted in overall response rates (the product of the screener response rate and</w:t>
      </w:r>
      <w:r>
        <w:t xml:space="preserve"> topical response rate) of 48.7%</w:t>
      </w:r>
      <w:r w:rsidRPr="00692C57">
        <w:t>, 49.3</w:t>
      </w:r>
      <w:r>
        <w:t>%</w:t>
      </w:r>
      <w:r w:rsidRPr="00692C57">
        <w:t>, and 48.5</w:t>
      </w:r>
      <w:r>
        <w:t>%,</w:t>
      </w:r>
      <w:r w:rsidRPr="00692C57">
        <w:t xml:space="preserve"> respectively. The increased use of the web survey mode in 2019 </w:t>
      </w:r>
      <w:r>
        <w:t>is expected to</w:t>
      </w:r>
      <w:r w:rsidRPr="00692C57">
        <w:t xml:space="preserve"> i</w:t>
      </w:r>
      <w:r>
        <w:t>ncrease topical response rates.</w:t>
      </w:r>
    </w:p>
  </w:footnote>
  <w:footnote w:id="2">
    <w:p w:rsidR="00370F78" w:rsidRPr="00A11399" w:rsidRDefault="00370F78" w:rsidP="00370F78">
      <w:pPr>
        <w:pStyle w:val="FootnoteText"/>
        <w:jc w:val="left"/>
        <w:rPr>
          <w:strike/>
        </w:rPr>
      </w:pPr>
      <w:r w:rsidRPr="00A11399">
        <w:rPr>
          <w:rStyle w:val="FootnoteReference"/>
          <w:strike/>
          <w:color w:val="FF0000"/>
        </w:rPr>
        <w:footnoteRef/>
      </w:r>
      <w:r w:rsidRPr="00A11399">
        <w:rPr>
          <w:strike/>
          <w:color w:val="FF0000"/>
        </w:rPr>
        <w:t xml:space="preserve"> The incentive amount of $2 vs. $5 is currently under consideration. One amount will be selected for data collection and provided to OMB for review in fall 2018.</w:t>
      </w:r>
    </w:p>
  </w:footnote>
  <w:footnote w:id="3">
    <w:p w:rsidR="0054037C" w:rsidRPr="0054037C" w:rsidRDefault="0054037C" w:rsidP="0054037C">
      <w:pPr>
        <w:pStyle w:val="FootnoteText"/>
        <w:jc w:val="left"/>
        <w:rPr>
          <w:strike/>
          <w:color w:val="FF0000"/>
        </w:rPr>
      </w:pPr>
      <w:r w:rsidRPr="0054037C">
        <w:rPr>
          <w:rStyle w:val="FootnoteReference"/>
          <w:strike/>
          <w:color w:val="FF0000"/>
        </w:rPr>
        <w:footnoteRef/>
      </w:r>
      <w:r w:rsidRPr="0054037C">
        <w:rPr>
          <w:strike/>
          <w:color w:val="FF0000"/>
        </w:rPr>
        <w:t xml:space="preserve"> The incentive amount of $2 vs. $5 is currently under consideration. One amount will be selected for data collection and provided to OMB for review in fall 2018.</w:t>
      </w:r>
    </w:p>
  </w:footnote>
  <w:footnote w:id="4">
    <w:p w:rsidR="005B177B" w:rsidRPr="005D4665" w:rsidRDefault="005B177B" w:rsidP="005B177B">
      <w:pPr>
        <w:pStyle w:val="FootnoteText"/>
        <w:spacing w:line="240" w:lineRule="auto"/>
        <w:ind w:left="90" w:hanging="90"/>
        <w:jc w:val="left"/>
        <w:rPr>
          <w:szCs w:val="16"/>
        </w:rPr>
      </w:pPr>
      <w:r w:rsidRPr="00B20DD1">
        <w:rPr>
          <w:vertAlign w:val="superscript"/>
        </w:rPr>
        <w:footnoteRef/>
      </w:r>
      <w:r w:rsidRPr="00B20DD1">
        <w:t xml:space="preserve"> Ineligible addresses are those that are undeliverable. Screener mailings for an address where one or more mailings are returned as a postmaster return (PMR) and no mailings are returned </w:t>
      </w:r>
      <w:r w:rsidRPr="005D4665">
        <w:rPr>
          <w:szCs w:val="16"/>
        </w:rPr>
        <w:t>complete</w:t>
      </w:r>
      <w:r>
        <w:rPr>
          <w:szCs w:val="16"/>
        </w:rPr>
        <w:t>d</w:t>
      </w:r>
      <w:r w:rsidRPr="00B20DD1">
        <w:t xml:space="preserve"> or refused will lead to an address being coded as ineligible.</w:t>
      </w:r>
    </w:p>
  </w:footnote>
  <w:footnote w:id="5">
    <w:p w:rsidR="005B177B" w:rsidRPr="00B20DD1" w:rsidRDefault="005B177B" w:rsidP="005B177B">
      <w:pPr>
        <w:pStyle w:val="FootnoteText"/>
        <w:spacing w:line="240" w:lineRule="auto"/>
        <w:ind w:left="90" w:hanging="90"/>
      </w:pPr>
      <w:r w:rsidRPr="00B20DD1">
        <w:rPr>
          <w:rStyle w:val="FootnoteReference"/>
        </w:rPr>
        <w:footnoteRef/>
      </w:r>
      <w:r w:rsidRPr="00B20DD1">
        <w:t xml:space="preserve"> Address eligibility and response rates are estimated based on NHES:2016 and are calculated to account for expected differential response rates within sampling strata and experimental treatment groups.</w:t>
      </w:r>
    </w:p>
  </w:footnote>
  <w:footnote w:id="6">
    <w:p w:rsidR="00176B47" w:rsidRPr="00400AF6" w:rsidRDefault="00176B47" w:rsidP="00176B47">
      <w:pPr>
        <w:pStyle w:val="FootnoteText"/>
      </w:pPr>
      <w:r w:rsidRPr="00400AF6">
        <w:rPr>
          <w:rStyle w:val="FootnoteReference"/>
        </w:rPr>
        <w:footnoteRef/>
      </w:r>
      <w:r w:rsidRPr="00400AF6">
        <w:t xml:space="preserve"> The final base weighted NHES:2016 screener response rate was 66.4 percent. The Early Childhood Program Participation survey yielded a 73.4 percent topical response rate. The Parent and Family Involvement in Education survey yielded a 74.3 percent topical response rate. The Adult Training and Education Survey yielded a 73.1 percent topical response rate. These rates resulted in overall response rates (the product of the screener response rate and topical response rate) of 48.7 percent, 49.3 percent, and 48.5 percent, respectively. The increased use of the web survey mode in 2019 </w:t>
      </w:r>
      <w:r w:rsidRPr="00096E37">
        <w:t>is expected to</w:t>
      </w:r>
      <w:r w:rsidRPr="00400AF6">
        <w:t xml:space="preserve"> increase topical response rates.</w:t>
      </w:r>
    </w:p>
  </w:footnote>
  <w:footnote w:id="7">
    <w:p w:rsidR="00176B47" w:rsidRPr="00E71982" w:rsidRDefault="00176B47" w:rsidP="00176B47">
      <w:pPr>
        <w:pStyle w:val="FootnoteText"/>
        <w:rPr>
          <w:strike/>
          <w:color w:val="FF0000"/>
        </w:rPr>
      </w:pPr>
      <w:r w:rsidRPr="00E71982">
        <w:rPr>
          <w:rStyle w:val="FootnoteReference"/>
          <w:strike/>
          <w:color w:val="FF0000"/>
        </w:rPr>
        <w:footnoteRef/>
      </w:r>
      <w:r w:rsidRPr="00E71982">
        <w:rPr>
          <w:strike/>
          <w:color w:val="FF0000"/>
        </w:rPr>
        <w:t xml:space="preserve"> The incentive amount of $2 vs. $5 is currently under consideration. One amount will be selected for data collection and provided to OMB for review in fall 2018.</w:t>
      </w:r>
    </w:p>
  </w:footnote>
  <w:footnote w:id="8">
    <w:p w:rsidR="00176B47" w:rsidRPr="00E71982" w:rsidRDefault="00176B47" w:rsidP="00176B47">
      <w:pPr>
        <w:pStyle w:val="FootnoteText"/>
        <w:rPr>
          <w:strike/>
          <w:color w:val="FF0000"/>
        </w:rPr>
      </w:pPr>
      <w:r w:rsidRPr="00E71982">
        <w:rPr>
          <w:rStyle w:val="FootnoteReference"/>
          <w:strike/>
          <w:color w:val="FF0000"/>
        </w:rPr>
        <w:footnoteRef/>
      </w:r>
      <w:r w:rsidRPr="00E71982">
        <w:rPr>
          <w:strike/>
          <w:color w:val="FF0000"/>
        </w:rPr>
        <w:t xml:space="preserve"> Only one field interviewer will be at the household. To ensure interviewer safety, a security escort will be provided when field interviewers are visiting unsafe neighborhoods.</w:t>
      </w:r>
    </w:p>
  </w:footnote>
  <w:footnote w:id="9">
    <w:p w:rsidR="00176B47" w:rsidRPr="00E71982" w:rsidRDefault="00176B47" w:rsidP="00176B47">
      <w:pPr>
        <w:pStyle w:val="FootnoteText"/>
        <w:rPr>
          <w:strike/>
          <w:color w:val="FF0000"/>
        </w:rPr>
      </w:pPr>
      <w:r w:rsidRPr="00E71982">
        <w:rPr>
          <w:rStyle w:val="FootnoteReference"/>
          <w:strike/>
          <w:color w:val="FF0000"/>
        </w:rPr>
        <w:footnoteRef/>
      </w:r>
      <w:r w:rsidRPr="00E71982">
        <w:rPr>
          <w:strike/>
          <w:color w:val="FF0000"/>
        </w:rPr>
        <w:t xml:space="preserve"> While this basic demographic data is similar to information requested in the screener, these data will not be incorporated into the NHES:2019 dataset or used to send the household a topical NHES:2019 survey.</w:t>
      </w:r>
    </w:p>
  </w:footnote>
  <w:footnote w:id="10">
    <w:p w:rsidR="00176B47" w:rsidRPr="00E71982" w:rsidRDefault="00176B47" w:rsidP="00176B47">
      <w:pPr>
        <w:pStyle w:val="FootnoteText"/>
        <w:rPr>
          <w:color w:val="FF0000"/>
        </w:rPr>
      </w:pPr>
      <w:r w:rsidRPr="00E71982">
        <w:rPr>
          <w:rStyle w:val="FootnoteReference"/>
          <w:color w:val="FF0000"/>
        </w:rPr>
        <w:footnoteRef/>
      </w:r>
      <w:r w:rsidRPr="00E71982">
        <w:rPr>
          <w:color w:val="FF0000"/>
        </w:rPr>
        <w:t xml:space="preserve"> P</w:t>
      </w:r>
      <w:r w:rsidR="00141430">
        <w:rPr>
          <w:color w:val="FF0000"/>
        </w:rPr>
        <w:t>.</w:t>
      </w:r>
      <w:r w:rsidRPr="00E71982">
        <w:rPr>
          <w:color w:val="FF0000"/>
        </w:rPr>
        <w:t>O</w:t>
      </w:r>
      <w:r w:rsidR="00141430">
        <w:rPr>
          <w:color w:val="FF0000"/>
        </w:rPr>
        <w:t>.</w:t>
      </w:r>
      <w:r w:rsidRPr="00E71982">
        <w:rPr>
          <w:color w:val="FF0000"/>
        </w:rPr>
        <w:t xml:space="preserve"> Boxes that are included in the NHES:2019 sampling frame will be excluded from the nonrespondent sampling frame due to not having a street address associated with the P</w:t>
      </w:r>
      <w:r w:rsidR="00141430">
        <w:rPr>
          <w:color w:val="FF0000"/>
        </w:rPr>
        <w:t>.</w:t>
      </w:r>
      <w:r w:rsidRPr="00E71982">
        <w:rPr>
          <w:color w:val="FF0000"/>
        </w:rPr>
        <w:t>O</w:t>
      </w:r>
      <w:r w:rsidR="00141430">
        <w:rPr>
          <w:color w:val="FF0000"/>
        </w:rPr>
        <w:t>.</w:t>
      </w:r>
      <w:r w:rsidRPr="00E71982">
        <w:rPr>
          <w:color w:val="FF0000"/>
        </w:rPr>
        <w:t xml:space="preserve"> Box to visit.</w:t>
      </w:r>
    </w:p>
  </w:footnote>
  <w:footnote w:id="11">
    <w:p w:rsidR="00176B47" w:rsidRPr="00E71982" w:rsidRDefault="00176B47" w:rsidP="00176B47">
      <w:pPr>
        <w:pStyle w:val="FootnoteText"/>
        <w:rPr>
          <w:strike/>
          <w:color w:val="FF0000"/>
        </w:rPr>
      </w:pPr>
      <w:r w:rsidRPr="00E71982">
        <w:rPr>
          <w:rStyle w:val="FootnoteReference"/>
          <w:strike/>
          <w:color w:val="FF0000"/>
        </w:rPr>
        <w:footnoteRef/>
      </w:r>
      <w:r w:rsidRPr="00E71982">
        <w:rPr>
          <w:strike/>
          <w:color w:val="FF0000"/>
        </w:rPr>
        <w:t xml:space="preserve"> The incentive amount of $2 vs. $5 is currently under consideration. One amount will be selected for data collection and provided to OMB for review in fall 2018.</w:t>
      </w:r>
    </w:p>
  </w:footnote>
  <w:footnote w:id="12">
    <w:p w:rsidR="00176B47" w:rsidRPr="00E71982" w:rsidRDefault="00176B47" w:rsidP="00176B47">
      <w:pPr>
        <w:pStyle w:val="FootnoteText"/>
        <w:rPr>
          <w:strike/>
          <w:color w:val="FF0000"/>
        </w:rPr>
      </w:pPr>
      <w:r w:rsidRPr="00E71982">
        <w:rPr>
          <w:rStyle w:val="FootnoteReference"/>
          <w:strike/>
          <w:color w:val="FF0000"/>
        </w:rPr>
        <w:footnoteRef/>
      </w:r>
      <w:bookmarkStart w:id="66" w:name="_Hlk512947259"/>
      <w:r w:rsidRPr="00E71982">
        <w:rPr>
          <w:strike/>
          <w:color w:val="FF0000"/>
        </w:rPr>
        <w:t xml:space="preserve"> Only one field interviewer will be at the household. To ensure interviewer safety, a security escort will be provided when field interviewers are visiting unsafe neighborhoods.</w:t>
      </w:r>
      <w:bookmarkEnd w:id="66"/>
    </w:p>
  </w:footnote>
  <w:footnote w:id="13">
    <w:p w:rsidR="00176B47" w:rsidRPr="00E71982" w:rsidRDefault="00176B47" w:rsidP="00176B47">
      <w:pPr>
        <w:pStyle w:val="FootnoteText"/>
        <w:rPr>
          <w:strike/>
          <w:color w:val="FF0000"/>
        </w:rPr>
      </w:pPr>
      <w:r w:rsidRPr="00E71982">
        <w:rPr>
          <w:rStyle w:val="FootnoteReference"/>
          <w:strike/>
          <w:color w:val="FF0000"/>
        </w:rPr>
        <w:footnoteRef/>
      </w:r>
      <w:r w:rsidRPr="00E71982">
        <w:rPr>
          <w:strike/>
          <w:color w:val="FF0000"/>
        </w:rPr>
        <w:t xml:space="preserve"> Note that due to their brevity and structured nature, the structured interviews will not be audio recorded.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7D42BFE6" wp14:editId="04C8C961">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279F4"/>
    <w:multiLevelType w:val="hybridMultilevel"/>
    <w:tmpl w:val="D77E87A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8A3F43"/>
    <w:multiLevelType w:val="hybridMultilevel"/>
    <w:tmpl w:val="7400A1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6">
    <w:nsid w:val="14E844E9"/>
    <w:multiLevelType w:val="hybridMultilevel"/>
    <w:tmpl w:val="E520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40794"/>
    <w:multiLevelType w:val="multilevel"/>
    <w:tmpl w:val="E25ED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2E5509"/>
    <w:multiLevelType w:val="hybridMultilevel"/>
    <w:tmpl w:val="FE6A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1">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12">
    <w:nsid w:val="3785292C"/>
    <w:multiLevelType w:val="multilevel"/>
    <w:tmpl w:val="E424B6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DB86DD0"/>
    <w:multiLevelType w:val="hybridMultilevel"/>
    <w:tmpl w:val="6DCCBC6A"/>
    <w:lvl w:ilvl="0" w:tplc="8A3478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FAF5E16"/>
    <w:multiLevelType w:val="hybridMultilevel"/>
    <w:tmpl w:val="FD2C0432"/>
    <w:lvl w:ilvl="0" w:tplc="5E1257D8">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4A542C"/>
    <w:multiLevelType w:val="multilevel"/>
    <w:tmpl w:val="BD54D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AE51EE"/>
    <w:multiLevelType w:val="hybridMultilevel"/>
    <w:tmpl w:val="D50CC6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6D2354"/>
    <w:multiLevelType w:val="multilevel"/>
    <w:tmpl w:val="E6D2AD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AA4CFA"/>
    <w:multiLevelType w:val="hybridMultilevel"/>
    <w:tmpl w:val="9F12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8C7139"/>
    <w:multiLevelType w:val="hybridMultilevel"/>
    <w:tmpl w:val="D3F036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7"/>
  </w:num>
  <w:num w:numId="4">
    <w:abstractNumId w:val="19"/>
  </w:num>
  <w:num w:numId="5">
    <w:abstractNumId w:val="1"/>
  </w:num>
  <w:num w:numId="6">
    <w:abstractNumId w:val="23"/>
  </w:num>
  <w:num w:numId="7">
    <w:abstractNumId w:val="15"/>
  </w:num>
  <w:num w:numId="8">
    <w:abstractNumId w:val="21"/>
  </w:num>
  <w:num w:numId="9">
    <w:abstractNumId w:val="5"/>
  </w:num>
  <w:num w:numId="10">
    <w:abstractNumId w:val="1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4"/>
  </w:num>
  <w:num w:numId="14">
    <w:abstractNumId w:val="13"/>
  </w:num>
  <w:num w:numId="15">
    <w:abstractNumId w:val="6"/>
  </w:num>
  <w:num w:numId="16">
    <w:abstractNumId w:val="11"/>
  </w:num>
  <w:num w:numId="17">
    <w:abstractNumId w:val="10"/>
  </w:num>
  <w:num w:numId="18">
    <w:abstractNumId w:val="2"/>
  </w:num>
  <w:num w:numId="19">
    <w:abstractNumId w:val="14"/>
  </w:num>
  <w:num w:numId="20">
    <w:abstractNumId w:val="20"/>
  </w:num>
  <w:num w:numId="21">
    <w:abstractNumId w:val="16"/>
  </w:num>
  <w:num w:numId="22">
    <w:abstractNumId w:val="7"/>
  </w:num>
  <w:num w:numId="23">
    <w:abstractNumId w:val="4"/>
  </w:num>
  <w:num w:numId="24">
    <w:abstractNumId w:val="22"/>
  </w:num>
  <w:num w:numId="25">
    <w:abstractNumId w:val="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2F63"/>
    <w:rsid w:val="000262BB"/>
    <w:rsid w:val="00034D5F"/>
    <w:rsid w:val="000364C2"/>
    <w:rsid w:val="000531FA"/>
    <w:rsid w:val="00057C4D"/>
    <w:rsid w:val="0006024F"/>
    <w:rsid w:val="0006195D"/>
    <w:rsid w:val="000722C0"/>
    <w:rsid w:val="00081626"/>
    <w:rsid w:val="000A2A92"/>
    <w:rsid w:val="000A2FA3"/>
    <w:rsid w:val="000C3068"/>
    <w:rsid w:val="000D7178"/>
    <w:rsid w:val="000E0831"/>
    <w:rsid w:val="000E2963"/>
    <w:rsid w:val="000E648D"/>
    <w:rsid w:val="000F777C"/>
    <w:rsid w:val="00100303"/>
    <w:rsid w:val="001071D4"/>
    <w:rsid w:val="00107CC9"/>
    <w:rsid w:val="00116FE2"/>
    <w:rsid w:val="0013477F"/>
    <w:rsid w:val="00141430"/>
    <w:rsid w:val="0015373F"/>
    <w:rsid w:val="001603E7"/>
    <w:rsid w:val="0016664A"/>
    <w:rsid w:val="00173C82"/>
    <w:rsid w:val="00176B47"/>
    <w:rsid w:val="001778EC"/>
    <w:rsid w:val="001840DE"/>
    <w:rsid w:val="001857ED"/>
    <w:rsid w:val="001870F3"/>
    <w:rsid w:val="001A3588"/>
    <w:rsid w:val="001B15B9"/>
    <w:rsid w:val="001D493C"/>
    <w:rsid w:val="001D61F8"/>
    <w:rsid w:val="001E3698"/>
    <w:rsid w:val="001E4379"/>
    <w:rsid w:val="001E4DD4"/>
    <w:rsid w:val="00205D9C"/>
    <w:rsid w:val="00220EDA"/>
    <w:rsid w:val="002267D6"/>
    <w:rsid w:val="00233BDE"/>
    <w:rsid w:val="00245E2C"/>
    <w:rsid w:val="0024707A"/>
    <w:rsid w:val="00257B47"/>
    <w:rsid w:val="002609F8"/>
    <w:rsid w:val="00261427"/>
    <w:rsid w:val="00261F4E"/>
    <w:rsid w:val="00282624"/>
    <w:rsid w:val="0029050C"/>
    <w:rsid w:val="00294B3B"/>
    <w:rsid w:val="002A07E9"/>
    <w:rsid w:val="002A2922"/>
    <w:rsid w:val="002A7DB2"/>
    <w:rsid w:val="002B4CE8"/>
    <w:rsid w:val="002C14D4"/>
    <w:rsid w:val="002D00B6"/>
    <w:rsid w:val="002D2B29"/>
    <w:rsid w:val="002D3868"/>
    <w:rsid w:val="002D5D5A"/>
    <w:rsid w:val="002E30EE"/>
    <w:rsid w:val="002E3413"/>
    <w:rsid w:val="002E775E"/>
    <w:rsid w:val="002F5177"/>
    <w:rsid w:val="00310A12"/>
    <w:rsid w:val="00321813"/>
    <w:rsid w:val="00322812"/>
    <w:rsid w:val="00331A00"/>
    <w:rsid w:val="00340B5F"/>
    <w:rsid w:val="003604E6"/>
    <w:rsid w:val="00364F6D"/>
    <w:rsid w:val="00370F78"/>
    <w:rsid w:val="00394D4C"/>
    <w:rsid w:val="003B06F2"/>
    <w:rsid w:val="003C5B36"/>
    <w:rsid w:val="003D63D7"/>
    <w:rsid w:val="003E47B8"/>
    <w:rsid w:val="003E4CB8"/>
    <w:rsid w:val="003E5BB4"/>
    <w:rsid w:val="00404DEB"/>
    <w:rsid w:val="00422813"/>
    <w:rsid w:val="004450A2"/>
    <w:rsid w:val="00453948"/>
    <w:rsid w:val="004704ED"/>
    <w:rsid w:val="00477BB3"/>
    <w:rsid w:val="004A73A0"/>
    <w:rsid w:val="004B1A7A"/>
    <w:rsid w:val="004E0D80"/>
    <w:rsid w:val="004E2335"/>
    <w:rsid w:val="004F2BD8"/>
    <w:rsid w:val="00500AE4"/>
    <w:rsid w:val="00502D44"/>
    <w:rsid w:val="00503E37"/>
    <w:rsid w:val="00505DDA"/>
    <w:rsid w:val="005100EB"/>
    <w:rsid w:val="00520B28"/>
    <w:rsid w:val="0052501C"/>
    <w:rsid w:val="00533535"/>
    <w:rsid w:val="0054037C"/>
    <w:rsid w:val="0054051C"/>
    <w:rsid w:val="00540553"/>
    <w:rsid w:val="0055580E"/>
    <w:rsid w:val="00563519"/>
    <w:rsid w:val="00565565"/>
    <w:rsid w:val="0057133A"/>
    <w:rsid w:val="005729E8"/>
    <w:rsid w:val="0058082E"/>
    <w:rsid w:val="005938A7"/>
    <w:rsid w:val="005B177B"/>
    <w:rsid w:val="005B4487"/>
    <w:rsid w:val="005B7B8C"/>
    <w:rsid w:val="005C670F"/>
    <w:rsid w:val="005C7A4B"/>
    <w:rsid w:val="005C7BF6"/>
    <w:rsid w:val="005D2583"/>
    <w:rsid w:val="005D707E"/>
    <w:rsid w:val="005D7B99"/>
    <w:rsid w:val="005E2EAE"/>
    <w:rsid w:val="005E69A4"/>
    <w:rsid w:val="005F410A"/>
    <w:rsid w:val="00611120"/>
    <w:rsid w:val="00615891"/>
    <w:rsid w:val="00630248"/>
    <w:rsid w:val="0063198D"/>
    <w:rsid w:val="006330CB"/>
    <w:rsid w:val="006349BB"/>
    <w:rsid w:val="006429DA"/>
    <w:rsid w:val="00642D4B"/>
    <w:rsid w:val="00652327"/>
    <w:rsid w:val="00654635"/>
    <w:rsid w:val="00656F1F"/>
    <w:rsid w:val="00675EA6"/>
    <w:rsid w:val="006762FF"/>
    <w:rsid w:val="00676708"/>
    <w:rsid w:val="006777BE"/>
    <w:rsid w:val="0068043F"/>
    <w:rsid w:val="00685E99"/>
    <w:rsid w:val="00690855"/>
    <w:rsid w:val="006913AB"/>
    <w:rsid w:val="006926B1"/>
    <w:rsid w:val="006A3A61"/>
    <w:rsid w:val="006B2C44"/>
    <w:rsid w:val="006B4C1B"/>
    <w:rsid w:val="006C1144"/>
    <w:rsid w:val="006D7E19"/>
    <w:rsid w:val="006E1741"/>
    <w:rsid w:val="006E5013"/>
    <w:rsid w:val="006F07B5"/>
    <w:rsid w:val="00702D75"/>
    <w:rsid w:val="00702E59"/>
    <w:rsid w:val="00714F3D"/>
    <w:rsid w:val="007164E0"/>
    <w:rsid w:val="00721CE3"/>
    <w:rsid w:val="007253BB"/>
    <w:rsid w:val="00726A44"/>
    <w:rsid w:val="0072783F"/>
    <w:rsid w:val="00740559"/>
    <w:rsid w:val="007468E2"/>
    <w:rsid w:val="0076466B"/>
    <w:rsid w:val="007679EB"/>
    <w:rsid w:val="00775C8F"/>
    <w:rsid w:val="00782738"/>
    <w:rsid w:val="007926EA"/>
    <w:rsid w:val="007A12FB"/>
    <w:rsid w:val="007A4FF9"/>
    <w:rsid w:val="007B4C04"/>
    <w:rsid w:val="007D16DC"/>
    <w:rsid w:val="007D45B3"/>
    <w:rsid w:val="007D63CC"/>
    <w:rsid w:val="007E1975"/>
    <w:rsid w:val="007E6255"/>
    <w:rsid w:val="007F0E13"/>
    <w:rsid w:val="00800495"/>
    <w:rsid w:val="00815FFA"/>
    <w:rsid w:val="00823AAB"/>
    <w:rsid w:val="00826162"/>
    <w:rsid w:val="0082793D"/>
    <w:rsid w:val="00827B1D"/>
    <w:rsid w:val="008358C8"/>
    <w:rsid w:val="00835988"/>
    <w:rsid w:val="008449C1"/>
    <w:rsid w:val="00845B59"/>
    <w:rsid w:val="00853968"/>
    <w:rsid w:val="00854091"/>
    <w:rsid w:val="00855634"/>
    <w:rsid w:val="008609EE"/>
    <w:rsid w:val="008617FA"/>
    <w:rsid w:val="00863978"/>
    <w:rsid w:val="0086496C"/>
    <w:rsid w:val="008660F0"/>
    <w:rsid w:val="00877DF5"/>
    <w:rsid w:val="008A2331"/>
    <w:rsid w:val="008B54F5"/>
    <w:rsid w:val="008B588D"/>
    <w:rsid w:val="008C015E"/>
    <w:rsid w:val="008D26E2"/>
    <w:rsid w:val="008D4890"/>
    <w:rsid w:val="008E1235"/>
    <w:rsid w:val="008E6AF6"/>
    <w:rsid w:val="008F1952"/>
    <w:rsid w:val="008F4DAD"/>
    <w:rsid w:val="0090368D"/>
    <w:rsid w:val="00910D2D"/>
    <w:rsid w:val="00911A82"/>
    <w:rsid w:val="0092140C"/>
    <w:rsid w:val="009229A0"/>
    <w:rsid w:val="00924E9A"/>
    <w:rsid w:val="00926F51"/>
    <w:rsid w:val="00936DD3"/>
    <w:rsid w:val="00940280"/>
    <w:rsid w:val="0094344F"/>
    <w:rsid w:val="0094538A"/>
    <w:rsid w:val="00956149"/>
    <w:rsid w:val="00964E8C"/>
    <w:rsid w:val="009748E4"/>
    <w:rsid w:val="009748F0"/>
    <w:rsid w:val="0099268B"/>
    <w:rsid w:val="009A2A81"/>
    <w:rsid w:val="009B6346"/>
    <w:rsid w:val="009C197E"/>
    <w:rsid w:val="009C1F1C"/>
    <w:rsid w:val="009D4FF3"/>
    <w:rsid w:val="009E7C66"/>
    <w:rsid w:val="009F3E0D"/>
    <w:rsid w:val="009F4150"/>
    <w:rsid w:val="009F5198"/>
    <w:rsid w:val="009F7975"/>
    <w:rsid w:val="00A017C5"/>
    <w:rsid w:val="00A11006"/>
    <w:rsid w:val="00A11191"/>
    <w:rsid w:val="00A11399"/>
    <w:rsid w:val="00A3357E"/>
    <w:rsid w:val="00A35AAD"/>
    <w:rsid w:val="00A6044D"/>
    <w:rsid w:val="00A71F00"/>
    <w:rsid w:val="00A7405B"/>
    <w:rsid w:val="00A753B8"/>
    <w:rsid w:val="00A76613"/>
    <w:rsid w:val="00A9091F"/>
    <w:rsid w:val="00A9348D"/>
    <w:rsid w:val="00AA16E4"/>
    <w:rsid w:val="00AA2E08"/>
    <w:rsid w:val="00AB4096"/>
    <w:rsid w:val="00AC28A1"/>
    <w:rsid w:val="00AD10E7"/>
    <w:rsid w:val="00AE420F"/>
    <w:rsid w:val="00AE77CC"/>
    <w:rsid w:val="00AF2650"/>
    <w:rsid w:val="00AF6E66"/>
    <w:rsid w:val="00B07EA8"/>
    <w:rsid w:val="00B11336"/>
    <w:rsid w:val="00B132E5"/>
    <w:rsid w:val="00B34FF2"/>
    <w:rsid w:val="00B36147"/>
    <w:rsid w:val="00B42931"/>
    <w:rsid w:val="00B53D8B"/>
    <w:rsid w:val="00B71BEF"/>
    <w:rsid w:val="00B858EA"/>
    <w:rsid w:val="00B87C0C"/>
    <w:rsid w:val="00B93A0D"/>
    <w:rsid w:val="00B96988"/>
    <w:rsid w:val="00BC1331"/>
    <w:rsid w:val="00BE4155"/>
    <w:rsid w:val="00BE53C5"/>
    <w:rsid w:val="00BE5A6A"/>
    <w:rsid w:val="00BE7ABB"/>
    <w:rsid w:val="00BF02C4"/>
    <w:rsid w:val="00BF30E4"/>
    <w:rsid w:val="00BF5B13"/>
    <w:rsid w:val="00BF73C1"/>
    <w:rsid w:val="00C045E2"/>
    <w:rsid w:val="00C04EB2"/>
    <w:rsid w:val="00C154DF"/>
    <w:rsid w:val="00C44615"/>
    <w:rsid w:val="00C50E64"/>
    <w:rsid w:val="00C547CB"/>
    <w:rsid w:val="00C60903"/>
    <w:rsid w:val="00C64B67"/>
    <w:rsid w:val="00C66DB8"/>
    <w:rsid w:val="00C67FDB"/>
    <w:rsid w:val="00C80716"/>
    <w:rsid w:val="00C81A1A"/>
    <w:rsid w:val="00C81AAF"/>
    <w:rsid w:val="00C82639"/>
    <w:rsid w:val="00C84DA1"/>
    <w:rsid w:val="00C90312"/>
    <w:rsid w:val="00C953ED"/>
    <w:rsid w:val="00CA0B0F"/>
    <w:rsid w:val="00CA1E5F"/>
    <w:rsid w:val="00CA3837"/>
    <w:rsid w:val="00CA5678"/>
    <w:rsid w:val="00CB3A26"/>
    <w:rsid w:val="00CB6D8A"/>
    <w:rsid w:val="00CC0B5E"/>
    <w:rsid w:val="00CD0AE8"/>
    <w:rsid w:val="00CF466C"/>
    <w:rsid w:val="00CF49AF"/>
    <w:rsid w:val="00D02991"/>
    <w:rsid w:val="00D05575"/>
    <w:rsid w:val="00D10E17"/>
    <w:rsid w:val="00D127A3"/>
    <w:rsid w:val="00D17F46"/>
    <w:rsid w:val="00D20378"/>
    <w:rsid w:val="00D212BC"/>
    <w:rsid w:val="00D2646B"/>
    <w:rsid w:val="00D54011"/>
    <w:rsid w:val="00D774A8"/>
    <w:rsid w:val="00D802A0"/>
    <w:rsid w:val="00D81EE2"/>
    <w:rsid w:val="00D82DB2"/>
    <w:rsid w:val="00D87BFE"/>
    <w:rsid w:val="00DB1971"/>
    <w:rsid w:val="00DB6819"/>
    <w:rsid w:val="00DC5A8D"/>
    <w:rsid w:val="00DC790E"/>
    <w:rsid w:val="00DE355F"/>
    <w:rsid w:val="00E105D1"/>
    <w:rsid w:val="00E155B6"/>
    <w:rsid w:val="00E1758B"/>
    <w:rsid w:val="00E31BB5"/>
    <w:rsid w:val="00E47142"/>
    <w:rsid w:val="00E71982"/>
    <w:rsid w:val="00E84ABB"/>
    <w:rsid w:val="00E93092"/>
    <w:rsid w:val="00E94D2F"/>
    <w:rsid w:val="00EA6F04"/>
    <w:rsid w:val="00EC36B2"/>
    <w:rsid w:val="00EC43CC"/>
    <w:rsid w:val="00EC7D69"/>
    <w:rsid w:val="00EC7F98"/>
    <w:rsid w:val="00ED06E4"/>
    <w:rsid w:val="00EE1526"/>
    <w:rsid w:val="00EF2630"/>
    <w:rsid w:val="00F1184E"/>
    <w:rsid w:val="00F1236F"/>
    <w:rsid w:val="00F15CF9"/>
    <w:rsid w:val="00F259AA"/>
    <w:rsid w:val="00F35D8B"/>
    <w:rsid w:val="00F375C9"/>
    <w:rsid w:val="00F4316B"/>
    <w:rsid w:val="00F64DE2"/>
    <w:rsid w:val="00F67571"/>
    <w:rsid w:val="00F67A80"/>
    <w:rsid w:val="00F7002A"/>
    <w:rsid w:val="00F70D86"/>
    <w:rsid w:val="00F71270"/>
    <w:rsid w:val="00F80E8F"/>
    <w:rsid w:val="00F86A5E"/>
    <w:rsid w:val="00F9084F"/>
    <w:rsid w:val="00F921E0"/>
    <w:rsid w:val="00F96555"/>
    <w:rsid w:val="00F96ECB"/>
    <w:rsid w:val="00F97F95"/>
    <w:rsid w:val="00FA25D4"/>
    <w:rsid w:val="00FA65DF"/>
    <w:rsid w:val="00FB5D54"/>
    <w:rsid w:val="00FC1236"/>
    <w:rsid w:val="00FC780F"/>
    <w:rsid w:val="00FE25DC"/>
    <w:rsid w:val="00FE5E21"/>
    <w:rsid w:val="00FE6DE9"/>
    <w:rsid w:val="00FF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paragraph" w:styleId="Heading2">
    <w:name w:val="heading 2"/>
    <w:basedOn w:val="Normal"/>
    <w:next w:val="Normal"/>
    <w:link w:val="Heading2Char"/>
    <w:uiPriority w:val="9"/>
    <w:semiHidden/>
    <w:unhideWhenUsed/>
    <w:qFormat/>
    <w:rsid w:val="00FB5D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B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6B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 w:type="paragraph" w:customStyle="1" w:styleId="P1-StandPara">
    <w:name w:val="P1-Stand Para"/>
    <w:uiPriority w:val="99"/>
    <w:rsid w:val="00261427"/>
    <w:pPr>
      <w:spacing w:line="360" w:lineRule="atLeast"/>
      <w:ind w:firstLine="1152"/>
      <w:jc w:val="both"/>
    </w:pPr>
    <w:rPr>
      <w:rFonts w:ascii="Times New Roman" w:eastAsia="Times New Roman" w:hAnsi="Times New Roman"/>
      <w:sz w:val="22"/>
    </w:rPr>
  </w:style>
  <w:style w:type="character" w:customStyle="1" w:styleId="Heading2Char">
    <w:name w:val="Heading 2 Char"/>
    <w:basedOn w:val="DefaultParagraphFont"/>
    <w:link w:val="Heading2"/>
    <w:uiPriority w:val="9"/>
    <w:semiHidden/>
    <w:rsid w:val="00FB5D54"/>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36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4F6D"/>
    <w:rPr>
      <w:rFonts w:ascii="Courier New" w:eastAsia="Times New Roman" w:hAnsi="Courier New" w:cs="Courier New"/>
    </w:rPr>
  </w:style>
  <w:style w:type="paragraph" w:customStyle="1" w:styleId="N2-2ndBullet">
    <w:name w:val="N2-2nd Bullet"/>
    <w:basedOn w:val="Normal"/>
    <w:uiPriority w:val="99"/>
    <w:rsid w:val="00370F78"/>
    <w:pPr>
      <w:numPr>
        <w:numId w:val="17"/>
      </w:numPr>
      <w:tabs>
        <w:tab w:val="left" w:pos="1728"/>
      </w:tabs>
      <w:spacing w:after="240" w:line="240" w:lineRule="atLeast"/>
      <w:jc w:val="both"/>
    </w:pPr>
    <w:rPr>
      <w:rFonts w:ascii="Times New Roman" w:eastAsia="Times New Roman" w:hAnsi="Times New Roman"/>
      <w:szCs w:val="20"/>
    </w:rPr>
  </w:style>
  <w:style w:type="character" w:styleId="FootnoteReference">
    <w:name w:val="footnote reference"/>
    <w:uiPriority w:val="99"/>
    <w:rsid w:val="00370F78"/>
    <w:rPr>
      <w:rFonts w:cs="Times New Roman"/>
      <w:vertAlign w:val="superscript"/>
    </w:rPr>
  </w:style>
  <w:style w:type="paragraph" w:styleId="FootnoteText">
    <w:name w:val="footnote text"/>
    <w:aliases w:val="F1"/>
    <w:basedOn w:val="Normal"/>
    <w:link w:val="FootnoteTextChar"/>
    <w:uiPriority w:val="99"/>
    <w:qFormat/>
    <w:rsid w:val="00370F78"/>
    <w:pPr>
      <w:tabs>
        <w:tab w:val="left" w:pos="120"/>
      </w:tabs>
      <w:spacing w:after="0" w:line="200" w:lineRule="atLeast"/>
      <w:jc w:val="both"/>
    </w:pPr>
    <w:rPr>
      <w:rFonts w:ascii="Times New Roman" w:eastAsia="Times New Roman" w:hAnsi="Times New Roman"/>
      <w:sz w:val="16"/>
      <w:szCs w:val="20"/>
    </w:rPr>
  </w:style>
  <w:style w:type="character" w:customStyle="1" w:styleId="FootnoteTextChar">
    <w:name w:val="Footnote Text Char"/>
    <w:aliases w:val="F1 Char"/>
    <w:basedOn w:val="DefaultParagraphFont"/>
    <w:link w:val="FootnoteText"/>
    <w:uiPriority w:val="99"/>
    <w:rsid w:val="00370F78"/>
    <w:rPr>
      <w:rFonts w:ascii="Times New Roman" w:eastAsia="Times New Roman" w:hAnsi="Times New Roman"/>
      <w:sz w:val="16"/>
    </w:rPr>
  </w:style>
  <w:style w:type="character" w:customStyle="1" w:styleId="Heading3Char">
    <w:name w:val="Heading 3 Char"/>
    <w:basedOn w:val="DefaultParagraphFont"/>
    <w:link w:val="Heading3"/>
    <w:uiPriority w:val="9"/>
    <w:semiHidden/>
    <w:rsid w:val="00176B4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176B47"/>
    <w:rPr>
      <w:rFonts w:asciiTheme="majorHAnsi" w:eastAsiaTheme="majorEastAsia" w:hAnsiTheme="majorHAnsi" w:cstheme="majorBidi"/>
      <w:b/>
      <w:bCs/>
      <w:i/>
      <w:iCs/>
      <w:color w:val="4F81BD" w:themeColor="accent1"/>
      <w:sz w:val="22"/>
      <w:szCs w:val="22"/>
    </w:rPr>
  </w:style>
  <w:style w:type="paragraph" w:styleId="NoSpacing">
    <w:name w:val="No Spacing"/>
    <w:link w:val="NoSpacingChar"/>
    <w:uiPriority w:val="1"/>
    <w:qFormat/>
    <w:rsid w:val="00176B4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176B47"/>
    <w:rPr>
      <w:rFonts w:asciiTheme="minorHAnsi" w:eastAsiaTheme="minorHAnsi" w:hAnsiTheme="minorHAnsi" w:cstheme="minorBidi"/>
      <w:sz w:val="22"/>
      <w:szCs w:val="22"/>
    </w:rPr>
  </w:style>
  <w:style w:type="paragraph" w:customStyle="1" w:styleId="Default">
    <w:name w:val="Default"/>
    <w:rsid w:val="00176B47"/>
    <w:pPr>
      <w:autoSpaceDE w:val="0"/>
      <w:autoSpaceDN w:val="0"/>
      <w:adjustRightInd w:val="0"/>
    </w:pPr>
    <w:rPr>
      <w:rFonts w:ascii="Code" w:eastAsiaTheme="minorHAnsi" w:hAnsi="Code" w:cs="Code"/>
      <w:color w:val="000000"/>
      <w:sz w:val="24"/>
      <w:szCs w:val="24"/>
    </w:rPr>
  </w:style>
  <w:style w:type="character" w:styleId="CommentReference">
    <w:name w:val="annotation reference"/>
    <w:basedOn w:val="DefaultParagraphFont"/>
    <w:uiPriority w:val="99"/>
    <w:unhideWhenUsed/>
    <w:rsid w:val="00176B47"/>
    <w:rPr>
      <w:sz w:val="16"/>
      <w:szCs w:val="16"/>
    </w:rPr>
  </w:style>
  <w:style w:type="character" w:customStyle="1" w:styleId="ListParagraphChar">
    <w:name w:val="List Paragraph Char"/>
    <w:basedOn w:val="DefaultParagraphFont"/>
    <w:link w:val="ListParagraph"/>
    <w:uiPriority w:val="34"/>
    <w:rsid w:val="00176B47"/>
    <w:rPr>
      <w:sz w:val="22"/>
      <w:szCs w:val="22"/>
    </w:rPr>
  </w:style>
  <w:style w:type="table" w:styleId="TableGrid">
    <w:name w:val="Table Grid"/>
    <w:basedOn w:val="TableNormal"/>
    <w:uiPriority w:val="59"/>
    <w:rsid w:val="00176B47"/>
    <w:rPr>
      <w:rFonts w:ascii="Times New Roman" w:eastAsiaTheme="minorHAns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paragraph" w:styleId="Heading2">
    <w:name w:val="heading 2"/>
    <w:basedOn w:val="Normal"/>
    <w:next w:val="Normal"/>
    <w:link w:val="Heading2Char"/>
    <w:uiPriority w:val="9"/>
    <w:semiHidden/>
    <w:unhideWhenUsed/>
    <w:qFormat/>
    <w:rsid w:val="00FB5D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B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6B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 w:type="paragraph" w:customStyle="1" w:styleId="P1-StandPara">
    <w:name w:val="P1-Stand Para"/>
    <w:uiPriority w:val="99"/>
    <w:rsid w:val="00261427"/>
    <w:pPr>
      <w:spacing w:line="360" w:lineRule="atLeast"/>
      <w:ind w:firstLine="1152"/>
      <w:jc w:val="both"/>
    </w:pPr>
    <w:rPr>
      <w:rFonts w:ascii="Times New Roman" w:eastAsia="Times New Roman" w:hAnsi="Times New Roman"/>
      <w:sz w:val="22"/>
    </w:rPr>
  </w:style>
  <w:style w:type="character" w:customStyle="1" w:styleId="Heading2Char">
    <w:name w:val="Heading 2 Char"/>
    <w:basedOn w:val="DefaultParagraphFont"/>
    <w:link w:val="Heading2"/>
    <w:uiPriority w:val="9"/>
    <w:semiHidden/>
    <w:rsid w:val="00FB5D54"/>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36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4F6D"/>
    <w:rPr>
      <w:rFonts w:ascii="Courier New" w:eastAsia="Times New Roman" w:hAnsi="Courier New" w:cs="Courier New"/>
    </w:rPr>
  </w:style>
  <w:style w:type="paragraph" w:customStyle="1" w:styleId="N2-2ndBullet">
    <w:name w:val="N2-2nd Bullet"/>
    <w:basedOn w:val="Normal"/>
    <w:uiPriority w:val="99"/>
    <w:rsid w:val="00370F78"/>
    <w:pPr>
      <w:numPr>
        <w:numId w:val="17"/>
      </w:numPr>
      <w:tabs>
        <w:tab w:val="left" w:pos="1728"/>
      </w:tabs>
      <w:spacing w:after="240" w:line="240" w:lineRule="atLeast"/>
      <w:jc w:val="both"/>
    </w:pPr>
    <w:rPr>
      <w:rFonts w:ascii="Times New Roman" w:eastAsia="Times New Roman" w:hAnsi="Times New Roman"/>
      <w:szCs w:val="20"/>
    </w:rPr>
  </w:style>
  <w:style w:type="character" w:styleId="FootnoteReference">
    <w:name w:val="footnote reference"/>
    <w:uiPriority w:val="99"/>
    <w:rsid w:val="00370F78"/>
    <w:rPr>
      <w:rFonts w:cs="Times New Roman"/>
      <w:vertAlign w:val="superscript"/>
    </w:rPr>
  </w:style>
  <w:style w:type="paragraph" w:styleId="FootnoteText">
    <w:name w:val="footnote text"/>
    <w:aliases w:val="F1"/>
    <w:basedOn w:val="Normal"/>
    <w:link w:val="FootnoteTextChar"/>
    <w:uiPriority w:val="99"/>
    <w:qFormat/>
    <w:rsid w:val="00370F78"/>
    <w:pPr>
      <w:tabs>
        <w:tab w:val="left" w:pos="120"/>
      </w:tabs>
      <w:spacing w:after="0" w:line="200" w:lineRule="atLeast"/>
      <w:jc w:val="both"/>
    </w:pPr>
    <w:rPr>
      <w:rFonts w:ascii="Times New Roman" w:eastAsia="Times New Roman" w:hAnsi="Times New Roman"/>
      <w:sz w:val="16"/>
      <w:szCs w:val="20"/>
    </w:rPr>
  </w:style>
  <w:style w:type="character" w:customStyle="1" w:styleId="FootnoteTextChar">
    <w:name w:val="Footnote Text Char"/>
    <w:aliases w:val="F1 Char"/>
    <w:basedOn w:val="DefaultParagraphFont"/>
    <w:link w:val="FootnoteText"/>
    <w:uiPriority w:val="99"/>
    <w:rsid w:val="00370F78"/>
    <w:rPr>
      <w:rFonts w:ascii="Times New Roman" w:eastAsia="Times New Roman" w:hAnsi="Times New Roman"/>
      <w:sz w:val="16"/>
    </w:rPr>
  </w:style>
  <w:style w:type="character" w:customStyle="1" w:styleId="Heading3Char">
    <w:name w:val="Heading 3 Char"/>
    <w:basedOn w:val="DefaultParagraphFont"/>
    <w:link w:val="Heading3"/>
    <w:uiPriority w:val="9"/>
    <w:semiHidden/>
    <w:rsid w:val="00176B4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176B47"/>
    <w:rPr>
      <w:rFonts w:asciiTheme="majorHAnsi" w:eastAsiaTheme="majorEastAsia" w:hAnsiTheme="majorHAnsi" w:cstheme="majorBidi"/>
      <w:b/>
      <w:bCs/>
      <w:i/>
      <w:iCs/>
      <w:color w:val="4F81BD" w:themeColor="accent1"/>
      <w:sz w:val="22"/>
      <w:szCs w:val="22"/>
    </w:rPr>
  </w:style>
  <w:style w:type="paragraph" w:styleId="NoSpacing">
    <w:name w:val="No Spacing"/>
    <w:link w:val="NoSpacingChar"/>
    <w:uiPriority w:val="1"/>
    <w:qFormat/>
    <w:rsid w:val="00176B4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176B47"/>
    <w:rPr>
      <w:rFonts w:asciiTheme="minorHAnsi" w:eastAsiaTheme="minorHAnsi" w:hAnsiTheme="minorHAnsi" w:cstheme="minorBidi"/>
      <w:sz w:val="22"/>
      <w:szCs w:val="22"/>
    </w:rPr>
  </w:style>
  <w:style w:type="paragraph" w:customStyle="1" w:styleId="Default">
    <w:name w:val="Default"/>
    <w:rsid w:val="00176B47"/>
    <w:pPr>
      <w:autoSpaceDE w:val="0"/>
      <w:autoSpaceDN w:val="0"/>
      <w:adjustRightInd w:val="0"/>
    </w:pPr>
    <w:rPr>
      <w:rFonts w:ascii="Code" w:eastAsiaTheme="minorHAnsi" w:hAnsi="Code" w:cs="Code"/>
      <w:color w:val="000000"/>
      <w:sz w:val="24"/>
      <w:szCs w:val="24"/>
    </w:rPr>
  </w:style>
  <w:style w:type="character" w:styleId="CommentReference">
    <w:name w:val="annotation reference"/>
    <w:basedOn w:val="DefaultParagraphFont"/>
    <w:uiPriority w:val="99"/>
    <w:unhideWhenUsed/>
    <w:rsid w:val="00176B47"/>
    <w:rPr>
      <w:sz w:val="16"/>
      <w:szCs w:val="16"/>
    </w:rPr>
  </w:style>
  <w:style w:type="character" w:customStyle="1" w:styleId="ListParagraphChar">
    <w:name w:val="List Paragraph Char"/>
    <w:basedOn w:val="DefaultParagraphFont"/>
    <w:link w:val="ListParagraph"/>
    <w:uiPriority w:val="34"/>
    <w:rsid w:val="00176B47"/>
    <w:rPr>
      <w:sz w:val="22"/>
      <w:szCs w:val="22"/>
    </w:rPr>
  </w:style>
  <w:style w:type="table" w:styleId="TableGrid">
    <w:name w:val="Table Grid"/>
    <w:basedOn w:val="TableNormal"/>
    <w:uiPriority w:val="59"/>
    <w:rsid w:val="00176B47"/>
    <w:rPr>
      <w:rFonts w:ascii="Times New Roman" w:eastAsiaTheme="minorHAns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6265">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0896703">
      <w:bodyDiv w:val="1"/>
      <w:marLeft w:val="0"/>
      <w:marRight w:val="0"/>
      <w:marTop w:val="0"/>
      <w:marBottom w:val="0"/>
      <w:divBdr>
        <w:top w:val="none" w:sz="0" w:space="0" w:color="auto"/>
        <w:left w:val="none" w:sz="0" w:space="0" w:color="auto"/>
        <w:bottom w:val="none" w:sz="0" w:space="0" w:color="auto"/>
        <w:right w:val="none" w:sz="0" w:space="0" w:color="auto"/>
      </w:divBdr>
    </w:div>
    <w:div w:id="402483874">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710689707">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74296716">
      <w:bodyDiv w:val="1"/>
      <w:marLeft w:val="0"/>
      <w:marRight w:val="0"/>
      <w:marTop w:val="0"/>
      <w:marBottom w:val="0"/>
      <w:divBdr>
        <w:top w:val="none" w:sz="0" w:space="0" w:color="auto"/>
        <w:left w:val="none" w:sz="0" w:space="0" w:color="auto"/>
        <w:bottom w:val="none" w:sz="0" w:space="0" w:color="auto"/>
        <w:right w:val="none" w:sz="0" w:space="0" w:color="auto"/>
      </w:divBdr>
    </w:div>
    <w:div w:id="16994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bls.gov/news.release/ecec.t02.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17E17-1737-44AD-BEAC-47BEEF17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6993</Words>
  <Characters>39864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2009-05-07T15:44:00Z</cp:lastPrinted>
  <dcterms:created xsi:type="dcterms:W3CDTF">2018-10-23T19:17:00Z</dcterms:created>
  <dcterms:modified xsi:type="dcterms:W3CDTF">2018-10-23T19:17:00Z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-956927391</vt:i4>
  </property>
  <property fmtid="{D5CDD505-2E9C-101B-9397-08002B2CF9AE}" pid="4" name="_EmailSubject">
    <vt:lpwstr>Completed Item: NCES ICRs, etc.</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