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F48F9" w14:textId="77777777" w:rsidR="00617351" w:rsidRDefault="00617351" w:rsidP="00617351">
      <w:pPr>
        <w:pStyle w:val="Heading3"/>
        <w:tabs>
          <w:tab w:val="center" w:pos="4680"/>
        </w:tabs>
        <w:rPr>
          <w:rFonts w:ascii="Calibri" w:hAnsi="Calibri"/>
          <w:szCs w:val="22"/>
        </w:rPr>
      </w:pPr>
      <w:bookmarkStart w:id="0" w:name="_GoBack"/>
      <w:bookmarkEnd w:id="0"/>
      <w:r w:rsidRPr="00617351">
        <w:rPr>
          <w:rFonts w:ascii="Calibri" w:hAnsi="Calibri"/>
          <w:szCs w:val="22"/>
        </w:rPr>
        <w:t>OMB Supporting Stateme</w:t>
      </w:r>
      <w:r>
        <w:rPr>
          <w:rFonts w:ascii="Calibri" w:hAnsi="Calibri"/>
          <w:szCs w:val="22"/>
        </w:rPr>
        <w:t>nt for Proposed Data Collection</w:t>
      </w:r>
    </w:p>
    <w:p w14:paraId="0F4F6F12" w14:textId="77777777" w:rsidR="00617351" w:rsidRPr="00010A98" w:rsidRDefault="00617351" w:rsidP="00617351">
      <w:pPr>
        <w:jc w:val="center"/>
        <w:rPr>
          <w:rFonts w:ascii="Calibri" w:hAnsi="Calibri"/>
          <w:b/>
          <w:sz w:val="22"/>
          <w:szCs w:val="22"/>
        </w:rPr>
      </w:pPr>
      <w:r w:rsidRPr="00010A98">
        <w:rPr>
          <w:rFonts w:ascii="Calibri" w:hAnsi="Calibri"/>
          <w:b/>
          <w:sz w:val="22"/>
          <w:szCs w:val="22"/>
        </w:rPr>
        <w:t>Part A. Justification</w:t>
      </w:r>
    </w:p>
    <w:p w14:paraId="7564CDB1" w14:textId="77777777" w:rsidR="00617351" w:rsidRDefault="00617351" w:rsidP="00617351">
      <w:pPr>
        <w:pStyle w:val="Heading3"/>
        <w:tabs>
          <w:tab w:val="center" w:pos="4680"/>
        </w:tabs>
        <w:rPr>
          <w:rFonts w:ascii="Calibri" w:hAnsi="Calibri"/>
          <w:szCs w:val="22"/>
        </w:rPr>
      </w:pPr>
    </w:p>
    <w:p w14:paraId="5480B782" w14:textId="0A0E86A5" w:rsidR="000F2C50" w:rsidRPr="000F2C50" w:rsidRDefault="000F2C50" w:rsidP="000F2C50">
      <w:pPr>
        <w:jc w:val="center"/>
        <w:rPr>
          <w:rFonts w:asciiTheme="minorHAnsi" w:hAnsiTheme="minorHAnsi"/>
          <w:b/>
          <w:sz w:val="22"/>
          <w:szCs w:val="22"/>
        </w:rPr>
      </w:pPr>
      <w:r w:rsidRPr="000F2C50">
        <w:rPr>
          <w:rFonts w:asciiTheme="minorHAnsi" w:hAnsiTheme="minorHAnsi"/>
          <w:b/>
          <w:sz w:val="22"/>
          <w:szCs w:val="22"/>
        </w:rPr>
        <w:t xml:space="preserve">Study of State </w:t>
      </w:r>
      <w:r w:rsidR="003A1239">
        <w:rPr>
          <w:rFonts w:asciiTheme="minorHAnsi" w:hAnsiTheme="minorHAnsi"/>
          <w:b/>
          <w:sz w:val="22"/>
          <w:szCs w:val="22"/>
        </w:rPr>
        <w:t>Implementation of the Unsafe School Choice</w:t>
      </w:r>
      <w:r w:rsidR="005E4045">
        <w:rPr>
          <w:rFonts w:asciiTheme="minorHAnsi" w:hAnsiTheme="minorHAnsi"/>
          <w:b/>
          <w:sz w:val="22"/>
          <w:szCs w:val="22"/>
        </w:rPr>
        <w:t xml:space="preserve"> O</w:t>
      </w:r>
      <w:r w:rsidRPr="000F2C50">
        <w:rPr>
          <w:rFonts w:asciiTheme="minorHAnsi" w:hAnsiTheme="minorHAnsi"/>
          <w:b/>
          <w:sz w:val="22"/>
          <w:szCs w:val="22"/>
        </w:rPr>
        <w:t>ption</w:t>
      </w:r>
    </w:p>
    <w:p w14:paraId="56724FE2" w14:textId="77777777" w:rsidR="00EA0768" w:rsidRPr="000F2C50" w:rsidRDefault="00EA0768">
      <w:pPr>
        <w:rPr>
          <w:rFonts w:asciiTheme="minorHAnsi" w:hAnsiTheme="minorHAnsi"/>
          <w:b/>
          <w:sz w:val="22"/>
          <w:szCs w:val="22"/>
        </w:rPr>
      </w:pPr>
    </w:p>
    <w:p w14:paraId="7A6F8443" w14:textId="77777777" w:rsidR="00C62843" w:rsidRPr="000C1DB0" w:rsidRDefault="00C62843" w:rsidP="006272DA">
      <w:pPr>
        <w:rPr>
          <w:rFonts w:ascii="Calibri" w:hAnsi="Calibri"/>
          <w:sz w:val="22"/>
          <w:szCs w:val="22"/>
        </w:rPr>
      </w:pPr>
    </w:p>
    <w:p w14:paraId="23320583" w14:textId="77777777" w:rsidR="00C62843" w:rsidRPr="000F2C50" w:rsidRDefault="00C62843" w:rsidP="00617351">
      <w:pPr>
        <w:numPr>
          <w:ilvl w:val="0"/>
          <w:numId w:val="2"/>
        </w:numPr>
        <w:ind w:left="360"/>
        <w:rPr>
          <w:rFonts w:asciiTheme="minorHAnsi" w:hAnsiTheme="minorHAnsi"/>
          <w:b/>
          <w:sz w:val="22"/>
          <w:szCs w:val="22"/>
        </w:rPr>
      </w:pPr>
      <w:r w:rsidRPr="000F2C50">
        <w:rPr>
          <w:rFonts w:asciiTheme="minorHAnsi" w:hAnsiTheme="minorHAnsi"/>
          <w:b/>
          <w:sz w:val="22"/>
          <w:szCs w:val="22"/>
        </w:rPr>
        <w:t>Importance of Collecting the Information</w:t>
      </w:r>
    </w:p>
    <w:p w14:paraId="510A4024" w14:textId="77777777" w:rsidR="00C62843" w:rsidRPr="000F2C50" w:rsidRDefault="00C62843" w:rsidP="006272DA">
      <w:pPr>
        <w:rPr>
          <w:rFonts w:asciiTheme="minorHAnsi" w:hAnsiTheme="minorHAnsi"/>
          <w:sz w:val="22"/>
          <w:szCs w:val="22"/>
        </w:rPr>
      </w:pPr>
    </w:p>
    <w:p w14:paraId="1CFC473D" w14:textId="54572368" w:rsidR="000F2C50" w:rsidRPr="007951F0" w:rsidRDefault="007951F0" w:rsidP="007951F0">
      <w:pPr>
        <w:autoSpaceDE w:val="0"/>
        <w:autoSpaceDN w:val="0"/>
        <w:adjustRightInd w:val="0"/>
        <w:ind w:left="360"/>
        <w:rPr>
          <w:rFonts w:asciiTheme="minorHAnsi" w:hAnsiTheme="minorHAnsi"/>
          <w:color w:val="000000"/>
          <w:sz w:val="22"/>
          <w:szCs w:val="22"/>
        </w:rPr>
      </w:pPr>
      <w:r w:rsidRPr="007951F0">
        <w:rPr>
          <w:rFonts w:asciiTheme="minorHAnsi" w:hAnsiTheme="minorHAnsi"/>
          <w:sz w:val="22"/>
          <w:szCs w:val="22"/>
        </w:rPr>
        <w:t xml:space="preserve">The purpose of this study is to </w:t>
      </w:r>
      <w:r w:rsidRPr="007951F0">
        <w:rPr>
          <w:rFonts w:asciiTheme="minorHAnsi" w:hAnsiTheme="minorHAnsi" w:cs="Courier New"/>
          <w:color w:val="000000"/>
          <w:sz w:val="22"/>
          <w:szCs w:val="22"/>
        </w:rPr>
        <w:t xml:space="preserve">examine state implementation of federal requirements to provide an Unsafe School Choice Option (USCO) that permits </w:t>
      </w:r>
      <w:r w:rsidRPr="007951F0">
        <w:rPr>
          <w:rFonts w:asciiTheme="minorHAnsi" w:hAnsiTheme="minorHAnsi"/>
          <w:color w:val="000000"/>
          <w:sz w:val="22"/>
          <w:szCs w:val="22"/>
        </w:rPr>
        <w:t>students attending a persistently dangerous public elementary or secondary school, or students who become victims of a violent criminal offense while in or on the grounds of a public school that they attend, be allowed to attend a safe public school within the school district, including a public charter school</w:t>
      </w:r>
      <w:r w:rsidR="00D34055">
        <w:rPr>
          <w:rFonts w:asciiTheme="minorHAnsi" w:hAnsiTheme="minorHAnsi" w:cs="Courier New"/>
          <w:color w:val="000000"/>
          <w:sz w:val="22"/>
          <w:szCs w:val="22"/>
        </w:rPr>
        <w:t xml:space="preserve">. </w:t>
      </w:r>
      <w:r w:rsidR="000F2C50" w:rsidRPr="007951F0">
        <w:rPr>
          <w:rFonts w:asciiTheme="minorHAnsi" w:hAnsiTheme="minorHAnsi" w:cs="Courier New"/>
          <w:color w:val="000000"/>
          <w:sz w:val="22"/>
          <w:szCs w:val="22"/>
        </w:rPr>
        <w:t xml:space="preserve">The U.S. Department of Education (Department) has never conducted such a study. </w:t>
      </w:r>
      <w:r w:rsidR="00143E3B" w:rsidRPr="007951F0">
        <w:rPr>
          <w:rFonts w:asciiTheme="minorHAnsi" w:hAnsiTheme="minorHAnsi"/>
          <w:sz w:val="22"/>
          <w:szCs w:val="22"/>
          <w:lang w:val="en"/>
        </w:rPr>
        <w:t>Given ongoing, cross-Federal-agency efforts to help ensure students are safe in school</w:t>
      </w:r>
      <w:r w:rsidR="000F2C50" w:rsidRPr="007951F0">
        <w:rPr>
          <w:rFonts w:asciiTheme="minorHAnsi" w:hAnsiTheme="minorHAnsi"/>
          <w:sz w:val="22"/>
          <w:szCs w:val="22"/>
          <w:lang w:val="en"/>
        </w:rPr>
        <w:t xml:space="preserve">, it is essential for the Department to understand how </w:t>
      </w:r>
      <w:r w:rsidR="00143E3B" w:rsidRPr="007951F0">
        <w:rPr>
          <w:rFonts w:asciiTheme="minorHAnsi" w:hAnsiTheme="minorHAnsi"/>
          <w:sz w:val="22"/>
          <w:szCs w:val="22"/>
          <w:lang w:val="en"/>
        </w:rPr>
        <w:t>State Educational Agencies (</w:t>
      </w:r>
      <w:r w:rsidR="000F2C50" w:rsidRPr="007951F0">
        <w:rPr>
          <w:rFonts w:asciiTheme="minorHAnsi" w:hAnsiTheme="minorHAnsi"/>
          <w:sz w:val="22"/>
          <w:szCs w:val="22"/>
          <w:lang w:val="en"/>
        </w:rPr>
        <w:t>SEAs</w:t>
      </w:r>
      <w:r w:rsidR="00143E3B" w:rsidRPr="007951F0">
        <w:rPr>
          <w:rFonts w:asciiTheme="minorHAnsi" w:hAnsiTheme="minorHAnsi"/>
          <w:sz w:val="22"/>
          <w:szCs w:val="22"/>
          <w:lang w:val="en"/>
        </w:rPr>
        <w:t>)</w:t>
      </w:r>
      <w:r w:rsidR="000F2C50" w:rsidRPr="007951F0">
        <w:rPr>
          <w:rFonts w:asciiTheme="minorHAnsi" w:hAnsiTheme="minorHAnsi"/>
          <w:sz w:val="22"/>
          <w:szCs w:val="22"/>
          <w:lang w:val="en"/>
        </w:rPr>
        <w:t xml:space="preserve"> are implementing the USCO requirements. </w:t>
      </w:r>
    </w:p>
    <w:p w14:paraId="1545A9E8" w14:textId="77777777" w:rsidR="000F2C50" w:rsidRPr="000F2C50" w:rsidRDefault="000F2C50" w:rsidP="000F2C50">
      <w:pPr>
        <w:ind w:left="360"/>
        <w:rPr>
          <w:rFonts w:asciiTheme="minorHAnsi" w:hAnsiTheme="minorHAnsi"/>
          <w:sz w:val="22"/>
          <w:szCs w:val="22"/>
        </w:rPr>
      </w:pPr>
    </w:p>
    <w:p w14:paraId="2C93EC58" w14:textId="77777777" w:rsidR="000F2C50" w:rsidRPr="000F2C50" w:rsidRDefault="000F2C50" w:rsidP="000F2C50">
      <w:pPr>
        <w:pStyle w:val="NoSpacing"/>
        <w:ind w:left="360"/>
        <w:contextualSpacing/>
        <w:rPr>
          <w:i/>
          <w:color w:val="000000" w:themeColor="text1"/>
          <w:sz w:val="22"/>
        </w:rPr>
      </w:pPr>
      <w:r w:rsidRPr="000F2C50">
        <w:rPr>
          <w:b/>
          <w:i/>
          <w:color w:val="000000" w:themeColor="text1"/>
          <w:sz w:val="22"/>
        </w:rPr>
        <w:t>Program and Policy Context</w:t>
      </w:r>
    </w:p>
    <w:p w14:paraId="41DEB540" w14:textId="77777777" w:rsidR="000F2C50" w:rsidRPr="000F2C50" w:rsidRDefault="000F2C50" w:rsidP="000F2C50">
      <w:pPr>
        <w:spacing w:before="240"/>
        <w:ind w:left="360"/>
        <w:contextualSpacing/>
        <w:rPr>
          <w:rFonts w:asciiTheme="minorHAnsi" w:hAnsiTheme="minorHAnsi"/>
          <w:color w:val="000000"/>
          <w:sz w:val="22"/>
          <w:szCs w:val="22"/>
        </w:rPr>
      </w:pPr>
      <w:r w:rsidRPr="000F2C50">
        <w:rPr>
          <w:rFonts w:asciiTheme="minorHAnsi" w:hAnsiTheme="minorHAnsi"/>
          <w:color w:val="000000"/>
          <w:sz w:val="22"/>
          <w:szCs w:val="22"/>
        </w:rPr>
        <w:t xml:space="preserve">Section 8532 </w:t>
      </w:r>
      <w:r w:rsidRPr="000F2C50">
        <w:rPr>
          <w:rFonts w:asciiTheme="minorHAnsi" w:hAnsiTheme="minorHAnsi" w:cs="Courier New"/>
          <w:color w:val="000000"/>
          <w:sz w:val="22"/>
          <w:szCs w:val="22"/>
        </w:rPr>
        <w:t xml:space="preserve">of the Elementary and Secondary Education Act of 1965 (ESEA), as amended by the Every Student Succeeds Act (ESSA), </w:t>
      </w:r>
      <w:r w:rsidRPr="000F2C50">
        <w:rPr>
          <w:rFonts w:asciiTheme="minorHAnsi" w:hAnsiTheme="minorHAnsi"/>
          <w:color w:val="000000"/>
          <w:sz w:val="22"/>
          <w:szCs w:val="22"/>
        </w:rPr>
        <w:t>requires that each state receiving funds under the ESEA establish and implement a statewide policy requiring that students attending a persistently dangerous public elementary or secondary school, or students who become victims of a violent criminal offense while in or on the grounds of a public school that they attend, be allowed to attend a safe public school. As a condition of receiving ESEA funds, each state must certify that the state is in compliance with these requirements.</w:t>
      </w:r>
    </w:p>
    <w:p w14:paraId="17DC2474" w14:textId="750A2456" w:rsidR="000F2C50" w:rsidRPr="000F2C50" w:rsidRDefault="000F2C50" w:rsidP="000F2C50">
      <w:pPr>
        <w:spacing w:before="240"/>
        <w:ind w:left="360"/>
        <w:rPr>
          <w:rFonts w:asciiTheme="minorHAnsi" w:hAnsiTheme="minorHAnsi"/>
          <w:color w:val="000000"/>
          <w:sz w:val="22"/>
          <w:szCs w:val="22"/>
        </w:rPr>
      </w:pPr>
      <w:r w:rsidRPr="000F2C50">
        <w:rPr>
          <w:rFonts w:asciiTheme="minorHAnsi" w:hAnsiTheme="minorHAnsi"/>
          <w:color w:val="000000"/>
          <w:sz w:val="22"/>
          <w:szCs w:val="22"/>
        </w:rPr>
        <w:t xml:space="preserve">The Department’s </w:t>
      </w:r>
      <w:r w:rsidRPr="000F2C50">
        <w:rPr>
          <w:rFonts w:asciiTheme="minorHAnsi" w:hAnsiTheme="minorHAnsi"/>
          <w:i/>
          <w:color w:val="000000"/>
          <w:sz w:val="22"/>
          <w:szCs w:val="22"/>
        </w:rPr>
        <w:t>Unsafe School Choice Option: Non-Regulatory Guidance</w:t>
      </w:r>
      <w:r w:rsidRPr="000F2C50">
        <w:rPr>
          <w:rFonts w:asciiTheme="minorHAnsi" w:hAnsiTheme="minorHAnsi"/>
          <w:color w:val="000000"/>
          <w:sz w:val="22"/>
          <w:szCs w:val="22"/>
        </w:rPr>
        <w:t xml:space="preserve">, </w:t>
      </w:r>
      <w:r w:rsidR="00143E3B">
        <w:rPr>
          <w:rFonts w:asciiTheme="minorHAnsi" w:hAnsiTheme="minorHAnsi"/>
          <w:color w:val="000000"/>
          <w:sz w:val="22"/>
          <w:szCs w:val="22"/>
        </w:rPr>
        <w:t>published</w:t>
      </w:r>
      <w:r w:rsidR="003E4803">
        <w:rPr>
          <w:rFonts w:asciiTheme="minorHAnsi" w:hAnsiTheme="minorHAnsi"/>
          <w:color w:val="000000"/>
          <w:sz w:val="22"/>
          <w:szCs w:val="22"/>
        </w:rPr>
        <w:t xml:space="preserve"> </w:t>
      </w:r>
      <w:r w:rsidRPr="000F2C50">
        <w:rPr>
          <w:rFonts w:asciiTheme="minorHAnsi" w:hAnsiTheme="minorHAnsi"/>
          <w:color w:val="000000"/>
          <w:sz w:val="22"/>
          <w:szCs w:val="22"/>
        </w:rPr>
        <w:t>in 2004, provided a suggested framework for states to develop their policies, including around the determinations for persistently dangerous schools.</w:t>
      </w:r>
      <w:r w:rsidRPr="000F2C50">
        <w:rPr>
          <w:rStyle w:val="FootnoteReference"/>
          <w:rFonts w:asciiTheme="minorHAnsi" w:hAnsiTheme="minorHAnsi"/>
          <w:color w:val="000000"/>
          <w:sz w:val="22"/>
          <w:szCs w:val="22"/>
        </w:rPr>
        <w:footnoteReference w:id="2"/>
      </w:r>
      <w:r w:rsidRPr="000F2C50">
        <w:rPr>
          <w:rFonts w:asciiTheme="minorHAnsi" w:hAnsiTheme="minorHAnsi"/>
          <w:color w:val="000000"/>
          <w:sz w:val="22"/>
          <w:szCs w:val="22"/>
        </w:rPr>
        <w:t xml:space="preserve"> A 2004 analysis of state policies by the Education Commission of the States found that the majority of states required thresholds to be met for more than one year before identifying a school as persistently dangerous, despite the 2004 guidance to define persistently dangerous schools based on incidents in a single school year.</w:t>
      </w:r>
      <w:r w:rsidRPr="000F2C50">
        <w:rPr>
          <w:rStyle w:val="FootnoteReference"/>
          <w:rFonts w:asciiTheme="minorHAnsi" w:hAnsiTheme="minorHAnsi"/>
          <w:color w:val="000000"/>
          <w:sz w:val="22"/>
          <w:szCs w:val="22"/>
        </w:rPr>
        <w:footnoteReference w:id="3"/>
      </w:r>
      <w:r w:rsidRPr="000F2C50">
        <w:rPr>
          <w:rFonts w:asciiTheme="minorHAnsi" w:hAnsiTheme="minorHAnsi"/>
          <w:color w:val="000000"/>
          <w:sz w:val="22"/>
          <w:szCs w:val="22"/>
        </w:rPr>
        <w:t xml:space="preserve"> A 2007 perspective paper authored by the Department’s Office of Inspector General found that over 50 percent of the states did not follow Department guidance for setting criteria used to determine persistently dangerous schools. For example, some states excluded common violent offences from the persistently dangerous school determination.</w:t>
      </w:r>
      <w:r w:rsidRPr="000F2C50">
        <w:rPr>
          <w:rStyle w:val="FootnoteReference"/>
          <w:rFonts w:asciiTheme="minorHAnsi" w:hAnsiTheme="minorHAnsi"/>
          <w:color w:val="000000"/>
          <w:sz w:val="22"/>
          <w:szCs w:val="22"/>
        </w:rPr>
        <w:footnoteReference w:id="4"/>
      </w:r>
    </w:p>
    <w:p w14:paraId="0ECC93D6" w14:textId="77777777" w:rsidR="000F2C50" w:rsidRPr="000F2C50" w:rsidRDefault="000F2C50" w:rsidP="000F2C50">
      <w:pPr>
        <w:autoSpaceDE w:val="0"/>
        <w:autoSpaceDN w:val="0"/>
        <w:adjustRightInd w:val="0"/>
        <w:ind w:left="360"/>
        <w:rPr>
          <w:rFonts w:asciiTheme="minorHAnsi" w:hAnsiTheme="minorHAnsi"/>
          <w:sz w:val="22"/>
          <w:szCs w:val="22"/>
        </w:rPr>
      </w:pPr>
    </w:p>
    <w:p w14:paraId="59502938" w14:textId="77777777" w:rsidR="000F2C50" w:rsidRPr="000F2C50" w:rsidRDefault="000F2C50" w:rsidP="000F2C50">
      <w:pPr>
        <w:pStyle w:val="NoSpacing"/>
        <w:keepNext/>
        <w:keepLines/>
        <w:spacing w:after="240"/>
        <w:ind w:left="360"/>
        <w:rPr>
          <w:b/>
          <w:i/>
          <w:color w:val="000000" w:themeColor="text1"/>
          <w:sz w:val="22"/>
        </w:rPr>
      </w:pPr>
      <w:r w:rsidRPr="000F2C50">
        <w:rPr>
          <w:b/>
          <w:i/>
          <w:color w:val="000000" w:themeColor="text1"/>
          <w:sz w:val="22"/>
        </w:rPr>
        <w:t>Study Design and Study Questions</w:t>
      </w:r>
    </w:p>
    <w:p w14:paraId="734A3730" w14:textId="0803EAB3" w:rsidR="000F2C50" w:rsidRPr="000F2C50" w:rsidRDefault="000F2C50" w:rsidP="000F2C50">
      <w:pPr>
        <w:keepNext/>
        <w:keepLines/>
        <w:ind w:left="360"/>
        <w:rPr>
          <w:rFonts w:asciiTheme="minorHAnsi" w:hAnsiTheme="minorHAnsi"/>
          <w:sz w:val="22"/>
          <w:szCs w:val="22"/>
        </w:rPr>
      </w:pPr>
      <w:r w:rsidRPr="000F2C50">
        <w:rPr>
          <w:rFonts w:asciiTheme="minorHAnsi" w:hAnsiTheme="minorHAnsi"/>
          <w:sz w:val="22"/>
          <w:szCs w:val="22"/>
        </w:rPr>
        <w:t>This study is intended to examine how SEAs implement the USCO requirements. Specific study questions include the following:</w:t>
      </w:r>
    </w:p>
    <w:p w14:paraId="01341138" w14:textId="77777777" w:rsidR="000F2C50" w:rsidRPr="000F2C50" w:rsidRDefault="000F2C50" w:rsidP="000F2C50">
      <w:pPr>
        <w:pStyle w:val="ListParagraph"/>
        <w:numPr>
          <w:ilvl w:val="0"/>
          <w:numId w:val="24"/>
        </w:numPr>
        <w:spacing w:after="0" w:line="240" w:lineRule="auto"/>
        <w:ind w:left="1080"/>
        <w:rPr>
          <w:rFonts w:asciiTheme="minorHAnsi" w:hAnsiTheme="minorHAnsi"/>
        </w:rPr>
      </w:pPr>
      <w:r w:rsidRPr="000F2C50">
        <w:rPr>
          <w:rFonts w:asciiTheme="minorHAnsi" w:hAnsiTheme="minorHAnsi"/>
        </w:rPr>
        <w:t>What are states’ processes for developing and reviewing policies?</w:t>
      </w:r>
    </w:p>
    <w:p w14:paraId="458550A8" w14:textId="77777777" w:rsidR="000F2C50" w:rsidRPr="000F2C50" w:rsidRDefault="000F2C50" w:rsidP="000F2C50">
      <w:pPr>
        <w:pStyle w:val="ListParagraph"/>
        <w:numPr>
          <w:ilvl w:val="0"/>
          <w:numId w:val="24"/>
        </w:numPr>
        <w:spacing w:after="0" w:line="240" w:lineRule="auto"/>
        <w:ind w:left="1080"/>
        <w:rPr>
          <w:rFonts w:asciiTheme="minorHAnsi" w:hAnsiTheme="minorHAnsi"/>
        </w:rPr>
      </w:pPr>
      <w:r w:rsidRPr="000F2C50">
        <w:rPr>
          <w:rFonts w:asciiTheme="minorHAnsi" w:hAnsiTheme="minorHAnsi"/>
        </w:rPr>
        <w:lastRenderedPageBreak/>
        <w:t>How do states ensure the data used to make determinations is accurate?</w:t>
      </w:r>
    </w:p>
    <w:p w14:paraId="26742988" w14:textId="77777777" w:rsidR="000F2C50" w:rsidRPr="000F2C50" w:rsidRDefault="000F2C50" w:rsidP="000F2C50">
      <w:pPr>
        <w:pStyle w:val="ListParagraph"/>
        <w:numPr>
          <w:ilvl w:val="0"/>
          <w:numId w:val="24"/>
        </w:numPr>
        <w:spacing w:after="0" w:line="240" w:lineRule="auto"/>
        <w:ind w:left="1080"/>
        <w:rPr>
          <w:rFonts w:asciiTheme="minorHAnsi" w:hAnsiTheme="minorHAnsi"/>
        </w:rPr>
      </w:pPr>
      <w:r w:rsidRPr="000F2C50">
        <w:rPr>
          <w:rFonts w:asciiTheme="minorHAnsi" w:hAnsiTheme="minorHAnsi"/>
        </w:rPr>
        <w:t>For states with appeal processes for determinations, how have those worked in practice?</w:t>
      </w:r>
    </w:p>
    <w:p w14:paraId="516A05F2" w14:textId="77777777" w:rsidR="000F2C50" w:rsidRPr="000F2C50" w:rsidRDefault="000F2C50" w:rsidP="000F2C50">
      <w:pPr>
        <w:pStyle w:val="ListParagraph"/>
        <w:numPr>
          <w:ilvl w:val="0"/>
          <w:numId w:val="24"/>
        </w:numPr>
        <w:spacing w:after="0" w:line="240" w:lineRule="auto"/>
        <w:ind w:left="1080"/>
        <w:rPr>
          <w:rFonts w:asciiTheme="minorHAnsi" w:hAnsiTheme="minorHAnsi"/>
        </w:rPr>
      </w:pPr>
      <w:r w:rsidRPr="000F2C50">
        <w:rPr>
          <w:rFonts w:asciiTheme="minorHAnsi" w:hAnsiTheme="minorHAnsi"/>
        </w:rPr>
        <w:t>What guidance do states provide to districts on how to comply with the USCO provisions, including offering transfer to a victim of a violence criminal offense?</w:t>
      </w:r>
    </w:p>
    <w:p w14:paraId="6B72EFF3" w14:textId="77777777" w:rsidR="000F2C50" w:rsidRPr="000F2C50" w:rsidRDefault="000F2C50" w:rsidP="000F2C50">
      <w:pPr>
        <w:pStyle w:val="ListParagraph"/>
        <w:numPr>
          <w:ilvl w:val="0"/>
          <w:numId w:val="24"/>
        </w:numPr>
        <w:spacing w:after="0" w:line="240" w:lineRule="auto"/>
        <w:ind w:left="1080"/>
        <w:rPr>
          <w:rFonts w:asciiTheme="minorHAnsi" w:hAnsiTheme="minorHAnsi"/>
        </w:rPr>
      </w:pPr>
      <w:r w:rsidRPr="000F2C50">
        <w:rPr>
          <w:rFonts w:asciiTheme="minorHAnsi" w:hAnsiTheme="minorHAnsi"/>
        </w:rPr>
        <w:t xml:space="preserve">How do states monitor district compliance, including offering transfer to victims </w:t>
      </w:r>
      <w:r w:rsidRPr="000F2C50">
        <w:rPr>
          <w:rFonts w:asciiTheme="minorHAnsi" w:hAnsiTheme="minorHAnsi"/>
          <w:color w:val="000000"/>
        </w:rPr>
        <w:t>of a violent criminal offense while in or on the grounds of a public school that they attend?</w:t>
      </w:r>
      <w:r w:rsidRPr="000F2C50" w:rsidDel="00804FFD">
        <w:rPr>
          <w:rFonts w:asciiTheme="minorHAnsi" w:hAnsiTheme="minorHAnsi"/>
        </w:rPr>
        <w:t xml:space="preserve"> </w:t>
      </w:r>
    </w:p>
    <w:p w14:paraId="336C31B8" w14:textId="77777777" w:rsidR="000F2C50" w:rsidRPr="000F2C50" w:rsidRDefault="000F2C50" w:rsidP="000F2C50">
      <w:pPr>
        <w:pStyle w:val="ListParagraph"/>
        <w:numPr>
          <w:ilvl w:val="0"/>
          <w:numId w:val="24"/>
        </w:numPr>
        <w:spacing w:after="0" w:line="240" w:lineRule="auto"/>
        <w:ind w:left="1080"/>
        <w:rPr>
          <w:rFonts w:asciiTheme="minorHAnsi" w:hAnsiTheme="minorHAnsi"/>
          <w:color w:val="000000" w:themeColor="text1"/>
        </w:rPr>
      </w:pPr>
      <w:r w:rsidRPr="000F2C50">
        <w:rPr>
          <w:rFonts w:asciiTheme="minorHAnsi" w:hAnsiTheme="minorHAnsi"/>
          <w:color w:val="000000" w:themeColor="text1"/>
        </w:rPr>
        <w:t>How many students have transferred under USCO provision?</w:t>
      </w:r>
    </w:p>
    <w:p w14:paraId="441C4CF4" w14:textId="5EA9DA9F" w:rsidR="000F2C50" w:rsidRDefault="000F2C50" w:rsidP="000F2C50">
      <w:pPr>
        <w:pStyle w:val="ListParagraph"/>
        <w:numPr>
          <w:ilvl w:val="0"/>
          <w:numId w:val="24"/>
        </w:numPr>
        <w:spacing w:after="0" w:line="240" w:lineRule="auto"/>
        <w:ind w:left="1080"/>
        <w:rPr>
          <w:rFonts w:asciiTheme="minorHAnsi" w:hAnsiTheme="minorHAnsi"/>
          <w:color w:val="000000" w:themeColor="text1"/>
        </w:rPr>
      </w:pPr>
      <w:r w:rsidRPr="000F2C50">
        <w:rPr>
          <w:rFonts w:asciiTheme="minorHAnsi" w:hAnsiTheme="minorHAnsi"/>
          <w:color w:val="000000" w:themeColor="text1"/>
        </w:rPr>
        <w:t>What challenges have States encountered in implementing the USCO and how can they be addressed?</w:t>
      </w:r>
    </w:p>
    <w:p w14:paraId="3534ED77" w14:textId="77777777" w:rsidR="000F2C50" w:rsidRDefault="000F2C50" w:rsidP="000F2C50">
      <w:pPr>
        <w:pStyle w:val="ListParagraph"/>
        <w:spacing w:after="0" w:line="240" w:lineRule="auto"/>
        <w:ind w:left="0"/>
        <w:rPr>
          <w:rFonts w:asciiTheme="minorHAnsi" w:hAnsiTheme="minorHAnsi"/>
          <w:color w:val="000000" w:themeColor="text1"/>
        </w:rPr>
      </w:pPr>
    </w:p>
    <w:p w14:paraId="14F9DF1F" w14:textId="2DF625B9" w:rsidR="000F2C50" w:rsidRPr="000F2C50" w:rsidRDefault="000F2C50" w:rsidP="000F2C50">
      <w:pPr>
        <w:ind w:left="360"/>
        <w:rPr>
          <w:rFonts w:asciiTheme="minorHAnsi" w:hAnsiTheme="minorHAnsi"/>
          <w:sz w:val="22"/>
          <w:szCs w:val="22"/>
        </w:rPr>
      </w:pPr>
      <w:r w:rsidRPr="000F2C50">
        <w:rPr>
          <w:rFonts w:asciiTheme="minorHAnsi" w:hAnsiTheme="minorHAnsi"/>
          <w:sz w:val="22"/>
          <w:szCs w:val="22"/>
        </w:rPr>
        <w:t xml:space="preserve">To address these questions, the study </w:t>
      </w:r>
      <w:r>
        <w:rPr>
          <w:rFonts w:asciiTheme="minorHAnsi" w:hAnsiTheme="minorHAnsi"/>
          <w:sz w:val="22"/>
          <w:szCs w:val="22"/>
        </w:rPr>
        <w:t>will include interviews with state coordinators in all 50 states, Washington, D.C., and Puerto Rico</w:t>
      </w:r>
      <w:r w:rsidR="003A1239">
        <w:rPr>
          <w:rFonts w:asciiTheme="minorHAnsi" w:hAnsiTheme="minorHAnsi"/>
          <w:sz w:val="22"/>
          <w:szCs w:val="22"/>
        </w:rPr>
        <w:t>, collect data on the number of students that transferred under USCO policies</w:t>
      </w:r>
      <w:r w:rsidR="00D34055">
        <w:rPr>
          <w:rFonts w:asciiTheme="minorHAnsi" w:hAnsiTheme="minorHAnsi"/>
          <w:sz w:val="22"/>
          <w:szCs w:val="22"/>
        </w:rPr>
        <w:t xml:space="preserve"> (if possible)</w:t>
      </w:r>
      <w:r w:rsidR="003A1239">
        <w:rPr>
          <w:rFonts w:asciiTheme="minorHAnsi" w:hAnsiTheme="minorHAnsi"/>
          <w:sz w:val="22"/>
          <w:szCs w:val="22"/>
        </w:rPr>
        <w:t xml:space="preserve">, </w:t>
      </w:r>
      <w:r>
        <w:rPr>
          <w:rFonts w:asciiTheme="minorHAnsi" w:hAnsiTheme="minorHAnsi"/>
          <w:sz w:val="22"/>
          <w:szCs w:val="22"/>
        </w:rPr>
        <w:t>and analyze extant documents and data.</w:t>
      </w:r>
    </w:p>
    <w:p w14:paraId="2C355490" w14:textId="77777777" w:rsidR="000F2C50" w:rsidRPr="000F2C50" w:rsidRDefault="000F2C50" w:rsidP="000F2C50">
      <w:pPr>
        <w:pStyle w:val="ListParagraph"/>
        <w:spacing w:after="0" w:line="240" w:lineRule="auto"/>
        <w:ind w:left="0"/>
        <w:rPr>
          <w:rFonts w:asciiTheme="minorHAnsi" w:hAnsiTheme="minorHAnsi"/>
          <w:color w:val="000000" w:themeColor="text1"/>
        </w:rPr>
      </w:pPr>
    </w:p>
    <w:p w14:paraId="42E331C4" w14:textId="77777777" w:rsidR="00C62843" w:rsidRPr="000C1DB0" w:rsidRDefault="00C62843" w:rsidP="00096846">
      <w:pPr>
        <w:keepNext/>
        <w:numPr>
          <w:ilvl w:val="0"/>
          <w:numId w:val="2"/>
        </w:numPr>
        <w:spacing w:after="240"/>
        <w:ind w:left="360"/>
        <w:rPr>
          <w:rFonts w:ascii="Calibri" w:hAnsi="Calibri"/>
          <w:b/>
          <w:sz w:val="22"/>
          <w:szCs w:val="22"/>
        </w:rPr>
      </w:pPr>
      <w:r w:rsidRPr="000C1DB0">
        <w:rPr>
          <w:rFonts w:ascii="Calibri" w:hAnsi="Calibri"/>
          <w:b/>
          <w:sz w:val="22"/>
          <w:szCs w:val="22"/>
        </w:rPr>
        <w:t>Purposes and Uses of the Data</w:t>
      </w:r>
    </w:p>
    <w:p w14:paraId="20F9097E" w14:textId="3468B766" w:rsidR="005E67D0" w:rsidRPr="000C1DB0" w:rsidRDefault="00C62843" w:rsidP="00A01ADF">
      <w:pPr>
        <w:spacing w:after="240"/>
        <w:ind w:left="360"/>
        <w:rPr>
          <w:rFonts w:ascii="Calibri" w:hAnsi="Calibri"/>
          <w:sz w:val="22"/>
          <w:szCs w:val="22"/>
        </w:rPr>
      </w:pPr>
      <w:r w:rsidRPr="000C1DB0">
        <w:rPr>
          <w:rFonts w:ascii="Calibri" w:hAnsi="Calibri"/>
          <w:sz w:val="22"/>
          <w:szCs w:val="22"/>
        </w:rPr>
        <w:t>The purpose o</w:t>
      </w:r>
      <w:r w:rsidR="00A01ADF" w:rsidRPr="000C1DB0">
        <w:rPr>
          <w:rFonts w:ascii="Calibri" w:hAnsi="Calibri"/>
          <w:sz w:val="22"/>
          <w:szCs w:val="22"/>
        </w:rPr>
        <w:t>f</w:t>
      </w:r>
      <w:r w:rsidRPr="000C1DB0">
        <w:rPr>
          <w:rFonts w:ascii="Calibri" w:hAnsi="Calibri"/>
          <w:sz w:val="22"/>
          <w:szCs w:val="22"/>
        </w:rPr>
        <w:t xml:space="preserve"> this data collection is </w:t>
      </w:r>
      <w:r w:rsidR="00EB0EDF" w:rsidRPr="000C1DB0">
        <w:rPr>
          <w:rFonts w:ascii="Calibri" w:hAnsi="Calibri"/>
          <w:sz w:val="22"/>
          <w:szCs w:val="22"/>
        </w:rPr>
        <w:t xml:space="preserve">to </w:t>
      </w:r>
      <w:r w:rsidR="00A01ADF" w:rsidRPr="00A01ADF">
        <w:rPr>
          <w:rFonts w:ascii="Calibri" w:hAnsi="Calibri"/>
          <w:sz w:val="22"/>
          <w:szCs w:val="22"/>
        </w:rPr>
        <w:t xml:space="preserve">provide </w:t>
      </w:r>
      <w:r w:rsidR="00A01ADF">
        <w:rPr>
          <w:rFonts w:ascii="Calibri" w:hAnsi="Calibri"/>
          <w:sz w:val="22"/>
          <w:szCs w:val="22"/>
        </w:rPr>
        <w:t xml:space="preserve">information about </w:t>
      </w:r>
      <w:r w:rsidR="005E4045">
        <w:rPr>
          <w:rFonts w:ascii="Calibri" w:hAnsi="Calibri"/>
          <w:sz w:val="22"/>
          <w:szCs w:val="22"/>
        </w:rPr>
        <w:t>how states are implementing the USCO requirement</w:t>
      </w:r>
      <w:r w:rsidR="003A1239">
        <w:rPr>
          <w:rFonts w:ascii="Calibri" w:hAnsi="Calibri"/>
          <w:sz w:val="22"/>
          <w:szCs w:val="22"/>
        </w:rPr>
        <w:t xml:space="preserve">s. Findings from the data collection </w:t>
      </w:r>
      <w:r w:rsidR="005E4045">
        <w:rPr>
          <w:rFonts w:ascii="Calibri" w:hAnsi="Calibri"/>
          <w:sz w:val="22"/>
          <w:szCs w:val="22"/>
        </w:rPr>
        <w:t xml:space="preserve">will be used to inform </w:t>
      </w:r>
      <w:r w:rsidR="00CD3A3D" w:rsidRPr="000C1DB0">
        <w:rPr>
          <w:rFonts w:ascii="Calibri" w:hAnsi="Calibri"/>
          <w:sz w:val="22"/>
          <w:szCs w:val="22"/>
        </w:rPr>
        <w:t xml:space="preserve">technical assistance and monitoring. </w:t>
      </w:r>
    </w:p>
    <w:p w14:paraId="0CEDDFB9" w14:textId="77777777" w:rsidR="00C62843" w:rsidRPr="000C1DB0" w:rsidRDefault="00C62843" w:rsidP="00096846">
      <w:pPr>
        <w:keepNext/>
        <w:numPr>
          <w:ilvl w:val="0"/>
          <w:numId w:val="2"/>
        </w:numPr>
        <w:spacing w:after="240"/>
        <w:ind w:left="360"/>
        <w:rPr>
          <w:rFonts w:ascii="Calibri" w:hAnsi="Calibri"/>
          <w:b/>
          <w:sz w:val="22"/>
          <w:szCs w:val="22"/>
        </w:rPr>
      </w:pPr>
      <w:r w:rsidRPr="000C1DB0">
        <w:rPr>
          <w:rFonts w:ascii="Calibri" w:hAnsi="Calibri"/>
          <w:b/>
          <w:sz w:val="22"/>
          <w:szCs w:val="22"/>
        </w:rPr>
        <w:t>Improved Information Technology</w:t>
      </w:r>
    </w:p>
    <w:p w14:paraId="1CAC717C" w14:textId="26992EFF" w:rsidR="00C62843" w:rsidRPr="000C1DB0" w:rsidRDefault="005E4045" w:rsidP="00096846">
      <w:pPr>
        <w:spacing w:after="240"/>
        <w:ind w:left="360"/>
        <w:rPr>
          <w:rFonts w:ascii="Calibri" w:hAnsi="Calibri"/>
          <w:sz w:val="22"/>
          <w:szCs w:val="22"/>
        </w:rPr>
      </w:pPr>
      <w:r>
        <w:rPr>
          <w:rFonts w:ascii="Calibri" w:hAnsi="Calibri"/>
          <w:sz w:val="22"/>
          <w:szCs w:val="22"/>
        </w:rPr>
        <w:t>The interviews w</w:t>
      </w:r>
      <w:r w:rsidR="003A1239">
        <w:rPr>
          <w:rFonts w:ascii="Calibri" w:hAnsi="Calibri"/>
          <w:sz w:val="22"/>
          <w:szCs w:val="22"/>
        </w:rPr>
        <w:t>ill be conducted via telephone and</w:t>
      </w:r>
      <w:r w:rsidR="00D34055">
        <w:rPr>
          <w:rFonts w:ascii="Calibri" w:hAnsi="Calibri"/>
          <w:sz w:val="22"/>
          <w:szCs w:val="22"/>
        </w:rPr>
        <w:t>, if available,</w:t>
      </w:r>
      <w:r w:rsidR="003A1239">
        <w:rPr>
          <w:rFonts w:ascii="Calibri" w:hAnsi="Calibri"/>
          <w:sz w:val="22"/>
          <w:szCs w:val="22"/>
        </w:rPr>
        <w:t xml:space="preserve"> </w:t>
      </w:r>
      <w:r w:rsidR="00D34055">
        <w:rPr>
          <w:rFonts w:ascii="Calibri" w:hAnsi="Calibri"/>
          <w:sz w:val="22"/>
          <w:szCs w:val="22"/>
        </w:rPr>
        <w:t xml:space="preserve">data and extant documents will be collected via email. </w:t>
      </w:r>
    </w:p>
    <w:p w14:paraId="1E8A5B25" w14:textId="77777777" w:rsidR="00C62843" w:rsidRPr="000C1DB0" w:rsidRDefault="00C62843" w:rsidP="00096846">
      <w:pPr>
        <w:keepNext/>
        <w:numPr>
          <w:ilvl w:val="0"/>
          <w:numId w:val="2"/>
        </w:numPr>
        <w:spacing w:after="240"/>
        <w:ind w:left="360"/>
        <w:rPr>
          <w:rFonts w:ascii="Calibri" w:hAnsi="Calibri"/>
          <w:b/>
          <w:sz w:val="22"/>
          <w:szCs w:val="22"/>
        </w:rPr>
      </w:pPr>
      <w:r w:rsidRPr="000C1DB0">
        <w:rPr>
          <w:rFonts w:ascii="Calibri" w:hAnsi="Calibri"/>
          <w:b/>
          <w:sz w:val="22"/>
          <w:szCs w:val="22"/>
        </w:rPr>
        <w:t>Efforts to Identify Duplication</w:t>
      </w:r>
    </w:p>
    <w:p w14:paraId="4D3E7F56" w14:textId="39182B3C" w:rsidR="005E4045" w:rsidRDefault="005E4045" w:rsidP="005E4045">
      <w:pPr>
        <w:tabs>
          <w:tab w:val="left" w:pos="-720"/>
        </w:tabs>
        <w:suppressAutoHyphens/>
        <w:ind w:left="360"/>
        <w:rPr>
          <w:rFonts w:asciiTheme="minorHAnsi" w:hAnsiTheme="minorHAnsi"/>
          <w:sz w:val="22"/>
          <w:szCs w:val="22"/>
        </w:rPr>
      </w:pPr>
      <w:r w:rsidRPr="005E4045">
        <w:rPr>
          <w:rFonts w:asciiTheme="minorHAnsi" w:hAnsiTheme="minorHAnsi"/>
          <w:sz w:val="22"/>
          <w:szCs w:val="22"/>
        </w:rPr>
        <w:t xml:space="preserve">Through the Consolidated State Plan process, the Department of Education requires States to assure they will comply with ESEA section 8532. However, the Department does not collect </w:t>
      </w:r>
      <w:r>
        <w:rPr>
          <w:rFonts w:asciiTheme="minorHAnsi" w:hAnsiTheme="minorHAnsi"/>
          <w:sz w:val="22"/>
          <w:szCs w:val="22"/>
        </w:rPr>
        <w:t xml:space="preserve">data on how states implement the policies. </w:t>
      </w:r>
      <w:r w:rsidRPr="005E4045">
        <w:rPr>
          <w:rFonts w:asciiTheme="minorHAnsi" w:hAnsiTheme="minorHAnsi"/>
          <w:sz w:val="22"/>
          <w:szCs w:val="22"/>
        </w:rPr>
        <w:t>Therefore, this collection does not duplicate effort.</w:t>
      </w:r>
    </w:p>
    <w:p w14:paraId="1696C095" w14:textId="77777777" w:rsidR="005E4045" w:rsidRPr="005E4045" w:rsidRDefault="005E4045" w:rsidP="005E4045">
      <w:pPr>
        <w:tabs>
          <w:tab w:val="left" w:pos="-720"/>
        </w:tabs>
        <w:suppressAutoHyphens/>
        <w:ind w:left="360"/>
        <w:rPr>
          <w:rFonts w:asciiTheme="minorHAnsi" w:hAnsiTheme="minorHAnsi"/>
          <w:sz w:val="22"/>
          <w:szCs w:val="22"/>
        </w:rPr>
      </w:pPr>
    </w:p>
    <w:p w14:paraId="2D30A6E3" w14:textId="77777777" w:rsidR="00C62843" w:rsidRPr="000C1DB0" w:rsidRDefault="00C62843" w:rsidP="00096846">
      <w:pPr>
        <w:keepNext/>
        <w:numPr>
          <w:ilvl w:val="0"/>
          <w:numId w:val="2"/>
        </w:numPr>
        <w:spacing w:after="240"/>
        <w:ind w:left="360"/>
        <w:rPr>
          <w:rFonts w:ascii="Calibri" w:hAnsi="Calibri"/>
          <w:b/>
          <w:sz w:val="22"/>
          <w:szCs w:val="22"/>
        </w:rPr>
      </w:pPr>
      <w:r w:rsidRPr="000C1DB0">
        <w:rPr>
          <w:rFonts w:ascii="Calibri" w:hAnsi="Calibri"/>
          <w:b/>
          <w:sz w:val="22"/>
          <w:szCs w:val="22"/>
        </w:rPr>
        <w:t>Methods Used to Minimize Burden on Small Entities</w:t>
      </w:r>
    </w:p>
    <w:p w14:paraId="3E7F166D" w14:textId="77777777" w:rsidR="00325953" w:rsidRPr="000C1DB0" w:rsidRDefault="000B2834" w:rsidP="00096846">
      <w:pPr>
        <w:spacing w:after="240"/>
        <w:ind w:left="360"/>
        <w:rPr>
          <w:rFonts w:ascii="Calibri" w:hAnsi="Calibri"/>
          <w:sz w:val="22"/>
          <w:szCs w:val="22"/>
        </w:rPr>
      </w:pPr>
      <w:r w:rsidRPr="000C1DB0">
        <w:rPr>
          <w:rFonts w:ascii="Calibri" w:hAnsi="Calibri"/>
          <w:sz w:val="22"/>
          <w:szCs w:val="22"/>
        </w:rPr>
        <w:t>No small entities are included in this data collection</w:t>
      </w:r>
      <w:r w:rsidR="00F27072" w:rsidRPr="000C1DB0">
        <w:rPr>
          <w:rFonts w:ascii="Calibri" w:hAnsi="Calibri"/>
          <w:sz w:val="22"/>
          <w:szCs w:val="22"/>
        </w:rPr>
        <w:t xml:space="preserve">. </w:t>
      </w:r>
    </w:p>
    <w:p w14:paraId="2C8C23C6" w14:textId="77777777" w:rsidR="00C62843" w:rsidRPr="000C1DB0" w:rsidRDefault="00C62843" w:rsidP="00096846">
      <w:pPr>
        <w:keepNext/>
        <w:numPr>
          <w:ilvl w:val="0"/>
          <w:numId w:val="2"/>
        </w:numPr>
        <w:spacing w:after="240"/>
        <w:ind w:left="360"/>
        <w:rPr>
          <w:rFonts w:ascii="Calibri" w:hAnsi="Calibri"/>
          <w:b/>
          <w:sz w:val="22"/>
          <w:szCs w:val="22"/>
        </w:rPr>
      </w:pPr>
      <w:r w:rsidRPr="000C1DB0">
        <w:rPr>
          <w:rFonts w:ascii="Calibri" w:hAnsi="Calibri"/>
          <w:b/>
          <w:sz w:val="22"/>
          <w:szCs w:val="22"/>
        </w:rPr>
        <w:t>Consequences of Not Collecting the Information</w:t>
      </w:r>
    </w:p>
    <w:p w14:paraId="1745240C" w14:textId="3C585917" w:rsidR="00956943" w:rsidRPr="000C1DB0" w:rsidRDefault="00E943D8" w:rsidP="00096846">
      <w:pPr>
        <w:spacing w:after="240"/>
        <w:ind w:left="360"/>
        <w:rPr>
          <w:rFonts w:ascii="Calibri" w:hAnsi="Calibri"/>
          <w:sz w:val="22"/>
          <w:szCs w:val="22"/>
        </w:rPr>
      </w:pPr>
      <w:r>
        <w:rPr>
          <w:rFonts w:asciiTheme="minorHAnsi" w:hAnsiTheme="minorHAnsi"/>
          <w:sz w:val="22"/>
          <w:szCs w:val="22"/>
          <w:lang w:val="en"/>
        </w:rPr>
        <w:t xml:space="preserve">To help support state and local efforts to ensure student safety in school, </w:t>
      </w:r>
      <w:r w:rsidR="005E4045" w:rsidRPr="00B75E07">
        <w:rPr>
          <w:rFonts w:asciiTheme="minorHAnsi" w:hAnsiTheme="minorHAnsi"/>
          <w:sz w:val="22"/>
          <w:szCs w:val="22"/>
          <w:lang w:val="en"/>
        </w:rPr>
        <w:t>it is essential for the Department to understand how SEAs are implementing the USCO requirements</w:t>
      </w:r>
      <w:r w:rsidR="005E4045" w:rsidRPr="00B75E07">
        <w:rPr>
          <w:sz w:val="22"/>
          <w:szCs w:val="22"/>
          <w:lang w:val="en"/>
        </w:rPr>
        <w:t xml:space="preserve">. </w:t>
      </w:r>
      <w:r w:rsidR="00546E57" w:rsidRPr="00B75E07">
        <w:rPr>
          <w:rFonts w:ascii="Calibri" w:hAnsi="Calibri"/>
          <w:sz w:val="22"/>
          <w:szCs w:val="22"/>
        </w:rPr>
        <w:t>If</w:t>
      </w:r>
      <w:r w:rsidR="00546E57" w:rsidRPr="000C1DB0">
        <w:rPr>
          <w:rFonts w:ascii="Calibri" w:hAnsi="Calibri"/>
          <w:sz w:val="22"/>
          <w:szCs w:val="22"/>
        </w:rPr>
        <w:t xml:space="preserve"> we do not collect this information, the Department would </w:t>
      </w:r>
      <w:r w:rsidR="00962DC6" w:rsidRPr="000C1DB0">
        <w:rPr>
          <w:rFonts w:ascii="Calibri" w:hAnsi="Calibri"/>
          <w:sz w:val="22"/>
          <w:szCs w:val="22"/>
        </w:rPr>
        <w:t xml:space="preserve">not have information to </w:t>
      </w:r>
      <w:r w:rsidR="00B75E07">
        <w:rPr>
          <w:rFonts w:ascii="Calibri" w:hAnsi="Calibri"/>
          <w:sz w:val="22"/>
          <w:szCs w:val="22"/>
        </w:rPr>
        <w:t>improve technical assistance and monitoring to better support SEAs in ensuring that students have access to safe schools</w:t>
      </w:r>
      <w:r w:rsidR="00962DC6" w:rsidRPr="000C1DB0">
        <w:rPr>
          <w:rFonts w:ascii="Calibri" w:hAnsi="Calibri"/>
          <w:sz w:val="22"/>
          <w:szCs w:val="22"/>
        </w:rPr>
        <w:t xml:space="preserve">. </w:t>
      </w:r>
    </w:p>
    <w:p w14:paraId="52848DEA" w14:textId="77777777" w:rsidR="00C62843" w:rsidRPr="000C1DB0" w:rsidRDefault="00C62843" w:rsidP="00096846">
      <w:pPr>
        <w:keepNext/>
        <w:numPr>
          <w:ilvl w:val="0"/>
          <w:numId w:val="2"/>
        </w:numPr>
        <w:spacing w:after="240"/>
        <w:ind w:left="360"/>
        <w:rPr>
          <w:rFonts w:ascii="Calibri" w:hAnsi="Calibri"/>
          <w:b/>
          <w:sz w:val="22"/>
          <w:szCs w:val="22"/>
        </w:rPr>
      </w:pPr>
      <w:r w:rsidRPr="000C1DB0">
        <w:rPr>
          <w:rFonts w:ascii="Calibri" w:hAnsi="Calibri"/>
          <w:b/>
          <w:sz w:val="22"/>
          <w:szCs w:val="22"/>
        </w:rPr>
        <w:t>Special Circumst</w:t>
      </w:r>
      <w:r w:rsidR="00937C64" w:rsidRPr="000C1DB0">
        <w:rPr>
          <w:rFonts w:ascii="Calibri" w:hAnsi="Calibri"/>
          <w:b/>
          <w:sz w:val="22"/>
          <w:szCs w:val="22"/>
        </w:rPr>
        <w:t>ances</w:t>
      </w:r>
    </w:p>
    <w:p w14:paraId="424534A2" w14:textId="77777777" w:rsidR="00937C64" w:rsidRPr="000C1DB0" w:rsidRDefault="00937C64" w:rsidP="00096846">
      <w:pPr>
        <w:spacing w:after="240"/>
        <w:ind w:left="360"/>
        <w:rPr>
          <w:rFonts w:ascii="Calibri" w:hAnsi="Calibri"/>
          <w:sz w:val="22"/>
          <w:szCs w:val="22"/>
        </w:rPr>
      </w:pPr>
      <w:r w:rsidRPr="000C1DB0">
        <w:rPr>
          <w:rFonts w:ascii="Calibri" w:hAnsi="Calibri"/>
          <w:sz w:val="22"/>
          <w:szCs w:val="22"/>
        </w:rPr>
        <w:t>None of the special circumstances listed apply to this data collection.</w:t>
      </w:r>
    </w:p>
    <w:p w14:paraId="7400F088" w14:textId="77777777" w:rsidR="00C62843" w:rsidRPr="000C1DB0" w:rsidRDefault="00C62843" w:rsidP="00096846">
      <w:pPr>
        <w:keepNext/>
        <w:numPr>
          <w:ilvl w:val="0"/>
          <w:numId w:val="2"/>
        </w:numPr>
        <w:spacing w:after="240"/>
        <w:ind w:left="360"/>
        <w:rPr>
          <w:rFonts w:ascii="Calibri" w:hAnsi="Calibri"/>
          <w:b/>
          <w:sz w:val="22"/>
          <w:szCs w:val="22"/>
        </w:rPr>
      </w:pPr>
      <w:r w:rsidRPr="000C1DB0">
        <w:rPr>
          <w:rFonts w:ascii="Calibri" w:hAnsi="Calibri"/>
          <w:b/>
          <w:sz w:val="22"/>
          <w:szCs w:val="22"/>
        </w:rPr>
        <w:t>Consultations Outside the Agency</w:t>
      </w:r>
    </w:p>
    <w:p w14:paraId="63188EC2" w14:textId="44F1FDA4" w:rsidR="00C62843" w:rsidRPr="000C1DB0" w:rsidRDefault="00956943" w:rsidP="00096846">
      <w:pPr>
        <w:spacing w:after="240"/>
        <w:ind w:left="360"/>
        <w:rPr>
          <w:rFonts w:ascii="Calibri" w:hAnsi="Calibri"/>
          <w:sz w:val="22"/>
          <w:szCs w:val="22"/>
        </w:rPr>
      </w:pPr>
      <w:r w:rsidRPr="000C1DB0">
        <w:rPr>
          <w:rFonts w:ascii="Calibri" w:hAnsi="Calibri"/>
          <w:sz w:val="22"/>
          <w:szCs w:val="22"/>
        </w:rPr>
        <w:t>No consultations have been conducted outside the U.S.</w:t>
      </w:r>
      <w:r w:rsidR="00F47C63" w:rsidRPr="000C1DB0">
        <w:rPr>
          <w:rFonts w:ascii="Calibri" w:hAnsi="Calibri"/>
          <w:sz w:val="22"/>
          <w:szCs w:val="22"/>
        </w:rPr>
        <w:t xml:space="preserve"> Department </w:t>
      </w:r>
      <w:r w:rsidRPr="000C1DB0">
        <w:rPr>
          <w:rFonts w:ascii="Calibri" w:hAnsi="Calibri"/>
          <w:sz w:val="22"/>
          <w:szCs w:val="22"/>
        </w:rPr>
        <w:t>of Education regarding this data collection.</w:t>
      </w:r>
      <w:r w:rsidR="00A33A41">
        <w:rPr>
          <w:rFonts w:ascii="Calibri" w:hAnsi="Calibri"/>
          <w:sz w:val="22"/>
          <w:szCs w:val="22"/>
        </w:rPr>
        <w:t xml:space="preserve"> A 60 day notice was published in the Federal Register on December 3, 2018 (83 FR 62311). No public comments were received. A 30 day notice will be published.</w:t>
      </w:r>
    </w:p>
    <w:p w14:paraId="4029A455" w14:textId="77777777" w:rsidR="00C62843" w:rsidRPr="000C1DB0" w:rsidRDefault="00C62843" w:rsidP="00096846">
      <w:pPr>
        <w:numPr>
          <w:ilvl w:val="0"/>
          <w:numId w:val="2"/>
        </w:numPr>
        <w:spacing w:after="240"/>
        <w:ind w:left="360"/>
        <w:rPr>
          <w:rFonts w:ascii="Calibri" w:hAnsi="Calibri"/>
          <w:b/>
          <w:sz w:val="22"/>
          <w:szCs w:val="22"/>
        </w:rPr>
      </w:pPr>
      <w:r w:rsidRPr="000C1DB0">
        <w:rPr>
          <w:rFonts w:ascii="Calibri" w:hAnsi="Calibri"/>
          <w:b/>
          <w:sz w:val="22"/>
          <w:szCs w:val="22"/>
        </w:rPr>
        <w:t>Payments or Gifts to Respondents</w:t>
      </w:r>
    </w:p>
    <w:p w14:paraId="18923463" w14:textId="77777777" w:rsidR="00C62843" w:rsidRPr="000C1DB0" w:rsidRDefault="00C62843" w:rsidP="00096846">
      <w:pPr>
        <w:spacing w:after="240"/>
        <w:ind w:left="360"/>
        <w:rPr>
          <w:rFonts w:ascii="Calibri" w:hAnsi="Calibri"/>
          <w:sz w:val="22"/>
          <w:szCs w:val="22"/>
        </w:rPr>
      </w:pPr>
      <w:r w:rsidRPr="000C1DB0">
        <w:rPr>
          <w:rFonts w:ascii="Calibri" w:hAnsi="Calibri"/>
          <w:sz w:val="22"/>
          <w:szCs w:val="22"/>
        </w:rPr>
        <w:t>No payment or gifts to respondents will be made.</w:t>
      </w:r>
    </w:p>
    <w:p w14:paraId="3BF075D5" w14:textId="77777777" w:rsidR="00C62843" w:rsidRPr="000C1DB0" w:rsidRDefault="00C62843" w:rsidP="00096846">
      <w:pPr>
        <w:keepNext/>
        <w:numPr>
          <w:ilvl w:val="0"/>
          <w:numId w:val="2"/>
        </w:numPr>
        <w:spacing w:after="240"/>
        <w:ind w:left="360"/>
        <w:rPr>
          <w:rFonts w:ascii="Calibri" w:hAnsi="Calibri"/>
          <w:b/>
          <w:sz w:val="22"/>
          <w:szCs w:val="22"/>
        </w:rPr>
      </w:pPr>
      <w:r w:rsidRPr="000C1DB0">
        <w:rPr>
          <w:rFonts w:ascii="Calibri" w:hAnsi="Calibri"/>
          <w:b/>
          <w:sz w:val="22"/>
          <w:szCs w:val="22"/>
        </w:rPr>
        <w:t>Assurance of Confidentiality</w:t>
      </w:r>
    </w:p>
    <w:p w14:paraId="79C03286" w14:textId="1F0CF26A" w:rsidR="00F77E94" w:rsidRPr="00F77E94" w:rsidRDefault="00F77E94" w:rsidP="00F77E94">
      <w:pPr>
        <w:ind w:left="360"/>
        <w:rPr>
          <w:rFonts w:asciiTheme="minorHAnsi" w:hAnsiTheme="minorHAnsi"/>
          <w:sz w:val="22"/>
          <w:szCs w:val="22"/>
          <w:highlight w:val="yellow"/>
        </w:rPr>
      </w:pPr>
      <w:r w:rsidRPr="00F77E94">
        <w:rPr>
          <w:rFonts w:asciiTheme="minorHAnsi" w:hAnsiTheme="minorHAnsi"/>
          <w:sz w:val="22"/>
          <w:szCs w:val="22"/>
        </w:rPr>
        <w:t>Responses to this data collection will be used only for research purposes. No part of the study involves evaluation of any individual, agency, or institution. The study report prepared for the study will consolidate the results across all the states in the study. The study report will not disclose the names of individual study participants or their states, except as required by law.</w:t>
      </w:r>
    </w:p>
    <w:p w14:paraId="36B6D4C2" w14:textId="77777777" w:rsidR="00F77E94" w:rsidRDefault="00F77E94" w:rsidP="00F77E94"/>
    <w:p w14:paraId="01843B5B" w14:textId="77777777" w:rsidR="00C62843" w:rsidRPr="000C1DB0" w:rsidRDefault="00C62843" w:rsidP="00096846">
      <w:pPr>
        <w:keepNext/>
        <w:numPr>
          <w:ilvl w:val="0"/>
          <w:numId w:val="2"/>
        </w:numPr>
        <w:spacing w:after="240"/>
        <w:ind w:left="360"/>
        <w:rPr>
          <w:rFonts w:ascii="Calibri" w:hAnsi="Calibri"/>
          <w:b/>
          <w:sz w:val="22"/>
          <w:szCs w:val="22"/>
        </w:rPr>
      </w:pPr>
      <w:r w:rsidRPr="000C1DB0">
        <w:rPr>
          <w:rFonts w:ascii="Calibri" w:hAnsi="Calibri"/>
          <w:b/>
          <w:sz w:val="22"/>
          <w:szCs w:val="22"/>
        </w:rPr>
        <w:t>Sensitive Questions</w:t>
      </w:r>
    </w:p>
    <w:p w14:paraId="48E5BD84" w14:textId="7118111C" w:rsidR="000B2834" w:rsidRPr="000B2834" w:rsidRDefault="000B2834" w:rsidP="00096846">
      <w:pPr>
        <w:spacing w:after="240"/>
        <w:ind w:left="360"/>
        <w:rPr>
          <w:rFonts w:ascii="Calibri" w:hAnsi="Calibri"/>
          <w:sz w:val="22"/>
          <w:szCs w:val="22"/>
        </w:rPr>
      </w:pPr>
      <w:r>
        <w:rPr>
          <w:rFonts w:ascii="Calibri" w:hAnsi="Calibri"/>
          <w:sz w:val="22"/>
          <w:szCs w:val="22"/>
        </w:rPr>
        <w:t>T</w:t>
      </w:r>
      <w:r w:rsidR="00D34055">
        <w:rPr>
          <w:rFonts w:ascii="Calibri" w:hAnsi="Calibri"/>
          <w:sz w:val="22"/>
          <w:szCs w:val="22"/>
        </w:rPr>
        <w:t>his interview protocol</w:t>
      </w:r>
      <w:r>
        <w:rPr>
          <w:rFonts w:ascii="Calibri" w:hAnsi="Calibri"/>
          <w:sz w:val="22"/>
          <w:szCs w:val="22"/>
        </w:rPr>
        <w:t xml:space="preserve"> does not contain any questions</w:t>
      </w:r>
      <w:r w:rsidR="00C73BAC">
        <w:rPr>
          <w:rFonts w:ascii="Calibri" w:hAnsi="Calibri"/>
          <w:sz w:val="22"/>
          <w:szCs w:val="22"/>
        </w:rPr>
        <w:t xml:space="preserve"> of a sensitive nature</w:t>
      </w:r>
      <w:r w:rsidRPr="000B2834">
        <w:rPr>
          <w:rFonts w:ascii="Calibri" w:hAnsi="Calibri"/>
          <w:sz w:val="22"/>
          <w:szCs w:val="22"/>
        </w:rPr>
        <w:t>.</w:t>
      </w:r>
    </w:p>
    <w:p w14:paraId="30A45848" w14:textId="77777777" w:rsidR="00C62843" w:rsidRPr="000C1DB0" w:rsidRDefault="00C62843" w:rsidP="00096846">
      <w:pPr>
        <w:keepNext/>
        <w:numPr>
          <w:ilvl w:val="0"/>
          <w:numId w:val="2"/>
        </w:numPr>
        <w:spacing w:after="240"/>
        <w:ind w:left="360"/>
        <w:rPr>
          <w:rFonts w:ascii="Calibri" w:hAnsi="Calibri"/>
          <w:b/>
          <w:sz w:val="22"/>
          <w:szCs w:val="22"/>
        </w:rPr>
      </w:pPr>
      <w:r w:rsidRPr="000C1DB0">
        <w:rPr>
          <w:rFonts w:ascii="Calibri" w:hAnsi="Calibri"/>
          <w:b/>
          <w:sz w:val="22"/>
          <w:szCs w:val="22"/>
        </w:rPr>
        <w:t>Estimated Response Burden</w:t>
      </w:r>
    </w:p>
    <w:p w14:paraId="2BDB939B" w14:textId="21A72481" w:rsidR="00C62843" w:rsidRPr="000C1DB0" w:rsidRDefault="00096846" w:rsidP="00096846">
      <w:pPr>
        <w:spacing w:after="240"/>
        <w:ind w:left="360"/>
        <w:rPr>
          <w:rFonts w:ascii="Calibri" w:hAnsi="Calibri"/>
          <w:sz w:val="22"/>
          <w:szCs w:val="22"/>
        </w:rPr>
      </w:pPr>
      <w:r w:rsidRPr="000C1DB0">
        <w:rPr>
          <w:rFonts w:ascii="Calibri" w:hAnsi="Calibri"/>
          <w:sz w:val="22"/>
          <w:szCs w:val="22"/>
        </w:rPr>
        <w:t>We</w:t>
      </w:r>
      <w:r w:rsidR="00C62843" w:rsidRPr="000C1DB0">
        <w:rPr>
          <w:rFonts w:ascii="Calibri" w:hAnsi="Calibri"/>
          <w:sz w:val="22"/>
          <w:szCs w:val="22"/>
        </w:rPr>
        <w:t xml:space="preserve"> estimate that the hour burden on respondents will total </w:t>
      </w:r>
      <w:r w:rsidR="00D34055">
        <w:rPr>
          <w:rFonts w:ascii="Calibri" w:hAnsi="Calibri"/>
          <w:sz w:val="22"/>
          <w:szCs w:val="22"/>
        </w:rPr>
        <w:t>70</w:t>
      </w:r>
      <w:r w:rsidR="00C62843" w:rsidRPr="000C1DB0">
        <w:rPr>
          <w:rFonts w:ascii="Calibri" w:hAnsi="Calibri"/>
          <w:sz w:val="22"/>
          <w:szCs w:val="22"/>
        </w:rPr>
        <w:t xml:space="preserve"> hours</w:t>
      </w:r>
      <w:r w:rsidR="00F27072" w:rsidRPr="000C1DB0">
        <w:rPr>
          <w:rFonts w:ascii="Calibri" w:hAnsi="Calibri"/>
          <w:sz w:val="22"/>
          <w:szCs w:val="22"/>
        </w:rPr>
        <w:t>.</w:t>
      </w:r>
      <w:r w:rsidRPr="000C1DB0">
        <w:rPr>
          <w:rFonts w:ascii="Calibri" w:hAnsi="Calibri"/>
          <w:sz w:val="22"/>
          <w:szCs w:val="22"/>
        </w:rPr>
        <w:t xml:space="preserve"> In monetary terms, the estimated cost of this bu</w:t>
      </w:r>
      <w:r w:rsidR="00A0381F">
        <w:rPr>
          <w:rFonts w:ascii="Calibri" w:hAnsi="Calibri"/>
          <w:sz w:val="22"/>
          <w:szCs w:val="22"/>
        </w:rPr>
        <w:t>rden amounts to a total of $</w:t>
      </w:r>
      <w:r w:rsidR="00D34055">
        <w:rPr>
          <w:rFonts w:ascii="Calibri" w:hAnsi="Calibri"/>
          <w:sz w:val="22"/>
          <w:szCs w:val="22"/>
        </w:rPr>
        <w:t>4,300</w:t>
      </w:r>
      <w:r w:rsidR="00F27072" w:rsidRPr="000C1DB0">
        <w:rPr>
          <w:rFonts w:ascii="Calibri" w:hAnsi="Calibri"/>
          <w:sz w:val="22"/>
          <w:szCs w:val="22"/>
        </w:rPr>
        <w:t>.</w:t>
      </w:r>
    </w:p>
    <w:p w14:paraId="21BA65CC" w14:textId="33FCF415" w:rsidR="00FA180F" w:rsidRPr="000C1DB0" w:rsidRDefault="0014575E" w:rsidP="00FA180F">
      <w:pPr>
        <w:jc w:val="center"/>
        <w:rPr>
          <w:rFonts w:ascii="Calibri" w:hAnsi="Calibri"/>
          <w:b/>
          <w:sz w:val="22"/>
          <w:szCs w:val="22"/>
        </w:rPr>
      </w:pPr>
      <w:r w:rsidRPr="000C1DB0">
        <w:rPr>
          <w:rFonts w:ascii="Calibri" w:hAnsi="Calibri"/>
          <w:b/>
          <w:sz w:val="22"/>
          <w:szCs w:val="22"/>
        </w:rPr>
        <w:t xml:space="preserve">Table </w:t>
      </w:r>
      <w:r w:rsidR="00446B80">
        <w:rPr>
          <w:rFonts w:ascii="Calibri" w:hAnsi="Calibri"/>
          <w:b/>
          <w:sz w:val="22"/>
          <w:szCs w:val="22"/>
        </w:rPr>
        <w:t>1</w:t>
      </w:r>
    </w:p>
    <w:p w14:paraId="06DFF757" w14:textId="77777777" w:rsidR="00FA180F" w:rsidRPr="000C1DB0" w:rsidRDefault="00FA180F" w:rsidP="003B0EC5">
      <w:pPr>
        <w:spacing w:after="60"/>
        <w:jc w:val="center"/>
        <w:rPr>
          <w:rFonts w:ascii="Calibri" w:hAnsi="Calibri"/>
          <w:b/>
          <w:sz w:val="22"/>
          <w:szCs w:val="22"/>
        </w:rPr>
      </w:pPr>
      <w:r w:rsidRPr="000C1DB0">
        <w:rPr>
          <w:rFonts w:ascii="Calibri" w:hAnsi="Calibri"/>
          <w:b/>
          <w:sz w:val="22"/>
          <w:szCs w:val="22"/>
        </w:rPr>
        <w:t>Estimate of Burden Hours</w:t>
      </w:r>
      <w:r w:rsidR="000B2834" w:rsidRPr="000C1DB0">
        <w:rPr>
          <w:rFonts w:ascii="Calibri" w:hAnsi="Calibri"/>
          <w:b/>
          <w:sz w:val="22"/>
          <w:szCs w:val="22"/>
        </w:rPr>
        <w:t xml:space="preserve"> and Monetary Cost</w:t>
      </w:r>
    </w:p>
    <w:tbl>
      <w:tblPr>
        <w:tblW w:w="0" w:type="auto"/>
        <w:jc w:val="center"/>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5"/>
        <w:gridCol w:w="1395"/>
        <w:gridCol w:w="1543"/>
        <w:gridCol w:w="1234"/>
        <w:gridCol w:w="1234"/>
        <w:gridCol w:w="1234"/>
        <w:gridCol w:w="1234"/>
      </w:tblGrid>
      <w:tr w:rsidR="00E318AA" w:rsidRPr="000C1DB0" w14:paraId="470472F1" w14:textId="77777777" w:rsidTr="00E318AA">
        <w:trPr>
          <w:jc w:val="center"/>
        </w:trPr>
        <w:tc>
          <w:tcPr>
            <w:tcW w:w="1395" w:type="dxa"/>
            <w:vAlign w:val="center"/>
          </w:tcPr>
          <w:p w14:paraId="344B4498" w14:textId="7F73387D" w:rsidR="00E318AA" w:rsidRPr="000C1DB0" w:rsidRDefault="00E318AA" w:rsidP="00E318AA">
            <w:pPr>
              <w:spacing w:before="120" w:after="120"/>
              <w:jc w:val="center"/>
              <w:rPr>
                <w:rFonts w:ascii="Calibri" w:hAnsi="Calibri" w:cs="Arial"/>
                <w:color w:val="000000"/>
                <w:sz w:val="20"/>
              </w:rPr>
            </w:pPr>
            <w:r>
              <w:rPr>
                <w:rFonts w:ascii="Calibri" w:hAnsi="Calibri" w:cs="Arial"/>
                <w:color w:val="000000"/>
                <w:sz w:val="20"/>
              </w:rPr>
              <w:t>Collection Type</w:t>
            </w:r>
          </w:p>
        </w:tc>
        <w:tc>
          <w:tcPr>
            <w:tcW w:w="1395" w:type="dxa"/>
            <w:vAlign w:val="center"/>
          </w:tcPr>
          <w:p w14:paraId="592068DF" w14:textId="6C026E38" w:rsidR="00E318AA" w:rsidRPr="000C1DB0" w:rsidRDefault="00E318AA" w:rsidP="000F40F0">
            <w:pPr>
              <w:spacing w:before="120" w:after="120"/>
              <w:jc w:val="center"/>
              <w:rPr>
                <w:rFonts w:ascii="Calibri" w:hAnsi="Calibri" w:cs="Arial"/>
                <w:color w:val="000000"/>
                <w:sz w:val="20"/>
              </w:rPr>
            </w:pPr>
            <w:r w:rsidRPr="000C1DB0">
              <w:rPr>
                <w:rFonts w:ascii="Calibri" w:hAnsi="Calibri" w:cs="Arial"/>
                <w:color w:val="000000"/>
                <w:sz w:val="20"/>
              </w:rPr>
              <w:t>Number of Respondents</w:t>
            </w:r>
          </w:p>
        </w:tc>
        <w:tc>
          <w:tcPr>
            <w:tcW w:w="1543" w:type="dxa"/>
            <w:vAlign w:val="center"/>
          </w:tcPr>
          <w:p w14:paraId="4B64098E" w14:textId="77777777" w:rsidR="00E318AA" w:rsidRPr="000C1DB0" w:rsidRDefault="00E318AA" w:rsidP="000F40F0">
            <w:pPr>
              <w:spacing w:before="120" w:after="120"/>
              <w:jc w:val="center"/>
              <w:rPr>
                <w:rFonts w:ascii="Calibri" w:hAnsi="Calibri" w:cs="Arial"/>
                <w:color w:val="000000"/>
                <w:sz w:val="20"/>
              </w:rPr>
            </w:pPr>
            <w:r w:rsidRPr="000C1DB0">
              <w:rPr>
                <w:rFonts w:ascii="Calibri" w:hAnsi="Calibri" w:cs="Arial"/>
                <w:color w:val="000000"/>
                <w:sz w:val="20"/>
              </w:rPr>
              <w:t xml:space="preserve"> Average Number of Hours Per Respondent</w:t>
            </w:r>
          </w:p>
        </w:tc>
        <w:tc>
          <w:tcPr>
            <w:tcW w:w="1234" w:type="dxa"/>
            <w:vAlign w:val="center"/>
          </w:tcPr>
          <w:p w14:paraId="57CF5E8E" w14:textId="77777777" w:rsidR="00E318AA" w:rsidRPr="000C1DB0" w:rsidRDefault="00E318AA" w:rsidP="000F40F0">
            <w:pPr>
              <w:spacing w:before="120" w:after="120"/>
              <w:jc w:val="center"/>
              <w:rPr>
                <w:rFonts w:ascii="Calibri" w:hAnsi="Calibri" w:cs="Arial"/>
                <w:sz w:val="20"/>
              </w:rPr>
            </w:pPr>
            <w:r w:rsidRPr="000C1DB0">
              <w:rPr>
                <w:rFonts w:ascii="Calibri" w:hAnsi="Calibri" w:cs="Arial"/>
                <w:sz w:val="20"/>
              </w:rPr>
              <w:t xml:space="preserve"> Total Burden Hours</w:t>
            </w:r>
          </w:p>
        </w:tc>
        <w:tc>
          <w:tcPr>
            <w:tcW w:w="1234" w:type="dxa"/>
            <w:vAlign w:val="center"/>
          </w:tcPr>
          <w:p w14:paraId="496B62D9" w14:textId="77777777" w:rsidR="00E318AA" w:rsidRPr="000C1DB0" w:rsidRDefault="00E318AA" w:rsidP="000C1DB0">
            <w:pPr>
              <w:spacing w:before="120" w:after="120"/>
              <w:jc w:val="center"/>
              <w:rPr>
                <w:rFonts w:ascii="Calibri" w:hAnsi="Calibri" w:cs="Arial"/>
                <w:color w:val="000000"/>
                <w:sz w:val="20"/>
              </w:rPr>
            </w:pPr>
            <w:r w:rsidRPr="000C1DB0">
              <w:rPr>
                <w:rFonts w:ascii="Calibri" w:hAnsi="Calibri" w:cs="Arial"/>
                <w:color w:val="000000"/>
                <w:sz w:val="20"/>
              </w:rPr>
              <w:t xml:space="preserve"> Average Hourly Rate</w:t>
            </w:r>
          </w:p>
        </w:tc>
        <w:tc>
          <w:tcPr>
            <w:tcW w:w="1234" w:type="dxa"/>
            <w:vAlign w:val="center"/>
          </w:tcPr>
          <w:p w14:paraId="37BC02F0" w14:textId="77777777" w:rsidR="00E318AA" w:rsidRPr="000C1DB0" w:rsidRDefault="00E318AA" w:rsidP="000C1DB0">
            <w:pPr>
              <w:spacing w:before="120" w:after="120"/>
              <w:jc w:val="center"/>
              <w:rPr>
                <w:rFonts w:ascii="Calibri" w:hAnsi="Calibri" w:cs="Arial"/>
                <w:sz w:val="20"/>
              </w:rPr>
            </w:pPr>
            <w:r w:rsidRPr="000C1DB0">
              <w:rPr>
                <w:rFonts w:ascii="Calibri" w:hAnsi="Calibri" w:cs="Arial"/>
                <w:sz w:val="20"/>
              </w:rPr>
              <w:t>Estimated Monetary Cost of Burden</w:t>
            </w:r>
          </w:p>
        </w:tc>
        <w:tc>
          <w:tcPr>
            <w:tcW w:w="1234" w:type="dxa"/>
          </w:tcPr>
          <w:p w14:paraId="42C97E70" w14:textId="77777777" w:rsidR="00E318AA" w:rsidRPr="000C1DB0" w:rsidRDefault="00E318AA" w:rsidP="000C1DB0">
            <w:pPr>
              <w:spacing w:before="120" w:after="120"/>
              <w:jc w:val="center"/>
              <w:rPr>
                <w:rFonts w:ascii="Calibri" w:hAnsi="Calibri" w:cs="Arial"/>
                <w:sz w:val="20"/>
              </w:rPr>
            </w:pPr>
            <w:r w:rsidRPr="000C1DB0">
              <w:rPr>
                <w:rFonts w:ascii="Calibri" w:hAnsi="Calibri" w:cs="Arial"/>
                <w:sz w:val="20"/>
              </w:rPr>
              <w:t>Average Monetary Cost Per Respondent</w:t>
            </w:r>
          </w:p>
        </w:tc>
      </w:tr>
      <w:tr w:rsidR="00E318AA" w:rsidRPr="000C1DB0" w14:paraId="2D942DBD" w14:textId="77777777" w:rsidTr="00CC661B">
        <w:trPr>
          <w:jc w:val="center"/>
        </w:trPr>
        <w:tc>
          <w:tcPr>
            <w:tcW w:w="1395" w:type="dxa"/>
          </w:tcPr>
          <w:p w14:paraId="1AB4CED6" w14:textId="4FD97388" w:rsidR="00E318AA" w:rsidRPr="000C1DB0" w:rsidRDefault="00E318AA" w:rsidP="00A0381F">
            <w:pPr>
              <w:spacing w:before="120" w:after="120"/>
              <w:jc w:val="center"/>
              <w:rPr>
                <w:rFonts w:ascii="Calibri" w:hAnsi="Calibri" w:cs="Arial"/>
                <w:sz w:val="20"/>
              </w:rPr>
            </w:pPr>
            <w:r>
              <w:rPr>
                <w:rFonts w:ascii="Calibri" w:hAnsi="Calibri" w:cs="Arial"/>
                <w:sz w:val="20"/>
              </w:rPr>
              <w:t>Interview</w:t>
            </w:r>
          </w:p>
        </w:tc>
        <w:tc>
          <w:tcPr>
            <w:tcW w:w="1395" w:type="dxa"/>
            <w:vAlign w:val="center"/>
          </w:tcPr>
          <w:p w14:paraId="10BA62BE" w14:textId="2ED92574" w:rsidR="00E318AA" w:rsidRPr="000C1DB0" w:rsidRDefault="00E318AA" w:rsidP="00A0381F">
            <w:pPr>
              <w:spacing w:before="120" w:after="120"/>
              <w:jc w:val="center"/>
              <w:rPr>
                <w:rFonts w:ascii="Calibri" w:hAnsi="Calibri" w:cs="Arial"/>
                <w:sz w:val="20"/>
              </w:rPr>
            </w:pPr>
            <w:r w:rsidRPr="000C1DB0">
              <w:rPr>
                <w:rFonts w:ascii="Calibri" w:hAnsi="Calibri" w:cs="Arial"/>
                <w:sz w:val="20"/>
              </w:rPr>
              <w:t>5</w:t>
            </w:r>
            <w:r w:rsidR="00C94B9A">
              <w:rPr>
                <w:rFonts w:ascii="Calibri" w:hAnsi="Calibri" w:cs="Arial"/>
                <w:sz w:val="20"/>
              </w:rPr>
              <w:t>6</w:t>
            </w:r>
          </w:p>
        </w:tc>
        <w:tc>
          <w:tcPr>
            <w:tcW w:w="1543" w:type="dxa"/>
            <w:vAlign w:val="center"/>
          </w:tcPr>
          <w:p w14:paraId="596AC8AC" w14:textId="435556D5" w:rsidR="00E318AA" w:rsidRPr="00E318AA" w:rsidRDefault="00E318AA" w:rsidP="000B2834">
            <w:pPr>
              <w:spacing w:before="120" w:after="120"/>
              <w:jc w:val="center"/>
              <w:rPr>
                <w:rFonts w:ascii="Calibri" w:hAnsi="Calibri" w:cs="Arial"/>
                <w:sz w:val="20"/>
              </w:rPr>
            </w:pPr>
            <w:r w:rsidRPr="00E318AA">
              <w:rPr>
                <w:rFonts w:ascii="Calibri" w:hAnsi="Calibri" w:cs="Arial"/>
                <w:sz w:val="20"/>
              </w:rPr>
              <w:t>1</w:t>
            </w:r>
            <w:r w:rsidR="00D34055">
              <w:rPr>
                <w:rFonts w:ascii="Calibri" w:hAnsi="Calibri" w:cs="Arial"/>
                <w:sz w:val="20"/>
              </w:rPr>
              <w:t>.25</w:t>
            </w:r>
          </w:p>
        </w:tc>
        <w:tc>
          <w:tcPr>
            <w:tcW w:w="1234" w:type="dxa"/>
            <w:vAlign w:val="center"/>
          </w:tcPr>
          <w:p w14:paraId="70A14A6B" w14:textId="610ABE26" w:rsidR="00E318AA" w:rsidRPr="00E318AA" w:rsidRDefault="00D34055" w:rsidP="000B2834">
            <w:pPr>
              <w:spacing w:before="120" w:after="120"/>
              <w:jc w:val="center"/>
              <w:rPr>
                <w:rFonts w:ascii="Calibri" w:hAnsi="Calibri" w:cs="Arial"/>
                <w:sz w:val="20"/>
              </w:rPr>
            </w:pPr>
            <w:r>
              <w:rPr>
                <w:rFonts w:ascii="Calibri" w:hAnsi="Calibri" w:cs="Arial"/>
                <w:sz w:val="20"/>
              </w:rPr>
              <w:t>70</w:t>
            </w:r>
          </w:p>
        </w:tc>
        <w:tc>
          <w:tcPr>
            <w:tcW w:w="1234" w:type="dxa"/>
            <w:vAlign w:val="center"/>
          </w:tcPr>
          <w:p w14:paraId="76B0E633" w14:textId="77777777" w:rsidR="00E318AA" w:rsidRPr="000C1DB0" w:rsidRDefault="00E318AA" w:rsidP="000B2834">
            <w:pPr>
              <w:jc w:val="center"/>
              <w:rPr>
                <w:rFonts w:ascii="Calibri" w:hAnsi="Calibri" w:cs="Arial"/>
                <w:sz w:val="20"/>
              </w:rPr>
            </w:pPr>
            <w:r w:rsidRPr="000C1DB0">
              <w:rPr>
                <w:rFonts w:ascii="Calibri" w:hAnsi="Calibri" w:cs="Arial"/>
                <w:sz w:val="20"/>
              </w:rPr>
              <w:t>$60</w:t>
            </w:r>
          </w:p>
        </w:tc>
        <w:tc>
          <w:tcPr>
            <w:tcW w:w="1234" w:type="dxa"/>
            <w:vAlign w:val="center"/>
          </w:tcPr>
          <w:p w14:paraId="7B7C31FA" w14:textId="6E2D23E9" w:rsidR="00E318AA" w:rsidRPr="000C1DB0" w:rsidRDefault="00D34055" w:rsidP="000B2834">
            <w:pPr>
              <w:spacing w:before="120" w:after="120"/>
              <w:jc w:val="center"/>
              <w:rPr>
                <w:rFonts w:ascii="Calibri" w:hAnsi="Calibri" w:cs="Arial"/>
                <w:sz w:val="20"/>
              </w:rPr>
            </w:pPr>
            <w:r>
              <w:rPr>
                <w:rFonts w:ascii="Calibri" w:hAnsi="Calibri" w:cs="Arial"/>
                <w:sz w:val="20"/>
              </w:rPr>
              <w:t>$4,300</w:t>
            </w:r>
          </w:p>
        </w:tc>
        <w:tc>
          <w:tcPr>
            <w:tcW w:w="1234" w:type="dxa"/>
            <w:vAlign w:val="center"/>
          </w:tcPr>
          <w:p w14:paraId="669642F9" w14:textId="72C281BA" w:rsidR="00E318AA" w:rsidRPr="000C1DB0" w:rsidRDefault="00D34055" w:rsidP="000B2834">
            <w:pPr>
              <w:jc w:val="center"/>
              <w:rPr>
                <w:rFonts w:ascii="Calibri" w:hAnsi="Calibri" w:cs="Arial"/>
                <w:sz w:val="20"/>
              </w:rPr>
            </w:pPr>
            <w:r>
              <w:rPr>
                <w:rFonts w:ascii="Calibri" w:hAnsi="Calibri" w:cs="Arial"/>
                <w:sz w:val="20"/>
              </w:rPr>
              <w:t>$75</w:t>
            </w:r>
          </w:p>
        </w:tc>
      </w:tr>
    </w:tbl>
    <w:p w14:paraId="28AB78FD" w14:textId="77777777" w:rsidR="00C62843" w:rsidRPr="000C1DB0" w:rsidRDefault="00C62843" w:rsidP="00096846">
      <w:pPr>
        <w:keepNext/>
        <w:numPr>
          <w:ilvl w:val="0"/>
          <w:numId w:val="2"/>
        </w:numPr>
        <w:spacing w:before="240" w:after="240"/>
        <w:ind w:left="360"/>
        <w:rPr>
          <w:rFonts w:ascii="Calibri" w:hAnsi="Calibri"/>
          <w:b/>
          <w:sz w:val="22"/>
          <w:szCs w:val="22"/>
        </w:rPr>
      </w:pPr>
      <w:r w:rsidRPr="000C1DB0">
        <w:rPr>
          <w:rFonts w:ascii="Calibri" w:hAnsi="Calibri"/>
          <w:b/>
          <w:sz w:val="22"/>
          <w:szCs w:val="22"/>
        </w:rPr>
        <w:t>Estimates of Annualized Respondent Capital and Maintenance Costs</w:t>
      </w:r>
    </w:p>
    <w:p w14:paraId="554D46C5" w14:textId="77777777" w:rsidR="00C62843" w:rsidRPr="000C1DB0" w:rsidRDefault="00805ED9" w:rsidP="00096846">
      <w:pPr>
        <w:spacing w:after="240"/>
        <w:ind w:left="360"/>
        <w:rPr>
          <w:rFonts w:ascii="Calibri" w:hAnsi="Calibri"/>
          <w:sz w:val="22"/>
          <w:szCs w:val="22"/>
        </w:rPr>
      </w:pPr>
      <w:r w:rsidRPr="000C1DB0">
        <w:rPr>
          <w:rFonts w:ascii="Calibri" w:hAnsi="Calibri"/>
          <w:sz w:val="22"/>
          <w:szCs w:val="22"/>
        </w:rPr>
        <w:t>This is a one-time data collection, and t</w:t>
      </w:r>
      <w:r w:rsidR="00C62843" w:rsidRPr="000C1DB0">
        <w:rPr>
          <w:rFonts w:ascii="Calibri" w:hAnsi="Calibri"/>
          <w:sz w:val="22"/>
          <w:szCs w:val="22"/>
        </w:rPr>
        <w:t>here are no respondent capital and start-up costs, nor operation and maintenance costs.</w:t>
      </w:r>
    </w:p>
    <w:p w14:paraId="10A0CAA3" w14:textId="77777777" w:rsidR="00C62843" w:rsidRPr="000C1DB0" w:rsidRDefault="00C62843" w:rsidP="00096846">
      <w:pPr>
        <w:keepNext/>
        <w:numPr>
          <w:ilvl w:val="0"/>
          <w:numId w:val="2"/>
        </w:numPr>
        <w:spacing w:after="240"/>
        <w:ind w:left="360"/>
        <w:rPr>
          <w:rFonts w:ascii="Calibri" w:hAnsi="Calibri"/>
          <w:b/>
          <w:sz w:val="22"/>
          <w:szCs w:val="22"/>
        </w:rPr>
      </w:pPr>
      <w:r w:rsidRPr="000C1DB0">
        <w:rPr>
          <w:rFonts w:ascii="Calibri" w:hAnsi="Calibri"/>
          <w:b/>
          <w:sz w:val="22"/>
          <w:szCs w:val="22"/>
        </w:rPr>
        <w:t>Estimated Annualized Cost to the Federal Government</w:t>
      </w:r>
    </w:p>
    <w:p w14:paraId="038A853E" w14:textId="3E07CAF2" w:rsidR="00C62843" w:rsidRPr="000C1DB0" w:rsidRDefault="00C62843" w:rsidP="00096846">
      <w:pPr>
        <w:spacing w:after="240"/>
        <w:ind w:left="360"/>
        <w:rPr>
          <w:rFonts w:ascii="Calibri" w:hAnsi="Calibri"/>
          <w:sz w:val="22"/>
          <w:szCs w:val="22"/>
        </w:rPr>
      </w:pPr>
      <w:r w:rsidRPr="000C1DB0">
        <w:rPr>
          <w:rFonts w:ascii="Calibri" w:hAnsi="Calibri"/>
          <w:sz w:val="22"/>
          <w:szCs w:val="22"/>
        </w:rPr>
        <w:t>The total cost to the federal government for this one-time data collection</w:t>
      </w:r>
      <w:r w:rsidR="00B75E07">
        <w:rPr>
          <w:rFonts w:ascii="Calibri" w:hAnsi="Calibri"/>
          <w:sz w:val="22"/>
          <w:szCs w:val="22"/>
        </w:rPr>
        <w:t xml:space="preserve"> and resulting report</w:t>
      </w:r>
      <w:r w:rsidRPr="000C1DB0">
        <w:rPr>
          <w:rFonts w:ascii="Calibri" w:hAnsi="Calibri"/>
          <w:sz w:val="22"/>
          <w:szCs w:val="22"/>
        </w:rPr>
        <w:t xml:space="preserve"> is </w:t>
      </w:r>
      <w:r w:rsidR="007C1E4A">
        <w:rPr>
          <w:rFonts w:ascii="Calibri" w:hAnsi="Calibri"/>
          <w:sz w:val="22"/>
          <w:szCs w:val="22"/>
        </w:rPr>
        <w:t xml:space="preserve">estimated to be a maximum </w:t>
      </w:r>
      <w:r w:rsidR="007C1E4A" w:rsidRPr="00D00050">
        <w:rPr>
          <w:rFonts w:ascii="Calibri" w:hAnsi="Calibri"/>
          <w:sz w:val="22"/>
          <w:szCs w:val="22"/>
        </w:rPr>
        <w:t>of</w:t>
      </w:r>
      <w:r w:rsidRPr="00D00050">
        <w:rPr>
          <w:rFonts w:ascii="Calibri" w:hAnsi="Calibri"/>
          <w:sz w:val="22"/>
          <w:szCs w:val="22"/>
        </w:rPr>
        <w:t xml:space="preserve"> $</w:t>
      </w:r>
      <w:r w:rsidR="00D00050" w:rsidRPr="00D00050">
        <w:rPr>
          <w:rFonts w:ascii="Calibri" w:hAnsi="Calibri"/>
          <w:sz w:val="22"/>
          <w:szCs w:val="22"/>
        </w:rPr>
        <w:t>3</w:t>
      </w:r>
      <w:r w:rsidR="007C1E4A" w:rsidRPr="00D00050">
        <w:rPr>
          <w:rFonts w:ascii="Calibri" w:hAnsi="Calibri"/>
          <w:sz w:val="22"/>
          <w:szCs w:val="22"/>
        </w:rPr>
        <w:t>0</w:t>
      </w:r>
      <w:r w:rsidR="000B2834" w:rsidRPr="00D00050">
        <w:rPr>
          <w:rFonts w:ascii="Calibri" w:hAnsi="Calibri"/>
          <w:sz w:val="22"/>
          <w:szCs w:val="22"/>
        </w:rPr>
        <w:t>0</w:t>
      </w:r>
      <w:r w:rsidRPr="00D00050">
        <w:rPr>
          <w:rFonts w:ascii="Calibri" w:hAnsi="Calibri"/>
          <w:sz w:val="22"/>
          <w:szCs w:val="22"/>
        </w:rPr>
        <w:t>,000</w:t>
      </w:r>
      <w:r w:rsidR="00581E99">
        <w:rPr>
          <w:rFonts w:ascii="Calibri" w:hAnsi="Calibri"/>
          <w:sz w:val="22"/>
          <w:szCs w:val="22"/>
        </w:rPr>
        <w:t xml:space="preserve"> over 14 months, or annualized at $257</w:t>
      </w:r>
      <w:r w:rsidR="00AD6D3E">
        <w:rPr>
          <w:rFonts w:ascii="Calibri" w:hAnsi="Calibri"/>
          <w:sz w:val="22"/>
          <w:szCs w:val="22"/>
        </w:rPr>
        <w:t>,104</w:t>
      </w:r>
      <w:r w:rsidRPr="00D00050">
        <w:rPr>
          <w:rFonts w:ascii="Calibri" w:hAnsi="Calibri"/>
          <w:sz w:val="22"/>
          <w:szCs w:val="22"/>
        </w:rPr>
        <w:t>.</w:t>
      </w:r>
      <w:r w:rsidR="00096846" w:rsidRPr="00D00050">
        <w:rPr>
          <w:rFonts w:ascii="Calibri" w:hAnsi="Calibri"/>
          <w:sz w:val="22"/>
          <w:szCs w:val="22"/>
        </w:rPr>
        <w:t xml:space="preserve"> </w:t>
      </w:r>
      <w:r w:rsidRPr="00D00050">
        <w:rPr>
          <w:rFonts w:ascii="Calibri" w:hAnsi="Calibri"/>
          <w:sz w:val="22"/>
          <w:szCs w:val="22"/>
        </w:rPr>
        <w:t>This</w:t>
      </w:r>
      <w:r w:rsidRPr="000C1DB0">
        <w:rPr>
          <w:rFonts w:ascii="Calibri" w:hAnsi="Calibri"/>
          <w:sz w:val="22"/>
          <w:szCs w:val="22"/>
        </w:rPr>
        <w:t xml:space="preserve"> amount </w:t>
      </w:r>
      <w:r w:rsidR="000B2834" w:rsidRPr="000C1DB0">
        <w:rPr>
          <w:rFonts w:ascii="Calibri" w:hAnsi="Calibri"/>
          <w:sz w:val="22"/>
          <w:szCs w:val="22"/>
        </w:rPr>
        <w:t>represents</w:t>
      </w:r>
      <w:r w:rsidRPr="000C1DB0">
        <w:rPr>
          <w:rFonts w:ascii="Calibri" w:hAnsi="Calibri"/>
          <w:sz w:val="22"/>
          <w:szCs w:val="22"/>
        </w:rPr>
        <w:t xml:space="preserve"> the budgeted cost for </w:t>
      </w:r>
      <w:r w:rsidR="00B75E07">
        <w:rPr>
          <w:rFonts w:ascii="Calibri" w:hAnsi="Calibri"/>
          <w:sz w:val="22"/>
          <w:szCs w:val="22"/>
        </w:rPr>
        <w:t>a contractor</w:t>
      </w:r>
      <w:r w:rsidR="000B2834" w:rsidRPr="000C1DB0">
        <w:rPr>
          <w:rFonts w:ascii="Calibri" w:hAnsi="Calibri"/>
          <w:sz w:val="22"/>
          <w:szCs w:val="22"/>
        </w:rPr>
        <w:t xml:space="preserve"> </w:t>
      </w:r>
      <w:r w:rsidRPr="000C1DB0">
        <w:rPr>
          <w:rFonts w:ascii="Calibri" w:hAnsi="Calibri"/>
          <w:sz w:val="22"/>
          <w:szCs w:val="22"/>
        </w:rPr>
        <w:t>to collect</w:t>
      </w:r>
      <w:r w:rsidR="00B75E07">
        <w:rPr>
          <w:rFonts w:ascii="Calibri" w:hAnsi="Calibri"/>
          <w:sz w:val="22"/>
          <w:szCs w:val="22"/>
        </w:rPr>
        <w:t xml:space="preserve"> </w:t>
      </w:r>
      <w:r w:rsidR="00F27072" w:rsidRPr="000C1DB0">
        <w:rPr>
          <w:rFonts w:ascii="Calibri" w:hAnsi="Calibri"/>
          <w:sz w:val="22"/>
          <w:szCs w:val="22"/>
        </w:rPr>
        <w:t>and analyze</w:t>
      </w:r>
      <w:r w:rsidRPr="000C1DB0">
        <w:rPr>
          <w:rFonts w:ascii="Calibri" w:hAnsi="Calibri"/>
          <w:sz w:val="22"/>
          <w:szCs w:val="22"/>
        </w:rPr>
        <w:t xml:space="preserve"> the data</w:t>
      </w:r>
      <w:r w:rsidR="00C0737C">
        <w:rPr>
          <w:rFonts w:ascii="Calibri" w:hAnsi="Calibri"/>
          <w:sz w:val="22"/>
          <w:szCs w:val="22"/>
        </w:rPr>
        <w:t xml:space="preserve"> and to produce a final report</w:t>
      </w:r>
      <w:r w:rsidR="003B0EC5" w:rsidRPr="000C1DB0">
        <w:rPr>
          <w:rFonts w:ascii="Calibri" w:hAnsi="Calibri"/>
          <w:sz w:val="22"/>
          <w:szCs w:val="22"/>
        </w:rPr>
        <w:t>.</w:t>
      </w:r>
    </w:p>
    <w:p w14:paraId="74264D93" w14:textId="77777777" w:rsidR="00C62843" w:rsidRPr="000C1DB0" w:rsidRDefault="00C62843" w:rsidP="00096846">
      <w:pPr>
        <w:keepNext/>
        <w:numPr>
          <w:ilvl w:val="0"/>
          <w:numId w:val="2"/>
        </w:numPr>
        <w:spacing w:after="240"/>
        <w:ind w:left="360"/>
        <w:rPr>
          <w:rFonts w:ascii="Calibri" w:hAnsi="Calibri"/>
          <w:b/>
          <w:sz w:val="22"/>
          <w:szCs w:val="22"/>
        </w:rPr>
      </w:pPr>
      <w:r w:rsidRPr="000C1DB0">
        <w:rPr>
          <w:rFonts w:ascii="Calibri" w:hAnsi="Calibri"/>
          <w:b/>
          <w:sz w:val="22"/>
          <w:szCs w:val="22"/>
        </w:rPr>
        <w:t>Changes in Burden</w:t>
      </w:r>
    </w:p>
    <w:p w14:paraId="5B7E0F8A" w14:textId="77777777" w:rsidR="00FD4991" w:rsidRPr="00FD4991" w:rsidRDefault="00FD4991" w:rsidP="00FD4991">
      <w:pPr>
        <w:keepNext/>
        <w:spacing w:after="240"/>
        <w:ind w:left="360"/>
        <w:rPr>
          <w:rFonts w:ascii="Calibri" w:hAnsi="Calibri"/>
          <w:b/>
          <w:sz w:val="22"/>
          <w:szCs w:val="22"/>
        </w:rPr>
      </w:pPr>
      <w:r w:rsidRPr="00FD4991">
        <w:rPr>
          <w:rFonts w:ascii="Calibri" w:hAnsi="Calibri"/>
          <w:sz w:val="22"/>
          <w:szCs w:val="22"/>
        </w:rPr>
        <w:t>This is a new study to allow the Department to understand how SEAs are implementing the USCO requirements. Given ongoing, cross-Federal-agency efforts to help ensure students are safe in school, it is essential for the Department to better understand implementation of the USCO provision. This results in an increase in burden and response of 70 hours and 56 responses.</w:t>
      </w:r>
    </w:p>
    <w:p w14:paraId="1201B807" w14:textId="0E2717AC" w:rsidR="00C62843" w:rsidRPr="000C1DB0" w:rsidRDefault="00C62843" w:rsidP="00FD4991">
      <w:pPr>
        <w:keepNext/>
        <w:numPr>
          <w:ilvl w:val="0"/>
          <w:numId w:val="2"/>
        </w:numPr>
        <w:spacing w:after="240"/>
        <w:ind w:left="360"/>
        <w:rPr>
          <w:rFonts w:ascii="Calibri" w:hAnsi="Calibri"/>
          <w:b/>
          <w:sz w:val="22"/>
          <w:szCs w:val="22"/>
        </w:rPr>
      </w:pPr>
      <w:r w:rsidRPr="000C1DB0">
        <w:rPr>
          <w:rFonts w:ascii="Calibri" w:hAnsi="Calibri"/>
          <w:b/>
          <w:sz w:val="22"/>
          <w:szCs w:val="22"/>
        </w:rPr>
        <w:t>Study Schedule and Publication Plans</w:t>
      </w:r>
    </w:p>
    <w:p w14:paraId="66FDB2B1" w14:textId="570D719B" w:rsidR="00C62843" w:rsidRPr="000C1DB0" w:rsidRDefault="00C62843" w:rsidP="00096846">
      <w:pPr>
        <w:keepNext/>
        <w:keepLines/>
        <w:spacing w:after="240"/>
        <w:ind w:left="389"/>
        <w:rPr>
          <w:rFonts w:ascii="Calibri" w:hAnsi="Calibri"/>
          <w:sz w:val="22"/>
          <w:szCs w:val="22"/>
        </w:rPr>
      </w:pPr>
      <w:r w:rsidRPr="000C1DB0">
        <w:rPr>
          <w:rFonts w:ascii="Calibri" w:hAnsi="Calibri"/>
          <w:sz w:val="22"/>
          <w:szCs w:val="22"/>
        </w:rPr>
        <w:t xml:space="preserve">The data collected under this study will be summarized in a </w:t>
      </w:r>
      <w:r w:rsidR="00446B80">
        <w:rPr>
          <w:rFonts w:ascii="Calibri" w:hAnsi="Calibri"/>
          <w:sz w:val="22"/>
          <w:szCs w:val="22"/>
        </w:rPr>
        <w:t xml:space="preserve">public </w:t>
      </w:r>
      <w:r w:rsidRPr="000C1DB0">
        <w:rPr>
          <w:rFonts w:ascii="Calibri" w:hAnsi="Calibri"/>
          <w:sz w:val="22"/>
          <w:szCs w:val="22"/>
        </w:rPr>
        <w:t>report.</w:t>
      </w:r>
      <w:r w:rsidR="00096846" w:rsidRPr="000C1DB0">
        <w:rPr>
          <w:rFonts w:ascii="Calibri" w:hAnsi="Calibri"/>
          <w:sz w:val="22"/>
          <w:szCs w:val="22"/>
        </w:rPr>
        <w:t xml:space="preserve"> </w:t>
      </w:r>
      <w:r w:rsidRPr="000C1DB0">
        <w:rPr>
          <w:rFonts w:ascii="Calibri" w:hAnsi="Calibri"/>
          <w:sz w:val="22"/>
          <w:szCs w:val="22"/>
        </w:rPr>
        <w:t xml:space="preserve">We anticipate that a final report will be </w:t>
      </w:r>
      <w:r w:rsidR="00AD1A2D" w:rsidRPr="000C1DB0">
        <w:rPr>
          <w:rFonts w:ascii="Calibri" w:hAnsi="Calibri"/>
          <w:sz w:val="22"/>
          <w:szCs w:val="22"/>
        </w:rPr>
        <w:t>completed</w:t>
      </w:r>
      <w:r w:rsidRPr="000C1DB0">
        <w:rPr>
          <w:rFonts w:ascii="Calibri" w:hAnsi="Calibri"/>
          <w:sz w:val="22"/>
          <w:szCs w:val="22"/>
        </w:rPr>
        <w:t xml:space="preserve"> by </w:t>
      </w:r>
      <w:r w:rsidR="00446B80">
        <w:rPr>
          <w:rFonts w:ascii="Calibri" w:hAnsi="Calibri"/>
          <w:sz w:val="22"/>
          <w:szCs w:val="22"/>
        </w:rPr>
        <w:t>April 2020</w:t>
      </w:r>
      <w:r w:rsidRPr="000C1DB0">
        <w:rPr>
          <w:rFonts w:ascii="Calibri" w:hAnsi="Calibri"/>
          <w:sz w:val="22"/>
          <w:szCs w:val="22"/>
        </w:rPr>
        <w:t>.</w:t>
      </w:r>
      <w:r w:rsidR="00096846" w:rsidRPr="000C1DB0">
        <w:rPr>
          <w:rFonts w:ascii="Calibri" w:hAnsi="Calibri"/>
          <w:sz w:val="22"/>
          <w:szCs w:val="22"/>
        </w:rPr>
        <w:t xml:space="preserve"> </w:t>
      </w:r>
      <w:r w:rsidR="00515B3D" w:rsidRPr="000C1DB0">
        <w:rPr>
          <w:rFonts w:ascii="Calibri" w:hAnsi="Calibri"/>
          <w:sz w:val="22"/>
          <w:szCs w:val="22"/>
        </w:rPr>
        <w:t xml:space="preserve">Table </w:t>
      </w:r>
      <w:r w:rsidR="00096846" w:rsidRPr="000C1DB0">
        <w:rPr>
          <w:rFonts w:ascii="Calibri" w:hAnsi="Calibri"/>
          <w:sz w:val="22"/>
          <w:szCs w:val="22"/>
        </w:rPr>
        <w:t>3</w:t>
      </w:r>
      <w:r w:rsidRPr="000C1DB0">
        <w:rPr>
          <w:rFonts w:ascii="Calibri" w:hAnsi="Calibri"/>
          <w:sz w:val="22"/>
          <w:szCs w:val="22"/>
        </w:rPr>
        <w:t xml:space="preserve"> provides a schedule for completion of the data collection and report. </w:t>
      </w:r>
    </w:p>
    <w:p w14:paraId="2DBD1B73" w14:textId="6A158BF7" w:rsidR="00C62843" w:rsidRPr="000C1DB0" w:rsidRDefault="00515B3D" w:rsidP="00446B80">
      <w:pPr>
        <w:keepNext/>
        <w:keepLines/>
        <w:ind w:left="29"/>
        <w:jc w:val="center"/>
        <w:rPr>
          <w:rFonts w:ascii="Calibri" w:hAnsi="Calibri"/>
          <w:b/>
          <w:sz w:val="22"/>
          <w:szCs w:val="22"/>
        </w:rPr>
      </w:pPr>
      <w:r w:rsidRPr="000C1DB0">
        <w:rPr>
          <w:rFonts w:ascii="Calibri" w:hAnsi="Calibri"/>
          <w:b/>
          <w:sz w:val="22"/>
          <w:szCs w:val="22"/>
        </w:rPr>
        <w:t xml:space="preserve">Table </w:t>
      </w:r>
      <w:r w:rsidR="00446B80">
        <w:rPr>
          <w:rFonts w:ascii="Calibri" w:hAnsi="Calibri"/>
          <w:b/>
          <w:sz w:val="22"/>
          <w:szCs w:val="22"/>
        </w:rPr>
        <w:t>2</w:t>
      </w:r>
    </w:p>
    <w:p w14:paraId="4AD2DAE0" w14:textId="77777777" w:rsidR="005E00EF" w:rsidRPr="000C1DB0" w:rsidRDefault="00AD1A2D" w:rsidP="00446B80">
      <w:pPr>
        <w:keepNext/>
        <w:keepLines/>
        <w:spacing w:after="60"/>
        <w:jc w:val="center"/>
        <w:rPr>
          <w:rFonts w:ascii="Calibri" w:hAnsi="Calibri"/>
          <w:b/>
          <w:sz w:val="22"/>
          <w:szCs w:val="22"/>
        </w:rPr>
      </w:pPr>
      <w:r w:rsidRPr="000C1DB0">
        <w:rPr>
          <w:rFonts w:ascii="Calibri" w:hAnsi="Calibri"/>
          <w:b/>
          <w:sz w:val="22"/>
          <w:szCs w:val="22"/>
        </w:rPr>
        <w:t>Study Timeline</w:t>
      </w:r>
    </w:p>
    <w:tbl>
      <w:tblPr>
        <w:tblW w:w="0" w:type="auto"/>
        <w:jc w:val="cente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2"/>
        <w:gridCol w:w="2262"/>
      </w:tblGrid>
      <w:tr w:rsidR="005E00EF" w:rsidRPr="000C1DB0" w14:paraId="38606854" w14:textId="77777777" w:rsidTr="0016044E">
        <w:trPr>
          <w:jc w:val="center"/>
        </w:trPr>
        <w:tc>
          <w:tcPr>
            <w:tcW w:w="3472" w:type="dxa"/>
          </w:tcPr>
          <w:p w14:paraId="1623A3E3" w14:textId="77777777" w:rsidR="005E00EF" w:rsidRPr="000C1DB0" w:rsidRDefault="005E00EF" w:rsidP="00446B80">
            <w:pPr>
              <w:keepNext/>
              <w:keepLines/>
              <w:rPr>
                <w:rFonts w:ascii="Calibri" w:hAnsi="Calibri"/>
                <w:sz w:val="20"/>
              </w:rPr>
            </w:pPr>
            <w:r w:rsidRPr="000C1DB0">
              <w:rPr>
                <w:rFonts w:ascii="Calibri" w:hAnsi="Calibri"/>
                <w:sz w:val="20"/>
              </w:rPr>
              <w:t>Begin data collection</w:t>
            </w:r>
          </w:p>
        </w:tc>
        <w:tc>
          <w:tcPr>
            <w:tcW w:w="2262" w:type="dxa"/>
          </w:tcPr>
          <w:p w14:paraId="7052ED24" w14:textId="05052E64" w:rsidR="005E00EF" w:rsidRPr="000C1DB0" w:rsidRDefault="00446B80" w:rsidP="00446B80">
            <w:pPr>
              <w:keepNext/>
              <w:keepLines/>
              <w:rPr>
                <w:rFonts w:ascii="Calibri" w:hAnsi="Calibri"/>
                <w:sz w:val="20"/>
              </w:rPr>
            </w:pPr>
            <w:r>
              <w:rPr>
                <w:rFonts w:ascii="Calibri" w:hAnsi="Calibri"/>
                <w:sz w:val="20"/>
              </w:rPr>
              <w:t xml:space="preserve">May </w:t>
            </w:r>
            <w:r w:rsidR="00AD1A2D" w:rsidRPr="000C1DB0">
              <w:rPr>
                <w:rFonts w:ascii="Calibri" w:hAnsi="Calibri"/>
                <w:sz w:val="20"/>
              </w:rPr>
              <w:t>2019</w:t>
            </w:r>
          </w:p>
        </w:tc>
      </w:tr>
      <w:tr w:rsidR="005E00EF" w:rsidRPr="000C1DB0" w14:paraId="01B8279A" w14:textId="77777777" w:rsidTr="0016044E">
        <w:trPr>
          <w:jc w:val="center"/>
        </w:trPr>
        <w:tc>
          <w:tcPr>
            <w:tcW w:w="3472" w:type="dxa"/>
          </w:tcPr>
          <w:p w14:paraId="658F27B8" w14:textId="77777777" w:rsidR="005E00EF" w:rsidRPr="000C1DB0" w:rsidRDefault="005E00EF" w:rsidP="0016044E">
            <w:pPr>
              <w:rPr>
                <w:rFonts w:ascii="Calibri" w:hAnsi="Calibri"/>
                <w:sz w:val="20"/>
              </w:rPr>
            </w:pPr>
            <w:r w:rsidRPr="000C1DB0">
              <w:rPr>
                <w:rFonts w:ascii="Calibri" w:hAnsi="Calibri"/>
                <w:sz w:val="20"/>
              </w:rPr>
              <w:t>End data collection</w:t>
            </w:r>
          </w:p>
        </w:tc>
        <w:tc>
          <w:tcPr>
            <w:tcW w:w="2262" w:type="dxa"/>
            <w:tcBorders>
              <w:bottom w:val="single" w:sz="4" w:space="0" w:color="auto"/>
            </w:tcBorders>
          </w:tcPr>
          <w:p w14:paraId="3FF3A971" w14:textId="308E1BCA" w:rsidR="005E00EF" w:rsidRPr="000C1DB0" w:rsidRDefault="00446B80" w:rsidP="00AD1A2D">
            <w:pPr>
              <w:rPr>
                <w:rFonts w:ascii="Calibri" w:hAnsi="Calibri"/>
                <w:sz w:val="20"/>
              </w:rPr>
            </w:pPr>
            <w:r>
              <w:rPr>
                <w:rFonts w:ascii="Calibri" w:hAnsi="Calibri"/>
                <w:sz w:val="20"/>
              </w:rPr>
              <w:t>August</w:t>
            </w:r>
            <w:r w:rsidR="00AD1A2D" w:rsidRPr="000C1DB0">
              <w:rPr>
                <w:rFonts w:ascii="Calibri" w:hAnsi="Calibri"/>
                <w:sz w:val="20"/>
              </w:rPr>
              <w:t xml:space="preserve"> 2019</w:t>
            </w:r>
          </w:p>
        </w:tc>
      </w:tr>
      <w:tr w:rsidR="00C81B42" w:rsidRPr="000C1DB0" w14:paraId="1541E4CA" w14:textId="77777777" w:rsidTr="0016044E">
        <w:trPr>
          <w:jc w:val="center"/>
        </w:trPr>
        <w:tc>
          <w:tcPr>
            <w:tcW w:w="3472" w:type="dxa"/>
          </w:tcPr>
          <w:p w14:paraId="07544F25" w14:textId="77777777" w:rsidR="00C81B42" w:rsidRPr="000C1DB0" w:rsidRDefault="00C81B42" w:rsidP="0016044E">
            <w:pPr>
              <w:rPr>
                <w:rFonts w:ascii="Calibri" w:hAnsi="Calibri"/>
                <w:sz w:val="20"/>
              </w:rPr>
            </w:pPr>
            <w:r w:rsidRPr="000C1DB0">
              <w:rPr>
                <w:rFonts w:ascii="Calibri" w:hAnsi="Calibri"/>
                <w:sz w:val="20"/>
              </w:rPr>
              <w:t>First draft</w:t>
            </w:r>
            <w:r w:rsidR="00AD1A2D" w:rsidRPr="000C1DB0">
              <w:rPr>
                <w:rFonts w:ascii="Calibri" w:hAnsi="Calibri"/>
                <w:sz w:val="20"/>
              </w:rPr>
              <w:t xml:space="preserve"> of final report</w:t>
            </w:r>
          </w:p>
        </w:tc>
        <w:tc>
          <w:tcPr>
            <w:tcW w:w="2262" w:type="dxa"/>
          </w:tcPr>
          <w:p w14:paraId="486CE960" w14:textId="422B0E75" w:rsidR="00C81B42" w:rsidRPr="000C1DB0" w:rsidRDefault="00446B80" w:rsidP="00AD1A2D">
            <w:pPr>
              <w:rPr>
                <w:rFonts w:ascii="Calibri" w:hAnsi="Calibri"/>
                <w:sz w:val="20"/>
              </w:rPr>
            </w:pPr>
            <w:r>
              <w:rPr>
                <w:rFonts w:ascii="Calibri" w:hAnsi="Calibri"/>
                <w:sz w:val="20"/>
              </w:rPr>
              <w:t>November</w:t>
            </w:r>
            <w:r w:rsidR="00AD1A2D" w:rsidRPr="000C1DB0">
              <w:rPr>
                <w:rFonts w:ascii="Calibri" w:hAnsi="Calibri"/>
                <w:sz w:val="20"/>
              </w:rPr>
              <w:t xml:space="preserve"> 2019</w:t>
            </w:r>
          </w:p>
        </w:tc>
      </w:tr>
      <w:tr w:rsidR="00C81B42" w:rsidRPr="000C1DB0" w14:paraId="5DDB747C" w14:textId="77777777" w:rsidTr="0016044E">
        <w:trPr>
          <w:jc w:val="center"/>
        </w:trPr>
        <w:tc>
          <w:tcPr>
            <w:tcW w:w="3472" w:type="dxa"/>
          </w:tcPr>
          <w:p w14:paraId="1BF2D5DA" w14:textId="77777777" w:rsidR="00C81B42" w:rsidRPr="000C1DB0" w:rsidRDefault="00AD1A2D" w:rsidP="00AD1A2D">
            <w:pPr>
              <w:rPr>
                <w:rFonts w:ascii="Calibri" w:hAnsi="Calibri"/>
                <w:sz w:val="20"/>
              </w:rPr>
            </w:pPr>
            <w:r w:rsidRPr="000C1DB0">
              <w:rPr>
                <w:rFonts w:ascii="Calibri" w:hAnsi="Calibri"/>
                <w:sz w:val="20"/>
              </w:rPr>
              <w:t>Completion of final report</w:t>
            </w:r>
          </w:p>
        </w:tc>
        <w:tc>
          <w:tcPr>
            <w:tcW w:w="2262" w:type="dxa"/>
          </w:tcPr>
          <w:p w14:paraId="4E02D613" w14:textId="4CF42ED4" w:rsidR="00C81B42" w:rsidRPr="000C1DB0" w:rsidRDefault="00446B80" w:rsidP="00AD1A2D">
            <w:pPr>
              <w:rPr>
                <w:rFonts w:ascii="Calibri" w:hAnsi="Calibri"/>
                <w:sz w:val="20"/>
              </w:rPr>
            </w:pPr>
            <w:r>
              <w:rPr>
                <w:rFonts w:ascii="Calibri" w:hAnsi="Calibri"/>
                <w:sz w:val="20"/>
              </w:rPr>
              <w:t>April 2020</w:t>
            </w:r>
          </w:p>
        </w:tc>
      </w:tr>
    </w:tbl>
    <w:p w14:paraId="4710B43B" w14:textId="5363CA0E" w:rsidR="00C62843" w:rsidRPr="000C1DB0" w:rsidRDefault="00C62843" w:rsidP="00096846">
      <w:pPr>
        <w:keepNext/>
        <w:numPr>
          <w:ilvl w:val="0"/>
          <w:numId w:val="2"/>
        </w:numPr>
        <w:spacing w:before="240" w:after="240"/>
        <w:ind w:left="389"/>
        <w:rPr>
          <w:rFonts w:ascii="Calibri" w:hAnsi="Calibri"/>
          <w:b/>
          <w:sz w:val="22"/>
          <w:szCs w:val="22"/>
        </w:rPr>
      </w:pPr>
      <w:r w:rsidRPr="000C1DB0">
        <w:rPr>
          <w:rFonts w:ascii="Calibri" w:hAnsi="Calibri"/>
          <w:b/>
          <w:sz w:val="22"/>
          <w:szCs w:val="22"/>
        </w:rPr>
        <w:t>Display Expiration Date for OMB Approval</w:t>
      </w:r>
    </w:p>
    <w:p w14:paraId="66DF0696" w14:textId="77777777" w:rsidR="00C62843" w:rsidRPr="000C1DB0" w:rsidRDefault="00A81EB6" w:rsidP="00096846">
      <w:pPr>
        <w:spacing w:after="240"/>
        <w:ind w:left="389"/>
        <w:rPr>
          <w:rFonts w:ascii="Calibri" w:hAnsi="Calibri"/>
          <w:sz w:val="22"/>
          <w:szCs w:val="22"/>
        </w:rPr>
      </w:pPr>
      <w:r w:rsidRPr="000C1DB0">
        <w:rPr>
          <w:rFonts w:ascii="Calibri" w:hAnsi="Calibri"/>
          <w:sz w:val="22"/>
          <w:szCs w:val="22"/>
        </w:rPr>
        <w:t xml:space="preserve">The data collection form will </w:t>
      </w:r>
      <w:r w:rsidR="00C62843" w:rsidRPr="000C1DB0">
        <w:rPr>
          <w:rFonts w:ascii="Calibri" w:hAnsi="Calibri"/>
          <w:sz w:val="22"/>
          <w:szCs w:val="22"/>
        </w:rPr>
        <w:t>display the expiration date for OMB approval of the information collection.</w:t>
      </w:r>
    </w:p>
    <w:p w14:paraId="150C8974" w14:textId="77777777" w:rsidR="00C62843" w:rsidRPr="000C1DB0" w:rsidRDefault="00C62843" w:rsidP="00096846">
      <w:pPr>
        <w:keepNext/>
        <w:numPr>
          <w:ilvl w:val="0"/>
          <w:numId w:val="2"/>
        </w:numPr>
        <w:spacing w:after="240"/>
        <w:ind w:left="389"/>
        <w:rPr>
          <w:rFonts w:ascii="Calibri" w:hAnsi="Calibri"/>
          <w:b/>
          <w:sz w:val="22"/>
          <w:szCs w:val="22"/>
        </w:rPr>
      </w:pPr>
      <w:r w:rsidRPr="000C1DB0">
        <w:rPr>
          <w:rFonts w:ascii="Calibri" w:hAnsi="Calibri"/>
          <w:b/>
          <w:sz w:val="22"/>
          <w:szCs w:val="22"/>
        </w:rPr>
        <w:t>Exceptions to Certification Statement</w:t>
      </w:r>
    </w:p>
    <w:p w14:paraId="1D01DC44" w14:textId="77777777" w:rsidR="00103FEF" w:rsidRPr="001A70F1" w:rsidRDefault="00103FEF" w:rsidP="00446B80">
      <w:pPr>
        <w:pStyle w:val="TEXT-PPSSBO"/>
        <w:tabs>
          <w:tab w:val="left" w:pos="360"/>
        </w:tabs>
        <w:ind w:left="360"/>
      </w:pPr>
      <w:r w:rsidRPr="00103FEF">
        <w:t xml:space="preserve"> </w:t>
      </w:r>
      <w:r w:rsidRPr="001A70F1">
        <w:t>Not applicable. There are no exceptions requested.</w:t>
      </w:r>
    </w:p>
    <w:p w14:paraId="6B6BEE39" w14:textId="77777777" w:rsidR="00784696" w:rsidRPr="000C1DB0" w:rsidRDefault="00784696" w:rsidP="00096846">
      <w:pPr>
        <w:spacing w:after="240"/>
        <w:ind w:left="389"/>
        <w:rPr>
          <w:rFonts w:ascii="Calibri" w:hAnsi="Calibri"/>
          <w:sz w:val="22"/>
        </w:rPr>
      </w:pPr>
    </w:p>
    <w:sectPr w:rsidR="00784696" w:rsidRPr="000C1DB0" w:rsidSect="00354D62">
      <w:headerReference w:type="default" r:id="rId12"/>
      <w:footerReference w:type="even" r:id="rId13"/>
      <w:footerReference w:type="default" r:id="rId14"/>
      <w:pgSz w:w="12240" w:h="15840" w:code="1"/>
      <w:pgMar w:top="1440" w:right="1296" w:bottom="1152" w:left="1440" w:header="1440" w:footer="43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54CA18" w14:textId="77777777" w:rsidR="00FC2CF3" w:rsidRDefault="00FC2CF3">
      <w:r>
        <w:separator/>
      </w:r>
    </w:p>
  </w:endnote>
  <w:endnote w:type="continuationSeparator" w:id="0">
    <w:p w14:paraId="0BD41C24" w14:textId="77777777" w:rsidR="00FC2CF3" w:rsidRDefault="00FC2CF3">
      <w:r>
        <w:continuationSeparator/>
      </w:r>
    </w:p>
  </w:endnote>
  <w:endnote w:type="continuationNotice" w:id="1">
    <w:p w14:paraId="661631C8" w14:textId="77777777" w:rsidR="00FC2CF3" w:rsidRDefault="00FC2C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Baskerville">
    <w:altName w:val="Baskerville"/>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EE230" w14:textId="77777777" w:rsidR="003739C4" w:rsidRDefault="003739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780CE9" w14:textId="77777777" w:rsidR="003739C4" w:rsidRDefault="003739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C468C" w14:textId="77777777" w:rsidR="003739C4" w:rsidRDefault="003739C4">
    <w:pPr>
      <w:pStyle w:val="Footer"/>
      <w:jc w:val="center"/>
    </w:pPr>
    <w:r>
      <w:fldChar w:fldCharType="begin"/>
    </w:r>
    <w:r>
      <w:instrText xml:space="preserve"> PAGE   \* MERGEFORMAT </w:instrText>
    </w:r>
    <w:r>
      <w:fldChar w:fldCharType="separate"/>
    </w:r>
    <w:r w:rsidR="00FD4991">
      <w:rPr>
        <w:noProof/>
      </w:rPr>
      <w:t>4</w:t>
    </w:r>
    <w:r>
      <w:fldChar w:fldCharType="end"/>
    </w:r>
  </w:p>
  <w:p w14:paraId="359B5BBA" w14:textId="77777777" w:rsidR="003739C4" w:rsidRDefault="003739C4">
    <w:pPr>
      <w:pStyle w:val="Footer"/>
      <w:tabs>
        <w:tab w:val="clear" w:pos="8640"/>
        <w:tab w:val="right" w:pos="9900"/>
      </w:tabs>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8C3040" w14:textId="77777777" w:rsidR="00FC2CF3" w:rsidRDefault="00FC2CF3">
      <w:r>
        <w:separator/>
      </w:r>
    </w:p>
  </w:footnote>
  <w:footnote w:type="continuationSeparator" w:id="0">
    <w:p w14:paraId="59C0F28B" w14:textId="77777777" w:rsidR="00FC2CF3" w:rsidRDefault="00FC2CF3">
      <w:r>
        <w:continuationSeparator/>
      </w:r>
    </w:p>
  </w:footnote>
  <w:footnote w:type="continuationNotice" w:id="1">
    <w:p w14:paraId="6F12BB38" w14:textId="77777777" w:rsidR="00FC2CF3" w:rsidRDefault="00FC2CF3"/>
  </w:footnote>
  <w:footnote w:id="2">
    <w:p w14:paraId="43CAB09D" w14:textId="77777777" w:rsidR="000F2C50" w:rsidRPr="000F2C50" w:rsidRDefault="000F2C50" w:rsidP="000F2C50">
      <w:pPr>
        <w:pStyle w:val="FootnoteText"/>
        <w:rPr>
          <w:rFonts w:asciiTheme="minorHAnsi" w:hAnsiTheme="minorHAnsi"/>
        </w:rPr>
      </w:pPr>
      <w:r w:rsidRPr="000F2C50">
        <w:rPr>
          <w:rStyle w:val="FootnoteReference"/>
          <w:rFonts w:asciiTheme="minorHAnsi" w:hAnsiTheme="minorHAnsi"/>
        </w:rPr>
        <w:footnoteRef/>
      </w:r>
      <w:r w:rsidRPr="000F2C50">
        <w:rPr>
          <w:rFonts w:asciiTheme="minorHAnsi" w:hAnsiTheme="minorHAnsi"/>
        </w:rPr>
        <w:t xml:space="preserve"> U.S. Department of Education. Office of Elementary and Secondary Education. (2004). </w:t>
      </w:r>
      <w:r w:rsidRPr="000F2C50">
        <w:rPr>
          <w:rFonts w:asciiTheme="minorHAnsi" w:hAnsiTheme="minorHAnsi"/>
          <w:i/>
        </w:rPr>
        <w:t xml:space="preserve">Unsafe School Choice Option: Non-Regulatory Guidance. </w:t>
      </w:r>
      <w:r w:rsidRPr="000F2C50">
        <w:rPr>
          <w:rFonts w:asciiTheme="minorHAnsi" w:hAnsiTheme="minorHAnsi"/>
        </w:rPr>
        <w:t xml:space="preserve">Accessed from </w:t>
      </w:r>
      <w:hyperlink r:id="rId1" w:history="1">
        <w:r w:rsidRPr="000F2C50">
          <w:rPr>
            <w:rStyle w:val="Hyperlink"/>
            <w:rFonts w:asciiTheme="minorHAnsi" w:hAnsiTheme="minorHAnsi"/>
          </w:rPr>
          <w:t>https://www2.ed.gov/policy/elsec/guid/unsafeschoolchoice.doc</w:t>
        </w:r>
      </w:hyperlink>
      <w:r w:rsidRPr="000F2C50">
        <w:rPr>
          <w:rFonts w:asciiTheme="minorHAnsi" w:hAnsiTheme="minorHAnsi"/>
        </w:rPr>
        <w:t xml:space="preserve">. </w:t>
      </w:r>
    </w:p>
  </w:footnote>
  <w:footnote w:id="3">
    <w:p w14:paraId="51E6572B" w14:textId="77777777" w:rsidR="000F2C50" w:rsidRPr="000F2C50" w:rsidRDefault="000F2C50" w:rsidP="000F2C50">
      <w:pPr>
        <w:pStyle w:val="FootnoteText"/>
        <w:rPr>
          <w:rFonts w:asciiTheme="minorHAnsi" w:hAnsiTheme="minorHAnsi"/>
        </w:rPr>
      </w:pPr>
      <w:r w:rsidRPr="000F2C50">
        <w:rPr>
          <w:rStyle w:val="FootnoteReference"/>
          <w:rFonts w:asciiTheme="minorHAnsi" w:hAnsiTheme="minorHAnsi"/>
        </w:rPr>
        <w:footnoteRef/>
      </w:r>
      <w:r w:rsidRPr="000F2C50">
        <w:rPr>
          <w:rFonts w:asciiTheme="minorHAnsi" w:hAnsiTheme="minorHAnsi"/>
        </w:rPr>
        <w:t xml:space="preserve"> Zradicka, Gloria. (2004). </w:t>
      </w:r>
      <w:r w:rsidRPr="000F2C50">
        <w:rPr>
          <w:rFonts w:asciiTheme="minorHAnsi" w:hAnsiTheme="minorHAnsi"/>
          <w:i/>
        </w:rPr>
        <w:t xml:space="preserve">Persistently Dangerous School Criteria. </w:t>
      </w:r>
      <w:r w:rsidRPr="000F2C50">
        <w:rPr>
          <w:rFonts w:asciiTheme="minorHAnsi" w:hAnsiTheme="minorHAnsi"/>
        </w:rPr>
        <w:t>Denver, CO: Education Commission of the States.</w:t>
      </w:r>
    </w:p>
  </w:footnote>
  <w:footnote w:id="4">
    <w:p w14:paraId="0CAAE830" w14:textId="77777777" w:rsidR="000F2C50" w:rsidRPr="002466FA" w:rsidRDefault="000F2C50" w:rsidP="000F2C50">
      <w:pPr>
        <w:pStyle w:val="FootnoteText"/>
      </w:pPr>
      <w:r w:rsidRPr="000F2C50">
        <w:rPr>
          <w:rStyle w:val="FootnoteReference"/>
          <w:rFonts w:asciiTheme="minorHAnsi" w:hAnsiTheme="minorHAnsi"/>
        </w:rPr>
        <w:footnoteRef/>
      </w:r>
      <w:r w:rsidRPr="000F2C50">
        <w:rPr>
          <w:rFonts w:asciiTheme="minorHAnsi" w:hAnsiTheme="minorHAnsi"/>
        </w:rPr>
        <w:t xml:space="preserve"> U.S. Department of Education, Office of Inspector General. (2007). </w:t>
      </w:r>
      <w:r w:rsidRPr="000F2C50">
        <w:rPr>
          <w:rFonts w:asciiTheme="minorHAnsi" w:hAnsiTheme="minorHAnsi"/>
          <w:i/>
        </w:rPr>
        <w:t xml:space="preserve">An OIG Perspective on the Unsafe School Choice Option. </w:t>
      </w:r>
      <w:r w:rsidRPr="000F2C50">
        <w:rPr>
          <w:rFonts w:asciiTheme="minorHAnsi" w:hAnsiTheme="minorHAnsi"/>
        </w:rPr>
        <w:t xml:space="preserve">ED-OIG/S03G0015. Accessed from </w:t>
      </w:r>
      <w:hyperlink r:id="rId2" w:history="1">
        <w:r w:rsidRPr="000F2C50">
          <w:rPr>
            <w:rStyle w:val="Hyperlink"/>
            <w:rFonts w:asciiTheme="minorHAnsi" w:hAnsiTheme="minorHAnsi"/>
          </w:rPr>
          <w:t>http://educationnewyork.com/files/s03g0015dangerousschools.pdf</w:t>
        </w:r>
      </w:hyperlink>
      <w:r w:rsidRPr="000F2C50">
        <w:rPr>
          <w:rFonts w:asciiTheme="minorHAnsi" w:hAnsiTheme="minorHAnsi"/>
        </w:rPr>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3332E" w14:textId="77777777" w:rsidR="002C6D9A" w:rsidRDefault="002C6D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760E0"/>
    <w:multiLevelType w:val="hybridMultilevel"/>
    <w:tmpl w:val="74A8CF3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8955B0"/>
    <w:multiLevelType w:val="hybridMultilevel"/>
    <w:tmpl w:val="2006E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162BEE"/>
    <w:multiLevelType w:val="hybridMultilevel"/>
    <w:tmpl w:val="B7E43DD4"/>
    <w:lvl w:ilvl="0" w:tplc="0409000F">
      <w:start w:val="1"/>
      <w:numFmt w:val="decimal"/>
      <w:lvlText w:val="%1."/>
      <w:lvlJc w:val="left"/>
      <w:pPr>
        <w:tabs>
          <w:tab w:val="num" w:pos="720"/>
        </w:tabs>
        <w:ind w:left="720" w:hanging="360"/>
      </w:pPr>
      <w:rPr>
        <w:rFonts w:cs="Times New Roman" w:hint="default"/>
      </w:rPr>
    </w:lvl>
    <w:lvl w:ilvl="1" w:tplc="791A6722">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3CA7217"/>
    <w:multiLevelType w:val="hybridMultilevel"/>
    <w:tmpl w:val="548291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9D5D63"/>
    <w:multiLevelType w:val="hybridMultilevel"/>
    <w:tmpl w:val="E32CAD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629457E"/>
    <w:multiLevelType w:val="hybridMultilevel"/>
    <w:tmpl w:val="7834E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655001"/>
    <w:multiLevelType w:val="hybridMultilevel"/>
    <w:tmpl w:val="07D84D3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2F6745B"/>
    <w:multiLevelType w:val="hybridMultilevel"/>
    <w:tmpl w:val="4544D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9B3603"/>
    <w:multiLevelType w:val="hybridMultilevel"/>
    <w:tmpl w:val="B128E75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EE496D"/>
    <w:multiLevelType w:val="hybridMultilevel"/>
    <w:tmpl w:val="536A6F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BA479A1"/>
    <w:multiLevelType w:val="singleLevel"/>
    <w:tmpl w:val="E31AFE52"/>
    <w:lvl w:ilvl="0">
      <w:start w:val="1"/>
      <w:numFmt w:val="decimal"/>
      <w:lvlText w:val="%1."/>
      <w:lvlJc w:val="left"/>
      <w:pPr>
        <w:ind w:left="720" w:hanging="360"/>
      </w:pPr>
      <w:rPr>
        <w:rFonts w:hint="default"/>
      </w:rPr>
    </w:lvl>
  </w:abstractNum>
  <w:abstractNum w:abstractNumId="11">
    <w:nsid w:val="2F521F9F"/>
    <w:multiLevelType w:val="multilevel"/>
    <w:tmpl w:val="65F6F50A"/>
    <w:lvl w:ilvl="0">
      <w:start w:val="1"/>
      <w:numFmt w:val="bullet"/>
      <w:pStyle w:val="Bullet1"/>
      <w:lvlText w:val="•"/>
      <w:lvlJc w:val="left"/>
      <w:pPr>
        <w:ind w:left="720" w:hanging="360"/>
      </w:pPr>
      <w:rPr>
        <w:rFonts w:ascii="Times New Roman" w:hAnsi="Times New Roman" w:cs="Times New Roman" w:hint="default"/>
        <w:b w:val="0"/>
        <w:i w:val="0"/>
        <w:color w:val="000000"/>
        <w:sz w:val="28"/>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2">
    <w:nsid w:val="3243699A"/>
    <w:multiLevelType w:val="hybridMultilevel"/>
    <w:tmpl w:val="FEA6D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E02225A"/>
    <w:multiLevelType w:val="hybridMultilevel"/>
    <w:tmpl w:val="13089DE8"/>
    <w:lvl w:ilvl="0" w:tplc="4440CC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A270274"/>
    <w:multiLevelType w:val="hybridMultilevel"/>
    <w:tmpl w:val="ACDE2B0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4A25E5"/>
    <w:multiLevelType w:val="hybridMultilevel"/>
    <w:tmpl w:val="EB98A6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E2B7D07"/>
    <w:multiLevelType w:val="hybridMultilevel"/>
    <w:tmpl w:val="0E58B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11E2AE7"/>
    <w:multiLevelType w:val="hybridMultilevel"/>
    <w:tmpl w:val="B868FCCC"/>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55BB2105"/>
    <w:multiLevelType w:val="hybridMultilevel"/>
    <w:tmpl w:val="05909D46"/>
    <w:lvl w:ilvl="0" w:tplc="0526D5FC">
      <w:start w:val="6"/>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3619D9"/>
    <w:multiLevelType w:val="hybridMultilevel"/>
    <w:tmpl w:val="BFA484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nsid w:val="61DF7782"/>
    <w:multiLevelType w:val="hybridMultilevel"/>
    <w:tmpl w:val="08504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E83740"/>
    <w:multiLevelType w:val="hybridMultilevel"/>
    <w:tmpl w:val="B7E43DD4"/>
    <w:lvl w:ilvl="0" w:tplc="0409000F">
      <w:start w:val="1"/>
      <w:numFmt w:val="decimal"/>
      <w:lvlText w:val="%1."/>
      <w:lvlJc w:val="left"/>
      <w:pPr>
        <w:tabs>
          <w:tab w:val="num" w:pos="720"/>
        </w:tabs>
        <w:ind w:left="720" w:hanging="360"/>
      </w:pPr>
      <w:rPr>
        <w:rFonts w:cs="Times New Roman" w:hint="default"/>
      </w:rPr>
    </w:lvl>
    <w:lvl w:ilvl="1" w:tplc="791A6722">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C28020B"/>
    <w:multiLevelType w:val="hybridMultilevel"/>
    <w:tmpl w:val="0770B57A"/>
    <w:lvl w:ilvl="0" w:tplc="04090001">
      <w:start w:val="1"/>
      <w:numFmt w:val="bullet"/>
      <w:lvlText w:val=""/>
      <w:lvlJc w:val="left"/>
      <w:pPr>
        <w:tabs>
          <w:tab w:val="num" w:pos="720"/>
        </w:tabs>
        <w:ind w:left="720" w:hanging="360"/>
      </w:pPr>
      <w:rPr>
        <w:rFonts w:ascii="Symbol" w:hAnsi="Symbol" w:hint="default"/>
      </w:rPr>
    </w:lvl>
    <w:lvl w:ilvl="1" w:tplc="726C379E">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4A64A5B"/>
    <w:multiLevelType w:val="singleLevel"/>
    <w:tmpl w:val="11F2B0DC"/>
    <w:lvl w:ilvl="0">
      <w:start w:val="1"/>
      <w:numFmt w:val="upperLetter"/>
      <w:pStyle w:val="Heading1"/>
      <w:lvlText w:val="%1."/>
      <w:lvlJc w:val="left"/>
      <w:pPr>
        <w:tabs>
          <w:tab w:val="num" w:pos="360"/>
        </w:tabs>
        <w:ind w:left="360" w:hanging="360"/>
      </w:pPr>
      <w:rPr>
        <w:rFonts w:hint="default"/>
      </w:rPr>
    </w:lvl>
  </w:abstractNum>
  <w:abstractNum w:abstractNumId="24">
    <w:nsid w:val="7D4F0B6C"/>
    <w:multiLevelType w:val="hybridMultilevel"/>
    <w:tmpl w:val="C55276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3"/>
  </w:num>
  <w:num w:numId="2">
    <w:abstractNumId w:val="10"/>
  </w:num>
  <w:num w:numId="3">
    <w:abstractNumId w:val="2"/>
  </w:num>
  <w:num w:numId="4">
    <w:abstractNumId w:val="18"/>
  </w:num>
  <w:num w:numId="5">
    <w:abstractNumId w:val="9"/>
  </w:num>
  <w:num w:numId="6">
    <w:abstractNumId w:val="22"/>
  </w:num>
  <w:num w:numId="7">
    <w:abstractNumId w:val="3"/>
  </w:num>
  <w:num w:numId="8">
    <w:abstractNumId w:val="15"/>
  </w:num>
  <w:num w:numId="9">
    <w:abstractNumId w:val="4"/>
  </w:num>
  <w:num w:numId="10">
    <w:abstractNumId w:val="13"/>
  </w:num>
  <w:num w:numId="11">
    <w:abstractNumId w:val="20"/>
  </w:num>
  <w:num w:numId="12">
    <w:abstractNumId w:val="8"/>
  </w:num>
  <w:num w:numId="13">
    <w:abstractNumId w:val="16"/>
  </w:num>
  <w:num w:numId="14">
    <w:abstractNumId w:val="6"/>
  </w:num>
  <w:num w:numId="15">
    <w:abstractNumId w:val="21"/>
  </w:num>
  <w:num w:numId="16">
    <w:abstractNumId w:val="19"/>
  </w:num>
  <w:num w:numId="17">
    <w:abstractNumId w:val="24"/>
  </w:num>
  <w:num w:numId="18">
    <w:abstractNumId w:val="1"/>
  </w:num>
  <w:num w:numId="19">
    <w:abstractNumId w:val="14"/>
  </w:num>
  <w:num w:numId="20">
    <w:abstractNumId w:val="12"/>
  </w:num>
  <w:num w:numId="21">
    <w:abstractNumId w:val="11"/>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0"/>
  </w:num>
  <w:num w:numId="2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Move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7CA3"/>
    <w:rsid w:val="00002037"/>
    <w:rsid w:val="00007E53"/>
    <w:rsid w:val="00011152"/>
    <w:rsid w:val="00012418"/>
    <w:rsid w:val="0001416C"/>
    <w:rsid w:val="00015985"/>
    <w:rsid w:val="00037014"/>
    <w:rsid w:val="00037A34"/>
    <w:rsid w:val="000721CC"/>
    <w:rsid w:val="00087E77"/>
    <w:rsid w:val="00095F51"/>
    <w:rsid w:val="00096846"/>
    <w:rsid w:val="000B2834"/>
    <w:rsid w:val="000B494D"/>
    <w:rsid w:val="000B5510"/>
    <w:rsid w:val="000B7BB8"/>
    <w:rsid w:val="000C1DB0"/>
    <w:rsid w:val="000D094B"/>
    <w:rsid w:val="000D4FB5"/>
    <w:rsid w:val="000D6DE6"/>
    <w:rsid w:val="000E0CAF"/>
    <w:rsid w:val="000E0D1B"/>
    <w:rsid w:val="000E310C"/>
    <w:rsid w:val="000F1325"/>
    <w:rsid w:val="000F2C50"/>
    <w:rsid w:val="000F33E7"/>
    <w:rsid w:val="000F40F0"/>
    <w:rsid w:val="000F5280"/>
    <w:rsid w:val="00103FEF"/>
    <w:rsid w:val="0011325E"/>
    <w:rsid w:val="001178BA"/>
    <w:rsid w:val="001209C4"/>
    <w:rsid w:val="001248C2"/>
    <w:rsid w:val="00143E3B"/>
    <w:rsid w:val="0014575E"/>
    <w:rsid w:val="00152C5E"/>
    <w:rsid w:val="001603F5"/>
    <w:rsid w:val="0016044E"/>
    <w:rsid w:val="00174237"/>
    <w:rsid w:val="0017701C"/>
    <w:rsid w:val="00186FE5"/>
    <w:rsid w:val="001930CE"/>
    <w:rsid w:val="00194375"/>
    <w:rsid w:val="001947E4"/>
    <w:rsid w:val="001A0A35"/>
    <w:rsid w:val="001A2B71"/>
    <w:rsid w:val="001A40F2"/>
    <w:rsid w:val="001D13DA"/>
    <w:rsid w:val="001D3E20"/>
    <w:rsid w:val="001D5445"/>
    <w:rsid w:val="001D7D58"/>
    <w:rsid w:val="001E1B30"/>
    <w:rsid w:val="001F68E9"/>
    <w:rsid w:val="00203B0E"/>
    <w:rsid w:val="00206A85"/>
    <w:rsid w:val="00213E32"/>
    <w:rsid w:val="00216BB0"/>
    <w:rsid w:val="00231418"/>
    <w:rsid w:val="00247998"/>
    <w:rsid w:val="00261D10"/>
    <w:rsid w:val="00261EDC"/>
    <w:rsid w:val="002665FF"/>
    <w:rsid w:val="00277F98"/>
    <w:rsid w:val="002878C2"/>
    <w:rsid w:val="0029133E"/>
    <w:rsid w:val="002A10A5"/>
    <w:rsid w:val="002A1407"/>
    <w:rsid w:val="002A5287"/>
    <w:rsid w:val="002B2450"/>
    <w:rsid w:val="002C6D9A"/>
    <w:rsid w:val="002D2C70"/>
    <w:rsid w:val="002D7CA3"/>
    <w:rsid w:val="002E77B1"/>
    <w:rsid w:val="00303C10"/>
    <w:rsid w:val="00307BEE"/>
    <w:rsid w:val="0031121C"/>
    <w:rsid w:val="00313D4A"/>
    <w:rsid w:val="003241E1"/>
    <w:rsid w:val="00325953"/>
    <w:rsid w:val="00334A98"/>
    <w:rsid w:val="00340FF8"/>
    <w:rsid w:val="00351688"/>
    <w:rsid w:val="00354D62"/>
    <w:rsid w:val="00365CB2"/>
    <w:rsid w:val="00370A20"/>
    <w:rsid w:val="003739C4"/>
    <w:rsid w:val="00381C55"/>
    <w:rsid w:val="003847F5"/>
    <w:rsid w:val="003A1239"/>
    <w:rsid w:val="003A3494"/>
    <w:rsid w:val="003B0EC5"/>
    <w:rsid w:val="003B3454"/>
    <w:rsid w:val="003B46FE"/>
    <w:rsid w:val="003B7ACE"/>
    <w:rsid w:val="003C05EE"/>
    <w:rsid w:val="003C220F"/>
    <w:rsid w:val="003C695E"/>
    <w:rsid w:val="003E0360"/>
    <w:rsid w:val="003E1C35"/>
    <w:rsid w:val="003E4803"/>
    <w:rsid w:val="003E6461"/>
    <w:rsid w:val="003F0A19"/>
    <w:rsid w:val="003F10F0"/>
    <w:rsid w:val="00401BB0"/>
    <w:rsid w:val="00405C23"/>
    <w:rsid w:val="00422BEA"/>
    <w:rsid w:val="00422F8D"/>
    <w:rsid w:val="00437046"/>
    <w:rsid w:val="004409B7"/>
    <w:rsid w:val="00443553"/>
    <w:rsid w:val="004437AE"/>
    <w:rsid w:val="00443EC5"/>
    <w:rsid w:val="00446B80"/>
    <w:rsid w:val="0047370E"/>
    <w:rsid w:val="00484480"/>
    <w:rsid w:val="00487BC7"/>
    <w:rsid w:val="00495071"/>
    <w:rsid w:val="004A0519"/>
    <w:rsid w:val="004A1136"/>
    <w:rsid w:val="004C5004"/>
    <w:rsid w:val="004D74D1"/>
    <w:rsid w:val="004F1671"/>
    <w:rsid w:val="005124E2"/>
    <w:rsid w:val="00515B3D"/>
    <w:rsid w:val="00525A51"/>
    <w:rsid w:val="00534651"/>
    <w:rsid w:val="005370F4"/>
    <w:rsid w:val="00537877"/>
    <w:rsid w:val="00546E57"/>
    <w:rsid w:val="00547136"/>
    <w:rsid w:val="005475FB"/>
    <w:rsid w:val="00550547"/>
    <w:rsid w:val="00551E4B"/>
    <w:rsid w:val="00552C01"/>
    <w:rsid w:val="00572055"/>
    <w:rsid w:val="00581E99"/>
    <w:rsid w:val="005A5BCC"/>
    <w:rsid w:val="005B1899"/>
    <w:rsid w:val="005B1AF7"/>
    <w:rsid w:val="005E00EF"/>
    <w:rsid w:val="005E4045"/>
    <w:rsid w:val="005E67D0"/>
    <w:rsid w:val="005F2E8A"/>
    <w:rsid w:val="005F66E4"/>
    <w:rsid w:val="00607210"/>
    <w:rsid w:val="0061450E"/>
    <w:rsid w:val="00615866"/>
    <w:rsid w:val="00617351"/>
    <w:rsid w:val="0061757E"/>
    <w:rsid w:val="00626A4D"/>
    <w:rsid w:val="006272DA"/>
    <w:rsid w:val="00635B7C"/>
    <w:rsid w:val="0063641A"/>
    <w:rsid w:val="00636D80"/>
    <w:rsid w:val="00651D59"/>
    <w:rsid w:val="0065597C"/>
    <w:rsid w:val="00661E36"/>
    <w:rsid w:val="00665DF3"/>
    <w:rsid w:val="0068009C"/>
    <w:rsid w:val="00680532"/>
    <w:rsid w:val="00684D31"/>
    <w:rsid w:val="006855CA"/>
    <w:rsid w:val="00687BD5"/>
    <w:rsid w:val="00696EB6"/>
    <w:rsid w:val="006A7062"/>
    <w:rsid w:val="006C05A8"/>
    <w:rsid w:val="006C1CA9"/>
    <w:rsid w:val="006D1FF1"/>
    <w:rsid w:val="006E28B2"/>
    <w:rsid w:val="006F0E2D"/>
    <w:rsid w:val="00701FEC"/>
    <w:rsid w:val="00702294"/>
    <w:rsid w:val="007035B9"/>
    <w:rsid w:val="00704C2C"/>
    <w:rsid w:val="00710155"/>
    <w:rsid w:val="007352C4"/>
    <w:rsid w:val="00740282"/>
    <w:rsid w:val="007439D9"/>
    <w:rsid w:val="0074471D"/>
    <w:rsid w:val="007462ED"/>
    <w:rsid w:val="00747717"/>
    <w:rsid w:val="007537E9"/>
    <w:rsid w:val="00764746"/>
    <w:rsid w:val="00767F25"/>
    <w:rsid w:val="00772FE3"/>
    <w:rsid w:val="00784696"/>
    <w:rsid w:val="007870B1"/>
    <w:rsid w:val="007951F0"/>
    <w:rsid w:val="007971A1"/>
    <w:rsid w:val="007A5832"/>
    <w:rsid w:val="007B7F7F"/>
    <w:rsid w:val="007C1104"/>
    <w:rsid w:val="007C1E4A"/>
    <w:rsid w:val="007D0BF6"/>
    <w:rsid w:val="007D16B7"/>
    <w:rsid w:val="007D2332"/>
    <w:rsid w:val="007F0487"/>
    <w:rsid w:val="007F0A9A"/>
    <w:rsid w:val="007F1D01"/>
    <w:rsid w:val="007F6CE7"/>
    <w:rsid w:val="00805ED9"/>
    <w:rsid w:val="00807D5F"/>
    <w:rsid w:val="00814AD6"/>
    <w:rsid w:val="00817C7C"/>
    <w:rsid w:val="00825FD6"/>
    <w:rsid w:val="00826B50"/>
    <w:rsid w:val="00843F99"/>
    <w:rsid w:val="008463D4"/>
    <w:rsid w:val="00852610"/>
    <w:rsid w:val="0086765F"/>
    <w:rsid w:val="0087021D"/>
    <w:rsid w:val="00881148"/>
    <w:rsid w:val="008942B1"/>
    <w:rsid w:val="008A227A"/>
    <w:rsid w:val="008B20CF"/>
    <w:rsid w:val="008C024F"/>
    <w:rsid w:val="008C32D3"/>
    <w:rsid w:val="008C3817"/>
    <w:rsid w:val="008D3D7F"/>
    <w:rsid w:val="008D4F88"/>
    <w:rsid w:val="008D56BA"/>
    <w:rsid w:val="008F17FD"/>
    <w:rsid w:val="008F6442"/>
    <w:rsid w:val="00916173"/>
    <w:rsid w:val="00920FAA"/>
    <w:rsid w:val="0092428A"/>
    <w:rsid w:val="00937C64"/>
    <w:rsid w:val="00943344"/>
    <w:rsid w:val="00956943"/>
    <w:rsid w:val="00962DC6"/>
    <w:rsid w:val="009637D8"/>
    <w:rsid w:val="00971714"/>
    <w:rsid w:val="009730A3"/>
    <w:rsid w:val="00986D4A"/>
    <w:rsid w:val="009922D2"/>
    <w:rsid w:val="00996B94"/>
    <w:rsid w:val="009A2378"/>
    <w:rsid w:val="009B3630"/>
    <w:rsid w:val="009C112C"/>
    <w:rsid w:val="009E0EF1"/>
    <w:rsid w:val="009F6ED1"/>
    <w:rsid w:val="00A01ADF"/>
    <w:rsid w:val="00A0381F"/>
    <w:rsid w:val="00A060D3"/>
    <w:rsid w:val="00A123E3"/>
    <w:rsid w:val="00A21243"/>
    <w:rsid w:val="00A25183"/>
    <w:rsid w:val="00A30285"/>
    <w:rsid w:val="00A33A41"/>
    <w:rsid w:val="00A3545C"/>
    <w:rsid w:val="00A41A25"/>
    <w:rsid w:val="00A5186E"/>
    <w:rsid w:val="00A56A39"/>
    <w:rsid w:val="00A63947"/>
    <w:rsid w:val="00A6434B"/>
    <w:rsid w:val="00A81EB6"/>
    <w:rsid w:val="00A82168"/>
    <w:rsid w:val="00A93F00"/>
    <w:rsid w:val="00AB4239"/>
    <w:rsid w:val="00AB641A"/>
    <w:rsid w:val="00AC1AD4"/>
    <w:rsid w:val="00AC794F"/>
    <w:rsid w:val="00AD1A2D"/>
    <w:rsid w:val="00AD5158"/>
    <w:rsid w:val="00AD6D3E"/>
    <w:rsid w:val="00AE3872"/>
    <w:rsid w:val="00AF10F6"/>
    <w:rsid w:val="00AF1F55"/>
    <w:rsid w:val="00AF4D02"/>
    <w:rsid w:val="00AF6FD8"/>
    <w:rsid w:val="00AF79D5"/>
    <w:rsid w:val="00B11A49"/>
    <w:rsid w:val="00B153AD"/>
    <w:rsid w:val="00B312DB"/>
    <w:rsid w:val="00B358A0"/>
    <w:rsid w:val="00B4354A"/>
    <w:rsid w:val="00B61196"/>
    <w:rsid w:val="00B6533E"/>
    <w:rsid w:val="00B66152"/>
    <w:rsid w:val="00B75E07"/>
    <w:rsid w:val="00B77262"/>
    <w:rsid w:val="00B941BD"/>
    <w:rsid w:val="00BB1758"/>
    <w:rsid w:val="00BB47F6"/>
    <w:rsid w:val="00BB489F"/>
    <w:rsid w:val="00BB6A70"/>
    <w:rsid w:val="00BD78CD"/>
    <w:rsid w:val="00BE623F"/>
    <w:rsid w:val="00BE7339"/>
    <w:rsid w:val="00C0737C"/>
    <w:rsid w:val="00C21C58"/>
    <w:rsid w:val="00C24E63"/>
    <w:rsid w:val="00C26A45"/>
    <w:rsid w:val="00C365A4"/>
    <w:rsid w:val="00C368AA"/>
    <w:rsid w:val="00C37202"/>
    <w:rsid w:val="00C37C1B"/>
    <w:rsid w:val="00C444F6"/>
    <w:rsid w:val="00C46025"/>
    <w:rsid w:val="00C46ACC"/>
    <w:rsid w:val="00C46E14"/>
    <w:rsid w:val="00C62843"/>
    <w:rsid w:val="00C673F8"/>
    <w:rsid w:val="00C700D1"/>
    <w:rsid w:val="00C73BAC"/>
    <w:rsid w:val="00C81B42"/>
    <w:rsid w:val="00C93212"/>
    <w:rsid w:val="00C93D28"/>
    <w:rsid w:val="00C94B9A"/>
    <w:rsid w:val="00CA1101"/>
    <w:rsid w:val="00CA4FE9"/>
    <w:rsid w:val="00CA5829"/>
    <w:rsid w:val="00CA70DF"/>
    <w:rsid w:val="00CA7C44"/>
    <w:rsid w:val="00CC105B"/>
    <w:rsid w:val="00CC30D7"/>
    <w:rsid w:val="00CD3A3D"/>
    <w:rsid w:val="00CE4AE7"/>
    <w:rsid w:val="00CF3C8A"/>
    <w:rsid w:val="00CF75A7"/>
    <w:rsid w:val="00D00050"/>
    <w:rsid w:val="00D03F3E"/>
    <w:rsid w:val="00D227F0"/>
    <w:rsid w:val="00D276DD"/>
    <w:rsid w:val="00D32812"/>
    <w:rsid w:val="00D34055"/>
    <w:rsid w:val="00D43420"/>
    <w:rsid w:val="00D52CC2"/>
    <w:rsid w:val="00D627EF"/>
    <w:rsid w:val="00D756E5"/>
    <w:rsid w:val="00D75865"/>
    <w:rsid w:val="00D77228"/>
    <w:rsid w:val="00D81199"/>
    <w:rsid w:val="00D82F59"/>
    <w:rsid w:val="00D97783"/>
    <w:rsid w:val="00DA1B9E"/>
    <w:rsid w:val="00DA2BD7"/>
    <w:rsid w:val="00DD4FCB"/>
    <w:rsid w:val="00DD5BA1"/>
    <w:rsid w:val="00DE6979"/>
    <w:rsid w:val="00DF3707"/>
    <w:rsid w:val="00E12E20"/>
    <w:rsid w:val="00E13EBA"/>
    <w:rsid w:val="00E318AA"/>
    <w:rsid w:val="00E324E9"/>
    <w:rsid w:val="00E460ED"/>
    <w:rsid w:val="00E52949"/>
    <w:rsid w:val="00E52E23"/>
    <w:rsid w:val="00E632EF"/>
    <w:rsid w:val="00E657F3"/>
    <w:rsid w:val="00E71539"/>
    <w:rsid w:val="00E82E1D"/>
    <w:rsid w:val="00E82E7F"/>
    <w:rsid w:val="00E943D8"/>
    <w:rsid w:val="00EA0768"/>
    <w:rsid w:val="00EB0EDF"/>
    <w:rsid w:val="00EC5740"/>
    <w:rsid w:val="00EC6227"/>
    <w:rsid w:val="00EC77F2"/>
    <w:rsid w:val="00ED3E84"/>
    <w:rsid w:val="00ED7DCC"/>
    <w:rsid w:val="00EE62C3"/>
    <w:rsid w:val="00EF0A7D"/>
    <w:rsid w:val="00EF286F"/>
    <w:rsid w:val="00F04645"/>
    <w:rsid w:val="00F12D7C"/>
    <w:rsid w:val="00F1394E"/>
    <w:rsid w:val="00F27072"/>
    <w:rsid w:val="00F45D18"/>
    <w:rsid w:val="00F47C63"/>
    <w:rsid w:val="00F5056A"/>
    <w:rsid w:val="00F516E5"/>
    <w:rsid w:val="00F64096"/>
    <w:rsid w:val="00F65312"/>
    <w:rsid w:val="00F6774E"/>
    <w:rsid w:val="00F77E94"/>
    <w:rsid w:val="00F83BCF"/>
    <w:rsid w:val="00F863DF"/>
    <w:rsid w:val="00F86525"/>
    <w:rsid w:val="00F96057"/>
    <w:rsid w:val="00F96FA3"/>
    <w:rsid w:val="00FA180F"/>
    <w:rsid w:val="00FA2E26"/>
    <w:rsid w:val="00FA3BD8"/>
    <w:rsid w:val="00FB59F7"/>
    <w:rsid w:val="00FC2CF3"/>
    <w:rsid w:val="00FC4AEA"/>
    <w:rsid w:val="00FC6577"/>
    <w:rsid w:val="00FD3D6E"/>
    <w:rsid w:val="00FD4991"/>
    <w:rsid w:val="00FE5507"/>
    <w:rsid w:val="00FF0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273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aliases w:val="H1-Sec.Head"/>
    <w:basedOn w:val="Normal"/>
    <w:next w:val="Normal"/>
    <w:link w:val="Heading1Char"/>
    <w:qFormat/>
    <w:pPr>
      <w:keepNext/>
      <w:numPr>
        <w:numId w:val="1"/>
      </w:numPr>
      <w:outlineLvl w:val="0"/>
    </w:pPr>
    <w:rPr>
      <w:b/>
    </w:rPr>
  </w:style>
  <w:style w:type="paragraph" w:styleId="Heading2">
    <w:name w:val="heading 2"/>
    <w:aliases w:val="H2-Sec. Head"/>
    <w:basedOn w:val="Normal"/>
    <w:next w:val="Normal"/>
    <w:qFormat/>
    <w:pPr>
      <w:keepNext/>
      <w:outlineLvl w:val="1"/>
    </w:pPr>
    <w:rPr>
      <w:b/>
      <w:sz w:val="22"/>
    </w:rPr>
  </w:style>
  <w:style w:type="paragraph" w:styleId="Heading3">
    <w:name w:val="heading 3"/>
    <w:aliases w:val="H3-Sec. Head"/>
    <w:basedOn w:val="Normal"/>
    <w:next w:val="Normal"/>
    <w:qFormat/>
    <w:pPr>
      <w:keepNext/>
      <w:jc w:val="center"/>
      <w:outlineLvl w:val="2"/>
    </w:pPr>
    <w:rPr>
      <w:b/>
      <w:sz w:val="22"/>
    </w:rPr>
  </w:style>
  <w:style w:type="paragraph" w:styleId="Heading4">
    <w:name w:val="heading 4"/>
    <w:aliases w:val="H4 Sec.Heading"/>
    <w:basedOn w:val="Normal"/>
    <w:next w:val="Normal"/>
    <w:qFormat/>
    <w:pPr>
      <w:keepNext/>
      <w:spacing w:before="80" w:after="80"/>
      <w:ind w:left="144"/>
      <w:outlineLvl w:val="3"/>
    </w:pPr>
    <w:rPr>
      <w:b/>
      <w:sz w:val="22"/>
    </w:rPr>
  </w:style>
  <w:style w:type="paragraph" w:styleId="Heading5">
    <w:name w:val="heading 5"/>
    <w:basedOn w:val="Normal"/>
    <w:next w:val="Normal"/>
    <w:qFormat/>
    <w:pPr>
      <w:keepNext/>
      <w:spacing w:before="60" w:after="60"/>
      <w:jc w:val="center"/>
      <w:outlineLvl w:val="4"/>
    </w:pPr>
    <w:rPr>
      <w:b/>
      <w:smallCaps/>
      <w:sz w:val="28"/>
    </w:rPr>
  </w:style>
  <w:style w:type="paragraph" w:styleId="Heading6">
    <w:name w:val="heading 6"/>
    <w:basedOn w:val="Normal"/>
    <w:next w:val="Normal"/>
    <w:qFormat/>
    <w:pPr>
      <w:keepNext/>
      <w:spacing w:before="60" w:after="60"/>
      <w:jc w:val="center"/>
      <w:outlineLvl w:val="5"/>
    </w:pPr>
    <w:rPr>
      <w:b/>
      <w:smallCaps/>
      <w:sz w:val="32"/>
    </w:rPr>
  </w:style>
  <w:style w:type="paragraph" w:styleId="Heading7">
    <w:name w:val="heading 7"/>
    <w:basedOn w:val="Normal"/>
    <w:next w:val="Normal"/>
    <w:qFormat/>
    <w:pPr>
      <w:spacing w:before="240" w:after="60" w:line="240" w:lineRule="atLeast"/>
      <w:jc w:val="both"/>
      <w:outlineLvl w:val="6"/>
    </w:pPr>
    <w:rPr>
      <w:sz w:val="20"/>
    </w:rPr>
  </w:style>
  <w:style w:type="paragraph" w:styleId="Heading8">
    <w:name w:val="heading 8"/>
    <w:basedOn w:val="Normal"/>
    <w:next w:val="Normal"/>
    <w:qFormat/>
    <w:pPr>
      <w:keepNext/>
      <w:tabs>
        <w:tab w:val="left" w:pos="-1300"/>
        <w:tab w:val="left" w:pos="-720"/>
        <w:tab w:val="left" w:pos="0"/>
        <w:tab w:val="left" w:pos="330"/>
        <w:tab w:val="left" w:pos="780"/>
        <w:tab w:val="left" w:pos="1058"/>
      </w:tabs>
      <w:spacing w:before="20" w:after="20" w:line="264" w:lineRule="auto"/>
      <w:outlineLvl w:val="7"/>
    </w:pPr>
    <w:rPr>
      <w:rFonts w:ascii="Arial" w:hAnsi="Arial"/>
      <w:b/>
      <w:sz w:val="19"/>
    </w:rPr>
  </w:style>
  <w:style w:type="paragraph" w:styleId="Heading9">
    <w:name w:val="heading 9"/>
    <w:basedOn w:val="Normal"/>
    <w:next w:val="Normal"/>
    <w:qFormat/>
    <w:pPr>
      <w:keepNext/>
      <w:spacing w:before="60" w:after="60" w:line="240" w:lineRule="atLeas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360"/>
    </w:pPr>
  </w:style>
  <w:style w:type="paragraph" w:styleId="BodyTextIndent2">
    <w:name w:val="Body Text Indent 2"/>
    <w:basedOn w:val="Normal"/>
    <w:semiHidden/>
    <w:pPr>
      <w:ind w:left="450" w:hanging="450"/>
    </w:pPr>
  </w:style>
  <w:style w:type="paragraph" w:styleId="BodyTextIndent3">
    <w:name w:val="Body Text Indent 3"/>
    <w:basedOn w:val="Normal"/>
    <w:semiHidden/>
    <w:pPr>
      <w:ind w:left="317"/>
    </w:pPr>
    <w:rPr>
      <w:rFonts w:ascii="CG Times (W1)" w:hAnsi="CG Times (W1)"/>
      <w:sz w:val="22"/>
    </w:rPr>
  </w:style>
  <w:style w:type="paragraph" w:styleId="Title">
    <w:name w:val="Title"/>
    <w:basedOn w:val="Normal"/>
    <w:qFormat/>
    <w:pPr>
      <w:tabs>
        <w:tab w:val="left" w:pos="-1440"/>
        <w:tab w:val="left" w:pos="-720"/>
        <w:tab w:val="left" w:pos="720"/>
        <w:tab w:val="left" w:pos="1195"/>
        <w:tab w:val="left" w:pos="1800"/>
        <w:tab w:val="left" w:pos="2404"/>
        <w:tab w:val="left" w:pos="2995"/>
        <w:tab w:val="left" w:pos="3600"/>
      </w:tabs>
      <w:jc w:val="center"/>
    </w:pPr>
    <w:rPr>
      <w:rFonts w:ascii="Arial" w:hAnsi="Arial"/>
      <w:b/>
      <w:sz w:val="28"/>
    </w:rPr>
  </w:style>
  <w:style w:type="paragraph" w:styleId="Footer">
    <w:name w:val="footer"/>
    <w:basedOn w:val="Normal"/>
    <w:link w:val="FooterChar"/>
    <w:uiPriority w:val="99"/>
    <w:pPr>
      <w:tabs>
        <w:tab w:val="center" w:pos="4320"/>
        <w:tab w:val="right" w:pos="8640"/>
      </w:tabs>
      <w:spacing w:line="240" w:lineRule="atLeast"/>
      <w:jc w:val="both"/>
    </w:pPr>
    <w:rPr>
      <w:sz w:val="22"/>
    </w:rPr>
  </w:style>
  <w:style w:type="paragraph" w:styleId="BodyText">
    <w:name w:val="Body Text"/>
    <w:basedOn w:val="Normal"/>
    <w:semiHidden/>
    <w:pPr>
      <w:spacing w:line="240" w:lineRule="atLeast"/>
      <w:jc w:val="right"/>
    </w:pPr>
    <w:rPr>
      <w:sz w:val="22"/>
    </w:rPr>
  </w:style>
  <w:style w:type="paragraph" w:styleId="BodyText3">
    <w:name w:val="Body Text 3"/>
    <w:basedOn w:val="Normal"/>
    <w:semiHidden/>
    <w:pPr>
      <w:spacing w:before="60" w:line="240" w:lineRule="atLeast"/>
    </w:pPr>
  </w:style>
  <w:style w:type="character" w:customStyle="1" w:styleId="N0-1stBulle">
    <w:name w:val="N0-1st Bulle"/>
  </w:style>
  <w:style w:type="paragraph" w:customStyle="1" w:styleId="H2">
    <w:name w:val="H2"/>
    <w:basedOn w:val="Normal"/>
    <w:next w:val="Normal"/>
    <w:pPr>
      <w:keepNext/>
      <w:spacing w:before="100" w:after="100"/>
      <w:outlineLvl w:val="2"/>
    </w:pPr>
    <w:rPr>
      <w:b/>
      <w:snapToGrid w:val="0"/>
      <w:sz w:val="36"/>
    </w:rPr>
  </w:style>
  <w:style w:type="paragraph" w:styleId="BodyText2">
    <w:name w:val="Body Text 2"/>
    <w:basedOn w:val="Normal"/>
    <w:semiHidden/>
    <w:rPr>
      <w:sz w:val="20"/>
    </w:rPr>
  </w:style>
  <w:style w:type="paragraph" w:customStyle="1" w:styleId="a">
    <w:name w:val="_"/>
    <w:basedOn w:val="Normal"/>
    <w:pPr>
      <w:widowControl w:val="0"/>
      <w:ind w:left="720" w:hanging="720"/>
    </w:pPr>
    <w:rPr>
      <w:snapToGrid w:val="0"/>
    </w:rPr>
  </w:style>
  <w:style w:type="character" w:customStyle="1" w:styleId="EmailStyle24">
    <w:name w:val="EmailStyle24"/>
    <w:rPr>
      <w:rFonts w:ascii="Arial" w:hAnsi="Arial" w:cs="Arial"/>
      <w:color w:val="000000"/>
      <w:sz w:val="20"/>
      <w:szCs w:val="20"/>
    </w:rPr>
  </w:style>
  <w:style w:type="paragraph" w:styleId="FootnoteText">
    <w:name w:val="footnote text"/>
    <w:basedOn w:val="Normal"/>
    <w:link w:val="FootnoteTextChar"/>
    <w:uiPriority w:val="99"/>
    <w:rPr>
      <w:bCs/>
      <w:sz w:val="20"/>
    </w:rPr>
  </w:style>
  <w:style w:type="character" w:styleId="FootnoteReference">
    <w:name w:val="footnote reference"/>
    <w:rPr>
      <w:vertAlign w:val="superscript"/>
    </w:rPr>
  </w:style>
  <w:style w:type="character" w:styleId="Hyperlink">
    <w:name w:val="Hyperlink"/>
    <w:rPr>
      <w:color w:val="0000FF"/>
      <w:u w:val="single"/>
    </w:rPr>
  </w:style>
  <w:style w:type="paragraph" w:customStyle="1" w:styleId="aoneCharChar">
    <w:name w:val="aone Char Char"/>
    <w:basedOn w:val="Normal"/>
    <w:pPr>
      <w:tabs>
        <w:tab w:val="right" w:leader="dot" w:pos="9540"/>
      </w:tabs>
      <w:spacing w:line="480" w:lineRule="auto"/>
      <w:ind w:firstLine="720"/>
      <w:jc w:val="both"/>
    </w:pPr>
    <w:rPr>
      <w:rFonts w:ascii="Garamond" w:hAnsi="Garamond"/>
      <w:bCs/>
      <w:sz w:val="23"/>
      <w:szCs w:val="24"/>
    </w:rPr>
  </w:style>
  <w:style w:type="paragraph" w:styleId="PlainText">
    <w:name w:val="Plain Text"/>
    <w:basedOn w:val="Normal"/>
    <w:link w:val="PlainTextChar"/>
    <w:uiPriority w:val="99"/>
    <w:unhideWhenUsed/>
    <w:rsid w:val="002D7CA3"/>
    <w:rPr>
      <w:rFonts w:ascii="Consolas" w:eastAsia="Calibri" w:hAnsi="Consolas"/>
      <w:sz w:val="21"/>
      <w:szCs w:val="21"/>
    </w:rPr>
  </w:style>
  <w:style w:type="character" w:customStyle="1" w:styleId="PlainTextChar">
    <w:name w:val="Plain Text Char"/>
    <w:link w:val="PlainText"/>
    <w:uiPriority w:val="99"/>
    <w:rsid w:val="002D7CA3"/>
    <w:rPr>
      <w:rFonts w:ascii="Consolas" w:eastAsia="Calibri" w:hAnsi="Consolas"/>
      <w:sz w:val="21"/>
      <w:szCs w:val="21"/>
    </w:rPr>
  </w:style>
  <w:style w:type="character" w:customStyle="1" w:styleId="A102">
    <w:name w:val="A10+2"/>
    <w:rsid w:val="00AC1AD4"/>
    <w:rPr>
      <w:rFonts w:cs="Baskerville"/>
      <w:color w:val="000000"/>
      <w:sz w:val="106"/>
      <w:szCs w:val="106"/>
    </w:rPr>
  </w:style>
  <w:style w:type="paragraph" w:customStyle="1" w:styleId="Pa212">
    <w:name w:val="Pa21+2"/>
    <w:basedOn w:val="Normal"/>
    <w:next w:val="Normal"/>
    <w:rsid w:val="00F65312"/>
    <w:pPr>
      <w:autoSpaceDE w:val="0"/>
      <w:autoSpaceDN w:val="0"/>
      <w:adjustRightInd w:val="0"/>
      <w:spacing w:line="221" w:lineRule="atLeast"/>
    </w:pPr>
    <w:rPr>
      <w:rFonts w:ascii="Baskerville" w:hAnsi="Baskerville"/>
      <w:szCs w:val="24"/>
    </w:rPr>
  </w:style>
  <w:style w:type="paragraph" w:customStyle="1" w:styleId="Pa132">
    <w:name w:val="Pa13+2"/>
    <w:basedOn w:val="Normal"/>
    <w:next w:val="Normal"/>
    <w:rsid w:val="00443EC5"/>
    <w:pPr>
      <w:autoSpaceDE w:val="0"/>
      <w:autoSpaceDN w:val="0"/>
      <w:adjustRightInd w:val="0"/>
      <w:spacing w:line="221" w:lineRule="atLeast"/>
    </w:pPr>
    <w:rPr>
      <w:rFonts w:ascii="Baskerville" w:hAnsi="Baskerville"/>
      <w:szCs w:val="24"/>
    </w:rPr>
  </w:style>
  <w:style w:type="paragraph" w:customStyle="1" w:styleId="Pa142">
    <w:name w:val="Pa14+2"/>
    <w:basedOn w:val="Normal"/>
    <w:next w:val="Normal"/>
    <w:rsid w:val="00443EC5"/>
    <w:pPr>
      <w:autoSpaceDE w:val="0"/>
      <w:autoSpaceDN w:val="0"/>
      <w:adjustRightInd w:val="0"/>
      <w:spacing w:line="221" w:lineRule="atLeast"/>
    </w:pPr>
    <w:rPr>
      <w:rFonts w:ascii="Baskerville" w:hAnsi="Baskerville"/>
      <w:szCs w:val="24"/>
    </w:rPr>
  </w:style>
  <w:style w:type="character" w:customStyle="1" w:styleId="A132">
    <w:name w:val="A13+2"/>
    <w:rsid w:val="00443EC5"/>
    <w:rPr>
      <w:rFonts w:cs="Baskerville"/>
      <w:color w:val="000000"/>
    </w:rPr>
  </w:style>
  <w:style w:type="paragraph" w:customStyle="1" w:styleId="Pa152">
    <w:name w:val="Pa15+2"/>
    <w:basedOn w:val="Normal"/>
    <w:next w:val="Normal"/>
    <w:rsid w:val="001930CE"/>
    <w:pPr>
      <w:autoSpaceDE w:val="0"/>
      <w:autoSpaceDN w:val="0"/>
      <w:adjustRightInd w:val="0"/>
      <w:spacing w:line="221" w:lineRule="atLeast"/>
    </w:pPr>
    <w:rPr>
      <w:rFonts w:ascii="Baskerville" w:hAnsi="Baskerville"/>
      <w:szCs w:val="24"/>
    </w:rPr>
  </w:style>
  <w:style w:type="character" w:styleId="Strong">
    <w:name w:val="Strong"/>
    <w:qFormat/>
    <w:rsid w:val="00A3545C"/>
    <w:rPr>
      <w:b/>
      <w:bCs/>
    </w:rPr>
  </w:style>
  <w:style w:type="paragraph" w:styleId="NormalWeb">
    <w:name w:val="Normal (Web)"/>
    <w:basedOn w:val="Normal"/>
    <w:semiHidden/>
    <w:rsid w:val="00A3545C"/>
    <w:pPr>
      <w:spacing w:before="100" w:beforeAutospacing="1" w:after="100" w:afterAutospacing="1"/>
    </w:pPr>
    <w:rPr>
      <w:rFonts w:ascii="Arial Unicode MS" w:eastAsia="Arial Unicode MS" w:hAnsi="Arial Unicode MS" w:cs="Arial Unicode MS"/>
      <w:szCs w:val="24"/>
    </w:rPr>
  </w:style>
  <w:style w:type="paragraph" w:styleId="Subtitle">
    <w:name w:val="Subtitle"/>
    <w:basedOn w:val="Normal"/>
    <w:link w:val="SubtitleChar"/>
    <w:qFormat/>
    <w:rsid w:val="00A3545C"/>
    <w:rPr>
      <w:b/>
      <w:bCs/>
      <w:szCs w:val="24"/>
    </w:rPr>
  </w:style>
  <w:style w:type="character" w:customStyle="1" w:styleId="SubtitleChar">
    <w:name w:val="Subtitle Char"/>
    <w:link w:val="Subtitle"/>
    <w:rsid w:val="00A3545C"/>
    <w:rPr>
      <w:b/>
      <w:bCs/>
      <w:sz w:val="24"/>
      <w:szCs w:val="24"/>
    </w:rPr>
  </w:style>
  <w:style w:type="paragraph" w:customStyle="1" w:styleId="xl24">
    <w:name w:val="xl24"/>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25">
    <w:name w:val="xl25"/>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26">
    <w:name w:val="xl26"/>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Cs w:val="24"/>
    </w:rPr>
  </w:style>
  <w:style w:type="paragraph" w:customStyle="1" w:styleId="xl27">
    <w:name w:val="xl27"/>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Cs w:val="24"/>
    </w:rPr>
  </w:style>
  <w:style w:type="paragraph" w:customStyle="1" w:styleId="xl28">
    <w:name w:val="xl28"/>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29">
    <w:name w:val="xl29"/>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30">
    <w:name w:val="xl30"/>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31">
    <w:name w:val="xl31"/>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Cs w:val="24"/>
    </w:rPr>
  </w:style>
  <w:style w:type="paragraph" w:customStyle="1" w:styleId="xl32">
    <w:name w:val="xl32"/>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33">
    <w:name w:val="xl33"/>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34">
    <w:name w:val="xl34"/>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35">
    <w:name w:val="xl35"/>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styleId="HTMLPreformatted">
    <w:name w:val="HTML Preformatted"/>
    <w:basedOn w:val="Normal"/>
    <w:link w:val="HTMLPreformattedChar"/>
    <w:semiHidden/>
    <w:rsid w:val="00A3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link w:val="HTMLPreformatted"/>
    <w:semiHidden/>
    <w:rsid w:val="00A3545C"/>
    <w:rPr>
      <w:rFonts w:ascii="Arial Unicode MS" w:eastAsia="Arial Unicode MS" w:hAnsi="Arial Unicode MS" w:cs="Arial Unicode MS"/>
    </w:rPr>
  </w:style>
  <w:style w:type="character" w:customStyle="1" w:styleId="FooterChar">
    <w:name w:val="Footer Char"/>
    <w:link w:val="Footer"/>
    <w:uiPriority w:val="99"/>
    <w:rsid w:val="009C112C"/>
    <w:rPr>
      <w:sz w:val="22"/>
    </w:rPr>
  </w:style>
  <w:style w:type="character" w:customStyle="1" w:styleId="Heading1Char">
    <w:name w:val="Heading 1 Char"/>
    <w:aliases w:val="H1-Sec.Head Char"/>
    <w:link w:val="Heading1"/>
    <w:rsid w:val="00BD78CD"/>
    <w:rPr>
      <w:b/>
      <w:sz w:val="24"/>
    </w:rPr>
  </w:style>
  <w:style w:type="character" w:customStyle="1" w:styleId="FootnoteTextChar">
    <w:name w:val="Footnote Text Char"/>
    <w:link w:val="FootnoteText"/>
    <w:uiPriority w:val="99"/>
    <w:rsid w:val="00A82168"/>
    <w:rPr>
      <w:bCs/>
    </w:rPr>
  </w:style>
  <w:style w:type="table" w:styleId="TableGrid">
    <w:name w:val="Table Grid"/>
    <w:basedOn w:val="TableNormal"/>
    <w:uiPriority w:val="59"/>
    <w:rsid w:val="00FA18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BE7339"/>
    <w:pPr>
      <w:spacing w:after="200" w:line="276" w:lineRule="auto"/>
      <w:ind w:left="720"/>
    </w:pPr>
    <w:rPr>
      <w:rFonts w:ascii="Calibri" w:eastAsia="Calibri" w:hAnsi="Calibri"/>
      <w:sz w:val="22"/>
      <w:szCs w:val="22"/>
    </w:rPr>
  </w:style>
  <w:style w:type="paragraph" w:customStyle="1" w:styleId="Bullet1">
    <w:name w:val="Bullet 1"/>
    <w:basedOn w:val="BodyText"/>
    <w:qFormat/>
    <w:rsid w:val="00C37C1B"/>
    <w:pPr>
      <w:numPr>
        <w:numId w:val="21"/>
      </w:numPr>
      <w:tabs>
        <w:tab w:val="num" w:pos="360"/>
      </w:tabs>
      <w:spacing w:after="120" w:line="240" w:lineRule="auto"/>
      <w:ind w:left="0" w:firstLine="0"/>
      <w:contextualSpacing/>
      <w:jc w:val="left"/>
    </w:pPr>
    <w:rPr>
      <w:rFonts w:ascii="Calibri" w:eastAsia="Calibri" w:hAnsi="Calibri"/>
      <w:color w:val="000000"/>
      <w:sz w:val="23"/>
      <w:szCs w:val="22"/>
    </w:rPr>
  </w:style>
  <w:style w:type="paragraph" w:styleId="BalloonText">
    <w:name w:val="Balloon Text"/>
    <w:basedOn w:val="Normal"/>
    <w:link w:val="BalloonTextChar"/>
    <w:uiPriority w:val="99"/>
    <w:semiHidden/>
    <w:unhideWhenUsed/>
    <w:rsid w:val="00A93F00"/>
    <w:rPr>
      <w:rFonts w:ascii="Tahoma" w:hAnsi="Tahoma" w:cs="Tahoma"/>
      <w:sz w:val="16"/>
      <w:szCs w:val="16"/>
    </w:rPr>
  </w:style>
  <w:style w:type="character" w:customStyle="1" w:styleId="BalloonTextChar">
    <w:name w:val="Balloon Text Char"/>
    <w:link w:val="BalloonText"/>
    <w:uiPriority w:val="99"/>
    <w:semiHidden/>
    <w:rsid w:val="00A93F00"/>
    <w:rPr>
      <w:rFonts w:ascii="Tahoma" w:hAnsi="Tahoma" w:cs="Tahoma"/>
      <w:sz w:val="16"/>
      <w:szCs w:val="16"/>
    </w:rPr>
  </w:style>
  <w:style w:type="character" w:styleId="CommentReference">
    <w:name w:val="annotation reference"/>
    <w:uiPriority w:val="99"/>
    <w:semiHidden/>
    <w:unhideWhenUsed/>
    <w:rsid w:val="00F96057"/>
    <w:rPr>
      <w:sz w:val="16"/>
      <w:szCs w:val="16"/>
    </w:rPr>
  </w:style>
  <w:style w:type="paragraph" w:styleId="CommentText">
    <w:name w:val="annotation text"/>
    <w:basedOn w:val="Normal"/>
    <w:link w:val="CommentTextChar"/>
    <w:uiPriority w:val="99"/>
    <w:semiHidden/>
    <w:unhideWhenUsed/>
    <w:rsid w:val="00F96057"/>
    <w:rPr>
      <w:sz w:val="20"/>
    </w:rPr>
  </w:style>
  <w:style w:type="character" w:customStyle="1" w:styleId="CommentTextChar">
    <w:name w:val="Comment Text Char"/>
    <w:basedOn w:val="DefaultParagraphFont"/>
    <w:link w:val="CommentText"/>
    <w:uiPriority w:val="99"/>
    <w:semiHidden/>
    <w:rsid w:val="00F96057"/>
  </w:style>
  <w:style w:type="paragraph" w:styleId="CommentSubject">
    <w:name w:val="annotation subject"/>
    <w:basedOn w:val="CommentText"/>
    <w:next w:val="CommentText"/>
    <w:link w:val="CommentSubjectChar"/>
    <w:uiPriority w:val="99"/>
    <w:semiHidden/>
    <w:unhideWhenUsed/>
    <w:rsid w:val="00F96057"/>
    <w:rPr>
      <w:b/>
      <w:bCs/>
    </w:rPr>
  </w:style>
  <w:style w:type="character" w:customStyle="1" w:styleId="CommentSubjectChar">
    <w:name w:val="Comment Subject Char"/>
    <w:link w:val="CommentSubject"/>
    <w:uiPriority w:val="99"/>
    <w:semiHidden/>
    <w:rsid w:val="00F96057"/>
    <w:rPr>
      <w:b/>
      <w:bCs/>
    </w:rPr>
  </w:style>
  <w:style w:type="paragraph" w:customStyle="1" w:styleId="TEXT-PPSSBO">
    <w:name w:val="TEXT-PPSS BO"/>
    <w:basedOn w:val="Normal"/>
    <w:link w:val="TEXT-PPSSBOChar"/>
    <w:qFormat/>
    <w:rsid w:val="00103FEF"/>
    <w:pPr>
      <w:spacing w:after="240"/>
    </w:pPr>
    <w:rPr>
      <w:rFonts w:ascii="Calibri" w:hAnsi="Calibri"/>
      <w:sz w:val="22"/>
      <w:szCs w:val="22"/>
    </w:rPr>
  </w:style>
  <w:style w:type="character" w:customStyle="1" w:styleId="TEXT-PPSSBOChar">
    <w:name w:val="TEXT-PPSS BO Char"/>
    <w:link w:val="TEXT-PPSSBO"/>
    <w:locked/>
    <w:rsid w:val="00103FEF"/>
    <w:rPr>
      <w:rFonts w:ascii="Calibri" w:hAnsi="Calibri"/>
      <w:sz w:val="22"/>
      <w:szCs w:val="22"/>
    </w:rPr>
  </w:style>
  <w:style w:type="paragraph" w:styleId="NoSpacing">
    <w:name w:val="No Spacing"/>
    <w:uiPriority w:val="1"/>
    <w:qFormat/>
    <w:rsid w:val="000F2C50"/>
    <w:rPr>
      <w:rFonts w:asciiTheme="minorHAnsi" w:eastAsiaTheme="minorHAnsi" w:hAnsiTheme="minorHAnsi" w:cstheme="minorBidi"/>
      <w:sz w:val="18"/>
      <w:szCs w:val="22"/>
    </w:rPr>
  </w:style>
  <w:style w:type="character" w:customStyle="1" w:styleId="ListParagraphChar">
    <w:name w:val="List Paragraph Char"/>
    <w:basedOn w:val="DefaultParagraphFont"/>
    <w:link w:val="ListParagraph"/>
    <w:uiPriority w:val="34"/>
    <w:locked/>
    <w:rsid w:val="000F2C50"/>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aliases w:val="H1-Sec.Head"/>
    <w:basedOn w:val="Normal"/>
    <w:next w:val="Normal"/>
    <w:link w:val="Heading1Char"/>
    <w:qFormat/>
    <w:pPr>
      <w:keepNext/>
      <w:numPr>
        <w:numId w:val="1"/>
      </w:numPr>
      <w:outlineLvl w:val="0"/>
    </w:pPr>
    <w:rPr>
      <w:b/>
    </w:rPr>
  </w:style>
  <w:style w:type="paragraph" w:styleId="Heading2">
    <w:name w:val="heading 2"/>
    <w:aliases w:val="H2-Sec. Head"/>
    <w:basedOn w:val="Normal"/>
    <w:next w:val="Normal"/>
    <w:qFormat/>
    <w:pPr>
      <w:keepNext/>
      <w:outlineLvl w:val="1"/>
    </w:pPr>
    <w:rPr>
      <w:b/>
      <w:sz w:val="22"/>
    </w:rPr>
  </w:style>
  <w:style w:type="paragraph" w:styleId="Heading3">
    <w:name w:val="heading 3"/>
    <w:aliases w:val="H3-Sec. Head"/>
    <w:basedOn w:val="Normal"/>
    <w:next w:val="Normal"/>
    <w:qFormat/>
    <w:pPr>
      <w:keepNext/>
      <w:jc w:val="center"/>
      <w:outlineLvl w:val="2"/>
    </w:pPr>
    <w:rPr>
      <w:b/>
      <w:sz w:val="22"/>
    </w:rPr>
  </w:style>
  <w:style w:type="paragraph" w:styleId="Heading4">
    <w:name w:val="heading 4"/>
    <w:aliases w:val="H4 Sec.Heading"/>
    <w:basedOn w:val="Normal"/>
    <w:next w:val="Normal"/>
    <w:qFormat/>
    <w:pPr>
      <w:keepNext/>
      <w:spacing w:before="80" w:after="80"/>
      <w:ind w:left="144"/>
      <w:outlineLvl w:val="3"/>
    </w:pPr>
    <w:rPr>
      <w:b/>
      <w:sz w:val="22"/>
    </w:rPr>
  </w:style>
  <w:style w:type="paragraph" w:styleId="Heading5">
    <w:name w:val="heading 5"/>
    <w:basedOn w:val="Normal"/>
    <w:next w:val="Normal"/>
    <w:qFormat/>
    <w:pPr>
      <w:keepNext/>
      <w:spacing w:before="60" w:after="60"/>
      <w:jc w:val="center"/>
      <w:outlineLvl w:val="4"/>
    </w:pPr>
    <w:rPr>
      <w:b/>
      <w:smallCaps/>
      <w:sz w:val="28"/>
    </w:rPr>
  </w:style>
  <w:style w:type="paragraph" w:styleId="Heading6">
    <w:name w:val="heading 6"/>
    <w:basedOn w:val="Normal"/>
    <w:next w:val="Normal"/>
    <w:qFormat/>
    <w:pPr>
      <w:keepNext/>
      <w:spacing w:before="60" w:after="60"/>
      <w:jc w:val="center"/>
      <w:outlineLvl w:val="5"/>
    </w:pPr>
    <w:rPr>
      <w:b/>
      <w:smallCaps/>
      <w:sz w:val="32"/>
    </w:rPr>
  </w:style>
  <w:style w:type="paragraph" w:styleId="Heading7">
    <w:name w:val="heading 7"/>
    <w:basedOn w:val="Normal"/>
    <w:next w:val="Normal"/>
    <w:qFormat/>
    <w:pPr>
      <w:spacing w:before="240" w:after="60" w:line="240" w:lineRule="atLeast"/>
      <w:jc w:val="both"/>
      <w:outlineLvl w:val="6"/>
    </w:pPr>
    <w:rPr>
      <w:sz w:val="20"/>
    </w:rPr>
  </w:style>
  <w:style w:type="paragraph" w:styleId="Heading8">
    <w:name w:val="heading 8"/>
    <w:basedOn w:val="Normal"/>
    <w:next w:val="Normal"/>
    <w:qFormat/>
    <w:pPr>
      <w:keepNext/>
      <w:tabs>
        <w:tab w:val="left" w:pos="-1300"/>
        <w:tab w:val="left" w:pos="-720"/>
        <w:tab w:val="left" w:pos="0"/>
        <w:tab w:val="left" w:pos="330"/>
        <w:tab w:val="left" w:pos="780"/>
        <w:tab w:val="left" w:pos="1058"/>
      </w:tabs>
      <w:spacing w:before="20" w:after="20" w:line="264" w:lineRule="auto"/>
      <w:outlineLvl w:val="7"/>
    </w:pPr>
    <w:rPr>
      <w:rFonts w:ascii="Arial" w:hAnsi="Arial"/>
      <w:b/>
      <w:sz w:val="19"/>
    </w:rPr>
  </w:style>
  <w:style w:type="paragraph" w:styleId="Heading9">
    <w:name w:val="heading 9"/>
    <w:basedOn w:val="Normal"/>
    <w:next w:val="Normal"/>
    <w:qFormat/>
    <w:pPr>
      <w:keepNext/>
      <w:spacing w:before="60" w:after="60" w:line="240" w:lineRule="atLeas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360"/>
    </w:pPr>
  </w:style>
  <w:style w:type="paragraph" w:styleId="BodyTextIndent2">
    <w:name w:val="Body Text Indent 2"/>
    <w:basedOn w:val="Normal"/>
    <w:semiHidden/>
    <w:pPr>
      <w:ind w:left="450" w:hanging="450"/>
    </w:pPr>
  </w:style>
  <w:style w:type="paragraph" w:styleId="BodyTextIndent3">
    <w:name w:val="Body Text Indent 3"/>
    <w:basedOn w:val="Normal"/>
    <w:semiHidden/>
    <w:pPr>
      <w:ind w:left="317"/>
    </w:pPr>
    <w:rPr>
      <w:rFonts w:ascii="CG Times (W1)" w:hAnsi="CG Times (W1)"/>
      <w:sz w:val="22"/>
    </w:rPr>
  </w:style>
  <w:style w:type="paragraph" w:styleId="Title">
    <w:name w:val="Title"/>
    <w:basedOn w:val="Normal"/>
    <w:qFormat/>
    <w:pPr>
      <w:tabs>
        <w:tab w:val="left" w:pos="-1440"/>
        <w:tab w:val="left" w:pos="-720"/>
        <w:tab w:val="left" w:pos="720"/>
        <w:tab w:val="left" w:pos="1195"/>
        <w:tab w:val="left" w:pos="1800"/>
        <w:tab w:val="left" w:pos="2404"/>
        <w:tab w:val="left" w:pos="2995"/>
        <w:tab w:val="left" w:pos="3600"/>
      </w:tabs>
      <w:jc w:val="center"/>
    </w:pPr>
    <w:rPr>
      <w:rFonts w:ascii="Arial" w:hAnsi="Arial"/>
      <w:b/>
      <w:sz w:val="28"/>
    </w:rPr>
  </w:style>
  <w:style w:type="paragraph" w:styleId="Footer">
    <w:name w:val="footer"/>
    <w:basedOn w:val="Normal"/>
    <w:link w:val="FooterChar"/>
    <w:uiPriority w:val="99"/>
    <w:pPr>
      <w:tabs>
        <w:tab w:val="center" w:pos="4320"/>
        <w:tab w:val="right" w:pos="8640"/>
      </w:tabs>
      <w:spacing w:line="240" w:lineRule="atLeast"/>
      <w:jc w:val="both"/>
    </w:pPr>
    <w:rPr>
      <w:sz w:val="22"/>
    </w:rPr>
  </w:style>
  <w:style w:type="paragraph" w:styleId="BodyText">
    <w:name w:val="Body Text"/>
    <w:basedOn w:val="Normal"/>
    <w:semiHidden/>
    <w:pPr>
      <w:spacing w:line="240" w:lineRule="atLeast"/>
      <w:jc w:val="right"/>
    </w:pPr>
    <w:rPr>
      <w:sz w:val="22"/>
    </w:rPr>
  </w:style>
  <w:style w:type="paragraph" w:styleId="BodyText3">
    <w:name w:val="Body Text 3"/>
    <w:basedOn w:val="Normal"/>
    <w:semiHidden/>
    <w:pPr>
      <w:spacing w:before="60" w:line="240" w:lineRule="atLeast"/>
    </w:pPr>
  </w:style>
  <w:style w:type="character" w:customStyle="1" w:styleId="N0-1stBulle">
    <w:name w:val="N0-1st Bulle"/>
  </w:style>
  <w:style w:type="paragraph" w:customStyle="1" w:styleId="H2">
    <w:name w:val="H2"/>
    <w:basedOn w:val="Normal"/>
    <w:next w:val="Normal"/>
    <w:pPr>
      <w:keepNext/>
      <w:spacing w:before="100" w:after="100"/>
      <w:outlineLvl w:val="2"/>
    </w:pPr>
    <w:rPr>
      <w:b/>
      <w:snapToGrid w:val="0"/>
      <w:sz w:val="36"/>
    </w:rPr>
  </w:style>
  <w:style w:type="paragraph" w:styleId="BodyText2">
    <w:name w:val="Body Text 2"/>
    <w:basedOn w:val="Normal"/>
    <w:semiHidden/>
    <w:rPr>
      <w:sz w:val="20"/>
    </w:rPr>
  </w:style>
  <w:style w:type="paragraph" w:customStyle="1" w:styleId="a">
    <w:name w:val="_"/>
    <w:basedOn w:val="Normal"/>
    <w:pPr>
      <w:widowControl w:val="0"/>
      <w:ind w:left="720" w:hanging="720"/>
    </w:pPr>
    <w:rPr>
      <w:snapToGrid w:val="0"/>
    </w:rPr>
  </w:style>
  <w:style w:type="character" w:customStyle="1" w:styleId="EmailStyle24">
    <w:name w:val="EmailStyle24"/>
    <w:rPr>
      <w:rFonts w:ascii="Arial" w:hAnsi="Arial" w:cs="Arial"/>
      <w:color w:val="000000"/>
      <w:sz w:val="20"/>
      <w:szCs w:val="20"/>
    </w:rPr>
  </w:style>
  <w:style w:type="paragraph" w:styleId="FootnoteText">
    <w:name w:val="footnote text"/>
    <w:basedOn w:val="Normal"/>
    <w:link w:val="FootnoteTextChar"/>
    <w:uiPriority w:val="99"/>
    <w:rPr>
      <w:bCs/>
      <w:sz w:val="20"/>
    </w:rPr>
  </w:style>
  <w:style w:type="character" w:styleId="FootnoteReference">
    <w:name w:val="footnote reference"/>
    <w:rPr>
      <w:vertAlign w:val="superscript"/>
    </w:rPr>
  </w:style>
  <w:style w:type="character" w:styleId="Hyperlink">
    <w:name w:val="Hyperlink"/>
    <w:rPr>
      <w:color w:val="0000FF"/>
      <w:u w:val="single"/>
    </w:rPr>
  </w:style>
  <w:style w:type="paragraph" w:customStyle="1" w:styleId="aoneCharChar">
    <w:name w:val="aone Char Char"/>
    <w:basedOn w:val="Normal"/>
    <w:pPr>
      <w:tabs>
        <w:tab w:val="right" w:leader="dot" w:pos="9540"/>
      </w:tabs>
      <w:spacing w:line="480" w:lineRule="auto"/>
      <w:ind w:firstLine="720"/>
      <w:jc w:val="both"/>
    </w:pPr>
    <w:rPr>
      <w:rFonts w:ascii="Garamond" w:hAnsi="Garamond"/>
      <w:bCs/>
      <w:sz w:val="23"/>
      <w:szCs w:val="24"/>
    </w:rPr>
  </w:style>
  <w:style w:type="paragraph" w:styleId="PlainText">
    <w:name w:val="Plain Text"/>
    <w:basedOn w:val="Normal"/>
    <w:link w:val="PlainTextChar"/>
    <w:uiPriority w:val="99"/>
    <w:unhideWhenUsed/>
    <w:rsid w:val="002D7CA3"/>
    <w:rPr>
      <w:rFonts w:ascii="Consolas" w:eastAsia="Calibri" w:hAnsi="Consolas"/>
      <w:sz w:val="21"/>
      <w:szCs w:val="21"/>
    </w:rPr>
  </w:style>
  <w:style w:type="character" w:customStyle="1" w:styleId="PlainTextChar">
    <w:name w:val="Plain Text Char"/>
    <w:link w:val="PlainText"/>
    <w:uiPriority w:val="99"/>
    <w:rsid w:val="002D7CA3"/>
    <w:rPr>
      <w:rFonts w:ascii="Consolas" w:eastAsia="Calibri" w:hAnsi="Consolas"/>
      <w:sz w:val="21"/>
      <w:szCs w:val="21"/>
    </w:rPr>
  </w:style>
  <w:style w:type="character" w:customStyle="1" w:styleId="A102">
    <w:name w:val="A10+2"/>
    <w:rsid w:val="00AC1AD4"/>
    <w:rPr>
      <w:rFonts w:cs="Baskerville"/>
      <w:color w:val="000000"/>
      <w:sz w:val="106"/>
      <w:szCs w:val="106"/>
    </w:rPr>
  </w:style>
  <w:style w:type="paragraph" w:customStyle="1" w:styleId="Pa212">
    <w:name w:val="Pa21+2"/>
    <w:basedOn w:val="Normal"/>
    <w:next w:val="Normal"/>
    <w:rsid w:val="00F65312"/>
    <w:pPr>
      <w:autoSpaceDE w:val="0"/>
      <w:autoSpaceDN w:val="0"/>
      <w:adjustRightInd w:val="0"/>
      <w:spacing w:line="221" w:lineRule="atLeast"/>
    </w:pPr>
    <w:rPr>
      <w:rFonts w:ascii="Baskerville" w:hAnsi="Baskerville"/>
      <w:szCs w:val="24"/>
    </w:rPr>
  </w:style>
  <w:style w:type="paragraph" w:customStyle="1" w:styleId="Pa132">
    <w:name w:val="Pa13+2"/>
    <w:basedOn w:val="Normal"/>
    <w:next w:val="Normal"/>
    <w:rsid w:val="00443EC5"/>
    <w:pPr>
      <w:autoSpaceDE w:val="0"/>
      <w:autoSpaceDN w:val="0"/>
      <w:adjustRightInd w:val="0"/>
      <w:spacing w:line="221" w:lineRule="atLeast"/>
    </w:pPr>
    <w:rPr>
      <w:rFonts w:ascii="Baskerville" w:hAnsi="Baskerville"/>
      <w:szCs w:val="24"/>
    </w:rPr>
  </w:style>
  <w:style w:type="paragraph" w:customStyle="1" w:styleId="Pa142">
    <w:name w:val="Pa14+2"/>
    <w:basedOn w:val="Normal"/>
    <w:next w:val="Normal"/>
    <w:rsid w:val="00443EC5"/>
    <w:pPr>
      <w:autoSpaceDE w:val="0"/>
      <w:autoSpaceDN w:val="0"/>
      <w:adjustRightInd w:val="0"/>
      <w:spacing w:line="221" w:lineRule="atLeast"/>
    </w:pPr>
    <w:rPr>
      <w:rFonts w:ascii="Baskerville" w:hAnsi="Baskerville"/>
      <w:szCs w:val="24"/>
    </w:rPr>
  </w:style>
  <w:style w:type="character" w:customStyle="1" w:styleId="A132">
    <w:name w:val="A13+2"/>
    <w:rsid w:val="00443EC5"/>
    <w:rPr>
      <w:rFonts w:cs="Baskerville"/>
      <w:color w:val="000000"/>
    </w:rPr>
  </w:style>
  <w:style w:type="paragraph" w:customStyle="1" w:styleId="Pa152">
    <w:name w:val="Pa15+2"/>
    <w:basedOn w:val="Normal"/>
    <w:next w:val="Normal"/>
    <w:rsid w:val="001930CE"/>
    <w:pPr>
      <w:autoSpaceDE w:val="0"/>
      <w:autoSpaceDN w:val="0"/>
      <w:adjustRightInd w:val="0"/>
      <w:spacing w:line="221" w:lineRule="atLeast"/>
    </w:pPr>
    <w:rPr>
      <w:rFonts w:ascii="Baskerville" w:hAnsi="Baskerville"/>
      <w:szCs w:val="24"/>
    </w:rPr>
  </w:style>
  <w:style w:type="character" w:styleId="Strong">
    <w:name w:val="Strong"/>
    <w:qFormat/>
    <w:rsid w:val="00A3545C"/>
    <w:rPr>
      <w:b/>
      <w:bCs/>
    </w:rPr>
  </w:style>
  <w:style w:type="paragraph" w:styleId="NormalWeb">
    <w:name w:val="Normal (Web)"/>
    <w:basedOn w:val="Normal"/>
    <w:semiHidden/>
    <w:rsid w:val="00A3545C"/>
    <w:pPr>
      <w:spacing w:before="100" w:beforeAutospacing="1" w:after="100" w:afterAutospacing="1"/>
    </w:pPr>
    <w:rPr>
      <w:rFonts w:ascii="Arial Unicode MS" w:eastAsia="Arial Unicode MS" w:hAnsi="Arial Unicode MS" w:cs="Arial Unicode MS"/>
      <w:szCs w:val="24"/>
    </w:rPr>
  </w:style>
  <w:style w:type="paragraph" w:styleId="Subtitle">
    <w:name w:val="Subtitle"/>
    <w:basedOn w:val="Normal"/>
    <w:link w:val="SubtitleChar"/>
    <w:qFormat/>
    <w:rsid w:val="00A3545C"/>
    <w:rPr>
      <w:b/>
      <w:bCs/>
      <w:szCs w:val="24"/>
    </w:rPr>
  </w:style>
  <w:style w:type="character" w:customStyle="1" w:styleId="SubtitleChar">
    <w:name w:val="Subtitle Char"/>
    <w:link w:val="Subtitle"/>
    <w:rsid w:val="00A3545C"/>
    <w:rPr>
      <w:b/>
      <w:bCs/>
      <w:sz w:val="24"/>
      <w:szCs w:val="24"/>
    </w:rPr>
  </w:style>
  <w:style w:type="paragraph" w:customStyle="1" w:styleId="xl24">
    <w:name w:val="xl24"/>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25">
    <w:name w:val="xl25"/>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26">
    <w:name w:val="xl26"/>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Cs w:val="24"/>
    </w:rPr>
  </w:style>
  <w:style w:type="paragraph" w:customStyle="1" w:styleId="xl27">
    <w:name w:val="xl27"/>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Cs w:val="24"/>
    </w:rPr>
  </w:style>
  <w:style w:type="paragraph" w:customStyle="1" w:styleId="xl28">
    <w:name w:val="xl28"/>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29">
    <w:name w:val="xl29"/>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30">
    <w:name w:val="xl30"/>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31">
    <w:name w:val="xl31"/>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Cs w:val="24"/>
    </w:rPr>
  </w:style>
  <w:style w:type="paragraph" w:customStyle="1" w:styleId="xl32">
    <w:name w:val="xl32"/>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33">
    <w:name w:val="xl33"/>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34">
    <w:name w:val="xl34"/>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35">
    <w:name w:val="xl35"/>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styleId="HTMLPreformatted">
    <w:name w:val="HTML Preformatted"/>
    <w:basedOn w:val="Normal"/>
    <w:link w:val="HTMLPreformattedChar"/>
    <w:semiHidden/>
    <w:rsid w:val="00A3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link w:val="HTMLPreformatted"/>
    <w:semiHidden/>
    <w:rsid w:val="00A3545C"/>
    <w:rPr>
      <w:rFonts w:ascii="Arial Unicode MS" w:eastAsia="Arial Unicode MS" w:hAnsi="Arial Unicode MS" w:cs="Arial Unicode MS"/>
    </w:rPr>
  </w:style>
  <w:style w:type="character" w:customStyle="1" w:styleId="FooterChar">
    <w:name w:val="Footer Char"/>
    <w:link w:val="Footer"/>
    <w:uiPriority w:val="99"/>
    <w:rsid w:val="009C112C"/>
    <w:rPr>
      <w:sz w:val="22"/>
    </w:rPr>
  </w:style>
  <w:style w:type="character" w:customStyle="1" w:styleId="Heading1Char">
    <w:name w:val="Heading 1 Char"/>
    <w:aliases w:val="H1-Sec.Head Char"/>
    <w:link w:val="Heading1"/>
    <w:rsid w:val="00BD78CD"/>
    <w:rPr>
      <w:b/>
      <w:sz w:val="24"/>
    </w:rPr>
  </w:style>
  <w:style w:type="character" w:customStyle="1" w:styleId="FootnoteTextChar">
    <w:name w:val="Footnote Text Char"/>
    <w:link w:val="FootnoteText"/>
    <w:uiPriority w:val="99"/>
    <w:rsid w:val="00A82168"/>
    <w:rPr>
      <w:bCs/>
    </w:rPr>
  </w:style>
  <w:style w:type="table" w:styleId="TableGrid">
    <w:name w:val="Table Grid"/>
    <w:basedOn w:val="TableNormal"/>
    <w:uiPriority w:val="59"/>
    <w:rsid w:val="00FA18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BE7339"/>
    <w:pPr>
      <w:spacing w:after="200" w:line="276" w:lineRule="auto"/>
      <w:ind w:left="720"/>
    </w:pPr>
    <w:rPr>
      <w:rFonts w:ascii="Calibri" w:eastAsia="Calibri" w:hAnsi="Calibri"/>
      <w:sz w:val="22"/>
      <w:szCs w:val="22"/>
    </w:rPr>
  </w:style>
  <w:style w:type="paragraph" w:customStyle="1" w:styleId="Bullet1">
    <w:name w:val="Bullet 1"/>
    <w:basedOn w:val="BodyText"/>
    <w:qFormat/>
    <w:rsid w:val="00C37C1B"/>
    <w:pPr>
      <w:numPr>
        <w:numId w:val="21"/>
      </w:numPr>
      <w:tabs>
        <w:tab w:val="num" w:pos="360"/>
      </w:tabs>
      <w:spacing w:after="120" w:line="240" w:lineRule="auto"/>
      <w:ind w:left="0" w:firstLine="0"/>
      <w:contextualSpacing/>
      <w:jc w:val="left"/>
    </w:pPr>
    <w:rPr>
      <w:rFonts w:ascii="Calibri" w:eastAsia="Calibri" w:hAnsi="Calibri"/>
      <w:color w:val="000000"/>
      <w:sz w:val="23"/>
      <w:szCs w:val="22"/>
    </w:rPr>
  </w:style>
  <w:style w:type="paragraph" w:styleId="BalloonText">
    <w:name w:val="Balloon Text"/>
    <w:basedOn w:val="Normal"/>
    <w:link w:val="BalloonTextChar"/>
    <w:uiPriority w:val="99"/>
    <w:semiHidden/>
    <w:unhideWhenUsed/>
    <w:rsid w:val="00A93F00"/>
    <w:rPr>
      <w:rFonts w:ascii="Tahoma" w:hAnsi="Tahoma" w:cs="Tahoma"/>
      <w:sz w:val="16"/>
      <w:szCs w:val="16"/>
    </w:rPr>
  </w:style>
  <w:style w:type="character" w:customStyle="1" w:styleId="BalloonTextChar">
    <w:name w:val="Balloon Text Char"/>
    <w:link w:val="BalloonText"/>
    <w:uiPriority w:val="99"/>
    <w:semiHidden/>
    <w:rsid w:val="00A93F00"/>
    <w:rPr>
      <w:rFonts w:ascii="Tahoma" w:hAnsi="Tahoma" w:cs="Tahoma"/>
      <w:sz w:val="16"/>
      <w:szCs w:val="16"/>
    </w:rPr>
  </w:style>
  <w:style w:type="character" w:styleId="CommentReference">
    <w:name w:val="annotation reference"/>
    <w:uiPriority w:val="99"/>
    <w:semiHidden/>
    <w:unhideWhenUsed/>
    <w:rsid w:val="00F96057"/>
    <w:rPr>
      <w:sz w:val="16"/>
      <w:szCs w:val="16"/>
    </w:rPr>
  </w:style>
  <w:style w:type="paragraph" w:styleId="CommentText">
    <w:name w:val="annotation text"/>
    <w:basedOn w:val="Normal"/>
    <w:link w:val="CommentTextChar"/>
    <w:uiPriority w:val="99"/>
    <w:semiHidden/>
    <w:unhideWhenUsed/>
    <w:rsid w:val="00F96057"/>
    <w:rPr>
      <w:sz w:val="20"/>
    </w:rPr>
  </w:style>
  <w:style w:type="character" w:customStyle="1" w:styleId="CommentTextChar">
    <w:name w:val="Comment Text Char"/>
    <w:basedOn w:val="DefaultParagraphFont"/>
    <w:link w:val="CommentText"/>
    <w:uiPriority w:val="99"/>
    <w:semiHidden/>
    <w:rsid w:val="00F96057"/>
  </w:style>
  <w:style w:type="paragraph" w:styleId="CommentSubject">
    <w:name w:val="annotation subject"/>
    <w:basedOn w:val="CommentText"/>
    <w:next w:val="CommentText"/>
    <w:link w:val="CommentSubjectChar"/>
    <w:uiPriority w:val="99"/>
    <w:semiHidden/>
    <w:unhideWhenUsed/>
    <w:rsid w:val="00F96057"/>
    <w:rPr>
      <w:b/>
      <w:bCs/>
    </w:rPr>
  </w:style>
  <w:style w:type="character" w:customStyle="1" w:styleId="CommentSubjectChar">
    <w:name w:val="Comment Subject Char"/>
    <w:link w:val="CommentSubject"/>
    <w:uiPriority w:val="99"/>
    <w:semiHidden/>
    <w:rsid w:val="00F96057"/>
    <w:rPr>
      <w:b/>
      <w:bCs/>
    </w:rPr>
  </w:style>
  <w:style w:type="paragraph" w:customStyle="1" w:styleId="TEXT-PPSSBO">
    <w:name w:val="TEXT-PPSS BO"/>
    <w:basedOn w:val="Normal"/>
    <w:link w:val="TEXT-PPSSBOChar"/>
    <w:qFormat/>
    <w:rsid w:val="00103FEF"/>
    <w:pPr>
      <w:spacing w:after="240"/>
    </w:pPr>
    <w:rPr>
      <w:rFonts w:ascii="Calibri" w:hAnsi="Calibri"/>
      <w:sz w:val="22"/>
      <w:szCs w:val="22"/>
    </w:rPr>
  </w:style>
  <w:style w:type="character" w:customStyle="1" w:styleId="TEXT-PPSSBOChar">
    <w:name w:val="TEXT-PPSS BO Char"/>
    <w:link w:val="TEXT-PPSSBO"/>
    <w:locked/>
    <w:rsid w:val="00103FEF"/>
    <w:rPr>
      <w:rFonts w:ascii="Calibri" w:hAnsi="Calibri"/>
      <w:sz w:val="22"/>
      <w:szCs w:val="22"/>
    </w:rPr>
  </w:style>
  <w:style w:type="paragraph" w:styleId="NoSpacing">
    <w:name w:val="No Spacing"/>
    <w:uiPriority w:val="1"/>
    <w:qFormat/>
    <w:rsid w:val="000F2C50"/>
    <w:rPr>
      <w:rFonts w:asciiTheme="minorHAnsi" w:eastAsiaTheme="minorHAnsi" w:hAnsiTheme="minorHAnsi" w:cstheme="minorBidi"/>
      <w:sz w:val="18"/>
      <w:szCs w:val="22"/>
    </w:rPr>
  </w:style>
  <w:style w:type="character" w:customStyle="1" w:styleId="ListParagraphChar">
    <w:name w:val="List Paragraph Char"/>
    <w:basedOn w:val="DefaultParagraphFont"/>
    <w:link w:val="ListParagraph"/>
    <w:uiPriority w:val="34"/>
    <w:locked/>
    <w:rsid w:val="000F2C50"/>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775697">
      <w:bodyDiv w:val="1"/>
      <w:marLeft w:val="0"/>
      <w:marRight w:val="0"/>
      <w:marTop w:val="0"/>
      <w:marBottom w:val="0"/>
      <w:divBdr>
        <w:top w:val="none" w:sz="0" w:space="0" w:color="auto"/>
        <w:left w:val="none" w:sz="0" w:space="0" w:color="auto"/>
        <w:bottom w:val="none" w:sz="0" w:space="0" w:color="auto"/>
        <w:right w:val="none" w:sz="0" w:space="0" w:color="auto"/>
      </w:divBdr>
    </w:div>
    <w:div w:id="630981654">
      <w:bodyDiv w:val="1"/>
      <w:marLeft w:val="0"/>
      <w:marRight w:val="0"/>
      <w:marTop w:val="0"/>
      <w:marBottom w:val="0"/>
      <w:divBdr>
        <w:top w:val="none" w:sz="0" w:space="0" w:color="auto"/>
        <w:left w:val="none" w:sz="0" w:space="0" w:color="auto"/>
        <w:bottom w:val="none" w:sz="0" w:space="0" w:color="auto"/>
        <w:right w:val="none" w:sz="0" w:space="0" w:color="auto"/>
      </w:divBdr>
    </w:div>
    <w:div w:id="1626540252">
      <w:bodyDiv w:val="1"/>
      <w:marLeft w:val="0"/>
      <w:marRight w:val="0"/>
      <w:marTop w:val="0"/>
      <w:marBottom w:val="0"/>
      <w:divBdr>
        <w:top w:val="none" w:sz="0" w:space="0" w:color="auto"/>
        <w:left w:val="none" w:sz="0" w:space="0" w:color="auto"/>
        <w:bottom w:val="none" w:sz="0" w:space="0" w:color="auto"/>
        <w:right w:val="none" w:sz="0" w:space="0" w:color="auto"/>
      </w:divBdr>
    </w:div>
    <w:div w:id="177906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educationnewyork.com/files/s03g0015dangerousschools.pdf" TargetMode="External"/><Relationship Id="rId1" Type="http://schemas.openxmlformats.org/officeDocument/2006/relationships/hyperlink" Target="https://www2.ed.gov/policy/elsec/guid/unsafeschoolchoic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8" ma:contentTypeDescription="Create a new document." ma:contentTypeScope="" ma:versionID="3596b35664cc434066ca39fbe826b77e">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89c859bb235e1250ac4cd2128edfb2ad" ns2:_="" ns3:_="">
    <xsd:import namespace="6ed4f710-a888-49b6-a3ba-a65a9384835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09A83-994E-43EE-9939-96674AA16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B0BB90-5971-42C9-AA73-8DFE4117CB36}">
  <ds:schemaRefs>
    <ds:schemaRef ds:uri="http://schemas.microsoft.com/sharepoint/v3/contenttype/forms"/>
  </ds:schemaRefs>
</ds:datastoreItem>
</file>

<file path=customXml/itemProps3.xml><?xml version="1.0" encoding="utf-8"?>
<ds:datastoreItem xmlns:ds="http://schemas.openxmlformats.org/officeDocument/2006/customXml" ds:itemID="{B38114A7-37AA-444C-96D0-C57CA5C81F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120FD7-1EAD-4D6C-9E46-48E9ABE06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1182</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Education</Company>
  <LinksUpToDate>false</LinksUpToDate>
  <CharactersWithSpaces>7910</CharactersWithSpaces>
  <SharedDoc>false</SharedDoc>
  <HLinks>
    <vt:vector size="18" baseType="variant">
      <vt:variant>
        <vt:i4>6881315</vt:i4>
      </vt:variant>
      <vt:variant>
        <vt:i4>0</vt:i4>
      </vt:variant>
      <vt:variant>
        <vt:i4>0</vt:i4>
      </vt:variant>
      <vt:variant>
        <vt:i4>5</vt:i4>
      </vt:variant>
      <vt:variant>
        <vt:lpwstr>https://www.congress.gov/bill/114th-congress/senate-bill/1177/text</vt:lpwstr>
      </vt:variant>
      <vt:variant>
        <vt:lpwstr/>
      </vt:variant>
      <vt:variant>
        <vt:i4>8257586</vt:i4>
      </vt:variant>
      <vt:variant>
        <vt:i4>3</vt:i4>
      </vt:variant>
      <vt:variant>
        <vt:i4>0</vt:i4>
      </vt:variant>
      <vt:variant>
        <vt:i4>5</vt:i4>
      </vt:variant>
      <vt:variant>
        <vt:lpwstr>https://www.edweek.org/ew/articles/2017/08/30/how-states-will-slice-essas-new-block-grant.html?qs=title+iv&amp;print=1</vt:lpwstr>
      </vt:variant>
      <vt:variant>
        <vt:lpwstr/>
      </vt:variant>
      <vt:variant>
        <vt:i4>5636181</vt:i4>
      </vt:variant>
      <vt:variant>
        <vt:i4>0</vt:i4>
      </vt:variant>
      <vt:variant>
        <vt:i4>0</vt:i4>
      </vt:variant>
      <vt:variant>
        <vt:i4>5</vt:i4>
      </vt:variant>
      <vt:variant>
        <vt:lpwstr>http://www.afterschoolalliance.org/documents/Title_IVA_StateUses2017.pdf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Department of Education</dc:creator>
  <cp:lastModifiedBy>SYSTEM</cp:lastModifiedBy>
  <cp:revision>2</cp:revision>
  <cp:lastPrinted>2018-08-27T19:35:00Z</cp:lastPrinted>
  <dcterms:created xsi:type="dcterms:W3CDTF">2019-02-06T20:07:00Z</dcterms:created>
  <dcterms:modified xsi:type="dcterms:W3CDTF">2019-02-06T20:07:00Z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ies>
</file>