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CE081" w14:textId="77777777" w:rsidR="00E14C63" w:rsidRPr="00B51BB8" w:rsidRDefault="00D350A8" w:rsidP="00F16C34">
      <w:pPr>
        <w:tabs>
          <w:tab w:val="left" w:pos="3320"/>
        </w:tabs>
        <w:spacing w:after="0"/>
        <w:jc w:val="center"/>
        <w:rPr>
          <w:rFonts w:ascii="Times New Roman" w:hAnsi="Times New Roman" w:cs="Times New Roman"/>
          <w:sz w:val="24"/>
          <w:szCs w:val="24"/>
        </w:rPr>
      </w:pPr>
      <w:bookmarkStart w:id="0" w:name="_GoBack"/>
      <w:bookmarkEnd w:id="0"/>
      <w:r w:rsidRPr="00B51BB8">
        <w:rPr>
          <w:rFonts w:ascii="Times New Roman" w:hAnsi="Times New Roman" w:cs="Times New Roman"/>
          <w:sz w:val="24"/>
          <w:szCs w:val="24"/>
        </w:rPr>
        <w:t>Supporting Statement for</w:t>
      </w:r>
    </w:p>
    <w:p w14:paraId="632D9B37" w14:textId="508AD055" w:rsidR="00797852" w:rsidRDefault="00262373" w:rsidP="00F16C34">
      <w:pPr>
        <w:spacing w:after="0"/>
        <w:ind w:right="-180"/>
        <w:jc w:val="center"/>
        <w:rPr>
          <w:rFonts w:ascii="Times New Roman" w:hAnsi="Times New Roman" w:cs="Times New Roman"/>
          <w:b/>
          <w:sz w:val="24"/>
          <w:szCs w:val="24"/>
        </w:rPr>
      </w:pPr>
      <w:r>
        <w:rPr>
          <w:rFonts w:ascii="Times New Roman" w:hAnsi="Times New Roman" w:cs="Times New Roman"/>
          <w:b/>
          <w:sz w:val="24"/>
          <w:szCs w:val="24"/>
        </w:rPr>
        <w:t>FERC-516</w:t>
      </w:r>
      <w:r w:rsidR="00FA0F7B" w:rsidRPr="00B51BB8">
        <w:rPr>
          <w:rFonts w:ascii="Times New Roman" w:hAnsi="Times New Roman" w:cs="Times New Roman"/>
          <w:b/>
          <w:sz w:val="24"/>
          <w:szCs w:val="24"/>
        </w:rPr>
        <w:t xml:space="preserve"> </w:t>
      </w:r>
      <w:r w:rsidR="00A70D34" w:rsidRPr="00B51BB8">
        <w:rPr>
          <w:rFonts w:ascii="Times New Roman" w:hAnsi="Times New Roman" w:cs="Times New Roman"/>
          <w:b/>
          <w:sz w:val="24"/>
          <w:szCs w:val="24"/>
        </w:rPr>
        <w:t>(</w:t>
      </w:r>
      <w:r w:rsidRPr="00262373">
        <w:rPr>
          <w:rFonts w:ascii="Times New Roman" w:hAnsi="Times New Roman" w:cs="Times New Roman"/>
          <w:b/>
          <w:sz w:val="24"/>
          <w:szCs w:val="24"/>
        </w:rPr>
        <w:t>Electric Rate Schedules and Tariff Filings</w:t>
      </w:r>
      <w:r w:rsidR="00A70D34" w:rsidRPr="00B51BB8">
        <w:rPr>
          <w:rFonts w:ascii="Times New Roman" w:hAnsi="Times New Roman" w:cs="Times New Roman"/>
          <w:b/>
          <w:sz w:val="24"/>
          <w:szCs w:val="24"/>
        </w:rPr>
        <w:t>)</w:t>
      </w:r>
    </w:p>
    <w:p w14:paraId="67A86B77" w14:textId="5B14ECF5" w:rsidR="00D350A8" w:rsidRPr="00B51BB8" w:rsidRDefault="00717A1C" w:rsidP="00F16C34">
      <w:pPr>
        <w:spacing w:after="0"/>
        <w:ind w:right="-180"/>
        <w:jc w:val="center"/>
        <w:rPr>
          <w:rFonts w:ascii="Times New Roman" w:hAnsi="Times New Roman" w:cs="Times New Roman"/>
          <w:b/>
          <w:sz w:val="24"/>
          <w:szCs w:val="24"/>
        </w:rPr>
      </w:pPr>
      <w:r w:rsidRPr="00B51BB8">
        <w:rPr>
          <w:rFonts w:ascii="Times New Roman" w:hAnsi="Times New Roman" w:cs="Times New Roman"/>
          <w:b/>
          <w:sz w:val="24"/>
          <w:szCs w:val="24"/>
        </w:rPr>
        <w:t xml:space="preserve">as modified by </w:t>
      </w:r>
      <w:r w:rsidR="00B81B13">
        <w:rPr>
          <w:rFonts w:ascii="Times New Roman" w:hAnsi="Times New Roman" w:cs="Times New Roman"/>
          <w:b/>
          <w:sz w:val="24"/>
          <w:szCs w:val="24"/>
        </w:rPr>
        <w:t>the Notice of Proposed Rulemaking (NOPR)</w:t>
      </w:r>
      <w:r w:rsidR="00DA3D71">
        <w:rPr>
          <w:rFonts w:ascii="Times New Roman" w:hAnsi="Times New Roman" w:cs="Times New Roman"/>
          <w:b/>
          <w:sz w:val="24"/>
          <w:szCs w:val="24"/>
        </w:rPr>
        <w:t xml:space="preserve"> in Docket RM19-5</w:t>
      </w:r>
      <w:r w:rsidR="00551E97">
        <w:rPr>
          <w:rFonts w:ascii="Times New Roman" w:hAnsi="Times New Roman" w:cs="Times New Roman"/>
          <w:b/>
          <w:sz w:val="24"/>
          <w:szCs w:val="24"/>
        </w:rPr>
        <w:t>-000</w:t>
      </w:r>
    </w:p>
    <w:p w14:paraId="432F8FF1" w14:textId="77777777" w:rsidR="002A4142" w:rsidRPr="00B51BB8" w:rsidRDefault="002A4142" w:rsidP="00F16C34">
      <w:pPr>
        <w:spacing w:after="0"/>
        <w:ind w:right="-180"/>
        <w:jc w:val="center"/>
        <w:rPr>
          <w:rFonts w:ascii="Times New Roman" w:hAnsi="Times New Roman" w:cs="Times New Roman"/>
          <w:b/>
          <w:sz w:val="24"/>
          <w:szCs w:val="24"/>
        </w:rPr>
      </w:pPr>
    </w:p>
    <w:p w14:paraId="12B1F6FB" w14:textId="62BC70DD" w:rsidR="00C4205B" w:rsidRDefault="00D350A8" w:rsidP="00F16C34">
      <w:pPr>
        <w:spacing w:after="0"/>
        <w:rPr>
          <w:rFonts w:ascii="Times New Roman" w:hAnsi="Times New Roman" w:cs="Times New Roman"/>
          <w:sz w:val="24"/>
          <w:szCs w:val="24"/>
        </w:rPr>
      </w:pPr>
      <w:r w:rsidRPr="00B51BB8">
        <w:rPr>
          <w:rFonts w:ascii="Times New Roman" w:hAnsi="Times New Roman" w:cs="Times New Roman"/>
          <w:sz w:val="24"/>
          <w:szCs w:val="24"/>
        </w:rPr>
        <w:t xml:space="preserve">The Federal Energy Regulatory Commission (Commission or FERC) requests that the Office of Management and Budget (OMB) review </w:t>
      </w:r>
      <w:r w:rsidR="00B81B13">
        <w:rPr>
          <w:rFonts w:ascii="Times New Roman" w:hAnsi="Times New Roman" w:cs="Times New Roman"/>
          <w:sz w:val="24"/>
          <w:szCs w:val="24"/>
        </w:rPr>
        <w:t xml:space="preserve">the </w:t>
      </w:r>
      <w:r w:rsidR="00262373">
        <w:rPr>
          <w:rFonts w:ascii="Times New Roman" w:hAnsi="Times New Roman" w:cs="Times New Roman"/>
          <w:sz w:val="24"/>
          <w:szCs w:val="24"/>
        </w:rPr>
        <w:t>FERC-516</w:t>
      </w:r>
      <w:r w:rsidR="00612E67" w:rsidRPr="00B51BB8">
        <w:rPr>
          <w:rFonts w:ascii="Times New Roman" w:hAnsi="Times New Roman" w:cs="Times New Roman"/>
          <w:sz w:val="24"/>
          <w:szCs w:val="24"/>
        </w:rPr>
        <w:t xml:space="preserve"> (</w:t>
      </w:r>
      <w:r w:rsidR="00262373" w:rsidRPr="00262373">
        <w:rPr>
          <w:rFonts w:ascii="Times New Roman" w:hAnsi="Times New Roman" w:cs="Times New Roman"/>
          <w:sz w:val="24"/>
          <w:szCs w:val="24"/>
        </w:rPr>
        <w:t>Electric Rate Schedules and Tariff Filings</w:t>
      </w:r>
      <w:r w:rsidR="00262373">
        <w:rPr>
          <w:rFonts w:ascii="Times New Roman" w:hAnsi="Times New Roman" w:cs="Times New Roman"/>
          <w:sz w:val="24"/>
          <w:szCs w:val="24"/>
        </w:rPr>
        <w:t>)</w:t>
      </w:r>
      <w:r w:rsidR="00B50C45">
        <w:rPr>
          <w:rFonts w:ascii="Times New Roman" w:hAnsi="Times New Roman" w:cs="Times New Roman"/>
          <w:sz w:val="24"/>
          <w:szCs w:val="24"/>
        </w:rPr>
        <w:t xml:space="preserve"> </w:t>
      </w:r>
      <w:r w:rsidR="00606999" w:rsidRPr="00B51BB8">
        <w:rPr>
          <w:rFonts w:ascii="Times New Roman" w:hAnsi="Times New Roman" w:cs="Times New Roman"/>
          <w:sz w:val="24"/>
          <w:szCs w:val="24"/>
        </w:rPr>
        <w:t xml:space="preserve">as modified by the </w:t>
      </w:r>
      <w:r w:rsidR="00F2452D">
        <w:rPr>
          <w:rFonts w:ascii="Times New Roman" w:hAnsi="Times New Roman" w:cs="Times New Roman"/>
          <w:sz w:val="24"/>
          <w:szCs w:val="24"/>
        </w:rPr>
        <w:t>NOPR</w:t>
      </w:r>
      <w:r w:rsidR="008C747F" w:rsidRPr="00B51BB8">
        <w:rPr>
          <w:rFonts w:ascii="Times New Roman" w:hAnsi="Times New Roman" w:cs="Times New Roman"/>
          <w:sz w:val="24"/>
          <w:szCs w:val="24"/>
        </w:rPr>
        <w:t xml:space="preserve"> </w:t>
      </w:r>
      <w:r w:rsidR="00612E67" w:rsidRPr="00B51BB8">
        <w:rPr>
          <w:rFonts w:ascii="Times New Roman" w:hAnsi="Times New Roman" w:cs="Times New Roman"/>
          <w:sz w:val="24"/>
          <w:szCs w:val="24"/>
        </w:rPr>
        <w:t xml:space="preserve">in </w:t>
      </w:r>
      <w:r w:rsidR="00B81B13">
        <w:rPr>
          <w:rFonts w:ascii="Times New Roman" w:hAnsi="Times New Roman" w:cs="Times New Roman"/>
          <w:sz w:val="24"/>
          <w:szCs w:val="24"/>
        </w:rPr>
        <w:t>RM19-5</w:t>
      </w:r>
      <w:r w:rsidR="00E5630C">
        <w:rPr>
          <w:rFonts w:ascii="Times New Roman" w:hAnsi="Times New Roman" w:cs="Times New Roman"/>
          <w:sz w:val="24"/>
          <w:szCs w:val="24"/>
        </w:rPr>
        <w:t>-000</w:t>
      </w:r>
      <w:r w:rsidR="00606999" w:rsidRPr="00B51BB8">
        <w:rPr>
          <w:rStyle w:val="FootnoteReference"/>
          <w:rFonts w:ascii="Times New Roman" w:hAnsi="Times New Roman" w:cs="Times New Roman"/>
          <w:sz w:val="24"/>
          <w:szCs w:val="24"/>
          <w:vertAlign w:val="superscript"/>
        </w:rPr>
        <w:footnoteReference w:id="2"/>
      </w:r>
      <w:r w:rsidR="00774B70">
        <w:rPr>
          <w:rFonts w:ascii="Times New Roman" w:hAnsi="Times New Roman" w:cs="Times New Roman"/>
          <w:sz w:val="24"/>
          <w:szCs w:val="24"/>
        </w:rPr>
        <w:t>.</w:t>
      </w:r>
    </w:p>
    <w:p w14:paraId="505CBA46" w14:textId="77777777" w:rsidR="002A4142" w:rsidRPr="00B81B13" w:rsidRDefault="002A4142" w:rsidP="00F16C34">
      <w:pPr>
        <w:spacing w:after="0"/>
        <w:rPr>
          <w:rFonts w:ascii="Times New Roman" w:hAnsi="Times New Roman" w:cs="Times New Roman"/>
          <w:b/>
          <w:sz w:val="24"/>
          <w:szCs w:val="24"/>
        </w:rPr>
      </w:pPr>
    </w:p>
    <w:p w14:paraId="62A64E7E" w14:textId="29CD4412" w:rsidR="00715753" w:rsidRDefault="00C4205B" w:rsidP="00F2452D">
      <w:pPr>
        <w:widowControl w:val="0"/>
        <w:numPr>
          <w:ilvl w:val="0"/>
          <w:numId w:val="2"/>
        </w:numPr>
        <w:tabs>
          <w:tab w:val="num" w:pos="360"/>
        </w:tabs>
        <w:autoSpaceDE w:val="0"/>
        <w:autoSpaceDN w:val="0"/>
        <w:adjustRightInd w:val="0"/>
        <w:spacing w:after="0"/>
        <w:ind w:left="360"/>
        <w:rPr>
          <w:rFonts w:ascii="Times New Roman" w:hAnsi="Times New Roman" w:cs="Times New Roman"/>
          <w:b/>
          <w:bCs/>
          <w:sz w:val="24"/>
          <w:szCs w:val="24"/>
        </w:rPr>
      </w:pPr>
      <w:r w:rsidRPr="00B81B13">
        <w:rPr>
          <w:rFonts w:ascii="Times New Roman" w:hAnsi="Times New Roman" w:cs="Times New Roman"/>
          <w:b/>
          <w:bCs/>
          <w:sz w:val="24"/>
          <w:szCs w:val="24"/>
        </w:rPr>
        <w:t>CIRCUMSTANCES THAT MAKE THE COLLECTION OF INFORMATION NECESSARY</w:t>
      </w:r>
    </w:p>
    <w:p w14:paraId="42B93E21" w14:textId="77777777" w:rsidR="00F2452D" w:rsidRPr="00F2452D" w:rsidRDefault="00F2452D" w:rsidP="00F2452D">
      <w:pPr>
        <w:widowControl w:val="0"/>
        <w:autoSpaceDE w:val="0"/>
        <w:autoSpaceDN w:val="0"/>
        <w:adjustRightInd w:val="0"/>
        <w:spacing w:after="0"/>
        <w:ind w:left="360"/>
        <w:rPr>
          <w:rFonts w:ascii="Times New Roman" w:hAnsi="Times New Roman" w:cs="Times New Roman"/>
          <w:b/>
          <w:bCs/>
          <w:sz w:val="24"/>
          <w:szCs w:val="24"/>
        </w:rPr>
      </w:pPr>
    </w:p>
    <w:p w14:paraId="5EA80B09" w14:textId="16A5A8D5" w:rsidR="00647DE5" w:rsidRPr="0032638F" w:rsidRDefault="00C7173A" w:rsidP="00F16C34">
      <w:pPr>
        <w:autoSpaceDE w:val="0"/>
        <w:autoSpaceDN w:val="0"/>
        <w:adjustRightInd w:val="0"/>
        <w:spacing w:after="0"/>
        <w:rPr>
          <w:rFonts w:ascii="Times New Roman" w:hAnsi="Times New Roman" w:cs="Times New Roman"/>
          <w:sz w:val="24"/>
          <w:szCs w:val="24"/>
        </w:rPr>
      </w:pPr>
      <w:r w:rsidRPr="0032638F">
        <w:rPr>
          <w:rFonts w:ascii="Times New Roman" w:hAnsi="Times New Roman" w:cs="Times New Roman"/>
          <w:sz w:val="24"/>
          <w:szCs w:val="24"/>
        </w:rPr>
        <w:t>On December 22, 2017, the President signed into law the Tax Cuts and Jobs Act</w:t>
      </w:r>
      <w:r w:rsidR="006E1331" w:rsidRPr="006E1331">
        <w:rPr>
          <w:rFonts w:ascii="Times New Roman" w:hAnsi="Times New Roman" w:cs="Times New Roman"/>
          <w:sz w:val="24"/>
          <w:szCs w:val="24"/>
        </w:rPr>
        <w:t xml:space="preserve"> </w:t>
      </w:r>
      <w:r w:rsidR="006E1331" w:rsidRPr="00B81B13">
        <w:rPr>
          <w:rFonts w:ascii="Times New Roman" w:hAnsi="Times New Roman" w:cs="Times New Roman"/>
          <w:sz w:val="24"/>
          <w:szCs w:val="24"/>
        </w:rPr>
        <w:t>of 2017 (Tax Cuts and Jobs Act)</w:t>
      </w:r>
      <w:r w:rsidRPr="0032638F">
        <w:rPr>
          <w:rFonts w:ascii="Times New Roman" w:hAnsi="Times New Roman" w:cs="Times New Roman"/>
          <w:sz w:val="24"/>
          <w:szCs w:val="24"/>
        </w:rPr>
        <w:t>, reducing the federal corporate income tax rate from 35 percent to 21 percent, effective January 1, 2018.</w:t>
      </w:r>
      <w:r w:rsidR="00736010" w:rsidRPr="0032638F">
        <w:rPr>
          <w:rFonts w:ascii="Times New Roman" w:hAnsi="Times New Roman" w:cs="Times New Roman"/>
          <w:sz w:val="24"/>
          <w:szCs w:val="24"/>
        </w:rPr>
        <w:t xml:space="preserve">  Importantly, the tax rate reduction will also result in a reduction in A</w:t>
      </w:r>
      <w:r w:rsidR="0032638F">
        <w:rPr>
          <w:rFonts w:ascii="Times New Roman" w:hAnsi="Times New Roman" w:cs="Times New Roman"/>
          <w:sz w:val="24"/>
          <w:szCs w:val="24"/>
        </w:rPr>
        <w:t xml:space="preserve">ccumulated Deferred </w:t>
      </w:r>
      <w:r w:rsidR="00736010" w:rsidRPr="0032638F">
        <w:rPr>
          <w:rFonts w:ascii="Times New Roman" w:hAnsi="Times New Roman" w:cs="Times New Roman"/>
          <w:sz w:val="24"/>
          <w:szCs w:val="24"/>
        </w:rPr>
        <w:t>I</w:t>
      </w:r>
      <w:r w:rsidR="0032638F">
        <w:rPr>
          <w:rFonts w:ascii="Times New Roman" w:hAnsi="Times New Roman" w:cs="Times New Roman"/>
          <w:sz w:val="24"/>
          <w:szCs w:val="24"/>
        </w:rPr>
        <w:t xml:space="preserve">ncome </w:t>
      </w:r>
      <w:r w:rsidR="00736010" w:rsidRPr="0032638F">
        <w:rPr>
          <w:rFonts w:ascii="Times New Roman" w:hAnsi="Times New Roman" w:cs="Times New Roman"/>
          <w:sz w:val="24"/>
          <w:szCs w:val="24"/>
        </w:rPr>
        <w:t>T</w:t>
      </w:r>
      <w:r w:rsidR="0032638F">
        <w:rPr>
          <w:rFonts w:ascii="Times New Roman" w:hAnsi="Times New Roman" w:cs="Times New Roman"/>
          <w:sz w:val="24"/>
          <w:szCs w:val="24"/>
        </w:rPr>
        <w:t>axes (ADIT)</w:t>
      </w:r>
      <w:r w:rsidR="00736010" w:rsidRPr="0032638F">
        <w:rPr>
          <w:rFonts w:ascii="Times New Roman" w:hAnsi="Times New Roman" w:cs="Times New Roman"/>
          <w:sz w:val="24"/>
          <w:szCs w:val="24"/>
        </w:rPr>
        <w:t xml:space="preserve"> liabilities and ADIT assets on the books of rate-regulated companies.</w:t>
      </w:r>
      <w:r w:rsidR="00736010" w:rsidRPr="0032638F">
        <w:rPr>
          <w:rFonts w:ascii="Times New Roman" w:eastAsia="Times New Roman" w:hAnsi="Times New Roman" w:cs="Times New Roman"/>
          <w:sz w:val="24"/>
          <w:szCs w:val="24"/>
        </w:rPr>
        <w:t xml:space="preserve">  </w:t>
      </w:r>
      <w:r w:rsidR="00736010" w:rsidRPr="0032638F">
        <w:rPr>
          <w:rFonts w:ascii="Times New Roman" w:hAnsi="Times New Roman" w:cs="Times New Roman"/>
          <w:sz w:val="24"/>
          <w:szCs w:val="24"/>
        </w:rPr>
        <w:t>ADIT balances are recorded on the regulated books and records of public utilities based on the requirements of the Commission’s Uniform System of Accounts.  ADIT arises from timing differences between the method of computing taxable income for reporting to the IRS and the method of computing income for regulatory accounting and ratemaking purposes.  As a result of the Tax Cuts and Jobs Act reducing the federal corporate income tax rate from 35 percent to 21 percent, ADIT liability and ADIT asset balances on the books of public utilities have also been reduced.  Further, a portion of an ADIT liability that was collected from customers will no longer be due from public utilities to the IRS and is considered excess ADIT, and therefore, must be returned to customers.  Conversely, public utilities will have collected insufficient amounts to fund any ADIT asset.  Commission regulations require that public utilities return or recover these excess or deficient amounts by including provisions in their costs of service</w:t>
      </w:r>
      <w:r w:rsidR="00ED6971">
        <w:rPr>
          <w:rFonts w:ascii="Times New Roman" w:hAnsi="Times New Roman" w:cs="Times New Roman"/>
          <w:sz w:val="24"/>
          <w:szCs w:val="24"/>
        </w:rPr>
        <w:t xml:space="preserve"> and that public utilities advance some method to do so in their next cases</w:t>
      </w:r>
      <w:r w:rsidR="00736010" w:rsidRPr="0032638F">
        <w:rPr>
          <w:rFonts w:ascii="Times New Roman" w:hAnsi="Times New Roman" w:cs="Times New Roman"/>
          <w:sz w:val="24"/>
          <w:szCs w:val="24"/>
        </w:rPr>
        <w:t>.</w:t>
      </w:r>
    </w:p>
    <w:p w14:paraId="34DEBF7D" w14:textId="6B7A5126" w:rsidR="0032638F" w:rsidRPr="0032638F" w:rsidRDefault="0032638F" w:rsidP="00F16C34">
      <w:pPr>
        <w:autoSpaceDE w:val="0"/>
        <w:autoSpaceDN w:val="0"/>
        <w:adjustRightInd w:val="0"/>
        <w:spacing w:after="0"/>
        <w:rPr>
          <w:rFonts w:ascii="Times New Roman" w:hAnsi="Times New Roman" w:cs="Times New Roman"/>
          <w:sz w:val="24"/>
          <w:szCs w:val="24"/>
        </w:rPr>
      </w:pPr>
    </w:p>
    <w:p w14:paraId="69626157" w14:textId="3882734D" w:rsidR="0032638F" w:rsidRDefault="0032638F" w:rsidP="00F16C34">
      <w:pPr>
        <w:autoSpaceDE w:val="0"/>
        <w:autoSpaceDN w:val="0"/>
        <w:adjustRightInd w:val="0"/>
        <w:spacing w:after="0"/>
        <w:rPr>
          <w:rFonts w:ascii="Times New Roman" w:hAnsi="Times New Roman" w:cs="Times New Roman"/>
          <w:sz w:val="24"/>
          <w:szCs w:val="24"/>
        </w:rPr>
      </w:pPr>
      <w:r w:rsidRPr="0032638F">
        <w:rPr>
          <w:rFonts w:ascii="Times New Roman" w:hAnsi="Times New Roman" w:cs="Times New Roman"/>
          <w:sz w:val="24"/>
          <w:szCs w:val="24"/>
        </w:rPr>
        <w:t xml:space="preserve">Since the Commission promulgated its </w:t>
      </w:r>
      <w:r w:rsidR="007B62E7">
        <w:rPr>
          <w:rFonts w:ascii="Times New Roman" w:hAnsi="Times New Roman" w:cs="Times New Roman"/>
          <w:sz w:val="24"/>
          <w:szCs w:val="24"/>
        </w:rPr>
        <w:t xml:space="preserve">existing </w:t>
      </w:r>
      <w:r w:rsidRPr="0032638F">
        <w:rPr>
          <w:rFonts w:ascii="Times New Roman" w:hAnsi="Times New Roman" w:cs="Times New Roman"/>
          <w:sz w:val="24"/>
          <w:szCs w:val="24"/>
        </w:rPr>
        <w:t xml:space="preserve">regulations on excess and deficient ADIT, the landscape of public utility transmission rates has changed dramatically; that is, the vast majority of public utilities now use formula rates rather than stated rates. </w:t>
      </w:r>
      <w:r>
        <w:rPr>
          <w:rFonts w:ascii="Times New Roman" w:hAnsi="Times New Roman" w:cs="Times New Roman"/>
          <w:sz w:val="24"/>
          <w:szCs w:val="24"/>
        </w:rPr>
        <w:t>Whereas</w:t>
      </w:r>
      <w:r w:rsidRPr="0032638F">
        <w:rPr>
          <w:rFonts w:ascii="Times New Roman" w:hAnsi="Times New Roman" w:cs="Times New Roman"/>
          <w:sz w:val="24"/>
          <w:szCs w:val="24"/>
        </w:rPr>
        <w:t xml:space="preserve"> stated rates are updated only through a rate case initiated by a </w:t>
      </w:r>
      <w:r>
        <w:rPr>
          <w:rFonts w:ascii="Times New Roman" w:hAnsi="Times New Roman" w:cs="Times New Roman"/>
          <w:sz w:val="24"/>
          <w:szCs w:val="24"/>
        </w:rPr>
        <w:t>Federal Power Act</w:t>
      </w:r>
      <w:r w:rsidRPr="0032638F">
        <w:rPr>
          <w:rFonts w:ascii="Times New Roman" w:hAnsi="Times New Roman" w:cs="Times New Roman"/>
          <w:sz w:val="24"/>
          <w:szCs w:val="24"/>
        </w:rPr>
        <w:t xml:space="preserve"> </w:t>
      </w:r>
      <w:r>
        <w:rPr>
          <w:rFonts w:ascii="Times New Roman" w:hAnsi="Times New Roman" w:cs="Times New Roman"/>
          <w:sz w:val="24"/>
          <w:szCs w:val="24"/>
        </w:rPr>
        <w:t xml:space="preserve">(FPA) </w:t>
      </w:r>
      <w:r w:rsidRPr="0032638F">
        <w:rPr>
          <w:rFonts w:ascii="Times New Roman" w:hAnsi="Times New Roman" w:cs="Times New Roman"/>
          <w:sz w:val="24"/>
          <w:szCs w:val="24"/>
        </w:rPr>
        <w:t xml:space="preserve">section 205 application by the public utility or an FPA section 206 action by the Commission or a complaining third party, inputs to formula rates are updated annually </w:t>
      </w:r>
      <w:r w:rsidR="00F3224D">
        <w:rPr>
          <w:rFonts w:ascii="Times New Roman" w:hAnsi="Times New Roman" w:cs="Times New Roman"/>
          <w:sz w:val="24"/>
          <w:szCs w:val="24"/>
        </w:rPr>
        <w:t xml:space="preserve">without Commission action </w:t>
      </w:r>
      <w:r w:rsidRPr="0032638F">
        <w:rPr>
          <w:rFonts w:ascii="Times New Roman" w:hAnsi="Times New Roman" w:cs="Times New Roman"/>
          <w:sz w:val="24"/>
          <w:szCs w:val="24"/>
        </w:rPr>
        <w:t xml:space="preserve">to derive a charge assessed to customers. </w:t>
      </w:r>
      <w:r>
        <w:rPr>
          <w:rFonts w:ascii="Times New Roman" w:hAnsi="Times New Roman" w:cs="Times New Roman"/>
          <w:sz w:val="24"/>
          <w:szCs w:val="24"/>
        </w:rPr>
        <w:t xml:space="preserve"> </w:t>
      </w:r>
      <w:r w:rsidRPr="0032638F">
        <w:rPr>
          <w:rFonts w:ascii="Times New Roman" w:hAnsi="Times New Roman" w:cs="Times New Roman"/>
          <w:sz w:val="24"/>
          <w:szCs w:val="24"/>
        </w:rPr>
        <w:t>Th</w:t>
      </w:r>
      <w:r w:rsidR="0060439B">
        <w:rPr>
          <w:rFonts w:ascii="Times New Roman" w:hAnsi="Times New Roman" w:cs="Times New Roman"/>
          <w:sz w:val="24"/>
          <w:szCs w:val="24"/>
        </w:rPr>
        <w:t>erefore for formula rates, certain</w:t>
      </w:r>
      <w:r w:rsidRPr="0032638F">
        <w:rPr>
          <w:rFonts w:ascii="Times New Roman" w:hAnsi="Times New Roman" w:cs="Times New Roman"/>
          <w:sz w:val="24"/>
          <w:szCs w:val="24"/>
        </w:rPr>
        <w:t xml:space="preserve"> provisions </w:t>
      </w:r>
      <w:r w:rsidR="0060439B">
        <w:rPr>
          <w:rFonts w:ascii="Times New Roman" w:hAnsi="Times New Roman" w:cs="Times New Roman"/>
          <w:sz w:val="24"/>
          <w:szCs w:val="24"/>
        </w:rPr>
        <w:t>must be included to</w:t>
      </w:r>
      <w:r w:rsidRPr="0032638F">
        <w:rPr>
          <w:rFonts w:ascii="Times New Roman" w:hAnsi="Times New Roman" w:cs="Times New Roman"/>
          <w:sz w:val="24"/>
          <w:szCs w:val="24"/>
        </w:rPr>
        <w:t xml:space="preserve"> accurately reflect excess or deficient ADIT in a public utility’s cost of transmission service</w:t>
      </w:r>
      <w:r w:rsidR="0060439B">
        <w:rPr>
          <w:rFonts w:ascii="Times New Roman" w:hAnsi="Times New Roman" w:cs="Times New Roman"/>
          <w:sz w:val="24"/>
          <w:szCs w:val="24"/>
        </w:rPr>
        <w:t>.</w:t>
      </w:r>
      <w:r w:rsidRPr="0032638F">
        <w:rPr>
          <w:rFonts w:ascii="Times New Roman" w:hAnsi="Times New Roman" w:cs="Times New Roman"/>
          <w:sz w:val="24"/>
          <w:szCs w:val="24"/>
        </w:rPr>
        <w:t xml:space="preserve"> </w:t>
      </w:r>
    </w:p>
    <w:p w14:paraId="6F498144" w14:textId="7E3D29A8" w:rsidR="0032638F" w:rsidRPr="0032638F" w:rsidRDefault="0032638F" w:rsidP="00F16C34">
      <w:pPr>
        <w:autoSpaceDE w:val="0"/>
        <w:autoSpaceDN w:val="0"/>
        <w:adjustRightInd w:val="0"/>
        <w:spacing w:after="0"/>
        <w:rPr>
          <w:rFonts w:ascii="Times New Roman" w:hAnsi="Times New Roman" w:cs="Times New Roman"/>
          <w:sz w:val="24"/>
          <w:szCs w:val="24"/>
        </w:rPr>
      </w:pPr>
      <w:r w:rsidRPr="0032638F">
        <w:rPr>
          <w:rFonts w:ascii="Times New Roman" w:hAnsi="Times New Roman" w:cs="Times New Roman"/>
          <w:sz w:val="24"/>
          <w:szCs w:val="24"/>
        </w:rPr>
        <w:lastRenderedPageBreak/>
        <w:t xml:space="preserve"> </w:t>
      </w:r>
    </w:p>
    <w:p w14:paraId="49041BA1" w14:textId="5067345F" w:rsidR="0032638F" w:rsidRPr="0032638F" w:rsidRDefault="007B62E7" w:rsidP="00F16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Based on analysis and comments received in response to a Notice of Inquiry issued March 2018</w:t>
      </w:r>
      <w:r w:rsidR="0032638F" w:rsidRPr="0032638F">
        <w:rPr>
          <w:rFonts w:ascii="Times New Roman" w:hAnsi="Times New Roman" w:cs="Times New Roman"/>
          <w:sz w:val="24"/>
          <w:szCs w:val="24"/>
        </w:rPr>
        <w:t xml:space="preserve">, </w:t>
      </w:r>
      <w:r>
        <w:rPr>
          <w:rFonts w:ascii="Times New Roman" w:hAnsi="Times New Roman" w:cs="Times New Roman"/>
          <w:sz w:val="24"/>
          <w:szCs w:val="24"/>
        </w:rPr>
        <w:t>the Commission has</w:t>
      </w:r>
      <w:r w:rsidR="0032638F" w:rsidRPr="0032638F">
        <w:rPr>
          <w:rFonts w:ascii="Times New Roman" w:hAnsi="Times New Roman" w:cs="Times New Roman"/>
          <w:sz w:val="24"/>
          <w:szCs w:val="24"/>
        </w:rPr>
        <w:t xml:space="preserve"> determined that this near-industry-wide transition from stated to formula rates has caused a gap in the transmission formula rates of public utilities such that many, if not most, of those rates do not contain provisions to fully reflect any excess or deficient ADIT following a change in tax rates, as required by</w:t>
      </w:r>
      <w:r w:rsidR="004A0C64">
        <w:rPr>
          <w:rFonts w:ascii="Times New Roman" w:hAnsi="Times New Roman" w:cs="Times New Roman"/>
          <w:sz w:val="24"/>
          <w:szCs w:val="24"/>
        </w:rPr>
        <w:t xml:space="preserve"> the</w:t>
      </w:r>
      <w:r w:rsidR="0032638F" w:rsidRPr="0032638F">
        <w:rPr>
          <w:rFonts w:ascii="Times New Roman" w:hAnsi="Times New Roman" w:cs="Times New Roman"/>
          <w:sz w:val="24"/>
          <w:szCs w:val="24"/>
        </w:rPr>
        <w:t xml:space="preserve"> Commission’s regulations.  Two components are necessary to maintain an accurate cost of service following a change in income tax rates, such as that caused by the Tax Cuts and Jobs Act: (1) preservation of rate base neutrality through the removal of excess ADIT from or addition of deficient ADIT to rate base; and</w:t>
      </w:r>
      <w:r w:rsidR="004A0C64">
        <w:rPr>
          <w:rFonts w:ascii="Times New Roman" w:hAnsi="Times New Roman" w:cs="Times New Roman"/>
          <w:sz w:val="24"/>
          <w:szCs w:val="24"/>
        </w:rPr>
        <w:t xml:space="preserve"> </w:t>
      </w:r>
      <w:r w:rsidR="0032638F" w:rsidRPr="0032638F">
        <w:rPr>
          <w:rFonts w:ascii="Times New Roman" w:hAnsi="Times New Roman" w:cs="Times New Roman"/>
          <w:sz w:val="24"/>
          <w:szCs w:val="24"/>
        </w:rPr>
        <w:t>(2) the return of excess ADIT to or recovery of deficient ADIT from ratepayers.</w:t>
      </w:r>
    </w:p>
    <w:p w14:paraId="4C0C42B1" w14:textId="77777777" w:rsidR="0032638F" w:rsidRPr="0032638F" w:rsidRDefault="0032638F" w:rsidP="00F16C34">
      <w:pPr>
        <w:autoSpaceDE w:val="0"/>
        <w:autoSpaceDN w:val="0"/>
        <w:adjustRightInd w:val="0"/>
        <w:spacing w:after="0"/>
        <w:rPr>
          <w:rFonts w:ascii="Times New Roman" w:hAnsi="Times New Roman" w:cs="Times New Roman"/>
          <w:b/>
          <w:bCs/>
          <w:sz w:val="24"/>
          <w:szCs w:val="24"/>
        </w:rPr>
      </w:pPr>
    </w:p>
    <w:p w14:paraId="731DDAC3" w14:textId="5ED5A82D" w:rsidR="0060439B" w:rsidRDefault="0032638F" w:rsidP="00F16C34">
      <w:pPr>
        <w:autoSpaceDE w:val="0"/>
        <w:autoSpaceDN w:val="0"/>
        <w:adjustRightInd w:val="0"/>
        <w:spacing w:after="0"/>
        <w:rPr>
          <w:rFonts w:ascii="Times New Roman" w:hAnsi="Times New Roman" w:cs="Times New Roman"/>
          <w:sz w:val="24"/>
          <w:szCs w:val="24"/>
        </w:rPr>
      </w:pPr>
      <w:r w:rsidRPr="0032638F">
        <w:rPr>
          <w:rFonts w:ascii="Times New Roman" w:hAnsi="Times New Roman" w:cs="Times New Roman"/>
          <w:sz w:val="24"/>
          <w:szCs w:val="24"/>
        </w:rPr>
        <w:t>A review of public utility transmission formula rates suggests that only some transmission formula rates contain the first component, while even fewer contain the second.</w:t>
      </w:r>
      <w:r w:rsidR="004A0C64">
        <w:rPr>
          <w:rFonts w:ascii="Times New Roman" w:hAnsi="Times New Roman" w:cs="Times New Roman"/>
          <w:sz w:val="24"/>
          <w:szCs w:val="24"/>
        </w:rPr>
        <w:t xml:space="preserve"> </w:t>
      </w:r>
      <w:r w:rsidRPr="0032638F">
        <w:rPr>
          <w:rFonts w:ascii="Times New Roman" w:hAnsi="Times New Roman" w:cs="Times New Roman"/>
          <w:sz w:val="24"/>
          <w:szCs w:val="24"/>
        </w:rPr>
        <w:t xml:space="preserve"> Consequently, </w:t>
      </w:r>
      <w:r w:rsidR="007B62E7">
        <w:rPr>
          <w:rFonts w:ascii="Times New Roman" w:hAnsi="Times New Roman" w:cs="Times New Roman"/>
          <w:sz w:val="24"/>
          <w:szCs w:val="24"/>
        </w:rPr>
        <w:t>the Commission</w:t>
      </w:r>
      <w:r w:rsidRPr="0032638F">
        <w:rPr>
          <w:rFonts w:ascii="Times New Roman" w:hAnsi="Times New Roman" w:cs="Times New Roman"/>
          <w:sz w:val="24"/>
          <w:szCs w:val="24"/>
        </w:rPr>
        <w:t xml:space="preserve"> propose</w:t>
      </w:r>
      <w:r w:rsidR="007B62E7">
        <w:rPr>
          <w:rFonts w:ascii="Times New Roman" w:hAnsi="Times New Roman" w:cs="Times New Roman"/>
          <w:sz w:val="24"/>
          <w:szCs w:val="24"/>
        </w:rPr>
        <w:t>s</w:t>
      </w:r>
      <w:r w:rsidRPr="0032638F">
        <w:rPr>
          <w:rFonts w:ascii="Times New Roman" w:hAnsi="Times New Roman" w:cs="Times New Roman"/>
          <w:sz w:val="24"/>
          <w:szCs w:val="24"/>
        </w:rPr>
        <w:t xml:space="preserve"> to require public utilities with transmission formula rates to revise those rates to include these two components.  Additionally, to provide greater transparency, </w:t>
      </w:r>
      <w:r w:rsidR="007B62E7">
        <w:rPr>
          <w:rFonts w:ascii="Times New Roman" w:hAnsi="Times New Roman" w:cs="Times New Roman"/>
          <w:sz w:val="24"/>
          <w:szCs w:val="24"/>
        </w:rPr>
        <w:t>the Commission</w:t>
      </w:r>
      <w:r w:rsidRPr="0032638F">
        <w:rPr>
          <w:rFonts w:ascii="Times New Roman" w:hAnsi="Times New Roman" w:cs="Times New Roman"/>
          <w:sz w:val="24"/>
          <w:szCs w:val="24"/>
        </w:rPr>
        <w:t xml:space="preserve"> propose</w:t>
      </w:r>
      <w:r w:rsidR="007B62E7">
        <w:rPr>
          <w:rFonts w:ascii="Times New Roman" w:hAnsi="Times New Roman" w:cs="Times New Roman"/>
          <w:sz w:val="24"/>
          <w:szCs w:val="24"/>
        </w:rPr>
        <w:t>s</w:t>
      </w:r>
      <w:r w:rsidRPr="0032638F">
        <w:rPr>
          <w:rFonts w:ascii="Times New Roman" w:hAnsi="Times New Roman" w:cs="Times New Roman"/>
          <w:sz w:val="24"/>
          <w:szCs w:val="24"/>
        </w:rPr>
        <w:t xml:space="preserve"> to require all public utilities with transmission formula rates to incorporate a new permanent worksheet into their transmission formula rates that will annually track ADIT information related to these two components.</w:t>
      </w:r>
    </w:p>
    <w:p w14:paraId="050F1756" w14:textId="77777777" w:rsidR="0060439B" w:rsidRDefault="0060439B" w:rsidP="00F16C34">
      <w:pPr>
        <w:autoSpaceDE w:val="0"/>
        <w:autoSpaceDN w:val="0"/>
        <w:adjustRightInd w:val="0"/>
        <w:spacing w:after="0"/>
        <w:rPr>
          <w:rFonts w:ascii="Times New Roman" w:hAnsi="Times New Roman" w:cs="Times New Roman"/>
          <w:sz w:val="24"/>
          <w:szCs w:val="24"/>
        </w:rPr>
      </w:pPr>
    </w:p>
    <w:p w14:paraId="790FBAB3" w14:textId="3EDFA3E0" w:rsidR="0032638F" w:rsidRPr="0032638F" w:rsidRDefault="004A0C64" w:rsidP="00F16C3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While the next rate case requirement remains relevant for stated rates, </w:t>
      </w:r>
      <w:r w:rsidRPr="004A0C64">
        <w:rPr>
          <w:rFonts w:ascii="Times New Roman" w:hAnsi="Times New Roman" w:cs="Times New Roman"/>
          <w:sz w:val="24"/>
          <w:szCs w:val="24"/>
        </w:rPr>
        <w:t>to increase the likelihood that those customers who</w:t>
      </w:r>
      <w:r>
        <w:rPr>
          <w:rFonts w:ascii="Times New Roman" w:hAnsi="Times New Roman" w:cs="Times New Roman"/>
          <w:sz w:val="24"/>
          <w:szCs w:val="24"/>
        </w:rPr>
        <w:t xml:space="preserve"> </w:t>
      </w:r>
      <w:r w:rsidRPr="004A0C64">
        <w:rPr>
          <w:rFonts w:ascii="Times New Roman" w:hAnsi="Times New Roman" w:cs="Times New Roman"/>
          <w:sz w:val="24"/>
          <w:szCs w:val="24"/>
        </w:rPr>
        <w:t>contributed to the related ADIT accounts receive the benefit of the Tax Cuts and Jobs</w:t>
      </w:r>
      <w:r>
        <w:rPr>
          <w:rFonts w:ascii="Times New Roman" w:hAnsi="Times New Roman" w:cs="Times New Roman"/>
          <w:sz w:val="24"/>
          <w:szCs w:val="24"/>
        </w:rPr>
        <w:t xml:space="preserve"> </w:t>
      </w:r>
      <w:r w:rsidRPr="004A0C64">
        <w:rPr>
          <w:rFonts w:ascii="Times New Roman" w:hAnsi="Times New Roman" w:cs="Times New Roman"/>
          <w:sz w:val="24"/>
          <w:szCs w:val="24"/>
        </w:rPr>
        <w:t>Act</w:t>
      </w:r>
      <w:r>
        <w:rPr>
          <w:rFonts w:ascii="Times New Roman" w:hAnsi="Times New Roman" w:cs="Times New Roman"/>
          <w:sz w:val="24"/>
          <w:szCs w:val="24"/>
        </w:rPr>
        <w:t>,</w:t>
      </w:r>
      <w:r w:rsidRPr="004A0C64">
        <w:rPr>
          <w:rFonts w:ascii="Times New Roman" w:hAnsi="Times New Roman" w:cs="Times New Roman"/>
          <w:sz w:val="24"/>
          <w:szCs w:val="24"/>
        </w:rPr>
        <w:t xml:space="preserve"> </w:t>
      </w:r>
      <w:r w:rsidR="007B62E7">
        <w:rPr>
          <w:rFonts w:ascii="Times New Roman" w:hAnsi="Times New Roman" w:cs="Times New Roman"/>
          <w:sz w:val="24"/>
          <w:szCs w:val="24"/>
        </w:rPr>
        <w:t>the Commission</w:t>
      </w:r>
      <w:r w:rsidRPr="004A0C64">
        <w:rPr>
          <w:rFonts w:ascii="Times New Roman" w:hAnsi="Times New Roman" w:cs="Times New Roman"/>
          <w:sz w:val="24"/>
          <w:szCs w:val="24"/>
        </w:rPr>
        <w:t xml:space="preserve"> propose</w:t>
      </w:r>
      <w:r w:rsidR="007B62E7">
        <w:rPr>
          <w:rFonts w:ascii="Times New Roman" w:hAnsi="Times New Roman" w:cs="Times New Roman"/>
          <w:sz w:val="24"/>
          <w:szCs w:val="24"/>
        </w:rPr>
        <w:t>s</w:t>
      </w:r>
      <w:r w:rsidRPr="004A0C64">
        <w:rPr>
          <w:rFonts w:ascii="Times New Roman" w:hAnsi="Times New Roman" w:cs="Times New Roman"/>
          <w:sz w:val="24"/>
          <w:szCs w:val="24"/>
        </w:rPr>
        <w:t xml:space="preserve"> to require public utilities with transmission stated rates to (1) determine</w:t>
      </w:r>
      <w:r>
        <w:rPr>
          <w:rFonts w:ascii="Times New Roman" w:hAnsi="Times New Roman" w:cs="Times New Roman"/>
          <w:sz w:val="24"/>
          <w:szCs w:val="24"/>
        </w:rPr>
        <w:t xml:space="preserve"> </w:t>
      </w:r>
      <w:r w:rsidRPr="004A0C64">
        <w:rPr>
          <w:rFonts w:ascii="Times New Roman" w:hAnsi="Times New Roman" w:cs="Times New Roman"/>
          <w:sz w:val="24"/>
          <w:szCs w:val="24"/>
        </w:rPr>
        <w:t>any excess or deficient ADIT caused by the Tax Cuts and Jobs Act and (2) return or</w:t>
      </w:r>
      <w:r>
        <w:rPr>
          <w:rFonts w:ascii="Times New Roman" w:hAnsi="Times New Roman" w:cs="Times New Roman"/>
          <w:sz w:val="24"/>
          <w:szCs w:val="24"/>
        </w:rPr>
        <w:t xml:space="preserve"> </w:t>
      </w:r>
      <w:r w:rsidRPr="004A0C64">
        <w:rPr>
          <w:rFonts w:ascii="Times New Roman" w:hAnsi="Times New Roman" w:cs="Times New Roman"/>
          <w:sz w:val="24"/>
          <w:szCs w:val="24"/>
        </w:rPr>
        <w:t>recover this amount to or from customers</w:t>
      </w:r>
      <w:r>
        <w:rPr>
          <w:rFonts w:ascii="Times New Roman" w:hAnsi="Times New Roman" w:cs="Times New Roman"/>
          <w:sz w:val="24"/>
          <w:szCs w:val="24"/>
        </w:rPr>
        <w:t>.</w:t>
      </w:r>
    </w:p>
    <w:p w14:paraId="0BE03D1C" w14:textId="77777777" w:rsidR="00675A46" w:rsidRPr="00675A46" w:rsidRDefault="00675A46" w:rsidP="00F16C34">
      <w:pPr>
        <w:spacing w:after="0"/>
        <w:rPr>
          <w:rFonts w:ascii="Times New Roman" w:hAnsi="Times New Roman" w:cs="Times New Roman"/>
          <w:sz w:val="24"/>
          <w:szCs w:val="24"/>
        </w:rPr>
      </w:pPr>
    </w:p>
    <w:p w14:paraId="349508F4"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b/>
          <w:bCs/>
          <w:sz w:val="24"/>
          <w:szCs w:val="24"/>
        </w:rPr>
      </w:pPr>
      <w:r w:rsidRPr="00B51BB8">
        <w:rPr>
          <w:rFonts w:ascii="Times New Roman" w:hAnsi="Times New Roman" w:cs="Times New Roman"/>
          <w:b/>
          <w:bCs/>
          <w:sz w:val="24"/>
          <w:szCs w:val="24"/>
        </w:rPr>
        <w:t>HOW, BY WHOM, AND FOR WHAT PURPOSE THE INFORMATION IS TO BE USED AND THE CONSEQUENCES OF NOT COLLECTING THE INFORMATION</w:t>
      </w:r>
    </w:p>
    <w:p w14:paraId="548551CE" w14:textId="77777777" w:rsidR="004A1428" w:rsidRPr="00B51BB8" w:rsidRDefault="004A1428" w:rsidP="00F16C34">
      <w:pPr>
        <w:widowControl w:val="0"/>
        <w:autoSpaceDE w:val="0"/>
        <w:autoSpaceDN w:val="0"/>
        <w:adjustRightInd w:val="0"/>
        <w:spacing w:after="0"/>
        <w:ind w:left="360"/>
        <w:rPr>
          <w:rFonts w:ascii="Times New Roman" w:hAnsi="Times New Roman" w:cs="Times New Roman"/>
          <w:b/>
          <w:bCs/>
          <w:sz w:val="24"/>
          <w:szCs w:val="24"/>
        </w:rPr>
      </w:pPr>
    </w:p>
    <w:p w14:paraId="0315DB06" w14:textId="06F7BA97" w:rsidR="00B81B13" w:rsidRDefault="008A2CA1" w:rsidP="00F16C34">
      <w:pPr>
        <w:spacing w:after="0"/>
        <w:rPr>
          <w:rFonts w:ascii="Times New Roman" w:hAnsi="Times New Roman" w:cs="Times New Roman"/>
          <w:sz w:val="24"/>
          <w:szCs w:val="24"/>
        </w:rPr>
      </w:pPr>
      <w:r>
        <w:rPr>
          <w:rFonts w:ascii="Times New Roman" w:hAnsi="Times New Roman" w:cs="Times New Roman"/>
          <w:sz w:val="24"/>
          <w:szCs w:val="24"/>
        </w:rPr>
        <w:t xml:space="preserve">In </w:t>
      </w:r>
      <w:r w:rsidR="00566C8F">
        <w:rPr>
          <w:rFonts w:ascii="Times New Roman" w:hAnsi="Times New Roman" w:cs="Times New Roman"/>
          <w:sz w:val="24"/>
          <w:szCs w:val="24"/>
        </w:rPr>
        <w:t xml:space="preserve">the </w:t>
      </w:r>
      <w:r w:rsidR="00B81B13">
        <w:rPr>
          <w:rFonts w:ascii="Times New Roman" w:hAnsi="Times New Roman" w:cs="Times New Roman"/>
          <w:sz w:val="24"/>
          <w:szCs w:val="24"/>
        </w:rPr>
        <w:t>NOPR</w:t>
      </w:r>
      <w:r w:rsidR="00C80A66" w:rsidRPr="00C80A66">
        <w:rPr>
          <w:rFonts w:ascii="Times New Roman" w:hAnsi="Times New Roman" w:cs="Times New Roman"/>
          <w:sz w:val="24"/>
          <w:szCs w:val="24"/>
        </w:rPr>
        <w:t xml:space="preserve"> in </w:t>
      </w:r>
      <w:r>
        <w:rPr>
          <w:rFonts w:ascii="Times New Roman" w:hAnsi="Times New Roman" w:cs="Times New Roman"/>
          <w:sz w:val="24"/>
          <w:szCs w:val="24"/>
        </w:rPr>
        <w:t xml:space="preserve">Docket No. </w:t>
      </w:r>
      <w:r w:rsidR="00B81B13">
        <w:rPr>
          <w:rFonts w:ascii="Times New Roman" w:hAnsi="Times New Roman" w:cs="Times New Roman"/>
          <w:sz w:val="24"/>
          <w:szCs w:val="24"/>
        </w:rPr>
        <w:t>RM19-5</w:t>
      </w:r>
      <w:r>
        <w:rPr>
          <w:rFonts w:ascii="Times New Roman" w:hAnsi="Times New Roman" w:cs="Times New Roman"/>
          <w:sz w:val="24"/>
          <w:szCs w:val="24"/>
        </w:rPr>
        <w:t xml:space="preserve">-000, the Commission is </w:t>
      </w:r>
      <w:r w:rsidR="006E74F3">
        <w:rPr>
          <w:rFonts w:ascii="Times New Roman" w:hAnsi="Times New Roman" w:cs="Times New Roman"/>
          <w:sz w:val="24"/>
          <w:szCs w:val="24"/>
        </w:rPr>
        <w:t xml:space="preserve">proposing </w:t>
      </w:r>
      <w:r w:rsidR="00B81B13">
        <w:rPr>
          <w:rFonts w:ascii="Times New Roman" w:hAnsi="Times New Roman" w:cs="Times New Roman"/>
          <w:sz w:val="24"/>
          <w:szCs w:val="24"/>
        </w:rPr>
        <w:t xml:space="preserve">to </w:t>
      </w:r>
      <w:r w:rsidR="00B81B13" w:rsidRPr="00B81B13">
        <w:rPr>
          <w:rFonts w:ascii="Times New Roman" w:hAnsi="Times New Roman" w:cs="Times New Roman"/>
          <w:sz w:val="24"/>
          <w:szCs w:val="24"/>
        </w:rPr>
        <w:t xml:space="preserve">require all public utility transmission providers with transmission rates under an </w:t>
      </w:r>
      <w:r w:rsidR="0060439B">
        <w:rPr>
          <w:rFonts w:ascii="Times New Roman" w:hAnsi="Times New Roman" w:cs="Times New Roman"/>
          <w:sz w:val="24"/>
          <w:szCs w:val="24"/>
        </w:rPr>
        <w:t>Open Access Transmission Tariff (</w:t>
      </w:r>
      <w:r w:rsidR="00B81B13">
        <w:rPr>
          <w:rFonts w:ascii="Times New Roman" w:hAnsi="Times New Roman" w:cs="Times New Roman"/>
          <w:sz w:val="24"/>
          <w:szCs w:val="24"/>
        </w:rPr>
        <w:t>OATT</w:t>
      </w:r>
      <w:r w:rsidR="0060439B">
        <w:rPr>
          <w:rFonts w:ascii="Times New Roman" w:hAnsi="Times New Roman" w:cs="Times New Roman"/>
          <w:sz w:val="24"/>
          <w:szCs w:val="24"/>
        </w:rPr>
        <w:t>)</w:t>
      </w:r>
      <w:r w:rsidR="00B81B13" w:rsidRPr="00B81B13">
        <w:rPr>
          <w:rFonts w:ascii="Times New Roman" w:hAnsi="Times New Roman" w:cs="Times New Roman"/>
          <w:sz w:val="24"/>
          <w:szCs w:val="24"/>
        </w:rPr>
        <w:t xml:space="preserve">, a transmission owner tariff, or a rate schedule to revise those rates to account for changes caused by the Tax Cuts and Jobs Act.   These proposed reforms are designed to address the effects of the Tax Cuts and Jobs Act on ADIT reflected in all transmission rates under an OATT, a transmission owner tariff, or a rate schedule of public utility transmission providers.  </w:t>
      </w:r>
    </w:p>
    <w:p w14:paraId="67C70527" w14:textId="77777777" w:rsidR="00B81B13" w:rsidRDefault="00B81B13" w:rsidP="00F16C34">
      <w:pPr>
        <w:spacing w:after="0"/>
        <w:rPr>
          <w:rFonts w:ascii="Times New Roman" w:hAnsi="Times New Roman" w:cs="Times New Roman"/>
          <w:sz w:val="24"/>
          <w:szCs w:val="24"/>
        </w:rPr>
      </w:pPr>
    </w:p>
    <w:p w14:paraId="57D83A27" w14:textId="30A899DE" w:rsidR="00E3352E" w:rsidRDefault="00B81B13" w:rsidP="00F16C34">
      <w:pPr>
        <w:spacing w:after="0"/>
        <w:rPr>
          <w:rFonts w:ascii="Times New Roman" w:hAnsi="Times New Roman" w:cs="Times New Roman"/>
          <w:sz w:val="24"/>
          <w:szCs w:val="24"/>
        </w:rPr>
      </w:pPr>
      <w:r w:rsidRPr="00B81B13">
        <w:rPr>
          <w:rFonts w:ascii="Times New Roman" w:hAnsi="Times New Roman" w:cs="Times New Roman"/>
          <w:sz w:val="24"/>
          <w:szCs w:val="24"/>
        </w:rPr>
        <w:t>The proposed reforms are intended to ensure that ratepayers receive the benefits of the Tax Cuts and Jobs Act, and that the public utility transmission formula and stated rates are just and reasonable and not unduly discriminatory or preferential following the enactment of the Tax Cuts and Jobs Act.  The proposed reforms are also intended to ensure that transmission formula and stated rates meet the Commission’s tax normalization requirements such that the income tax component of those rates is calculated as though the taxable income were recognized in the same period and amount by the Internal Revenue Service (IRS) and the Commission</w:t>
      </w:r>
      <w:r>
        <w:rPr>
          <w:rFonts w:ascii="Times New Roman" w:hAnsi="Times New Roman" w:cs="Times New Roman"/>
          <w:sz w:val="24"/>
          <w:szCs w:val="24"/>
        </w:rPr>
        <w:t>.</w:t>
      </w:r>
    </w:p>
    <w:p w14:paraId="3692969B" w14:textId="77777777" w:rsidR="00B81B13" w:rsidRDefault="00B81B13" w:rsidP="00F16C34">
      <w:pPr>
        <w:spacing w:after="0"/>
        <w:rPr>
          <w:rFonts w:ascii="Times New Roman" w:hAnsi="Times New Roman" w:cs="Times New Roman"/>
          <w:sz w:val="24"/>
          <w:szCs w:val="24"/>
        </w:rPr>
      </w:pPr>
    </w:p>
    <w:p w14:paraId="2B9FF439" w14:textId="77777777" w:rsidR="00B81B13" w:rsidRDefault="00B81B13" w:rsidP="00F16C34">
      <w:pPr>
        <w:spacing w:after="0"/>
        <w:rPr>
          <w:rFonts w:ascii="Times New Roman" w:hAnsi="Times New Roman" w:cs="Times New Roman"/>
          <w:sz w:val="24"/>
          <w:szCs w:val="24"/>
        </w:rPr>
      </w:pPr>
      <w:r w:rsidRPr="00B81B13">
        <w:rPr>
          <w:rFonts w:ascii="Times New Roman" w:hAnsi="Times New Roman" w:cs="Times New Roman"/>
          <w:sz w:val="24"/>
          <w:szCs w:val="24"/>
        </w:rPr>
        <w:t>The proposed reforms generally fall into three categories and apply to public utilities with transmission formula rates and stated r</w:t>
      </w:r>
      <w:r>
        <w:rPr>
          <w:rFonts w:ascii="Times New Roman" w:hAnsi="Times New Roman" w:cs="Times New Roman"/>
          <w:sz w:val="24"/>
          <w:szCs w:val="24"/>
        </w:rPr>
        <w:t>ates in different ways.  First, the Commission</w:t>
      </w:r>
      <w:r w:rsidRPr="00B81B13">
        <w:rPr>
          <w:rFonts w:ascii="Times New Roman" w:hAnsi="Times New Roman" w:cs="Times New Roman"/>
          <w:sz w:val="24"/>
          <w:szCs w:val="24"/>
        </w:rPr>
        <w:t xml:space="preserve"> propose</w:t>
      </w:r>
      <w:r>
        <w:rPr>
          <w:rFonts w:ascii="Times New Roman" w:hAnsi="Times New Roman" w:cs="Times New Roman"/>
          <w:sz w:val="24"/>
          <w:szCs w:val="24"/>
        </w:rPr>
        <w:t>s</w:t>
      </w:r>
      <w:r w:rsidRPr="00B81B13">
        <w:rPr>
          <w:rFonts w:ascii="Times New Roman" w:hAnsi="Times New Roman" w:cs="Times New Roman"/>
          <w:sz w:val="24"/>
          <w:szCs w:val="24"/>
        </w:rPr>
        <w:t xml:space="preserve"> to require all public utilities with transmission formula rates to include a mechanism in their formula rates to deduct any excess ADIT from or add any deficient ADIT to their rate bases.  This will ensure that rate base continues to be treated in a manner similar to that prior to the Tax Cuts and Jobs Act  (i.e., that rate base neutrality is preserved).  As for public utilities with transmission stated rates, we do not propose any new requirements regarding rate base neutrality</w:t>
      </w:r>
      <w:r>
        <w:rPr>
          <w:rFonts w:ascii="Times New Roman" w:hAnsi="Times New Roman" w:cs="Times New Roman"/>
          <w:sz w:val="24"/>
          <w:szCs w:val="24"/>
        </w:rPr>
        <w:t xml:space="preserve">.  </w:t>
      </w:r>
    </w:p>
    <w:p w14:paraId="008B4AC8" w14:textId="77777777" w:rsidR="00B81B13" w:rsidRDefault="00B81B13" w:rsidP="00F16C34">
      <w:pPr>
        <w:spacing w:after="0"/>
        <w:rPr>
          <w:rFonts w:ascii="Times New Roman" w:hAnsi="Times New Roman" w:cs="Times New Roman"/>
          <w:sz w:val="24"/>
          <w:szCs w:val="24"/>
        </w:rPr>
      </w:pPr>
    </w:p>
    <w:p w14:paraId="4F23A028" w14:textId="558B0DF7" w:rsidR="00B81B13" w:rsidRDefault="00B81B13" w:rsidP="00F16C34">
      <w:pPr>
        <w:spacing w:after="0"/>
        <w:rPr>
          <w:rFonts w:ascii="Times New Roman" w:hAnsi="Times New Roman" w:cs="Times New Roman"/>
          <w:sz w:val="24"/>
          <w:szCs w:val="24"/>
        </w:rPr>
      </w:pPr>
      <w:r>
        <w:rPr>
          <w:rFonts w:ascii="Times New Roman" w:hAnsi="Times New Roman" w:cs="Times New Roman"/>
          <w:sz w:val="24"/>
          <w:szCs w:val="24"/>
        </w:rPr>
        <w:t>Second, the Commission</w:t>
      </w:r>
      <w:r w:rsidRPr="00B81B13">
        <w:rPr>
          <w:rFonts w:ascii="Times New Roman" w:hAnsi="Times New Roman" w:cs="Times New Roman"/>
          <w:sz w:val="24"/>
          <w:szCs w:val="24"/>
        </w:rPr>
        <w:t xml:space="preserve"> propose</w:t>
      </w:r>
      <w:r>
        <w:rPr>
          <w:rFonts w:ascii="Times New Roman" w:hAnsi="Times New Roman" w:cs="Times New Roman"/>
          <w:sz w:val="24"/>
          <w:szCs w:val="24"/>
        </w:rPr>
        <w:t>s</w:t>
      </w:r>
      <w:r w:rsidRPr="00B81B13">
        <w:rPr>
          <w:rFonts w:ascii="Times New Roman" w:hAnsi="Times New Roman" w:cs="Times New Roman"/>
          <w:sz w:val="24"/>
          <w:szCs w:val="24"/>
        </w:rPr>
        <w:t xml:space="preserve"> to require all public utilities with transmission formula rates to include a mechanism in their formula rates that decreases or increases their income tax allowances by any amortized excess or deficient ADIT, respectively.  This reform will help to ensure that public utilities with transmission formula rates return excess ADIT to or recover deficient ADIT from ratepayers.  As a result, ratepayers who contributed to excess ADIT balances will receive the benefit o</w:t>
      </w:r>
      <w:r w:rsidR="00904C51">
        <w:rPr>
          <w:rFonts w:ascii="Times New Roman" w:hAnsi="Times New Roman" w:cs="Times New Roman"/>
          <w:sz w:val="24"/>
          <w:szCs w:val="24"/>
        </w:rPr>
        <w:t xml:space="preserve">f the Tax Cuts and Jobs Act.  </w:t>
      </w:r>
      <w:r w:rsidR="00904C51" w:rsidRPr="00904C51">
        <w:rPr>
          <w:rFonts w:ascii="Times New Roman" w:hAnsi="Times New Roman" w:cs="Times New Roman"/>
          <w:sz w:val="24"/>
          <w:szCs w:val="24"/>
        </w:rPr>
        <w:t>With regard to public utility transmissi</w:t>
      </w:r>
      <w:r w:rsidR="00904C51">
        <w:rPr>
          <w:rFonts w:ascii="Times New Roman" w:hAnsi="Times New Roman" w:cs="Times New Roman"/>
          <w:sz w:val="24"/>
          <w:szCs w:val="24"/>
        </w:rPr>
        <w:t>on providers with stated rates, the Commission proposes requiring</w:t>
      </w:r>
      <w:r w:rsidR="00904C51" w:rsidRPr="00904C51">
        <w:rPr>
          <w:rFonts w:ascii="Times New Roman" w:hAnsi="Times New Roman" w:cs="Times New Roman"/>
          <w:sz w:val="24"/>
          <w:szCs w:val="24"/>
        </w:rPr>
        <w:t xml:space="preserve"> these entities to determine the excess and deficient ADIT caused by the Tax Cuts and Jobs Act based on the ADIT amounts approved in their last rate case and then to return this amount to or recover this amount from customers.  This reform is intended to increase the likelihood that those customers who contributed to the related ADIT accounts receive the benefits of the Tax Cuts and Jobs Act</w:t>
      </w:r>
      <w:r w:rsidR="00904C51">
        <w:rPr>
          <w:rFonts w:ascii="Times New Roman" w:hAnsi="Times New Roman" w:cs="Times New Roman"/>
          <w:sz w:val="24"/>
          <w:szCs w:val="24"/>
        </w:rPr>
        <w:t>.</w:t>
      </w:r>
    </w:p>
    <w:p w14:paraId="16055F1B" w14:textId="77777777" w:rsidR="00904C51" w:rsidRDefault="00904C51" w:rsidP="00F16C34">
      <w:pPr>
        <w:spacing w:after="0"/>
        <w:rPr>
          <w:rFonts w:ascii="Times New Roman" w:hAnsi="Times New Roman" w:cs="Times New Roman"/>
          <w:sz w:val="24"/>
          <w:szCs w:val="24"/>
        </w:rPr>
      </w:pPr>
    </w:p>
    <w:p w14:paraId="0DE7A772" w14:textId="541C0E41" w:rsidR="00904C51" w:rsidRDefault="00904C51" w:rsidP="00F16C34">
      <w:pPr>
        <w:spacing w:after="0"/>
        <w:rPr>
          <w:rFonts w:ascii="Times New Roman" w:hAnsi="Times New Roman" w:cs="Times New Roman"/>
          <w:sz w:val="24"/>
          <w:szCs w:val="24"/>
        </w:rPr>
      </w:pPr>
      <w:r>
        <w:rPr>
          <w:rFonts w:ascii="Times New Roman" w:hAnsi="Times New Roman" w:cs="Times New Roman"/>
          <w:sz w:val="24"/>
          <w:szCs w:val="24"/>
        </w:rPr>
        <w:t xml:space="preserve">Third, the Commission </w:t>
      </w:r>
      <w:r w:rsidRPr="00904C51">
        <w:rPr>
          <w:rFonts w:ascii="Times New Roman" w:hAnsi="Times New Roman" w:cs="Times New Roman"/>
          <w:sz w:val="24"/>
          <w:szCs w:val="24"/>
        </w:rPr>
        <w:t>propose</w:t>
      </w:r>
      <w:r>
        <w:rPr>
          <w:rFonts w:ascii="Times New Roman" w:hAnsi="Times New Roman" w:cs="Times New Roman"/>
          <w:sz w:val="24"/>
          <w:szCs w:val="24"/>
        </w:rPr>
        <w:t>s</w:t>
      </w:r>
      <w:r w:rsidRPr="00904C51">
        <w:rPr>
          <w:rFonts w:ascii="Times New Roman" w:hAnsi="Times New Roman" w:cs="Times New Roman"/>
          <w:sz w:val="24"/>
          <w:szCs w:val="24"/>
        </w:rPr>
        <w:t xml:space="preserve"> to require all public utilities with transmission formula rates to incorporate a new permanent worksheet into their transmission formula rate that will annually track information related to exces</w:t>
      </w:r>
      <w:r>
        <w:rPr>
          <w:rFonts w:ascii="Times New Roman" w:hAnsi="Times New Roman" w:cs="Times New Roman"/>
          <w:sz w:val="24"/>
          <w:szCs w:val="24"/>
        </w:rPr>
        <w:t>s or deficient ADIT.  The Commission</w:t>
      </w:r>
      <w:r w:rsidRPr="00904C51">
        <w:rPr>
          <w:rFonts w:ascii="Times New Roman" w:hAnsi="Times New Roman" w:cs="Times New Roman"/>
          <w:sz w:val="24"/>
          <w:szCs w:val="24"/>
        </w:rPr>
        <w:t xml:space="preserve"> believe</w:t>
      </w:r>
      <w:r>
        <w:rPr>
          <w:rFonts w:ascii="Times New Roman" w:hAnsi="Times New Roman" w:cs="Times New Roman"/>
          <w:sz w:val="24"/>
          <w:szCs w:val="24"/>
        </w:rPr>
        <w:t>s</w:t>
      </w:r>
      <w:r w:rsidRPr="00904C51">
        <w:rPr>
          <w:rFonts w:ascii="Times New Roman" w:hAnsi="Times New Roman" w:cs="Times New Roman"/>
          <w:sz w:val="24"/>
          <w:szCs w:val="24"/>
        </w:rPr>
        <w:t xml:space="preserve"> that this reform will increase the transparency surrounding the adjustment of rate bases and income tax allowances to account for excess or deficient ADIT by public utilities with</w:t>
      </w:r>
      <w:r>
        <w:rPr>
          <w:rFonts w:ascii="Times New Roman" w:hAnsi="Times New Roman" w:cs="Times New Roman"/>
          <w:sz w:val="24"/>
          <w:szCs w:val="24"/>
        </w:rPr>
        <w:t xml:space="preserve"> transmission formula rates.  The Commission</w:t>
      </w:r>
      <w:r w:rsidRPr="00904C51">
        <w:rPr>
          <w:rFonts w:ascii="Times New Roman" w:hAnsi="Times New Roman" w:cs="Times New Roman"/>
          <w:sz w:val="24"/>
          <w:szCs w:val="24"/>
        </w:rPr>
        <w:t xml:space="preserve"> do</w:t>
      </w:r>
      <w:r>
        <w:rPr>
          <w:rFonts w:ascii="Times New Roman" w:hAnsi="Times New Roman" w:cs="Times New Roman"/>
          <w:sz w:val="24"/>
          <w:szCs w:val="24"/>
        </w:rPr>
        <w:t>es</w:t>
      </w:r>
      <w:r w:rsidRPr="00904C51">
        <w:rPr>
          <w:rFonts w:ascii="Times New Roman" w:hAnsi="Times New Roman" w:cs="Times New Roman"/>
          <w:sz w:val="24"/>
          <w:szCs w:val="24"/>
        </w:rPr>
        <w:t xml:space="preserve"> not propose any additional worksheets for public utilities with tran</w:t>
      </w:r>
      <w:r>
        <w:rPr>
          <w:rFonts w:ascii="Times New Roman" w:hAnsi="Times New Roman" w:cs="Times New Roman"/>
          <w:sz w:val="24"/>
          <w:szCs w:val="24"/>
        </w:rPr>
        <w:t>smission stated rates because it is</w:t>
      </w:r>
      <w:r w:rsidRPr="00904C51">
        <w:rPr>
          <w:rFonts w:ascii="Times New Roman" w:hAnsi="Times New Roman" w:cs="Times New Roman"/>
          <w:sz w:val="24"/>
          <w:szCs w:val="24"/>
        </w:rPr>
        <w:t xml:space="preserve"> believe</w:t>
      </w:r>
      <w:r>
        <w:rPr>
          <w:rFonts w:ascii="Times New Roman" w:hAnsi="Times New Roman" w:cs="Times New Roman"/>
          <w:sz w:val="24"/>
          <w:szCs w:val="24"/>
        </w:rPr>
        <w:t>d</w:t>
      </w:r>
      <w:r w:rsidRPr="00904C51">
        <w:rPr>
          <w:rFonts w:ascii="Times New Roman" w:hAnsi="Times New Roman" w:cs="Times New Roman"/>
          <w:sz w:val="24"/>
          <w:szCs w:val="24"/>
        </w:rPr>
        <w:t xml:space="preserve"> that existing regulations require sufficient transparency.</w:t>
      </w:r>
    </w:p>
    <w:p w14:paraId="4911F91A" w14:textId="77777777" w:rsidR="003A6A5D" w:rsidRPr="00B51BB8" w:rsidRDefault="003A6A5D" w:rsidP="00F16C34">
      <w:pPr>
        <w:spacing w:after="0"/>
        <w:rPr>
          <w:rFonts w:ascii="Times New Roman" w:hAnsi="Times New Roman" w:cs="Times New Roman"/>
          <w:sz w:val="24"/>
          <w:szCs w:val="24"/>
        </w:rPr>
      </w:pPr>
    </w:p>
    <w:p w14:paraId="726125D5"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b/>
          <w:bCs/>
          <w:sz w:val="24"/>
          <w:szCs w:val="24"/>
        </w:rPr>
      </w:pPr>
      <w:r w:rsidRPr="00B51BB8">
        <w:rPr>
          <w:rFonts w:ascii="Times New Roman" w:hAnsi="Times New Roman" w:cs="Times New Roman"/>
          <w:b/>
          <w:bCs/>
          <w:sz w:val="24"/>
          <w:szCs w:val="24"/>
        </w:rPr>
        <w:t>DESCRIBE ANY CONSIDERATION OF THE USE OF IMPROVED TECHNOLOGY TO REDUCE BURDEN AND TECHNICAL OR LEGAL OBSTACLES TO REDUCING BURDEN.</w:t>
      </w:r>
    </w:p>
    <w:p w14:paraId="13F5510C" w14:textId="77777777" w:rsidR="004A1428" w:rsidRPr="00B51BB8" w:rsidRDefault="004A1428" w:rsidP="00F16C34">
      <w:pPr>
        <w:widowControl w:val="0"/>
        <w:autoSpaceDE w:val="0"/>
        <w:autoSpaceDN w:val="0"/>
        <w:adjustRightInd w:val="0"/>
        <w:spacing w:after="0"/>
        <w:ind w:left="360"/>
        <w:rPr>
          <w:rFonts w:ascii="Times New Roman" w:hAnsi="Times New Roman" w:cs="Times New Roman"/>
          <w:b/>
          <w:bCs/>
          <w:sz w:val="24"/>
          <w:szCs w:val="24"/>
        </w:rPr>
      </w:pPr>
    </w:p>
    <w:p w14:paraId="357CABEC" w14:textId="1B9DDB35" w:rsidR="00134AB1" w:rsidRDefault="00C80A66" w:rsidP="00F16C34">
      <w:pPr>
        <w:spacing w:after="0"/>
        <w:rPr>
          <w:rFonts w:ascii="Times New Roman" w:hAnsi="Times New Roman" w:cs="Times New Roman"/>
          <w:sz w:val="24"/>
          <w:szCs w:val="24"/>
        </w:rPr>
      </w:pPr>
      <w:r w:rsidRPr="00C80A66">
        <w:rPr>
          <w:rFonts w:ascii="Times New Roman" w:hAnsi="Times New Roman" w:cs="Times New Roman"/>
          <w:sz w:val="24"/>
          <w:szCs w:val="24"/>
        </w:rPr>
        <w:t xml:space="preserve">Commission staff expects to receive all filings via eTariff.  In 2010, the Commission fully implemented its eTariff system for the electronic filing of tariffs.  </w:t>
      </w:r>
    </w:p>
    <w:p w14:paraId="4CA66B92" w14:textId="77777777" w:rsidR="00042D80" w:rsidRPr="00B51BB8" w:rsidRDefault="00042D80" w:rsidP="00F16C34">
      <w:pPr>
        <w:spacing w:after="0"/>
        <w:rPr>
          <w:rFonts w:ascii="Times New Roman" w:hAnsi="Times New Roman" w:cs="Times New Roman"/>
          <w:b/>
          <w:bCs/>
          <w:sz w:val="24"/>
          <w:szCs w:val="24"/>
        </w:rPr>
      </w:pPr>
    </w:p>
    <w:p w14:paraId="27799D2D"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DESCRIBE EFFORTS TO IDENTIFY DUPLICATION AND SHOW SPECIFICALLY WHY ANY SIMILAR INFORMATION ALREADY AVAILABLE CANNOT BE USED OR MODIFIED FOR USE FOR THE PURPOSE(S) DESCRIBED IN INSTRUCTION NO. 2</w:t>
      </w:r>
    </w:p>
    <w:p w14:paraId="7F8F98B7" w14:textId="77777777" w:rsidR="00C4205B" w:rsidRPr="00B51BB8" w:rsidRDefault="00C4205B" w:rsidP="00F16C34">
      <w:pPr>
        <w:spacing w:after="0"/>
        <w:rPr>
          <w:rFonts w:ascii="Times New Roman" w:hAnsi="Times New Roman" w:cs="Times New Roman"/>
          <w:sz w:val="24"/>
          <w:szCs w:val="24"/>
        </w:rPr>
      </w:pPr>
    </w:p>
    <w:p w14:paraId="08A0777D" w14:textId="05F5DA3C" w:rsidR="00134AB1" w:rsidRDefault="00134AB1" w:rsidP="00F16C34">
      <w:pPr>
        <w:spacing w:after="0"/>
        <w:rPr>
          <w:rFonts w:ascii="Times New Roman" w:hAnsi="Times New Roman" w:cs="Times New Roman"/>
          <w:sz w:val="24"/>
          <w:szCs w:val="24"/>
        </w:rPr>
      </w:pPr>
      <w:r>
        <w:rPr>
          <w:rFonts w:ascii="Times New Roman" w:hAnsi="Times New Roman" w:cs="Times New Roman"/>
          <w:sz w:val="24"/>
          <w:szCs w:val="24"/>
        </w:rPr>
        <w:t xml:space="preserve">The Commission periodically reviews filing requirements concurrent with OMB review or as the Commission deems necessary to eliminate duplicative filing and to minimize the filing burden.  </w:t>
      </w:r>
      <w:r w:rsidR="00012EB8">
        <w:rPr>
          <w:rFonts w:ascii="Times New Roman" w:hAnsi="Times New Roman" w:cs="Times New Roman"/>
          <w:sz w:val="24"/>
          <w:szCs w:val="24"/>
        </w:rPr>
        <w:t xml:space="preserve">The </w:t>
      </w:r>
      <w:r w:rsidR="00601247">
        <w:rPr>
          <w:rFonts w:ascii="Times New Roman" w:hAnsi="Times New Roman" w:cs="Times New Roman"/>
          <w:sz w:val="24"/>
          <w:szCs w:val="24"/>
        </w:rPr>
        <w:t>proposed</w:t>
      </w:r>
      <w:r w:rsidR="00012EB8">
        <w:rPr>
          <w:rFonts w:ascii="Times New Roman" w:hAnsi="Times New Roman" w:cs="Times New Roman"/>
          <w:sz w:val="24"/>
          <w:szCs w:val="24"/>
        </w:rPr>
        <w:t xml:space="preserve"> actions here relate to a Commission jurisdictional tariff and the company </w:t>
      </w:r>
      <w:r w:rsidR="00C40F33">
        <w:rPr>
          <w:rFonts w:ascii="Times New Roman" w:hAnsi="Times New Roman" w:cs="Times New Roman"/>
          <w:sz w:val="24"/>
          <w:szCs w:val="24"/>
        </w:rPr>
        <w:t>filing changes to its tariff(s) with the Commission in conform</w:t>
      </w:r>
      <w:r w:rsidR="00F2452D">
        <w:rPr>
          <w:rFonts w:ascii="Times New Roman" w:hAnsi="Times New Roman" w:cs="Times New Roman"/>
          <w:sz w:val="24"/>
          <w:szCs w:val="24"/>
        </w:rPr>
        <w:t>ance with the NOPR</w:t>
      </w:r>
      <w:r w:rsidR="00012EB8">
        <w:rPr>
          <w:rFonts w:ascii="Times New Roman" w:hAnsi="Times New Roman" w:cs="Times New Roman"/>
          <w:sz w:val="24"/>
          <w:szCs w:val="24"/>
        </w:rPr>
        <w:t xml:space="preserve">.  Therefore, the Commission would be the only entity requiring this information. </w:t>
      </w:r>
      <w:r>
        <w:rPr>
          <w:rFonts w:ascii="Times New Roman" w:hAnsi="Times New Roman" w:cs="Times New Roman"/>
          <w:sz w:val="24"/>
          <w:szCs w:val="24"/>
        </w:rPr>
        <w:t xml:space="preserve">The Commission is unaware of any other source of information related to </w:t>
      </w:r>
      <w:r w:rsidR="00C40F33">
        <w:rPr>
          <w:rFonts w:ascii="Times New Roman" w:hAnsi="Times New Roman" w:cs="Times New Roman"/>
          <w:sz w:val="24"/>
          <w:szCs w:val="24"/>
        </w:rPr>
        <w:t>the ADIT of public utilities with transmission formula or stated rates</w:t>
      </w:r>
      <w:r>
        <w:rPr>
          <w:rFonts w:ascii="Times New Roman" w:hAnsi="Times New Roman" w:cs="Times New Roman"/>
          <w:sz w:val="24"/>
          <w:szCs w:val="24"/>
        </w:rPr>
        <w:t>.</w:t>
      </w:r>
    </w:p>
    <w:p w14:paraId="0D55CDFF" w14:textId="77777777" w:rsidR="00F64A6F" w:rsidRPr="00B51BB8" w:rsidRDefault="00F64A6F" w:rsidP="00F16C34">
      <w:pPr>
        <w:spacing w:after="0"/>
        <w:rPr>
          <w:rFonts w:ascii="Times New Roman" w:hAnsi="Times New Roman" w:cs="Times New Roman"/>
          <w:sz w:val="24"/>
          <w:szCs w:val="24"/>
        </w:rPr>
      </w:pPr>
    </w:p>
    <w:p w14:paraId="2FCC5A7F"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METHODS USED TO MINIMIZE BURDEN IN COLLECTION OF INFORMATION INVOLVING SMALL ENTITIES</w:t>
      </w:r>
    </w:p>
    <w:p w14:paraId="4DB89014" w14:textId="77777777" w:rsidR="00C4205B" w:rsidRPr="00B51BB8" w:rsidRDefault="00C4205B" w:rsidP="00F16C34">
      <w:pPr>
        <w:spacing w:after="0"/>
        <w:rPr>
          <w:rFonts w:ascii="Times New Roman" w:hAnsi="Times New Roman" w:cs="Times New Roman"/>
          <w:b/>
          <w:bCs/>
          <w:sz w:val="24"/>
          <w:szCs w:val="24"/>
        </w:rPr>
      </w:pPr>
    </w:p>
    <w:p w14:paraId="65499E41" w14:textId="7B2E1092" w:rsidR="00104AB8" w:rsidRDefault="00012EB8" w:rsidP="00F16C34">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estimates that the total number of </w:t>
      </w:r>
      <w:r w:rsidR="00304500">
        <w:rPr>
          <w:rFonts w:ascii="Times New Roman" w:hAnsi="Times New Roman" w:cs="Times New Roman"/>
          <w:bCs/>
          <w:sz w:val="24"/>
          <w:szCs w:val="24"/>
        </w:rPr>
        <w:t xml:space="preserve">public utility </w:t>
      </w:r>
      <w:r>
        <w:rPr>
          <w:rFonts w:ascii="Times New Roman" w:hAnsi="Times New Roman" w:cs="Times New Roman"/>
          <w:bCs/>
          <w:sz w:val="24"/>
          <w:szCs w:val="24"/>
        </w:rPr>
        <w:t>transmission providers</w:t>
      </w:r>
      <w:r w:rsidR="00304500">
        <w:rPr>
          <w:rFonts w:ascii="Times New Roman" w:hAnsi="Times New Roman" w:cs="Times New Roman"/>
          <w:bCs/>
          <w:sz w:val="24"/>
          <w:szCs w:val="24"/>
        </w:rPr>
        <w:t xml:space="preserve"> with formula rates</w:t>
      </w:r>
      <w:r w:rsidR="00904C51">
        <w:rPr>
          <w:rFonts w:ascii="Times New Roman" w:hAnsi="Times New Roman" w:cs="Times New Roman"/>
          <w:bCs/>
          <w:sz w:val="24"/>
          <w:szCs w:val="24"/>
        </w:rPr>
        <w:t xml:space="preserve"> affected by this NOPR is 106</w:t>
      </w:r>
      <w:r>
        <w:rPr>
          <w:rFonts w:ascii="Times New Roman" w:hAnsi="Times New Roman" w:cs="Times New Roman"/>
          <w:bCs/>
          <w:sz w:val="24"/>
          <w:szCs w:val="24"/>
        </w:rPr>
        <w:t>.  Of these, the Commission estimates that approxima</w:t>
      </w:r>
      <w:r w:rsidR="00904C51">
        <w:rPr>
          <w:rFonts w:ascii="Times New Roman" w:hAnsi="Times New Roman" w:cs="Times New Roman"/>
          <w:bCs/>
          <w:sz w:val="24"/>
          <w:szCs w:val="24"/>
        </w:rPr>
        <w:t>tely 43 percent (approximately 46</w:t>
      </w:r>
      <w:r>
        <w:rPr>
          <w:rFonts w:ascii="Times New Roman" w:hAnsi="Times New Roman" w:cs="Times New Roman"/>
          <w:bCs/>
          <w:sz w:val="24"/>
          <w:szCs w:val="24"/>
        </w:rPr>
        <w:t xml:space="preserve"> entities) are small entities</w:t>
      </w:r>
      <w:r w:rsidR="0044319A">
        <w:rPr>
          <w:rFonts w:ascii="Times New Roman" w:hAnsi="Times New Roman" w:cs="Times New Roman"/>
          <w:bCs/>
          <w:sz w:val="24"/>
          <w:szCs w:val="24"/>
        </w:rPr>
        <w:t>.</w:t>
      </w:r>
      <w:r>
        <w:rPr>
          <w:rFonts w:ascii="Times New Roman" w:hAnsi="Times New Roman" w:cs="Times New Roman"/>
          <w:bCs/>
          <w:sz w:val="24"/>
          <w:szCs w:val="24"/>
        </w:rPr>
        <w:t xml:space="preserve"> The Commission estimates the average total cost to each of these entities wil</w:t>
      </w:r>
      <w:r w:rsidR="00904C51">
        <w:rPr>
          <w:rFonts w:ascii="Times New Roman" w:hAnsi="Times New Roman" w:cs="Times New Roman"/>
          <w:bCs/>
          <w:sz w:val="24"/>
          <w:szCs w:val="24"/>
        </w:rPr>
        <w:t>l be between $5,152</w:t>
      </w:r>
      <w:r>
        <w:rPr>
          <w:rFonts w:ascii="Times New Roman" w:hAnsi="Times New Roman" w:cs="Times New Roman"/>
          <w:bCs/>
          <w:sz w:val="24"/>
          <w:szCs w:val="24"/>
        </w:rPr>
        <w:t xml:space="preserve"> in the first year of com</w:t>
      </w:r>
      <w:r w:rsidR="00104AB8">
        <w:rPr>
          <w:rFonts w:ascii="Times New Roman" w:hAnsi="Times New Roman" w:cs="Times New Roman"/>
          <w:bCs/>
          <w:sz w:val="24"/>
          <w:szCs w:val="24"/>
        </w:rPr>
        <w:t>pliance and approximately $0</w:t>
      </w:r>
      <w:r>
        <w:rPr>
          <w:rFonts w:ascii="Times New Roman" w:hAnsi="Times New Roman" w:cs="Times New Roman"/>
          <w:bCs/>
          <w:sz w:val="24"/>
          <w:szCs w:val="24"/>
        </w:rPr>
        <w:t xml:space="preserve"> in subsequent years.</w:t>
      </w:r>
      <w:r w:rsidR="0006316A">
        <w:rPr>
          <w:rFonts w:ascii="Times New Roman" w:hAnsi="Times New Roman" w:cs="Times New Roman"/>
          <w:bCs/>
          <w:sz w:val="24"/>
          <w:szCs w:val="24"/>
        </w:rPr>
        <w:t xml:space="preserve"> </w:t>
      </w:r>
      <w:r w:rsidR="00104AB8">
        <w:rPr>
          <w:rFonts w:ascii="Times New Roman" w:hAnsi="Times New Roman" w:cs="Times New Roman"/>
          <w:bCs/>
          <w:sz w:val="24"/>
          <w:szCs w:val="24"/>
        </w:rPr>
        <w:t xml:space="preserve"> </w:t>
      </w:r>
      <w:r w:rsidR="00104AB8">
        <w:rPr>
          <w:rFonts w:ascii="Times New Roman" w:hAnsi="Times New Roman" w:cs="Times New Roman"/>
          <w:bCs/>
          <w:sz w:val="24"/>
          <w:szCs w:val="24"/>
        </w:rPr>
        <w:br/>
      </w:r>
    </w:p>
    <w:p w14:paraId="11F124F1" w14:textId="313EB643" w:rsidR="0044319A" w:rsidRDefault="00104AB8" w:rsidP="00F16C34">
      <w:pPr>
        <w:spacing w:after="0"/>
        <w:rPr>
          <w:rFonts w:ascii="Times New Roman" w:hAnsi="Times New Roman" w:cs="Times New Roman"/>
          <w:bCs/>
          <w:sz w:val="24"/>
          <w:szCs w:val="24"/>
        </w:rPr>
      </w:pPr>
      <w:r>
        <w:rPr>
          <w:rFonts w:ascii="Times New Roman" w:hAnsi="Times New Roman" w:cs="Times New Roman"/>
          <w:bCs/>
          <w:sz w:val="24"/>
          <w:szCs w:val="24"/>
        </w:rPr>
        <w:t xml:space="preserve">Additionally, the Commission estimates that the total number of public utility transmission providers with stated rates that will have to calculate the excess/deficient income tax to return to customers is 31 (approximately 13 of which are small).  Each of these entities is estimated to incur an average total cost of $1,380 in the first year with a cost of $0 in subsequent years.  </w:t>
      </w:r>
      <w:r w:rsidR="0006316A">
        <w:rPr>
          <w:rFonts w:ascii="Times New Roman" w:hAnsi="Times New Roman" w:cs="Times New Roman"/>
          <w:bCs/>
          <w:sz w:val="24"/>
          <w:szCs w:val="24"/>
        </w:rPr>
        <w:t>The Commission makes no specific concession with regard to entity size and requisite reporting requirements.</w:t>
      </w:r>
    </w:p>
    <w:p w14:paraId="6B22F49C" w14:textId="77777777" w:rsidR="00DF1C8D" w:rsidRPr="00B51BB8" w:rsidRDefault="00DF1C8D" w:rsidP="00F16C34">
      <w:pPr>
        <w:spacing w:after="0"/>
        <w:rPr>
          <w:rFonts w:ascii="Times New Roman" w:hAnsi="Times New Roman" w:cs="Times New Roman"/>
          <w:bCs/>
          <w:sz w:val="24"/>
          <w:szCs w:val="24"/>
        </w:rPr>
      </w:pPr>
    </w:p>
    <w:p w14:paraId="370EF451"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sz w:val="24"/>
          <w:szCs w:val="24"/>
        </w:rPr>
        <w:t>CONSEQUENCE TO FEDERAL PROGRAM IF COLLECTION WERE CONDUCTED LESS FREQUENTLY</w:t>
      </w:r>
    </w:p>
    <w:p w14:paraId="53BF93C7" w14:textId="77777777" w:rsidR="00C4205B" w:rsidRPr="00B51BB8" w:rsidRDefault="00C4205B" w:rsidP="00F16C34">
      <w:pPr>
        <w:pStyle w:val="FERCparanumber"/>
        <w:widowControl/>
        <w:numPr>
          <w:ilvl w:val="0"/>
          <w:numId w:val="0"/>
        </w:numPr>
        <w:tabs>
          <w:tab w:val="left" w:pos="720"/>
        </w:tabs>
        <w:spacing w:line="276" w:lineRule="auto"/>
        <w:rPr>
          <w:rFonts w:ascii="Times New Roman" w:hAnsi="Times New Roman" w:cs="Times New Roman"/>
        </w:rPr>
      </w:pPr>
    </w:p>
    <w:p w14:paraId="06C98FB1" w14:textId="671DE594" w:rsidR="00AB3A07" w:rsidRPr="0082752D" w:rsidRDefault="00012EB8" w:rsidP="00F16C34">
      <w:pPr>
        <w:spacing w:after="0"/>
        <w:rPr>
          <w:rFonts w:ascii="Times New Roman" w:hAnsi="Times New Roman" w:cs="Times New Roman"/>
          <w:sz w:val="24"/>
          <w:szCs w:val="24"/>
        </w:rPr>
      </w:pPr>
      <w:r w:rsidRPr="00012EB8">
        <w:rPr>
          <w:rFonts w:ascii="Times New Roman" w:hAnsi="Times New Roman" w:cs="Times New Roman"/>
          <w:sz w:val="24"/>
          <w:szCs w:val="24"/>
        </w:rPr>
        <w:t>To conduct these filings less frequently (i.e.</w:t>
      </w:r>
      <w:r w:rsidR="00777145">
        <w:rPr>
          <w:rFonts w:ascii="Times New Roman" w:hAnsi="Times New Roman" w:cs="Times New Roman"/>
          <w:sz w:val="24"/>
          <w:szCs w:val="24"/>
        </w:rPr>
        <w:t>,</w:t>
      </w:r>
      <w:r w:rsidRPr="00012EB8">
        <w:rPr>
          <w:rFonts w:ascii="Times New Roman" w:hAnsi="Times New Roman" w:cs="Times New Roman"/>
          <w:sz w:val="24"/>
          <w:szCs w:val="24"/>
        </w:rPr>
        <w:t xml:space="preserve"> not conducting them at all), the Commission would be unable to </w:t>
      </w:r>
      <w:r w:rsidR="00AA7A63">
        <w:rPr>
          <w:rFonts w:ascii="Times New Roman" w:hAnsi="Times New Roman" w:cs="Times New Roman"/>
          <w:sz w:val="24"/>
          <w:szCs w:val="24"/>
        </w:rPr>
        <w:t>fulfill its statutory obligation</w:t>
      </w:r>
      <w:r w:rsidRPr="00012EB8">
        <w:rPr>
          <w:rFonts w:ascii="Times New Roman" w:hAnsi="Times New Roman" w:cs="Times New Roman"/>
          <w:sz w:val="24"/>
          <w:szCs w:val="24"/>
        </w:rPr>
        <w:t xml:space="preserve"> to ensure that rates are just and reasonable and not unduly discriminatory or preferential.</w:t>
      </w:r>
      <w:r>
        <w:rPr>
          <w:rFonts w:ascii="Times New Roman" w:hAnsi="Times New Roman" w:cs="Times New Roman"/>
          <w:sz w:val="24"/>
          <w:szCs w:val="24"/>
        </w:rPr>
        <w:t xml:space="preserve">  The </w:t>
      </w:r>
      <w:r w:rsidR="00601247">
        <w:rPr>
          <w:rFonts w:ascii="Times New Roman" w:hAnsi="Times New Roman" w:cs="Times New Roman"/>
          <w:sz w:val="24"/>
          <w:szCs w:val="24"/>
        </w:rPr>
        <w:t xml:space="preserve">proposed </w:t>
      </w:r>
      <w:r>
        <w:rPr>
          <w:rFonts w:ascii="Times New Roman" w:hAnsi="Times New Roman" w:cs="Times New Roman"/>
          <w:sz w:val="24"/>
          <w:szCs w:val="24"/>
        </w:rPr>
        <w:t>req</w:t>
      </w:r>
      <w:r w:rsidR="00104AB8">
        <w:rPr>
          <w:rFonts w:ascii="Times New Roman" w:hAnsi="Times New Roman" w:cs="Times New Roman"/>
          <w:sz w:val="24"/>
          <w:szCs w:val="24"/>
        </w:rPr>
        <w:t>uirements within this NOPR</w:t>
      </w:r>
      <w:r w:rsidRPr="00012EB8">
        <w:rPr>
          <w:rFonts w:ascii="Times New Roman" w:hAnsi="Times New Roman" w:cs="Times New Roman"/>
          <w:sz w:val="24"/>
          <w:szCs w:val="24"/>
        </w:rPr>
        <w:t xml:space="preserve"> have several beneficial effects </w:t>
      </w:r>
      <w:r w:rsidR="00AA7A63">
        <w:rPr>
          <w:rFonts w:ascii="Times New Roman" w:hAnsi="Times New Roman" w:cs="Times New Roman"/>
          <w:sz w:val="24"/>
          <w:szCs w:val="24"/>
        </w:rPr>
        <w:t>for ratepayers</w:t>
      </w:r>
      <w:r w:rsidRPr="00012EB8">
        <w:rPr>
          <w:rFonts w:ascii="Times New Roman" w:hAnsi="Times New Roman" w:cs="Times New Roman"/>
          <w:sz w:val="24"/>
          <w:szCs w:val="24"/>
        </w:rPr>
        <w:t xml:space="preserve">.  </w:t>
      </w:r>
      <w:r w:rsidR="00AA7A63">
        <w:rPr>
          <w:rFonts w:ascii="Times New Roman" w:hAnsi="Times New Roman" w:cs="Times New Roman"/>
          <w:sz w:val="24"/>
          <w:szCs w:val="24"/>
        </w:rPr>
        <w:t>For example, the NOPR will help to ensure that ratepayers</w:t>
      </w:r>
      <w:r w:rsidR="00AA7A63" w:rsidRPr="00AA7A63">
        <w:rPr>
          <w:rFonts w:ascii="Times New Roman" w:hAnsi="Times New Roman" w:cs="Times New Roman"/>
          <w:sz w:val="24"/>
          <w:szCs w:val="24"/>
        </w:rPr>
        <w:t xml:space="preserve"> receive the benefits of the Tax Cuts and Jobs Act</w:t>
      </w:r>
      <w:r w:rsidR="00AA7A63">
        <w:rPr>
          <w:rFonts w:ascii="Times New Roman" w:hAnsi="Times New Roman" w:cs="Times New Roman"/>
          <w:sz w:val="24"/>
          <w:szCs w:val="24"/>
        </w:rPr>
        <w:t xml:space="preserve"> in a timely manner.  The proposed requirements also increase transparency which will help the Commission to ensure that the public utility </w:t>
      </w:r>
      <w:r w:rsidR="00AA7A63" w:rsidRPr="00AA7A63">
        <w:rPr>
          <w:rFonts w:ascii="Times New Roman" w:hAnsi="Times New Roman" w:cs="Times New Roman"/>
          <w:sz w:val="24"/>
          <w:szCs w:val="24"/>
        </w:rPr>
        <w:t>transmission formula and stated rates are jus</w:t>
      </w:r>
      <w:r w:rsidR="00AA7A63">
        <w:rPr>
          <w:rFonts w:ascii="Times New Roman" w:hAnsi="Times New Roman" w:cs="Times New Roman"/>
          <w:sz w:val="24"/>
          <w:szCs w:val="24"/>
        </w:rPr>
        <w:t xml:space="preserve">t and reasonable and not unduly </w:t>
      </w:r>
      <w:r w:rsidR="00AA7A63" w:rsidRPr="00AA7A63">
        <w:rPr>
          <w:rFonts w:ascii="Times New Roman" w:hAnsi="Times New Roman" w:cs="Times New Roman"/>
          <w:sz w:val="24"/>
          <w:szCs w:val="24"/>
        </w:rPr>
        <w:t>discriminatory or preferential following the enactment of the Tax Cuts and Jobs Act</w:t>
      </w:r>
      <w:r w:rsidR="00AA7A63">
        <w:rPr>
          <w:rFonts w:ascii="Times New Roman" w:hAnsi="Times New Roman" w:cs="Times New Roman"/>
          <w:sz w:val="24"/>
          <w:szCs w:val="24"/>
        </w:rPr>
        <w:t xml:space="preserve">.   </w:t>
      </w:r>
    </w:p>
    <w:p w14:paraId="7D9A3C49" w14:textId="77777777" w:rsidR="006C0F0B" w:rsidRPr="00B51BB8" w:rsidRDefault="00AB3A07" w:rsidP="00F16C34">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107A532"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EXPLAIN ANY SPECIAL CIRCUMSTANCES RELATING TO THE INFORMATION COLLECTION</w:t>
      </w:r>
    </w:p>
    <w:p w14:paraId="3D593F90" w14:textId="77777777" w:rsidR="00C4205B" w:rsidRPr="00B51BB8" w:rsidRDefault="00C4205B" w:rsidP="00F16C34">
      <w:pPr>
        <w:spacing w:after="0"/>
        <w:rPr>
          <w:rFonts w:ascii="Times New Roman" w:hAnsi="Times New Roman" w:cs="Times New Roman"/>
          <w:b/>
          <w:bCs/>
          <w:sz w:val="24"/>
          <w:szCs w:val="24"/>
        </w:rPr>
      </w:pPr>
    </w:p>
    <w:p w14:paraId="23E84D55" w14:textId="2438527F" w:rsidR="00115F24" w:rsidRDefault="00012EB8" w:rsidP="00F16C34">
      <w:pPr>
        <w:spacing w:after="0"/>
        <w:rPr>
          <w:rFonts w:ascii="Times New Roman" w:eastAsia="Calibri" w:hAnsi="Times New Roman" w:cs="Times New Roman"/>
          <w:sz w:val="24"/>
          <w:szCs w:val="24"/>
        </w:rPr>
      </w:pPr>
      <w:r>
        <w:rPr>
          <w:rFonts w:ascii="Times New Roman" w:eastAsia="Calibri" w:hAnsi="Times New Roman" w:cs="Times New Roman"/>
          <w:sz w:val="24"/>
          <w:szCs w:val="24"/>
        </w:rPr>
        <w:t>FERC-516</w:t>
      </w:r>
      <w:r w:rsidR="0044319A">
        <w:rPr>
          <w:rFonts w:ascii="Times New Roman" w:eastAsia="Calibri" w:hAnsi="Times New Roman" w:cs="Times New Roman"/>
          <w:sz w:val="24"/>
          <w:szCs w:val="24"/>
        </w:rPr>
        <w:t xml:space="preserve"> information collection</w:t>
      </w:r>
      <w:r w:rsidR="0044319A" w:rsidRPr="0044319A">
        <w:rPr>
          <w:rFonts w:ascii="Times New Roman" w:eastAsia="Calibri" w:hAnsi="Times New Roman" w:cs="Times New Roman"/>
          <w:sz w:val="24"/>
          <w:szCs w:val="24"/>
        </w:rPr>
        <w:t xml:space="preserve"> has</w:t>
      </w:r>
      <w:r w:rsidR="00CB0831" w:rsidRPr="00CB0831">
        <w:rPr>
          <w:rFonts w:ascii="Times New Roman" w:eastAsia="Calibri" w:hAnsi="Times New Roman" w:cs="Times New Roman"/>
          <w:sz w:val="24"/>
          <w:szCs w:val="24"/>
        </w:rPr>
        <w:t xml:space="preserve"> no special circumstances.  </w:t>
      </w:r>
    </w:p>
    <w:p w14:paraId="21EB7D70" w14:textId="77777777" w:rsidR="006C0F0B" w:rsidRPr="00B51BB8" w:rsidRDefault="006C0F0B" w:rsidP="00F16C34">
      <w:pPr>
        <w:spacing w:after="0"/>
        <w:rPr>
          <w:rFonts w:ascii="Times New Roman" w:hAnsi="Times New Roman" w:cs="Times New Roman"/>
          <w:sz w:val="24"/>
          <w:szCs w:val="24"/>
        </w:rPr>
      </w:pPr>
    </w:p>
    <w:p w14:paraId="6237F712"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DESCRIBE EFFORTS TO CONSULT OUTSIDE THE AGENCY: SUMMARIZE PUBLIC COMMENTS AND THE AGENCY'S RESPONSE TO THESE COMMENTS</w:t>
      </w:r>
    </w:p>
    <w:p w14:paraId="180E4F06" w14:textId="77777777" w:rsidR="00C4205B" w:rsidRPr="00B51BB8" w:rsidRDefault="00C4205B" w:rsidP="00F16C34">
      <w:pPr>
        <w:spacing w:after="0"/>
        <w:rPr>
          <w:rFonts w:ascii="Times New Roman" w:hAnsi="Times New Roman" w:cs="Times New Roman"/>
          <w:b/>
          <w:bCs/>
          <w:sz w:val="24"/>
          <w:szCs w:val="24"/>
        </w:rPr>
      </w:pPr>
    </w:p>
    <w:p w14:paraId="77FA58B7" w14:textId="646F15A9" w:rsidR="00B63F5D" w:rsidRDefault="00CB0831" w:rsidP="00F16C34">
      <w:pPr>
        <w:spacing w:after="0"/>
        <w:rPr>
          <w:rFonts w:ascii="Times New Roman" w:hAnsi="Times New Roman" w:cs="Times New Roman"/>
          <w:bCs/>
          <w:sz w:val="24"/>
          <w:szCs w:val="24"/>
        </w:rPr>
      </w:pPr>
      <w:r w:rsidRPr="00CB0831">
        <w:rPr>
          <w:rFonts w:ascii="Times New Roman" w:hAnsi="Times New Roman" w:cs="Times New Roman"/>
          <w:bCs/>
          <w:sz w:val="24"/>
          <w:szCs w:val="24"/>
        </w:rPr>
        <w:t xml:space="preserve">Each FERC rulemaking (both proposed and final rules) is published in the Federal Register thereby providing public utilities and licensees, state commissions, </w:t>
      </w:r>
      <w:r w:rsidR="00297811">
        <w:rPr>
          <w:rFonts w:ascii="Times New Roman" w:hAnsi="Times New Roman" w:cs="Times New Roman"/>
          <w:bCs/>
          <w:sz w:val="24"/>
          <w:szCs w:val="24"/>
        </w:rPr>
        <w:t>f</w:t>
      </w:r>
      <w:r w:rsidRPr="00CB0831">
        <w:rPr>
          <w:rFonts w:ascii="Times New Roman" w:hAnsi="Times New Roman" w:cs="Times New Roman"/>
          <w:bCs/>
          <w:sz w:val="24"/>
          <w:szCs w:val="24"/>
        </w:rPr>
        <w:t>ederal agencies, and other interested parties an opportunity to submit data, views, comments or suggestions concerning the proposed</w:t>
      </w:r>
      <w:r w:rsidR="001755B4">
        <w:rPr>
          <w:rFonts w:ascii="Times New Roman" w:hAnsi="Times New Roman" w:cs="Times New Roman"/>
          <w:bCs/>
          <w:sz w:val="24"/>
          <w:szCs w:val="24"/>
        </w:rPr>
        <w:t xml:space="preserve"> collections of data.</w:t>
      </w:r>
    </w:p>
    <w:p w14:paraId="6C5F7723" w14:textId="77777777" w:rsidR="009056BB" w:rsidRDefault="009056BB" w:rsidP="00F16C34">
      <w:pPr>
        <w:spacing w:after="0"/>
        <w:rPr>
          <w:rFonts w:ascii="Times New Roman" w:hAnsi="Times New Roman" w:cs="Times New Roman"/>
          <w:bCs/>
          <w:sz w:val="24"/>
          <w:szCs w:val="24"/>
        </w:rPr>
      </w:pPr>
    </w:p>
    <w:p w14:paraId="27935D41" w14:textId="7DFE196C" w:rsidR="00543FCE" w:rsidRPr="00104AB8" w:rsidRDefault="00601247" w:rsidP="00F16C34">
      <w:pPr>
        <w:spacing w:after="0"/>
        <w:rPr>
          <w:rFonts w:ascii="Times New Roman" w:hAnsi="Times New Roman" w:cs="Times New Roman"/>
          <w:bCs/>
          <w:sz w:val="24"/>
          <w:szCs w:val="24"/>
        </w:rPr>
      </w:pPr>
      <w:r>
        <w:rPr>
          <w:rFonts w:ascii="Times New Roman" w:hAnsi="Times New Roman" w:cs="Times New Roman"/>
          <w:bCs/>
          <w:sz w:val="24"/>
          <w:szCs w:val="24"/>
        </w:rPr>
        <w:t>In the NOPR, t</w:t>
      </w:r>
      <w:r w:rsidR="009056BB">
        <w:rPr>
          <w:rFonts w:ascii="Times New Roman" w:hAnsi="Times New Roman" w:cs="Times New Roman"/>
          <w:bCs/>
          <w:sz w:val="24"/>
          <w:szCs w:val="24"/>
        </w:rPr>
        <w:t xml:space="preserve">he Commission </w:t>
      </w:r>
      <w:r>
        <w:rPr>
          <w:rFonts w:ascii="Times New Roman" w:hAnsi="Times New Roman" w:cs="Times New Roman"/>
          <w:bCs/>
          <w:sz w:val="24"/>
          <w:szCs w:val="24"/>
        </w:rPr>
        <w:t>stated that it would</w:t>
      </w:r>
      <w:r w:rsidR="00104AB8">
        <w:rPr>
          <w:rFonts w:ascii="Times New Roman" w:hAnsi="Times New Roman" w:cs="Times New Roman"/>
          <w:bCs/>
          <w:sz w:val="24"/>
          <w:szCs w:val="24"/>
        </w:rPr>
        <w:t xml:space="preserve"> solicit comments for </w:t>
      </w:r>
      <w:r>
        <w:rPr>
          <w:rFonts w:ascii="Times New Roman" w:hAnsi="Times New Roman" w:cs="Times New Roman"/>
          <w:bCs/>
          <w:sz w:val="24"/>
          <w:szCs w:val="24"/>
        </w:rPr>
        <w:t>30</w:t>
      </w:r>
      <w:r w:rsidR="00AA7A63">
        <w:rPr>
          <w:rFonts w:ascii="Times New Roman" w:hAnsi="Times New Roman" w:cs="Times New Roman"/>
          <w:bCs/>
          <w:sz w:val="24"/>
          <w:szCs w:val="24"/>
        </w:rPr>
        <w:t xml:space="preserve"> </w:t>
      </w:r>
      <w:r w:rsidR="00104AB8">
        <w:rPr>
          <w:rFonts w:ascii="Times New Roman" w:hAnsi="Times New Roman" w:cs="Times New Roman"/>
          <w:bCs/>
          <w:sz w:val="24"/>
          <w:szCs w:val="24"/>
        </w:rPr>
        <w:t>days after publication</w:t>
      </w:r>
      <w:r w:rsidR="0042546B">
        <w:rPr>
          <w:rFonts w:ascii="Times New Roman" w:hAnsi="Times New Roman" w:cs="Times New Roman"/>
          <w:bCs/>
          <w:sz w:val="24"/>
          <w:szCs w:val="24"/>
        </w:rPr>
        <w:t xml:space="preserve"> in the Federal Register</w:t>
      </w:r>
      <w:r>
        <w:rPr>
          <w:rFonts w:ascii="Times New Roman" w:hAnsi="Times New Roman" w:cs="Times New Roman"/>
          <w:bCs/>
          <w:sz w:val="24"/>
          <w:szCs w:val="24"/>
        </w:rPr>
        <w:t>.</w:t>
      </w:r>
      <w:r w:rsidR="009056BB" w:rsidRPr="00E5630C">
        <w:rPr>
          <w:rStyle w:val="FootnoteReference"/>
          <w:rFonts w:ascii="Times New Roman" w:hAnsi="Times New Roman" w:cs="Times New Roman"/>
          <w:bCs/>
          <w:sz w:val="24"/>
          <w:szCs w:val="24"/>
          <w:vertAlign w:val="superscript"/>
        </w:rPr>
        <w:footnoteReference w:id="3"/>
      </w:r>
      <w:r w:rsidR="009056BB">
        <w:rPr>
          <w:rFonts w:ascii="Times New Roman" w:hAnsi="Times New Roman" w:cs="Times New Roman"/>
          <w:bCs/>
          <w:sz w:val="24"/>
          <w:szCs w:val="24"/>
        </w:rPr>
        <w:t xml:space="preserve">  </w:t>
      </w:r>
      <w:r>
        <w:rPr>
          <w:rFonts w:ascii="Times New Roman" w:hAnsi="Times New Roman" w:cs="Times New Roman"/>
          <w:bCs/>
          <w:sz w:val="24"/>
          <w:szCs w:val="24"/>
        </w:rPr>
        <w:t xml:space="preserve">On December 7, 2018, the Commission issued a </w:t>
      </w:r>
      <w:r w:rsidRPr="00601247">
        <w:rPr>
          <w:rFonts w:ascii="Times New Roman" w:hAnsi="Times New Roman" w:cs="Times New Roman"/>
          <w:bCs/>
          <w:sz w:val="24"/>
          <w:szCs w:val="24"/>
        </w:rPr>
        <w:t>notice extending the time for comments</w:t>
      </w:r>
      <w:r>
        <w:rPr>
          <w:rFonts w:ascii="Times New Roman" w:hAnsi="Times New Roman" w:cs="Times New Roman"/>
          <w:bCs/>
          <w:sz w:val="24"/>
          <w:szCs w:val="24"/>
        </w:rPr>
        <w:t xml:space="preserve"> for an additional 30 days</w:t>
      </w:r>
      <w:r w:rsidRPr="00601247">
        <w:rPr>
          <w:rFonts w:ascii="Times New Roman" w:hAnsi="Times New Roman" w:cs="Times New Roman"/>
          <w:bCs/>
          <w:sz w:val="24"/>
          <w:szCs w:val="24"/>
        </w:rPr>
        <w:t>.</w:t>
      </w:r>
      <w:r>
        <w:rPr>
          <w:rFonts w:ascii="Times New Roman" w:hAnsi="Times New Roman" w:cs="Times New Roman"/>
          <w:bCs/>
          <w:sz w:val="24"/>
          <w:szCs w:val="24"/>
        </w:rPr>
        <w:t xml:space="preserve">  </w:t>
      </w:r>
      <w:r w:rsidR="00104AB8">
        <w:rPr>
          <w:rFonts w:ascii="Times New Roman" w:hAnsi="Times New Roman" w:cs="Times New Roman"/>
          <w:bCs/>
          <w:sz w:val="24"/>
          <w:szCs w:val="24"/>
        </w:rPr>
        <w:t>Comments are</w:t>
      </w:r>
      <w:r w:rsidR="003C23F8">
        <w:rPr>
          <w:rFonts w:ascii="Times New Roman" w:hAnsi="Times New Roman" w:cs="Times New Roman"/>
          <w:bCs/>
          <w:sz w:val="24"/>
          <w:szCs w:val="24"/>
        </w:rPr>
        <w:t xml:space="preserve"> were </w:t>
      </w:r>
      <w:r w:rsidR="00104AB8">
        <w:rPr>
          <w:rFonts w:ascii="Times New Roman" w:hAnsi="Times New Roman" w:cs="Times New Roman"/>
          <w:bCs/>
          <w:sz w:val="24"/>
          <w:szCs w:val="24"/>
        </w:rPr>
        <w:t xml:space="preserve">due on </w:t>
      </w:r>
      <w:r w:rsidR="00AA7A63">
        <w:rPr>
          <w:rFonts w:ascii="Times New Roman" w:hAnsi="Times New Roman" w:cs="Times New Roman"/>
          <w:bCs/>
          <w:sz w:val="24"/>
          <w:szCs w:val="24"/>
        </w:rPr>
        <w:t>1/22</w:t>
      </w:r>
      <w:r w:rsidR="00104AB8">
        <w:rPr>
          <w:rFonts w:ascii="Times New Roman" w:hAnsi="Times New Roman" w:cs="Times New Roman"/>
          <w:bCs/>
          <w:sz w:val="24"/>
          <w:szCs w:val="24"/>
        </w:rPr>
        <w:t>/</w:t>
      </w:r>
      <w:r w:rsidR="00AA7A63">
        <w:rPr>
          <w:rFonts w:ascii="Times New Roman" w:hAnsi="Times New Roman" w:cs="Times New Roman"/>
          <w:bCs/>
          <w:sz w:val="24"/>
          <w:szCs w:val="24"/>
        </w:rPr>
        <w:t>2019</w:t>
      </w:r>
      <w:r w:rsidR="00104AB8">
        <w:rPr>
          <w:rFonts w:ascii="Times New Roman" w:hAnsi="Times New Roman" w:cs="Times New Roman"/>
          <w:bCs/>
          <w:sz w:val="24"/>
          <w:szCs w:val="24"/>
        </w:rPr>
        <w:t>.</w:t>
      </w:r>
    </w:p>
    <w:p w14:paraId="5B6D4B65" w14:textId="77777777" w:rsidR="006C0F0B" w:rsidRPr="00B51BB8" w:rsidRDefault="006C0F0B" w:rsidP="00F16C34">
      <w:pPr>
        <w:spacing w:after="0"/>
        <w:ind w:firstLine="360"/>
        <w:rPr>
          <w:rFonts w:ascii="Times New Roman" w:hAnsi="Times New Roman" w:cs="Times New Roman"/>
          <w:sz w:val="24"/>
          <w:szCs w:val="24"/>
        </w:rPr>
      </w:pPr>
    </w:p>
    <w:p w14:paraId="0AF25828"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EXPLAIN ANY PAYMENT OR GIFTS TO RESPONDENTS</w:t>
      </w:r>
    </w:p>
    <w:p w14:paraId="0E2CB0AE" w14:textId="77777777" w:rsidR="00C4205B" w:rsidRPr="00B51BB8" w:rsidRDefault="00C4205B" w:rsidP="00F16C34">
      <w:pPr>
        <w:spacing w:after="0"/>
        <w:rPr>
          <w:rFonts w:ascii="Times New Roman" w:hAnsi="Times New Roman" w:cs="Times New Roman"/>
          <w:b/>
          <w:bCs/>
          <w:sz w:val="24"/>
          <w:szCs w:val="24"/>
        </w:rPr>
      </w:pPr>
    </w:p>
    <w:p w14:paraId="6382B4E3" w14:textId="77777777" w:rsidR="00C4205B" w:rsidRPr="00B51BB8" w:rsidRDefault="00C4205B" w:rsidP="00F16C34">
      <w:pPr>
        <w:spacing w:after="0"/>
        <w:rPr>
          <w:rFonts w:ascii="Times New Roman" w:hAnsi="Times New Roman" w:cs="Times New Roman"/>
          <w:sz w:val="24"/>
          <w:szCs w:val="24"/>
        </w:rPr>
      </w:pPr>
      <w:r w:rsidRPr="00B51BB8">
        <w:rPr>
          <w:rFonts w:ascii="Times New Roman" w:hAnsi="Times New Roman" w:cs="Times New Roman"/>
          <w:sz w:val="24"/>
          <w:szCs w:val="24"/>
        </w:rPr>
        <w:t>No payments or gifts have been made to respondents.</w:t>
      </w:r>
    </w:p>
    <w:p w14:paraId="286252B7" w14:textId="77777777" w:rsidR="00391060" w:rsidRPr="00B51BB8" w:rsidRDefault="00391060" w:rsidP="00F16C34">
      <w:pPr>
        <w:spacing w:after="0"/>
        <w:rPr>
          <w:rFonts w:ascii="Times New Roman" w:hAnsi="Times New Roman" w:cs="Times New Roman"/>
          <w:sz w:val="24"/>
          <w:szCs w:val="24"/>
        </w:rPr>
      </w:pPr>
    </w:p>
    <w:p w14:paraId="5F0BFFAF"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DESCRIBE ANY ASSURANCE OF CONFIDENTIALITY PROVIDED TO RESPONDENTS</w:t>
      </w:r>
    </w:p>
    <w:p w14:paraId="6A5CC82B" w14:textId="77777777" w:rsidR="00C4205B" w:rsidRPr="00B51BB8" w:rsidRDefault="00C4205B" w:rsidP="00F16C34">
      <w:pPr>
        <w:spacing w:after="0"/>
        <w:rPr>
          <w:rFonts w:ascii="Times New Roman" w:hAnsi="Times New Roman" w:cs="Times New Roman"/>
          <w:b/>
          <w:bCs/>
          <w:sz w:val="24"/>
          <w:szCs w:val="24"/>
        </w:rPr>
      </w:pPr>
    </w:p>
    <w:p w14:paraId="0D921031" w14:textId="5B8C408C" w:rsidR="00F14924" w:rsidRPr="00B51BB8" w:rsidRDefault="00A07E1C" w:rsidP="00F16C34">
      <w:pPr>
        <w:spacing w:after="0"/>
        <w:rPr>
          <w:rFonts w:ascii="Times New Roman" w:hAnsi="Times New Roman" w:cs="Times New Roman"/>
          <w:bCs/>
          <w:sz w:val="24"/>
          <w:szCs w:val="24"/>
        </w:rPr>
      </w:pPr>
      <w:r w:rsidRPr="00A07E1C">
        <w:rPr>
          <w:rFonts w:ascii="Times New Roman" w:hAnsi="Times New Roman" w:cs="Times New Roman"/>
          <w:bCs/>
          <w:sz w:val="24"/>
          <w:szCs w:val="24"/>
        </w:rPr>
        <w:t>The data involved and affected by the</w:t>
      </w:r>
      <w:r w:rsidR="00CF3712">
        <w:rPr>
          <w:rFonts w:ascii="Times New Roman" w:hAnsi="Times New Roman" w:cs="Times New Roman"/>
          <w:bCs/>
          <w:sz w:val="24"/>
          <w:szCs w:val="24"/>
        </w:rPr>
        <w:t xml:space="preserve"> revisions proposed in this NOPR</w:t>
      </w:r>
      <w:r>
        <w:rPr>
          <w:rFonts w:ascii="Times New Roman" w:hAnsi="Times New Roman" w:cs="Times New Roman"/>
          <w:bCs/>
          <w:sz w:val="24"/>
          <w:szCs w:val="24"/>
        </w:rPr>
        <w:t xml:space="preserve"> are</w:t>
      </w:r>
      <w:r w:rsidRPr="00A07E1C">
        <w:rPr>
          <w:rFonts w:ascii="Times New Roman" w:hAnsi="Times New Roman" w:cs="Times New Roman"/>
          <w:bCs/>
          <w:sz w:val="24"/>
          <w:szCs w:val="24"/>
        </w:rPr>
        <w:t xml:space="preserve"> public.  In general, for all submittals to the Commission, filers may submit specific requests for confidential treatment to the extent permitted by law, as set forth in 18 CFR </w:t>
      </w:r>
      <w:r w:rsidR="00777145">
        <w:rPr>
          <w:rFonts w:ascii="Times New Roman" w:hAnsi="Times New Roman" w:cs="Times New Roman"/>
          <w:bCs/>
          <w:sz w:val="24"/>
          <w:szCs w:val="24"/>
        </w:rPr>
        <w:t>s</w:t>
      </w:r>
      <w:r w:rsidRPr="00A07E1C">
        <w:rPr>
          <w:rFonts w:ascii="Times New Roman" w:hAnsi="Times New Roman" w:cs="Times New Roman"/>
          <w:bCs/>
          <w:sz w:val="24"/>
          <w:szCs w:val="24"/>
        </w:rPr>
        <w:t>ection 388.112</w:t>
      </w:r>
      <w:r w:rsidR="00115F24">
        <w:rPr>
          <w:rFonts w:ascii="Times New Roman" w:hAnsi="Times New Roman" w:cs="Times New Roman"/>
          <w:bCs/>
          <w:sz w:val="24"/>
          <w:szCs w:val="24"/>
        </w:rPr>
        <w:t>.</w:t>
      </w:r>
    </w:p>
    <w:p w14:paraId="3783DBBA" w14:textId="77777777" w:rsidR="00C4205B" w:rsidRPr="00B51BB8" w:rsidRDefault="00C4205B" w:rsidP="00F16C34">
      <w:pPr>
        <w:spacing w:after="0"/>
        <w:ind w:firstLine="720"/>
        <w:rPr>
          <w:rFonts w:ascii="Times New Roman" w:hAnsi="Times New Roman" w:cs="Times New Roman"/>
          <w:sz w:val="24"/>
          <w:szCs w:val="24"/>
        </w:rPr>
      </w:pPr>
    </w:p>
    <w:p w14:paraId="589143B0" w14:textId="77777777" w:rsidR="00C4205B"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PROVIDE ADDITIONAL JUSTIFICATION FOR ANY QUESTIONS OF A SENSITIVE NATURE</w:t>
      </w:r>
      <w:r w:rsidR="00E0001D" w:rsidRPr="00B51BB8">
        <w:rPr>
          <w:rFonts w:ascii="Times New Roman" w:hAnsi="Times New Roman" w:cs="Times New Roman"/>
          <w:b/>
          <w:bCs/>
          <w:sz w:val="24"/>
          <w:szCs w:val="24"/>
        </w:rPr>
        <w:t>, SUCH AS SEXUAL BEHAVIOR AND ATTITUDES, RELIGIOUS BELIEFS, AND OTHER MATTERS THAT ARE COMMONLY CONSIDERED PRIVATE</w:t>
      </w:r>
    </w:p>
    <w:p w14:paraId="57DE9DF6" w14:textId="77777777" w:rsidR="00115F24" w:rsidRPr="00115F24" w:rsidRDefault="00115F24" w:rsidP="00F16C34">
      <w:pPr>
        <w:widowControl w:val="0"/>
        <w:autoSpaceDE w:val="0"/>
        <w:autoSpaceDN w:val="0"/>
        <w:adjustRightInd w:val="0"/>
        <w:spacing w:after="0"/>
        <w:ind w:left="360"/>
        <w:rPr>
          <w:rFonts w:ascii="Times New Roman" w:hAnsi="Times New Roman" w:cs="Times New Roman"/>
          <w:sz w:val="24"/>
          <w:szCs w:val="24"/>
        </w:rPr>
      </w:pPr>
    </w:p>
    <w:p w14:paraId="125EDD35" w14:textId="77E40246" w:rsidR="003C19D0" w:rsidRPr="00115F24" w:rsidRDefault="00F9715A" w:rsidP="00F16C34">
      <w:pPr>
        <w:rPr>
          <w:rFonts w:ascii="Times New Roman" w:hAnsi="Times New Roman" w:cs="Times New Roman"/>
          <w:sz w:val="24"/>
          <w:szCs w:val="24"/>
        </w:rPr>
      </w:pPr>
      <w:r>
        <w:rPr>
          <w:rFonts w:ascii="Times New Roman" w:hAnsi="Times New Roman" w:cs="Times New Roman"/>
          <w:sz w:val="24"/>
          <w:szCs w:val="24"/>
        </w:rPr>
        <w:t>This</w:t>
      </w:r>
      <w:r w:rsidRPr="00B51BB8">
        <w:rPr>
          <w:rFonts w:ascii="Times New Roman" w:hAnsi="Times New Roman" w:cs="Times New Roman"/>
          <w:sz w:val="24"/>
          <w:szCs w:val="24"/>
        </w:rPr>
        <w:t xml:space="preserve"> </w:t>
      </w:r>
      <w:r w:rsidR="00F14924" w:rsidRPr="00B51BB8">
        <w:rPr>
          <w:rFonts w:ascii="Times New Roman" w:hAnsi="Times New Roman" w:cs="Times New Roman"/>
          <w:sz w:val="24"/>
          <w:szCs w:val="24"/>
        </w:rPr>
        <w:t>collection do</w:t>
      </w:r>
      <w:r>
        <w:rPr>
          <w:rFonts w:ascii="Times New Roman" w:hAnsi="Times New Roman" w:cs="Times New Roman"/>
          <w:sz w:val="24"/>
          <w:szCs w:val="24"/>
        </w:rPr>
        <w:t>es</w:t>
      </w:r>
      <w:r w:rsidR="00F14924" w:rsidRPr="00B51BB8">
        <w:rPr>
          <w:rFonts w:ascii="Times New Roman" w:hAnsi="Times New Roman" w:cs="Times New Roman"/>
          <w:sz w:val="24"/>
          <w:szCs w:val="24"/>
        </w:rPr>
        <w:t xml:space="preserve"> not contain any qu</w:t>
      </w:r>
      <w:r w:rsidR="00115F24">
        <w:rPr>
          <w:rFonts w:ascii="Times New Roman" w:hAnsi="Times New Roman" w:cs="Times New Roman"/>
          <w:sz w:val="24"/>
          <w:szCs w:val="24"/>
        </w:rPr>
        <w:t>estions of a sensitive nature.</w:t>
      </w:r>
    </w:p>
    <w:p w14:paraId="5C58F0E0"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ESTIMATED BURDEN OF COLLECTION OF INFORMATION</w:t>
      </w:r>
    </w:p>
    <w:p w14:paraId="7B092851" w14:textId="77777777" w:rsidR="008404CC" w:rsidRPr="00A07E1C" w:rsidRDefault="008404CC" w:rsidP="00F16C34">
      <w:pPr>
        <w:pStyle w:val="FERCparanumber"/>
        <w:numPr>
          <w:ilvl w:val="0"/>
          <w:numId w:val="0"/>
        </w:numPr>
        <w:spacing w:line="276" w:lineRule="auto"/>
        <w:ind w:firstLine="360"/>
        <w:rPr>
          <w:rFonts w:ascii="Times New Roman" w:hAnsi="Times New Roman" w:cs="Times New Roman"/>
        </w:rPr>
      </w:pPr>
    </w:p>
    <w:p w14:paraId="7FD7F6DC" w14:textId="3811F6AB" w:rsidR="00503BD5" w:rsidRDefault="00A07E1C" w:rsidP="00F16C34">
      <w:pPr>
        <w:pStyle w:val="FERCparanumber"/>
        <w:numPr>
          <w:ilvl w:val="0"/>
          <w:numId w:val="0"/>
        </w:numPr>
        <w:tabs>
          <w:tab w:val="left" w:pos="720"/>
        </w:tabs>
        <w:spacing w:line="276" w:lineRule="auto"/>
        <w:rPr>
          <w:rFonts w:ascii="Times New Roman" w:hAnsi="Times New Roman" w:cs="Times New Roman"/>
        </w:rPr>
      </w:pPr>
      <w:r w:rsidRPr="00A07E1C">
        <w:rPr>
          <w:rFonts w:ascii="Times New Roman" w:hAnsi="Times New Roman" w:cs="Times New Roman"/>
        </w:rPr>
        <w:t xml:space="preserve">The following table contains the </w:t>
      </w:r>
      <w:r w:rsidR="00F9715A">
        <w:rPr>
          <w:rFonts w:ascii="Times New Roman" w:hAnsi="Times New Roman" w:cs="Times New Roman"/>
        </w:rPr>
        <w:t xml:space="preserve">estimated </w:t>
      </w:r>
      <w:r w:rsidRPr="00A07E1C">
        <w:rPr>
          <w:rFonts w:ascii="Times New Roman" w:hAnsi="Times New Roman" w:cs="Times New Roman"/>
        </w:rPr>
        <w:t xml:space="preserve">reporting burden </w:t>
      </w:r>
      <w:r w:rsidR="00551E97">
        <w:rPr>
          <w:rFonts w:ascii="Times New Roman" w:hAnsi="Times New Roman" w:cs="Times New Roman"/>
        </w:rPr>
        <w:t xml:space="preserve">and cost </w:t>
      </w:r>
      <w:r w:rsidRPr="00A07E1C">
        <w:rPr>
          <w:rFonts w:ascii="Times New Roman" w:hAnsi="Times New Roman" w:cs="Times New Roman"/>
        </w:rPr>
        <w:t>related t</w:t>
      </w:r>
      <w:r w:rsidR="00B4168F">
        <w:rPr>
          <w:rFonts w:ascii="Times New Roman" w:hAnsi="Times New Roman" w:cs="Times New Roman"/>
        </w:rPr>
        <w:t>o revisions in the NOPR in Docket RM19-5</w:t>
      </w:r>
      <w:r w:rsidRPr="00A07E1C">
        <w:rPr>
          <w:rFonts w:ascii="Times New Roman" w:hAnsi="Times New Roman" w:cs="Times New Roman"/>
        </w:rPr>
        <w:t>-000</w:t>
      </w:r>
      <w:r w:rsidR="00503BD5">
        <w:rPr>
          <w:rFonts w:ascii="Times New Roman" w:hAnsi="Times New Roman" w:cs="Times New Roman"/>
        </w:rPr>
        <w:t>:</w:t>
      </w:r>
    </w:p>
    <w:p w14:paraId="1B265933" w14:textId="77777777" w:rsidR="00FC11BA" w:rsidRDefault="00FC11BA" w:rsidP="00F16C34"/>
    <w:tbl>
      <w:tblPr>
        <w:tblW w:w="5631"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4"/>
        <w:gridCol w:w="1568"/>
        <w:gridCol w:w="1473"/>
        <w:gridCol w:w="1385"/>
        <w:gridCol w:w="1372"/>
        <w:gridCol w:w="1568"/>
        <w:gridCol w:w="1484"/>
      </w:tblGrid>
      <w:tr w:rsidR="00955CA3" w:rsidRPr="00F16C34" w14:paraId="71165162" w14:textId="77777777" w:rsidTr="00B22286">
        <w:trPr>
          <w:cantSplit/>
        </w:trPr>
        <w:tc>
          <w:tcPr>
            <w:tcW w:w="5000" w:type="pct"/>
            <w:gridSpan w:val="7"/>
            <w:tcBorders>
              <w:bottom w:val="single" w:sz="4" w:space="0" w:color="auto"/>
            </w:tcBorders>
            <w:shd w:val="clear" w:color="auto" w:fill="D9D9D9"/>
          </w:tcPr>
          <w:p w14:paraId="24D30813" w14:textId="77777777" w:rsidR="00955CA3" w:rsidRPr="00F16C34" w:rsidRDefault="00955CA3" w:rsidP="00F16C34">
            <w:pPr>
              <w:spacing w:after="0" w:line="240" w:lineRule="auto"/>
              <w:jc w:val="center"/>
              <w:rPr>
                <w:rFonts w:ascii="Times New Roman" w:eastAsia="Calibri" w:hAnsi="Times New Roman" w:cs="Times New Roman"/>
                <w:b/>
                <w:sz w:val="20"/>
                <w:szCs w:val="20"/>
              </w:rPr>
            </w:pPr>
            <w:r w:rsidRPr="00F16C34">
              <w:rPr>
                <w:rFonts w:ascii="Times New Roman" w:eastAsia="Calibri" w:hAnsi="Times New Roman" w:cs="Times New Roman"/>
                <w:b/>
                <w:sz w:val="20"/>
                <w:szCs w:val="20"/>
              </w:rPr>
              <w:t xml:space="preserve">RM19-5-000 NOPR </w:t>
            </w:r>
          </w:p>
          <w:p w14:paraId="4EE98EC1" w14:textId="77777777" w:rsidR="00955CA3" w:rsidRPr="00F16C34" w:rsidRDefault="00955CA3" w:rsidP="00F16C34">
            <w:pPr>
              <w:keepNext/>
              <w:widowControl w:val="0"/>
              <w:spacing w:after="0" w:line="240" w:lineRule="auto"/>
              <w:jc w:val="center"/>
              <w:rPr>
                <w:rFonts w:ascii="Times New Roman" w:eastAsia="Calibri" w:hAnsi="Times New Roman" w:cs="Times New Roman"/>
                <w:b/>
                <w:sz w:val="20"/>
                <w:szCs w:val="20"/>
              </w:rPr>
            </w:pPr>
            <w:r w:rsidRPr="00F16C34">
              <w:rPr>
                <w:rFonts w:ascii="Times New Roman" w:eastAsia="Calibri" w:hAnsi="Times New Roman" w:cs="Times New Roman"/>
                <w:b/>
                <w:sz w:val="20"/>
                <w:szCs w:val="20"/>
              </w:rPr>
              <w:t>(Public Utility Transmission Rate Changes to Address Accumulated Deferred Income Taxes)</w:t>
            </w:r>
          </w:p>
        </w:tc>
      </w:tr>
      <w:tr w:rsidR="00955CA3" w:rsidRPr="00F16C34" w14:paraId="5D8D6AB5" w14:textId="77777777" w:rsidTr="00B22286">
        <w:trPr>
          <w:cantSplit/>
        </w:trPr>
        <w:tc>
          <w:tcPr>
            <w:tcW w:w="897" w:type="pct"/>
            <w:shd w:val="clear" w:color="auto" w:fill="D9D9D9"/>
            <w:vAlign w:val="center"/>
          </w:tcPr>
          <w:p w14:paraId="003D238D" w14:textId="77777777" w:rsidR="00955CA3" w:rsidRPr="00F16C34" w:rsidRDefault="00955CA3" w:rsidP="00F16C34">
            <w:pPr>
              <w:widowControl w:val="0"/>
              <w:spacing w:after="0" w:line="240" w:lineRule="auto"/>
              <w:jc w:val="center"/>
              <w:rPr>
                <w:rFonts w:ascii="Times New Roman" w:eastAsia="Calibri" w:hAnsi="Times New Roman" w:cs="Times New Roman"/>
                <w:b/>
                <w:sz w:val="20"/>
                <w:szCs w:val="20"/>
              </w:rPr>
            </w:pPr>
          </w:p>
        </w:tc>
        <w:tc>
          <w:tcPr>
            <w:tcW w:w="727" w:type="pct"/>
            <w:shd w:val="clear" w:color="auto" w:fill="D9D9D9"/>
            <w:vAlign w:val="center"/>
          </w:tcPr>
          <w:p w14:paraId="448990F2" w14:textId="77777777" w:rsidR="00955CA3" w:rsidRPr="00F16C34" w:rsidRDefault="00955CA3" w:rsidP="00F16C34">
            <w:pPr>
              <w:widowControl w:val="0"/>
              <w:spacing w:after="0" w:line="240" w:lineRule="auto"/>
              <w:jc w:val="center"/>
              <w:rPr>
                <w:rFonts w:ascii="Times New Roman" w:eastAsia="Calibri" w:hAnsi="Times New Roman" w:cs="Times New Roman"/>
                <w:b/>
                <w:sz w:val="20"/>
                <w:szCs w:val="20"/>
              </w:rPr>
            </w:pPr>
            <w:r w:rsidRPr="00F16C34">
              <w:rPr>
                <w:rFonts w:ascii="Times New Roman" w:eastAsia="Calibri" w:hAnsi="Times New Roman" w:cs="Times New Roman"/>
                <w:b/>
                <w:sz w:val="20"/>
                <w:szCs w:val="20"/>
              </w:rPr>
              <w:t>Number of Respondents</w:t>
            </w:r>
            <w:r w:rsidRPr="00F16C34">
              <w:rPr>
                <w:rFonts w:ascii="Times New Roman" w:eastAsia="Calibri" w:hAnsi="Times New Roman" w:cs="Times New Roman"/>
                <w:b/>
                <w:sz w:val="20"/>
                <w:szCs w:val="20"/>
              </w:rPr>
              <w:br/>
              <w:t>(1)</w:t>
            </w:r>
          </w:p>
        </w:tc>
        <w:tc>
          <w:tcPr>
            <w:tcW w:w="683" w:type="pct"/>
            <w:shd w:val="clear" w:color="auto" w:fill="D9D9D9"/>
            <w:vAlign w:val="center"/>
          </w:tcPr>
          <w:p w14:paraId="6C8A5AA5" w14:textId="77777777" w:rsidR="00955CA3" w:rsidRPr="00F16C34" w:rsidRDefault="00955CA3" w:rsidP="00F16C34">
            <w:pPr>
              <w:widowControl w:val="0"/>
              <w:spacing w:after="0" w:line="240" w:lineRule="auto"/>
              <w:jc w:val="center"/>
              <w:rPr>
                <w:rFonts w:ascii="Times New Roman" w:eastAsia="Calibri" w:hAnsi="Times New Roman" w:cs="Times New Roman"/>
                <w:b/>
                <w:sz w:val="20"/>
                <w:szCs w:val="20"/>
              </w:rPr>
            </w:pPr>
            <w:r w:rsidRPr="00F16C34">
              <w:rPr>
                <w:rFonts w:ascii="Times New Roman" w:eastAsia="Calibri" w:hAnsi="Times New Roman" w:cs="Times New Roman"/>
                <w:b/>
                <w:sz w:val="20"/>
                <w:szCs w:val="20"/>
              </w:rPr>
              <w:t>Annual Number of Responses per Respondent</w:t>
            </w:r>
          </w:p>
          <w:p w14:paraId="12C46627" w14:textId="77777777" w:rsidR="00955CA3" w:rsidRPr="00F16C34" w:rsidRDefault="00955CA3" w:rsidP="00F16C34">
            <w:pPr>
              <w:widowControl w:val="0"/>
              <w:spacing w:after="0" w:line="240" w:lineRule="auto"/>
              <w:jc w:val="center"/>
              <w:rPr>
                <w:rFonts w:ascii="Times New Roman" w:eastAsia="Calibri" w:hAnsi="Times New Roman" w:cs="Times New Roman"/>
                <w:b/>
                <w:sz w:val="20"/>
                <w:szCs w:val="20"/>
              </w:rPr>
            </w:pPr>
            <w:r w:rsidRPr="00F16C34">
              <w:rPr>
                <w:rFonts w:ascii="Times New Roman" w:eastAsia="Calibri" w:hAnsi="Times New Roman" w:cs="Times New Roman"/>
                <w:b/>
                <w:sz w:val="20"/>
                <w:szCs w:val="20"/>
              </w:rPr>
              <w:t>(2)</w:t>
            </w:r>
          </w:p>
        </w:tc>
        <w:tc>
          <w:tcPr>
            <w:tcW w:w="642" w:type="pct"/>
            <w:shd w:val="clear" w:color="auto" w:fill="D9D9D9"/>
            <w:vAlign w:val="center"/>
          </w:tcPr>
          <w:p w14:paraId="138FA38A" w14:textId="77777777" w:rsidR="00955CA3" w:rsidRPr="00F16C34" w:rsidRDefault="00955CA3" w:rsidP="00F16C34">
            <w:pPr>
              <w:widowControl w:val="0"/>
              <w:spacing w:after="0" w:line="240" w:lineRule="auto"/>
              <w:jc w:val="center"/>
              <w:rPr>
                <w:rFonts w:ascii="Times New Roman" w:eastAsia="Calibri" w:hAnsi="Times New Roman" w:cs="Times New Roman"/>
                <w:b/>
                <w:sz w:val="20"/>
                <w:szCs w:val="20"/>
              </w:rPr>
            </w:pPr>
            <w:r w:rsidRPr="00F16C34">
              <w:rPr>
                <w:rFonts w:ascii="Times New Roman" w:eastAsia="Calibri" w:hAnsi="Times New Roman" w:cs="Times New Roman"/>
                <w:b/>
                <w:sz w:val="20"/>
                <w:szCs w:val="20"/>
              </w:rPr>
              <w:t>Total Number of Responses (1)*(2)=(3)</w:t>
            </w:r>
          </w:p>
        </w:tc>
        <w:tc>
          <w:tcPr>
            <w:tcW w:w="636" w:type="pct"/>
            <w:shd w:val="clear" w:color="auto" w:fill="D9D9D9"/>
            <w:vAlign w:val="center"/>
          </w:tcPr>
          <w:p w14:paraId="08818F8C" w14:textId="77777777" w:rsidR="00955CA3" w:rsidRPr="00F16C34" w:rsidRDefault="00955CA3" w:rsidP="00F16C34">
            <w:pPr>
              <w:widowControl w:val="0"/>
              <w:spacing w:after="0" w:line="240" w:lineRule="auto"/>
              <w:jc w:val="center"/>
              <w:rPr>
                <w:rFonts w:ascii="Times New Roman" w:eastAsia="Calibri" w:hAnsi="Times New Roman" w:cs="Times New Roman"/>
                <w:b/>
                <w:sz w:val="20"/>
                <w:szCs w:val="20"/>
              </w:rPr>
            </w:pPr>
            <w:r w:rsidRPr="00F16C34">
              <w:rPr>
                <w:rFonts w:ascii="Times New Roman" w:eastAsia="Calibri" w:hAnsi="Times New Roman" w:cs="Times New Roman"/>
                <w:b/>
                <w:sz w:val="20"/>
                <w:szCs w:val="20"/>
              </w:rPr>
              <w:t>Average Burden &amp; Cost Per Response</w:t>
            </w:r>
            <w:r w:rsidRPr="00F16C34">
              <w:rPr>
                <w:rFonts w:ascii="Times New Roman" w:eastAsia="Calibri" w:hAnsi="Times New Roman" w:cs="Times New Roman"/>
                <w:b/>
                <w:sz w:val="20"/>
                <w:szCs w:val="20"/>
                <w:vertAlign w:val="superscript"/>
              </w:rPr>
              <w:footnoteReference w:id="4"/>
            </w:r>
          </w:p>
          <w:p w14:paraId="6D6C99FD" w14:textId="77777777" w:rsidR="00955CA3" w:rsidRPr="00F16C34" w:rsidRDefault="00955CA3" w:rsidP="00F16C34">
            <w:pPr>
              <w:widowControl w:val="0"/>
              <w:spacing w:after="0" w:line="240" w:lineRule="auto"/>
              <w:jc w:val="center"/>
              <w:rPr>
                <w:rFonts w:ascii="Times New Roman" w:eastAsia="Calibri" w:hAnsi="Times New Roman" w:cs="Times New Roman"/>
                <w:b/>
                <w:sz w:val="20"/>
                <w:szCs w:val="20"/>
              </w:rPr>
            </w:pPr>
            <w:r w:rsidRPr="00F16C34">
              <w:rPr>
                <w:rFonts w:ascii="Times New Roman" w:eastAsia="Calibri" w:hAnsi="Times New Roman" w:cs="Times New Roman"/>
                <w:b/>
                <w:sz w:val="20"/>
                <w:szCs w:val="20"/>
              </w:rPr>
              <w:t>(4)</w:t>
            </w:r>
          </w:p>
        </w:tc>
        <w:tc>
          <w:tcPr>
            <w:tcW w:w="727" w:type="pct"/>
            <w:shd w:val="clear" w:color="auto" w:fill="D9D9D9"/>
            <w:vAlign w:val="center"/>
          </w:tcPr>
          <w:p w14:paraId="7A5C7E96" w14:textId="77777777" w:rsidR="00955CA3" w:rsidRPr="00F16C34" w:rsidRDefault="00955CA3" w:rsidP="00F16C34">
            <w:pPr>
              <w:widowControl w:val="0"/>
              <w:spacing w:after="0" w:line="240" w:lineRule="auto"/>
              <w:jc w:val="center"/>
              <w:rPr>
                <w:rFonts w:ascii="Times New Roman" w:eastAsia="Calibri" w:hAnsi="Times New Roman" w:cs="Times New Roman"/>
                <w:b/>
                <w:sz w:val="20"/>
                <w:szCs w:val="20"/>
              </w:rPr>
            </w:pPr>
            <w:r w:rsidRPr="00F16C34">
              <w:rPr>
                <w:rFonts w:ascii="Times New Roman" w:eastAsia="Calibri" w:hAnsi="Times New Roman" w:cs="Times New Roman"/>
                <w:b/>
                <w:sz w:val="20"/>
                <w:szCs w:val="20"/>
              </w:rPr>
              <w:t>Total Annual Burden Hours &amp; Total Annual Cost</w:t>
            </w:r>
          </w:p>
          <w:p w14:paraId="49712E1D" w14:textId="77777777" w:rsidR="00955CA3" w:rsidRPr="00F16C34" w:rsidRDefault="00955CA3" w:rsidP="00F16C34">
            <w:pPr>
              <w:widowControl w:val="0"/>
              <w:spacing w:after="0" w:line="240" w:lineRule="auto"/>
              <w:jc w:val="center"/>
              <w:rPr>
                <w:rFonts w:ascii="Times New Roman" w:eastAsia="Calibri" w:hAnsi="Times New Roman" w:cs="Times New Roman"/>
                <w:b/>
                <w:sz w:val="20"/>
                <w:szCs w:val="20"/>
              </w:rPr>
            </w:pPr>
            <w:r w:rsidRPr="00F16C34">
              <w:rPr>
                <w:rFonts w:ascii="Times New Roman" w:eastAsia="Calibri" w:hAnsi="Times New Roman" w:cs="Times New Roman"/>
                <w:b/>
                <w:sz w:val="20"/>
                <w:szCs w:val="20"/>
              </w:rPr>
              <w:t>(3)*(4)=(5)</w:t>
            </w:r>
          </w:p>
        </w:tc>
        <w:tc>
          <w:tcPr>
            <w:tcW w:w="688" w:type="pct"/>
            <w:shd w:val="clear" w:color="auto" w:fill="D9D9D9"/>
            <w:vAlign w:val="center"/>
          </w:tcPr>
          <w:p w14:paraId="1602DE7D" w14:textId="77777777" w:rsidR="00955CA3" w:rsidRPr="00F16C34" w:rsidRDefault="00955CA3" w:rsidP="00F16C34">
            <w:pPr>
              <w:widowControl w:val="0"/>
              <w:spacing w:after="0" w:line="240" w:lineRule="auto"/>
              <w:jc w:val="center"/>
              <w:rPr>
                <w:rFonts w:ascii="Times New Roman" w:eastAsia="Calibri" w:hAnsi="Times New Roman" w:cs="Times New Roman"/>
                <w:b/>
                <w:sz w:val="20"/>
                <w:szCs w:val="20"/>
              </w:rPr>
            </w:pPr>
            <w:r w:rsidRPr="00F16C34">
              <w:rPr>
                <w:rFonts w:ascii="Times New Roman" w:eastAsia="Calibri" w:hAnsi="Times New Roman" w:cs="Times New Roman"/>
                <w:b/>
                <w:sz w:val="20"/>
                <w:szCs w:val="20"/>
              </w:rPr>
              <w:t>Cost per Respondent</w:t>
            </w:r>
          </w:p>
          <w:p w14:paraId="071E0D9F" w14:textId="77777777" w:rsidR="00955CA3" w:rsidRPr="00F16C34" w:rsidRDefault="00955CA3" w:rsidP="00F16C34">
            <w:pPr>
              <w:widowControl w:val="0"/>
              <w:spacing w:after="0" w:line="240" w:lineRule="auto"/>
              <w:jc w:val="center"/>
              <w:rPr>
                <w:rFonts w:ascii="Times New Roman" w:eastAsia="Calibri" w:hAnsi="Times New Roman" w:cs="Times New Roman"/>
                <w:b/>
                <w:sz w:val="20"/>
                <w:szCs w:val="20"/>
              </w:rPr>
            </w:pPr>
            <w:r w:rsidRPr="00F16C34">
              <w:rPr>
                <w:rFonts w:ascii="Times New Roman" w:eastAsia="Calibri" w:hAnsi="Times New Roman" w:cs="Times New Roman"/>
                <w:b/>
                <w:sz w:val="20"/>
                <w:szCs w:val="20"/>
              </w:rPr>
              <w:t>($)</w:t>
            </w:r>
          </w:p>
          <w:p w14:paraId="26FD46AF" w14:textId="77777777" w:rsidR="00955CA3" w:rsidRPr="00F16C34" w:rsidRDefault="00955CA3" w:rsidP="00F16C34">
            <w:pPr>
              <w:widowControl w:val="0"/>
              <w:spacing w:after="0" w:line="240" w:lineRule="auto"/>
              <w:jc w:val="center"/>
              <w:rPr>
                <w:rFonts w:ascii="Times New Roman" w:eastAsia="Calibri" w:hAnsi="Times New Roman" w:cs="Times New Roman"/>
                <w:b/>
                <w:sz w:val="20"/>
                <w:szCs w:val="20"/>
              </w:rPr>
            </w:pPr>
            <w:r w:rsidRPr="00F16C34">
              <w:rPr>
                <w:rFonts w:ascii="Times New Roman" w:eastAsia="Calibri" w:hAnsi="Times New Roman" w:cs="Times New Roman"/>
                <w:b/>
                <w:sz w:val="20"/>
                <w:szCs w:val="20"/>
              </w:rPr>
              <w:t>(5)÷(1)</w:t>
            </w:r>
          </w:p>
        </w:tc>
      </w:tr>
      <w:tr w:rsidR="00955CA3" w:rsidRPr="00F16C34" w14:paraId="28B87227" w14:textId="77777777" w:rsidTr="00F16C34">
        <w:trPr>
          <w:cantSplit/>
        </w:trPr>
        <w:tc>
          <w:tcPr>
            <w:tcW w:w="897" w:type="pct"/>
          </w:tcPr>
          <w:p w14:paraId="1543985E" w14:textId="77777777" w:rsidR="00955CA3" w:rsidRPr="00F16C34" w:rsidRDefault="00955CA3" w:rsidP="00F16C34">
            <w:pPr>
              <w:widowControl w:val="0"/>
              <w:spacing w:after="0" w:line="240" w:lineRule="auto"/>
              <w:rPr>
                <w:rFonts w:ascii="Times New Roman" w:eastAsia="Calibri" w:hAnsi="Times New Roman" w:cs="Times New Roman"/>
                <w:sz w:val="20"/>
                <w:szCs w:val="20"/>
              </w:rPr>
            </w:pPr>
            <w:r w:rsidRPr="00F16C34">
              <w:rPr>
                <w:rFonts w:ascii="Times New Roman" w:eastAsia="Calibri" w:hAnsi="Times New Roman" w:cs="Times New Roman"/>
                <w:sz w:val="20"/>
                <w:szCs w:val="20"/>
              </w:rPr>
              <w:t>Revising formula rates so that excess ADIT is deducted and/or deficient ADIT is added to rate base (one-time)</w:t>
            </w:r>
            <w:r w:rsidRPr="00F16C34">
              <w:rPr>
                <w:rFonts w:ascii="Times New Roman" w:eastAsia="Calibri" w:hAnsi="Times New Roman" w:cs="Times New Roman"/>
                <w:b/>
                <w:sz w:val="20"/>
                <w:szCs w:val="20"/>
                <w:vertAlign w:val="superscript"/>
              </w:rPr>
              <w:footnoteReference w:id="5"/>
            </w:r>
          </w:p>
        </w:tc>
        <w:tc>
          <w:tcPr>
            <w:tcW w:w="727" w:type="pct"/>
            <w:vAlign w:val="bottom"/>
          </w:tcPr>
          <w:p w14:paraId="5D39163A"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106</w:t>
            </w:r>
          </w:p>
          <w:p w14:paraId="7216A53B"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p>
        </w:tc>
        <w:tc>
          <w:tcPr>
            <w:tcW w:w="683" w:type="pct"/>
            <w:vAlign w:val="bottom"/>
          </w:tcPr>
          <w:p w14:paraId="69CDB36E"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1</w:t>
            </w:r>
          </w:p>
        </w:tc>
        <w:tc>
          <w:tcPr>
            <w:tcW w:w="642" w:type="pct"/>
            <w:vAlign w:val="bottom"/>
          </w:tcPr>
          <w:p w14:paraId="13696B7D"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106</w:t>
            </w:r>
          </w:p>
        </w:tc>
        <w:tc>
          <w:tcPr>
            <w:tcW w:w="636" w:type="pct"/>
            <w:vAlign w:val="bottom"/>
          </w:tcPr>
          <w:p w14:paraId="4E4D5CCC"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8 hours;</w:t>
            </w:r>
          </w:p>
          <w:p w14:paraId="08EDD568"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$736</w:t>
            </w:r>
          </w:p>
        </w:tc>
        <w:tc>
          <w:tcPr>
            <w:tcW w:w="727" w:type="pct"/>
            <w:vAlign w:val="bottom"/>
          </w:tcPr>
          <w:p w14:paraId="27209B59"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848 hours;</w:t>
            </w:r>
          </w:p>
          <w:p w14:paraId="28F47163"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$78,016</w:t>
            </w:r>
          </w:p>
        </w:tc>
        <w:tc>
          <w:tcPr>
            <w:tcW w:w="688" w:type="pct"/>
            <w:vAlign w:val="bottom"/>
          </w:tcPr>
          <w:p w14:paraId="44AEA474"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$736</w:t>
            </w:r>
          </w:p>
          <w:p w14:paraId="7AE7C689"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p>
        </w:tc>
      </w:tr>
      <w:tr w:rsidR="00955CA3" w:rsidRPr="00F16C34" w14:paraId="22554A3D" w14:textId="77777777" w:rsidTr="00F16C34">
        <w:trPr>
          <w:cantSplit/>
        </w:trPr>
        <w:tc>
          <w:tcPr>
            <w:tcW w:w="897" w:type="pct"/>
          </w:tcPr>
          <w:p w14:paraId="470009B9" w14:textId="77777777" w:rsidR="00955CA3" w:rsidRPr="00F16C34" w:rsidRDefault="00955CA3" w:rsidP="00F16C34">
            <w:pPr>
              <w:widowControl w:val="0"/>
              <w:spacing w:after="0" w:line="240" w:lineRule="auto"/>
              <w:rPr>
                <w:rFonts w:ascii="Times New Roman" w:eastAsia="Calibri" w:hAnsi="Times New Roman" w:cs="Times New Roman"/>
                <w:sz w:val="20"/>
                <w:szCs w:val="20"/>
              </w:rPr>
            </w:pPr>
            <w:r w:rsidRPr="00F16C34">
              <w:rPr>
                <w:rFonts w:ascii="Times New Roman" w:eastAsia="Calibri" w:hAnsi="Times New Roman" w:cs="Times New Roman"/>
                <w:sz w:val="20"/>
                <w:szCs w:val="20"/>
              </w:rPr>
              <w:t>Revising formula rates so that any excess and/or deficient ADIT is amortized (one-time)</w:t>
            </w:r>
          </w:p>
        </w:tc>
        <w:tc>
          <w:tcPr>
            <w:tcW w:w="727" w:type="pct"/>
            <w:vAlign w:val="bottom"/>
          </w:tcPr>
          <w:p w14:paraId="6781E9F4"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106</w:t>
            </w:r>
          </w:p>
        </w:tc>
        <w:tc>
          <w:tcPr>
            <w:tcW w:w="683" w:type="pct"/>
            <w:vAlign w:val="bottom"/>
          </w:tcPr>
          <w:p w14:paraId="7DF9171E"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1</w:t>
            </w:r>
          </w:p>
        </w:tc>
        <w:tc>
          <w:tcPr>
            <w:tcW w:w="642" w:type="pct"/>
            <w:vAlign w:val="bottom"/>
          </w:tcPr>
          <w:p w14:paraId="57F8E62A"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106</w:t>
            </w:r>
          </w:p>
        </w:tc>
        <w:tc>
          <w:tcPr>
            <w:tcW w:w="636" w:type="pct"/>
            <w:vAlign w:val="bottom"/>
          </w:tcPr>
          <w:p w14:paraId="02A2B44D"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8 hours;</w:t>
            </w:r>
          </w:p>
          <w:p w14:paraId="36EB95AF"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$736</w:t>
            </w:r>
          </w:p>
        </w:tc>
        <w:tc>
          <w:tcPr>
            <w:tcW w:w="727" w:type="pct"/>
            <w:vAlign w:val="bottom"/>
          </w:tcPr>
          <w:p w14:paraId="06DA3EC2"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848 hours;</w:t>
            </w:r>
          </w:p>
          <w:p w14:paraId="7DA65D55"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$78,016</w:t>
            </w:r>
          </w:p>
        </w:tc>
        <w:tc>
          <w:tcPr>
            <w:tcW w:w="688" w:type="pct"/>
            <w:vAlign w:val="bottom"/>
          </w:tcPr>
          <w:p w14:paraId="7257834E"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$736</w:t>
            </w:r>
          </w:p>
        </w:tc>
      </w:tr>
      <w:tr w:rsidR="00955CA3" w:rsidRPr="00F16C34" w14:paraId="2B89F123" w14:textId="77777777" w:rsidTr="00F16C34">
        <w:trPr>
          <w:cantSplit/>
        </w:trPr>
        <w:tc>
          <w:tcPr>
            <w:tcW w:w="897" w:type="pct"/>
          </w:tcPr>
          <w:p w14:paraId="3D0DC639" w14:textId="77777777" w:rsidR="00955CA3" w:rsidRPr="00F16C34" w:rsidRDefault="00955CA3" w:rsidP="00F16C34">
            <w:pPr>
              <w:widowControl w:val="0"/>
              <w:spacing w:after="0" w:line="240" w:lineRule="auto"/>
              <w:rPr>
                <w:rFonts w:ascii="Times New Roman" w:eastAsia="Calibri" w:hAnsi="Times New Roman" w:cs="Times New Roman"/>
                <w:sz w:val="20"/>
                <w:szCs w:val="20"/>
              </w:rPr>
            </w:pPr>
            <w:r w:rsidRPr="00F16C34">
              <w:rPr>
                <w:rFonts w:ascii="Times New Roman" w:eastAsia="Calibri" w:hAnsi="Times New Roman" w:cs="Times New Roman"/>
                <w:sz w:val="20"/>
                <w:szCs w:val="20"/>
              </w:rPr>
              <w:t>Revising transmission stated rates to return or recover excess  or deficient ADIT (one-time)</w:t>
            </w:r>
          </w:p>
        </w:tc>
        <w:tc>
          <w:tcPr>
            <w:tcW w:w="727" w:type="pct"/>
            <w:vAlign w:val="bottom"/>
          </w:tcPr>
          <w:p w14:paraId="547A5E29"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31</w:t>
            </w:r>
          </w:p>
        </w:tc>
        <w:tc>
          <w:tcPr>
            <w:tcW w:w="683" w:type="pct"/>
            <w:vAlign w:val="bottom"/>
          </w:tcPr>
          <w:p w14:paraId="757B227C"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1</w:t>
            </w:r>
          </w:p>
        </w:tc>
        <w:tc>
          <w:tcPr>
            <w:tcW w:w="642" w:type="pct"/>
            <w:vAlign w:val="bottom"/>
          </w:tcPr>
          <w:p w14:paraId="0FE6D5DA"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31</w:t>
            </w:r>
          </w:p>
        </w:tc>
        <w:tc>
          <w:tcPr>
            <w:tcW w:w="636" w:type="pct"/>
            <w:vAlign w:val="bottom"/>
          </w:tcPr>
          <w:p w14:paraId="25A6C7C4"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15 hours;</w:t>
            </w:r>
          </w:p>
          <w:p w14:paraId="0A4A6D31"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$1,380</w:t>
            </w:r>
          </w:p>
        </w:tc>
        <w:tc>
          <w:tcPr>
            <w:tcW w:w="727" w:type="pct"/>
            <w:vAlign w:val="bottom"/>
          </w:tcPr>
          <w:p w14:paraId="644BB31C"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465 hours;</w:t>
            </w:r>
          </w:p>
          <w:p w14:paraId="47232FDC"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$42,780</w:t>
            </w:r>
          </w:p>
        </w:tc>
        <w:tc>
          <w:tcPr>
            <w:tcW w:w="688" w:type="pct"/>
            <w:vAlign w:val="bottom"/>
          </w:tcPr>
          <w:p w14:paraId="2BEFD9F9"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$1,380</w:t>
            </w:r>
          </w:p>
        </w:tc>
      </w:tr>
      <w:tr w:rsidR="00955CA3" w:rsidRPr="00F16C34" w14:paraId="3622BD9D" w14:textId="77777777" w:rsidTr="00F16C34">
        <w:trPr>
          <w:cantSplit/>
        </w:trPr>
        <w:tc>
          <w:tcPr>
            <w:tcW w:w="897" w:type="pct"/>
          </w:tcPr>
          <w:p w14:paraId="65F490B9" w14:textId="77777777" w:rsidR="00955CA3" w:rsidRPr="00F16C34" w:rsidRDefault="00955CA3" w:rsidP="00F16C34">
            <w:pPr>
              <w:widowControl w:val="0"/>
              <w:spacing w:after="0" w:line="240" w:lineRule="auto"/>
              <w:rPr>
                <w:rFonts w:ascii="Times New Roman" w:eastAsia="Calibri" w:hAnsi="Times New Roman" w:cs="Times New Roman"/>
                <w:sz w:val="20"/>
                <w:szCs w:val="20"/>
              </w:rPr>
            </w:pPr>
            <w:r w:rsidRPr="00F16C34">
              <w:rPr>
                <w:rFonts w:ascii="Times New Roman" w:eastAsia="Calibri" w:hAnsi="Times New Roman" w:cs="Times New Roman"/>
                <w:sz w:val="20"/>
                <w:szCs w:val="20"/>
              </w:rPr>
              <w:t>Requiring public utilities with transmission formula rates to incorporate a new permanent worksheet that will annually track ADIT information (one-time)</w:t>
            </w:r>
          </w:p>
        </w:tc>
        <w:tc>
          <w:tcPr>
            <w:tcW w:w="727" w:type="pct"/>
            <w:vAlign w:val="bottom"/>
          </w:tcPr>
          <w:p w14:paraId="7260EE35"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106</w:t>
            </w:r>
          </w:p>
        </w:tc>
        <w:tc>
          <w:tcPr>
            <w:tcW w:w="683" w:type="pct"/>
            <w:vAlign w:val="bottom"/>
          </w:tcPr>
          <w:p w14:paraId="0B9F61C4"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1</w:t>
            </w:r>
          </w:p>
        </w:tc>
        <w:tc>
          <w:tcPr>
            <w:tcW w:w="642" w:type="pct"/>
            <w:vAlign w:val="bottom"/>
          </w:tcPr>
          <w:p w14:paraId="7C764F13"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106</w:t>
            </w:r>
          </w:p>
        </w:tc>
        <w:tc>
          <w:tcPr>
            <w:tcW w:w="636" w:type="pct"/>
            <w:vAlign w:val="bottom"/>
          </w:tcPr>
          <w:p w14:paraId="61C498EA"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40 hours;</w:t>
            </w:r>
          </w:p>
          <w:p w14:paraId="4E2B4384"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$3,680</w:t>
            </w:r>
          </w:p>
        </w:tc>
        <w:tc>
          <w:tcPr>
            <w:tcW w:w="727" w:type="pct"/>
            <w:vAlign w:val="bottom"/>
          </w:tcPr>
          <w:p w14:paraId="6CC9F81E"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4,240 hours;</w:t>
            </w:r>
          </w:p>
          <w:p w14:paraId="1B407696"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$390,080</w:t>
            </w:r>
          </w:p>
        </w:tc>
        <w:tc>
          <w:tcPr>
            <w:tcW w:w="688" w:type="pct"/>
            <w:vAlign w:val="bottom"/>
          </w:tcPr>
          <w:p w14:paraId="13120A53"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r w:rsidRPr="00F16C34">
              <w:rPr>
                <w:rFonts w:ascii="Times New Roman" w:eastAsia="Calibri" w:hAnsi="Times New Roman" w:cs="Times New Roman"/>
                <w:sz w:val="20"/>
                <w:szCs w:val="20"/>
              </w:rPr>
              <w:t>$3,680</w:t>
            </w:r>
          </w:p>
        </w:tc>
      </w:tr>
      <w:tr w:rsidR="00955CA3" w:rsidRPr="00F16C34" w14:paraId="669A601F" w14:textId="77777777" w:rsidTr="00F16C34">
        <w:trPr>
          <w:cantSplit/>
          <w:trHeight w:val="485"/>
        </w:trPr>
        <w:tc>
          <w:tcPr>
            <w:tcW w:w="897" w:type="pct"/>
          </w:tcPr>
          <w:p w14:paraId="6DD0F0FF" w14:textId="77777777" w:rsidR="00955CA3" w:rsidRPr="00F16C34" w:rsidRDefault="00955CA3" w:rsidP="00F16C34">
            <w:pPr>
              <w:widowControl w:val="0"/>
              <w:spacing w:after="0" w:line="240" w:lineRule="auto"/>
              <w:rPr>
                <w:rFonts w:ascii="Times New Roman" w:eastAsia="Calibri" w:hAnsi="Times New Roman" w:cs="Times New Roman"/>
                <w:b/>
                <w:sz w:val="20"/>
                <w:szCs w:val="20"/>
              </w:rPr>
            </w:pPr>
            <w:r w:rsidRPr="00F16C34">
              <w:rPr>
                <w:rFonts w:ascii="Times New Roman" w:eastAsia="Calibri" w:hAnsi="Times New Roman" w:cs="Times New Roman"/>
                <w:b/>
                <w:sz w:val="20"/>
                <w:szCs w:val="20"/>
              </w:rPr>
              <w:t>Total (Stated Rates)</w:t>
            </w:r>
            <w:r w:rsidRPr="00F16C34">
              <w:rPr>
                <w:rFonts w:ascii="Times New Roman" w:eastAsia="Calibri" w:hAnsi="Times New Roman" w:cs="Times New Roman"/>
                <w:b/>
                <w:sz w:val="20"/>
                <w:szCs w:val="20"/>
                <w:vertAlign w:val="superscript"/>
              </w:rPr>
              <w:footnoteReference w:id="6"/>
            </w:r>
            <w:r w:rsidRPr="00F16C34">
              <w:rPr>
                <w:rFonts w:ascii="Times New Roman" w:eastAsia="Calibri" w:hAnsi="Times New Roman" w:cs="Times New Roman"/>
                <w:b/>
                <w:sz w:val="20"/>
                <w:szCs w:val="20"/>
              </w:rPr>
              <w:t xml:space="preserve"> </w:t>
            </w:r>
          </w:p>
        </w:tc>
        <w:tc>
          <w:tcPr>
            <w:tcW w:w="1410" w:type="pct"/>
            <w:gridSpan w:val="2"/>
            <w:shd w:val="clear" w:color="auto" w:fill="D9D9D9"/>
            <w:vAlign w:val="bottom"/>
          </w:tcPr>
          <w:p w14:paraId="03BA52FD"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p>
        </w:tc>
        <w:tc>
          <w:tcPr>
            <w:tcW w:w="642" w:type="pct"/>
            <w:shd w:val="clear" w:color="auto" w:fill="auto"/>
            <w:vAlign w:val="bottom"/>
          </w:tcPr>
          <w:p w14:paraId="1E0E5A33" w14:textId="77777777" w:rsidR="00955CA3" w:rsidRPr="00F16C34" w:rsidRDefault="00955CA3" w:rsidP="00F16C34">
            <w:pPr>
              <w:widowControl w:val="0"/>
              <w:spacing w:after="0" w:line="240" w:lineRule="auto"/>
              <w:jc w:val="right"/>
              <w:rPr>
                <w:rFonts w:ascii="Times New Roman" w:eastAsia="Calibri" w:hAnsi="Times New Roman" w:cs="Times New Roman"/>
                <w:b/>
                <w:sz w:val="20"/>
                <w:szCs w:val="20"/>
              </w:rPr>
            </w:pPr>
            <w:r w:rsidRPr="00F16C34">
              <w:rPr>
                <w:rFonts w:ascii="Times New Roman" w:eastAsia="Calibri" w:hAnsi="Times New Roman" w:cs="Times New Roman"/>
                <w:b/>
                <w:sz w:val="20"/>
                <w:szCs w:val="20"/>
              </w:rPr>
              <w:t>31</w:t>
            </w:r>
          </w:p>
        </w:tc>
        <w:tc>
          <w:tcPr>
            <w:tcW w:w="636" w:type="pct"/>
            <w:shd w:val="clear" w:color="auto" w:fill="D9D9D9"/>
            <w:vAlign w:val="bottom"/>
          </w:tcPr>
          <w:p w14:paraId="27A72966"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p>
        </w:tc>
        <w:tc>
          <w:tcPr>
            <w:tcW w:w="727" w:type="pct"/>
            <w:vAlign w:val="bottom"/>
          </w:tcPr>
          <w:p w14:paraId="52EC03D9" w14:textId="77777777" w:rsidR="00955CA3" w:rsidRPr="00F16C34" w:rsidRDefault="00955CA3" w:rsidP="00F16C34">
            <w:pPr>
              <w:widowControl w:val="0"/>
              <w:spacing w:after="0" w:line="240" w:lineRule="auto"/>
              <w:jc w:val="right"/>
              <w:rPr>
                <w:rFonts w:ascii="Times New Roman" w:eastAsia="Calibri" w:hAnsi="Times New Roman" w:cs="Times New Roman"/>
                <w:b/>
                <w:sz w:val="20"/>
                <w:szCs w:val="20"/>
              </w:rPr>
            </w:pPr>
            <w:r w:rsidRPr="00F16C34">
              <w:rPr>
                <w:rFonts w:ascii="Times New Roman" w:eastAsia="Calibri" w:hAnsi="Times New Roman" w:cs="Times New Roman"/>
                <w:b/>
                <w:sz w:val="20"/>
                <w:szCs w:val="20"/>
              </w:rPr>
              <w:t>465 hours;</w:t>
            </w:r>
          </w:p>
          <w:p w14:paraId="435C74D9" w14:textId="77777777" w:rsidR="00955CA3" w:rsidRPr="00F16C34" w:rsidRDefault="00955CA3" w:rsidP="00F16C34">
            <w:pPr>
              <w:widowControl w:val="0"/>
              <w:spacing w:after="0" w:line="240" w:lineRule="auto"/>
              <w:jc w:val="right"/>
              <w:rPr>
                <w:rFonts w:ascii="Times New Roman" w:eastAsia="Calibri" w:hAnsi="Times New Roman" w:cs="Times New Roman"/>
                <w:b/>
                <w:sz w:val="20"/>
                <w:szCs w:val="20"/>
              </w:rPr>
            </w:pPr>
            <w:r w:rsidRPr="00F16C34">
              <w:rPr>
                <w:rFonts w:ascii="Times New Roman" w:eastAsia="Calibri" w:hAnsi="Times New Roman" w:cs="Times New Roman"/>
                <w:b/>
                <w:sz w:val="20"/>
                <w:szCs w:val="20"/>
              </w:rPr>
              <w:t>$42,780</w:t>
            </w:r>
          </w:p>
        </w:tc>
        <w:tc>
          <w:tcPr>
            <w:tcW w:w="688" w:type="pct"/>
            <w:shd w:val="clear" w:color="auto" w:fill="D9D9D9"/>
            <w:vAlign w:val="bottom"/>
          </w:tcPr>
          <w:p w14:paraId="4CFB7A94" w14:textId="77777777" w:rsidR="00955CA3" w:rsidRPr="00F16C34" w:rsidRDefault="00955CA3" w:rsidP="00F16C34">
            <w:pPr>
              <w:widowControl w:val="0"/>
              <w:spacing w:after="0" w:line="240" w:lineRule="auto"/>
              <w:jc w:val="right"/>
              <w:rPr>
                <w:rFonts w:ascii="Times New Roman" w:eastAsia="Calibri" w:hAnsi="Times New Roman" w:cs="Times New Roman"/>
                <w:b/>
                <w:sz w:val="20"/>
                <w:szCs w:val="20"/>
              </w:rPr>
            </w:pPr>
          </w:p>
        </w:tc>
      </w:tr>
      <w:tr w:rsidR="00955CA3" w:rsidRPr="00F16C34" w14:paraId="642CFF64" w14:textId="77777777" w:rsidTr="00F16C34">
        <w:trPr>
          <w:cantSplit/>
          <w:trHeight w:val="485"/>
        </w:trPr>
        <w:tc>
          <w:tcPr>
            <w:tcW w:w="897" w:type="pct"/>
            <w:tcBorders>
              <w:bottom w:val="single" w:sz="4" w:space="0" w:color="auto"/>
            </w:tcBorders>
          </w:tcPr>
          <w:p w14:paraId="4B6675BB" w14:textId="77777777" w:rsidR="00955CA3" w:rsidRPr="00F16C34" w:rsidRDefault="00955CA3" w:rsidP="00F16C34">
            <w:pPr>
              <w:widowControl w:val="0"/>
              <w:spacing w:after="0" w:line="240" w:lineRule="auto"/>
              <w:rPr>
                <w:rFonts w:ascii="Times New Roman" w:eastAsia="Calibri" w:hAnsi="Times New Roman" w:cs="Times New Roman"/>
                <w:b/>
                <w:sz w:val="20"/>
                <w:szCs w:val="20"/>
              </w:rPr>
            </w:pPr>
            <w:r w:rsidRPr="00F16C34">
              <w:rPr>
                <w:rFonts w:ascii="Times New Roman" w:eastAsia="Calibri" w:hAnsi="Times New Roman" w:cs="Times New Roman"/>
                <w:b/>
                <w:sz w:val="20"/>
                <w:szCs w:val="20"/>
              </w:rPr>
              <w:t>Total (Formula Rates)</w:t>
            </w:r>
            <w:r w:rsidRPr="00F16C34">
              <w:rPr>
                <w:rFonts w:ascii="Times New Roman" w:eastAsia="Calibri" w:hAnsi="Times New Roman" w:cs="Times New Roman"/>
                <w:b/>
                <w:sz w:val="20"/>
                <w:szCs w:val="20"/>
                <w:vertAlign w:val="superscript"/>
              </w:rPr>
              <w:footnoteReference w:id="7"/>
            </w:r>
          </w:p>
        </w:tc>
        <w:tc>
          <w:tcPr>
            <w:tcW w:w="1410" w:type="pct"/>
            <w:gridSpan w:val="2"/>
            <w:tcBorders>
              <w:bottom w:val="single" w:sz="4" w:space="0" w:color="auto"/>
            </w:tcBorders>
            <w:shd w:val="clear" w:color="auto" w:fill="D9D9D9"/>
            <w:vAlign w:val="bottom"/>
          </w:tcPr>
          <w:p w14:paraId="34BF5310"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p>
        </w:tc>
        <w:tc>
          <w:tcPr>
            <w:tcW w:w="642" w:type="pct"/>
            <w:tcBorders>
              <w:bottom w:val="single" w:sz="4" w:space="0" w:color="auto"/>
            </w:tcBorders>
            <w:shd w:val="clear" w:color="auto" w:fill="auto"/>
            <w:vAlign w:val="bottom"/>
          </w:tcPr>
          <w:p w14:paraId="2AE25545" w14:textId="77777777" w:rsidR="00955CA3" w:rsidRPr="00F16C34" w:rsidRDefault="00955CA3" w:rsidP="00F16C34">
            <w:pPr>
              <w:widowControl w:val="0"/>
              <w:spacing w:after="0" w:line="240" w:lineRule="auto"/>
              <w:jc w:val="right"/>
              <w:rPr>
                <w:rFonts w:ascii="Times New Roman" w:eastAsia="Calibri" w:hAnsi="Times New Roman" w:cs="Times New Roman"/>
                <w:b/>
                <w:sz w:val="20"/>
                <w:szCs w:val="20"/>
              </w:rPr>
            </w:pPr>
            <w:r w:rsidRPr="00F16C34">
              <w:rPr>
                <w:rFonts w:ascii="Times New Roman" w:eastAsia="Calibri" w:hAnsi="Times New Roman" w:cs="Times New Roman"/>
                <w:b/>
                <w:sz w:val="20"/>
                <w:szCs w:val="20"/>
              </w:rPr>
              <w:t>318</w:t>
            </w:r>
          </w:p>
        </w:tc>
        <w:tc>
          <w:tcPr>
            <w:tcW w:w="636" w:type="pct"/>
            <w:tcBorders>
              <w:bottom w:val="single" w:sz="4" w:space="0" w:color="auto"/>
            </w:tcBorders>
            <w:shd w:val="clear" w:color="auto" w:fill="D9D9D9"/>
            <w:vAlign w:val="bottom"/>
          </w:tcPr>
          <w:p w14:paraId="47EE0458"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p>
        </w:tc>
        <w:tc>
          <w:tcPr>
            <w:tcW w:w="727" w:type="pct"/>
            <w:tcBorders>
              <w:bottom w:val="single" w:sz="4" w:space="0" w:color="auto"/>
            </w:tcBorders>
            <w:vAlign w:val="bottom"/>
          </w:tcPr>
          <w:p w14:paraId="11297A5D" w14:textId="77777777" w:rsidR="00955CA3" w:rsidRPr="00F16C34" w:rsidRDefault="00955CA3" w:rsidP="00F16C34">
            <w:pPr>
              <w:widowControl w:val="0"/>
              <w:spacing w:after="0" w:line="240" w:lineRule="auto"/>
              <w:jc w:val="right"/>
              <w:rPr>
                <w:rFonts w:ascii="Times New Roman" w:eastAsia="Calibri" w:hAnsi="Times New Roman" w:cs="Times New Roman"/>
                <w:b/>
                <w:sz w:val="20"/>
                <w:szCs w:val="20"/>
              </w:rPr>
            </w:pPr>
            <w:r w:rsidRPr="00F16C34">
              <w:rPr>
                <w:rFonts w:ascii="Times New Roman" w:eastAsia="Calibri" w:hAnsi="Times New Roman" w:cs="Times New Roman"/>
                <w:b/>
                <w:sz w:val="20"/>
                <w:szCs w:val="20"/>
              </w:rPr>
              <w:t>5,936 hours;</w:t>
            </w:r>
          </w:p>
          <w:p w14:paraId="7F4805D1" w14:textId="77777777" w:rsidR="00955CA3" w:rsidRPr="00F16C34" w:rsidRDefault="00955CA3" w:rsidP="00F16C34">
            <w:pPr>
              <w:widowControl w:val="0"/>
              <w:spacing w:after="0" w:line="240" w:lineRule="auto"/>
              <w:jc w:val="right"/>
              <w:rPr>
                <w:rFonts w:ascii="Times New Roman" w:eastAsia="Calibri" w:hAnsi="Times New Roman" w:cs="Times New Roman"/>
                <w:b/>
                <w:sz w:val="20"/>
                <w:szCs w:val="20"/>
              </w:rPr>
            </w:pPr>
            <w:r w:rsidRPr="00F16C34">
              <w:rPr>
                <w:rFonts w:ascii="Times New Roman" w:eastAsia="Calibri" w:hAnsi="Times New Roman" w:cs="Times New Roman"/>
                <w:b/>
                <w:sz w:val="20"/>
                <w:szCs w:val="20"/>
              </w:rPr>
              <w:t>$546,112</w:t>
            </w:r>
          </w:p>
        </w:tc>
        <w:tc>
          <w:tcPr>
            <w:tcW w:w="688" w:type="pct"/>
            <w:tcBorders>
              <w:bottom w:val="single" w:sz="4" w:space="0" w:color="auto"/>
            </w:tcBorders>
            <w:shd w:val="clear" w:color="auto" w:fill="D9D9D9"/>
            <w:vAlign w:val="bottom"/>
          </w:tcPr>
          <w:p w14:paraId="0914206F" w14:textId="77777777" w:rsidR="00955CA3" w:rsidRPr="00F16C34" w:rsidRDefault="00955CA3" w:rsidP="00F16C34">
            <w:pPr>
              <w:widowControl w:val="0"/>
              <w:spacing w:after="0" w:line="240" w:lineRule="auto"/>
              <w:jc w:val="right"/>
              <w:rPr>
                <w:rFonts w:ascii="Times New Roman" w:eastAsia="Calibri" w:hAnsi="Times New Roman" w:cs="Times New Roman"/>
                <w:b/>
                <w:sz w:val="20"/>
                <w:szCs w:val="20"/>
              </w:rPr>
            </w:pPr>
          </w:p>
        </w:tc>
      </w:tr>
      <w:tr w:rsidR="00955CA3" w:rsidRPr="00F16C34" w14:paraId="53711858" w14:textId="77777777" w:rsidTr="00F16C34">
        <w:trPr>
          <w:cantSplit/>
          <w:trHeight w:val="485"/>
        </w:trPr>
        <w:tc>
          <w:tcPr>
            <w:tcW w:w="897" w:type="pct"/>
            <w:tcBorders>
              <w:bottom w:val="single" w:sz="4" w:space="0" w:color="auto"/>
            </w:tcBorders>
          </w:tcPr>
          <w:p w14:paraId="2D4E7A98" w14:textId="77777777" w:rsidR="00955CA3" w:rsidRPr="00F16C34" w:rsidRDefault="00955CA3" w:rsidP="00F16C34">
            <w:pPr>
              <w:widowControl w:val="0"/>
              <w:spacing w:after="0" w:line="240" w:lineRule="auto"/>
              <w:rPr>
                <w:rFonts w:ascii="Times New Roman" w:eastAsia="Calibri" w:hAnsi="Times New Roman" w:cs="Times New Roman"/>
                <w:b/>
                <w:sz w:val="20"/>
                <w:szCs w:val="20"/>
              </w:rPr>
            </w:pPr>
            <w:r w:rsidRPr="00F16C34">
              <w:rPr>
                <w:rFonts w:ascii="Times New Roman" w:eastAsia="Calibri" w:hAnsi="Times New Roman" w:cs="Times New Roman"/>
                <w:b/>
                <w:sz w:val="20"/>
                <w:szCs w:val="20"/>
              </w:rPr>
              <w:t>TOTAL</w:t>
            </w:r>
          </w:p>
        </w:tc>
        <w:tc>
          <w:tcPr>
            <w:tcW w:w="1410" w:type="pct"/>
            <w:gridSpan w:val="2"/>
            <w:tcBorders>
              <w:bottom w:val="single" w:sz="4" w:space="0" w:color="auto"/>
            </w:tcBorders>
            <w:shd w:val="clear" w:color="auto" w:fill="D9D9D9"/>
            <w:vAlign w:val="bottom"/>
          </w:tcPr>
          <w:p w14:paraId="36C1D5D6"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p>
        </w:tc>
        <w:tc>
          <w:tcPr>
            <w:tcW w:w="642" w:type="pct"/>
            <w:tcBorders>
              <w:bottom w:val="single" w:sz="4" w:space="0" w:color="auto"/>
            </w:tcBorders>
            <w:shd w:val="clear" w:color="auto" w:fill="auto"/>
            <w:vAlign w:val="bottom"/>
          </w:tcPr>
          <w:p w14:paraId="45354A8F" w14:textId="77777777" w:rsidR="00955CA3" w:rsidRPr="00F16C34" w:rsidRDefault="00955CA3" w:rsidP="00F16C34">
            <w:pPr>
              <w:widowControl w:val="0"/>
              <w:spacing w:after="0" w:line="240" w:lineRule="auto"/>
              <w:jc w:val="right"/>
              <w:rPr>
                <w:rFonts w:ascii="Times New Roman" w:eastAsia="Calibri" w:hAnsi="Times New Roman" w:cs="Times New Roman"/>
                <w:b/>
                <w:sz w:val="20"/>
                <w:szCs w:val="20"/>
              </w:rPr>
            </w:pPr>
            <w:r w:rsidRPr="00F16C34">
              <w:rPr>
                <w:rFonts w:ascii="Times New Roman" w:eastAsia="Calibri" w:hAnsi="Times New Roman" w:cs="Times New Roman"/>
                <w:b/>
                <w:sz w:val="20"/>
                <w:szCs w:val="20"/>
              </w:rPr>
              <w:t>349</w:t>
            </w:r>
          </w:p>
        </w:tc>
        <w:tc>
          <w:tcPr>
            <w:tcW w:w="636" w:type="pct"/>
            <w:tcBorders>
              <w:bottom w:val="single" w:sz="4" w:space="0" w:color="auto"/>
            </w:tcBorders>
            <w:shd w:val="clear" w:color="auto" w:fill="D9D9D9"/>
            <w:vAlign w:val="bottom"/>
          </w:tcPr>
          <w:p w14:paraId="287A254B" w14:textId="77777777" w:rsidR="00955CA3" w:rsidRPr="00F16C34" w:rsidRDefault="00955CA3" w:rsidP="00F16C34">
            <w:pPr>
              <w:widowControl w:val="0"/>
              <w:spacing w:after="0" w:line="240" w:lineRule="auto"/>
              <w:jc w:val="right"/>
              <w:rPr>
                <w:rFonts w:ascii="Times New Roman" w:eastAsia="Calibri" w:hAnsi="Times New Roman" w:cs="Times New Roman"/>
                <w:sz w:val="20"/>
                <w:szCs w:val="20"/>
              </w:rPr>
            </w:pPr>
          </w:p>
        </w:tc>
        <w:tc>
          <w:tcPr>
            <w:tcW w:w="727" w:type="pct"/>
            <w:tcBorders>
              <w:bottom w:val="single" w:sz="4" w:space="0" w:color="auto"/>
            </w:tcBorders>
            <w:vAlign w:val="bottom"/>
          </w:tcPr>
          <w:p w14:paraId="70F583D0" w14:textId="77777777" w:rsidR="00955CA3" w:rsidRPr="00F16C34" w:rsidRDefault="00955CA3" w:rsidP="00F16C34">
            <w:pPr>
              <w:widowControl w:val="0"/>
              <w:spacing w:after="0" w:line="240" w:lineRule="auto"/>
              <w:jc w:val="right"/>
              <w:rPr>
                <w:rFonts w:ascii="Times New Roman" w:eastAsia="Calibri" w:hAnsi="Times New Roman" w:cs="Times New Roman"/>
                <w:b/>
                <w:sz w:val="20"/>
                <w:szCs w:val="20"/>
              </w:rPr>
            </w:pPr>
            <w:r w:rsidRPr="00F16C34">
              <w:rPr>
                <w:rFonts w:ascii="Times New Roman" w:eastAsia="Calibri" w:hAnsi="Times New Roman" w:cs="Times New Roman"/>
                <w:b/>
                <w:sz w:val="20"/>
                <w:szCs w:val="20"/>
              </w:rPr>
              <w:t>6,532 hours;</w:t>
            </w:r>
          </w:p>
          <w:p w14:paraId="15CEAD0A" w14:textId="77777777" w:rsidR="00955CA3" w:rsidRPr="00F16C34" w:rsidRDefault="00955CA3" w:rsidP="00F16C34">
            <w:pPr>
              <w:widowControl w:val="0"/>
              <w:spacing w:after="0" w:line="240" w:lineRule="auto"/>
              <w:jc w:val="right"/>
              <w:rPr>
                <w:rFonts w:ascii="Times New Roman" w:eastAsia="Calibri" w:hAnsi="Times New Roman" w:cs="Times New Roman"/>
                <w:b/>
                <w:sz w:val="20"/>
                <w:szCs w:val="20"/>
              </w:rPr>
            </w:pPr>
            <w:r w:rsidRPr="00F16C34">
              <w:rPr>
                <w:rFonts w:ascii="Times New Roman" w:eastAsia="Calibri" w:hAnsi="Times New Roman" w:cs="Times New Roman"/>
                <w:b/>
                <w:sz w:val="20"/>
                <w:szCs w:val="20"/>
              </w:rPr>
              <w:t>$588,892</w:t>
            </w:r>
          </w:p>
        </w:tc>
        <w:tc>
          <w:tcPr>
            <w:tcW w:w="688" w:type="pct"/>
            <w:tcBorders>
              <w:bottom w:val="single" w:sz="4" w:space="0" w:color="auto"/>
            </w:tcBorders>
            <w:shd w:val="clear" w:color="auto" w:fill="D9D9D9"/>
            <w:vAlign w:val="bottom"/>
          </w:tcPr>
          <w:p w14:paraId="34D11075" w14:textId="77777777" w:rsidR="00955CA3" w:rsidRPr="00F16C34" w:rsidRDefault="00955CA3" w:rsidP="00F16C34">
            <w:pPr>
              <w:widowControl w:val="0"/>
              <w:spacing w:after="0" w:line="240" w:lineRule="auto"/>
              <w:jc w:val="right"/>
              <w:rPr>
                <w:rFonts w:ascii="Times New Roman" w:eastAsia="Calibri" w:hAnsi="Times New Roman" w:cs="Times New Roman"/>
                <w:b/>
                <w:sz w:val="20"/>
                <w:szCs w:val="20"/>
              </w:rPr>
            </w:pPr>
          </w:p>
        </w:tc>
      </w:tr>
    </w:tbl>
    <w:p w14:paraId="6A053C62" w14:textId="77777777" w:rsidR="00C4205B" w:rsidRPr="00A07E1C" w:rsidRDefault="00C4205B" w:rsidP="00F16C34">
      <w:pPr>
        <w:pStyle w:val="FERCparanumber"/>
        <w:widowControl/>
        <w:numPr>
          <w:ilvl w:val="0"/>
          <w:numId w:val="0"/>
        </w:numPr>
        <w:tabs>
          <w:tab w:val="left" w:pos="720"/>
        </w:tabs>
        <w:spacing w:line="276" w:lineRule="auto"/>
        <w:rPr>
          <w:rFonts w:ascii="Times New Roman" w:hAnsi="Times New Roman" w:cs="Times New Roman"/>
        </w:rPr>
      </w:pPr>
    </w:p>
    <w:p w14:paraId="4F0E55B9" w14:textId="0FA226E8" w:rsidR="00A07E1C" w:rsidRDefault="00A07E1C" w:rsidP="00F16C34">
      <w:pPr>
        <w:pStyle w:val="FERCparanumber"/>
        <w:numPr>
          <w:ilvl w:val="0"/>
          <w:numId w:val="0"/>
        </w:numPr>
        <w:spacing w:line="276" w:lineRule="auto"/>
        <w:rPr>
          <w:rFonts w:ascii="Times New Roman" w:hAnsi="Times New Roman" w:cs="Times New Roman"/>
        </w:rPr>
      </w:pPr>
      <w:r w:rsidRPr="00A07E1C">
        <w:rPr>
          <w:rFonts w:ascii="Times New Roman" w:hAnsi="Times New Roman" w:cs="Times New Roman"/>
        </w:rPr>
        <w:t xml:space="preserve">The one-time burden </w:t>
      </w:r>
      <w:r w:rsidR="00C71E33">
        <w:rPr>
          <w:rFonts w:ascii="Times New Roman" w:hAnsi="Times New Roman" w:cs="Times New Roman"/>
        </w:rPr>
        <w:t>for stated rates</w:t>
      </w:r>
      <w:r w:rsidRPr="00A07E1C">
        <w:rPr>
          <w:rFonts w:ascii="Times New Roman" w:hAnsi="Times New Roman" w:cs="Times New Roman"/>
        </w:rPr>
        <w:t xml:space="preserve"> </w:t>
      </w:r>
      <w:r w:rsidR="00C71E33">
        <w:rPr>
          <w:rFonts w:ascii="Times New Roman" w:hAnsi="Times New Roman" w:cs="Times New Roman"/>
        </w:rPr>
        <w:t>(465</w:t>
      </w:r>
      <w:r w:rsidRPr="00A07E1C">
        <w:rPr>
          <w:rFonts w:ascii="Times New Roman" w:hAnsi="Times New Roman" w:cs="Times New Roman"/>
        </w:rPr>
        <w:t xml:space="preserve"> hours</w:t>
      </w:r>
      <w:r w:rsidR="00F57994">
        <w:rPr>
          <w:rFonts w:ascii="Times New Roman" w:hAnsi="Times New Roman" w:cs="Times New Roman"/>
        </w:rPr>
        <w:t xml:space="preserve">) </w:t>
      </w:r>
      <w:r w:rsidRPr="00A07E1C">
        <w:rPr>
          <w:rFonts w:ascii="Times New Roman" w:hAnsi="Times New Roman" w:cs="Times New Roman"/>
        </w:rPr>
        <w:t>will be a</w:t>
      </w:r>
      <w:r w:rsidR="00A86E69">
        <w:rPr>
          <w:rFonts w:ascii="Times New Roman" w:hAnsi="Times New Roman" w:cs="Times New Roman"/>
        </w:rPr>
        <w:t>veraged over Years 1-3</w:t>
      </w:r>
      <w:r w:rsidR="00C71E33">
        <w:rPr>
          <w:rFonts w:ascii="Times New Roman" w:hAnsi="Times New Roman" w:cs="Times New Roman"/>
        </w:rPr>
        <w:t xml:space="preserve"> (465 ÷ 3 = 155</w:t>
      </w:r>
      <w:r w:rsidR="00A86E69">
        <w:rPr>
          <w:rFonts w:ascii="Times New Roman" w:hAnsi="Times New Roman" w:cs="Times New Roman"/>
        </w:rPr>
        <w:t xml:space="preserve"> hours/year</w:t>
      </w:r>
      <w:r w:rsidRPr="00A07E1C">
        <w:rPr>
          <w:rFonts w:ascii="Times New Roman" w:hAnsi="Times New Roman" w:cs="Times New Roman"/>
        </w:rPr>
        <w:t>).</w:t>
      </w:r>
    </w:p>
    <w:p w14:paraId="4AC6930B" w14:textId="77777777" w:rsidR="00C71E33" w:rsidRDefault="00C71E33" w:rsidP="00F16C34">
      <w:pPr>
        <w:pStyle w:val="FERCparanumber"/>
        <w:numPr>
          <w:ilvl w:val="0"/>
          <w:numId w:val="0"/>
        </w:numPr>
        <w:spacing w:line="276" w:lineRule="auto"/>
        <w:rPr>
          <w:rFonts w:ascii="Times New Roman" w:hAnsi="Times New Roman" w:cs="Times New Roman"/>
        </w:rPr>
      </w:pPr>
    </w:p>
    <w:p w14:paraId="1C29A90F" w14:textId="50E532BF" w:rsidR="00C71E33" w:rsidRDefault="00C71E33" w:rsidP="00F16C34">
      <w:pPr>
        <w:pStyle w:val="FERCparanumber"/>
        <w:numPr>
          <w:ilvl w:val="0"/>
          <w:numId w:val="0"/>
        </w:numPr>
        <w:spacing w:line="276" w:lineRule="auto"/>
        <w:rPr>
          <w:rFonts w:ascii="Times New Roman" w:hAnsi="Times New Roman" w:cs="Times New Roman"/>
        </w:rPr>
      </w:pPr>
      <w:r>
        <w:rPr>
          <w:rFonts w:ascii="Times New Roman" w:hAnsi="Times New Roman" w:cs="Times New Roman"/>
        </w:rPr>
        <w:t>The one-time burden for formula rates (</w:t>
      </w:r>
      <w:r w:rsidR="00A05BCC">
        <w:rPr>
          <w:rFonts w:ascii="Times New Roman" w:hAnsi="Times New Roman" w:cs="Times New Roman"/>
        </w:rPr>
        <w:t>5,936 hours) will be average</w:t>
      </w:r>
      <w:r w:rsidR="00B4168F">
        <w:rPr>
          <w:rFonts w:ascii="Times New Roman" w:hAnsi="Times New Roman" w:cs="Times New Roman"/>
        </w:rPr>
        <w:t>d</w:t>
      </w:r>
      <w:r w:rsidR="00A05BCC">
        <w:rPr>
          <w:rFonts w:ascii="Times New Roman" w:hAnsi="Times New Roman" w:cs="Times New Roman"/>
        </w:rPr>
        <w:t xml:space="preserve"> over </w:t>
      </w:r>
      <w:r w:rsidR="00A86E69">
        <w:rPr>
          <w:rFonts w:ascii="Times New Roman" w:hAnsi="Times New Roman" w:cs="Times New Roman"/>
        </w:rPr>
        <w:t>Year</w:t>
      </w:r>
      <w:r w:rsidR="00B4168F">
        <w:rPr>
          <w:rFonts w:ascii="Times New Roman" w:hAnsi="Times New Roman" w:cs="Times New Roman"/>
        </w:rPr>
        <w:t>s</w:t>
      </w:r>
      <w:r w:rsidR="00A86E69">
        <w:rPr>
          <w:rFonts w:ascii="Times New Roman" w:hAnsi="Times New Roman" w:cs="Times New Roman"/>
        </w:rPr>
        <w:t xml:space="preserve"> 1-3</w:t>
      </w:r>
      <w:r w:rsidR="00A05BCC">
        <w:rPr>
          <w:rFonts w:ascii="Times New Roman" w:hAnsi="Times New Roman" w:cs="Times New Roman"/>
        </w:rPr>
        <w:t xml:space="preserve"> (5,936 hours ÷</w:t>
      </w:r>
      <w:r w:rsidR="00A86E69">
        <w:rPr>
          <w:rFonts w:ascii="Times New Roman" w:hAnsi="Times New Roman" w:cs="Times New Roman"/>
        </w:rPr>
        <w:t xml:space="preserve"> 3 = 1,979 hours/year</w:t>
      </w:r>
      <w:r w:rsidR="00A05BCC">
        <w:rPr>
          <w:rFonts w:ascii="Times New Roman" w:hAnsi="Times New Roman" w:cs="Times New Roman"/>
        </w:rPr>
        <w:t>).</w:t>
      </w:r>
    </w:p>
    <w:p w14:paraId="09D79D52" w14:textId="77777777" w:rsidR="00B4168F" w:rsidRDefault="00B4168F" w:rsidP="00F16C34">
      <w:pPr>
        <w:pStyle w:val="FERCparanumber"/>
        <w:numPr>
          <w:ilvl w:val="0"/>
          <w:numId w:val="0"/>
        </w:numPr>
        <w:spacing w:line="276" w:lineRule="auto"/>
        <w:rPr>
          <w:rFonts w:ascii="Times New Roman" w:hAnsi="Times New Roman" w:cs="Times New Roman"/>
        </w:rPr>
      </w:pPr>
    </w:p>
    <w:p w14:paraId="03D89EBC" w14:textId="0B24A53A" w:rsidR="00B4168F" w:rsidRDefault="00B4168F" w:rsidP="00F16C34">
      <w:pPr>
        <w:pStyle w:val="FERCparanumber"/>
        <w:numPr>
          <w:ilvl w:val="0"/>
          <w:numId w:val="0"/>
        </w:numPr>
        <w:spacing w:line="276" w:lineRule="auto"/>
        <w:rPr>
          <w:rFonts w:ascii="Times New Roman" w:hAnsi="Times New Roman" w:cs="Times New Roman"/>
        </w:rPr>
      </w:pPr>
      <w:r>
        <w:rPr>
          <w:rFonts w:ascii="Times New Roman" w:hAnsi="Times New Roman" w:cs="Times New Roman"/>
        </w:rPr>
        <w:t>The responses for state</w:t>
      </w:r>
      <w:r w:rsidR="00AA7A63">
        <w:rPr>
          <w:rFonts w:ascii="Times New Roman" w:hAnsi="Times New Roman" w:cs="Times New Roman"/>
        </w:rPr>
        <w:t>d</w:t>
      </w:r>
      <w:r>
        <w:rPr>
          <w:rFonts w:ascii="Times New Roman" w:hAnsi="Times New Roman" w:cs="Times New Roman"/>
        </w:rPr>
        <w:t xml:space="preserve"> rates (31) will be averaged over Years 1-3 (31 ÷ 3 = 10.3 responses/year).  Similarly, the responses for formula rates (318) will also be averaged over Years 1-3 (318 ÷ 3 = 106 responses/year).</w:t>
      </w:r>
    </w:p>
    <w:p w14:paraId="0A814E51" w14:textId="7EC583D0" w:rsidR="00A07E1C" w:rsidRPr="00A07E1C" w:rsidRDefault="00A07E1C" w:rsidP="00F16C34">
      <w:pPr>
        <w:pStyle w:val="FERCparanumber"/>
        <w:numPr>
          <w:ilvl w:val="0"/>
          <w:numId w:val="0"/>
        </w:numPr>
        <w:spacing w:line="276" w:lineRule="auto"/>
        <w:rPr>
          <w:rFonts w:ascii="Times New Roman" w:hAnsi="Times New Roman" w:cs="Times New Roman"/>
        </w:rPr>
      </w:pPr>
    </w:p>
    <w:p w14:paraId="26B6C40B" w14:textId="23849AD7" w:rsidR="00A07E1C" w:rsidRPr="00A07E1C" w:rsidRDefault="00A07E1C" w:rsidP="00F16C34">
      <w:pPr>
        <w:pStyle w:val="FERCparanumber"/>
        <w:numPr>
          <w:ilvl w:val="0"/>
          <w:numId w:val="0"/>
        </w:numPr>
        <w:spacing w:line="276" w:lineRule="auto"/>
        <w:rPr>
          <w:rFonts w:ascii="Times New Roman" w:hAnsi="Times New Roman" w:cs="Times New Roman"/>
        </w:rPr>
      </w:pPr>
      <w:r w:rsidRPr="00A07E1C">
        <w:rPr>
          <w:rFonts w:ascii="Times New Roman" w:hAnsi="Times New Roman" w:cs="Times New Roman"/>
        </w:rPr>
        <w:t xml:space="preserve">The </w:t>
      </w:r>
      <w:r w:rsidR="004D215C">
        <w:rPr>
          <w:rFonts w:ascii="Times New Roman" w:hAnsi="Times New Roman" w:cs="Times New Roman"/>
        </w:rPr>
        <w:t xml:space="preserve">one-time </w:t>
      </w:r>
      <w:r w:rsidRPr="00A07E1C">
        <w:rPr>
          <w:rFonts w:ascii="Times New Roman" w:hAnsi="Times New Roman" w:cs="Times New Roman"/>
        </w:rPr>
        <w:t xml:space="preserve">responses and burden </w:t>
      </w:r>
      <w:r w:rsidR="004D215C">
        <w:rPr>
          <w:rFonts w:ascii="Times New Roman" w:hAnsi="Times New Roman" w:cs="Times New Roman"/>
        </w:rPr>
        <w:t>averaged over</w:t>
      </w:r>
      <w:r w:rsidRPr="00A07E1C">
        <w:rPr>
          <w:rFonts w:ascii="Times New Roman" w:hAnsi="Times New Roman" w:cs="Times New Roman"/>
        </w:rPr>
        <w:t xml:space="preserve"> Years 1-3 </w:t>
      </w:r>
      <w:r w:rsidR="004D215C">
        <w:rPr>
          <w:rFonts w:ascii="Times New Roman" w:hAnsi="Times New Roman" w:cs="Times New Roman"/>
        </w:rPr>
        <w:t>are</w:t>
      </w:r>
      <w:r w:rsidRPr="00A07E1C">
        <w:rPr>
          <w:rFonts w:ascii="Times New Roman" w:hAnsi="Times New Roman" w:cs="Times New Roman"/>
        </w:rPr>
        <w:t>:</w:t>
      </w:r>
    </w:p>
    <w:p w14:paraId="0605ED2C" w14:textId="6F3265A8" w:rsidR="004D215C" w:rsidRDefault="00A86E69" w:rsidP="00AC69D9">
      <w:pPr>
        <w:pStyle w:val="FERCparanumber"/>
        <w:numPr>
          <w:ilvl w:val="0"/>
          <w:numId w:val="21"/>
        </w:numPr>
        <w:spacing w:line="276" w:lineRule="auto"/>
        <w:rPr>
          <w:rFonts w:ascii="Times New Roman" w:hAnsi="Times New Roman" w:cs="Times New Roman"/>
        </w:rPr>
      </w:pPr>
      <w:r>
        <w:rPr>
          <w:rFonts w:ascii="Times New Roman" w:hAnsi="Times New Roman" w:cs="Times New Roman"/>
        </w:rPr>
        <w:t>116</w:t>
      </w:r>
      <w:r w:rsidR="00A07E1C" w:rsidRPr="00A07E1C">
        <w:rPr>
          <w:rFonts w:ascii="Times New Roman" w:hAnsi="Times New Roman" w:cs="Times New Roman"/>
        </w:rPr>
        <w:t xml:space="preserve"> responses</w:t>
      </w:r>
      <w:r w:rsidR="00BE208C">
        <w:rPr>
          <w:rFonts w:ascii="Times New Roman" w:hAnsi="Times New Roman" w:cs="Times New Roman"/>
        </w:rPr>
        <w:t xml:space="preserve"> [</w:t>
      </w:r>
      <w:r>
        <w:rPr>
          <w:rFonts w:ascii="Times New Roman" w:hAnsi="Times New Roman" w:cs="Times New Roman"/>
        </w:rPr>
        <w:t>(10</w:t>
      </w:r>
      <w:r w:rsidR="00BE208C">
        <w:rPr>
          <w:rFonts w:ascii="Times New Roman" w:hAnsi="Times New Roman" w:cs="Times New Roman"/>
        </w:rPr>
        <w:t xml:space="preserve"> responses for stated rates) + (</w:t>
      </w:r>
      <w:r>
        <w:rPr>
          <w:rFonts w:ascii="Times New Roman" w:hAnsi="Times New Roman" w:cs="Times New Roman"/>
        </w:rPr>
        <w:t>106</w:t>
      </w:r>
      <w:r w:rsidR="00BE208C">
        <w:rPr>
          <w:rFonts w:ascii="Times New Roman" w:hAnsi="Times New Roman" w:cs="Times New Roman"/>
        </w:rPr>
        <w:t xml:space="preserve"> responses for formula rates)]</w:t>
      </w:r>
    </w:p>
    <w:p w14:paraId="2F064D0A" w14:textId="2C6862AA" w:rsidR="00A07E1C" w:rsidRPr="00A07E1C" w:rsidRDefault="00B806CF" w:rsidP="00AC69D9">
      <w:pPr>
        <w:pStyle w:val="FERCparanumber"/>
        <w:numPr>
          <w:ilvl w:val="0"/>
          <w:numId w:val="21"/>
        </w:numPr>
        <w:spacing w:line="276" w:lineRule="auto"/>
        <w:rPr>
          <w:rFonts w:ascii="Times New Roman" w:hAnsi="Times New Roman" w:cs="Times New Roman"/>
        </w:rPr>
      </w:pPr>
      <w:r>
        <w:rPr>
          <w:rFonts w:ascii="Times New Roman" w:hAnsi="Times New Roman" w:cs="Times New Roman"/>
        </w:rPr>
        <w:t>2,134</w:t>
      </w:r>
      <w:r w:rsidR="00A07E1C" w:rsidRPr="00A07E1C">
        <w:rPr>
          <w:rFonts w:ascii="Times New Roman" w:hAnsi="Times New Roman" w:cs="Times New Roman"/>
        </w:rPr>
        <w:t xml:space="preserve"> hours</w:t>
      </w:r>
      <w:r w:rsidR="00BE208C">
        <w:rPr>
          <w:rFonts w:ascii="Times New Roman" w:hAnsi="Times New Roman" w:cs="Times New Roman"/>
        </w:rPr>
        <w:t xml:space="preserve"> [(</w:t>
      </w:r>
      <w:r>
        <w:rPr>
          <w:rFonts w:ascii="Times New Roman" w:hAnsi="Times New Roman" w:cs="Times New Roman"/>
        </w:rPr>
        <w:t>155 hours annually for stated rates) + (1,979 hours annually for formula rates)]</w:t>
      </w:r>
      <w:r w:rsidR="00A07E1C" w:rsidRPr="00A07E1C">
        <w:rPr>
          <w:rFonts w:ascii="Times New Roman" w:hAnsi="Times New Roman" w:cs="Times New Roman"/>
        </w:rPr>
        <w:t>.</w:t>
      </w:r>
    </w:p>
    <w:p w14:paraId="0E762A5D" w14:textId="77777777" w:rsidR="00800420" w:rsidRPr="00B51BB8" w:rsidRDefault="00800420" w:rsidP="00F16C34">
      <w:pPr>
        <w:pStyle w:val="FERCparanumber"/>
        <w:widowControl/>
        <w:numPr>
          <w:ilvl w:val="0"/>
          <w:numId w:val="0"/>
        </w:numPr>
        <w:tabs>
          <w:tab w:val="left" w:pos="720"/>
        </w:tabs>
        <w:spacing w:line="276" w:lineRule="auto"/>
        <w:rPr>
          <w:rFonts w:ascii="Times New Roman" w:hAnsi="Times New Roman" w:cs="Times New Roman"/>
        </w:rPr>
      </w:pPr>
    </w:p>
    <w:p w14:paraId="6643FAFD"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ESTIMATE OF THE TOTAL ANNUAL COST BURDEN TO RESPONDENTS</w:t>
      </w:r>
    </w:p>
    <w:p w14:paraId="5900A782" w14:textId="77777777" w:rsidR="002359F6" w:rsidRPr="00B51BB8" w:rsidRDefault="002359F6" w:rsidP="00F16C34">
      <w:pPr>
        <w:spacing w:after="0"/>
        <w:rPr>
          <w:rFonts w:ascii="Times New Roman" w:hAnsi="Times New Roman" w:cs="Times New Roman"/>
          <w:sz w:val="24"/>
          <w:szCs w:val="24"/>
        </w:rPr>
      </w:pPr>
    </w:p>
    <w:p w14:paraId="0926F9C6" w14:textId="77777777" w:rsidR="002359F6" w:rsidRPr="00B51BB8" w:rsidRDefault="002359F6" w:rsidP="00F16C34">
      <w:pPr>
        <w:spacing w:after="0"/>
        <w:rPr>
          <w:rFonts w:ascii="Times New Roman" w:hAnsi="Times New Roman" w:cs="Times New Roman"/>
          <w:sz w:val="24"/>
          <w:szCs w:val="24"/>
        </w:rPr>
      </w:pPr>
      <w:r w:rsidRPr="00B51BB8">
        <w:rPr>
          <w:rFonts w:ascii="Times New Roman" w:hAnsi="Times New Roman" w:cs="Times New Roman"/>
          <w:sz w:val="24"/>
          <w:szCs w:val="24"/>
        </w:rPr>
        <w:t>There are no start-up or other non-labor costs.</w:t>
      </w:r>
    </w:p>
    <w:p w14:paraId="3748E8B6" w14:textId="77777777" w:rsidR="002359F6" w:rsidRPr="00B51BB8" w:rsidRDefault="002359F6" w:rsidP="00F16C34">
      <w:pPr>
        <w:spacing w:after="0"/>
        <w:rPr>
          <w:rFonts w:ascii="Times New Roman" w:hAnsi="Times New Roman" w:cs="Times New Roman"/>
          <w:sz w:val="24"/>
          <w:szCs w:val="24"/>
        </w:rPr>
      </w:pPr>
    </w:p>
    <w:p w14:paraId="03146869" w14:textId="77777777" w:rsidR="002359F6" w:rsidRPr="00B51BB8" w:rsidRDefault="002359F6" w:rsidP="00F16C34">
      <w:pPr>
        <w:spacing w:after="0"/>
        <w:ind w:firstLine="720"/>
        <w:rPr>
          <w:rFonts w:ascii="Times New Roman" w:hAnsi="Times New Roman" w:cs="Times New Roman"/>
          <w:sz w:val="24"/>
          <w:szCs w:val="24"/>
        </w:rPr>
      </w:pPr>
      <w:r w:rsidRPr="00B51BB8">
        <w:rPr>
          <w:rFonts w:ascii="Times New Roman" w:hAnsi="Times New Roman" w:cs="Times New Roman"/>
          <w:sz w:val="24"/>
          <w:szCs w:val="24"/>
        </w:rPr>
        <w:t>Total Capital and Start-up cost: $0</w:t>
      </w:r>
    </w:p>
    <w:p w14:paraId="40F632E6" w14:textId="77777777" w:rsidR="002359F6" w:rsidRPr="00B51BB8" w:rsidRDefault="002359F6" w:rsidP="00F16C34">
      <w:pPr>
        <w:spacing w:after="0"/>
        <w:ind w:left="720"/>
        <w:rPr>
          <w:rFonts w:ascii="Times New Roman" w:hAnsi="Times New Roman" w:cs="Times New Roman"/>
          <w:sz w:val="24"/>
          <w:szCs w:val="24"/>
        </w:rPr>
      </w:pPr>
      <w:r w:rsidRPr="00B51BB8">
        <w:rPr>
          <w:rFonts w:ascii="Times New Roman" w:hAnsi="Times New Roman" w:cs="Times New Roman"/>
          <w:sz w:val="24"/>
          <w:szCs w:val="24"/>
        </w:rPr>
        <w:t>Total Operation, Maintenance, and Purchase of Services: $0</w:t>
      </w:r>
    </w:p>
    <w:p w14:paraId="400B8895" w14:textId="77777777" w:rsidR="002359F6" w:rsidRPr="00B51BB8" w:rsidRDefault="002359F6" w:rsidP="00F16C34">
      <w:pPr>
        <w:spacing w:after="0"/>
        <w:rPr>
          <w:rFonts w:ascii="Times New Roman" w:hAnsi="Times New Roman" w:cs="Times New Roman"/>
          <w:sz w:val="24"/>
          <w:szCs w:val="24"/>
        </w:rPr>
      </w:pPr>
    </w:p>
    <w:p w14:paraId="1583A39C" w14:textId="017AB79F" w:rsidR="002359F6" w:rsidRPr="00B51BB8" w:rsidRDefault="005B6A5A" w:rsidP="00F16C34">
      <w:pPr>
        <w:spacing w:after="0"/>
        <w:rPr>
          <w:rFonts w:ascii="Times New Roman" w:hAnsi="Times New Roman" w:cs="Times New Roman"/>
          <w:sz w:val="24"/>
          <w:szCs w:val="24"/>
        </w:rPr>
      </w:pPr>
      <w:r>
        <w:rPr>
          <w:rFonts w:ascii="Times New Roman" w:hAnsi="Times New Roman" w:cs="Times New Roman"/>
          <w:sz w:val="24"/>
          <w:szCs w:val="24"/>
        </w:rPr>
        <w:t>Al</w:t>
      </w:r>
      <w:r w:rsidR="00F2452D">
        <w:rPr>
          <w:rFonts w:ascii="Times New Roman" w:hAnsi="Times New Roman" w:cs="Times New Roman"/>
          <w:sz w:val="24"/>
          <w:szCs w:val="24"/>
        </w:rPr>
        <w:t>l of the costs in the NOPR</w:t>
      </w:r>
      <w:r w:rsidR="002359F6" w:rsidRPr="00B51BB8">
        <w:rPr>
          <w:rFonts w:ascii="Times New Roman" w:hAnsi="Times New Roman" w:cs="Times New Roman"/>
          <w:sz w:val="24"/>
          <w:szCs w:val="24"/>
        </w:rPr>
        <w:t xml:space="preserve"> are associated with burden hours (labor) and described in Questions #12 and #15 in this supporting statement. </w:t>
      </w:r>
    </w:p>
    <w:p w14:paraId="7628453A" w14:textId="77777777" w:rsidR="003C19D0" w:rsidRPr="00B51BB8" w:rsidRDefault="003C19D0" w:rsidP="00F16C34">
      <w:pPr>
        <w:spacing w:after="0"/>
        <w:rPr>
          <w:rFonts w:ascii="Times New Roman" w:hAnsi="Times New Roman" w:cs="Times New Roman"/>
          <w:sz w:val="24"/>
          <w:szCs w:val="24"/>
        </w:rPr>
      </w:pPr>
    </w:p>
    <w:p w14:paraId="01F4ACB3"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ESTIMATED ANNUALIZED COST TO FEDERAL GOVERNMENT</w:t>
      </w:r>
    </w:p>
    <w:p w14:paraId="2291EE6D" w14:textId="77777777" w:rsidR="00C4205B" w:rsidRPr="00B51BB8" w:rsidRDefault="00C4205B" w:rsidP="00F16C34">
      <w:pPr>
        <w:spacing w:after="0"/>
        <w:rPr>
          <w:rFonts w:ascii="Times New Roman" w:hAnsi="Times New Roman" w:cs="Times New Roman"/>
          <w:b/>
          <w:bCs/>
          <w:sz w:val="24"/>
          <w:szCs w:val="24"/>
        </w:rPr>
      </w:pPr>
    </w:p>
    <w:p w14:paraId="2FE7C1DE" w14:textId="5128F57B" w:rsidR="005B6A5A" w:rsidRDefault="003637BD" w:rsidP="00F16C34">
      <w:pPr>
        <w:spacing w:after="0"/>
        <w:rPr>
          <w:rFonts w:ascii="Times New Roman" w:hAnsi="Times New Roman"/>
          <w:sz w:val="24"/>
          <w:szCs w:val="24"/>
        </w:rPr>
      </w:pPr>
      <w:r>
        <w:rPr>
          <w:rFonts w:ascii="Times New Roman" w:hAnsi="Times New Roman"/>
          <w:sz w:val="24"/>
          <w:szCs w:val="24"/>
        </w:rPr>
        <w:t xml:space="preserve">The </w:t>
      </w:r>
      <w:r w:rsidRPr="001872D6">
        <w:rPr>
          <w:rFonts w:ascii="Times New Roman" w:hAnsi="Times New Roman"/>
          <w:sz w:val="24"/>
          <w:szCs w:val="24"/>
        </w:rPr>
        <w:t>additional $</w:t>
      </w:r>
      <w:r w:rsidR="003B5972" w:rsidRPr="001872D6">
        <w:rPr>
          <w:rFonts w:ascii="Times New Roman" w:hAnsi="Times New Roman"/>
          <w:sz w:val="24"/>
          <w:szCs w:val="24"/>
        </w:rPr>
        <w:t>829,031</w:t>
      </w:r>
      <w:r w:rsidRPr="001872D6">
        <w:rPr>
          <w:rFonts w:ascii="Times New Roman" w:hAnsi="Times New Roman"/>
          <w:sz w:val="24"/>
          <w:szCs w:val="24"/>
        </w:rPr>
        <w:t xml:space="preserve"> (detailed below) will be added to the previous federal cost of $3,651,641 resulting in a new total of $</w:t>
      </w:r>
      <w:r w:rsidR="003B5972" w:rsidRPr="001872D6">
        <w:rPr>
          <w:rFonts w:ascii="Times New Roman" w:hAnsi="Times New Roman"/>
          <w:sz w:val="24"/>
          <w:szCs w:val="24"/>
        </w:rPr>
        <w:t>4,480,672</w:t>
      </w:r>
      <w:r w:rsidR="008A2CA1" w:rsidRPr="001872D6">
        <w:rPr>
          <w:rFonts w:ascii="Times New Roman" w:hAnsi="Times New Roman"/>
          <w:sz w:val="24"/>
          <w:szCs w:val="24"/>
        </w:rPr>
        <w:t>.</w:t>
      </w:r>
    </w:p>
    <w:p w14:paraId="6135A4B7" w14:textId="77777777" w:rsidR="003637BD" w:rsidRDefault="003637BD" w:rsidP="00F16C34">
      <w:pPr>
        <w:spacing w:after="0"/>
        <w:rPr>
          <w:rFonts w:ascii="Times New Roman" w:hAnsi="Times New Roman" w:cs="Times New Roman"/>
          <w:sz w:val="24"/>
          <w:szCs w:val="24"/>
        </w:rPr>
      </w:pPr>
    </w:p>
    <w:p w14:paraId="690532A5" w14:textId="196EBD6A" w:rsidR="005B6A5A" w:rsidRDefault="005B6A5A" w:rsidP="00F16C34">
      <w:pPr>
        <w:spacing w:after="0"/>
        <w:rPr>
          <w:rFonts w:ascii="Times New Roman" w:hAnsi="Times New Roman" w:cs="Times New Roman"/>
          <w:sz w:val="24"/>
          <w:szCs w:val="24"/>
        </w:rPr>
      </w:pPr>
      <w:r>
        <w:rPr>
          <w:rFonts w:ascii="Times New Roman" w:hAnsi="Times New Roman" w:cs="Times New Roman"/>
          <w:sz w:val="24"/>
          <w:szCs w:val="24"/>
        </w:rPr>
        <w:t xml:space="preserve">The estimated </w:t>
      </w:r>
      <w:r w:rsidR="00CE5AD6">
        <w:rPr>
          <w:rFonts w:ascii="Times New Roman" w:hAnsi="Times New Roman" w:cs="Times New Roman"/>
          <w:sz w:val="24"/>
          <w:szCs w:val="24"/>
        </w:rPr>
        <w:t xml:space="preserve">one-time additional </w:t>
      </w:r>
      <w:r>
        <w:rPr>
          <w:rFonts w:ascii="Times New Roman" w:hAnsi="Times New Roman" w:cs="Times New Roman"/>
          <w:sz w:val="24"/>
          <w:szCs w:val="24"/>
        </w:rPr>
        <w:t>cost to the Federal Government for FERC-</w:t>
      </w:r>
      <w:r w:rsidR="003B5972">
        <w:rPr>
          <w:rFonts w:ascii="Times New Roman" w:hAnsi="Times New Roman" w:cs="Times New Roman"/>
          <w:sz w:val="24"/>
          <w:szCs w:val="24"/>
        </w:rPr>
        <w:t>516</w:t>
      </w:r>
      <w:r>
        <w:rPr>
          <w:rFonts w:ascii="Times New Roman" w:hAnsi="Times New Roman" w:cs="Times New Roman"/>
          <w:sz w:val="24"/>
          <w:szCs w:val="24"/>
        </w:rPr>
        <w:t xml:space="preserve"> </w:t>
      </w:r>
      <w:r w:rsidR="00CE5AD6">
        <w:rPr>
          <w:rFonts w:ascii="Times New Roman" w:hAnsi="Times New Roman" w:cs="Times New Roman"/>
          <w:sz w:val="24"/>
          <w:szCs w:val="24"/>
        </w:rPr>
        <w:t xml:space="preserve">due to the NOPR in RM19-5 </w:t>
      </w:r>
      <w:r>
        <w:rPr>
          <w:rFonts w:ascii="Times New Roman" w:hAnsi="Times New Roman" w:cs="Times New Roman"/>
          <w:sz w:val="24"/>
          <w:szCs w:val="24"/>
        </w:rPr>
        <w:t>follows</w:t>
      </w:r>
      <w:r w:rsidR="000A1D86" w:rsidRPr="00386261">
        <w:rPr>
          <w:rStyle w:val="FootnoteReference"/>
          <w:rFonts w:ascii="Times New Roman" w:hAnsi="Times New Roman" w:cs="Times New Roman"/>
          <w:sz w:val="24"/>
          <w:szCs w:val="24"/>
          <w:vertAlign w:val="superscript"/>
        </w:rPr>
        <w:footnoteReference w:id="8"/>
      </w:r>
      <w:r>
        <w:rPr>
          <w:rFonts w:ascii="Times New Roman" w:hAnsi="Times New Roman" w:cs="Times New Roman"/>
          <w:sz w:val="24"/>
          <w:szCs w:val="24"/>
        </w:rPr>
        <w:t>:</w:t>
      </w:r>
    </w:p>
    <w:p w14:paraId="0F39C68F" w14:textId="77777777" w:rsidR="00BC3F97" w:rsidRPr="00B51BB8" w:rsidRDefault="00BC3F97" w:rsidP="00F16C34">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2359F6" w:rsidRPr="00B51BB8" w14:paraId="74760D27" w14:textId="77777777" w:rsidTr="002359F6">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368325C1" w14:textId="41F760AF" w:rsidR="002359F6" w:rsidRPr="00B51BB8" w:rsidRDefault="003637BD" w:rsidP="00F16C34">
            <w:pPr>
              <w:spacing w:after="0"/>
              <w:rPr>
                <w:rFonts w:ascii="Times New Roman" w:hAnsi="Times New Roman" w:cs="Times New Roman"/>
                <w:b/>
                <w:sz w:val="24"/>
                <w:szCs w:val="24"/>
              </w:rPr>
            </w:pPr>
            <w:r>
              <w:rPr>
                <w:rFonts w:ascii="Times New Roman" w:hAnsi="Times New Roman" w:cs="Times New Roman"/>
                <w:b/>
                <w:sz w:val="24"/>
                <w:szCs w:val="24"/>
              </w:rPr>
              <w:t>FERC-516</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604C33BB" w14:textId="77777777" w:rsidR="002359F6" w:rsidRPr="00B51BB8" w:rsidRDefault="002359F6" w:rsidP="00F16C34">
            <w:pPr>
              <w:spacing w:after="0"/>
              <w:rPr>
                <w:rFonts w:ascii="Times New Roman" w:hAnsi="Times New Roman" w:cs="Times New Roman"/>
                <w:b/>
                <w:sz w:val="24"/>
                <w:szCs w:val="24"/>
              </w:rPr>
            </w:pPr>
            <w:r w:rsidRPr="00B51BB8">
              <w:rPr>
                <w:rFonts w:ascii="Times New Roman" w:hAnsi="Times New Roman" w:cs="Times New Roman"/>
                <w:b/>
                <w:sz w:val="24"/>
                <w:szCs w:val="24"/>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666965DF" w14:textId="00848908" w:rsidR="002359F6" w:rsidRPr="00B51BB8" w:rsidRDefault="002359F6" w:rsidP="00CE5AD6">
            <w:pPr>
              <w:spacing w:after="0"/>
              <w:rPr>
                <w:rFonts w:ascii="Times New Roman" w:hAnsi="Times New Roman" w:cs="Times New Roman"/>
                <w:b/>
                <w:sz w:val="24"/>
                <w:szCs w:val="24"/>
              </w:rPr>
            </w:pPr>
            <w:r w:rsidRPr="00B51BB8">
              <w:rPr>
                <w:rFonts w:ascii="Times New Roman" w:hAnsi="Times New Roman" w:cs="Times New Roman"/>
                <w:b/>
                <w:sz w:val="24"/>
                <w:szCs w:val="24"/>
              </w:rPr>
              <w:t>Estimated Federal Cost</w:t>
            </w:r>
          </w:p>
        </w:tc>
      </w:tr>
      <w:tr w:rsidR="002359F6" w:rsidRPr="00B51BB8" w14:paraId="3E7BA932"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6FE375A5" w14:textId="3CD675C8" w:rsidR="002359F6" w:rsidRPr="00B51BB8" w:rsidRDefault="002359F6" w:rsidP="00F16C34">
            <w:pPr>
              <w:spacing w:after="0"/>
              <w:rPr>
                <w:rFonts w:ascii="Times New Roman" w:hAnsi="Times New Roman" w:cs="Times New Roman"/>
                <w:sz w:val="24"/>
                <w:szCs w:val="24"/>
              </w:rPr>
            </w:pPr>
            <w:r w:rsidRPr="00B51BB8">
              <w:rPr>
                <w:rFonts w:ascii="Times New Roman" w:hAnsi="Times New Roman" w:cs="Times New Roman"/>
                <w:sz w:val="24"/>
                <w:szCs w:val="24"/>
              </w:rPr>
              <w:t xml:space="preserve">Analysis </w:t>
            </w:r>
            <w:r w:rsidR="00E66667">
              <w:rPr>
                <w:rFonts w:ascii="Times New Roman" w:hAnsi="Times New Roman" w:cs="Times New Roman"/>
                <w:sz w:val="24"/>
                <w:szCs w:val="24"/>
              </w:rPr>
              <w:t>of F</w:t>
            </w:r>
            <w:r w:rsidRPr="00B51BB8">
              <w:rPr>
                <w:rFonts w:ascii="Times New Roman" w:hAnsi="Times New Roman" w:cs="Times New Roman"/>
                <w:sz w:val="24"/>
                <w:szCs w:val="24"/>
              </w:rPr>
              <w:t>ilings</w:t>
            </w:r>
          </w:p>
        </w:tc>
        <w:tc>
          <w:tcPr>
            <w:tcW w:w="3201" w:type="dxa"/>
            <w:tcBorders>
              <w:top w:val="single" w:sz="4" w:space="0" w:color="auto"/>
              <w:left w:val="single" w:sz="4" w:space="0" w:color="auto"/>
              <w:bottom w:val="single" w:sz="4" w:space="0" w:color="auto"/>
              <w:right w:val="single" w:sz="4" w:space="0" w:color="auto"/>
            </w:tcBorders>
            <w:vAlign w:val="center"/>
            <w:hideMark/>
          </w:tcPr>
          <w:p w14:paraId="04252B1D" w14:textId="48D07D4D" w:rsidR="002359F6" w:rsidRPr="00B51BB8" w:rsidRDefault="002D4897" w:rsidP="00F16C34">
            <w:pPr>
              <w:spacing w:after="0"/>
              <w:jc w:val="right"/>
              <w:rPr>
                <w:rFonts w:ascii="Times New Roman" w:hAnsi="Times New Roman" w:cs="Times New Roman"/>
                <w:sz w:val="24"/>
                <w:szCs w:val="24"/>
              </w:rPr>
            </w:pPr>
            <w:r>
              <w:rPr>
                <w:rFonts w:ascii="Times New Roman" w:hAnsi="Times New Roman" w:cs="Times New Roman"/>
                <w:sz w:val="24"/>
                <w:szCs w:val="24"/>
              </w:rPr>
              <w:t>2.5</w:t>
            </w:r>
          </w:p>
        </w:tc>
        <w:tc>
          <w:tcPr>
            <w:tcW w:w="2995" w:type="dxa"/>
            <w:tcBorders>
              <w:top w:val="single" w:sz="4" w:space="0" w:color="auto"/>
              <w:left w:val="single" w:sz="4" w:space="0" w:color="auto"/>
              <w:bottom w:val="single" w:sz="4" w:space="0" w:color="auto"/>
              <w:right w:val="single" w:sz="4" w:space="0" w:color="auto"/>
            </w:tcBorders>
            <w:vAlign w:val="center"/>
            <w:hideMark/>
          </w:tcPr>
          <w:p w14:paraId="20F3A7DE" w14:textId="0163E16C" w:rsidR="002359F6" w:rsidRPr="00B51BB8" w:rsidRDefault="002359F6" w:rsidP="00F16C34">
            <w:pPr>
              <w:spacing w:after="0"/>
              <w:jc w:val="right"/>
              <w:rPr>
                <w:rFonts w:ascii="Times New Roman" w:hAnsi="Times New Roman" w:cs="Times New Roman"/>
                <w:sz w:val="24"/>
                <w:szCs w:val="24"/>
              </w:rPr>
            </w:pPr>
            <w:r w:rsidRPr="00B51BB8">
              <w:rPr>
                <w:rFonts w:ascii="Times New Roman" w:hAnsi="Times New Roman" w:cs="Times New Roman"/>
                <w:sz w:val="24"/>
                <w:szCs w:val="24"/>
              </w:rPr>
              <w:t>$</w:t>
            </w:r>
            <w:r w:rsidR="003B5972">
              <w:rPr>
                <w:rFonts w:ascii="Times New Roman" w:hAnsi="Times New Roman" w:cs="Times New Roman"/>
                <w:sz w:val="24"/>
                <w:szCs w:val="24"/>
              </w:rPr>
              <w:t>412,050</w:t>
            </w:r>
          </w:p>
        </w:tc>
      </w:tr>
      <w:tr w:rsidR="00E66667" w:rsidRPr="00B51BB8" w14:paraId="6ECA80B5" w14:textId="77777777" w:rsidTr="002359F6">
        <w:tc>
          <w:tcPr>
            <w:tcW w:w="3182" w:type="dxa"/>
            <w:tcBorders>
              <w:top w:val="single" w:sz="4" w:space="0" w:color="auto"/>
              <w:left w:val="single" w:sz="4" w:space="0" w:color="auto"/>
              <w:bottom w:val="single" w:sz="4" w:space="0" w:color="auto"/>
              <w:right w:val="single" w:sz="4" w:space="0" w:color="auto"/>
            </w:tcBorders>
          </w:tcPr>
          <w:p w14:paraId="2916A9D3" w14:textId="0F883B5A" w:rsidR="00E66667" w:rsidRPr="00B51BB8" w:rsidRDefault="00E66667" w:rsidP="00F16C34">
            <w:pPr>
              <w:spacing w:after="0"/>
              <w:rPr>
                <w:rFonts w:ascii="Times New Roman" w:hAnsi="Times New Roman" w:cs="Times New Roman"/>
                <w:sz w:val="24"/>
                <w:szCs w:val="24"/>
              </w:rPr>
            </w:pPr>
            <w:r>
              <w:rPr>
                <w:rFonts w:ascii="Times New Roman" w:hAnsi="Times New Roman" w:cs="Times New Roman"/>
                <w:sz w:val="24"/>
                <w:szCs w:val="24"/>
              </w:rPr>
              <w:t>Processing of Filings</w:t>
            </w:r>
          </w:p>
        </w:tc>
        <w:tc>
          <w:tcPr>
            <w:tcW w:w="3201" w:type="dxa"/>
            <w:tcBorders>
              <w:top w:val="single" w:sz="4" w:space="0" w:color="auto"/>
              <w:left w:val="single" w:sz="4" w:space="0" w:color="auto"/>
              <w:bottom w:val="single" w:sz="4" w:space="0" w:color="auto"/>
              <w:right w:val="single" w:sz="4" w:space="0" w:color="auto"/>
            </w:tcBorders>
            <w:vAlign w:val="center"/>
          </w:tcPr>
          <w:p w14:paraId="657DC224" w14:textId="6FCB95AB" w:rsidR="00E66667" w:rsidRPr="00B51BB8" w:rsidRDefault="002D4897" w:rsidP="00F16C34">
            <w:pPr>
              <w:spacing w:after="0"/>
              <w:jc w:val="right"/>
              <w:rPr>
                <w:rFonts w:ascii="Times New Roman" w:hAnsi="Times New Roman" w:cs="Times New Roman"/>
                <w:sz w:val="24"/>
                <w:szCs w:val="24"/>
              </w:rPr>
            </w:pPr>
            <w:r>
              <w:rPr>
                <w:rFonts w:ascii="Times New Roman" w:hAnsi="Times New Roman" w:cs="Times New Roman"/>
                <w:sz w:val="24"/>
                <w:szCs w:val="24"/>
              </w:rPr>
              <w:t>2.5</w:t>
            </w:r>
          </w:p>
        </w:tc>
        <w:tc>
          <w:tcPr>
            <w:tcW w:w="2995" w:type="dxa"/>
            <w:tcBorders>
              <w:top w:val="single" w:sz="4" w:space="0" w:color="auto"/>
              <w:left w:val="single" w:sz="4" w:space="0" w:color="auto"/>
              <w:bottom w:val="single" w:sz="4" w:space="0" w:color="auto"/>
              <w:right w:val="single" w:sz="4" w:space="0" w:color="auto"/>
            </w:tcBorders>
            <w:vAlign w:val="center"/>
          </w:tcPr>
          <w:p w14:paraId="248DCBA7" w14:textId="7039AC1E" w:rsidR="00E66667" w:rsidRPr="00B51BB8" w:rsidRDefault="00E66667" w:rsidP="00F16C34">
            <w:pPr>
              <w:spacing w:after="0"/>
              <w:jc w:val="right"/>
              <w:rPr>
                <w:rFonts w:ascii="Times New Roman" w:hAnsi="Times New Roman" w:cs="Times New Roman"/>
                <w:sz w:val="24"/>
                <w:szCs w:val="24"/>
              </w:rPr>
            </w:pPr>
            <w:r>
              <w:rPr>
                <w:rFonts w:ascii="Times New Roman" w:hAnsi="Times New Roman" w:cs="Times New Roman"/>
                <w:sz w:val="24"/>
                <w:szCs w:val="24"/>
              </w:rPr>
              <w:t>$</w:t>
            </w:r>
            <w:r w:rsidR="003B5972">
              <w:rPr>
                <w:rFonts w:ascii="Times New Roman" w:hAnsi="Times New Roman" w:cs="Times New Roman"/>
                <w:sz w:val="24"/>
                <w:szCs w:val="24"/>
              </w:rPr>
              <w:t>412,050</w:t>
            </w:r>
          </w:p>
        </w:tc>
      </w:tr>
      <w:tr w:rsidR="002359F6" w:rsidRPr="00B51BB8" w14:paraId="453A7B37"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69B8A50D" w14:textId="77777777" w:rsidR="002359F6" w:rsidRPr="00B51BB8" w:rsidRDefault="002359F6" w:rsidP="00F16C34">
            <w:pPr>
              <w:spacing w:after="0"/>
              <w:rPr>
                <w:rFonts w:ascii="Times New Roman" w:hAnsi="Times New Roman" w:cs="Times New Roman"/>
                <w:sz w:val="24"/>
                <w:szCs w:val="24"/>
              </w:rPr>
            </w:pPr>
            <w:r w:rsidRPr="00B51BB8">
              <w:rPr>
                <w:rFonts w:ascii="Times New Roman" w:hAnsi="Times New Roman" w:cs="Times New Roman"/>
                <w:sz w:val="24"/>
                <w:szCs w:val="24"/>
              </w:rPr>
              <w:t>Paperwork Reduction Act Administrative Cost</w:t>
            </w:r>
            <w:bookmarkStart w:id="1" w:name="_Ref389748397"/>
            <w:r w:rsidRPr="00B51BB8">
              <w:rPr>
                <w:rFonts w:ascii="Times New Roman" w:eastAsia="Times New Roman" w:hAnsi="Times New Roman" w:cs="Times New Roman"/>
                <w:sz w:val="24"/>
                <w:szCs w:val="24"/>
                <w:vertAlign w:val="superscript"/>
              </w:rPr>
              <w:footnoteReference w:id="9"/>
            </w:r>
            <w:bookmarkEnd w:id="1"/>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0C2F4" w14:textId="77777777" w:rsidR="002359F6" w:rsidRPr="00B51BB8" w:rsidRDefault="002359F6" w:rsidP="00F16C34">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116405AD" w14:textId="6F8CEEF6" w:rsidR="002359F6" w:rsidRPr="00B51BB8" w:rsidRDefault="00EF4E3E" w:rsidP="00F16C34">
            <w:pPr>
              <w:spacing w:after="0"/>
              <w:jc w:val="right"/>
              <w:rPr>
                <w:rFonts w:ascii="Times New Roman" w:hAnsi="Times New Roman" w:cs="Times New Roman"/>
                <w:sz w:val="24"/>
                <w:szCs w:val="24"/>
              </w:rPr>
            </w:pPr>
            <w:r>
              <w:rPr>
                <w:rFonts w:ascii="Times New Roman" w:hAnsi="Times New Roman" w:cs="Times New Roman"/>
                <w:sz w:val="24"/>
                <w:szCs w:val="24"/>
              </w:rPr>
              <w:t>$</w:t>
            </w:r>
            <w:r w:rsidR="001E79D1">
              <w:rPr>
                <w:rFonts w:ascii="Times New Roman" w:hAnsi="Times New Roman" w:cs="Times New Roman"/>
                <w:sz w:val="24"/>
                <w:szCs w:val="24"/>
              </w:rPr>
              <w:t>4,931</w:t>
            </w:r>
            <w:r w:rsidR="001E79D1" w:rsidRPr="00455E9F">
              <w:rPr>
                <w:rStyle w:val="FootnoteReference"/>
                <w:rFonts w:ascii="Times New Roman" w:hAnsi="Times New Roman" w:cs="Times New Roman"/>
                <w:sz w:val="24"/>
                <w:szCs w:val="24"/>
                <w:vertAlign w:val="superscript"/>
              </w:rPr>
              <w:footnoteReference w:id="10"/>
            </w:r>
          </w:p>
        </w:tc>
      </w:tr>
      <w:tr w:rsidR="002359F6" w:rsidRPr="00B51BB8" w14:paraId="2F75250A"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6F95BDC0" w14:textId="77777777" w:rsidR="002359F6" w:rsidRPr="00B51BB8" w:rsidRDefault="002359F6" w:rsidP="00F16C34">
            <w:pPr>
              <w:spacing w:after="0"/>
              <w:rPr>
                <w:rFonts w:ascii="Times New Roman" w:hAnsi="Times New Roman" w:cs="Times New Roman"/>
                <w:b/>
                <w:sz w:val="24"/>
                <w:szCs w:val="24"/>
              </w:rPr>
            </w:pPr>
            <w:r w:rsidRPr="00B51BB8">
              <w:rPr>
                <w:rFonts w:ascii="Times New Roman" w:hAnsi="Times New Roman" w:cs="Times New Roman"/>
                <w:b/>
                <w:sz w:val="24"/>
                <w:szCs w:val="24"/>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679C" w14:textId="77777777" w:rsidR="002359F6" w:rsidRPr="00B51BB8" w:rsidRDefault="002359F6" w:rsidP="00F16C34">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579CA50F" w14:textId="2A2A54CE" w:rsidR="002359F6" w:rsidRPr="00B51BB8" w:rsidRDefault="00EF4E3E" w:rsidP="00F16C34">
            <w:pPr>
              <w:spacing w:after="0"/>
              <w:jc w:val="right"/>
              <w:rPr>
                <w:rFonts w:ascii="Times New Roman" w:hAnsi="Times New Roman" w:cs="Times New Roman"/>
                <w:sz w:val="24"/>
                <w:szCs w:val="24"/>
              </w:rPr>
            </w:pPr>
            <w:r>
              <w:rPr>
                <w:rFonts w:ascii="Times New Roman" w:hAnsi="Times New Roman" w:cs="Times New Roman"/>
                <w:sz w:val="24"/>
                <w:szCs w:val="24"/>
              </w:rPr>
              <w:t>$</w:t>
            </w:r>
            <w:r w:rsidR="003B5972">
              <w:rPr>
                <w:rFonts w:ascii="Times New Roman" w:hAnsi="Times New Roman" w:cs="Times New Roman"/>
                <w:sz w:val="24"/>
                <w:szCs w:val="24"/>
              </w:rPr>
              <w:t>829,031</w:t>
            </w:r>
          </w:p>
        </w:tc>
      </w:tr>
    </w:tbl>
    <w:p w14:paraId="3C1ABC63" w14:textId="77777777" w:rsidR="009922B2" w:rsidRPr="00B51BB8" w:rsidRDefault="009922B2" w:rsidP="00F16C34">
      <w:pPr>
        <w:rPr>
          <w:rFonts w:ascii="Times New Roman" w:hAnsi="Times New Roman" w:cs="Times New Roman"/>
          <w:sz w:val="24"/>
          <w:szCs w:val="24"/>
        </w:rPr>
      </w:pPr>
    </w:p>
    <w:p w14:paraId="68B9EDF1" w14:textId="77777777" w:rsidR="00C4205B" w:rsidRPr="009922B2"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REASONS FOR CHANGES IN BURDEN INCLUDING THE NEED FOR ANY INCREASE</w:t>
      </w:r>
    </w:p>
    <w:p w14:paraId="3FEA176F" w14:textId="77777777" w:rsidR="009922B2" w:rsidRPr="00B51BB8" w:rsidRDefault="009922B2" w:rsidP="00F16C34">
      <w:pPr>
        <w:widowControl w:val="0"/>
        <w:autoSpaceDE w:val="0"/>
        <w:autoSpaceDN w:val="0"/>
        <w:adjustRightInd w:val="0"/>
        <w:spacing w:after="0"/>
        <w:rPr>
          <w:rFonts w:ascii="Times New Roman" w:hAnsi="Times New Roman" w:cs="Times New Roman"/>
          <w:sz w:val="24"/>
          <w:szCs w:val="24"/>
        </w:rPr>
      </w:pPr>
    </w:p>
    <w:p w14:paraId="63B9A855" w14:textId="09FD21A3" w:rsidR="00B4168F" w:rsidRDefault="00607132" w:rsidP="00F16C34">
      <w:pPr>
        <w:rPr>
          <w:rFonts w:ascii="Times New Roman" w:hAnsi="Times New Roman" w:cs="Times New Roman"/>
          <w:sz w:val="24"/>
          <w:szCs w:val="24"/>
        </w:rPr>
      </w:pPr>
      <w:r>
        <w:rPr>
          <w:rFonts w:ascii="Times New Roman" w:hAnsi="Times New Roman" w:cs="Times New Roman"/>
          <w:sz w:val="24"/>
          <w:szCs w:val="24"/>
        </w:rPr>
        <w:t>The reforms proposed in the</w:t>
      </w:r>
      <w:r w:rsidR="00614708" w:rsidRPr="00614708">
        <w:rPr>
          <w:rFonts w:ascii="Times New Roman" w:hAnsi="Times New Roman" w:cs="Times New Roman"/>
          <w:sz w:val="24"/>
          <w:szCs w:val="24"/>
        </w:rPr>
        <w:t xml:space="preserve"> </w:t>
      </w:r>
      <w:r w:rsidR="009D5520">
        <w:rPr>
          <w:rFonts w:ascii="Times New Roman" w:hAnsi="Times New Roman" w:cs="Times New Roman"/>
          <w:sz w:val="24"/>
          <w:szCs w:val="24"/>
        </w:rPr>
        <w:t>NOPR</w:t>
      </w:r>
      <w:r w:rsidR="00614708" w:rsidRPr="00614708">
        <w:rPr>
          <w:rFonts w:ascii="Times New Roman" w:hAnsi="Times New Roman" w:cs="Times New Roman"/>
          <w:sz w:val="24"/>
          <w:szCs w:val="24"/>
        </w:rPr>
        <w:t xml:space="preserve"> address public utilities that have</w:t>
      </w:r>
      <w:r w:rsidR="00614708">
        <w:rPr>
          <w:rFonts w:ascii="Times New Roman" w:hAnsi="Times New Roman" w:cs="Times New Roman"/>
          <w:sz w:val="24"/>
          <w:szCs w:val="24"/>
        </w:rPr>
        <w:t xml:space="preserve"> </w:t>
      </w:r>
      <w:r w:rsidR="00614708" w:rsidRPr="00614708">
        <w:rPr>
          <w:rFonts w:ascii="Times New Roman" w:hAnsi="Times New Roman" w:cs="Times New Roman"/>
          <w:sz w:val="24"/>
          <w:szCs w:val="24"/>
        </w:rPr>
        <w:t xml:space="preserve">transmission formula rates and transmission stated rates. </w:t>
      </w:r>
      <w:r w:rsidR="00614708">
        <w:rPr>
          <w:rFonts w:ascii="Times New Roman" w:hAnsi="Times New Roman" w:cs="Times New Roman"/>
          <w:sz w:val="24"/>
          <w:szCs w:val="24"/>
        </w:rPr>
        <w:t xml:space="preserve"> </w:t>
      </w:r>
      <w:r w:rsidR="00614708" w:rsidRPr="00614708">
        <w:rPr>
          <w:rFonts w:ascii="Times New Roman" w:hAnsi="Times New Roman" w:cs="Times New Roman"/>
          <w:sz w:val="24"/>
          <w:szCs w:val="24"/>
        </w:rPr>
        <w:t>The reforms related to</w:t>
      </w:r>
      <w:r w:rsidR="00614708">
        <w:rPr>
          <w:rFonts w:ascii="Times New Roman" w:hAnsi="Times New Roman" w:cs="Times New Roman"/>
          <w:sz w:val="24"/>
          <w:szCs w:val="24"/>
        </w:rPr>
        <w:t xml:space="preserve"> </w:t>
      </w:r>
      <w:r w:rsidR="00614708" w:rsidRPr="00614708">
        <w:rPr>
          <w:rFonts w:ascii="Times New Roman" w:hAnsi="Times New Roman" w:cs="Times New Roman"/>
          <w:sz w:val="24"/>
          <w:szCs w:val="24"/>
        </w:rPr>
        <w:t>transmission formula rates represent new requirements for these entities under the</w:t>
      </w:r>
      <w:r w:rsidR="00614708">
        <w:rPr>
          <w:rFonts w:ascii="Times New Roman" w:hAnsi="Times New Roman" w:cs="Times New Roman"/>
          <w:sz w:val="24"/>
          <w:szCs w:val="24"/>
        </w:rPr>
        <w:t xml:space="preserve"> </w:t>
      </w:r>
      <w:r w:rsidR="00614708" w:rsidRPr="00614708">
        <w:rPr>
          <w:rFonts w:ascii="Times New Roman" w:hAnsi="Times New Roman" w:cs="Times New Roman"/>
          <w:sz w:val="24"/>
          <w:szCs w:val="24"/>
        </w:rPr>
        <w:t xml:space="preserve">Commission’s regulations, which </w:t>
      </w:r>
      <w:r w:rsidR="00A02A10">
        <w:rPr>
          <w:rFonts w:ascii="Times New Roman" w:hAnsi="Times New Roman" w:cs="Times New Roman"/>
          <w:sz w:val="24"/>
          <w:szCs w:val="24"/>
        </w:rPr>
        <w:t>the Commission</w:t>
      </w:r>
      <w:r w:rsidR="00614708" w:rsidRPr="00614708">
        <w:rPr>
          <w:rFonts w:ascii="Times New Roman" w:hAnsi="Times New Roman" w:cs="Times New Roman"/>
          <w:sz w:val="24"/>
          <w:szCs w:val="24"/>
        </w:rPr>
        <w:t xml:space="preserve"> believe</w:t>
      </w:r>
      <w:r w:rsidR="00A02A10">
        <w:rPr>
          <w:rFonts w:ascii="Times New Roman" w:hAnsi="Times New Roman" w:cs="Times New Roman"/>
          <w:sz w:val="24"/>
          <w:szCs w:val="24"/>
        </w:rPr>
        <w:t>s</w:t>
      </w:r>
      <w:r w:rsidR="00614708" w:rsidRPr="00614708">
        <w:rPr>
          <w:rFonts w:ascii="Times New Roman" w:hAnsi="Times New Roman" w:cs="Times New Roman"/>
          <w:sz w:val="24"/>
          <w:szCs w:val="24"/>
        </w:rPr>
        <w:t xml:space="preserve"> are necessary</w:t>
      </w:r>
      <w:r w:rsidR="009D5520">
        <w:rPr>
          <w:rFonts w:ascii="Times New Roman" w:hAnsi="Times New Roman" w:cs="Times New Roman"/>
          <w:sz w:val="24"/>
          <w:szCs w:val="24"/>
        </w:rPr>
        <w:t xml:space="preserve">. </w:t>
      </w:r>
      <w:r w:rsidR="00614708" w:rsidRPr="00614708">
        <w:rPr>
          <w:rFonts w:ascii="Times New Roman" w:hAnsi="Times New Roman" w:cs="Times New Roman"/>
          <w:b/>
          <w:bCs/>
          <w:sz w:val="24"/>
          <w:szCs w:val="24"/>
        </w:rPr>
        <w:t xml:space="preserve"> </w:t>
      </w:r>
      <w:r w:rsidR="00614708" w:rsidRPr="00614708">
        <w:rPr>
          <w:rFonts w:ascii="Times New Roman" w:hAnsi="Times New Roman" w:cs="Times New Roman"/>
          <w:sz w:val="24"/>
          <w:szCs w:val="24"/>
        </w:rPr>
        <w:t>These new requirements would require</w:t>
      </w:r>
      <w:r w:rsidR="00614708">
        <w:rPr>
          <w:rFonts w:ascii="Times New Roman" w:hAnsi="Times New Roman" w:cs="Times New Roman"/>
          <w:sz w:val="24"/>
          <w:szCs w:val="24"/>
        </w:rPr>
        <w:t xml:space="preserve"> </w:t>
      </w:r>
      <w:r w:rsidR="00614708" w:rsidRPr="00614708">
        <w:rPr>
          <w:rFonts w:ascii="Times New Roman" w:hAnsi="Times New Roman" w:cs="Times New Roman"/>
          <w:sz w:val="24"/>
          <w:szCs w:val="24"/>
        </w:rPr>
        <w:t>each public utility with a transmission formula rate to revise its rate so that any excess or</w:t>
      </w:r>
      <w:r w:rsidR="00614708">
        <w:rPr>
          <w:rFonts w:ascii="Times New Roman" w:hAnsi="Times New Roman" w:cs="Times New Roman"/>
          <w:sz w:val="24"/>
          <w:szCs w:val="24"/>
        </w:rPr>
        <w:t xml:space="preserve"> </w:t>
      </w:r>
      <w:r w:rsidR="00614708" w:rsidRPr="00614708">
        <w:rPr>
          <w:rFonts w:ascii="Times New Roman" w:hAnsi="Times New Roman" w:cs="Times New Roman"/>
          <w:sz w:val="24"/>
          <w:szCs w:val="24"/>
        </w:rPr>
        <w:t>deficient ADIT is properly reflected in its revenue requirement following a change in tax</w:t>
      </w:r>
      <w:r w:rsidR="00614708">
        <w:rPr>
          <w:rFonts w:ascii="Times New Roman" w:hAnsi="Times New Roman" w:cs="Times New Roman"/>
          <w:sz w:val="24"/>
          <w:szCs w:val="24"/>
        </w:rPr>
        <w:t xml:space="preserve"> </w:t>
      </w:r>
      <w:r w:rsidR="00614708" w:rsidRPr="00614708">
        <w:rPr>
          <w:rFonts w:ascii="Times New Roman" w:hAnsi="Times New Roman" w:cs="Times New Roman"/>
          <w:sz w:val="24"/>
          <w:szCs w:val="24"/>
        </w:rPr>
        <w:t xml:space="preserve">rates, such as those established by the Tax Cuts and Jobs Act. </w:t>
      </w:r>
      <w:r w:rsidR="009D5520">
        <w:rPr>
          <w:rFonts w:ascii="Times New Roman" w:hAnsi="Times New Roman" w:cs="Times New Roman"/>
          <w:sz w:val="24"/>
          <w:szCs w:val="24"/>
        </w:rPr>
        <w:t xml:space="preserve"> </w:t>
      </w:r>
      <w:r w:rsidR="00614708" w:rsidRPr="00614708">
        <w:rPr>
          <w:rFonts w:ascii="Times New Roman" w:hAnsi="Times New Roman" w:cs="Times New Roman"/>
          <w:sz w:val="24"/>
          <w:szCs w:val="24"/>
        </w:rPr>
        <w:t>Additionally, each public</w:t>
      </w:r>
      <w:r w:rsidR="009D5520">
        <w:rPr>
          <w:rFonts w:ascii="Times New Roman" w:hAnsi="Times New Roman" w:cs="Times New Roman"/>
          <w:sz w:val="24"/>
          <w:szCs w:val="24"/>
        </w:rPr>
        <w:t xml:space="preserve"> </w:t>
      </w:r>
      <w:r w:rsidR="009D5520" w:rsidRPr="009D5520">
        <w:rPr>
          <w:rFonts w:ascii="Times New Roman" w:hAnsi="Times New Roman" w:cs="Times New Roman"/>
          <w:sz w:val="24"/>
          <w:szCs w:val="24"/>
        </w:rPr>
        <w:t xml:space="preserve">utility with a transmission formula rate would be required to </w:t>
      </w:r>
      <w:r w:rsidR="009860C1">
        <w:rPr>
          <w:rFonts w:ascii="Times New Roman" w:hAnsi="Times New Roman" w:cs="Times New Roman"/>
          <w:sz w:val="24"/>
          <w:szCs w:val="24"/>
        </w:rPr>
        <w:t xml:space="preserve">develop and </w:t>
      </w:r>
      <w:r w:rsidR="009D5520" w:rsidRPr="009D5520">
        <w:rPr>
          <w:rFonts w:ascii="Times New Roman" w:hAnsi="Times New Roman" w:cs="Times New Roman"/>
          <w:sz w:val="24"/>
          <w:szCs w:val="24"/>
        </w:rPr>
        <w:t>incorporate a new</w:t>
      </w:r>
      <w:r w:rsidR="009D5520">
        <w:rPr>
          <w:rFonts w:ascii="Times New Roman" w:hAnsi="Times New Roman" w:cs="Times New Roman"/>
          <w:sz w:val="24"/>
          <w:szCs w:val="24"/>
        </w:rPr>
        <w:t xml:space="preserve"> </w:t>
      </w:r>
      <w:r w:rsidR="009D5520" w:rsidRPr="009D5520">
        <w:rPr>
          <w:rFonts w:ascii="Times New Roman" w:hAnsi="Times New Roman" w:cs="Times New Roman"/>
          <w:sz w:val="24"/>
          <w:szCs w:val="24"/>
        </w:rPr>
        <w:t>permanent worksheet into its transmission formula rate to increase transparency.</w:t>
      </w:r>
    </w:p>
    <w:p w14:paraId="0E519753" w14:textId="4F000FD4" w:rsidR="001F6492" w:rsidRDefault="001F6492" w:rsidP="00F16C34">
      <w:pPr>
        <w:rPr>
          <w:rFonts w:ascii="Times New Roman" w:hAnsi="Times New Roman" w:cs="Times New Roman"/>
          <w:sz w:val="24"/>
          <w:szCs w:val="24"/>
        </w:rPr>
      </w:pPr>
      <w:r w:rsidRPr="001F6492">
        <w:rPr>
          <w:rFonts w:ascii="Times New Roman" w:hAnsi="Times New Roman" w:cs="Times New Roman"/>
          <w:sz w:val="24"/>
          <w:szCs w:val="24"/>
        </w:rPr>
        <w:t xml:space="preserve">The reforms required by </w:t>
      </w:r>
      <w:r w:rsidR="00607132">
        <w:rPr>
          <w:rFonts w:ascii="Times New Roman" w:hAnsi="Times New Roman" w:cs="Times New Roman"/>
          <w:sz w:val="24"/>
          <w:szCs w:val="24"/>
        </w:rPr>
        <w:t>the NOPR</w:t>
      </w:r>
      <w:r w:rsidRPr="001F6492">
        <w:rPr>
          <w:rFonts w:ascii="Times New Roman" w:hAnsi="Times New Roman" w:cs="Times New Roman"/>
          <w:sz w:val="24"/>
          <w:szCs w:val="24"/>
        </w:rPr>
        <w:t xml:space="preserve"> </w:t>
      </w:r>
      <w:r w:rsidR="00A02A10">
        <w:rPr>
          <w:rFonts w:ascii="Times New Roman" w:hAnsi="Times New Roman" w:cs="Times New Roman"/>
          <w:sz w:val="24"/>
          <w:szCs w:val="24"/>
        </w:rPr>
        <w:t>would</w:t>
      </w:r>
      <w:r w:rsidRPr="001F6492">
        <w:rPr>
          <w:rFonts w:ascii="Times New Roman" w:hAnsi="Times New Roman" w:cs="Times New Roman"/>
          <w:sz w:val="24"/>
          <w:szCs w:val="24"/>
        </w:rPr>
        <w:t xml:space="preserve"> require each public utility with</w:t>
      </w:r>
      <w:r>
        <w:rPr>
          <w:rFonts w:ascii="Times New Roman" w:hAnsi="Times New Roman" w:cs="Times New Roman"/>
          <w:sz w:val="24"/>
          <w:szCs w:val="24"/>
        </w:rPr>
        <w:t xml:space="preserve"> </w:t>
      </w:r>
      <w:r w:rsidRPr="001F6492">
        <w:rPr>
          <w:rFonts w:ascii="Times New Roman" w:hAnsi="Times New Roman" w:cs="Times New Roman"/>
          <w:sz w:val="24"/>
          <w:szCs w:val="24"/>
        </w:rPr>
        <w:t>stated rates to calculate the excess and deficient ADIT caused by the Tax Cuts and Jobs</w:t>
      </w:r>
      <w:r>
        <w:rPr>
          <w:rFonts w:ascii="Times New Roman" w:hAnsi="Times New Roman" w:cs="Times New Roman"/>
          <w:sz w:val="24"/>
          <w:szCs w:val="24"/>
        </w:rPr>
        <w:t xml:space="preserve"> </w:t>
      </w:r>
      <w:r w:rsidRPr="001F6492">
        <w:rPr>
          <w:rFonts w:ascii="Times New Roman" w:hAnsi="Times New Roman" w:cs="Times New Roman"/>
          <w:sz w:val="24"/>
          <w:szCs w:val="24"/>
        </w:rPr>
        <w:t>Act and to return to or recover from customers those amounts. This reform is intended to</w:t>
      </w:r>
      <w:r>
        <w:rPr>
          <w:rFonts w:ascii="Times New Roman" w:hAnsi="Times New Roman" w:cs="Times New Roman"/>
          <w:sz w:val="24"/>
          <w:szCs w:val="24"/>
        </w:rPr>
        <w:t xml:space="preserve"> </w:t>
      </w:r>
      <w:r w:rsidRPr="001F6492">
        <w:rPr>
          <w:rFonts w:ascii="Times New Roman" w:hAnsi="Times New Roman" w:cs="Times New Roman"/>
          <w:sz w:val="24"/>
          <w:szCs w:val="24"/>
        </w:rPr>
        <w:t>increase the likelihood that customers who contributed to the excess ADIT balance timely</w:t>
      </w:r>
      <w:r>
        <w:rPr>
          <w:rFonts w:ascii="Times New Roman" w:hAnsi="Times New Roman" w:cs="Times New Roman"/>
          <w:sz w:val="24"/>
          <w:szCs w:val="24"/>
        </w:rPr>
        <w:t xml:space="preserve"> </w:t>
      </w:r>
      <w:r w:rsidRPr="001F6492">
        <w:rPr>
          <w:rFonts w:ascii="Times New Roman" w:hAnsi="Times New Roman" w:cs="Times New Roman"/>
          <w:sz w:val="24"/>
          <w:szCs w:val="24"/>
        </w:rPr>
        <w:t>receive the benefits of the Tax Cuts and Jobs Act.</w:t>
      </w:r>
      <w:r>
        <w:rPr>
          <w:rFonts w:ascii="Times New Roman" w:hAnsi="Times New Roman" w:cs="Times New Roman"/>
          <w:sz w:val="24"/>
          <w:szCs w:val="24"/>
        </w:rPr>
        <w:t xml:space="preserve"> </w:t>
      </w:r>
    </w:p>
    <w:p w14:paraId="7958FE6A" w14:textId="6A544243" w:rsidR="00B4168F" w:rsidRDefault="001F6492" w:rsidP="00F16C34">
      <w:pPr>
        <w:rPr>
          <w:rFonts w:ascii="Times New Roman" w:hAnsi="Times New Roman" w:cs="Times New Roman"/>
          <w:sz w:val="24"/>
          <w:szCs w:val="24"/>
        </w:rPr>
      </w:pPr>
      <w:r w:rsidRPr="001F6492">
        <w:rPr>
          <w:rFonts w:ascii="Times New Roman" w:hAnsi="Times New Roman" w:cs="Times New Roman"/>
          <w:sz w:val="24"/>
          <w:szCs w:val="24"/>
        </w:rPr>
        <w:t xml:space="preserve">The reforms proposed in this </w:t>
      </w:r>
      <w:r w:rsidR="00940A8F">
        <w:rPr>
          <w:rFonts w:ascii="Times New Roman" w:hAnsi="Times New Roman" w:cs="Times New Roman"/>
          <w:sz w:val="24"/>
          <w:szCs w:val="24"/>
        </w:rPr>
        <w:t>NOPR</w:t>
      </w:r>
      <w:r w:rsidR="008245AD">
        <w:rPr>
          <w:rFonts w:ascii="Times New Roman" w:hAnsi="Times New Roman" w:cs="Times New Roman"/>
          <w:sz w:val="24"/>
          <w:szCs w:val="24"/>
        </w:rPr>
        <w:t xml:space="preserve"> </w:t>
      </w:r>
      <w:r w:rsidRPr="001F6492">
        <w:rPr>
          <w:rFonts w:ascii="Times New Roman" w:hAnsi="Times New Roman" w:cs="Times New Roman"/>
          <w:sz w:val="24"/>
          <w:szCs w:val="24"/>
        </w:rPr>
        <w:t>would require compliance filings with</w:t>
      </w:r>
      <w:r>
        <w:rPr>
          <w:rFonts w:ascii="Times New Roman" w:hAnsi="Times New Roman" w:cs="Times New Roman"/>
          <w:sz w:val="24"/>
          <w:szCs w:val="24"/>
        </w:rPr>
        <w:t xml:space="preserve"> </w:t>
      </w:r>
      <w:r w:rsidRPr="001F6492">
        <w:rPr>
          <w:rFonts w:ascii="Times New Roman" w:hAnsi="Times New Roman" w:cs="Times New Roman"/>
          <w:sz w:val="24"/>
          <w:szCs w:val="24"/>
        </w:rPr>
        <w:t>the Commission by each public utility with transmission stated or formula rates to allow</w:t>
      </w:r>
      <w:r>
        <w:rPr>
          <w:rFonts w:ascii="Times New Roman" w:hAnsi="Times New Roman" w:cs="Times New Roman"/>
          <w:sz w:val="24"/>
          <w:szCs w:val="24"/>
        </w:rPr>
        <w:t xml:space="preserve"> </w:t>
      </w:r>
      <w:r w:rsidRPr="001F6492">
        <w:rPr>
          <w:rFonts w:ascii="Times New Roman" w:hAnsi="Times New Roman" w:cs="Times New Roman"/>
          <w:sz w:val="24"/>
          <w:szCs w:val="24"/>
        </w:rPr>
        <w:t>the Commission the opportunity to determine whether each such public utility met the</w:t>
      </w:r>
      <w:r>
        <w:rPr>
          <w:rFonts w:ascii="Times New Roman" w:hAnsi="Times New Roman" w:cs="Times New Roman"/>
          <w:sz w:val="24"/>
          <w:szCs w:val="24"/>
        </w:rPr>
        <w:t xml:space="preserve"> </w:t>
      </w:r>
      <w:r w:rsidRPr="001F6492">
        <w:rPr>
          <w:rFonts w:ascii="Times New Roman" w:hAnsi="Times New Roman" w:cs="Times New Roman"/>
          <w:sz w:val="24"/>
          <w:szCs w:val="24"/>
        </w:rPr>
        <w:t xml:space="preserve">requirements detailed in this </w:t>
      </w:r>
      <w:r>
        <w:rPr>
          <w:rFonts w:ascii="Times New Roman" w:hAnsi="Times New Roman" w:cs="Times New Roman"/>
          <w:sz w:val="24"/>
          <w:szCs w:val="24"/>
        </w:rPr>
        <w:t>NOPR</w:t>
      </w:r>
      <w:r w:rsidRPr="001F6492">
        <w:rPr>
          <w:rFonts w:ascii="Times New Roman" w:hAnsi="Times New Roman" w:cs="Times New Roman"/>
          <w:sz w:val="24"/>
          <w:szCs w:val="24"/>
        </w:rPr>
        <w:t>.</w:t>
      </w:r>
    </w:p>
    <w:p w14:paraId="53971EE3" w14:textId="647BB844" w:rsidR="00C4205B" w:rsidRPr="002025A8" w:rsidRDefault="00AF29FC" w:rsidP="00F16C34">
      <w:pPr>
        <w:rPr>
          <w:rFonts w:ascii="Times New Roman" w:hAnsi="Times New Roman" w:cs="Times New Roman"/>
          <w:bCs/>
          <w:sz w:val="24"/>
          <w:szCs w:val="24"/>
        </w:rPr>
      </w:pPr>
      <w:r w:rsidRPr="00B51BB8">
        <w:rPr>
          <w:rFonts w:ascii="Times New Roman" w:hAnsi="Times New Roman" w:cs="Times New Roman"/>
          <w:bCs/>
          <w:sz w:val="24"/>
          <w:szCs w:val="24"/>
        </w:rPr>
        <w:t>A summary of the current OMB-approved inventory and the changes</w:t>
      </w:r>
      <w:r w:rsidR="004D5871">
        <w:rPr>
          <w:rFonts w:ascii="Times New Roman" w:hAnsi="Times New Roman" w:cs="Times New Roman"/>
          <w:bCs/>
          <w:sz w:val="24"/>
          <w:szCs w:val="24"/>
        </w:rPr>
        <w:t xml:space="preserve"> to FERC-516</w:t>
      </w:r>
      <w:r w:rsidR="0082752D">
        <w:rPr>
          <w:rFonts w:ascii="Times New Roman" w:hAnsi="Times New Roman" w:cs="Times New Roman"/>
          <w:bCs/>
          <w:sz w:val="24"/>
          <w:szCs w:val="24"/>
        </w:rPr>
        <w:t xml:space="preserve"> information collection </w:t>
      </w:r>
      <w:r w:rsidR="00B4168F">
        <w:rPr>
          <w:rFonts w:ascii="Times New Roman" w:hAnsi="Times New Roman" w:cs="Times New Roman"/>
          <w:bCs/>
          <w:sz w:val="24"/>
          <w:szCs w:val="24"/>
        </w:rPr>
        <w:t>due to the NOPR in RM19-5-000</w:t>
      </w:r>
      <w:r w:rsidR="0082752D">
        <w:rPr>
          <w:rFonts w:ascii="Times New Roman" w:hAnsi="Times New Roman" w:cs="Times New Roman"/>
          <w:bCs/>
          <w:sz w:val="24"/>
          <w:szCs w:val="24"/>
        </w:rPr>
        <w:t xml:space="preserve"> follows:</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2025A8" w:rsidRPr="002025A8" w14:paraId="29A4FB99" w14:textId="77777777" w:rsidTr="00A41279">
        <w:trPr>
          <w:trHeight w:val="1205"/>
        </w:trPr>
        <w:tc>
          <w:tcPr>
            <w:tcW w:w="2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788D336" w14:textId="4561BA76" w:rsidR="002025A8" w:rsidRPr="002025A8" w:rsidRDefault="008D4025" w:rsidP="00F16C34">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w:t>
            </w:r>
            <w:r w:rsidR="004D5871">
              <w:rPr>
                <w:rFonts w:ascii="Times New Roman" w:eastAsia="Calibri" w:hAnsi="Times New Roman" w:cs="Times New Roman"/>
                <w:b/>
                <w:bCs/>
                <w:sz w:val="24"/>
                <w:szCs w:val="24"/>
              </w:rPr>
              <w:t>ERC-516</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71BBC47" w14:textId="77777777" w:rsidR="002025A8" w:rsidRPr="002025A8" w:rsidRDefault="002025A8" w:rsidP="00F16C34">
            <w:pPr>
              <w:spacing w:after="0"/>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E12945C" w14:textId="77777777" w:rsidR="002025A8" w:rsidRPr="002025A8" w:rsidRDefault="002025A8" w:rsidP="00F16C34">
            <w:pPr>
              <w:spacing w:after="0"/>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9D2597A" w14:textId="77777777" w:rsidR="002025A8" w:rsidRPr="002025A8" w:rsidRDefault="002025A8" w:rsidP="00F16C34">
            <w:pPr>
              <w:spacing w:after="0"/>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5BF5ECF" w14:textId="77777777" w:rsidR="002025A8" w:rsidRPr="002025A8" w:rsidRDefault="002025A8" w:rsidP="00F16C34">
            <w:pPr>
              <w:spacing w:after="0"/>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Agency Discretion</w:t>
            </w:r>
          </w:p>
        </w:tc>
      </w:tr>
      <w:tr w:rsidR="002025A8" w:rsidRPr="002025A8" w14:paraId="530412C2" w14:textId="77777777" w:rsidTr="00A41279">
        <w:trPr>
          <w:trHeight w:val="591"/>
        </w:trPr>
        <w:tc>
          <w:tcPr>
            <w:tcW w:w="2679" w:type="dxa"/>
            <w:tcBorders>
              <w:top w:val="single" w:sz="4" w:space="0" w:color="auto"/>
              <w:left w:val="single" w:sz="4" w:space="0" w:color="auto"/>
              <w:bottom w:val="single" w:sz="4" w:space="0" w:color="auto"/>
              <w:right w:val="single" w:sz="4" w:space="0" w:color="auto"/>
            </w:tcBorders>
            <w:hideMark/>
          </w:tcPr>
          <w:p w14:paraId="3954F29A" w14:textId="77777777" w:rsidR="002025A8" w:rsidRPr="002025A8" w:rsidRDefault="002025A8" w:rsidP="00F16C34">
            <w:pPr>
              <w:spacing w:after="0"/>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Number of Responses</w:t>
            </w:r>
          </w:p>
        </w:tc>
        <w:tc>
          <w:tcPr>
            <w:tcW w:w="1461" w:type="dxa"/>
            <w:tcBorders>
              <w:top w:val="single" w:sz="4" w:space="0" w:color="auto"/>
              <w:left w:val="single" w:sz="4" w:space="0" w:color="auto"/>
              <w:bottom w:val="single" w:sz="4" w:space="0" w:color="auto"/>
              <w:right w:val="single" w:sz="4" w:space="0" w:color="auto"/>
            </w:tcBorders>
            <w:vAlign w:val="bottom"/>
          </w:tcPr>
          <w:p w14:paraId="0AEBC581" w14:textId="49CD13E9" w:rsidR="002025A8" w:rsidRPr="002025A8" w:rsidRDefault="00B4168F" w:rsidP="00F16C34">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6,789</w:t>
            </w:r>
          </w:p>
        </w:tc>
        <w:tc>
          <w:tcPr>
            <w:tcW w:w="1620" w:type="dxa"/>
            <w:tcBorders>
              <w:top w:val="single" w:sz="4" w:space="0" w:color="auto"/>
              <w:left w:val="single" w:sz="4" w:space="0" w:color="auto"/>
              <w:bottom w:val="single" w:sz="4" w:space="0" w:color="auto"/>
              <w:right w:val="single" w:sz="4" w:space="0" w:color="auto"/>
            </w:tcBorders>
            <w:vAlign w:val="bottom"/>
          </w:tcPr>
          <w:p w14:paraId="1204AB40" w14:textId="3D6D1CEE" w:rsidR="002025A8" w:rsidRPr="002025A8" w:rsidRDefault="00B4168F" w:rsidP="00F16C34">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6,673</w:t>
            </w:r>
          </w:p>
        </w:tc>
        <w:tc>
          <w:tcPr>
            <w:tcW w:w="1800" w:type="dxa"/>
            <w:tcBorders>
              <w:top w:val="single" w:sz="4" w:space="0" w:color="auto"/>
              <w:left w:val="single" w:sz="4" w:space="0" w:color="auto"/>
              <w:bottom w:val="single" w:sz="4" w:space="0" w:color="auto"/>
              <w:right w:val="single" w:sz="4" w:space="0" w:color="auto"/>
            </w:tcBorders>
            <w:vAlign w:val="bottom"/>
          </w:tcPr>
          <w:p w14:paraId="582A715E" w14:textId="77777777" w:rsidR="002025A8" w:rsidRPr="002025A8" w:rsidRDefault="00847F18" w:rsidP="00F16C34">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6F4C090C" w14:textId="7287BC91" w:rsidR="002025A8" w:rsidRPr="002025A8" w:rsidRDefault="00B4168F" w:rsidP="00F16C34">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116</w:t>
            </w:r>
          </w:p>
        </w:tc>
      </w:tr>
      <w:tr w:rsidR="002025A8" w:rsidRPr="002025A8" w14:paraId="6F0004C2" w14:textId="77777777" w:rsidTr="00A41279">
        <w:trPr>
          <w:trHeight w:val="107"/>
        </w:trPr>
        <w:tc>
          <w:tcPr>
            <w:tcW w:w="2679" w:type="dxa"/>
            <w:tcBorders>
              <w:top w:val="single" w:sz="4" w:space="0" w:color="auto"/>
              <w:left w:val="single" w:sz="4" w:space="0" w:color="auto"/>
              <w:bottom w:val="single" w:sz="4" w:space="0" w:color="auto"/>
              <w:right w:val="single" w:sz="4" w:space="0" w:color="auto"/>
            </w:tcBorders>
            <w:hideMark/>
          </w:tcPr>
          <w:p w14:paraId="5E5090FD" w14:textId="77777777" w:rsidR="002025A8" w:rsidRPr="002025A8" w:rsidRDefault="00847F18" w:rsidP="00F16C34">
            <w:pPr>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Annual Time Burden</w:t>
            </w:r>
            <w:bookmarkStart w:id="2" w:name="_Ref493840875"/>
            <w:r w:rsidRPr="001301E0">
              <w:rPr>
                <w:rStyle w:val="FootnoteReference"/>
                <w:rFonts w:ascii="Times New Roman" w:eastAsia="Calibri" w:hAnsi="Times New Roman" w:cs="Times New Roman"/>
                <w:bCs/>
                <w:sz w:val="24"/>
                <w:szCs w:val="24"/>
                <w:vertAlign w:val="superscript"/>
              </w:rPr>
              <w:footnoteReference w:id="11"/>
            </w:r>
            <w:bookmarkEnd w:id="2"/>
          </w:p>
        </w:tc>
        <w:tc>
          <w:tcPr>
            <w:tcW w:w="1461" w:type="dxa"/>
            <w:tcBorders>
              <w:top w:val="single" w:sz="4" w:space="0" w:color="auto"/>
              <w:left w:val="single" w:sz="4" w:space="0" w:color="auto"/>
              <w:bottom w:val="single" w:sz="4" w:space="0" w:color="auto"/>
              <w:right w:val="single" w:sz="4" w:space="0" w:color="auto"/>
            </w:tcBorders>
            <w:vAlign w:val="bottom"/>
          </w:tcPr>
          <w:p w14:paraId="53D7250F" w14:textId="32D652E0" w:rsidR="002025A8" w:rsidRPr="002025A8" w:rsidRDefault="00B4168F" w:rsidP="00F16C34">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525,929</w:t>
            </w:r>
          </w:p>
        </w:tc>
        <w:tc>
          <w:tcPr>
            <w:tcW w:w="1620" w:type="dxa"/>
            <w:tcBorders>
              <w:top w:val="single" w:sz="4" w:space="0" w:color="auto"/>
              <w:left w:val="single" w:sz="4" w:space="0" w:color="auto"/>
              <w:bottom w:val="single" w:sz="4" w:space="0" w:color="auto"/>
              <w:right w:val="single" w:sz="4" w:space="0" w:color="auto"/>
            </w:tcBorders>
            <w:vAlign w:val="bottom"/>
          </w:tcPr>
          <w:p w14:paraId="7FB5808B" w14:textId="4CC59B6B" w:rsidR="002025A8" w:rsidRPr="002025A8" w:rsidRDefault="00B4168F" w:rsidP="00F16C34">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523,795</w:t>
            </w:r>
          </w:p>
        </w:tc>
        <w:tc>
          <w:tcPr>
            <w:tcW w:w="1800" w:type="dxa"/>
            <w:tcBorders>
              <w:top w:val="single" w:sz="4" w:space="0" w:color="auto"/>
              <w:left w:val="single" w:sz="4" w:space="0" w:color="auto"/>
              <w:bottom w:val="single" w:sz="4" w:space="0" w:color="auto"/>
              <w:right w:val="single" w:sz="4" w:space="0" w:color="auto"/>
            </w:tcBorders>
            <w:vAlign w:val="bottom"/>
          </w:tcPr>
          <w:p w14:paraId="71115B5D" w14:textId="77777777" w:rsidR="002025A8" w:rsidRPr="002025A8" w:rsidRDefault="00847F18" w:rsidP="00F16C34">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41EAFD30" w14:textId="372CD963" w:rsidR="002025A8" w:rsidRPr="002025A8" w:rsidRDefault="00B4168F" w:rsidP="00F16C34">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2,134</w:t>
            </w:r>
          </w:p>
        </w:tc>
      </w:tr>
      <w:tr w:rsidR="002025A8" w:rsidRPr="002025A8" w14:paraId="4C9773D7" w14:textId="77777777" w:rsidTr="00A41279">
        <w:trPr>
          <w:trHeight w:val="295"/>
        </w:trPr>
        <w:tc>
          <w:tcPr>
            <w:tcW w:w="2679" w:type="dxa"/>
            <w:tcBorders>
              <w:top w:val="single" w:sz="4" w:space="0" w:color="auto"/>
              <w:left w:val="single" w:sz="4" w:space="0" w:color="auto"/>
              <w:bottom w:val="single" w:sz="4" w:space="0" w:color="auto"/>
              <w:right w:val="single" w:sz="4" w:space="0" w:color="auto"/>
            </w:tcBorders>
            <w:hideMark/>
          </w:tcPr>
          <w:p w14:paraId="6EC37D03" w14:textId="77777777" w:rsidR="002025A8" w:rsidRPr="002025A8" w:rsidRDefault="002025A8" w:rsidP="00F16C34">
            <w:pPr>
              <w:spacing w:after="0"/>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Cost Burden ($)</w:t>
            </w:r>
          </w:p>
        </w:tc>
        <w:tc>
          <w:tcPr>
            <w:tcW w:w="1461" w:type="dxa"/>
            <w:tcBorders>
              <w:top w:val="single" w:sz="4" w:space="0" w:color="auto"/>
              <w:left w:val="single" w:sz="4" w:space="0" w:color="auto"/>
              <w:bottom w:val="single" w:sz="4" w:space="0" w:color="auto"/>
              <w:right w:val="single" w:sz="4" w:space="0" w:color="auto"/>
            </w:tcBorders>
            <w:vAlign w:val="bottom"/>
          </w:tcPr>
          <w:p w14:paraId="5C9FC3B7" w14:textId="0A04D0EE" w:rsidR="002025A8" w:rsidRPr="002025A8" w:rsidRDefault="00125452" w:rsidP="00F16C34">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620" w:type="dxa"/>
            <w:tcBorders>
              <w:top w:val="single" w:sz="4" w:space="0" w:color="auto"/>
              <w:left w:val="single" w:sz="4" w:space="0" w:color="auto"/>
              <w:bottom w:val="single" w:sz="4" w:space="0" w:color="auto"/>
              <w:right w:val="single" w:sz="4" w:space="0" w:color="auto"/>
            </w:tcBorders>
            <w:vAlign w:val="bottom"/>
          </w:tcPr>
          <w:p w14:paraId="78242569" w14:textId="01C3FD07" w:rsidR="002025A8" w:rsidRPr="002025A8" w:rsidRDefault="00125452" w:rsidP="00F16C34">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1DBC167F" w14:textId="77777777" w:rsidR="002025A8" w:rsidRPr="002025A8" w:rsidRDefault="00847F18" w:rsidP="00F16C34">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53B7C899" w14:textId="77777777" w:rsidR="002025A8" w:rsidRPr="002025A8" w:rsidRDefault="007A560D" w:rsidP="00F16C34">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E616F0">
              <w:rPr>
                <w:rFonts w:ascii="Times New Roman" w:eastAsia="Calibri" w:hAnsi="Times New Roman" w:cs="Times New Roman"/>
                <w:bCs/>
                <w:sz w:val="24"/>
                <w:szCs w:val="24"/>
              </w:rPr>
              <w:t>0</w:t>
            </w:r>
          </w:p>
        </w:tc>
      </w:tr>
    </w:tbl>
    <w:p w14:paraId="6943EC46" w14:textId="77777777" w:rsidR="00275760" w:rsidRPr="00B51BB8" w:rsidRDefault="00275760" w:rsidP="00F16C34">
      <w:pPr>
        <w:rPr>
          <w:rFonts w:ascii="Times New Roman" w:hAnsi="Times New Roman" w:cs="Times New Roman"/>
          <w:sz w:val="24"/>
          <w:szCs w:val="24"/>
        </w:rPr>
      </w:pPr>
    </w:p>
    <w:p w14:paraId="6DCC2C38"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TIME SCHEDULE FOR THE PUBLICATION OF DATA</w:t>
      </w:r>
    </w:p>
    <w:p w14:paraId="4CC944AC" w14:textId="77777777" w:rsidR="00C4205B" w:rsidRPr="00B51BB8" w:rsidRDefault="00C4205B" w:rsidP="00F16C34">
      <w:pPr>
        <w:spacing w:after="0"/>
        <w:rPr>
          <w:rFonts w:ascii="Times New Roman" w:hAnsi="Times New Roman" w:cs="Times New Roman"/>
          <w:b/>
          <w:bCs/>
          <w:sz w:val="24"/>
          <w:szCs w:val="24"/>
        </w:rPr>
      </w:pPr>
    </w:p>
    <w:p w14:paraId="605C5CB7" w14:textId="478F99BA" w:rsidR="00042D80" w:rsidRPr="00B51BB8" w:rsidRDefault="001872D6" w:rsidP="00F16C34">
      <w:pPr>
        <w:spacing w:after="0"/>
        <w:rPr>
          <w:rFonts w:ascii="Times New Roman" w:hAnsi="Times New Roman" w:cs="Times New Roman"/>
          <w:sz w:val="24"/>
          <w:szCs w:val="24"/>
        </w:rPr>
      </w:pPr>
      <w:r w:rsidRPr="001872D6">
        <w:rPr>
          <w:rFonts w:ascii="Times New Roman" w:hAnsi="Times New Roman" w:cs="Times New Roman"/>
          <w:sz w:val="24"/>
          <w:szCs w:val="24"/>
        </w:rPr>
        <w:t>There are no</w:t>
      </w:r>
      <w:r w:rsidR="004F3F84" w:rsidRPr="001872D6">
        <w:rPr>
          <w:rFonts w:ascii="Times New Roman" w:hAnsi="Times New Roman" w:cs="Times New Roman"/>
          <w:sz w:val="24"/>
          <w:szCs w:val="24"/>
        </w:rPr>
        <w:t xml:space="preserve"> statistical or tabulating analysis or publication plans for the collection of information.</w:t>
      </w:r>
      <w:r w:rsidR="004F3F84" w:rsidRPr="00B51BB8">
        <w:rPr>
          <w:rFonts w:ascii="Times New Roman" w:hAnsi="Times New Roman" w:cs="Times New Roman"/>
          <w:sz w:val="24"/>
          <w:szCs w:val="24"/>
        </w:rPr>
        <w:t xml:space="preserve"> </w:t>
      </w:r>
    </w:p>
    <w:p w14:paraId="525DB757" w14:textId="77777777" w:rsidR="00C4205B" w:rsidRPr="00B51BB8" w:rsidRDefault="00C4205B" w:rsidP="00F16C34">
      <w:pPr>
        <w:spacing w:after="0"/>
        <w:rPr>
          <w:rFonts w:ascii="Times New Roman" w:hAnsi="Times New Roman" w:cs="Times New Roman"/>
          <w:sz w:val="24"/>
          <w:szCs w:val="24"/>
        </w:rPr>
      </w:pPr>
    </w:p>
    <w:p w14:paraId="704F5CCB"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DISPLAY OF THE EXPIRATION DATE</w:t>
      </w:r>
    </w:p>
    <w:p w14:paraId="2FA7CFEF" w14:textId="77777777" w:rsidR="00C4205B" w:rsidRPr="00B51BB8" w:rsidRDefault="00C4205B" w:rsidP="00F16C34">
      <w:pPr>
        <w:spacing w:after="0"/>
        <w:rPr>
          <w:rFonts w:ascii="Times New Roman" w:hAnsi="Times New Roman" w:cs="Times New Roman"/>
          <w:b/>
          <w:bCs/>
          <w:sz w:val="24"/>
          <w:szCs w:val="24"/>
        </w:rPr>
      </w:pPr>
    </w:p>
    <w:p w14:paraId="53E0C4C9" w14:textId="77777777" w:rsidR="00C4205B" w:rsidRDefault="008D20D4" w:rsidP="00F16C34">
      <w:pPr>
        <w:spacing w:after="0"/>
        <w:rPr>
          <w:rFonts w:ascii="Times New Roman" w:hAnsi="Times New Roman" w:cs="Times New Roman"/>
          <w:sz w:val="24"/>
          <w:szCs w:val="24"/>
        </w:rPr>
      </w:pPr>
      <w:r w:rsidRPr="00B51BB8">
        <w:rPr>
          <w:rFonts w:ascii="Times New Roman" w:hAnsi="Times New Roman" w:cs="Times New Roman"/>
          <w:sz w:val="24"/>
          <w:szCs w:val="24"/>
        </w:rPr>
        <w:t xml:space="preserve">The expiration date is displayed in a table posted on ferc.gov at </w:t>
      </w:r>
      <w:hyperlink r:id="rId14" w:history="1">
        <w:r w:rsidRPr="00B51BB8">
          <w:rPr>
            <w:rStyle w:val="Hyperlink"/>
            <w:rFonts w:ascii="Times New Roman" w:hAnsi="Times New Roman" w:cs="Times New Roman"/>
            <w:sz w:val="24"/>
            <w:szCs w:val="24"/>
          </w:rPr>
          <w:t>http://www.ferc.gov/docs-filing/info-collections.asp</w:t>
        </w:r>
      </w:hyperlink>
      <w:r w:rsidRPr="00B51BB8">
        <w:rPr>
          <w:rFonts w:ascii="Times New Roman" w:hAnsi="Times New Roman" w:cs="Times New Roman"/>
          <w:sz w:val="24"/>
          <w:szCs w:val="24"/>
        </w:rPr>
        <w:t>.</w:t>
      </w:r>
    </w:p>
    <w:p w14:paraId="70EA3F5D" w14:textId="77777777" w:rsidR="00774B70" w:rsidRPr="00B51BB8" w:rsidRDefault="00774B70" w:rsidP="00F16C34">
      <w:pPr>
        <w:spacing w:after="0"/>
        <w:rPr>
          <w:rFonts w:ascii="Times New Roman" w:hAnsi="Times New Roman" w:cs="Times New Roman"/>
          <w:sz w:val="24"/>
          <w:szCs w:val="24"/>
        </w:rPr>
      </w:pPr>
    </w:p>
    <w:p w14:paraId="658DC5A6" w14:textId="77777777" w:rsidR="00C4205B" w:rsidRPr="00B51BB8" w:rsidRDefault="00C4205B" w:rsidP="00F16C34">
      <w:pPr>
        <w:widowControl w:val="0"/>
        <w:numPr>
          <w:ilvl w:val="0"/>
          <w:numId w:val="2"/>
        </w:numPr>
        <w:tabs>
          <w:tab w:val="num" w:pos="360"/>
        </w:tabs>
        <w:autoSpaceDE w:val="0"/>
        <w:autoSpaceDN w:val="0"/>
        <w:adjustRightInd w:val="0"/>
        <w:spacing w:after="0"/>
        <w:ind w:left="360"/>
        <w:rPr>
          <w:rFonts w:ascii="Times New Roman" w:hAnsi="Times New Roman" w:cs="Times New Roman"/>
          <w:sz w:val="24"/>
          <w:szCs w:val="24"/>
        </w:rPr>
      </w:pPr>
      <w:r w:rsidRPr="00B51BB8">
        <w:rPr>
          <w:rFonts w:ascii="Times New Roman" w:hAnsi="Times New Roman" w:cs="Times New Roman"/>
          <w:b/>
          <w:bCs/>
          <w:sz w:val="24"/>
          <w:szCs w:val="24"/>
        </w:rPr>
        <w:t>EXCEPTIONS TO THE CERTIFICATION STATEMENT</w:t>
      </w:r>
    </w:p>
    <w:p w14:paraId="0AE45CAE" w14:textId="77777777" w:rsidR="00C4205B" w:rsidRPr="00B51BB8" w:rsidRDefault="00C4205B" w:rsidP="00F16C34">
      <w:pPr>
        <w:spacing w:after="0"/>
        <w:rPr>
          <w:rFonts w:ascii="Times New Roman" w:hAnsi="Times New Roman" w:cs="Times New Roman"/>
          <w:sz w:val="24"/>
          <w:szCs w:val="24"/>
        </w:rPr>
      </w:pPr>
    </w:p>
    <w:p w14:paraId="75C43DD9" w14:textId="77777777" w:rsidR="00D350A8" w:rsidRPr="007A560D" w:rsidRDefault="004F3F84" w:rsidP="00F16C34">
      <w:pPr>
        <w:spacing w:after="0"/>
        <w:rPr>
          <w:rFonts w:ascii="Times New Roman" w:hAnsi="Times New Roman" w:cs="Times New Roman"/>
          <w:sz w:val="24"/>
          <w:szCs w:val="24"/>
        </w:rPr>
      </w:pPr>
      <w:r w:rsidRPr="00B51BB8">
        <w:rPr>
          <w:rFonts w:ascii="Times New Roman" w:hAnsi="Times New Roman" w:cs="Times New Roman"/>
          <w:sz w:val="24"/>
          <w:szCs w:val="24"/>
        </w:rPr>
        <w:t>The</w:t>
      </w:r>
      <w:r w:rsidR="009766A2" w:rsidRPr="00B51BB8">
        <w:rPr>
          <w:rFonts w:ascii="Times New Roman" w:hAnsi="Times New Roman" w:cs="Times New Roman"/>
          <w:sz w:val="24"/>
          <w:szCs w:val="24"/>
        </w:rPr>
        <w:t>re are no exceptions.</w:t>
      </w:r>
    </w:p>
    <w:sectPr w:rsidR="00D350A8" w:rsidRPr="007A560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58BEC" w14:textId="77777777" w:rsidR="00B22286" w:rsidRDefault="00B22286" w:rsidP="00D350A8">
      <w:pPr>
        <w:spacing w:after="0" w:line="240" w:lineRule="auto"/>
      </w:pPr>
      <w:r>
        <w:separator/>
      </w:r>
    </w:p>
  </w:endnote>
  <w:endnote w:type="continuationSeparator" w:id="0">
    <w:p w14:paraId="08FC3F9D" w14:textId="77777777" w:rsidR="00B22286" w:rsidRDefault="00B22286" w:rsidP="00D350A8">
      <w:pPr>
        <w:spacing w:after="0" w:line="240" w:lineRule="auto"/>
      </w:pPr>
      <w:r>
        <w:continuationSeparator/>
      </w:r>
    </w:p>
  </w:endnote>
  <w:endnote w:type="continuationNotice" w:id="1">
    <w:p w14:paraId="21E8F717" w14:textId="77777777" w:rsidR="00B22286" w:rsidRDefault="00B22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93893"/>
      <w:docPartObj>
        <w:docPartGallery w:val="Page Numbers (Bottom of Page)"/>
        <w:docPartUnique/>
      </w:docPartObj>
    </w:sdtPr>
    <w:sdtEndPr>
      <w:rPr>
        <w:noProof/>
      </w:rPr>
    </w:sdtEndPr>
    <w:sdtContent>
      <w:p w14:paraId="07EB7F9D" w14:textId="77777777" w:rsidR="00B22286" w:rsidRDefault="00B22286">
        <w:pPr>
          <w:pStyle w:val="Footer"/>
          <w:jc w:val="right"/>
        </w:pPr>
        <w:r>
          <w:fldChar w:fldCharType="begin"/>
        </w:r>
        <w:r>
          <w:instrText xml:space="preserve"> PAGE   \* MERGEFORMAT </w:instrText>
        </w:r>
        <w:r>
          <w:fldChar w:fldCharType="separate"/>
        </w:r>
        <w:r w:rsidR="009D30E8">
          <w:rPr>
            <w:noProof/>
          </w:rPr>
          <w:t>1</w:t>
        </w:r>
        <w:r>
          <w:rPr>
            <w:noProof/>
          </w:rPr>
          <w:fldChar w:fldCharType="end"/>
        </w:r>
      </w:p>
    </w:sdtContent>
  </w:sdt>
  <w:p w14:paraId="708B6AC5" w14:textId="77777777" w:rsidR="00B22286" w:rsidRDefault="00B22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C7BCD" w14:textId="77777777" w:rsidR="00B22286" w:rsidRDefault="00B22286" w:rsidP="00D350A8">
      <w:pPr>
        <w:spacing w:after="0" w:line="240" w:lineRule="auto"/>
      </w:pPr>
      <w:r>
        <w:separator/>
      </w:r>
    </w:p>
  </w:footnote>
  <w:footnote w:type="continuationSeparator" w:id="0">
    <w:p w14:paraId="73A2849E" w14:textId="77777777" w:rsidR="00B22286" w:rsidRDefault="00B22286" w:rsidP="00D350A8">
      <w:pPr>
        <w:spacing w:after="0" w:line="240" w:lineRule="auto"/>
      </w:pPr>
      <w:r>
        <w:continuationSeparator/>
      </w:r>
    </w:p>
  </w:footnote>
  <w:footnote w:type="continuationNotice" w:id="1">
    <w:p w14:paraId="2BA83D51" w14:textId="77777777" w:rsidR="00B22286" w:rsidRDefault="00B22286">
      <w:pPr>
        <w:spacing w:after="0" w:line="240" w:lineRule="auto"/>
      </w:pPr>
    </w:p>
  </w:footnote>
  <w:footnote w:id="2">
    <w:p w14:paraId="68B3BAEB" w14:textId="52273CE9" w:rsidR="00B22286" w:rsidRPr="00551E97" w:rsidRDefault="00B22286" w:rsidP="00F16C34">
      <w:pPr>
        <w:pStyle w:val="FootnoteText"/>
      </w:pPr>
      <w:r w:rsidRPr="00551E97">
        <w:rPr>
          <w:rStyle w:val="FootnoteReference"/>
        </w:rPr>
        <w:footnoteRef/>
      </w:r>
      <w:r>
        <w:t xml:space="preserve"> </w:t>
      </w:r>
      <w:r w:rsidRPr="00B53FBF">
        <w:rPr>
          <w:sz w:val="24"/>
          <w:szCs w:val="24"/>
        </w:rPr>
        <w:t xml:space="preserve">The NOPR (issued 11/15/2018) is available in FERC’s eLibrary system at </w:t>
      </w:r>
      <w:hyperlink r:id="rId1" w:history="1">
        <w:r w:rsidRPr="00B53FBF">
          <w:rPr>
            <w:rStyle w:val="Hyperlink"/>
            <w:sz w:val="24"/>
            <w:szCs w:val="24"/>
          </w:rPr>
          <w:t>https://elibrary.ferc.gov/idmws/common/OpenNat.asp?fileID=15096628</w:t>
        </w:r>
      </w:hyperlink>
      <w:r>
        <w:t>.</w:t>
      </w:r>
    </w:p>
  </w:footnote>
  <w:footnote w:id="3">
    <w:p w14:paraId="716A786A" w14:textId="37A764F1" w:rsidR="00B22286" w:rsidRPr="00551E97" w:rsidRDefault="00B22286" w:rsidP="00F16C34">
      <w:pPr>
        <w:pStyle w:val="FootnoteText"/>
      </w:pPr>
      <w:r w:rsidRPr="00551E97">
        <w:rPr>
          <w:rStyle w:val="FootnoteReference"/>
        </w:rPr>
        <w:footnoteRef/>
      </w:r>
      <w:r w:rsidRPr="00551E97">
        <w:t xml:space="preserve"> NOPR </w:t>
      </w:r>
      <w:r>
        <w:t>was issued on 11/15/2018 and</w:t>
      </w:r>
      <w:r w:rsidRPr="00551E97">
        <w:t xml:space="preserve"> published in </w:t>
      </w:r>
      <w:r>
        <w:t>the Federal Register at 83 FR 59331</w:t>
      </w:r>
      <w:r w:rsidRPr="00551E97">
        <w:t xml:space="preserve"> on 1</w:t>
      </w:r>
      <w:r>
        <w:t>1/23/2018</w:t>
      </w:r>
      <w:r w:rsidRPr="00551E97">
        <w:t>.</w:t>
      </w:r>
    </w:p>
  </w:footnote>
  <w:footnote w:id="4">
    <w:p w14:paraId="34BFB885" w14:textId="77777777" w:rsidR="00B22286" w:rsidRDefault="00B22286" w:rsidP="00F16C34">
      <w:pPr>
        <w:pStyle w:val="FootnoteText"/>
        <w:rPr>
          <w:szCs w:val="26"/>
        </w:rPr>
      </w:pPr>
      <w:r w:rsidRPr="00357340">
        <w:rPr>
          <w:rStyle w:val="FootnoteReference"/>
        </w:rPr>
        <w:footnoteRef/>
      </w:r>
      <w:r>
        <w:rPr>
          <w:szCs w:val="26"/>
        </w:rPr>
        <w:t xml:space="preserve"> The loaded hourly wage figure (includes benefits) is based on the average of the occupational categories for 2017 found on the Bureau of Labor Statistics website </w:t>
      </w:r>
      <w:r w:rsidRPr="006C3963">
        <w:rPr>
          <w:szCs w:val="26"/>
        </w:rPr>
        <w:t>(</w:t>
      </w:r>
      <w:hyperlink r:id="rId2" w:history="1">
        <w:r w:rsidRPr="006C3963">
          <w:rPr>
            <w:rStyle w:val="Hyperlink"/>
            <w:szCs w:val="26"/>
          </w:rPr>
          <w:t>http://www.bls.gov/oes/current/naics2_22.htm</w:t>
        </w:r>
      </w:hyperlink>
      <w:r w:rsidRPr="006C3963">
        <w:rPr>
          <w:szCs w:val="26"/>
        </w:rPr>
        <w:t>):</w:t>
      </w:r>
    </w:p>
    <w:p w14:paraId="3A1683E8" w14:textId="77777777" w:rsidR="00B22286" w:rsidRDefault="00B22286" w:rsidP="00F16C34">
      <w:pPr>
        <w:pStyle w:val="FootnoteText"/>
        <w:rPr>
          <w:szCs w:val="26"/>
        </w:rPr>
      </w:pPr>
      <w:r>
        <w:rPr>
          <w:szCs w:val="26"/>
        </w:rPr>
        <w:t>Accountant (Occupation Code: 13-2011): $56.59</w:t>
      </w:r>
    </w:p>
    <w:p w14:paraId="0CCF40F6" w14:textId="77777777" w:rsidR="00B22286" w:rsidRDefault="00B22286" w:rsidP="00F16C34">
      <w:pPr>
        <w:pStyle w:val="FootnoteText"/>
        <w:rPr>
          <w:szCs w:val="26"/>
        </w:rPr>
      </w:pPr>
      <w:r>
        <w:rPr>
          <w:szCs w:val="26"/>
        </w:rPr>
        <w:t>Management (Occupation Code: 11-0000): $94.28</w:t>
      </w:r>
    </w:p>
    <w:p w14:paraId="05FBE381" w14:textId="77777777" w:rsidR="00B22286" w:rsidRDefault="00B22286" w:rsidP="00F16C34">
      <w:pPr>
        <w:pStyle w:val="FootnoteText"/>
        <w:rPr>
          <w:szCs w:val="26"/>
        </w:rPr>
      </w:pPr>
      <w:r>
        <w:rPr>
          <w:szCs w:val="26"/>
        </w:rPr>
        <w:t>Legal (Occupation Code: 23-0000): $143.68</w:t>
      </w:r>
    </w:p>
    <w:p w14:paraId="2B537FF1" w14:textId="77777777" w:rsidR="00B22286" w:rsidRDefault="00B22286" w:rsidP="00F16C34">
      <w:pPr>
        <w:pStyle w:val="FootnoteText"/>
        <w:rPr>
          <w:szCs w:val="26"/>
        </w:rPr>
      </w:pPr>
      <w:r>
        <w:rPr>
          <w:szCs w:val="26"/>
        </w:rPr>
        <w:t>Office and Administrative Support (Occupation Code: 43-0000): $41.34</w:t>
      </w:r>
    </w:p>
    <w:p w14:paraId="3D5FFD3E" w14:textId="77777777" w:rsidR="00B22286" w:rsidRPr="00357340" w:rsidRDefault="00B22286" w:rsidP="00F16C34">
      <w:pPr>
        <w:pStyle w:val="FootnoteText"/>
        <w:rPr>
          <w:szCs w:val="26"/>
        </w:rPr>
      </w:pPr>
      <w:r>
        <w:rPr>
          <w:szCs w:val="26"/>
        </w:rPr>
        <w:t>These various occupational categories’ wage figures are averaged and weighted equally as follows: ($94.28/hour + $61.55/hour + $66.90/hour + $143.68/hour) ÷ 4 = $91.60/hour.  The resulting wage figure is rounded to $92.00/hour for use in calculating wage figures in the NOPR in Docket No. RM19-5-000.</w:t>
      </w:r>
    </w:p>
  </w:footnote>
  <w:footnote w:id="5">
    <w:p w14:paraId="2683124F" w14:textId="77777777" w:rsidR="00B22286" w:rsidRDefault="00B22286" w:rsidP="00F16C34">
      <w:pPr>
        <w:pStyle w:val="FootnoteText"/>
      </w:pPr>
      <w:r>
        <w:rPr>
          <w:rStyle w:val="FootnoteReference"/>
        </w:rPr>
        <w:footnoteRef/>
      </w:r>
      <w:r>
        <w:t xml:space="preserve"> One-time burdens apply in Year One only. There will be no subsequent burden in Years 2 and beyond.</w:t>
      </w:r>
    </w:p>
  </w:footnote>
  <w:footnote w:id="6">
    <w:p w14:paraId="0D6231ED" w14:textId="77777777" w:rsidR="00B22286" w:rsidRDefault="00B22286" w:rsidP="00F16C34">
      <w:pPr>
        <w:pStyle w:val="FootnoteText"/>
      </w:pPr>
      <w:r>
        <w:rPr>
          <w:rStyle w:val="FootnoteReference"/>
        </w:rPr>
        <w:footnoteRef/>
      </w:r>
      <w:r>
        <w:t xml:space="preserve"> </w:t>
      </w:r>
      <w:r w:rsidRPr="00F72A33">
        <w:rPr>
          <w:rFonts w:eastAsia="Calibri"/>
          <w:szCs w:val="26"/>
        </w:rPr>
        <w:t>Total for Public Utilities with Transmission Stated Rates</w:t>
      </w:r>
    </w:p>
  </w:footnote>
  <w:footnote w:id="7">
    <w:p w14:paraId="0B2200AE" w14:textId="77777777" w:rsidR="00B22286" w:rsidRDefault="00B22286" w:rsidP="00F16C34">
      <w:pPr>
        <w:pStyle w:val="FootnoteText"/>
      </w:pPr>
      <w:r>
        <w:rPr>
          <w:rStyle w:val="FootnoteReference"/>
        </w:rPr>
        <w:footnoteRef/>
      </w:r>
      <w:r>
        <w:t xml:space="preserve"> </w:t>
      </w:r>
      <w:r w:rsidRPr="00F72A33">
        <w:rPr>
          <w:rFonts w:eastAsia="Calibri"/>
          <w:szCs w:val="26"/>
        </w:rPr>
        <w:t>Total for Public Ut</w:t>
      </w:r>
      <w:r>
        <w:rPr>
          <w:rFonts w:eastAsia="Calibri"/>
          <w:szCs w:val="26"/>
        </w:rPr>
        <w:t>ilities with Transmission Formula</w:t>
      </w:r>
      <w:r w:rsidRPr="00F72A33">
        <w:rPr>
          <w:rFonts w:eastAsia="Calibri"/>
          <w:szCs w:val="26"/>
        </w:rPr>
        <w:t xml:space="preserve"> Rates</w:t>
      </w:r>
    </w:p>
  </w:footnote>
  <w:footnote w:id="8">
    <w:p w14:paraId="5796D5BB" w14:textId="0C3BD588" w:rsidR="00B22286" w:rsidRDefault="00B22286" w:rsidP="00F16C34">
      <w:pPr>
        <w:pStyle w:val="FootnoteText"/>
      </w:pPr>
      <w:r>
        <w:rPr>
          <w:rStyle w:val="FootnoteReference"/>
        </w:rPr>
        <w:footnoteRef/>
      </w:r>
      <w:r>
        <w:t xml:space="preserve"> </w:t>
      </w:r>
      <w:r w:rsidRPr="000A1D86">
        <w:t>Based upon FERC’s 2018 FTE average annual salary plus benefits ($164,820)</w:t>
      </w:r>
    </w:p>
  </w:footnote>
  <w:footnote w:id="9">
    <w:p w14:paraId="0B5C1DA5" w14:textId="1BE9C7AA" w:rsidR="00B22286" w:rsidRPr="00551E97" w:rsidRDefault="00B22286" w:rsidP="00F16C34">
      <w:pPr>
        <w:pStyle w:val="FootnoteText"/>
      </w:pPr>
      <w:r w:rsidRPr="00551E97">
        <w:rPr>
          <w:rStyle w:val="FootnoteReference"/>
        </w:rPr>
        <w:footnoteRef/>
      </w:r>
      <w:r w:rsidRPr="00551E97">
        <w:t xml:space="preserve"> The Paperwork Reduction Act </w:t>
      </w:r>
      <w:r>
        <w:t>(</w:t>
      </w:r>
      <w:r w:rsidRPr="00551E97">
        <w:t>PRA</w:t>
      </w:r>
      <w:r>
        <w:t>)</w:t>
      </w:r>
      <w:r w:rsidRPr="00551E97">
        <w:t xml:space="preserve">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w:t>
      </w:r>
      <w:r w:rsidR="00F2452D">
        <w:t>akings (not just this NOPR</w:t>
      </w:r>
      <w:r w:rsidRPr="00551E97">
        <w:t>), and other changes to the collection</w:t>
      </w:r>
      <w:r>
        <w:t>, as well as necessary publications in the Federal Register</w:t>
      </w:r>
      <w:r w:rsidRPr="00551E97">
        <w:t>.</w:t>
      </w:r>
    </w:p>
  </w:footnote>
  <w:footnote w:id="10">
    <w:p w14:paraId="66B1C939" w14:textId="356F00DB" w:rsidR="00B22286" w:rsidRPr="00551E97" w:rsidRDefault="00B22286" w:rsidP="00F16C34">
      <w:pPr>
        <w:pStyle w:val="FootnoteText"/>
      </w:pPr>
      <w:r w:rsidRPr="00551E97">
        <w:rPr>
          <w:rStyle w:val="FootnoteReference"/>
        </w:rPr>
        <w:footnoteRef/>
      </w:r>
      <w:r w:rsidRPr="00551E97">
        <w:t xml:space="preserve"> The PRA Administrative Cost </w:t>
      </w:r>
      <w:r>
        <w:t xml:space="preserve">(revised May 2018) </w:t>
      </w:r>
      <w:r w:rsidRPr="00551E97">
        <w:t>is for 2018</w:t>
      </w:r>
      <w:r>
        <w:t>.</w:t>
      </w:r>
    </w:p>
  </w:footnote>
  <w:footnote w:id="11">
    <w:p w14:paraId="1396EFF4" w14:textId="77777777" w:rsidR="00B22286" w:rsidRPr="00551E97" w:rsidRDefault="00B22286" w:rsidP="00F16C34">
      <w:pPr>
        <w:pStyle w:val="FootnoteText"/>
      </w:pPr>
      <w:r w:rsidRPr="00551E97">
        <w:rPr>
          <w:rStyle w:val="FootnoteReference"/>
        </w:rPr>
        <w:footnoteRef/>
      </w:r>
      <w:r w:rsidRPr="00551E97">
        <w:t xml:space="preserve"> The units of measurement applied to “annual time burden” are hours.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9C44C" w14:textId="6B0943EB" w:rsidR="00B22286" w:rsidRPr="00B51BB8" w:rsidRDefault="00B22286" w:rsidP="002A4142">
    <w:pPr>
      <w:tabs>
        <w:tab w:val="right" w:pos="10080"/>
      </w:tabs>
      <w:spacing w:after="0" w:line="240" w:lineRule="auto"/>
      <w:rPr>
        <w:rFonts w:ascii="Times New Roman" w:hAnsi="Times New Roman" w:cs="Times New Roman"/>
        <w:sz w:val="24"/>
        <w:szCs w:val="24"/>
      </w:rPr>
    </w:pPr>
    <w:r>
      <w:rPr>
        <w:rFonts w:ascii="Times New Roman" w:hAnsi="Times New Roman" w:cs="Times New Roman"/>
        <w:sz w:val="24"/>
        <w:szCs w:val="24"/>
      </w:rPr>
      <w:t>FERC-516 (OMB Control No. 1902-0096</w:t>
    </w:r>
    <w:r w:rsidRPr="00B51BB8">
      <w:rPr>
        <w:rFonts w:ascii="Times New Roman" w:hAnsi="Times New Roman" w:cs="Times New Roman"/>
        <w:sz w:val="24"/>
        <w:szCs w:val="24"/>
      </w:rPr>
      <w:t xml:space="preserve">) </w:t>
    </w:r>
  </w:p>
  <w:p w14:paraId="13DC6E01" w14:textId="47234E8C" w:rsidR="00B22286" w:rsidRDefault="00F2452D" w:rsidP="002A4142">
    <w:pPr>
      <w:pStyle w:val="Header"/>
      <w:rPr>
        <w:rFonts w:ascii="Times New Roman" w:hAnsi="Times New Roman" w:cs="Times New Roman"/>
        <w:bCs/>
        <w:sz w:val="24"/>
        <w:szCs w:val="24"/>
      </w:rPr>
    </w:pPr>
    <w:r>
      <w:rPr>
        <w:rFonts w:ascii="Times New Roman" w:hAnsi="Times New Roman" w:cs="Times New Roman"/>
        <w:bCs/>
        <w:sz w:val="24"/>
        <w:szCs w:val="24"/>
      </w:rPr>
      <w:t>Notice of Proposed Rulemaking</w:t>
    </w:r>
    <w:r w:rsidR="00B22286">
      <w:rPr>
        <w:rFonts w:ascii="Times New Roman" w:hAnsi="Times New Roman" w:cs="Times New Roman"/>
        <w:bCs/>
        <w:sz w:val="24"/>
        <w:szCs w:val="24"/>
      </w:rPr>
      <w:t xml:space="preserve"> (</w:t>
    </w:r>
    <w:r w:rsidR="00B22286" w:rsidRPr="00B51BB8">
      <w:rPr>
        <w:rFonts w:ascii="Times New Roman" w:hAnsi="Times New Roman" w:cs="Times New Roman"/>
        <w:bCs/>
        <w:sz w:val="24"/>
        <w:szCs w:val="24"/>
      </w:rPr>
      <w:t>iss</w:t>
    </w:r>
    <w:r w:rsidR="00B22286">
      <w:rPr>
        <w:rFonts w:ascii="Times New Roman" w:hAnsi="Times New Roman" w:cs="Times New Roman"/>
        <w:bCs/>
        <w:sz w:val="24"/>
        <w:szCs w:val="24"/>
      </w:rPr>
      <w:t>ued 11/15/2018) in Docket RM19-5-000</w:t>
    </w:r>
  </w:p>
  <w:p w14:paraId="0A74E067" w14:textId="128271B4" w:rsidR="00B22286" w:rsidRDefault="00B22286" w:rsidP="002A4142">
    <w:pPr>
      <w:pStyle w:val="Header"/>
      <w:rPr>
        <w:rFonts w:ascii="Times New Roman" w:hAnsi="Times New Roman" w:cs="Times New Roman"/>
        <w:bCs/>
        <w:sz w:val="24"/>
        <w:szCs w:val="24"/>
      </w:rPr>
    </w:pPr>
    <w:r w:rsidRPr="00774B70">
      <w:rPr>
        <w:rFonts w:ascii="Times New Roman" w:hAnsi="Times New Roman" w:cs="Times New Roman"/>
        <w:bCs/>
        <w:sz w:val="24"/>
        <w:szCs w:val="24"/>
      </w:rPr>
      <w:t xml:space="preserve">RIN: </w:t>
    </w:r>
    <w:r>
      <w:rPr>
        <w:rFonts w:ascii="Times New Roman" w:hAnsi="Times New Roman" w:cs="Times New Roman"/>
        <w:bCs/>
        <w:sz w:val="24"/>
        <w:szCs w:val="24"/>
      </w:rPr>
      <w:t>1902-AF57</w:t>
    </w:r>
  </w:p>
  <w:p w14:paraId="40D18032" w14:textId="77777777" w:rsidR="00B22286" w:rsidRPr="00B51BB8" w:rsidRDefault="00B22286" w:rsidP="002A4142">
    <w:pPr>
      <w:pStyle w:val="Header"/>
      <w:rPr>
        <w:rFonts w:ascii="Times New Roman" w:hAnsi="Times New Roman" w:cs="Times New Roman"/>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840"/>
    <w:multiLevelType w:val="hybridMultilevel"/>
    <w:tmpl w:val="1D40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61F65"/>
    <w:multiLevelType w:val="hybridMultilevel"/>
    <w:tmpl w:val="F962B416"/>
    <w:lvl w:ilvl="0" w:tplc="20CC7608">
      <w:start w:val="1"/>
      <w:numFmt w:val="decimal"/>
      <w:lvlText w:val="%1."/>
      <w:lvlJc w:val="left"/>
      <w:pPr>
        <w:tabs>
          <w:tab w:val="num" w:pos="630"/>
        </w:tabs>
        <w:ind w:left="630" w:hanging="360"/>
      </w:pPr>
      <w:rPr>
        <w:b w:val="0"/>
        <w:sz w:val="24"/>
        <w:szCs w:val="24"/>
      </w:rPr>
    </w:lvl>
    <w:lvl w:ilvl="1" w:tplc="04090001">
      <w:start w:val="1"/>
      <w:numFmt w:val="bullet"/>
      <w:lvlText w:val=""/>
      <w:lvlJc w:val="left"/>
      <w:pPr>
        <w:tabs>
          <w:tab w:val="num" w:pos="1350"/>
        </w:tabs>
        <w:ind w:left="1350" w:hanging="360"/>
      </w:pPr>
      <w:rPr>
        <w:rFonts w:ascii="Symbol" w:hAnsi="Symbol" w:hint="default"/>
        <w:b w:val="0"/>
      </w:r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2">
    <w:nsid w:val="0738210B"/>
    <w:multiLevelType w:val="hybridMultilevel"/>
    <w:tmpl w:val="D8EA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37FF7"/>
    <w:multiLevelType w:val="hybridMultilevel"/>
    <w:tmpl w:val="F46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A5459"/>
    <w:multiLevelType w:val="hybridMultilevel"/>
    <w:tmpl w:val="6894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C2180"/>
    <w:multiLevelType w:val="hybridMultilevel"/>
    <w:tmpl w:val="C80A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AB6004"/>
    <w:multiLevelType w:val="hybridMultilevel"/>
    <w:tmpl w:val="7114AC3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nsid w:val="3AB86776"/>
    <w:multiLevelType w:val="hybridMultilevel"/>
    <w:tmpl w:val="E744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92D3B"/>
    <w:multiLevelType w:val="hybridMultilevel"/>
    <w:tmpl w:val="B592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9D3166"/>
    <w:multiLevelType w:val="hybridMultilevel"/>
    <w:tmpl w:val="919A3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3C6417"/>
    <w:multiLevelType w:val="hybridMultilevel"/>
    <w:tmpl w:val="0226C6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51FD2EE9"/>
    <w:multiLevelType w:val="hybridMultilevel"/>
    <w:tmpl w:val="A648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9838A4"/>
    <w:multiLevelType w:val="hybridMultilevel"/>
    <w:tmpl w:val="3A5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76510"/>
    <w:multiLevelType w:val="hybridMultilevel"/>
    <w:tmpl w:val="C63C7E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8A376CB"/>
    <w:multiLevelType w:val="hybridMultilevel"/>
    <w:tmpl w:val="954603BA"/>
    <w:lvl w:ilvl="0" w:tplc="3A7AC552">
      <w:start w:val="1"/>
      <w:numFmt w:val="decimal"/>
      <w:lvlText w:val="%1."/>
      <w:lvlJc w:val="left"/>
      <w:pPr>
        <w:tabs>
          <w:tab w:val="num" w:pos="720"/>
        </w:tabs>
        <w:ind w:left="0" w:firstLine="0"/>
      </w:pPr>
      <w:rPr>
        <w:b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553FAE"/>
    <w:multiLevelType w:val="hybridMultilevel"/>
    <w:tmpl w:val="8BE082EC"/>
    <w:lvl w:ilvl="0" w:tplc="AA949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7F1972"/>
    <w:multiLevelType w:val="hybridMultilevel"/>
    <w:tmpl w:val="DFC63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4E4DD3"/>
    <w:multiLevelType w:val="hybridMultilevel"/>
    <w:tmpl w:val="BC188756"/>
    <w:lvl w:ilvl="0" w:tplc="54D83ADA">
      <w:start w:val="1"/>
      <w:numFmt w:val="decimal"/>
      <w:lvlText w:val="%1."/>
      <w:lvlJc w:val="left"/>
      <w:pPr>
        <w:tabs>
          <w:tab w:val="num" w:pos="810"/>
        </w:tabs>
        <w:ind w:left="90" w:firstLine="0"/>
      </w:pPr>
      <w:rPr>
        <w:rFonts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1"/>
  </w:num>
  <w:num w:numId="6">
    <w:abstractNumId w:val="6"/>
  </w:num>
  <w:num w:numId="7">
    <w:abstractNumId w:val="18"/>
  </w:num>
  <w:num w:numId="8">
    <w:abstractNumId w:val="10"/>
  </w:num>
  <w:num w:numId="9">
    <w:abstractNumId w:val="7"/>
  </w:num>
  <w:num w:numId="10">
    <w:abstractNumId w:val="16"/>
  </w:num>
  <w:num w:numId="11">
    <w:abstractNumId w:val="8"/>
  </w:num>
  <w:num w:numId="12">
    <w:abstractNumId w:val="2"/>
  </w:num>
  <w:num w:numId="13">
    <w:abstractNumId w:val="5"/>
  </w:num>
  <w:num w:numId="14">
    <w:abstractNumId w:val="11"/>
  </w:num>
  <w:num w:numId="15">
    <w:abstractNumId w:val="17"/>
  </w:num>
  <w:num w:numId="16">
    <w:abstractNumId w:val="15"/>
  </w:num>
  <w:num w:numId="17">
    <w:abstractNumId w:val="12"/>
  </w:num>
  <w:num w:numId="18">
    <w:abstractNumId w:val="3"/>
  </w:num>
  <w:num w:numId="19">
    <w:abstractNumId w:val="4"/>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A8"/>
    <w:rsid w:val="0000037F"/>
    <w:rsid w:val="00000F1B"/>
    <w:rsid w:val="000027B8"/>
    <w:rsid w:val="00005289"/>
    <w:rsid w:val="00012EB8"/>
    <w:rsid w:val="000151A0"/>
    <w:rsid w:val="00017D46"/>
    <w:rsid w:val="000302F1"/>
    <w:rsid w:val="0004133D"/>
    <w:rsid w:val="000428A5"/>
    <w:rsid w:val="00042D80"/>
    <w:rsid w:val="00043E58"/>
    <w:rsid w:val="00050740"/>
    <w:rsid w:val="00052E82"/>
    <w:rsid w:val="00053805"/>
    <w:rsid w:val="00055683"/>
    <w:rsid w:val="0006316A"/>
    <w:rsid w:val="000644CE"/>
    <w:rsid w:val="000723A8"/>
    <w:rsid w:val="000728C5"/>
    <w:rsid w:val="0007589B"/>
    <w:rsid w:val="0007783F"/>
    <w:rsid w:val="000813D3"/>
    <w:rsid w:val="00087336"/>
    <w:rsid w:val="0009373D"/>
    <w:rsid w:val="00094D36"/>
    <w:rsid w:val="000A1D86"/>
    <w:rsid w:val="000A24FE"/>
    <w:rsid w:val="000A5961"/>
    <w:rsid w:val="000B4EA2"/>
    <w:rsid w:val="000C1EE9"/>
    <w:rsid w:val="000D6E0F"/>
    <w:rsid w:val="000E5E73"/>
    <w:rsid w:val="000F03BB"/>
    <w:rsid w:val="000F341C"/>
    <w:rsid w:val="000F73BF"/>
    <w:rsid w:val="00100229"/>
    <w:rsid w:val="00100D18"/>
    <w:rsid w:val="00102F1A"/>
    <w:rsid w:val="00104AB8"/>
    <w:rsid w:val="001062F8"/>
    <w:rsid w:val="001106C1"/>
    <w:rsid w:val="00110DDD"/>
    <w:rsid w:val="0011177B"/>
    <w:rsid w:val="00115F24"/>
    <w:rsid w:val="00125452"/>
    <w:rsid w:val="0012731F"/>
    <w:rsid w:val="001301E0"/>
    <w:rsid w:val="00131470"/>
    <w:rsid w:val="00134AB1"/>
    <w:rsid w:val="0014705F"/>
    <w:rsid w:val="00150D8D"/>
    <w:rsid w:val="0015264C"/>
    <w:rsid w:val="00155323"/>
    <w:rsid w:val="0015640F"/>
    <w:rsid w:val="001647E7"/>
    <w:rsid w:val="001753B4"/>
    <w:rsid w:val="001755B4"/>
    <w:rsid w:val="00181C6A"/>
    <w:rsid w:val="00185B93"/>
    <w:rsid w:val="001872D6"/>
    <w:rsid w:val="00191849"/>
    <w:rsid w:val="001936B6"/>
    <w:rsid w:val="001942E3"/>
    <w:rsid w:val="001967A9"/>
    <w:rsid w:val="001976E0"/>
    <w:rsid w:val="001A03C2"/>
    <w:rsid w:val="001A76A3"/>
    <w:rsid w:val="001A786F"/>
    <w:rsid w:val="001B4E78"/>
    <w:rsid w:val="001C43A6"/>
    <w:rsid w:val="001D6EED"/>
    <w:rsid w:val="001D7EB6"/>
    <w:rsid w:val="001E11E7"/>
    <w:rsid w:val="001E79D1"/>
    <w:rsid w:val="001F1D83"/>
    <w:rsid w:val="001F6492"/>
    <w:rsid w:val="002025A8"/>
    <w:rsid w:val="00213195"/>
    <w:rsid w:val="002329FB"/>
    <w:rsid w:val="002359F6"/>
    <w:rsid w:val="00236FF2"/>
    <w:rsid w:val="002370E2"/>
    <w:rsid w:val="00240C3A"/>
    <w:rsid w:val="00241C27"/>
    <w:rsid w:val="0024309E"/>
    <w:rsid w:val="00245256"/>
    <w:rsid w:val="00257FBE"/>
    <w:rsid w:val="0026236C"/>
    <w:rsid w:val="00262373"/>
    <w:rsid w:val="00263BDB"/>
    <w:rsid w:val="00270184"/>
    <w:rsid w:val="00271EC6"/>
    <w:rsid w:val="00275760"/>
    <w:rsid w:val="0029048F"/>
    <w:rsid w:val="00290ACC"/>
    <w:rsid w:val="00291A94"/>
    <w:rsid w:val="00297811"/>
    <w:rsid w:val="002A4142"/>
    <w:rsid w:val="002A45D0"/>
    <w:rsid w:val="002A5BA5"/>
    <w:rsid w:val="002A7EF0"/>
    <w:rsid w:val="002B3B00"/>
    <w:rsid w:val="002C4849"/>
    <w:rsid w:val="002C57ED"/>
    <w:rsid w:val="002C70B7"/>
    <w:rsid w:val="002D4897"/>
    <w:rsid w:val="002D4CD4"/>
    <w:rsid w:val="002D4FFD"/>
    <w:rsid w:val="002E0A22"/>
    <w:rsid w:val="002F3DB9"/>
    <w:rsid w:val="00303101"/>
    <w:rsid w:val="00304500"/>
    <w:rsid w:val="00314E4D"/>
    <w:rsid w:val="00314EBE"/>
    <w:rsid w:val="0031554D"/>
    <w:rsid w:val="00315F04"/>
    <w:rsid w:val="00323214"/>
    <w:rsid w:val="0032638F"/>
    <w:rsid w:val="0033288D"/>
    <w:rsid w:val="00332A43"/>
    <w:rsid w:val="00333F8F"/>
    <w:rsid w:val="00335AFF"/>
    <w:rsid w:val="003542F8"/>
    <w:rsid w:val="003542FD"/>
    <w:rsid w:val="0035608B"/>
    <w:rsid w:val="00360F81"/>
    <w:rsid w:val="00361094"/>
    <w:rsid w:val="003637BD"/>
    <w:rsid w:val="00370D30"/>
    <w:rsid w:val="003745F7"/>
    <w:rsid w:val="003771D0"/>
    <w:rsid w:val="00386261"/>
    <w:rsid w:val="00391060"/>
    <w:rsid w:val="003948A1"/>
    <w:rsid w:val="003976CA"/>
    <w:rsid w:val="003A536E"/>
    <w:rsid w:val="003A6A5D"/>
    <w:rsid w:val="003B125C"/>
    <w:rsid w:val="003B5972"/>
    <w:rsid w:val="003B6534"/>
    <w:rsid w:val="003C19D0"/>
    <w:rsid w:val="003C23F8"/>
    <w:rsid w:val="003C431D"/>
    <w:rsid w:val="003D09FB"/>
    <w:rsid w:val="003D349A"/>
    <w:rsid w:val="003E599C"/>
    <w:rsid w:val="003F7301"/>
    <w:rsid w:val="003F77BD"/>
    <w:rsid w:val="00401B62"/>
    <w:rsid w:val="0040637D"/>
    <w:rsid w:val="00412D39"/>
    <w:rsid w:val="004137F1"/>
    <w:rsid w:val="00416DFC"/>
    <w:rsid w:val="0042546B"/>
    <w:rsid w:val="00433A3A"/>
    <w:rsid w:val="0044319A"/>
    <w:rsid w:val="004511A8"/>
    <w:rsid w:val="00452265"/>
    <w:rsid w:val="00455E9F"/>
    <w:rsid w:val="00482CC3"/>
    <w:rsid w:val="00485888"/>
    <w:rsid w:val="00485D08"/>
    <w:rsid w:val="00490FD8"/>
    <w:rsid w:val="00496145"/>
    <w:rsid w:val="004966B8"/>
    <w:rsid w:val="004A0C64"/>
    <w:rsid w:val="004A1428"/>
    <w:rsid w:val="004A5B9F"/>
    <w:rsid w:val="004B3D10"/>
    <w:rsid w:val="004B624E"/>
    <w:rsid w:val="004C0226"/>
    <w:rsid w:val="004C0981"/>
    <w:rsid w:val="004C2BD7"/>
    <w:rsid w:val="004C334C"/>
    <w:rsid w:val="004C510E"/>
    <w:rsid w:val="004D215C"/>
    <w:rsid w:val="004D5871"/>
    <w:rsid w:val="004E6159"/>
    <w:rsid w:val="004F3F84"/>
    <w:rsid w:val="00501F21"/>
    <w:rsid w:val="00503BD5"/>
    <w:rsid w:val="00506164"/>
    <w:rsid w:val="00511A94"/>
    <w:rsid w:val="00516094"/>
    <w:rsid w:val="00516258"/>
    <w:rsid w:val="00522521"/>
    <w:rsid w:val="00524C44"/>
    <w:rsid w:val="00525F85"/>
    <w:rsid w:val="00526F2F"/>
    <w:rsid w:val="00527AE1"/>
    <w:rsid w:val="0053631B"/>
    <w:rsid w:val="005368DE"/>
    <w:rsid w:val="00543FCE"/>
    <w:rsid w:val="00544264"/>
    <w:rsid w:val="00550405"/>
    <w:rsid w:val="00551E97"/>
    <w:rsid w:val="00555094"/>
    <w:rsid w:val="005558F8"/>
    <w:rsid w:val="005575ED"/>
    <w:rsid w:val="00565F74"/>
    <w:rsid w:val="00566C8F"/>
    <w:rsid w:val="005768DB"/>
    <w:rsid w:val="0057710C"/>
    <w:rsid w:val="005774B1"/>
    <w:rsid w:val="00577A09"/>
    <w:rsid w:val="00581E3E"/>
    <w:rsid w:val="00582804"/>
    <w:rsid w:val="005853F1"/>
    <w:rsid w:val="005908AC"/>
    <w:rsid w:val="00597658"/>
    <w:rsid w:val="005A24EE"/>
    <w:rsid w:val="005A465A"/>
    <w:rsid w:val="005A779D"/>
    <w:rsid w:val="005B07A1"/>
    <w:rsid w:val="005B253C"/>
    <w:rsid w:val="005B2D2D"/>
    <w:rsid w:val="005B3351"/>
    <w:rsid w:val="005B4E22"/>
    <w:rsid w:val="005B6A5A"/>
    <w:rsid w:val="005C0FD7"/>
    <w:rsid w:val="005C28A8"/>
    <w:rsid w:val="005C297F"/>
    <w:rsid w:val="005C2C89"/>
    <w:rsid w:val="005D017F"/>
    <w:rsid w:val="005D054F"/>
    <w:rsid w:val="005D4423"/>
    <w:rsid w:val="005D4796"/>
    <w:rsid w:val="005D4947"/>
    <w:rsid w:val="005D6E4D"/>
    <w:rsid w:val="005E2448"/>
    <w:rsid w:val="005E6271"/>
    <w:rsid w:val="005F447E"/>
    <w:rsid w:val="00601247"/>
    <w:rsid w:val="00602096"/>
    <w:rsid w:val="0060439B"/>
    <w:rsid w:val="00606999"/>
    <w:rsid w:val="00607132"/>
    <w:rsid w:val="00612E67"/>
    <w:rsid w:val="00614708"/>
    <w:rsid w:val="00615191"/>
    <w:rsid w:val="006151D8"/>
    <w:rsid w:val="0061754A"/>
    <w:rsid w:val="00623D29"/>
    <w:rsid w:val="00637613"/>
    <w:rsid w:val="00642CE9"/>
    <w:rsid w:val="00642D33"/>
    <w:rsid w:val="00642E93"/>
    <w:rsid w:val="00647DE5"/>
    <w:rsid w:val="00651D96"/>
    <w:rsid w:val="006524CA"/>
    <w:rsid w:val="006564E7"/>
    <w:rsid w:val="0065657B"/>
    <w:rsid w:val="006572CB"/>
    <w:rsid w:val="00660658"/>
    <w:rsid w:val="00664231"/>
    <w:rsid w:val="00664D86"/>
    <w:rsid w:val="0067059B"/>
    <w:rsid w:val="006717E6"/>
    <w:rsid w:val="00675A46"/>
    <w:rsid w:val="00675E52"/>
    <w:rsid w:val="00684FC0"/>
    <w:rsid w:val="00694503"/>
    <w:rsid w:val="0069654D"/>
    <w:rsid w:val="006A32B8"/>
    <w:rsid w:val="006A7418"/>
    <w:rsid w:val="006A76FD"/>
    <w:rsid w:val="006B0E50"/>
    <w:rsid w:val="006B49E1"/>
    <w:rsid w:val="006B5EEB"/>
    <w:rsid w:val="006C0F0B"/>
    <w:rsid w:val="006E1331"/>
    <w:rsid w:val="006E74F3"/>
    <w:rsid w:val="006F04F8"/>
    <w:rsid w:val="006F199F"/>
    <w:rsid w:val="0070312D"/>
    <w:rsid w:val="00703213"/>
    <w:rsid w:val="0070345D"/>
    <w:rsid w:val="00707A85"/>
    <w:rsid w:val="00712E32"/>
    <w:rsid w:val="00715753"/>
    <w:rsid w:val="00717A1C"/>
    <w:rsid w:val="00720DB2"/>
    <w:rsid w:val="00732818"/>
    <w:rsid w:val="00734A9C"/>
    <w:rsid w:val="00736010"/>
    <w:rsid w:val="00737581"/>
    <w:rsid w:val="0074093F"/>
    <w:rsid w:val="0075489A"/>
    <w:rsid w:val="00762EE8"/>
    <w:rsid w:val="00765358"/>
    <w:rsid w:val="00767B04"/>
    <w:rsid w:val="00774B70"/>
    <w:rsid w:val="00777145"/>
    <w:rsid w:val="0078329B"/>
    <w:rsid w:val="00793598"/>
    <w:rsid w:val="00794A5A"/>
    <w:rsid w:val="00797852"/>
    <w:rsid w:val="007A560D"/>
    <w:rsid w:val="007A5C2A"/>
    <w:rsid w:val="007A6365"/>
    <w:rsid w:val="007B29CF"/>
    <w:rsid w:val="007B62E7"/>
    <w:rsid w:val="007B7CCA"/>
    <w:rsid w:val="007C39D3"/>
    <w:rsid w:val="007C6693"/>
    <w:rsid w:val="007D29A0"/>
    <w:rsid w:val="007D71CE"/>
    <w:rsid w:val="007D7DF9"/>
    <w:rsid w:val="007E67E9"/>
    <w:rsid w:val="007E757F"/>
    <w:rsid w:val="007F1EC9"/>
    <w:rsid w:val="00800420"/>
    <w:rsid w:val="00800E3F"/>
    <w:rsid w:val="00803E7C"/>
    <w:rsid w:val="00810BF9"/>
    <w:rsid w:val="00812D76"/>
    <w:rsid w:val="00814779"/>
    <w:rsid w:val="00820929"/>
    <w:rsid w:val="008245AD"/>
    <w:rsid w:val="00826CB4"/>
    <w:rsid w:val="0082752D"/>
    <w:rsid w:val="00835E0A"/>
    <w:rsid w:val="008404CC"/>
    <w:rsid w:val="0084600F"/>
    <w:rsid w:val="00847F18"/>
    <w:rsid w:val="0086089D"/>
    <w:rsid w:val="00860A1F"/>
    <w:rsid w:val="008615C1"/>
    <w:rsid w:val="00866048"/>
    <w:rsid w:val="0087017E"/>
    <w:rsid w:val="00870506"/>
    <w:rsid w:val="00870B00"/>
    <w:rsid w:val="008738D6"/>
    <w:rsid w:val="008772EF"/>
    <w:rsid w:val="008815BC"/>
    <w:rsid w:val="008A1478"/>
    <w:rsid w:val="008A2CA1"/>
    <w:rsid w:val="008A4EF9"/>
    <w:rsid w:val="008A5C5C"/>
    <w:rsid w:val="008B0063"/>
    <w:rsid w:val="008B1F7E"/>
    <w:rsid w:val="008B5C52"/>
    <w:rsid w:val="008C255C"/>
    <w:rsid w:val="008C747F"/>
    <w:rsid w:val="008D20D4"/>
    <w:rsid w:val="008D4025"/>
    <w:rsid w:val="008D6AED"/>
    <w:rsid w:val="008E605D"/>
    <w:rsid w:val="008E6B70"/>
    <w:rsid w:val="008F6579"/>
    <w:rsid w:val="008F76CB"/>
    <w:rsid w:val="00900C36"/>
    <w:rsid w:val="0090454F"/>
    <w:rsid w:val="00904C51"/>
    <w:rsid w:val="009056BB"/>
    <w:rsid w:val="00905C29"/>
    <w:rsid w:val="00907AB7"/>
    <w:rsid w:val="00912E58"/>
    <w:rsid w:val="009257C8"/>
    <w:rsid w:val="00930C74"/>
    <w:rsid w:val="00931AED"/>
    <w:rsid w:val="009329DB"/>
    <w:rsid w:val="0093400C"/>
    <w:rsid w:val="00940A8F"/>
    <w:rsid w:val="00947524"/>
    <w:rsid w:val="00950542"/>
    <w:rsid w:val="009508FC"/>
    <w:rsid w:val="00952695"/>
    <w:rsid w:val="00955CA3"/>
    <w:rsid w:val="00960411"/>
    <w:rsid w:val="00960BCF"/>
    <w:rsid w:val="00967D2F"/>
    <w:rsid w:val="00970428"/>
    <w:rsid w:val="009766A2"/>
    <w:rsid w:val="00976B33"/>
    <w:rsid w:val="00980223"/>
    <w:rsid w:val="009809EA"/>
    <w:rsid w:val="009860C1"/>
    <w:rsid w:val="009922B2"/>
    <w:rsid w:val="00995B75"/>
    <w:rsid w:val="009B04FD"/>
    <w:rsid w:val="009B6A77"/>
    <w:rsid w:val="009B6FC0"/>
    <w:rsid w:val="009C0D97"/>
    <w:rsid w:val="009C1020"/>
    <w:rsid w:val="009C2A3E"/>
    <w:rsid w:val="009D09FE"/>
    <w:rsid w:val="009D30E8"/>
    <w:rsid w:val="009D5520"/>
    <w:rsid w:val="009E4A19"/>
    <w:rsid w:val="009F0B95"/>
    <w:rsid w:val="009F681D"/>
    <w:rsid w:val="00A02A10"/>
    <w:rsid w:val="00A05BCC"/>
    <w:rsid w:val="00A07E1C"/>
    <w:rsid w:val="00A11F5D"/>
    <w:rsid w:val="00A13DFB"/>
    <w:rsid w:val="00A14713"/>
    <w:rsid w:val="00A175DA"/>
    <w:rsid w:val="00A21CB4"/>
    <w:rsid w:val="00A2591A"/>
    <w:rsid w:val="00A25A61"/>
    <w:rsid w:val="00A301A2"/>
    <w:rsid w:val="00A41279"/>
    <w:rsid w:val="00A4241E"/>
    <w:rsid w:val="00A56ED0"/>
    <w:rsid w:val="00A60ED2"/>
    <w:rsid w:val="00A7099E"/>
    <w:rsid w:val="00A70D34"/>
    <w:rsid w:val="00A7121F"/>
    <w:rsid w:val="00A7469A"/>
    <w:rsid w:val="00A7717B"/>
    <w:rsid w:val="00A83705"/>
    <w:rsid w:val="00A858C8"/>
    <w:rsid w:val="00A85AAC"/>
    <w:rsid w:val="00A86E69"/>
    <w:rsid w:val="00A86E73"/>
    <w:rsid w:val="00A971CF"/>
    <w:rsid w:val="00AA6CD2"/>
    <w:rsid w:val="00AA7A63"/>
    <w:rsid w:val="00AB3A07"/>
    <w:rsid w:val="00AC01EB"/>
    <w:rsid w:val="00AC69D9"/>
    <w:rsid w:val="00AD21A4"/>
    <w:rsid w:val="00AD7A4B"/>
    <w:rsid w:val="00AE3131"/>
    <w:rsid w:val="00AE4C69"/>
    <w:rsid w:val="00AE5E77"/>
    <w:rsid w:val="00AF0913"/>
    <w:rsid w:val="00AF29FC"/>
    <w:rsid w:val="00B00671"/>
    <w:rsid w:val="00B05C96"/>
    <w:rsid w:val="00B065DF"/>
    <w:rsid w:val="00B123DB"/>
    <w:rsid w:val="00B22286"/>
    <w:rsid w:val="00B231D4"/>
    <w:rsid w:val="00B26E4A"/>
    <w:rsid w:val="00B2778A"/>
    <w:rsid w:val="00B27B98"/>
    <w:rsid w:val="00B3261B"/>
    <w:rsid w:val="00B34A73"/>
    <w:rsid w:val="00B404A4"/>
    <w:rsid w:val="00B4168F"/>
    <w:rsid w:val="00B46310"/>
    <w:rsid w:val="00B50636"/>
    <w:rsid w:val="00B50C45"/>
    <w:rsid w:val="00B51BB8"/>
    <w:rsid w:val="00B52592"/>
    <w:rsid w:val="00B53FBF"/>
    <w:rsid w:val="00B53FEB"/>
    <w:rsid w:val="00B61FB5"/>
    <w:rsid w:val="00B6240F"/>
    <w:rsid w:val="00B63850"/>
    <w:rsid w:val="00B63F5D"/>
    <w:rsid w:val="00B7228F"/>
    <w:rsid w:val="00B75373"/>
    <w:rsid w:val="00B806CF"/>
    <w:rsid w:val="00B81B13"/>
    <w:rsid w:val="00B820C3"/>
    <w:rsid w:val="00B82C39"/>
    <w:rsid w:val="00B85D31"/>
    <w:rsid w:val="00B94978"/>
    <w:rsid w:val="00B9626B"/>
    <w:rsid w:val="00B962D6"/>
    <w:rsid w:val="00B96B00"/>
    <w:rsid w:val="00BA1919"/>
    <w:rsid w:val="00BB5287"/>
    <w:rsid w:val="00BB7093"/>
    <w:rsid w:val="00BC132D"/>
    <w:rsid w:val="00BC26CE"/>
    <w:rsid w:val="00BC3F97"/>
    <w:rsid w:val="00BC4817"/>
    <w:rsid w:val="00BC5463"/>
    <w:rsid w:val="00BC74BB"/>
    <w:rsid w:val="00BD16FB"/>
    <w:rsid w:val="00BD1C65"/>
    <w:rsid w:val="00BD4E24"/>
    <w:rsid w:val="00BE044C"/>
    <w:rsid w:val="00BE0F87"/>
    <w:rsid w:val="00BE208C"/>
    <w:rsid w:val="00BF7C0C"/>
    <w:rsid w:val="00C00BD5"/>
    <w:rsid w:val="00C02C35"/>
    <w:rsid w:val="00C04E2E"/>
    <w:rsid w:val="00C04E75"/>
    <w:rsid w:val="00C114F4"/>
    <w:rsid w:val="00C17928"/>
    <w:rsid w:val="00C315D8"/>
    <w:rsid w:val="00C360B7"/>
    <w:rsid w:val="00C40F33"/>
    <w:rsid w:val="00C4205B"/>
    <w:rsid w:val="00C430BB"/>
    <w:rsid w:val="00C453FF"/>
    <w:rsid w:val="00C54226"/>
    <w:rsid w:val="00C55457"/>
    <w:rsid w:val="00C677AE"/>
    <w:rsid w:val="00C7173A"/>
    <w:rsid w:val="00C71E33"/>
    <w:rsid w:val="00C80058"/>
    <w:rsid w:val="00C80A66"/>
    <w:rsid w:val="00C869E3"/>
    <w:rsid w:val="00C9333F"/>
    <w:rsid w:val="00CB0831"/>
    <w:rsid w:val="00CB2A75"/>
    <w:rsid w:val="00CC2775"/>
    <w:rsid w:val="00CC7F34"/>
    <w:rsid w:val="00CE5AD6"/>
    <w:rsid w:val="00CF172C"/>
    <w:rsid w:val="00CF3712"/>
    <w:rsid w:val="00D1124F"/>
    <w:rsid w:val="00D12E12"/>
    <w:rsid w:val="00D13727"/>
    <w:rsid w:val="00D1703C"/>
    <w:rsid w:val="00D17BB7"/>
    <w:rsid w:val="00D215A2"/>
    <w:rsid w:val="00D26084"/>
    <w:rsid w:val="00D273EF"/>
    <w:rsid w:val="00D27D95"/>
    <w:rsid w:val="00D30BDF"/>
    <w:rsid w:val="00D31EFC"/>
    <w:rsid w:val="00D350A8"/>
    <w:rsid w:val="00D3569E"/>
    <w:rsid w:val="00D400ED"/>
    <w:rsid w:val="00D408BF"/>
    <w:rsid w:val="00D51DDF"/>
    <w:rsid w:val="00D6422E"/>
    <w:rsid w:val="00D7654A"/>
    <w:rsid w:val="00D81156"/>
    <w:rsid w:val="00D8382E"/>
    <w:rsid w:val="00DA12D2"/>
    <w:rsid w:val="00DA3D71"/>
    <w:rsid w:val="00DA4D6E"/>
    <w:rsid w:val="00DA70EE"/>
    <w:rsid w:val="00DC2927"/>
    <w:rsid w:val="00DD30E8"/>
    <w:rsid w:val="00DD4144"/>
    <w:rsid w:val="00DD749B"/>
    <w:rsid w:val="00DE636F"/>
    <w:rsid w:val="00DF1C8D"/>
    <w:rsid w:val="00E0001D"/>
    <w:rsid w:val="00E11A60"/>
    <w:rsid w:val="00E14C63"/>
    <w:rsid w:val="00E2251C"/>
    <w:rsid w:val="00E25814"/>
    <w:rsid w:val="00E3352E"/>
    <w:rsid w:val="00E33E65"/>
    <w:rsid w:val="00E454EA"/>
    <w:rsid w:val="00E5630C"/>
    <w:rsid w:val="00E616F0"/>
    <w:rsid w:val="00E6277E"/>
    <w:rsid w:val="00E66667"/>
    <w:rsid w:val="00E9729B"/>
    <w:rsid w:val="00EA3968"/>
    <w:rsid w:val="00EC7882"/>
    <w:rsid w:val="00ED6908"/>
    <w:rsid w:val="00ED6971"/>
    <w:rsid w:val="00EE1D2C"/>
    <w:rsid w:val="00EE22CC"/>
    <w:rsid w:val="00EE4195"/>
    <w:rsid w:val="00EF4AD6"/>
    <w:rsid w:val="00EF4E3E"/>
    <w:rsid w:val="00EF650C"/>
    <w:rsid w:val="00F00C08"/>
    <w:rsid w:val="00F03FEC"/>
    <w:rsid w:val="00F11DCD"/>
    <w:rsid w:val="00F14924"/>
    <w:rsid w:val="00F16C34"/>
    <w:rsid w:val="00F23E3F"/>
    <w:rsid w:val="00F2452D"/>
    <w:rsid w:val="00F25246"/>
    <w:rsid w:val="00F26A37"/>
    <w:rsid w:val="00F3224D"/>
    <w:rsid w:val="00F4036C"/>
    <w:rsid w:val="00F473FF"/>
    <w:rsid w:val="00F57994"/>
    <w:rsid w:val="00F61FC9"/>
    <w:rsid w:val="00F63E0D"/>
    <w:rsid w:val="00F64A6F"/>
    <w:rsid w:val="00F64C7E"/>
    <w:rsid w:val="00F65FE7"/>
    <w:rsid w:val="00F72A8A"/>
    <w:rsid w:val="00F839F8"/>
    <w:rsid w:val="00F860D5"/>
    <w:rsid w:val="00F9715A"/>
    <w:rsid w:val="00F97E14"/>
    <w:rsid w:val="00FA0F7B"/>
    <w:rsid w:val="00FA26F3"/>
    <w:rsid w:val="00FA415F"/>
    <w:rsid w:val="00FA717D"/>
    <w:rsid w:val="00FB4A38"/>
    <w:rsid w:val="00FB625E"/>
    <w:rsid w:val="00FC11BA"/>
    <w:rsid w:val="00FC2701"/>
    <w:rsid w:val="00FC30A2"/>
    <w:rsid w:val="00FC6722"/>
    <w:rsid w:val="00FD349F"/>
    <w:rsid w:val="00FE3EFF"/>
    <w:rsid w:val="00FF2341"/>
    <w:rsid w:val="00FF36D8"/>
    <w:rsid w:val="00FF4430"/>
    <w:rsid w:val="00FF701F"/>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9D9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qFormat/>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uiPriority w:val="99"/>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Footnote Text Char2 Char Char1,Footnote Text Char Char1 Char Char1,Footnote Text Char1 Char Char Char Char1,Footnote Text Char Char Char Char Char Char1,Footnote Text Char1 Char Char Char Char Char Char Char Char1,ft Char1"/>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character" w:customStyle="1" w:styleId="FERCparanumberChar">
    <w:name w:val="FERC paranumber Char"/>
    <w:basedOn w:val="DefaultParagraphFont"/>
    <w:rsid w:val="00A07E1C"/>
    <w:rPr>
      <w:rFonts w:ascii="Times New Roman" w:hAnsi="Times New Roman" w:cs="Times New Roman"/>
      <w:sz w:val="26"/>
    </w:rPr>
  </w:style>
  <w:style w:type="paragraph" w:customStyle="1" w:styleId="ParagraphwithoutNumbers">
    <w:name w:val="Paragraph with out Numbers"/>
    <w:basedOn w:val="Normal"/>
    <w:qFormat/>
    <w:rsid w:val="00A07E1C"/>
    <w:pPr>
      <w:tabs>
        <w:tab w:val="left" w:pos="720"/>
      </w:tabs>
      <w:spacing w:after="0" w:line="480" w:lineRule="auto"/>
      <w:outlineLvl w:val="0"/>
    </w:pPr>
    <w:rPr>
      <w:rFonts w:ascii="Times New Roman" w:eastAsia="Arial Unicode MS" w:hAnsi="Times New Roman" w:cs="Times New Roman"/>
      <w:color w:val="000000"/>
      <w:sz w:val="26"/>
      <w:szCs w:val="26"/>
      <w:u w:color="000000"/>
    </w:rPr>
  </w:style>
  <w:style w:type="character" w:styleId="FollowedHyperlink">
    <w:name w:val="FollowedHyperlink"/>
    <w:basedOn w:val="DefaultParagraphFont"/>
    <w:uiPriority w:val="99"/>
    <w:semiHidden/>
    <w:unhideWhenUsed/>
    <w:rsid w:val="004966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qFormat/>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uiPriority w:val="99"/>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Footnote Text Char2 Char Char1,Footnote Text Char Char1 Char Char1,Footnote Text Char1 Char Char Char Char1,Footnote Text Char Char Char Char Char Char1,Footnote Text Char1 Char Char Char Char Char Char Char Char1,ft Char1"/>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character" w:customStyle="1" w:styleId="FERCparanumberChar">
    <w:name w:val="FERC paranumber Char"/>
    <w:basedOn w:val="DefaultParagraphFont"/>
    <w:rsid w:val="00A07E1C"/>
    <w:rPr>
      <w:rFonts w:ascii="Times New Roman" w:hAnsi="Times New Roman" w:cs="Times New Roman"/>
      <w:sz w:val="26"/>
    </w:rPr>
  </w:style>
  <w:style w:type="paragraph" w:customStyle="1" w:styleId="ParagraphwithoutNumbers">
    <w:name w:val="Paragraph with out Numbers"/>
    <w:basedOn w:val="Normal"/>
    <w:qFormat/>
    <w:rsid w:val="00A07E1C"/>
    <w:pPr>
      <w:tabs>
        <w:tab w:val="left" w:pos="720"/>
      </w:tabs>
      <w:spacing w:after="0" w:line="480" w:lineRule="auto"/>
      <w:outlineLvl w:val="0"/>
    </w:pPr>
    <w:rPr>
      <w:rFonts w:ascii="Times New Roman" w:eastAsia="Arial Unicode MS" w:hAnsi="Times New Roman" w:cs="Times New Roman"/>
      <w:color w:val="000000"/>
      <w:sz w:val="26"/>
      <w:szCs w:val="26"/>
      <w:u w:color="000000"/>
    </w:rPr>
  </w:style>
  <w:style w:type="character" w:styleId="FollowedHyperlink">
    <w:name w:val="FollowedHyperlink"/>
    <w:basedOn w:val="DefaultParagraphFont"/>
    <w:uiPriority w:val="99"/>
    <w:semiHidden/>
    <w:unhideWhenUsed/>
    <w:rsid w:val="004966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334">
      <w:bodyDiv w:val="1"/>
      <w:marLeft w:val="0"/>
      <w:marRight w:val="0"/>
      <w:marTop w:val="0"/>
      <w:marBottom w:val="0"/>
      <w:divBdr>
        <w:top w:val="none" w:sz="0" w:space="0" w:color="auto"/>
        <w:left w:val="none" w:sz="0" w:space="0" w:color="auto"/>
        <w:bottom w:val="none" w:sz="0" w:space="0" w:color="auto"/>
        <w:right w:val="none" w:sz="0" w:space="0" w:color="auto"/>
      </w:divBdr>
    </w:div>
    <w:div w:id="357968119">
      <w:bodyDiv w:val="1"/>
      <w:marLeft w:val="0"/>
      <w:marRight w:val="0"/>
      <w:marTop w:val="0"/>
      <w:marBottom w:val="0"/>
      <w:divBdr>
        <w:top w:val="none" w:sz="0" w:space="0" w:color="auto"/>
        <w:left w:val="none" w:sz="0" w:space="0" w:color="auto"/>
        <w:bottom w:val="none" w:sz="0" w:space="0" w:color="auto"/>
        <w:right w:val="none" w:sz="0" w:space="0" w:color="auto"/>
      </w:divBdr>
    </w:div>
    <w:div w:id="358119964">
      <w:bodyDiv w:val="1"/>
      <w:marLeft w:val="0"/>
      <w:marRight w:val="0"/>
      <w:marTop w:val="0"/>
      <w:marBottom w:val="0"/>
      <w:divBdr>
        <w:top w:val="none" w:sz="0" w:space="0" w:color="auto"/>
        <w:left w:val="none" w:sz="0" w:space="0" w:color="auto"/>
        <w:bottom w:val="none" w:sz="0" w:space="0" w:color="auto"/>
        <w:right w:val="none" w:sz="0" w:space="0" w:color="auto"/>
      </w:divBdr>
      <w:divsChild>
        <w:div w:id="485585398">
          <w:marLeft w:val="0"/>
          <w:marRight w:val="0"/>
          <w:marTop w:val="0"/>
          <w:marBottom w:val="0"/>
          <w:divBdr>
            <w:top w:val="none" w:sz="0" w:space="0" w:color="auto"/>
            <w:left w:val="none" w:sz="0" w:space="0" w:color="auto"/>
            <w:bottom w:val="none" w:sz="0" w:space="0" w:color="auto"/>
            <w:right w:val="none" w:sz="0" w:space="0" w:color="auto"/>
          </w:divBdr>
          <w:divsChild>
            <w:div w:id="1971478485">
              <w:marLeft w:val="0"/>
              <w:marRight w:val="0"/>
              <w:marTop w:val="0"/>
              <w:marBottom w:val="0"/>
              <w:divBdr>
                <w:top w:val="single" w:sz="6" w:space="11" w:color="FCFCFC"/>
                <w:left w:val="single" w:sz="6" w:space="11" w:color="ECECEC"/>
                <w:bottom w:val="single" w:sz="6" w:space="4" w:color="ECECEC"/>
                <w:right w:val="single" w:sz="6" w:space="11" w:color="ECECEC"/>
              </w:divBdr>
              <w:divsChild>
                <w:div w:id="757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00498">
      <w:bodyDiv w:val="1"/>
      <w:marLeft w:val="0"/>
      <w:marRight w:val="0"/>
      <w:marTop w:val="0"/>
      <w:marBottom w:val="0"/>
      <w:divBdr>
        <w:top w:val="none" w:sz="0" w:space="0" w:color="auto"/>
        <w:left w:val="none" w:sz="0" w:space="0" w:color="auto"/>
        <w:bottom w:val="none" w:sz="0" w:space="0" w:color="auto"/>
        <w:right w:val="none" w:sz="0" w:space="0" w:color="auto"/>
      </w:divBdr>
    </w:div>
    <w:div w:id="430587294">
      <w:bodyDiv w:val="1"/>
      <w:marLeft w:val="0"/>
      <w:marRight w:val="0"/>
      <w:marTop w:val="0"/>
      <w:marBottom w:val="0"/>
      <w:divBdr>
        <w:top w:val="none" w:sz="0" w:space="0" w:color="auto"/>
        <w:left w:val="none" w:sz="0" w:space="0" w:color="auto"/>
        <w:bottom w:val="none" w:sz="0" w:space="0" w:color="auto"/>
        <w:right w:val="none" w:sz="0" w:space="0" w:color="auto"/>
      </w:divBdr>
    </w:div>
    <w:div w:id="472406364">
      <w:bodyDiv w:val="1"/>
      <w:marLeft w:val="0"/>
      <w:marRight w:val="0"/>
      <w:marTop w:val="0"/>
      <w:marBottom w:val="0"/>
      <w:divBdr>
        <w:top w:val="none" w:sz="0" w:space="0" w:color="auto"/>
        <w:left w:val="none" w:sz="0" w:space="0" w:color="auto"/>
        <w:bottom w:val="none" w:sz="0" w:space="0" w:color="auto"/>
        <w:right w:val="none" w:sz="0" w:space="0" w:color="auto"/>
      </w:divBdr>
    </w:div>
    <w:div w:id="875507410">
      <w:bodyDiv w:val="1"/>
      <w:marLeft w:val="0"/>
      <w:marRight w:val="0"/>
      <w:marTop w:val="0"/>
      <w:marBottom w:val="0"/>
      <w:divBdr>
        <w:top w:val="none" w:sz="0" w:space="0" w:color="auto"/>
        <w:left w:val="none" w:sz="0" w:space="0" w:color="auto"/>
        <w:bottom w:val="none" w:sz="0" w:space="0" w:color="auto"/>
        <w:right w:val="none" w:sz="0" w:space="0" w:color="auto"/>
      </w:divBdr>
    </w:div>
    <w:div w:id="930743077">
      <w:bodyDiv w:val="1"/>
      <w:marLeft w:val="0"/>
      <w:marRight w:val="0"/>
      <w:marTop w:val="0"/>
      <w:marBottom w:val="0"/>
      <w:divBdr>
        <w:top w:val="none" w:sz="0" w:space="0" w:color="auto"/>
        <w:left w:val="none" w:sz="0" w:space="0" w:color="auto"/>
        <w:bottom w:val="none" w:sz="0" w:space="0" w:color="auto"/>
        <w:right w:val="none" w:sz="0" w:space="0" w:color="auto"/>
      </w:divBdr>
    </w:div>
    <w:div w:id="1172529137">
      <w:bodyDiv w:val="1"/>
      <w:marLeft w:val="0"/>
      <w:marRight w:val="0"/>
      <w:marTop w:val="0"/>
      <w:marBottom w:val="0"/>
      <w:divBdr>
        <w:top w:val="none" w:sz="0" w:space="0" w:color="auto"/>
        <w:left w:val="none" w:sz="0" w:space="0" w:color="auto"/>
        <w:bottom w:val="none" w:sz="0" w:space="0" w:color="auto"/>
        <w:right w:val="none" w:sz="0" w:space="0" w:color="auto"/>
      </w:divBdr>
    </w:div>
    <w:div w:id="1215123478">
      <w:bodyDiv w:val="1"/>
      <w:marLeft w:val="0"/>
      <w:marRight w:val="0"/>
      <w:marTop w:val="0"/>
      <w:marBottom w:val="0"/>
      <w:divBdr>
        <w:top w:val="none" w:sz="0" w:space="0" w:color="auto"/>
        <w:left w:val="none" w:sz="0" w:space="0" w:color="auto"/>
        <w:bottom w:val="none" w:sz="0" w:space="0" w:color="auto"/>
        <w:right w:val="none" w:sz="0" w:space="0" w:color="auto"/>
      </w:divBdr>
    </w:div>
    <w:div w:id="1262563703">
      <w:bodyDiv w:val="1"/>
      <w:marLeft w:val="0"/>
      <w:marRight w:val="0"/>
      <w:marTop w:val="0"/>
      <w:marBottom w:val="0"/>
      <w:divBdr>
        <w:top w:val="none" w:sz="0" w:space="0" w:color="auto"/>
        <w:left w:val="none" w:sz="0" w:space="0" w:color="auto"/>
        <w:bottom w:val="none" w:sz="0" w:space="0" w:color="auto"/>
        <w:right w:val="none" w:sz="0" w:space="0" w:color="auto"/>
      </w:divBdr>
    </w:div>
    <w:div w:id="1283077359">
      <w:bodyDiv w:val="1"/>
      <w:marLeft w:val="0"/>
      <w:marRight w:val="0"/>
      <w:marTop w:val="0"/>
      <w:marBottom w:val="0"/>
      <w:divBdr>
        <w:top w:val="none" w:sz="0" w:space="0" w:color="auto"/>
        <w:left w:val="none" w:sz="0" w:space="0" w:color="auto"/>
        <w:bottom w:val="none" w:sz="0" w:space="0" w:color="auto"/>
        <w:right w:val="none" w:sz="0" w:space="0" w:color="auto"/>
      </w:divBdr>
      <w:divsChild>
        <w:div w:id="1028872330">
          <w:marLeft w:val="0"/>
          <w:marRight w:val="0"/>
          <w:marTop w:val="0"/>
          <w:marBottom w:val="0"/>
          <w:divBdr>
            <w:top w:val="none" w:sz="0" w:space="0" w:color="auto"/>
            <w:left w:val="none" w:sz="0" w:space="0" w:color="auto"/>
            <w:bottom w:val="none" w:sz="0" w:space="0" w:color="auto"/>
            <w:right w:val="none" w:sz="0" w:space="0" w:color="auto"/>
          </w:divBdr>
          <w:divsChild>
            <w:div w:id="285283765">
              <w:marLeft w:val="0"/>
              <w:marRight w:val="0"/>
              <w:marTop w:val="0"/>
              <w:marBottom w:val="0"/>
              <w:divBdr>
                <w:top w:val="none" w:sz="0" w:space="0" w:color="auto"/>
                <w:left w:val="none" w:sz="0" w:space="0" w:color="auto"/>
                <w:bottom w:val="none" w:sz="0" w:space="0" w:color="auto"/>
                <w:right w:val="none" w:sz="0" w:space="0" w:color="auto"/>
              </w:divBdr>
              <w:divsChild>
                <w:div w:id="1117607128">
                  <w:marLeft w:val="0"/>
                  <w:marRight w:val="0"/>
                  <w:marTop w:val="0"/>
                  <w:marBottom w:val="0"/>
                  <w:divBdr>
                    <w:top w:val="none" w:sz="0" w:space="0" w:color="auto"/>
                    <w:left w:val="none" w:sz="0" w:space="0" w:color="auto"/>
                    <w:bottom w:val="none" w:sz="0" w:space="0" w:color="auto"/>
                    <w:right w:val="none" w:sz="0" w:space="0" w:color="auto"/>
                  </w:divBdr>
                  <w:divsChild>
                    <w:div w:id="1300454091">
                      <w:marLeft w:val="0"/>
                      <w:marRight w:val="0"/>
                      <w:marTop w:val="0"/>
                      <w:marBottom w:val="0"/>
                      <w:divBdr>
                        <w:top w:val="none" w:sz="0" w:space="0" w:color="auto"/>
                        <w:left w:val="none" w:sz="0" w:space="0" w:color="auto"/>
                        <w:bottom w:val="none" w:sz="0" w:space="0" w:color="auto"/>
                        <w:right w:val="none" w:sz="0" w:space="0" w:color="auto"/>
                      </w:divBdr>
                      <w:divsChild>
                        <w:div w:id="704061431">
                          <w:marLeft w:val="0"/>
                          <w:marRight w:val="0"/>
                          <w:marTop w:val="0"/>
                          <w:marBottom w:val="0"/>
                          <w:divBdr>
                            <w:top w:val="none" w:sz="0" w:space="0" w:color="auto"/>
                            <w:left w:val="none" w:sz="0" w:space="0" w:color="auto"/>
                            <w:bottom w:val="none" w:sz="0" w:space="0" w:color="auto"/>
                            <w:right w:val="none" w:sz="0" w:space="0" w:color="auto"/>
                          </w:divBdr>
                          <w:divsChild>
                            <w:div w:id="289945281">
                              <w:marLeft w:val="0"/>
                              <w:marRight w:val="0"/>
                              <w:marTop w:val="0"/>
                              <w:marBottom w:val="0"/>
                              <w:divBdr>
                                <w:top w:val="none" w:sz="0" w:space="0" w:color="auto"/>
                                <w:left w:val="none" w:sz="0" w:space="0" w:color="auto"/>
                                <w:bottom w:val="none" w:sz="0" w:space="0" w:color="auto"/>
                                <w:right w:val="none" w:sz="0" w:space="0" w:color="auto"/>
                              </w:divBdr>
                              <w:divsChild>
                                <w:div w:id="1297493489">
                                  <w:marLeft w:val="0"/>
                                  <w:marRight w:val="0"/>
                                  <w:marTop w:val="0"/>
                                  <w:marBottom w:val="0"/>
                                  <w:divBdr>
                                    <w:top w:val="none" w:sz="0" w:space="0" w:color="auto"/>
                                    <w:left w:val="none" w:sz="0" w:space="0" w:color="auto"/>
                                    <w:bottom w:val="none" w:sz="0" w:space="0" w:color="auto"/>
                                    <w:right w:val="none" w:sz="0" w:space="0" w:color="auto"/>
                                  </w:divBdr>
                                  <w:divsChild>
                                    <w:div w:id="1274903916">
                                      <w:marLeft w:val="0"/>
                                      <w:marRight w:val="0"/>
                                      <w:marTop w:val="0"/>
                                      <w:marBottom w:val="0"/>
                                      <w:divBdr>
                                        <w:top w:val="none" w:sz="0" w:space="0" w:color="auto"/>
                                        <w:left w:val="none" w:sz="0" w:space="0" w:color="auto"/>
                                        <w:bottom w:val="none" w:sz="0" w:space="0" w:color="auto"/>
                                        <w:right w:val="none" w:sz="0" w:space="0" w:color="auto"/>
                                      </w:divBdr>
                                      <w:divsChild>
                                        <w:div w:id="1245644185">
                                          <w:marLeft w:val="0"/>
                                          <w:marRight w:val="0"/>
                                          <w:marTop w:val="0"/>
                                          <w:marBottom w:val="0"/>
                                          <w:divBdr>
                                            <w:top w:val="none" w:sz="0" w:space="0" w:color="auto"/>
                                            <w:left w:val="none" w:sz="0" w:space="0" w:color="auto"/>
                                            <w:bottom w:val="none" w:sz="0" w:space="0" w:color="auto"/>
                                            <w:right w:val="none" w:sz="0" w:space="0" w:color="auto"/>
                                          </w:divBdr>
                                          <w:divsChild>
                                            <w:div w:id="1035278910">
                                              <w:marLeft w:val="0"/>
                                              <w:marRight w:val="0"/>
                                              <w:marTop w:val="0"/>
                                              <w:marBottom w:val="0"/>
                                              <w:divBdr>
                                                <w:top w:val="none" w:sz="0" w:space="0" w:color="auto"/>
                                                <w:left w:val="none" w:sz="0" w:space="0" w:color="auto"/>
                                                <w:bottom w:val="none" w:sz="0" w:space="0" w:color="auto"/>
                                                <w:right w:val="none" w:sz="0" w:space="0" w:color="auto"/>
                                              </w:divBdr>
                                              <w:divsChild>
                                                <w:div w:id="1749309738">
                                                  <w:marLeft w:val="0"/>
                                                  <w:marRight w:val="0"/>
                                                  <w:marTop w:val="0"/>
                                                  <w:marBottom w:val="0"/>
                                                  <w:divBdr>
                                                    <w:top w:val="none" w:sz="0" w:space="0" w:color="auto"/>
                                                    <w:left w:val="none" w:sz="0" w:space="0" w:color="auto"/>
                                                    <w:bottom w:val="none" w:sz="0" w:space="0" w:color="auto"/>
                                                    <w:right w:val="none" w:sz="0" w:space="0" w:color="auto"/>
                                                  </w:divBdr>
                                                  <w:divsChild>
                                                    <w:div w:id="153111119">
                                                      <w:marLeft w:val="0"/>
                                                      <w:marRight w:val="0"/>
                                                      <w:marTop w:val="0"/>
                                                      <w:marBottom w:val="0"/>
                                                      <w:divBdr>
                                                        <w:top w:val="none" w:sz="0" w:space="0" w:color="auto"/>
                                                        <w:left w:val="none" w:sz="0" w:space="0" w:color="auto"/>
                                                        <w:bottom w:val="none" w:sz="0" w:space="0" w:color="auto"/>
                                                        <w:right w:val="none" w:sz="0" w:space="0" w:color="auto"/>
                                                      </w:divBdr>
                                                      <w:divsChild>
                                                        <w:div w:id="1901209526">
                                                          <w:marLeft w:val="0"/>
                                                          <w:marRight w:val="0"/>
                                                          <w:marTop w:val="0"/>
                                                          <w:marBottom w:val="0"/>
                                                          <w:divBdr>
                                                            <w:top w:val="none" w:sz="0" w:space="0" w:color="auto"/>
                                                            <w:left w:val="none" w:sz="0" w:space="0" w:color="auto"/>
                                                            <w:bottom w:val="none" w:sz="0" w:space="0" w:color="auto"/>
                                                            <w:right w:val="none" w:sz="0" w:space="0" w:color="auto"/>
                                                          </w:divBdr>
                                                          <w:divsChild>
                                                            <w:div w:id="1086684545">
                                                              <w:marLeft w:val="0"/>
                                                              <w:marRight w:val="0"/>
                                                              <w:marTop w:val="0"/>
                                                              <w:marBottom w:val="0"/>
                                                              <w:divBdr>
                                                                <w:top w:val="none" w:sz="0" w:space="0" w:color="auto"/>
                                                                <w:left w:val="none" w:sz="0" w:space="0" w:color="auto"/>
                                                                <w:bottom w:val="none" w:sz="0" w:space="0" w:color="auto"/>
                                                                <w:right w:val="none" w:sz="0" w:space="0" w:color="auto"/>
                                                              </w:divBdr>
                                                              <w:divsChild>
                                                                <w:div w:id="651912160">
                                                                  <w:marLeft w:val="480"/>
                                                                  <w:marRight w:val="0"/>
                                                                  <w:marTop w:val="0"/>
                                                                  <w:marBottom w:val="0"/>
                                                                  <w:divBdr>
                                                                    <w:top w:val="none" w:sz="0" w:space="0" w:color="auto"/>
                                                                    <w:left w:val="none" w:sz="0" w:space="0" w:color="auto"/>
                                                                    <w:bottom w:val="none" w:sz="0" w:space="0" w:color="auto"/>
                                                                    <w:right w:val="none" w:sz="0" w:space="0" w:color="auto"/>
                                                                  </w:divBdr>
                                                                  <w:divsChild>
                                                                    <w:div w:id="1088041054">
                                                                      <w:marLeft w:val="0"/>
                                                                      <w:marRight w:val="0"/>
                                                                      <w:marTop w:val="0"/>
                                                                      <w:marBottom w:val="0"/>
                                                                      <w:divBdr>
                                                                        <w:top w:val="none" w:sz="0" w:space="0" w:color="auto"/>
                                                                        <w:left w:val="none" w:sz="0" w:space="0" w:color="auto"/>
                                                                        <w:bottom w:val="none" w:sz="0" w:space="0" w:color="auto"/>
                                                                        <w:right w:val="none" w:sz="0" w:space="0" w:color="auto"/>
                                                                      </w:divBdr>
                                                                      <w:divsChild>
                                                                        <w:div w:id="1440030253">
                                                                          <w:marLeft w:val="0"/>
                                                                          <w:marRight w:val="0"/>
                                                                          <w:marTop w:val="0"/>
                                                                          <w:marBottom w:val="0"/>
                                                                          <w:divBdr>
                                                                            <w:top w:val="none" w:sz="0" w:space="0" w:color="auto"/>
                                                                            <w:left w:val="none" w:sz="0" w:space="0" w:color="auto"/>
                                                                            <w:bottom w:val="none" w:sz="0" w:space="0" w:color="auto"/>
                                                                            <w:right w:val="none" w:sz="0" w:space="0" w:color="auto"/>
                                                                          </w:divBdr>
                                                                          <w:divsChild>
                                                                            <w:div w:id="1909266376">
                                                                              <w:marLeft w:val="0"/>
                                                                              <w:marRight w:val="0"/>
                                                                              <w:marTop w:val="0"/>
                                                                              <w:marBottom w:val="0"/>
                                                                              <w:divBdr>
                                                                                <w:top w:val="none" w:sz="0" w:space="0" w:color="auto"/>
                                                                                <w:left w:val="none" w:sz="0" w:space="0" w:color="auto"/>
                                                                                <w:bottom w:val="none" w:sz="0" w:space="0" w:color="auto"/>
                                                                                <w:right w:val="none" w:sz="0" w:space="0" w:color="auto"/>
                                                                              </w:divBdr>
                                                                              <w:divsChild>
                                                                                <w:div w:id="1843080528">
                                                                                  <w:marLeft w:val="0"/>
                                                                                  <w:marRight w:val="0"/>
                                                                                  <w:marTop w:val="0"/>
                                                                                  <w:marBottom w:val="0"/>
                                                                                  <w:divBdr>
                                                                                    <w:top w:val="none" w:sz="0" w:space="0" w:color="auto"/>
                                                                                    <w:left w:val="none" w:sz="0" w:space="0" w:color="auto"/>
                                                                                    <w:bottom w:val="none" w:sz="0" w:space="0" w:color="auto"/>
                                                                                    <w:right w:val="none" w:sz="0" w:space="0" w:color="auto"/>
                                                                                  </w:divBdr>
                                                                                  <w:divsChild>
                                                                                    <w:div w:id="808398100">
                                                                                      <w:marLeft w:val="0"/>
                                                                                      <w:marRight w:val="0"/>
                                                                                      <w:marTop w:val="0"/>
                                                                                      <w:marBottom w:val="0"/>
                                                                                      <w:divBdr>
                                                                                        <w:top w:val="none" w:sz="0" w:space="0" w:color="auto"/>
                                                                                        <w:left w:val="none" w:sz="0" w:space="0" w:color="auto"/>
                                                                                        <w:bottom w:val="none" w:sz="0" w:space="0" w:color="auto"/>
                                                                                        <w:right w:val="none" w:sz="0" w:space="0" w:color="auto"/>
                                                                                      </w:divBdr>
                                                                                      <w:divsChild>
                                                                                        <w:div w:id="1140533622">
                                                                                          <w:marLeft w:val="0"/>
                                                                                          <w:marRight w:val="0"/>
                                                                                          <w:marTop w:val="240"/>
                                                                                          <w:marBottom w:val="0"/>
                                                                                          <w:divBdr>
                                                                                            <w:top w:val="none" w:sz="0" w:space="0" w:color="auto"/>
                                                                                            <w:left w:val="none" w:sz="0" w:space="0" w:color="auto"/>
                                                                                            <w:bottom w:val="single" w:sz="6" w:space="23" w:color="auto"/>
                                                                                            <w:right w:val="none" w:sz="0" w:space="0" w:color="auto"/>
                                                                                          </w:divBdr>
                                                                                          <w:divsChild>
                                                                                            <w:div w:id="523059907">
                                                                                              <w:marLeft w:val="0"/>
                                                                                              <w:marRight w:val="0"/>
                                                                                              <w:marTop w:val="0"/>
                                                                                              <w:marBottom w:val="0"/>
                                                                                              <w:divBdr>
                                                                                                <w:top w:val="none" w:sz="0" w:space="0" w:color="auto"/>
                                                                                                <w:left w:val="none" w:sz="0" w:space="0" w:color="auto"/>
                                                                                                <w:bottom w:val="none" w:sz="0" w:space="0" w:color="auto"/>
                                                                                                <w:right w:val="none" w:sz="0" w:space="0" w:color="auto"/>
                                                                                              </w:divBdr>
                                                                                              <w:divsChild>
                                                                                                <w:div w:id="1843471220">
                                                                                                  <w:marLeft w:val="0"/>
                                                                                                  <w:marRight w:val="0"/>
                                                                                                  <w:marTop w:val="0"/>
                                                                                                  <w:marBottom w:val="0"/>
                                                                                                  <w:divBdr>
                                                                                                    <w:top w:val="none" w:sz="0" w:space="0" w:color="auto"/>
                                                                                                    <w:left w:val="none" w:sz="0" w:space="0" w:color="auto"/>
                                                                                                    <w:bottom w:val="none" w:sz="0" w:space="0" w:color="auto"/>
                                                                                                    <w:right w:val="none" w:sz="0" w:space="0" w:color="auto"/>
                                                                                                  </w:divBdr>
                                                                                                  <w:divsChild>
                                                                                                    <w:div w:id="1531646156">
                                                                                                      <w:marLeft w:val="0"/>
                                                                                                      <w:marRight w:val="0"/>
                                                                                                      <w:marTop w:val="0"/>
                                                                                                      <w:marBottom w:val="0"/>
                                                                                                      <w:divBdr>
                                                                                                        <w:top w:val="none" w:sz="0" w:space="0" w:color="auto"/>
                                                                                                        <w:left w:val="none" w:sz="0" w:space="0" w:color="auto"/>
                                                                                                        <w:bottom w:val="none" w:sz="0" w:space="0" w:color="auto"/>
                                                                                                        <w:right w:val="none" w:sz="0" w:space="0" w:color="auto"/>
                                                                                                      </w:divBdr>
                                                                                                      <w:divsChild>
                                                                                                        <w:div w:id="1991061379">
                                                                                                          <w:marLeft w:val="0"/>
                                                                                                          <w:marRight w:val="0"/>
                                                                                                          <w:marTop w:val="0"/>
                                                                                                          <w:marBottom w:val="0"/>
                                                                                                          <w:divBdr>
                                                                                                            <w:top w:val="none" w:sz="0" w:space="0" w:color="auto"/>
                                                                                                            <w:left w:val="none" w:sz="0" w:space="0" w:color="auto"/>
                                                                                                            <w:bottom w:val="none" w:sz="0" w:space="0" w:color="auto"/>
                                                                                                            <w:right w:val="none" w:sz="0" w:space="0" w:color="auto"/>
                                                                                                          </w:divBdr>
                                                                                                          <w:divsChild>
                                                                                                            <w:div w:id="603655776">
                                                                                                              <w:marLeft w:val="0"/>
                                                                                                              <w:marRight w:val="0"/>
                                                                                                              <w:marTop w:val="0"/>
                                                                                                              <w:marBottom w:val="0"/>
                                                                                                              <w:divBdr>
                                                                                                                <w:top w:val="none" w:sz="0" w:space="0" w:color="auto"/>
                                                                                                                <w:left w:val="none" w:sz="0" w:space="0" w:color="auto"/>
                                                                                                                <w:bottom w:val="none" w:sz="0" w:space="0" w:color="auto"/>
                                                                                                                <w:right w:val="none" w:sz="0" w:space="0" w:color="auto"/>
                                                                                                              </w:divBdr>
                                                                                                              <w:divsChild>
                                                                                                                <w:div w:id="1903369666">
                                                                                                                  <w:marLeft w:val="0"/>
                                                                                                                  <w:marRight w:val="0"/>
                                                                                                                  <w:marTop w:val="0"/>
                                                                                                                  <w:marBottom w:val="0"/>
                                                                                                                  <w:divBdr>
                                                                                                                    <w:top w:val="none" w:sz="0" w:space="0" w:color="auto"/>
                                                                                                                    <w:left w:val="none" w:sz="0" w:space="0" w:color="auto"/>
                                                                                                                    <w:bottom w:val="none" w:sz="0" w:space="0" w:color="auto"/>
                                                                                                                    <w:right w:val="none" w:sz="0" w:space="0" w:color="auto"/>
                                                                                                                  </w:divBdr>
                                                                                                                  <w:divsChild>
                                                                                                                    <w:div w:id="1794711767">
                                                                                                                      <w:marLeft w:val="0"/>
                                                                                                                      <w:marRight w:val="0"/>
                                                                                                                      <w:marTop w:val="0"/>
                                                                                                                      <w:marBottom w:val="0"/>
                                                                                                                      <w:divBdr>
                                                                                                                        <w:top w:val="none" w:sz="0" w:space="0" w:color="auto"/>
                                                                                                                        <w:left w:val="none" w:sz="0" w:space="0" w:color="auto"/>
                                                                                                                        <w:bottom w:val="none" w:sz="0" w:space="0" w:color="auto"/>
                                                                                                                        <w:right w:val="none" w:sz="0" w:space="0" w:color="auto"/>
                                                                                                                      </w:divBdr>
                                                                                                                      <w:divsChild>
                                                                                                                        <w:div w:id="54663301">
                                                                                                                          <w:marLeft w:val="0"/>
                                                                                                                          <w:marRight w:val="0"/>
                                                                                                                          <w:marTop w:val="0"/>
                                                                                                                          <w:marBottom w:val="0"/>
                                                                                                                          <w:divBdr>
                                                                                                                            <w:top w:val="none" w:sz="0" w:space="0" w:color="auto"/>
                                                                                                                            <w:left w:val="none" w:sz="0" w:space="0" w:color="auto"/>
                                                                                                                            <w:bottom w:val="none" w:sz="0" w:space="0" w:color="auto"/>
                                                                                                                            <w:right w:val="none" w:sz="0" w:space="0" w:color="auto"/>
                                                                                                                          </w:divBdr>
                                                                                                                        </w:div>
                                                                                                                        <w:div w:id="591165401">
                                                                                                                          <w:marLeft w:val="0"/>
                                                                                                                          <w:marRight w:val="0"/>
                                                                                                                          <w:marTop w:val="0"/>
                                                                                                                          <w:marBottom w:val="0"/>
                                                                                                                          <w:divBdr>
                                                                                                                            <w:top w:val="none" w:sz="0" w:space="0" w:color="auto"/>
                                                                                                                            <w:left w:val="none" w:sz="0" w:space="0" w:color="auto"/>
                                                                                                                            <w:bottom w:val="none" w:sz="0" w:space="0" w:color="auto"/>
                                                                                                                            <w:right w:val="none" w:sz="0" w:space="0" w:color="auto"/>
                                                                                                                          </w:divBdr>
                                                                                                                        </w:div>
                                                                                                                        <w:div w:id="787046579">
                                                                                                                          <w:marLeft w:val="0"/>
                                                                                                                          <w:marRight w:val="0"/>
                                                                                                                          <w:marTop w:val="0"/>
                                                                                                                          <w:marBottom w:val="0"/>
                                                                                                                          <w:divBdr>
                                                                                                                            <w:top w:val="none" w:sz="0" w:space="0" w:color="auto"/>
                                                                                                                            <w:left w:val="none" w:sz="0" w:space="0" w:color="auto"/>
                                                                                                                            <w:bottom w:val="none" w:sz="0" w:space="0" w:color="auto"/>
                                                                                                                            <w:right w:val="none" w:sz="0" w:space="0" w:color="auto"/>
                                                                                                                          </w:divBdr>
                                                                                                                        </w:div>
                                                                                                                        <w:div w:id="847521211">
                                                                                                                          <w:marLeft w:val="0"/>
                                                                                                                          <w:marRight w:val="0"/>
                                                                                                                          <w:marTop w:val="0"/>
                                                                                                                          <w:marBottom w:val="0"/>
                                                                                                                          <w:divBdr>
                                                                                                                            <w:top w:val="none" w:sz="0" w:space="0" w:color="auto"/>
                                                                                                                            <w:left w:val="none" w:sz="0" w:space="0" w:color="auto"/>
                                                                                                                            <w:bottom w:val="none" w:sz="0" w:space="0" w:color="auto"/>
                                                                                                                            <w:right w:val="none" w:sz="0" w:space="0" w:color="auto"/>
                                                                                                                          </w:divBdr>
                                                                                                                        </w:div>
                                                                                                                        <w:div w:id="1098670618">
                                                                                                                          <w:marLeft w:val="0"/>
                                                                                                                          <w:marRight w:val="0"/>
                                                                                                                          <w:marTop w:val="0"/>
                                                                                                                          <w:marBottom w:val="0"/>
                                                                                                                          <w:divBdr>
                                                                                                                            <w:top w:val="none" w:sz="0" w:space="0" w:color="auto"/>
                                                                                                                            <w:left w:val="none" w:sz="0" w:space="0" w:color="auto"/>
                                                                                                                            <w:bottom w:val="none" w:sz="0" w:space="0" w:color="auto"/>
                                                                                                                            <w:right w:val="none" w:sz="0" w:space="0" w:color="auto"/>
                                                                                                                          </w:divBdr>
                                                                                                                        </w:div>
                                                                                                                        <w:div w:id="1428848271">
                                                                                                                          <w:marLeft w:val="0"/>
                                                                                                                          <w:marRight w:val="0"/>
                                                                                                                          <w:marTop w:val="0"/>
                                                                                                                          <w:marBottom w:val="0"/>
                                                                                                                          <w:divBdr>
                                                                                                                            <w:top w:val="none" w:sz="0" w:space="0" w:color="auto"/>
                                                                                                                            <w:left w:val="none" w:sz="0" w:space="0" w:color="auto"/>
                                                                                                                            <w:bottom w:val="none" w:sz="0" w:space="0" w:color="auto"/>
                                                                                                                            <w:right w:val="none" w:sz="0" w:space="0" w:color="auto"/>
                                                                                                                          </w:divBdr>
                                                                                                                        </w:div>
                                                                                                                        <w:div w:id="1495343743">
                                                                                                                          <w:marLeft w:val="0"/>
                                                                                                                          <w:marRight w:val="0"/>
                                                                                                                          <w:marTop w:val="0"/>
                                                                                                                          <w:marBottom w:val="0"/>
                                                                                                                          <w:divBdr>
                                                                                                                            <w:top w:val="none" w:sz="0" w:space="0" w:color="auto"/>
                                                                                                                            <w:left w:val="none" w:sz="0" w:space="0" w:color="auto"/>
                                                                                                                            <w:bottom w:val="none" w:sz="0" w:space="0" w:color="auto"/>
                                                                                                                            <w:right w:val="none" w:sz="0" w:space="0" w:color="auto"/>
                                                                                                                          </w:divBdr>
                                                                                                                        </w:div>
                                                                                                                        <w:div w:id="1516261741">
                                                                                                                          <w:marLeft w:val="0"/>
                                                                                                                          <w:marRight w:val="0"/>
                                                                                                                          <w:marTop w:val="0"/>
                                                                                                                          <w:marBottom w:val="0"/>
                                                                                                                          <w:divBdr>
                                                                                                                            <w:top w:val="none" w:sz="0" w:space="0" w:color="auto"/>
                                                                                                                            <w:left w:val="none" w:sz="0" w:space="0" w:color="auto"/>
                                                                                                                            <w:bottom w:val="none" w:sz="0" w:space="0" w:color="auto"/>
                                                                                                                            <w:right w:val="none" w:sz="0" w:space="0" w:color="auto"/>
                                                                                                                          </w:divBdr>
                                                                                                                        </w:div>
                                                                                                                        <w:div w:id="1659109964">
                                                                                                                          <w:marLeft w:val="0"/>
                                                                                                                          <w:marRight w:val="0"/>
                                                                                                                          <w:marTop w:val="0"/>
                                                                                                                          <w:marBottom w:val="0"/>
                                                                                                                          <w:divBdr>
                                                                                                                            <w:top w:val="none" w:sz="0" w:space="0" w:color="auto"/>
                                                                                                                            <w:left w:val="none" w:sz="0" w:space="0" w:color="auto"/>
                                                                                                                            <w:bottom w:val="none" w:sz="0" w:space="0" w:color="auto"/>
                                                                                                                            <w:right w:val="none" w:sz="0" w:space="0" w:color="auto"/>
                                                                                                                          </w:divBdr>
                                                                                                                        </w:div>
                                                                                                                        <w:div w:id="1902784815">
                                                                                                                          <w:marLeft w:val="0"/>
                                                                                                                          <w:marRight w:val="0"/>
                                                                                                                          <w:marTop w:val="0"/>
                                                                                                                          <w:marBottom w:val="0"/>
                                                                                                                          <w:divBdr>
                                                                                                                            <w:top w:val="none" w:sz="0" w:space="0" w:color="auto"/>
                                                                                                                            <w:left w:val="none" w:sz="0" w:space="0" w:color="auto"/>
                                                                                                                            <w:bottom w:val="none" w:sz="0" w:space="0" w:color="auto"/>
                                                                                                                            <w:right w:val="none" w:sz="0" w:space="0" w:color="auto"/>
                                                                                                                          </w:divBdr>
                                                                                                                        </w:div>
                                                                                                                        <w:div w:id="2026665229">
                                                                                                                          <w:marLeft w:val="0"/>
                                                                                                                          <w:marRight w:val="0"/>
                                                                                                                          <w:marTop w:val="0"/>
                                                                                                                          <w:marBottom w:val="0"/>
                                                                                                                          <w:divBdr>
                                                                                                                            <w:top w:val="none" w:sz="0" w:space="0" w:color="auto"/>
                                                                                                                            <w:left w:val="none" w:sz="0" w:space="0" w:color="auto"/>
                                                                                                                            <w:bottom w:val="none" w:sz="0" w:space="0" w:color="auto"/>
                                                                                                                            <w:right w:val="none" w:sz="0" w:space="0" w:color="auto"/>
                                                                                                                          </w:divBdr>
                                                                                                                        </w:div>
                                                                                                                        <w:div w:id="2095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710421">
      <w:bodyDiv w:val="1"/>
      <w:marLeft w:val="0"/>
      <w:marRight w:val="0"/>
      <w:marTop w:val="0"/>
      <w:marBottom w:val="0"/>
      <w:divBdr>
        <w:top w:val="none" w:sz="0" w:space="0" w:color="auto"/>
        <w:left w:val="none" w:sz="0" w:space="0" w:color="auto"/>
        <w:bottom w:val="none" w:sz="0" w:space="0" w:color="auto"/>
        <w:right w:val="none" w:sz="0" w:space="0" w:color="auto"/>
      </w:divBdr>
    </w:div>
    <w:div w:id="20179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ls.gov/oes/current/naics2_22.htm" TargetMode="External"/><Relationship Id="rId1" Type="http://schemas.openxmlformats.org/officeDocument/2006/relationships/hyperlink" Target="https://elibrary.ferc.gov/idmws/common/OpenNat.asp?fileID=15096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Supporting Information</Rulemaking_x0020_Document_x0020_Type>
    <_x0033__x002e__x0020_Docket_x0020_Number xmlns="d6eefc7d-9817-4fa6-84d5-3bc009be21b8" xsi:nil="true"/>
    <_x0031__x002e__x0020_Collection_x0020_Number xmlns="d6eefc7d-9817-4fa6-84d5-3bc009be21b8">516</_x0031__x002e__x0020_Collection_x0020_Number>
    <Date xmlns="d6eefc7d-9817-4fa6-84d5-3bc009be21b8">2019-02-22T00:00:00-05:00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RM19-5</_x0031__x002e__x0020_Docket_x0020_Number>
    <_x0033__x002e__x0020_Collection_x0020_Number xmlns="d6eefc7d-9817-4fa6-84d5-3bc009be21b8" xsi:nil="true"/>
  </documentManagement>
</p:properti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83F0-ACE0-4D7F-96AF-DBDF9F9A071F}">
  <ds:schemaRefs>
    <ds:schemaRef ds:uri="Microsoft.SharePoint.Taxonomy.ContentTypeSync"/>
  </ds:schemaRefs>
</ds:datastoreItem>
</file>

<file path=customXml/itemProps2.xml><?xml version="1.0" encoding="utf-8"?>
<ds:datastoreItem xmlns:ds="http://schemas.openxmlformats.org/officeDocument/2006/customXml" ds:itemID="{C78337A4-D1AD-43E3-AA03-90BBF8CE3E2E}">
  <ds:schemaRefs>
    <ds:schemaRef ds:uri="http://schemas.microsoft.com/sharepoint/v3/contenttype/forms"/>
  </ds:schemaRefs>
</ds:datastoreItem>
</file>

<file path=customXml/itemProps3.xml><?xml version="1.0" encoding="utf-8"?>
<ds:datastoreItem xmlns:ds="http://schemas.openxmlformats.org/officeDocument/2006/customXml" ds:itemID="{05E70F4A-87E6-4221-8D2C-3B3AA38C812D}">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6eefc7d-9817-4fa6-84d5-3bc009be21b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54A55DE-62D2-48BC-BDB2-ABF18C261928}">
  <ds:schemaRefs>
    <ds:schemaRef ds:uri="http://schemas.microsoft.com/office/2006/metadata/customXsn"/>
  </ds:schemaRefs>
</ds:datastoreItem>
</file>

<file path=customXml/itemProps5.xml><?xml version="1.0" encoding="utf-8"?>
<ds:datastoreItem xmlns:ds="http://schemas.openxmlformats.org/officeDocument/2006/customXml" ds:itemID="{A22E1F53-5717-4043-84F1-44C2F6A58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A93E7F-FF03-4106-B870-436D51CC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RM19-5 NOPR supporting statement</vt:lpstr>
    </vt:vector>
  </TitlesOfParts>
  <Company>Federal Energy Regulatory Commission</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RM19-5 NOPR supporting statement</dc:title>
  <dc:subject/>
  <dc:creator>anthony.may@ferc.gov</dc:creator>
  <cp:keywords/>
  <cp:lastModifiedBy>SYSTEM</cp:lastModifiedBy>
  <cp:revision>2</cp:revision>
  <dcterms:created xsi:type="dcterms:W3CDTF">2019-02-22T15:57:00Z</dcterms:created>
  <dcterms:modified xsi:type="dcterms:W3CDTF">2019-02-22T15:57:00Z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