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2DD7B71"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5A2B5C8A" w:rsidR="00CA4CD6" w:rsidRDefault="002B29A5">
      <w:pPr>
        <w:rPr>
          <w:color w:val="000000"/>
        </w:rPr>
      </w:pPr>
      <w:r w:rsidRPr="004E4F9B">
        <w:rPr>
          <w:b/>
        </w:rPr>
        <w:t xml:space="preserve">NESHAP for </w:t>
      </w:r>
      <w:r w:rsidR="004E4F9B" w:rsidRPr="004E4F9B">
        <w:rPr>
          <w:b/>
        </w:rPr>
        <w:t xml:space="preserve">the Secondary Lead Smelter Industry </w:t>
      </w:r>
      <w:r w:rsidRPr="004E4F9B">
        <w:rPr>
          <w:b/>
        </w:rPr>
        <w:t xml:space="preserve">(40 CFR Part 63, Subpart </w:t>
      </w:r>
      <w:r w:rsidR="004E4F9B" w:rsidRPr="004E4F9B">
        <w:rPr>
          <w:b/>
        </w:rPr>
        <w:t>X</w:t>
      </w:r>
      <w:r w:rsidRPr="004E4F9B">
        <w:rPr>
          <w:b/>
        </w:rPr>
        <w:t xml:space="preserve">) </w:t>
      </w:r>
      <w:r w:rsidRPr="00236DB3">
        <w:rPr>
          <w:b/>
        </w:rPr>
        <w:t>(Renewal)</w:t>
      </w:r>
      <w:r w:rsidR="00CA4CD6" w:rsidRPr="004E4F9B">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44972B2F" w:rsidR="00CA4CD6" w:rsidRPr="004E4F9B" w:rsidRDefault="002B29A5" w:rsidP="002B29A5">
      <w:pPr>
        <w:rPr>
          <w:bCs/>
        </w:rPr>
      </w:pPr>
      <w:r w:rsidRPr="004E4F9B">
        <w:rPr>
          <w:bCs/>
        </w:rPr>
        <w:t xml:space="preserve">NESHAP for </w:t>
      </w:r>
      <w:bookmarkStart w:id="1" w:name="_Hlk527968453"/>
      <w:r w:rsidR="004E4F9B" w:rsidRPr="004E4F9B">
        <w:rPr>
          <w:bCs/>
        </w:rPr>
        <w:t xml:space="preserve">the Secondary Lead Smelter Industry </w:t>
      </w:r>
      <w:bookmarkEnd w:id="1"/>
      <w:r w:rsidRPr="004E4F9B">
        <w:rPr>
          <w:bCs/>
        </w:rPr>
        <w:t xml:space="preserve">(40 CFR Part 63, Subpart </w:t>
      </w:r>
      <w:r w:rsidR="004E4F9B" w:rsidRPr="004E4F9B">
        <w:rPr>
          <w:bCs/>
        </w:rPr>
        <w:t>X</w:t>
      </w:r>
      <w:r w:rsidRPr="004E4F9B">
        <w:rPr>
          <w:bCs/>
        </w:rPr>
        <w:t xml:space="preserve">) </w:t>
      </w:r>
      <w:r w:rsidRPr="004C5E95">
        <w:rPr>
          <w:bCs/>
        </w:rPr>
        <w:t xml:space="preserve">(Renewal), </w:t>
      </w:r>
      <w:r w:rsidR="000E6EF1">
        <w:rPr>
          <w:bCs/>
        </w:rPr>
        <w:t xml:space="preserve"> </w:t>
      </w:r>
      <w:r w:rsidRPr="004C5E95">
        <w:rPr>
          <w:bCs/>
        </w:rPr>
        <w:t xml:space="preserve">EPA ICR Number </w:t>
      </w:r>
      <w:r w:rsidR="004E4F9B">
        <w:rPr>
          <w:bCs/>
        </w:rPr>
        <w:t>1686.11</w:t>
      </w:r>
      <w:r w:rsidRPr="004E4F9B">
        <w:rPr>
          <w:bCs/>
        </w:rPr>
        <w:t xml:space="preserve">, </w:t>
      </w:r>
      <w:r w:rsidRPr="004C5E95">
        <w:rPr>
          <w:bCs/>
        </w:rPr>
        <w:t>OMB Control Number 2060-</w:t>
      </w:r>
      <w:r w:rsidR="004E4F9B">
        <w:rPr>
          <w:bCs/>
        </w:rPr>
        <w:t>0296</w:t>
      </w:r>
      <w:r w:rsidRPr="004E4F9B">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ECD45DD" w14:textId="6E77344F" w:rsidR="00CA4CD6" w:rsidRPr="004E4F9B" w:rsidRDefault="00CA4CD6" w:rsidP="004E4F9B">
      <w:pPr>
        <w:ind w:firstLine="720"/>
      </w:pPr>
      <w:r>
        <w:rPr>
          <w:color w:val="000000"/>
        </w:rPr>
        <w:t xml:space="preserve">The </w:t>
      </w:r>
      <w:r w:rsidRPr="004E4F9B">
        <w:rPr>
          <w:color w:val="000000"/>
        </w:rPr>
        <w:t xml:space="preserve">National Emission Standards for Hazardous Air Pollutants (NESHAP) </w:t>
      </w:r>
      <w:r>
        <w:rPr>
          <w:color w:val="000000"/>
        </w:rPr>
        <w:t xml:space="preserve">for </w:t>
      </w:r>
      <w:r w:rsidR="000E6EF1" w:rsidRPr="000E6EF1">
        <w:rPr>
          <w:color w:val="000000"/>
        </w:rPr>
        <w:t xml:space="preserve">the Secondary Lead Smelter Industry </w:t>
      </w:r>
      <w:r w:rsidR="000E6EF1">
        <w:rPr>
          <w:color w:val="000000"/>
        </w:rPr>
        <w:t>(</w:t>
      </w:r>
      <w:r w:rsidR="005E0A9B" w:rsidRPr="004E4F9B">
        <w:rPr>
          <w:color w:val="000000"/>
        </w:rPr>
        <w:t xml:space="preserve">40 CFR Part 63, Subpart </w:t>
      </w:r>
      <w:r w:rsidR="004E4F9B" w:rsidRPr="004E4F9B">
        <w:rPr>
          <w:color w:val="000000"/>
        </w:rPr>
        <w:t>X</w:t>
      </w:r>
      <w:r w:rsidR="000E6EF1">
        <w:rPr>
          <w:color w:val="000000"/>
        </w:rPr>
        <w:t>)</w:t>
      </w:r>
      <w:r>
        <w:rPr>
          <w:color w:val="000000"/>
        </w:rPr>
        <w:t xml:space="preserve"> </w:t>
      </w:r>
      <w:r w:rsidR="004E4F9B" w:rsidRPr="004E4F9B">
        <w:rPr>
          <w:color w:val="000000"/>
        </w:rPr>
        <w:t>were proposed on June 9, 1994</w:t>
      </w:r>
      <w:r w:rsidR="00993B4E">
        <w:rPr>
          <w:color w:val="000000"/>
        </w:rPr>
        <w:t>,</w:t>
      </w:r>
      <w:r w:rsidR="00993B4E" w:rsidRPr="004E4F9B">
        <w:rPr>
          <w:color w:val="000000"/>
        </w:rPr>
        <w:t xml:space="preserve"> </w:t>
      </w:r>
      <w:r w:rsidR="004E4F9B" w:rsidRPr="004E4F9B">
        <w:rPr>
          <w:color w:val="000000"/>
        </w:rPr>
        <w:t>promulgated on June 13, 1997</w:t>
      </w:r>
      <w:r w:rsidR="00993B4E">
        <w:rPr>
          <w:color w:val="000000"/>
        </w:rPr>
        <w:t>,</w:t>
      </w:r>
      <w:r w:rsidR="00993B4E" w:rsidRPr="004E4F9B">
        <w:rPr>
          <w:color w:val="000000"/>
        </w:rPr>
        <w:t xml:space="preserve"> </w:t>
      </w:r>
      <w:r w:rsidR="004E4F9B" w:rsidRPr="004E4F9B">
        <w:rPr>
          <w:color w:val="000000"/>
        </w:rPr>
        <w:t>and amended on</w:t>
      </w:r>
      <w:r w:rsidR="000E6EF1">
        <w:rPr>
          <w:color w:val="000000"/>
        </w:rPr>
        <w:t>:</w:t>
      </w:r>
      <w:r w:rsidR="004E4F9B" w:rsidRPr="004E4F9B">
        <w:rPr>
          <w:color w:val="000000"/>
        </w:rPr>
        <w:t xml:space="preserve"> June 13, 1997</w:t>
      </w:r>
      <w:r w:rsidR="00993B4E">
        <w:rPr>
          <w:color w:val="000000"/>
        </w:rPr>
        <w:t>,</w:t>
      </w:r>
      <w:r w:rsidR="00993B4E" w:rsidRPr="004E4F9B">
        <w:rPr>
          <w:color w:val="000000"/>
        </w:rPr>
        <w:t xml:space="preserve"> </w:t>
      </w:r>
      <w:r w:rsidR="004E4F9B" w:rsidRPr="004E4F9B">
        <w:rPr>
          <w:color w:val="000000"/>
        </w:rPr>
        <w:t>January</w:t>
      </w:r>
      <w:r w:rsidR="004E4F9B" w:rsidRPr="00DB2647">
        <w:t xml:space="preserve"> 5, 2012</w:t>
      </w:r>
      <w:r w:rsidR="00993B4E">
        <w:t>,</w:t>
      </w:r>
      <w:r w:rsidR="00993B4E" w:rsidRPr="00DB2647">
        <w:t xml:space="preserve"> </w:t>
      </w:r>
      <w:r w:rsidR="004E4F9B" w:rsidRPr="00DB2647">
        <w:t>and January 3, 2014. The most</w:t>
      </w:r>
      <w:r w:rsidR="000E6EF1">
        <w:t>-</w:t>
      </w:r>
      <w:r w:rsidR="004E4F9B" w:rsidRPr="00DB2647">
        <w:t xml:space="preserve">recent amendment </w:t>
      </w:r>
      <w:r w:rsidR="004E4F9B">
        <w:t xml:space="preserve">corrected typographical errors and provided </w:t>
      </w:r>
      <w:r w:rsidR="004E4F9B" w:rsidRPr="00DB2647">
        <w:t>clarification of compliance dates and monitoring requirements</w:t>
      </w:r>
      <w:r w:rsidR="004E4F9B">
        <w:t xml:space="preserve">. None of the revisions affected the </w:t>
      </w:r>
      <w:r w:rsidR="004E4F9B" w:rsidRPr="00DB2647">
        <w:t xml:space="preserve">reporting </w:t>
      </w:r>
      <w:r w:rsidR="004E4F9B">
        <w:t xml:space="preserve">and </w:t>
      </w:r>
      <w:r w:rsidR="004E4F9B" w:rsidRPr="00DB2647">
        <w:t>recordkeeping requirements</w:t>
      </w:r>
      <w:r w:rsidR="004E4F9B">
        <w:t xml:space="preserve"> reflected in the previous information collection request (ICR)</w:t>
      </w:r>
      <w:r w:rsidR="004E4F9B" w:rsidRPr="00DB2647">
        <w:t xml:space="preserve">. These regulations apply to existing facilities and new facilities that operate furnaces to reduce scrap lead metal and lead compounds to elemental lead. </w:t>
      </w:r>
      <w:r w:rsidR="004E4F9B">
        <w:t>Specifically, t</w:t>
      </w:r>
      <w:r w:rsidR="004E4F9B" w:rsidRPr="00DB2647">
        <w:t>he rule applies to secondary lead smelters that use blast, reverberatory, rotary, or electric smelting furnaces to recover lead metal from scrap lead, primarily from used lead-acid automotive-type batteries. New facilities include those that commenced construction or reconstruction after the date of proposal. This information is being collected to assure compliance with 40 CFR Part 63, Subpart X.</w:t>
      </w:r>
    </w:p>
    <w:p w14:paraId="43FDF7BE" w14:textId="77777777" w:rsidR="00CA4CD6" w:rsidRDefault="00CA4CD6">
      <w:pPr>
        <w:rPr>
          <w:color w:val="000000"/>
        </w:rPr>
      </w:pPr>
    </w:p>
    <w:p w14:paraId="0116004E" w14:textId="2826B198" w:rsidR="00CA4CD6" w:rsidRDefault="00CA4CD6">
      <w:pPr>
        <w:ind w:firstLine="720"/>
        <w:rPr>
          <w:color w:val="000000"/>
        </w:rPr>
      </w:pPr>
      <w:r>
        <w:rPr>
          <w:color w:val="000000"/>
        </w:rPr>
        <w:t xml:space="preserve">In general, all </w:t>
      </w:r>
      <w:r w:rsidRPr="004E4F9B">
        <w:t xml:space="preserve">NESHAP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0E6EF1">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w:t>
      </w:r>
      <w:r w:rsidRPr="004E4F9B">
        <w:t>records are essential in determining compliance, and are required of all affected facilities subject to NESHAP.</w:t>
      </w:r>
      <w:r w:rsidR="009C7E97" w:rsidRPr="004E4F9B">
        <w:t xml:space="preserve"> </w:t>
      </w:r>
    </w:p>
    <w:p w14:paraId="4416605D" w14:textId="77777777" w:rsidR="00CA4CD6" w:rsidRDefault="00CA4CD6">
      <w:pPr>
        <w:rPr>
          <w:color w:val="000000"/>
        </w:rPr>
      </w:pPr>
    </w:p>
    <w:p w14:paraId="297BBA30" w14:textId="5BBC29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C63128">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0E6EF1">
        <w:rPr>
          <w:color w:val="000000"/>
        </w:rPr>
        <w:t xml:space="preserve">    </w:t>
      </w:r>
      <w:r>
        <w:rPr>
          <w:color w:val="000000"/>
        </w:rPr>
        <w:t>I</w:t>
      </w:r>
      <w:r w:rsidR="000E6EF1">
        <w:rPr>
          <w:color w:val="000000"/>
        </w:rPr>
        <w:t xml:space="preserve">f </w:t>
      </w:r>
      <w:r>
        <w:rPr>
          <w:color w:val="000000"/>
        </w:rPr>
        <w:t>there is no such delegated authority, the reports are sent directly to the U</w:t>
      </w:r>
      <w:r w:rsidR="000E6EF1">
        <w:rPr>
          <w:color w:val="000000"/>
        </w:rPr>
        <w:t>.</w:t>
      </w:r>
      <w:r>
        <w:rPr>
          <w:color w:val="000000"/>
        </w:rPr>
        <w:t>S</w:t>
      </w:r>
      <w:r w:rsidR="000E6EF1">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120EFAA3"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approximately </w:t>
      </w:r>
      <w:r w:rsidR="004E4F9B" w:rsidRPr="004E4F9B">
        <w:t>1</w:t>
      </w:r>
      <w:r w:rsidR="00C63128">
        <w:t>2</w:t>
      </w:r>
      <w:r w:rsidR="004E4F9B" w:rsidRPr="004E4F9B">
        <w:t xml:space="preserve"> </w:t>
      </w:r>
      <w:r w:rsidR="00277E52">
        <w:t>s</w:t>
      </w:r>
      <w:r w:rsidR="004E4F9B" w:rsidRPr="004E4F9B">
        <w:t xml:space="preserve">econdary </w:t>
      </w:r>
      <w:r w:rsidR="00277E52">
        <w:t>l</w:t>
      </w:r>
      <w:r w:rsidR="004E4F9B" w:rsidRPr="004E4F9B">
        <w:t xml:space="preserve">ead </w:t>
      </w:r>
      <w:r w:rsidR="00277E52">
        <w:t>s</w:t>
      </w:r>
      <w:r w:rsidR="004E4F9B" w:rsidRPr="004E4F9B">
        <w:t>melter</w:t>
      </w:r>
      <w:r w:rsidRPr="004E4F9B">
        <w:t xml:space="preserve"> </w:t>
      </w:r>
      <w:r>
        <w:rPr>
          <w:color w:val="000000"/>
        </w:rPr>
        <w:t xml:space="preserve">facilities, which are owned and operated by the </w:t>
      </w:r>
      <w:r w:rsidR="00277E52">
        <w:t>s</w:t>
      </w:r>
      <w:r w:rsidR="00277E52" w:rsidRPr="004E4F9B">
        <w:t xml:space="preserve">econdary </w:t>
      </w:r>
      <w:r w:rsidR="00277E52">
        <w:t>l</w:t>
      </w:r>
      <w:r w:rsidR="00277E52" w:rsidRPr="004E4F9B">
        <w:t xml:space="preserve">ead </w:t>
      </w:r>
      <w:r w:rsidR="00277E52">
        <w:t>s</w:t>
      </w:r>
      <w:r w:rsidR="00277E52" w:rsidRPr="004E4F9B">
        <w:t xml:space="preserve">melter </w:t>
      </w:r>
      <w:r>
        <w:rPr>
          <w:color w:val="000000"/>
        </w:rPr>
        <w:t>industry</w:t>
      </w:r>
      <w:r w:rsidR="00C63128">
        <w:rPr>
          <w:color w:val="000000"/>
        </w:rPr>
        <w:t xml:space="preserve">. </w:t>
      </w:r>
      <w:r>
        <w:rPr>
          <w:color w:val="000000"/>
        </w:rPr>
        <w:t>None of the</w:t>
      </w:r>
      <w:r w:rsidR="000E6EF1">
        <w:rPr>
          <w:color w:val="000000"/>
        </w:rPr>
        <w:t>se</w:t>
      </w:r>
      <w:r>
        <w:rPr>
          <w:color w:val="000000"/>
        </w:rPr>
        <w:t xml:space="preserve"> </w:t>
      </w:r>
      <w:r w:rsidR="00277E52">
        <w:rPr>
          <w:color w:val="000000"/>
        </w:rPr>
        <w:t>1</w:t>
      </w:r>
      <w:r w:rsidR="00C63128">
        <w:rPr>
          <w:color w:val="000000"/>
        </w:rPr>
        <w:t>2</w:t>
      </w:r>
      <w:r>
        <w:rPr>
          <w:color w:val="000000"/>
        </w:rPr>
        <w:t xml:space="preserve"> facilities in the United States are owned by </w:t>
      </w:r>
      <w:r w:rsidR="000E6EF1">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sidR="00277E52" w:rsidRPr="00C42988">
        <w:t xml:space="preserve">The burden to the </w:t>
      </w:r>
      <w:r w:rsidR="00C63128">
        <w:t>“</w:t>
      </w:r>
      <w:r w:rsidR="00277E52" w:rsidRPr="00C42988">
        <w:t>Affected Public</w:t>
      </w:r>
      <w:r w:rsidR="00C63128">
        <w:t>”</w:t>
      </w:r>
      <w:r w:rsidR="00277E52" w:rsidRPr="00C42988">
        <w:t xml:space="preserve"> may be found</w:t>
      </w:r>
      <w:r w:rsidR="000E6EF1">
        <w:t xml:space="preserve"> below</w:t>
      </w:r>
      <w:r w:rsidR="00277E52" w:rsidRPr="00C42988">
        <w:t xml:space="preserve"> in Table 1: Annual Respondent Burden and Cost – </w:t>
      </w:r>
      <w:r w:rsidR="00277E52" w:rsidRPr="004000F8">
        <w:rPr>
          <w:bCs/>
        </w:rPr>
        <w:t xml:space="preserve">NESHAP for </w:t>
      </w:r>
      <w:r w:rsidR="00277E52" w:rsidRPr="004E4F9B">
        <w:rPr>
          <w:bCs/>
        </w:rPr>
        <w:t xml:space="preserve">the Secondary Lead Smelter Industry (40 CFR Part 63, Subpart X) </w:t>
      </w:r>
      <w:r w:rsidR="00277E52" w:rsidRPr="004C5E95">
        <w:rPr>
          <w:bCs/>
        </w:rPr>
        <w:t>(Renewal)</w:t>
      </w:r>
      <w:r w:rsidR="00277E52">
        <w:rPr>
          <w:bCs/>
        </w:rPr>
        <w:t xml:space="preserve">. </w:t>
      </w:r>
      <w:r w:rsidR="00277E52">
        <w:t>The</w:t>
      </w:r>
      <w:r w:rsidR="00C63128">
        <w:t xml:space="preserve"> burden to the </w:t>
      </w:r>
      <w:r w:rsidR="00277E52" w:rsidRPr="00C42988">
        <w:t xml:space="preserve">Federal </w:t>
      </w:r>
      <w:r w:rsidR="00277E52" w:rsidRPr="00C42988">
        <w:lastRenderedPageBreak/>
        <w:t>Government is attributed entirely to work performed by</w:t>
      </w:r>
      <w:r w:rsidR="000E6EF1">
        <w:t xml:space="preserve"> either F</w:t>
      </w:r>
      <w:r w:rsidR="00277E52" w:rsidRPr="00C42988">
        <w:t xml:space="preserve">ederal employees or government contractors and </w:t>
      </w:r>
      <w:r w:rsidR="00277E52">
        <w:t xml:space="preserve">may be found </w:t>
      </w:r>
      <w:r w:rsidR="000E6EF1">
        <w:t xml:space="preserve">below </w:t>
      </w:r>
      <w:r w:rsidR="00277E52">
        <w:t>in</w:t>
      </w:r>
      <w:r w:rsidR="00277E52" w:rsidRPr="00C42988">
        <w:t xml:space="preserve"> Table 2: Average Annual EPA Burden and Cost – </w:t>
      </w:r>
      <w:r w:rsidR="00277E52" w:rsidRPr="004000F8">
        <w:rPr>
          <w:bCs/>
        </w:rPr>
        <w:t>NESHAP for</w:t>
      </w:r>
      <w:r w:rsidR="00277E52">
        <w:rPr>
          <w:bCs/>
        </w:rPr>
        <w:t xml:space="preserve"> </w:t>
      </w:r>
      <w:r w:rsidR="00277E52" w:rsidRPr="004E4F9B">
        <w:rPr>
          <w:bCs/>
        </w:rPr>
        <w:t xml:space="preserve">the Secondary Lead Smelter Industry (40 CFR Part 63, Subpart X) </w:t>
      </w:r>
      <w:r w:rsidR="00277E52" w:rsidRPr="004C5E95">
        <w:rPr>
          <w:bCs/>
        </w:rPr>
        <w:t>(Renewal)</w:t>
      </w:r>
      <w:r w:rsidR="00277E52">
        <w:rPr>
          <w:bCs/>
        </w:rPr>
        <w:t>.</w:t>
      </w:r>
      <w:r w:rsidR="00277E52" w:rsidRPr="004C5E95">
        <w:rPr>
          <w:bCs/>
        </w:rPr>
        <w:t xml:space="preserve"> </w:t>
      </w:r>
      <w:r w:rsidR="000E6EF1">
        <w:rPr>
          <w:bCs/>
        </w:rPr>
        <w:t xml:space="preserve">   </w:t>
      </w:r>
      <w:r>
        <w:rPr>
          <w:color w:val="000000"/>
        </w:rPr>
        <w:t>We assume that they will all respond</w:t>
      </w:r>
      <w:r w:rsidR="000E6EF1">
        <w:rPr>
          <w:color w:val="000000"/>
        </w:rPr>
        <w:t xml:space="preserve"> to EPA inquiries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642BAC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277E52">
        <w:rPr>
          <w:color w:val="000000"/>
        </w:rPr>
        <w:t>is</w:t>
      </w:r>
      <w:r>
        <w:rPr>
          <w:color w:val="000000"/>
        </w:rPr>
        <w:t xml:space="preserve"> an average of </w:t>
      </w:r>
      <w:r w:rsidR="00277E52" w:rsidRPr="00277E52">
        <w:t>one</w:t>
      </w:r>
      <w:r>
        <w:rPr>
          <w:color w:val="000000"/>
        </w:rPr>
        <w:t xml:space="preserve"> affected facilities at each plant site and that each plant site has only one respondent (i.e., the owner/operator of the plant site).</w:t>
      </w:r>
    </w:p>
    <w:p w14:paraId="51F311CF" w14:textId="77777777" w:rsidR="00CA4CD6" w:rsidRPr="00277E52" w:rsidRDefault="00CA4CD6">
      <w:pPr>
        <w:pBdr>
          <w:top w:val="single" w:sz="6" w:space="0" w:color="FFFFFF"/>
          <w:left w:val="single" w:sz="6" w:space="0" w:color="FFFFFF"/>
          <w:bottom w:val="single" w:sz="6" w:space="0" w:color="FFFFFF"/>
          <w:right w:val="single" w:sz="6" w:space="0" w:color="FFFFFF"/>
        </w:pBdr>
      </w:pPr>
    </w:p>
    <w:p w14:paraId="74FF05E4" w14:textId="31C88586" w:rsidR="00CA4CD6" w:rsidRPr="00277E52" w:rsidRDefault="00E10DA7">
      <w:pPr>
        <w:pBdr>
          <w:top w:val="single" w:sz="6" w:space="0" w:color="FFFFFF"/>
          <w:left w:val="single" w:sz="6" w:space="0" w:color="FFFFFF"/>
          <w:bottom w:val="single" w:sz="6" w:space="0" w:color="FFFFFF"/>
          <w:right w:val="single" w:sz="6" w:space="0" w:color="FFFFFF"/>
        </w:pBdr>
        <w:ind w:firstLine="720"/>
      </w:pPr>
      <w:r w:rsidRPr="00277E52">
        <w:t xml:space="preserve">Over the next three years, </w:t>
      </w:r>
      <w:r w:rsidR="00D91C34" w:rsidRPr="00277E52">
        <w:t xml:space="preserve">approximately </w:t>
      </w:r>
      <w:r w:rsidR="00277E52" w:rsidRPr="00277E52">
        <w:t>1</w:t>
      </w:r>
      <w:r w:rsidR="00C63128">
        <w:t>2</w:t>
      </w:r>
      <w:r w:rsidR="00CA4CD6" w:rsidRPr="00277E52">
        <w:t xml:space="preserve"> respondents </w:t>
      </w:r>
      <w:r w:rsidRPr="00277E52">
        <w:t>per year will be subject to the</w:t>
      </w:r>
      <w:r w:rsidR="000E6EF1">
        <w:t>se</w:t>
      </w:r>
      <w:r w:rsidRPr="00277E52">
        <w:t xml:space="preserve"> standard</w:t>
      </w:r>
      <w:r w:rsidR="000E6EF1">
        <w:t>s</w:t>
      </w:r>
      <w:r w:rsidR="00CA4CD6" w:rsidRPr="00277E52">
        <w:t xml:space="preserve">, and </w:t>
      </w:r>
      <w:r w:rsidR="00277E52" w:rsidRPr="00277E52">
        <w:t>no</w:t>
      </w:r>
      <w:r w:rsidR="00CA4CD6" w:rsidRPr="00277E52">
        <w:t xml:space="preserve"> </w:t>
      </w:r>
      <w:r w:rsidRPr="00277E52">
        <w:t xml:space="preserve">additional </w:t>
      </w:r>
      <w:r w:rsidR="00CA4CD6" w:rsidRPr="00277E52">
        <w:t xml:space="preserve">respondents </w:t>
      </w:r>
      <w:r w:rsidRPr="00277E52">
        <w:t xml:space="preserve">per year </w:t>
      </w:r>
      <w:r w:rsidR="00CA4CD6" w:rsidRPr="00277E52">
        <w:t>will become subject to the</w:t>
      </w:r>
      <w:r w:rsidR="000E6EF1">
        <w:t>se same</w:t>
      </w:r>
      <w:r w:rsidR="00CA4CD6" w:rsidRPr="00277E52">
        <w:t xml:space="preserve"> </w:t>
      </w:r>
      <w:r w:rsidRPr="00277E52">
        <w:t>standard</w:t>
      </w:r>
      <w:r w:rsidR="000E6EF1">
        <w:t>s</w:t>
      </w:r>
      <w:r w:rsidR="00277E52" w:rsidRPr="00277E52">
        <w:t>.</w:t>
      </w:r>
    </w:p>
    <w:p w14:paraId="7691F7E8" w14:textId="77777777" w:rsidR="00CA4CD6" w:rsidRPr="00277E52" w:rsidRDefault="00CA4CD6">
      <w:pPr>
        <w:pBdr>
          <w:top w:val="single" w:sz="6" w:space="0" w:color="FFFFFF"/>
          <w:left w:val="single" w:sz="6" w:space="0" w:color="FFFFFF"/>
          <w:bottom w:val="single" w:sz="6" w:space="0" w:color="FFFFFF"/>
          <w:right w:val="single" w:sz="6" w:space="0" w:color="FFFFFF"/>
        </w:pBdr>
      </w:pPr>
    </w:p>
    <w:p w14:paraId="365C973F" w14:textId="3CF2DBB6" w:rsidR="009D6567" w:rsidRPr="00277E52" w:rsidRDefault="00A10DBD" w:rsidP="00277E52">
      <w:pPr>
        <w:pBdr>
          <w:top w:val="single" w:sz="6" w:space="0" w:color="FFFFFF"/>
          <w:left w:val="single" w:sz="6" w:space="0" w:color="FFFFFF"/>
          <w:bottom w:val="single" w:sz="6" w:space="0" w:color="FFFFFF"/>
          <w:right w:val="single" w:sz="6" w:space="0" w:color="FFFFFF"/>
        </w:pBdr>
        <w:ind w:firstLine="720"/>
      </w:pPr>
      <w:r w:rsidRPr="00277E52">
        <w:t>The Office of Management and Budget (</w:t>
      </w:r>
      <w:r w:rsidR="00CA4CD6" w:rsidRPr="00277E52">
        <w:t>OMB</w:t>
      </w:r>
      <w:r w:rsidRPr="00277E52">
        <w:t>)</w:t>
      </w:r>
      <w:r w:rsidR="00CA4CD6" w:rsidRPr="00277E52">
        <w:t xml:space="preserve"> approved the currently active ICR without any </w:t>
      </w:r>
      <w:r w:rsidRPr="00277E52">
        <w:t>“</w:t>
      </w:r>
      <w:r w:rsidR="00CA4CD6" w:rsidRPr="00277E52">
        <w:t>Terms of Clearance</w:t>
      </w:r>
      <w:r w:rsidRPr="00277E52">
        <w:t>”</w:t>
      </w:r>
      <w:r w:rsidR="00CA4CD6" w:rsidRPr="00277E52">
        <w:t xml:space="preserve">. </w:t>
      </w:r>
    </w:p>
    <w:p w14:paraId="70A26DD3" w14:textId="77777777" w:rsidR="002B29A5" w:rsidRPr="00277E52"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77777777" w:rsidR="00CA4CD6" w:rsidRPr="00277E52" w:rsidRDefault="00CA4CD6">
      <w:pPr>
        <w:pBdr>
          <w:top w:val="single" w:sz="6" w:space="0" w:color="FFFFFF"/>
          <w:left w:val="single" w:sz="6" w:space="0" w:color="FFFFFF"/>
          <w:bottom w:val="single" w:sz="6" w:space="0" w:color="FFFFFF"/>
          <w:right w:val="single" w:sz="6" w:space="0" w:color="FFFFFF"/>
        </w:pBdr>
      </w:pPr>
    </w:p>
    <w:p w14:paraId="1B2AF144" w14:textId="10ACD6FD" w:rsidR="00CA4CD6" w:rsidRPr="00277E52" w:rsidRDefault="00CA4CD6">
      <w:pPr>
        <w:pBdr>
          <w:top w:val="single" w:sz="6" w:space="0" w:color="FFFFFF"/>
          <w:left w:val="single" w:sz="6" w:space="0" w:color="FFFFFF"/>
          <w:bottom w:val="single" w:sz="6" w:space="0" w:color="FFFFFF"/>
          <w:right w:val="single" w:sz="6" w:space="0" w:color="FFFFFF"/>
        </w:pBdr>
        <w:ind w:firstLine="720"/>
      </w:pPr>
      <w:r w:rsidRPr="00277E52">
        <w:t>The EPA is charged under Section 112 of the Clean Air Act, as amended, to establish standards of performance for each category or subcategory of major sources and area sources of hazardous air pollutants.</w:t>
      </w:r>
      <w:r w:rsidR="009C7E97" w:rsidRPr="00277E52">
        <w:t xml:space="preserve"> </w:t>
      </w:r>
      <w:r w:rsidRPr="00277E52">
        <w:t>These standards are applicable to new or existing sources of hazardous air pollutants and shall require the maximum degree of emission reduction.</w:t>
      </w:r>
      <w:r w:rsidR="00B20702">
        <w:t xml:space="preserve"> </w:t>
      </w:r>
      <w:r w:rsidRPr="00277E52">
        <w:t xml:space="preserve">In addition, section 114(a) states that the Administrator may require any owner/operator subject to any requirement of this Act to: </w:t>
      </w:r>
    </w:p>
    <w:p w14:paraId="59768A81" w14:textId="77777777" w:rsidR="00CA4CD6" w:rsidRPr="00277E52" w:rsidRDefault="00CA4CD6">
      <w:pPr>
        <w:pBdr>
          <w:top w:val="single" w:sz="6" w:space="0" w:color="FFFFFF"/>
          <w:left w:val="single" w:sz="6" w:space="0" w:color="FFFFFF"/>
          <w:bottom w:val="single" w:sz="6" w:space="0" w:color="FFFFFF"/>
          <w:right w:val="single" w:sz="6" w:space="0" w:color="FFFFFF"/>
        </w:pBdr>
      </w:pPr>
    </w:p>
    <w:p w14:paraId="33AC57AC" w14:textId="2F2A3793" w:rsidR="00CA4CD6" w:rsidRPr="00277E52" w:rsidRDefault="00CA4CD6">
      <w:pPr>
        <w:pBdr>
          <w:top w:val="single" w:sz="6" w:space="0" w:color="FFFFFF"/>
          <w:left w:val="single" w:sz="6" w:space="0" w:color="FFFFFF"/>
          <w:bottom w:val="single" w:sz="6" w:space="0" w:color="FFFFFF"/>
          <w:right w:val="single" w:sz="6" w:space="0" w:color="FFFFFF"/>
        </w:pBdr>
        <w:ind w:left="1440" w:right="1440"/>
      </w:pPr>
      <w:r w:rsidRPr="00277E5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52579C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w:t>
      </w:r>
      <w:r w:rsidR="00277E52">
        <w:rPr>
          <w:color w:val="000000"/>
        </w:rPr>
        <w:t>’</w:t>
      </w:r>
      <w:r>
        <w:rPr>
          <w:color w:val="000000"/>
        </w:rPr>
        <w:t>s judgment,</w:t>
      </w:r>
      <w:r w:rsidR="00277E52" w:rsidRPr="00DB2647">
        <w:t xml:space="preserve"> lead metal, lead metal compound, and organic hazardous air pollutant (HAP) emissions </w:t>
      </w:r>
      <w:r w:rsidR="00277E52">
        <w:t xml:space="preserve">(i.e., total hydrocarbons (THC) and dioxins and furans emissions) </w:t>
      </w:r>
      <w:r w:rsidR="00277E52" w:rsidRPr="00DB2647">
        <w:t>from secondary lead smelting processes</w:t>
      </w:r>
      <w:r>
        <w:rPr>
          <w:color w:val="000000"/>
        </w:rPr>
        <w:t xml:space="preserve"> </w:t>
      </w:r>
      <w:r w:rsidR="000E6EF1">
        <w:rPr>
          <w:color w:val="000000"/>
        </w:rPr>
        <w:t xml:space="preserve">either </w:t>
      </w:r>
      <w:r>
        <w:rPr>
          <w:color w:val="000000"/>
        </w:rPr>
        <w:t xml:space="preserve">cause or contribute to air pollution that may reasonably be anticipated to endanger public health </w:t>
      </w:r>
      <w:r w:rsidR="000E6EF1">
        <w:rPr>
          <w:color w:val="000000"/>
        </w:rPr>
        <w:t>and/</w:t>
      </w:r>
      <w:r>
        <w:rPr>
          <w:color w:val="000000"/>
        </w:rPr>
        <w:t>or welfare.</w:t>
      </w:r>
      <w:r w:rsidR="009C7E97">
        <w:rPr>
          <w:color w:val="000000"/>
        </w:rPr>
        <w:t xml:space="preserve"> </w:t>
      </w:r>
      <w:r>
        <w:rPr>
          <w:color w:val="000000"/>
        </w:rPr>
        <w:t xml:space="preserve">Therefore, the </w:t>
      </w:r>
      <w:r w:rsidRPr="00277E52">
        <w:t>NESHAP w</w:t>
      </w:r>
      <w:r>
        <w:rPr>
          <w:color w:val="000000"/>
        </w:rPr>
        <w:t xml:space="preserve">ere promulgated for this source category at 40 CFR </w:t>
      </w:r>
      <w:r w:rsidR="006810C3">
        <w:rPr>
          <w:color w:val="000000"/>
        </w:rPr>
        <w:t xml:space="preserve">Part </w:t>
      </w:r>
      <w:r>
        <w:rPr>
          <w:color w:val="000000"/>
        </w:rPr>
        <w:t>63</w:t>
      </w:r>
      <w:r w:rsidRPr="00277E52">
        <w:rPr>
          <w:color w:val="000000"/>
        </w:rPr>
        <w:t>,</w:t>
      </w:r>
      <w:r w:rsidRPr="00277E52">
        <w:rPr>
          <w:bCs/>
          <w:i/>
          <w:iCs/>
          <w:color w:val="000000"/>
        </w:rPr>
        <w:t xml:space="preserve"> </w:t>
      </w:r>
      <w:r w:rsidR="006810C3" w:rsidRPr="00277E52">
        <w:rPr>
          <w:color w:val="000000"/>
        </w:rPr>
        <w:t>S</w:t>
      </w:r>
      <w:r w:rsidR="006810C3">
        <w:rPr>
          <w:color w:val="000000"/>
        </w:rPr>
        <w:t xml:space="preserve">ubpart </w:t>
      </w:r>
      <w:r w:rsidR="00277E52" w:rsidRPr="00277E52">
        <w:t>X</w:t>
      </w:r>
      <w:r>
        <w:rPr>
          <w:color w:val="000000"/>
        </w:rPr>
        <w:t>.</w:t>
      </w:r>
    </w:p>
    <w:p w14:paraId="7731FDB9" w14:textId="2725DF6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CEA54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5436C6">
        <w:rPr>
          <w:color w:val="000000"/>
        </w:rPr>
        <w:t>se</w:t>
      </w:r>
      <w:r>
        <w:rPr>
          <w:color w:val="000000"/>
        </w:rPr>
        <w:t xml:space="preserve"> standard</w:t>
      </w:r>
      <w:r w:rsidR="005436C6">
        <w:rPr>
          <w:color w:val="000000"/>
        </w:rPr>
        <w:t>s</w:t>
      </w:r>
      <w:r>
        <w:rPr>
          <w:color w:val="000000"/>
        </w:rPr>
        <w:t xml:space="preserve"> ensure</w:t>
      </w:r>
      <w:r w:rsidR="008E49A1">
        <w:rPr>
          <w:color w:val="000000"/>
        </w:rPr>
        <w:t>s</w:t>
      </w:r>
      <w:r>
        <w:rPr>
          <w:color w:val="000000"/>
        </w:rPr>
        <w:t xml:space="preserv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47834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5436C6">
        <w:rPr>
          <w:color w:val="000000"/>
        </w:rPr>
        <w:t>s</w:t>
      </w:r>
      <w:r>
        <w:rPr>
          <w:color w:val="000000"/>
        </w:rPr>
        <w:t>. Continuous emission monitors are used to ensure compliance with the</w:t>
      </w:r>
      <w:r w:rsidR="005436C6">
        <w:rPr>
          <w:color w:val="000000"/>
        </w:rPr>
        <w:t>se</w:t>
      </w:r>
      <w:r>
        <w:rPr>
          <w:color w:val="000000"/>
        </w:rPr>
        <w:t xml:space="preserve"> standard</w:t>
      </w:r>
      <w:r w:rsidR="005436C6">
        <w:rPr>
          <w:color w:val="000000"/>
        </w:rPr>
        <w:t>s</w:t>
      </w:r>
      <w:r>
        <w:rPr>
          <w:color w:val="000000"/>
        </w:rPr>
        <w:t xml:space="preserve"> at all times.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CF2A6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FF39F9">
        <w:rPr>
          <w:color w:val="000000"/>
        </w:rPr>
        <w:t>se</w:t>
      </w:r>
      <w:r>
        <w:rPr>
          <w:color w:val="000000"/>
        </w:rPr>
        <w:t xml:space="preserve"> standard</w:t>
      </w:r>
      <w:r w:rsidR="00FF39F9">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8E49A1">
        <w:t>pollution control devices are properly installed and operated</w:t>
      </w:r>
      <w:r w:rsidR="008E49A1" w:rsidRPr="008E49A1">
        <w:t>,</w:t>
      </w:r>
      <w:r w:rsidRPr="008E49A1">
        <w:t xml:space="preserve"> leaks are being detected and repaired</w:t>
      </w:r>
      <w:r w:rsidR="008E49A1" w:rsidRPr="008E49A1">
        <w:t>,</w:t>
      </w:r>
      <w:r w:rsidRPr="008E49A1">
        <w:t xml:space="preserve"> and </w:t>
      </w:r>
      <w:r w:rsidR="005436C6">
        <w:t xml:space="preserve">that </w:t>
      </w:r>
      <w:r w:rsidRPr="008E49A1">
        <w:t>the</w:t>
      </w:r>
      <w:r w:rsidR="005436C6">
        <w:t>se</w:t>
      </w:r>
      <w:r w:rsidRPr="008E49A1">
        <w:t xml:space="preserve"> standard</w:t>
      </w:r>
      <w:r w:rsidR="005436C6">
        <w:t>s are</w:t>
      </w:r>
      <w:r w:rsidRPr="008E49A1">
        <w:t xml:space="preserve"> being met.</w:t>
      </w:r>
      <w:r w:rsidR="009C7E97" w:rsidRPr="008E49A1">
        <w:t xml:space="preserve"> </w:t>
      </w:r>
      <w:r w:rsidRPr="008E49A1">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B9E1B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8E49A1">
        <w:t xml:space="preserve">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B89C83B"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5436C6">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D17679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w:t>
      </w:r>
      <w:r w:rsidRPr="008E49A1">
        <w:t>ested recordkeeping an</w:t>
      </w:r>
      <w:r w:rsidR="003F1AFC" w:rsidRPr="008E49A1">
        <w:t xml:space="preserve">d reporting are required under </w:t>
      </w:r>
      <w:r w:rsidRPr="008E49A1">
        <w:t xml:space="preserve">40 CFR </w:t>
      </w:r>
      <w:r w:rsidR="006810C3" w:rsidRPr="008E49A1">
        <w:t xml:space="preserve">Part </w:t>
      </w:r>
      <w:r w:rsidRPr="008E49A1">
        <w:t xml:space="preserve">63, </w:t>
      </w:r>
      <w:r w:rsidR="005436C6">
        <w:t xml:space="preserve">     </w:t>
      </w:r>
      <w:r w:rsidR="006810C3" w:rsidRPr="008E49A1">
        <w:t>Subpart</w:t>
      </w:r>
      <w:r w:rsidR="003F1AFC" w:rsidRPr="008E49A1">
        <w:t xml:space="preserve"> </w:t>
      </w:r>
      <w:r w:rsidR="008E49A1" w:rsidRPr="008E49A1">
        <w:t>X</w:t>
      </w:r>
      <w:r w:rsidRPr="008E49A1">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352C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5436C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B057D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5436C6">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0C25B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w:t>
      </w:r>
      <w:r w:rsidRPr="00B20702">
        <w:t>a public comment period for the renewal of this ICR was published in</w:t>
      </w:r>
      <w:r w:rsidRPr="005F7793">
        <w:t xml:space="preserve"> the </w:t>
      </w:r>
      <w:r w:rsidRPr="005F7793">
        <w:rPr>
          <w:u w:val="single"/>
        </w:rPr>
        <w:t>Federal Register</w:t>
      </w:r>
      <w:r w:rsidRPr="005F7793">
        <w:t xml:space="preserve"> (</w:t>
      </w:r>
      <w:r w:rsidR="00C63128" w:rsidRPr="005F7793">
        <w:t>82</w:t>
      </w:r>
      <w:r w:rsidRPr="005F7793">
        <w:t xml:space="preserve"> </w:t>
      </w:r>
      <w:r w:rsidRPr="005F7793">
        <w:rPr>
          <w:u w:val="single"/>
        </w:rPr>
        <w:t>FR</w:t>
      </w:r>
      <w:r w:rsidRPr="005F7793">
        <w:t xml:space="preserve"> </w:t>
      </w:r>
      <w:r w:rsidR="00C63128" w:rsidRPr="005F7793">
        <w:t>29552</w:t>
      </w:r>
      <w:r w:rsidRPr="005F7793">
        <w:t xml:space="preserve">) on </w:t>
      </w:r>
      <w:r w:rsidR="00C63128" w:rsidRPr="005F7793">
        <w:t>June 29, 2017</w:t>
      </w:r>
      <w:r w:rsidRPr="005F7793">
        <w:t>.</w:t>
      </w:r>
      <w:r w:rsidR="009C7E97" w:rsidRPr="005F7793">
        <w:t xml:space="preserve"> </w:t>
      </w:r>
      <w:r w:rsidRPr="005F7793">
        <w:t xml:space="preserve">No comments were received on the burden published in the </w:t>
      </w:r>
      <w:r w:rsidRPr="005F7793">
        <w:rPr>
          <w:u w:val="single"/>
        </w:rPr>
        <w:t>Federal Register</w:t>
      </w:r>
      <w:r w:rsidRPr="005F7793">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5F7793" w:rsidRDefault="00E53137" w:rsidP="00D92F66">
      <w:pPr>
        <w:spacing w:line="244" w:lineRule="exact"/>
      </w:pPr>
    </w:p>
    <w:p w14:paraId="7E521393" w14:textId="045B8A46" w:rsidR="00277F42" w:rsidRPr="000228BB" w:rsidRDefault="002B6993" w:rsidP="00CC5B39">
      <w:pPr>
        <w:ind w:firstLine="720"/>
        <w:rPr>
          <w:strike/>
          <w:sz w:val="22"/>
          <w:szCs w:val="22"/>
        </w:rPr>
      </w:pPr>
      <w:r w:rsidRPr="000228BB">
        <w:t>The Agency has consulted i</w:t>
      </w:r>
      <w:r w:rsidR="00E25DB6" w:rsidRPr="000228BB">
        <w:rPr>
          <w:bCs/>
        </w:rPr>
        <w:t xml:space="preserve">ndustry experts and internal data sources </w:t>
      </w:r>
      <w:r w:rsidRPr="000228BB">
        <w:rPr>
          <w:bCs/>
        </w:rPr>
        <w:t xml:space="preserve">to </w:t>
      </w:r>
      <w:r w:rsidR="00E25DB6" w:rsidRPr="000228BB">
        <w:rPr>
          <w:bCs/>
        </w:rPr>
        <w:t>project</w:t>
      </w:r>
      <w:r w:rsidRPr="000228BB">
        <w:rPr>
          <w:bCs/>
        </w:rPr>
        <w:t xml:space="preserve"> the number of affected facilities and </w:t>
      </w:r>
      <w:r w:rsidR="00E25DB6" w:rsidRPr="000228BB">
        <w:rPr>
          <w:bCs/>
        </w:rPr>
        <w:t>industry growth over the next three years.</w:t>
      </w:r>
      <w:r w:rsidR="009C7E97" w:rsidRPr="00A84EF2">
        <w:rPr>
          <w:bCs/>
        </w:rPr>
        <w:t xml:space="preserve"> </w:t>
      </w:r>
      <w:r w:rsidR="00277F42" w:rsidRPr="000228BB">
        <w:t>The primary source of information as reported by industry, in compliance with the recordkeeping and reporting provisions in the</w:t>
      </w:r>
      <w:r w:rsidR="005436C6">
        <w:t>se</w:t>
      </w:r>
      <w:r w:rsidR="00277F42" w:rsidRPr="000228BB">
        <w:t xml:space="preserve"> standard</w:t>
      </w:r>
      <w:r w:rsidR="005436C6">
        <w:t>s</w:t>
      </w:r>
      <w:r w:rsidR="00277F42" w:rsidRPr="000228BB">
        <w:t xml:space="preserve">, </w:t>
      </w:r>
      <w:r w:rsidR="00CC5B39" w:rsidRPr="000228BB">
        <w:t>is the Integrated Compliance Information System (ICIS).</w:t>
      </w:r>
      <w:r w:rsidR="009C7E97" w:rsidRPr="000228BB">
        <w:t xml:space="preserve"> </w:t>
      </w:r>
      <w:r w:rsidR="00CC5B39" w:rsidRPr="000228BB">
        <w:t>ICIS is EPA’s database for the collection, maintenance, and retrieval of compliance data for industrial and government-owned facilities.</w:t>
      </w:r>
      <w:r w:rsidR="009C7E97" w:rsidRPr="000228BB">
        <w:rPr>
          <w:sz w:val="22"/>
          <w:szCs w:val="22"/>
        </w:rPr>
        <w:t xml:space="preserve"> </w:t>
      </w:r>
      <w:r w:rsidR="00277F42" w:rsidRPr="000228BB">
        <w:t xml:space="preserve">The growth rate for the industry is based on our consultations with the Agency’s internal industry experts. Approximately </w:t>
      </w:r>
      <w:r w:rsidR="00AB4A70" w:rsidRPr="000228BB">
        <w:t>12</w:t>
      </w:r>
      <w:r w:rsidR="00277F42" w:rsidRPr="000228BB">
        <w:t xml:space="preserve"> respondents will be subject to the</w:t>
      </w:r>
      <w:r w:rsidR="005436C6">
        <w:t>se</w:t>
      </w:r>
      <w:r w:rsidR="00277F42" w:rsidRPr="000228BB">
        <w:t xml:space="preserve"> standard</w:t>
      </w:r>
      <w:r w:rsidR="005436C6">
        <w:t>s</w:t>
      </w:r>
      <w:r w:rsidR="00277F42" w:rsidRPr="000228BB">
        <w:t xml:space="preserve"> over the </w:t>
      </w:r>
      <w:r w:rsidR="00647BBB" w:rsidRPr="000228BB">
        <w:t>three-year</w:t>
      </w:r>
      <w:r w:rsidR="00277F42" w:rsidRPr="000228BB">
        <w:t xml:space="preserve"> period covered by this ICR.</w:t>
      </w:r>
    </w:p>
    <w:p w14:paraId="2DC5F7D3" w14:textId="77777777" w:rsidR="00277F42" w:rsidRPr="000228BB" w:rsidRDefault="00277F42" w:rsidP="00277F42"/>
    <w:p w14:paraId="6F72A034" w14:textId="60426DAA" w:rsidR="000A0B2D" w:rsidRDefault="0029006A" w:rsidP="000A0B2D">
      <w:pPr>
        <w:ind w:firstLine="720"/>
        <w:rPr>
          <w:color w:val="000000"/>
        </w:rPr>
      </w:pPr>
      <w:r w:rsidRPr="000228BB">
        <w:t>I</w:t>
      </w:r>
      <w:r w:rsidR="00123889" w:rsidRPr="000228BB">
        <w:t>ndustry trade association(s) and other interested parties were provided an opportunity to comment on the burden associated with the</w:t>
      </w:r>
      <w:r w:rsidR="005436C6">
        <w:t>se</w:t>
      </w:r>
      <w:r w:rsidR="00123889" w:rsidRPr="000228BB">
        <w:t xml:space="preserve"> standard</w:t>
      </w:r>
      <w:r w:rsidR="005436C6">
        <w:t>s</w:t>
      </w:r>
      <w:r w:rsidR="00123889" w:rsidRPr="000228BB">
        <w:t xml:space="preserve"> as </w:t>
      </w:r>
      <w:r w:rsidR="005436C6">
        <w:t xml:space="preserve">they were </w:t>
      </w:r>
      <w:r w:rsidR="00123889" w:rsidRPr="000228BB">
        <w:t>being developed and the</w:t>
      </w:r>
      <w:r w:rsidR="005436C6">
        <w:t>se same</w:t>
      </w:r>
      <w:r w:rsidR="00123889" w:rsidRPr="000228BB">
        <w:t xml:space="preserve"> standard</w:t>
      </w:r>
      <w:r w:rsidR="005436C6">
        <w:t>s</w:t>
      </w:r>
      <w:r w:rsidR="00123889" w:rsidRPr="000228BB">
        <w:t xml:space="preserve"> ha</w:t>
      </w:r>
      <w:r w:rsidR="005436C6">
        <w:t>ve</w:t>
      </w:r>
      <w:r w:rsidR="00123889" w:rsidRPr="000228BB">
        <w:t xml:space="preserve"> been reviewed </w:t>
      </w:r>
      <w:r w:rsidR="005436C6" w:rsidRPr="005436C6">
        <w:t xml:space="preserve">previously </w:t>
      </w:r>
      <w:r w:rsidR="00123889" w:rsidRPr="000228BB">
        <w:t>to determine the minimum information needed for compliance purposes.</w:t>
      </w:r>
      <w:r w:rsidR="000A0B2D">
        <w:t xml:space="preserve"> In developing this ICR, we contacted both E</w:t>
      </w:r>
      <w:r w:rsidR="000A0B2D" w:rsidRPr="00AB4A70">
        <w:t>xide</w:t>
      </w:r>
      <w:r w:rsidR="005436C6">
        <w:t>,</w:t>
      </w:r>
      <w:r w:rsidR="000A0B2D" w:rsidRPr="00AB4A70">
        <w:t xml:space="preserve"> at (676) 566-9000</w:t>
      </w:r>
      <w:r w:rsidR="005436C6">
        <w:t>,</w:t>
      </w:r>
      <w:r w:rsidR="000A0B2D" w:rsidRPr="00AB4A70">
        <w:t xml:space="preserve"> and Quemetco</w:t>
      </w:r>
      <w:r w:rsidR="005436C6">
        <w:t>,</w:t>
      </w:r>
      <w:r w:rsidR="000A0B2D" w:rsidRPr="00AB4A70">
        <w:t xml:space="preserve"> at (626) 364-1281.</w:t>
      </w:r>
    </w:p>
    <w:p w14:paraId="6FE4F3DD" w14:textId="77777777" w:rsidR="00277F42" w:rsidRPr="000228BB" w:rsidRDefault="00277F42" w:rsidP="00123889"/>
    <w:p w14:paraId="12978817" w14:textId="07A1605E" w:rsidR="00CF2B37" w:rsidRPr="00B20702" w:rsidRDefault="00D42D52" w:rsidP="00993B4E">
      <w:pPr>
        <w:widowControl/>
        <w:ind w:firstLine="720"/>
      </w:pPr>
      <w:r w:rsidRPr="000228BB">
        <w:rPr>
          <w:bCs/>
        </w:rPr>
        <w:t>It is our policy to respond after a thorough review of comments received since the last ICR renewal</w:t>
      </w:r>
      <w:r w:rsidR="005436C6">
        <w:rPr>
          <w:bCs/>
        </w:rPr>
        <w:t>,</w:t>
      </w:r>
      <w:r w:rsidRPr="000228BB">
        <w:rPr>
          <w:bCs/>
        </w:rPr>
        <w:t xml:space="preserve"> as well as those submitted in response to the </w:t>
      </w:r>
      <w:r w:rsidR="005253D4" w:rsidRPr="000228BB">
        <w:rPr>
          <w:bCs/>
        </w:rPr>
        <w:t>f</w:t>
      </w:r>
      <w:r w:rsidRPr="000228BB">
        <w:rPr>
          <w:bCs/>
        </w:rPr>
        <w:t xml:space="preserve">irst </w:t>
      </w:r>
      <w:r w:rsidRPr="000228BB">
        <w:rPr>
          <w:bCs/>
          <w:u w:val="single"/>
        </w:rPr>
        <w:t>Federal Register</w:t>
      </w:r>
      <w:r w:rsidRPr="000228BB">
        <w:rPr>
          <w:bCs/>
        </w:rPr>
        <w:t xml:space="preserve"> </w:t>
      </w:r>
      <w:r w:rsidR="005253D4" w:rsidRPr="000228BB">
        <w:rPr>
          <w:bCs/>
        </w:rPr>
        <w:t>n</w:t>
      </w:r>
      <w:r w:rsidRPr="000228BB">
        <w:rPr>
          <w:bCs/>
        </w:rPr>
        <w:t>otice.</w:t>
      </w:r>
      <w:r w:rsidR="009C7E97" w:rsidRPr="000228BB">
        <w:rPr>
          <w:bCs/>
        </w:rPr>
        <w:t xml:space="preserve"> </w:t>
      </w:r>
      <w:r w:rsidR="0029006A" w:rsidRPr="00B20702">
        <w:t>In this case, no comments were received.</w:t>
      </w:r>
      <w:r w:rsidR="009C7E97" w:rsidRPr="00B20702">
        <w:t xml:space="preserve"> </w:t>
      </w:r>
    </w:p>
    <w:p w14:paraId="44DBC235" w14:textId="77777777" w:rsidR="00123889" w:rsidRDefault="00123889" w:rsidP="008E49A1">
      <w:pPr>
        <w:pBdr>
          <w:top w:val="single" w:sz="6" w:space="0" w:color="FFFFFF"/>
          <w:left w:val="single" w:sz="6" w:space="0" w:color="FFFFFF"/>
          <w:bottom w:val="single" w:sz="6" w:space="2" w:color="FFFFFF"/>
          <w:right w:val="single" w:sz="6" w:space="0" w:color="FFFFFF"/>
        </w:pBdr>
        <w:rPr>
          <w:color w:val="000000"/>
        </w:rPr>
      </w:pPr>
    </w:p>
    <w:p w14:paraId="3DB64864" w14:textId="6F75FCEE" w:rsidR="00CA4CD6" w:rsidRDefault="00CA4CD6" w:rsidP="008E49A1">
      <w:pPr>
        <w:pBdr>
          <w:top w:val="single" w:sz="6" w:space="0" w:color="FFFFFF"/>
          <w:left w:val="single" w:sz="6" w:space="0" w:color="FFFFFF"/>
          <w:bottom w:val="single" w:sz="6" w:space="2"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5436C6">
        <w:rPr>
          <w:b/>
          <w:bCs/>
          <w:color w:val="000000"/>
        </w:rPr>
        <w:t>-</w:t>
      </w:r>
      <w:r>
        <w:rPr>
          <w:b/>
          <w:bCs/>
          <w:color w:val="000000"/>
        </w:rPr>
        <w:t>Frequent Collection</w:t>
      </w:r>
    </w:p>
    <w:p w14:paraId="1503F5B4" w14:textId="77777777" w:rsidR="00CA4CD6" w:rsidRDefault="00CA4CD6" w:rsidP="008E49A1">
      <w:pPr>
        <w:pBdr>
          <w:top w:val="single" w:sz="6" w:space="0" w:color="FFFFFF"/>
          <w:left w:val="single" w:sz="6" w:space="0" w:color="FFFFFF"/>
          <w:bottom w:val="single" w:sz="6" w:space="2" w:color="FFFFFF"/>
          <w:right w:val="single" w:sz="6" w:space="0" w:color="FFFFFF"/>
        </w:pBdr>
        <w:rPr>
          <w:color w:val="000000"/>
        </w:rPr>
      </w:pPr>
    </w:p>
    <w:p w14:paraId="53F5B7E8" w14:textId="1C751F10" w:rsidR="00CA4CD6" w:rsidRDefault="00CA4CD6" w:rsidP="008E49A1">
      <w:pPr>
        <w:pBdr>
          <w:top w:val="single" w:sz="6" w:space="0" w:color="FFFFFF"/>
          <w:left w:val="single" w:sz="6" w:space="0" w:color="FFFFFF"/>
          <w:bottom w:val="single" w:sz="6" w:space="2" w:color="FFFFFF"/>
          <w:right w:val="single" w:sz="6" w:space="0" w:color="FFFFFF"/>
        </w:pBdr>
        <w:ind w:firstLine="720"/>
        <w:rPr>
          <w:color w:val="000000"/>
        </w:rPr>
      </w:pPr>
      <w:r>
        <w:rPr>
          <w:color w:val="000000"/>
        </w:rPr>
        <w:t>Less</w:t>
      </w:r>
      <w:r w:rsidR="005436C6">
        <w:rPr>
          <w:color w:val="000000"/>
        </w:rPr>
        <w:t>-</w:t>
      </w:r>
      <w:r>
        <w:rPr>
          <w:color w:val="000000"/>
        </w:rPr>
        <w:t>frequent information collection would decrease the margin of assurance that facilities are continuing to meet the</w:t>
      </w:r>
      <w:r w:rsidR="005436C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rsidP="008E49A1">
      <w:pPr>
        <w:pBdr>
          <w:top w:val="single" w:sz="6" w:space="0" w:color="FFFFFF"/>
          <w:left w:val="single" w:sz="6" w:space="0" w:color="FFFFFF"/>
          <w:bottom w:val="single" w:sz="6" w:space="2" w:color="FFFFFF"/>
          <w:right w:val="single" w:sz="6" w:space="0" w:color="FFFFFF"/>
        </w:pBdr>
        <w:rPr>
          <w:color w:val="000000"/>
        </w:rPr>
      </w:pPr>
    </w:p>
    <w:p w14:paraId="6A946386" w14:textId="44086317" w:rsidR="00CA4CD6" w:rsidRDefault="00CA4CD6" w:rsidP="008E49A1">
      <w:pPr>
        <w:pBdr>
          <w:top w:val="single" w:sz="6" w:space="0" w:color="FFFFFF"/>
          <w:left w:val="single" w:sz="6" w:space="0" w:color="FFFFFF"/>
          <w:bottom w:val="single" w:sz="6" w:space="2"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rsidP="008E49A1">
      <w:pPr>
        <w:pBdr>
          <w:top w:val="single" w:sz="6" w:space="0" w:color="FFFFFF"/>
          <w:left w:val="single" w:sz="6" w:space="0" w:color="FFFFFF"/>
          <w:bottom w:val="single" w:sz="6" w:space="2" w:color="FFFFFF"/>
          <w:right w:val="single" w:sz="6" w:space="0" w:color="FFFFFF"/>
        </w:pBdr>
        <w:rPr>
          <w:color w:val="000000"/>
        </w:rPr>
      </w:pPr>
    </w:p>
    <w:p w14:paraId="77CC4E62" w14:textId="6A047A0E" w:rsidR="00CA4CD6" w:rsidRDefault="00101B40" w:rsidP="008E49A1">
      <w:pPr>
        <w:pBdr>
          <w:top w:val="single" w:sz="6" w:space="0" w:color="FFFFFF"/>
          <w:left w:val="single" w:sz="6" w:space="0" w:color="FFFFFF"/>
          <w:bottom w:val="single" w:sz="6" w:space="2"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8E49A1" w:rsidRDefault="00CA4CD6" w:rsidP="008E49A1">
      <w:pPr>
        <w:pBdr>
          <w:top w:val="single" w:sz="6" w:space="0" w:color="FFFFFF"/>
          <w:left w:val="single" w:sz="6" w:space="0" w:color="FFFFFF"/>
          <w:bottom w:val="single" w:sz="6" w:space="2" w:color="FFFFFF"/>
          <w:right w:val="single" w:sz="6" w:space="0" w:color="FFFFFF"/>
        </w:pBdr>
      </w:pPr>
    </w:p>
    <w:p w14:paraId="2547F7A0" w14:textId="7F288A49" w:rsidR="00CA4CD6" w:rsidRPr="008E49A1" w:rsidRDefault="00CA4CD6" w:rsidP="008E49A1">
      <w:pPr>
        <w:pBdr>
          <w:top w:val="single" w:sz="6" w:space="0" w:color="FFFFFF"/>
          <w:left w:val="single" w:sz="6" w:space="0" w:color="FFFFFF"/>
          <w:bottom w:val="single" w:sz="6" w:space="2" w:color="FFFFFF"/>
          <w:right w:val="single" w:sz="6" w:space="0" w:color="FFFFFF"/>
        </w:pBdr>
        <w:ind w:firstLine="720"/>
      </w:pPr>
      <w:r w:rsidRPr="008E49A1">
        <w:t>These standards require the respondents to maintain all records, including reports and notifications for at least five years.</w:t>
      </w:r>
      <w:r w:rsidR="009C7E97" w:rsidRPr="008E49A1">
        <w:t xml:space="preserve"> </w:t>
      </w:r>
      <w:r w:rsidRPr="008E49A1">
        <w:t>This is consistent with the General Provisions as applied to the standards.</w:t>
      </w:r>
      <w:r w:rsidR="009C7E97" w:rsidRPr="008E49A1">
        <w:t xml:space="preserve"> </w:t>
      </w:r>
      <w:r w:rsidRPr="008E49A1">
        <w:t xml:space="preserve">EPA believes that the </w:t>
      </w:r>
      <w:r w:rsidR="0062215C" w:rsidRPr="008E49A1">
        <w:t>five-year</w:t>
      </w:r>
      <w:r w:rsidRPr="008E49A1">
        <w:t xml:space="preserve"> records retention requirement is consistent </w:t>
      </w:r>
      <w:r w:rsidR="004A084D" w:rsidRPr="008E49A1">
        <w:t xml:space="preserve">with </w:t>
      </w:r>
      <w:r w:rsidRPr="008E49A1">
        <w:t>the Part 70 permit program and the five</w:t>
      </w:r>
      <w:r w:rsidR="0062215C" w:rsidRPr="008E49A1">
        <w:t>-</w:t>
      </w:r>
      <w:r w:rsidRPr="008E49A1">
        <w:t>year statute of limitations on which the permit program is based.</w:t>
      </w:r>
      <w:r w:rsidR="009C7E97" w:rsidRPr="008E49A1">
        <w:t xml:space="preserve"> </w:t>
      </w:r>
      <w:r w:rsidR="005F42F8" w:rsidRPr="008E49A1">
        <w:t>T</w:t>
      </w:r>
      <w:r w:rsidRPr="008E49A1">
        <w:t>he retention of records for five years allow</w:t>
      </w:r>
      <w:r w:rsidR="005F42F8" w:rsidRPr="008E49A1">
        <w:t>s</w:t>
      </w:r>
      <w:r w:rsidRPr="008E49A1">
        <w:t xml:space="preserve"> EPA to establish the compliance history of a source</w:t>
      </w:r>
      <w:r w:rsidR="005F42F8" w:rsidRPr="008E49A1">
        <w:t xml:space="preserve">, </w:t>
      </w:r>
      <w:r w:rsidRPr="008E49A1">
        <w:t xml:space="preserve">any pattern of </w:t>
      </w:r>
      <w:r w:rsidR="005F42F8" w:rsidRPr="008E49A1">
        <w:t>non-</w:t>
      </w:r>
      <w:r w:rsidRPr="008E49A1">
        <w:t>compliance</w:t>
      </w:r>
      <w:r w:rsidR="005F42F8" w:rsidRPr="008E49A1">
        <w:t xml:space="preserve"> and to determine the appropriate level of enforcement action.</w:t>
      </w:r>
      <w:r w:rsidR="009C7E97" w:rsidRPr="008E49A1">
        <w:t xml:space="preserve"> </w:t>
      </w:r>
      <w:r w:rsidRPr="008E49A1">
        <w:t>EPA has found that the most flagrant violators have violations extending beyond five years.</w:t>
      </w:r>
      <w:r w:rsidR="009C7E97" w:rsidRPr="008E49A1">
        <w:t xml:space="preserve"> </w:t>
      </w:r>
      <w:r w:rsidR="005F42F8" w:rsidRPr="008E49A1">
        <w:t xml:space="preserve">In addition, </w:t>
      </w:r>
      <w:r w:rsidRPr="008E49A1">
        <w:t xml:space="preserve">EPA would be prevented from pursuing the violators due to </w:t>
      </w:r>
      <w:r w:rsidR="005436C6">
        <w:t xml:space="preserve">either </w:t>
      </w:r>
      <w:r w:rsidRPr="008E49A1">
        <w:t xml:space="preserve">the destruction or nonexistence of </w:t>
      </w:r>
      <w:r w:rsidR="005F42F8" w:rsidRPr="008E49A1">
        <w:t xml:space="preserve">essential </w:t>
      </w:r>
      <w:r w:rsidRPr="008E49A1">
        <w:t>records</w:t>
      </w:r>
      <w:r w:rsidR="005F42F8" w:rsidRPr="008E49A1">
        <w:t>.</w:t>
      </w:r>
    </w:p>
    <w:p w14:paraId="54F37663" w14:textId="77777777" w:rsidR="00CA4CD6" w:rsidRDefault="00CA4CD6" w:rsidP="008E49A1">
      <w:pPr>
        <w:pBdr>
          <w:top w:val="single" w:sz="6" w:space="0" w:color="FFFFFF"/>
          <w:left w:val="single" w:sz="6" w:space="0" w:color="FFFFFF"/>
          <w:bottom w:val="single" w:sz="6" w:space="2" w:color="FFFFFF"/>
          <w:right w:val="single" w:sz="6" w:space="0" w:color="FFFFFF"/>
        </w:pBdr>
        <w:rPr>
          <w:color w:val="000000"/>
        </w:rPr>
      </w:pPr>
    </w:p>
    <w:p w14:paraId="75312EA0" w14:textId="77777777" w:rsidR="005436C6" w:rsidRDefault="005436C6" w:rsidP="008E49A1">
      <w:pPr>
        <w:pBdr>
          <w:top w:val="single" w:sz="6" w:space="0" w:color="FFFFFF"/>
          <w:left w:val="single" w:sz="6" w:space="0" w:color="FFFFFF"/>
          <w:bottom w:val="single" w:sz="6" w:space="2" w:color="FFFFFF"/>
          <w:right w:val="single" w:sz="6" w:space="0" w:color="FFFFFF"/>
        </w:pBdr>
        <w:ind w:firstLine="720"/>
        <w:rPr>
          <w:b/>
          <w:bCs/>
          <w:color w:val="000000"/>
        </w:rPr>
      </w:pPr>
    </w:p>
    <w:p w14:paraId="2CA2C7B6" w14:textId="77777777" w:rsidR="005436C6" w:rsidRDefault="005436C6" w:rsidP="008E49A1">
      <w:pPr>
        <w:pBdr>
          <w:top w:val="single" w:sz="6" w:space="0" w:color="FFFFFF"/>
          <w:left w:val="single" w:sz="6" w:space="0" w:color="FFFFFF"/>
          <w:bottom w:val="single" w:sz="6" w:space="2" w:color="FFFFFF"/>
          <w:right w:val="single" w:sz="6" w:space="0" w:color="FFFFFF"/>
        </w:pBdr>
        <w:ind w:firstLine="720"/>
        <w:rPr>
          <w:b/>
          <w:bCs/>
          <w:color w:val="000000"/>
        </w:rPr>
      </w:pPr>
    </w:p>
    <w:p w14:paraId="1B1195D3" w14:textId="14160AA3" w:rsidR="00CA4CD6" w:rsidRDefault="00CA4CD6" w:rsidP="008E49A1">
      <w:pPr>
        <w:pBdr>
          <w:top w:val="single" w:sz="6" w:space="0" w:color="FFFFFF"/>
          <w:left w:val="single" w:sz="6" w:space="0" w:color="FFFFFF"/>
          <w:bottom w:val="single" w:sz="6" w:space="2"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rsidP="008E49A1">
      <w:pPr>
        <w:pBdr>
          <w:top w:val="single" w:sz="6" w:space="0" w:color="FFFFFF"/>
          <w:left w:val="single" w:sz="6" w:space="0" w:color="FFFFFF"/>
          <w:bottom w:val="single" w:sz="6" w:space="2" w:color="FFFFFF"/>
          <w:right w:val="single" w:sz="6" w:space="0" w:color="FFFFFF"/>
        </w:pBdr>
        <w:rPr>
          <w:color w:val="000000"/>
        </w:rPr>
      </w:pPr>
    </w:p>
    <w:p w14:paraId="766E3BEA" w14:textId="208F5696" w:rsidR="00CA4CD6" w:rsidRDefault="00CA4CD6" w:rsidP="008E49A1">
      <w:pPr>
        <w:pBdr>
          <w:top w:val="single" w:sz="6" w:space="0" w:color="FFFFFF"/>
          <w:left w:val="single" w:sz="6" w:space="0" w:color="FFFFFF"/>
          <w:bottom w:val="single" w:sz="6" w:space="2"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5436C6">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rsidP="008E49A1">
      <w:pPr>
        <w:pBdr>
          <w:top w:val="single" w:sz="6" w:space="0" w:color="FFFFFF"/>
          <w:left w:val="single" w:sz="6" w:space="0" w:color="FFFFFF"/>
          <w:bottom w:val="single" w:sz="6" w:space="2" w:color="FFFFFF"/>
          <w:right w:val="single" w:sz="6" w:space="0" w:color="FFFFFF"/>
        </w:pBdr>
        <w:rPr>
          <w:color w:val="000000"/>
        </w:rPr>
      </w:pPr>
    </w:p>
    <w:p w14:paraId="7FB0FA6E" w14:textId="30DAC7D5" w:rsidR="00CA4CD6" w:rsidRDefault="00CA4CD6" w:rsidP="008E49A1">
      <w:pPr>
        <w:pBdr>
          <w:top w:val="single" w:sz="6" w:space="0" w:color="FFFFFF"/>
          <w:left w:val="single" w:sz="6" w:space="0" w:color="FFFFFF"/>
          <w:bottom w:val="single" w:sz="6" w:space="2"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rsidP="008E49A1">
      <w:pPr>
        <w:pBdr>
          <w:top w:val="single" w:sz="6" w:space="0" w:color="FFFFFF"/>
          <w:left w:val="single" w:sz="6" w:space="0" w:color="FFFFFF"/>
          <w:bottom w:val="single" w:sz="6" w:space="2" w:color="FFFFFF"/>
          <w:right w:val="single" w:sz="6" w:space="0" w:color="FFFFFF"/>
        </w:pBdr>
        <w:rPr>
          <w:color w:val="000000"/>
        </w:rPr>
      </w:pPr>
    </w:p>
    <w:p w14:paraId="47BCDBBA" w14:textId="0B84721F" w:rsidR="00CA4CD6" w:rsidRDefault="0040391F" w:rsidP="008E49A1">
      <w:pPr>
        <w:pBdr>
          <w:top w:val="single" w:sz="6" w:space="0" w:color="FFFFFF"/>
          <w:left w:val="single" w:sz="6" w:space="0" w:color="FFFFFF"/>
          <w:bottom w:val="single" w:sz="6" w:space="2"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5436C6">
        <w:rPr>
          <w:color w:val="000000"/>
        </w:rPr>
        <w:t>se</w:t>
      </w:r>
      <w:r>
        <w:rPr>
          <w:color w:val="000000"/>
        </w:rPr>
        <w:t xml:space="preserve"> standard</w:t>
      </w:r>
      <w:r w:rsidR="005436C6">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rsidP="008E49A1">
      <w:pPr>
        <w:pBdr>
          <w:top w:val="single" w:sz="6" w:space="0" w:color="FFFFFF"/>
          <w:left w:val="single" w:sz="6" w:space="0" w:color="FFFFFF"/>
          <w:bottom w:val="single" w:sz="6" w:space="2" w:color="FFFFFF"/>
          <w:right w:val="single" w:sz="6" w:space="0" w:color="FFFFFF"/>
        </w:pBdr>
        <w:rPr>
          <w:color w:val="000000"/>
        </w:rPr>
      </w:pPr>
    </w:p>
    <w:p w14:paraId="296060D0" w14:textId="773A092E" w:rsidR="00CA4CD6" w:rsidRDefault="00CA4CD6" w:rsidP="008E49A1">
      <w:pPr>
        <w:pBdr>
          <w:top w:val="single" w:sz="6" w:space="0" w:color="FFFFFF"/>
          <w:left w:val="single" w:sz="6" w:space="0" w:color="FFFFFF"/>
          <w:bottom w:val="single" w:sz="6" w:space="2"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rsidP="008E49A1">
      <w:pPr>
        <w:pBdr>
          <w:top w:val="single" w:sz="6" w:space="0" w:color="FFFFFF"/>
          <w:left w:val="single" w:sz="6" w:space="0" w:color="FFFFFF"/>
          <w:bottom w:val="single" w:sz="6" w:space="2" w:color="FFFFFF"/>
          <w:right w:val="single" w:sz="6" w:space="0" w:color="FFFFFF"/>
        </w:pBdr>
        <w:rPr>
          <w:b/>
          <w:bCs/>
          <w:color w:val="000000"/>
        </w:rPr>
      </w:pPr>
    </w:p>
    <w:p w14:paraId="41530C6B" w14:textId="11A2E5E5" w:rsidR="00CA4CD6" w:rsidRDefault="00CA4CD6" w:rsidP="008E49A1">
      <w:pPr>
        <w:pBdr>
          <w:top w:val="single" w:sz="6" w:space="0" w:color="FFFFFF"/>
          <w:left w:val="single" w:sz="6" w:space="0" w:color="FFFFFF"/>
          <w:bottom w:val="single" w:sz="6" w:space="2"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rsidP="008E49A1">
      <w:pPr>
        <w:pBdr>
          <w:top w:val="single" w:sz="6" w:space="0" w:color="FFFFFF"/>
          <w:left w:val="single" w:sz="6" w:space="0" w:color="FFFFFF"/>
          <w:bottom w:val="single" w:sz="6" w:space="2" w:color="FFFFFF"/>
          <w:right w:val="single" w:sz="6" w:space="0" w:color="FFFFFF"/>
        </w:pBdr>
        <w:rPr>
          <w:color w:val="000000"/>
        </w:rPr>
      </w:pPr>
    </w:p>
    <w:p w14:paraId="7F725F3B" w14:textId="4DEED8A1" w:rsidR="008E49A1" w:rsidRPr="00B80E0D" w:rsidRDefault="00CA4CD6" w:rsidP="008E49A1">
      <w:pPr>
        <w:pBdr>
          <w:top w:val="single" w:sz="6" w:space="0" w:color="FFFFFF"/>
          <w:left w:val="single" w:sz="6" w:space="0" w:color="FFFFFF"/>
          <w:bottom w:val="single" w:sz="6" w:space="2" w:color="FFFFFF"/>
          <w:right w:val="single" w:sz="6" w:space="0" w:color="FFFFFF"/>
        </w:pBdr>
        <w:ind w:firstLine="720"/>
      </w:pPr>
      <w:r>
        <w:rPr>
          <w:color w:val="000000"/>
        </w:rPr>
        <w:t xml:space="preserve">The respondents to the recordkeeping and reporting requirements </w:t>
      </w:r>
      <w:r w:rsidR="008E49A1" w:rsidRPr="00B80E0D">
        <w:t>are owners or operators of secondary lead smelting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8E49A1">
        <w:rPr>
          <w:color w:val="000000"/>
        </w:rPr>
        <w:t>3341</w:t>
      </w:r>
      <w:r>
        <w:rPr>
          <w:color w:val="000000"/>
        </w:rPr>
        <w:t xml:space="preserve"> </w:t>
      </w:r>
      <w:r w:rsidR="008E49A1" w:rsidRPr="00B80E0D">
        <w:t>(Secondary Smelting and Refining of Nonferrous Metals)</w:t>
      </w:r>
      <w:r w:rsidR="008E49A1">
        <w:t xml:space="preserve">, </w:t>
      </w:r>
      <w:r>
        <w:rPr>
          <w:color w:val="000000"/>
        </w:rPr>
        <w:t>which corresponds to the North American Industry Classification System</w:t>
      </w:r>
      <w:r w:rsidR="00CF2B37">
        <w:rPr>
          <w:color w:val="000000"/>
        </w:rPr>
        <w:t xml:space="preserve"> (NAICS</w:t>
      </w:r>
      <w:r>
        <w:rPr>
          <w:color w:val="000000"/>
        </w:rPr>
        <w:t xml:space="preserve">) </w:t>
      </w:r>
      <w:r w:rsidR="008E49A1" w:rsidRPr="00B80E0D">
        <w:t xml:space="preserve">331492 </w:t>
      </w:r>
      <w:r w:rsidR="00977511">
        <w:t xml:space="preserve">for </w:t>
      </w:r>
      <w:r w:rsidR="008E49A1" w:rsidRPr="00B80E0D">
        <w:t>Secondary Lead Smelting and Refining.</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1FFCB6F" w14:textId="27017620" w:rsidR="00CA4CD6" w:rsidRDefault="00CA4CD6" w:rsidP="008E49A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786CC837" w14:textId="77777777" w:rsidR="008E49A1" w:rsidRPr="008E49A1" w:rsidRDefault="008E49A1" w:rsidP="00504745">
      <w:pPr>
        <w:pBdr>
          <w:top w:val="single" w:sz="6" w:space="0" w:color="FFFFFF"/>
          <w:left w:val="single" w:sz="6" w:space="0" w:color="FFFFFF"/>
          <w:bottom w:val="single" w:sz="6" w:space="0" w:color="FFFFFF"/>
          <w:right w:val="single" w:sz="6" w:space="0" w:color="FFFFFF"/>
        </w:pBdr>
        <w:ind w:firstLine="1440"/>
        <w:outlineLvl w:val="0"/>
      </w:pPr>
    </w:p>
    <w:p w14:paraId="2EDB9C87" w14:textId="2CCED4B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2C96C4" w14:textId="77777777" w:rsidR="008E49A1" w:rsidRPr="00B11404" w:rsidRDefault="00817E8B" w:rsidP="008E49A1">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8E49A1" w:rsidRPr="00B11404">
        <w:t xml:space="preserve">NESHAP for the Secondary Lead Smelter Industry (40 CFR Part 63, Subpart X).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8E49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E49A1" w:rsidRPr="00CF2B37" w14:paraId="3C77EC7A" w14:textId="77777777" w:rsidTr="008E49A1">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082541FC"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Application for approval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18612230"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63.5(d) and (f)</w:t>
            </w:r>
          </w:p>
        </w:tc>
      </w:tr>
      <w:tr w:rsidR="008E49A1" w:rsidRPr="00CF2B37" w14:paraId="74DBFC89" w14:textId="77777777" w:rsidTr="008E49A1">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61694368"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395B5A">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2D6ACA34" w14:textId="1E4BE0EC"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B11404">
              <w:t>63.549</w:t>
            </w:r>
            <w:r>
              <w:t xml:space="preserve">(a), </w:t>
            </w:r>
            <w:r w:rsidRPr="00395B5A">
              <w:t>63.9(b)(2)</w:t>
            </w:r>
          </w:p>
        </w:tc>
      </w:tr>
      <w:tr w:rsidR="008E49A1" w:rsidRPr="00CF2B37" w14:paraId="1357996C" w14:textId="77777777" w:rsidTr="008E49A1">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6000860A"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395B5A">
              <w:t>Notification of intention to construct</w:t>
            </w:r>
            <w:r>
              <w:t>/reconstruct</w:t>
            </w:r>
          </w:p>
        </w:tc>
        <w:tc>
          <w:tcPr>
            <w:tcW w:w="2340" w:type="dxa"/>
            <w:tcBorders>
              <w:top w:val="single" w:sz="7" w:space="0" w:color="000000"/>
              <w:left w:val="single" w:sz="7" w:space="0" w:color="000000"/>
              <w:bottom w:val="single" w:sz="7" w:space="0" w:color="000000"/>
              <w:right w:val="single" w:sz="7" w:space="0" w:color="000000"/>
            </w:tcBorders>
          </w:tcPr>
          <w:p w14:paraId="1EAAA3B8" w14:textId="0F231257"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B11404">
              <w:t>63.549</w:t>
            </w:r>
            <w:r>
              <w:t xml:space="preserve">(a), </w:t>
            </w:r>
            <w:r w:rsidRPr="00395B5A">
              <w:t>63.9(b)(4</w:t>
            </w:r>
            <w:r>
              <w:t>)(i), 63.9(b)(5</w:t>
            </w:r>
            <w:r w:rsidRPr="00395B5A">
              <w:t>)</w:t>
            </w:r>
            <w:r>
              <w:t>(i)</w:t>
            </w:r>
          </w:p>
        </w:tc>
      </w:tr>
      <w:tr w:rsidR="008E49A1" w:rsidRPr="00CF2B37" w14:paraId="082A3A3E" w14:textId="77777777" w:rsidTr="008E49A1">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4F834BE0"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890C46">
              <w:t>Notification of actual startup date</w:t>
            </w:r>
          </w:p>
        </w:tc>
        <w:tc>
          <w:tcPr>
            <w:tcW w:w="2340" w:type="dxa"/>
            <w:tcBorders>
              <w:top w:val="single" w:sz="7" w:space="0" w:color="000000"/>
              <w:left w:val="single" w:sz="7" w:space="0" w:color="000000"/>
              <w:bottom w:val="single" w:sz="7" w:space="0" w:color="000000"/>
              <w:right w:val="single" w:sz="7" w:space="0" w:color="000000"/>
            </w:tcBorders>
          </w:tcPr>
          <w:p w14:paraId="405E9941" w14:textId="7B02BA05"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B11404">
              <w:t>63.549</w:t>
            </w:r>
            <w:r>
              <w:t xml:space="preserve">(a), </w:t>
            </w:r>
            <w:r w:rsidRPr="00890C46">
              <w:t>63.9(b)(4)</w:t>
            </w:r>
            <w:r>
              <w:t>(v), 63.9(b)(5)(ii)</w:t>
            </w:r>
          </w:p>
        </w:tc>
      </w:tr>
      <w:tr w:rsidR="008E49A1" w:rsidRPr="00CF2B37" w14:paraId="64305F2C" w14:textId="77777777" w:rsidTr="008E49A1">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32A7565E"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12EB33D6" w14:textId="58A91410"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B11404">
              <w:t>63.549</w:t>
            </w:r>
            <w:r>
              <w:t>(a), 63.9(d)</w:t>
            </w:r>
          </w:p>
        </w:tc>
      </w:tr>
      <w:tr w:rsidR="008E49A1" w:rsidRPr="00CF2B37" w14:paraId="3B3DBBFF" w14:textId="77777777" w:rsidTr="008E49A1">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69738154"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C06F13">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964632F" w14:textId="0F35535A"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C06F13">
              <w:t>63.7(b), 63.9(e)</w:t>
            </w:r>
          </w:p>
        </w:tc>
      </w:tr>
      <w:tr w:rsidR="008E49A1" w:rsidRPr="00CF2B37" w14:paraId="0F11E0CC" w14:textId="77777777" w:rsidTr="008E49A1">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0BCB6363"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Notification of opacity and visible emission observations</w:t>
            </w:r>
          </w:p>
        </w:tc>
        <w:tc>
          <w:tcPr>
            <w:tcW w:w="2340" w:type="dxa"/>
            <w:tcBorders>
              <w:top w:val="single" w:sz="7" w:space="0" w:color="000000"/>
              <w:left w:val="single" w:sz="7" w:space="0" w:color="000000"/>
              <w:bottom w:val="single" w:sz="7" w:space="0" w:color="000000"/>
              <w:right w:val="single" w:sz="7" w:space="0" w:color="000000"/>
            </w:tcBorders>
          </w:tcPr>
          <w:p w14:paraId="292BC42E" w14:textId="14B08F94"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B11404">
              <w:t>63.549</w:t>
            </w:r>
            <w:r>
              <w:t>(a), 63.9(f)</w:t>
            </w:r>
          </w:p>
        </w:tc>
      </w:tr>
      <w:tr w:rsidR="008E49A1" w:rsidRPr="00CF2B37" w14:paraId="1F95E04D" w14:textId="77777777" w:rsidTr="008E49A1">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5480E699"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C06F13">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0C010E7F" w14:textId="701B6082"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B11404">
              <w:t>63.549</w:t>
            </w:r>
            <w:r>
              <w:t xml:space="preserve">(a), </w:t>
            </w:r>
            <w:r w:rsidRPr="00C06F13">
              <w:t>63.9(g)</w:t>
            </w:r>
          </w:p>
        </w:tc>
      </w:tr>
      <w:tr w:rsidR="008E49A1" w:rsidRPr="00CF2B37" w14:paraId="26B16369" w14:textId="77777777" w:rsidTr="008E49A1">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65524EC4"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1431CB7" w14:textId="21A492A4"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B11404">
              <w:t>63.549</w:t>
            </w:r>
            <w:r>
              <w:t>(a), 63.9(h)</w:t>
            </w:r>
          </w:p>
        </w:tc>
      </w:tr>
      <w:tr w:rsidR="008E49A1" w:rsidRPr="00CF2B37" w14:paraId="3A382F00" w14:textId="77777777" w:rsidTr="008E49A1">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419A6476"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Standard operating procedures manuals for fugitive dust controls and baghouses</w:t>
            </w:r>
          </w:p>
        </w:tc>
        <w:tc>
          <w:tcPr>
            <w:tcW w:w="2340" w:type="dxa"/>
            <w:tcBorders>
              <w:top w:val="single" w:sz="7" w:space="0" w:color="000000"/>
              <w:left w:val="single" w:sz="7" w:space="0" w:color="000000"/>
              <w:bottom w:val="single" w:sz="7" w:space="0" w:color="000000"/>
              <w:right w:val="single" w:sz="7" w:space="0" w:color="000000"/>
            </w:tcBorders>
          </w:tcPr>
          <w:p w14:paraId="64FF8903" w14:textId="5B0CD643"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395B5A">
              <w:t>63.549(b)</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8E49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E49A1" w:rsidRPr="00CF2B37" w14:paraId="46D42E18" w14:textId="77777777" w:rsidTr="008E49A1">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64354E52"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373B53">
              <w:t>Performance test results</w:t>
            </w:r>
            <w:r>
              <w:t>, including</w:t>
            </w:r>
            <w:r w:rsidRPr="00C64C4D">
              <w:t xml:space="preserve"> opacity </w:t>
            </w:r>
            <w:r>
              <w:t>CMS</w:t>
            </w:r>
            <w:r w:rsidRPr="00C64C4D">
              <w:t xml:space="preserve"> data</w:t>
            </w:r>
          </w:p>
        </w:tc>
        <w:tc>
          <w:tcPr>
            <w:tcW w:w="2070" w:type="dxa"/>
            <w:tcBorders>
              <w:top w:val="single" w:sz="7" w:space="0" w:color="000000"/>
              <w:left w:val="single" w:sz="7" w:space="0" w:color="000000"/>
              <w:bottom w:val="single" w:sz="7" w:space="0" w:color="000000"/>
              <w:right w:val="single" w:sz="7" w:space="0" w:color="000000"/>
            </w:tcBorders>
          </w:tcPr>
          <w:p w14:paraId="6DF7646A" w14:textId="6C0A9DAB"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 xml:space="preserve">63.550(a), </w:t>
            </w:r>
            <w:r w:rsidRPr="00B870BB">
              <w:t>63.5</w:t>
            </w:r>
            <w:r>
              <w:t xml:space="preserve">50(d), </w:t>
            </w:r>
            <w:r w:rsidRPr="00373B53">
              <w:t>63.10(d)(</w:t>
            </w:r>
            <w:r>
              <w:t>2</w:t>
            </w:r>
            <w:r w:rsidRPr="00373B53">
              <w:t>)</w:t>
            </w:r>
            <w:r>
              <w:t>, 63.10(e)(4)</w:t>
            </w:r>
          </w:p>
        </w:tc>
      </w:tr>
      <w:tr w:rsidR="008E49A1" w:rsidRPr="00CF2B37" w14:paraId="27CA75D7" w14:textId="77777777" w:rsidTr="008E49A1">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6E4F88F4"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O</w:t>
            </w:r>
            <w:r w:rsidRPr="00C64C4D">
              <w:t>pacity or visible emission observations</w:t>
            </w:r>
            <w:r>
              <w:t xml:space="preserve"> results</w:t>
            </w:r>
          </w:p>
        </w:tc>
        <w:tc>
          <w:tcPr>
            <w:tcW w:w="2070" w:type="dxa"/>
            <w:tcBorders>
              <w:top w:val="single" w:sz="7" w:space="0" w:color="000000"/>
              <w:left w:val="single" w:sz="7" w:space="0" w:color="000000"/>
              <w:bottom w:val="single" w:sz="7" w:space="0" w:color="000000"/>
              <w:right w:val="single" w:sz="7" w:space="0" w:color="000000"/>
            </w:tcBorders>
          </w:tcPr>
          <w:p w14:paraId="75004E58" w14:textId="7C45DEC4"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 xml:space="preserve">63.550(a), </w:t>
            </w:r>
            <w:r w:rsidRPr="00B870BB">
              <w:t>63.5</w:t>
            </w:r>
            <w:r>
              <w:t xml:space="preserve">50(d), </w:t>
            </w:r>
            <w:r w:rsidRPr="00373B53">
              <w:t>63.10(d)(</w:t>
            </w:r>
            <w:r>
              <w:t>3</w:t>
            </w:r>
            <w:r w:rsidRPr="00373B53">
              <w:t>)</w:t>
            </w:r>
          </w:p>
        </w:tc>
      </w:tr>
      <w:tr w:rsidR="008E49A1" w:rsidRPr="00CF2B37" w14:paraId="1B825826" w14:textId="77777777" w:rsidTr="008E49A1">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1F7FF539"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CMS performance evaluation results</w:t>
            </w:r>
          </w:p>
        </w:tc>
        <w:tc>
          <w:tcPr>
            <w:tcW w:w="2070" w:type="dxa"/>
            <w:tcBorders>
              <w:top w:val="single" w:sz="7" w:space="0" w:color="000000"/>
              <w:left w:val="single" w:sz="7" w:space="0" w:color="000000"/>
              <w:bottom w:val="single" w:sz="7" w:space="0" w:color="000000"/>
              <w:right w:val="single" w:sz="7" w:space="0" w:color="000000"/>
            </w:tcBorders>
          </w:tcPr>
          <w:p w14:paraId="27C71521" w14:textId="0AEF5477"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 xml:space="preserve">63.550(a), </w:t>
            </w:r>
            <w:r w:rsidRPr="00B870BB">
              <w:t>63.5</w:t>
            </w:r>
            <w:r>
              <w:t>50(d), 63.10(e)(2)</w:t>
            </w:r>
          </w:p>
        </w:tc>
      </w:tr>
      <w:tr w:rsidR="008E49A1" w:rsidRPr="00CF2B37" w14:paraId="61A430F2" w14:textId="77777777" w:rsidTr="008E49A1">
        <w:trPr>
          <w:jc w:val="center"/>
        </w:trPr>
        <w:tc>
          <w:tcPr>
            <w:tcW w:w="7290" w:type="dxa"/>
            <w:tcBorders>
              <w:top w:val="single" w:sz="7" w:space="0" w:color="000000"/>
              <w:left w:val="single" w:sz="7" w:space="0" w:color="000000"/>
              <w:bottom w:val="single" w:sz="7" w:space="0" w:color="000000"/>
              <w:right w:val="single" w:sz="7" w:space="0" w:color="000000"/>
            </w:tcBorders>
          </w:tcPr>
          <w:p w14:paraId="669C291A" w14:textId="72F68FB3" w:rsidR="008E49A1" w:rsidRDefault="008E49A1" w:rsidP="008E49A1">
            <w:pPr>
              <w:pBdr>
                <w:top w:val="single" w:sz="6" w:space="0" w:color="FFFFFF"/>
                <w:left w:val="single" w:sz="6" w:space="0" w:color="FFFFFF"/>
                <w:bottom w:val="single" w:sz="6" w:space="0" w:color="FFFFFF"/>
                <w:right w:val="single" w:sz="6" w:space="0" w:color="FFFFFF"/>
              </w:pBdr>
              <w:spacing w:after="58"/>
            </w:pPr>
            <w:r>
              <w:t>Excess emissions and CMS</w:t>
            </w:r>
            <w:r w:rsidRPr="00C64C4D">
              <w:t xml:space="preserve"> performance and summary report</w:t>
            </w:r>
            <w:r>
              <w:t>s</w:t>
            </w:r>
          </w:p>
        </w:tc>
        <w:tc>
          <w:tcPr>
            <w:tcW w:w="2070" w:type="dxa"/>
            <w:tcBorders>
              <w:top w:val="single" w:sz="7" w:space="0" w:color="000000"/>
              <w:left w:val="single" w:sz="7" w:space="0" w:color="000000"/>
              <w:bottom w:val="single" w:sz="7" w:space="0" w:color="000000"/>
              <w:right w:val="single" w:sz="7" w:space="0" w:color="000000"/>
            </w:tcBorders>
          </w:tcPr>
          <w:p w14:paraId="0FE1B9DE" w14:textId="77F3B36B" w:rsidR="008E49A1" w:rsidRDefault="008E49A1" w:rsidP="008E49A1">
            <w:pPr>
              <w:pBdr>
                <w:top w:val="single" w:sz="6" w:space="0" w:color="FFFFFF"/>
                <w:left w:val="single" w:sz="6" w:space="0" w:color="FFFFFF"/>
                <w:bottom w:val="single" w:sz="6" w:space="0" w:color="FFFFFF"/>
                <w:right w:val="single" w:sz="6" w:space="0" w:color="FFFFFF"/>
              </w:pBdr>
              <w:spacing w:after="58"/>
            </w:pPr>
            <w:r>
              <w:t xml:space="preserve">63.550(a), </w:t>
            </w:r>
            <w:r w:rsidRPr="00B870BB">
              <w:t>63.5</w:t>
            </w:r>
            <w:r>
              <w:t>50(d), 63.10(e)(3)</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8E49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E49A1" w:rsidRPr="00CF2B37" w14:paraId="5FA3A522" w14:textId="77777777" w:rsidTr="008E49A1">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6766D6F7"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6F201D">
              <w:t>Records of 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4CD69875" w14:textId="6F51BC89"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6F201D">
              <w:t>63.10(b)</w:t>
            </w:r>
            <w:r>
              <w:t>(1)</w:t>
            </w:r>
          </w:p>
        </w:tc>
      </w:tr>
      <w:tr w:rsidR="008E49A1" w:rsidRPr="00CF2B37" w14:paraId="36691C85" w14:textId="77777777" w:rsidTr="008E49A1">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2DBAC8CF"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6F201D">
              <w:t>Records of applicability determinations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71B67C8C"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6F201D">
              <w:t>63.10(b)(3)</w:t>
            </w:r>
          </w:p>
        </w:tc>
      </w:tr>
      <w:tr w:rsidR="008E49A1" w:rsidRPr="00CF2B37" w14:paraId="7B98B13A" w14:textId="77777777" w:rsidTr="008E49A1">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00D4EE6A"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64286A">
              <w:t xml:space="preserve">Records </w:t>
            </w:r>
            <w:r>
              <w:t>for sources with CMS</w:t>
            </w:r>
          </w:p>
        </w:tc>
        <w:tc>
          <w:tcPr>
            <w:tcW w:w="2250" w:type="dxa"/>
            <w:tcBorders>
              <w:top w:val="single" w:sz="7" w:space="0" w:color="000000"/>
              <w:left w:val="single" w:sz="7" w:space="0" w:color="000000"/>
              <w:bottom w:val="single" w:sz="7" w:space="0" w:color="000000"/>
              <w:right w:val="single" w:sz="7" w:space="0" w:color="000000"/>
            </w:tcBorders>
          </w:tcPr>
          <w:p w14:paraId="06801B01" w14:textId="03CB0D30"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6F201D">
              <w:t>63.10(</w:t>
            </w:r>
            <w:r>
              <w:t>c</w:t>
            </w:r>
            <w:r w:rsidRPr="006F201D">
              <w:t>)</w:t>
            </w:r>
          </w:p>
        </w:tc>
      </w:tr>
      <w:tr w:rsidR="008E49A1" w:rsidRPr="00CF2B37" w14:paraId="32AE5640" w14:textId="77777777" w:rsidTr="008E49A1">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1FC59227"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507332">
              <w:t>Records</w:t>
            </w:r>
            <w:r>
              <w:t xml:space="preserve"> retention</w:t>
            </w:r>
            <w:r w:rsidRPr="00507332">
              <w:t xml:space="preserve"> for five years</w:t>
            </w:r>
            <w:r>
              <w:t xml:space="preserve"> (</w:t>
            </w:r>
            <w:r w:rsidRPr="00507332">
              <w:t>most recent two years must be kept on-site</w:t>
            </w:r>
            <w:r>
              <w:t>)</w:t>
            </w:r>
          </w:p>
        </w:tc>
        <w:tc>
          <w:tcPr>
            <w:tcW w:w="2250" w:type="dxa"/>
            <w:tcBorders>
              <w:top w:val="single" w:sz="7" w:space="0" w:color="000000"/>
              <w:left w:val="single" w:sz="7" w:space="0" w:color="000000"/>
              <w:bottom w:val="single" w:sz="7" w:space="0" w:color="000000"/>
              <w:right w:val="single" w:sz="7" w:space="0" w:color="000000"/>
            </w:tcBorders>
          </w:tcPr>
          <w:p w14:paraId="7F8F2C95" w14:textId="7984AB7A"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507332">
              <w:t>63.550(a)</w:t>
            </w:r>
            <w:r>
              <w:t xml:space="preserve"> and (c)</w:t>
            </w:r>
          </w:p>
        </w:tc>
      </w:tr>
      <w:tr w:rsidR="008E49A1" w:rsidRPr="00CF2B37" w14:paraId="157FC910" w14:textId="77777777" w:rsidTr="008E49A1">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71B368E8"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t>Records of standard operating procedures manuals for fugitive dust controls and baghouses</w:t>
            </w:r>
          </w:p>
        </w:tc>
        <w:tc>
          <w:tcPr>
            <w:tcW w:w="2250" w:type="dxa"/>
            <w:tcBorders>
              <w:top w:val="single" w:sz="7" w:space="0" w:color="000000"/>
              <w:left w:val="single" w:sz="7" w:space="0" w:color="000000"/>
              <w:bottom w:val="single" w:sz="7" w:space="0" w:color="000000"/>
              <w:right w:val="single" w:sz="7" w:space="0" w:color="000000"/>
            </w:tcBorders>
          </w:tcPr>
          <w:p w14:paraId="722BCDB7" w14:textId="0ACC7F00" w:rsidR="008E49A1" w:rsidRPr="00CF2B37" w:rsidRDefault="008E49A1" w:rsidP="008E49A1">
            <w:pPr>
              <w:pBdr>
                <w:top w:val="single" w:sz="6" w:space="0" w:color="FFFFFF"/>
                <w:left w:val="single" w:sz="6" w:space="0" w:color="FFFFFF"/>
                <w:bottom w:val="single" w:sz="6" w:space="0" w:color="FFFFFF"/>
                <w:right w:val="single" w:sz="6" w:space="0" w:color="FFFFFF"/>
              </w:pBdr>
              <w:spacing w:after="58"/>
            </w:pPr>
            <w:r w:rsidRPr="00507332">
              <w:t>63.550(</w:t>
            </w:r>
            <w:r>
              <w:t>b</w:t>
            </w:r>
            <w:r w:rsidRPr="00507332">
              <w:t>)</w:t>
            </w:r>
          </w:p>
        </w:tc>
      </w:tr>
      <w:tr w:rsidR="008E49A1" w:rsidRPr="00CF2B37" w14:paraId="2AE6E003" w14:textId="77777777" w:rsidTr="008E49A1">
        <w:trPr>
          <w:jc w:val="center"/>
        </w:trPr>
        <w:tc>
          <w:tcPr>
            <w:tcW w:w="7110" w:type="dxa"/>
            <w:tcBorders>
              <w:top w:val="single" w:sz="7" w:space="0" w:color="000000"/>
              <w:left w:val="single" w:sz="7" w:space="0" w:color="000000"/>
              <w:bottom w:val="single" w:sz="7" w:space="0" w:color="000000"/>
              <w:right w:val="single" w:sz="7" w:space="0" w:color="000000"/>
            </w:tcBorders>
          </w:tcPr>
          <w:p w14:paraId="10BEDF6B" w14:textId="762CA775" w:rsidR="008E49A1" w:rsidRDefault="008E49A1" w:rsidP="008E49A1">
            <w:pPr>
              <w:pBdr>
                <w:top w:val="single" w:sz="6" w:space="0" w:color="FFFFFF"/>
                <w:left w:val="single" w:sz="6" w:space="0" w:color="FFFFFF"/>
                <w:bottom w:val="single" w:sz="6" w:space="0" w:color="FFFFFF"/>
                <w:right w:val="single" w:sz="6" w:space="0" w:color="FFFFFF"/>
              </w:pBdr>
              <w:spacing w:after="58"/>
            </w:pPr>
            <w:r w:rsidRPr="00507332">
              <w:t>Records of bag leak detection system</w:t>
            </w:r>
            <w:r>
              <w:t xml:space="preserve"> outputs and</w:t>
            </w:r>
            <w:r w:rsidRPr="00507332">
              <w:t xml:space="preserve"> alarms, including </w:t>
            </w:r>
            <w:r>
              <w:t xml:space="preserve">baghouse inspection, maintenance, and </w:t>
            </w:r>
            <w:r w:rsidRPr="00507332">
              <w:t>corrective actions</w:t>
            </w:r>
          </w:p>
        </w:tc>
        <w:tc>
          <w:tcPr>
            <w:tcW w:w="2250" w:type="dxa"/>
            <w:tcBorders>
              <w:top w:val="single" w:sz="7" w:space="0" w:color="000000"/>
              <w:left w:val="single" w:sz="7" w:space="0" w:color="000000"/>
              <w:bottom w:val="single" w:sz="7" w:space="0" w:color="000000"/>
              <w:right w:val="single" w:sz="7" w:space="0" w:color="000000"/>
            </w:tcBorders>
          </w:tcPr>
          <w:p w14:paraId="058DC5B8" w14:textId="2A212193" w:rsidR="008E49A1" w:rsidRPr="00507332" w:rsidRDefault="008E49A1" w:rsidP="008E49A1">
            <w:pPr>
              <w:pBdr>
                <w:top w:val="single" w:sz="6" w:space="0" w:color="FFFFFF"/>
                <w:left w:val="single" w:sz="6" w:space="0" w:color="FFFFFF"/>
                <w:bottom w:val="single" w:sz="6" w:space="0" w:color="FFFFFF"/>
                <w:right w:val="single" w:sz="6" w:space="0" w:color="FFFFFF"/>
              </w:pBdr>
              <w:spacing w:after="58"/>
            </w:pPr>
            <w:r w:rsidRPr="00507332">
              <w:t>63.550(</w:t>
            </w:r>
            <w:r>
              <w:t>c)(1-3)</w:t>
            </w:r>
          </w:p>
        </w:tc>
      </w:tr>
      <w:tr w:rsidR="008E49A1" w:rsidRPr="00CF2B37" w14:paraId="700D5794" w14:textId="77777777" w:rsidTr="008E49A1">
        <w:trPr>
          <w:jc w:val="center"/>
        </w:trPr>
        <w:tc>
          <w:tcPr>
            <w:tcW w:w="7110" w:type="dxa"/>
            <w:tcBorders>
              <w:top w:val="single" w:sz="7" w:space="0" w:color="000000"/>
              <w:left w:val="single" w:sz="7" w:space="0" w:color="000000"/>
              <w:bottom w:val="single" w:sz="7" w:space="0" w:color="000000"/>
              <w:right w:val="single" w:sz="7" w:space="0" w:color="000000"/>
            </w:tcBorders>
          </w:tcPr>
          <w:p w14:paraId="038A3EF6" w14:textId="4AE5C273" w:rsidR="008E49A1" w:rsidRPr="00507332" w:rsidRDefault="008E49A1" w:rsidP="008E49A1">
            <w:pPr>
              <w:pBdr>
                <w:top w:val="single" w:sz="6" w:space="0" w:color="FFFFFF"/>
                <w:left w:val="single" w:sz="6" w:space="0" w:color="FFFFFF"/>
                <w:bottom w:val="single" w:sz="6" w:space="0" w:color="FFFFFF"/>
                <w:right w:val="single" w:sz="6" w:space="0" w:color="FFFFFF"/>
              </w:pBdr>
              <w:spacing w:after="58"/>
            </w:pPr>
            <w:r w:rsidRPr="00507332">
              <w:t xml:space="preserve">Records of parametric monitoring data, </w:t>
            </w:r>
            <w:r>
              <w:t xml:space="preserve">including </w:t>
            </w:r>
            <w:r w:rsidRPr="00507332">
              <w:t xml:space="preserve">system </w:t>
            </w:r>
            <w:r>
              <w:t xml:space="preserve">inspection, </w:t>
            </w:r>
            <w:r w:rsidRPr="00507332">
              <w:t>maintenance</w:t>
            </w:r>
            <w:r>
              <w:t>,</w:t>
            </w:r>
            <w:r w:rsidRPr="00507332">
              <w:t xml:space="preserve"> and calibration</w:t>
            </w:r>
          </w:p>
        </w:tc>
        <w:tc>
          <w:tcPr>
            <w:tcW w:w="2250" w:type="dxa"/>
            <w:tcBorders>
              <w:top w:val="single" w:sz="7" w:space="0" w:color="000000"/>
              <w:left w:val="single" w:sz="7" w:space="0" w:color="000000"/>
              <w:bottom w:val="single" w:sz="7" w:space="0" w:color="000000"/>
              <w:right w:val="single" w:sz="7" w:space="0" w:color="000000"/>
            </w:tcBorders>
          </w:tcPr>
          <w:p w14:paraId="699E115F" w14:textId="6B618F04" w:rsidR="008E49A1" w:rsidRPr="00507332" w:rsidRDefault="008E49A1" w:rsidP="008E49A1">
            <w:pPr>
              <w:pBdr>
                <w:top w:val="single" w:sz="6" w:space="0" w:color="FFFFFF"/>
                <w:left w:val="single" w:sz="6" w:space="0" w:color="FFFFFF"/>
                <w:bottom w:val="single" w:sz="6" w:space="0" w:color="FFFFFF"/>
                <w:right w:val="single" w:sz="6" w:space="0" w:color="FFFFFF"/>
              </w:pBdr>
              <w:spacing w:after="58"/>
            </w:pPr>
            <w:r w:rsidRPr="00507332">
              <w:t>63.550(</w:t>
            </w:r>
            <w:r>
              <w:t>c)(4-10)</w:t>
            </w:r>
          </w:p>
        </w:tc>
      </w:tr>
      <w:tr w:rsidR="008E49A1" w:rsidRPr="00CF2B37" w14:paraId="6AF63B2C" w14:textId="77777777" w:rsidTr="008E49A1">
        <w:trPr>
          <w:jc w:val="center"/>
        </w:trPr>
        <w:tc>
          <w:tcPr>
            <w:tcW w:w="7110" w:type="dxa"/>
            <w:tcBorders>
              <w:top w:val="single" w:sz="7" w:space="0" w:color="000000"/>
              <w:left w:val="single" w:sz="7" w:space="0" w:color="000000"/>
              <w:bottom w:val="single" w:sz="7" w:space="0" w:color="000000"/>
              <w:right w:val="single" w:sz="7" w:space="0" w:color="000000"/>
            </w:tcBorders>
          </w:tcPr>
          <w:p w14:paraId="5425B7CE" w14:textId="0348EFF7" w:rsidR="008E49A1" w:rsidRPr="00507332" w:rsidRDefault="008E49A1" w:rsidP="008E49A1">
            <w:pPr>
              <w:pBdr>
                <w:top w:val="single" w:sz="6" w:space="0" w:color="FFFFFF"/>
                <w:left w:val="single" w:sz="6" w:space="0" w:color="FFFFFF"/>
                <w:bottom w:val="single" w:sz="6" w:space="0" w:color="FFFFFF"/>
                <w:right w:val="single" w:sz="6" w:space="0" w:color="FFFFFF"/>
              </w:pBdr>
              <w:spacing w:after="58"/>
            </w:pPr>
            <w:r w:rsidRPr="0064286A">
              <w:t>Records of startups, shutdowns, malfunctions, or periods where the CMS is inoperative</w:t>
            </w:r>
          </w:p>
        </w:tc>
        <w:tc>
          <w:tcPr>
            <w:tcW w:w="2250" w:type="dxa"/>
            <w:tcBorders>
              <w:top w:val="single" w:sz="7" w:space="0" w:color="000000"/>
              <w:left w:val="single" w:sz="7" w:space="0" w:color="000000"/>
              <w:bottom w:val="single" w:sz="7" w:space="0" w:color="000000"/>
              <w:right w:val="single" w:sz="7" w:space="0" w:color="000000"/>
            </w:tcBorders>
          </w:tcPr>
          <w:p w14:paraId="460939AB" w14:textId="202A7647" w:rsidR="008E49A1" w:rsidRPr="00507332" w:rsidRDefault="008E49A1" w:rsidP="008E49A1">
            <w:pPr>
              <w:pBdr>
                <w:top w:val="single" w:sz="6" w:space="0" w:color="FFFFFF"/>
                <w:left w:val="single" w:sz="6" w:space="0" w:color="FFFFFF"/>
                <w:bottom w:val="single" w:sz="6" w:space="0" w:color="FFFFFF"/>
                <w:right w:val="single" w:sz="6" w:space="0" w:color="FFFFFF"/>
              </w:pBdr>
              <w:spacing w:after="58"/>
            </w:pPr>
            <w:r w:rsidRPr="00507332">
              <w:t>63.</w:t>
            </w:r>
            <w:r w:rsidRPr="0064286A">
              <w:t>550(c)(11-13), 63.10(b)</w:t>
            </w:r>
            <w:r>
              <w:t>(2)</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31B44516" w:rsidR="00CA4CD6" w:rsidRDefault="00CA4CD6">
      <w:pPr>
        <w:pBdr>
          <w:top w:val="single" w:sz="6" w:space="0" w:color="FFFFFF"/>
          <w:left w:val="single" w:sz="6" w:space="0" w:color="FFFFFF"/>
          <w:bottom w:val="single" w:sz="6" w:space="0" w:color="FFFFFF"/>
          <w:right w:val="single" w:sz="6" w:space="0" w:color="FFFFFF"/>
        </w:pBdr>
        <w:rPr>
          <w:color w:val="000000"/>
        </w:rPr>
      </w:pPr>
    </w:p>
    <w:p w14:paraId="6BCB200D" w14:textId="3B822F80" w:rsidR="008E49A1" w:rsidRDefault="008E49A1" w:rsidP="008E49A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NESHAP requires that any performance test performed after December 31, 2011 be submitted electronically to EPA’s Central Data Exchange by using the Electronic Reporting Tool (ERT) for test methods that are compatible with ERT. This requirement to submit the data to the ERT (established as part of the 2012 amendment) is in addition to other existing submission requirements for this data. </w:t>
      </w:r>
    </w:p>
    <w:p w14:paraId="70A1A0E9" w14:textId="77777777" w:rsidR="008E49A1" w:rsidRDefault="008E49A1">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5D7EB920"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0228BB">
        <w:trPr>
          <w:tblHeader/>
          <w:jc w:val="center"/>
        </w:trPr>
        <w:tc>
          <w:tcPr>
            <w:tcW w:w="9360" w:type="dxa"/>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0228BB">
        <w:trPr>
          <w:jc w:val="center"/>
        </w:trPr>
        <w:tc>
          <w:tcPr>
            <w:tcW w:w="9360" w:type="dxa"/>
          </w:tcPr>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8E49A1" w14:paraId="0D99153F" w14:textId="77777777" w:rsidTr="000228BB">
        <w:trPr>
          <w:trHeight w:val="523"/>
          <w:jc w:val="center"/>
        </w:trPr>
        <w:tc>
          <w:tcPr>
            <w:tcW w:w="9360" w:type="dxa"/>
          </w:tcPr>
          <w:p w14:paraId="37929634" w14:textId="0D8990D7" w:rsidR="008E49A1" w:rsidRDefault="008E49A1" w:rsidP="008E49A1">
            <w:pPr>
              <w:rPr>
                <w:color w:val="000000"/>
              </w:rPr>
            </w:pPr>
            <w:r w:rsidRPr="00E12A64">
              <w:t>Install, operate, and maintain baghouses according to the standard operating procedures manual, and consistent with the manufacturer’s instructions.</w:t>
            </w:r>
          </w:p>
        </w:tc>
      </w:tr>
      <w:tr w:rsidR="008E49A1" w14:paraId="313D47B5" w14:textId="77777777" w:rsidTr="000228BB">
        <w:trPr>
          <w:trHeight w:val="523"/>
          <w:jc w:val="center"/>
        </w:trPr>
        <w:tc>
          <w:tcPr>
            <w:tcW w:w="9360" w:type="dxa"/>
          </w:tcPr>
          <w:p w14:paraId="46C290E4" w14:textId="49040E22" w:rsidR="008E49A1" w:rsidRDefault="008E49A1" w:rsidP="008E49A1">
            <w:pPr>
              <w:rPr>
                <w:color w:val="000000"/>
              </w:rPr>
            </w:pPr>
            <w:r w:rsidRPr="00E12A64">
              <w:rPr>
                <w:color w:val="000000"/>
              </w:rPr>
              <w:t>Monitor and record pressure drop and liquid supply pressure at the wet scrubber at least once every hour when using this control device for controlling particulate matter and metal HAP emissions from a process fugitive source.</w:t>
            </w:r>
          </w:p>
        </w:tc>
      </w:tr>
      <w:tr w:rsidR="008E49A1" w14:paraId="47E5BA5A" w14:textId="77777777" w:rsidTr="000228BB">
        <w:trPr>
          <w:trHeight w:val="523"/>
          <w:jc w:val="center"/>
        </w:trPr>
        <w:tc>
          <w:tcPr>
            <w:tcW w:w="9360" w:type="dxa"/>
          </w:tcPr>
          <w:p w14:paraId="1D14F41D" w14:textId="441F2DB3" w:rsidR="008E49A1" w:rsidRDefault="008E49A1" w:rsidP="008E49A1">
            <w:pPr>
              <w:rPr>
                <w:color w:val="000000"/>
              </w:rPr>
            </w:pPr>
            <w:r w:rsidRPr="00E12A64">
              <w:rPr>
                <w:color w:val="000000"/>
              </w:rPr>
              <w:t>Install, calibrate, maintain, and operate CMS for temperature monitoring of the afterburner or the combined blast furnace and reverberatory furnace exhaust streams when complying with the total hydrocarbon emission standard.</w:t>
            </w:r>
          </w:p>
        </w:tc>
      </w:tr>
      <w:tr w:rsidR="008E49A1" w14:paraId="7C78B7A9" w14:textId="77777777" w:rsidTr="000228BB">
        <w:trPr>
          <w:trHeight w:val="523"/>
          <w:jc w:val="center"/>
        </w:trPr>
        <w:tc>
          <w:tcPr>
            <w:tcW w:w="9360" w:type="dxa"/>
          </w:tcPr>
          <w:p w14:paraId="01DC536A" w14:textId="15BD46B4" w:rsidR="008E49A1" w:rsidRDefault="008E49A1" w:rsidP="008E49A1">
            <w:pPr>
              <w:rPr>
                <w:color w:val="000000"/>
              </w:rPr>
            </w:pPr>
            <w:r w:rsidRPr="00E12A64">
              <w:rPr>
                <w:color w:val="000000"/>
              </w:rPr>
              <w:t>Install, calibrate, maintain, and operate a total hydrocarbon CMS for measuring emissions when complying with the total hydrocarbon emission standard.</w:t>
            </w:r>
          </w:p>
        </w:tc>
      </w:tr>
      <w:tr w:rsidR="008E49A1" w14:paraId="5A0BB023" w14:textId="77777777" w:rsidTr="000228BB">
        <w:trPr>
          <w:trHeight w:val="523"/>
          <w:jc w:val="center"/>
        </w:trPr>
        <w:tc>
          <w:tcPr>
            <w:tcW w:w="9360" w:type="dxa"/>
          </w:tcPr>
          <w:p w14:paraId="26670A87" w14:textId="1D3D1DF8" w:rsidR="008E49A1" w:rsidRDefault="008E49A1" w:rsidP="008E49A1">
            <w:pPr>
              <w:rPr>
                <w:color w:val="000000"/>
              </w:rPr>
            </w:pPr>
            <w:r w:rsidRPr="00A57333">
              <w:rPr>
                <w:color w:val="000000"/>
              </w:rPr>
              <w:t>Equip pressurized drying bleaching seals with an alarm to determine seal malfunctions.</w:t>
            </w:r>
          </w:p>
        </w:tc>
      </w:tr>
      <w:tr w:rsidR="008E49A1" w14:paraId="3A9A7DE2" w14:textId="77777777" w:rsidTr="000228BB">
        <w:trPr>
          <w:trHeight w:val="523"/>
          <w:jc w:val="center"/>
        </w:trPr>
        <w:tc>
          <w:tcPr>
            <w:tcW w:w="9360" w:type="dxa"/>
          </w:tcPr>
          <w:p w14:paraId="75F106B0" w14:textId="5C925DCF" w:rsidR="008E49A1" w:rsidRDefault="008E49A1" w:rsidP="008E49A1">
            <w:pPr>
              <w:rPr>
                <w:color w:val="000000"/>
              </w:rPr>
            </w:pPr>
            <w:r>
              <w:rPr>
                <w:color w:val="000000"/>
              </w:rPr>
              <w:t>Perform initial performance tests and repeat performance tests if necessary.</w:t>
            </w:r>
          </w:p>
        </w:tc>
      </w:tr>
      <w:tr w:rsidR="008E49A1" w14:paraId="5EE0481E" w14:textId="77777777" w:rsidTr="000228BB">
        <w:trPr>
          <w:trHeight w:val="523"/>
          <w:jc w:val="center"/>
        </w:trPr>
        <w:tc>
          <w:tcPr>
            <w:tcW w:w="9360" w:type="dxa"/>
          </w:tcPr>
          <w:p w14:paraId="3BE1C21B" w14:textId="5EF96CA2" w:rsidR="008E49A1" w:rsidRDefault="008E49A1" w:rsidP="008E49A1">
            <w:pPr>
              <w:rPr>
                <w:color w:val="000000"/>
              </w:rPr>
            </w:pPr>
            <w:r w:rsidRPr="00E12A64">
              <w:rPr>
                <w:color w:val="000000"/>
              </w:rPr>
              <w:t xml:space="preserve">Use referenced test methods in Appendix A, Part 60, to determine compliance with the emission standards for lead compounds (e.g., </w:t>
            </w:r>
            <w:r>
              <w:rPr>
                <w:color w:val="000000"/>
              </w:rPr>
              <w:t>m</w:t>
            </w:r>
            <w:r w:rsidRPr="00E12A64">
              <w:rPr>
                <w:color w:val="000000"/>
              </w:rPr>
              <w:t>ethods 1, 2, 3, 4, and 12)</w:t>
            </w:r>
            <w:r>
              <w:rPr>
                <w:color w:val="000000"/>
              </w:rPr>
              <w:t xml:space="preserve">; </w:t>
            </w:r>
            <w:r w:rsidRPr="00E12A64">
              <w:rPr>
                <w:color w:val="000000"/>
              </w:rPr>
              <w:t xml:space="preserve">total hydrocarbons (e.g., </w:t>
            </w:r>
            <w:r>
              <w:rPr>
                <w:color w:val="000000"/>
              </w:rPr>
              <w:t>methods 1,</w:t>
            </w:r>
            <w:r w:rsidRPr="00E12A64">
              <w:rPr>
                <w:color w:val="000000"/>
              </w:rPr>
              <w:t xml:space="preserve"> 3B, 4, and 25A)</w:t>
            </w:r>
            <w:r>
              <w:rPr>
                <w:color w:val="000000"/>
              </w:rPr>
              <w:t xml:space="preserve">; and </w:t>
            </w:r>
            <w:r w:rsidRPr="00E12A64">
              <w:rPr>
                <w:color w:val="000000"/>
              </w:rPr>
              <w:t>dioxins and furans</w:t>
            </w:r>
            <w:r>
              <w:rPr>
                <w:color w:val="000000"/>
              </w:rPr>
              <w:t xml:space="preserve"> (e.g., methods 1, 2, 3A, 4, and 23).</w:t>
            </w:r>
          </w:p>
        </w:tc>
      </w:tr>
      <w:tr w:rsidR="008E49A1" w14:paraId="3E845C8F" w14:textId="77777777" w:rsidTr="000228BB">
        <w:trPr>
          <w:jc w:val="center"/>
        </w:trPr>
        <w:tc>
          <w:tcPr>
            <w:tcW w:w="9360" w:type="dxa"/>
          </w:tcPr>
          <w:p w14:paraId="32FA11A9" w14:textId="436E22A2" w:rsidR="008E49A1" w:rsidRDefault="008E49A1" w:rsidP="008E49A1">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8E49A1" w14:paraId="0AF39510" w14:textId="77777777" w:rsidTr="000228BB">
        <w:trPr>
          <w:jc w:val="center"/>
        </w:trPr>
        <w:tc>
          <w:tcPr>
            <w:tcW w:w="9360" w:type="dxa"/>
          </w:tcPr>
          <w:p w14:paraId="7BA88497" w14:textId="77777777" w:rsidR="008E49A1" w:rsidRDefault="008E49A1" w:rsidP="008E49A1">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8E49A1" w14:paraId="570646C8" w14:textId="77777777" w:rsidTr="000228BB">
        <w:trPr>
          <w:jc w:val="center"/>
        </w:trPr>
        <w:tc>
          <w:tcPr>
            <w:tcW w:w="9360" w:type="dxa"/>
          </w:tcPr>
          <w:p w14:paraId="45548886" w14:textId="77777777" w:rsidR="008E49A1" w:rsidRDefault="008E49A1" w:rsidP="008E49A1">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8E49A1" w14:paraId="53EA099E" w14:textId="77777777" w:rsidTr="000228BB">
        <w:trPr>
          <w:jc w:val="center"/>
        </w:trPr>
        <w:tc>
          <w:tcPr>
            <w:tcW w:w="9360" w:type="dxa"/>
          </w:tcPr>
          <w:p w14:paraId="0826CF44" w14:textId="77777777" w:rsidR="008E49A1" w:rsidRDefault="008E49A1" w:rsidP="008E49A1">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8E49A1" w14:paraId="49D0EACC" w14:textId="77777777" w:rsidTr="000228BB">
        <w:trPr>
          <w:jc w:val="center"/>
        </w:trPr>
        <w:tc>
          <w:tcPr>
            <w:tcW w:w="9360" w:type="dxa"/>
          </w:tcPr>
          <w:p w14:paraId="4546D7C8" w14:textId="02E70903" w:rsidR="008E49A1" w:rsidRDefault="00E06938" w:rsidP="008E49A1">
            <w:pPr>
              <w:pBdr>
                <w:top w:val="single" w:sz="6" w:space="0" w:color="FFFFFF"/>
                <w:left w:val="single" w:sz="6" w:space="0" w:color="FFFFFF"/>
                <w:bottom w:val="single" w:sz="6" w:space="0" w:color="FFFFFF"/>
                <w:right w:val="single" w:sz="6" w:space="0" w:color="FFFFFF"/>
              </w:pBdr>
              <w:spacing w:after="55"/>
              <w:rPr>
                <w:color w:val="000000"/>
              </w:rPr>
            </w:pPr>
            <w:r>
              <w:rPr>
                <w:color w:val="000000"/>
              </w:rPr>
              <w:t>D</w:t>
            </w:r>
            <w:r w:rsidR="008E49A1">
              <w:rPr>
                <w:color w:val="000000"/>
              </w:rPr>
              <w:t>evelop, acquire, install, and utilize technology and systems for the purpose of disclosing and providing information.</w:t>
            </w:r>
          </w:p>
        </w:tc>
      </w:tr>
      <w:tr w:rsidR="00E06938" w14:paraId="11F03AD5" w14:textId="77777777" w:rsidTr="000228BB">
        <w:trPr>
          <w:jc w:val="center"/>
        </w:trPr>
        <w:tc>
          <w:tcPr>
            <w:tcW w:w="9360" w:type="dxa"/>
          </w:tcPr>
          <w:p w14:paraId="45881DE9" w14:textId="470F90D4" w:rsidR="00E06938" w:rsidRDefault="00E06938" w:rsidP="008E49A1">
            <w:pPr>
              <w:pBdr>
                <w:top w:val="single" w:sz="6" w:space="0" w:color="FFFFFF"/>
                <w:left w:val="single" w:sz="6" w:space="0" w:color="FFFFFF"/>
                <w:bottom w:val="single" w:sz="6" w:space="0" w:color="FFFFFF"/>
                <w:right w:val="single" w:sz="6" w:space="0" w:color="FFFFFF"/>
              </w:pBdr>
              <w:spacing w:after="55"/>
              <w:rPr>
                <w:color w:val="000000"/>
              </w:rPr>
            </w:pPr>
            <w:r w:rsidRPr="00A57333">
              <w:rPr>
                <w:color w:val="000000"/>
              </w:rPr>
              <w:t>Adjust the existing ways to comply with any previously applicable instructions and requirements.</w:t>
            </w:r>
          </w:p>
        </w:tc>
      </w:tr>
      <w:tr w:rsidR="008E49A1" w14:paraId="3DBECFDB" w14:textId="77777777" w:rsidTr="000228BB">
        <w:trPr>
          <w:jc w:val="center"/>
        </w:trPr>
        <w:tc>
          <w:tcPr>
            <w:tcW w:w="9360" w:type="dxa"/>
          </w:tcPr>
          <w:p w14:paraId="350FE487" w14:textId="77777777" w:rsidR="008E49A1" w:rsidRDefault="008E49A1" w:rsidP="008E49A1">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8E49A1" w14:paraId="6D8DB44A" w14:textId="77777777" w:rsidTr="000228BB">
        <w:trPr>
          <w:jc w:val="center"/>
        </w:trPr>
        <w:tc>
          <w:tcPr>
            <w:tcW w:w="9360" w:type="dxa"/>
          </w:tcPr>
          <w:p w14:paraId="0D6818D7" w14:textId="4E339F8C" w:rsidR="008E49A1" w:rsidRDefault="008E49A1" w:rsidP="008E49A1">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w:t>
            </w:r>
            <w:r w:rsidR="00E06938">
              <w:rPr>
                <w:color w:val="000000"/>
              </w:rPr>
              <w:t>s</w:t>
            </w:r>
            <w:r>
              <w:rPr>
                <w:color w:val="000000"/>
              </w:rPr>
              <w:t>mit, or otherwise disclose the information.</w:t>
            </w:r>
          </w:p>
        </w:tc>
      </w:tr>
    </w:tbl>
    <w:p w14:paraId="704A5FF5" w14:textId="7FC5D4DF"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CCF5A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43572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2B5AB0">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0228BB">
        <w:trPr>
          <w:tblHeader/>
        </w:trPr>
        <w:tc>
          <w:tcPr>
            <w:tcW w:w="9360" w:type="dxa"/>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E06938" w14:paraId="424F45CC" w14:textId="77777777" w:rsidTr="000228BB">
        <w:tc>
          <w:tcPr>
            <w:tcW w:w="9360" w:type="dxa"/>
          </w:tcPr>
          <w:p w14:paraId="7AAEDA65" w14:textId="77777777" w:rsidR="00E06938" w:rsidRDefault="00E06938">
            <w:pPr>
              <w:spacing w:line="120" w:lineRule="exact"/>
              <w:rPr>
                <w:color w:val="000000"/>
              </w:rPr>
            </w:pPr>
          </w:p>
          <w:p w14:paraId="4D43EFB1" w14:textId="179C3030" w:rsidR="00E06938" w:rsidRDefault="00E06938" w:rsidP="00E06938">
            <w:pPr>
              <w:rPr>
                <w:color w:val="000000"/>
              </w:rPr>
            </w:pPr>
            <w:r>
              <w:rPr>
                <w:color w:val="000000"/>
              </w:rPr>
              <w:t>Observe initial performance tests and repeat performance tests, if necessary.</w:t>
            </w:r>
          </w:p>
        </w:tc>
      </w:tr>
      <w:tr w:rsidR="00CA4CD6" w14:paraId="6B7C826C" w14:textId="77777777" w:rsidTr="000228BB">
        <w:tc>
          <w:tcPr>
            <w:tcW w:w="9360" w:type="dxa"/>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0228BB">
        <w:tc>
          <w:tcPr>
            <w:tcW w:w="9360" w:type="dxa"/>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E06938" w:rsidRPr="00D91C34" w14:paraId="01064184" w14:textId="77777777" w:rsidTr="000228BB">
        <w:trPr>
          <w:trHeight w:val="685"/>
        </w:trPr>
        <w:tc>
          <w:tcPr>
            <w:tcW w:w="9360" w:type="dxa"/>
          </w:tcPr>
          <w:p w14:paraId="3E999D61" w14:textId="77777777" w:rsidR="00E06938" w:rsidRPr="00E71813" w:rsidRDefault="00E06938" w:rsidP="00E06938">
            <w:pPr>
              <w:spacing w:line="120" w:lineRule="exact"/>
            </w:pPr>
          </w:p>
          <w:p w14:paraId="600A2A51" w14:textId="63BA813B" w:rsidR="00E06938" w:rsidRPr="00D91C34" w:rsidRDefault="00E06938" w:rsidP="00E06938">
            <w:pPr>
              <w:pBdr>
                <w:top w:val="single" w:sz="6" w:space="0" w:color="FFFFFF"/>
                <w:left w:val="single" w:sz="6" w:space="0" w:color="FFFFFF"/>
                <w:bottom w:val="single" w:sz="6" w:space="0" w:color="FFFFFF"/>
                <w:right w:val="single" w:sz="6" w:space="0" w:color="FFFFFF"/>
              </w:pBdr>
              <w:spacing w:after="72"/>
            </w:pPr>
            <w:r w:rsidRPr="00E71813">
              <w:t xml:space="preserve">Input, analyze, and maintain data in the </w:t>
            </w:r>
            <w:r w:rsidR="00977511" w:rsidRPr="00D91C34">
              <w:t>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2F5ECF0" w:rsidR="00CA4CD6" w:rsidRPr="00E06938" w:rsidRDefault="00CA4CD6">
      <w:pPr>
        <w:pBdr>
          <w:top w:val="single" w:sz="6" w:space="0" w:color="FFFFFF"/>
          <w:left w:val="single" w:sz="6" w:space="0" w:color="FFFFFF"/>
          <w:bottom w:val="single" w:sz="6" w:space="0" w:color="FFFFFF"/>
          <w:right w:val="single" w:sz="6" w:space="0" w:color="FFFFFF"/>
        </w:pBdr>
        <w:ind w:firstLine="720"/>
      </w:pPr>
      <w:r w:rsidRPr="00E06938">
        <w:t xml:space="preserve">Following notification of startup, the reviewing authority </w:t>
      </w:r>
      <w:r w:rsidR="002B29A7" w:rsidRPr="00E06938">
        <w:t xml:space="preserve">could </w:t>
      </w:r>
      <w:r w:rsidRPr="00E06938">
        <w:t>inspect the source to determine whether the pollution control devices are properly installed and operated.</w:t>
      </w:r>
      <w:r w:rsidR="00E06938" w:rsidRPr="00E06938">
        <w:t xml:space="preserve"> </w:t>
      </w:r>
      <w:r w:rsidRPr="00E06938">
        <w:t>Data and records maintained by the respondents are tabulated and published for use in compliance and enforcement programs.</w:t>
      </w:r>
      <w:r w:rsidR="009C7E97" w:rsidRPr="00E06938">
        <w:t xml:space="preserve"> </w:t>
      </w:r>
      <w:r w:rsidRPr="00E06938">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17FB8D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E06938">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B14B5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E06938">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Pr="00B20702" w:rsidRDefault="00CA4CD6" w:rsidP="006E4A6E">
      <w:pPr>
        <w:pBdr>
          <w:top w:val="single" w:sz="6" w:space="0" w:color="FFFFFF"/>
          <w:left w:val="single" w:sz="6" w:space="0" w:color="FFFFFF"/>
          <w:bottom w:val="single" w:sz="6" w:space="0" w:color="FFFFFF"/>
          <w:right w:val="single" w:sz="6" w:space="0" w:color="FFFFFF"/>
        </w:pBdr>
      </w:pPr>
    </w:p>
    <w:p w14:paraId="3E104D67" w14:textId="2169AECB" w:rsidR="00E06938" w:rsidRPr="00B20702" w:rsidRDefault="002B5AB0" w:rsidP="00B20702">
      <w:pPr>
        <w:pBdr>
          <w:top w:val="single" w:sz="6" w:space="0" w:color="FFFFFF"/>
          <w:left w:val="single" w:sz="6" w:space="0" w:color="FFFFFF"/>
          <w:bottom w:val="single" w:sz="6" w:space="0" w:color="FFFFFF"/>
          <w:right w:val="single" w:sz="6" w:space="0" w:color="FFFFFF"/>
        </w:pBdr>
        <w:ind w:firstLine="720"/>
      </w:pPr>
      <w:r>
        <w:t>The</w:t>
      </w:r>
      <w:r w:rsidR="000A0B2D" w:rsidRPr="00B20702">
        <w:t xml:space="preserv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sidR="00E06938" w:rsidRPr="00B20702">
        <w:t xml:space="preserve">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E636D0C" w:rsidR="00CA4CD6" w:rsidRDefault="00CA4CD6" w:rsidP="00E06938">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2B5AB0">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E06938" w:rsidRPr="007561F5">
        <w:rPr>
          <w:color w:val="000000"/>
        </w:rPr>
        <w:t>NESHAP for the Secondary Lead Smelter Industry (40 CFR Part 63, Subpart X) (Renewal)</w:t>
      </w:r>
      <w:r w:rsidR="00E06938">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F530A3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5BC14D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2B5AB0">
        <w:rPr>
          <w:color w:val="000000"/>
        </w:rPr>
        <w:t>either</w:t>
      </w:r>
      <w:r>
        <w:rPr>
          <w:color w:val="000000"/>
        </w:rPr>
        <w:t xml:space="preserve"> conduct </w:t>
      </w:r>
      <w:r w:rsidR="002B5AB0">
        <w:rPr>
          <w:color w:val="000000"/>
        </w:rPr>
        <w:t>n</w:t>
      </w:r>
      <w:r>
        <w:rPr>
          <w:color w:val="000000"/>
        </w:rPr>
        <w:t xml:space="preserve">or sponsor, and a person is not required to respond to, </w:t>
      </w:r>
      <w:r w:rsidR="002B5AB0">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A2AD351" w14:textId="77777777" w:rsidR="002B5AB0" w:rsidRDefault="002B5AB0"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1136E324" w14:textId="77777777" w:rsidR="002B5AB0" w:rsidRDefault="002B5AB0"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7468EEDE" w14:textId="2A2CBC0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B790E4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AD6754">
        <w:rPr>
          <w:color w:val="000000"/>
        </w:rPr>
        <w:t>21</w:t>
      </w:r>
      <w:r w:rsidR="000A0B2D">
        <w:rPr>
          <w:color w:val="000000"/>
        </w:rPr>
        <w:t>,</w:t>
      </w:r>
      <w:r w:rsidR="001275D1">
        <w:rPr>
          <w:color w:val="000000"/>
        </w:rPr>
        <w:t>7</w:t>
      </w:r>
      <w:r w:rsidR="000A0B2D">
        <w:rPr>
          <w:color w:val="000000"/>
        </w:rPr>
        <w:t>00</w:t>
      </w:r>
      <w:r w:rsidR="004C701D" w:rsidRPr="00013C59">
        <w:t xml:space="preserve"> </w:t>
      </w:r>
      <w:r w:rsidR="002B5AB0">
        <w:t xml:space="preserve">hours </w:t>
      </w:r>
      <w:r w:rsidR="004C701D">
        <w:rPr>
          <w:color w:val="000000"/>
        </w:rPr>
        <w:t>(</w:t>
      </w:r>
      <w:r>
        <w:rPr>
          <w:color w:val="000000"/>
        </w:rPr>
        <w:t>Total Labor Hours from Table 1</w:t>
      </w:r>
      <w:r w:rsidR="002B5AB0">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w:t>
      </w:r>
      <w:r w:rsidR="002B5AB0">
        <w:rPr>
          <w:color w:val="000000"/>
        </w:rPr>
        <w:t>s</w:t>
      </w:r>
      <w:r>
        <w:rPr>
          <w:color w:val="000000"/>
        </w:rPr>
        <w:t xml:space="preserve">, Agency knowledge and experience with </w:t>
      </w:r>
      <w:r w:rsidRPr="00E06938">
        <w:t>the NESHAP program</w:t>
      </w:r>
      <w:r>
        <w:rPr>
          <w:color w:val="000000"/>
        </w:rPr>
        <w:t>, the previously</w:t>
      </w:r>
      <w:r w:rsidR="002B5AB0">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D3E958F"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10EA88D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06CDF094"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EBAEE2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E06938"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C9FB20D" w14:textId="77777777" w:rsidR="00E06938" w:rsidRPr="00013C59" w:rsidRDefault="00E06938">
      <w:pPr>
        <w:pBdr>
          <w:top w:val="single" w:sz="6" w:space="0" w:color="FFFFFF"/>
          <w:left w:val="single" w:sz="6" w:space="0" w:color="FFFFFF"/>
          <w:bottom w:val="single" w:sz="6" w:space="0" w:color="FFFFFF"/>
          <w:right w:val="single" w:sz="6" w:space="0" w:color="FFFFFF"/>
        </w:pBdr>
        <w:ind w:firstLine="720"/>
      </w:pPr>
    </w:p>
    <w:p w14:paraId="4A836547" w14:textId="0EDB07B9" w:rsidR="00CA4CD6" w:rsidRPr="00013C59" w:rsidRDefault="00CA4CD6" w:rsidP="00E06938">
      <w:pPr>
        <w:pBdr>
          <w:top w:val="single" w:sz="6" w:space="0" w:color="FFFFFF"/>
          <w:left w:val="single" w:sz="6" w:space="0" w:color="FFFFFF"/>
          <w:bottom w:val="single" w:sz="6" w:space="0" w:color="FFFFFF"/>
          <w:right w:val="single" w:sz="6" w:space="0" w:color="FFFFFF"/>
        </w:pBdr>
        <w:ind w:firstLine="720"/>
      </w:pPr>
      <w:r w:rsidRPr="00013C59">
        <w:t>The type of industry costs associated with the information collection activities in the subject standard are both labor costs which are addressed elsewhere in this ICR and the costs associated with continuous monitoring.</w:t>
      </w:r>
      <w:r w:rsidR="009C7E97" w:rsidRPr="00013C59">
        <w:t xml:space="preserve"> </w:t>
      </w:r>
      <w:r w:rsidRPr="00013C59">
        <w:t xml:space="preserve">The capital/startup costs are </w:t>
      </w:r>
      <w:r w:rsidR="001414C4" w:rsidRPr="00013C59">
        <w:t>one-time</w:t>
      </w:r>
      <w:r w:rsidRPr="00013C59">
        <w:t xml:space="preserve"> costs when a facility becomes subject to the regulation</w:t>
      </w:r>
      <w:r w:rsidR="002B5AB0">
        <w:t>s</w:t>
      </w:r>
      <w:r w:rsidRPr="00013C59">
        <w:t>.</w:t>
      </w:r>
      <w:r w:rsidR="009C7E97" w:rsidRPr="00013C59">
        <w:t xml:space="preserve"> </w:t>
      </w:r>
      <w:r w:rsidRPr="00013C59">
        <w:t>The annual operation and maintenance costs are the ongoing costs to maintain the monitor(s) and other costs such as photocopying and postage.</w:t>
      </w:r>
    </w:p>
    <w:p w14:paraId="2DD142A4" w14:textId="77777777" w:rsidR="00CA4CD6" w:rsidRPr="00013C59"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60" w:type="dxa"/>
        <w:jc w:val="center"/>
        <w:tblLayout w:type="fixed"/>
        <w:tblCellMar>
          <w:left w:w="111" w:type="dxa"/>
          <w:right w:w="111" w:type="dxa"/>
        </w:tblCellMar>
        <w:tblLook w:val="0000" w:firstRow="0" w:lastRow="0" w:firstColumn="0" w:lastColumn="0" w:noHBand="0" w:noVBand="0"/>
      </w:tblPr>
      <w:tblGrid>
        <w:gridCol w:w="1710"/>
        <w:gridCol w:w="1200"/>
        <w:gridCol w:w="1350"/>
        <w:gridCol w:w="1440"/>
        <w:gridCol w:w="1350"/>
        <w:gridCol w:w="1260"/>
        <w:gridCol w:w="1350"/>
      </w:tblGrid>
      <w:tr w:rsidR="00A73600" w14:paraId="36F2DCEA" w14:textId="77777777" w:rsidTr="00977511">
        <w:trPr>
          <w:tblHeader/>
          <w:jc w:val="center"/>
        </w:trPr>
        <w:tc>
          <w:tcPr>
            <w:tcW w:w="96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977511">
        <w:trPr>
          <w:jc w:val="center"/>
        </w:trPr>
        <w:tc>
          <w:tcPr>
            <w:tcW w:w="171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Default="00CA4CD6" w:rsidP="00977511">
            <w:pPr>
              <w:spacing w:line="120" w:lineRule="exact"/>
              <w:jc w:val="center"/>
              <w:rPr>
                <w:b/>
                <w:bCs/>
                <w:color w:val="000000"/>
              </w:rPr>
            </w:pPr>
          </w:p>
          <w:p w14:paraId="2E634962" w14:textId="77777777" w:rsidR="00CA4CD6" w:rsidRDefault="00CA4CD6" w:rsidP="009775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9775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20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Default="00CA4CD6" w:rsidP="00977511">
            <w:pPr>
              <w:spacing w:line="120" w:lineRule="exact"/>
              <w:jc w:val="center"/>
              <w:rPr>
                <w:color w:val="000000"/>
                <w:sz w:val="20"/>
                <w:szCs w:val="20"/>
              </w:rPr>
            </w:pPr>
          </w:p>
          <w:p w14:paraId="33FE5E98" w14:textId="77777777" w:rsidR="00CA4CD6" w:rsidRDefault="00CA4CD6" w:rsidP="009775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9775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Default="00CA4CD6" w:rsidP="00977511">
            <w:pPr>
              <w:spacing w:line="120" w:lineRule="exact"/>
              <w:jc w:val="center"/>
              <w:rPr>
                <w:color w:val="000000"/>
                <w:sz w:val="20"/>
                <w:szCs w:val="20"/>
              </w:rPr>
            </w:pPr>
          </w:p>
          <w:p w14:paraId="3777DB98" w14:textId="77777777" w:rsidR="00CA4CD6" w:rsidRDefault="00CA4CD6" w:rsidP="009775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07CB398C" w:rsidR="00CA4CD6" w:rsidRDefault="00CA4CD6" w:rsidP="009775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Default="00CA4CD6" w:rsidP="00977511">
            <w:pPr>
              <w:spacing w:line="120" w:lineRule="exact"/>
              <w:jc w:val="center"/>
              <w:rPr>
                <w:color w:val="000000"/>
                <w:sz w:val="20"/>
                <w:szCs w:val="20"/>
              </w:rPr>
            </w:pPr>
          </w:p>
          <w:p w14:paraId="58891F26" w14:textId="77777777" w:rsidR="00CA4CD6" w:rsidRDefault="00CA4CD6" w:rsidP="009775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9775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Default="00CA4CD6" w:rsidP="00977511">
            <w:pPr>
              <w:spacing w:line="120" w:lineRule="exact"/>
              <w:jc w:val="center"/>
              <w:rPr>
                <w:color w:val="000000"/>
                <w:sz w:val="20"/>
                <w:szCs w:val="20"/>
              </w:rPr>
            </w:pPr>
          </w:p>
          <w:p w14:paraId="75AD19E2" w14:textId="77777777" w:rsidR="00CA4CD6" w:rsidRDefault="00CA4CD6" w:rsidP="009775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9775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Default="00CA4CD6" w:rsidP="00977511">
            <w:pPr>
              <w:spacing w:line="120" w:lineRule="exact"/>
              <w:jc w:val="center"/>
              <w:rPr>
                <w:color w:val="000000"/>
                <w:sz w:val="20"/>
                <w:szCs w:val="20"/>
              </w:rPr>
            </w:pPr>
          </w:p>
          <w:p w14:paraId="3B82CC33" w14:textId="77777777" w:rsidR="00CA4CD6" w:rsidRDefault="00CA4CD6" w:rsidP="009775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9775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Default="00CA4CD6" w:rsidP="00977511">
            <w:pPr>
              <w:spacing w:line="120" w:lineRule="exact"/>
              <w:jc w:val="center"/>
              <w:rPr>
                <w:color w:val="000000"/>
                <w:sz w:val="20"/>
                <w:szCs w:val="20"/>
              </w:rPr>
            </w:pPr>
          </w:p>
          <w:p w14:paraId="225E9FBD" w14:textId="77777777" w:rsidR="00CA4CD6" w:rsidRDefault="00CA4CD6" w:rsidP="009775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9775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9775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E06938" w14:paraId="4AA20F59" w14:textId="77777777" w:rsidTr="00977511">
        <w:trPr>
          <w:jc w:val="center"/>
        </w:trPr>
        <w:tc>
          <w:tcPr>
            <w:tcW w:w="1710" w:type="dxa"/>
            <w:tcBorders>
              <w:top w:val="single" w:sz="7" w:space="0" w:color="000000"/>
              <w:left w:val="single" w:sz="7" w:space="0" w:color="000000"/>
              <w:bottom w:val="single" w:sz="6" w:space="0" w:color="FFFFFF"/>
              <w:right w:val="single" w:sz="6" w:space="0" w:color="FFFFFF"/>
            </w:tcBorders>
          </w:tcPr>
          <w:p w14:paraId="644409FC" w14:textId="77777777" w:rsidR="00E06938" w:rsidRPr="002E4AE0" w:rsidRDefault="00E06938" w:rsidP="00E06938">
            <w:pPr>
              <w:spacing w:line="120" w:lineRule="exact"/>
              <w:rPr>
                <w:sz w:val="20"/>
                <w:szCs w:val="20"/>
              </w:rPr>
            </w:pPr>
          </w:p>
          <w:p w14:paraId="2113507C" w14:textId="214004A1" w:rsidR="00E06938" w:rsidRDefault="00E06938" w:rsidP="00E06938">
            <w:pPr>
              <w:pBdr>
                <w:top w:val="single" w:sz="6" w:space="0" w:color="FFFFFF"/>
                <w:left w:val="single" w:sz="6" w:space="0" w:color="FFFFFF"/>
                <w:bottom w:val="single" w:sz="6" w:space="0" w:color="FFFFFF"/>
                <w:right w:val="single" w:sz="6" w:space="0" w:color="FFFFFF"/>
              </w:pBdr>
              <w:rPr>
                <w:color w:val="000000"/>
                <w:sz w:val="20"/>
                <w:szCs w:val="20"/>
              </w:rPr>
            </w:pPr>
            <w:r w:rsidRPr="002E4AE0">
              <w:rPr>
                <w:sz w:val="20"/>
                <w:szCs w:val="20"/>
              </w:rPr>
              <w:t>THC testing</w:t>
            </w:r>
          </w:p>
        </w:tc>
        <w:tc>
          <w:tcPr>
            <w:tcW w:w="1200" w:type="dxa"/>
            <w:tcBorders>
              <w:top w:val="single" w:sz="7" w:space="0" w:color="000000"/>
              <w:left w:val="single" w:sz="7" w:space="0" w:color="000000"/>
              <w:bottom w:val="single" w:sz="6" w:space="0" w:color="FFFFFF"/>
              <w:right w:val="single" w:sz="6" w:space="0" w:color="FFFFFF"/>
            </w:tcBorders>
            <w:vAlign w:val="center"/>
          </w:tcPr>
          <w:p w14:paraId="2FFE6689" w14:textId="77777777" w:rsidR="00E06938" w:rsidRPr="002E4AE0" w:rsidRDefault="00E06938" w:rsidP="00977511">
            <w:pPr>
              <w:spacing w:line="120" w:lineRule="exact"/>
              <w:jc w:val="right"/>
              <w:rPr>
                <w:sz w:val="20"/>
                <w:szCs w:val="20"/>
              </w:rPr>
            </w:pPr>
          </w:p>
          <w:p w14:paraId="061FAA92" w14:textId="4DB06BA3"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041E2C34"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14926E28"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5098AEE6" w14:textId="77777777" w:rsidR="00E06938" w:rsidRPr="002E4AE0" w:rsidRDefault="00E06938" w:rsidP="00977511">
            <w:pPr>
              <w:spacing w:line="120" w:lineRule="exact"/>
              <w:jc w:val="right"/>
              <w:rPr>
                <w:sz w:val="20"/>
                <w:szCs w:val="20"/>
              </w:rPr>
            </w:pPr>
          </w:p>
          <w:p w14:paraId="014C668B" w14:textId="0C7A9A81"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$4,700</w:t>
            </w:r>
          </w:p>
        </w:tc>
        <w:tc>
          <w:tcPr>
            <w:tcW w:w="1260" w:type="dxa"/>
            <w:tcBorders>
              <w:top w:val="single" w:sz="7" w:space="0" w:color="000000"/>
              <w:left w:val="single" w:sz="7" w:space="0" w:color="000000"/>
              <w:bottom w:val="single" w:sz="6" w:space="0" w:color="FFFFFF"/>
              <w:right w:val="single" w:sz="6" w:space="0" w:color="FFFFFF"/>
            </w:tcBorders>
            <w:vAlign w:val="center"/>
          </w:tcPr>
          <w:p w14:paraId="5685FE62" w14:textId="77777777" w:rsidR="00E06938" w:rsidRPr="00361F76" w:rsidRDefault="00E06938" w:rsidP="00977511">
            <w:pPr>
              <w:spacing w:line="120" w:lineRule="exact"/>
              <w:jc w:val="right"/>
              <w:rPr>
                <w:sz w:val="20"/>
                <w:szCs w:val="20"/>
              </w:rPr>
            </w:pPr>
          </w:p>
          <w:p w14:paraId="7704BF82" w14:textId="5F1DED8A" w:rsidR="00E06938" w:rsidRDefault="00276391"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76391">
              <w:rPr>
                <w:sz w:val="20"/>
                <w:szCs w:val="20"/>
              </w:rPr>
              <w:t>12</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5015CA26"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Pr>
                <w:sz w:val="20"/>
                <w:szCs w:val="20"/>
              </w:rPr>
              <w:t>$</w:t>
            </w:r>
            <w:r w:rsidR="0090138F">
              <w:rPr>
                <w:sz w:val="20"/>
                <w:szCs w:val="20"/>
              </w:rPr>
              <w:t>56,400</w:t>
            </w:r>
          </w:p>
        </w:tc>
      </w:tr>
      <w:tr w:rsidR="00E06938" w14:paraId="1A098479" w14:textId="77777777" w:rsidTr="00977511">
        <w:trPr>
          <w:jc w:val="center"/>
        </w:trPr>
        <w:tc>
          <w:tcPr>
            <w:tcW w:w="1710" w:type="dxa"/>
            <w:tcBorders>
              <w:top w:val="single" w:sz="7" w:space="0" w:color="000000"/>
              <w:left w:val="single" w:sz="7" w:space="0" w:color="000000"/>
              <w:bottom w:val="single" w:sz="6" w:space="0" w:color="FFFFFF"/>
              <w:right w:val="single" w:sz="6" w:space="0" w:color="FFFFFF"/>
            </w:tcBorders>
          </w:tcPr>
          <w:p w14:paraId="4E2D0253" w14:textId="77777777" w:rsidR="00E06938" w:rsidRPr="002E4AE0" w:rsidRDefault="00E06938" w:rsidP="00E06938">
            <w:pPr>
              <w:spacing w:line="120" w:lineRule="exact"/>
              <w:rPr>
                <w:sz w:val="20"/>
                <w:szCs w:val="20"/>
              </w:rPr>
            </w:pPr>
          </w:p>
          <w:p w14:paraId="4601E0EA" w14:textId="29F6F915" w:rsidR="00E06938" w:rsidRDefault="00E06938" w:rsidP="00E06938">
            <w:pPr>
              <w:pBdr>
                <w:top w:val="single" w:sz="6" w:space="0" w:color="FFFFFF"/>
                <w:left w:val="single" w:sz="6" w:space="0" w:color="FFFFFF"/>
                <w:bottom w:val="single" w:sz="6" w:space="0" w:color="FFFFFF"/>
                <w:right w:val="single" w:sz="6" w:space="0" w:color="FFFFFF"/>
              </w:pBdr>
              <w:rPr>
                <w:color w:val="000000"/>
                <w:sz w:val="20"/>
                <w:szCs w:val="20"/>
              </w:rPr>
            </w:pPr>
            <w:r w:rsidRPr="002E4AE0">
              <w:rPr>
                <w:sz w:val="20"/>
                <w:szCs w:val="20"/>
              </w:rPr>
              <w:t>Dioxin/furan testing</w:t>
            </w:r>
            <w:r w:rsidR="005F7793" w:rsidRPr="005F7793">
              <w:rPr>
                <w:sz w:val="20"/>
                <w:szCs w:val="20"/>
                <w:vertAlign w:val="superscript"/>
              </w:rPr>
              <w:t>1</w:t>
            </w:r>
          </w:p>
        </w:tc>
        <w:tc>
          <w:tcPr>
            <w:tcW w:w="1200" w:type="dxa"/>
            <w:tcBorders>
              <w:top w:val="single" w:sz="7" w:space="0" w:color="000000"/>
              <w:left w:val="single" w:sz="7" w:space="0" w:color="000000"/>
              <w:bottom w:val="single" w:sz="6" w:space="0" w:color="FFFFFF"/>
              <w:right w:val="single" w:sz="6" w:space="0" w:color="FFFFFF"/>
            </w:tcBorders>
            <w:vAlign w:val="center"/>
          </w:tcPr>
          <w:p w14:paraId="4D3A0242" w14:textId="77777777" w:rsidR="00E06938" w:rsidRPr="002E4AE0" w:rsidRDefault="00E06938" w:rsidP="00977511">
            <w:pPr>
              <w:spacing w:line="120" w:lineRule="exact"/>
              <w:jc w:val="right"/>
              <w:rPr>
                <w:sz w:val="20"/>
                <w:szCs w:val="20"/>
              </w:rPr>
            </w:pPr>
          </w:p>
          <w:p w14:paraId="13552B0F" w14:textId="45756D2D"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4EA30F6" w14:textId="77777777" w:rsidR="00E06938" w:rsidRPr="002E4AE0" w:rsidRDefault="00E06938" w:rsidP="00977511">
            <w:pPr>
              <w:spacing w:line="120" w:lineRule="exact"/>
              <w:jc w:val="right"/>
              <w:rPr>
                <w:sz w:val="20"/>
                <w:szCs w:val="20"/>
              </w:rPr>
            </w:pPr>
          </w:p>
          <w:p w14:paraId="4A19CEED" w14:textId="6765307F"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30025DE4" w14:textId="77777777" w:rsidR="00E06938" w:rsidRPr="002E4AE0" w:rsidRDefault="00E06938" w:rsidP="00977511">
            <w:pPr>
              <w:spacing w:line="120" w:lineRule="exact"/>
              <w:jc w:val="right"/>
              <w:rPr>
                <w:sz w:val="20"/>
                <w:szCs w:val="20"/>
              </w:rPr>
            </w:pPr>
          </w:p>
          <w:p w14:paraId="1767CA2C" w14:textId="65D8C0ED"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76E40C7" w14:textId="77777777" w:rsidR="00E06938" w:rsidRPr="002E4AE0" w:rsidRDefault="00E06938" w:rsidP="00977511">
            <w:pPr>
              <w:spacing w:line="120" w:lineRule="exact"/>
              <w:jc w:val="right"/>
              <w:rPr>
                <w:sz w:val="20"/>
                <w:szCs w:val="20"/>
              </w:rPr>
            </w:pPr>
          </w:p>
          <w:p w14:paraId="06638837" w14:textId="6BB7F5B8"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$19,300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B5A9579" w14:textId="77777777" w:rsidR="00E06938" w:rsidRPr="00361F76" w:rsidRDefault="00E06938" w:rsidP="00977511">
            <w:pPr>
              <w:spacing w:line="120" w:lineRule="exact"/>
              <w:jc w:val="right"/>
              <w:rPr>
                <w:sz w:val="20"/>
                <w:szCs w:val="20"/>
              </w:rPr>
            </w:pPr>
          </w:p>
          <w:p w14:paraId="02B7CA14" w14:textId="52FA10BB" w:rsidR="00E06938" w:rsidRDefault="00276391"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Pr>
                <w:sz w:val="20"/>
                <w:szCs w:val="20"/>
              </w:rPr>
              <w:t>2</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114F9F66"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Pr>
                <w:sz w:val="20"/>
                <w:szCs w:val="20"/>
              </w:rPr>
              <w:t>$</w:t>
            </w:r>
            <w:r w:rsidR="0090138F">
              <w:rPr>
                <w:sz w:val="20"/>
                <w:szCs w:val="20"/>
              </w:rPr>
              <w:t>38,600</w:t>
            </w:r>
          </w:p>
        </w:tc>
      </w:tr>
      <w:tr w:rsidR="00E06938" w14:paraId="2CB39D96" w14:textId="77777777" w:rsidTr="00977511">
        <w:trPr>
          <w:jc w:val="center"/>
        </w:trPr>
        <w:tc>
          <w:tcPr>
            <w:tcW w:w="1710" w:type="dxa"/>
            <w:tcBorders>
              <w:top w:val="single" w:sz="7" w:space="0" w:color="000000"/>
              <w:left w:val="single" w:sz="7" w:space="0" w:color="000000"/>
              <w:bottom w:val="single" w:sz="7" w:space="0" w:color="000000"/>
              <w:right w:val="single" w:sz="6" w:space="0" w:color="FFFFFF"/>
            </w:tcBorders>
          </w:tcPr>
          <w:p w14:paraId="03B64779" w14:textId="77777777" w:rsidR="00E06938" w:rsidRPr="002E4AE0" w:rsidRDefault="00E06938" w:rsidP="00E06938">
            <w:pPr>
              <w:spacing w:line="120" w:lineRule="exact"/>
              <w:rPr>
                <w:sz w:val="20"/>
                <w:szCs w:val="20"/>
              </w:rPr>
            </w:pPr>
          </w:p>
          <w:p w14:paraId="7D8DB0F9" w14:textId="731CE494" w:rsidR="00E06938" w:rsidRDefault="00E06938" w:rsidP="00E06938">
            <w:pPr>
              <w:pBdr>
                <w:top w:val="single" w:sz="6" w:space="0" w:color="FFFFFF"/>
                <w:left w:val="single" w:sz="6" w:space="0" w:color="FFFFFF"/>
                <w:bottom w:val="single" w:sz="6" w:space="0" w:color="FFFFFF"/>
                <w:right w:val="single" w:sz="6" w:space="0" w:color="FFFFFF"/>
              </w:pBdr>
              <w:rPr>
                <w:color w:val="000000"/>
                <w:sz w:val="20"/>
                <w:szCs w:val="20"/>
              </w:rPr>
            </w:pPr>
            <w:r w:rsidRPr="002E4AE0">
              <w:rPr>
                <w:sz w:val="20"/>
                <w:szCs w:val="20"/>
              </w:rPr>
              <w:t>Lead testing</w:t>
            </w:r>
            <w:r w:rsidR="005F7793" w:rsidRPr="005F7793">
              <w:rPr>
                <w:sz w:val="20"/>
                <w:szCs w:val="20"/>
                <w:vertAlign w:val="superscript"/>
              </w:rPr>
              <w:t>2</w:t>
            </w:r>
          </w:p>
        </w:tc>
        <w:tc>
          <w:tcPr>
            <w:tcW w:w="1200" w:type="dxa"/>
            <w:tcBorders>
              <w:top w:val="single" w:sz="7" w:space="0" w:color="000000"/>
              <w:left w:val="single" w:sz="7" w:space="0" w:color="000000"/>
              <w:bottom w:val="single" w:sz="7" w:space="0" w:color="000000"/>
              <w:right w:val="single" w:sz="6" w:space="0" w:color="FFFFFF"/>
            </w:tcBorders>
            <w:vAlign w:val="center"/>
          </w:tcPr>
          <w:p w14:paraId="7DF359F1" w14:textId="77777777" w:rsidR="00E06938" w:rsidRPr="002E4AE0" w:rsidRDefault="00E06938" w:rsidP="00977511">
            <w:pPr>
              <w:spacing w:line="120" w:lineRule="exact"/>
              <w:jc w:val="right"/>
              <w:rPr>
                <w:sz w:val="20"/>
                <w:szCs w:val="20"/>
              </w:rPr>
            </w:pPr>
          </w:p>
          <w:p w14:paraId="755F4F69" w14:textId="7BCE700E"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39ADC372" w14:textId="77777777" w:rsidR="00E06938" w:rsidRPr="002E4AE0" w:rsidRDefault="00E06938" w:rsidP="00977511">
            <w:pPr>
              <w:spacing w:line="120" w:lineRule="exact"/>
              <w:jc w:val="right"/>
              <w:rPr>
                <w:sz w:val="20"/>
                <w:szCs w:val="20"/>
              </w:rPr>
            </w:pPr>
          </w:p>
          <w:p w14:paraId="2F4F9302" w14:textId="5A2FB7B7"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3A7D65F" w14:textId="77777777" w:rsidR="00E06938" w:rsidRPr="002E4AE0" w:rsidRDefault="00E06938" w:rsidP="00977511">
            <w:pPr>
              <w:spacing w:line="120" w:lineRule="exact"/>
              <w:jc w:val="right"/>
              <w:rPr>
                <w:sz w:val="20"/>
                <w:szCs w:val="20"/>
              </w:rPr>
            </w:pPr>
          </w:p>
          <w:p w14:paraId="722A80E4" w14:textId="08D7F420"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FBD1B9B" w14:textId="77777777" w:rsidR="00E06938" w:rsidRPr="002E4AE0" w:rsidRDefault="00E06938" w:rsidP="00977511">
            <w:pPr>
              <w:spacing w:line="120" w:lineRule="exact"/>
              <w:jc w:val="right"/>
              <w:rPr>
                <w:sz w:val="20"/>
                <w:szCs w:val="20"/>
              </w:rPr>
            </w:pPr>
          </w:p>
          <w:p w14:paraId="7EB08C3D" w14:textId="74D8FB0C"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E4AE0">
              <w:rPr>
                <w:sz w:val="20"/>
                <w:szCs w:val="20"/>
              </w:rPr>
              <w:t>$10,000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4323F139" w14:textId="77777777" w:rsidR="00E06938" w:rsidRPr="00361F76" w:rsidRDefault="00E06938" w:rsidP="00977511">
            <w:pPr>
              <w:spacing w:line="120" w:lineRule="exact"/>
              <w:jc w:val="right"/>
              <w:rPr>
                <w:sz w:val="20"/>
                <w:szCs w:val="20"/>
              </w:rPr>
            </w:pPr>
          </w:p>
          <w:p w14:paraId="0088D553" w14:textId="3A421952" w:rsidR="00E06938" w:rsidRDefault="00276391" w:rsidP="00977511">
            <w:pPr>
              <w:pBdr>
                <w:top w:val="single" w:sz="6" w:space="0" w:color="FFFFFF"/>
                <w:left w:val="single" w:sz="6" w:space="0" w:color="FFFFFF"/>
                <w:bottom w:val="single" w:sz="6" w:space="0" w:color="FFFFFF"/>
                <w:right w:val="single" w:sz="6" w:space="0" w:color="FFFFFF"/>
              </w:pBdr>
              <w:jc w:val="right"/>
              <w:rPr>
                <w:color w:val="000000"/>
                <w:sz w:val="20"/>
                <w:szCs w:val="20"/>
              </w:rPr>
            </w:pPr>
            <w:r w:rsidRPr="00276391">
              <w:rPr>
                <w:sz w:val="20"/>
                <w:szCs w:val="20"/>
              </w:rPr>
              <w:t>6</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02B4646E" w:rsidR="00E06938" w:rsidRDefault="00E06938" w:rsidP="00977511">
            <w:pPr>
              <w:pBdr>
                <w:top w:val="single" w:sz="6" w:space="0" w:color="FFFFFF"/>
                <w:left w:val="single" w:sz="6" w:space="0" w:color="FFFFFF"/>
                <w:bottom w:val="single" w:sz="6" w:space="0" w:color="FFFFFF"/>
                <w:right w:val="single" w:sz="6" w:space="0" w:color="FFFFFF"/>
              </w:pBdr>
              <w:jc w:val="right"/>
              <w:rPr>
                <w:color w:val="000000"/>
              </w:rPr>
            </w:pPr>
            <w:r>
              <w:rPr>
                <w:sz w:val="20"/>
                <w:szCs w:val="20"/>
              </w:rPr>
              <w:t>$</w:t>
            </w:r>
            <w:r w:rsidR="0090138F">
              <w:rPr>
                <w:sz w:val="20"/>
                <w:szCs w:val="20"/>
              </w:rPr>
              <w:t>6</w:t>
            </w:r>
            <w:r>
              <w:rPr>
                <w:sz w:val="20"/>
                <w:szCs w:val="20"/>
              </w:rPr>
              <w:t>0,000</w:t>
            </w:r>
          </w:p>
        </w:tc>
      </w:tr>
      <w:tr w:rsidR="00E06938" w14:paraId="3F8F287E" w14:textId="77777777" w:rsidTr="00977511">
        <w:trPr>
          <w:jc w:val="center"/>
        </w:trPr>
        <w:tc>
          <w:tcPr>
            <w:tcW w:w="1710" w:type="dxa"/>
            <w:tcBorders>
              <w:top w:val="single" w:sz="7" w:space="0" w:color="000000"/>
              <w:left w:val="single" w:sz="7" w:space="0" w:color="000000"/>
              <w:bottom w:val="single" w:sz="7" w:space="0" w:color="000000"/>
              <w:right w:val="single" w:sz="6" w:space="0" w:color="FFFFFF"/>
            </w:tcBorders>
          </w:tcPr>
          <w:p w14:paraId="18F445C6" w14:textId="02F1D393" w:rsidR="00E06938" w:rsidRPr="002E4AE0" w:rsidRDefault="00E06938" w:rsidP="00E06938">
            <w:pPr>
              <w:rPr>
                <w:sz w:val="20"/>
                <w:szCs w:val="20"/>
              </w:rPr>
            </w:pPr>
            <w:r>
              <w:rPr>
                <w:sz w:val="20"/>
                <w:szCs w:val="20"/>
              </w:rPr>
              <w:t xml:space="preserve">Continuous particulate monitor </w:t>
            </w:r>
            <w:r w:rsidR="005F7793">
              <w:rPr>
                <w:sz w:val="20"/>
                <w:szCs w:val="20"/>
                <w:vertAlign w:val="superscript"/>
              </w:rPr>
              <w:t>3</w:t>
            </w:r>
          </w:p>
        </w:tc>
        <w:tc>
          <w:tcPr>
            <w:tcW w:w="1200" w:type="dxa"/>
            <w:tcBorders>
              <w:top w:val="single" w:sz="7" w:space="0" w:color="000000"/>
              <w:left w:val="single" w:sz="7" w:space="0" w:color="000000"/>
              <w:bottom w:val="single" w:sz="7" w:space="0" w:color="000000"/>
              <w:right w:val="single" w:sz="6" w:space="0" w:color="FFFFFF"/>
            </w:tcBorders>
            <w:vAlign w:val="center"/>
          </w:tcPr>
          <w:p w14:paraId="39A696C2" w14:textId="77777777" w:rsidR="00E06938" w:rsidRPr="002E4AE0" w:rsidRDefault="00E06938" w:rsidP="00977511">
            <w:pPr>
              <w:keepNext/>
              <w:keepLines/>
              <w:jc w:val="right"/>
              <w:rPr>
                <w:sz w:val="20"/>
                <w:szCs w:val="20"/>
              </w:rPr>
            </w:pPr>
          </w:p>
          <w:p w14:paraId="6E256C35" w14:textId="46F2509D" w:rsidR="00E06938" w:rsidRPr="002E4AE0" w:rsidRDefault="00E06938" w:rsidP="00977511">
            <w:pPr>
              <w:jc w:val="right"/>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90B8375" w14:textId="77777777" w:rsidR="00E06938" w:rsidRPr="002E4AE0" w:rsidRDefault="00E06938" w:rsidP="00977511">
            <w:pPr>
              <w:keepNext/>
              <w:keepLines/>
              <w:jc w:val="right"/>
              <w:rPr>
                <w:sz w:val="20"/>
                <w:szCs w:val="20"/>
              </w:rPr>
            </w:pPr>
          </w:p>
          <w:p w14:paraId="2CB51EB2" w14:textId="29BEF2FA" w:rsidR="00E06938" w:rsidRPr="002E4AE0" w:rsidRDefault="00E06938" w:rsidP="00977511">
            <w:pPr>
              <w:jc w:val="right"/>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1D7C21A3" w14:textId="77777777" w:rsidR="00E06938" w:rsidRPr="002E4AE0" w:rsidRDefault="00E06938" w:rsidP="00977511">
            <w:pPr>
              <w:keepNext/>
              <w:keepLines/>
              <w:jc w:val="right"/>
              <w:rPr>
                <w:sz w:val="20"/>
                <w:szCs w:val="20"/>
              </w:rPr>
            </w:pPr>
          </w:p>
          <w:p w14:paraId="3B676CCE" w14:textId="3E232243" w:rsidR="00E06938" w:rsidRPr="002E4AE0" w:rsidRDefault="00E06938" w:rsidP="00977511">
            <w:pPr>
              <w:jc w:val="right"/>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4E63915" w14:textId="77777777" w:rsidR="00E06938" w:rsidRPr="002E4AE0" w:rsidRDefault="00E06938" w:rsidP="00977511">
            <w:pPr>
              <w:keepNext/>
              <w:keepLines/>
              <w:jc w:val="right"/>
              <w:rPr>
                <w:sz w:val="20"/>
                <w:szCs w:val="20"/>
              </w:rPr>
            </w:pPr>
          </w:p>
          <w:p w14:paraId="09C5E205" w14:textId="6F28C52D" w:rsidR="00E06938" w:rsidRPr="002E4AE0" w:rsidRDefault="00E06938" w:rsidP="00977511">
            <w:pPr>
              <w:jc w:val="right"/>
              <w:rPr>
                <w:sz w:val="20"/>
                <w:szCs w:val="20"/>
              </w:rPr>
            </w:pPr>
            <w:r>
              <w:rPr>
                <w:sz w:val="20"/>
                <w:szCs w:val="20"/>
              </w:rPr>
              <w:t>$7,500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A21346E" w14:textId="77777777" w:rsidR="00E06938" w:rsidRPr="00361F76" w:rsidRDefault="00E06938" w:rsidP="00977511">
            <w:pPr>
              <w:keepNext/>
              <w:keepLines/>
              <w:jc w:val="right"/>
              <w:rPr>
                <w:sz w:val="20"/>
                <w:szCs w:val="20"/>
              </w:rPr>
            </w:pPr>
          </w:p>
          <w:p w14:paraId="077CA2BA" w14:textId="72847E49" w:rsidR="00E06938" w:rsidRPr="00361F76" w:rsidRDefault="00276391" w:rsidP="00977511">
            <w:pPr>
              <w:jc w:val="right"/>
              <w:rPr>
                <w:sz w:val="20"/>
                <w:szCs w:val="20"/>
              </w:rPr>
            </w:pPr>
            <w:r>
              <w:rPr>
                <w:sz w:val="20"/>
                <w:szCs w:val="20"/>
              </w:rPr>
              <w:t>12</w:t>
            </w:r>
          </w:p>
        </w:tc>
        <w:tc>
          <w:tcPr>
            <w:tcW w:w="1350" w:type="dxa"/>
            <w:tcBorders>
              <w:top w:val="single" w:sz="7" w:space="0" w:color="000000"/>
              <w:left w:val="single" w:sz="7" w:space="0" w:color="000000"/>
              <w:bottom w:val="single" w:sz="7" w:space="0" w:color="000000"/>
              <w:right w:val="single" w:sz="7" w:space="0" w:color="000000"/>
            </w:tcBorders>
            <w:vAlign w:val="center"/>
          </w:tcPr>
          <w:p w14:paraId="537B62EE" w14:textId="37A2BF45" w:rsidR="00E06938" w:rsidRDefault="00E06938" w:rsidP="00977511">
            <w:pPr>
              <w:pBdr>
                <w:top w:val="single" w:sz="6" w:space="0" w:color="FFFFFF"/>
                <w:left w:val="single" w:sz="6" w:space="0" w:color="FFFFFF"/>
                <w:bottom w:val="single" w:sz="6" w:space="0" w:color="FFFFFF"/>
                <w:right w:val="single" w:sz="6" w:space="0" w:color="FFFFFF"/>
              </w:pBdr>
              <w:jc w:val="right"/>
              <w:rPr>
                <w:sz w:val="20"/>
                <w:szCs w:val="20"/>
              </w:rPr>
            </w:pPr>
            <w:r>
              <w:rPr>
                <w:sz w:val="20"/>
                <w:szCs w:val="20"/>
              </w:rPr>
              <w:t>$</w:t>
            </w:r>
            <w:r w:rsidR="0090138F">
              <w:rPr>
                <w:sz w:val="20"/>
                <w:szCs w:val="20"/>
              </w:rPr>
              <w:t>90</w:t>
            </w:r>
            <w:r>
              <w:rPr>
                <w:sz w:val="20"/>
                <w:szCs w:val="20"/>
              </w:rPr>
              <w:t>,000</w:t>
            </w:r>
          </w:p>
        </w:tc>
      </w:tr>
      <w:tr w:rsidR="00E06938" w14:paraId="70C6186A" w14:textId="77777777" w:rsidTr="00977511">
        <w:trPr>
          <w:trHeight w:val="370"/>
          <w:jc w:val="center"/>
        </w:trPr>
        <w:tc>
          <w:tcPr>
            <w:tcW w:w="1710" w:type="dxa"/>
            <w:tcBorders>
              <w:top w:val="single" w:sz="7" w:space="0" w:color="000000"/>
              <w:left w:val="single" w:sz="7" w:space="0" w:color="000000"/>
              <w:bottom w:val="single" w:sz="7" w:space="0" w:color="000000"/>
              <w:right w:val="single" w:sz="6" w:space="0" w:color="FFFFFF"/>
            </w:tcBorders>
          </w:tcPr>
          <w:p w14:paraId="54E86A60" w14:textId="316A2E94" w:rsidR="00E06938" w:rsidRPr="002E4AE0" w:rsidRDefault="00E06938" w:rsidP="00E06938">
            <w:pPr>
              <w:keepNext/>
              <w:keepLines/>
              <w:rPr>
                <w:sz w:val="20"/>
                <w:szCs w:val="20"/>
              </w:rPr>
            </w:pPr>
            <w:r w:rsidRPr="002E4AE0">
              <w:rPr>
                <w:sz w:val="20"/>
                <w:szCs w:val="20"/>
              </w:rPr>
              <w:t>Differential pressure monitor</w:t>
            </w:r>
            <w:r w:rsidR="005F7793">
              <w:rPr>
                <w:sz w:val="20"/>
                <w:szCs w:val="20"/>
              </w:rPr>
              <w:t xml:space="preserve"> </w:t>
            </w:r>
            <w:r w:rsidR="005F7793" w:rsidRPr="005F7793">
              <w:rPr>
                <w:sz w:val="20"/>
                <w:szCs w:val="20"/>
                <w:vertAlign w:val="superscript"/>
              </w:rPr>
              <w:t>4</w:t>
            </w:r>
          </w:p>
        </w:tc>
        <w:tc>
          <w:tcPr>
            <w:tcW w:w="1200" w:type="dxa"/>
            <w:tcBorders>
              <w:top w:val="single" w:sz="7" w:space="0" w:color="000000"/>
              <w:left w:val="single" w:sz="7" w:space="0" w:color="000000"/>
              <w:bottom w:val="single" w:sz="7" w:space="0" w:color="000000"/>
              <w:right w:val="single" w:sz="6" w:space="0" w:color="FFFFFF"/>
            </w:tcBorders>
            <w:vAlign w:val="center"/>
          </w:tcPr>
          <w:p w14:paraId="442232C1" w14:textId="77777777" w:rsidR="00E06938" w:rsidRPr="002E4AE0" w:rsidRDefault="00E06938" w:rsidP="00977511">
            <w:pPr>
              <w:keepNext/>
              <w:keepLines/>
              <w:jc w:val="right"/>
              <w:rPr>
                <w:sz w:val="20"/>
                <w:szCs w:val="20"/>
              </w:rPr>
            </w:pPr>
          </w:p>
          <w:p w14:paraId="7345D291" w14:textId="6F01F50B" w:rsidR="00E06938" w:rsidRPr="002E4AE0" w:rsidRDefault="00E06938" w:rsidP="00977511">
            <w:pPr>
              <w:keepNext/>
              <w:keepLines/>
              <w:jc w:val="right"/>
              <w:rPr>
                <w:sz w:val="20"/>
                <w:szCs w:val="20"/>
              </w:rPr>
            </w:pPr>
            <w:r w:rsidRPr="002E4AE0">
              <w:rPr>
                <w:sz w:val="20"/>
                <w:szCs w:val="20"/>
              </w:rPr>
              <w:t>$2,300</w:t>
            </w:r>
          </w:p>
        </w:tc>
        <w:tc>
          <w:tcPr>
            <w:tcW w:w="1350" w:type="dxa"/>
            <w:tcBorders>
              <w:top w:val="single" w:sz="7" w:space="0" w:color="000000"/>
              <w:left w:val="single" w:sz="7" w:space="0" w:color="000000"/>
              <w:bottom w:val="single" w:sz="7" w:space="0" w:color="000000"/>
              <w:right w:val="single" w:sz="6" w:space="0" w:color="FFFFFF"/>
            </w:tcBorders>
            <w:vAlign w:val="center"/>
          </w:tcPr>
          <w:p w14:paraId="3922AC85" w14:textId="77777777" w:rsidR="00E06938" w:rsidRPr="002E4AE0" w:rsidRDefault="00E06938" w:rsidP="00977511">
            <w:pPr>
              <w:keepNext/>
              <w:keepLines/>
              <w:jc w:val="right"/>
              <w:rPr>
                <w:sz w:val="20"/>
                <w:szCs w:val="20"/>
              </w:rPr>
            </w:pPr>
          </w:p>
          <w:p w14:paraId="58AC01E1" w14:textId="0241382C" w:rsidR="00E06938" w:rsidRPr="002E4AE0" w:rsidRDefault="00E06938" w:rsidP="00977511">
            <w:pPr>
              <w:keepNext/>
              <w:keepLines/>
              <w:jc w:val="right"/>
              <w:rPr>
                <w:sz w:val="20"/>
                <w:szCs w:val="20"/>
              </w:rPr>
            </w:pPr>
            <w:r w:rsidRPr="002E4AE0">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1B1498E6" w14:textId="77777777" w:rsidR="00E06938" w:rsidRPr="002E4AE0" w:rsidRDefault="00E06938" w:rsidP="00977511">
            <w:pPr>
              <w:keepNext/>
              <w:keepLines/>
              <w:jc w:val="right"/>
              <w:rPr>
                <w:sz w:val="20"/>
                <w:szCs w:val="20"/>
              </w:rPr>
            </w:pPr>
          </w:p>
          <w:p w14:paraId="59D102A8" w14:textId="003A69C8" w:rsidR="00E06938" w:rsidRPr="002E4AE0" w:rsidRDefault="00E06938" w:rsidP="00977511">
            <w:pPr>
              <w:keepNext/>
              <w:keepLines/>
              <w:jc w:val="right"/>
              <w:rPr>
                <w:sz w:val="20"/>
                <w:szCs w:val="20"/>
              </w:rPr>
            </w:pPr>
            <w:r w:rsidRPr="002E4AE0">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BF8C6F1" w14:textId="77777777" w:rsidR="00E06938" w:rsidRPr="002E4AE0" w:rsidRDefault="00E06938" w:rsidP="00977511">
            <w:pPr>
              <w:keepNext/>
              <w:keepLines/>
              <w:jc w:val="right"/>
              <w:rPr>
                <w:sz w:val="20"/>
                <w:szCs w:val="20"/>
              </w:rPr>
            </w:pPr>
          </w:p>
          <w:p w14:paraId="425FD2C7" w14:textId="71F4E89C" w:rsidR="00E06938" w:rsidRPr="002E4AE0" w:rsidRDefault="00E06938" w:rsidP="00977511">
            <w:pPr>
              <w:keepNext/>
              <w:keepLines/>
              <w:jc w:val="right"/>
              <w:rPr>
                <w:sz w:val="20"/>
                <w:szCs w:val="20"/>
              </w:rPr>
            </w:pPr>
            <w:r w:rsidRPr="002E4AE0">
              <w:rPr>
                <w:sz w:val="20"/>
                <w:szCs w:val="20"/>
              </w:rPr>
              <w:t>$230</w:t>
            </w:r>
          </w:p>
        </w:tc>
        <w:tc>
          <w:tcPr>
            <w:tcW w:w="1260" w:type="dxa"/>
            <w:tcBorders>
              <w:top w:val="single" w:sz="7" w:space="0" w:color="000000"/>
              <w:left w:val="single" w:sz="7" w:space="0" w:color="000000"/>
              <w:bottom w:val="single" w:sz="7" w:space="0" w:color="000000"/>
              <w:right w:val="single" w:sz="6" w:space="0" w:color="FFFFFF"/>
            </w:tcBorders>
            <w:vAlign w:val="center"/>
          </w:tcPr>
          <w:p w14:paraId="5B8CA7D3" w14:textId="77777777" w:rsidR="00E06938" w:rsidRPr="00361F76" w:rsidRDefault="00E06938" w:rsidP="00977511">
            <w:pPr>
              <w:keepNext/>
              <w:keepLines/>
              <w:jc w:val="right"/>
              <w:rPr>
                <w:sz w:val="20"/>
                <w:szCs w:val="20"/>
              </w:rPr>
            </w:pPr>
          </w:p>
          <w:p w14:paraId="7125FDC6" w14:textId="5B7D55C3" w:rsidR="00E06938" w:rsidRPr="00361F76" w:rsidRDefault="00276391" w:rsidP="00977511">
            <w:pPr>
              <w:keepNext/>
              <w:keepLines/>
              <w:jc w:val="right"/>
              <w:rPr>
                <w:sz w:val="20"/>
                <w:szCs w:val="20"/>
              </w:rPr>
            </w:pPr>
            <w:r>
              <w:rPr>
                <w:sz w:val="20"/>
                <w:szCs w:val="20"/>
              </w:rPr>
              <w:t>24</w:t>
            </w:r>
          </w:p>
        </w:tc>
        <w:tc>
          <w:tcPr>
            <w:tcW w:w="1350" w:type="dxa"/>
            <w:tcBorders>
              <w:top w:val="single" w:sz="7" w:space="0" w:color="000000"/>
              <w:left w:val="single" w:sz="7" w:space="0" w:color="000000"/>
              <w:bottom w:val="single" w:sz="7" w:space="0" w:color="000000"/>
              <w:right w:val="single" w:sz="7" w:space="0" w:color="000000"/>
            </w:tcBorders>
            <w:vAlign w:val="center"/>
          </w:tcPr>
          <w:p w14:paraId="59857AD5" w14:textId="21C9BDCA" w:rsidR="00E06938" w:rsidRDefault="00E06938" w:rsidP="00977511">
            <w:pPr>
              <w:pBdr>
                <w:top w:val="single" w:sz="6" w:space="0" w:color="FFFFFF"/>
                <w:left w:val="single" w:sz="6" w:space="0" w:color="FFFFFF"/>
                <w:bottom w:val="single" w:sz="6" w:space="0" w:color="FFFFFF"/>
                <w:right w:val="single" w:sz="6" w:space="0" w:color="FFFFFF"/>
              </w:pBdr>
              <w:jc w:val="right"/>
              <w:rPr>
                <w:sz w:val="20"/>
                <w:szCs w:val="20"/>
              </w:rPr>
            </w:pPr>
            <w:r>
              <w:rPr>
                <w:sz w:val="20"/>
                <w:szCs w:val="20"/>
              </w:rPr>
              <w:t>$</w:t>
            </w:r>
            <w:r w:rsidR="0090138F">
              <w:rPr>
                <w:sz w:val="20"/>
                <w:szCs w:val="20"/>
              </w:rPr>
              <w:t>5,520</w:t>
            </w:r>
          </w:p>
        </w:tc>
      </w:tr>
      <w:tr w:rsidR="00E06938" w14:paraId="4A8F7C39" w14:textId="77777777" w:rsidTr="00977511">
        <w:trPr>
          <w:jc w:val="center"/>
        </w:trPr>
        <w:tc>
          <w:tcPr>
            <w:tcW w:w="1710" w:type="dxa"/>
            <w:tcBorders>
              <w:top w:val="single" w:sz="7" w:space="0" w:color="000000"/>
              <w:left w:val="single" w:sz="7" w:space="0" w:color="000000"/>
              <w:bottom w:val="single" w:sz="7" w:space="0" w:color="000000"/>
              <w:right w:val="single" w:sz="6" w:space="0" w:color="FFFFFF"/>
            </w:tcBorders>
          </w:tcPr>
          <w:p w14:paraId="627AA2EA" w14:textId="1A5B4EE6" w:rsidR="00E06938" w:rsidRPr="002E4AE0" w:rsidRDefault="00E06938" w:rsidP="00E06938">
            <w:pPr>
              <w:keepNext/>
              <w:keepLines/>
              <w:rPr>
                <w:sz w:val="20"/>
                <w:szCs w:val="20"/>
              </w:rPr>
            </w:pPr>
            <w:r w:rsidRPr="002E4AE0">
              <w:rPr>
                <w:sz w:val="20"/>
                <w:szCs w:val="20"/>
              </w:rPr>
              <w:t>HEPA filter monitor</w:t>
            </w:r>
          </w:p>
        </w:tc>
        <w:tc>
          <w:tcPr>
            <w:tcW w:w="1200" w:type="dxa"/>
            <w:tcBorders>
              <w:top w:val="single" w:sz="7" w:space="0" w:color="000000"/>
              <w:left w:val="single" w:sz="7" w:space="0" w:color="000000"/>
              <w:bottom w:val="single" w:sz="7" w:space="0" w:color="000000"/>
              <w:right w:val="single" w:sz="6" w:space="0" w:color="FFFFFF"/>
            </w:tcBorders>
            <w:vAlign w:val="center"/>
          </w:tcPr>
          <w:p w14:paraId="3BEE8A52" w14:textId="77777777" w:rsidR="00E06938" w:rsidRPr="002E4AE0" w:rsidRDefault="00E06938" w:rsidP="00977511">
            <w:pPr>
              <w:keepNext/>
              <w:keepLines/>
              <w:jc w:val="right"/>
              <w:rPr>
                <w:sz w:val="20"/>
                <w:szCs w:val="20"/>
              </w:rPr>
            </w:pPr>
          </w:p>
          <w:p w14:paraId="15C8D99B" w14:textId="493D518B" w:rsidR="00E06938" w:rsidRPr="002E4AE0" w:rsidRDefault="00E06938" w:rsidP="00977511">
            <w:pPr>
              <w:keepNext/>
              <w:keepLines/>
              <w:jc w:val="right"/>
              <w:rPr>
                <w:sz w:val="20"/>
                <w:szCs w:val="20"/>
              </w:rPr>
            </w:pPr>
            <w:r w:rsidRPr="002E4AE0">
              <w:rPr>
                <w:sz w:val="20"/>
                <w:szCs w:val="20"/>
              </w:rPr>
              <w:t>$32,759</w:t>
            </w:r>
          </w:p>
        </w:tc>
        <w:tc>
          <w:tcPr>
            <w:tcW w:w="1350" w:type="dxa"/>
            <w:tcBorders>
              <w:top w:val="single" w:sz="7" w:space="0" w:color="000000"/>
              <w:left w:val="single" w:sz="7" w:space="0" w:color="000000"/>
              <w:bottom w:val="single" w:sz="7" w:space="0" w:color="000000"/>
              <w:right w:val="single" w:sz="6" w:space="0" w:color="FFFFFF"/>
            </w:tcBorders>
            <w:vAlign w:val="center"/>
          </w:tcPr>
          <w:p w14:paraId="506E0E99" w14:textId="77777777" w:rsidR="00E06938" w:rsidRPr="002E4AE0" w:rsidRDefault="00E06938" w:rsidP="00977511">
            <w:pPr>
              <w:keepNext/>
              <w:keepLines/>
              <w:jc w:val="right"/>
              <w:rPr>
                <w:sz w:val="20"/>
                <w:szCs w:val="20"/>
              </w:rPr>
            </w:pPr>
          </w:p>
          <w:p w14:paraId="5550C6AE" w14:textId="2932D9E7" w:rsidR="00E06938" w:rsidRPr="002E4AE0" w:rsidRDefault="00E06938" w:rsidP="00977511">
            <w:pPr>
              <w:keepNext/>
              <w:keepLines/>
              <w:jc w:val="right"/>
              <w:rPr>
                <w:sz w:val="20"/>
                <w:szCs w:val="20"/>
              </w:rPr>
            </w:pPr>
            <w:r w:rsidRPr="002E4AE0">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1EDE2FFD" w14:textId="77777777" w:rsidR="00E06938" w:rsidRPr="002E4AE0" w:rsidRDefault="00E06938" w:rsidP="00977511">
            <w:pPr>
              <w:keepNext/>
              <w:keepLines/>
              <w:jc w:val="right"/>
              <w:rPr>
                <w:sz w:val="20"/>
                <w:szCs w:val="20"/>
              </w:rPr>
            </w:pPr>
          </w:p>
          <w:p w14:paraId="16E2E3F8" w14:textId="4CE3B1CF" w:rsidR="00E06938" w:rsidRPr="002E4AE0" w:rsidRDefault="00E06938" w:rsidP="00977511">
            <w:pPr>
              <w:keepNext/>
              <w:keepLines/>
              <w:jc w:val="right"/>
              <w:rPr>
                <w:sz w:val="20"/>
                <w:szCs w:val="20"/>
              </w:rPr>
            </w:pPr>
            <w:r w:rsidRPr="002E4AE0">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629352E" w14:textId="77777777" w:rsidR="00E06938" w:rsidRPr="002E4AE0" w:rsidRDefault="00E06938" w:rsidP="00977511">
            <w:pPr>
              <w:keepNext/>
              <w:keepLines/>
              <w:jc w:val="right"/>
              <w:rPr>
                <w:sz w:val="20"/>
                <w:szCs w:val="20"/>
              </w:rPr>
            </w:pPr>
          </w:p>
          <w:p w14:paraId="19506402" w14:textId="05E9FD88" w:rsidR="00E06938" w:rsidRPr="002E4AE0" w:rsidRDefault="00E06938" w:rsidP="00977511">
            <w:pPr>
              <w:keepNext/>
              <w:keepLines/>
              <w:jc w:val="right"/>
              <w:rPr>
                <w:sz w:val="20"/>
                <w:szCs w:val="20"/>
              </w:rPr>
            </w:pPr>
            <w:r w:rsidRPr="002E4AE0">
              <w:rPr>
                <w:sz w:val="20"/>
                <w:szCs w:val="20"/>
              </w:rPr>
              <w:t>$4,665</w:t>
            </w:r>
          </w:p>
        </w:tc>
        <w:tc>
          <w:tcPr>
            <w:tcW w:w="1260" w:type="dxa"/>
            <w:tcBorders>
              <w:top w:val="single" w:sz="7" w:space="0" w:color="000000"/>
              <w:left w:val="single" w:sz="7" w:space="0" w:color="000000"/>
              <w:bottom w:val="single" w:sz="7" w:space="0" w:color="000000"/>
              <w:right w:val="single" w:sz="6" w:space="0" w:color="FFFFFF"/>
            </w:tcBorders>
            <w:vAlign w:val="center"/>
          </w:tcPr>
          <w:p w14:paraId="7CAFF962" w14:textId="77777777" w:rsidR="00E06938" w:rsidRPr="00361F76" w:rsidRDefault="00E06938" w:rsidP="00977511">
            <w:pPr>
              <w:keepNext/>
              <w:keepLines/>
              <w:jc w:val="right"/>
              <w:rPr>
                <w:sz w:val="20"/>
                <w:szCs w:val="20"/>
              </w:rPr>
            </w:pPr>
          </w:p>
          <w:p w14:paraId="3C195C12" w14:textId="05FF2089" w:rsidR="00E06938" w:rsidRPr="00361F76" w:rsidRDefault="00E06938" w:rsidP="00977511">
            <w:pPr>
              <w:keepNext/>
              <w:keepLines/>
              <w:jc w:val="right"/>
              <w:rPr>
                <w:sz w:val="20"/>
                <w:szCs w:val="20"/>
              </w:rPr>
            </w:pPr>
            <w:r w:rsidRPr="00361F76">
              <w:rPr>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33EDF2FC" w14:textId="278FEC08" w:rsidR="00E06938" w:rsidRDefault="00E06938" w:rsidP="00977511">
            <w:pPr>
              <w:pBdr>
                <w:top w:val="single" w:sz="6" w:space="0" w:color="FFFFFF"/>
                <w:left w:val="single" w:sz="6" w:space="0" w:color="FFFFFF"/>
                <w:bottom w:val="single" w:sz="6" w:space="0" w:color="FFFFFF"/>
                <w:right w:val="single" w:sz="6" w:space="0" w:color="FFFFFF"/>
              </w:pBdr>
              <w:jc w:val="right"/>
              <w:rPr>
                <w:sz w:val="20"/>
                <w:szCs w:val="20"/>
              </w:rPr>
            </w:pPr>
            <w:r>
              <w:rPr>
                <w:sz w:val="20"/>
                <w:szCs w:val="20"/>
              </w:rPr>
              <w:t>$0</w:t>
            </w:r>
          </w:p>
        </w:tc>
      </w:tr>
      <w:tr w:rsidR="00E06938" w:rsidRPr="00977511" w14:paraId="6DE09EE4" w14:textId="77777777" w:rsidTr="00977511">
        <w:trPr>
          <w:jc w:val="center"/>
        </w:trPr>
        <w:tc>
          <w:tcPr>
            <w:tcW w:w="1710" w:type="dxa"/>
            <w:tcBorders>
              <w:top w:val="single" w:sz="7" w:space="0" w:color="000000"/>
              <w:left w:val="single" w:sz="7" w:space="0" w:color="000000"/>
              <w:bottom w:val="single" w:sz="7" w:space="0" w:color="000000"/>
              <w:right w:val="single" w:sz="6" w:space="0" w:color="FFFFFF"/>
            </w:tcBorders>
          </w:tcPr>
          <w:p w14:paraId="5BB3C1A1" w14:textId="69F1C1D4" w:rsidR="00E06938" w:rsidRPr="00977511" w:rsidRDefault="00E06938" w:rsidP="00E06938">
            <w:pPr>
              <w:keepNext/>
              <w:keepLines/>
              <w:rPr>
                <w:b/>
                <w:sz w:val="20"/>
                <w:szCs w:val="20"/>
              </w:rPr>
            </w:pPr>
            <w:r w:rsidRPr="00977511">
              <w:rPr>
                <w:b/>
                <w:sz w:val="20"/>
                <w:szCs w:val="20"/>
              </w:rPr>
              <w:t>Total</w:t>
            </w:r>
            <w:r w:rsidR="00977511">
              <w:rPr>
                <w:b/>
                <w:sz w:val="20"/>
                <w:szCs w:val="20"/>
              </w:rPr>
              <w:t xml:space="preserve"> </w:t>
            </w:r>
            <w:r w:rsidR="00977511" w:rsidRPr="00977511">
              <w:rPr>
                <w:b/>
                <w:sz w:val="20"/>
                <w:szCs w:val="20"/>
                <w:vertAlign w:val="superscript"/>
              </w:rPr>
              <w:t>5</w:t>
            </w:r>
          </w:p>
        </w:tc>
        <w:tc>
          <w:tcPr>
            <w:tcW w:w="1200" w:type="dxa"/>
            <w:tcBorders>
              <w:top w:val="single" w:sz="7" w:space="0" w:color="000000"/>
              <w:left w:val="single" w:sz="7" w:space="0" w:color="000000"/>
              <w:bottom w:val="single" w:sz="7" w:space="0" w:color="000000"/>
              <w:right w:val="single" w:sz="6" w:space="0" w:color="FFFFFF"/>
            </w:tcBorders>
            <w:vAlign w:val="center"/>
          </w:tcPr>
          <w:p w14:paraId="1A181ED3" w14:textId="7A08F86A" w:rsidR="00E06938" w:rsidRPr="00977511" w:rsidRDefault="005F7793" w:rsidP="00977511">
            <w:pPr>
              <w:keepNext/>
              <w:keepLines/>
              <w:jc w:val="right"/>
              <w:rPr>
                <w:b/>
                <w:sz w:val="20"/>
                <w:szCs w:val="20"/>
              </w:rPr>
            </w:pPr>
            <w:r w:rsidRPr="00977511">
              <w:rPr>
                <w:b/>
                <w:sz w:val="20"/>
                <w:szCs w:val="20"/>
              </w:rPr>
              <w:t>$35,059</w:t>
            </w:r>
          </w:p>
        </w:tc>
        <w:tc>
          <w:tcPr>
            <w:tcW w:w="1350" w:type="dxa"/>
            <w:tcBorders>
              <w:top w:val="single" w:sz="7" w:space="0" w:color="000000"/>
              <w:left w:val="single" w:sz="7" w:space="0" w:color="000000"/>
              <w:bottom w:val="single" w:sz="7" w:space="0" w:color="000000"/>
              <w:right w:val="single" w:sz="6" w:space="0" w:color="FFFFFF"/>
            </w:tcBorders>
            <w:vAlign w:val="center"/>
          </w:tcPr>
          <w:p w14:paraId="2A633642" w14:textId="77777777" w:rsidR="00E06938" w:rsidRPr="00977511" w:rsidRDefault="00E06938" w:rsidP="00977511">
            <w:pPr>
              <w:keepNext/>
              <w:keepLines/>
              <w:jc w:val="right"/>
              <w:rPr>
                <w:b/>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3B253EE5" w14:textId="4158D5D7" w:rsidR="00E06938" w:rsidRPr="00977511" w:rsidRDefault="00E06938" w:rsidP="00977511">
            <w:pPr>
              <w:keepNext/>
              <w:keepLines/>
              <w:jc w:val="right"/>
              <w:rPr>
                <w:b/>
                <w:sz w:val="20"/>
                <w:szCs w:val="20"/>
              </w:rPr>
            </w:pPr>
            <w:r w:rsidRPr="00977511">
              <w:rPr>
                <w:b/>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EEAA485" w14:textId="179B66A7" w:rsidR="00E06938" w:rsidRPr="00977511" w:rsidRDefault="005F7793" w:rsidP="00977511">
            <w:pPr>
              <w:keepNext/>
              <w:keepLines/>
              <w:jc w:val="right"/>
              <w:rPr>
                <w:b/>
                <w:sz w:val="20"/>
                <w:szCs w:val="20"/>
              </w:rPr>
            </w:pPr>
            <w:r w:rsidRPr="00977511">
              <w:rPr>
                <w:b/>
                <w:sz w:val="20"/>
                <w:szCs w:val="20"/>
              </w:rPr>
              <w:t>$46,395</w:t>
            </w:r>
          </w:p>
        </w:tc>
        <w:tc>
          <w:tcPr>
            <w:tcW w:w="1260" w:type="dxa"/>
            <w:tcBorders>
              <w:top w:val="single" w:sz="7" w:space="0" w:color="000000"/>
              <w:left w:val="single" w:sz="7" w:space="0" w:color="000000"/>
              <w:bottom w:val="single" w:sz="7" w:space="0" w:color="000000"/>
              <w:right w:val="single" w:sz="6" w:space="0" w:color="FFFFFF"/>
            </w:tcBorders>
            <w:vAlign w:val="center"/>
          </w:tcPr>
          <w:p w14:paraId="2AB6472D" w14:textId="77777777" w:rsidR="00E06938" w:rsidRPr="00977511" w:rsidRDefault="00E06938" w:rsidP="00977511">
            <w:pPr>
              <w:keepNext/>
              <w:keepLines/>
              <w:jc w:val="right"/>
              <w:rPr>
                <w:b/>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2DD5606A" w14:textId="2C063306" w:rsidR="00E06938" w:rsidRPr="00977511" w:rsidRDefault="00E06938" w:rsidP="00977511">
            <w:pPr>
              <w:pBdr>
                <w:top w:val="single" w:sz="6" w:space="0" w:color="FFFFFF"/>
                <w:left w:val="single" w:sz="6" w:space="0" w:color="FFFFFF"/>
                <w:bottom w:val="single" w:sz="6" w:space="0" w:color="FFFFFF"/>
                <w:right w:val="single" w:sz="6" w:space="0" w:color="FFFFFF"/>
              </w:pBdr>
              <w:jc w:val="right"/>
              <w:rPr>
                <w:b/>
                <w:sz w:val="20"/>
                <w:szCs w:val="20"/>
              </w:rPr>
            </w:pPr>
            <w:r w:rsidRPr="00977511">
              <w:rPr>
                <w:b/>
                <w:sz w:val="20"/>
                <w:szCs w:val="20"/>
              </w:rPr>
              <w:t>$</w:t>
            </w:r>
            <w:r w:rsidR="0090138F" w:rsidRPr="00977511">
              <w:rPr>
                <w:b/>
                <w:sz w:val="20"/>
                <w:szCs w:val="20"/>
              </w:rPr>
              <w:t>251,000</w:t>
            </w:r>
          </w:p>
        </w:tc>
      </w:tr>
    </w:tbl>
    <w:p w14:paraId="516ED03E" w14:textId="1FD1EDFB" w:rsidR="00E06938" w:rsidRDefault="00E06938" w:rsidP="00E06938">
      <w:pPr>
        <w:pBdr>
          <w:top w:val="single" w:sz="6" w:space="0" w:color="FFFFFF"/>
          <w:left w:val="single" w:sz="6" w:space="0" w:color="FFFFFF"/>
          <w:bottom w:val="single" w:sz="6" w:space="0" w:color="FFFFFF"/>
          <w:right w:val="single" w:sz="6" w:space="0" w:color="FFFFFF"/>
        </w:pBdr>
        <w:ind w:left="90"/>
        <w:rPr>
          <w:color w:val="000000"/>
          <w:sz w:val="20"/>
          <w:szCs w:val="20"/>
        </w:rPr>
      </w:pPr>
      <w:r w:rsidRPr="00026467">
        <w:rPr>
          <w:color w:val="000000"/>
          <w:sz w:val="20"/>
          <w:szCs w:val="20"/>
          <w:vertAlign w:val="superscript"/>
        </w:rPr>
        <w:t>1</w:t>
      </w:r>
      <w:r w:rsidRPr="00026467">
        <w:rPr>
          <w:color w:val="000000"/>
          <w:sz w:val="20"/>
          <w:szCs w:val="20"/>
        </w:rPr>
        <w:t xml:space="preserve"> </w:t>
      </w:r>
      <w:r w:rsidR="0090138F" w:rsidRPr="0090138F">
        <w:rPr>
          <w:color w:val="000000"/>
          <w:sz w:val="20"/>
          <w:szCs w:val="20"/>
        </w:rPr>
        <w:t>Dioxin/Furan testing occurs every 6 years, or 12 facilities/6 years = 2 facilities per year.</w:t>
      </w:r>
    </w:p>
    <w:p w14:paraId="2337AB39" w14:textId="3658875B" w:rsidR="00E06938" w:rsidRDefault="00E06938" w:rsidP="00E06938">
      <w:pPr>
        <w:pBdr>
          <w:top w:val="single" w:sz="6" w:space="0" w:color="FFFFFF"/>
          <w:left w:val="single" w:sz="6" w:space="0" w:color="FFFFFF"/>
          <w:bottom w:val="single" w:sz="6" w:space="0" w:color="FFFFFF"/>
          <w:right w:val="single" w:sz="6" w:space="0" w:color="FFFFFF"/>
        </w:pBdr>
        <w:ind w:left="90"/>
        <w:rPr>
          <w:color w:val="000000"/>
          <w:sz w:val="20"/>
          <w:szCs w:val="20"/>
        </w:rPr>
      </w:pPr>
      <w:r w:rsidRPr="007C0A63">
        <w:rPr>
          <w:color w:val="000000"/>
          <w:sz w:val="20"/>
          <w:szCs w:val="20"/>
          <w:vertAlign w:val="superscript"/>
        </w:rPr>
        <w:t>2</w:t>
      </w:r>
      <w:r w:rsidR="0090138F" w:rsidRPr="0090138F">
        <w:rPr>
          <w:color w:val="000000"/>
          <w:sz w:val="20"/>
          <w:szCs w:val="20"/>
        </w:rPr>
        <w:t xml:space="preserve"> Lead testing is required annually, but there are provisions by which facilities can apply for an extension. This ICR assumes all facilities will apply for an extension to test once every 24 months. 12 facilities/2 years = 6 facilities per year conducting lead testing.</w:t>
      </w:r>
    </w:p>
    <w:p w14:paraId="7F0078BF" w14:textId="7DE967E8" w:rsidR="0090138F" w:rsidRDefault="0090138F" w:rsidP="00E06938">
      <w:pPr>
        <w:pBdr>
          <w:top w:val="single" w:sz="6" w:space="0" w:color="FFFFFF"/>
          <w:left w:val="single" w:sz="6" w:space="0" w:color="FFFFFF"/>
          <w:bottom w:val="single" w:sz="6" w:space="0" w:color="FFFFFF"/>
          <w:right w:val="single" w:sz="6" w:space="0" w:color="FFFFFF"/>
        </w:pBdr>
        <w:ind w:left="90"/>
        <w:rPr>
          <w:color w:val="000000"/>
          <w:sz w:val="20"/>
          <w:szCs w:val="20"/>
        </w:rPr>
      </w:pPr>
      <w:r w:rsidRPr="0090138F">
        <w:rPr>
          <w:color w:val="000000"/>
          <w:sz w:val="20"/>
          <w:szCs w:val="20"/>
          <w:vertAlign w:val="superscript"/>
        </w:rPr>
        <w:t>3.</w:t>
      </w:r>
      <w:r>
        <w:rPr>
          <w:color w:val="000000"/>
          <w:sz w:val="20"/>
          <w:szCs w:val="20"/>
        </w:rPr>
        <w:t xml:space="preserve"> </w:t>
      </w:r>
      <w:r w:rsidRPr="0090138F">
        <w:rPr>
          <w:color w:val="000000"/>
          <w:sz w:val="20"/>
          <w:szCs w:val="20"/>
        </w:rPr>
        <w:t>EPA has assumed that all facilit</w:t>
      </w:r>
      <w:r w:rsidR="00B20702">
        <w:rPr>
          <w:color w:val="000000"/>
          <w:sz w:val="20"/>
          <w:szCs w:val="20"/>
        </w:rPr>
        <w:t>i</w:t>
      </w:r>
      <w:r w:rsidRPr="0090138F">
        <w:rPr>
          <w:color w:val="000000"/>
          <w:sz w:val="20"/>
          <w:szCs w:val="20"/>
        </w:rPr>
        <w:t>es will have CPMs.</w:t>
      </w:r>
    </w:p>
    <w:p w14:paraId="0E633B32" w14:textId="1F391E49" w:rsidR="0090138F" w:rsidRDefault="0090138F" w:rsidP="00E06938">
      <w:pPr>
        <w:pBdr>
          <w:top w:val="single" w:sz="6" w:space="0" w:color="FFFFFF"/>
          <w:left w:val="single" w:sz="6" w:space="0" w:color="FFFFFF"/>
          <w:bottom w:val="single" w:sz="6" w:space="0" w:color="FFFFFF"/>
          <w:right w:val="single" w:sz="6" w:space="0" w:color="FFFFFF"/>
        </w:pBdr>
        <w:ind w:left="90"/>
        <w:rPr>
          <w:color w:val="000000"/>
          <w:sz w:val="20"/>
          <w:szCs w:val="20"/>
        </w:rPr>
      </w:pPr>
      <w:r w:rsidRPr="0090138F">
        <w:rPr>
          <w:color w:val="000000"/>
          <w:sz w:val="20"/>
          <w:szCs w:val="20"/>
          <w:vertAlign w:val="superscript"/>
        </w:rPr>
        <w:t>4.</w:t>
      </w:r>
      <w:r w:rsidRPr="0090138F">
        <w:rPr>
          <w:color w:val="000000"/>
          <w:sz w:val="20"/>
          <w:szCs w:val="20"/>
        </w:rPr>
        <w:t xml:space="preserve"> EPA has assumed that each facility will have two differential pressure monitors.</w:t>
      </w:r>
    </w:p>
    <w:p w14:paraId="6D4BAC03" w14:textId="2B1C07D0" w:rsidR="0090138F" w:rsidRPr="00026467" w:rsidRDefault="0090138F" w:rsidP="00E06938">
      <w:pPr>
        <w:pBdr>
          <w:top w:val="single" w:sz="6" w:space="0" w:color="FFFFFF"/>
          <w:left w:val="single" w:sz="6" w:space="0" w:color="FFFFFF"/>
          <w:bottom w:val="single" w:sz="6" w:space="0" w:color="FFFFFF"/>
          <w:right w:val="single" w:sz="6" w:space="0" w:color="FFFFFF"/>
        </w:pBdr>
        <w:ind w:left="90"/>
        <w:rPr>
          <w:color w:val="000000"/>
          <w:sz w:val="20"/>
          <w:szCs w:val="20"/>
        </w:rPr>
      </w:pPr>
      <w:r w:rsidRPr="0090138F">
        <w:rPr>
          <w:color w:val="000000"/>
          <w:sz w:val="20"/>
          <w:szCs w:val="20"/>
          <w:vertAlign w:val="superscript"/>
        </w:rPr>
        <w:t>5.</w:t>
      </w:r>
      <w:r w:rsidRPr="0090138F">
        <w:rPr>
          <w:color w:val="000000"/>
          <w:sz w:val="20"/>
          <w:szCs w:val="20"/>
        </w:rPr>
        <w:t xml:space="preserve"> Totals have been rounded to 3 significant figures. Figures may not add exactly due to rounding.</w:t>
      </w:r>
    </w:p>
    <w:p w14:paraId="01297E48" w14:textId="1551FC94" w:rsidR="000B2E1C"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ab/>
      </w:r>
    </w:p>
    <w:p w14:paraId="0B40F409" w14:textId="1FE9A3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E06938">
        <w:rPr>
          <w:color w:val="000000"/>
        </w:rPr>
        <w:t>$0.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5D284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0A0B2D">
        <w:rPr>
          <w:color w:val="000000"/>
        </w:rPr>
        <w:t>25</w:t>
      </w:r>
      <w:r w:rsidR="00FB0044">
        <w:rPr>
          <w:color w:val="000000"/>
        </w:rPr>
        <w:t>1</w:t>
      </w:r>
      <w:r w:rsidR="000A0B2D">
        <w:rPr>
          <w:color w:val="000000"/>
        </w:rPr>
        <w:t>,</w:t>
      </w:r>
      <w:r w:rsidR="00FB0044">
        <w:rPr>
          <w:color w:val="000000"/>
        </w:rPr>
        <w:t>00</w:t>
      </w:r>
      <w:r w:rsidR="000A0B2D">
        <w:rPr>
          <w:color w:val="000000"/>
        </w:rPr>
        <w:t>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39AD13F1" w:rsidR="00CA4CD6" w:rsidRDefault="00CA4CD6" w:rsidP="00E0693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0A0B2D">
        <w:rPr>
          <w:color w:val="000000"/>
        </w:rPr>
        <w:t>25</w:t>
      </w:r>
      <w:r w:rsidR="00AD6754">
        <w:rPr>
          <w:color w:val="000000"/>
        </w:rPr>
        <w:t>1</w:t>
      </w:r>
      <w:r w:rsidR="000A0B2D">
        <w:rPr>
          <w:color w:val="000000"/>
        </w:rPr>
        <w:t>,</w:t>
      </w:r>
      <w:r w:rsidR="00AD6754">
        <w:rPr>
          <w:color w:val="000000"/>
        </w:rPr>
        <w:t>000</w:t>
      </w:r>
      <w:r w:rsidR="00E06938">
        <w:rPr>
          <w:color w:val="000000"/>
        </w:rPr>
        <w:t>.</w:t>
      </w:r>
      <w:r w:rsidR="00F33B22">
        <w:rPr>
          <w:color w:val="000000"/>
        </w:rPr>
        <w:t xml:space="preserve"> </w:t>
      </w:r>
      <w:bookmarkStart w:id="2" w:name="_Hlk504383255"/>
      <w:r w:rsidR="00F33B22">
        <w:rPr>
          <w:color w:val="000000"/>
        </w:rPr>
        <w:t>These are recordkeeping costs</w:t>
      </w:r>
      <w:bookmarkEnd w:id="2"/>
      <w:r w:rsidR="00F33B22">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AF371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E06938">
        <w:rPr>
          <w:color w:val="000000"/>
        </w:rPr>
        <w:t>’</w:t>
      </w:r>
      <w:r>
        <w:rPr>
          <w:color w:val="000000"/>
        </w:rPr>
        <w:t>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97C48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013C59">
        <w:rPr>
          <w:color w:val="000000"/>
        </w:rPr>
        <w:t>$</w:t>
      </w:r>
      <w:r w:rsidR="007A3DC4">
        <w:rPr>
          <w:color w:val="000000"/>
        </w:rPr>
        <w:t>45</w:t>
      </w:r>
      <w:r w:rsidR="00C068ED">
        <w:rPr>
          <w:color w:val="000000"/>
        </w:rPr>
        <w:t>,</w:t>
      </w:r>
      <w:r w:rsidR="007A3DC4">
        <w:rPr>
          <w:color w:val="000000"/>
        </w:rPr>
        <w:t>900</w:t>
      </w:r>
      <w:r w:rsidR="00013C59" w:rsidRPr="00013C59">
        <w:t>.</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CBA3F2" w14:textId="77777777" w:rsidR="00AA0D25" w:rsidRPr="00D84340" w:rsidRDefault="00CA4CD6" w:rsidP="00AA0D25">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AA0D25" w:rsidRPr="001D6C82">
        <w:rPr>
          <w:color w:val="000000"/>
        </w:rPr>
        <w:t>NESHAP for the Secondary Lead Smelter Industry (40 CFR Part 63, Subpart X) (Renewal)</w:t>
      </w:r>
      <w:r w:rsidR="00AA0D25" w:rsidRPr="00D84340">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99F798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AA0D25" w:rsidRPr="00AA0D25">
        <w:t>1</w:t>
      </w:r>
      <w:r w:rsidR="00C068ED">
        <w:t>2</w:t>
      </w:r>
      <w:r>
        <w:rPr>
          <w:color w:val="000000"/>
        </w:rPr>
        <w:t xml:space="preserve"> existing respondents will be subject to the</w:t>
      </w:r>
      <w:r w:rsidR="002B5AB0">
        <w:rPr>
          <w:color w:val="000000"/>
        </w:rPr>
        <w:t>se</w:t>
      </w:r>
      <w:r>
        <w:rPr>
          <w:color w:val="000000"/>
        </w:rPr>
        <w:t xml:space="preserve"> standard</w:t>
      </w:r>
      <w:r w:rsidR="002B5AB0">
        <w:rPr>
          <w:color w:val="000000"/>
        </w:rPr>
        <w:t>s</w:t>
      </w:r>
      <w:r>
        <w:rPr>
          <w:color w:val="000000"/>
        </w:rPr>
        <w:t>.</w:t>
      </w:r>
      <w:r w:rsidR="009C7E97">
        <w:rPr>
          <w:color w:val="000000"/>
        </w:rPr>
        <w:t xml:space="preserve"> </w:t>
      </w:r>
      <w:r>
        <w:rPr>
          <w:color w:val="000000"/>
        </w:rPr>
        <w:t xml:space="preserve">It is estimated that </w:t>
      </w:r>
      <w:r w:rsidR="00AA0D25">
        <w:rPr>
          <w:color w:val="000000"/>
        </w:rPr>
        <w:t>no</w:t>
      </w:r>
      <w:r>
        <w:rPr>
          <w:color w:val="000000"/>
        </w:rPr>
        <w:t xml:space="preserve"> additional respondents per year will become subject</w:t>
      </w:r>
      <w:r w:rsidR="002B5AB0">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AA0D25">
        <w:rPr>
          <w:color w:val="000000"/>
        </w:rPr>
        <w:t>1</w:t>
      </w:r>
      <w:r w:rsidR="00C068ED">
        <w:rPr>
          <w:color w:val="000000"/>
        </w:rPr>
        <w:t>2</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0E2538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B5AB0">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35FF1A3"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8D59130"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152D24D"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8C51E7F"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FABE4B5"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688B503"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C71DE77"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F38F633"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3BF5B0D"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EDCC446"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BB8CE13"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0A4D349"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CC8B5CA"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4869191"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A1C715F"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F13D297"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635E4F6"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8FD762B"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AB40501"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3FABC74" w:rsidR="00CA4CD6" w:rsidRDefault="00AA0D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r>
    </w:tbl>
    <w:p w14:paraId="7C547DF5" w14:textId="666E575C" w:rsidR="00CA4CD6" w:rsidRPr="00AA0D25"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35015B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CA4CD6" w:rsidRPr="00AA0D25">
        <w:t xml:space="preserve"> </w:t>
      </w:r>
      <w:r w:rsidR="00AA0D25" w:rsidRPr="00AA0D25">
        <w:t>1</w:t>
      </w:r>
      <w:r w:rsidR="00C068ED">
        <w:t>2</w:t>
      </w:r>
      <w:r w:rsidR="00AA0D25" w:rsidRPr="00AA0D25">
        <w:t>.</w:t>
      </w:r>
      <w:r w:rsidR="00507EC5">
        <w:rPr>
          <w:color w:val="000000"/>
        </w:rPr>
        <w:t xml:space="preserve"> </w:t>
      </w:r>
    </w:p>
    <w:p w14:paraId="6343745F" w14:textId="77777777" w:rsidR="00CA4CD6" w:rsidRDefault="00CA4CD6" w:rsidP="00AA0D25">
      <w:pPr>
        <w:pBdr>
          <w:top w:val="single" w:sz="6" w:space="0" w:color="FFFFFF"/>
          <w:left w:val="single" w:sz="6" w:space="0" w:color="FFFFFF"/>
          <w:bottom w:val="single" w:sz="6" w:space="0" w:color="FFFFFF"/>
          <w:right w:val="single" w:sz="6" w:space="0" w:color="FFFFFF"/>
        </w:pBdr>
        <w:rPr>
          <w:color w:val="000000"/>
        </w:rPr>
      </w:pPr>
    </w:p>
    <w:p w14:paraId="2DD44DAF" w14:textId="78D30108" w:rsidR="00CA4CD6" w:rsidRPr="00AA0D25"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28C8F978"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14:paraId="4117324E" w14:textId="479C379D" w:rsidR="002B5AB0" w:rsidRDefault="002B5AB0">
      <w:pPr>
        <w:pBdr>
          <w:top w:val="single" w:sz="6" w:space="0" w:color="FFFFFF"/>
          <w:left w:val="single" w:sz="6" w:space="0" w:color="FFFFFF"/>
          <w:bottom w:val="single" w:sz="6" w:space="0" w:color="FFFFFF"/>
          <w:right w:val="single" w:sz="6" w:space="0" w:color="FFFFFF"/>
        </w:pBdr>
        <w:jc w:val="center"/>
        <w:rPr>
          <w:color w:val="000000"/>
        </w:rPr>
      </w:pPr>
    </w:p>
    <w:p w14:paraId="4F0E5BCC" w14:textId="4AEE6AFF" w:rsidR="002B5AB0" w:rsidRDefault="002B5AB0">
      <w:pPr>
        <w:pBdr>
          <w:top w:val="single" w:sz="6" w:space="0" w:color="FFFFFF"/>
          <w:left w:val="single" w:sz="6" w:space="0" w:color="FFFFFF"/>
          <w:bottom w:val="single" w:sz="6" w:space="0" w:color="FFFFFF"/>
          <w:right w:val="single" w:sz="6" w:space="0" w:color="FFFFFF"/>
        </w:pBdr>
        <w:jc w:val="center"/>
        <w:rPr>
          <w:color w:val="000000"/>
        </w:rPr>
      </w:pPr>
    </w:p>
    <w:p w14:paraId="378BA4E9" w14:textId="73C6EC49" w:rsidR="002B5AB0" w:rsidRDefault="002B5AB0">
      <w:pPr>
        <w:pBdr>
          <w:top w:val="single" w:sz="6" w:space="0" w:color="FFFFFF"/>
          <w:left w:val="single" w:sz="6" w:space="0" w:color="FFFFFF"/>
          <w:bottom w:val="single" w:sz="6" w:space="0" w:color="FFFFFF"/>
          <w:right w:val="single" w:sz="6" w:space="0" w:color="FFFFFF"/>
        </w:pBdr>
        <w:jc w:val="center"/>
        <w:rPr>
          <w:color w:val="000000"/>
        </w:rPr>
      </w:pPr>
    </w:p>
    <w:p w14:paraId="3163980B" w14:textId="7DC18ACF" w:rsidR="002B5AB0" w:rsidRDefault="002B5AB0">
      <w:pPr>
        <w:pBdr>
          <w:top w:val="single" w:sz="6" w:space="0" w:color="FFFFFF"/>
          <w:left w:val="single" w:sz="6" w:space="0" w:color="FFFFFF"/>
          <w:bottom w:val="single" w:sz="6" w:space="0" w:color="FFFFFF"/>
          <w:right w:val="single" w:sz="6" w:space="0" w:color="FFFFFF"/>
        </w:pBdr>
        <w:jc w:val="center"/>
        <w:rPr>
          <w:color w:val="000000"/>
        </w:rPr>
      </w:pPr>
    </w:p>
    <w:p w14:paraId="04F72F20" w14:textId="2AAEE438" w:rsidR="002B5AB0" w:rsidRDefault="002B5AB0">
      <w:pPr>
        <w:pBdr>
          <w:top w:val="single" w:sz="6" w:space="0" w:color="FFFFFF"/>
          <w:left w:val="single" w:sz="6" w:space="0" w:color="FFFFFF"/>
          <w:bottom w:val="single" w:sz="6" w:space="0" w:color="FFFFFF"/>
          <w:right w:val="single" w:sz="6" w:space="0" w:color="FFFFFF"/>
        </w:pBdr>
        <w:jc w:val="center"/>
        <w:rPr>
          <w:color w:val="000000"/>
        </w:rPr>
      </w:pPr>
    </w:p>
    <w:p w14:paraId="1275EF58" w14:textId="77777777" w:rsidR="002B5AB0" w:rsidRDefault="002B5AB0">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AA0D25">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AA0D25">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A0D25" w14:paraId="16C1203F" w14:textId="77777777" w:rsidTr="005F7793">
        <w:trPr>
          <w:trHeight w:val="366"/>
        </w:trPr>
        <w:tc>
          <w:tcPr>
            <w:tcW w:w="2700" w:type="dxa"/>
          </w:tcPr>
          <w:p w14:paraId="0578B9C8" w14:textId="77777777" w:rsidR="00AA0D25" w:rsidRDefault="00AA0D25" w:rsidP="00AA0D25">
            <w:pPr>
              <w:spacing w:line="120" w:lineRule="exact"/>
              <w:rPr>
                <w:color w:val="000000"/>
                <w:sz w:val="18"/>
                <w:szCs w:val="18"/>
              </w:rPr>
            </w:pPr>
          </w:p>
          <w:p w14:paraId="7DB8FBDE" w14:textId="5AF5C193" w:rsidR="00AA0D25" w:rsidRDefault="0090138F" w:rsidP="00AA0D25">
            <w:pPr>
              <w:pBdr>
                <w:top w:val="single" w:sz="6" w:space="0" w:color="FFFFFF"/>
                <w:left w:val="single" w:sz="6" w:space="0" w:color="FFFFFF"/>
                <w:bottom w:val="single" w:sz="6" w:space="0" w:color="FFFFFF"/>
                <w:right w:val="single" w:sz="6" w:space="0" w:color="FFFFFF"/>
              </w:pBdr>
              <w:rPr>
                <w:color w:val="000000"/>
                <w:sz w:val="18"/>
                <w:szCs w:val="18"/>
              </w:rPr>
            </w:pPr>
            <w:r w:rsidRPr="0090138F">
              <w:rPr>
                <w:color w:val="000000"/>
                <w:sz w:val="18"/>
                <w:szCs w:val="18"/>
              </w:rPr>
              <w:t>Notification of Performance Test</w:t>
            </w:r>
          </w:p>
        </w:tc>
        <w:tc>
          <w:tcPr>
            <w:tcW w:w="1260" w:type="dxa"/>
            <w:vAlign w:val="bottom"/>
          </w:tcPr>
          <w:p w14:paraId="3FC9A5EF" w14:textId="77777777" w:rsidR="00AA0D25" w:rsidRDefault="00AA0D25" w:rsidP="005F7793">
            <w:pPr>
              <w:spacing w:line="120" w:lineRule="exact"/>
              <w:jc w:val="center"/>
              <w:rPr>
                <w:color w:val="000000"/>
                <w:sz w:val="18"/>
                <w:szCs w:val="18"/>
              </w:rPr>
            </w:pPr>
          </w:p>
          <w:p w14:paraId="63308014" w14:textId="499206F6"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c>
          <w:tcPr>
            <w:tcW w:w="1260" w:type="dxa"/>
            <w:vAlign w:val="bottom"/>
          </w:tcPr>
          <w:p w14:paraId="424250CE" w14:textId="77777777" w:rsidR="00AA0D25" w:rsidRDefault="00AA0D25" w:rsidP="005F7793">
            <w:pPr>
              <w:spacing w:line="120" w:lineRule="exact"/>
              <w:jc w:val="center"/>
              <w:rPr>
                <w:color w:val="000000"/>
                <w:sz w:val="18"/>
                <w:szCs w:val="18"/>
              </w:rPr>
            </w:pPr>
          </w:p>
          <w:p w14:paraId="7D6BA6A3" w14:textId="0522B845"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bottom"/>
          </w:tcPr>
          <w:p w14:paraId="2003E2D8" w14:textId="77777777" w:rsidR="00AA0D25" w:rsidRDefault="00AA0D25" w:rsidP="005F7793">
            <w:pPr>
              <w:spacing w:line="120" w:lineRule="exact"/>
              <w:jc w:val="center"/>
              <w:rPr>
                <w:color w:val="000000"/>
                <w:sz w:val="18"/>
                <w:szCs w:val="18"/>
              </w:rPr>
            </w:pPr>
          </w:p>
          <w:p w14:paraId="508145DD" w14:textId="50223FA6"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bottom"/>
          </w:tcPr>
          <w:p w14:paraId="4CF0B293" w14:textId="77777777" w:rsidR="00AA0D25" w:rsidRDefault="00AA0D25" w:rsidP="005F7793">
            <w:pPr>
              <w:spacing w:line="120" w:lineRule="exact"/>
              <w:jc w:val="center"/>
              <w:rPr>
                <w:color w:val="000000"/>
                <w:sz w:val="18"/>
                <w:szCs w:val="18"/>
              </w:rPr>
            </w:pPr>
          </w:p>
          <w:p w14:paraId="70F8E048" w14:textId="46E35569"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C068ED">
              <w:rPr>
                <w:color w:val="000000"/>
                <w:sz w:val="18"/>
                <w:szCs w:val="18"/>
              </w:rPr>
              <w:t>4</w:t>
            </w:r>
          </w:p>
        </w:tc>
      </w:tr>
      <w:tr w:rsidR="00AA0D25" w14:paraId="300564D1" w14:textId="77777777" w:rsidTr="005F7793">
        <w:trPr>
          <w:trHeight w:val="366"/>
        </w:trPr>
        <w:tc>
          <w:tcPr>
            <w:tcW w:w="2700" w:type="dxa"/>
          </w:tcPr>
          <w:p w14:paraId="0D098CA8" w14:textId="77777777" w:rsidR="00AA0D25" w:rsidRDefault="00AA0D25" w:rsidP="00AA0D25">
            <w:pPr>
              <w:spacing w:line="120" w:lineRule="exact"/>
              <w:rPr>
                <w:color w:val="000000"/>
                <w:sz w:val="18"/>
                <w:szCs w:val="18"/>
              </w:rPr>
            </w:pPr>
          </w:p>
          <w:p w14:paraId="0F46E3DF" w14:textId="12E60673" w:rsidR="00AA0D25" w:rsidRDefault="0090138F" w:rsidP="00AA0D25">
            <w:pPr>
              <w:pBdr>
                <w:top w:val="single" w:sz="6" w:space="0" w:color="FFFFFF"/>
                <w:left w:val="single" w:sz="6" w:space="0" w:color="FFFFFF"/>
                <w:bottom w:val="single" w:sz="6" w:space="0" w:color="FFFFFF"/>
                <w:right w:val="single" w:sz="6" w:space="0" w:color="FFFFFF"/>
              </w:pBdr>
              <w:rPr>
                <w:color w:val="000000"/>
                <w:sz w:val="18"/>
                <w:szCs w:val="18"/>
              </w:rPr>
            </w:pPr>
            <w:r w:rsidRPr="0090138F">
              <w:rPr>
                <w:color w:val="000000"/>
                <w:sz w:val="18"/>
                <w:szCs w:val="18"/>
              </w:rPr>
              <w:t>Semiannual compliance report</w:t>
            </w:r>
          </w:p>
        </w:tc>
        <w:tc>
          <w:tcPr>
            <w:tcW w:w="1260" w:type="dxa"/>
            <w:vAlign w:val="bottom"/>
          </w:tcPr>
          <w:p w14:paraId="56CF1870" w14:textId="77777777" w:rsidR="00AA0D25" w:rsidRDefault="00AA0D25" w:rsidP="005F7793">
            <w:pPr>
              <w:spacing w:line="120" w:lineRule="exact"/>
              <w:jc w:val="center"/>
              <w:rPr>
                <w:color w:val="000000"/>
                <w:sz w:val="18"/>
                <w:szCs w:val="18"/>
              </w:rPr>
            </w:pPr>
          </w:p>
          <w:p w14:paraId="06C154FF" w14:textId="5F326A62"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c>
          <w:tcPr>
            <w:tcW w:w="1260" w:type="dxa"/>
            <w:vAlign w:val="bottom"/>
          </w:tcPr>
          <w:p w14:paraId="50681D08" w14:textId="77777777" w:rsidR="00AA0D25" w:rsidRDefault="00AA0D25" w:rsidP="005F7793">
            <w:pPr>
              <w:spacing w:line="120" w:lineRule="exact"/>
              <w:jc w:val="center"/>
              <w:rPr>
                <w:color w:val="000000"/>
                <w:sz w:val="18"/>
                <w:szCs w:val="18"/>
              </w:rPr>
            </w:pPr>
          </w:p>
          <w:p w14:paraId="40F59661" w14:textId="14A1D21A" w:rsidR="00AA0D25" w:rsidRDefault="0090138F"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bottom"/>
          </w:tcPr>
          <w:p w14:paraId="2A9A8AE0" w14:textId="77777777" w:rsidR="00AA0D25" w:rsidRDefault="00AA0D25" w:rsidP="005F7793">
            <w:pPr>
              <w:spacing w:line="120" w:lineRule="exact"/>
              <w:jc w:val="center"/>
              <w:rPr>
                <w:color w:val="000000"/>
                <w:sz w:val="18"/>
                <w:szCs w:val="18"/>
              </w:rPr>
            </w:pPr>
          </w:p>
          <w:p w14:paraId="3E42D994" w14:textId="05CE77B7"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bottom"/>
          </w:tcPr>
          <w:p w14:paraId="5CD34DC4" w14:textId="77777777" w:rsidR="00AA0D25" w:rsidRDefault="00AA0D25" w:rsidP="005F7793">
            <w:pPr>
              <w:spacing w:line="120" w:lineRule="exact"/>
              <w:jc w:val="center"/>
              <w:rPr>
                <w:color w:val="000000"/>
                <w:sz w:val="18"/>
                <w:szCs w:val="18"/>
              </w:rPr>
            </w:pPr>
          </w:p>
          <w:p w14:paraId="4B9F0EBE" w14:textId="00F336B9" w:rsidR="00AA0D25" w:rsidRDefault="0090138F"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r>
      <w:tr w:rsidR="0090138F" w14:paraId="2D1EA391" w14:textId="77777777" w:rsidTr="005F7793">
        <w:trPr>
          <w:trHeight w:val="366"/>
        </w:trPr>
        <w:tc>
          <w:tcPr>
            <w:tcW w:w="2700" w:type="dxa"/>
          </w:tcPr>
          <w:p w14:paraId="17D1F6B5" w14:textId="77777777" w:rsidR="0090138F" w:rsidRDefault="0090138F" w:rsidP="00AA0D25">
            <w:pPr>
              <w:spacing w:line="120" w:lineRule="exact"/>
              <w:rPr>
                <w:color w:val="000000"/>
                <w:sz w:val="18"/>
                <w:szCs w:val="18"/>
              </w:rPr>
            </w:pPr>
          </w:p>
          <w:p w14:paraId="7B5A333A" w14:textId="17B50D75" w:rsidR="0090138F" w:rsidRDefault="0090138F" w:rsidP="0000536F">
            <w:pPr>
              <w:rPr>
                <w:color w:val="000000"/>
                <w:sz w:val="18"/>
                <w:szCs w:val="18"/>
              </w:rPr>
            </w:pPr>
            <w:r w:rsidRPr="0090138F">
              <w:rPr>
                <w:color w:val="000000"/>
                <w:sz w:val="18"/>
                <w:szCs w:val="18"/>
              </w:rPr>
              <w:t>Annual (performance test) report</w:t>
            </w:r>
          </w:p>
        </w:tc>
        <w:tc>
          <w:tcPr>
            <w:tcW w:w="1260" w:type="dxa"/>
            <w:vAlign w:val="bottom"/>
          </w:tcPr>
          <w:p w14:paraId="2A75B5ED" w14:textId="77777777" w:rsidR="0090138F" w:rsidRDefault="0090138F" w:rsidP="005F7793">
            <w:pPr>
              <w:spacing w:line="120" w:lineRule="exact"/>
              <w:jc w:val="center"/>
              <w:rPr>
                <w:color w:val="000000"/>
                <w:sz w:val="18"/>
                <w:szCs w:val="18"/>
              </w:rPr>
            </w:pPr>
          </w:p>
          <w:p w14:paraId="4E6C2338" w14:textId="5AD222BC" w:rsidR="0090138F" w:rsidRDefault="0090138F" w:rsidP="005F7793">
            <w:pPr>
              <w:jc w:val="center"/>
              <w:rPr>
                <w:color w:val="000000"/>
                <w:sz w:val="18"/>
                <w:szCs w:val="18"/>
              </w:rPr>
            </w:pPr>
            <w:r>
              <w:rPr>
                <w:color w:val="000000"/>
                <w:sz w:val="18"/>
                <w:szCs w:val="18"/>
              </w:rPr>
              <w:t>12</w:t>
            </w:r>
          </w:p>
        </w:tc>
        <w:tc>
          <w:tcPr>
            <w:tcW w:w="1260" w:type="dxa"/>
            <w:vAlign w:val="bottom"/>
          </w:tcPr>
          <w:p w14:paraId="3AB1CB5B" w14:textId="77777777" w:rsidR="0090138F" w:rsidRDefault="0090138F" w:rsidP="005F7793">
            <w:pPr>
              <w:spacing w:line="120" w:lineRule="exact"/>
              <w:jc w:val="center"/>
              <w:rPr>
                <w:color w:val="000000"/>
                <w:sz w:val="18"/>
                <w:szCs w:val="18"/>
              </w:rPr>
            </w:pPr>
          </w:p>
          <w:p w14:paraId="258FEB98" w14:textId="0D71EED2" w:rsidR="0090138F" w:rsidRDefault="0090138F" w:rsidP="005F7793">
            <w:pPr>
              <w:jc w:val="center"/>
              <w:rPr>
                <w:color w:val="000000"/>
                <w:sz w:val="18"/>
                <w:szCs w:val="18"/>
              </w:rPr>
            </w:pPr>
            <w:r>
              <w:rPr>
                <w:color w:val="000000"/>
                <w:sz w:val="18"/>
                <w:szCs w:val="18"/>
              </w:rPr>
              <w:t>2</w:t>
            </w:r>
          </w:p>
        </w:tc>
        <w:tc>
          <w:tcPr>
            <w:tcW w:w="1890" w:type="dxa"/>
            <w:vAlign w:val="bottom"/>
          </w:tcPr>
          <w:p w14:paraId="787EF5D0" w14:textId="77777777" w:rsidR="0090138F" w:rsidRDefault="0090138F" w:rsidP="005F7793">
            <w:pPr>
              <w:spacing w:line="120" w:lineRule="exact"/>
              <w:jc w:val="center"/>
              <w:rPr>
                <w:color w:val="000000"/>
                <w:sz w:val="18"/>
                <w:szCs w:val="18"/>
              </w:rPr>
            </w:pPr>
          </w:p>
          <w:p w14:paraId="1D4DEE4D" w14:textId="589C1FDB" w:rsidR="0090138F" w:rsidRDefault="0090138F" w:rsidP="005F7793">
            <w:pPr>
              <w:jc w:val="center"/>
              <w:rPr>
                <w:color w:val="000000"/>
                <w:sz w:val="18"/>
                <w:szCs w:val="18"/>
              </w:rPr>
            </w:pPr>
            <w:r>
              <w:rPr>
                <w:color w:val="000000"/>
                <w:sz w:val="18"/>
                <w:szCs w:val="18"/>
              </w:rPr>
              <w:t>0</w:t>
            </w:r>
          </w:p>
        </w:tc>
        <w:tc>
          <w:tcPr>
            <w:tcW w:w="2070" w:type="dxa"/>
            <w:vAlign w:val="bottom"/>
          </w:tcPr>
          <w:p w14:paraId="186118AF" w14:textId="77777777" w:rsidR="0090138F" w:rsidRDefault="0090138F" w:rsidP="005F7793">
            <w:pPr>
              <w:spacing w:line="120" w:lineRule="exact"/>
              <w:jc w:val="center"/>
              <w:rPr>
                <w:color w:val="000000"/>
                <w:sz w:val="18"/>
                <w:szCs w:val="18"/>
              </w:rPr>
            </w:pPr>
          </w:p>
          <w:p w14:paraId="51BBCFC5" w14:textId="3E4FCAE2" w:rsidR="0090138F" w:rsidRDefault="0090138F" w:rsidP="005F7793">
            <w:pPr>
              <w:jc w:val="center"/>
              <w:rPr>
                <w:color w:val="000000"/>
                <w:sz w:val="18"/>
                <w:szCs w:val="18"/>
              </w:rPr>
            </w:pPr>
            <w:r>
              <w:rPr>
                <w:color w:val="000000"/>
                <w:sz w:val="18"/>
                <w:szCs w:val="18"/>
              </w:rPr>
              <w:t>24</w:t>
            </w:r>
          </w:p>
        </w:tc>
      </w:tr>
      <w:tr w:rsidR="00AA0D25" w14:paraId="4FB1550D" w14:textId="77777777" w:rsidTr="005F7793">
        <w:trPr>
          <w:trHeight w:val="366"/>
        </w:trPr>
        <w:tc>
          <w:tcPr>
            <w:tcW w:w="2700" w:type="dxa"/>
          </w:tcPr>
          <w:p w14:paraId="17500B7C" w14:textId="77777777" w:rsidR="00AA0D25" w:rsidRDefault="00AA0D25" w:rsidP="00AA0D25">
            <w:pPr>
              <w:spacing w:line="120" w:lineRule="exact"/>
              <w:rPr>
                <w:color w:val="000000"/>
                <w:sz w:val="18"/>
                <w:szCs w:val="18"/>
              </w:rPr>
            </w:pPr>
          </w:p>
          <w:p w14:paraId="5387B54C" w14:textId="3DE6AFDC" w:rsidR="00AA0D25" w:rsidRDefault="00AA0D25" w:rsidP="00AA0D25">
            <w:pPr>
              <w:pBdr>
                <w:top w:val="single" w:sz="6" w:space="0" w:color="FFFFFF"/>
                <w:left w:val="single" w:sz="6" w:space="0" w:color="FFFFFF"/>
                <w:bottom w:val="single" w:sz="6" w:space="0" w:color="FFFFFF"/>
                <w:right w:val="single" w:sz="6" w:space="0" w:color="FFFFFF"/>
              </w:pBdr>
              <w:rPr>
                <w:color w:val="000000"/>
                <w:sz w:val="18"/>
                <w:szCs w:val="18"/>
              </w:rPr>
            </w:pPr>
            <w:r w:rsidRPr="00E257CC">
              <w:rPr>
                <w:color w:val="000000"/>
                <w:sz w:val="18"/>
                <w:szCs w:val="18"/>
              </w:rPr>
              <w:t>Differential pressure monitoring</w:t>
            </w:r>
            <w:r w:rsidR="0090138F">
              <w:rPr>
                <w:color w:val="000000"/>
                <w:sz w:val="18"/>
                <w:szCs w:val="18"/>
              </w:rPr>
              <w:t xml:space="preserve"> report</w:t>
            </w:r>
          </w:p>
        </w:tc>
        <w:tc>
          <w:tcPr>
            <w:tcW w:w="1260" w:type="dxa"/>
            <w:vAlign w:val="bottom"/>
          </w:tcPr>
          <w:p w14:paraId="350612C6" w14:textId="77777777" w:rsidR="00AA0D25" w:rsidRDefault="00AA0D25" w:rsidP="005F7793">
            <w:pPr>
              <w:spacing w:line="120" w:lineRule="exact"/>
              <w:jc w:val="center"/>
              <w:rPr>
                <w:color w:val="000000"/>
                <w:sz w:val="18"/>
                <w:szCs w:val="18"/>
              </w:rPr>
            </w:pPr>
          </w:p>
          <w:p w14:paraId="5E226832" w14:textId="7A2EA99E"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c>
          <w:tcPr>
            <w:tcW w:w="1260" w:type="dxa"/>
            <w:vAlign w:val="bottom"/>
          </w:tcPr>
          <w:p w14:paraId="5565BEDB" w14:textId="77777777" w:rsidR="00AA0D25" w:rsidRDefault="00AA0D25" w:rsidP="005F7793">
            <w:pPr>
              <w:spacing w:line="120" w:lineRule="exact"/>
              <w:jc w:val="center"/>
              <w:rPr>
                <w:color w:val="000000"/>
                <w:sz w:val="18"/>
                <w:szCs w:val="18"/>
              </w:rPr>
            </w:pPr>
          </w:p>
          <w:p w14:paraId="61FE4D7C" w14:textId="19756C3A" w:rsidR="00AA0D25" w:rsidRDefault="0090138F"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bottom"/>
          </w:tcPr>
          <w:p w14:paraId="3151044B" w14:textId="77777777" w:rsidR="00AA0D25" w:rsidRDefault="00AA0D25" w:rsidP="005F7793">
            <w:pPr>
              <w:spacing w:line="120" w:lineRule="exact"/>
              <w:jc w:val="center"/>
              <w:rPr>
                <w:color w:val="000000"/>
                <w:sz w:val="18"/>
                <w:szCs w:val="18"/>
              </w:rPr>
            </w:pPr>
          </w:p>
          <w:p w14:paraId="4628B654" w14:textId="0C1E7A01"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bottom"/>
          </w:tcPr>
          <w:p w14:paraId="083B3A27" w14:textId="77777777" w:rsidR="00AA0D25" w:rsidRDefault="00AA0D25" w:rsidP="005F7793">
            <w:pPr>
              <w:spacing w:line="120" w:lineRule="exact"/>
              <w:jc w:val="center"/>
              <w:rPr>
                <w:color w:val="000000"/>
                <w:sz w:val="18"/>
                <w:szCs w:val="18"/>
              </w:rPr>
            </w:pPr>
          </w:p>
          <w:p w14:paraId="2ACB2E06" w14:textId="1CB4EC54"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C068ED">
              <w:rPr>
                <w:color w:val="000000"/>
                <w:sz w:val="18"/>
                <w:szCs w:val="18"/>
              </w:rPr>
              <w:t>2</w:t>
            </w:r>
          </w:p>
        </w:tc>
      </w:tr>
      <w:tr w:rsidR="00AA0D25" w14:paraId="083E1D2F" w14:textId="77777777" w:rsidTr="005F7793">
        <w:trPr>
          <w:trHeight w:val="366"/>
        </w:trPr>
        <w:tc>
          <w:tcPr>
            <w:tcW w:w="2700" w:type="dxa"/>
          </w:tcPr>
          <w:p w14:paraId="2A99B4CD" w14:textId="77777777" w:rsidR="00AA0D25" w:rsidRDefault="00AA0D25" w:rsidP="00AA0D25">
            <w:pPr>
              <w:keepNext/>
              <w:keepLines/>
              <w:spacing w:line="120" w:lineRule="exact"/>
              <w:rPr>
                <w:color w:val="000000"/>
                <w:sz w:val="18"/>
                <w:szCs w:val="18"/>
              </w:rPr>
            </w:pPr>
          </w:p>
          <w:p w14:paraId="0A00E7E9" w14:textId="14F59B8D" w:rsidR="00AA0D25" w:rsidRDefault="0090138F" w:rsidP="00AA0D2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Revised </w:t>
            </w:r>
            <w:r w:rsidR="00AA0D25" w:rsidRPr="00E257CC">
              <w:rPr>
                <w:color w:val="000000"/>
                <w:sz w:val="18"/>
                <w:szCs w:val="18"/>
              </w:rPr>
              <w:t>SOP</w:t>
            </w:r>
          </w:p>
        </w:tc>
        <w:tc>
          <w:tcPr>
            <w:tcW w:w="1260" w:type="dxa"/>
            <w:vAlign w:val="bottom"/>
          </w:tcPr>
          <w:p w14:paraId="27A749B5" w14:textId="77777777" w:rsidR="00AA0D25" w:rsidRDefault="00AA0D25" w:rsidP="005F7793">
            <w:pPr>
              <w:keepNext/>
              <w:keepLines/>
              <w:spacing w:line="120" w:lineRule="exact"/>
              <w:jc w:val="center"/>
              <w:rPr>
                <w:color w:val="000000"/>
                <w:sz w:val="18"/>
                <w:szCs w:val="18"/>
              </w:rPr>
            </w:pPr>
          </w:p>
          <w:p w14:paraId="6D5F816B" w14:textId="523E84A4" w:rsidR="00AA0D25" w:rsidRDefault="0090138F"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bottom"/>
          </w:tcPr>
          <w:p w14:paraId="7C675DBD" w14:textId="77777777" w:rsidR="00AA0D25" w:rsidRDefault="00AA0D25" w:rsidP="005F7793">
            <w:pPr>
              <w:keepNext/>
              <w:keepLines/>
              <w:spacing w:line="120" w:lineRule="exact"/>
              <w:jc w:val="center"/>
              <w:rPr>
                <w:color w:val="000000"/>
                <w:sz w:val="18"/>
                <w:szCs w:val="18"/>
              </w:rPr>
            </w:pPr>
          </w:p>
          <w:p w14:paraId="64FA5AEC" w14:textId="2484235B"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bottom"/>
          </w:tcPr>
          <w:p w14:paraId="7C4D3219" w14:textId="77777777" w:rsidR="00AA0D25" w:rsidRDefault="00AA0D25" w:rsidP="005F7793">
            <w:pPr>
              <w:keepNext/>
              <w:keepLines/>
              <w:spacing w:line="120" w:lineRule="exact"/>
              <w:jc w:val="center"/>
              <w:rPr>
                <w:color w:val="000000"/>
                <w:sz w:val="18"/>
                <w:szCs w:val="18"/>
              </w:rPr>
            </w:pPr>
          </w:p>
          <w:p w14:paraId="67D9124E" w14:textId="3887D355"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bottom"/>
          </w:tcPr>
          <w:p w14:paraId="4DC32D3C" w14:textId="77777777" w:rsidR="00AA0D25" w:rsidRDefault="00AA0D25" w:rsidP="005F7793">
            <w:pPr>
              <w:keepNext/>
              <w:keepLines/>
              <w:spacing w:line="120" w:lineRule="exact"/>
              <w:jc w:val="center"/>
              <w:rPr>
                <w:color w:val="000000"/>
                <w:sz w:val="18"/>
                <w:szCs w:val="18"/>
              </w:rPr>
            </w:pPr>
          </w:p>
          <w:p w14:paraId="526F05CB" w14:textId="76DBE5CC" w:rsidR="00AA0D25" w:rsidRDefault="0090138F"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AA0D25" w14:paraId="4F2DCCF3" w14:textId="77777777" w:rsidTr="005F7793">
        <w:trPr>
          <w:trHeight w:val="366"/>
        </w:trPr>
        <w:tc>
          <w:tcPr>
            <w:tcW w:w="2700" w:type="dxa"/>
          </w:tcPr>
          <w:p w14:paraId="6875DA65" w14:textId="77777777" w:rsidR="00AA0D25" w:rsidRPr="00E257CC" w:rsidRDefault="00AA0D25" w:rsidP="00AA0D25">
            <w:pPr>
              <w:spacing w:line="120" w:lineRule="exact"/>
              <w:rPr>
                <w:sz w:val="18"/>
                <w:szCs w:val="18"/>
              </w:rPr>
            </w:pPr>
          </w:p>
          <w:p w14:paraId="555F6D06" w14:textId="77777777" w:rsidR="00AA0D25" w:rsidRDefault="00AA0D25" w:rsidP="00AA0D25">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bottom"/>
          </w:tcPr>
          <w:p w14:paraId="0C484397" w14:textId="77777777" w:rsidR="00AA0D25" w:rsidRPr="00E257CC" w:rsidRDefault="00AA0D25" w:rsidP="005F7793">
            <w:pPr>
              <w:spacing w:line="120" w:lineRule="exact"/>
              <w:jc w:val="center"/>
              <w:rPr>
                <w:sz w:val="18"/>
                <w:szCs w:val="18"/>
              </w:rPr>
            </w:pPr>
          </w:p>
          <w:p w14:paraId="4B2521A1" w14:textId="77777777"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bottom"/>
          </w:tcPr>
          <w:p w14:paraId="4B55A4BD" w14:textId="77777777" w:rsidR="00AA0D25" w:rsidRPr="00E257CC" w:rsidRDefault="00AA0D25" w:rsidP="005F7793">
            <w:pPr>
              <w:spacing w:line="120" w:lineRule="exact"/>
              <w:jc w:val="center"/>
              <w:rPr>
                <w:sz w:val="18"/>
                <w:szCs w:val="18"/>
              </w:rPr>
            </w:pPr>
          </w:p>
          <w:p w14:paraId="7F4D2A7C" w14:textId="77777777"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bottom"/>
          </w:tcPr>
          <w:p w14:paraId="2F9DB8EF" w14:textId="77777777" w:rsidR="00AA0D25" w:rsidRPr="00E257CC" w:rsidRDefault="00AA0D25" w:rsidP="005F7793">
            <w:pPr>
              <w:spacing w:line="120" w:lineRule="exact"/>
              <w:jc w:val="center"/>
              <w:rPr>
                <w:sz w:val="18"/>
                <w:szCs w:val="18"/>
              </w:rPr>
            </w:pPr>
          </w:p>
          <w:p w14:paraId="643A86F8" w14:textId="50CC6D3C" w:rsidR="00AA0D25" w:rsidRDefault="00AA0D25"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sidRPr="00E257CC">
              <w:rPr>
                <w:sz w:val="18"/>
                <w:szCs w:val="18"/>
              </w:rPr>
              <w:t>Total</w:t>
            </w:r>
          </w:p>
        </w:tc>
        <w:tc>
          <w:tcPr>
            <w:tcW w:w="2070" w:type="dxa"/>
            <w:vAlign w:val="bottom"/>
          </w:tcPr>
          <w:p w14:paraId="4D876A6B" w14:textId="77777777" w:rsidR="00AA0D25" w:rsidRPr="00E257CC" w:rsidRDefault="00AA0D25" w:rsidP="005F7793">
            <w:pPr>
              <w:spacing w:line="120" w:lineRule="exact"/>
              <w:jc w:val="center"/>
              <w:rPr>
                <w:sz w:val="18"/>
                <w:szCs w:val="18"/>
              </w:rPr>
            </w:pPr>
          </w:p>
          <w:p w14:paraId="4A4188E6" w14:textId="43794D1F" w:rsidR="00AA0D25" w:rsidRDefault="00846627" w:rsidP="005F779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85</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3BBED9EF" w:rsidR="00CA4CD6" w:rsidRDefault="00CA4CD6" w:rsidP="00AA0D2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846627">
        <w:t>85</w:t>
      </w:r>
      <w:r w:rsidR="00AA0D25" w:rsidRPr="00C068ED">
        <w:t xml:space="preserve">. </w:t>
      </w:r>
      <w:r w:rsidR="009C7E97" w:rsidRPr="00C068ED">
        <w:t xml:space="preserve"> </w:t>
      </w:r>
    </w:p>
    <w:p w14:paraId="75363B8E" w14:textId="77777777" w:rsidR="00AA0D25" w:rsidRDefault="00AA0D25" w:rsidP="00AA0D25">
      <w:pPr>
        <w:pBdr>
          <w:top w:val="single" w:sz="6" w:space="0" w:color="FFFFFF"/>
          <w:left w:val="single" w:sz="6" w:space="0" w:color="FFFFFF"/>
          <w:bottom w:val="single" w:sz="6" w:space="0" w:color="FFFFFF"/>
          <w:right w:val="single" w:sz="6" w:space="0" w:color="FFFFFF"/>
        </w:pBdr>
        <w:ind w:firstLine="720"/>
        <w:rPr>
          <w:color w:val="000000"/>
        </w:rPr>
      </w:pPr>
    </w:p>
    <w:p w14:paraId="06D73971" w14:textId="2C535E4F" w:rsidR="00AA0D25" w:rsidRDefault="00CA4CD6" w:rsidP="00AA0D2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AA0D25">
        <w:rPr>
          <w:color w:val="000000"/>
        </w:rPr>
        <w:t>$</w:t>
      </w:r>
      <w:r w:rsidR="00AD6754">
        <w:rPr>
          <w:color w:val="000000"/>
        </w:rPr>
        <w:t>2</w:t>
      </w:r>
      <w:r w:rsidR="00FB0044">
        <w:rPr>
          <w:color w:val="000000"/>
        </w:rPr>
        <w:t>,3</w:t>
      </w:r>
      <w:r w:rsidR="001275D1">
        <w:rPr>
          <w:color w:val="000000"/>
        </w:rPr>
        <w:t>8</w:t>
      </w:r>
      <w:r w:rsidR="00FB0044">
        <w:rPr>
          <w:color w:val="000000"/>
        </w:rPr>
        <w:t>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AA0D25" w:rsidRPr="0060052B">
        <w:rPr>
          <w:color w:val="000000"/>
        </w:rPr>
        <w:t>NESHAP for the Secondary Lead Smelter Industry (40 CFR Part 63, Subpart X) (Renewal)</w:t>
      </w:r>
      <w:r w:rsidR="00AA0D25">
        <w:rPr>
          <w:color w:val="000000"/>
        </w:rPr>
        <w:t>.</w:t>
      </w:r>
    </w:p>
    <w:p w14:paraId="7331FDEB" w14:textId="77777777" w:rsidR="00AA0D25" w:rsidRDefault="00AA0D25">
      <w:pPr>
        <w:pBdr>
          <w:top w:val="single" w:sz="6" w:space="0" w:color="FFFFFF"/>
          <w:left w:val="single" w:sz="6" w:space="0" w:color="FFFFFF"/>
          <w:bottom w:val="single" w:sz="6" w:space="0" w:color="FFFFFF"/>
          <w:right w:val="single" w:sz="6" w:space="0" w:color="FFFFFF"/>
        </w:pBdr>
        <w:ind w:firstLine="720"/>
        <w:rPr>
          <w:b/>
          <w:bCs/>
          <w:color w:val="000000"/>
        </w:rPr>
      </w:pPr>
    </w:p>
    <w:p w14:paraId="69F4ADEF" w14:textId="2566C8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274AC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2B5AB0">
        <w:rPr>
          <w:color w:val="000000"/>
        </w:rPr>
        <w:t xml:space="preserve"> below</w:t>
      </w:r>
      <w:r>
        <w:rPr>
          <w:color w:val="000000"/>
        </w:rPr>
        <w:t xml:space="preserve"> in Tables 1 and </w:t>
      </w:r>
      <w:r w:rsidRPr="00C068ED">
        <w:t>2</w:t>
      </w:r>
      <w:r w:rsidR="002B5AB0">
        <w:rPr>
          <w:color w:val="000000"/>
        </w:rPr>
        <w:t>,</w:t>
      </w:r>
      <w:r>
        <w:rPr>
          <w:color w:val="000000"/>
        </w:rPr>
        <w:t xml:space="preserve">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0FC6700"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C068ED">
        <w:t>are</w:t>
      </w:r>
      <w:r w:rsidRPr="00C068ED">
        <w:t xml:space="preserve"> </w:t>
      </w:r>
      <w:r w:rsidR="001275D1">
        <w:t>21,7</w:t>
      </w:r>
      <w:r w:rsidR="00AD6754">
        <w:t>00</w:t>
      </w:r>
      <w:r w:rsidR="002B5AB0">
        <w:t xml:space="preserve"> hours</w:t>
      </w:r>
      <w:r w:rsidR="00C068ED" w:rsidRPr="00C068ED">
        <w:t>.</w:t>
      </w:r>
      <w:r w:rsidR="009C7E97" w:rsidRPr="00C068ED">
        <w:t xml:space="preserve"> </w:t>
      </w:r>
      <w:r>
        <w:rPr>
          <w:color w:val="000000"/>
        </w:rPr>
        <w:t xml:space="preserve">Details regarding these estimates may be found </w:t>
      </w:r>
      <w:r w:rsidR="002B5AB0">
        <w:rPr>
          <w:color w:val="000000"/>
        </w:rPr>
        <w:t xml:space="preserve">below </w:t>
      </w:r>
      <w:r>
        <w:rPr>
          <w:color w:val="000000"/>
        </w:rPr>
        <w:t>in Table 1</w:t>
      </w:r>
      <w:r w:rsidR="002B5AB0">
        <w:rPr>
          <w:color w:val="000000"/>
        </w:rPr>
        <w:t>:</w:t>
      </w:r>
      <w:r w:rsidR="009C7E97">
        <w:rPr>
          <w:color w:val="000000"/>
        </w:rPr>
        <w:t xml:space="preserve"> </w:t>
      </w:r>
      <w:r w:rsidR="00C068ED">
        <w:rPr>
          <w:color w:val="000000"/>
        </w:rPr>
        <w:t xml:space="preserve">Annual Respondent Burden and Cost – </w:t>
      </w:r>
      <w:r w:rsidR="00C068ED" w:rsidRPr="0060052B">
        <w:rPr>
          <w:color w:val="000000"/>
        </w:rPr>
        <w:t>NESHAP for the Secondary Lead Smelter Industry (40 CFR Part 63, Subpart X) (Renewal)</w:t>
      </w:r>
      <w:r w:rsidR="00C068ED">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34CB40E5"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8E49A1">
        <w:t>We assume that burdens for managerial tasks take 5% of the time required for technical tasks</w:t>
      </w:r>
      <w:r w:rsidR="002B5AB0">
        <w:t>,</w:t>
      </w:r>
      <w:r w:rsidRPr="008E49A1">
        <w:t xml:space="preserve"> because the typical tasks for managers are to review and approve reports.</w:t>
      </w:r>
      <w:r w:rsidR="009C7E97" w:rsidRPr="008E49A1">
        <w:t xml:space="preserve"> </w:t>
      </w:r>
      <w:r w:rsidRPr="008E49A1">
        <w:t>Clerical burdens are assumed to take 10% of the time required for technical tasks</w:t>
      </w:r>
      <w:r w:rsidR="002B5AB0">
        <w:t>,</w:t>
      </w:r>
      <w:r w:rsidRPr="008E49A1">
        <w:t xml:space="preserve">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AFFEBF6"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846627">
        <w:rPr>
          <w:color w:val="000000"/>
        </w:rPr>
        <w:t>255</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6A25E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822D07">
        <w:t xml:space="preserve">are </w:t>
      </w:r>
      <w:r w:rsidR="00977511">
        <w:t>$</w:t>
      </w:r>
      <w:r w:rsidR="00FB0044">
        <w:t>251</w:t>
      </w:r>
      <w:r w:rsidR="00C068ED" w:rsidRPr="00822D07">
        <w:t>,</w:t>
      </w:r>
      <w:r w:rsidR="00FB0044">
        <w:t>0</w:t>
      </w:r>
      <w:r w:rsidR="00C068ED" w:rsidRPr="00822D07">
        <w:t>00.</w:t>
      </w:r>
      <w:r w:rsidR="009C7E97" w:rsidRPr="00822D07">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0228BB" w:rsidRDefault="00CA4CD6">
      <w:pPr>
        <w:pBdr>
          <w:top w:val="single" w:sz="6" w:space="0" w:color="FFFFFF"/>
          <w:left w:val="single" w:sz="6" w:space="0" w:color="FFFFFF"/>
          <w:bottom w:val="single" w:sz="6" w:space="0" w:color="FFFFFF"/>
          <w:right w:val="single" w:sz="6" w:space="0" w:color="FFFFFF"/>
        </w:pBdr>
      </w:pPr>
    </w:p>
    <w:p w14:paraId="0955F7A4" w14:textId="42F69717" w:rsidR="00822D07" w:rsidRPr="000228BB" w:rsidRDefault="00CA4CD6" w:rsidP="00822D07">
      <w:pPr>
        <w:pBdr>
          <w:top w:val="single" w:sz="6" w:space="0" w:color="FFFFFF"/>
          <w:left w:val="single" w:sz="6" w:space="0" w:color="FFFFFF"/>
          <w:bottom w:val="single" w:sz="6" w:space="0" w:color="FFFFFF"/>
          <w:right w:val="single" w:sz="6" w:space="0" w:color="FFFFFF"/>
        </w:pBdr>
        <w:ind w:firstLine="720"/>
      </w:pPr>
      <w:r w:rsidRPr="000228BB">
        <w:t xml:space="preserve">The average annual Agency burden and cost over next three years is estimated to be </w:t>
      </w:r>
      <w:r w:rsidR="001275D1">
        <w:t>980</w:t>
      </w:r>
      <w:r w:rsidRPr="000228BB">
        <w:t xml:space="preserve"> labor hours at a cost of </w:t>
      </w:r>
      <w:r w:rsidR="00822D07" w:rsidRPr="000228BB">
        <w:t>$</w:t>
      </w:r>
      <w:r w:rsidR="001275D1">
        <w:t>45</w:t>
      </w:r>
      <w:r w:rsidR="00822D07" w:rsidRPr="000228BB">
        <w:t>,</w:t>
      </w:r>
      <w:r w:rsidR="001275D1">
        <w:t>9</w:t>
      </w:r>
      <w:r w:rsidR="00822D07" w:rsidRPr="000228BB">
        <w:t>00</w:t>
      </w:r>
      <w:r w:rsidR="002B5AB0">
        <w:t>; s</w:t>
      </w:r>
      <w:r w:rsidR="00144F35" w:rsidRPr="000228BB">
        <w:t xml:space="preserve">ee </w:t>
      </w:r>
      <w:r w:rsidR="002B5AB0">
        <w:t xml:space="preserve">below in </w:t>
      </w:r>
      <w:r w:rsidR="00144F35" w:rsidRPr="000228BB">
        <w:t xml:space="preserve">Table 2: </w:t>
      </w:r>
      <w:r w:rsidR="00CF2B37" w:rsidRPr="000228BB">
        <w:t>Average Annual EPA Burden and Cost –</w:t>
      </w:r>
      <w:r w:rsidR="00144F35" w:rsidRPr="000228BB">
        <w:t xml:space="preserve"> </w:t>
      </w:r>
      <w:r w:rsidR="00822D07" w:rsidRPr="000228BB">
        <w:t>NESHAP for the Secondary Lead Smelter Industry (40 CFR Part 63, Subpart X) (Renewal).</w:t>
      </w:r>
    </w:p>
    <w:p w14:paraId="47DC86B1" w14:textId="3FA07284" w:rsidR="0049327D" w:rsidRPr="000228BB"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244E57D5" w:rsidR="0049327D" w:rsidRPr="000228BB" w:rsidRDefault="0049327D" w:rsidP="00144F35">
      <w:pPr>
        <w:pBdr>
          <w:top w:val="single" w:sz="6" w:space="0" w:color="FFFFFF"/>
          <w:left w:val="single" w:sz="6" w:space="0" w:color="FFFFFF"/>
          <w:bottom w:val="single" w:sz="6" w:space="0" w:color="FFFFFF"/>
          <w:right w:val="single" w:sz="6" w:space="0" w:color="FFFFFF"/>
        </w:pBdr>
        <w:ind w:firstLine="720"/>
      </w:pPr>
      <w:r w:rsidRPr="000228BB">
        <w:t>We assume that burdens for managerial tasks take 5% of the time required for technical tasks because the typical tasks for managers are to review and approve reports.</w:t>
      </w:r>
      <w:r w:rsidR="009C7E97" w:rsidRPr="000228BB">
        <w:t xml:space="preserve"> </w:t>
      </w:r>
      <w:r w:rsidRPr="000228BB">
        <w:t>Clerical burdens are assumed to take 10% of the time required for technical tasks</w:t>
      </w:r>
      <w:r w:rsidR="002B5AB0">
        <w:t>,</w:t>
      </w:r>
      <w:r w:rsidRPr="000228BB">
        <w:t xml:space="preserve"> because the typical duties of clerical staff are to proofread the reports, make copies and maintain records.</w:t>
      </w:r>
    </w:p>
    <w:p w14:paraId="7BFC7AF7" w14:textId="77777777" w:rsidR="00CA4CD6" w:rsidRPr="000228BB"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0228BB" w:rsidRDefault="00CA4CD6">
      <w:pPr>
        <w:pBdr>
          <w:top w:val="single" w:sz="6" w:space="0" w:color="FFFFFF"/>
          <w:left w:val="single" w:sz="6" w:space="0" w:color="FFFFFF"/>
          <w:bottom w:val="single" w:sz="6" w:space="0" w:color="FFFFFF"/>
          <w:right w:val="single" w:sz="6" w:space="0" w:color="FFFFFF"/>
        </w:pBdr>
        <w:ind w:firstLine="720"/>
      </w:pPr>
      <w:r w:rsidRPr="000228BB">
        <w:rPr>
          <w:b/>
          <w:bCs/>
        </w:rPr>
        <w:t>6(f)</w:t>
      </w:r>
      <w:r w:rsidR="009C7E97" w:rsidRPr="000228BB">
        <w:rPr>
          <w:b/>
          <w:bCs/>
        </w:rPr>
        <w:t xml:space="preserve"> </w:t>
      </w:r>
      <w:r w:rsidRPr="000228BB">
        <w:rPr>
          <w:b/>
          <w:bCs/>
        </w:rPr>
        <w:t>Reasons for Change in Burden</w:t>
      </w:r>
    </w:p>
    <w:p w14:paraId="2CC29317" w14:textId="77777777" w:rsidR="00CA4CD6" w:rsidRPr="00822D07" w:rsidRDefault="00CA4CD6">
      <w:pPr>
        <w:pBdr>
          <w:top w:val="single" w:sz="6" w:space="0" w:color="FFFFFF"/>
          <w:left w:val="single" w:sz="6" w:space="0" w:color="FFFFFF"/>
          <w:bottom w:val="single" w:sz="6" w:space="0" w:color="FFFFFF"/>
          <w:right w:val="single" w:sz="6" w:space="0" w:color="FFFFFF"/>
        </w:pBdr>
      </w:pPr>
    </w:p>
    <w:p w14:paraId="490DB2B0" w14:textId="090F3848" w:rsidR="00AD6754" w:rsidRDefault="00AD6754" w:rsidP="00822D07">
      <w:pPr>
        <w:pBdr>
          <w:top w:val="single" w:sz="6" w:space="0" w:color="FFFFFF"/>
          <w:left w:val="single" w:sz="6" w:space="0" w:color="FFFFFF"/>
          <w:bottom w:val="single" w:sz="6" w:space="0" w:color="FFFFFF"/>
          <w:right w:val="single" w:sz="6" w:space="0" w:color="FFFFFF"/>
        </w:pBdr>
        <w:ind w:firstLine="720"/>
      </w:pPr>
      <w:bookmarkStart w:id="3" w:name="_Hlk504394122"/>
      <w:r>
        <w:t>There is an increase in the total estimated burden and the number of responses from the most</w:t>
      </w:r>
      <w:r w:rsidR="002B5AB0">
        <w:t>-</w:t>
      </w:r>
      <w:r>
        <w:t>recently approved ICR due to several adjustments.</w:t>
      </w:r>
      <w:r w:rsidR="001275D1">
        <w:t xml:space="preserve"> </w:t>
      </w:r>
      <w:r w:rsidR="00846627">
        <w:t>First, the</w:t>
      </w:r>
      <w:r w:rsidR="001275D1">
        <w:t xml:space="preserve"> overall number of sources went down from 14 to 12 since the previous renewal</w:t>
      </w:r>
      <w:r w:rsidR="00846627">
        <w:t xml:space="preserve">. Second, </w:t>
      </w:r>
      <w:r w:rsidR="001275D1">
        <w:t xml:space="preserve">there were several missing burden line items and </w:t>
      </w:r>
      <w:r w:rsidR="00977511">
        <w:t xml:space="preserve">inaccurate </w:t>
      </w:r>
      <w:r w:rsidR="001275D1">
        <w:t xml:space="preserve">assumptions that were corrected since the previous renewal. </w:t>
      </w:r>
      <w:r w:rsidR="00846627">
        <w:t xml:space="preserve">For example, the noted frequencies for inspections at the facilities were changed from annual to either monthly or weekly, which is consistent with the rule language. In addition, the previous renewal had not accounted for any burden for dioxin/furan testing since that burden occurs every six years. </w:t>
      </w:r>
      <w:r w:rsidR="00977511">
        <w:t>T</w:t>
      </w:r>
      <w:r w:rsidR="00846627">
        <w:t xml:space="preserve">his renewal adjusted this assumption to assume that 2 facilities per year would conduct the test. This renewal also accounts for burden associated with the notification of each performance test, which was missing from the previous renewal. </w:t>
      </w:r>
      <w:r w:rsidR="001275D1">
        <w:t>Th</w:t>
      </w:r>
      <w:r w:rsidR="00846627">
        <w:t>ird, this</w:t>
      </w:r>
      <w:r w:rsidR="001275D1">
        <w:t xml:space="preserve"> renewal includes time for each affected facility to review rule requirements each year. </w:t>
      </w:r>
    </w:p>
    <w:p w14:paraId="048D35DD" w14:textId="77777777" w:rsidR="00AD6754" w:rsidRDefault="00AD6754" w:rsidP="00822D07">
      <w:pPr>
        <w:pBdr>
          <w:top w:val="single" w:sz="6" w:space="0" w:color="FFFFFF"/>
          <w:left w:val="single" w:sz="6" w:space="0" w:color="FFFFFF"/>
          <w:bottom w:val="single" w:sz="6" w:space="0" w:color="FFFFFF"/>
          <w:right w:val="single" w:sz="6" w:space="0" w:color="FFFFFF"/>
        </w:pBdr>
        <w:ind w:firstLine="720"/>
      </w:pPr>
    </w:p>
    <w:p w14:paraId="0C152F4C" w14:textId="7C9137D1" w:rsidR="00CD2069" w:rsidRPr="00822D07" w:rsidRDefault="00AD6754" w:rsidP="00B20702">
      <w:pPr>
        <w:pBdr>
          <w:top w:val="single" w:sz="6" w:space="0" w:color="FFFFFF"/>
          <w:left w:val="single" w:sz="6" w:space="0" w:color="FFFFFF"/>
          <w:bottom w:val="single" w:sz="6" w:space="0" w:color="FFFFFF"/>
          <w:right w:val="single" w:sz="6" w:space="0" w:color="FFFFFF"/>
        </w:pBdr>
        <w:ind w:firstLine="720"/>
      </w:pPr>
      <w:r>
        <w:t>There is a decrease in the O&amp;M costs from the most recently approved ICR due to an adjustment in the number of sources. The number of sources decreased from 14 to 12 based on the latest available data to the Agency</w:t>
      </w:r>
      <w:r w:rsidR="001275D1">
        <w:t>, and as a result there is a lower cost</w:t>
      </w:r>
      <w:r>
        <w:t xml:space="preserve">. </w:t>
      </w:r>
    </w:p>
    <w:bookmarkEnd w:id="3"/>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F134E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0228BB">
        <w:t xml:space="preserve">average </w:t>
      </w:r>
      <w:r w:rsidR="00846627">
        <w:t>255</w:t>
      </w:r>
      <w:r w:rsidRPr="000228BB">
        <w:t xml:space="preserve"> hours </w:t>
      </w:r>
      <w:r>
        <w:rPr>
          <w:color w:val="000000"/>
        </w:rPr>
        <w:t>per response.</w:t>
      </w:r>
      <w:r w:rsidR="009C7E97">
        <w:rPr>
          <w:color w:val="000000"/>
        </w:rPr>
        <w:t xml:space="preserve"> </w:t>
      </w:r>
      <w:r w:rsidR="002B5AB0">
        <w:rPr>
          <w:color w:val="000000"/>
        </w:rPr>
        <w:t>“</w:t>
      </w:r>
      <w:r>
        <w:rPr>
          <w:color w:val="000000"/>
        </w:rPr>
        <w:t>Burden</w:t>
      </w:r>
      <w:r w:rsidR="002B5AB0">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4F83CA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2B5AB0">
        <w:rPr>
          <w:color w:val="000000"/>
        </w:rPr>
        <w:t>either</w:t>
      </w:r>
      <w:r>
        <w:rPr>
          <w:color w:val="000000"/>
        </w:rPr>
        <w:t xml:space="preserve"> conduct </w:t>
      </w:r>
      <w:r w:rsidR="002B5AB0">
        <w:rPr>
          <w:color w:val="000000"/>
        </w:rPr>
        <w:t>n</w:t>
      </w:r>
      <w:r>
        <w:rPr>
          <w:color w:val="000000"/>
        </w:rPr>
        <w:t xml:space="preserve">or sponsor, and a person is not required to respond to, </w:t>
      </w:r>
      <w:r w:rsidR="002B5AB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19E7F37" w:rsidR="00354C15" w:rsidRDefault="00FB0650" w:rsidP="00354C15">
      <w:r w:rsidRPr="00354C15">
        <w:tab/>
      </w:r>
      <w:r w:rsidR="00CA4CD6" w:rsidRPr="00354C15">
        <w:t>To comment on the Agency</w:t>
      </w:r>
      <w:r w:rsidR="00AB4A70">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AB4A70">
        <w:t>201</w:t>
      </w:r>
      <w:r w:rsidR="00A10DBD" w:rsidRPr="00AB4A70">
        <w:t>4</w:t>
      </w:r>
      <w:r w:rsidR="0035325B" w:rsidRPr="00AB4A70">
        <w:t>-</w:t>
      </w:r>
      <w:r w:rsidR="00AB4A70" w:rsidRPr="00AB4A70">
        <w:t>0055</w:t>
      </w:r>
      <w:r w:rsidR="00354C15" w:rsidRPr="00AB4A70">
        <w:t>.</w:t>
      </w:r>
      <w:r w:rsidR="009C7E97" w:rsidRPr="00AB4A70">
        <w:t xml:space="preserve"> </w:t>
      </w:r>
      <w:r w:rsidR="00354C15" w:rsidRPr="00AB4A70">
        <w:t xml:space="preserve">An </w:t>
      </w:r>
      <w:r w:rsidR="00354C15" w:rsidRPr="00354C15">
        <w:t xml:space="preserve">electronic version of the public docket is available at </w:t>
      </w:r>
      <w:hyperlink r:id="rId9" w:history="1">
        <w:r w:rsidR="00377D7F" w:rsidRPr="00DD6D47">
          <w:rPr>
            <w:rStyle w:val="Hyperlink"/>
            <w:color w:val="auto"/>
          </w:rPr>
          <w:t>http://www.regulations.gov/</w:t>
        </w:r>
      </w:hyperlink>
      <w:r w:rsidR="002B5AB0">
        <w:t>,</w:t>
      </w:r>
      <w:r w:rsidR="00377D7F" w:rsidRPr="00DD6D47">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4A7E5E">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4A7E5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AB4A70">
        <w:t>2014-0055</w:t>
      </w:r>
      <w:r w:rsidR="00CA4CD6">
        <w:t xml:space="preserve"> and OMB Control Number</w:t>
      </w:r>
      <w:r w:rsidR="00AB4A70">
        <w:t xml:space="preserve"> 2060-0296</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510B2CA8" w:rsidR="00144F35" w:rsidRPr="00B20702" w:rsidRDefault="00144F35" w:rsidP="00504745">
      <w:pPr>
        <w:outlineLvl w:val="0"/>
        <w:rPr>
          <w:b/>
          <w:bCs/>
        </w:rPr>
      </w:pPr>
      <w:r w:rsidRPr="00C4183F">
        <w:rPr>
          <w:b/>
          <w:bCs/>
          <w:color w:val="000000"/>
        </w:rPr>
        <w:t>Table 1: Annual Respondent Burden and Cost</w:t>
      </w:r>
      <w:r>
        <w:rPr>
          <w:b/>
          <w:bCs/>
          <w:color w:val="000000"/>
        </w:rPr>
        <w:t xml:space="preserve"> </w:t>
      </w:r>
      <w:r w:rsidRPr="00B20702">
        <w:rPr>
          <w:b/>
          <w:bCs/>
        </w:rPr>
        <w:t xml:space="preserve">– </w:t>
      </w:r>
      <w:r w:rsidR="00B20702" w:rsidRPr="00B20702">
        <w:rPr>
          <w:b/>
          <w:bCs/>
        </w:rPr>
        <w:t xml:space="preserve">NESHAP for the Secondary Lead Smelter Industry </w:t>
      </w:r>
      <w:r w:rsidRPr="00B20702">
        <w:rPr>
          <w:b/>
          <w:bCs/>
        </w:rPr>
        <w:t xml:space="preserve">(40 CFR Part </w:t>
      </w:r>
      <w:r w:rsidR="00B20702" w:rsidRPr="00B20702">
        <w:rPr>
          <w:b/>
          <w:bCs/>
        </w:rPr>
        <w:t>63</w:t>
      </w:r>
      <w:r w:rsidRPr="00B20702">
        <w:rPr>
          <w:b/>
          <w:bCs/>
        </w:rPr>
        <w:t xml:space="preserve">, Subpart </w:t>
      </w:r>
      <w:r w:rsidR="00B20702" w:rsidRPr="00B20702">
        <w:rPr>
          <w:b/>
          <w:bCs/>
        </w:rPr>
        <w:t>X</w:t>
      </w:r>
      <w:r w:rsidRPr="00B20702">
        <w:rPr>
          <w:b/>
          <w:bCs/>
        </w:rPr>
        <w:t>) (Renewal)</w:t>
      </w:r>
    </w:p>
    <w:p w14:paraId="6CB24DB0" w14:textId="77777777" w:rsidR="00144F35" w:rsidRPr="00B20702" w:rsidRDefault="00144F35" w:rsidP="00F340DF">
      <w:pPr>
        <w:rPr>
          <w:b/>
          <w:bCs/>
        </w:rPr>
      </w:pPr>
    </w:p>
    <w:tbl>
      <w:tblPr>
        <w:tblW w:w="13590" w:type="dxa"/>
        <w:jc w:val="center"/>
        <w:tblLook w:val="04A0" w:firstRow="1" w:lastRow="0" w:firstColumn="1" w:lastColumn="0" w:noHBand="0" w:noVBand="1"/>
      </w:tblPr>
      <w:tblGrid>
        <w:gridCol w:w="2795"/>
        <w:gridCol w:w="1260"/>
        <w:gridCol w:w="1440"/>
        <w:gridCol w:w="1350"/>
        <w:gridCol w:w="1350"/>
        <w:gridCol w:w="1255"/>
        <w:gridCol w:w="1440"/>
        <w:gridCol w:w="1350"/>
        <w:gridCol w:w="1350"/>
      </w:tblGrid>
      <w:tr w:rsidR="00B20702" w:rsidRPr="00B20702" w14:paraId="2AEFE9A9" w14:textId="77777777" w:rsidTr="00E5096A">
        <w:trPr>
          <w:trHeight w:val="1020"/>
          <w:tblHeader/>
          <w:jc w:val="center"/>
        </w:trPr>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FA546" w14:textId="77777777" w:rsidR="00B20702" w:rsidRPr="00B20702" w:rsidRDefault="00B20702" w:rsidP="00B20702">
            <w:pPr>
              <w:widowControl/>
              <w:autoSpaceDE/>
              <w:autoSpaceDN/>
              <w:adjustRightInd/>
              <w:rPr>
                <w:b/>
                <w:bCs/>
                <w:color w:val="000000"/>
                <w:sz w:val="20"/>
                <w:szCs w:val="20"/>
              </w:rPr>
            </w:pPr>
            <w:r w:rsidRPr="00B20702">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504431A" w14:textId="77777777" w:rsidR="00B20702" w:rsidRPr="00B20702" w:rsidRDefault="00B20702" w:rsidP="00B20702">
            <w:pPr>
              <w:widowControl/>
              <w:autoSpaceDE/>
              <w:autoSpaceDN/>
              <w:adjustRightInd/>
              <w:jc w:val="center"/>
              <w:rPr>
                <w:b/>
                <w:bCs/>
                <w:color w:val="000000"/>
                <w:sz w:val="20"/>
                <w:szCs w:val="20"/>
              </w:rPr>
            </w:pPr>
            <w:r w:rsidRPr="00B20702">
              <w:rPr>
                <w:b/>
                <w:bCs/>
                <w:color w:val="000000"/>
                <w:sz w:val="20"/>
                <w:szCs w:val="20"/>
              </w:rPr>
              <w:t>(A)</w:t>
            </w:r>
            <w:r w:rsidRPr="00B20702">
              <w:rPr>
                <w:b/>
                <w:bCs/>
                <w:color w:val="000000"/>
                <w:sz w:val="20"/>
                <w:szCs w:val="20"/>
              </w:rPr>
              <w:br/>
              <w:t>Person-hours per occurrence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8EF9AA" w14:textId="77777777" w:rsidR="00B20702" w:rsidRPr="00B20702" w:rsidRDefault="00B20702" w:rsidP="00B20702">
            <w:pPr>
              <w:widowControl/>
              <w:autoSpaceDE/>
              <w:autoSpaceDN/>
              <w:adjustRightInd/>
              <w:jc w:val="center"/>
              <w:rPr>
                <w:b/>
                <w:bCs/>
                <w:color w:val="000000"/>
                <w:sz w:val="20"/>
                <w:szCs w:val="20"/>
              </w:rPr>
            </w:pPr>
            <w:r w:rsidRPr="00B20702">
              <w:rPr>
                <w:b/>
                <w:bCs/>
                <w:color w:val="000000"/>
                <w:sz w:val="20"/>
                <w:szCs w:val="20"/>
              </w:rPr>
              <w:t>(B)</w:t>
            </w:r>
            <w:r w:rsidRPr="00B20702">
              <w:rPr>
                <w:b/>
                <w:bCs/>
                <w:color w:val="000000"/>
                <w:sz w:val="20"/>
                <w:szCs w:val="20"/>
              </w:rPr>
              <w:br/>
              <w:t>Annual occurrences per 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B0CB199" w14:textId="77777777" w:rsidR="00B20702" w:rsidRPr="00B20702" w:rsidRDefault="00B20702" w:rsidP="00B20702">
            <w:pPr>
              <w:widowControl/>
              <w:autoSpaceDE/>
              <w:autoSpaceDN/>
              <w:adjustRightInd/>
              <w:jc w:val="center"/>
              <w:rPr>
                <w:b/>
                <w:bCs/>
                <w:color w:val="000000"/>
                <w:sz w:val="20"/>
                <w:szCs w:val="20"/>
              </w:rPr>
            </w:pPr>
            <w:r w:rsidRPr="00B20702">
              <w:rPr>
                <w:b/>
                <w:bCs/>
                <w:color w:val="000000"/>
                <w:sz w:val="20"/>
                <w:szCs w:val="20"/>
              </w:rPr>
              <w:t>(C)</w:t>
            </w:r>
            <w:r w:rsidRPr="00B20702">
              <w:rPr>
                <w:b/>
                <w:bCs/>
                <w:color w:val="000000"/>
                <w:sz w:val="20"/>
                <w:szCs w:val="20"/>
              </w:rPr>
              <w:br/>
              <w:t>Person-hours per respondent per year</w:t>
            </w:r>
            <w:r w:rsidRPr="00B20702">
              <w:rPr>
                <w:b/>
                <w:bCs/>
                <w:color w:val="000000"/>
                <w:sz w:val="20"/>
                <w:szCs w:val="20"/>
              </w:rPr>
              <w:br/>
              <w:t>(A x 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105EEF5" w14:textId="77777777" w:rsidR="00B20702" w:rsidRPr="00B20702" w:rsidRDefault="00B20702" w:rsidP="00B20702">
            <w:pPr>
              <w:widowControl/>
              <w:autoSpaceDE/>
              <w:autoSpaceDN/>
              <w:adjustRightInd/>
              <w:jc w:val="center"/>
              <w:rPr>
                <w:b/>
                <w:bCs/>
                <w:color w:val="000000"/>
                <w:sz w:val="20"/>
                <w:szCs w:val="20"/>
              </w:rPr>
            </w:pPr>
            <w:r w:rsidRPr="00B20702">
              <w:rPr>
                <w:b/>
                <w:bCs/>
                <w:color w:val="000000"/>
                <w:sz w:val="20"/>
                <w:szCs w:val="20"/>
              </w:rPr>
              <w:t>(D)</w:t>
            </w:r>
            <w:r w:rsidRPr="00B20702">
              <w:rPr>
                <w:b/>
                <w:bCs/>
                <w:color w:val="000000"/>
                <w:sz w:val="20"/>
                <w:szCs w:val="20"/>
              </w:rPr>
              <w:br/>
              <w:t xml:space="preserve">Respondents per year </w:t>
            </w:r>
            <w:r w:rsidRPr="00B20702">
              <w:rPr>
                <w:b/>
                <w:bCs/>
                <w:color w:val="000000"/>
                <w:sz w:val="20"/>
                <w:szCs w:val="20"/>
                <w:vertAlign w:val="superscript"/>
              </w:rPr>
              <w:t>a</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BAD0591" w14:textId="77777777" w:rsidR="00B20702" w:rsidRPr="00B20702" w:rsidRDefault="00B20702" w:rsidP="00B20702">
            <w:pPr>
              <w:widowControl/>
              <w:autoSpaceDE/>
              <w:autoSpaceDN/>
              <w:adjustRightInd/>
              <w:jc w:val="center"/>
              <w:rPr>
                <w:b/>
                <w:bCs/>
                <w:color w:val="000000"/>
                <w:sz w:val="20"/>
                <w:szCs w:val="20"/>
              </w:rPr>
            </w:pPr>
            <w:r w:rsidRPr="00B20702">
              <w:rPr>
                <w:b/>
                <w:bCs/>
                <w:color w:val="000000"/>
                <w:sz w:val="20"/>
                <w:szCs w:val="20"/>
              </w:rPr>
              <w:t>(E)</w:t>
            </w:r>
            <w:r w:rsidRPr="00B20702">
              <w:rPr>
                <w:b/>
                <w:bCs/>
                <w:color w:val="000000"/>
                <w:sz w:val="20"/>
                <w:szCs w:val="20"/>
              </w:rPr>
              <w:br/>
              <w:t xml:space="preserve">Technical hours per year </w:t>
            </w:r>
            <w:r w:rsidRPr="00B20702">
              <w:rPr>
                <w:b/>
                <w:bCs/>
                <w:color w:val="000000"/>
                <w:sz w:val="20"/>
                <w:szCs w:val="20"/>
              </w:rPr>
              <w:br/>
              <w:t>(C x 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7BB8056" w14:textId="77777777" w:rsidR="00B20702" w:rsidRPr="00B20702" w:rsidRDefault="00B20702" w:rsidP="00B20702">
            <w:pPr>
              <w:widowControl/>
              <w:autoSpaceDE/>
              <w:autoSpaceDN/>
              <w:adjustRightInd/>
              <w:jc w:val="center"/>
              <w:rPr>
                <w:b/>
                <w:bCs/>
                <w:color w:val="000000"/>
                <w:sz w:val="20"/>
                <w:szCs w:val="20"/>
              </w:rPr>
            </w:pPr>
            <w:r w:rsidRPr="00B20702">
              <w:rPr>
                <w:b/>
                <w:bCs/>
                <w:color w:val="000000"/>
                <w:sz w:val="20"/>
                <w:szCs w:val="20"/>
              </w:rPr>
              <w:t>(F)</w:t>
            </w:r>
            <w:r w:rsidRPr="00B20702">
              <w:rPr>
                <w:b/>
                <w:bCs/>
                <w:color w:val="000000"/>
                <w:sz w:val="20"/>
                <w:szCs w:val="20"/>
              </w:rPr>
              <w:br/>
              <w:t>Management hours per year</w:t>
            </w:r>
            <w:r w:rsidRPr="00B20702">
              <w:rPr>
                <w:b/>
                <w:bCs/>
                <w:color w:val="000000"/>
                <w:sz w:val="20"/>
                <w:szCs w:val="20"/>
              </w:rPr>
              <w:br/>
              <w:t>(E x 0.05)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F375C67" w14:textId="77777777" w:rsidR="00B20702" w:rsidRPr="00B20702" w:rsidRDefault="00B20702" w:rsidP="00B20702">
            <w:pPr>
              <w:widowControl/>
              <w:autoSpaceDE/>
              <w:autoSpaceDN/>
              <w:adjustRightInd/>
              <w:jc w:val="center"/>
              <w:rPr>
                <w:b/>
                <w:bCs/>
                <w:color w:val="000000"/>
                <w:sz w:val="20"/>
                <w:szCs w:val="20"/>
              </w:rPr>
            </w:pPr>
            <w:r w:rsidRPr="00B20702">
              <w:rPr>
                <w:b/>
                <w:bCs/>
                <w:color w:val="000000"/>
                <w:sz w:val="20"/>
                <w:szCs w:val="20"/>
              </w:rPr>
              <w:t>(G)</w:t>
            </w:r>
            <w:r w:rsidRPr="00B20702">
              <w:rPr>
                <w:b/>
                <w:bCs/>
                <w:color w:val="000000"/>
                <w:sz w:val="20"/>
                <w:szCs w:val="20"/>
              </w:rPr>
              <w:br/>
              <w:t>Clerical hours per year</w:t>
            </w:r>
            <w:r w:rsidRPr="00B20702">
              <w:rPr>
                <w:b/>
                <w:bCs/>
                <w:color w:val="000000"/>
                <w:sz w:val="20"/>
                <w:szCs w:val="20"/>
              </w:rPr>
              <w:br/>
              <w:t>(E x 0.10)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9E0AA3F" w14:textId="77777777" w:rsidR="00B20702" w:rsidRPr="00B20702" w:rsidRDefault="00B20702" w:rsidP="00B20702">
            <w:pPr>
              <w:widowControl/>
              <w:autoSpaceDE/>
              <w:autoSpaceDN/>
              <w:adjustRightInd/>
              <w:jc w:val="center"/>
              <w:rPr>
                <w:b/>
                <w:bCs/>
                <w:color w:val="000000"/>
                <w:sz w:val="20"/>
                <w:szCs w:val="20"/>
              </w:rPr>
            </w:pPr>
            <w:r w:rsidRPr="00B20702">
              <w:rPr>
                <w:b/>
                <w:bCs/>
                <w:color w:val="000000"/>
                <w:sz w:val="20"/>
                <w:szCs w:val="20"/>
              </w:rPr>
              <w:t>(H)</w:t>
            </w:r>
            <w:r w:rsidRPr="00B20702">
              <w:rPr>
                <w:b/>
                <w:bCs/>
                <w:color w:val="000000"/>
                <w:sz w:val="20"/>
                <w:szCs w:val="20"/>
              </w:rPr>
              <w:br/>
              <w:t xml:space="preserve">Annual cost ($) </w:t>
            </w:r>
            <w:r w:rsidRPr="00B20702">
              <w:rPr>
                <w:b/>
                <w:bCs/>
                <w:color w:val="000000"/>
                <w:sz w:val="20"/>
                <w:szCs w:val="20"/>
                <w:vertAlign w:val="superscript"/>
              </w:rPr>
              <w:t>b</w:t>
            </w:r>
          </w:p>
        </w:tc>
      </w:tr>
      <w:tr w:rsidR="00B20702" w:rsidRPr="00B20702" w14:paraId="330AAA75"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50E3C9C4" w14:textId="77777777" w:rsidR="00B20702" w:rsidRPr="00B20702" w:rsidRDefault="00B20702" w:rsidP="00B20702">
            <w:pPr>
              <w:widowControl/>
              <w:autoSpaceDE/>
              <w:autoSpaceDN/>
              <w:adjustRightInd/>
              <w:rPr>
                <w:color w:val="000000"/>
                <w:sz w:val="20"/>
                <w:szCs w:val="20"/>
              </w:rPr>
            </w:pPr>
            <w:r w:rsidRPr="00B20702">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vAlign w:val="center"/>
            <w:hideMark/>
          </w:tcPr>
          <w:p w14:paraId="4DC0481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14:paraId="649A2C5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9A3CFD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C6A04F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3A4E1E2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E67EB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2987BE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ED596E6"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6EA5A9C0"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3B3A071F" w14:textId="77777777" w:rsidR="00B20702" w:rsidRPr="00B20702" w:rsidRDefault="00B20702" w:rsidP="00B20702">
            <w:pPr>
              <w:widowControl/>
              <w:autoSpaceDE/>
              <w:autoSpaceDN/>
              <w:adjustRightInd/>
              <w:rPr>
                <w:color w:val="000000"/>
                <w:sz w:val="20"/>
                <w:szCs w:val="20"/>
              </w:rPr>
            </w:pPr>
            <w:r w:rsidRPr="00B20702">
              <w:rPr>
                <w:color w:val="000000"/>
                <w:sz w:val="20"/>
                <w:szCs w:val="20"/>
              </w:rPr>
              <w:t>2.  Surveys and studies</w:t>
            </w:r>
          </w:p>
        </w:tc>
        <w:tc>
          <w:tcPr>
            <w:tcW w:w="1260" w:type="dxa"/>
            <w:tcBorders>
              <w:top w:val="nil"/>
              <w:left w:val="nil"/>
              <w:bottom w:val="single" w:sz="4" w:space="0" w:color="auto"/>
              <w:right w:val="single" w:sz="4" w:space="0" w:color="auto"/>
            </w:tcBorders>
            <w:shd w:val="clear" w:color="auto" w:fill="auto"/>
            <w:vAlign w:val="center"/>
            <w:hideMark/>
          </w:tcPr>
          <w:p w14:paraId="3C30081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xml:space="preserve"> N/A</w:t>
            </w:r>
          </w:p>
        </w:tc>
        <w:tc>
          <w:tcPr>
            <w:tcW w:w="1440" w:type="dxa"/>
            <w:tcBorders>
              <w:top w:val="nil"/>
              <w:left w:val="nil"/>
              <w:bottom w:val="single" w:sz="4" w:space="0" w:color="auto"/>
              <w:right w:val="single" w:sz="4" w:space="0" w:color="auto"/>
            </w:tcBorders>
            <w:shd w:val="clear" w:color="auto" w:fill="auto"/>
            <w:vAlign w:val="center"/>
            <w:hideMark/>
          </w:tcPr>
          <w:p w14:paraId="19B2BC9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8FA823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D6348A2"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24E64D0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226387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F514A8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CA41AD1"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6E2BF6CB"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46E2542" w14:textId="77777777" w:rsidR="00B20702" w:rsidRPr="00B20702" w:rsidRDefault="00B20702" w:rsidP="00B20702">
            <w:pPr>
              <w:widowControl/>
              <w:autoSpaceDE/>
              <w:autoSpaceDN/>
              <w:adjustRightInd/>
              <w:rPr>
                <w:color w:val="000000"/>
                <w:sz w:val="20"/>
                <w:szCs w:val="20"/>
              </w:rPr>
            </w:pPr>
            <w:r w:rsidRPr="00B20702">
              <w:rPr>
                <w:color w:val="000000"/>
                <w:sz w:val="20"/>
                <w:szCs w:val="20"/>
              </w:rPr>
              <w:t>3.  Reporting requirements</w:t>
            </w:r>
          </w:p>
        </w:tc>
        <w:tc>
          <w:tcPr>
            <w:tcW w:w="1260" w:type="dxa"/>
            <w:tcBorders>
              <w:top w:val="nil"/>
              <w:left w:val="nil"/>
              <w:bottom w:val="single" w:sz="4" w:space="0" w:color="auto"/>
              <w:right w:val="single" w:sz="4" w:space="0" w:color="auto"/>
            </w:tcBorders>
            <w:shd w:val="clear" w:color="auto" w:fill="auto"/>
            <w:vAlign w:val="center"/>
            <w:hideMark/>
          </w:tcPr>
          <w:p w14:paraId="70982E3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931DAA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89D4CF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59FABC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498EB72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31551A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3EA182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6ADA1FC"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38F12687" w14:textId="77777777" w:rsidTr="00E5096A">
        <w:trPr>
          <w:trHeight w:val="6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27A7B711" w14:textId="69DA1EFC" w:rsidR="00B20702" w:rsidRPr="00B20702" w:rsidRDefault="00B20702" w:rsidP="00F95BC4">
            <w:pPr>
              <w:widowControl/>
              <w:autoSpaceDE/>
              <w:autoSpaceDN/>
              <w:adjustRightInd/>
              <w:ind w:left="240"/>
              <w:rPr>
                <w:color w:val="000000"/>
                <w:sz w:val="20"/>
                <w:szCs w:val="20"/>
              </w:rPr>
            </w:pPr>
            <w:r w:rsidRPr="00B20702">
              <w:rPr>
                <w:color w:val="000000"/>
                <w:sz w:val="20"/>
                <w:szCs w:val="20"/>
              </w:rPr>
              <w:t>A.  Familiarization with the regulatory requirements</w:t>
            </w:r>
            <w:r w:rsidR="00977511">
              <w:rPr>
                <w:color w:val="000000"/>
                <w:sz w:val="20"/>
                <w:szCs w:val="20"/>
              </w:rPr>
              <w:t xml:space="preserve"> </w:t>
            </w:r>
            <w:r w:rsidRPr="00B20702">
              <w:rPr>
                <w:color w:val="000000"/>
                <w:sz w:val="20"/>
                <w:szCs w:val="20"/>
                <w:vertAlign w:val="superscript"/>
              </w:rPr>
              <w:t>a</w:t>
            </w:r>
          </w:p>
        </w:tc>
        <w:tc>
          <w:tcPr>
            <w:tcW w:w="1260" w:type="dxa"/>
            <w:tcBorders>
              <w:top w:val="nil"/>
              <w:left w:val="nil"/>
              <w:bottom w:val="single" w:sz="4" w:space="0" w:color="auto"/>
              <w:right w:val="single" w:sz="4" w:space="0" w:color="auto"/>
            </w:tcBorders>
            <w:shd w:val="clear" w:color="auto" w:fill="auto"/>
            <w:vAlign w:val="center"/>
            <w:hideMark/>
          </w:tcPr>
          <w:p w14:paraId="6826E19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36AA271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38AA7C2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7F69424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042159E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440" w:type="dxa"/>
            <w:tcBorders>
              <w:top w:val="nil"/>
              <w:left w:val="nil"/>
              <w:bottom w:val="single" w:sz="4" w:space="0" w:color="auto"/>
              <w:right w:val="single" w:sz="4" w:space="0" w:color="auto"/>
            </w:tcBorders>
            <w:shd w:val="clear" w:color="auto" w:fill="auto"/>
            <w:vAlign w:val="center"/>
            <w:hideMark/>
          </w:tcPr>
          <w:p w14:paraId="0E834D0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0.6</w:t>
            </w:r>
          </w:p>
        </w:tc>
        <w:tc>
          <w:tcPr>
            <w:tcW w:w="1350" w:type="dxa"/>
            <w:tcBorders>
              <w:top w:val="nil"/>
              <w:left w:val="nil"/>
              <w:bottom w:val="single" w:sz="4" w:space="0" w:color="auto"/>
              <w:right w:val="single" w:sz="4" w:space="0" w:color="auto"/>
            </w:tcBorders>
            <w:shd w:val="clear" w:color="auto" w:fill="auto"/>
            <w:vAlign w:val="center"/>
            <w:hideMark/>
          </w:tcPr>
          <w:p w14:paraId="5E2F22B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5154B002"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1,511.14</w:t>
            </w:r>
          </w:p>
        </w:tc>
      </w:tr>
      <w:tr w:rsidR="00B20702" w:rsidRPr="00B20702" w14:paraId="7E3D40AD" w14:textId="77777777" w:rsidTr="00E5096A">
        <w:trPr>
          <w:trHeight w:val="315"/>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165FCECE" w14:textId="5F17C2BF" w:rsidR="00B20702" w:rsidRPr="00B20702" w:rsidRDefault="00B20702" w:rsidP="00F95BC4">
            <w:pPr>
              <w:widowControl/>
              <w:autoSpaceDE/>
              <w:autoSpaceDN/>
              <w:adjustRightInd/>
              <w:ind w:left="240"/>
              <w:rPr>
                <w:color w:val="000000"/>
                <w:sz w:val="20"/>
                <w:szCs w:val="20"/>
              </w:rPr>
            </w:pPr>
            <w:r w:rsidRPr="00B20702">
              <w:rPr>
                <w:color w:val="000000"/>
                <w:sz w:val="20"/>
                <w:szCs w:val="20"/>
              </w:rPr>
              <w:t>B.  Required activities</w:t>
            </w:r>
            <w:r w:rsidR="00977511">
              <w:rPr>
                <w:color w:val="000000"/>
                <w:sz w:val="20"/>
                <w:szCs w:val="20"/>
              </w:rPr>
              <w:t xml:space="preserve"> </w:t>
            </w:r>
            <w:r w:rsidRPr="00B20702">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748D6C6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085AF9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3AF43B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5C6E04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3996371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2CB610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F55A82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41FAD03"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1900C872"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0EE71EF7" w14:textId="6032BFB3" w:rsidR="00B20702" w:rsidRPr="00B20702" w:rsidRDefault="00B20702" w:rsidP="00977511">
            <w:pPr>
              <w:widowControl/>
              <w:autoSpaceDE/>
              <w:autoSpaceDN/>
              <w:adjustRightInd/>
              <w:ind w:left="330"/>
              <w:rPr>
                <w:color w:val="000000"/>
                <w:sz w:val="20"/>
                <w:szCs w:val="20"/>
              </w:rPr>
            </w:pPr>
            <w:r w:rsidRPr="00B20702">
              <w:rPr>
                <w:color w:val="000000"/>
                <w:sz w:val="20"/>
                <w:szCs w:val="20"/>
              </w:rPr>
              <w:t>Annua</w:t>
            </w:r>
            <w:r w:rsidR="00977511">
              <w:rPr>
                <w:color w:val="000000"/>
                <w:sz w:val="20"/>
                <w:szCs w:val="20"/>
              </w:rPr>
              <w:t xml:space="preserve">l </w:t>
            </w:r>
            <w:r w:rsidRPr="00B20702">
              <w:rPr>
                <w:color w:val="000000"/>
                <w:sz w:val="20"/>
                <w:szCs w:val="20"/>
              </w:rPr>
              <w:t>performance test</w:t>
            </w:r>
          </w:p>
        </w:tc>
        <w:tc>
          <w:tcPr>
            <w:tcW w:w="1260" w:type="dxa"/>
            <w:tcBorders>
              <w:top w:val="nil"/>
              <w:left w:val="nil"/>
              <w:bottom w:val="single" w:sz="4" w:space="0" w:color="auto"/>
              <w:right w:val="single" w:sz="4" w:space="0" w:color="auto"/>
            </w:tcBorders>
            <w:shd w:val="clear" w:color="auto" w:fill="auto"/>
            <w:vAlign w:val="center"/>
            <w:hideMark/>
          </w:tcPr>
          <w:p w14:paraId="539BB5C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330</w:t>
            </w:r>
          </w:p>
        </w:tc>
        <w:tc>
          <w:tcPr>
            <w:tcW w:w="1440" w:type="dxa"/>
            <w:tcBorders>
              <w:top w:val="nil"/>
              <w:left w:val="nil"/>
              <w:bottom w:val="single" w:sz="4" w:space="0" w:color="auto"/>
              <w:right w:val="single" w:sz="4" w:space="0" w:color="auto"/>
            </w:tcBorders>
            <w:shd w:val="clear" w:color="auto" w:fill="auto"/>
            <w:vAlign w:val="center"/>
            <w:hideMark/>
          </w:tcPr>
          <w:p w14:paraId="1799A182"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7BD5C89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330</w:t>
            </w:r>
          </w:p>
        </w:tc>
        <w:tc>
          <w:tcPr>
            <w:tcW w:w="1350" w:type="dxa"/>
            <w:tcBorders>
              <w:top w:val="nil"/>
              <w:left w:val="nil"/>
              <w:bottom w:val="single" w:sz="4" w:space="0" w:color="auto"/>
              <w:right w:val="single" w:sz="4" w:space="0" w:color="auto"/>
            </w:tcBorders>
            <w:shd w:val="clear" w:color="auto" w:fill="auto"/>
            <w:vAlign w:val="center"/>
            <w:hideMark/>
          </w:tcPr>
          <w:p w14:paraId="537E782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35D3EB0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3,960</w:t>
            </w:r>
          </w:p>
        </w:tc>
        <w:tc>
          <w:tcPr>
            <w:tcW w:w="1440" w:type="dxa"/>
            <w:tcBorders>
              <w:top w:val="nil"/>
              <w:left w:val="nil"/>
              <w:bottom w:val="single" w:sz="4" w:space="0" w:color="auto"/>
              <w:right w:val="single" w:sz="4" w:space="0" w:color="auto"/>
            </w:tcBorders>
            <w:shd w:val="clear" w:color="auto" w:fill="auto"/>
            <w:vAlign w:val="center"/>
            <w:hideMark/>
          </w:tcPr>
          <w:p w14:paraId="1DEB246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198</w:t>
            </w:r>
          </w:p>
        </w:tc>
        <w:tc>
          <w:tcPr>
            <w:tcW w:w="1350" w:type="dxa"/>
            <w:tcBorders>
              <w:top w:val="nil"/>
              <w:left w:val="nil"/>
              <w:bottom w:val="single" w:sz="4" w:space="0" w:color="auto"/>
              <w:right w:val="single" w:sz="4" w:space="0" w:color="auto"/>
            </w:tcBorders>
            <w:shd w:val="clear" w:color="auto" w:fill="auto"/>
            <w:vAlign w:val="center"/>
            <w:hideMark/>
          </w:tcPr>
          <w:p w14:paraId="60DFA51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396</w:t>
            </w:r>
          </w:p>
        </w:tc>
        <w:tc>
          <w:tcPr>
            <w:tcW w:w="1350" w:type="dxa"/>
            <w:tcBorders>
              <w:top w:val="nil"/>
              <w:left w:val="nil"/>
              <w:bottom w:val="single" w:sz="4" w:space="0" w:color="auto"/>
              <w:right w:val="single" w:sz="4" w:space="0" w:color="auto"/>
            </w:tcBorders>
            <w:shd w:val="clear" w:color="auto" w:fill="auto"/>
            <w:vAlign w:val="center"/>
            <w:hideMark/>
          </w:tcPr>
          <w:p w14:paraId="7ECCFC87"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498,676.86</w:t>
            </w:r>
          </w:p>
        </w:tc>
      </w:tr>
      <w:tr w:rsidR="00B20702" w:rsidRPr="00B20702" w14:paraId="36D59724"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4E168B90" w14:textId="77777777" w:rsidR="00B20702" w:rsidRPr="00B20702" w:rsidRDefault="00B20702" w:rsidP="00B20702">
            <w:pPr>
              <w:widowControl/>
              <w:autoSpaceDE/>
              <w:autoSpaceDN/>
              <w:adjustRightInd/>
              <w:ind w:firstLineChars="165" w:firstLine="330"/>
              <w:rPr>
                <w:color w:val="000000"/>
                <w:sz w:val="20"/>
                <w:szCs w:val="20"/>
              </w:rPr>
            </w:pPr>
            <w:r w:rsidRPr="00B20702">
              <w:rPr>
                <w:color w:val="000000"/>
                <w:sz w:val="20"/>
                <w:szCs w:val="20"/>
              </w:rPr>
              <w:t>THC testing</w:t>
            </w:r>
          </w:p>
        </w:tc>
        <w:tc>
          <w:tcPr>
            <w:tcW w:w="1260" w:type="dxa"/>
            <w:tcBorders>
              <w:top w:val="nil"/>
              <w:left w:val="nil"/>
              <w:bottom w:val="single" w:sz="4" w:space="0" w:color="auto"/>
              <w:right w:val="single" w:sz="4" w:space="0" w:color="auto"/>
            </w:tcBorders>
            <w:shd w:val="clear" w:color="auto" w:fill="auto"/>
            <w:vAlign w:val="center"/>
            <w:hideMark/>
          </w:tcPr>
          <w:p w14:paraId="51F4FE7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10</w:t>
            </w:r>
          </w:p>
        </w:tc>
        <w:tc>
          <w:tcPr>
            <w:tcW w:w="1440" w:type="dxa"/>
            <w:tcBorders>
              <w:top w:val="nil"/>
              <w:left w:val="nil"/>
              <w:bottom w:val="single" w:sz="4" w:space="0" w:color="auto"/>
              <w:right w:val="single" w:sz="4" w:space="0" w:color="auto"/>
            </w:tcBorders>
            <w:shd w:val="clear" w:color="auto" w:fill="auto"/>
            <w:vAlign w:val="center"/>
            <w:hideMark/>
          </w:tcPr>
          <w:p w14:paraId="3ED2C4F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36DB183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0E3DB43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7036F2C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120</w:t>
            </w:r>
          </w:p>
        </w:tc>
        <w:tc>
          <w:tcPr>
            <w:tcW w:w="1440" w:type="dxa"/>
            <w:tcBorders>
              <w:top w:val="nil"/>
              <w:left w:val="nil"/>
              <w:bottom w:val="single" w:sz="4" w:space="0" w:color="auto"/>
              <w:right w:val="single" w:sz="4" w:space="0" w:color="auto"/>
            </w:tcBorders>
            <w:shd w:val="clear" w:color="auto" w:fill="auto"/>
            <w:vAlign w:val="center"/>
            <w:hideMark/>
          </w:tcPr>
          <w:p w14:paraId="070C858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066A44D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35DE93B7"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15,111.42</w:t>
            </w:r>
          </w:p>
        </w:tc>
      </w:tr>
      <w:tr w:rsidR="00B20702" w:rsidRPr="00B20702" w14:paraId="64699DDA"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3B141ABE" w14:textId="77777777" w:rsidR="00B20702" w:rsidRPr="00B20702" w:rsidRDefault="00B20702" w:rsidP="00B20702">
            <w:pPr>
              <w:widowControl/>
              <w:autoSpaceDE/>
              <w:autoSpaceDN/>
              <w:adjustRightInd/>
              <w:ind w:firstLineChars="165" w:firstLine="330"/>
              <w:rPr>
                <w:color w:val="000000"/>
                <w:sz w:val="20"/>
                <w:szCs w:val="20"/>
              </w:rPr>
            </w:pPr>
            <w:r w:rsidRPr="00B20702">
              <w:rPr>
                <w:color w:val="000000"/>
                <w:sz w:val="20"/>
                <w:szCs w:val="20"/>
              </w:rPr>
              <w:t>Dioxin/furan testing</w:t>
            </w:r>
          </w:p>
        </w:tc>
        <w:tc>
          <w:tcPr>
            <w:tcW w:w="1260" w:type="dxa"/>
            <w:tcBorders>
              <w:top w:val="nil"/>
              <w:left w:val="nil"/>
              <w:bottom w:val="single" w:sz="4" w:space="0" w:color="auto"/>
              <w:right w:val="single" w:sz="4" w:space="0" w:color="auto"/>
            </w:tcBorders>
            <w:shd w:val="clear" w:color="auto" w:fill="auto"/>
            <w:vAlign w:val="center"/>
            <w:hideMark/>
          </w:tcPr>
          <w:p w14:paraId="0D52BCA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10</w:t>
            </w:r>
          </w:p>
        </w:tc>
        <w:tc>
          <w:tcPr>
            <w:tcW w:w="1440" w:type="dxa"/>
            <w:tcBorders>
              <w:top w:val="nil"/>
              <w:left w:val="nil"/>
              <w:bottom w:val="single" w:sz="4" w:space="0" w:color="auto"/>
              <w:right w:val="single" w:sz="4" w:space="0" w:color="auto"/>
            </w:tcBorders>
            <w:shd w:val="clear" w:color="auto" w:fill="auto"/>
            <w:vAlign w:val="center"/>
            <w:hideMark/>
          </w:tcPr>
          <w:p w14:paraId="3A1AF22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36C9C76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75F4459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w:t>
            </w:r>
          </w:p>
        </w:tc>
        <w:tc>
          <w:tcPr>
            <w:tcW w:w="1255" w:type="dxa"/>
            <w:tcBorders>
              <w:top w:val="nil"/>
              <w:left w:val="nil"/>
              <w:bottom w:val="single" w:sz="4" w:space="0" w:color="auto"/>
              <w:right w:val="single" w:sz="4" w:space="0" w:color="auto"/>
            </w:tcBorders>
            <w:shd w:val="clear" w:color="auto" w:fill="auto"/>
            <w:vAlign w:val="center"/>
            <w:hideMark/>
          </w:tcPr>
          <w:p w14:paraId="371F678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20</w:t>
            </w:r>
          </w:p>
        </w:tc>
        <w:tc>
          <w:tcPr>
            <w:tcW w:w="1440" w:type="dxa"/>
            <w:tcBorders>
              <w:top w:val="nil"/>
              <w:left w:val="nil"/>
              <w:bottom w:val="single" w:sz="4" w:space="0" w:color="auto"/>
              <w:right w:val="single" w:sz="4" w:space="0" w:color="auto"/>
            </w:tcBorders>
            <w:shd w:val="clear" w:color="auto" w:fill="auto"/>
            <w:vAlign w:val="center"/>
            <w:hideMark/>
          </w:tcPr>
          <w:p w14:paraId="4AD3C1F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38C520B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D84A2E1"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2,518.57</w:t>
            </w:r>
          </w:p>
        </w:tc>
      </w:tr>
      <w:tr w:rsidR="00B20702" w:rsidRPr="00B20702" w14:paraId="502BCA9C"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42D9A7CF" w14:textId="77777777" w:rsidR="00B20702" w:rsidRPr="00B20702" w:rsidRDefault="00B20702" w:rsidP="00B20702">
            <w:pPr>
              <w:widowControl/>
              <w:autoSpaceDE/>
              <w:autoSpaceDN/>
              <w:adjustRightInd/>
              <w:ind w:firstLineChars="165" w:firstLine="330"/>
              <w:rPr>
                <w:color w:val="000000"/>
                <w:sz w:val="20"/>
                <w:szCs w:val="20"/>
              </w:rPr>
            </w:pPr>
            <w:r w:rsidRPr="00B20702">
              <w:rPr>
                <w:color w:val="000000"/>
                <w:sz w:val="20"/>
                <w:szCs w:val="20"/>
              </w:rPr>
              <w:t>Lead testing</w:t>
            </w:r>
          </w:p>
        </w:tc>
        <w:tc>
          <w:tcPr>
            <w:tcW w:w="1260" w:type="dxa"/>
            <w:tcBorders>
              <w:top w:val="nil"/>
              <w:left w:val="nil"/>
              <w:bottom w:val="single" w:sz="4" w:space="0" w:color="auto"/>
              <w:right w:val="single" w:sz="4" w:space="0" w:color="auto"/>
            </w:tcBorders>
            <w:shd w:val="clear" w:color="auto" w:fill="auto"/>
            <w:vAlign w:val="center"/>
            <w:hideMark/>
          </w:tcPr>
          <w:p w14:paraId="3307947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10</w:t>
            </w:r>
          </w:p>
        </w:tc>
        <w:tc>
          <w:tcPr>
            <w:tcW w:w="1440" w:type="dxa"/>
            <w:tcBorders>
              <w:top w:val="nil"/>
              <w:left w:val="nil"/>
              <w:bottom w:val="single" w:sz="4" w:space="0" w:color="auto"/>
              <w:right w:val="single" w:sz="4" w:space="0" w:color="auto"/>
            </w:tcBorders>
            <w:shd w:val="clear" w:color="auto" w:fill="auto"/>
            <w:vAlign w:val="center"/>
            <w:hideMark/>
          </w:tcPr>
          <w:p w14:paraId="44D7015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0.5</w:t>
            </w:r>
          </w:p>
        </w:tc>
        <w:tc>
          <w:tcPr>
            <w:tcW w:w="1350" w:type="dxa"/>
            <w:tcBorders>
              <w:top w:val="nil"/>
              <w:left w:val="nil"/>
              <w:bottom w:val="single" w:sz="4" w:space="0" w:color="auto"/>
              <w:right w:val="single" w:sz="4" w:space="0" w:color="auto"/>
            </w:tcBorders>
            <w:shd w:val="clear" w:color="auto" w:fill="auto"/>
            <w:vAlign w:val="center"/>
            <w:hideMark/>
          </w:tcPr>
          <w:p w14:paraId="075ACF8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5</w:t>
            </w:r>
          </w:p>
        </w:tc>
        <w:tc>
          <w:tcPr>
            <w:tcW w:w="1350" w:type="dxa"/>
            <w:tcBorders>
              <w:top w:val="nil"/>
              <w:left w:val="nil"/>
              <w:bottom w:val="single" w:sz="4" w:space="0" w:color="auto"/>
              <w:right w:val="single" w:sz="4" w:space="0" w:color="auto"/>
            </w:tcBorders>
            <w:shd w:val="clear" w:color="auto" w:fill="auto"/>
            <w:noWrap/>
            <w:vAlign w:val="center"/>
            <w:hideMark/>
          </w:tcPr>
          <w:p w14:paraId="41D849F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w:t>
            </w:r>
          </w:p>
        </w:tc>
        <w:tc>
          <w:tcPr>
            <w:tcW w:w="1255" w:type="dxa"/>
            <w:tcBorders>
              <w:top w:val="nil"/>
              <w:left w:val="nil"/>
              <w:bottom w:val="single" w:sz="4" w:space="0" w:color="auto"/>
              <w:right w:val="single" w:sz="4" w:space="0" w:color="auto"/>
            </w:tcBorders>
            <w:shd w:val="clear" w:color="auto" w:fill="auto"/>
            <w:vAlign w:val="center"/>
            <w:hideMark/>
          </w:tcPr>
          <w:p w14:paraId="219AF72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30</w:t>
            </w:r>
          </w:p>
        </w:tc>
        <w:tc>
          <w:tcPr>
            <w:tcW w:w="1440" w:type="dxa"/>
            <w:tcBorders>
              <w:top w:val="nil"/>
              <w:left w:val="nil"/>
              <w:bottom w:val="single" w:sz="4" w:space="0" w:color="auto"/>
              <w:right w:val="single" w:sz="4" w:space="0" w:color="auto"/>
            </w:tcBorders>
            <w:shd w:val="clear" w:color="auto" w:fill="auto"/>
            <w:vAlign w:val="center"/>
            <w:hideMark/>
          </w:tcPr>
          <w:p w14:paraId="51086C42"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1.5</w:t>
            </w:r>
          </w:p>
        </w:tc>
        <w:tc>
          <w:tcPr>
            <w:tcW w:w="1350" w:type="dxa"/>
            <w:tcBorders>
              <w:top w:val="nil"/>
              <w:left w:val="nil"/>
              <w:bottom w:val="single" w:sz="4" w:space="0" w:color="auto"/>
              <w:right w:val="single" w:sz="4" w:space="0" w:color="auto"/>
            </w:tcBorders>
            <w:shd w:val="clear" w:color="auto" w:fill="auto"/>
            <w:vAlign w:val="center"/>
            <w:hideMark/>
          </w:tcPr>
          <w:p w14:paraId="4B2DF8B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3DAA7A8A"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3,777.86</w:t>
            </w:r>
          </w:p>
        </w:tc>
      </w:tr>
      <w:tr w:rsidR="00B20702" w:rsidRPr="00B20702" w14:paraId="6BE19E13"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3B08B1A4" w14:textId="77777777" w:rsidR="00B20702" w:rsidRPr="00B20702" w:rsidRDefault="00B20702" w:rsidP="00F95BC4">
            <w:pPr>
              <w:widowControl/>
              <w:autoSpaceDE/>
              <w:autoSpaceDN/>
              <w:adjustRightInd/>
              <w:ind w:left="330"/>
              <w:rPr>
                <w:color w:val="000000"/>
                <w:sz w:val="20"/>
                <w:szCs w:val="20"/>
              </w:rPr>
            </w:pPr>
            <w:r w:rsidRPr="00B20702">
              <w:rPr>
                <w:color w:val="000000"/>
                <w:sz w:val="20"/>
                <w:szCs w:val="20"/>
              </w:rPr>
              <w:t>Continuous particulate monitor</w:t>
            </w:r>
          </w:p>
        </w:tc>
        <w:tc>
          <w:tcPr>
            <w:tcW w:w="1260" w:type="dxa"/>
            <w:tcBorders>
              <w:top w:val="nil"/>
              <w:left w:val="nil"/>
              <w:bottom w:val="single" w:sz="4" w:space="0" w:color="auto"/>
              <w:right w:val="single" w:sz="4" w:space="0" w:color="auto"/>
            </w:tcBorders>
            <w:shd w:val="clear" w:color="auto" w:fill="auto"/>
            <w:vAlign w:val="center"/>
            <w:hideMark/>
          </w:tcPr>
          <w:p w14:paraId="5793BAC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5971CBE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52</w:t>
            </w:r>
          </w:p>
        </w:tc>
        <w:tc>
          <w:tcPr>
            <w:tcW w:w="1350" w:type="dxa"/>
            <w:tcBorders>
              <w:top w:val="nil"/>
              <w:left w:val="nil"/>
              <w:bottom w:val="single" w:sz="4" w:space="0" w:color="auto"/>
              <w:right w:val="single" w:sz="4" w:space="0" w:color="auto"/>
            </w:tcBorders>
            <w:shd w:val="clear" w:color="auto" w:fill="auto"/>
            <w:vAlign w:val="center"/>
            <w:hideMark/>
          </w:tcPr>
          <w:p w14:paraId="7DA7FB5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52</w:t>
            </w:r>
          </w:p>
        </w:tc>
        <w:tc>
          <w:tcPr>
            <w:tcW w:w="1350" w:type="dxa"/>
            <w:tcBorders>
              <w:top w:val="nil"/>
              <w:left w:val="nil"/>
              <w:bottom w:val="single" w:sz="4" w:space="0" w:color="auto"/>
              <w:right w:val="single" w:sz="4" w:space="0" w:color="auto"/>
            </w:tcBorders>
            <w:shd w:val="clear" w:color="auto" w:fill="auto"/>
            <w:noWrap/>
            <w:vAlign w:val="center"/>
            <w:hideMark/>
          </w:tcPr>
          <w:p w14:paraId="306208B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3BF4C1F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624</w:t>
            </w:r>
          </w:p>
        </w:tc>
        <w:tc>
          <w:tcPr>
            <w:tcW w:w="1440" w:type="dxa"/>
            <w:tcBorders>
              <w:top w:val="nil"/>
              <w:left w:val="nil"/>
              <w:bottom w:val="single" w:sz="4" w:space="0" w:color="auto"/>
              <w:right w:val="single" w:sz="4" w:space="0" w:color="auto"/>
            </w:tcBorders>
            <w:shd w:val="clear" w:color="auto" w:fill="auto"/>
            <w:vAlign w:val="center"/>
            <w:hideMark/>
          </w:tcPr>
          <w:p w14:paraId="37C24C7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31.2</w:t>
            </w:r>
          </w:p>
        </w:tc>
        <w:tc>
          <w:tcPr>
            <w:tcW w:w="1350" w:type="dxa"/>
            <w:tcBorders>
              <w:top w:val="nil"/>
              <w:left w:val="nil"/>
              <w:bottom w:val="single" w:sz="4" w:space="0" w:color="auto"/>
              <w:right w:val="single" w:sz="4" w:space="0" w:color="auto"/>
            </w:tcBorders>
            <w:shd w:val="clear" w:color="auto" w:fill="auto"/>
            <w:vAlign w:val="center"/>
            <w:hideMark/>
          </w:tcPr>
          <w:p w14:paraId="33FC575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62.4</w:t>
            </w:r>
          </w:p>
        </w:tc>
        <w:tc>
          <w:tcPr>
            <w:tcW w:w="1350" w:type="dxa"/>
            <w:tcBorders>
              <w:top w:val="nil"/>
              <w:left w:val="nil"/>
              <w:bottom w:val="single" w:sz="4" w:space="0" w:color="auto"/>
              <w:right w:val="single" w:sz="4" w:space="0" w:color="auto"/>
            </w:tcBorders>
            <w:shd w:val="clear" w:color="auto" w:fill="auto"/>
            <w:vAlign w:val="center"/>
            <w:hideMark/>
          </w:tcPr>
          <w:p w14:paraId="72B02E00"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78,579.38</w:t>
            </w:r>
          </w:p>
        </w:tc>
      </w:tr>
      <w:tr w:rsidR="00B20702" w:rsidRPr="00B20702" w14:paraId="24AD209D"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497A2448" w14:textId="77777777" w:rsidR="00B20702" w:rsidRPr="00B20702" w:rsidRDefault="00B20702" w:rsidP="00F95BC4">
            <w:pPr>
              <w:widowControl/>
              <w:autoSpaceDE/>
              <w:autoSpaceDN/>
              <w:adjustRightInd/>
              <w:ind w:left="330"/>
              <w:rPr>
                <w:color w:val="000000"/>
                <w:sz w:val="20"/>
                <w:szCs w:val="20"/>
              </w:rPr>
            </w:pPr>
            <w:r w:rsidRPr="00B20702">
              <w:rPr>
                <w:color w:val="000000"/>
                <w:sz w:val="20"/>
                <w:szCs w:val="20"/>
              </w:rPr>
              <w:t>Differential pressure monitor</w:t>
            </w:r>
          </w:p>
        </w:tc>
        <w:tc>
          <w:tcPr>
            <w:tcW w:w="1260" w:type="dxa"/>
            <w:tcBorders>
              <w:top w:val="nil"/>
              <w:left w:val="nil"/>
              <w:bottom w:val="single" w:sz="4" w:space="0" w:color="auto"/>
              <w:right w:val="single" w:sz="4" w:space="0" w:color="auto"/>
            </w:tcBorders>
            <w:shd w:val="clear" w:color="auto" w:fill="auto"/>
            <w:vAlign w:val="center"/>
            <w:hideMark/>
          </w:tcPr>
          <w:p w14:paraId="6DCEAED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2D16D31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5FACD06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3C4D2D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24</w:t>
            </w:r>
          </w:p>
        </w:tc>
        <w:tc>
          <w:tcPr>
            <w:tcW w:w="1255" w:type="dxa"/>
            <w:tcBorders>
              <w:top w:val="nil"/>
              <w:left w:val="nil"/>
              <w:bottom w:val="single" w:sz="4" w:space="0" w:color="auto"/>
              <w:right w:val="single" w:sz="4" w:space="0" w:color="auto"/>
            </w:tcBorders>
            <w:shd w:val="clear" w:color="auto" w:fill="auto"/>
            <w:vAlign w:val="center"/>
            <w:hideMark/>
          </w:tcPr>
          <w:p w14:paraId="30D97BD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48</w:t>
            </w:r>
          </w:p>
        </w:tc>
        <w:tc>
          <w:tcPr>
            <w:tcW w:w="1440" w:type="dxa"/>
            <w:tcBorders>
              <w:top w:val="nil"/>
              <w:left w:val="nil"/>
              <w:bottom w:val="single" w:sz="4" w:space="0" w:color="auto"/>
              <w:right w:val="single" w:sz="4" w:space="0" w:color="auto"/>
            </w:tcBorders>
            <w:shd w:val="clear" w:color="auto" w:fill="auto"/>
            <w:vAlign w:val="center"/>
            <w:hideMark/>
          </w:tcPr>
          <w:p w14:paraId="2271AD7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7E199D4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14:paraId="37B48DB5"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6,044.57</w:t>
            </w:r>
          </w:p>
        </w:tc>
      </w:tr>
      <w:tr w:rsidR="00B20702" w:rsidRPr="00B20702" w14:paraId="40CFE1B5"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20C8E1EE" w14:textId="77777777" w:rsidR="00B20702" w:rsidRPr="00B20702" w:rsidRDefault="00B20702" w:rsidP="00F95BC4">
            <w:pPr>
              <w:widowControl/>
              <w:autoSpaceDE/>
              <w:autoSpaceDN/>
              <w:adjustRightInd/>
              <w:ind w:left="330"/>
              <w:rPr>
                <w:color w:val="000000"/>
                <w:sz w:val="20"/>
                <w:szCs w:val="20"/>
              </w:rPr>
            </w:pPr>
            <w:r w:rsidRPr="00B20702">
              <w:rPr>
                <w:color w:val="000000"/>
                <w:sz w:val="20"/>
                <w:szCs w:val="20"/>
              </w:rPr>
              <w:t>Inspect capture hoods</w:t>
            </w:r>
          </w:p>
        </w:tc>
        <w:tc>
          <w:tcPr>
            <w:tcW w:w="1260" w:type="dxa"/>
            <w:tcBorders>
              <w:top w:val="nil"/>
              <w:left w:val="nil"/>
              <w:bottom w:val="single" w:sz="4" w:space="0" w:color="auto"/>
              <w:right w:val="single" w:sz="4" w:space="0" w:color="auto"/>
            </w:tcBorders>
            <w:shd w:val="clear" w:color="auto" w:fill="auto"/>
            <w:vAlign w:val="center"/>
            <w:hideMark/>
          </w:tcPr>
          <w:p w14:paraId="5590387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18D2C7E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694BDC3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96</w:t>
            </w:r>
          </w:p>
        </w:tc>
        <w:tc>
          <w:tcPr>
            <w:tcW w:w="1350" w:type="dxa"/>
            <w:tcBorders>
              <w:top w:val="nil"/>
              <w:left w:val="nil"/>
              <w:bottom w:val="single" w:sz="4" w:space="0" w:color="auto"/>
              <w:right w:val="single" w:sz="4" w:space="0" w:color="auto"/>
            </w:tcBorders>
            <w:shd w:val="clear" w:color="auto" w:fill="auto"/>
            <w:vAlign w:val="center"/>
            <w:hideMark/>
          </w:tcPr>
          <w:p w14:paraId="1E4CB22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7F5C540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1,152</w:t>
            </w:r>
          </w:p>
        </w:tc>
        <w:tc>
          <w:tcPr>
            <w:tcW w:w="1440" w:type="dxa"/>
            <w:tcBorders>
              <w:top w:val="nil"/>
              <w:left w:val="nil"/>
              <w:bottom w:val="single" w:sz="4" w:space="0" w:color="auto"/>
              <w:right w:val="single" w:sz="4" w:space="0" w:color="auto"/>
            </w:tcBorders>
            <w:shd w:val="clear" w:color="auto" w:fill="auto"/>
            <w:vAlign w:val="center"/>
            <w:hideMark/>
          </w:tcPr>
          <w:p w14:paraId="14101E5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57.6</w:t>
            </w:r>
          </w:p>
        </w:tc>
        <w:tc>
          <w:tcPr>
            <w:tcW w:w="1350" w:type="dxa"/>
            <w:tcBorders>
              <w:top w:val="nil"/>
              <w:left w:val="nil"/>
              <w:bottom w:val="single" w:sz="4" w:space="0" w:color="auto"/>
              <w:right w:val="single" w:sz="4" w:space="0" w:color="auto"/>
            </w:tcBorders>
            <w:shd w:val="clear" w:color="auto" w:fill="auto"/>
            <w:vAlign w:val="center"/>
            <w:hideMark/>
          </w:tcPr>
          <w:p w14:paraId="4968668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115.2</w:t>
            </w:r>
          </w:p>
        </w:tc>
        <w:tc>
          <w:tcPr>
            <w:tcW w:w="1350" w:type="dxa"/>
            <w:tcBorders>
              <w:top w:val="nil"/>
              <w:left w:val="nil"/>
              <w:bottom w:val="single" w:sz="4" w:space="0" w:color="auto"/>
              <w:right w:val="single" w:sz="4" w:space="0" w:color="auto"/>
            </w:tcBorders>
            <w:shd w:val="clear" w:color="auto" w:fill="auto"/>
            <w:vAlign w:val="center"/>
            <w:hideMark/>
          </w:tcPr>
          <w:p w14:paraId="453296CC"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145,069.63</w:t>
            </w:r>
          </w:p>
        </w:tc>
      </w:tr>
      <w:tr w:rsidR="00B20702" w:rsidRPr="00B20702" w14:paraId="1A5F6303"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0212AF2E" w14:textId="77777777" w:rsidR="00B20702" w:rsidRPr="00B20702" w:rsidRDefault="00B20702" w:rsidP="00F95BC4">
            <w:pPr>
              <w:widowControl/>
              <w:autoSpaceDE/>
              <w:autoSpaceDN/>
              <w:adjustRightInd/>
              <w:ind w:left="330"/>
              <w:rPr>
                <w:color w:val="000000"/>
                <w:sz w:val="20"/>
                <w:szCs w:val="20"/>
              </w:rPr>
            </w:pPr>
            <w:r w:rsidRPr="00B20702">
              <w:rPr>
                <w:color w:val="000000"/>
                <w:sz w:val="20"/>
                <w:szCs w:val="20"/>
              </w:rPr>
              <w:t>Inspect and repair enclosures</w:t>
            </w:r>
          </w:p>
        </w:tc>
        <w:tc>
          <w:tcPr>
            <w:tcW w:w="1260" w:type="dxa"/>
            <w:tcBorders>
              <w:top w:val="nil"/>
              <w:left w:val="nil"/>
              <w:bottom w:val="single" w:sz="4" w:space="0" w:color="auto"/>
              <w:right w:val="single" w:sz="4" w:space="0" w:color="auto"/>
            </w:tcBorders>
            <w:shd w:val="clear" w:color="auto" w:fill="auto"/>
            <w:vAlign w:val="center"/>
            <w:hideMark/>
          </w:tcPr>
          <w:p w14:paraId="21D723B2"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20</w:t>
            </w:r>
          </w:p>
        </w:tc>
        <w:tc>
          <w:tcPr>
            <w:tcW w:w="1440" w:type="dxa"/>
            <w:tcBorders>
              <w:top w:val="nil"/>
              <w:left w:val="nil"/>
              <w:bottom w:val="single" w:sz="4" w:space="0" w:color="auto"/>
              <w:right w:val="single" w:sz="4" w:space="0" w:color="auto"/>
            </w:tcBorders>
            <w:shd w:val="clear" w:color="auto" w:fill="auto"/>
            <w:vAlign w:val="center"/>
            <w:hideMark/>
          </w:tcPr>
          <w:p w14:paraId="55812F0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57F69F7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240</w:t>
            </w:r>
          </w:p>
        </w:tc>
        <w:tc>
          <w:tcPr>
            <w:tcW w:w="1350" w:type="dxa"/>
            <w:tcBorders>
              <w:top w:val="nil"/>
              <w:left w:val="nil"/>
              <w:bottom w:val="single" w:sz="4" w:space="0" w:color="auto"/>
              <w:right w:val="single" w:sz="4" w:space="0" w:color="auto"/>
            </w:tcBorders>
            <w:shd w:val="clear" w:color="auto" w:fill="auto"/>
            <w:vAlign w:val="center"/>
            <w:hideMark/>
          </w:tcPr>
          <w:p w14:paraId="2B51B78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78FBBC6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2,880</w:t>
            </w:r>
          </w:p>
        </w:tc>
        <w:tc>
          <w:tcPr>
            <w:tcW w:w="1440" w:type="dxa"/>
            <w:tcBorders>
              <w:top w:val="nil"/>
              <w:left w:val="nil"/>
              <w:bottom w:val="single" w:sz="4" w:space="0" w:color="auto"/>
              <w:right w:val="single" w:sz="4" w:space="0" w:color="auto"/>
            </w:tcBorders>
            <w:shd w:val="clear" w:color="auto" w:fill="auto"/>
            <w:vAlign w:val="center"/>
            <w:hideMark/>
          </w:tcPr>
          <w:p w14:paraId="6C783C0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350" w:type="dxa"/>
            <w:tcBorders>
              <w:top w:val="nil"/>
              <w:left w:val="nil"/>
              <w:bottom w:val="single" w:sz="4" w:space="0" w:color="auto"/>
              <w:right w:val="single" w:sz="4" w:space="0" w:color="auto"/>
            </w:tcBorders>
            <w:shd w:val="clear" w:color="auto" w:fill="auto"/>
            <w:vAlign w:val="center"/>
            <w:hideMark/>
          </w:tcPr>
          <w:p w14:paraId="5BA476D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288</w:t>
            </w:r>
          </w:p>
        </w:tc>
        <w:tc>
          <w:tcPr>
            <w:tcW w:w="1350" w:type="dxa"/>
            <w:tcBorders>
              <w:top w:val="nil"/>
              <w:left w:val="nil"/>
              <w:bottom w:val="single" w:sz="4" w:space="0" w:color="auto"/>
              <w:right w:val="single" w:sz="4" w:space="0" w:color="auto"/>
            </w:tcBorders>
            <w:shd w:val="clear" w:color="auto" w:fill="auto"/>
            <w:vAlign w:val="center"/>
            <w:hideMark/>
          </w:tcPr>
          <w:p w14:paraId="4F701841"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362,674.08</w:t>
            </w:r>
          </w:p>
        </w:tc>
      </w:tr>
      <w:tr w:rsidR="00B20702" w:rsidRPr="00B20702" w14:paraId="365FBC18"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5866250F" w14:textId="77777777" w:rsidR="00B20702" w:rsidRPr="00B20702" w:rsidRDefault="00B20702" w:rsidP="00F95BC4">
            <w:pPr>
              <w:widowControl/>
              <w:autoSpaceDE/>
              <w:autoSpaceDN/>
              <w:adjustRightInd/>
              <w:ind w:left="330"/>
              <w:rPr>
                <w:color w:val="000000"/>
                <w:sz w:val="20"/>
                <w:szCs w:val="20"/>
              </w:rPr>
            </w:pPr>
            <w:r w:rsidRPr="00B20702">
              <w:rPr>
                <w:color w:val="000000"/>
                <w:sz w:val="20"/>
                <w:szCs w:val="20"/>
              </w:rPr>
              <w:t>Inspect battery storage areas</w:t>
            </w:r>
          </w:p>
        </w:tc>
        <w:tc>
          <w:tcPr>
            <w:tcW w:w="1260" w:type="dxa"/>
            <w:tcBorders>
              <w:top w:val="nil"/>
              <w:left w:val="nil"/>
              <w:bottom w:val="single" w:sz="4" w:space="0" w:color="auto"/>
              <w:right w:val="single" w:sz="4" w:space="0" w:color="auto"/>
            </w:tcBorders>
            <w:shd w:val="clear" w:color="auto" w:fill="auto"/>
            <w:vAlign w:val="center"/>
            <w:hideMark/>
          </w:tcPr>
          <w:p w14:paraId="61A8886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19862DC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52</w:t>
            </w:r>
          </w:p>
        </w:tc>
        <w:tc>
          <w:tcPr>
            <w:tcW w:w="1350" w:type="dxa"/>
            <w:tcBorders>
              <w:top w:val="nil"/>
              <w:left w:val="nil"/>
              <w:bottom w:val="single" w:sz="4" w:space="0" w:color="auto"/>
              <w:right w:val="single" w:sz="4" w:space="0" w:color="auto"/>
            </w:tcBorders>
            <w:shd w:val="clear" w:color="auto" w:fill="auto"/>
            <w:vAlign w:val="center"/>
            <w:hideMark/>
          </w:tcPr>
          <w:p w14:paraId="4B976BB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416</w:t>
            </w:r>
          </w:p>
        </w:tc>
        <w:tc>
          <w:tcPr>
            <w:tcW w:w="1350" w:type="dxa"/>
            <w:tcBorders>
              <w:top w:val="nil"/>
              <w:left w:val="nil"/>
              <w:bottom w:val="single" w:sz="4" w:space="0" w:color="auto"/>
              <w:right w:val="single" w:sz="4" w:space="0" w:color="auto"/>
            </w:tcBorders>
            <w:shd w:val="clear" w:color="auto" w:fill="auto"/>
            <w:vAlign w:val="center"/>
            <w:hideMark/>
          </w:tcPr>
          <w:p w14:paraId="0B0BE9F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631BF2E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4,992</w:t>
            </w:r>
          </w:p>
        </w:tc>
        <w:tc>
          <w:tcPr>
            <w:tcW w:w="1440" w:type="dxa"/>
            <w:tcBorders>
              <w:top w:val="nil"/>
              <w:left w:val="nil"/>
              <w:bottom w:val="single" w:sz="4" w:space="0" w:color="auto"/>
              <w:right w:val="single" w:sz="4" w:space="0" w:color="auto"/>
            </w:tcBorders>
            <w:shd w:val="clear" w:color="auto" w:fill="auto"/>
            <w:vAlign w:val="center"/>
            <w:hideMark/>
          </w:tcPr>
          <w:p w14:paraId="4241CAD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249.6</w:t>
            </w:r>
          </w:p>
        </w:tc>
        <w:tc>
          <w:tcPr>
            <w:tcW w:w="1350" w:type="dxa"/>
            <w:tcBorders>
              <w:top w:val="nil"/>
              <w:left w:val="nil"/>
              <w:bottom w:val="single" w:sz="4" w:space="0" w:color="auto"/>
              <w:right w:val="single" w:sz="4" w:space="0" w:color="auto"/>
            </w:tcBorders>
            <w:shd w:val="clear" w:color="auto" w:fill="auto"/>
            <w:vAlign w:val="center"/>
            <w:hideMark/>
          </w:tcPr>
          <w:p w14:paraId="710FE59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499.2</w:t>
            </w:r>
          </w:p>
        </w:tc>
        <w:tc>
          <w:tcPr>
            <w:tcW w:w="1350" w:type="dxa"/>
            <w:tcBorders>
              <w:top w:val="nil"/>
              <w:left w:val="nil"/>
              <w:bottom w:val="single" w:sz="4" w:space="0" w:color="auto"/>
              <w:right w:val="single" w:sz="4" w:space="0" w:color="auto"/>
            </w:tcBorders>
            <w:shd w:val="clear" w:color="auto" w:fill="auto"/>
            <w:vAlign w:val="center"/>
            <w:hideMark/>
          </w:tcPr>
          <w:p w14:paraId="09E87867"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628,635.07</w:t>
            </w:r>
          </w:p>
        </w:tc>
      </w:tr>
      <w:tr w:rsidR="00B20702" w:rsidRPr="00B20702" w14:paraId="791E1E22" w14:textId="77777777" w:rsidTr="00E5096A">
        <w:trPr>
          <w:trHeight w:val="315"/>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11BFB2CC" w14:textId="377EC3DC" w:rsidR="00B20702" w:rsidRPr="00B20702" w:rsidRDefault="00B20702" w:rsidP="00F95BC4">
            <w:pPr>
              <w:widowControl/>
              <w:autoSpaceDE/>
              <w:autoSpaceDN/>
              <w:adjustRightInd/>
              <w:ind w:left="330"/>
              <w:rPr>
                <w:color w:val="000000"/>
                <w:sz w:val="20"/>
                <w:szCs w:val="20"/>
              </w:rPr>
            </w:pPr>
            <w:r w:rsidRPr="00B20702">
              <w:rPr>
                <w:color w:val="000000"/>
                <w:sz w:val="20"/>
                <w:szCs w:val="20"/>
              </w:rPr>
              <w:t>Revise SOP manual</w:t>
            </w:r>
            <w:r w:rsidR="00F95BC4">
              <w:rPr>
                <w:color w:val="000000"/>
                <w:sz w:val="20"/>
                <w:szCs w:val="20"/>
              </w:rPr>
              <w:t xml:space="preserve"> </w:t>
            </w:r>
            <w:r w:rsidRPr="00B20702">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023AF9E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20</w:t>
            </w:r>
          </w:p>
        </w:tc>
        <w:tc>
          <w:tcPr>
            <w:tcW w:w="1440" w:type="dxa"/>
            <w:tcBorders>
              <w:top w:val="nil"/>
              <w:left w:val="nil"/>
              <w:bottom w:val="single" w:sz="4" w:space="0" w:color="auto"/>
              <w:right w:val="single" w:sz="4" w:space="0" w:color="auto"/>
            </w:tcBorders>
            <w:shd w:val="clear" w:color="auto" w:fill="auto"/>
            <w:vAlign w:val="center"/>
            <w:hideMark/>
          </w:tcPr>
          <w:p w14:paraId="2B92CD52"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39DB7C9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34466C8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255" w:type="dxa"/>
            <w:tcBorders>
              <w:top w:val="nil"/>
              <w:left w:val="nil"/>
              <w:bottom w:val="single" w:sz="4" w:space="0" w:color="auto"/>
              <w:right w:val="single" w:sz="4" w:space="0" w:color="auto"/>
            </w:tcBorders>
            <w:shd w:val="clear" w:color="auto" w:fill="auto"/>
            <w:vAlign w:val="center"/>
            <w:hideMark/>
          </w:tcPr>
          <w:p w14:paraId="0CBDD36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20</w:t>
            </w:r>
          </w:p>
        </w:tc>
        <w:tc>
          <w:tcPr>
            <w:tcW w:w="1440" w:type="dxa"/>
            <w:tcBorders>
              <w:top w:val="nil"/>
              <w:left w:val="nil"/>
              <w:bottom w:val="single" w:sz="4" w:space="0" w:color="auto"/>
              <w:right w:val="single" w:sz="4" w:space="0" w:color="auto"/>
            </w:tcBorders>
            <w:shd w:val="clear" w:color="auto" w:fill="auto"/>
            <w:vAlign w:val="center"/>
            <w:hideMark/>
          </w:tcPr>
          <w:p w14:paraId="6962F86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14E0117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30A9C61"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2,518.57</w:t>
            </w:r>
          </w:p>
        </w:tc>
      </w:tr>
      <w:tr w:rsidR="00B20702" w:rsidRPr="00B20702" w14:paraId="31D53E13"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137709F2" w14:textId="77777777" w:rsidR="00B20702" w:rsidRPr="00B20702" w:rsidRDefault="00B20702" w:rsidP="00F95BC4">
            <w:pPr>
              <w:widowControl/>
              <w:autoSpaceDE/>
              <w:autoSpaceDN/>
              <w:adjustRightInd/>
              <w:ind w:leftChars="100" w:left="240" w:firstLine="1"/>
              <w:rPr>
                <w:color w:val="000000"/>
                <w:sz w:val="20"/>
                <w:szCs w:val="20"/>
              </w:rPr>
            </w:pPr>
            <w:r w:rsidRPr="00B20702">
              <w:rPr>
                <w:color w:val="000000"/>
                <w:sz w:val="20"/>
                <w:szCs w:val="20"/>
              </w:rPr>
              <w:t>C.  Create information</w:t>
            </w:r>
          </w:p>
        </w:tc>
        <w:tc>
          <w:tcPr>
            <w:tcW w:w="1260" w:type="dxa"/>
            <w:tcBorders>
              <w:top w:val="nil"/>
              <w:left w:val="nil"/>
              <w:bottom w:val="single" w:sz="4" w:space="0" w:color="auto"/>
              <w:right w:val="single" w:sz="4" w:space="0" w:color="auto"/>
            </w:tcBorders>
            <w:shd w:val="clear" w:color="auto" w:fill="auto"/>
            <w:vAlign w:val="center"/>
            <w:hideMark/>
          </w:tcPr>
          <w:p w14:paraId="58C54BA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See 3B</w:t>
            </w:r>
          </w:p>
        </w:tc>
        <w:tc>
          <w:tcPr>
            <w:tcW w:w="1440" w:type="dxa"/>
            <w:tcBorders>
              <w:top w:val="nil"/>
              <w:left w:val="nil"/>
              <w:bottom w:val="single" w:sz="4" w:space="0" w:color="auto"/>
              <w:right w:val="single" w:sz="4" w:space="0" w:color="auto"/>
            </w:tcBorders>
            <w:shd w:val="clear" w:color="auto" w:fill="auto"/>
            <w:vAlign w:val="center"/>
            <w:hideMark/>
          </w:tcPr>
          <w:p w14:paraId="23F4FF9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8FF2D1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07172E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5B52779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5C39E8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CA44D8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63EC9ED"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1A49E33D"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5CBB227C" w14:textId="77777777" w:rsidR="00B20702" w:rsidRPr="00B20702" w:rsidRDefault="00B20702" w:rsidP="00F95BC4">
            <w:pPr>
              <w:widowControl/>
              <w:autoSpaceDE/>
              <w:autoSpaceDN/>
              <w:adjustRightInd/>
              <w:ind w:left="240"/>
              <w:rPr>
                <w:color w:val="000000"/>
                <w:sz w:val="20"/>
                <w:szCs w:val="20"/>
              </w:rPr>
            </w:pPr>
            <w:r w:rsidRPr="00B20702">
              <w:rPr>
                <w:color w:val="000000"/>
                <w:sz w:val="20"/>
                <w:szCs w:val="20"/>
              </w:rPr>
              <w:t>D.  Gather information</w:t>
            </w:r>
          </w:p>
        </w:tc>
        <w:tc>
          <w:tcPr>
            <w:tcW w:w="1260" w:type="dxa"/>
            <w:tcBorders>
              <w:top w:val="nil"/>
              <w:left w:val="nil"/>
              <w:bottom w:val="single" w:sz="4" w:space="0" w:color="auto"/>
              <w:right w:val="single" w:sz="4" w:space="0" w:color="auto"/>
            </w:tcBorders>
            <w:shd w:val="clear" w:color="auto" w:fill="auto"/>
            <w:vAlign w:val="center"/>
            <w:hideMark/>
          </w:tcPr>
          <w:p w14:paraId="1226E91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See 3E</w:t>
            </w:r>
          </w:p>
        </w:tc>
        <w:tc>
          <w:tcPr>
            <w:tcW w:w="1440" w:type="dxa"/>
            <w:tcBorders>
              <w:top w:val="nil"/>
              <w:left w:val="nil"/>
              <w:bottom w:val="single" w:sz="4" w:space="0" w:color="auto"/>
              <w:right w:val="single" w:sz="4" w:space="0" w:color="auto"/>
            </w:tcBorders>
            <w:shd w:val="clear" w:color="auto" w:fill="auto"/>
            <w:vAlign w:val="center"/>
            <w:hideMark/>
          </w:tcPr>
          <w:p w14:paraId="79C9868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33ABB1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F28374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04DE459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E1F6ED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6EB290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6920155"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646F6C1A"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1F9F47F8" w14:textId="77777777" w:rsidR="00B20702" w:rsidRPr="00B20702" w:rsidRDefault="00B20702" w:rsidP="00F95BC4">
            <w:pPr>
              <w:widowControl/>
              <w:autoSpaceDE/>
              <w:autoSpaceDN/>
              <w:adjustRightInd/>
              <w:ind w:left="240"/>
              <w:rPr>
                <w:color w:val="000000"/>
                <w:sz w:val="20"/>
                <w:szCs w:val="20"/>
              </w:rPr>
            </w:pPr>
            <w:r w:rsidRPr="00B20702">
              <w:rPr>
                <w:color w:val="000000"/>
                <w:sz w:val="20"/>
                <w:szCs w:val="20"/>
              </w:rPr>
              <w:t>E.  Report preparation</w:t>
            </w:r>
          </w:p>
        </w:tc>
        <w:tc>
          <w:tcPr>
            <w:tcW w:w="1260" w:type="dxa"/>
            <w:tcBorders>
              <w:top w:val="nil"/>
              <w:left w:val="nil"/>
              <w:bottom w:val="single" w:sz="4" w:space="0" w:color="auto"/>
              <w:right w:val="single" w:sz="4" w:space="0" w:color="auto"/>
            </w:tcBorders>
            <w:shd w:val="clear" w:color="auto" w:fill="auto"/>
            <w:vAlign w:val="center"/>
            <w:hideMark/>
          </w:tcPr>
          <w:p w14:paraId="3C98C06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B19D19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88A3AB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9FC36E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4BD4333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6BE586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F52CF9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6F3DCEE"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7B6DF912" w14:textId="77777777" w:rsidTr="00E5096A">
        <w:trPr>
          <w:trHeight w:val="57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219312E4" w14:textId="77777777" w:rsidR="00B20702" w:rsidRPr="00B20702" w:rsidRDefault="00B20702" w:rsidP="00F95BC4">
            <w:pPr>
              <w:widowControl/>
              <w:autoSpaceDE/>
              <w:autoSpaceDN/>
              <w:adjustRightInd/>
              <w:ind w:left="330"/>
              <w:rPr>
                <w:color w:val="000000"/>
                <w:sz w:val="20"/>
                <w:szCs w:val="20"/>
              </w:rPr>
            </w:pPr>
            <w:r w:rsidRPr="00B20702">
              <w:rPr>
                <w:color w:val="000000"/>
                <w:sz w:val="20"/>
                <w:szCs w:val="20"/>
              </w:rPr>
              <w:t>Notification of performance test</w:t>
            </w:r>
            <w:r w:rsidRPr="00B20702">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14:paraId="2248687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4EDC09C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6A6EDBE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39F6D58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4D6A871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48</w:t>
            </w:r>
          </w:p>
        </w:tc>
        <w:tc>
          <w:tcPr>
            <w:tcW w:w="1440" w:type="dxa"/>
            <w:tcBorders>
              <w:top w:val="nil"/>
              <w:left w:val="nil"/>
              <w:bottom w:val="single" w:sz="4" w:space="0" w:color="auto"/>
              <w:right w:val="single" w:sz="4" w:space="0" w:color="auto"/>
            </w:tcBorders>
            <w:shd w:val="clear" w:color="auto" w:fill="auto"/>
            <w:vAlign w:val="center"/>
            <w:hideMark/>
          </w:tcPr>
          <w:p w14:paraId="0ACE530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2854182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14:paraId="3D3027A7"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6,044.57</w:t>
            </w:r>
          </w:p>
        </w:tc>
      </w:tr>
      <w:tr w:rsidR="00B20702" w:rsidRPr="00B20702" w14:paraId="6617B56D"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44F92BB6" w14:textId="77777777" w:rsidR="00B20702" w:rsidRPr="00B20702" w:rsidRDefault="00B20702" w:rsidP="00F95BC4">
            <w:pPr>
              <w:widowControl/>
              <w:autoSpaceDE/>
              <w:autoSpaceDN/>
              <w:adjustRightInd/>
              <w:ind w:left="330"/>
              <w:rPr>
                <w:color w:val="000000"/>
                <w:sz w:val="20"/>
                <w:szCs w:val="20"/>
              </w:rPr>
            </w:pPr>
            <w:r w:rsidRPr="00B20702">
              <w:rPr>
                <w:color w:val="000000"/>
                <w:sz w:val="20"/>
                <w:szCs w:val="20"/>
              </w:rPr>
              <w:t>Semiannual compliance report</w:t>
            </w:r>
          </w:p>
        </w:tc>
        <w:tc>
          <w:tcPr>
            <w:tcW w:w="1260" w:type="dxa"/>
            <w:tcBorders>
              <w:top w:val="nil"/>
              <w:left w:val="nil"/>
              <w:bottom w:val="single" w:sz="4" w:space="0" w:color="auto"/>
              <w:right w:val="single" w:sz="4" w:space="0" w:color="auto"/>
            </w:tcBorders>
            <w:shd w:val="clear" w:color="auto" w:fill="auto"/>
            <w:vAlign w:val="center"/>
            <w:hideMark/>
          </w:tcPr>
          <w:p w14:paraId="260ECED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16</w:t>
            </w:r>
          </w:p>
        </w:tc>
        <w:tc>
          <w:tcPr>
            <w:tcW w:w="1440" w:type="dxa"/>
            <w:tcBorders>
              <w:top w:val="nil"/>
              <w:left w:val="nil"/>
              <w:bottom w:val="single" w:sz="4" w:space="0" w:color="auto"/>
              <w:right w:val="single" w:sz="4" w:space="0" w:color="auto"/>
            </w:tcBorders>
            <w:shd w:val="clear" w:color="auto" w:fill="auto"/>
            <w:vAlign w:val="center"/>
            <w:hideMark/>
          </w:tcPr>
          <w:p w14:paraId="2121F34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E7E0D0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14:paraId="34C7C95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6F8521F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384</w:t>
            </w:r>
          </w:p>
        </w:tc>
        <w:tc>
          <w:tcPr>
            <w:tcW w:w="1440" w:type="dxa"/>
            <w:tcBorders>
              <w:top w:val="nil"/>
              <w:left w:val="nil"/>
              <w:bottom w:val="single" w:sz="4" w:space="0" w:color="auto"/>
              <w:right w:val="single" w:sz="4" w:space="0" w:color="auto"/>
            </w:tcBorders>
            <w:shd w:val="clear" w:color="auto" w:fill="auto"/>
            <w:vAlign w:val="center"/>
            <w:hideMark/>
          </w:tcPr>
          <w:p w14:paraId="617411F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19.2</w:t>
            </w:r>
          </w:p>
        </w:tc>
        <w:tc>
          <w:tcPr>
            <w:tcW w:w="1350" w:type="dxa"/>
            <w:tcBorders>
              <w:top w:val="nil"/>
              <w:left w:val="nil"/>
              <w:bottom w:val="single" w:sz="4" w:space="0" w:color="auto"/>
              <w:right w:val="single" w:sz="4" w:space="0" w:color="auto"/>
            </w:tcBorders>
            <w:shd w:val="clear" w:color="auto" w:fill="auto"/>
            <w:vAlign w:val="center"/>
            <w:hideMark/>
          </w:tcPr>
          <w:p w14:paraId="3CE2DF1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38.4</w:t>
            </w:r>
          </w:p>
        </w:tc>
        <w:tc>
          <w:tcPr>
            <w:tcW w:w="1350" w:type="dxa"/>
            <w:tcBorders>
              <w:top w:val="nil"/>
              <w:left w:val="nil"/>
              <w:bottom w:val="single" w:sz="4" w:space="0" w:color="auto"/>
              <w:right w:val="single" w:sz="4" w:space="0" w:color="auto"/>
            </w:tcBorders>
            <w:shd w:val="clear" w:color="auto" w:fill="auto"/>
            <w:vAlign w:val="center"/>
            <w:hideMark/>
          </w:tcPr>
          <w:p w14:paraId="669465F1"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48,356.54</w:t>
            </w:r>
          </w:p>
        </w:tc>
      </w:tr>
      <w:tr w:rsidR="00B20702" w:rsidRPr="00B20702" w14:paraId="10481F6B" w14:textId="77777777" w:rsidTr="00E5096A">
        <w:trPr>
          <w:trHeight w:val="57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3697FF80" w14:textId="1D48A093" w:rsidR="00B20702" w:rsidRPr="00B20702" w:rsidRDefault="00B20702" w:rsidP="00F95BC4">
            <w:pPr>
              <w:widowControl/>
              <w:autoSpaceDE/>
              <w:autoSpaceDN/>
              <w:adjustRightInd/>
              <w:ind w:left="330"/>
              <w:rPr>
                <w:color w:val="000000"/>
                <w:sz w:val="20"/>
                <w:szCs w:val="20"/>
              </w:rPr>
            </w:pPr>
            <w:r w:rsidRPr="00B20702">
              <w:rPr>
                <w:color w:val="000000"/>
                <w:sz w:val="20"/>
                <w:szCs w:val="20"/>
              </w:rPr>
              <w:t>Annual (performance test) report</w:t>
            </w:r>
            <w:r w:rsidR="00FE7FF4">
              <w:rPr>
                <w:color w:val="000000"/>
                <w:sz w:val="20"/>
                <w:szCs w:val="20"/>
              </w:rPr>
              <w:t xml:space="preserve"> </w:t>
            </w:r>
            <w:r w:rsidRPr="00B20702">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14:paraId="0031905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10</w:t>
            </w:r>
          </w:p>
        </w:tc>
        <w:tc>
          <w:tcPr>
            <w:tcW w:w="1440" w:type="dxa"/>
            <w:tcBorders>
              <w:top w:val="nil"/>
              <w:left w:val="nil"/>
              <w:bottom w:val="single" w:sz="4" w:space="0" w:color="auto"/>
              <w:right w:val="single" w:sz="4" w:space="0" w:color="auto"/>
            </w:tcBorders>
            <w:shd w:val="clear" w:color="auto" w:fill="auto"/>
            <w:vAlign w:val="center"/>
            <w:hideMark/>
          </w:tcPr>
          <w:p w14:paraId="087C28D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E37668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4E65D1A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3329E01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240</w:t>
            </w:r>
          </w:p>
        </w:tc>
        <w:tc>
          <w:tcPr>
            <w:tcW w:w="1440" w:type="dxa"/>
            <w:tcBorders>
              <w:top w:val="nil"/>
              <w:left w:val="nil"/>
              <w:bottom w:val="single" w:sz="4" w:space="0" w:color="auto"/>
              <w:right w:val="single" w:sz="4" w:space="0" w:color="auto"/>
            </w:tcBorders>
            <w:shd w:val="clear" w:color="auto" w:fill="auto"/>
            <w:vAlign w:val="center"/>
            <w:hideMark/>
          </w:tcPr>
          <w:p w14:paraId="68865BF2"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0582365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6F6BA93B"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30,222.84</w:t>
            </w:r>
          </w:p>
        </w:tc>
      </w:tr>
      <w:tr w:rsidR="00B20702" w:rsidRPr="00B20702" w14:paraId="0D3D16C7" w14:textId="77777777" w:rsidTr="00E5096A">
        <w:trPr>
          <w:trHeight w:val="57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39E9FD66" w14:textId="0352470B" w:rsidR="00B20702" w:rsidRPr="00B20702" w:rsidRDefault="00B20702" w:rsidP="00F95BC4">
            <w:pPr>
              <w:widowControl/>
              <w:autoSpaceDE/>
              <w:autoSpaceDN/>
              <w:adjustRightInd/>
              <w:ind w:left="330"/>
              <w:rPr>
                <w:color w:val="000000"/>
                <w:sz w:val="20"/>
                <w:szCs w:val="20"/>
              </w:rPr>
            </w:pPr>
            <w:r w:rsidRPr="00B20702">
              <w:rPr>
                <w:color w:val="000000"/>
                <w:sz w:val="20"/>
                <w:szCs w:val="20"/>
              </w:rPr>
              <w:t>Differential pressure monitoring report</w:t>
            </w:r>
            <w:r w:rsidR="00FE7FF4">
              <w:rPr>
                <w:color w:val="000000"/>
                <w:sz w:val="20"/>
                <w:szCs w:val="20"/>
              </w:rPr>
              <w:t xml:space="preserve"> </w:t>
            </w:r>
            <w:r w:rsidRPr="00B20702">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center"/>
            <w:hideMark/>
          </w:tcPr>
          <w:p w14:paraId="60AB0E5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10</w:t>
            </w:r>
          </w:p>
        </w:tc>
        <w:tc>
          <w:tcPr>
            <w:tcW w:w="1440" w:type="dxa"/>
            <w:tcBorders>
              <w:top w:val="nil"/>
              <w:left w:val="nil"/>
              <w:bottom w:val="single" w:sz="4" w:space="0" w:color="auto"/>
              <w:right w:val="single" w:sz="4" w:space="0" w:color="auto"/>
            </w:tcBorders>
            <w:shd w:val="clear" w:color="auto" w:fill="auto"/>
            <w:vAlign w:val="center"/>
            <w:hideMark/>
          </w:tcPr>
          <w:p w14:paraId="1D52FD9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13D79B12"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5164B5C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1F9DEAD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120</w:t>
            </w:r>
          </w:p>
        </w:tc>
        <w:tc>
          <w:tcPr>
            <w:tcW w:w="1440" w:type="dxa"/>
            <w:tcBorders>
              <w:top w:val="nil"/>
              <w:left w:val="nil"/>
              <w:bottom w:val="single" w:sz="4" w:space="0" w:color="auto"/>
              <w:right w:val="single" w:sz="4" w:space="0" w:color="auto"/>
            </w:tcBorders>
            <w:shd w:val="clear" w:color="auto" w:fill="auto"/>
            <w:vAlign w:val="center"/>
            <w:hideMark/>
          </w:tcPr>
          <w:p w14:paraId="0846C3E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1DD706B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5D291CA7"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15,111.42</w:t>
            </w:r>
          </w:p>
        </w:tc>
      </w:tr>
      <w:tr w:rsidR="00B20702" w:rsidRPr="00B20702" w14:paraId="7C4B72B3"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noWrap/>
            <w:vAlign w:val="center"/>
            <w:hideMark/>
          </w:tcPr>
          <w:p w14:paraId="7B9F772D" w14:textId="77777777" w:rsidR="00B20702" w:rsidRPr="00846627" w:rsidRDefault="00B20702" w:rsidP="00B20702">
            <w:pPr>
              <w:widowControl/>
              <w:autoSpaceDE/>
              <w:autoSpaceDN/>
              <w:adjustRightInd/>
              <w:rPr>
                <w:bCs/>
                <w:i/>
                <w:iCs/>
                <w:color w:val="000000"/>
                <w:sz w:val="20"/>
                <w:szCs w:val="20"/>
              </w:rPr>
            </w:pPr>
            <w:r w:rsidRPr="00846627">
              <w:rPr>
                <w:bCs/>
                <w:i/>
                <w:iCs/>
                <w:color w:val="000000"/>
                <w:sz w:val="20"/>
                <w:szCs w:val="20"/>
              </w:rPr>
              <w:t>Reporting Subtotal</w:t>
            </w:r>
          </w:p>
        </w:tc>
        <w:tc>
          <w:tcPr>
            <w:tcW w:w="1260" w:type="dxa"/>
            <w:tcBorders>
              <w:top w:val="nil"/>
              <w:left w:val="nil"/>
              <w:bottom w:val="single" w:sz="4" w:space="0" w:color="auto"/>
              <w:right w:val="single" w:sz="4" w:space="0" w:color="auto"/>
            </w:tcBorders>
            <w:shd w:val="clear" w:color="auto" w:fill="auto"/>
            <w:vAlign w:val="center"/>
            <w:hideMark/>
          </w:tcPr>
          <w:p w14:paraId="2FAC03F7" w14:textId="77777777" w:rsidR="00B20702" w:rsidRPr="00846627" w:rsidRDefault="00B20702" w:rsidP="00B20702">
            <w:pPr>
              <w:widowControl/>
              <w:autoSpaceDE/>
              <w:autoSpaceDN/>
              <w:adjustRightInd/>
              <w:jc w:val="center"/>
              <w:rPr>
                <w:bCs/>
                <w:i/>
                <w:iCs/>
                <w:color w:val="000000"/>
                <w:sz w:val="20"/>
                <w:szCs w:val="20"/>
              </w:rPr>
            </w:pPr>
            <w:r w:rsidRPr="00846627">
              <w:rPr>
                <w:bCs/>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520F611" w14:textId="77777777" w:rsidR="00B20702" w:rsidRPr="00846627" w:rsidRDefault="00B20702" w:rsidP="00B20702">
            <w:pPr>
              <w:widowControl/>
              <w:autoSpaceDE/>
              <w:autoSpaceDN/>
              <w:adjustRightInd/>
              <w:jc w:val="center"/>
              <w:rPr>
                <w:bCs/>
                <w:i/>
                <w:iCs/>
                <w:color w:val="000000"/>
                <w:sz w:val="20"/>
                <w:szCs w:val="20"/>
              </w:rPr>
            </w:pPr>
            <w:r w:rsidRPr="00846627">
              <w:rPr>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C8CD421" w14:textId="77777777" w:rsidR="00B20702" w:rsidRPr="00846627" w:rsidRDefault="00B20702" w:rsidP="00B20702">
            <w:pPr>
              <w:widowControl/>
              <w:autoSpaceDE/>
              <w:autoSpaceDN/>
              <w:adjustRightInd/>
              <w:jc w:val="center"/>
              <w:rPr>
                <w:bCs/>
                <w:i/>
                <w:iCs/>
                <w:color w:val="000000"/>
                <w:sz w:val="20"/>
                <w:szCs w:val="20"/>
              </w:rPr>
            </w:pPr>
            <w:r w:rsidRPr="00846627">
              <w:rPr>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1B2A379" w14:textId="77777777" w:rsidR="00B20702" w:rsidRPr="00846627" w:rsidRDefault="00B20702" w:rsidP="00B20702">
            <w:pPr>
              <w:widowControl/>
              <w:autoSpaceDE/>
              <w:autoSpaceDN/>
              <w:adjustRightInd/>
              <w:jc w:val="center"/>
              <w:rPr>
                <w:bCs/>
                <w:i/>
                <w:iCs/>
                <w:color w:val="000000"/>
                <w:sz w:val="20"/>
                <w:szCs w:val="20"/>
              </w:rPr>
            </w:pPr>
            <w:r w:rsidRPr="00846627">
              <w:rPr>
                <w:bCs/>
                <w:i/>
                <w:iCs/>
                <w:color w:val="000000"/>
                <w:sz w:val="20"/>
                <w:szCs w:val="20"/>
              </w:rPr>
              <w:t> </w:t>
            </w:r>
          </w:p>
        </w:tc>
        <w:tc>
          <w:tcPr>
            <w:tcW w:w="4045" w:type="dxa"/>
            <w:gridSpan w:val="3"/>
            <w:tcBorders>
              <w:top w:val="single" w:sz="4" w:space="0" w:color="auto"/>
              <w:left w:val="nil"/>
              <w:bottom w:val="single" w:sz="4" w:space="0" w:color="auto"/>
              <w:right w:val="single" w:sz="4" w:space="0" w:color="auto"/>
            </w:tcBorders>
            <w:shd w:val="clear" w:color="auto" w:fill="auto"/>
            <w:vAlign w:val="center"/>
            <w:hideMark/>
          </w:tcPr>
          <w:p w14:paraId="0D361640" w14:textId="39E9BB2C" w:rsidR="00B20702" w:rsidRPr="00846627" w:rsidRDefault="00B20702" w:rsidP="00B20702">
            <w:pPr>
              <w:widowControl/>
              <w:autoSpaceDE/>
              <w:autoSpaceDN/>
              <w:adjustRightInd/>
              <w:jc w:val="center"/>
              <w:rPr>
                <w:bCs/>
                <w:i/>
                <w:iCs/>
                <w:color w:val="000000"/>
                <w:sz w:val="20"/>
                <w:szCs w:val="20"/>
              </w:rPr>
            </w:pPr>
            <w:r w:rsidRPr="00846627">
              <w:rPr>
                <w:bCs/>
                <w:i/>
                <w:iCs/>
                <w:color w:val="000000"/>
                <w:sz w:val="20"/>
                <w:szCs w:val="20"/>
              </w:rPr>
              <w:t>16,84</w:t>
            </w:r>
            <w:r w:rsidR="00846627">
              <w:rPr>
                <w:bCs/>
                <w:i/>
                <w:iCs/>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6F005F0D" w14:textId="17F4C6A4" w:rsidR="00B20702" w:rsidRPr="00846627" w:rsidRDefault="00B20702" w:rsidP="00B20702">
            <w:pPr>
              <w:widowControl/>
              <w:autoSpaceDE/>
              <w:autoSpaceDN/>
              <w:adjustRightInd/>
              <w:jc w:val="right"/>
              <w:rPr>
                <w:bCs/>
                <w:i/>
                <w:iCs/>
                <w:color w:val="000000"/>
                <w:sz w:val="20"/>
                <w:szCs w:val="20"/>
              </w:rPr>
            </w:pPr>
            <w:r w:rsidRPr="00846627">
              <w:rPr>
                <w:bCs/>
                <w:i/>
                <w:iCs/>
                <w:color w:val="000000"/>
                <w:sz w:val="20"/>
                <w:szCs w:val="20"/>
              </w:rPr>
              <w:t>1,84</w:t>
            </w:r>
            <w:r w:rsidR="00C64153">
              <w:rPr>
                <w:bCs/>
                <w:i/>
                <w:iCs/>
                <w:color w:val="000000"/>
                <w:sz w:val="20"/>
                <w:szCs w:val="20"/>
              </w:rPr>
              <w:t>4,583</w:t>
            </w:r>
          </w:p>
        </w:tc>
      </w:tr>
      <w:tr w:rsidR="00B20702" w:rsidRPr="00B20702" w14:paraId="4D7065B8"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757C3C54" w14:textId="77777777" w:rsidR="00B20702" w:rsidRPr="00B20702" w:rsidRDefault="00B20702" w:rsidP="00B20702">
            <w:pPr>
              <w:widowControl/>
              <w:autoSpaceDE/>
              <w:autoSpaceDN/>
              <w:adjustRightInd/>
              <w:rPr>
                <w:color w:val="000000"/>
                <w:sz w:val="20"/>
                <w:szCs w:val="20"/>
              </w:rPr>
            </w:pPr>
            <w:r w:rsidRPr="00B20702">
              <w:rPr>
                <w:color w:val="000000"/>
                <w:sz w:val="20"/>
                <w:szCs w:val="20"/>
              </w:rPr>
              <w:t>1.  Recordkeeping requirements</w:t>
            </w:r>
          </w:p>
        </w:tc>
        <w:tc>
          <w:tcPr>
            <w:tcW w:w="1260" w:type="dxa"/>
            <w:tcBorders>
              <w:top w:val="nil"/>
              <w:left w:val="nil"/>
              <w:bottom w:val="single" w:sz="4" w:space="0" w:color="auto"/>
              <w:right w:val="single" w:sz="4" w:space="0" w:color="auto"/>
            </w:tcBorders>
            <w:shd w:val="clear" w:color="auto" w:fill="auto"/>
            <w:vAlign w:val="center"/>
            <w:hideMark/>
          </w:tcPr>
          <w:p w14:paraId="3A2353B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850187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3C70D1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64DAAA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1C99BD1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F6DF5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9E3B06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EF2388E"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371E78DA"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BFB1E48" w14:textId="77777777" w:rsidR="00B20702" w:rsidRPr="00B20702" w:rsidRDefault="00B20702" w:rsidP="00F95BC4">
            <w:pPr>
              <w:widowControl/>
              <w:autoSpaceDE/>
              <w:autoSpaceDN/>
              <w:adjustRightInd/>
              <w:ind w:left="240"/>
              <w:rPr>
                <w:color w:val="000000"/>
                <w:sz w:val="20"/>
                <w:szCs w:val="20"/>
              </w:rPr>
            </w:pPr>
            <w:r w:rsidRPr="00B20702">
              <w:rPr>
                <w:color w:val="000000"/>
                <w:sz w:val="20"/>
                <w:szCs w:val="20"/>
              </w:rPr>
              <w:t>A.  Familiarization with the regulatory requirements</w:t>
            </w:r>
          </w:p>
        </w:tc>
        <w:tc>
          <w:tcPr>
            <w:tcW w:w="1260" w:type="dxa"/>
            <w:tcBorders>
              <w:top w:val="nil"/>
              <w:left w:val="nil"/>
              <w:bottom w:val="single" w:sz="4" w:space="0" w:color="auto"/>
              <w:right w:val="single" w:sz="4" w:space="0" w:color="auto"/>
            </w:tcBorders>
            <w:shd w:val="clear" w:color="auto" w:fill="auto"/>
            <w:vAlign w:val="center"/>
            <w:hideMark/>
          </w:tcPr>
          <w:p w14:paraId="1BC5933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See 3A</w:t>
            </w:r>
          </w:p>
        </w:tc>
        <w:tc>
          <w:tcPr>
            <w:tcW w:w="1440" w:type="dxa"/>
            <w:tcBorders>
              <w:top w:val="nil"/>
              <w:left w:val="nil"/>
              <w:bottom w:val="single" w:sz="4" w:space="0" w:color="auto"/>
              <w:right w:val="single" w:sz="4" w:space="0" w:color="auto"/>
            </w:tcBorders>
            <w:shd w:val="clear" w:color="auto" w:fill="auto"/>
            <w:vAlign w:val="center"/>
            <w:hideMark/>
          </w:tcPr>
          <w:p w14:paraId="05AD5D8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6EAC96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83C824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245FABA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549CE5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B7C8AF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3EBC62C"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502FCDE8"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270F0835" w14:textId="77777777" w:rsidR="00B20702" w:rsidRPr="00B20702" w:rsidRDefault="00B20702" w:rsidP="00F95BC4">
            <w:pPr>
              <w:widowControl/>
              <w:autoSpaceDE/>
              <w:autoSpaceDN/>
              <w:adjustRightInd/>
              <w:ind w:left="240"/>
              <w:rPr>
                <w:color w:val="000000"/>
                <w:sz w:val="20"/>
                <w:szCs w:val="20"/>
              </w:rPr>
            </w:pPr>
            <w:r w:rsidRPr="00B20702">
              <w:rPr>
                <w:color w:val="000000"/>
                <w:sz w:val="20"/>
                <w:szCs w:val="20"/>
              </w:rPr>
              <w:t>B.  Implement activities</w:t>
            </w:r>
          </w:p>
        </w:tc>
        <w:tc>
          <w:tcPr>
            <w:tcW w:w="1260" w:type="dxa"/>
            <w:tcBorders>
              <w:top w:val="nil"/>
              <w:left w:val="nil"/>
              <w:bottom w:val="single" w:sz="4" w:space="0" w:color="auto"/>
              <w:right w:val="single" w:sz="4" w:space="0" w:color="auto"/>
            </w:tcBorders>
            <w:shd w:val="clear" w:color="auto" w:fill="auto"/>
            <w:vAlign w:val="center"/>
            <w:hideMark/>
          </w:tcPr>
          <w:p w14:paraId="06BA97E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14:paraId="3F62005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DB3BC6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34FC17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05BDCA5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D08832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A9D8D8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94B1349"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6F98D4E9"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54FB16D2" w14:textId="77777777" w:rsidR="00B20702" w:rsidRPr="00B20702" w:rsidRDefault="00B20702" w:rsidP="00F95BC4">
            <w:pPr>
              <w:widowControl/>
              <w:autoSpaceDE/>
              <w:autoSpaceDN/>
              <w:adjustRightInd/>
              <w:ind w:left="240"/>
              <w:rPr>
                <w:color w:val="000000"/>
                <w:sz w:val="20"/>
                <w:szCs w:val="20"/>
              </w:rPr>
            </w:pPr>
            <w:r w:rsidRPr="00B20702">
              <w:rPr>
                <w:color w:val="000000"/>
                <w:sz w:val="20"/>
                <w:szCs w:val="20"/>
              </w:rPr>
              <w:t>C.  Develop record system</w:t>
            </w:r>
          </w:p>
        </w:tc>
        <w:tc>
          <w:tcPr>
            <w:tcW w:w="1260" w:type="dxa"/>
            <w:tcBorders>
              <w:top w:val="nil"/>
              <w:left w:val="nil"/>
              <w:bottom w:val="single" w:sz="4" w:space="0" w:color="auto"/>
              <w:right w:val="single" w:sz="4" w:space="0" w:color="auto"/>
            </w:tcBorders>
            <w:shd w:val="clear" w:color="auto" w:fill="auto"/>
            <w:vAlign w:val="center"/>
            <w:hideMark/>
          </w:tcPr>
          <w:p w14:paraId="3FA7527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14:paraId="1112EFA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E80A66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87C4A8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6344151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5E979A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8ECF042"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4C9DFBB"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356BD3B6"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552CCF87" w14:textId="77777777" w:rsidR="00B20702" w:rsidRPr="00B20702" w:rsidRDefault="00B20702" w:rsidP="00F95BC4">
            <w:pPr>
              <w:widowControl/>
              <w:autoSpaceDE/>
              <w:autoSpaceDN/>
              <w:adjustRightInd/>
              <w:ind w:left="240"/>
              <w:rPr>
                <w:color w:val="000000"/>
                <w:sz w:val="20"/>
                <w:szCs w:val="20"/>
              </w:rPr>
            </w:pPr>
            <w:r w:rsidRPr="00B20702">
              <w:rPr>
                <w:color w:val="000000"/>
                <w:sz w:val="20"/>
                <w:szCs w:val="20"/>
              </w:rPr>
              <w:t>D.  Record information</w:t>
            </w:r>
          </w:p>
        </w:tc>
        <w:tc>
          <w:tcPr>
            <w:tcW w:w="1260" w:type="dxa"/>
            <w:tcBorders>
              <w:top w:val="nil"/>
              <w:left w:val="nil"/>
              <w:bottom w:val="single" w:sz="4" w:space="0" w:color="auto"/>
              <w:right w:val="single" w:sz="4" w:space="0" w:color="auto"/>
            </w:tcBorders>
            <w:shd w:val="clear" w:color="auto" w:fill="auto"/>
            <w:vAlign w:val="center"/>
            <w:hideMark/>
          </w:tcPr>
          <w:p w14:paraId="332242A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46343D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F2DE2F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E6944D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7782085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2882DC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D51228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CA58854"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713C1DAF"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04A5B4C1" w14:textId="77777777" w:rsidR="00B20702" w:rsidRPr="00B20702" w:rsidRDefault="00B20702" w:rsidP="00F95BC4">
            <w:pPr>
              <w:widowControl/>
              <w:autoSpaceDE/>
              <w:autoSpaceDN/>
              <w:adjustRightInd/>
              <w:ind w:left="330"/>
              <w:rPr>
                <w:color w:val="000000"/>
                <w:sz w:val="20"/>
                <w:szCs w:val="20"/>
              </w:rPr>
            </w:pPr>
            <w:r w:rsidRPr="00B20702">
              <w:rPr>
                <w:color w:val="000000"/>
                <w:sz w:val="20"/>
                <w:szCs w:val="20"/>
              </w:rPr>
              <w:t>Fugitives</w:t>
            </w:r>
          </w:p>
        </w:tc>
        <w:tc>
          <w:tcPr>
            <w:tcW w:w="1260" w:type="dxa"/>
            <w:tcBorders>
              <w:top w:val="nil"/>
              <w:left w:val="nil"/>
              <w:bottom w:val="single" w:sz="4" w:space="0" w:color="auto"/>
              <w:right w:val="single" w:sz="4" w:space="0" w:color="auto"/>
            </w:tcBorders>
            <w:shd w:val="clear" w:color="auto" w:fill="auto"/>
            <w:vAlign w:val="center"/>
            <w:hideMark/>
          </w:tcPr>
          <w:p w14:paraId="6413F61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6CD520C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4758651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252BE12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1F686F6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440" w:type="dxa"/>
            <w:tcBorders>
              <w:top w:val="nil"/>
              <w:left w:val="nil"/>
              <w:bottom w:val="single" w:sz="4" w:space="0" w:color="auto"/>
              <w:right w:val="single" w:sz="4" w:space="0" w:color="auto"/>
            </w:tcBorders>
            <w:shd w:val="clear" w:color="auto" w:fill="auto"/>
            <w:vAlign w:val="center"/>
            <w:hideMark/>
          </w:tcPr>
          <w:p w14:paraId="04878A8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7.2</w:t>
            </w:r>
          </w:p>
        </w:tc>
        <w:tc>
          <w:tcPr>
            <w:tcW w:w="1350" w:type="dxa"/>
            <w:tcBorders>
              <w:top w:val="nil"/>
              <w:left w:val="nil"/>
              <w:bottom w:val="single" w:sz="4" w:space="0" w:color="auto"/>
              <w:right w:val="single" w:sz="4" w:space="0" w:color="auto"/>
            </w:tcBorders>
            <w:shd w:val="clear" w:color="auto" w:fill="auto"/>
            <w:vAlign w:val="center"/>
            <w:hideMark/>
          </w:tcPr>
          <w:p w14:paraId="5EDA466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350" w:type="dxa"/>
            <w:tcBorders>
              <w:top w:val="nil"/>
              <w:left w:val="nil"/>
              <w:bottom w:val="single" w:sz="4" w:space="0" w:color="auto"/>
              <w:right w:val="single" w:sz="4" w:space="0" w:color="auto"/>
            </w:tcBorders>
            <w:shd w:val="clear" w:color="auto" w:fill="auto"/>
            <w:vAlign w:val="center"/>
            <w:hideMark/>
          </w:tcPr>
          <w:p w14:paraId="76CB5300"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18,133.70</w:t>
            </w:r>
          </w:p>
        </w:tc>
      </w:tr>
      <w:tr w:rsidR="00B20702" w:rsidRPr="00B20702" w14:paraId="00497930"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2A4BB7FD" w14:textId="77777777" w:rsidR="00B20702" w:rsidRPr="00B20702" w:rsidRDefault="00B20702" w:rsidP="00F95BC4">
            <w:pPr>
              <w:widowControl/>
              <w:autoSpaceDE/>
              <w:autoSpaceDN/>
              <w:adjustRightInd/>
              <w:ind w:left="330"/>
              <w:rPr>
                <w:color w:val="000000"/>
                <w:sz w:val="20"/>
                <w:szCs w:val="20"/>
              </w:rPr>
            </w:pPr>
            <w:r w:rsidRPr="00B20702">
              <w:rPr>
                <w:color w:val="000000"/>
                <w:sz w:val="20"/>
                <w:szCs w:val="20"/>
              </w:rPr>
              <w:t>Flow weighted averages for lead</w:t>
            </w:r>
          </w:p>
        </w:tc>
        <w:tc>
          <w:tcPr>
            <w:tcW w:w="1260" w:type="dxa"/>
            <w:tcBorders>
              <w:top w:val="nil"/>
              <w:left w:val="nil"/>
              <w:bottom w:val="single" w:sz="4" w:space="0" w:color="auto"/>
              <w:right w:val="single" w:sz="4" w:space="0" w:color="auto"/>
            </w:tcBorders>
            <w:shd w:val="clear" w:color="auto" w:fill="auto"/>
            <w:vAlign w:val="center"/>
            <w:hideMark/>
          </w:tcPr>
          <w:p w14:paraId="35DE30A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27FDB5B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4B31CE2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50BF8F3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5FE6A01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440" w:type="dxa"/>
            <w:tcBorders>
              <w:top w:val="nil"/>
              <w:left w:val="nil"/>
              <w:bottom w:val="single" w:sz="4" w:space="0" w:color="auto"/>
              <w:right w:val="single" w:sz="4" w:space="0" w:color="auto"/>
            </w:tcBorders>
            <w:shd w:val="clear" w:color="auto" w:fill="auto"/>
            <w:vAlign w:val="center"/>
            <w:hideMark/>
          </w:tcPr>
          <w:p w14:paraId="2D97EA5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0.6</w:t>
            </w:r>
          </w:p>
        </w:tc>
        <w:tc>
          <w:tcPr>
            <w:tcW w:w="1350" w:type="dxa"/>
            <w:tcBorders>
              <w:top w:val="nil"/>
              <w:left w:val="nil"/>
              <w:bottom w:val="single" w:sz="4" w:space="0" w:color="auto"/>
              <w:right w:val="single" w:sz="4" w:space="0" w:color="auto"/>
            </w:tcBorders>
            <w:shd w:val="clear" w:color="auto" w:fill="auto"/>
            <w:vAlign w:val="center"/>
            <w:hideMark/>
          </w:tcPr>
          <w:p w14:paraId="38060BF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5B05959C"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1,511.14</w:t>
            </w:r>
          </w:p>
        </w:tc>
      </w:tr>
      <w:tr w:rsidR="00B20702" w:rsidRPr="00B20702" w14:paraId="068E8C3D"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1DBACF0D" w14:textId="77777777" w:rsidR="00B20702" w:rsidRPr="00B20702" w:rsidRDefault="00B20702" w:rsidP="00F95BC4">
            <w:pPr>
              <w:widowControl/>
              <w:autoSpaceDE/>
              <w:autoSpaceDN/>
              <w:adjustRightInd/>
              <w:ind w:left="330"/>
              <w:rPr>
                <w:color w:val="000000"/>
                <w:sz w:val="20"/>
                <w:szCs w:val="20"/>
              </w:rPr>
            </w:pPr>
            <w:r w:rsidRPr="00B20702">
              <w:rPr>
                <w:color w:val="000000"/>
                <w:sz w:val="20"/>
                <w:szCs w:val="20"/>
              </w:rPr>
              <w:t>Continuous particulate monitor</w:t>
            </w:r>
          </w:p>
        </w:tc>
        <w:tc>
          <w:tcPr>
            <w:tcW w:w="1260" w:type="dxa"/>
            <w:tcBorders>
              <w:top w:val="nil"/>
              <w:left w:val="nil"/>
              <w:bottom w:val="single" w:sz="4" w:space="0" w:color="auto"/>
              <w:right w:val="single" w:sz="4" w:space="0" w:color="auto"/>
            </w:tcBorders>
            <w:shd w:val="clear" w:color="auto" w:fill="auto"/>
            <w:vAlign w:val="center"/>
            <w:hideMark/>
          </w:tcPr>
          <w:p w14:paraId="22A5EA6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521F7BD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52</w:t>
            </w:r>
          </w:p>
        </w:tc>
        <w:tc>
          <w:tcPr>
            <w:tcW w:w="1350" w:type="dxa"/>
            <w:tcBorders>
              <w:top w:val="nil"/>
              <w:left w:val="nil"/>
              <w:bottom w:val="single" w:sz="4" w:space="0" w:color="auto"/>
              <w:right w:val="single" w:sz="4" w:space="0" w:color="auto"/>
            </w:tcBorders>
            <w:shd w:val="clear" w:color="auto" w:fill="auto"/>
            <w:vAlign w:val="center"/>
            <w:hideMark/>
          </w:tcPr>
          <w:p w14:paraId="1CDEC6F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52</w:t>
            </w:r>
          </w:p>
        </w:tc>
        <w:tc>
          <w:tcPr>
            <w:tcW w:w="1350" w:type="dxa"/>
            <w:tcBorders>
              <w:top w:val="nil"/>
              <w:left w:val="nil"/>
              <w:bottom w:val="single" w:sz="4" w:space="0" w:color="auto"/>
              <w:right w:val="single" w:sz="4" w:space="0" w:color="auto"/>
            </w:tcBorders>
            <w:shd w:val="clear" w:color="auto" w:fill="auto"/>
            <w:noWrap/>
            <w:vAlign w:val="center"/>
            <w:hideMark/>
          </w:tcPr>
          <w:p w14:paraId="2982CB3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19BBCC2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624</w:t>
            </w:r>
          </w:p>
        </w:tc>
        <w:tc>
          <w:tcPr>
            <w:tcW w:w="1440" w:type="dxa"/>
            <w:tcBorders>
              <w:top w:val="nil"/>
              <w:left w:val="nil"/>
              <w:bottom w:val="single" w:sz="4" w:space="0" w:color="auto"/>
              <w:right w:val="single" w:sz="4" w:space="0" w:color="auto"/>
            </w:tcBorders>
            <w:shd w:val="clear" w:color="auto" w:fill="auto"/>
            <w:vAlign w:val="center"/>
            <w:hideMark/>
          </w:tcPr>
          <w:p w14:paraId="5493208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31.2</w:t>
            </w:r>
          </w:p>
        </w:tc>
        <w:tc>
          <w:tcPr>
            <w:tcW w:w="1350" w:type="dxa"/>
            <w:tcBorders>
              <w:top w:val="nil"/>
              <w:left w:val="nil"/>
              <w:bottom w:val="single" w:sz="4" w:space="0" w:color="auto"/>
              <w:right w:val="single" w:sz="4" w:space="0" w:color="auto"/>
            </w:tcBorders>
            <w:shd w:val="clear" w:color="auto" w:fill="auto"/>
            <w:vAlign w:val="center"/>
            <w:hideMark/>
          </w:tcPr>
          <w:p w14:paraId="2B547FC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62.4</w:t>
            </w:r>
          </w:p>
        </w:tc>
        <w:tc>
          <w:tcPr>
            <w:tcW w:w="1350" w:type="dxa"/>
            <w:tcBorders>
              <w:top w:val="nil"/>
              <w:left w:val="nil"/>
              <w:bottom w:val="single" w:sz="4" w:space="0" w:color="auto"/>
              <w:right w:val="single" w:sz="4" w:space="0" w:color="auto"/>
            </w:tcBorders>
            <w:shd w:val="clear" w:color="auto" w:fill="auto"/>
            <w:vAlign w:val="center"/>
            <w:hideMark/>
          </w:tcPr>
          <w:p w14:paraId="63B7358F"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78,579.38</w:t>
            </w:r>
          </w:p>
        </w:tc>
      </w:tr>
      <w:tr w:rsidR="00B20702" w:rsidRPr="00B20702" w14:paraId="021B21FA"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25A6B91C" w14:textId="77777777" w:rsidR="00B20702" w:rsidRPr="00B20702" w:rsidRDefault="00B20702" w:rsidP="00310980">
            <w:pPr>
              <w:widowControl/>
              <w:autoSpaceDE/>
              <w:autoSpaceDN/>
              <w:adjustRightInd/>
              <w:ind w:left="330"/>
              <w:rPr>
                <w:color w:val="000000"/>
                <w:sz w:val="20"/>
                <w:szCs w:val="20"/>
              </w:rPr>
            </w:pPr>
            <w:r w:rsidRPr="00B20702">
              <w:rPr>
                <w:color w:val="000000"/>
                <w:sz w:val="20"/>
                <w:szCs w:val="20"/>
              </w:rPr>
              <w:t>Differential pressure monitors</w:t>
            </w:r>
          </w:p>
        </w:tc>
        <w:tc>
          <w:tcPr>
            <w:tcW w:w="1260" w:type="dxa"/>
            <w:tcBorders>
              <w:top w:val="nil"/>
              <w:left w:val="nil"/>
              <w:bottom w:val="single" w:sz="4" w:space="0" w:color="auto"/>
              <w:right w:val="single" w:sz="4" w:space="0" w:color="auto"/>
            </w:tcBorders>
            <w:shd w:val="clear" w:color="auto" w:fill="auto"/>
            <w:vAlign w:val="center"/>
            <w:hideMark/>
          </w:tcPr>
          <w:p w14:paraId="08181C7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200820E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72E1F49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6170F5B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24</w:t>
            </w:r>
          </w:p>
        </w:tc>
        <w:tc>
          <w:tcPr>
            <w:tcW w:w="1255" w:type="dxa"/>
            <w:tcBorders>
              <w:top w:val="nil"/>
              <w:left w:val="nil"/>
              <w:bottom w:val="single" w:sz="4" w:space="0" w:color="auto"/>
              <w:right w:val="single" w:sz="4" w:space="0" w:color="auto"/>
            </w:tcBorders>
            <w:shd w:val="clear" w:color="auto" w:fill="auto"/>
            <w:vAlign w:val="center"/>
            <w:hideMark/>
          </w:tcPr>
          <w:p w14:paraId="458F0B1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288</w:t>
            </w:r>
          </w:p>
        </w:tc>
        <w:tc>
          <w:tcPr>
            <w:tcW w:w="1440" w:type="dxa"/>
            <w:tcBorders>
              <w:top w:val="nil"/>
              <w:left w:val="nil"/>
              <w:bottom w:val="single" w:sz="4" w:space="0" w:color="auto"/>
              <w:right w:val="single" w:sz="4" w:space="0" w:color="auto"/>
            </w:tcBorders>
            <w:shd w:val="clear" w:color="auto" w:fill="auto"/>
            <w:vAlign w:val="center"/>
            <w:hideMark/>
          </w:tcPr>
          <w:p w14:paraId="1BA8CE7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350" w:type="dxa"/>
            <w:tcBorders>
              <w:top w:val="nil"/>
              <w:left w:val="nil"/>
              <w:bottom w:val="single" w:sz="4" w:space="0" w:color="auto"/>
              <w:right w:val="single" w:sz="4" w:space="0" w:color="auto"/>
            </w:tcBorders>
            <w:shd w:val="clear" w:color="auto" w:fill="auto"/>
            <w:vAlign w:val="center"/>
            <w:hideMark/>
          </w:tcPr>
          <w:p w14:paraId="3604862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28.8</w:t>
            </w:r>
          </w:p>
        </w:tc>
        <w:tc>
          <w:tcPr>
            <w:tcW w:w="1350" w:type="dxa"/>
            <w:tcBorders>
              <w:top w:val="nil"/>
              <w:left w:val="nil"/>
              <w:bottom w:val="single" w:sz="4" w:space="0" w:color="auto"/>
              <w:right w:val="single" w:sz="4" w:space="0" w:color="auto"/>
            </w:tcBorders>
            <w:shd w:val="clear" w:color="auto" w:fill="auto"/>
            <w:vAlign w:val="center"/>
            <w:hideMark/>
          </w:tcPr>
          <w:p w14:paraId="669BCD2D"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36,267.41</w:t>
            </w:r>
          </w:p>
        </w:tc>
      </w:tr>
      <w:tr w:rsidR="00B20702" w:rsidRPr="00B20702" w14:paraId="4048284B"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5F31323" w14:textId="77777777" w:rsidR="00B20702" w:rsidRPr="00B20702" w:rsidRDefault="00B20702" w:rsidP="00310980">
            <w:pPr>
              <w:widowControl/>
              <w:autoSpaceDE/>
              <w:autoSpaceDN/>
              <w:adjustRightInd/>
              <w:ind w:left="330"/>
              <w:rPr>
                <w:color w:val="000000"/>
                <w:sz w:val="20"/>
                <w:szCs w:val="20"/>
              </w:rPr>
            </w:pPr>
            <w:r w:rsidRPr="00B20702">
              <w:rPr>
                <w:color w:val="000000"/>
                <w:sz w:val="20"/>
                <w:szCs w:val="20"/>
              </w:rPr>
              <w:t>Power outages</w:t>
            </w:r>
          </w:p>
        </w:tc>
        <w:tc>
          <w:tcPr>
            <w:tcW w:w="1260" w:type="dxa"/>
            <w:tcBorders>
              <w:top w:val="nil"/>
              <w:left w:val="nil"/>
              <w:bottom w:val="single" w:sz="4" w:space="0" w:color="auto"/>
              <w:right w:val="single" w:sz="4" w:space="0" w:color="auto"/>
            </w:tcBorders>
            <w:shd w:val="clear" w:color="auto" w:fill="auto"/>
            <w:vAlign w:val="center"/>
            <w:hideMark/>
          </w:tcPr>
          <w:p w14:paraId="3932231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537855F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4A8691D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2795A5E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330B06C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440" w:type="dxa"/>
            <w:tcBorders>
              <w:top w:val="nil"/>
              <w:left w:val="nil"/>
              <w:bottom w:val="single" w:sz="4" w:space="0" w:color="auto"/>
              <w:right w:val="single" w:sz="4" w:space="0" w:color="auto"/>
            </w:tcBorders>
            <w:shd w:val="clear" w:color="auto" w:fill="auto"/>
            <w:vAlign w:val="center"/>
            <w:hideMark/>
          </w:tcPr>
          <w:p w14:paraId="490FFB6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7.2</w:t>
            </w:r>
          </w:p>
        </w:tc>
        <w:tc>
          <w:tcPr>
            <w:tcW w:w="1350" w:type="dxa"/>
            <w:tcBorders>
              <w:top w:val="nil"/>
              <w:left w:val="nil"/>
              <w:bottom w:val="single" w:sz="4" w:space="0" w:color="auto"/>
              <w:right w:val="single" w:sz="4" w:space="0" w:color="auto"/>
            </w:tcBorders>
            <w:shd w:val="clear" w:color="auto" w:fill="auto"/>
            <w:vAlign w:val="center"/>
            <w:hideMark/>
          </w:tcPr>
          <w:p w14:paraId="052C629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350" w:type="dxa"/>
            <w:tcBorders>
              <w:top w:val="nil"/>
              <w:left w:val="nil"/>
              <w:bottom w:val="single" w:sz="4" w:space="0" w:color="auto"/>
              <w:right w:val="single" w:sz="4" w:space="0" w:color="auto"/>
            </w:tcBorders>
            <w:shd w:val="clear" w:color="auto" w:fill="auto"/>
            <w:vAlign w:val="center"/>
            <w:hideMark/>
          </w:tcPr>
          <w:p w14:paraId="12CF9307"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18,133.70</w:t>
            </w:r>
          </w:p>
        </w:tc>
      </w:tr>
      <w:tr w:rsidR="00B20702" w:rsidRPr="00B20702" w14:paraId="1B4C57D4"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2B3E9A4B" w14:textId="77777777" w:rsidR="00B20702" w:rsidRPr="00B20702" w:rsidRDefault="00B20702" w:rsidP="00310980">
            <w:pPr>
              <w:widowControl/>
              <w:autoSpaceDE/>
              <w:autoSpaceDN/>
              <w:adjustRightInd/>
              <w:ind w:left="330"/>
              <w:rPr>
                <w:color w:val="000000"/>
                <w:sz w:val="20"/>
                <w:szCs w:val="20"/>
              </w:rPr>
            </w:pPr>
            <w:r w:rsidRPr="00B20702">
              <w:rPr>
                <w:color w:val="000000"/>
                <w:sz w:val="20"/>
                <w:szCs w:val="20"/>
              </w:rPr>
              <w:t>Facility enclosure inspections</w:t>
            </w:r>
          </w:p>
        </w:tc>
        <w:tc>
          <w:tcPr>
            <w:tcW w:w="1260" w:type="dxa"/>
            <w:tcBorders>
              <w:top w:val="nil"/>
              <w:left w:val="nil"/>
              <w:bottom w:val="single" w:sz="4" w:space="0" w:color="auto"/>
              <w:right w:val="single" w:sz="4" w:space="0" w:color="auto"/>
            </w:tcBorders>
            <w:shd w:val="clear" w:color="auto" w:fill="auto"/>
            <w:vAlign w:val="center"/>
            <w:hideMark/>
          </w:tcPr>
          <w:p w14:paraId="1BB1E8F2"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13423A26"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6EBD7A0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7600320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008CAA7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440" w:type="dxa"/>
            <w:tcBorders>
              <w:top w:val="nil"/>
              <w:left w:val="nil"/>
              <w:bottom w:val="single" w:sz="4" w:space="0" w:color="auto"/>
              <w:right w:val="single" w:sz="4" w:space="0" w:color="auto"/>
            </w:tcBorders>
            <w:shd w:val="clear" w:color="auto" w:fill="auto"/>
            <w:vAlign w:val="center"/>
            <w:hideMark/>
          </w:tcPr>
          <w:p w14:paraId="2F73477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7.2</w:t>
            </w:r>
          </w:p>
        </w:tc>
        <w:tc>
          <w:tcPr>
            <w:tcW w:w="1350" w:type="dxa"/>
            <w:tcBorders>
              <w:top w:val="nil"/>
              <w:left w:val="nil"/>
              <w:bottom w:val="single" w:sz="4" w:space="0" w:color="auto"/>
              <w:right w:val="single" w:sz="4" w:space="0" w:color="auto"/>
            </w:tcBorders>
            <w:shd w:val="clear" w:color="auto" w:fill="auto"/>
            <w:vAlign w:val="center"/>
            <w:hideMark/>
          </w:tcPr>
          <w:p w14:paraId="748912E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350" w:type="dxa"/>
            <w:tcBorders>
              <w:top w:val="nil"/>
              <w:left w:val="nil"/>
              <w:bottom w:val="single" w:sz="4" w:space="0" w:color="auto"/>
              <w:right w:val="single" w:sz="4" w:space="0" w:color="auto"/>
            </w:tcBorders>
            <w:shd w:val="clear" w:color="auto" w:fill="auto"/>
            <w:vAlign w:val="center"/>
            <w:hideMark/>
          </w:tcPr>
          <w:p w14:paraId="49A6B3CB"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18,133.70</w:t>
            </w:r>
          </w:p>
        </w:tc>
      </w:tr>
      <w:tr w:rsidR="00B20702" w:rsidRPr="00B20702" w14:paraId="26CA1D27"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5AD214C4" w14:textId="77777777" w:rsidR="00B20702" w:rsidRPr="00B20702" w:rsidRDefault="00B20702" w:rsidP="00310980">
            <w:pPr>
              <w:widowControl/>
              <w:autoSpaceDE/>
              <w:autoSpaceDN/>
              <w:adjustRightInd/>
              <w:ind w:left="330"/>
              <w:rPr>
                <w:color w:val="000000"/>
                <w:sz w:val="20"/>
                <w:szCs w:val="20"/>
              </w:rPr>
            </w:pPr>
            <w:r w:rsidRPr="00B20702">
              <w:rPr>
                <w:color w:val="000000"/>
                <w:sz w:val="20"/>
                <w:szCs w:val="20"/>
              </w:rPr>
              <w:t>Startup and shutdown periods</w:t>
            </w:r>
          </w:p>
        </w:tc>
        <w:tc>
          <w:tcPr>
            <w:tcW w:w="1260" w:type="dxa"/>
            <w:tcBorders>
              <w:top w:val="nil"/>
              <w:left w:val="nil"/>
              <w:bottom w:val="single" w:sz="4" w:space="0" w:color="auto"/>
              <w:right w:val="single" w:sz="4" w:space="0" w:color="auto"/>
            </w:tcBorders>
            <w:shd w:val="clear" w:color="auto" w:fill="auto"/>
            <w:vAlign w:val="center"/>
            <w:hideMark/>
          </w:tcPr>
          <w:p w14:paraId="4873783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10D8E8F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6C6D608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3B1C37D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4496FA1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440" w:type="dxa"/>
            <w:tcBorders>
              <w:top w:val="nil"/>
              <w:left w:val="nil"/>
              <w:bottom w:val="single" w:sz="4" w:space="0" w:color="auto"/>
              <w:right w:val="single" w:sz="4" w:space="0" w:color="auto"/>
            </w:tcBorders>
            <w:shd w:val="clear" w:color="auto" w:fill="auto"/>
            <w:vAlign w:val="center"/>
            <w:hideMark/>
          </w:tcPr>
          <w:p w14:paraId="6F04122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7.2</w:t>
            </w:r>
          </w:p>
        </w:tc>
        <w:tc>
          <w:tcPr>
            <w:tcW w:w="1350" w:type="dxa"/>
            <w:tcBorders>
              <w:top w:val="nil"/>
              <w:left w:val="nil"/>
              <w:bottom w:val="single" w:sz="4" w:space="0" w:color="auto"/>
              <w:right w:val="single" w:sz="4" w:space="0" w:color="auto"/>
            </w:tcBorders>
            <w:shd w:val="clear" w:color="auto" w:fill="auto"/>
            <w:vAlign w:val="center"/>
            <w:hideMark/>
          </w:tcPr>
          <w:p w14:paraId="0A3A247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350" w:type="dxa"/>
            <w:tcBorders>
              <w:top w:val="nil"/>
              <w:left w:val="nil"/>
              <w:bottom w:val="single" w:sz="4" w:space="0" w:color="auto"/>
              <w:right w:val="single" w:sz="4" w:space="0" w:color="auto"/>
            </w:tcBorders>
            <w:shd w:val="clear" w:color="auto" w:fill="auto"/>
            <w:vAlign w:val="center"/>
            <w:hideMark/>
          </w:tcPr>
          <w:p w14:paraId="7394994D"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18,133.70</w:t>
            </w:r>
          </w:p>
        </w:tc>
      </w:tr>
      <w:tr w:rsidR="00B20702" w:rsidRPr="00B20702" w14:paraId="2C6F6821"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32CD3683" w14:textId="77777777" w:rsidR="00B20702" w:rsidRPr="00B20702" w:rsidRDefault="00B20702" w:rsidP="00310980">
            <w:pPr>
              <w:widowControl/>
              <w:autoSpaceDE/>
              <w:autoSpaceDN/>
              <w:adjustRightInd/>
              <w:ind w:left="330"/>
              <w:rPr>
                <w:color w:val="000000"/>
                <w:sz w:val="20"/>
                <w:szCs w:val="20"/>
              </w:rPr>
            </w:pPr>
            <w:r w:rsidRPr="00B20702">
              <w:rPr>
                <w:color w:val="000000"/>
                <w:sz w:val="20"/>
                <w:szCs w:val="20"/>
              </w:rPr>
              <w:t>Malfunctions</w:t>
            </w:r>
          </w:p>
        </w:tc>
        <w:tc>
          <w:tcPr>
            <w:tcW w:w="1260" w:type="dxa"/>
            <w:tcBorders>
              <w:top w:val="nil"/>
              <w:left w:val="nil"/>
              <w:bottom w:val="single" w:sz="4" w:space="0" w:color="auto"/>
              <w:right w:val="single" w:sz="4" w:space="0" w:color="auto"/>
            </w:tcBorders>
            <w:shd w:val="clear" w:color="auto" w:fill="auto"/>
            <w:vAlign w:val="center"/>
            <w:hideMark/>
          </w:tcPr>
          <w:p w14:paraId="05B1152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75858A0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1F0C267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302CCF3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42155F7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440" w:type="dxa"/>
            <w:tcBorders>
              <w:top w:val="nil"/>
              <w:left w:val="nil"/>
              <w:bottom w:val="single" w:sz="4" w:space="0" w:color="auto"/>
              <w:right w:val="single" w:sz="4" w:space="0" w:color="auto"/>
            </w:tcBorders>
            <w:shd w:val="clear" w:color="auto" w:fill="auto"/>
            <w:vAlign w:val="center"/>
            <w:hideMark/>
          </w:tcPr>
          <w:p w14:paraId="48FC622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7.2</w:t>
            </w:r>
          </w:p>
        </w:tc>
        <w:tc>
          <w:tcPr>
            <w:tcW w:w="1350" w:type="dxa"/>
            <w:tcBorders>
              <w:top w:val="nil"/>
              <w:left w:val="nil"/>
              <w:bottom w:val="single" w:sz="4" w:space="0" w:color="auto"/>
              <w:right w:val="single" w:sz="4" w:space="0" w:color="auto"/>
            </w:tcBorders>
            <w:shd w:val="clear" w:color="auto" w:fill="auto"/>
            <w:vAlign w:val="center"/>
            <w:hideMark/>
          </w:tcPr>
          <w:p w14:paraId="154F1B3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350" w:type="dxa"/>
            <w:tcBorders>
              <w:top w:val="nil"/>
              <w:left w:val="nil"/>
              <w:bottom w:val="single" w:sz="4" w:space="0" w:color="auto"/>
              <w:right w:val="single" w:sz="4" w:space="0" w:color="auto"/>
            </w:tcBorders>
            <w:shd w:val="clear" w:color="auto" w:fill="auto"/>
            <w:vAlign w:val="center"/>
            <w:hideMark/>
          </w:tcPr>
          <w:p w14:paraId="16D2B4D1"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18,133.70</w:t>
            </w:r>
          </w:p>
        </w:tc>
      </w:tr>
      <w:tr w:rsidR="00B20702" w:rsidRPr="00B20702" w14:paraId="732161FA"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48FA884A" w14:textId="77777777" w:rsidR="00B20702" w:rsidRPr="00B20702" w:rsidRDefault="00B20702" w:rsidP="00310980">
            <w:pPr>
              <w:widowControl/>
              <w:autoSpaceDE/>
              <w:autoSpaceDN/>
              <w:adjustRightInd/>
              <w:ind w:left="330"/>
              <w:rPr>
                <w:color w:val="000000"/>
                <w:sz w:val="20"/>
                <w:szCs w:val="20"/>
              </w:rPr>
            </w:pPr>
            <w:r w:rsidRPr="00B20702">
              <w:rPr>
                <w:color w:val="000000"/>
                <w:sz w:val="20"/>
                <w:szCs w:val="20"/>
              </w:rPr>
              <w:t>Actions taken during malfunctions</w:t>
            </w:r>
          </w:p>
        </w:tc>
        <w:tc>
          <w:tcPr>
            <w:tcW w:w="1260" w:type="dxa"/>
            <w:tcBorders>
              <w:top w:val="nil"/>
              <w:left w:val="nil"/>
              <w:bottom w:val="single" w:sz="4" w:space="0" w:color="auto"/>
              <w:right w:val="single" w:sz="4" w:space="0" w:color="auto"/>
            </w:tcBorders>
            <w:shd w:val="clear" w:color="auto" w:fill="auto"/>
            <w:vAlign w:val="center"/>
            <w:hideMark/>
          </w:tcPr>
          <w:p w14:paraId="4E4B519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3A866F2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52637F8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4E1FBBF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327A40A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72</w:t>
            </w:r>
          </w:p>
        </w:tc>
        <w:tc>
          <w:tcPr>
            <w:tcW w:w="1440" w:type="dxa"/>
            <w:tcBorders>
              <w:top w:val="nil"/>
              <w:left w:val="nil"/>
              <w:bottom w:val="single" w:sz="4" w:space="0" w:color="auto"/>
              <w:right w:val="single" w:sz="4" w:space="0" w:color="auto"/>
            </w:tcBorders>
            <w:shd w:val="clear" w:color="auto" w:fill="auto"/>
            <w:vAlign w:val="center"/>
            <w:hideMark/>
          </w:tcPr>
          <w:p w14:paraId="1710202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3.6</w:t>
            </w:r>
          </w:p>
        </w:tc>
        <w:tc>
          <w:tcPr>
            <w:tcW w:w="1350" w:type="dxa"/>
            <w:tcBorders>
              <w:top w:val="nil"/>
              <w:left w:val="nil"/>
              <w:bottom w:val="single" w:sz="4" w:space="0" w:color="auto"/>
              <w:right w:val="single" w:sz="4" w:space="0" w:color="auto"/>
            </w:tcBorders>
            <w:shd w:val="clear" w:color="auto" w:fill="auto"/>
            <w:vAlign w:val="center"/>
            <w:hideMark/>
          </w:tcPr>
          <w:p w14:paraId="60AEB3A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7.2</w:t>
            </w:r>
          </w:p>
        </w:tc>
        <w:tc>
          <w:tcPr>
            <w:tcW w:w="1350" w:type="dxa"/>
            <w:tcBorders>
              <w:top w:val="nil"/>
              <w:left w:val="nil"/>
              <w:bottom w:val="single" w:sz="4" w:space="0" w:color="auto"/>
              <w:right w:val="single" w:sz="4" w:space="0" w:color="auto"/>
            </w:tcBorders>
            <w:shd w:val="clear" w:color="auto" w:fill="auto"/>
            <w:vAlign w:val="center"/>
            <w:hideMark/>
          </w:tcPr>
          <w:p w14:paraId="292E5FE3"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9,066.85</w:t>
            </w:r>
          </w:p>
        </w:tc>
      </w:tr>
      <w:tr w:rsidR="00B20702" w:rsidRPr="00B20702" w14:paraId="497894E2"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2B89DD8" w14:textId="77777777" w:rsidR="00B20702" w:rsidRPr="00B20702" w:rsidRDefault="00B20702" w:rsidP="00310980">
            <w:pPr>
              <w:widowControl/>
              <w:autoSpaceDE/>
              <w:autoSpaceDN/>
              <w:adjustRightInd/>
              <w:ind w:left="330"/>
              <w:rPr>
                <w:color w:val="000000"/>
                <w:sz w:val="20"/>
                <w:szCs w:val="20"/>
              </w:rPr>
            </w:pPr>
            <w:r w:rsidRPr="00B20702">
              <w:rPr>
                <w:color w:val="000000"/>
                <w:sz w:val="20"/>
                <w:szCs w:val="20"/>
              </w:rPr>
              <w:t>Bag Leak Detection System</w:t>
            </w:r>
          </w:p>
        </w:tc>
        <w:tc>
          <w:tcPr>
            <w:tcW w:w="1260" w:type="dxa"/>
            <w:tcBorders>
              <w:top w:val="nil"/>
              <w:left w:val="nil"/>
              <w:bottom w:val="single" w:sz="4" w:space="0" w:color="auto"/>
              <w:right w:val="single" w:sz="4" w:space="0" w:color="auto"/>
            </w:tcBorders>
            <w:shd w:val="clear" w:color="auto" w:fill="auto"/>
            <w:vAlign w:val="center"/>
            <w:hideMark/>
          </w:tcPr>
          <w:p w14:paraId="5F8C423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22D4C3D2"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57691D9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76A0FC9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190681A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440" w:type="dxa"/>
            <w:tcBorders>
              <w:top w:val="nil"/>
              <w:left w:val="nil"/>
              <w:bottom w:val="single" w:sz="4" w:space="0" w:color="auto"/>
              <w:right w:val="single" w:sz="4" w:space="0" w:color="auto"/>
            </w:tcBorders>
            <w:shd w:val="clear" w:color="auto" w:fill="auto"/>
            <w:vAlign w:val="center"/>
            <w:hideMark/>
          </w:tcPr>
          <w:p w14:paraId="29A7921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7.2</w:t>
            </w:r>
          </w:p>
        </w:tc>
        <w:tc>
          <w:tcPr>
            <w:tcW w:w="1350" w:type="dxa"/>
            <w:tcBorders>
              <w:top w:val="nil"/>
              <w:left w:val="nil"/>
              <w:bottom w:val="single" w:sz="4" w:space="0" w:color="auto"/>
              <w:right w:val="single" w:sz="4" w:space="0" w:color="auto"/>
            </w:tcBorders>
            <w:shd w:val="clear" w:color="auto" w:fill="auto"/>
            <w:vAlign w:val="center"/>
            <w:hideMark/>
          </w:tcPr>
          <w:p w14:paraId="1C9C7AB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350" w:type="dxa"/>
            <w:tcBorders>
              <w:top w:val="nil"/>
              <w:left w:val="nil"/>
              <w:bottom w:val="single" w:sz="4" w:space="0" w:color="auto"/>
              <w:right w:val="single" w:sz="4" w:space="0" w:color="auto"/>
            </w:tcBorders>
            <w:shd w:val="clear" w:color="auto" w:fill="auto"/>
            <w:vAlign w:val="center"/>
            <w:hideMark/>
          </w:tcPr>
          <w:p w14:paraId="3A1B6EDB"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18,133.70</w:t>
            </w:r>
          </w:p>
        </w:tc>
      </w:tr>
      <w:tr w:rsidR="00B20702" w:rsidRPr="00B20702" w14:paraId="2C623FB9"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31F48D53" w14:textId="77777777" w:rsidR="00B20702" w:rsidRPr="00B20702" w:rsidRDefault="00B20702" w:rsidP="00310980">
            <w:pPr>
              <w:widowControl/>
              <w:autoSpaceDE/>
              <w:autoSpaceDN/>
              <w:adjustRightInd/>
              <w:ind w:left="330"/>
              <w:rPr>
                <w:color w:val="000000"/>
                <w:sz w:val="20"/>
                <w:szCs w:val="20"/>
              </w:rPr>
            </w:pPr>
            <w:r w:rsidRPr="00B20702">
              <w:rPr>
                <w:color w:val="000000"/>
                <w:sz w:val="20"/>
                <w:szCs w:val="20"/>
              </w:rPr>
              <w:t>Furnace inspections</w:t>
            </w:r>
          </w:p>
        </w:tc>
        <w:tc>
          <w:tcPr>
            <w:tcW w:w="1260" w:type="dxa"/>
            <w:tcBorders>
              <w:top w:val="nil"/>
              <w:left w:val="nil"/>
              <w:bottom w:val="single" w:sz="4" w:space="0" w:color="auto"/>
              <w:right w:val="single" w:sz="4" w:space="0" w:color="auto"/>
            </w:tcBorders>
            <w:shd w:val="clear" w:color="auto" w:fill="auto"/>
            <w:vAlign w:val="center"/>
            <w:hideMark/>
          </w:tcPr>
          <w:p w14:paraId="0DDE803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2BE9C0B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41939E5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572EA30F"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3332516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440" w:type="dxa"/>
            <w:tcBorders>
              <w:top w:val="nil"/>
              <w:left w:val="nil"/>
              <w:bottom w:val="single" w:sz="4" w:space="0" w:color="auto"/>
              <w:right w:val="single" w:sz="4" w:space="0" w:color="auto"/>
            </w:tcBorders>
            <w:shd w:val="clear" w:color="auto" w:fill="auto"/>
            <w:vAlign w:val="center"/>
            <w:hideMark/>
          </w:tcPr>
          <w:p w14:paraId="2C6A169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7.2</w:t>
            </w:r>
          </w:p>
        </w:tc>
        <w:tc>
          <w:tcPr>
            <w:tcW w:w="1350" w:type="dxa"/>
            <w:tcBorders>
              <w:top w:val="nil"/>
              <w:left w:val="nil"/>
              <w:bottom w:val="single" w:sz="4" w:space="0" w:color="auto"/>
              <w:right w:val="single" w:sz="4" w:space="0" w:color="auto"/>
            </w:tcBorders>
            <w:shd w:val="clear" w:color="auto" w:fill="auto"/>
            <w:vAlign w:val="center"/>
            <w:hideMark/>
          </w:tcPr>
          <w:p w14:paraId="7CF26D5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14.4</w:t>
            </w:r>
          </w:p>
        </w:tc>
        <w:tc>
          <w:tcPr>
            <w:tcW w:w="1350" w:type="dxa"/>
            <w:tcBorders>
              <w:top w:val="nil"/>
              <w:left w:val="nil"/>
              <w:bottom w:val="single" w:sz="4" w:space="0" w:color="auto"/>
              <w:right w:val="single" w:sz="4" w:space="0" w:color="auto"/>
            </w:tcBorders>
            <w:shd w:val="clear" w:color="auto" w:fill="auto"/>
            <w:vAlign w:val="center"/>
            <w:hideMark/>
          </w:tcPr>
          <w:p w14:paraId="7B595015"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18,133.70</w:t>
            </w:r>
          </w:p>
        </w:tc>
      </w:tr>
      <w:tr w:rsidR="00B20702" w:rsidRPr="00B20702" w14:paraId="64732DDA" w14:textId="77777777" w:rsidTr="00E5096A">
        <w:trPr>
          <w:trHeight w:val="51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50336D0E" w14:textId="77777777" w:rsidR="00B20702" w:rsidRPr="00B20702" w:rsidRDefault="00B20702" w:rsidP="00310980">
            <w:pPr>
              <w:widowControl/>
              <w:autoSpaceDE/>
              <w:autoSpaceDN/>
              <w:adjustRightInd/>
              <w:ind w:left="330"/>
              <w:rPr>
                <w:color w:val="000000"/>
                <w:sz w:val="20"/>
                <w:szCs w:val="20"/>
              </w:rPr>
            </w:pPr>
            <w:r w:rsidRPr="00B20702">
              <w:rPr>
                <w:color w:val="000000"/>
                <w:sz w:val="20"/>
                <w:szCs w:val="20"/>
              </w:rPr>
              <w:t>Plastic battery casing material recovery</w:t>
            </w:r>
          </w:p>
        </w:tc>
        <w:tc>
          <w:tcPr>
            <w:tcW w:w="1260" w:type="dxa"/>
            <w:tcBorders>
              <w:top w:val="nil"/>
              <w:left w:val="nil"/>
              <w:bottom w:val="single" w:sz="4" w:space="0" w:color="auto"/>
              <w:right w:val="single" w:sz="4" w:space="0" w:color="auto"/>
            </w:tcBorders>
            <w:shd w:val="clear" w:color="auto" w:fill="auto"/>
            <w:vAlign w:val="center"/>
            <w:hideMark/>
          </w:tcPr>
          <w:p w14:paraId="5FEB8B8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6A55756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6B86518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1AF18E3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3FE9B16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72</w:t>
            </w:r>
          </w:p>
        </w:tc>
        <w:tc>
          <w:tcPr>
            <w:tcW w:w="1440" w:type="dxa"/>
            <w:tcBorders>
              <w:top w:val="nil"/>
              <w:left w:val="nil"/>
              <w:bottom w:val="single" w:sz="4" w:space="0" w:color="auto"/>
              <w:right w:val="single" w:sz="4" w:space="0" w:color="auto"/>
            </w:tcBorders>
            <w:shd w:val="clear" w:color="auto" w:fill="auto"/>
            <w:vAlign w:val="center"/>
            <w:hideMark/>
          </w:tcPr>
          <w:p w14:paraId="03481CC2"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3.6</w:t>
            </w:r>
          </w:p>
        </w:tc>
        <w:tc>
          <w:tcPr>
            <w:tcW w:w="1350" w:type="dxa"/>
            <w:tcBorders>
              <w:top w:val="nil"/>
              <w:left w:val="nil"/>
              <w:bottom w:val="single" w:sz="4" w:space="0" w:color="auto"/>
              <w:right w:val="single" w:sz="4" w:space="0" w:color="auto"/>
            </w:tcBorders>
            <w:shd w:val="clear" w:color="auto" w:fill="auto"/>
            <w:vAlign w:val="center"/>
            <w:hideMark/>
          </w:tcPr>
          <w:p w14:paraId="0083EB83"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7.2</w:t>
            </w:r>
          </w:p>
        </w:tc>
        <w:tc>
          <w:tcPr>
            <w:tcW w:w="1350" w:type="dxa"/>
            <w:tcBorders>
              <w:top w:val="nil"/>
              <w:left w:val="nil"/>
              <w:bottom w:val="single" w:sz="4" w:space="0" w:color="auto"/>
              <w:right w:val="single" w:sz="4" w:space="0" w:color="auto"/>
            </w:tcBorders>
            <w:shd w:val="clear" w:color="auto" w:fill="auto"/>
            <w:vAlign w:val="center"/>
            <w:hideMark/>
          </w:tcPr>
          <w:p w14:paraId="5FEEBA6F"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9,066.85</w:t>
            </w:r>
          </w:p>
        </w:tc>
      </w:tr>
      <w:tr w:rsidR="00B20702" w:rsidRPr="00B20702" w14:paraId="0B846906" w14:textId="77777777" w:rsidTr="00E5096A">
        <w:trPr>
          <w:trHeight w:val="765"/>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31B2E2C2" w14:textId="77777777" w:rsidR="00B20702" w:rsidRPr="00B20702" w:rsidRDefault="00B20702" w:rsidP="00310980">
            <w:pPr>
              <w:widowControl/>
              <w:autoSpaceDE/>
              <w:autoSpaceDN/>
              <w:adjustRightInd/>
              <w:ind w:left="330"/>
              <w:rPr>
                <w:color w:val="000000"/>
                <w:sz w:val="20"/>
                <w:szCs w:val="20"/>
              </w:rPr>
            </w:pPr>
            <w:r w:rsidRPr="00B20702">
              <w:rPr>
                <w:color w:val="000000"/>
                <w:sz w:val="20"/>
                <w:szCs w:val="20"/>
              </w:rPr>
              <w:t>Monitoring parameters, performance tests, and periodic inspections</w:t>
            </w:r>
          </w:p>
        </w:tc>
        <w:tc>
          <w:tcPr>
            <w:tcW w:w="1260" w:type="dxa"/>
            <w:tcBorders>
              <w:top w:val="nil"/>
              <w:left w:val="nil"/>
              <w:bottom w:val="single" w:sz="4" w:space="0" w:color="auto"/>
              <w:right w:val="single" w:sz="4" w:space="0" w:color="auto"/>
            </w:tcBorders>
            <w:shd w:val="clear" w:color="auto" w:fill="auto"/>
            <w:vAlign w:val="center"/>
            <w:hideMark/>
          </w:tcPr>
          <w:p w14:paraId="36B1E8C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3.5</w:t>
            </w:r>
          </w:p>
        </w:tc>
        <w:tc>
          <w:tcPr>
            <w:tcW w:w="1440" w:type="dxa"/>
            <w:tcBorders>
              <w:top w:val="nil"/>
              <w:left w:val="nil"/>
              <w:bottom w:val="single" w:sz="4" w:space="0" w:color="auto"/>
              <w:right w:val="single" w:sz="4" w:space="0" w:color="auto"/>
            </w:tcBorders>
            <w:shd w:val="clear" w:color="auto" w:fill="auto"/>
            <w:vAlign w:val="center"/>
            <w:hideMark/>
          </w:tcPr>
          <w:p w14:paraId="623C960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52</w:t>
            </w:r>
          </w:p>
        </w:tc>
        <w:tc>
          <w:tcPr>
            <w:tcW w:w="1350" w:type="dxa"/>
            <w:tcBorders>
              <w:top w:val="nil"/>
              <w:left w:val="nil"/>
              <w:bottom w:val="single" w:sz="4" w:space="0" w:color="auto"/>
              <w:right w:val="single" w:sz="4" w:space="0" w:color="auto"/>
            </w:tcBorders>
            <w:shd w:val="clear" w:color="auto" w:fill="auto"/>
            <w:vAlign w:val="center"/>
            <w:hideMark/>
          </w:tcPr>
          <w:p w14:paraId="4955568D"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182</w:t>
            </w:r>
          </w:p>
        </w:tc>
        <w:tc>
          <w:tcPr>
            <w:tcW w:w="1350" w:type="dxa"/>
            <w:tcBorders>
              <w:top w:val="nil"/>
              <w:left w:val="nil"/>
              <w:bottom w:val="single" w:sz="4" w:space="0" w:color="auto"/>
              <w:right w:val="single" w:sz="4" w:space="0" w:color="auto"/>
            </w:tcBorders>
            <w:shd w:val="clear" w:color="auto" w:fill="auto"/>
            <w:vAlign w:val="center"/>
            <w:hideMark/>
          </w:tcPr>
          <w:p w14:paraId="69E6334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12</w:t>
            </w:r>
          </w:p>
        </w:tc>
        <w:tc>
          <w:tcPr>
            <w:tcW w:w="1255" w:type="dxa"/>
            <w:tcBorders>
              <w:top w:val="nil"/>
              <w:left w:val="nil"/>
              <w:bottom w:val="single" w:sz="4" w:space="0" w:color="auto"/>
              <w:right w:val="single" w:sz="4" w:space="0" w:color="auto"/>
            </w:tcBorders>
            <w:shd w:val="clear" w:color="auto" w:fill="auto"/>
            <w:vAlign w:val="center"/>
            <w:hideMark/>
          </w:tcPr>
          <w:p w14:paraId="3F4A967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2,184</w:t>
            </w:r>
          </w:p>
        </w:tc>
        <w:tc>
          <w:tcPr>
            <w:tcW w:w="1440" w:type="dxa"/>
            <w:tcBorders>
              <w:top w:val="nil"/>
              <w:left w:val="nil"/>
              <w:bottom w:val="single" w:sz="4" w:space="0" w:color="auto"/>
              <w:right w:val="single" w:sz="4" w:space="0" w:color="auto"/>
            </w:tcBorders>
            <w:shd w:val="clear" w:color="auto" w:fill="auto"/>
            <w:vAlign w:val="center"/>
            <w:hideMark/>
          </w:tcPr>
          <w:p w14:paraId="2B7A50DB"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109.2</w:t>
            </w:r>
          </w:p>
        </w:tc>
        <w:tc>
          <w:tcPr>
            <w:tcW w:w="1350" w:type="dxa"/>
            <w:tcBorders>
              <w:top w:val="nil"/>
              <w:left w:val="nil"/>
              <w:bottom w:val="single" w:sz="4" w:space="0" w:color="auto"/>
              <w:right w:val="single" w:sz="4" w:space="0" w:color="auto"/>
            </w:tcBorders>
            <w:shd w:val="clear" w:color="auto" w:fill="auto"/>
            <w:vAlign w:val="center"/>
            <w:hideMark/>
          </w:tcPr>
          <w:p w14:paraId="0E7CB94E"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218.4</w:t>
            </w:r>
          </w:p>
        </w:tc>
        <w:tc>
          <w:tcPr>
            <w:tcW w:w="1350" w:type="dxa"/>
            <w:tcBorders>
              <w:top w:val="nil"/>
              <w:left w:val="nil"/>
              <w:bottom w:val="single" w:sz="4" w:space="0" w:color="auto"/>
              <w:right w:val="single" w:sz="4" w:space="0" w:color="auto"/>
            </w:tcBorders>
            <w:shd w:val="clear" w:color="auto" w:fill="auto"/>
            <w:vAlign w:val="center"/>
            <w:hideMark/>
          </w:tcPr>
          <w:p w14:paraId="61DD8D59"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275,027.84</w:t>
            </w:r>
          </w:p>
        </w:tc>
      </w:tr>
      <w:tr w:rsidR="00B20702" w:rsidRPr="00B20702" w14:paraId="28902CCC"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71BDCEEA" w14:textId="77777777" w:rsidR="00B20702" w:rsidRPr="00B20702" w:rsidRDefault="00B20702" w:rsidP="00310980">
            <w:pPr>
              <w:widowControl/>
              <w:autoSpaceDE/>
              <w:autoSpaceDN/>
              <w:adjustRightInd/>
              <w:ind w:left="240"/>
              <w:rPr>
                <w:color w:val="000000"/>
                <w:sz w:val="20"/>
                <w:szCs w:val="20"/>
              </w:rPr>
            </w:pPr>
            <w:r w:rsidRPr="00B20702">
              <w:rPr>
                <w:color w:val="000000"/>
                <w:sz w:val="20"/>
                <w:szCs w:val="20"/>
              </w:rPr>
              <w:t>E.  Personnel training</w:t>
            </w:r>
          </w:p>
        </w:tc>
        <w:tc>
          <w:tcPr>
            <w:tcW w:w="1260" w:type="dxa"/>
            <w:tcBorders>
              <w:top w:val="nil"/>
              <w:left w:val="nil"/>
              <w:bottom w:val="single" w:sz="4" w:space="0" w:color="auto"/>
              <w:right w:val="single" w:sz="4" w:space="0" w:color="auto"/>
            </w:tcBorders>
            <w:shd w:val="clear" w:color="auto" w:fill="auto"/>
            <w:vAlign w:val="center"/>
            <w:hideMark/>
          </w:tcPr>
          <w:p w14:paraId="19B7C8A4"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3A99092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1C0010C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498F86D1"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14:paraId="2233DD70"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3AC2DF8A"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106806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178F65D"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0</w:t>
            </w:r>
          </w:p>
        </w:tc>
      </w:tr>
      <w:tr w:rsidR="00B20702" w:rsidRPr="00B20702" w14:paraId="4D3768E3"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3E134DE0" w14:textId="77777777" w:rsidR="00B20702" w:rsidRPr="00B20702" w:rsidRDefault="00B20702" w:rsidP="00310980">
            <w:pPr>
              <w:widowControl/>
              <w:autoSpaceDE/>
              <w:autoSpaceDN/>
              <w:adjustRightInd/>
              <w:ind w:left="240"/>
              <w:rPr>
                <w:color w:val="000000"/>
                <w:sz w:val="20"/>
                <w:szCs w:val="20"/>
              </w:rPr>
            </w:pPr>
            <w:r w:rsidRPr="00B20702">
              <w:rPr>
                <w:color w:val="000000"/>
                <w:sz w:val="20"/>
                <w:szCs w:val="20"/>
              </w:rPr>
              <w:t>F.  Time for audits</w:t>
            </w:r>
          </w:p>
        </w:tc>
        <w:tc>
          <w:tcPr>
            <w:tcW w:w="1260" w:type="dxa"/>
            <w:tcBorders>
              <w:top w:val="nil"/>
              <w:left w:val="nil"/>
              <w:bottom w:val="single" w:sz="4" w:space="0" w:color="auto"/>
              <w:right w:val="single" w:sz="4" w:space="0" w:color="auto"/>
            </w:tcBorders>
            <w:shd w:val="clear" w:color="auto" w:fill="auto"/>
            <w:vAlign w:val="center"/>
            <w:hideMark/>
          </w:tcPr>
          <w:p w14:paraId="059F53F5"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14:paraId="4C649FB7"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B5014C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A3A2CAC"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14:paraId="04D0B188"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37693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9CCA01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A26CA9B" w14:textId="77777777" w:rsidR="00B20702" w:rsidRPr="00B20702" w:rsidRDefault="00B20702" w:rsidP="00B20702">
            <w:pPr>
              <w:widowControl/>
              <w:autoSpaceDE/>
              <w:autoSpaceDN/>
              <w:adjustRightInd/>
              <w:jc w:val="right"/>
              <w:rPr>
                <w:color w:val="000000"/>
                <w:sz w:val="20"/>
                <w:szCs w:val="20"/>
              </w:rPr>
            </w:pPr>
            <w:r w:rsidRPr="00B20702">
              <w:rPr>
                <w:color w:val="000000"/>
                <w:sz w:val="20"/>
                <w:szCs w:val="20"/>
              </w:rPr>
              <w:t> </w:t>
            </w:r>
          </w:p>
        </w:tc>
      </w:tr>
      <w:tr w:rsidR="00B20702" w:rsidRPr="00B20702" w14:paraId="1E97401C" w14:textId="77777777" w:rsidTr="00E5096A">
        <w:trPr>
          <w:trHeight w:val="300"/>
          <w:jc w:val="center"/>
        </w:trPr>
        <w:tc>
          <w:tcPr>
            <w:tcW w:w="2795" w:type="dxa"/>
            <w:tcBorders>
              <w:top w:val="nil"/>
              <w:left w:val="single" w:sz="4" w:space="0" w:color="auto"/>
              <w:bottom w:val="single" w:sz="4" w:space="0" w:color="auto"/>
              <w:right w:val="single" w:sz="4" w:space="0" w:color="auto"/>
            </w:tcBorders>
            <w:shd w:val="clear" w:color="auto" w:fill="auto"/>
            <w:noWrap/>
            <w:vAlign w:val="center"/>
            <w:hideMark/>
          </w:tcPr>
          <w:p w14:paraId="61BF985E" w14:textId="77777777" w:rsidR="00B20702" w:rsidRPr="00846627" w:rsidRDefault="00B20702" w:rsidP="00B20702">
            <w:pPr>
              <w:widowControl/>
              <w:autoSpaceDE/>
              <w:autoSpaceDN/>
              <w:adjustRightInd/>
              <w:rPr>
                <w:bCs/>
                <w:i/>
                <w:iCs/>
                <w:color w:val="000000"/>
                <w:sz w:val="20"/>
                <w:szCs w:val="20"/>
              </w:rPr>
            </w:pPr>
            <w:r w:rsidRPr="00846627">
              <w:rPr>
                <w:bCs/>
                <w:i/>
                <w:iCs/>
                <w:color w:val="000000"/>
                <w:sz w:val="20"/>
                <w:szCs w:val="20"/>
              </w:rPr>
              <w:t>Recordkeeping Subtotal</w:t>
            </w:r>
          </w:p>
        </w:tc>
        <w:tc>
          <w:tcPr>
            <w:tcW w:w="1260" w:type="dxa"/>
            <w:tcBorders>
              <w:top w:val="nil"/>
              <w:left w:val="nil"/>
              <w:bottom w:val="single" w:sz="4" w:space="0" w:color="auto"/>
              <w:right w:val="single" w:sz="4" w:space="0" w:color="auto"/>
            </w:tcBorders>
            <w:shd w:val="clear" w:color="auto" w:fill="auto"/>
            <w:vAlign w:val="center"/>
            <w:hideMark/>
          </w:tcPr>
          <w:p w14:paraId="0E452811" w14:textId="77777777" w:rsidR="00B20702" w:rsidRPr="00846627" w:rsidRDefault="00B20702" w:rsidP="00B20702">
            <w:pPr>
              <w:widowControl/>
              <w:autoSpaceDE/>
              <w:autoSpaceDN/>
              <w:adjustRightInd/>
              <w:jc w:val="center"/>
              <w:rPr>
                <w:bCs/>
                <w:i/>
                <w:iCs/>
                <w:color w:val="000000"/>
                <w:sz w:val="20"/>
                <w:szCs w:val="20"/>
              </w:rPr>
            </w:pPr>
            <w:r w:rsidRPr="00846627">
              <w:rPr>
                <w:bCs/>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E1EC675" w14:textId="77777777" w:rsidR="00B20702" w:rsidRPr="00846627" w:rsidRDefault="00B20702" w:rsidP="00B20702">
            <w:pPr>
              <w:widowControl/>
              <w:autoSpaceDE/>
              <w:autoSpaceDN/>
              <w:adjustRightInd/>
              <w:jc w:val="center"/>
              <w:rPr>
                <w:bCs/>
                <w:i/>
                <w:iCs/>
                <w:color w:val="000000"/>
                <w:sz w:val="20"/>
                <w:szCs w:val="20"/>
              </w:rPr>
            </w:pPr>
            <w:r w:rsidRPr="00846627">
              <w:rPr>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DB02569" w14:textId="77777777" w:rsidR="00B20702" w:rsidRPr="00846627" w:rsidRDefault="00B20702" w:rsidP="00B20702">
            <w:pPr>
              <w:widowControl/>
              <w:autoSpaceDE/>
              <w:autoSpaceDN/>
              <w:adjustRightInd/>
              <w:jc w:val="center"/>
              <w:rPr>
                <w:bCs/>
                <w:i/>
                <w:iCs/>
                <w:color w:val="000000"/>
                <w:sz w:val="20"/>
                <w:szCs w:val="20"/>
              </w:rPr>
            </w:pPr>
            <w:r w:rsidRPr="00846627">
              <w:rPr>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997FBBE" w14:textId="77777777" w:rsidR="00B20702" w:rsidRPr="00846627" w:rsidRDefault="00B20702" w:rsidP="00B20702">
            <w:pPr>
              <w:widowControl/>
              <w:autoSpaceDE/>
              <w:autoSpaceDN/>
              <w:adjustRightInd/>
              <w:jc w:val="center"/>
              <w:rPr>
                <w:bCs/>
                <w:i/>
                <w:iCs/>
                <w:color w:val="000000"/>
                <w:sz w:val="20"/>
                <w:szCs w:val="20"/>
              </w:rPr>
            </w:pPr>
            <w:r w:rsidRPr="00846627">
              <w:rPr>
                <w:bCs/>
                <w:i/>
                <w:iCs/>
                <w:color w:val="000000"/>
                <w:sz w:val="20"/>
                <w:szCs w:val="20"/>
              </w:rPr>
              <w:t> </w:t>
            </w:r>
          </w:p>
        </w:tc>
        <w:tc>
          <w:tcPr>
            <w:tcW w:w="4045" w:type="dxa"/>
            <w:gridSpan w:val="3"/>
            <w:tcBorders>
              <w:top w:val="single" w:sz="4" w:space="0" w:color="auto"/>
              <w:left w:val="nil"/>
              <w:bottom w:val="single" w:sz="4" w:space="0" w:color="auto"/>
              <w:right w:val="single" w:sz="4" w:space="0" w:color="auto"/>
            </w:tcBorders>
            <w:shd w:val="clear" w:color="auto" w:fill="auto"/>
            <w:vAlign w:val="center"/>
            <w:hideMark/>
          </w:tcPr>
          <w:p w14:paraId="56A1969E" w14:textId="77777777" w:rsidR="00B20702" w:rsidRPr="00846627" w:rsidRDefault="00B20702" w:rsidP="00B20702">
            <w:pPr>
              <w:widowControl/>
              <w:autoSpaceDE/>
              <w:autoSpaceDN/>
              <w:adjustRightInd/>
              <w:jc w:val="center"/>
              <w:rPr>
                <w:bCs/>
                <w:i/>
                <w:iCs/>
                <w:color w:val="000000"/>
                <w:sz w:val="20"/>
                <w:szCs w:val="20"/>
              </w:rPr>
            </w:pPr>
            <w:r w:rsidRPr="00846627">
              <w:rPr>
                <w:bCs/>
                <w:i/>
                <w:iCs/>
                <w:color w:val="000000"/>
                <w:sz w:val="20"/>
                <w:szCs w:val="20"/>
              </w:rPr>
              <w:t>4,899</w:t>
            </w:r>
          </w:p>
        </w:tc>
        <w:tc>
          <w:tcPr>
            <w:tcW w:w="1350" w:type="dxa"/>
            <w:tcBorders>
              <w:top w:val="nil"/>
              <w:left w:val="nil"/>
              <w:bottom w:val="single" w:sz="4" w:space="0" w:color="auto"/>
              <w:right w:val="single" w:sz="4" w:space="0" w:color="auto"/>
            </w:tcBorders>
            <w:shd w:val="clear" w:color="auto" w:fill="auto"/>
            <w:vAlign w:val="center"/>
            <w:hideMark/>
          </w:tcPr>
          <w:p w14:paraId="101C0923" w14:textId="7D7FE6AB" w:rsidR="00B20702" w:rsidRPr="00846627" w:rsidRDefault="00B20702" w:rsidP="00B20702">
            <w:pPr>
              <w:widowControl/>
              <w:autoSpaceDE/>
              <w:autoSpaceDN/>
              <w:adjustRightInd/>
              <w:jc w:val="right"/>
              <w:rPr>
                <w:bCs/>
                <w:i/>
                <w:iCs/>
                <w:color w:val="000000"/>
                <w:sz w:val="20"/>
                <w:szCs w:val="20"/>
              </w:rPr>
            </w:pPr>
            <w:r w:rsidRPr="00846627">
              <w:rPr>
                <w:bCs/>
                <w:i/>
                <w:iCs/>
                <w:color w:val="000000"/>
                <w:sz w:val="20"/>
                <w:szCs w:val="20"/>
              </w:rPr>
              <w:t>536,455</w:t>
            </w:r>
          </w:p>
        </w:tc>
      </w:tr>
      <w:tr w:rsidR="00B20702" w:rsidRPr="00B20702" w14:paraId="1C61319D" w14:textId="77777777" w:rsidTr="00E5096A">
        <w:trPr>
          <w:trHeight w:val="300"/>
          <w:jc w:val="center"/>
        </w:trPr>
        <w:tc>
          <w:tcPr>
            <w:tcW w:w="81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B833516" w14:textId="77777777" w:rsidR="00B20702" w:rsidRPr="00B20702" w:rsidRDefault="00B20702" w:rsidP="00B20702">
            <w:pPr>
              <w:widowControl/>
              <w:autoSpaceDE/>
              <w:autoSpaceDN/>
              <w:adjustRightInd/>
              <w:rPr>
                <w:b/>
                <w:bCs/>
                <w:color w:val="000000"/>
                <w:sz w:val="20"/>
                <w:szCs w:val="20"/>
              </w:rPr>
            </w:pPr>
            <w:r w:rsidRPr="00B20702">
              <w:rPr>
                <w:b/>
                <w:bCs/>
                <w:color w:val="000000"/>
                <w:sz w:val="20"/>
                <w:szCs w:val="20"/>
              </w:rPr>
              <w:t>TOTAL ANNUAL BURDEN AND COST (ROUNDED)</w:t>
            </w:r>
            <w:r w:rsidRPr="00B20702">
              <w:rPr>
                <w:b/>
                <w:bCs/>
                <w:color w:val="000000"/>
                <w:sz w:val="20"/>
                <w:szCs w:val="20"/>
                <w:vertAlign w:val="superscript"/>
              </w:rPr>
              <w:t>g</w:t>
            </w:r>
          </w:p>
        </w:tc>
        <w:tc>
          <w:tcPr>
            <w:tcW w:w="4045" w:type="dxa"/>
            <w:gridSpan w:val="3"/>
            <w:tcBorders>
              <w:top w:val="single" w:sz="4" w:space="0" w:color="auto"/>
              <w:left w:val="nil"/>
              <w:bottom w:val="single" w:sz="4" w:space="0" w:color="auto"/>
              <w:right w:val="single" w:sz="4" w:space="0" w:color="auto"/>
            </w:tcBorders>
            <w:shd w:val="clear" w:color="auto" w:fill="auto"/>
            <w:vAlign w:val="center"/>
            <w:hideMark/>
          </w:tcPr>
          <w:p w14:paraId="63984855" w14:textId="77777777" w:rsidR="00B20702" w:rsidRPr="00B20702" w:rsidRDefault="00B20702" w:rsidP="00B20702">
            <w:pPr>
              <w:widowControl/>
              <w:autoSpaceDE/>
              <w:autoSpaceDN/>
              <w:adjustRightInd/>
              <w:jc w:val="center"/>
              <w:rPr>
                <w:b/>
                <w:bCs/>
                <w:color w:val="000000"/>
                <w:sz w:val="20"/>
                <w:szCs w:val="20"/>
              </w:rPr>
            </w:pPr>
            <w:r w:rsidRPr="00B20702">
              <w:rPr>
                <w:b/>
                <w:bCs/>
                <w:color w:val="000000"/>
                <w:sz w:val="20"/>
                <w:szCs w:val="20"/>
              </w:rPr>
              <w:t>21,700</w:t>
            </w:r>
          </w:p>
        </w:tc>
        <w:tc>
          <w:tcPr>
            <w:tcW w:w="1350" w:type="dxa"/>
            <w:tcBorders>
              <w:top w:val="nil"/>
              <w:left w:val="nil"/>
              <w:bottom w:val="single" w:sz="4" w:space="0" w:color="auto"/>
              <w:right w:val="single" w:sz="4" w:space="0" w:color="auto"/>
            </w:tcBorders>
            <w:shd w:val="clear" w:color="auto" w:fill="auto"/>
            <w:vAlign w:val="center"/>
            <w:hideMark/>
          </w:tcPr>
          <w:p w14:paraId="641BDFAF" w14:textId="77777777" w:rsidR="00B20702" w:rsidRPr="00B20702" w:rsidRDefault="00B20702" w:rsidP="00B20702">
            <w:pPr>
              <w:widowControl/>
              <w:autoSpaceDE/>
              <w:autoSpaceDN/>
              <w:adjustRightInd/>
              <w:jc w:val="right"/>
              <w:rPr>
                <w:b/>
                <w:bCs/>
                <w:color w:val="000000"/>
                <w:sz w:val="20"/>
                <w:szCs w:val="20"/>
              </w:rPr>
            </w:pPr>
            <w:r w:rsidRPr="00B20702">
              <w:rPr>
                <w:b/>
                <w:bCs/>
                <w:color w:val="000000"/>
                <w:sz w:val="20"/>
                <w:szCs w:val="20"/>
              </w:rPr>
              <w:t>2,380,000</w:t>
            </w:r>
          </w:p>
        </w:tc>
      </w:tr>
      <w:tr w:rsidR="00B20702" w:rsidRPr="00B20702" w14:paraId="33EDA442" w14:textId="77777777" w:rsidTr="00E5096A">
        <w:trPr>
          <w:trHeight w:val="300"/>
          <w:jc w:val="center"/>
        </w:trPr>
        <w:tc>
          <w:tcPr>
            <w:tcW w:w="81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B9233C" w14:textId="77777777" w:rsidR="00B20702" w:rsidRPr="00B20702" w:rsidRDefault="00B20702" w:rsidP="00B20702">
            <w:pPr>
              <w:widowControl/>
              <w:autoSpaceDE/>
              <w:autoSpaceDN/>
              <w:adjustRightInd/>
              <w:rPr>
                <w:b/>
                <w:bCs/>
                <w:color w:val="000000"/>
                <w:sz w:val="20"/>
                <w:szCs w:val="20"/>
              </w:rPr>
            </w:pPr>
            <w:r w:rsidRPr="00B20702">
              <w:rPr>
                <w:b/>
                <w:bCs/>
                <w:color w:val="000000"/>
                <w:sz w:val="20"/>
                <w:szCs w:val="20"/>
              </w:rPr>
              <w:t>TOTAL CAPITAL AND O&amp;M COST (rounded)</w:t>
            </w:r>
            <w:r w:rsidRPr="00B20702">
              <w:rPr>
                <w:b/>
                <w:bCs/>
                <w:color w:val="000000"/>
                <w:sz w:val="20"/>
                <w:szCs w:val="20"/>
                <w:vertAlign w:val="superscript"/>
              </w:rPr>
              <w:t>g</w:t>
            </w:r>
          </w:p>
        </w:tc>
        <w:tc>
          <w:tcPr>
            <w:tcW w:w="4045" w:type="dxa"/>
            <w:gridSpan w:val="3"/>
            <w:tcBorders>
              <w:top w:val="single" w:sz="4" w:space="0" w:color="auto"/>
              <w:left w:val="nil"/>
              <w:bottom w:val="single" w:sz="4" w:space="0" w:color="auto"/>
              <w:right w:val="single" w:sz="4" w:space="0" w:color="auto"/>
            </w:tcBorders>
            <w:shd w:val="clear" w:color="auto" w:fill="auto"/>
            <w:vAlign w:val="center"/>
            <w:hideMark/>
          </w:tcPr>
          <w:p w14:paraId="74898E69" w14:textId="77777777" w:rsidR="00B20702" w:rsidRPr="00B20702" w:rsidRDefault="00B20702" w:rsidP="00B20702">
            <w:pPr>
              <w:widowControl/>
              <w:autoSpaceDE/>
              <w:autoSpaceDN/>
              <w:adjustRightInd/>
              <w:jc w:val="center"/>
              <w:rPr>
                <w:color w:val="000000"/>
                <w:sz w:val="20"/>
                <w:szCs w:val="20"/>
              </w:rPr>
            </w:pPr>
            <w:r w:rsidRPr="00B207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C293546" w14:textId="77777777" w:rsidR="00B20702" w:rsidRPr="00B20702" w:rsidRDefault="00B20702" w:rsidP="00B20702">
            <w:pPr>
              <w:widowControl/>
              <w:autoSpaceDE/>
              <w:autoSpaceDN/>
              <w:adjustRightInd/>
              <w:jc w:val="right"/>
              <w:rPr>
                <w:b/>
                <w:bCs/>
                <w:color w:val="000000"/>
                <w:sz w:val="20"/>
                <w:szCs w:val="20"/>
              </w:rPr>
            </w:pPr>
            <w:r w:rsidRPr="00B20702">
              <w:rPr>
                <w:b/>
                <w:bCs/>
                <w:color w:val="000000"/>
                <w:sz w:val="20"/>
                <w:szCs w:val="20"/>
              </w:rPr>
              <w:t>251,000</w:t>
            </w:r>
          </w:p>
        </w:tc>
      </w:tr>
      <w:tr w:rsidR="00B20702" w:rsidRPr="00B20702" w14:paraId="6537FD11" w14:textId="77777777" w:rsidTr="00E5096A">
        <w:trPr>
          <w:trHeight w:val="300"/>
          <w:jc w:val="center"/>
        </w:trPr>
        <w:tc>
          <w:tcPr>
            <w:tcW w:w="81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EC34C0C" w14:textId="77777777" w:rsidR="00B20702" w:rsidRPr="00B20702" w:rsidRDefault="00B20702" w:rsidP="00B20702">
            <w:pPr>
              <w:widowControl/>
              <w:autoSpaceDE/>
              <w:autoSpaceDN/>
              <w:adjustRightInd/>
              <w:rPr>
                <w:b/>
                <w:bCs/>
                <w:color w:val="000000"/>
                <w:sz w:val="20"/>
                <w:szCs w:val="20"/>
              </w:rPr>
            </w:pPr>
            <w:r w:rsidRPr="00B20702">
              <w:rPr>
                <w:b/>
                <w:bCs/>
                <w:color w:val="000000"/>
                <w:sz w:val="20"/>
                <w:szCs w:val="20"/>
              </w:rPr>
              <w:t>GRAND TOTAL (rounded)</w:t>
            </w:r>
            <w:r w:rsidRPr="00B20702">
              <w:rPr>
                <w:b/>
                <w:bCs/>
                <w:color w:val="000000"/>
                <w:sz w:val="20"/>
                <w:szCs w:val="20"/>
                <w:vertAlign w:val="superscript"/>
              </w:rPr>
              <w:t>g</w:t>
            </w:r>
          </w:p>
        </w:tc>
        <w:tc>
          <w:tcPr>
            <w:tcW w:w="4045" w:type="dxa"/>
            <w:gridSpan w:val="3"/>
            <w:tcBorders>
              <w:top w:val="single" w:sz="4" w:space="0" w:color="auto"/>
              <w:left w:val="nil"/>
              <w:bottom w:val="single" w:sz="4" w:space="0" w:color="auto"/>
              <w:right w:val="single" w:sz="4" w:space="0" w:color="auto"/>
            </w:tcBorders>
            <w:shd w:val="clear" w:color="auto" w:fill="auto"/>
            <w:vAlign w:val="center"/>
            <w:hideMark/>
          </w:tcPr>
          <w:p w14:paraId="65493A8E" w14:textId="77777777" w:rsidR="00B20702" w:rsidRPr="00B20702" w:rsidRDefault="00B20702" w:rsidP="00B20702">
            <w:pPr>
              <w:widowControl/>
              <w:autoSpaceDE/>
              <w:autoSpaceDN/>
              <w:adjustRightInd/>
              <w:jc w:val="center"/>
              <w:rPr>
                <w:b/>
                <w:bCs/>
                <w:color w:val="000000"/>
                <w:sz w:val="20"/>
                <w:szCs w:val="20"/>
              </w:rPr>
            </w:pPr>
            <w:r w:rsidRPr="00B20702">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5583D64" w14:textId="77777777" w:rsidR="00B20702" w:rsidRPr="00B20702" w:rsidRDefault="00B20702" w:rsidP="00B20702">
            <w:pPr>
              <w:widowControl/>
              <w:autoSpaceDE/>
              <w:autoSpaceDN/>
              <w:adjustRightInd/>
              <w:jc w:val="right"/>
              <w:rPr>
                <w:b/>
                <w:bCs/>
                <w:color w:val="000000"/>
                <w:sz w:val="20"/>
                <w:szCs w:val="20"/>
              </w:rPr>
            </w:pPr>
            <w:r w:rsidRPr="00B20702">
              <w:rPr>
                <w:b/>
                <w:bCs/>
                <w:color w:val="000000"/>
                <w:sz w:val="20"/>
                <w:szCs w:val="20"/>
              </w:rPr>
              <w:t>2,630,000</w:t>
            </w:r>
          </w:p>
        </w:tc>
      </w:tr>
    </w:tbl>
    <w:p w14:paraId="69295A20" w14:textId="11341687" w:rsidR="003D6951" w:rsidRDefault="003D6951" w:rsidP="003D6951"/>
    <w:p w14:paraId="09375A3E" w14:textId="0C590A4D" w:rsidR="00310980" w:rsidRPr="00310980" w:rsidRDefault="00310980" w:rsidP="00310980">
      <w:pPr>
        <w:rPr>
          <w:sz w:val="20"/>
          <w:szCs w:val="20"/>
        </w:rPr>
      </w:pPr>
      <w:r w:rsidRPr="00310980">
        <w:rPr>
          <w:sz w:val="20"/>
          <w:szCs w:val="20"/>
        </w:rPr>
        <w:t>Assumptions:</w:t>
      </w:r>
    </w:p>
    <w:p w14:paraId="2B8DB3BF" w14:textId="1B33FC2E" w:rsidR="00310980" w:rsidRPr="00310980" w:rsidRDefault="00310980" w:rsidP="00310980">
      <w:pPr>
        <w:rPr>
          <w:sz w:val="20"/>
          <w:szCs w:val="20"/>
        </w:rPr>
      </w:pPr>
      <w:r w:rsidRPr="00310980">
        <w:rPr>
          <w:sz w:val="20"/>
          <w:szCs w:val="20"/>
          <w:vertAlign w:val="superscript"/>
        </w:rPr>
        <w:t>a</w:t>
      </w:r>
      <w:r w:rsidRPr="00310980">
        <w:rPr>
          <w:sz w:val="20"/>
          <w:szCs w:val="20"/>
        </w:rPr>
        <w:t xml:space="preserve"> EPA estimates an average of 12 existing facilities and no new or modified facilities per year will be subject to the NESHAP over the next 3 years. In addition to the 12 active facilities there is one inactive facility that has been idled since 2013. We assume that each source subject to the standard will have to familiarize with the regulatory requirements each year.  Since there are no new or modified/reconstructed facilities expected the notifications for startup, intention to construct/reconstruct, notification of applicability and notification of initial compliance will not occur during this three-year ICR period.</w:t>
      </w:r>
    </w:p>
    <w:p w14:paraId="76357B34" w14:textId="462DD6CB" w:rsidR="00310980" w:rsidRPr="00310980" w:rsidRDefault="00310980" w:rsidP="00310980">
      <w:pPr>
        <w:rPr>
          <w:sz w:val="20"/>
          <w:szCs w:val="20"/>
        </w:rPr>
      </w:pPr>
      <w:r w:rsidRPr="00310980">
        <w:rPr>
          <w:sz w:val="20"/>
          <w:szCs w:val="20"/>
          <w:vertAlign w:val="superscript"/>
        </w:rPr>
        <w:t>b</w:t>
      </w:r>
      <w:r w:rsidRPr="00310980">
        <w:rPr>
          <w:sz w:val="20"/>
          <w:szCs w:val="20"/>
        </w:rPr>
        <w:t xml:space="preserve"> This ICR uses the following labor rates: $112.98 (technical), $149.35 (managerial), and $54.81 (clerical).  These rates are from the United States Department of Labor, Bureau of Labor Statistics, June 2017, “Table 2. Civilian workers, by occupational and industry group.”  The rates are from column 1, “Total compensation.”  They have been increased by 110 percent to account for the benefit packages available to those employed by private industry.</w:t>
      </w:r>
    </w:p>
    <w:p w14:paraId="7CC46B67" w14:textId="2D391203" w:rsidR="00310980" w:rsidRPr="00310980" w:rsidRDefault="00310980" w:rsidP="00310980">
      <w:pPr>
        <w:rPr>
          <w:sz w:val="20"/>
          <w:szCs w:val="20"/>
        </w:rPr>
      </w:pPr>
      <w:r w:rsidRPr="00310980">
        <w:rPr>
          <w:sz w:val="20"/>
          <w:szCs w:val="20"/>
          <w:vertAlign w:val="superscript"/>
        </w:rPr>
        <w:t>c</w:t>
      </w:r>
      <w:r w:rsidRPr="00310980">
        <w:rPr>
          <w:sz w:val="20"/>
          <w:szCs w:val="20"/>
        </w:rPr>
        <w:t xml:space="preserve"> Testing frequency was assumed as follows, based on rule requirements and experience with the affected source actual testing schedule. THC testing is conducted annually. Dioxin/Furan tests are required every 6 years, and this ICR assumes 2 of the 12 sources conduct dioxin/furan tests each year. Lead testing is required annually but many sources requests extensions for this test and the tests occur every two years.  This ICR assumes 6 of the 12 sources conduct lead tests each year. The ICR estimates that all sources have continuous particulate monitors and that two differential pressure monitors exist per source. Since all sources have continuous particulate monitors, the visible emission observation requirement in the rule is not accounted for in the burden estimate. In addition, each facility must conduct monthly inspections of capture hoods and enclosures, and weekly inspections of battery storage areas that are not in enclosures.</w:t>
      </w:r>
    </w:p>
    <w:p w14:paraId="165955D1" w14:textId="7DDC0AE5" w:rsidR="00310980" w:rsidRPr="00310980" w:rsidRDefault="00310980" w:rsidP="00310980">
      <w:pPr>
        <w:rPr>
          <w:sz w:val="20"/>
          <w:szCs w:val="20"/>
        </w:rPr>
      </w:pPr>
      <w:r w:rsidRPr="00310980">
        <w:rPr>
          <w:sz w:val="20"/>
          <w:szCs w:val="20"/>
          <w:vertAlign w:val="superscript"/>
        </w:rPr>
        <w:t>d</w:t>
      </w:r>
      <w:r w:rsidRPr="00310980">
        <w:rPr>
          <w:sz w:val="20"/>
          <w:szCs w:val="20"/>
        </w:rPr>
        <w:t xml:space="preserve"> EPA assumes each facility will make one major adjustment per year.  In each instance, the SOP must be revised.</w:t>
      </w:r>
    </w:p>
    <w:p w14:paraId="7C3DEF17" w14:textId="3A718660" w:rsidR="00310980" w:rsidRPr="00310980" w:rsidRDefault="00310980" w:rsidP="00310980">
      <w:pPr>
        <w:rPr>
          <w:sz w:val="20"/>
          <w:szCs w:val="20"/>
        </w:rPr>
      </w:pPr>
      <w:r w:rsidRPr="00310980">
        <w:rPr>
          <w:sz w:val="20"/>
          <w:szCs w:val="20"/>
          <w:vertAlign w:val="superscript"/>
        </w:rPr>
        <w:t>e</w:t>
      </w:r>
      <w:r w:rsidRPr="00310980">
        <w:rPr>
          <w:sz w:val="20"/>
          <w:szCs w:val="20"/>
        </w:rPr>
        <w:t xml:space="preserve"> EPA assumes one notification and one test report for each test conducted will be submitted. There are 20 tests for the 12 sources, 20/12 = 1.67, or 2 responses per respondent for each of these activities.</w:t>
      </w:r>
    </w:p>
    <w:p w14:paraId="6F0A4016" w14:textId="3C816A7A" w:rsidR="00310980" w:rsidRPr="00310980" w:rsidRDefault="00310980" w:rsidP="00310980">
      <w:pPr>
        <w:rPr>
          <w:sz w:val="20"/>
          <w:szCs w:val="20"/>
        </w:rPr>
      </w:pPr>
      <w:r w:rsidRPr="00310980">
        <w:rPr>
          <w:sz w:val="20"/>
          <w:szCs w:val="20"/>
          <w:vertAlign w:val="superscript"/>
        </w:rPr>
        <w:t>f</w:t>
      </w:r>
      <w:r w:rsidRPr="00310980">
        <w:rPr>
          <w:sz w:val="20"/>
          <w:szCs w:val="20"/>
        </w:rPr>
        <w:t xml:space="preserve"> EPA assumes that one report will be submitted for all differential pressure monitors at the facility.</w:t>
      </w:r>
    </w:p>
    <w:p w14:paraId="1650E15B" w14:textId="5987C2FF" w:rsidR="00310980" w:rsidRPr="00B20702" w:rsidRDefault="00310980" w:rsidP="00310980">
      <w:r w:rsidRPr="00310980">
        <w:rPr>
          <w:sz w:val="20"/>
          <w:szCs w:val="20"/>
          <w:vertAlign w:val="superscript"/>
        </w:rPr>
        <w:t>g</w:t>
      </w:r>
      <w:r w:rsidRPr="00310980">
        <w:rPr>
          <w:sz w:val="20"/>
          <w:szCs w:val="20"/>
        </w:rPr>
        <w:t xml:space="preserve"> Totals have been rounded to 3 significant figures. Figures may not add exactly due to rounding.</w:t>
      </w:r>
    </w:p>
    <w:p w14:paraId="5EDF628F" w14:textId="2D1E28FD" w:rsidR="00144F35" w:rsidRPr="00310980" w:rsidRDefault="00144F35" w:rsidP="00504745">
      <w:pPr>
        <w:outlineLvl w:val="0"/>
        <w:rPr>
          <w:b/>
          <w:bCs/>
        </w:rPr>
      </w:pPr>
      <w:r>
        <w:rPr>
          <w:b/>
          <w:bCs/>
          <w:color w:val="000000"/>
        </w:rPr>
        <w:br w:type="page"/>
      </w:r>
      <w:r w:rsidRPr="00C4183F">
        <w:rPr>
          <w:b/>
          <w:bCs/>
          <w:color w:val="000000"/>
        </w:rPr>
        <w:t>Table 2:</w:t>
      </w:r>
      <w:r>
        <w:rPr>
          <w:b/>
          <w:bCs/>
          <w:color w:val="000000"/>
        </w:rPr>
        <w:t xml:space="preserve"> Average Annual EPA Burden and </w:t>
      </w:r>
      <w:r w:rsidRPr="00310980">
        <w:rPr>
          <w:b/>
          <w:bCs/>
        </w:rPr>
        <w:t xml:space="preserve">Cost – </w:t>
      </w:r>
      <w:r w:rsidR="00310980" w:rsidRPr="00310980">
        <w:rPr>
          <w:b/>
          <w:bCs/>
        </w:rPr>
        <w:t>NESHAP for the Secondary Lead Smelter Industry (40 CFR Part 63, Subpart X) (Renewal)</w:t>
      </w:r>
    </w:p>
    <w:p w14:paraId="29F78B96" w14:textId="4E7533FD" w:rsidR="00162ECC" w:rsidRDefault="00162ECC" w:rsidP="00F340DF">
      <w:pPr>
        <w:rPr>
          <w:color w:val="000000"/>
        </w:rPr>
      </w:pPr>
    </w:p>
    <w:tbl>
      <w:tblPr>
        <w:tblW w:w="14125" w:type="dxa"/>
        <w:jc w:val="center"/>
        <w:tblLook w:val="04A0" w:firstRow="1" w:lastRow="0" w:firstColumn="1" w:lastColumn="0" w:noHBand="0" w:noVBand="1"/>
      </w:tblPr>
      <w:tblGrid>
        <w:gridCol w:w="3055"/>
        <w:gridCol w:w="1260"/>
        <w:gridCol w:w="1305"/>
        <w:gridCol w:w="1390"/>
        <w:gridCol w:w="1529"/>
        <w:gridCol w:w="1388"/>
        <w:gridCol w:w="1610"/>
        <w:gridCol w:w="1334"/>
        <w:gridCol w:w="1254"/>
      </w:tblGrid>
      <w:tr w:rsidR="00E1375C" w:rsidRPr="00310980" w14:paraId="2AB2937D" w14:textId="77777777" w:rsidTr="00E5096A">
        <w:trPr>
          <w:trHeight w:val="1530"/>
          <w:jc w:val="center"/>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38DA5" w14:textId="77777777" w:rsidR="00310980" w:rsidRPr="00310980" w:rsidRDefault="00310980" w:rsidP="00310980">
            <w:pPr>
              <w:widowControl/>
              <w:autoSpaceDE/>
              <w:autoSpaceDN/>
              <w:adjustRightInd/>
              <w:rPr>
                <w:b/>
                <w:bCs/>
                <w:color w:val="000000"/>
                <w:sz w:val="20"/>
                <w:szCs w:val="20"/>
              </w:rPr>
            </w:pPr>
            <w:r w:rsidRPr="00310980">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F2DBA0C" w14:textId="77777777" w:rsidR="00310980" w:rsidRPr="00310980" w:rsidRDefault="00310980" w:rsidP="00310980">
            <w:pPr>
              <w:widowControl/>
              <w:autoSpaceDE/>
              <w:autoSpaceDN/>
              <w:adjustRightInd/>
              <w:jc w:val="center"/>
              <w:rPr>
                <w:b/>
                <w:bCs/>
                <w:color w:val="000000"/>
                <w:sz w:val="20"/>
                <w:szCs w:val="20"/>
              </w:rPr>
            </w:pPr>
            <w:r w:rsidRPr="00310980">
              <w:rPr>
                <w:b/>
                <w:bCs/>
                <w:color w:val="000000"/>
                <w:sz w:val="20"/>
                <w:szCs w:val="20"/>
              </w:rPr>
              <w:t>(A)</w:t>
            </w:r>
            <w:r w:rsidRPr="00310980">
              <w:rPr>
                <w:b/>
                <w:bCs/>
                <w:color w:val="000000"/>
                <w:sz w:val="20"/>
                <w:szCs w:val="20"/>
              </w:rPr>
              <w:br/>
              <w:t>EPA person-hours per occurrence</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484746A9" w14:textId="77777777" w:rsidR="00310980" w:rsidRPr="00310980" w:rsidRDefault="00310980" w:rsidP="00310980">
            <w:pPr>
              <w:widowControl/>
              <w:autoSpaceDE/>
              <w:autoSpaceDN/>
              <w:adjustRightInd/>
              <w:jc w:val="center"/>
              <w:rPr>
                <w:b/>
                <w:bCs/>
                <w:color w:val="000000"/>
                <w:sz w:val="20"/>
                <w:szCs w:val="20"/>
              </w:rPr>
            </w:pPr>
            <w:r w:rsidRPr="00310980">
              <w:rPr>
                <w:b/>
                <w:bCs/>
                <w:color w:val="000000"/>
                <w:sz w:val="20"/>
                <w:szCs w:val="20"/>
              </w:rPr>
              <w:t>(B)</w:t>
            </w:r>
            <w:r w:rsidRPr="00310980">
              <w:rPr>
                <w:b/>
                <w:bCs/>
                <w:color w:val="000000"/>
                <w:sz w:val="20"/>
                <w:szCs w:val="20"/>
              </w:rPr>
              <w:br/>
              <w:t>Annual occurrences per respondent</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16E953D" w14:textId="77777777" w:rsidR="00310980" w:rsidRPr="00310980" w:rsidRDefault="00310980" w:rsidP="00310980">
            <w:pPr>
              <w:widowControl/>
              <w:autoSpaceDE/>
              <w:autoSpaceDN/>
              <w:adjustRightInd/>
              <w:jc w:val="center"/>
              <w:rPr>
                <w:b/>
                <w:bCs/>
                <w:color w:val="000000"/>
                <w:sz w:val="20"/>
                <w:szCs w:val="20"/>
              </w:rPr>
            </w:pPr>
            <w:r w:rsidRPr="00310980">
              <w:rPr>
                <w:b/>
                <w:bCs/>
                <w:color w:val="000000"/>
                <w:sz w:val="20"/>
                <w:szCs w:val="20"/>
              </w:rPr>
              <w:t>(C)</w:t>
            </w:r>
            <w:r w:rsidRPr="00310980">
              <w:rPr>
                <w:b/>
                <w:bCs/>
                <w:color w:val="000000"/>
                <w:sz w:val="20"/>
                <w:szCs w:val="20"/>
              </w:rPr>
              <w:br/>
              <w:t>EPA person-hours per respondent per year</w:t>
            </w:r>
            <w:r w:rsidRPr="00310980">
              <w:rPr>
                <w:b/>
                <w:bCs/>
                <w:color w:val="000000"/>
                <w:sz w:val="20"/>
                <w:szCs w:val="20"/>
              </w:rPr>
              <w:br/>
              <w:t>(A x B)</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14:paraId="3A6028D1" w14:textId="77777777" w:rsidR="00310980" w:rsidRPr="00310980" w:rsidRDefault="00310980" w:rsidP="00310980">
            <w:pPr>
              <w:widowControl/>
              <w:autoSpaceDE/>
              <w:autoSpaceDN/>
              <w:adjustRightInd/>
              <w:jc w:val="center"/>
              <w:rPr>
                <w:b/>
                <w:bCs/>
                <w:color w:val="000000"/>
                <w:sz w:val="20"/>
                <w:szCs w:val="20"/>
              </w:rPr>
            </w:pPr>
            <w:r w:rsidRPr="00310980">
              <w:rPr>
                <w:b/>
                <w:bCs/>
                <w:color w:val="000000"/>
                <w:sz w:val="20"/>
                <w:szCs w:val="20"/>
              </w:rPr>
              <w:t>(D)</w:t>
            </w:r>
            <w:r w:rsidRPr="00310980">
              <w:rPr>
                <w:b/>
                <w:bCs/>
                <w:color w:val="000000"/>
                <w:sz w:val="20"/>
                <w:szCs w:val="20"/>
              </w:rPr>
              <w:br/>
              <w:t xml:space="preserve">Respondents per year </w:t>
            </w:r>
            <w:r w:rsidRPr="00310980">
              <w:rPr>
                <w:b/>
                <w:bCs/>
                <w:color w:val="000000"/>
                <w:sz w:val="20"/>
                <w:szCs w:val="20"/>
                <w:vertAlign w:val="superscript"/>
              </w:rPr>
              <w:t>a</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14:paraId="160AA3E2" w14:textId="77777777" w:rsidR="00310980" w:rsidRPr="00310980" w:rsidRDefault="00310980" w:rsidP="00310980">
            <w:pPr>
              <w:widowControl/>
              <w:autoSpaceDE/>
              <w:autoSpaceDN/>
              <w:adjustRightInd/>
              <w:jc w:val="center"/>
              <w:rPr>
                <w:b/>
                <w:bCs/>
                <w:color w:val="000000"/>
                <w:sz w:val="20"/>
                <w:szCs w:val="20"/>
              </w:rPr>
            </w:pPr>
            <w:r w:rsidRPr="00310980">
              <w:rPr>
                <w:b/>
                <w:bCs/>
                <w:color w:val="000000"/>
                <w:sz w:val="20"/>
                <w:szCs w:val="20"/>
              </w:rPr>
              <w:t>(E)</w:t>
            </w:r>
            <w:r w:rsidRPr="00310980">
              <w:rPr>
                <w:b/>
                <w:bCs/>
                <w:color w:val="000000"/>
                <w:sz w:val="20"/>
                <w:szCs w:val="20"/>
              </w:rPr>
              <w:br/>
              <w:t>Technical hours per year</w:t>
            </w:r>
            <w:r w:rsidRPr="00310980">
              <w:rPr>
                <w:b/>
                <w:bCs/>
                <w:color w:val="000000"/>
                <w:sz w:val="20"/>
                <w:szCs w:val="20"/>
              </w:rPr>
              <w:br/>
              <w:t>(C x D)</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14:paraId="313DD34B" w14:textId="77777777" w:rsidR="00310980" w:rsidRPr="00310980" w:rsidRDefault="00310980" w:rsidP="00310980">
            <w:pPr>
              <w:widowControl/>
              <w:autoSpaceDE/>
              <w:autoSpaceDN/>
              <w:adjustRightInd/>
              <w:jc w:val="center"/>
              <w:rPr>
                <w:b/>
                <w:bCs/>
                <w:color w:val="000000"/>
                <w:sz w:val="20"/>
                <w:szCs w:val="20"/>
              </w:rPr>
            </w:pPr>
            <w:r w:rsidRPr="00310980">
              <w:rPr>
                <w:b/>
                <w:bCs/>
                <w:color w:val="000000"/>
                <w:sz w:val="20"/>
                <w:szCs w:val="20"/>
              </w:rPr>
              <w:t>(F)</w:t>
            </w:r>
            <w:r w:rsidRPr="00310980">
              <w:rPr>
                <w:b/>
                <w:bCs/>
                <w:color w:val="000000"/>
                <w:sz w:val="20"/>
                <w:szCs w:val="20"/>
              </w:rPr>
              <w:br/>
              <w:t>Management hours per year</w:t>
            </w:r>
            <w:r w:rsidRPr="00310980">
              <w:rPr>
                <w:b/>
                <w:bCs/>
                <w:color w:val="000000"/>
                <w:sz w:val="20"/>
                <w:szCs w:val="20"/>
              </w:rPr>
              <w:br/>
              <w:t>(E x 0.05)</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2BDFB4F2" w14:textId="77777777" w:rsidR="00310980" w:rsidRPr="00310980" w:rsidRDefault="00310980" w:rsidP="00310980">
            <w:pPr>
              <w:widowControl/>
              <w:autoSpaceDE/>
              <w:autoSpaceDN/>
              <w:adjustRightInd/>
              <w:jc w:val="center"/>
              <w:rPr>
                <w:b/>
                <w:bCs/>
                <w:color w:val="000000"/>
                <w:sz w:val="20"/>
                <w:szCs w:val="20"/>
              </w:rPr>
            </w:pPr>
            <w:r w:rsidRPr="00310980">
              <w:rPr>
                <w:b/>
                <w:bCs/>
                <w:color w:val="000000"/>
                <w:sz w:val="20"/>
                <w:szCs w:val="20"/>
              </w:rPr>
              <w:t>(G)</w:t>
            </w:r>
            <w:r w:rsidRPr="00310980">
              <w:rPr>
                <w:b/>
                <w:bCs/>
                <w:color w:val="000000"/>
                <w:sz w:val="20"/>
                <w:szCs w:val="20"/>
              </w:rPr>
              <w:br/>
              <w:t>Clerical hours per year</w:t>
            </w:r>
            <w:r w:rsidRPr="00310980">
              <w:rPr>
                <w:b/>
                <w:bCs/>
                <w:color w:val="000000"/>
                <w:sz w:val="20"/>
                <w:szCs w:val="20"/>
              </w:rPr>
              <w:br/>
              <w:t>(E x 0.10)</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14:paraId="402D7371" w14:textId="77777777" w:rsidR="00310980" w:rsidRPr="00310980" w:rsidRDefault="00310980" w:rsidP="00310980">
            <w:pPr>
              <w:widowControl/>
              <w:autoSpaceDE/>
              <w:autoSpaceDN/>
              <w:adjustRightInd/>
              <w:jc w:val="center"/>
              <w:rPr>
                <w:b/>
                <w:bCs/>
                <w:color w:val="000000"/>
                <w:sz w:val="20"/>
                <w:szCs w:val="20"/>
              </w:rPr>
            </w:pPr>
            <w:r w:rsidRPr="00310980">
              <w:rPr>
                <w:b/>
                <w:bCs/>
                <w:color w:val="000000"/>
                <w:sz w:val="20"/>
                <w:szCs w:val="20"/>
              </w:rPr>
              <w:t>(H)</w:t>
            </w:r>
            <w:r w:rsidRPr="00310980">
              <w:rPr>
                <w:b/>
                <w:bCs/>
                <w:color w:val="000000"/>
                <w:sz w:val="20"/>
                <w:szCs w:val="20"/>
              </w:rPr>
              <w:br/>
              <w:t xml:space="preserve">Annual cost ($) </w:t>
            </w:r>
            <w:r w:rsidRPr="00310980">
              <w:rPr>
                <w:b/>
                <w:bCs/>
                <w:color w:val="000000"/>
                <w:sz w:val="20"/>
                <w:szCs w:val="20"/>
                <w:vertAlign w:val="superscript"/>
              </w:rPr>
              <w:t>b</w:t>
            </w:r>
          </w:p>
        </w:tc>
      </w:tr>
      <w:tr w:rsidR="00E1375C" w:rsidRPr="00310980" w14:paraId="23794B85" w14:textId="77777777" w:rsidTr="00E5096A">
        <w:trPr>
          <w:trHeight w:val="30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FD0E94B" w14:textId="77777777" w:rsidR="00310980" w:rsidRPr="00310980" w:rsidRDefault="00310980" w:rsidP="00310980">
            <w:pPr>
              <w:widowControl/>
              <w:autoSpaceDE/>
              <w:autoSpaceDN/>
              <w:adjustRightInd/>
              <w:rPr>
                <w:color w:val="000000"/>
                <w:sz w:val="20"/>
                <w:szCs w:val="20"/>
              </w:rPr>
            </w:pPr>
            <w:r w:rsidRPr="00310980">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vAlign w:val="center"/>
            <w:hideMark/>
          </w:tcPr>
          <w:p w14:paraId="2C92B5A5"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N/A</w:t>
            </w:r>
          </w:p>
        </w:tc>
        <w:tc>
          <w:tcPr>
            <w:tcW w:w="1305" w:type="dxa"/>
            <w:tcBorders>
              <w:top w:val="nil"/>
              <w:left w:val="nil"/>
              <w:bottom w:val="single" w:sz="4" w:space="0" w:color="auto"/>
              <w:right w:val="single" w:sz="4" w:space="0" w:color="auto"/>
            </w:tcBorders>
            <w:shd w:val="clear" w:color="auto" w:fill="auto"/>
            <w:vAlign w:val="center"/>
            <w:hideMark/>
          </w:tcPr>
          <w:p w14:paraId="134F34CA"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90" w:type="dxa"/>
            <w:tcBorders>
              <w:top w:val="nil"/>
              <w:left w:val="nil"/>
              <w:bottom w:val="single" w:sz="4" w:space="0" w:color="auto"/>
              <w:right w:val="single" w:sz="4" w:space="0" w:color="auto"/>
            </w:tcBorders>
            <w:shd w:val="clear" w:color="auto" w:fill="auto"/>
            <w:vAlign w:val="center"/>
            <w:hideMark/>
          </w:tcPr>
          <w:p w14:paraId="60A8E58C"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529" w:type="dxa"/>
            <w:tcBorders>
              <w:top w:val="nil"/>
              <w:left w:val="nil"/>
              <w:bottom w:val="single" w:sz="4" w:space="0" w:color="auto"/>
              <w:right w:val="single" w:sz="4" w:space="0" w:color="auto"/>
            </w:tcBorders>
            <w:shd w:val="clear" w:color="auto" w:fill="auto"/>
            <w:vAlign w:val="center"/>
            <w:hideMark/>
          </w:tcPr>
          <w:p w14:paraId="4A7B2697"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88" w:type="dxa"/>
            <w:tcBorders>
              <w:top w:val="nil"/>
              <w:left w:val="nil"/>
              <w:bottom w:val="single" w:sz="4" w:space="0" w:color="auto"/>
              <w:right w:val="single" w:sz="4" w:space="0" w:color="auto"/>
            </w:tcBorders>
            <w:shd w:val="clear" w:color="auto" w:fill="auto"/>
            <w:vAlign w:val="center"/>
            <w:hideMark/>
          </w:tcPr>
          <w:p w14:paraId="71845CEC"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610" w:type="dxa"/>
            <w:tcBorders>
              <w:top w:val="nil"/>
              <w:left w:val="nil"/>
              <w:bottom w:val="single" w:sz="4" w:space="0" w:color="auto"/>
              <w:right w:val="single" w:sz="4" w:space="0" w:color="auto"/>
            </w:tcBorders>
            <w:shd w:val="clear" w:color="auto" w:fill="auto"/>
            <w:vAlign w:val="center"/>
            <w:hideMark/>
          </w:tcPr>
          <w:p w14:paraId="7DEDC36A"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256EB91D"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254" w:type="dxa"/>
            <w:tcBorders>
              <w:top w:val="nil"/>
              <w:left w:val="nil"/>
              <w:bottom w:val="single" w:sz="4" w:space="0" w:color="auto"/>
              <w:right w:val="single" w:sz="4" w:space="0" w:color="auto"/>
            </w:tcBorders>
            <w:shd w:val="clear" w:color="auto" w:fill="auto"/>
            <w:vAlign w:val="center"/>
            <w:hideMark/>
          </w:tcPr>
          <w:p w14:paraId="23C04DE7"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 </w:t>
            </w:r>
          </w:p>
        </w:tc>
      </w:tr>
      <w:tr w:rsidR="00E1375C" w:rsidRPr="00310980" w14:paraId="3600A419" w14:textId="77777777" w:rsidTr="00E5096A">
        <w:trPr>
          <w:trHeight w:val="30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F52F46B" w14:textId="77777777" w:rsidR="00310980" w:rsidRPr="00310980" w:rsidRDefault="00310980" w:rsidP="00310980">
            <w:pPr>
              <w:widowControl/>
              <w:autoSpaceDE/>
              <w:autoSpaceDN/>
              <w:adjustRightInd/>
              <w:rPr>
                <w:color w:val="000000"/>
                <w:sz w:val="20"/>
                <w:szCs w:val="20"/>
              </w:rPr>
            </w:pPr>
            <w:r w:rsidRPr="00310980">
              <w:rPr>
                <w:color w:val="000000"/>
                <w:sz w:val="20"/>
                <w:szCs w:val="20"/>
              </w:rPr>
              <w:t>2.  Required activities</w:t>
            </w:r>
          </w:p>
        </w:tc>
        <w:tc>
          <w:tcPr>
            <w:tcW w:w="1260" w:type="dxa"/>
            <w:tcBorders>
              <w:top w:val="nil"/>
              <w:left w:val="nil"/>
              <w:bottom w:val="single" w:sz="4" w:space="0" w:color="auto"/>
              <w:right w:val="single" w:sz="4" w:space="0" w:color="auto"/>
            </w:tcBorders>
            <w:shd w:val="clear" w:color="auto" w:fill="auto"/>
            <w:vAlign w:val="center"/>
            <w:hideMark/>
          </w:tcPr>
          <w:p w14:paraId="2C77BB89"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08624A9E"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90" w:type="dxa"/>
            <w:tcBorders>
              <w:top w:val="nil"/>
              <w:left w:val="nil"/>
              <w:bottom w:val="single" w:sz="4" w:space="0" w:color="auto"/>
              <w:right w:val="single" w:sz="4" w:space="0" w:color="auto"/>
            </w:tcBorders>
            <w:shd w:val="clear" w:color="auto" w:fill="auto"/>
            <w:vAlign w:val="center"/>
            <w:hideMark/>
          </w:tcPr>
          <w:p w14:paraId="3DD54CB1"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529" w:type="dxa"/>
            <w:tcBorders>
              <w:top w:val="nil"/>
              <w:left w:val="nil"/>
              <w:bottom w:val="single" w:sz="4" w:space="0" w:color="auto"/>
              <w:right w:val="single" w:sz="4" w:space="0" w:color="auto"/>
            </w:tcBorders>
            <w:shd w:val="clear" w:color="auto" w:fill="auto"/>
            <w:vAlign w:val="center"/>
            <w:hideMark/>
          </w:tcPr>
          <w:p w14:paraId="3AEBEC1B"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88" w:type="dxa"/>
            <w:tcBorders>
              <w:top w:val="nil"/>
              <w:left w:val="nil"/>
              <w:bottom w:val="single" w:sz="4" w:space="0" w:color="auto"/>
              <w:right w:val="single" w:sz="4" w:space="0" w:color="auto"/>
            </w:tcBorders>
            <w:shd w:val="clear" w:color="auto" w:fill="auto"/>
            <w:vAlign w:val="center"/>
            <w:hideMark/>
          </w:tcPr>
          <w:p w14:paraId="07CD9E6E"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610" w:type="dxa"/>
            <w:tcBorders>
              <w:top w:val="nil"/>
              <w:left w:val="nil"/>
              <w:bottom w:val="single" w:sz="4" w:space="0" w:color="auto"/>
              <w:right w:val="single" w:sz="4" w:space="0" w:color="auto"/>
            </w:tcBorders>
            <w:shd w:val="clear" w:color="auto" w:fill="auto"/>
            <w:vAlign w:val="center"/>
            <w:hideMark/>
          </w:tcPr>
          <w:p w14:paraId="76439489"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19A63CEA"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254" w:type="dxa"/>
            <w:tcBorders>
              <w:top w:val="nil"/>
              <w:left w:val="nil"/>
              <w:bottom w:val="single" w:sz="4" w:space="0" w:color="auto"/>
              <w:right w:val="single" w:sz="4" w:space="0" w:color="auto"/>
            </w:tcBorders>
            <w:shd w:val="clear" w:color="auto" w:fill="auto"/>
            <w:vAlign w:val="center"/>
            <w:hideMark/>
          </w:tcPr>
          <w:p w14:paraId="197B9B47"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 </w:t>
            </w:r>
          </w:p>
        </w:tc>
      </w:tr>
      <w:tr w:rsidR="00E1375C" w:rsidRPr="00310980" w14:paraId="3BE1E6F6" w14:textId="77777777" w:rsidTr="00E5096A">
        <w:trPr>
          <w:trHeight w:val="315"/>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1A41A7D" w14:textId="77777777" w:rsidR="00310980" w:rsidRPr="00310980" w:rsidRDefault="00310980" w:rsidP="00E1375C">
            <w:pPr>
              <w:widowControl/>
              <w:autoSpaceDE/>
              <w:autoSpaceDN/>
              <w:adjustRightInd/>
              <w:ind w:left="240"/>
              <w:rPr>
                <w:color w:val="000000"/>
                <w:sz w:val="20"/>
                <w:szCs w:val="20"/>
              </w:rPr>
            </w:pPr>
            <w:r w:rsidRPr="00310980">
              <w:rPr>
                <w:color w:val="000000"/>
                <w:sz w:val="20"/>
                <w:szCs w:val="20"/>
              </w:rPr>
              <w:t xml:space="preserve">A.  Observe stack tests </w:t>
            </w:r>
            <w:r w:rsidRPr="00310980">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1F990B39"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48</w:t>
            </w:r>
          </w:p>
        </w:tc>
        <w:tc>
          <w:tcPr>
            <w:tcW w:w="1305" w:type="dxa"/>
            <w:tcBorders>
              <w:top w:val="nil"/>
              <w:left w:val="nil"/>
              <w:bottom w:val="single" w:sz="4" w:space="0" w:color="auto"/>
              <w:right w:val="single" w:sz="4" w:space="0" w:color="auto"/>
            </w:tcBorders>
            <w:shd w:val="clear" w:color="auto" w:fill="auto"/>
            <w:vAlign w:val="center"/>
            <w:hideMark/>
          </w:tcPr>
          <w:p w14:paraId="4D504D11"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w:t>
            </w:r>
          </w:p>
        </w:tc>
        <w:tc>
          <w:tcPr>
            <w:tcW w:w="1390" w:type="dxa"/>
            <w:tcBorders>
              <w:top w:val="nil"/>
              <w:left w:val="nil"/>
              <w:bottom w:val="single" w:sz="4" w:space="0" w:color="auto"/>
              <w:right w:val="single" w:sz="4" w:space="0" w:color="auto"/>
            </w:tcBorders>
            <w:shd w:val="clear" w:color="auto" w:fill="auto"/>
            <w:vAlign w:val="center"/>
            <w:hideMark/>
          </w:tcPr>
          <w:p w14:paraId="1CA96A55"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48</w:t>
            </w:r>
          </w:p>
        </w:tc>
        <w:tc>
          <w:tcPr>
            <w:tcW w:w="1529" w:type="dxa"/>
            <w:tcBorders>
              <w:top w:val="nil"/>
              <w:left w:val="nil"/>
              <w:bottom w:val="single" w:sz="4" w:space="0" w:color="auto"/>
              <w:right w:val="single" w:sz="4" w:space="0" w:color="auto"/>
            </w:tcBorders>
            <w:shd w:val="clear" w:color="auto" w:fill="auto"/>
            <w:vAlign w:val="center"/>
            <w:hideMark/>
          </w:tcPr>
          <w:p w14:paraId="2A60FA99"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4</w:t>
            </w:r>
          </w:p>
        </w:tc>
        <w:tc>
          <w:tcPr>
            <w:tcW w:w="1388" w:type="dxa"/>
            <w:tcBorders>
              <w:top w:val="nil"/>
              <w:left w:val="nil"/>
              <w:bottom w:val="single" w:sz="4" w:space="0" w:color="auto"/>
              <w:right w:val="single" w:sz="4" w:space="0" w:color="auto"/>
            </w:tcBorders>
            <w:shd w:val="clear" w:color="auto" w:fill="auto"/>
            <w:vAlign w:val="center"/>
            <w:hideMark/>
          </w:tcPr>
          <w:p w14:paraId="657A9081"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192</w:t>
            </w:r>
          </w:p>
        </w:tc>
        <w:tc>
          <w:tcPr>
            <w:tcW w:w="1610" w:type="dxa"/>
            <w:tcBorders>
              <w:top w:val="nil"/>
              <w:left w:val="nil"/>
              <w:bottom w:val="single" w:sz="4" w:space="0" w:color="auto"/>
              <w:right w:val="single" w:sz="4" w:space="0" w:color="auto"/>
            </w:tcBorders>
            <w:shd w:val="clear" w:color="auto" w:fill="auto"/>
            <w:vAlign w:val="center"/>
            <w:hideMark/>
          </w:tcPr>
          <w:p w14:paraId="2A06854C"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9.6</w:t>
            </w:r>
          </w:p>
        </w:tc>
        <w:tc>
          <w:tcPr>
            <w:tcW w:w="1334" w:type="dxa"/>
            <w:tcBorders>
              <w:top w:val="nil"/>
              <w:left w:val="nil"/>
              <w:bottom w:val="single" w:sz="4" w:space="0" w:color="auto"/>
              <w:right w:val="single" w:sz="4" w:space="0" w:color="auto"/>
            </w:tcBorders>
            <w:shd w:val="clear" w:color="auto" w:fill="auto"/>
            <w:vAlign w:val="center"/>
            <w:hideMark/>
          </w:tcPr>
          <w:p w14:paraId="573485AE"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19.2</w:t>
            </w:r>
          </w:p>
        </w:tc>
        <w:tc>
          <w:tcPr>
            <w:tcW w:w="1254" w:type="dxa"/>
            <w:tcBorders>
              <w:top w:val="nil"/>
              <w:left w:val="nil"/>
              <w:bottom w:val="single" w:sz="4" w:space="0" w:color="auto"/>
              <w:right w:val="single" w:sz="4" w:space="0" w:color="auto"/>
            </w:tcBorders>
            <w:shd w:val="clear" w:color="auto" w:fill="auto"/>
            <w:vAlign w:val="center"/>
            <w:hideMark/>
          </w:tcPr>
          <w:p w14:paraId="14F95295"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10,353.02</w:t>
            </w:r>
          </w:p>
        </w:tc>
      </w:tr>
      <w:tr w:rsidR="00E1375C" w:rsidRPr="00310980" w14:paraId="19B0E50E" w14:textId="77777777" w:rsidTr="00E5096A">
        <w:trPr>
          <w:trHeight w:val="57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466341F" w14:textId="77777777" w:rsidR="00310980" w:rsidRPr="00310980" w:rsidRDefault="00310980" w:rsidP="00E1375C">
            <w:pPr>
              <w:widowControl/>
              <w:autoSpaceDE/>
              <w:autoSpaceDN/>
              <w:adjustRightInd/>
              <w:ind w:left="240"/>
              <w:rPr>
                <w:color w:val="000000"/>
                <w:sz w:val="20"/>
                <w:szCs w:val="20"/>
              </w:rPr>
            </w:pPr>
            <w:r w:rsidRPr="00310980">
              <w:rPr>
                <w:color w:val="000000"/>
                <w:sz w:val="20"/>
                <w:szCs w:val="20"/>
              </w:rPr>
              <w:t xml:space="preserve">B.  Excess emissions - enforcement activities </w:t>
            </w:r>
            <w:r w:rsidRPr="00310980">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3FEA716A"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24</w:t>
            </w:r>
          </w:p>
        </w:tc>
        <w:tc>
          <w:tcPr>
            <w:tcW w:w="1305" w:type="dxa"/>
            <w:tcBorders>
              <w:top w:val="nil"/>
              <w:left w:val="nil"/>
              <w:bottom w:val="single" w:sz="4" w:space="0" w:color="auto"/>
              <w:right w:val="single" w:sz="4" w:space="0" w:color="auto"/>
            </w:tcBorders>
            <w:shd w:val="clear" w:color="auto" w:fill="auto"/>
            <w:vAlign w:val="center"/>
            <w:hideMark/>
          </w:tcPr>
          <w:p w14:paraId="200DB56B"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w:t>
            </w:r>
          </w:p>
        </w:tc>
        <w:tc>
          <w:tcPr>
            <w:tcW w:w="1390" w:type="dxa"/>
            <w:tcBorders>
              <w:top w:val="nil"/>
              <w:left w:val="nil"/>
              <w:bottom w:val="single" w:sz="4" w:space="0" w:color="auto"/>
              <w:right w:val="single" w:sz="4" w:space="0" w:color="auto"/>
            </w:tcBorders>
            <w:shd w:val="clear" w:color="auto" w:fill="auto"/>
            <w:vAlign w:val="center"/>
            <w:hideMark/>
          </w:tcPr>
          <w:p w14:paraId="48F58F68"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24</w:t>
            </w:r>
          </w:p>
        </w:tc>
        <w:tc>
          <w:tcPr>
            <w:tcW w:w="1529" w:type="dxa"/>
            <w:tcBorders>
              <w:top w:val="nil"/>
              <w:left w:val="nil"/>
              <w:bottom w:val="single" w:sz="4" w:space="0" w:color="auto"/>
              <w:right w:val="single" w:sz="4" w:space="0" w:color="auto"/>
            </w:tcBorders>
            <w:shd w:val="clear" w:color="auto" w:fill="auto"/>
            <w:vAlign w:val="center"/>
            <w:hideMark/>
          </w:tcPr>
          <w:p w14:paraId="0F8B51D7"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w:t>
            </w:r>
          </w:p>
        </w:tc>
        <w:tc>
          <w:tcPr>
            <w:tcW w:w="1388" w:type="dxa"/>
            <w:tcBorders>
              <w:top w:val="nil"/>
              <w:left w:val="nil"/>
              <w:bottom w:val="single" w:sz="4" w:space="0" w:color="auto"/>
              <w:right w:val="single" w:sz="4" w:space="0" w:color="auto"/>
            </w:tcBorders>
            <w:shd w:val="clear" w:color="auto" w:fill="auto"/>
            <w:vAlign w:val="center"/>
            <w:hideMark/>
          </w:tcPr>
          <w:p w14:paraId="6ECF5C66"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24</w:t>
            </w:r>
          </w:p>
        </w:tc>
        <w:tc>
          <w:tcPr>
            <w:tcW w:w="1610" w:type="dxa"/>
            <w:tcBorders>
              <w:top w:val="nil"/>
              <w:left w:val="nil"/>
              <w:bottom w:val="single" w:sz="4" w:space="0" w:color="auto"/>
              <w:right w:val="single" w:sz="4" w:space="0" w:color="auto"/>
            </w:tcBorders>
            <w:shd w:val="clear" w:color="auto" w:fill="auto"/>
            <w:vAlign w:val="center"/>
            <w:hideMark/>
          </w:tcPr>
          <w:p w14:paraId="2418B735"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1.2</w:t>
            </w:r>
          </w:p>
        </w:tc>
        <w:tc>
          <w:tcPr>
            <w:tcW w:w="1334" w:type="dxa"/>
            <w:tcBorders>
              <w:top w:val="nil"/>
              <w:left w:val="nil"/>
              <w:bottom w:val="single" w:sz="4" w:space="0" w:color="auto"/>
              <w:right w:val="single" w:sz="4" w:space="0" w:color="auto"/>
            </w:tcBorders>
            <w:shd w:val="clear" w:color="auto" w:fill="auto"/>
            <w:vAlign w:val="center"/>
            <w:hideMark/>
          </w:tcPr>
          <w:p w14:paraId="6339335C"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2.4</w:t>
            </w:r>
          </w:p>
        </w:tc>
        <w:tc>
          <w:tcPr>
            <w:tcW w:w="1254" w:type="dxa"/>
            <w:tcBorders>
              <w:top w:val="nil"/>
              <w:left w:val="nil"/>
              <w:bottom w:val="single" w:sz="4" w:space="0" w:color="auto"/>
              <w:right w:val="single" w:sz="4" w:space="0" w:color="auto"/>
            </w:tcBorders>
            <w:shd w:val="clear" w:color="auto" w:fill="auto"/>
            <w:vAlign w:val="center"/>
            <w:hideMark/>
          </w:tcPr>
          <w:p w14:paraId="247438B9"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1,294.13</w:t>
            </w:r>
          </w:p>
        </w:tc>
      </w:tr>
      <w:tr w:rsidR="00E1375C" w:rsidRPr="00310980" w14:paraId="3864466B" w14:textId="77777777" w:rsidTr="00E5096A">
        <w:trPr>
          <w:trHeight w:val="30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2500761" w14:textId="77777777" w:rsidR="00310980" w:rsidRPr="00310980" w:rsidRDefault="00310980" w:rsidP="00E1375C">
            <w:pPr>
              <w:widowControl/>
              <w:autoSpaceDE/>
              <w:autoSpaceDN/>
              <w:adjustRightInd/>
              <w:ind w:left="240"/>
              <w:rPr>
                <w:color w:val="000000"/>
                <w:sz w:val="20"/>
                <w:szCs w:val="20"/>
              </w:rPr>
            </w:pPr>
            <w:r w:rsidRPr="00310980">
              <w:rPr>
                <w:color w:val="000000"/>
                <w:sz w:val="20"/>
                <w:szCs w:val="20"/>
              </w:rPr>
              <w:t>C.  Create information</w:t>
            </w:r>
          </w:p>
        </w:tc>
        <w:tc>
          <w:tcPr>
            <w:tcW w:w="1260" w:type="dxa"/>
            <w:tcBorders>
              <w:top w:val="nil"/>
              <w:left w:val="nil"/>
              <w:bottom w:val="single" w:sz="4" w:space="0" w:color="auto"/>
              <w:right w:val="single" w:sz="4" w:space="0" w:color="auto"/>
            </w:tcBorders>
            <w:shd w:val="clear" w:color="auto" w:fill="auto"/>
            <w:vAlign w:val="center"/>
            <w:hideMark/>
          </w:tcPr>
          <w:p w14:paraId="4337DE0B"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N/A</w:t>
            </w:r>
          </w:p>
        </w:tc>
        <w:tc>
          <w:tcPr>
            <w:tcW w:w="1305" w:type="dxa"/>
            <w:tcBorders>
              <w:top w:val="nil"/>
              <w:left w:val="nil"/>
              <w:bottom w:val="single" w:sz="4" w:space="0" w:color="auto"/>
              <w:right w:val="single" w:sz="4" w:space="0" w:color="auto"/>
            </w:tcBorders>
            <w:shd w:val="clear" w:color="auto" w:fill="auto"/>
            <w:vAlign w:val="center"/>
            <w:hideMark/>
          </w:tcPr>
          <w:p w14:paraId="514E229D"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90" w:type="dxa"/>
            <w:tcBorders>
              <w:top w:val="nil"/>
              <w:left w:val="nil"/>
              <w:bottom w:val="single" w:sz="4" w:space="0" w:color="auto"/>
              <w:right w:val="single" w:sz="4" w:space="0" w:color="auto"/>
            </w:tcBorders>
            <w:shd w:val="clear" w:color="auto" w:fill="auto"/>
            <w:vAlign w:val="center"/>
            <w:hideMark/>
          </w:tcPr>
          <w:p w14:paraId="3D92B9FA"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529" w:type="dxa"/>
            <w:tcBorders>
              <w:top w:val="nil"/>
              <w:left w:val="nil"/>
              <w:bottom w:val="single" w:sz="4" w:space="0" w:color="auto"/>
              <w:right w:val="single" w:sz="4" w:space="0" w:color="auto"/>
            </w:tcBorders>
            <w:shd w:val="clear" w:color="auto" w:fill="auto"/>
            <w:vAlign w:val="center"/>
            <w:hideMark/>
          </w:tcPr>
          <w:p w14:paraId="40F57699"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88" w:type="dxa"/>
            <w:tcBorders>
              <w:top w:val="nil"/>
              <w:left w:val="nil"/>
              <w:bottom w:val="single" w:sz="4" w:space="0" w:color="auto"/>
              <w:right w:val="single" w:sz="4" w:space="0" w:color="auto"/>
            </w:tcBorders>
            <w:shd w:val="clear" w:color="auto" w:fill="auto"/>
            <w:vAlign w:val="center"/>
            <w:hideMark/>
          </w:tcPr>
          <w:p w14:paraId="23D3B010"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610" w:type="dxa"/>
            <w:tcBorders>
              <w:top w:val="nil"/>
              <w:left w:val="nil"/>
              <w:bottom w:val="single" w:sz="4" w:space="0" w:color="auto"/>
              <w:right w:val="single" w:sz="4" w:space="0" w:color="auto"/>
            </w:tcBorders>
            <w:shd w:val="clear" w:color="auto" w:fill="auto"/>
            <w:vAlign w:val="center"/>
            <w:hideMark/>
          </w:tcPr>
          <w:p w14:paraId="0B161F8C"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6AC4E725"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254" w:type="dxa"/>
            <w:tcBorders>
              <w:top w:val="nil"/>
              <w:left w:val="nil"/>
              <w:bottom w:val="single" w:sz="4" w:space="0" w:color="auto"/>
              <w:right w:val="single" w:sz="4" w:space="0" w:color="auto"/>
            </w:tcBorders>
            <w:shd w:val="clear" w:color="auto" w:fill="auto"/>
            <w:vAlign w:val="center"/>
            <w:hideMark/>
          </w:tcPr>
          <w:p w14:paraId="1EE45381"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 </w:t>
            </w:r>
          </w:p>
        </w:tc>
      </w:tr>
      <w:tr w:rsidR="00E1375C" w:rsidRPr="00310980" w14:paraId="5EC1ADBD" w14:textId="77777777" w:rsidTr="00E5096A">
        <w:trPr>
          <w:trHeight w:val="30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9EE4671" w14:textId="77777777" w:rsidR="00310980" w:rsidRPr="00310980" w:rsidRDefault="00310980" w:rsidP="00E1375C">
            <w:pPr>
              <w:widowControl/>
              <w:autoSpaceDE/>
              <w:autoSpaceDN/>
              <w:adjustRightInd/>
              <w:ind w:left="240"/>
              <w:rPr>
                <w:color w:val="000000"/>
                <w:sz w:val="20"/>
                <w:szCs w:val="20"/>
              </w:rPr>
            </w:pPr>
            <w:r w:rsidRPr="00310980">
              <w:rPr>
                <w:color w:val="000000"/>
                <w:sz w:val="20"/>
                <w:szCs w:val="20"/>
              </w:rPr>
              <w:t>D.  Gather information</w:t>
            </w:r>
          </w:p>
        </w:tc>
        <w:tc>
          <w:tcPr>
            <w:tcW w:w="1260" w:type="dxa"/>
            <w:tcBorders>
              <w:top w:val="nil"/>
              <w:left w:val="nil"/>
              <w:bottom w:val="single" w:sz="4" w:space="0" w:color="auto"/>
              <w:right w:val="single" w:sz="4" w:space="0" w:color="auto"/>
            </w:tcBorders>
            <w:shd w:val="clear" w:color="auto" w:fill="auto"/>
            <w:vAlign w:val="center"/>
            <w:hideMark/>
          </w:tcPr>
          <w:p w14:paraId="45115982"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N/A</w:t>
            </w:r>
          </w:p>
        </w:tc>
        <w:tc>
          <w:tcPr>
            <w:tcW w:w="1305" w:type="dxa"/>
            <w:tcBorders>
              <w:top w:val="nil"/>
              <w:left w:val="nil"/>
              <w:bottom w:val="single" w:sz="4" w:space="0" w:color="auto"/>
              <w:right w:val="single" w:sz="4" w:space="0" w:color="auto"/>
            </w:tcBorders>
            <w:shd w:val="clear" w:color="auto" w:fill="auto"/>
            <w:vAlign w:val="center"/>
            <w:hideMark/>
          </w:tcPr>
          <w:p w14:paraId="45A39ED4"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90" w:type="dxa"/>
            <w:tcBorders>
              <w:top w:val="nil"/>
              <w:left w:val="nil"/>
              <w:bottom w:val="single" w:sz="4" w:space="0" w:color="auto"/>
              <w:right w:val="single" w:sz="4" w:space="0" w:color="auto"/>
            </w:tcBorders>
            <w:shd w:val="clear" w:color="auto" w:fill="auto"/>
            <w:vAlign w:val="center"/>
            <w:hideMark/>
          </w:tcPr>
          <w:p w14:paraId="3110F33F"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529" w:type="dxa"/>
            <w:tcBorders>
              <w:top w:val="nil"/>
              <w:left w:val="nil"/>
              <w:bottom w:val="single" w:sz="4" w:space="0" w:color="auto"/>
              <w:right w:val="single" w:sz="4" w:space="0" w:color="auto"/>
            </w:tcBorders>
            <w:shd w:val="clear" w:color="auto" w:fill="auto"/>
            <w:vAlign w:val="center"/>
            <w:hideMark/>
          </w:tcPr>
          <w:p w14:paraId="7250959F"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88" w:type="dxa"/>
            <w:tcBorders>
              <w:top w:val="nil"/>
              <w:left w:val="nil"/>
              <w:bottom w:val="single" w:sz="4" w:space="0" w:color="auto"/>
              <w:right w:val="single" w:sz="4" w:space="0" w:color="auto"/>
            </w:tcBorders>
            <w:shd w:val="clear" w:color="auto" w:fill="auto"/>
            <w:vAlign w:val="center"/>
            <w:hideMark/>
          </w:tcPr>
          <w:p w14:paraId="1888D785"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610" w:type="dxa"/>
            <w:tcBorders>
              <w:top w:val="nil"/>
              <w:left w:val="nil"/>
              <w:bottom w:val="single" w:sz="4" w:space="0" w:color="auto"/>
              <w:right w:val="single" w:sz="4" w:space="0" w:color="auto"/>
            </w:tcBorders>
            <w:shd w:val="clear" w:color="auto" w:fill="auto"/>
            <w:vAlign w:val="center"/>
            <w:hideMark/>
          </w:tcPr>
          <w:p w14:paraId="54C0CC60"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036D6E86"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254" w:type="dxa"/>
            <w:tcBorders>
              <w:top w:val="nil"/>
              <w:left w:val="nil"/>
              <w:bottom w:val="single" w:sz="4" w:space="0" w:color="auto"/>
              <w:right w:val="single" w:sz="4" w:space="0" w:color="auto"/>
            </w:tcBorders>
            <w:shd w:val="clear" w:color="auto" w:fill="auto"/>
            <w:vAlign w:val="center"/>
            <w:hideMark/>
          </w:tcPr>
          <w:p w14:paraId="1835B085"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 </w:t>
            </w:r>
          </w:p>
        </w:tc>
      </w:tr>
      <w:tr w:rsidR="00E1375C" w:rsidRPr="00310980" w14:paraId="42C47764" w14:textId="77777777" w:rsidTr="00E5096A">
        <w:trPr>
          <w:trHeight w:val="30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7331A2E" w14:textId="77777777" w:rsidR="00310980" w:rsidRPr="00310980" w:rsidRDefault="00310980" w:rsidP="00E1375C">
            <w:pPr>
              <w:widowControl/>
              <w:autoSpaceDE/>
              <w:autoSpaceDN/>
              <w:adjustRightInd/>
              <w:ind w:left="240"/>
              <w:rPr>
                <w:color w:val="000000"/>
                <w:sz w:val="20"/>
                <w:szCs w:val="20"/>
              </w:rPr>
            </w:pPr>
            <w:r w:rsidRPr="00310980">
              <w:rPr>
                <w:color w:val="000000"/>
                <w:sz w:val="20"/>
                <w:szCs w:val="20"/>
              </w:rPr>
              <w:t>E.  Report reviews</w:t>
            </w:r>
          </w:p>
        </w:tc>
        <w:tc>
          <w:tcPr>
            <w:tcW w:w="1260" w:type="dxa"/>
            <w:tcBorders>
              <w:top w:val="nil"/>
              <w:left w:val="nil"/>
              <w:bottom w:val="single" w:sz="4" w:space="0" w:color="auto"/>
              <w:right w:val="single" w:sz="4" w:space="0" w:color="auto"/>
            </w:tcBorders>
            <w:shd w:val="clear" w:color="auto" w:fill="auto"/>
            <w:vAlign w:val="center"/>
            <w:hideMark/>
          </w:tcPr>
          <w:p w14:paraId="0E802D7B"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665D8832"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90" w:type="dxa"/>
            <w:tcBorders>
              <w:top w:val="nil"/>
              <w:left w:val="nil"/>
              <w:bottom w:val="single" w:sz="4" w:space="0" w:color="auto"/>
              <w:right w:val="single" w:sz="4" w:space="0" w:color="auto"/>
            </w:tcBorders>
            <w:shd w:val="clear" w:color="auto" w:fill="auto"/>
            <w:vAlign w:val="center"/>
            <w:hideMark/>
          </w:tcPr>
          <w:p w14:paraId="2D3ECF11"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529" w:type="dxa"/>
            <w:tcBorders>
              <w:top w:val="nil"/>
              <w:left w:val="nil"/>
              <w:bottom w:val="single" w:sz="4" w:space="0" w:color="auto"/>
              <w:right w:val="single" w:sz="4" w:space="0" w:color="auto"/>
            </w:tcBorders>
            <w:shd w:val="clear" w:color="auto" w:fill="auto"/>
            <w:vAlign w:val="center"/>
            <w:hideMark/>
          </w:tcPr>
          <w:p w14:paraId="5D9A7E0A"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88" w:type="dxa"/>
            <w:tcBorders>
              <w:top w:val="nil"/>
              <w:left w:val="nil"/>
              <w:bottom w:val="single" w:sz="4" w:space="0" w:color="auto"/>
              <w:right w:val="single" w:sz="4" w:space="0" w:color="auto"/>
            </w:tcBorders>
            <w:shd w:val="clear" w:color="auto" w:fill="auto"/>
            <w:vAlign w:val="center"/>
            <w:hideMark/>
          </w:tcPr>
          <w:p w14:paraId="0AE22EB0"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610" w:type="dxa"/>
            <w:tcBorders>
              <w:top w:val="nil"/>
              <w:left w:val="nil"/>
              <w:bottom w:val="single" w:sz="4" w:space="0" w:color="auto"/>
              <w:right w:val="single" w:sz="4" w:space="0" w:color="auto"/>
            </w:tcBorders>
            <w:shd w:val="clear" w:color="auto" w:fill="auto"/>
            <w:vAlign w:val="center"/>
            <w:hideMark/>
          </w:tcPr>
          <w:p w14:paraId="2225BC61"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1CB88FAF"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 </w:t>
            </w:r>
          </w:p>
        </w:tc>
        <w:tc>
          <w:tcPr>
            <w:tcW w:w="1254" w:type="dxa"/>
            <w:tcBorders>
              <w:top w:val="nil"/>
              <w:left w:val="nil"/>
              <w:bottom w:val="single" w:sz="4" w:space="0" w:color="auto"/>
              <w:right w:val="single" w:sz="4" w:space="0" w:color="auto"/>
            </w:tcBorders>
            <w:shd w:val="clear" w:color="auto" w:fill="auto"/>
            <w:vAlign w:val="center"/>
            <w:hideMark/>
          </w:tcPr>
          <w:p w14:paraId="6F6CFA1F"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 </w:t>
            </w:r>
          </w:p>
        </w:tc>
      </w:tr>
      <w:tr w:rsidR="00E1375C" w:rsidRPr="00310980" w14:paraId="4E2FCBA9" w14:textId="77777777" w:rsidTr="00E5096A">
        <w:trPr>
          <w:trHeight w:val="30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625022F" w14:textId="05E23BA4" w:rsidR="00310980" w:rsidRPr="00310980" w:rsidRDefault="00310980" w:rsidP="00E1375C">
            <w:pPr>
              <w:widowControl/>
              <w:autoSpaceDE/>
              <w:autoSpaceDN/>
              <w:adjustRightInd/>
              <w:ind w:leftChars="137" w:left="329"/>
              <w:rPr>
                <w:color w:val="000000"/>
                <w:sz w:val="20"/>
                <w:szCs w:val="20"/>
              </w:rPr>
            </w:pPr>
            <w:r w:rsidRPr="00310980">
              <w:rPr>
                <w:color w:val="000000"/>
                <w:sz w:val="20"/>
                <w:szCs w:val="20"/>
              </w:rPr>
              <w:t>Notification of performance test</w:t>
            </w:r>
          </w:p>
        </w:tc>
        <w:tc>
          <w:tcPr>
            <w:tcW w:w="1260" w:type="dxa"/>
            <w:tcBorders>
              <w:top w:val="nil"/>
              <w:left w:val="nil"/>
              <w:bottom w:val="single" w:sz="4" w:space="0" w:color="auto"/>
              <w:right w:val="single" w:sz="4" w:space="0" w:color="auto"/>
            </w:tcBorders>
            <w:shd w:val="clear" w:color="auto" w:fill="auto"/>
            <w:vAlign w:val="center"/>
            <w:hideMark/>
          </w:tcPr>
          <w:p w14:paraId="54D18A28"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3</w:t>
            </w:r>
          </w:p>
        </w:tc>
        <w:tc>
          <w:tcPr>
            <w:tcW w:w="1305" w:type="dxa"/>
            <w:tcBorders>
              <w:top w:val="nil"/>
              <w:left w:val="nil"/>
              <w:bottom w:val="single" w:sz="4" w:space="0" w:color="auto"/>
              <w:right w:val="single" w:sz="4" w:space="0" w:color="auto"/>
            </w:tcBorders>
            <w:shd w:val="clear" w:color="auto" w:fill="auto"/>
            <w:vAlign w:val="center"/>
            <w:hideMark/>
          </w:tcPr>
          <w:p w14:paraId="05AE0C82"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w:t>
            </w:r>
          </w:p>
        </w:tc>
        <w:tc>
          <w:tcPr>
            <w:tcW w:w="1390" w:type="dxa"/>
            <w:tcBorders>
              <w:top w:val="nil"/>
              <w:left w:val="nil"/>
              <w:bottom w:val="single" w:sz="4" w:space="0" w:color="auto"/>
              <w:right w:val="single" w:sz="4" w:space="0" w:color="auto"/>
            </w:tcBorders>
            <w:shd w:val="clear" w:color="auto" w:fill="auto"/>
            <w:vAlign w:val="center"/>
            <w:hideMark/>
          </w:tcPr>
          <w:p w14:paraId="012280E4"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6</w:t>
            </w:r>
          </w:p>
        </w:tc>
        <w:tc>
          <w:tcPr>
            <w:tcW w:w="1529" w:type="dxa"/>
            <w:tcBorders>
              <w:top w:val="nil"/>
              <w:left w:val="nil"/>
              <w:bottom w:val="single" w:sz="4" w:space="0" w:color="auto"/>
              <w:right w:val="single" w:sz="4" w:space="0" w:color="auto"/>
            </w:tcBorders>
            <w:shd w:val="clear" w:color="auto" w:fill="auto"/>
            <w:vAlign w:val="center"/>
            <w:hideMark/>
          </w:tcPr>
          <w:p w14:paraId="23B75E02"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12</w:t>
            </w:r>
          </w:p>
        </w:tc>
        <w:tc>
          <w:tcPr>
            <w:tcW w:w="1388" w:type="dxa"/>
            <w:tcBorders>
              <w:top w:val="nil"/>
              <w:left w:val="nil"/>
              <w:bottom w:val="single" w:sz="4" w:space="0" w:color="auto"/>
              <w:right w:val="single" w:sz="4" w:space="0" w:color="auto"/>
            </w:tcBorders>
            <w:shd w:val="clear" w:color="auto" w:fill="auto"/>
            <w:vAlign w:val="center"/>
            <w:hideMark/>
          </w:tcPr>
          <w:p w14:paraId="4C9E2887"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72</w:t>
            </w:r>
          </w:p>
        </w:tc>
        <w:tc>
          <w:tcPr>
            <w:tcW w:w="1610" w:type="dxa"/>
            <w:tcBorders>
              <w:top w:val="nil"/>
              <w:left w:val="nil"/>
              <w:bottom w:val="single" w:sz="4" w:space="0" w:color="auto"/>
              <w:right w:val="single" w:sz="4" w:space="0" w:color="auto"/>
            </w:tcBorders>
            <w:shd w:val="clear" w:color="auto" w:fill="auto"/>
            <w:vAlign w:val="center"/>
            <w:hideMark/>
          </w:tcPr>
          <w:p w14:paraId="6A85920D"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3.6</w:t>
            </w:r>
          </w:p>
        </w:tc>
        <w:tc>
          <w:tcPr>
            <w:tcW w:w="1334" w:type="dxa"/>
            <w:tcBorders>
              <w:top w:val="nil"/>
              <w:left w:val="nil"/>
              <w:bottom w:val="single" w:sz="4" w:space="0" w:color="auto"/>
              <w:right w:val="single" w:sz="4" w:space="0" w:color="auto"/>
            </w:tcBorders>
            <w:shd w:val="clear" w:color="auto" w:fill="auto"/>
            <w:vAlign w:val="center"/>
            <w:hideMark/>
          </w:tcPr>
          <w:p w14:paraId="2140FE80"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7.2</w:t>
            </w:r>
          </w:p>
        </w:tc>
        <w:tc>
          <w:tcPr>
            <w:tcW w:w="1254" w:type="dxa"/>
            <w:tcBorders>
              <w:top w:val="nil"/>
              <w:left w:val="nil"/>
              <w:bottom w:val="single" w:sz="4" w:space="0" w:color="auto"/>
              <w:right w:val="single" w:sz="4" w:space="0" w:color="auto"/>
            </w:tcBorders>
            <w:shd w:val="clear" w:color="auto" w:fill="auto"/>
            <w:vAlign w:val="center"/>
            <w:hideMark/>
          </w:tcPr>
          <w:p w14:paraId="55703F0D"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3,882.38</w:t>
            </w:r>
          </w:p>
        </w:tc>
      </w:tr>
      <w:tr w:rsidR="00E1375C" w:rsidRPr="00310980" w14:paraId="4B8F5E47" w14:textId="77777777" w:rsidTr="00E5096A">
        <w:trPr>
          <w:trHeight w:val="30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AA4E87D" w14:textId="77777777" w:rsidR="00310980" w:rsidRPr="00310980" w:rsidRDefault="00310980" w:rsidP="00E1375C">
            <w:pPr>
              <w:widowControl/>
              <w:autoSpaceDE/>
              <w:autoSpaceDN/>
              <w:adjustRightInd/>
              <w:ind w:left="330"/>
              <w:rPr>
                <w:color w:val="000000"/>
                <w:sz w:val="20"/>
                <w:szCs w:val="20"/>
              </w:rPr>
            </w:pPr>
            <w:r w:rsidRPr="00310980">
              <w:rPr>
                <w:color w:val="000000"/>
                <w:sz w:val="20"/>
                <w:szCs w:val="20"/>
              </w:rPr>
              <w:t>Semiannual report</w:t>
            </w:r>
          </w:p>
        </w:tc>
        <w:tc>
          <w:tcPr>
            <w:tcW w:w="1260" w:type="dxa"/>
            <w:tcBorders>
              <w:top w:val="nil"/>
              <w:left w:val="nil"/>
              <w:bottom w:val="single" w:sz="4" w:space="0" w:color="auto"/>
              <w:right w:val="single" w:sz="4" w:space="0" w:color="auto"/>
            </w:tcBorders>
            <w:shd w:val="clear" w:color="auto" w:fill="auto"/>
            <w:vAlign w:val="center"/>
            <w:hideMark/>
          </w:tcPr>
          <w:p w14:paraId="4377D1EF"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10</w:t>
            </w:r>
          </w:p>
        </w:tc>
        <w:tc>
          <w:tcPr>
            <w:tcW w:w="1305" w:type="dxa"/>
            <w:tcBorders>
              <w:top w:val="nil"/>
              <w:left w:val="nil"/>
              <w:bottom w:val="single" w:sz="4" w:space="0" w:color="auto"/>
              <w:right w:val="single" w:sz="4" w:space="0" w:color="auto"/>
            </w:tcBorders>
            <w:shd w:val="clear" w:color="auto" w:fill="auto"/>
            <w:vAlign w:val="center"/>
            <w:hideMark/>
          </w:tcPr>
          <w:p w14:paraId="66BDA573"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w:t>
            </w:r>
          </w:p>
        </w:tc>
        <w:tc>
          <w:tcPr>
            <w:tcW w:w="1390" w:type="dxa"/>
            <w:tcBorders>
              <w:top w:val="nil"/>
              <w:left w:val="nil"/>
              <w:bottom w:val="single" w:sz="4" w:space="0" w:color="auto"/>
              <w:right w:val="single" w:sz="4" w:space="0" w:color="auto"/>
            </w:tcBorders>
            <w:shd w:val="clear" w:color="auto" w:fill="auto"/>
            <w:vAlign w:val="center"/>
            <w:hideMark/>
          </w:tcPr>
          <w:p w14:paraId="14810EA3"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20</w:t>
            </w:r>
          </w:p>
        </w:tc>
        <w:tc>
          <w:tcPr>
            <w:tcW w:w="1529" w:type="dxa"/>
            <w:tcBorders>
              <w:top w:val="nil"/>
              <w:left w:val="nil"/>
              <w:bottom w:val="single" w:sz="4" w:space="0" w:color="auto"/>
              <w:right w:val="single" w:sz="4" w:space="0" w:color="auto"/>
            </w:tcBorders>
            <w:shd w:val="clear" w:color="auto" w:fill="auto"/>
            <w:vAlign w:val="center"/>
            <w:hideMark/>
          </w:tcPr>
          <w:p w14:paraId="361B3F3C"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12</w:t>
            </w:r>
          </w:p>
        </w:tc>
        <w:tc>
          <w:tcPr>
            <w:tcW w:w="1388" w:type="dxa"/>
            <w:tcBorders>
              <w:top w:val="nil"/>
              <w:left w:val="nil"/>
              <w:bottom w:val="single" w:sz="4" w:space="0" w:color="auto"/>
              <w:right w:val="single" w:sz="4" w:space="0" w:color="auto"/>
            </w:tcBorders>
            <w:shd w:val="clear" w:color="auto" w:fill="auto"/>
            <w:vAlign w:val="center"/>
            <w:hideMark/>
          </w:tcPr>
          <w:p w14:paraId="4E55A73B"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240</w:t>
            </w:r>
          </w:p>
        </w:tc>
        <w:tc>
          <w:tcPr>
            <w:tcW w:w="1610" w:type="dxa"/>
            <w:tcBorders>
              <w:top w:val="nil"/>
              <w:left w:val="nil"/>
              <w:bottom w:val="single" w:sz="4" w:space="0" w:color="auto"/>
              <w:right w:val="single" w:sz="4" w:space="0" w:color="auto"/>
            </w:tcBorders>
            <w:shd w:val="clear" w:color="auto" w:fill="auto"/>
            <w:vAlign w:val="center"/>
            <w:hideMark/>
          </w:tcPr>
          <w:p w14:paraId="46FD5262"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12</w:t>
            </w:r>
          </w:p>
        </w:tc>
        <w:tc>
          <w:tcPr>
            <w:tcW w:w="1334" w:type="dxa"/>
            <w:tcBorders>
              <w:top w:val="nil"/>
              <w:left w:val="nil"/>
              <w:bottom w:val="single" w:sz="4" w:space="0" w:color="auto"/>
              <w:right w:val="single" w:sz="4" w:space="0" w:color="auto"/>
            </w:tcBorders>
            <w:shd w:val="clear" w:color="auto" w:fill="auto"/>
            <w:vAlign w:val="center"/>
            <w:hideMark/>
          </w:tcPr>
          <w:p w14:paraId="7F4E4C2B"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24</w:t>
            </w:r>
          </w:p>
        </w:tc>
        <w:tc>
          <w:tcPr>
            <w:tcW w:w="1254" w:type="dxa"/>
            <w:tcBorders>
              <w:top w:val="nil"/>
              <w:left w:val="nil"/>
              <w:bottom w:val="single" w:sz="4" w:space="0" w:color="auto"/>
              <w:right w:val="single" w:sz="4" w:space="0" w:color="auto"/>
            </w:tcBorders>
            <w:shd w:val="clear" w:color="auto" w:fill="auto"/>
            <w:vAlign w:val="center"/>
            <w:hideMark/>
          </w:tcPr>
          <w:p w14:paraId="79CD1444"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12,941.28</w:t>
            </w:r>
          </w:p>
        </w:tc>
      </w:tr>
      <w:tr w:rsidR="00E1375C" w:rsidRPr="00310980" w14:paraId="2D7B429D" w14:textId="77777777" w:rsidTr="00E5096A">
        <w:trPr>
          <w:trHeight w:val="30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620A115" w14:textId="77777777" w:rsidR="00310980" w:rsidRPr="00310980" w:rsidRDefault="00310980" w:rsidP="00E1375C">
            <w:pPr>
              <w:widowControl/>
              <w:autoSpaceDE/>
              <w:autoSpaceDN/>
              <w:adjustRightInd/>
              <w:ind w:left="330"/>
              <w:rPr>
                <w:color w:val="000000"/>
                <w:sz w:val="20"/>
                <w:szCs w:val="20"/>
              </w:rPr>
            </w:pPr>
            <w:r w:rsidRPr="00310980">
              <w:rPr>
                <w:color w:val="000000"/>
                <w:sz w:val="20"/>
                <w:szCs w:val="20"/>
              </w:rPr>
              <w:t>Annual report</w:t>
            </w:r>
          </w:p>
        </w:tc>
        <w:tc>
          <w:tcPr>
            <w:tcW w:w="1260" w:type="dxa"/>
            <w:tcBorders>
              <w:top w:val="nil"/>
              <w:left w:val="nil"/>
              <w:bottom w:val="single" w:sz="4" w:space="0" w:color="auto"/>
              <w:right w:val="single" w:sz="4" w:space="0" w:color="auto"/>
            </w:tcBorders>
            <w:shd w:val="clear" w:color="auto" w:fill="auto"/>
            <w:vAlign w:val="center"/>
            <w:hideMark/>
          </w:tcPr>
          <w:p w14:paraId="3CD093EC"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10</w:t>
            </w:r>
          </w:p>
        </w:tc>
        <w:tc>
          <w:tcPr>
            <w:tcW w:w="1305" w:type="dxa"/>
            <w:tcBorders>
              <w:top w:val="nil"/>
              <w:left w:val="nil"/>
              <w:bottom w:val="single" w:sz="4" w:space="0" w:color="auto"/>
              <w:right w:val="single" w:sz="4" w:space="0" w:color="auto"/>
            </w:tcBorders>
            <w:shd w:val="clear" w:color="auto" w:fill="auto"/>
            <w:vAlign w:val="center"/>
            <w:hideMark/>
          </w:tcPr>
          <w:p w14:paraId="28C790CA"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w:t>
            </w:r>
          </w:p>
        </w:tc>
        <w:tc>
          <w:tcPr>
            <w:tcW w:w="1390" w:type="dxa"/>
            <w:tcBorders>
              <w:top w:val="nil"/>
              <w:left w:val="nil"/>
              <w:bottom w:val="single" w:sz="4" w:space="0" w:color="auto"/>
              <w:right w:val="single" w:sz="4" w:space="0" w:color="auto"/>
            </w:tcBorders>
            <w:shd w:val="clear" w:color="auto" w:fill="auto"/>
            <w:vAlign w:val="center"/>
            <w:hideMark/>
          </w:tcPr>
          <w:p w14:paraId="0B0A56E0"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20</w:t>
            </w:r>
          </w:p>
        </w:tc>
        <w:tc>
          <w:tcPr>
            <w:tcW w:w="1529" w:type="dxa"/>
            <w:tcBorders>
              <w:top w:val="nil"/>
              <w:left w:val="nil"/>
              <w:bottom w:val="single" w:sz="4" w:space="0" w:color="auto"/>
              <w:right w:val="single" w:sz="4" w:space="0" w:color="auto"/>
            </w:tcBorders>
            <w:shd w:val="clear" w:color="auto" w:fill="auto"/>
            <w:vAlign w:val="center"/>
            <w:hideMark/>
          </w:tcPr>
          <w:p w14:paraId="26B37969"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12</w:t>
            </w:r>
          </w:p>
        </w:tc>
        <w:tc>
          <w:tcPr>
            <w:tcW w:w="1388" w:type="dxa"/>
            <w:tcBorders>
              <w:top w:val="nil"/>
              <w:left w:val="nil"/>
              <w:bottom w:val="single" w:sz="4" w:space="0" w:color="auto"/>
              <w:right w:val="single" w:sz="4" w:space="0" w:color="auto"/>
            </w:tcBorders>
            <w:shd w:val="clear" w:color="auto" w:fill="auto"/>
            <w:vAlign w:val="center"/>
            <w:hideMark/>
          </w:tcPr>
          <w:p w14:paraId="4E458729"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240</w:t>
            </w:r>
          </w:p>
        </w:tc>
        <w:tc>
          <w:tcPr>
            <w:tcW w:w="1610" w:type="dxa"/>
            <w:tcBorders>
              <w:top w:val="nil"/>
              <w:left w:val="nil"/>
              <w:bottom w:val="single" w:sz="4" w:space="0" w:color="auto"/>
              <w:right w:val="single" w:sz="4" w:space="0" w:color="auto"/>
            </w:tcBorders>
            <w:shd w:val="clear" w:color="auto" w:fill="auto"/>
            <w:vAlign w:val="center"/>
            <w:hideMark/>
          </w:tcPr>
          <w:p w14:paraId="5C5F1DD0"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12</w:t>
            </w:r>
          </w:p>
        </w:tc>
        <w:tc>
          <w:tcPr>
            <w:tcW w:w="1334" w:type="dxa"/>
            <w:tcBorders>
              <w:top w:val="nil"/>
              <w:left w:val="nil"/>
              <w:bottom w:val="single" w:sz="4" w:space="0" w:color="auto"/>
              <w:right w:val="single" w:sz="4" w:space="0" w:color="auto"/>
            </w:tcBorders>
            <w:shd w:val="clear" w:color="auto" w:fill="auto"/>
            <w:vAlign w:val="center"/>
            <w:hideMark/>
          </w:tcPr>
          <w:p w14:paraId="4807A04F"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24</w:t>
            </w:r>
          </w:p>
        </w:tc>
        <w:tc>
          <w:tcPr>
            <w:tcW w:w="1254" w:type="dxa"/>
            <w:tcBorders>
              <w:top w:val="nil"/>
              <w:left w:val="nil"/>
              <w:bottom w:val="single" w:sz="4" w:space="0" w:color="auto"/>
              <w:right w:val="single" w:sz="4" w:space="0" w:color="auto"/>
            </w:tcBorders>
            <w:shd w:val="clear" w:color="auto" w:fill="auto"/>
            <w:vAlign w:val="center"/>
            <w:hideMark/>
          </w:tcPr>
          <w:p w14:paraId="679DD82E"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12,941.28</w:t>
            </w:r>
          </w:p>
        </w:tc>
      </w:tr>
      <w:tr w:rsidR="00E1375C" w:rsidRPr="00310980" w14:paraId="6516D594" w14:textId="77777777" w:rsidTr="00E5096A">
        <w:trPr>
          <w:trHeight w:val="51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CB75C12" w14:textId="77777777" w:rsidR="00310980" w:rsidRPr="00310980" w:rsidRDefault="00310980" w:rsidP="00E1375C">
            <w:pPr>
              <w:widowControl/>
              <w:autoSpaceDE/>
              <w:autoSpaceDN/>
              <w:adjustRightInd/>
              <w:ind w:left="330"/>
              <w:rPr>
                <w:color w:val="000000"/>
                <w:sz w:val="20"/>
                <w:szCs w:val="20"/>
              </w:rPr>
            </w:pPr>
            <w:r w:rsidRPr="00310980">
              <w:rPr>
                <w:color w:val="000000"/>
                <w:sz w:val="20"/>
                <w:szCs w:val="20"/>
              </w:rPr>
              <w:t>Differential pressure monitoring report</w:t>
            </w:r>
          </w:p>
        </w:tc>
        <w:tc>
          <w:tcPr>
            <w:tcW w:w="1260" w:type="dxa"/>
            <w:tcBorders>
              <w:top w:val="nil"/>
              <w:left w:val="nil"/>
              <w:bottom w:val="single" w:sz="4" w:space="0" w:color="auto"/>
              <w:right w:val="single" w:sz="4" w:space="0" w:color="auto"/>
            </w:tcBorders>
            <w:shd w:val="clear" w:color="auto" w:fill="auto"/>
            <w:vAlign w:val="center"/>
            <w:hideMark/>
          </w:tcPr>
          <w:p w14:paraId="515412FA"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3</w:t>
            </w:r>
          </w:p>
        </w:tc>
        <w:tc>
          <w:tcPr>
            <w:tcW w:w="1305" w:type="dxa"/>
            <w:tcBorders>
              <w:top w:val="nil"/>
              <w:left w:val="nil"/>
              <w:bottom w:val="single" w:sz="4" w:space="0" w:color="auto"/>
              <w:right w:val="single" w:sz="4" w:space="0" w:color="auto"/>
            </w:tcBorders>
            <w:shd w:val="clear" w:color="auto" w:fill="auto"/>
            <w:vAlign w:val="center"/>
            <w:hideMark/>
          </w:tcPr>
          <w:p w14:paraId="2168E527"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w:t>
            </w:r>
          </w:p>
        </w:tc>
        <w:tc>
          <w:tcPr>
            <w:tcW w:w="1390" w:type="dxa"/>
            <w:tcBorders>
              <w:top w:val="nil"/>
              <w:left w:val="nil"/>
              <w:bottom w:val="single" w:sz="4" w:space="0" w:color="auto"/>
              <w:right w:val="single" w:sz="4" w:space="0" w:color="auto"/>
            </w:tcBorders>
            <w:shd w:val="clear" w:color="auto" w:fill="auto"/>
            <w:vAlign w:val="center"/>
            <w:hideMark/>
          </w:tcPr>
          <w:p w14:paraId="502BC4F6"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3</w:t>
            </w:r>
          </w:p>
        </w:tc>
        <w:tc>
          <w:tcPr>
            <w:tcW w:w="1529" w:type="dxa"/>
            <w:tcBorders>
              <w:top w:val="nil"/>
              <w:left w:val="nil"/>
              <w:bottom w:val="single" w:sz="4" w:space="0" w:color="auto"/>
              <w:right w:val="single" w:sz="4" w:space="0" w:color="auto"/>
            </w:tcBorders>
            <w:shd w:val="clear" w:color="auto" w:fill="auto"/>
            <w:vAlign w:val="center"/>
            <w:hideMark/>
          </w:tcPr>
          <w:p w14:paraId="3A2FE942"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12</w:t>
            </w:r>
          </w:p>
        </w:tc>
        <w:tc>
          <w:tcPr>
            <w:tcW w:w="1388" w:type="dxa"/>
            <w:tcBorders>
              <w:top w:val="nil"/>
              <w:left w:val="nil"/>
              <w:bottom w:val="single" w:sz="4" w:space="0" w:color="auto"/>
              <w:right w:val="single" w:sz="4" w:space="0" w:color="auto"/>
            </w:tcBorders>
            <w:shd w:val="clear" w:color="auto" w:fill="auto"/>
            <w:vAlign w:val="center"/>
            <w:hideMark/>
          </w:tcPr>
          <w:p w14:paraId="5B146549"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36</w:t>
            </w:r>
          </w:p>
        </w:tc>
        <w:tc>
          <w:tcPr>
            <w:tcW w:w="1610" w:type="dxa"/>
            <w:tcBorders>
              <w:top w:val="nil"/>
              <w:left w:val="nil"/>
              <w:bottom w:val="single" w:sz="4" w:space="0" w:color="auto"/>
              <w:right w:val="single" w:sz="4" w:space="0" w:color="auto"/>
            </w:tcBorders>
            <w:shd w:val="clear" w:color="auto" w:fill="auto"/>
            <w:vAlign w:val="center"/>
            <w:hideMark/>
          </w:tcPr>
          <w:p w14:paraId="387E9955"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1.8</w:t>
            </w:r>
          </w:p>
        </w:tc>
        <w:tc>
          <w:tcPr>
            <w:tcW w:w="1334" w:type="dxa"/>
            <w:tcBorders>
              <w:top w:val="nil"/>
              <w:left w:val="nil"/>
              <w:bottom w:val="single" w:sz="4" w:space="0" w:color="auto"/>
              <w:right w:val="single" w:sz="4" w:space="0" w:color="auto"/>
            </w:tcBorders>
            <w:shd w:val="clear" w:color="auto" w:fill="auto"/>
            <w:vAlign w:val="center"/>
            <w:hideMark/>
          </w:tcPr>
          <w:p w14:paraId="6BCD165C"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3.6</w:t>
            </w:r>
          </w:p>
        </w:tc>
        <w:tc>
          <w:tcPr>
            <w:tcW w:w="1254" w:type="dxa"/>
            <w:tcBorders>
              <w:top w:val="nil"/>
              <w:left w:val="nil"/>
              <w:bottom w:val="single" w:sz="4" w:space="0" w:color="auto"/>
              <w:right w:val="single" w:sz="4" w:space="0" w:color="auto"/>
            </w:tcBorders>
            <w:shd w:val="clear" w:color="auto" w:fill="auto"/>
            <w:vAlign w:val="center"/>
            <w:hideMark/>
          </w:tcPr>
          <w:p w14:paraId="35DFC860"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1,941.19</w:t>
            </w:r>
          </w:p>
        </w:tc>
      </w:tr>
      <w:tr w:rsidR="00E1375C" w:rsidRPr="00310980" w14:paraId="4988C55A" w14:textId="77777777" w:rsidTr="00E5096A">
        <w:trPr>
          <w:trHeight w:val="315"/>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AE15CCA" w14:textId="77777777" w:rsidR="00310980" w:rsidRPr="00310980" w:rsidRDefault="00310980" w:rsidP="00E1375C">
            <w:pPr>
              <w:widowControl/>
              <w:autoSpaceDE/>
              <w:autoSpaceDN/>
              <w:adjustRightInd/>
              <w:ind w:left="240"/>
              <w:rPr>
                <w:color w:val="000000"/>
                <w:sz w:val="20"/>
                <w:szCs w:val="20"/>
              </w:rPr>
            </w:pPr>
            <w:r w:rsidRPr="00310980">
              <w:rPr>
                <w:color w:val="000000"/>
                <w:sz w:val="20"/>
                <w:szCs w:val="20"/>
              </w:rPr>
              <w:t xml:space="preserve">F.  Prepare annual summary report </w:t>
            </w:r>
            <w:r w:rsidRPr="00310980">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14:paraId="02B1732D"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4</w:t>
            </w:r>
          </w:p>
        </w:tc>
        <w:tc>
          <w:tcPr>
            <w:tcW w:w="1305" w:type="dxa"/>
            <w:tcBorders>
              <w:top w:val="nil"/>
              <w:left w:val="nil"/>
              <w:bottom w:val="single" w:sz="4" w:space="0" w:color="auto"/>
              <w:right w:val="single" w:sz="4" w:space="0" w:color="auto"/>
            </w:tcBorders>
            <w:shd w:val="clear" w:color="auto" w:fill="auto"/>
            <w:vAlign w:val="center"/>
            <w:hideMark/>
          </w:tcPr>
          <w:p w14:paraId="6C9C24E4"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12</w:t>
            </w:r>
          </w:p>
        </w:tc>
        <w:tc>
          <w:tcPr>
            <w:tcW w:w="1390" w:type="dxa"/>
            <w:tcBorders>
              <w:top w:val="nil"/>
              <w:left w:val="nil"/>
              <w:bottom w:val="single" w:sz="4" w:space="0" w:color="auto"/>
              <w:right w:val="single" w:sz="4" w:space="0" w:color="auto"/>
            </w:tcBorders>
            <w:shd w:val="clear" w:color="auto" w:fill="auto"/>
            <w:vAlign w:val="center"/>
            <w:hideMark/>
          </w:tcPr>
          <w:p w14:paraId="3D402ABA"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48</w:t>
            </w:r>
          </w:p>
        </w:tc>
        <w:tc>
          <w:tcPr>
            <w:tcW w:w="1529" w:type="dxa"/>
            <w:tcBorders>
              <w:top w:val="nil"/>
              <w:left w:val="nil"/>
              <w:bottom w:val="single" w:sz="4" w:space="0" w:color="auto"/>
              <w:right w:val="single" w:sz="4" w:space="0" w:color="auto"/>
            </w:tcBorders>
            <w:shd w:val="clear" w:color="auto" w:fill="auto"/>
            <w:vAlign w:val="center"/>
            <w:hideMark/>
          </w:tcPr>
          <w:p w14:paraId="61B401B4"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1</w:t>
            </w:r>
          </w:p>
        </w:tc>
        <w:tc>
          <w:tcPr>
            <w:tcW w:w="1388" w:type="dxa"/>
            <w:tcBorders>
              <w:top w:val="nil"/>
              <w:left w:val="nil"/>
              <w:bottom w:val="single" w:sz="4" w:space="0" w:color="auto"/>
              <w:right w:val="single" w:sz="4" w:space="0" w:color="auto"/>
            </w:tcBorders>
            <w:shd w:val="clear" w:color="auto" w:fill="auto"/>
            <w:vAlign w:val="center"/>
            <w:hideMark/>
          </w:tcPr>
          <w:p w14:paraId="51B231F4"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48</w:t>
            </w:r>
          </w:p>
        </w:tc>
        <w:tc>
          <w:tcPr>
            <w:tcW w:w="1610" w:type="dxa"/>
            <w:tcBorders>
              <w:top w:val="nil"/>
              <w:left w:val="nil"/>
              <w:bottom w:val="single" w:sz="4" w:space="0" w:color="auto"/>
              <w:right w:val="single" w:sz="4" w:space="0" w:color="auto"/>
            </w:tcBorders>
            <w:shd w:val="clear" w:color="auto" w:fill="auto"/>
            <w:vAlign w:val="center"/>
            <w:hideMark/>
          </w:tcPr>
          <w:p w14:paraId="3C333622"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2.4</w:t>
            </w:r>
          </w:p>
        </w:tc>
        <w:tc>
          <w:tcPr>
            <w:tcW w:w="1334" w:type="dxa"/>
            <w:tcBorders>
              <w:top w:val="nil"/>
              <w:left w:val="nil"/>
              <w:bottom w:val="single" w:sz="4" w:space="0" w:color="auto"/>
              <w:right w:val="single" w:sz="4" w:space="0" w:color="auto"/>
            </w:tcBorders>
            <w:shd w:val="clear" w:color="auto" w:fill="auto"/>
            <w:vAlign w:val="center"/>
            <w:hideMark/>
          </w:tcPr>
          <w:p w14:paraId="13B07DB0" w14:textId="77777777" w:rsidR="00310980" w:rsidRPr="00310980" w:rsidRDefault="00310980" w:rsidP="00310980">
            <w:pPr>
              <w:widowControl/>
              <w:autoSpaceDE/>
              <w:autoSpaceDN/>
              <w:adjustRightInd/>
              <w:jc w:val="center"/>
              <w:rPr>
                <w:color w:val="000000"/>
                <w:sz w:val="20"/>
                <w:szCs w:val="20"/>
              </w:rPr>
            </w:pPr>
            <w:r w:rsidRPr="00310980">
              <w:rPr>
                <w:color w:val="000000"/>
                <w:sz w:val="20"/>
                <w:szCs w:val="20"/>
              </w:rPr>
              <w:t>4.8</w:t>
            </w:r>
          </w:p>
        </w:tc>
        <w:tc>
          <w:tcPr>
            <w:tcW w:w="1254" w:type="dxa"/>
            <w:tcBorders>
              <w:top w:val="nil"/>
              <w:left w:val="nil"/>
              <w:bottom w:val="single" w:sz="4" w:space="0" w:color="auto"/>
              <w:right w:val="single" w:sz="4" w:space="0" w:color="auto"/>
            </w:tcBorders>
            <w:shd w:val="clear" w:color="auto" w:fill="auto"/>
            <w:vAlign w:val="center"/>
            <w:hideMark/>
          </w:tcPr>
          <w:p w14:paraId="74D2796A" w14:textId="77777777" w:rsidR="00310980" w:rsidRPr="00310980" w:rsidRDefault="00310980" w:rsidP="00310980">
            <w:pPr>
              <w:widowControl/>
              <w:autoSpaceDE/>
              <w:autoSpaceDN/>
              <w:adjustRightInd/>
              <w:jc w:val="right"/>
              <w:rPr>
                <w:color w:val="000000"/>
                <w:sz w:val="20"/>
                <w:szCs w:val="20"/>
              </w:rPr>
            </w:pPr>
            <w:r w:rsidRPr="00310980">
              <w:rPr>
                <w:color w:val="000000"/>
                <w:sz w:val="20"/>
                <w:szCs w:val="20"/>
              </w:rPr>
              <w:t>2,588.26</w:t>
            </w:r>
          </w:p>
        </w:tc>
      </w:tr>
      <w:tr w:rsidR="00E1375C" w:rsidRPr="00310980" w14:paraId="48412749" w14:textId="77777777" w:rsidTr="00E5096A">
        <w:trPr>
          <w:trHeight w:val="300"/>
          <w:jc w:val="center"/>
        </w:trPr>
        <w:tc>
          <w:tcPr>
            <w:tcW w:w="85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07F2A0" w14:textId="77777777" w:rsidR="00310980" w:rsidRPr="00310980" w:rsidRDefault="00310980" w:rsidP="00310980">
            <w:pPr>
              <w:widowControl/>
              <w:autoSpaceDE/>
              <w:autoSpaceDN/>
              <w:adjustRightInd/>
              <w:rPr>
                <w:b/>
                <w:bCs/>
                <w:color w:val="000000"/>
                <w:sz w:val="20"/>
                <w:szCs w:val="20"/>
              </w:rPr>
            </w:pPr>
            <w:r w:rsidRPr="00310980">
              <w:rPr>
                <w:b/>
                <w:bCs/>
                <w:color w:val="000000"/>
                <w:sz w:val="20"/>
                <w:szCs w:val="20"/>
              </w:rPr>
              <w:t>TOTAL ANNUAL BURDEN AND COST (ROUNDED)</w:t>
            </w:r>
            <w:r w:rsidRPr="00310980">
              <w:rPr>
                <w:b/>
                <w:bCs/>
                <w:color w:val="000000"/>
                <w:sz w:val="20"/>
                <w:szCs w:val="20"/>
                <w:vertAlign w:val="superscript"/>
              </w:rPr>
              <w:t>f</w:t>
            </w:r>
          </w:p>
        </w:tc>
        <w:tc>
          <w:tcPr>
            <w:tcW w:w="4332" w:type="dxa"/>
            <w:gridSpan w:val="3"/>
            <w:tcBorders>
              <w:top w:val="single" w:sz="4" w:space="0" w:color="auto"/>
              <w:left w:val="nil"/>
              <w:bottom w:val="single" w:sz="4" w:space="0" w:color="auto"/>
              <w:right w:val="single" w:sz="4" w:space="0" w:color="auto"/>
            </w:tcBorders>
            <w:shd w:val="clear" w:color="auto" w:fill="auto"/>
            <w:vAlign w:val="center"/>
            <w:hideMark/>
          </w:tcPr>
          <w:p w14:paraId="0EF3B14E" w14:textId="77777777" w:rsidR="00310980" w:rsidRPr="00310980" w:rsidRDefault="00310980" w:rsidP="00310980">
            <w:pPr>
              <w:widowControl/>
              <w:autoSpaceDE/>
              <w:autoSpaceDN/>
              <w:adjustRightInd/>
              <w:jc w:val="center"/>
              <w:rPr>
                <w:b/>
                <w:bCs/>
                <w:color w:val="000000"/>
                <w:sz w:val="20"/>
                <w:szCs w:val="20"/>
              </w:rPr>
            </w:pPr>
            <w:r w:rsidRPr="00310980">
              <w:rPr>
                <w:b/>
                <w:bCs/>
                <w:color w:val="000000"/>
                <w:sz w:val="20"/>
                <w:szCs w:val="20"/>
              </w:rPr>
              <w:t>980</w:t>
            </w:r>
          </w:p>
        </w:tc>
        <w:tc>
          <w:tcPr>
            <w:tcW w:w="1254" w:type="dxa"/>
            <w:tcBorders>
              <w:top w:val="nil"/>
              <w:left w:val="nil"/>
              <w:bottom w:val="single" w:sz="4" w:space="0" w:color="auto"/>
              <w:right w:val="single" w:sz="4" w:space="0" w:color="auto"/>
            </w:tcBorders>
            <w:shd w:val="clear" w:color="auto" w:fill="auto"/>
            <w:vAlign w:val="center"/>
            <w:hideMark/>
          </w:tcPr>
          <w:p w14:paraId="35E5B442" w14:textId="77777777" w:rsidR="00310980" w:rsidRPr="00310980" w:rsidRDefault="00310980" w:rsidP="00310980">
            <w:pPr>
              <w:widowControl/>
              <w:autoSpaceDE/>
              <w:autoSpaceDN/>
              <w:adjustRightInd/>
              <w:jc w:val="right"/>
              <w:rPr>
                <w:b/>
                <w:bCs/>
                <w:color w:val="000000"/>
                <w:sz w:val="20"/>
                <w:szCs w:val="20"/>
              </w:rPr>
            </w:pPr>
            <w:r w:rsidRPr="00310980">
              <w:rPr>
                <w:b/>
                <w:bCs/>
                <w:color w:val="000000"/>
                <w:sz w:val="20"/>
                <w:szCs w:val="20"/>
              </w:rPr>
              <w:t>45,900</w:t>
            </w:r>
          </w:p>
        </w:tc>
      </w:tr>
    </w:tbl>
    <w:p w14:paraId="015845E2" w14:textId="2B899BFB" w:rsidR="00310980" w:rsidRDefault="00310980" w:rsidP="00F340DF">
      <w:pPr>
        <w:rPr>
          <w:color w:val="000000"/>
        </w:rPr>
      </w:pPr>
    </w:p>
    <w:p w14:paraId="08C1FAFC" w14:textId="4F9A0EDB" w:rsidR="00E1375C" w:rsidRPr="00E1375C" w:rsidRDefault="00E1375C" w:rsidP="00E1375C">
      <w:pPr>
        <w:rPr>
          <w:color w:val="000000"/>
          <w:sz w:val="20"/>
          <w:szCs w:val="20"/>
        </w:rPr>
      </w:pPr>
      <w:r w:rsidRPr="00E1375C">
        <w:rPr>
          <w:color w:val="000000"/>
          <w:sz w:val="20"/>
          <w:szCs w:val="20"/>
        </w:rPr>
        <w:t>Assumptions:</w:t>
      </w:r>
    </w:p>
    <w:p w14:paraId="14C64CD9" w14:textId="2B55C76A" w:rsidR="00E1375C" w:rsidRPr="00E1375C" w:rsidRDefault="00E1375C" w:rsidP="00E1375C">
      <w:pPr>
        <w:rPr>
          <w:color w:val="000000"/>
          <w:sz w:val="20"/>
          <w:szCs w:val="20"/>
        </w:rPr>
      </w:pPr>
      <w:r w:rsidRPr="00E1375C">
        <w:rPr>
          <w:color w:val="000000"/>
          <w:sz w:val="20"/>
          <w:szCs w:val="20"/>
          <w:vertAlign w:val="superscript"/>
        </w:rPr>
        <w:t>a</w:t>
      </w:r>
      <w:r w:rsidRPr="00E1375C">
        <w:rPr>
          <w:color w:val="000000"/>
          <w:sz w:val="20"/>
          <w:szCs w:val="20"/>
        </w:rPr>
        <w:t xml:space="preserve"> EPA estimates an average of 12 existing facilities and no new facilities per year will be subject to the NESHAP over the next 3 years. </w:t>
      </w:r>
    </w:p>
    <w:p w14:paraId="167ED642" w14:textId="14CFEE53" w:rsidR="00E1375C" w:rsidRPr="00E1375C" w:rsidRDefault="00E1375C" w:rsidP="00E1375C">
      <w:pPr>
        <w:rPr>
          <w:color w:val="000000"/>
          <w:sz w:val="20"/>
          <w:szCs w:val="20"/>
        </w:rPr>
      </w:pPr>
      <w:r w:rsidRPr="00E1375C">
        <w:rPr>
          <w:color w:val="000000"/>
          <w:sz w:val="20"/>
          <w:szCs w:val="20"/>
          <w:vertAlign w:val="superscript"/>
        </w:rPr>
        <w:t>b</w:t>
      </w:r>
      <w:r w:rsidRPr="00E1375C">
        <w:rPr>
          <w:color w:val="000000"/>
          <w:sz w:val="20"/>
          <w:szCs w:val="20"/>
        </w:rPr>
        <w:t xml:space="preserve"> This ICR uses the following labor rates: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p w14:paraId="1AEE6903" w14:textId="07F69E34" w:rsidR="00E1375C" w:rsidRPr="00E1375C" w:rsidRDefault="00E1375C" w:rsidP="00E1375C">
      <w:pPr>
        <w:rPr>
          <w:color w:val="000000"/>
          <w:sz w:val="20"/>
          <w:szCs w:val="20"/>
        </w:rPr>
      </w:pPr>
      <w:r w:rsidRPr="00E1375C">
        <w:rPr>
          <w:color w:val="000000"/>
          <w:sz w:val="20"/>
          <w:szCs w:val="20"/>
          <w:vertAlign w:val="superscript"/>
        </w:rPr>
        <w:t>c</w:t>
      </w:r>
      <w:r w:rsidRPr="00E1375C">
        <w:rPr>
          <w:color w:val="000000"/>
          <w:sz w:val="20"/>
          <w:szCs w:val="20"/>
        </w:rPr>
        <w:t xml:space="preserve"> EPA assumes Agency personnel will attend 20% of facility stack tests (0.2 x 20 tests on average across the 12 facilities = 4, after rounding).</w:t>
      </w:r>
    </w:p>
    <w:p w14:paraId="473F530F" w14:textId="1B1FDF46" w:rsidR="00E1375C" w:rsidRPr="00E1375C" w:rsidRDefault="00E1375C" w:rsidP="00E1375C">
      <w:pPr>
        <w:rPr>
          <w:color w:val="000000"/>
          <w:sz w:val="20"/>
          <w:szCs w:val="20"/>
        </w:rPr>
      </w:pPr>
      <w:r w:rsidRPr="00E1375C">
        <w:rPr>
          <w:color w:val="000000"/>
          <w:sz w:val="20"/>
          <w:szCs w:val="20"/>
          <w:vertAlign w:val="superscript"/>
        </w:rPr>
        <w:t>d</w:t>
      </w:r>
      <w:r w:rsidRPr="00E1375C">
        <w:rPr>
          <w:color w:val="000000"/>
          <w:sz w:val="20"/>
          <w:szCs w:val="20"/>
        </w:rPr>
        <w:t xml:space="preserve"> EPA assumes 10% of facilities will have excess emissions (0.1 x 12 = 1, after rounding).</w:t>
      </w:r>
    </w:p>
    <w:p w14:paraId="63623E6A" w14:textId="30C5449E" w:rsidR="00E1375C" w:rsidRPr="00E1375C" w:rsidRDefault="00E1375C" w:rsidP="00E1375C">
      <w:pPr>
        <w:rPr>
          <w:color w:val="000000"/>
          <w:sz w:val="20"/>
          <w:szCs w:val="20"/>
        </w:rPr>
      </w:pPr>
      <w:r w:rsidRPr="00E1375C">
        <w:rPr>
          <w:color w:val="000000"/>
          <w:sz w:val="20"/>
          <w:szCs w:val="20"/>
          <w:vertAlign w:val="superscript"/>
        </w:rPr>
        <w:t>e</w:t>
      </w:r>
      <w:r w:rsidRPr="00E1375C">
        <w:rPr>
          <w:color w:val="000000"/>
          <w:sz w:val="20"/>
          <w:szCs w:val="20"/>
        </w:rPr>
        <w:t xml:space="preserve"> EPA assumes state and EPA personnel will require 4 technical hours per respondent when preparing the annual summary report (12 x 4 = 48).</w:t>
      </w:r>
    </w:p>
    <w:p w14:paraId="5931BE01" w14:textId="03B2BB5B" w:rsidR="00E1375C" w:rsidRPr="00E1375C" w:rsidRDefault="00E1375C" w:rsidP="00E1375C">
      <w:pPr>
        <w:rPr>
          <w:color w:val="000000"/>
          <w:sz w:val="20"/>
          <w:szCs w:val="20"/>
        </w:rPr>
      </w:pPr>
      <w:r w:rsidRPr="00E1375C">
        <w:rPr>
          <w:color w:val="000000"/>
          <w:sz w:val="20"/>
          <w:szCs w:val="20"/>
          <w:vertAlign w:val="superscript"/>
        </w:rPr>
        <w:t>f</w:t>
      </w:r>
      <w:r w:rsidRPr="00E1375C">
        <w:rPr>
          <w:color w:val="000000"/>
          <w:sz w:val="20"/>
          <w:szCs w:val="20"/>
        </w:rPr>
        <w:t xml:space="preserve"> Totals have been rounded to 3 significant figures. Figures may not add exactly due to rounding.</w:t>
      </w:r>
    </w:p>
    <w:sectPr w:rsidR="00E1375C" w:rsidRPr="00E1375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D60DA" w14:textId="77777777" w:rsidR="005436C6" w:rsidRDefault="005436C6">
      <w:r>
        <w:separator/>
      </w:r>
    </w:p>
  </w:endnote>
  <w:endnote w:type="continuationSeparator" w:id="0">
    <w:p w14:paraId="1B9A2066" w14:textId="77777777" w:rsidR="005436C6" w:rsidRDefault="0054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B43B2" w14:textId="77777777" w:rsidR="005436C6" w:rsidRDefault="005436C6">
      <w:r>
        <w:separator/>
      </w:r>
    </w:p>
  </w:footnote>
  <w:footnote w:type="continuationSeparator" w:id="0">
    <w:p w14:paraId="6C1C1231" w14:textId="77777777" w:rsidR="005436C6" w:rsidRDefault="00543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5E0A6CDC" w:rsidR="005436C6" w:rsidRDefault="005436C6">
    <w:pPr>
      <w:framePr w:w="9361" w:wrap="notBeside" w:vAnchor="text" w:hAnchor="text" w:x="1" w:y="1"/>
      <w:jc w:val="center"/>
    </w:pPr>
    <w:r>
      <w:fldChar w:fldCharType="begin"/>
    </w:r>
    <w:r>
      <w:instrText xml:space="preserve">PAGE </w:instrText>
    </w:r>
    <w:r>
      <w:fldChar w:fldCharType="separate"/>
    </w:r>
    <w:r w:rsidR="005D550B">
      <w:rPr>
        <w:noProof/>
      </w:rPr>
      <w:t>2</w:t>
    </w:r>
    <w:r>
      <w:rPr>
        <w:noProof/>
      </w:rPr>
      <w:fldChar w:fldCharType="end"/>
    </w:r>
  </w:p>
  <w:p w14:paraId="5B65F028" w14:textId="77777777" w:rsidR="005436C6" w:rsidRDefault="005436C6"/>
  <w:p w14:paraId="70BB230B" w14:textId="77777777" w:rsidR="005436C6" w:rsidRDefault="005436C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536F"/>
    <w:rsid w:val="0000687D"/>
    <w:rsid w:val="00013C59"/>
    <w:rsid w:val="000228BB"/>
    <w:rsid w:val="0003619B"/>
    <w:rsid w:val="00055BDF"/>
    <w:rsid w:val="00055DC5"/>
    <w:rsid w:val="000A0B2D"/>
    <w:rsid w:val="000A1FBB"/>
    <w:rsid w:val="000A687C"/>
    <w:rsid w:val="000B2E1C"/>
    <w:rsid w:val="000C52CF"/>
    <w:rsid w:val="000D2272"/>
    <w:rsid w:val="000E6EF1"/>
    <w:rsid w:val="000F772C"/>
    <w:rsid w:val="00101B40"/>
    <w:rsid w:val="00102B52"/>
    <w:rsid w:val="0010697C"/>
    <w:rsid w:val="00122CF4"/>
    <w:rsid w:val="00123889"/>
    <w:rsid w:val="00126A7C"/>
    <w:rsid w:val="001275D1"/>
    <w:rsid w:val="00132039"/>
    <w:rsid w:val="001356D4"/>
    <w:rsid w:val="0014079D"/>
    <w:rsid w:val="001414C4"/>
    <w:rsid w:val="00144978"/>
    <w:rsid w:val="00144A82"/>
    <w:rsid w:val="00144F35"/>
    <w:rsid w:val="0015433E"/>
    <w:rsid w:val="00162ECC"/>
    <w:rsid w:val="00165DCF"/>
    <w:rsid w:val="00186DA3"/>
    <w:rsid w:val="00193945"/>
    <w:rsid w:val="00195753"/>
    <w:rsid w:val="001A0B41"/>
    <w:rsid w:val="001B0B9A"/>
    <w:rsid w:val="001B29C3"/>
    <w:rsid w:val="001B35F2"/>
    <w:rsid w:val="001C5991"/>
    <w:rsid w:val="001D762C"/>
    <w:rsid w:val="001F19FF"/>
    <w:rsid w:val="002041C5"/>
    <w:rsid w:val="002063FE"/>
    <w:rsid w:val="00206932"/>
    <w:rsid w:val="002130D1"/>
    <w:rsid w:val="0021722B"/>
    <w:rsid w:val="0022738C"/>
    <w:rsid w:val="00233F0F"/>
    <w:rsid w:val="00234A28"/>
    <w:rsid w:val="00236DB3"/>
    <w:rsid w:val="002431D9"/>
    <w:rsid w:val="002638A0"/>
    <w:rsid w:val="002679E5"/>
    <w:rsid w:val="002712EB"/>
    <w:rsid w:val="0027222A"/>
    <w:rsid w:val="002743D2"/>
    <w:rsid w:val="00276391"/>
    <w:rsid w:val="00277E52"/>
    <w:rsid w:val="00277F42"/>
    <w:rsid w:val="00281CAE"/>
    <w:rsid w:val="0029006A"/>
    <w:rsid w:val="002904E7"/>
    <w:rsid w:val="002976E9"/>
    <w:rsid w:val="002B29A5"/>
    <w:rsid w:val="002B29A7"/>
    <w:rsid w:val="002B517F"/>
    <w:rsid w:val="002B5AB0"/>
    <w:rsid w:val="002B6993"/>
    <w:rsid w:val="002C1F95"/>
    <w:rsid w:val="002C416A"/>
    <w:rsid w:val="002C77DF"/>
    <w:rsid w:val="002D7683"/>
    <w:rsid w:val="002F674B"/>
    <w:rsid w:val="002F6DB3"/>
    <w:rsid w:val="00310980"/>
    <w:rsid w:val="003139FC"/>
    <w:rsid w:val="00341540"/>
    <w:rsid w:val="003511C6"/>
    <w:rsid w:val="0035325B"/>
    <w:rsid w:val="00354C15"/>
    <w:rsid w:val="00377D7F"/>
    <w:rsid w:val="00386FFA"/>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84A45"/>
    <w:rsid w:val="0049327D"/>
    <w:rsid w:val="004A084D"/>
    <w:rsid w:val="004A4B25"/>
    <w:rsid w:val="004A7E5E"/>
    <w:rsid w:val="004C5E95"/>
    <w:rsid w:val="004C701D"/>
    <w:rsid w:val="004E4F9B"/>
    <w:rsid w:val="004F1469"/>
    <w:rsid w:val="004F4D3A"/>
    <w:rsid w:val="004F56DC"/>
    <w:rsid w:val="004F6FCD"/>
    <w:rsid w:val="00504745"/>
    <w:rsid w:val="00507EC5"/>
    <w:rsid w:val="00516952"/>
    <w:rsid w:val="005253D4"/>
    <w:rsid w:val="0053277C"/>
    <w:rsid w:val="005436C6"/>
    <w:rsid w:val="00551815"/>
    <w:rsid w:val="00556535"/>
    <w:rsid w:val="00560AD2"/>
    <w:rsid w:val="00565A51"/>
    <w:rsid w:val="00571260"/>
    <w:rsid w:val="00583626"/>
    <w:rsid w:val="005A1986"/>
    <w:rsid w:val="005B5DE8"/>
    <w:rsid w:val="005C3665"/>
    <w:rsid w:val="005C42AC"/>
    <w:rsid w:val="005D385C"/>
    <w:rsid w:val="005D550B"/>
    <w:rsid w:val="005E0A9B"/>
    <w:rsid w:val="005E194B"/>
    <w:rsid w:val="005F42F8"/>
    <w:rsid w:val="005F7793"/>
    <w:rsid w:val="00601205"/>
    <w:rsid w:val="00606DEF"/>
    <w:rsid w:val="0062215C"/>
    <w:rsid w:val="00631517"/>
    <w:rsid w:val="00635DBD"/>
    <w:rsid w:val="00647BBB"/>
    <w:rsid w:val="006741F7"/>
    <w:rsid w:val="006810C3"/>
    <w:rsid w:val="00694B55"/>
    <w:rsid w:val="006A6978"/>
    <w:rsid w:val="006D1B12"/>
    <w:rsid w:val="006D4402"/>
    <w:rsid w:val="006E4A6E"/>
    <w:rsid w:val="006E642B"/>
    <w:rsid w:val="00724BC7"/>
    <w:rsid w:val="00754D1E"/>
    <w:rsid w:val="00763160"/>
    <w:rsid w:val="00780612"/>
    <w:rsid w:val="00786A20"/>
    <w:rsid w:val="0079715F"/>
    <w:rsid w:val="007A0634"/>
    <w:rsid w:val="007A16F4"/>
    <w:rsid w:val="007A3DC4"/>
    <w:rsid w:val="007A458D"/>
    <w:rsid w:val="007C0FAA"/>
    <w:rsid w:val="007E6FF4"/>
    <w:rsid w:val="007F07FB"/>
    <w:rsid w:val="00810507"/>
    <w:rsid w:val="00811EA5"/>
    <w:rsid w:val="00813E69"/>
    <w:rsid w:val="00817E8B"/>
    <w:rsid w:val="00822D07"/>
    <w:rsid w:val="008338D4"/>
    <w:rsid w:val="00837642"/>
    <w:rsid w:val="0084255D"/>
    <w:rsid w:val="00846627"/>
    <w:rsid w:val="00850ACF"/>
    <w:rsid w:val="00852038"/>
    <w:rsid w:val="00861489"/>
    <w:rsid w:val="0088639E"/>
    <w:rsid w:val="008A46EB"/>
    <w:rsid w:val="008B407C"/>
    <w:rsid w:val="008E49A1"/>
    <w:rsid w:val="008E65E6"/>
    <w:rsid w:val="008F285B"/>
    <w:rsid w:val="008F4564"/>
    <w:rsid w:val="0090138F"/>
    <w:rsid w:val="009018EC"/>
    <w:rsid w:val="00906EDB"/>
    <w:rsid w:val="00912E00"/>
    <w:rsid w:val="00923C46"/>
    <w:rsid w:val="009711DB"/>
    <w:rsid w:val="009737C0"/>
    <w:rsid w:val="00977511"/>
    <w:rsid w:val="00981C20"/>
    <w:rsid w:val="009903E5"/>
    <w:rsid w:val="00993B4E"/>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57B4B"/>
    <w:rsid w:val="00A73600"/>
    <w:rsid w:val="00A74C1E"/>
    <w:rsid w:val="00A7661C"/>
    <w:rsid w:val="00A84EF2"/>
    <w:rsid w:val="00A949F7"/>
    <w:rsid w:val="00A95BC7"/>
    <w:rsid w:val="00A962DF"/>
    <w:rsid w:val="00AA0D25"/>
    <w:rsid w:val="00AA4008"/>
    <w:rsid w:val="00AB4A70"/>
    <w:rsid w:val="00AD0BA7"/>
    <w:rsid w:val="00AD6754"/>
    <w:rsid w:val="00AF3AED"/>
    <w:rsid w:val="00AF70A1"/>
    <w:rsid w:val="00B07F79"/>
    <w:rsid w:val="00B16C07"/>
    <w:rsid w:val="00B20702"/>
    <w:rsid w:val="00B41FFF"/>
    <w:rsid w:val="00B46A57"/>
    <w:rsid w:val="00B47829"/>
    <w:rsid w:val="00B65754"/>
    <w:rsid w:val="00B66231"/>
    <w:rsid w:val="00B769F1"/>
    <w:rsid w:val="00B82025"/>
    <w:rsid w:val="00BA0A91"/>
    <w:rsid w:val="00BA4887"/>
    <w:rsid w:val="00BB3390"/>
    <w:rsid w:val="00BB3C1A"/>
    <w:rsid w:val="00BC6DEF"/>
    <w:rsid w:val="00BD7CAE"/>
    <w:rsid w:val="00BE2989"/>
    <w:rsid w:val="00BE7A11"/>
    <w:rsid w:val="00BF722F"/>
    <w:rsid w:val="00C068ED"/>
    <w:rsid w:val="00C10ED1"/>
    <w:rsid w:val="00C13FE8"/>
    <w:rsid w:val="00C30A60"/>
    <w:rsid w:val="00C33ABA"/>
    <w:rsid w:val="00C37BB6"/>
    <w:rsid w:val="00C52EFD"/>
    <w:rsid w:val="00C63128"/>
    <w:rsid w:val="00C64153"/>
    <w:rsid w:val="00C64378"/>
    <w:rsid w:val="00C75CF0"/>
    <w:rsid w:val="00C808B5"/>
    <w:rsid w:val="00C82DB6"/>
    <w:rsid w:val="00CA4CD6"/>
    <w:rsid w:val="00CA7DA0"/>
    <w:rsid w:val="00CC48AB"/>
    <w:rsid w:val="00CC58F6"/>
    <w:rsid w:val="00CC5B39"/>
    <w:rsid w:val="00CD2069"/>
    <w:rsid w:val="00CD280D"/>
    <w:rsid w:val="00CE5801"/>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6D47"/>
    <w:rsid w:val="00DD7D49"/>
    <w:rsid w:val="00DF5C4E"/>
    <w:rsid w:val="00E06938"/>
    <w:rsid w:val="00E10DA7"/>
    <w:rsid w:val="00E110E3"/>
    <w:rsid w:val="00E1375C"/>
    <w:rsid w:val="00E1538C"/>
    <w:rsid w:val="00E25DB6"/>
    <w:rsid w:val="00E276CD"/>
    <w:rsid w:val="00E32EDA"/>
    <w:rsid w:val="00E5096A"/>
    <w:rsid w:val="00E53137"/>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3B22"/>
    <w:rsid w:val="00F340DF"/>
    <w:rsid w:val="00F5262C"/>
    <w:rsid w:val="00F538BC"/>
    <w:rsid w:val="00F87E6A"/>
    <w:rsid w:val="00F9092B"/>
    <w:rsid w:val="00F92D22"/>
    <w:rsid w:val="00F95BC4"/>
    <w:rsid w:val="00FA63C4"/>
    <w:rsid w:val="00FB0044"/>
    <w:rsid w:val="00FB0650"/>
    <w:rsid w:val="00FB3986"/>
    <w:rsid w:val="00FB4D98"/>
    <w:rsid w:val="00FB6378"/>
    <w:rsid w:val="00FB7BCE"/>
    <w:rsid w:val="00FB7BD1"/>
    <w:rsid w:val="00FC4E09"/>
    <w:rsid w:val="00FD72B2"/>
    <w:rsid w:val="00FE2099"/>
    <w:rsid w:val="00FE7FF4"/>
    <w:rsid w:val="00FF39F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FE7F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FE7F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049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3740271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214124345">
      <w:bodyDiv w:val="1"/>
      <w:marLeft w:val="0"/>
      <w:marRight w:val="0"/>
      <w:marTop w:val="0"/>
      <w:marBottom w:val="0"/>
      <w:divBdr>
        <w:top w:val="none" w:sz="0" w:space="0" w:color="auto"/>
        <w:left w:val="none" w:sz="0" w:space="0" w:color="auto"/>
        <w:bottom w:val="none" w:sz="0" w:space="0" w:color="auto"/>
        <w:right w:val="none" w:sz="0" w:space="0" w:color="auto"/>
      </w:divBdr>
    </w:div>
    <w:div w:id="1580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5BA29-42CA-4065-9666-67E7D814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5980</Words>
  <Characters>34091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2018-05-16T23:25:00Z</cp:lastPrinted>
  <dcterms:created xsi:type="dcterms:W3CDTF">2018-11-08T18:50:00Z</dcterms:created>
  <dcterms:modified xsi:type="dcterms:W3CDTF">2018-11-08T18:50:00Z</dcterms:modified>
</cp:coreProperties>
</file>