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26EF6" w14:textId="201A2BA6" w:rsidR="0027513B" w:rsidRPr="0027513B" w:rsidRDefault="0027513B" w:rsidP="0027513B">
      <w:pPr>
        <w:widowControl w:val="0"/>
        <w:tabs>
          <w:tab w:val="center" w:pos="4680"/>
        </w:tabs>
        <w:jc w:val="center"/>
        <w:rPr>
          <w:b/>
        </w:rPr>
      </w:pPr>
      <w:bookmarkStart w:id="0" w:name="_GoBack"/>
      <w:bookmarkEnd w:id="0"/>
      <w:r w:rsidRPr="0027513B">
        <w:rPr>
          <w:b/>
        </w:rPr>
        <w:t>SUPPORTING STATEMENT for an</w:t>
      </w:r>
    </w:p>
    <w:p w14:paraId="43DBEDE8" w14:textId="77777777" w:rsidR="0027513B" w:rsidRDefault="0027513B" w:rsidP="0027513B">
      <w:pPr>
        <w:widowControl w:val="0"/>
        <w:tabs>
          <w:tab w:val="center" w:pos="4680"/>
        </w:tabs>
        <w:jc w:val="center"/>
        <w:rPr>
          <w:b/>
        </w:rPr>
      </w:pPr>
      <w:r w:rsidRPr="0027513B">
        <w:rPr>
          <w:b/>
        </w:rPr>
        <w:t>INFORMATION COLLECTION REQUEST (ICR)</w:t>
      </w:r>
      <w:r w:rsidR="002A4300">
        <w:rPr>
          <w:b/>
        </w:rPr>
        <w:t xml:space="preserve"> </w:t>
      </w:r>
    </w:p>
    <w:p w14:paraId="46747924" w14:textId="04D4194F" w:rsidR="002A4300" w:rsidRDefault="0027513B" w:rsidP="0027513B">
      <w:pPr>
        <w:widowControl w:val="0"/>
        <w:tabs>
          <w:tab w:val="center" w:pos="4680"/>
        </w:tabs>
        <w:jc w:val="center"/>
        <w:rPr>
          <w:b/>
        </w:rPr>
      </w:pPr>
      <w:r>
        <w:rPr>
          <w:b/>
        </w:rPr>
        <w:t>under the PAPERWORK REDUCTION ACT</w:t>
      </w:r>
    </w:p>
    <w:p w14:paraId="2A0086E7" w14:textId="77777777" w:rsidR="0006206C" w:rsidRDefault="0006206C" w:rsidP="00F47923">
      <w:pPr>
        <w:widowControl w:val="0"/>
        <w:tabs>
          <w:tab w:val="center" w:pos="4680"/>
        </w:tabs>
        <w:jc w:val="center"/>
        <w:rPr>
          <w:b/>
        </w:rPr>
      </w:pPr>
    </w:p>
    <w:p w14:paraId="615602C7" w14:textId="280B91D9" w:rsidR="002A4300" w:rsidRDefault="002A4300">
      <w:pPr>
        <w:widowControl w:val="0"/>
        <w:rPr>
          <w:b/>
        </w:rPr>
      </w:pPr>
      <w:r>
        <w:rPr>
          <w:b/>
        </w:rPr>
        <w:t>1</w:t>
      </w:r>
      <w:r>
        <w:rPr>
          <w:b/>
        </w:rPr>
        <w:tab/>
        <w:t>IDENTIFICATION OF THE INFORMATION COLLECTION</w:t>
      </w:r>
    </w:p>
    <w:p w14:paraId="3BB5733F" w14:textId="77777777" w:rsidR="002A4300" w:rsidRDefault="002A4300">
      <w:pPr>
        <w:widowControl w:val="0"/>
        <w:rPr>
          <w:b/>
        </w:rPr>
      </w:pPr>
    </w:p>
    <w:p w14:paraId="3B130164" w14:textId="6B9E03FB" w:rsidR="002A4300" w:rsidRDefault="002A4300">
      <w:pPr>
        <w:widowControl w:val="0"/>
        <w:rPr>
          <w:b/>
        </w:rPr>
      </w:pPr>
      <w:r>
        <w:rPr>
          <w:b/>
        </w:rPr>
        <w:tab/>
        <w:t>1(a)</w:t>
      </w:r>
      <w:r>
        <w:rPr>
          <w:b/>
        </w:rPr>
        <w:tab/>
        <w:t>Title and Number of the Information Collection</w:t>
      </w:r>
    </w:p>
    <w:p w14:paraId="63293A6F" w14:textId="77777777" w:rsidR="002A4300" w:rsidRDefault="002A4300">
      <w:pPr>
        <w:widowControl w:val="0"/>
        <w:rPr>
          <w:b/>
        </w:rPr>
      </w:pPr>
    </w:p>
    <w:p w14:paraId="68B79807" w14:textId="4409C6FA" w:rsidR="00D25A8F" w:rsidRDefault="00D25A8F" w:rsidP="002D5447">
      <w:pPr>
        <w:widowControl w:val="0"/>
        <w:ind w:left="2160" w:hanging="720"/>
        <w:rPr>
          <w:b/>
        </w:rPr>
      </w:pPr>
      <w:r>
        <w:rPr>
          <w:b/>
        </w:rPr>
        <w:t>Title:</w:t>
      </w:r>
      <w:r>
        <w:rPr>
          <w:b/>
        </w:rPr>
        <w:tab/>
      </w:r>
      <w:r w:rsidR="002A4300" w:rsidRPr="002E678F">
        <w:t>Health and Safety Data Reporting, Submissio</w:t>
      </w:r>
      <w:r w:rsidRPr="002E678F">
        <w:t>n of Lists and Copies of Health</w:t>
      </w:r>
      <w:r w:rsidR="002D5447" w:rsidRPr="002E678F">
        <w:t xml:space="preserve"> </w:t>
      </w:r>
      <w:r w:rsidRPr="002E678F">
        <w:t>and Safety Studies</w:t>
      </w:r>
    </w:p>
    <w:p w14:paraId="5D78EF51" w14:textId="77777777" w:rsidR="002E678F" w:rsidRDefault="003D6E90" w:rsidP="002D5447">
      <w:pPr>
        <w:widowControl w:val="0"/>
        <w:ind w:left="4320" w:hanging="2880"/>
      </w:pPr>
      <w:r>
        <w:rPr>
          <w:b/>
        </w:rPr>
        <w:t>EPA ICR No.</w:t>
      </w:r>
      <w:r w:rsidR="00EF181B">
        <w:rPr>
          <w:b/>
        </w:rPr>
        <w:t>:</w:t>
      </w:r>
      <w:r w:rsidR="008B61A7">
        <w:rPr>
          <w:b/>
        </w:rPr>
        <w:t xml:space="preserve"> </w:t>
      </w:r>
      <w:r w:rsidR="00F80EF3" w:rsidRPr="002E678F">
        <w:t>0575.</w:t>
      </w:r>
      <w:r w:rsidR="003E67AC" w:rsidRPr="002E678F">
        <w:t>1</w:t>
      </w:r>
      <w:r w:rsidR="00D16CB8" w:rsidRPr="002E678F">
        <w:t>6</w:t>
      </w:r>
    </w:p>
    <w:p w14:paraId="2E5EFC99" w14:textId="066C2737" w:rsidR="002A4300" w:rsidRDefault="008B61A7" w:rsidP="002D5447">
      <w:pPr>
        <w:widowControl w:val="0"/>
        <w:ind w:left="4320" w:hanging="2880"/>
      </w:pPr>
      <w:r>
        <w:rPr>
          <w:b/>
        </w:rPr>
        <w:t>OMB Control No.</w:t>
      </w:r>
      <w:r w:rsidR="00EF181B">
        <w:rPr>
          <w:b/>
        </w:rPr>
        <w:t>:</w:t>
      </w:r>
      <w:r>
        <w:rPr>
          <w:b/>
        </w:rPr>
        <w:t xml:space="preserve"> </w:t>
      </w:r>
      <w:r w:rsidR="002A4300" w:rsidRPr="002E678F">
        <w:t>2070-0004</w:t>
      </w:r>
    </w:p>
    <w:p w14:paraId="7E29175C" w14:textId="500FA43E" w:rsidR="006A7418" w:rsidRPr="002E678F" w:rsidRDefault="006A7418" w:rsidP="002D5447">
      <w:pPr>
        <w:widowControl w:val="0"/>
        <w:ind w:left="4320" w:hanging="2880"/>
      </w:pPr>
      <w:r>
        <w:rPr>
          <w:b/>
        </w:rPr>
        <w:t xml:space="preserve">EPA </w:t>
      </w:r>
      <w:r w:rsidRPr="006A7418">
        <w:rPr>
          <w:b/>
        </w:rPr>
        <w:t>Form N</w:t>
      </w:r>
      <w:r>
        <w:rPr>
          <w:b/>
        </w:rPr>
        <w:t>os.</w:t>
      </w:r>
      <w:r w:rsidRPr="006A7418">
        <w:rPr>
          <w:b/>
        </w:rPr>
        <w:t xml:space="preserve">: </w:t>
      </w:r>
      <w:r w:rsidRPr="006A7418">
        <w:t>None.</w:t>
      </w:r>
    </w:p>
    <w:p w14:paraId="1D19DD72" w14:textId="307535FD" w:rsidR="0006206C" w:rsidRPr="002E678F" w:rsidRDefault="0006206C" w:rsidP="002D5447">
      <w:pPr>
        <w:widowControl w:val="0"/>
        <w:ind w:left="4320" w:hanging="2880"/>
      </w:pPr>
      <w:r>
        <w:rPr>
          <w:b/>
        </w:rPr>
        <w:t xml:space="preserve">Docket ID No.: </w:t>
      </w:r>
      <w:r w:rsidRPr="002E678F">
        <w:t>EPA-HQ-OPPT-2017-0646</w:t>
      </w:r>
    </w:p>
    <w:p w14:paraId="0D0D41BE" w14:textId="77777777" w:rsidR="002A4300" w:rsidRDefault="002A4300">
      <w:pPr>
        <w:widowControl w:val="0"/>
        <w:rPr>
          <w:b/>
        </w:rPr>
      </w:pPr>
    </w:p>
    <w:p w14:paraId="509FC66D" w14:textId="1C28FDD1" w:rsidR="002A4300" w:rsidRDefault="002A4300">
      <w:pPr>
        <w:widowControl w:val="0"/>
      </w:pPr>
      <w:r>
        <w:rPr>
          <w:b/>
        </w:rPr>
        <w:tab/>
        <w:t>1(b)</w:t>
      </w:r>
      <w:r>
        <w:rPr>
          <w:b/>
        </w:rPr>
        <w:tab/>
        <w:t>Short Characterization</w:t>
      </w:r>
    </w:p>
    <w:p w14:paraId="1C8C2A7A" w14:textId="77777777" w:rsidR="002A4300" w:rsidRDefault="002A4300">
      <w:pPr>
        <w:widowControl w:val="0"/>
      </w:pPr>
    </w:p>
    <w:p w14:paraId="47EB7689" w14:textId="5A404885" w:rsidR="00BF4427" w:rsidRDefault="00BF4427" w:rsidP="00BF4427">
      <w:pPr>
        <w:widowControl w:val="0"/>
        <w:ind w:firstLine="720"/>
      </w:pPr>
      <w:r>
        <w:t xml:space="preserve">This ICR covers the information collection activities that implement the statutory mandates in section 8(d) of the Toxic Substances Control Act (TSCA), 15 U.S.C. 2607(d). Specifically, TSCA section 8(d) authorizes EPA to promulgate rules requiring certain persons who manufacture, process or distribute in commerce (or propose to manufacture, process or distribute in commerce) chemical substances and mixtures, to submit to EPA lists and copies of health and safety studies in their possession with respect to such chemical substances and mixtures. These rules, which are codified in 40 CFR part 716, require the manufacturers and processors of the chemical substances and mixtures subject to a TSCA section 8(d) rulemaking to submit lists and copies of health and safety studies relating to the health and/or environmental effects of the chemical substances and mixtures. To comply, respondents must search their records to identify any health and safety studies in their possession, copy and process relevant studies, list studies that are currently in progress, and submit this information to EPA. </w:t>
      </w:r>
    </w:p>
    <w:p w14:paraId="33873AE1" w14:textId="77777777" w:rsidR="00BF4427" w:rsidRDefault="00BF4427" w:rsidP="00BF4427">
      <w:pPr>
        <w:widowControl w:val="0"/>
        <w:ind w:firstLine="720"/>
      </w:pPr>
    </w:p>
    <w:p w14:paraId="2F2F5171" w14:textId="77777777" w:rsidR="00BF4427" w:rsidRDefault="00BF4427" w:rsidP="00BF4427">
      <w:pPr>
        <w:widowControl w:val="0"/>
        <w:ind w:firstLine="720"/>
      </w:pPr>
      <w:r>
        <w:t>The collection schedule under this ICR is chemical-specific in nature and occurs once in an established timeframe between 60 days and 2 years. Reporting of information is only required when the subject matter information (i.e., the lists of studies and final study reports) is available. Availability of study reports on the list may occur after the established reporting period for the list and must still be submitted when they become available. Studies previously submitted to EPA are exempt.</w:t>
      </w:r>
    </w:p>
    <w:p w14:paraId="7478831C" w14:textId="77777777" w:rsidR="00BF4427" w:rsidRDefault="00BF4427" w:rsidP="00BF4427">
      <w:pPr>
        <w:widowControl w:val="0"/>
        <w:ind w:firstLine="720"/>
      </w:pPr>
    </w:p>
    <w:p w14:paraId="45543690" w14:textId="6F2B0715" w:rsidR="00BF4427" w:rsidRDefault="00BF4427" w:rsidP="00BF4427">
      <w:pPr>
        <w:widowControl w:val="0"/>
        <w:ind w:firstLine="720"/>
      </w:pPr>
      <w:r>
        <w:t xml:space="preserve">EPA uses this information to construct a complete picture of the known effects of the chemical substance in question, leading to determinations by EPA of whether additional testing of the chemical substance should be required. The information enables EPA to base its testing decisions on the most complete information available and to avoid requiring testing that may be duplicative. EPA will use information obtained via this collection to support its investigation of the risks posed by the chemical substance and, in particular, to support its decisions on whether to require additional test data be submitted under TSCA section 4. </w:t>
      </w:r>
    </w:p>
    <w:p w14:paraId="60BB98A1" w14:textId="77777777" w:rsidR="00BF4427" w:rsidRDefault="00BF4427" w:rsidP="00BF4427">
      <w:pPr>
        <w:widowControl w:val="0"/>
        <w:ind w:firstLine="720"/>
      </w:pPr>
    </w:p>
    <w:p w14:paraId="408A9A2A" w14:textId="4ABE1C56" w:rsidR="00BF4427" w:rsidRDefault="00BF4427" w:rsidP="00BF4427">
      <w:pPr>
        <w:widowControl w:val="0"/>
        <w:ind w:firstLine="720"/>
      </w:pPr>
      <w:r>
        <w:t>Responses to the collection of information are mandatory (see 40 CFR part 716).  Respondents may claim all or part of a response confidential. EPA will disclose information that is covered by a claim of confidentiality only to the extent permitted by, and in accordance with, the procedures in TSCA section 14 and 40 CFR part 2.</w:t>
      </w:r>
    </w:p>
    <w:p w14:paraId="4FD30A6D" w14:textId="77777777" w:rsidR="00BF4427" w:rsidRDefault="00BF4427" w:rsidP="00EB0204">
      <w:pPr>
        <w:widowControl w:val="0"/>
        <w:ind w:firstLine="720"/>
        <w:rPr>
          <w:color w:val="000000"/>
        </w:rPr>
      </w:pPr>
    </w:p>
    <w:p w14:paraId="48464CDB" w14:textId="2C23CDEF" w:rsidR="002A4300" w:rsidRPr="00D26546" w:rsidRDefault="002A4300" w:rsidP="00BF4427">
      <w:pPr>
        <w:widowControl w:val="0"/>
        <w:ind w:firstLine="720"/>
      </w:pPr>
      <w:r>
        <w:rPr>
          <w:color w:val="000000"/>
        </w:rPr>
        <w:t xml:space="preserve">EPA amends the </w:t>
      </w:r>
      <w:r w:rsidR="00BF4427">
        <w:rPr>
          <w:color w:val="000000"/>
        </w:rPr>
        <w:t>list of subject chemicals in 40 CFR part 716</w:t>
      </w:r>
      <w:r>
        <w:rPr>
          <w:color w:val="000000"/>
        </w:rPr>
        <w:t xml:space="preserve"> periodically to add chemical </w:t>
      </w:r>
      <w:r>
        <w:rPr>
          <w:color w:val="000000"/>
        </w:rPr>
        <w:lastRenderedPageBreak/>
        <w:t>substances and mixtures.</w:t>
      </w:r>
      <w:r w:rsidR="007352E0">
        <w:rPr>
          <w:color w:val="000000"/>
        </w:rPr>
        <w:t xml:space="preserve"> </w:t>
      </w:r>
      <w:r w:rsidR="00BF4427">
        <w:rPr>
          <w:color w:val="000000"/>
        </w:rPr>
        <w:t>The listed chemical substances and mixtures include chemicals recommended for testing under TSCA section 4 by the Interagency Testing Committee (ITC) and other chemical substances that EPA (particularly the Office of Pollution Prevention and Toxics (OPPT)), or other federal agencies, choose to assess for health or environmental effects.</w:t>
      </w:r>
    </w:p>
    <w:p w14:paraId="4BFF52C9" w14:textId="77777777" w:rsidR="002A4300" w:rsidRDefault="002A4300">
      <w:pPr>
        <w:widowControl w:val="0"/>
        <w:rPr>
          <w:color w:val="000000"/>
        </w:rPr>
      </w:pPr>
    </w:p>
    <w:p w14:paraId="7F7EAD03" w14:textId="098CE994" w:rsidR="0006206C" w:rsidRDefault="002A4300">
      <w:pPr>
        <w:rPr>
          <w:szCs w:val="24"/>
        </w:rPr>
      </w:pPr>
      <w:r>
        <w:rPr>
          <w:color w:val="000000"/>
        </w:rPr>
        <w:tab/>
        <w:t>All studies submitted to EPA will be verified and the contents of the submissions recorded and inspected for the inclusion of confidential business information</w:t>
      </w:r>
      <w:r w:rsidR="00384822">
        <w:rPr>
          <w:color w:val="000000"/>
        </w:rPr>
        <w:t xml:space="preserve"> (CBI)</w:t>
      </w:r>
      <w:r w:rsidR="00205FAB">
        <w:rPr>
          <w:color w:val="000000"/>
        </w:rPr>
        <w:t xml:space="preserve">. </w:t>
      </w:r>
      <w:r w:rsidR="00B979C1">
        <w:rPr>
          <w:color w:val="000000"/>
        </w:rPr>
        <w:t>C</w:t>
      </w:r>
      <w:r>
        <w:rPr>
          <w:color w:val="000000"/>
        </w:rPr>
        <w:t>opies of the documents will then be prepared and distributed, based on the associated chemical identity, to program offices at EPA and/or to other federal agencies for scientific analysis</w:t>
      </w:r>
      <w:r w:rsidR="00205FAB">
        <w:rPr>
          <w:color w:val="000000"/>
        </w:rPr>
        <w:t xml:space="preserve">. </w:t>
      </w:r>
      <w:r>
        <w:rPr>
          <w:color w:val="000000"/>
        </w:rPr>
        <w:t xml:space="preserve">A coding form will be completed to capture certain descriptive information such as identity, document control number, confidentiality indicator, document title, document date, receipt date and chemical </w:t>
      </w:r>
      <w:r w:rsidR="00671161">
        <w:rPr>
          <w:color w:val="000000"/>
        </w:rPr>
        <w:t>i</w:t>
      </w:r>
      <w:r>
        <w:rPr>
          <w:color w:val="000000"/>
        </w:rPr>
        <w:t>dentity</w:t>
      </w:r>
      <w:r w:rsidR="00205FAB">
        <w:rPr>
          <w:color w:val="000000"/>
        </w:rPr>
        <w:t xml:space="preserve">. </w:t>
      </w:r>
      <w:r>
        <w:rPr>
          <w:color w:val="000000"/>
        </w:rPr>
        <w:t xml:space="preserve">The document will be stored </w:t>
      </w:r>
      <w:r w:rsidR="00B979C1">
        <w:rPr>
          <w:color w:val="000000"/>
        </w:rPr>
        <w:t xml:space="preserve">electronically </w:t>
      </w:r>
      <w:r>
        <w:rPr>
          <w:color w:val="000000"/>
        </w:rPr>
        <w:t>for archival purposes.</w:t>
      </w:r>
      <w:r w:rsidR="00EC1C84">
        <w:rPr>
          <w:color w:val="000000"/>
        </w:rPr>
        <w:t xml:space="preserve"> </w:t>
      </w:r>
      <w:r w:rsidR="009506FE">
        <w:rPr>
          <w:color w:val="000000"/>
        </w:rPr>
        <w:t>In addition, EPA will make non-confidential versions of the health and safety studies available via its ChemView database (</w:t>
      </w:r>
      <w:r w:rsidR="00AE0AED" w:rsidRPr="00AE0AED">
        <w:t>https://chemview.epa.gov/chemview</w:t>
      </w:r>
      <w:r w:rsidR="009506FE">
        <w:rPr>
          <w:color w:val="000000"/>
        </w:rPr>
        <w:t xml:space="preserve">). </w:t>
      </w:r>
      <w:r>
        <w:rPr>
          <w:color w:val="000000"/>
        </w:rPr>
        <w:t>EPA will use the studies to support its investigation of the risks posed by listed chemicals and, in particular, to support its decisions on whether to require industry to test chemicals under section 4 of TSCA.</w:t>
      </w:r>
    </w:p>
    <w:p w14:paraId="71DFBE8A" w14:textId="77777777" w:rsidR="00AE0AED" w:rsidRDefault="00AE0AED">
      <w:pPr>
        <w:rPr>
          <w:szCs w:val="24"/>
        </w:rPr>
      </w:pPr>
    </w:p>
    <w:p w14:paraId="77383A95" w14:textId="4CCCD3EA" w:rsidR="00AE7263" w:rsidRDefault="00E410A5" w:rsidP="004B15BB">
      <w:pPr>
        <w:keepNext/>
        <w:ind w:firstLine="720"/>
        <w:rPr>
          <w:color w:val="000000"/>
        </w:rPr>
      </w:pPr>
      <w:r w:rsidRPr="002F7EA9">
        <w:rPr>
          <w:szCs w:val="24"/>
        </w:rPr>
        <w:t xml:space="preserve">The total </w:t>
      </w:r>
      <w:r w:rsidR="002262AE">
        <w:rPr>
          <w:szCs w:val="24"/>
        </w:rPr>
        <w:t>paperwork</w:t>
      </w:r>
      <w:r w:rsidR="002262AE" w:rsidRPr="002F7EA9">
        <w:rPr>
          <w:szCs w:val="24"/>
        </w:rPr>
        <w:t xml:space="preserve"> </w:t>
      </w:r>
      <w:r w:rsidRPr="002F7EA9">
        <w:rPr>
          <w:szCs w:val="24"/>
        </w:rPr>
        <w:t xml:space="preserve">burden imposed by TSCA section 8(d) on the regulated community is estimated </w:t>
      </w:r>
      <w:r w:rsidRPr="00226766">
        <w:rPr>
          <w:szCs w:val="24"/>
        </w:rPr>
        <w:t xml:space="preserve">at </w:t>
      </w:r>
      <w:r w:rsidR="00A15C8B">
        <w:rPr>
          <w:szCs w:val="24"/>
        </w:rPr>
        <w:t>302</w:t>
      </w:r>
      <w:r w:rsidRPr="00226766">
        <w:rPr>
          <w:szCs w:val="24"/>
        </w:rPr>
        <w:t xml:space="preserve"> hours</w:t>
      </w:r>
      <w:r w:rsidRPr="002F7EA9">
        <w:rPr>
          <w:szCs w:val="24"/>
        </w:rPr>
        <w:t xml:space="preserve">. The total estimated respondent burden </w:t>
      </w:r>
      <w:r w:rsidR="006F453A" w:rsidRPr="002F7EA9">
        <w:rPr>
          <w:szCs w:val="24"/>
        </w:rPr>
        <w:t xml:space="preserve">is based on a </w:t>
      </w:r>
      <w:r w:rsidR="002262AE">
        <w:rPr>
          <w:szCs w:val="24"/>
        </w:rPr>
        <w:t xml:space="preserve">conservatively estimated </w:t>
      </w:r>
      <w:r w:rsidRPr="002F7EA9">
        <w:rPr>
          <w:color w:val="000000"/>
        </w:rPr>
        <w:t xml:space="preserve">rate of </w:t>
      </w:r>
      <w:r w:rsidR="00AD1364">
        <w:rPr>
          <w:color w:val="000000"/>
        </w:rPr>
        <w:t xml:space="preserve">13 </w:t>
      </w:r>
      <w:r w:rsidRPr="002F7EA9">
        <w:rPr>
          <w:color w:val="000000"/>
        </w:rPr>
        <w:t>chemical addition</w:t>
      </w:r>
      <w:r w:rsidR="002A28AF" w:rsidRPr="002F7EA9">
        <w:rPr>
          <w:color w:val="000000"/>
        </w:rPr>
        <w:t>s</w:t>
      </w:r>
      <w:r w:rsidRPr="002F7EA9">
        <w:rPr>
          <w:color w:val="000000"/>
        </w:rPr>
        <w:t xml:space="preserve"> per year</w:t>
      </w:r>
      <w:r w:rsidR="007B3D0D" w:rsidRPr="002F7EA9">
        <w:rPr>
          <w:color w:val="000000"/>
        </w:rPr>
        <w:t>.</w:t>
      </w:r>
      <w:r w:rsidR="003F7816">
        <w:rPr>
          <w:color w:val="000000"/>
        </w:rPr>
        <w:t xml:space="preserve"> </w:t>
      </w:r>
    </w:p>
    <w:p w14:paraId="0DE78D4B" w14:textId="77777777" w:rsidR="002D5447" w:rsidRDefault="002D5447" w:rsidP="00E410A5">
      <w:pPr>
        <w:widowControl w:val="0"/>
        <w:ind w:firstLine="720"/>
        <w:rPr>
          <w:color w:val="000000"/>
        </w:rPr>
      </w:pPr>
    </w:p>
    <w:p w14:paraId="19C617F9" w14:textId="77777777" w:rsidR="002A4300" w:rsidRDefault="002A4300">
      <w:pPr>
        <w:widowControl w:val="0"/>
        <w:rPr>
          <w:color w:val="000000"/>
        </w:rPr>
      </w:pPr>
      <w:r>
        <w:rPr>
          <w:b/>
          <w:color w:val="000000"/>
        </w:rPr>
        <w:t>2</w:t>
      </w:r>
      <w:r>
        <w:rPr>
          <w:b/>
          <w:color w:val="000000"/>
        </w:rPr>
        <w:tab/>
        <w:t>NEED FOR AND USE OF THE COLLECTION</w:t>
      </w:r>
    </w:p>
    <w:p w14:paraId="5F926A8C" w14:textId="77777777" w:rsidR="002A4300" w:rsidRDefault="002A4300">
      <w:pPr>
        <w:widowControl w:val="0"/>
        <w:rPr>
          <w:color w:val="000000"/>
        </w:rPr>
      </w:pPr>
    </w:p>
    <w:p w14:paraId="0F0E5474" w14:textId="77777777" w:rsidR="002A4300" w:rsidRDefault="002A4300">
      <w:pPr>
        <w:widowControl w:val="0"/>
        <w:rPr>
          <w:color w:val="000000"/>
        </w:rPr>
      </w:pPr>
      <w:r>
        <w:rPr>
          <w:color w:val="000000"/>
        </w:rPr>
        <w:tab/>
      </w:r>
      <w:r>
        <w:rPr>
          <w:b/>
          <w:color w:val="000000"/>
        </w:rPr>
        <w:t>2(a)</w:t>
      </w:r>
      <w:r>
        <w:rPr>
          <w:b/>
          <w:color w:val="000000"/>
        </w:rPr>
        <w:tab/>
        <w:t>Need/Authority for the Collection</w:t>
      </w:r>
    </w:p>
    <w:p w14:paraId="33CAA694" w14:textId="77777777" w:rsidR="002A4300" w:rsidRDefault="002A4300">
      <w:pPr>
        <w:widowControl w:val="0"/>
        <w:rPr>
          <w:color w:val="000000"/>
        </w:rPr>
      </w:pPr>
    </w:p>
    <w:p w14:paraId="00655DB3" w14:textId="519C5968" w:rsidR="002A4300" w:rsidRDefault="002A4300" w:rsidP="002E6B9F">
      <w:pPr>
        <w:widowControl w:val="0"/>
        <w:rPr>
          <w:color w:val="000000"/>
        </w:rPr>
      </w:pPr>
      <w:r>
        <w:rPr>
          <w:color w:val="000000"/>
        </w:rPr>
        <w:tab/>
        <w:t xml:space="preserve">TSCA section 8(d), 15 U.S.C. 2607(d), </w:t>
      </w:r>
      <w:bookmarkStart w:id="1" w:name="_Hlk530044736"/>
      <w:r w:rsidR="00384822">
        <w:rPr>
          <w:color w:val="000000"/>
        </w:rPr>
        <w:t>authorizes</w:t>
      </w:r>
      <w:r>
        <w:rPr>
          <w:color w:val="000000"/>
        </w:rPr>
        <w:t xml:space="preserve"> EPA to promulgate rules requiring </w:t>
      </w:r>
      <w:r w:rsidR="00384822">
        <w:rPr>
          <w:color w:val="000000"/>
        </w:rPr>
        <w:t xml:space="preserve">certain </w:t>
      </w:r>
      <w:r>
        <w:rPr>
          <w:color w:val="000000"/>
        </w:rPr>
        <w:t>persons who manufacture, process or distribute</w:t>
      </w:r>
      <w:r w:rsidR="00CD42CC">
        <w:rPr>
          <w:color w:val="000000"/>
        </w:rPr>
        <w:t xml:space="preserve"> in commerce</w:t>
      </w:r>
      <w:r>
        <w:rPr>
          <w:color w:val="000000"/>
        </w:rPr>
        <w:t xml:space="preserve">, or propose to manufacture, process or distribute </w:t>
      </w:r>
      <w:r w:rsidR="00CD42CC">
        <w:rPr>
          <w:color w:val="000000"/>
        </w:rPr>
        <w:t xml:space="preserve">in commerce </w:t>
      </w:r>
      <w:r>
        <w:rPr>
          <w:color w:val="000000"/>
        </w:rPr>
        <w:t>chemical substances and mixtures, to submit to EPA lists and copies of health and safety studies in their possession</w:t>
      </w:r>
      <w:r w:rsidR="00CD42CC">
        <w:rPr>
          <w:color w:val="000000"/>
        </w:rPr>
        <w:t xml:space="preserve"> with respect to such chemical substances and mixtures</w:t>
      </w:r>
      <w:r w:rsidR="00BF4427">
        <w:rPr>
          <w:color w:val="000000"/>
        </w:rPr>
        <w:t xml:space="preserve"> (Attachment </w:t>
      </w:r>
      <w:r w:rsidR="0027513B">
        <w:rPr>
          <w:color w:val="000000"/>
        </w:rPr>
        <w:t>1</w:t>
      </w:r>
      <w:r w:rsidR="00BF4427">
        <w:rPr>
          <w:color w:val="000000"/>
        </w:rPr>
        <w:t>)</w:t>
      </w:r>
      <w:r w:rsidR="00205FAB">
        <w:rPr>
          <w:color w:val="000000"/>
        </w:rPr>
        <w:t xml:space="preserve">. </w:t>
      </w:r>
      <w:r w:rsidR="00CD42CC">
        <w:rPr>
          <w:color w:val="000000"/>
        </w:rPr>
        <w:t>EPA regulations implementing the statute are codified at 40 CFR Part 716</w:t>
      </w:r>
      <w:r w:rsidR="00BF4427">
        <w:rPr>
          <w:color w:val="000000"/>
        </w:rPr>
        <w:t xml:space="preserve"> (Attachment </w:t>
      </w:r>
      <w:r w:rsidR="0027513B">
        <w:rPr>
          <w:color w:val="000000"/>
        </w:rPr>
        <w:t>2</w:t>
      </w:r>
      <w:r w:rsidR="00BF4427">
        <w:rPr>
          <w:color w:val="000000"/>
        </w:rPr>
        <w:t>)</w:t>
      </w:r>
      <w:r w:rsidR="001B117C">
        <w:rPr>
          <w:color w:val="000000"/>
        </w:rPr>
        <w:t xml:space="preserve">. </w:t>
      </w:r>
      <w:bookmarkEnd w:id="1"/>
      <w:r w:rsidR="001B117C">
        <w:rPr>
          <w:color w:val="000000"/>
        </w:rPr>
        <w:t>TSCA as amended by the Lautenberg Chemical Safety for the 21</w:t>
      </w:r>
      <w:r w:rsidR="001B117C" w:rsidRPr="007102D5">
        <w:rPr>
          <w:color w:val="000000"/>
          <w:vertAlign w:val="superscript"/>
        </w:rPr>
        <w:t>st</w:t>
      </w:r>
      <w:r w:rsidR="001B117C">
        <w:rPr>
          <w:color w:val="000000"/>
        </w:rPr>
        <w:t xml:space="preserve"> Century Act requires EPA to develop a pipeline of chemicals for prioritization and risk evaluation. Information from section 8(d) health and safety studies could help to inform the Agency’s prioritization and risk evaluation work</w:t>
      </w:r>
      <w:r w:rsidR="00BF4427">
        <w:rPr>
          <w:color w:val="000000"/>
        </w:rPr>
        <w:t xml:space="preserve">, as well as determine whether additional information on hazard, health or environmental effects, or exposure of the listed chemicals exist is necessary to assess risks; and for considering control actions. Collection of unpublished health and safety studies can reduce the need for testing. </w:t>
      </w:r>
      <w:r w:rsidR="001B117C">
        <w:rPr>
          <w:color w:val="000000"/>
        </w:rPr>
        <w:t xml:space="preserve"> </w:t>
      </w:r>
      <w:r w:rsidR="009F7A7A">
        <w:rPr>
          <w:color w:val="000000"/>
        </w:rPr>
        <w:t>Additionally, o</w:t>
      </w:r>
      <w:r>
        <w:rPr>
          <w:color w:val="000000"/>
        </w:rPr>
        <w:t>ther federal agencies use the studies when they are assessing a listed chemical substance for health or environmental effects.</w:t>
      </w:r>
    </w:p>
    <w:p w14:paraId="4BC85F03" w14:textId="77777777" w:rsidR="002A4300" w:rsidRDefault="002A4300">
      <w:pPr>
        <w:widowControl w:val="0"/>
        <w:rPr>
          <w:color w:val="000000"/>
        </w:rPr>
      </w:pPr>
    </w:p>
    <w:p w14:paraId="60F1DEC4" w14:textId="77777777" w:rsidR="002A4300" w:rsidRDefault="002A4300">
      <w:pPr>
        <w:widowControl w:val="0"/>
        <w:rPr>
          <w:color w:val="000000"/>
        </w:rPr>
      </w:pPr>
      <w:r>
        <w:rPr>
          <w:color w:val="000000"/>
        </w:rPr>
        <w:tab/>
      </w:r>
      <w:r>
        <w:rPr>
          <w:b/>
          <w:color w:val="000000"/>
        </w:rPr>
        <w:t>2(b)</w:t>
      </w:r>
      <w:r>
        <w:rPr>
          <w:b/>
          <w:color w:val="000000"/>
        </w:rPr>
        <w:tab/>
        <w:t>Use/Users of the Data</w:t>
      </w:r>
    </w:p>
    <w:p w14:paraId="39FBE3EA" w14:textId="77777777" w:rsidR="002A4300" w:rsidRDefault="002A4300">
      <w:pPr>
        <w:widowControl w:val="0"/>
        <w:rPr>
          <w:color w:val="000000"/>
        </w:rPr>
      </w:pPr>
    </w:p>
    <w:p w14:paraId="0F635244" w14:textId="783B1D02" w:rsidR="002A4300" w:rsidRDefault="002A4300">
      <w:pPr>
        <w:widowControl w:val="0"/>
        <w:rPr>
          <w:color w:val="000000"/>
        </w:rPr>
      </w:pPr>
      <w:r>
        <w:rPr>
          <w:color w:val="000000"/>
        </w:rPr>
        <w:tab/>
        <w:t>Studies submitted pursuant to TSCA section 8(d) rules will be evaluated in conjunction with other available data</w:t>
      </w:r>
      <w:r w:rsidR="008854EE">
        <w:rPr>
          <w:color w:val="000000"/>
        </w:rPr>
        <w:t xml:space="preserve"> as EPA assesses risks of existing chemicals</w:t>
      </w:r>
      <w:r w:rsidR="00205FAB">
        <w:rPr>
          <w:color w:val="000000"/>
        </w:rPr>
        <w:t xml:space="preserve">. </w:t>
      </w:r>
      <w:r>
        <w:rPr>
          <w:color w:val="000000"/>
        </w:rPr>
        <w:t>EPA and other federal agencies will use the data to construct a complete picture of the known effects of the chemical substance</w:t>
      </w:r>
      <w:r w:rsidR="00205FAB">
        <w:rPr>
          <w:color w:val="000000"/>
        </w:rPr>
        <w:t xml:space="preserve">. </w:t>
      </w:r>
      <w:r>
        <w:rPr>
          <w:color w:val="000000"/>
        </w:rPr>
        <w:t xml:space="preserve">From this picture, OPPT will be able to determine what kinds of </w:t>
      </w:r>
      <w:r w:rsidR="008854EE">
        <w:rPr>
          <w:color w:val="000000"/>
        </w:rPr>
        <w:t>information gaps</w:t>
      </w:r>
      <w:r>
        <w:rPr>
          <w:color w:val="000000"/>
        </w:rPr>
        <w:t xml:space="preserve">, if any, </w:t>
      </w:r>
      <w:r w:rsidR="008854EE">
        <w:rPr>
          <w:color w:val="000000"/>
        </w:rPr>
        <w:t>exist and whether testing may be</w:t>
      </w:r>
      <w:r>
        <w:rPr>
          <w:color w:val="000000"/>
        </w:rPr>
        <w:t xml:space="preserve"> needed</w:t>
      </w:r>
      <w:r w:rsidR="00205FAB">
        <w:rPr>
          <w:color w:val="000000"/>
        </w:rPr>
        <w:t xml:space="preserve">. </w:t>
      </w:r>
      <w:r>
        <w:rPr>
          <w:color w:val="000000"/>
        </w:rPr>
        <w:t xml:space="preserve">The TSCA section 8(d) studies will ensure that OPPT bases its testing decisions on the most complete information available and does not require </w:t>
      </w:r>
      <w:r w:rsidR="008854EE">
        <w:rPr>
          <w:color w:val="000000"/>
        </w:rPr>
        <w:t xml:space="preserve">unnecessary or duplicative </w:t>
      </w:r>
      <w:r>
        <w:rPr>
          <w:color w:val="000000"/>
        </w:rPr>
        <w:t>testing</w:t>
      </w:r>
      <w:r w:rsidR="00EC4DD3">
        <w:rPr>
          <w:color w:val="000000"/>
        </w:rPr>
        <w:t>, which is consistent with the requirements of TSCA section 4(h)</w:t>
      </w:r>
      <w:r w:rsidR="004F4BDF">
        <w:rPr>
          <w:color w:val="000000"/>
        </w:rPr>
        <w:t>.</w:t>
      </w:r>
    </w:p>
    <w:p w14:paraId="7057AE67" w14:textId="77777777" w:rsidR="002A4300" w:rsidRDefault="002A4300">
      <w:pPr>
        <w:widowControl w:val="0"/>
        <w:rPr>
          <w:color w:val="000000"/>
        </w:rPr>
      </w:pPr>
    </w:p>
    <w:p w14:paraId="6ECA8BFE" w14:textId="019C380A" w:rsidR="002A4300" w:rsidRDefault="002A4300">
      <w:pPr>
        <w:widowControl w:val="0"/>
        <w:rPr>
          <w:color w:val="000000"/>
        </w:rPr>
      </w:pPr>
      <w:r>
        <w:rPr>
          <w:color w:val="000000"/>
        </w:rPr>
        <w:tab/>
      </w:r>
      <w:r w:rsidRPr="00A841EA">
        <w:rPr>
          <w:color w:val="000000"/>
        </w:rPr>
        <w:t xml:space="preserve">In addition, EPA </w:t>
      </w:r>
      <w:r w:rsidR="00A841EA">
        <w:rPr>
          <w:color w:val="000000"/>
        </w:rPr>
        <w:t>may</w:t>
      </w:r>
      <w:r w:rsidRPr="00A841EA">
        <w:rPr>
          <w:color w:val="000000"/>
        </w:rPr>
        <w:t xml:space="preserve"> require that copies of </w:t>
      </w:r>
      <w:r w:rsidR="0011608B" w:rsidRPr="00A841EA">
        <w:rPr>
          <w:color w:val="000000"/>
        </w:rPr>
        <w:t>un</w:t>
      </w:r>
      <w:r w:rsidR="009A6B58" w:rsidRPr="00A841EA">
        <w:rPr>
          <w:color w:val="000000"/>
        </w:rPr>
        <w:t xml:space="preserve">published </w:t>
      </w:r>
      <w:r w:rsidRPr="00A841EA">
        <w:rPr>
          <w:color w:val="000000"/>
        </w:rPr>
        <w:t xml:space="preserve">health and safety studies be submitted </w:t>
      </w:r>
      <w:r w:rsidRPr="00A841EA">
        <w:rPr>
          <w:color w:val="000000"/>
        </w:rPr>
        <w:lastRenderedPageBreak/>
        <w:t xml:space="preserve">on chemicals that are </w:t>
      </w:r>
      <w:r w:rsidR="009A6B58" w:rsidRPr="00A841EA">
        <w:rPr>
          <w:color w:val="000000"/>
        </w:rPr>
        <w:t xml:space="preserve">being considered for prioritization </w:t>
      </w:r>
      <w:r w:rsidR="00EC4DD3" w:rsidRPr="00A841EA">
        <w:rPr>
          <w:color w:val="000000"/>
        </w:rPr>
        <w:t xml:space="preserve">under section 6 of TSCA </w:t>
      </w:r>
      <w:r w:rsidR="009A6B58" w:rsidRPr="00A841EA">
        <w:rPr>
          <w:color w:val="000000"/>
        </w:rPr>
        <w:t>or</w:t>
      </w:r>
      <w:r w:rsidRPr="00A841EA">
        <w:rPr>
          <w:color w:val="000000"/>
        </w:rPr>
        <w:t xml:space="preserve"> in the early stages of risk assessment or when action to control exposure is being considered by EPA or another federal agency</w:t>
      </w:r>
      <w:r w:rsidR="00205FAB" w:rsidRPr="00A841EA">
        <w:rPr>
          <w:color w:val="000000"/>
        </w:rPr>
        <w:t>.</w:t>
      </w:r>
      <w:r w:rsidR="00205FAB">
        <w:rPr>
          <w:color w:val="000000"/>
        </w:rPr>
        <w:t xml:space="preserve"> </w:t>
      </w:r>
      <w:r>
        <w:rPr>
          <w:color w:val="000000"/>
        </w:rPr>
        <w:t xml:space="preserve">These chemicals may be ones for which persons have submitted </w:t>
      </w:r>
      <w:r w:rsidR="00036527">
        <w:rPr>
          <w:color w:val="000000"/>
        </w:rPr>
        <w:t xml:space="preserve">a </w:t>
      </w:r>
      <w:r>
        <w:rPr>
          <w:color w:val="000000"/>
        </w:rPr>
        <w:t>substantial risk notification under TSCA section 8(e), or other chemicals for which data are needed to support a control measure under sections 5 and 6 of TSCA or under other EPA-administered statutes</w:t>
      </w:r>
      <w:r w:rsidR="00205FAB">
        <w:rPr>
          <w:color w:val="000000"/>
        </w:rPr>
        <w:t xml:space="preserve">. </w:t>
      </w:r>
      <w:r>
        <w:rPr>
          <w:color w:val="000000"/>
        </w:rPr>
        <w:t xml:space="preserve">If this information collection did not exist, EPA would not be able to obtain the </w:t>
      </w:r>
      <w:r w:rsidR="008854EE">
        <w:rPr>
          <w:color w:val="000000"/>
        </w:rPr>
        <w:t xml:space="preserve">available information on a chemical and </w:t>
      </w:r>
      <w:r w:rsidR="009A6B58">
        <w:rPr>
          <w:color w:val="000000"/>
        </w:rPr>
        <w:t xml:space="preserve">evaluate the </w:t>
      </w:r>
      <w:r>
        <w:rPr>
          <w:color w:val="000000"/>
        </w:rPr>
        <w:t>need for testing</w:t>
      </w:r>
      <w:r w:rsidR="009A6B58">
        <w:rPr>
          <w:color w:val="000000"/>
        </w:rPr>
        <w:t xml:space="preserve"> or data development</w:t>
      </w:r>
      <w:r>
        <w:rPr>
          <w:color w:val="000000"/>
        </w:rPr>
        <w:t xml:space="preserve"> under section 4 of TSCA or controlling chemical substances under TSCA sections 5 and 6.</w:t>
      </w:r>
    </w:p>
    <w:p w14:paraId="6C5C5EB8" w14:textId="77777777" w:rsidR="002D5447" w:rsidRDefault="002D5447" w:rsidP="007634E9">
      <w:pPr>
        <w:widowControl w:val="0"/>
        <w:rPr>
          <w:color w:val="000000"/>
        </w:rPr>
      </w:pPr>
    </w:p>
    <w:p w14:paraId="49C9630D" w14:textId="286BEE54" w:rsidR="00B9418E" w:rsidRDefault="002A4300" w:rsidP="007634E9">
      <w:pPr>
        <w:widowControl w:val="0"/>
        <w:rPr>
          <w:color w:val="000000"/>
        </w:rPr>
      </w:pPr>
      <w:r>
        <w:rPr>
          <w:color w:val="000000"/>
        </w:rPr>
        <w:tab/>
        <w:t xml:space="preserve"> In the past, </w:t>
      </w:r>
      <w:r w:rsidR="00036527">
        <w:rPr>
          <w:color w:val="000000"/>
        </w:rPr>
        <w:t>EPA’s Office of Air and Radiation (OAR) has used the submitted studies for developing Tier II analyses</w:t>
      </w:r>
      <w:r w:rsidR="00036527" w:rsidRPr="00593F6B">
        <w:rPr>
          <w:color w:val="000000"/>
        </w:rPr>
        <w:t xml:space="preserve"> </w:t>
      </w:r>
      <w:r w:rsidR="00036527">
        <w:rPr>
          <w:color w:val="000000"/>
        </w:rPr>
        <w:t xml:space="preserve">and the EPA’s </w:t>
      </w:r>
      <w:r>
        <w:rPr>
          <w:color w:val="000000"/>
        </w:rPr>
        <w:t xml:space="preserve">Office of Research and Development (ORD) </w:t>
      </w:r>
      <w:r w:rsidR="00036527">
        <w:rPr>
          <w:color w:val="000000"/>
        </w:rPr>
        <w:t xml:space="preserve">has used the information </w:t>
      </w:r>
      <w:r>
        <w:rPr>
          <w:color w:val="000000"/>
        </w:rPr>
        <w:t>for developing extended risk assessments</w:t>
      </w:r>
      <w:r w:rsidR="00036527">
        <w:rPr>
          <w:color w:val="000000"/>
        </w:rPr>
        <w:t>. In addition, other organizations have utilized the submitted studies:</w:t>
      </w:r>
      <w:r>
        <w:rPr>
          <w:color w:val="000000"/>
        </w:rPr>
        <w:t xml:space="preserve"> the Consumer Product Safety Commission (CPSC) for assessing the hazards of known consumer exposure; the American Council for Government Industrial Hygienists (ACGIH)</w:t>
      </w:r>
      <w:r w:rsidR="00593F6B">
        <w:rPr>
          <w:color w:val="000000"/>
        </w:rPr>
        <w:t>;</w:t>
      </w:r>
      <w:r>
        <w:rPr>
          <w:color w:val="000000"/>
        </w:rPr>
        <w:t xml:space="preserve"> and the National Institute for Occupational Safety and Health (NIOSH) for developing recommended occupational exposure levels.</w:t>
      </w:r>
    </w:p>
    <w:p w14:paraId="5B4855C0" w14:textId="77777777" w:rsidR="00EC1C84" w:rsidRDefault="00EC1C84" w:rsidP="007634E9">
      <w:pPr>
        <w:widowControl w:val="0"/>
        <w:rPr>
          <w:color w:val="000000"/>
        </w:rPr>
      </w:pPr>
    </w:p>
    <w:p w14:paraId="1E7E6047" w14:textId="77777777" w:rsidR="00982B5C" w:rsidRDefault="002A4300" w:rsidP="007634E9">
      <w:pPr>
        <w:widowControl w:val="0"/>
        <w:rPr>
          <w:b/>
          <w:color w:val="000000"/>
        </w:rPr>
      </w:pPr>
      <w:r>
        <w:rPr>
          <w:b/>
          <w:color w:val="000000"/>
        </w:rPr>
        <w:t>3</w:t>
      </w:r>
      <w:r>
        <w:rPr>
          <w:b/>
          <w:color w:val="000000"/>
        </w:rPr>
        <w:tab/>
        <w:t xml:space="preserve">NON-DUPLICATION, CONSULTATIONS AND OTHER COLLECTION </w:t>
      </w:r>
    </w:p>
    <w:p w14:paraId="71403CA9" w14:textId="77777777" w:rsidR="002A4300" w:rsidRDefault="002A4300" w:rsidP="00982B5C">
      <w:pPr>
        <w:widowControl w:val="0"/>
        <w:ind w:firstLine="720"/>
        <w:rPr>
          <w:color w:val="000000"/>
        </w:rPr>
      </w:pPr>
      <w:r>
        <w:rPr>
          <w:b/>
          <w:color w:val="000000"/>
        </w:rPr>
        <w:t>CRITERIA</w:t>
      </w:r>
    </w:p>
    <w:p w14:paraId="48641A6D" w14:textId="77777777" w:rsidR="002A4300" w:rsidRDefault="002A4300">
      <w:pPr>
        <w:widowControl w:val="0"/>
        <w:rPr>
          <w:color w:val="000000"/>
        </w:rPr>
      </w:pPr>
    </w:p>
    <w:p w14:paraId="4356AB54" w14:textId="77777777" w:rsidR="002A4300" w:rsidRDefault="002A4300">
      <w:pPr>
        <w:widowControl w:val="0"/>
        <w:rPr>
          <w:color w:val="000000"/>
        </w:rPr>
      </w:pPr>
      <w:r>
        <w:rPr>
          <w:color w:val="000000"/>
        </w:rPr>
        <w:tab/>
      </w:r>
      <w:r>
        <w:rPr>
          <w:b/>
          <w:color w:val="000000"/>
        </w:rPr>
        <w:t>3(a)</w:t>
      </w:r>
      <w:r>
        <w:rPr>
          <w:b/>
          <w:color w:val="000000"/>
        </w:rPr>
        <w:tab/>
        <w:t>Non-Duplication</w:t>
      </w:r>
    </w:p>
    <w:p w14:paraId="6EF78649" w14:textId="77777777" w:rsidR="002A4300" w:rsidRDefault="002A4300">
      <w:pPr>
        <w:widowControl w:val="0"/>
        <w:rPr>
          <w:color w:val="000000"/>
        </w:rPr>
      </w:pPr>
    </w:p>
    <w:p w14:paraId="28E79761" w14:textId="5D2D5993" w:rsidR="002A4300" w:rsidRDefault="002A4300">
      <w:pPr>
        <w:widowControl w:val="0"/>
        <w:rPr>
          <w:color w:val="000000"/>
        </w:rPr>
      </w:pPr>
      <w:r>
        <w:rPr>
          <w:color w:val="000000"/>
        </w:rPr>
        <w:tab/>
        <w:t>In drafting a TSCA section 8(d) rule, EPA considers all available information, i.e.</w:t>
      </w:r>
      <w:r w:rsidR="006E6904">
        <w:rPr>
          <w:color w:val="000000"/>
        </w:rPr>
        <w:t>,</w:t>
      </w:r>
      <w:r>
        <w:rPr>
          <w:color w:val="000000"/>
        </w:rPr>
        <w:t xml:space="preserve"> published and unpublished literature, databases, and all data available from EPA programs and offices and other federal entities</w:t>
      </w:r>
      <w:r w:rsidR="00205FAB">
        <w:rPr>
          <w:color w:val="000000"/>
        </w:rPr>
        <w:t xml:space="preserve">. </w:t>
      </w:r>
      <w:r>
        <w:rPr>
          <w:color w:val="000000"/>
        </w:rPr>
        <w:t>If existing data are sufficient for assessment or control purposes, EPA will not require TSCA section 8(d) reporting</w:t>
      </w:r>
      <w:r w:rsidR="00205FAB">
        <w:rPr>
          <w:color w:val="000000"/>
        </w:rPr>
        <w:t xml:space="preserve">. </w:t>
      </w:r>
      <w:r>
        <w:rPr>
          <w:color w:val="000000"/>
        </w:rPr>
        <w:t>However, if that information is not sufficient, or is obtained in a way that makes EPA doubt its validity, then the Agency must require the submission of non-published health and safety studies.</w:t>
      </w:r>
    </w:p>
    <w:p w14:paraId="57A73DA0" w14:textId="77777777" w:rsidR="002A4300" w:rsidRDefault="002A4300">
      <w:pPr>
        <w:widowControl w:val="0"/>
        <w:rPr>
          <w:color w:val="000000"/>
        </w:rPr>
      </w:pPr>
    </w:p>
    <w:p w14:paraId="45F417B7" w14:textId="09451757" w:rsidR="002A4300" w:rsidRDefault="002A4300">
      <w:pPr>
        <w:widowControl w:val="0"/>
        <w:rPr>
          <w:color w:val="000000"/>
        </w:rPr>
      </w:pPr>
      <w:r>
        <w:rPr>
          <w:color w:val="000000"/>
        </w:rPr>
        <w:tab/>
        <w:t xml:space="preserve">The </w:t>
      </w:r>
      <w:r w:rsidR="00EC4DD3">
        <w:rPr>
          <w:color w:val="000000"/>
        </w:rPr>
        <w:t xml:space="preserve">unpublished </w:t>
      </w:r>
      <w:r>
        <w:rPr>
          <w:color w:val="000000"/>
        </w:rPr>
        <w:t>health and safety studies to be submitted under the TSCA section 8(d) rule are not available from any other source</w:t>
      </w:r>
      <w:r w:rsidR="00205FAB">
        <w:rPr>
          <w:color w:val="000000"/>
        </w:rPr>
        <w:t xml:space="preserve">. </w:t>
      </w:r>
      <w:r>
        <w:rPr>
          <w:color w:val="000000"/>
        </w:rPr>
        <w:t>The TSCA section 8(d) rule requires the listing and submission of studies that are conducted in-house by industry or by industry contractors and not published in the scientific literature</w:t>
      </w:r>
      <w:r w:rsidR="00205FAB">
        <w:rPr>
          <w:color w:val="000000"/>
        </w:rPr>
        <w:t xml:space="preserve">. </w:t>
      </w:r>
      <w:r>
        <w:rPr>
          <w:color w:val="000000"/>
        </w:rPr>
        <w:t xml:space="preserve">Under the revisions to the </w:t>
      </w:r>
      <w:r w:rsidR="00D26546">
        <w:rPr>
          <w:color w:val="000000"/>
        </w:rPr>
        <w:t>r</w:t>
      </w:r>
      <w:r>
        <w:rPr>
          <w:color w:val="000000"/>
        </w:rPr>
        <w:t>ule promulgated in September 1986, respondents do not have to list or submit any studies that have been published in the scientific literature, or submitted previously to OPPT on a non-confidential basis</w:t>
      </w:r>
      <w:r w:rsidR="00205FAB">
        <w:rPr>
          <w:color w:val="000000"/>
        </w:rPr>
        <w:t xml:space="preserve">. </w:t>
      </w:r>
      <w:r>
        <w:rPr>
          <w:color w:val="000000"/>
        </w:rPr>
        <w:t xml:space="preserve">Studies that </w:t>
      </w:r>
      <w:r w:rsidR="007634E9">
        <w:rPr>
          <w:color w:val="000000"/>
        </w:rPr>
        <w:t xml:space="preserve">respondents </w:t>
      </w:r>
      <w:r>
        <w:rPr>
          <w:color w:val="000000"/>
        </w:rPr>
        <w:t xml:space="preserve">previously </w:t>
      </w:r>
      <w:r w:rsidR="007634E9">
        <w:rPr>
          <w:color w:val="000000"/>
        </w:rPr>
        <w:t>have</w:t>
      </w:r>
      <w:r>
        <w:rPr>
          <w:color w:val="000000"/>
        </w:rPr>
        <w:t xml:space="preserve"> submitted on a non-confidential basis to other EPA offices or programs need only be listed.</w:t>
      </w:r>
    </w:p>
    <w:p w14:paraId="403E933C" w14:textId="77777777" w:rsidR="002A4300" w:rsidRDefault="002A4300">
      <w:pPr>
        <w:widowControl w:val="0"/>
        <w:rPr>
          <w:color w:val="000000"/>
        </w:rPr>
      </w:pPr>
    </w:p>
    <w:p w14:paraId="3BA330C6" w14:textId="77777777" w:rsidR="002A4300" w:rsidRDefault="002A4300">
      <w:pPr>
        <w:widowControl w:val="0"/>
        <w:ind w:left="720"/>
        <w:rPr>
          <w:color w:val="000000"/>
        </w:rPr>
      </w:pPr>
      <w:r w:rsidRPr="00F30208">
        <w:rPr>
          <w:b/>
          <w:color w:val="000000"/>
        </w:rPr>
        <w:t>3(b)</w:t>
      </w:r>
      <w:r>
        <w:rPr>
          <w:b/>
          <w:color w:val="000000"/>
        </w:rPr>
        <w:tab/>
      </w:r>
      <w:r w:rsidRPr="00FF1860">
        <w:rPr>
          <w:b/>
          <w:color w:val="000000"/>
        </w:rPr>
        <w:t>Public Notice Required</w:t>
      </w:r>
      <w:r>
        <w:rPr>
          <w:b/>
          <w:color w:val="000000"/>
        </w:rPr>
        <w:t xml:space="preserve"> Prior to ICR Submission to OMB</w:t>
      </w:r>
    </w:p>
    <w:p w14:paraId="095654D4" w14:textId="398AE92B" w:rsidR="00AE6998" w:rsidRDefault="002A4300" w:rsidP="00AE6998">
      <w:r>
        <w:rPr>
          <w:color w:val="000000"/>
        </w:rPr>
        <w:tab/>
      </w:r>
      <w:r w:rsidR="00E93144">
        <w:rPr>
          <w:szCs w:val="24"/>
          <w:lang w:val="en-CA"/>
        </w:rPr>
        <w:fldChar w:fldCharType="begin"/>
      </w:r>
      <w:r w:rsidR="00E93144">
        <w:rPr>
          <w:szCs w:val="24"/>
          <w:lang w:val="en-CA"/>
        </w:rPr>
        <w:instrText xml:space="preserve"> SEQ CHAPTER \h \r 1</w:instrText>
      </w:r>
      <w:r w:rsidR="00E93144">
        <w:rPr>
          <w:szCs w:val="24"/>
          <w:lang w:val="en-CA"/>
        </w:rPr>
        <w:fldChar w:fldCharType="end"/>
      </w:r>
      <w:r w:rsidR="003342C5">
        <w:rPr>
          <w:szCs w:val="24"/>
          <w:lang w:val="en-CA"/>
        </w:rPr>
        <w:fldChar w:fldCharType="begin"/>
      </w:r>
      <w:r w:rsidR="003342C5">
        <w:rPr>
          <w:szCs w:val="24"/>
          <w:lang w:val="en-CA"/>
        </w:rPr>
        <w:instrText xml:space="preserve"> SEQ CHAPTER \h \r 1</w:instrText>
      </w:r>
      <w:r w:rsidR="003342C5">
        <w:rPr>
          <w:szCs w:val="24"/>
          <w:lang w:val="en-CA"/>
        </w:rPr>
        <w:fldChar w:fldCharType="end"/>
      </w:r>
      <w:r w:rsidR="00F30208" w:rsidRPr="00F30208">
        <w:t xml:space="preserve"> </w:t>
      </w:r>
    </w:p>
    <w:p w14:paraId="6B7FD745" w14:textId="210097FD" w:rsidR="002A4300" w:rsidRDefault="007830B4" w:rsidP="0021032B">
      <w:pPr>
        <w:widowControl w:val="0"/>
        <w:ind w:firstLine="720"/>
      </w:pPr>
      <w:r>
        <w:t>In proposing to renew this ICR, EPA provided a 6</w:t>
      </w:r>
      <w:r w:rsidR="0021032B">
        <w:t>0-day public notice and comment period that ended on September 24, 2018 (83 FR 35271, July 25, 2018)</w:t>
      </w:r>
      <w:r w:rsidR="002E678F">
        <w:t xml:space="preserve"> (</w:t>
      </w:r>
      <w:hyperlink r:id="rId9" w:history="1">
        <w:r w:rsidR="002E678F" w:rsidRPr="002E678F">
          <w:rPr>
            <w:rStyle w:val="Hyperlink"/>
          </w:rPr>
          <w:t>FRL-9980-27</w:t>
        </w:r>
      </w:hyperlink>
      <w:r w:rsidR="002E678F">
        <w:t>)</w:t>
      </w:r>
      <w:r>
        <w:t xml:space="preserve">. </w:t>
      </w:r>
      <w:r w:rsidR="0021032B">
        <w:t xml:space="preserve"> EPA received one comment </w:t>
      </w:r>
      <w:r>
        <w:t>during the comment period</w:t>
      </w:r>
      <w:r w:rsidR="002E678F">
        <w:t>; from Brett Howard, Director of Chemical Management, American Chemistry Council</w:t>
      </w:r>
      <w:r>
        <w:t>.</w:t>
      </w:r>
      <w:r w:rsidR="0021032B">
        <w:t xml:space="preserve"> Copies of the public comment</w:t>
      </w:r>
      <w:r>
        <w:t xml:space="preserve"> and of EPA’s re</w:t>
      </w:r>
      <w:r w:rsidR="0021032B">
        <w:t xml:space="preserve">sponse to the public comment </w:t>
      </w:r>
      <w:r>
        <w:t xml:space="preserve">appear in </w:t>
      </w:r>
      <w:r w:rsidR="000E57E1">
        <w:t>Attachment 3</w:t>
      </w:r>
      <w:r w:rsidRPr="000E57E1">
        <w:t>.</w:t>
      </w:r>
    </w:p>
    <w:p w14:paraId="2344202D" w14:textId="77777777" w:rsidR="0021032B" w:rsidRPr="0021032B" w:rsidRDefault="0021032B" w:rsidP="007830B4">
      <w:pPr>
        <w:widowControl w:val="0"/>
      </w:pPr>
    </w:p>
    <w:p w14:paraId="22726383" w14:textId="77777777" w:rsidR="002A4300" w:rsidRDefault="002A4300">
      <w:pPr>
        <w:widowControl w:val="0"/>
        <w:rPr>
          <w:color w:val="000000"/>
        </w:rPr>
      </w:pPr>
      <w:r>
        <w:rPr>
          <w:color w:val="000000"/>
        </w:rPr>
        <w:tab/>
      </w:r>
      <w:r w:rsidRPr="00532A67">
        <w:rPr>
          <w:b/>
          <w:color w:val="000000"/>
        </w:rPr>
        <w:t>3(c)</w:t>
      </w:r>
      <w:r>
        <w:rPr>
          <w:b/>
          <w:color w:val="000000"/>
        </w:rPr>
        <w:tab/>
      </w:r>
      <w:r w:rsidRPr="00A5395D">
        <w:rPr>
          <w:b/>
          <w:color w:val="000000"/>
        </w:rPr>
        <w:t>Consultations</w:t>
      </w:r>
    </w:p>
    <w:p w14:paraId="19604C5E" w14:textId="77777777" w:rsidR="002A4300" w:rsidRDefault="002A4300">
      <w:pPr>
        <w:widowControl w:val="0"/>
        <w:rPr>
          <w:color w:val="000000"/>
        </w:rPr>
      </w:pPr>
    </w:p>
    <w:p w14:paraId="61304686" w14:textId="61AD9720" w:rsidR="00B9418E" w:rsidRDefault="000E57E1" w:rsidP="000E57E1">
      <w:pPr>
        <w:pStyle w:val="NoSpacing"/>
        <w:ind w:firstLine="720"/>
        <w:rPr>
          <w:szCs w:val="24"/>
        </w:rPr>
      </w:pPr>
      <w:r w:rsidRPr="0077177A">
        <w:rPr>
          <w:szCs w:val="24"/>
        </w:rPr>
        <w:t xml:space="preserve">Additionally, under 5 CFR 1320.8(d)(1), OMB requires agencies to consult with potential ICR respondents and data users about specific aspects of ICRs before submitting an ICR to OMB for </w:t>
      </w:r>
      <w:r>
        <w:rPr>
          <w:szCs w:val="24"/>
        </w:rPr>
        <w:t xml:space="preserve">review and approval. </w:t>
      </w:r>
      <w:r w:rsidRPr="0077177A">
        <w:rPr>
          <w:szCs w:val="24"/>
        </w:rPr>
        <w:t>In accordance with this regulation, EPA submitted questions to several interested partie</w:t>
      </w:r>
      <w:r>
        <w:rPr>
          <w:szCs w:val="24"/>
        </w:rPr>
        <w:t xml:space="preserve">s via e-mail. </w:t>
      </w:r>
      <w:r w:rsidRPr="0077177A">
        <w:rPr>
          <w:szCs w:val="24"/>
        </w:rPr>
        <w:t>The individuals contacted were:</w:t>
      </w:r>
      <w:r>
        <w:rPr>
          <w:szCs w:val="24"/>
        </w:rPr>
        <w:t xml:space="preserve"> </w:t>
      </w:r>
    </w:p>
    <w:p w14:paraId="5B8B9598" w14:textId="14F6C26F" w:rsidR="000E57E1" w:rsidRDefault="000E57E1" w:rsidP="000E57E1">
      <w:pPr>
        <w:pStyle w:val="NoSpacing"/>
        <w:ind w:firstLine="720"/>
        <w:rPr>
          <w:szCs w:val="24"/>
        </w:rPr>
      </w:pPr>
    </w:p>
    <w:p w14:paraId="075FD1C6" w14:textId="77777777" w:rsidR="000E57E1" w:rsidRPr="000E57E1" w:rsidRDefault="000E57E1" w:rsidP="000E57E1">
      <w:pPr>
        <w:pStyle w:val="NoSpacing"/>
        <w:ind w:firstLine="720"/>
        <w:rPr>
          <w:szCs w:val="24"/>
        </w:rPr>
      </w:pPr>
      <w:r w:rsidRPr="000E57E1">
        <w:rPr>
          <w:szCs w:val="24"/>
        </w:rPr>
        <w:t>Mike Walls, Vice President</w:t>
      </w:r>
    </w:p>
    <w:p w14:paraId="01FF515B" w14:textId="77777777" w:rsidR="000E57E1" w:rsidRPr="000E57E1" w:rsidRDefault="000E57E1" w:rsidP="000E57E1">
      <w:pPr>
        <w:pStyle w:val="NoSpacing"/>
        <w:ind w:firstLine="720"/>
        <w:rPr>
          <w:szCs w:val="24"/>
        </w:rPr>
      </w:pPr>
      <w:r w:rsidRPr="000E57E1">
        <w:rPr>
          <w:szCs w:val="24"/>
        </w:rPr>
        <w:t>Regulatory and Technical Affairs</w:t>
      </w:r>
    </w:p>
    <w:p w14:paraId="3AE0BAEB" w14:textId="77777777" w:rsidR="000E57E1" w:rsidRPr="000E57E1" w:rsidRDefault="000E57E1" w:rsidP="000E57E1">
      <w:pPr>
        <w:pStyle w:val="NoSpacing"/>
        <w:ind w:firstLine="720"/>
        <w:rPr>
          <w:szCs w:val="24"/>
        </w:rPr>
      </w:pPr>
      <w:r w:rsidRPr="000E57E1">
        <w:rPr>
          <w:szCs w:val="24"/>
        </w:rPr>
        <w:t>American Chemistry Council Inc.</w:t>
      </w:r>
    </w:p>
    <w:p w14:paraId="5A6F9F51" w14:textId="77777777" w:rsidR="000E57E1" w:rsidRPr="000E57E1" w:rsidRDefault="000E57E1" w:rsidP="000E57E1">
      <w:pPr>
        <w:pStyle w:val="NoSpacing"/>
        <w:ind w:firstLine="720"/>
        <w:rPr>
          <w:szCs w:val="24"/>
        </w:rPr>
      </w:pPr>
      <w:r w:rsidRPr="000E57E1">
        <w:rPr>
          <w:szCs w:val="24"/>
        </w:rPr>
        <w:t>700 2nd Street N.E.</w:t>
      </w:r>
    </w:p>
    <w:p w14:paraId="073FBE05" w14:textId="77777777" w:rsidR="000E57E1" w:rsidRPr="000E57E1" w:rsidRDefault="000E57E1" w:rsidP="000E57E1">
      <w:pPr>
        <w:pStyle w:val="NoSpacing"/>
        <w:ind w:firstLine="720"/>
        <w:rPr>
          <w:szCs w:val="24"/>
        </w:rPr>
      </w:pPr>
      <w:r w:rsidRPr="000E57E1">
        <w:rPr>
          <w:szCs w:val="24"/>
        </w:rPr>
        <w:t>Washington, D.C. 20002</w:t>
      </w:r>
    </w:p>
    <w:p w14:paraId="0DBBB6D9" w14:textId="77777777" w:rsidR="000E57E1" w:rsidRPr="000E57E1" w:rsidRDefault="000E57E1" w:rsidP="000E57E1">
      <w:pPr>
        <w:pStyle w:val="NoSpacing"/>
        <w:ind w:firstLine="720"/>
        <w:rPr>
          <w:szCs w:val="24"/>
        </w:rPr>
      </w:pPr>
    </w:p>
    <w:p w14:paraId="7562654A" w14:textId="77777777" w:rsidR="000E57E1" w:rsidRPr="000E57E1" w:rsidRDefault="000E57E1" w:rsidP="000E57E1">
      <w:pPr>
        <w:pStyle w:val="NoSpacing"/>
        <w:ind w:firstLine="720"/>
        <w:rPr>
          <w:szCs w:val="24"/>
        </w:rPr>
      </w:pPr>
      <w:r w:rsidRPr="000E57E1">
        <w:rPr>
          <w:szCs w:val="24"/>
        </w:rPr>
        <w:t>Matthew Moedritzer, Manager</w:t>
      </w:r>
    </w:p>
    <w:p w14:paraId="5AD4CC81" w14:textId="77777777" w:rsidR="000E57E1" w:rsidRPr="000E57E1" w:rsidRDefault="000E57E1" w:rsidP="000E57E1">
      <w:pPr>
        <w:pStyle w:val="NoSpacing"/>
        <w:ind w:firstLine="720"/>
        <w:rPr>
          <w:szCs w:val="24"/>
        </w:rPr>
      </w:pPr>
      <w:r w:rsidRPr="000E57E1">
        <w:rPr>
          <w:szCs w:val="24"/>
        </w:rPr>
        <w:t xml:space="preserve">Legal and Governmental Relations </w:t>
      </w:r>
    </w:p>
    <w:p w14:paraId="30B65E2F" w14:textId="77777777" w:rsidR="000E57E1" w:rsidRPr="000E57E1" w:rsidRDefault="000E57E1" w:rsidP="000E57E1">
      <w:pPr>
        <w:pStyle w:val="NoSpacing"/>
        <w:ind w:firstLine="720"/>
        <w:rPr>
          <w:szCs w:val="24"/>
        </w:rPr>
      </w:pPr>
      <w:r w:rsidRPr="000E57E1">
        <w:rPr>
          <w:szCs w:val="24"/>
        </w:rPr>
        <w:t>Society of Chemical Manufacturers and Affiliates (SOCMA)</w:t>
      </w:r>
    </w:p>
    <w:p w14:paraId="5F480B70" w14:textId="77777777" w:rsidR="000E57E1" w:rsidRPr="000E57E1" w:rsidRDefault="000E57E1" w:rsidP="000E57E1">
      <w:pPr>
        <w:pStyle w:val="NoSpacing"/>
        <w:ind w:firstLine="720"/>
        <w:rPr>
          <w:szCs w:val="24"/>
        </w:rPr>
      </w:pPr>
      <w:r w:rsidRPr="000E57E1">
        <w:rPr>
          <w:szCs w:val="24"/>
        </w:rPr>
        <w:t>1400 Crystal Drive, Suite 630</w:t>
      </w:r>
    </w:p>
    <w:p w14:paraId="69EBA3C6" w14:textId="77777777" w:rsidR="000E57E1" w:rsidRPr="000E57E1" w:rsidRDefault="000E57E1" w:rsidP="000E57E1">
      <w:pPr>
        <w:pStyle w:val="NoSpacing"/>
        <w:ind w:firstLine="720"/>
        <w:rPr>
          <w:szCs w:val="24"/>
        </w:rPr>
      </w:pPr>
      <w:r w:rsidRPr="000E57E1">
        <w:rPr>
          <w:szCs w:val="24"/>
        </w:rPr>
        <w:t>Arlington, VA 22202</w:t>
      </w:r>
    </w:p>
    <w:p w14:paraId="572F4152" w14:textId="77777777" w:rsidR="000E57E1" w:rsidRPr="000E57E1" w:rsidRDefault="000E57E1" w:rsidP="000E57E1">
      <w:pPr>
        <w:pStyle w:val="NoSpacing"/>
        <w:ind w:firstLine="720"/>
        <w:rPr>
          <w:szCs w:val="24"/>
        </w:rPr>
      </w:pPr>
    </w:p>
    <w:p w14:paraId="4AE9BBFB" w14:textId="77777777" w:rsidR="000E57E1" w:rsidRPr="000E57E1" w:rsidRDefault="000E57E1" w:rsidP="000E57E1">
      <w:pPr>
        <w:pStyle w:val="NoSpacing"/>
        <w:ind w:firstLine="720"/>
        <w:rPr>
          <w:szCs w:val="24"/>
        </w:rPr>
      </w:pPr>
      <w:r w:rsidRPr="000E57E1">
        <w:rPr>
          <w:szCs w:val="24"/>
        </w:rPr>
        <w:t>Steve Bennet, Vice President</w:t>
      </w:r>
    </w:p>
    <w:p w14:paraId="03DD7A2F" w14:textId="77777777" w:rsidR="000E57E1" w:rsidRPr="000E57E1" w:rsidRDefault="000E57E1" w:rsidP="000E57E1">
      <w:pPr>
        <w:pStyle w:val="NoSpacing"/>
        <w:ind w:firstLine="720"/>
        <w:rPr>
          <w:szCs w:val="24"/>
        </w:rPr>
      </w:pPr>
      <w:r w:rsidRPr="000E57E1">
        <w:rPr>
          <w:szCs w:val="24"/>
        </w:rPr>
        <w:t xml:space="preserve">Scientific Affairs </w:t>
      </w:r>
    </w:p>
    <w:p w14:paraId="62A50310" w14:textId="77777777" w:rsidR="000E57E1" w:rsidRPr="000E57E1" w:rsidRDefault="000E57E1" w:rsidP="000E57E1">
      <w:pPr>
        <w:pStyle w:val="NoSpacing"/>
        <w:ind w:firstLine="720"/>
        <w:rPr>
          <w:szCs w:val="24"/>
        </w:rPr>
      </w:pPr>
      <w:r w:rsidRPr="000E57E1">
        <w:rPr>
          <w:szCs w:val="24"/>
        </w:rPr>
        <w:t xml:space="preserve">Household and Commercial Products Association  </w:t>
      </w:r>
    </w:p>
    <w:p w14:paraId="6F735A2C" w14:textId="77777777" w:rsidR="000E57E1" w:rsidRPr="000E57E1" w:rsidRDefault="000E57E1" w:rsidP="000E57E1">
      <w:pPr>
        <w:pStyle w:val="NoSpacing"/>
        <w:ind w:firstLine="720"/>
        <w:rPr>
          <w:szCs w:val="24"/>
        </w:rPr>
      </w:pPr>
      <w:r w:rsidRPr="000E57E1">
        <w:rPr>
          <w:szCs w:val="24"/>
        </w:rPr>
        <w:t>1667 K Street N.W., Suite 300</w:t>
      </w:r>
    </w:p>
    <w:p w14:paraId="37573043" w14:textId="77777777" w:rsidR="000E57E1" w:rsidRPr="000E57E1" w:rsidRDefault="000E57E1" w:rsidP="000E57E1">
      <w:pPr>
        <w:pStyle w:val="NoSpacing"/>
        <w:ind w:firstLine="720"/>
        <w:rPr>
          <w:szCs w:val="24"/>
        </w:rPr>
      </w:pPr>
      <w:r w:rsidRPr="000E57E1">
        <w:rPr>
          <w:szCs w:val="24"/>
        </w:rPr>
        <w:t>Washington, D.C. 20006</w:t>
      </w:r>
    </w:p>
    <w:p w14:paraId="7B893245" w14:textId="77777777" w:rsidR="000E57E1" w:rsidRPr="000E57E1" w:rsidRDefault="000E57E1" w:rsidP="000E57E1">
      <w:pPr>
        <w:pStyle w:val="NoSpacing"/>
        <w:ind w:firstLine="720"/>
        <w:rPr>
          <w:szCs w:val="24"/>
        </w:rPr>
      </w:pPr>
    </w:p>
    <w:p w14:paraId="595A6A7D" w14:textId="77777777" w:rsidR="000E57E1" w:rsidRPr="000E57E1" w:rsidRDefault="000E57E1" w:rsidP="000E57E1">
      <w:pPr>
        <w:pStyle w:val="NoSpacing"/>
        <w:ind w:firstLine="720"/>
        <w:rPr>
          <w:szCs w:val="24"/>
        </w:rPr>
      </w:pPr>
      <w:r w:rsidRPr="000E57E1">
        <w:rPr>
          <w:szCs w:val="24"/>
        </w:rPr>
        <w:t>Derek Swick, Senior Policy Advisor</w:t>
      </w:r>
    </w:p>
    <w:p w14:paraId="7CB42D20" w14:textId="77777777" w:rsidR="000E57E1" w:rsidRPr="000E57E1" w:rsidRDefault="000E57E1" w:rsidP="000E57E1">
      <w:pPr>
        <w:pStyle w:val="NoSpacing"/>
        <w:ind w:firstLine="720"/>
        <w:rPr>
          <w:szCs w:val="24"/>
        </w:rPr>
      </w:pPr>
      <w:r w:rsidRPr="000E57E1">
        <w:rPr>
          <w:szCs w:val="24"/>
        </w:rPr>
        <w:t>Regulatory and Scientific Affairs</w:t>
      </w:r>
    </w:p>
    <w:p w14:paraId="27341E29" w14:textId="77777777" w:rsidR="000E57E1" w:rsidRPr="000E57E1" w:rsidRDefault="000E57E1" w:rsidP="000E57E1">
      <w:pPr>
        <w:pStyle w:val="NoSpacing"/>
        <w:ind w:firstLine="720"/>
        <w:rPr>
          <w:szCs w:val="24"/>
        </w:rPr>
      </w:pPr>
      <w:r w:rsidRPr="000E57E1">
        <w:rPr>
          <w:szCs w:val="24"/>
        </w:rPr>
        <w:t>American Petroleum Institute</w:t>
      </w:r>
    </w:p>
    <w:p w14:paraId="1575D65A" w14:textId="77777777" w:rsidR="000E57E1" w:rsidRPr="000E57E1" w:rsidRDefault="000E57E1" w:rsidP="000E57E1">
      <w:pPr>
        <w:pStyle w:val="NoSpacing"/>
        <w:ind w:firstLine="720"/>
        <w:rPr>
          <w:szCs w:val="24"/>
        </w:rPr>
      </w:pPr>
      <w:r w:rsidRPr="000E57E1">
        <w:rPr>
          <w:szCs w:val="24"/>
        </w:rPr>
        <w:t>1220 L Street N.W.</w:t>
      </w:r>
    </w:p>
    <w:p w14:paraId="64ACEACC" w14:textId="77777777" w:rsidR="000E57E1" w:rsidRPr="000E57E1" w:rsidRDefault="000E57E1" w:rsidP="000E57E1">
      <w:pPr>
        <w:pStyle w:val="NoSpacing"/>
        <w:ind w:firstLine="720"/>
        <w:rPr>
          <w:szCs w:val="24"/>
        </w:rPr>
      </w:pPr>
      <w:r w:rsidRPr="000E57E1">
        <w:rPr>
          <w:szCs w:val="24"/>
        </w:rPr>
        <w:t>Washington, D.C. 20005-4070</w:t>
      </w:r>
    </w:p>
    <w:p w14:paraId="317A2956" w14:textId="77777777" w:rsidR="000E57E1" w:rsidRPr="000E57E1" w:rsidRDefault="000E57E1" w:rsidP="000E57E1">
      <w:pPr>
        <w:pStyle w:val="NoSpacing"/>
        <w:ind w:firstLine="720"/>
        <w:rPr>
          <w:szCs w:val="24"/>
        </w:rPr>
      </w:pPr>
    </w:p>
    <w:p w14:paraId="36909904" w14:textId="77777777" w:rsidR="000E57E1" w:rsidRPr="000E57E1" w:rsidRDefault="000E57E1" w:rsidP="000E57E1">
      <w:pPr>
        <w:pStyle w:val="NoSpacing"/>
        <w:ind w:firstLine="720"/>
        <w:rPr>
          <w:szCs w:val="24"/>
        </w:rPr>
      </w:pPr>
      <w:r w:rsidRPr="000E57E1">
        <w:rPr>
          <w:szCs w:val="24"/>
        </w:rPr>
        <w:t>Melissa Scanlan</w:t>
      </w:r>
    </w:p>
    <w:p w14:paraId="644B00F3" w14:textId="77777777" w:rsidR="000E57E1" w:rsidRPr="000E57E1" w:rsidRDefault="000E57E1" w:rsidP="000E57E1">
      <w:pPr>
        <w:pStyle w:val="NoSpacing"/>
        <w:ind w:firstLine="720"/>
        <w:rPr>
          <w:szCs w:val="24"/>
        </w:rPr>
      </w:pPr>
      <w:r w:rsidRPr="000E57E1">
        <w:rPr>
          <w:szCs w:val="24"/>
        </w:rPr>
        <w:t>Co-Founder and Director, New Economy Law Center</w:t>
      </w:r>
    </w:p>
    <w:p w14:paraId="2C704398" w14:textId="77777777" w:rsidR="000E57E1" w:rsidRPr="000E57E1" w:rsidRDefault="000E57E1" w:rsidP="000E57E1">
      <w:pPr>
        <w:pStyle w:val="NoSpacing"/>
        <w:ind w:firstLine="720"/>
        <w:rPr>
          <w:szCs w:val="24"/>
        </w:rPr>
      </w:pPr>
      <w:r w:rsidRPr="000E57E1">
        <w:rPr>
          <w:szCs w:val="24"/>
        </w:rPr>
        <w:t>Professor of Law</w:t>
      </w:r>
    </w:p>
    <w:p w14:paraId="69DDE579" w14:textId="77777777" w:rsidR="000E57E1" w:rsidRPr="000E57E1" w:rsidRDefault="000E57E1" w:rsidP="000E57E1">
      <w:pPr>
        <w:pStyle w:val="NoSpacing"/>
        <w:ind w:firstLine="720"/>
        <w:rPr>
          <w:szCs w:val="24"/>
        </w:rPr>
      </w:pPr>
      <w:r w:rsidRPr="000E57E1">
        <w:rPr>
          <w:szCs w:val="24"/>
        </w:rPr>
        <w:t>Environmental Law Center, Vermont Law School</w:t>
      </w:r>
    </w:p>
    <w:p w14:paraId="00B94933" w14:textId="77777777" w:rsidR="000E57E1" w:rsidRPr="000E57E1" w:rsidRDefault="000E57E1" w:rsidP="000E57E1">
      <w:pPr>
        <w:pStyle w:val="NoSpacing"/>
        <w:ind w:firstLine="720"/>
        <w:rPr>
          <w:szCs w:val="24"/>
        </w:rPr>
      </w:pPr>
      <w:r w:rsidRPr="000E57E1">
        <w:rPr>
          <w:szCs w:val="24"/>
        </w:rPr>
        <w:t>164 Chelsea St, PO Box 96</w:t>
      </w:r>
    </w:p>
    <w:p w14:paraId="5F39CEC4" w14:textId="77777777" w:rsidR="000E57E1" w:rsidRPr="000E57E1" w:rsidRDefault="000E57E1" w:rsidP="000E57E1">
      <w:pPr>
        <w:pStyle w:val="NoSpacing"/>
        <w:ind w:firstLine="720"/>
        <w:rPr>
          <w:szCs w:val="24"/>
        </w:rPr>
      </w:pPr>
      <w:r w:rsidRPr="000E57E1">
        <w:rPr>
          <w:szCs w:val="24"/>
        </w:rPr>
        <w:t>South Royalton, VT 05068</w:t>
      </w:r>
    </w:p>
    <w:p w14:paraId="29DE9A4F" w14:textId="77777777" w:rsidR="000E57E1" w:rsidRPr="000E57E1" w:rsidRDefault="000E57E1" w:rsidP="000E57E1">
      <w:pPr>
        <w:pStyle w:val="NoSpacing"/>
        <w:ind w:firstLine="720"/>
        <w:rPr>
          <w:szCs w:val="24"/>
        </w:rPr>
      </w:pPr>
    </w:p>
    <w:p w14:paraId="5BD294AD" w14:textId="77777777" w:rsidR="000E57E1" w:rsidRPr="000E57E1" w:rsidRDefault="000E57E1" w:rsidP="000E57E1">
      <w:pPr>
        <w:pStyle w:val="NoSpacing"/>
        <w:ind w:firstLine="720"/>
        <w:rPr>
          <w:szCs w:val="24"/>
        </w:rPr>
      </w:pPr>
      <w:r w:rsidRPr="000E57E1">
        <w:rPr>
          <w:szCs w:val="24"/>
        </w:rPr>
        <w:t>Stacy Cooks</w:t>
      </w:r>
    </w:p>
    <w:p w14:paraId="389E91BB" w14:textId="77777777" w:rsidR="000E57E1" w:rsidRPr="000E57E1" w:rsidRDefault="000E57E1" w:rsidP="000E57E1">
      <w:pPr>
        <w:pStyle w:val="NoSpacing"/>
        <w:ind w:firstLine="720"/>
        <w:rPr>
          <w:szCs w:val="24"/>
        </w:rPr>
      </w:pPr>
      <w:r w:rsidRPr="000E57E1">
        <w:rPr>
          <w:szCs w:val="24"/>
        </w:rPr>
        <w:t>Data Specialist</w:t>
      </w:r>
    </w:p>
    <w:p w14:paraId="36498774" w14:textId="77777777" w:rsidR="000E57E1" w:rsidRPr="000E57E1" w:rsidRDefault="000E57E1" w:rsidP="000E57E1">
      <w:pPr>
        <w:pStyle w:val="NoSpacing"/>
        <w:ind w:firstLine="720"/>
        <w:rPr>
          <w:szCs w:val="24"/>
        </w:rPr>
      </w:pPr>
      <w:r w:rsidRPr="000E57E1">
        <w:rPr>
          <w:szCs w:val="24"/>
        </w:rPr>
        <w:t>Asthma &amp; Allergy Foundation of America</w:t>
      </w:r>
    </w:p>
    <w:p w14:paraId="3DDE42C9" w14:textId="77777777" w:rsidR="000E57E1" w:rsidRPr="000E57E1" w:rsidRDefault="000E57E1" w:rsidP="000E57E1">
      <w:pPr>
        <w:pStyle w:val="NoSpacing"/>
        <w:ind w:firstLine="720"/>
        <w:rPr>
          <w:szCs w:val="24"/>
        </w:rPr>
      </w:pPr>
      <w:r w:rsidRPr="000E57E1">
        <w:rPr>
          <w:szCs w:val="24"/>
        </w:rPr>
        <w:t>8201 Corporate Dr.</w:t>
      </w:r>
    </w:p>
    <w:p w14:paraId="12B4E41A" w14:textId="77777777" w:rsidR="000E57E1" w:rsidRPr="000E57E1" w:rsidRDefault="000E57E1" w:rsidP="000E57E1">
      <w:pPr>
        <w:pStyle w:val="NoSpacing"/>
        <w:ind w:firstLine="720"/>
        <w:rPr>
          <w:szCs w:val="24"/>
        </w:rPr>
      </w:pPr>
      <w:r w:rsidRPr="000E57E1">
        <w:rPr>
          <w:szCs w:val="24"/>
        </w:rPr>
        <w:t>Landover, MD 20785</w:t>
      </w:r>
    </w:p>
    <w:p w14:paraId="030C21F5" w14:textId="77777777" w:rsidR="000E57E1" w:rsidRPr="000E57E1" w:rsidRDefault="000E57E1" w:rsidP="000E57E1">
      <w:pPr>
        <w:pStyle w:val="NoSpacing"/>
        <w:ind w:firstLine="720"/>
        <w:rPr>
          <w:szCs w:val="24"/>
        </w:rPr>
      </w:pPr>
    </w:p>
    <w:p w14:paraId="037F5C9E" w14:textId="77777777" w:rsidR="000E57E1" w:rsidRPr="000E57E1" w:rsidRDefault="000E57E1" w:rsidP="000E57E1">
      <w:pPr>
        <w:pStyle w:val="NoSpacing"/>
        <w:ind w:firstLine="720"/>
        <w:rPr>
          <w:bCs/>
          <w:szCs w:val="24"/>
        </w:rPr>
      </w:pPr>
      <w:r w:rsidRPr="000E57E1">
        <w:rPr>
          <w:bCs/>
          <w:szCs w:val="24"/>
        </w:rPr>
        <w:t>Sharyn Stein</w:t>
      </w:r>
    </w:p>
    <w:p w14:paraId="4810DE1C" w14:textId="77777777" w:rsidR="000E57E1" w:rsidRPr="000E57E1" w:rsidRDefault="000E57E1" w:rsidP="000E57E1">
      <w:pPr>
        <w:pStyle w:val="NoSpacing"/>
        <w:ind w:firstLine="720"/>
        <w:rPr>
          <w:bCs/>
          <w:szCs w:val="24"/>
        </w:rPr>
      </w:pPr>
      <w:r w:rsidRPr="000E57E1">
        <w:rPr>
          <w:bCs/>
          <w:szCs w:val="24"/>
        </w:rPr>
        <w:t>Environmental Defense Fund</w:t>
      </w:r>
    </w:p>
    <w:p w14:paraId="4A25B84C" w14:textId="77777777" w:rsidR="000E57E1" w:rsidRPr="000E57E1" w:rsidRDefault="000E57E1" w:rsidP="000E57E1">
      <w:pPr>
        <w:pStyle w:val="NoSpacing"/>
        <w:ind w:firstLine="720"/>
        <w:rPr>
          <w:bCs/>
          <w:szCs w:val="24"/>
        </w:rPr>
      </w:pPr>
      <w:r w:rsidRPr="000E57E1">
        <w:rPr>
          <w:bCs/>
          <w:szCs w:val="24"/>
        </w:rPr>
        <w:t>Media contact</w:t>
      </w:r>
    </w:p>
    <w:p w14:paraId="241C07E3" w14:textId="77777777" w:rsidR="000E57E1" w:rsidRPr="000E57E1" w:rsidRDefault="000E57E1" w:rsidP="000E57E1">
      <w:pPr>
        <w:pStyle w:val="NoSpacing"/>
        <w:ind w:firstLine="720"/>
        <w:rPr>
          <w:bCs/>
          <w:szCs w:val="24"/>
        </w:rPr>
      </w:pPr>
      <w:r w:rsidRPr="000E57E1">
        <w:rPr>
          <w:bCs/>
          <w:szCs w:val="24"/>
        </w:rPr>
        <w:t>1875 Connecticut Ave, NW</w:t>
      </w:r>
    </w:p>
    <w:p w14:paraId="626765DB" w14:textId="77777777" w:rsidR="000E57E1" w:rsidRPr="000E57E1" w:rsidRDefault="000E57E1" w:rsidP="000E57E1">
      <w:pPr>
        <w:pStyle w:val="NoSpacing"/>
        <w:ind w:firstLine="720"/>
        <w:rPr>
          <w:bCs/>
          <w:szCs w:val="24"/>
        </w:rPr>
      </w:pPr>
      <w:r w:rsidRPr="000E57E1">
        <w:rPr>
          <w:bCs/>
          <w:szCs w:val="24"/>
        </w:rPr>
        <w:t>Washington, DC 20009</w:t>
      </w:r>
    </w:p>
    <w:p w14:paraId="680AD0CB" w14:textId="77777777" w:rsidR="000E57E1" w:rsidRPr="000E57E1" w:rsidRDefault="000E57E1" w:rsidP="000E57E1">
      <w:pPr>
        <w:pStyle w:val="NoSpacing"/>
        <w:ind w:firstLine="720"/>
        <w:rPr>
          <w:szCs w:val="24"/>
        </w:rPr>
      </w:pPr>
    </w:p>
    <w:p w14:paraId="01F8F668" w14:textId="77777777" w:rsidR="000E57E1" w:rsidRPr="000E57E1" w:rsidRDefault="000E57E1" w:rsidP="000E57E1">
      <w:pPr>
        <w:pStyle w:val="NoSpacing"/>
        <w:ind w:firstLine="720"/>
        <w:rPr>
          <w:szCs w:val="24"/>
        </w:rPr>
      </w:pPr>
      <w:r w:rsidRPr="000E57E1">
        <w:rPr>
          <w:szCs w:val="24"/>
        </w:rPr>
        <w:t>Ken Cook</w:t>
      </w:r>
    </w:p>
    <w:p w14:paraId="4711B485" w14:textId="77777777" w:rsidR="000E57E1" w:rsidRPr="000E57E1" w:rsidRDefault="000E57E1" w:rsidP="000E57E1">
      <w:pPr>
        <w:pStyle w:val="NoSpacing"/>
        <w:ind w:firstLine="720"/>
        <w:rPr>
          <w:szCs w:val="24"/>
        </w:rPr>
      </w:pPr>
      <w:r w:rsidRPr="000E57E1">
        <w:rPr>
          <w:szCs w:val="24"/>
        </w:rPr>
        <w:t>President and Co-Founder</w:t>
      </w:r>
    </w:p>
    <w:p w14:paraId="0D4729C3" w14:textId="77777777" w:rsidR="000E57E1" w:rsidRPr="000E57E1" w:rsidRDefault="000E57E1" w:rsidP="000E57E1">
      <w:pPr>
        <w:pStyle w:val="NoSpacing"/>
        <w:ind w:firstLine="720"/>
        <w:rPr>
          <w:szCs w:val="24"/>
        </w:rPr>
      </w:pPr>
      <w:r w:rsidRPr="000E57E1">
        <w:rPr>
          <w:szCs w:val="24"/>
        </w:rPr>
        <w:t>Environmental Working Group</w:t>
      </w:r>
    </w:p>
    <w:p w14:paraId="7E19E757" w14:textId="77777777" w:rsidR="000E57E1" w:rsidRPr="000E57E1" w:rsidRDefault="000E57E1" w:rsidP="000E57E1">
      <w:pPr>
        <w:pStyle w:val="NoSpacing"/>
        <w:ind w:firstLine="720"/>
        <w:rPr>
          <w:szCs w:val="24"/>
        </w:rPr>
      </w:pPr>
      <w:r w:rsidRPr="000E57E1">
        <w:rPr>
          <w:szCs w:val="24"/>
        </w:rPr>
        <w:t xml:space="preserve">500 Washington, St. </w:t>
      </w:r>
    </w:p>
    <w:p w14:paraId="42CCFC13" w14:textId="77777777" w:rsidR="000E57E1" w:rsidRPr="000E57E1" w:rsidRDefault="000E57E1" w:rsidP="000E57E1">
      <w:pPr>
        <w:pStyle w:val="NoSpacing"/>
        <w:ind w:firstLine="720"/>
        <w:rPr>
          <w:szCs w:val="24"/>
        </w:rPr>
      </w:pPr>
      <w:r w:rsidRPr="000E57E1">
        <w:rPr>
          <w:szCs w:val="24"/>
        </w:rPr>
        <w:t>San Francisco, CA 94111</w:t>
      </w:r>
    </w:p>
    <w:p w14:paraId="0EB91E5E" w14:textId="77777777" w:rsidR="000E57E1" w:rsidRPr="000E57E1" w:rsidRDefault="000E57E1" w:rsidP="000E57E1">
      <w:pPr>
        <w:pStyle w:val="NoSpacing"/>
        <w:ind w:firstLine="720"/>
        <w:rPr>
          <w:szCs w:val="24"/>
        </w:rPr>
      </w:pPr>
    </w:p>
    <w:p w14:paraId="7DF71F4F" w14:textId="77777777" w:rsidR="000E57E1" w:rsidRPr="000E57E1" w:rsidRDefault="000E57E1" w:rsidP="000E57E1">
      <w:pPr>
        <w:pStyle w:val="NoSpacing"/>
        <w:ind w:firstLine="720"/>
        <w:rPr>
          <w:szCs w:val="24"/>
        </w:rPr>
      </w:pPr>
      <w:r w:rsidRPr="000E57E1">
        <w:rPr>
          <w:szCs w:val="24"/>
        </w:rPr>
        <w:t>David Goldston</w:t>
      </w:r>
    </w:p>
    <w:p w14:paraId="0C790F7D" w14:textId="77777777" w:rsidR="000E57E1" w:rsidRPr="000E57E1" w:rsidRDefault="000E57E1" w:rsidP="000E57E1">
      <w:pPr>
        <w:pStyle w:val="NoSpacing"/>
        <w:ind w:firstLine="720"/>
        <w:rPr>
          <w:szCs w:val="24"/>
        </w:rPr>
      </w:pPr>
      <w:r w:rsidRPr="000E57E1">
        <w:rPr>
          <w:szCs w:val="24"/>
        </w:rPr>
        <w:t xml:space="preserve">Director, Government Affairs </w:t>
      </w:r>
    </w:p>
    <w:p w14:paraId="1B53F692" w14:textId="77777777" w:rsidR="000E57E1" w:rsidRPr="000E57E1" w:rsidRDefault="000E57E1" w:rsidP="000E57E1">
      <w:pPr>
        <w:pStyle w:val="NoSpacing"/>
        <w:ind w:firstLine="720"/>
        <w:rPr>
          <w:bCs/>
          <w:szCs w:val="24"/>
        </w:rPr>
      </w:pPr>
      <w:r w:rsidRPr="000E57E1">
        <w:rPr>
          <w:bCs/>
          <w:szCs w:val="24"/>
        </w:rPr>
        <w:t>Natural Resources Defense Council</w:t>
      </w:r>
    </w:p>
    <w:p w14:paraId="7F26EF70" w14:textId="77777777" w:rsidR="000E57E1" w:rsidRPr="000E57E1" w:rsidRDefault="000E57E1" w:rsidP="000E57E1">
      <w:pPr>
        <w:pStyle w:val="NoSpacing"/>
        <w:ind w:firstLine="720"/>
        <w:rPr>
          <w:bCs/>
          <w:szCs w:val="24"/>
        </w:rPr>
      </w:pPr>
      <w:r w:rsidRPr="000E57E1">
        <w:rPr>
          <w:bCs/>
          <w:szCs w:val="24"/>
        </w:rPr>
        <w:t>1152 15</w:t>
      </w:r>
      <w:r w:rsidRPr="000E57E1">
        <w:rPr>
          <w:bCs/>
          <w:szCs w:val="24"/>
          <w:vertAlign w:val="superscript"/>
        </w:rPr>
        <w:t>th</w:t>
      </w:r>
      <w:r w:rsidRPr="000E57E1">
        <w:rPr>
          <w:bCs/>
          <w:szCs w:val="24"/>
        </w:rPr>
        <w:t xml:space="preserve"> Street, NW</w:t>
      </w:r>
    </w:p>
    <w:p w14:paraId="13BCA8EE" w14:textId="77777777" w:rsidR="000E57E1" w:rsidRPr="000E57E1" w:rsidRDefault="000E57E1" w:rsidP="000E57E1">
      <w:pPr>
        <w:pStyle w:val="NoSpacing"/>
        <w:ind w:firstLine="720"/>
        <w:rPr>
          <w:bCs/>
          <w:szCs w:val="24"/>
        </w:rPr>
      </w:pPr>
      <w:r w:rsidRPr="000E57E1">
        <w:rPr>
          <w:bCs/>
          <w:szCs w:val="24"/>
        </w:rPr>
        <w:t>Washington, DC 20005</w:t>
      </w:r>
    </w:p>
    <w:p w14:paraId="2384C698" w14:textId="37C36938" w:rsidR="000E57E1" w:rsidRDefault="000E57E1" w:rsidP="000E57E1">
      <w:pPr>
        <w:pStyle w:val="NoSpacing"/>
        <w:ind w:firstLine="720"/>
        <w:rPr>
          <w:szCs w:val="24"/>
        </w:rPr>
      </w:pPr>
    </w:p>
    <w:p w14:paraId="598DEA79" w14:textId="7F10C603" w:rsidR="000E57E1" w:rsidRDefault="000E57E1" w:rsidP="000E57E1">
      <w:pPr>
        <w:pStyle w:val="NoSpacing"/>
        <w:ind w:firstLine="720"/>
        <w:rPr>
          <w:szCs w:val="24"/>
        </w:rPr>
      </w:pPr>
      <w:r w:rsidRPr="0077177A">
        <w:rPr>
          <w:szCs w:val="24"/>
        </w:rPr>
        <w:t>EPA received no responses to its s</w:t>
      </w:r>
      <w:r>
        <w:rPr>
          <w:szCs w:val="24"/>
        </w:rPr>
        <w:t xml:space="preserve">olicitation for consultations. </w:t>
      </w:r>
      <w:r w:rsidRPr="0077177A">
        <w:rPr>
          <w:szCs w:val="24"/>
        </w:rPr>
        <w:t>A copy of EPA’s consultation e-mail to the above potential responden</w:t>
      </w:r>
      <w:r>
        <w:rPr>
          <w:szCs w:val="24"/>
        </w:rPr>
        <w:t>ts is included in Attachment 4</w:t>
      </w:r>
      <w:r w:rsidRPr="0077177A">
        <w:rPr>
          <w:szCs w:val="24"/>
        </w:rPr>
        <w:t>.</w:t>
      </w:r>
    </w:p>
    <w:p w14:paraId="573934E9" w14:textId="77777777" w:rsidR="000E57E1" w:rsidRPr="000E57E1" w:rsidRDefault="000E57E1" w:rsidP="000E57E1">
      <w:pPr>
        <w:pStyle w:val="NoSpacing"/>
        <w:ind w:firstLine="720"/>
        <w:rPr>
          <w:szCs w:val="24"/>
        </w:rPr>
      </w:pPr>
    </w:p>
    <w:p w14:paraId="140E5D7F" w14:textId="77777777" w:rsidR="002A4300" w:rsidRDefault="002A4300" w:rsidP="004B15BB">
      <w:pPr>
        <w:keepNext/>
        <w:widowControl w:val="0"/>
        <w:rPr>
          <w:color w:val="000000"/>
        </w:rPr>
      </w:pPr>
      <w:r>
        <w:rPr>
          <w:color w:val="000000"/>
        </w:rPr>
        <w:tab/>
      </w:r>
      <w:r>
        <w:rPr>
          <w:b/>
          <w:color w:val="000000"/>
        </w:rPr>
        <w:t>3(d)</w:t>
      </w:r>
      <w:r>
        <w:rPr>
          <w:b/>
          <w:color w:val="000000"/>
        </w:rPr>
        <w:tab/>
        <w:t>Effects of Less Frequent Collection</w:t>
      </w:r>
    </w:p>
    <w:p w14:paraId="06258A50" w14:textId="77777777" w:rsidR="002A4300" w:rsidRDefault="002A4300">
      <w:pPr>
        <w:widowControl w:val="0"/>
        <w:rPr>
          <w:color w:val="000000"/>
        </w:rPr>
      </w:pPr>
    </w:p>
    <w:p w14:paraId="6937C2E0" w14:textId="2FA2EF07" w:rsidR="002A4300" w:rsidRDefault="002A4300">
      <w:pPr>
        <w:widowControl w:val="0"/>
        <w:rPr>
          <w:color w:val="000000"/>
        </w:rPr>
      </w:pPr>
      <w:r>
        <w:rPr>
          <w:color w:val="000000"/>
        </w:rPr>
        <w:tab/>
        <w:t>In most instances, respondents will be required to make only initial submissions under the TSCA section 8(d) rule</w:t>
      </w:r>
      <w:r w:rsidR="00205FAB">
        <w:rPr>
          <w:color w:val="000000"/>
        </w:rPr>
        <w:t xml:space="preserve">. </w:t>
      </w:r>
      <w:r>
        <w:rPr>
          <w:color w:val="000000"/>
        </w:rPr>
        <w:t>However, after the initial submission of lists and studies, respondents are required to notify EPA when certain health and safety studies are initiated by submitting a list of newly initiated studies</w:t>
      </w:r>
      <w:r w:rsidR="00205FAB">
        <w:rPr>
          <w:color w:val="000000"/>
        </w:rPr>
        <w:t xml:space="preserve">. </w:t>
      </w:r>
      <w:r>
        <w:rPr>
          <w:color w:val="000000"/>
        </w:rPr>
        <w:t xml:space="preserve">Because the reporting frequency for the TSCA section 8(d) rule is generally </w:t>
      </w:r>
      <w:r w:rsidR="00EC4DD3">
        <w:rPr>
          <w:color w:val="000000"/>
        </w:rPr>
        <w:t xml:space="preserve">only </w:t>
      </w:r>
      <w:r>
        <w:rPr>
          <w:color w:val="000000"/>
        </w:rPr>
        <w:t>once, the reporting frequency cannot be reduced</w:t>
      </w:r>
      <w:r w:rsidR="00205FAB">
        <w:rPr>
          <w:color w:val="000000"/>
        </w:rPr>
        <w:t xml:space="preserve">. </w:t>
      </w:r>
      <w:r>
        <w:rPr>
          <w:color w:val="000000"/>
        </w:rPr>
        <w:t>If th</w:t>
      </w:r>
      <w:r w:rsidR="00EC4DD3">
        <w:rPr>
          <w:color w:val="000000"/>
        </w:rPr>
        <w:t>e information requirement were less frequent</w:t>
      </w:r>
      <w:r>
        <w:rPr>
          <w:color w:val="000000"/>
        </w:rPr>
        <w:t xml:space="preserve">, EPA would not be able to obtain the necessary information for evaluating the need for </w:t>
      </w:r>
      <w:r w:rsidR="00EC4DD3">
        <w:rPr>
          <w:color w:val="000000"/>
        </w:rPr>
        <w:t xml:space="preserve">additional information </w:t>
      </w:r>
      <w:r>
        <w:rPr>
          <w:color w:val="000000"/>
        </w:rPr>
        <w:t xml:space="preserve">under section 4 of TSCA or </w:t>
      </w:r>
      <w:r w:rsidR="00EC4DD3">
        <w:rPr>
          <w:color w:val="000000"/>
        </w:rPr>
        <w:t xml:space="preserve">evaluating and </w:t>
      </w:r>
      <w:r>
        <w:rPr>
          <w:color w:val="000000"/>
        </w:rPr>
        <w:t>controlling chemical substances under sections 5 and 6 of TSCA.</w:t>
      </w:r>
    </w:p>
    <w:p w14:paraId="18B8A8E7" w14:textId="77777777" w:rsidR="0094649B" w:rsidRDefault="0094649B">
      <w:pPr>
        <w:widowControl w:val="0"/>
        <w:rPr>
          <w:color w:val="000000"/>
        </w:rPr>
      </w:pPr>
    </w:p>
    <w:p w14:paraId="68924A13" w14:textId="77777777" w:rsidR="002A4300" w:rsidRDefault="002A4300">
      <w:pPr>
        <w:widowControl w:val="0"/>
        <w:rPr>
          <w:color w:val="000000"/>
        </w:rPr>
      </w:pPr>
      <w:r>
        <w:rPr>
          <w:color w:val="000000"/>
        </w:rPr>
        <w:tab/>
      </w:r>
      <w:r>
        <w:rPr>
          <w:b/>
          <w:color w:val="000000"/>
        </w:rPr>
        <w:t>3(e)</w:t>
      </w:r>
      <w:r>
        <w:rPr>
          <w:b/>
          <w:color w:val="000000"/>
        </w:rPr>
        <w:tab/>
        <w:t>General Guidelines</w:t>
      </w:r>
    </w:p>
    <w:p w14:paraId="4F30ADEB" w14:textId="77777777" w:rsidR="002A4300" w:rsidRDefault="002A4300">
      <w:pPr>
        <w:widowControl w:val="0"/>
        <w:rPr>
          <w:color w:val="000000"/>
        </w:rPr>
      </w:pPr>
    </w:p>
    <w:p w14:paraId="198CE33F" w14:textId="77777777" w:rsidR="002A4300" w:rsidRDefault="002A4300">
      <w:pPr>
        <w:widowControl w:val="0"/>
        <w:rPr>
          <w:color w:val="000000"/>
        </w:rPr>
      </w:pPr>
      <w:r>
        <w:rPr>
          <w:color w:val="000000"/>
        </w:rPr>
        <w:tab/>
        <w:t>This information collection activity is necessary to implement the statutory requirements of section 8(d) of TSCA and is consistent with the requirements of the PRA, OMB implementing regulations (5 CFR 1320.6), and OMB Guidance.</w:t>
      </w:r>
    </w:p>
    <w:p w14:paraId="4CF69751" w14:textId="77777777" w:rsidR="002A4300" w:rsidRDefault="002A4300">
      <w:pPr>
        <w:widowControl w:val="0"/>
        <w:rPr>
          <w:color w:val="000000"/>
        </w:rPr>
      </w:pPr>
    </w:p>
    <w:p w14:paraId="2B17D771" w14:textId="720E260B" w:rsidR="002A4300" w:rsidRDefault="002A4300">
      <w:pPr>
        <w:widowControl w:val="0"/>
        <w:rPr>
          <w:color w:val="000000"/>
        </w:rPr>
      </w:pPr>
      <w:r>
        <w:rPr>
          <w:color w:val="000000"/>
        </w:rPr>
        <w:tab/>
      </w:r>
      <w:r>
        <w:rPr>
          <w:b/>
          <w:color w:val="000000"/>
        </w:rPr>
        <w:t>3(f)</w:t>
      </w:r>
      <w:r>
        <w:rPr>
          <w:b/>
          <w:color w:val="000000"/>
        </w:rPr>
        <w:tab/>
        <w:t>Confidentiality</w:t>
      </w:r>
    </w:p>
    <w:p w14:paraId="4CB0DBCC" w14:textId="77777777" w:rsidR="002A4300" w:rsidRDefault="002A4300">
      <w:pPr>
        <w:widowControl w:val="0"/>
        <w:rPr>
          <w:color w:val="000000"/>
        </w:rPr>
      </w:pPr>
    </w:p>
    <w:p w14:paraId="37ED0178" w14:textId="59B07AD7" w:rsidR="002A4300" w:rsidRDefault="002A4300">
      <w:pPr>
        <w:widowControl w:val="0"/>
        <w:rPr>
          <w:color w:val="000000"/>
        </w:rPr>
      </w:pPr>
      <w:r>
        <w:rPr>
          <w:color w:val="000000"/>
        </w:rPr>
        <w:tab/>
      </w:r>
      <w:r w:rsidR="009556FA">
        <w:rPr>
          <w:szCs w:val="24"/>
        </w:rPr>
        <w:t>Submitters may designate information as confidential, trade secret, or proprietary. EPA has implemented procedures to protect any confidential, trade secret or proprietary information from disclosure. These procedures comply with TSCA section 14 and EPA’s confidentiality regul</w:t>
      </w:r>
      <w:r w:rsidR="000C2322">
        <w:rPr>
          <w:szCs w:val="24"/>
        </w:rPr>
        <w:t>ation, 40 CFR Part 2, Subpart B</w:t>
      </w:r>
      <w:r>
        <w:rPr>
          <w:color w:val="000000"/>
        </w:rPr>
        <w:t>.</w:t>
      </w:r>
    </w:p>
    <w:p w14:paraId="1A5E22B3" w14:textId="77777777" w:rsidR="002A4300" w:rsidRDefault="002A4300">
      <w:pPr>
        <w:widowControl w:val="0"/>
        <w:rPr>
          <w:color w:val="000000"/>
        </w:rPr>
      </w:pPr>
    </w:p>
    <w:p w14:paraId="2865F928" w14:textId="77777777" w:rsidR="002A4300" w:rsidRDefault="002A4300">
      <w:pPr>
        <w:widowControl w:val="0"/>
        <w:rPr>
          <w:color w:val="000000"/>
        </w:rPr>
      </w:pPr>
      <w:r>
        <w:rPr>
          <w:color w:val="000000"/>
        </w:rPr>
        <w:tab/>
      </w:r>
      <w:r>
        <w:rPr>
          <w:b/>
          <w:color w:val="000000"/>
        </w:rPr>
        <w:t>3(g)</w:t>
      </w:r>
      <w:r>
        <w:rPr>
          <w:b/>
          <w:color w:val="000000"/>
        </w:rPr>
        <w:tab/>
        <w:t>Sensitive Questions</w:t>
      </w:r>
    </w:p>
    <w:p w14:paraId="6B143BFC" w14:textId="77777777" w:rsidR="002A4300" w:rsidRDefault="002A4300">
      <w:pPr>
        <w:widowControl w:val="0"/>
        <w:rPr>
          <w:color w:val="000000"/>
        </w:rPr>
      </w:pPr>
    </w:p>
    <w:p w14:paraId="024E2531" w14:textId="385198B9" w:rsidR="002A4300" w:rsidRDefault="002A4300">
      <w:pPr>
        <w:widowControl w:val="0"/>
        <w:rPr>
          <w:color w:val="000000"/>
        </w:rPr>
      </w:pPr>
      <w:r>
        <w:rPr>
          <w:color w:val="000000"/>
        </w:rPr>
        <w:tab/>
        <w:t>This section is not applicable</w:t>
      </w:r>
      <w:r w:rsidR="00205FAB">
        <w:rPr>
          <w:color w:val="000000"/>
        </w:rPr>
        <w:t xml:space="preserve">. </w:t>
      </w:r>
      <w:r>
        <w:rPr>
          <w:color w:val="000000"/>
        </w:rPr>
        <w:t>The information request</w:t>
      </w:r>
      <w:r w:rsidR="00A419F2">
        <w:rPr>
          <w:color w:val="000000"/>
        </w:rPr>
        <w:t>ed is not sensitive in nature.</w:t>
      </w:r>
    </w:p>
    <w:p w14:paraId="2EAAA09F" w14:textId="77777777" w:rsidR="002D5447" w:rsidRDefault="002D5447">
      <w:pPr>
        <w:widowControl w:val="0"/>
        <w:rPr>
          <w:color w:val="000000"/>
        </w:rPr>
      </w:pPr>
    </w:p>
    <w:p w14:paraId="62E0BD44" w14:textId="77777777" w:rsidR="002D5447" w:rsidRDefault="002D5447">
      <w:pPr>
        <w:widowControl w:val="0"/>
        <w:rPr>
          <w:color w:val="000000"/>
        </w:rPr>
      </w:pPr>
    </w:p>
    <w:p w14:paraId="062F0729" w14:textId="7010809F" w:rsidR="002A4300" w:rsidRDefault="002A4300">
      <w:pPr>
        <w:widowControl w:val="0"/>
        <w:ind w:left="720" w:hanging="720"/>
        <w:rPr>
          <w:color w:val="000000"/>
        </w:rPr>
      </w:pPr>
      <w:r>
        <w:rPr>
          <w:b/>
          <w:color w:val="000000"/>
        </w:rPr>
        <w:t>4</w:t>
      </w:r>
      <w:r>
        <w:rPr>
          <w:b/>
          <w:color w:val="000000"/>
        </w:rPr>
        <w:tab/>
        <w:t>THE INFORMATION COLLECTED - AGENCY ACTIVITIES, COLLECTION METHODOLOGY, AND INFORMATION MANAGEMENT</w:t>
      </w:r>
    </w:p>
    <w:p w14:paraId="55326F6C" w14:textId="77777777" w:rsidR="002A4300" w:rsidRDefault="002A4300">
      <w:pPr>
        <w:widowControl w:val="0"/>
        <w:rPr>
          <w:color w:val="000000"/>
        </w:rPr>
      </w:pPr>
    </w:p>
    <w:p w14:paraId="0AE97462" w14:textId="77777777" w:rsidR="002A4300" w:rsidRDefault="002A4300">
      <w:pPr>
        <w:widowControl w:val="0"/>
        <w:rPr>
          <w:color w:val="000000"/>
        </w:rPr>
      </w:pPr>
      <w:r>
        <w:rPr>
          <w:color w:val="000000"/>
        </w:rPr>
        <w:tab/>
      </w:r>
      <w:r>
        <w:rPr>
          <w:b/>
          <w:color w:val="000000"/>
        </w:rPr>
        <w:t>4(a)</w:t>
      </w:r>
      <w:r>
        <w:rPr>
          <w:b/>
          <w:color w:val="000000"/>
        </w:rPr>
        <w:tab/>
        <w:t>Agency Activities</w:t>
      </w:r>
    </w:p>
    <w:p w14:paraId="392280A2" w14:textId="77777777" w:rsidR="002A4300" w:rsidRDefault="002A4300">
      <w:pPr>
        <w:widowControl w:val="0"/>
        <w:rPr>
          <w:color w:val="000000"/>
        </w:rPr>
      </w:pPr>
    </w:p>
    <w:p w14:paraId="7BADA70E" w14:textId="77777777" w:rsidR="002A4300" w:rsidRDefault="002A4300">
      <w:pPr>
        <w:widowControl w:val="0"/>
        <w:rPr>
          <w:color w:val="000000"/>
        </w:rPr>
      </w:pPr>
      <w:r>
        <w:rPr>
          <w:color w:val="000000"/>
        </w:rPr>
        <w:tab/>
        <w:t>The activities routinely conducted by EPA related to the rule development, processing, analysis and storage of the information collected under this rule include the following:</w:t>
      </w:r>
    </w:p>
    <w:p w14:paraId="4FEECCFB" w14:textId="77777777" w:rsidR="002A4300" w:rsidRDefault="002A4300" w:rsidP="00233009">
      <w:pPr>
        <w:widowControl w:val="0"/>
        <w:rPr>
          <w:color w:val="000000"/>
        </w:rPr>
      </w:pPr>
    </w:p>
    <w:p w14:paraId="173A8DA1" w14:textId="33A37A6D" w:rsidR="002A4300" w:rsidRDefault="002A4300" w:rsidP="00EC1C84">
      <w:pPr>
        <w:pStyle w:val="a"/>
        <w:numPr>
          <w:ilvl w:val="0"/>
          <w:numId w:val="24"/>
        </w:numPr>
        <w:tabs>
          <w:tab w:val="clear" w:pos="1440"/>
          <w:tab w:val="num" w:pos="1080"/>
        </w:tabs>
        <w:ind w:left="1080" w:hanging="360"/>
        <w:rPr>
          <w:color w:val="000000"/>
        </w:rPr>
      </w:pPr>
      <w:r>
        <w:rPr>
          <w:color w:val="000000"/>
        </w:rPr>
        <w:t>Review and select chemicals;</w:t>
      </w:r>
    </w:p>
    <w:p w14:paraId="3C58282A" w14:textId="77777777" w:rsidR="002A4300" w:rsidRDefault="002A4300" w:rsidP="00EC1C84">
      <w:pPr>
        <w:pStyle w:val="a"/>
        <w:numPr>
          <w:ilvl w:val="0"/>
          <w:numId w:val="24"/>
        </w:numPr>
        <w:tabs>
          <w:tab w:val="clear" w:pos="1440"/>
          <w:tab w:val="num" w:pos="1080"/>
        </w:tabs>
        <w:ind w:left="1080" w:hanging="360"/>
        <w:rPr>
          <w:color w:val="000000"/>
        </w:rPr>
      </w:pPr>
      <w:r>
        <w:rPr>
          <w:color w:val="000000"/>
        </w:rPr>
        <w:t>Develop and issue an amendment to the TSCA section 8(d) rule to add the substances or mixtures;</w:t>
      </w:r>
    </w:p>
    <w:p w14:paraId="1D09A276" w14:textId="77777777" w:rsidR="002A4300" w:rsidRDefault="002A4300" w:rsidP="00EC1C84">
      <w:pPr>
        <w:pStyle w:val="a"/>
        <w:numPr>
          <w:ilvl w:val="0"/>
          <w:numId w:val="24"/>
        </w:numPr>
        <w:tabs>
          <w:tab w:val="clear" w:pos="1440"/>
          <w:tab w:val="num" w:pos="1080"/>
        </w:tabs>
        <w:ind w:left="1080" w:hanging="360"/>
        <w:rPr>
          <w:color w:val="000000"/>
        </w:rPr>
      </w:pPr>
      <w:r>
        <w:rPr>
          <w:color w:val="000000"/>
        </w:rPr>
        <w:t>Answer respondents’ questions;</w:t>
      </w:r>
    </w:p>
    <w:p w14:paraId="15AA3C1F" w14:textId="2EF3A723" w:rsidR="002A4300" w:rsidRDefault="002A4300" w:rsidP="00EC1C84">
      <w:pPr>
        <w:pStyle w:val="a"/>
        <w:numPr>
          <w:ilvl w:val="0"/>
          <w:numId w:val="24"/>
        </w:numPr>
        <w:tabs>
          <w:tab w:val="clear" w:pos="1440"/>
          <w:tab w:val="num" w:pos="1080"/>
        </w:tabs>
        <w:ind w:left="1080" w:hanging="360"/>
        <w:rPr>
          <w:color w:val="000000"/>
        </w:rPr>
      </w:pPr>
      <w:r>
        <w:rPr>
          <w:color w:val="000000"/>
        </w:rPr>
        <w:t xml:space="preserve">Process and analyze rule </w:t>
      </w:r>
      <w:r w:rsidR="00220D9B">
        <w:rPr>
          <w:color w:val="000000"/>
        </w:rPr>
        <w:t>submissions</w:t>
      </w:r>
      <w:r w:rsidR="00E90EC4">
        <w:rPr>
          <w:color w:val="000000"/>
        </w:rPr>
        <w:t>;</w:t>
      </w:r>
    </w:p>
    <w:p w14:paraId="3ED12E07" w14:textId="545FB577" w:rsidR="002A4300" w:rsidRDefault="002A4300" w:rsidP="00EC1C84">
      <w:pPr>
        <w:pStyle w:val="a"/>
        <w:numPr>
          <w:ilvl w:val="0"/>
          <w:numId w:val="24"/>
        </w:numPr>
        <w:tabs>
          <w:tab w:val="clear" w:pos="1440"/>
          <w:tab w:val="num" w:pos="1080"/>
        </w:tabs>
        <w:ind w:left="1080" w:hanging="360"/>
        <w:rPr>
          <w:color w:val="000000"/>
        </w:rPr>
      </w:pPr>
      <w:r>
        <w:rPr>
          <w:color w:val="000000"/>
        </w:rPr>
        <w:t>Maintain</w:t>
      </w:r>
      <w:r w:rsidR="003C1A19">
        <w:rPr>
          <w:color w:val="000000"/>
        </w:rPr>
        <w:t xml:space="preserve"> and distribute the data</w:t>
      </w:r>
      <w:r w:rsidR="00E90EC4">
        <w:rPr>
          <w:color w:val="000000"/>
        </w:rPr>
        <w:t xml:space="preserve">; and </w:t>
      </w:r>
    </w:p>
    <w:p w14:paraId="4E020325" w14:textId="7BEA9C91" w:rsidR="00E439EF" w:rsidRDefault="00E439EF" w:rsidP="00EC1C84">
      <w:pPr>
        <w:pStyle w:val="a"/>
        <w:numPr>
          <w:ilvl w:val="0"/>
          <w:numId w:val="24"/>
        </w:numPr>
        <w:tabs>
          <w:tab w:val="clear" w:pos="1440"/>
          <w:tab w:val="num" w:pos="1080"/>
        </w:tabs>
        <w:ind w:left="1080" w:hanging="360"/>
        <w:rPr>
          <w:color w:val="000000"/>
        </w:rPr>
      </w:pPr>
      <w:r>
        <w:rPr>
          <w:color w:val="000000"/>
        </w:rPr>
        <w:t>Analyze submissions for confidentiality and analyze the information provide</w:t>
      </w:r>
      <w:r w:rsidR="00E90EC4">
        <w:rPr>
          <w:color w:val="000000"/>
        </w:rPr>
        <w:t>d</w:t>
      </w:r>
      <w:r>
        <w:rPr>
          <w:color w:val="000000"/>
        </w:rPr>
        <w:t xml:space="preserve"> to substantiate the confidentiality claim.</w:t>
      </w:r>
    </w:p>
    <w:p w14:paraId="010E7FD8" w14:textId="77777777" w:rsidR="00EC1C84" w:rsidRDefault="00EC1C84" w:rsidP="00EC1C84">
      <w:pPr>
        <w:pStyle w:val="a"/>
        <w:ind w:left="1440"/>
        <w:rPr>
          <w:color w:val="000000"/>
        </w:rPr>
      </w:pPr>
    </w:p>
    <w:p w14:paraId="144838B7" w14:textId="027C0E79" w:rsidR="002A4300" w:rsidRDefault="002A4300" w:rsidP="00210031">
      <w:pPr>
        <w:widowControl w:val="0"/>
        <w:rPr>
          <w:color w:val="000000"/>
        </w:rPr>
      </w:pPr>
      <w:r>
        <w:rPr>
          <w:color w:val="000000"/>
        </w:rPr>
        <w:tab/>
      </w:r>
      <w:r>
        <w:rPr>
          <w:b/>
          <w:color w:val="000000"/>
        </w:rPr>
        <w:t>4(b)</w:t>
      </w:r>
      <w:r>
        <w:rPr>
          <w:b/>
          <w:color w:val="000000"/>
        </w:rPr>
        <w:tab/>
        <w:t>Collection Methodology and Management</w:t>
      </w:r>
    </w:p>
    <w:p w14:paraId="31B47483" w14:textId="77777777" w:rsidR="002A4300" w:rsidRDefault="002A4300">
      <w:pPr>
        <w:widowControl w:val="0"/>
        <w:rPr>
          <w:color w:val="000000"/>
        </w:rPr>
      </w:pPr>
    </w:p>
    <w:p w14:paraId="72E6899F" w14:textId="77777777" w:rsidR="002A4300" w:rsidRDefault="002A4300">
      <w:pPr>
        <w:widowControl w:val="0"/>
        <w:rPr>
          <w:color w:val="000000"/>
        </w:rPr>
      </w:pPr>
      <w:r>
        <w:rPr>
          <w:color w:val="000000"/>
        </w:rPr>
        <w:tab/>
        <w:t xml:space="preserve">EPA’s current collection methodology and information management system is based on the current requirements </w:t>
      </w:r>
      <w:r w:rsidR="00C03FCC">
        <w:rPr>
          <w:color w:val="000000"/>
        </w:rPr>
        <w:t xml:space="preserve">in </w:t>
      </w:r>
      <w:r>
        <w:rPr>
          <w:color w:val="000000"/>
        </w:rPr>
        <w:t xml:space="preserve">40 CFR 716.30 and 716.35 for the submission of </w:t>
      </w:r>
      <w:r w:rsidR="00506083">
        <w:rPr>
          <w:color w:val="000000"/>
        </w:rPr>
        <w:t xml:space="preserve">electronic </w:t>
      </w:r>
      <w:r>
        <w:rPr>
          <w:color w:val="000000"/>
        </w:rPr>
        <w:t>copies</w:t>
      </w:r>
      <w:r w:rsidR="00511C6B">
        <w:rPr>
          <w:color w:val="000000"/>
        </w:rPr>
        <w:t xml:space="preserve">, which was implemented by a rule published in the </w:t>
      </w:r>
      <w:r w:rsidR="00511C6B" w:rsidRPr="00E03CA3">
        <w:rPr>
          <w:color w:val="000000"/>
          <w:u w:val="single"/>
        </w:rPr>
        <w:t>Federal Register</w:t>
      </w:r>
      <w:r w:rsidR="00511C6B">
        <w:rPr>
          <w:color w:val="000000"/>
        </w:rPr>
        <w:t xml:space="preserve"> on December 4, 2013</w:t>
      </w:r>
      <w:r w:rsidR="00DE5FA9">
        <w:rPr>
          <w:color w:val="000000"/>
        </w:rPr>
        <w:t xml:space="preserve"> (78 </w:t>
      </w:r>
      <w:r w:rsidR="00DE5FA9" w:rsidRPr="00E03CA3">
        <w:rPr>
          <w:color w:val="000000"/>
          <w:u w:val="single"/>
        </w:rPr>
        <w:t>FR</w:t>
      </w:r>
      <w:r w:rsidR="00DE5FA9">
        <w:rPr>
          <w:color w:val="000000"/>
        </w:rPr>
        <w:t xml:space="preserve"> 72818)</w:t>
      </w:r>
      <w:r w:rsidR="00506083">
        <w:rPr>
          <w:color w:val="000000"/>
        </w:rPr>
        <w:t>.</w:t>
      </w:r>
    </w:p>
    <w:p w14:paraId="113A9645" w14:textId="77777777" w:rsidR="002A4300" w:rsidRDefault="002A4300">
      <w:pPr>
        <w:widowControl w:val="0"/>
        <w:rPr>
          <w:color w:val="000000"/>
        </w:rPr>
      </w:pPr>
    </w:p>
    <w:p w14:paraId="0FA39223" w14:textId="77777777" w:rsidR="002A4300" w:rsidRDefault="002A4300">
      <w:pPr>
        <w:widowControl w:val="0"/>
        <w:rPr>
          <w:color w:val="000000"/>
        </w:rPr>
      </w:pPr>
      <w:r>
        <w:rPr>
          <w:color w:val="000000"/>
        </w:rPr>
        <w:tab/>
        <w:t xml:space="preserve">To aid persons subject to this information collection, OPPT has set up a TSCA Hotline that provides information regarding TSCA section 8(d) reporting as well as other regulatory information. When Hotline </w:t>
      </w:r>
      <w:r w:rsidR="00386BED">
        <w:rPr>
          <w:color w:val="000000"/>
        </w:rPr>
        <w:t>staff are</w:t>
      </w:r>
      <w:r>
        <w:rPr>
          <w:color w:val="000000"/>
        </w:rPr>
        <w:t xml:space="preserve"> unable to answer questions regarding TSCA section 8(d), the questions are referred to OPPT staff for appropriate resolution.</w:t>
      </w:r>
    </w:p>
    <w:p w14:paraId="29537DD8" w14:textId="77777777" w:rsidR="00C809CC" w:rsidRDefault="00C809CC">
      <w:pPr>
        <w:widowControl w:val="0"/>
        <w:rPr>
          <w:color w:val="000000"/>
        </w:rPr>
      </w:pPr>
    </w:p>
    <w:p w14:paraId="12F35305" w14:textId="6AF58020" w:rsidR="002A4300" w:rsidRDefault="006A5098">
      <w:pPr>
        <w:widowControl w:val="0"/>
        <w:rPr>
          <w:color w:val="000000"/>
        </w:rPr>
      </w:pPr>
      <w:r>
        <w:rPr>
          <w:color w:val="000000"/>
        </w:rPr>
        <w:tab/>
      </w:r>
      <w:r w:rsidR="002A4300">
        <w:rPr>
          <w:color w:val="000000"/>
        </w:rPr>
        <w:t>All Non-Confidential Business Information submitted under TSCA section 8(d) is placed in the OPPT public docket, indexed and available for public inspection</w:t>
      </w:r>
      <w:r w:rsidR="00205FAB">
        <w:rPr>
          <w:color w:val="000000"/>
        </w:rPr>
        <w:t xml:space="preserve">. </w:t>
      </w:r>
      <w:r w:rsidR="002A4300">
        <w:rPr>
          <w:color w:val="000000"/>
        </w:rPr>
        <w:t xml:space="preserve">TSCA section 8(d) submissions </w:t>
      </w:r>
      <w:r w:rsidR="00406B56">
        <w:rPr>
          <w:color w:val="000000"/>
        </w:rPr>
        <w:t>are also being made available through</w:t>
      </w:r>
      <w:r w:rsidR="002A4300">
        <w:rPr>
          <w:color w:val="000000"/>
        </w:rPr>
        <w:t xml:space="preserve"> the </w:t>
      </w:r>
      <w:r w:rsidR="0084731F">
        <w:rPr>
          <w:color w:val="000000"/>
        </w:rPr>
        <w:t>ChemView</w:t>
      </w:r>
      <w:r w:rsidR="002A4300">
        <w:rPr>
          <w:color w:val="000000"/>
        </w:rPr>
        <w:t xml:space="preserve"> database</w:t>
      </w:r>
      <w:r w:rsidR="0084731F">
        <w:rPr>
          <w:color w:val="000000"/>
        </w:rPr>
        <w:t xml:space="preserve"> (see </w:t>
      </w:r>
      <w:r w:rsidR="00AE0AED" w:rsidRPr="00AE0AED">
        <w:rPr>
          <w:color w:val="000000"/>
        </w:rPr>
        <w:t>https://chemview.epa.gov/chemview</w:t>
      </w:r>
      <w:r w:rsidR="0084731F">
        <w:rPr>
          <w:color w:val="000000"/>
        </w:rPr>
        <w:t>)</w:t>
      </w:r>
      <w:r w:rsidR="002A4300">
        <w:rPr>
          <w:color w:val="000000"/>
        </w:rPr>
        <w:t>, a publicly available and searchable database.</w:t>
      </w:r>
    </w:p>
    <w:p w14:paraId="1BC49846" w14:textId="77777777" w:rsidR="00F47923" w:rsidRDefault="00F47923">
      <w:pPr>
        <w:widowControl w:val="0"/>
        <w:rPr>
          <w:color w:val="000000"/>
        </w:rPr>
      </w:pPr>
    </w:p>
    <w:p w14:paraId="60126468" w14:textId="77777777" w:rsidR="002A4300" w:rsidRDefault="002A4300">
      <w:pPr>
        <w:widowControl w:val="0"/>
        <w:rPr>
          <w:color w:val="000000"/>
        </w:rPr>
      </w:pPr>
      <w:r>
        <w:rPr>
          <w:color w:val="000000"/>
        </w:rPr>
        <w:tab/>
      </w:r>
      <w:r>
        <w:rPr>
          <w:b/>
          <w:color w:val="000000"/>
        </w:rPr>
        <w:t>4(c)</w:t>
      </w:r>
      <w:r>
        <w:rPr>
          <w:b/>
          <w:color w:val="000000"/>
        </w:rPr>
        <w:tab/>
        <w:t>Small Entity Flexibility</w:t>
      </w:r>
    </w:p>
    <w:p w14:paraId="3CA2E5B7" w14:textId="77777777" w:rsidR="002A4300" w:rsidRDefault="002A4300">
      <w:pPr>
        <w:widowControl w:val="0"/>
        <w:rPr>
          <w:color w:val="000000"/>
        </w:rPr>
      </w:pPr>
    </w:p>
    <w:p w14:paraId="50536197" w14:textId="67414D2D" w:rsidR="002A4300" w:rsidRDefault="002A4300">
      <w:pPr>
        <w:widowControl w:val="0"/>
        <w:rPr>
          <w:color w:val="000000"/>
        </w:rPr>
      </w:pPr>
      <w:r>
        <w:rPr>
          <w:color w:val="000000"/>
        </w:rPr>
        <w:tab/>
        <w:t>The TSCA section 8(d) rule applies to all manufacturers and</w:t>
      </w:r>
      <w:r w:rsidR="001D0737">
        <w:rPr>
          <w:color w:val="000000"/>
        </w:rPr>
        <w:t>, when specified,</w:t>
      </w:r>
      <w:r>
        <w:rPr>
          <w:color w:val="000000"/>
        </w:rPr>
        <w:t xml:space="preserve"> processors of chemicals and others in possession of studies, regardless of size</w:t>
      </w:r>
      <w:r w:rsidR="00205FAB">
        <w:rPr>
          <w:color w:val="000000"/>
        </w:rPr>
        <w:t xml:space="preserve">. </w:t>
      </w:r>
      <w:r>
        <w:rPr>
          <w:color w:val="000000"/>
        </w:rPr>
        <w:t>However, EPA does not anticipate that many small businesses possess health and safety studies because they are unlikely to have the financial resources to perform the studies on chemicals subject to the rule</w:t>
      </w:r>
      <w:r w:rsidR="00205FAB">
        <w:rPr>
          <w:color w:val="000000"/>
        </w:rPr>
        <w:t xml:space="preserve">. </w:t>
      </w:r>
      <w:r>
        <w:rPr>
          <w:color w:val="000000"/>
        </w:rPr>
        <w:t xml:space="preserve">Therefore, the burden on such companies </w:t>
      </w:r>
      <w:r w:rsidR="001D0737">
        <w:rPr>
          <w:color w:val="000000"/>
        </w:rPr>
        <w:t>is expected to</w:t>
      </w:r>
      <w:r>
        <w:rPr>
          <w:color w:val="000000"/>
        </w:rPr>
        <w:t xml:space="preserve"> be minimal.</w:t>
      </w:r>
    </w:p>
    <w:p w14:paraId="29D3BBF8" w14:textId="77777777" w:rsidR="0099603F" w:rsidRDefault="0099603F" w:rsidP="0099603F">
      <w:pPr>
        <w:widowControl w:val="0"/>
        <w:rPr>
          <w:color w:val="000000"/>
        </w:rPr>
      </w:pPr>
    </w:p>
    <w:p w14:paraId="3ADED1F7" w14:textId="77777777" w:rsidR="002A4300" w:rsidRDefault="002A4300">
      <w:pPr>
        <w:widowControl w:val="0"/>
        <w:rPr>
          <w:color w:val="000000"/>
        </w:rPr>
      </w:pPr>
      <w:r>
        <w:rPr>
          <w:color w:val="000000"/>
        </w:rPr>
        <w:tab/>
      </w:r>
      <w:r>
        <w:rPr>
          <w:b/>
          <w:color w:val="000000"/>
        </w:rPr>
        <w:t>4(d)</w:t>
      </w:r>
      <w:r>
        <w:rPr>
          <w:b/>
          <w:color w:val="000000"/>
        </w:rPr>
        <w:tab/>
        <w:t>Collection Schedule</w:t>
      </w:r>
    </w:p>
    <w:p w14:paraId="1129C567" w14:textId="77777777" w:rsidR="002A4300" w:rsidRDefault="002A4300">
      <w:pPr>
        <w:widowControl w:val="0"/>
        <w:rPr>
          <w:color w:val="000000"/>
        </w:rPr>
      </w:pPr>
    </w:p>
    <w:p w14:paraId="0A86BDA3" w14:textId="2CB30675" w:rsidR="002A4300" w:rsidRDefault="002A4300">
      <w:pPr>
        <w:widowControl w:val="0"/>
        <w:rPr>
          <w:color w:val="000000"/>
        </w:rPr>
      </w:pPr>
      <w:r>
        <w:rPr>
          <w:color w:val="000000"/>
        </w:rPr>
        <w:tab/>
      </w:r>
      <w:bookmarkStart w:id="2" w:name="_Hlk530045531"/>
      <w:r>
        <w:rPr>
          <w:color w:val="000000"/>
        </w:rPr>
        <w:t>The collection sched</w:t>
      </w:r>
      <w:r w:rsidR="00B92DEC">
        <w:rPr>
          <w:color w:val="000000"/>
        </w:rPr>
        <w:t>uled under this ICR is chemical-</w:t>
      </w:r>
      <w:r>
        <w:rPr>
          <w:color w:val="000000"/>
        </w:rPr>
        <w:t>specific in nature and occurs once in an es</w:t>
      </w:r>
      <w:r w:rsidR="00B92DEC">
        <w:rPr>
          <w:color w:val="000000"/>
        </w:rPr>
        <w:t xml:space="preserve">tablished time frame between 60 </w:t>
      </w:r>
      <w:r>
        <w:rPr>
          <w:color w:val="000000"/>
        </w:rPr>
        <w:t>days and 2 years</w:t>
      </w:r>
      <w:r w:rsidR="00205FAB">
        <w:rPr>
          <w:color w:val="000000"/>
        </w:rPr>
        <w:t xml:space="preserve">. </w:t>
      </w:r>
      <w:r>
        <w:rPr>
          <w:color w:val="000000"/>
        </w:rPr>
        <w:t>Reporting of information is only required when the subject matter information (i.e., the lists of studies and final study reports) is available</w:t>
      </w:r>
      <w:r w:rsidR="00205FAB">
        <w:rPr>
          <w:color w:val="000000"/>
        </w:rPr>
        <w:t xml:space="preserve">. </w:t>
      </w:r>
      <w:r>
        <w:rPr>
          <w:color w:val="000000"/>
        </w:rPr>
        <w:t>Availability of study reports on the list may occur after the established reporting period for the list, and must still be submitted when they become available</w:t>
      </w:r>
      <w:r w:rsidR="00205FAB">
        <w:rPr>
          <w:color w:val="000000"/>
        </w:rPr>
        <w:t xml:space="preserve">. </w:t>
      </w:r>
      <w:r>
        <w:rPr>
          <w:color w:val="000000"/>
        </w:rPr>
        <w:t xml:space="preserve">Studies previously submitted to OPPT are exempt. </w:t>
      </w:r>
      <w:bookmarkEnd w:id="2"/>
    </w:p>
    <w:p w14:paraId="6E25D90C" w14:textId="77777777" w:rsidR="002A4300" w:rsidRDefault="002A4300">
      <w:pPr>
        <w:widowControl w:val="0"/>
        <w:rPr>
          <w:color w:val="000000"/>
        </w:rPr>
      </w:pPr>
    </w:p>
    <w:p w14:paraId="3D04A276" w14:textId="49B881BC" w:rsidR="002A4300" w:rsidRDefault="002A4300">
      <w:pPr>
        <w:widowControl w:val="0"/>
        <w:rPr>
          <w:color w:val="000000"/>
        </w:rPr>
      </w:pPr>
      <w:r>
        <w:rPr>
          <w:color w:val="000000"/>
        </w:rPr>
        <w:tab/>
        <w:t xml:space="preserve">Amendments adding substances </w:t>
      </w:r>
      <w:r w:rsidR="00406B56">
        <w:rPr>
          <w:color w:val="000000"/>
        </w:rPr>
        <w:t>can be</w:t>
      </w:r>
      <w:r>
        <w:rPr>
          <w:color w:val="000000"/>
        </w:rPr>
        <w:t xml:space="preserve"> made to the Health and Safety Data Reporting Rule subsequent to the ITC’s semiannual addition of substances and categories of substances to the TSCA section 4(e) Priority List</w:t>
      </w:r>
      <w:r w:rsidR="00205FAB">
        <w:rPr>
          <w:color w:val="000000"/>
        </w:rPr>
        <w:t xml:space="preserve">. </w:t>
      </w:r>
      <w:r>
        <w:rPr>
          <w:color w:val="000000"/>
        </w:rPr>
        <w:t xml:space="preserve">Other substances </w:t>
      </w:r>
      <w:r w:rsidR="00406B56">
        <w:rPr>
          <w:color w:val="000000"/>
        </w:rPr>
        <w:t xml:space="preserve">can be </w:t>
      </w:r>
      <w:r>
        <w:rPr>
          <w:color w:val="000000"/>
        </w:rPr>
        <w:t>added when there is a demonstrated need for the information.</w:t>
      </w:r>
    </w:p>
    <w:p w14:paraId="29882C83" w14:textId="6EEDCD47" w:rsidR="00EC1C84" w:rsidRDefault="00EC1C84">
      <w:pPr>
        <w:widowControl w:val="0"/>
        <w:rPr>
          <w:color w:val="000000"/>
        </w:rPr>
      </w:pPr>
    </w:p>
    <w:p w14:paraId="68205B41" w14:textId="77777777" w:rsidR="00EC1C84" w:rsidRDefault="00EC1C84">
      <w:pPr>
        <w:widowControl w:val="0"/>
        <w:rPr>
          <w:color w:val="000000"/>
        </w:rPr>
      </w:pPr>
    </w:p>
    <w:p w14:paraId="2F7E8D7F" w14:textId="558FFDF9" w:rsidR="002A4300" w:rsidRDefault="002A4300" w:rsidP="00210031">
      <w:pPr>
        <w:rPr>
          <w:color w:val="000000"/>
        </w:rPr>
      </w:pPr>
      <w:r>
        <w:rPr>
          <w:b/>
          <w:color w:val="000000"/>
        </w:rPr>
        <w:t>5</w:t>
      </w:r>
      <w:r>
        <w:rPr>
          <w:b/>
          <w:color w:val="000000"/>
        </w:rPr>
        <w:tab/>
        <w:t>THE RESPONDENTS AND THE INFORMATION REQUESTED</w:t>
      </w:r>
    </w:p>
    <w:p w14:paraId="25070FE3" w14:textId="77777777" w:rsidR="002A4300" w:rsidRDefault="002A4300">
      <w:pPr>
        <w:widowControl w:val="0"/>
        <w:rPr>
          <w:color w:val="000000"/>
        </w:rPr>
      </w:pPr>
    </w:p>
    <w:p w14:paraId="1AF94DA3" w14:textId="77777777" w:rsidR="002A4300" w:rsidRDefault="002A4300">
      <w:pPr>
        <w:widowControl w:val="0"/>
        <w:rPr>
          <w:color w:val="000000"/>
        </w:rPr>
      </w:pPr>
      <w:r>
        <w:rPr>
          <w:color w:val="000000"/>
        </w:rPr>
        <w:tab/>
      </w:r>
      <w:r>
        <w:rPr>
          <w:b/>
          <w:color w:val="000000"/>
        </w:rPr>
        <w:t>5(a)</w:t>
      </w:r>
      <w:r>
        <w:rPr>
          <w:b/>
          <w:color w:val="000000"/>
        </w:rPr>
        <w:tab/>
        <w:t>Respondents/NAICS Codes</w:t>
      </w:r>
    </w:p>
    <w:p w14:paraId="69241558" w14:textId="77777777" w:rsidR="002A4300" w:rsidRDefault="002A4300">
      <w:pPr>
        <w:widowControl w:val="0"/>
        <w:rPr>
          <w:color w:val="000000"/>
        </w:rPr>
      </w:pPr>
    </w:p>
    <w:p w14:paraId="2853B47A" w14:textId="77777777" w:rsidR="002A4300" w:rsidRDefault="002A4300">
      <w:pPr>
        <w:widowControl w:val="0"/>
        <w:rPr>
          <w:color w:val="000000"/>
        </w:rPr>
      </w:pPr>
      <w:r>
        <w:rPr>
          <w:color w:val="000000"/>
        </w:rPr>
        <w:tab/>
        <w:t>Respondents affected by this collection activity are identified mainly by North American Industry Classification System (NAICS) codes 325 (chemical manufacturing and allied products) and 32411 (petroleum refiners).</w:t>
      </w:r>
    </w:p>
    <w:p w14:paraId="2E3F6830" w14:textId="77777777" w:rsidR="00A45D33" w:rsidRDefault="002A4300">
      <w:pPr>
        <w:widowControl w:val="0"/>
        <w:rPr>
          <w:color w:val="000000"/>
        </w:rPr>
      </w:pPr>
      <w:r>
        <w:rPr>
          <w:color w:val="000000"/>
        </w:rPr>
        <w:tab/>
      </w:r>
    </w:p>
    <w:p w14:paraId="518CD84C" w14:textId="77777777" w:rsidR="002A4300" w:rsidRDefault="002A4300" w:rsidP="002F7EA9">
      <w:pPr>
        <w:widowControl w:val="0"/>
        <w:ind w:firstLine="720"/>
        <w:rPr>
          <w:b/>
          <w:color w:val="000000"/>
        </w:rPr>
      </w:pPr>
      <w:r>
        <w:rPr>
          <w:b/>
          <w:color w:val="000000"/>
        </w:rPr>
        <w:t>5(b)</w:t>
      </w:r>
      <w:r>
        <w:rPr>
          <w:b/>
          <w:color w:val="000000"/>
        </w:rPr>
        <w:tab/>
        <w:t>Information Requested</w:t>
      </w:r>
    </w:p>
    <w:p w14:paraId="2352B3CD" w14:textId="77777777" w:rsidR="00E93144" w:rsidRDefault="00E93144">
      <w:pPr>
        <w:widowControl w:val="0"/>
        <w:rPr>
          <w:b/>
          <w:color w:val="000000"/>
        </w:rPr>
      </w:pPr>
    </w:p>
    <w:p w14:paraId="36C8914C" w14:textId="77777777" w:rsidR="002A4300" w:rsidRDefault="00E93144" w:rsidP="00E93144">
      <w:pPr>
        <w:widowControl w:val="0"/>
      </w:pPr>
      <w:r>
        <w:rPr>
          <w:b/>
        </w:rPr>
        <w:tab/>
      </w:r>
      <w:r>
        <w:t>(i)</w:t>
      </w:r>
      <w:r>
        <w:tab/>
      </w:r>
      <w:r w:rsidR="002A4300">
        <w:t>Data Items</w:t>
      </w:r>
    </w:p>
    <w:p w14:paraId="477AD192" w14:textId="77777777" w:rsidR="002A4300" w:rsidRDefault="002A4300">
      <w:pPr>
        <w:widowControl w:val="0"/>
        <w:rPr>
          <w:color w:val="000000"/>
        </w:rPr>
      </w:pPr>
    </w:p>
    <w:p w14:paraId="4DC6BA63" w14:textId="26637305" w:rsidR="002A4300" w:rsidRDefault="002A4300">
      <w:pPr>
        <w:widowControl w:val="0"/>
        <w:rPr>
          <w:color w:val="000000"/>
        </w:rPr>
      </w:pPr>
      <w:r>
        <w:rPr>
          <w:color w:val="000000"/>
        </w:rPr>
        <w:tab/>
        <w:t>Persons who manufacture (</w:t>
      </w:r>
      <w:r w:rsidR="00CE45E3">
        <w:rPr>
          <w:color w:val="000000"/>
        </w:rPr>
        <w:t xml:space="preserve">which includes </w:t>
      </w:r>
      <w:r>
        <w:rPr>
          <w:color w:val="000000"/>
        </w:rPr>
        <w:t>import) chemical substances and mixtures, or propose to do so, and processors of such substances and mixtures (if specifically identified in a particular rule) must submit copies of the unpublished health and safety studies in their possession for the listed substances or mixtures</w:t>
      </w:r>
      <w:r w:rsidR="00205FAB">
        <w:rPr>
          <w:color w:val="000000"/>
        </w:rPr>
        <w:t xml:space="preserve">. </w:t>
      </w:r>
      <w:r>
        <w:rPr>
          <w:color w:val="000000"/>
        </w:rPr>
        <w:t>They must also submit lists of reportable studies that they initi</w:t>
      </w:r>
      <w:r w:rsidR="00AC12B6">
        <w:rPr>
          <w:color w:val="000000"/>
        </w:rPr>
        <w:t xml:space="preserve">ate or, about which they know, </w:t>
      </w:r>
      <w:r>
        <w:rPr>
          <w:color w:val="000000"/>
        </w:rPr>
        <w:t>for each of the listed substances or listed mixtures.</w:t>
      </w:r>
    </w:p>
    <w:p w14:paraId="59654454" w14:textId="77777777" w:rsidR="00460E7C" w:rsidRDefault="00460E7C">
      <w:pPr>
        <w:widowControl w:val="0"/>
        <w:rPr>
          <w:color w:val="000000"/>
        </w:rPr>
      </w:pPr>
    </w:p>
    <w:p w14:paraId="1C8EA488" w14:textId="77777777" w:rsidR="002A4300" w:rsidRPr="002D5447" w:rsidRDefault="002A4300">
      <w:pPr>
        <w:widowControl w:val="0"/>
        <w:rPr>
          <w:color w:val="000000"/>
          <w:szCs w:val="24"/>
        </w:rPr>
      </w:pPr>
      <w:r w:rsidRPr="002D5447">
        <w:rPr>
          <w:color w:val="000000"/>
          <w:szCs w:val="24"/>
        </w:rPr>
        <w:tab/>
        <w:t>All submitted studies must be accompanied by a cover letter that contains the following data (40 CFR 716.30):</w:t>
      </w:r>
    </w:p>
    <w:p w14:paraId="274AAD14" w14:textId="77777777" w:rsidR="002A4300" w:rsidRPr="002D5447" w:rsidRDefault="002A4300">
      <w:pPr>
        <w:widowControl w:val="0"/>
        <w:rPr>
          <w:color w:val="000000"/>
          <w:szCs w:val="24"/>
        </w:rPr>
      </w:pPr>
    </w:p>
    <w:p w14:paraId="76DEB087" w14:textId="7E164F91" w:rsidR="002A4300" w:rsidRPr="002D5447" w:rsidRDefault="002A4300"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color w:val="000000"/>
          <w:sz w:val="24"/>
          <w:szCs w:val="24"/>
        </w:rPr>
        <w:t>Name,</w:t>
      </w:r>
    </w:p>
    <w:p w14:paraId="58272A32" w14:textId="1E1EA01C" w:rsidR="002A4300" w:rsidRPr="002D5447" w:rsidRDefault="00386BED"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color w:val="000000"/>
          <w:sz w:val="24"/>
          <w:szCs w:val="24"/>
        </w:rPr>
        <w:t>Job</w:t>
      </w:r>
      <w:r w:rsidR="002A4300" w:rsidRPr="002D5447">
        <w:rPr>
          <w:rFonts w:ascii="Times New Roman" w:hAnsi="Times New Roman"/>
          <w:color w:val="000000"/>
          <w:sz w:val="24"/>
          <w:szCs w:val="24"/>
        </w:rPr>
        <w:t xml:space="preserve"> title,</w:t>
      </w:r>
    </w:p>
    <w:p w14:paraId="718AA371" w14:textId="2A20CA57" w:rsidR="002A4300" w:rsidRPr="002D5447" w:rsidRDefault="00386BED"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color w:val="000000"/>
          <w:sz w:val="24"/>
          <w:szCs w:val="24"/>
        </w:rPr>
        <w:t>Address</w:t>
      </w:r>
      <w:r w:rsidR="002A4300" w:rsidRPr="002D5447">
        <w:rPr>
          <w:rFonts w:ascii="Times New Roman" w:hAnsi="Times New Roman"/>
          <w:color w:val="000000"/>
          <w:sz w:val="24"/>
          <w:szCs w:val="24"/>
        </w:rPr>
        <w:t>, and</w:t>
      </w:r>
    </w:p>
    <w:p w14:paraId="408A3528" w14:textId="77777777" w:rsidR="002D5447" w:rsidRPr="002D5447" w:rsidRDefault="00386BED"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color w:val="000000"/>
          <w:sz w:val="24"/>
          <w:szCs w:val="24"/>
        </w:rPr>
        <w:t>Telephone</w:t>
      </w:r>
      <w:r w:rsidR="002A4300" w:rsidRPr="002D5447">
        <w:rPr>
          <w:rFonts w:ascii="Times New Roman" w:hAnsi="Times New Roman"/>
          <w:color w:val="000000"/>
          <w:sz w:val="24"/>
          <w:szCs w:val="24"/>
        </w:rPr>
        <w:t xml:space="preserve"> numbers of the submitting official.</w:t>
      </w:r>
    </w:p>
    <w:p w14:paraId="3ABBBCFC" w14:textId="0E952215" w:rsidR="002D5447" w:rsidRPr="002D5447" w:rsidRDefault="002A4300"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sz w:val="24"/>
          <w:szCs w:val="24"/>
        </w:rPr>
        <w:t>Name and address of the manufacturing or pr</w:t>
      </w:r>
      <w:r w:rsidR="00E93144" w:rsidRPr="002D5447">
        <w:rPr>
          <w:rFonts w:ascii="Times New Roman" w:hAnsi="Times New Roman"/>
          <w:sz w:val="24"/>
          <w:szCs w:val="24"/>
        </w:rPr>
        <w:t>ocessing establishment on whose</w:t>
      </w:r>
      <w:r w:rsidR="00386BED" w:rsidRPr="002D5447">
        <w:rPr>
          <w:rFonts w:ascii="Times New Roman" w:hAnsi="Times New Roman"/>
          <w:sz w:val="24"/>
          <w:szCs w:val="24"/>
        </w:rPr>
        <w:t xml:space="preserve"> </w:t>
      </w:r>
      <w:r w:rsidR="00E93144" w:rsidRPr="002D5447">
        <w:rPr>
          <w:rFonts w:ascii="Times New Roman" w:hAnsi="Times New Roman"/>
          <w:sz w:val="24"/>
          <w:szCs w:val="24"/>
        </w:rPr>
        <w:t>behalf the submission was made</w:t>
      </w:r>
      <w:r w:rsidR="00CA7C24">
        <w:rPr>
          <w:rFonts w:ascii="Times New Roman" w:hAnsi="Times New Roman"/>
          <w:sz w:val="24"/>
          <w:szCs w:val="24"/>
        </w:rPr>
        <w:t>.</w:t>
      </w:r>
    </w:p>
    <w:p w14:paraId="323F50E2" w14:textId="4F4DF4B3" w:rsidR="00E93144" w:rsidRPr="002D5447" w:rsidRDefault="002A4300"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sz w:val="24"/>
          <w:szCs w:val="24"/>
        </w:rPr>
        <w:t xml:space="preserve">Identify any impurity or additive known to have been present in the substance or </w:t>
      </w:r>
      <w:r w:rsidR="002D5447" w:rsidRPr="002D5447">
        <w:rPr>
          <w:rFonts w:ascii="Times New Roman" w:hAnsi="Times New Roman"/>
          <w:sz w:val="24"/>
          <w:szCs w:val="24"/>
        </w:rPr>
        <w:t>l</w:t>
      </w:r>
      <w:r w:rsidR="00386BED" w:rsidRPr="002D5447">
        <w:rPr>
          <w:rFonts w:ascii="Times New Roman" w:hAnsi="Times New Roman"/>
          <w:sz w:val="24"/>
          <w:szCs w:val="24"/>
        </w:rPr>
        <w:t>isted</w:t>
      </w:r>
      <w:r w:rsidR="00E93144" w:rsidRPr="002D5447">
        <w:rPr>
          <w:rFonts w:ascii="Times New Roman" w:hAnsi="Times New Roman"/>
          <w:sz w:val="24"/>
          <w:szCs w:val="24"/>
        </w:rPr>
        <w:t xml:space="preserve"> mixtures as studied, unless so noted in the study.</w:t>
      </w:r>
    </w:p>
    <w:p w14:paraId="48FA1E2D" w14:textId="5F76EB4B" w:rsidR="00E93144" w:rsidRPr="002D5447" w:rsidRDefault="002A4300" w:rsidP="00562FE1">
      <w:pPr>
        <w:pStyle w:val="ListParagraph"/>
        <w:widowControl w:val="0"/>
        <w:numPr>
          <w:ilvl w:val="0"/>
          <w:numId w:val="41"/>
        </w:numPr>
        <w:rPr>
          <w:rFonts w:ascii="Times New Roman" w:hAnsi="Times New Roman"/>
          <w:color w:val="000000"/>
          <w:sz w:val="24"/>
          <w:szCs w:val="24"/>
        </w:rPr>
      </w:pPr>
      <w:r w:rsidRPr="002D5447">
        <w:rPr>
          <w:rFonts w:ascii="Times New Roman" w:hAnsi="Times New Roman"/>
          <w:sz w:val="24"/>
          <w:szCs w:val="24"/>
        </w:rPr>
        <w:t>Identify that the study is being submitted under Part 716.</w:t>
      </w:r>
    </w:p>
    <w:p w14:paraId="3E64787E" w14:textId="4C45D541" w:rsidR="002A4300" w:rsidRDefault="002A4300">
      <w:pPr>
        <w:widowControl w:val="0"/>
        <w:rPr>
          <w:color w:val="000000"/>
        </w:rPr>
      </w:pPr>
      <w:r w:rsidRPr="002D5447">
        <w:rPr>
          <w:color w:val="000000"/>
          <w:szCs w:val="24"/>
        </w:rPr>
        <w:tab/>
        <w:t>Respondents may voluntarily choose to develop and submit robust</w:t>
      </w:r>
      <w:r>
        <w:rPr>
          <w:color w:val="000000"/>
        </w:rPr>
        <w:t xml:space="preserve"> summaries of the full toxicological study reports in conjunction with the submitted full study reports</w:t>
      </w:r>
      <w:r w:rsidR="00205FAB">
        <w:rPr>
          <w:color w:val="000000"/>
        </w:rPr>
        <w:t xml:space="preserve">. </w:t>
      </w:r>
      <w:r>
        <w:rPr>
          <w:color w:val="000000"/>
        </w:rPr>
        <w:t>The robust summaries should contain technical information to adequately describe the study and results, and should be written such that the information provided is sufficient to allow a technically qualified person to evaluate study results</w:t>
      </w:r>
      <w:r w:rsidR="00205FAB">
        <w:rPr>
          <w:color w:val="000000"/>
        </w:rPr>
        <w:t xml:space="preserve">. </w:t>
      </w:r>
      <w:r>
        <w:rPr>
          <w:color w:val="000000"/>
        </w:rPr>
        <w:t>Typically, a robust summary would include a description of the test substance, methods, results, conclusions, data quality description, and references associated with the full study.</w:t>
      </w:r>
    </w:p>
    <w:p w14:paraId="2F6F52F0" w14:textId="77777777" w:rsidR="002A4300" w:rsidRDefault="002A4300">
      <w:pPr>
        <w:widowControl w:val="0"/>
        <w:rPr>
          <w:color w:val="000000"/>
        </w:rPr>
      </w:pPr>
    </w:p>
    <w:p w14:paraId="57A16320" w14:textId="26F24169" w:rsidR="002A4300" w:rsidRDefault="002A4300">
      <w:pPr>
        <w:widowControl w:val="0"/>
        <w:rPr>
          <w:color w:val="000000"/>
        </w:rPr>
      </w:pPr>
      <w:r>
        <w:rPr>
          <w:color w:val="000000"/>
        </w:rPr>
        <w:tab/>
        <w:t xml:space="preserve">List of studies shall include (40 CFR 716.35): (1) ongoing health and safety studies conducted by or initiated by </w:t>
      </w:r>
      <w:r w:rsidR="00406B56">
        <w:rPr>
          <w:color w:val="000000"/>
        </w:rPr>
        <w:t>respondents</w:t>
      </w:r>
      <w:r>
        <w:rPr>
          <w:color w:val="000000"/>
        </w:rPr>
        <w:t xml:space="preserve">; (2) studies </w:t>
      </w:r>
      <w:r w:rsidR="00406B56">
        <w:rPr>
          <w:color w:val="000000"/>
        </w:rPr>
        <w:t xml:space="preserve">respondents </w:t>
      </w:r>
      <w:r>
        <w:rPr>
          <w:color w:val="000000"/>
        </w:rPr>
        <w:t>know about but do not have copies of; and, (3) studies that have been sent to another federal agency with no claims of confidentiality.</w:t>
      </w:r>
    </w:p>
    <w:p w14:paraId="7EF9A35C" w14:textId="77777777" w:rsidR="009406AA" w:rsidRDefault="009406AA" w:rsidP="00E93144">
      <w:pPr>
        <w:widowControl w:val="0"/>
        <w:ind w:firstLine="720"/>
        <w:rPr>
          <w:color w:val="000000"/>
        </w:rPr>
      </w:pPr>
    </w:p>
    <w:p w14:paraId="6564B3D7" w14:textId="77777777" w:rsidR="002A4300" w:rsidRDefault="002A4300" w:rsidP="00E93144">
      <w:pPr>
        <w:widowControl w:val="0"/>
        <w:ind w:firstLine="720"/>
        <w:rPr>
          <w:color w:val="000000"/>
          <w:szCs w:val="24"/>
        </w:rPr>
      </w:pPr>
      <w:r>
        <w:rPr>
          <w:color w:val="000000"/>
        </w:rPr>
        <w:t xml:space="preserve">For ongoing health </w:t>
      </w:r>
      <w:r w:rsidRPr="002D5447">
        <w:rPr>
          <w:color w:val="000000"/>
          <w:szCs w:val="24"/>
        </w:rPr>
        <w:t>and safety studies conducted by or initiated for the respondent, the list should include the following data:</w:t>
      </w:r>
    </w:p>
    <w:p w14:paraId="3C59B943" w14:textId="77777777" w:rsidR="00EC1C84" w:rsidRPr="002D5447" w:rsidRDefault="00EC1C84" w:rsidP="00E93144">
      <w:pPr>
        <w:widowControl w:val="0"/>
        <w:ind w:firstLine="720"/>
        <w:rPr>
          <w:color w:val="000000"/>
          <w:szCs w:val="24"/>
        </w:rPr>
      </w:pPr>
    </w:p>
    <w:p w14:paraId="2EF14F32" w14:textId="79065801"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Beginning date of the study</w:t>
      </w:r>
    </w:p>
    <w:p w14:paraId="7A78012F" w14:textId="44703466"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Purpose of the study</w:t>
      </w:r>
    </w:p>
    <w:p w14:paraId="68D267FA" w14:textId="27AD932B"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Types of data to be collected</w:t>
      </w:r>
    </w:p>
    <w:p w14:paraId="6AEBBE0E" w14:textId="4C62B013"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Anticipated date of completion</w:t>
      </w:r>
    </w:p>
    <w:p w14:paraId="70E70FED" w14:textId="018AA8EE"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Name and address of the laboratory conducting the study</w:t>
      </w:r>
      <w:r w:rsidR="004A7B52">
        <w:rPr>
          <w:rFonts w:ascii="Times New Roman" w:hAnsi="Times New Roman"/>
          <w:color w:val="000000"/>
          <w:sz w:val="24"/>
          <w:szCs w:val="24"/>
        </w:rPr>
        <w:t>.</w:t>
      </w:r>
    </w:p>
    <w:p w14:paraId="193EB435" w14:textId="77777777" w:rsidR="002A4300" w:rsidRPr="002D5447" w:rsidRDefault="002A4300" w:rsidP="00E93144">
      <w:pPr>
        <w:widowControl w:val="0"/>
        <w:ind w:firstLine="720"/>
        <w:rPr>
          <w:color w:val="000000"/>
          <w:szCs w:val="24"/>
        </w:rPr>
      </w:pPr>
      <w:r w:rsidRPr="002D5447">
        <w:rPr>
          <w:color w:val="000000"/>
          <w:szCs w:val="24"/>
        </w:rPr>
        <w:t>For studies known to the respondent but for which they do not possess copies, the list should include the following data:</w:t>
      </w:r>
    </w:p>
    <w:p w14:paraId="15942235" w14:textId="77777777" w:rsidR="00E93144" w:rsidRPr="002D5447" w:rsidRDefault="00E93144" w:rsidP="00E93144">
      <w:pPr>
        <w:widowControl w:val="0"/>
        <w:ind w:firstLine="720"/>
        <w:rPr>
          <w:color w:val="000000"/>
          <w:szCs w:val="24"/>
        </w:rPr>
      </w:pPr>
    </w:p>
    <w:p w14:paraId="6EF113A2" w14:textId="206BCAF8"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Name and address of a person known to them th</w:t>
      </w:r>
      <w:r w:rsidR="006662F7" w:rsidRPr="002D5447">
        <w:rPr>
          <w:rFonts w:ascii="Times New Roman" w:hAnsi="Times New Roman"/>
          <w:color w:val="000000"/>
          <w:sz w:val="24"/>
          <w:szCs w:val="24"/>
        </w:rPr>
        <w:t>at possess a copy of the study.</w:t>
      </w:r>
    </w:p>
    <w:p w14:paraId="405F0445" w14:textId="77777777" w:rsidR="002A4300" w:rsidRPr="002D5447" w:rsidRDefault="002A4300" w:rsidP="00E93144">
      <w:pPr>
        <w:widowControl w:val="0"/>
        <w:ind w:firstLine="720"/>
        <w:rPr>
          <w:color w:val="000000"/>
          <w:szCs w:val="24"/>
        </w:rPr>
      </w:pPr>
      <w:r w:rsidRPr="002D5447">
        <w:rPr>
          <w:color w:val="000000"/>
          <w:szCs w:val="24"/>
        </w:rPr>
        <w:t>For studies previously sent to a federal agency with no claims of confidentiality, the list should include the following data:</w:t>
      </w:r>
    </w:p>
    <w:p w14:paraId="183395B3" w14:textId="77777777" w:rsidR="00E93144" w:rsidRPr="002D5447" w:rsidRDefault="00E93144" w:rsidP="00E93144">
      <w:pPr>
        <w:widowControl w:val="0"/>
        <w:ind w:firstLine="720"/>
        <w:rPr>
          <w:color w:val="000000"/>
          <w:szCs w:val="24"/>
        </w:rPr>
      </w:pPr>
    </w:p>
    <w:p w14:paraId="0E02A436" w14:textId="1D7F3E6F"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Title of the study</w:t>
      </w:r>
    </w:p>
    <w:p w14:paraId="1662573A" w14:textId="61F7903E"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Name and address of the person to whom the study was sent</w:t>
      </w:r>
    </w:p>
    <w:p w14:paraId="55B91AF8" w14:textId="4BAF0374"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Month and year in which the study was submitted</w:t>
      </w:r>
      <w:r w:rsidR="004A7B52">
        <w:rPr>
          <w:rFonts w:ascii="Times New Roman" w:hAnsi="Times New Roman"/>
          <w:color w:val="000000"/>
          <w:sz w:val="24"/>
          <w:szCs w:val="24"/>
        </w:rPr>
        <w:t>.</w:t>
      </w:r>
    </w:p>
    <w:p w14:paraId="46DEF1C7" w14:textId="77777777" w:rsidR="00E93144" w:rsidRDefault="002A4300">
      <w:pPr>
        <w:widowControl w:val="0"/>
        <w:rPr>
          <w:color w:val="000000"/>
        </w:rPr>
      </w:pPr>
      <w:r>
        <w:rPr>
          <w:color w:val="000000"/>
        </w:rPr>
        <w:tab/>
      </w:r>
      <w:r w:rsidR="00E93144">
        <w:rPr>
          <w:color w:val="000000"/>
        </w:rPr>
        <w:t>(ii)</w:t>
      </w:r>
      <w:r w:rsidR="00E93144">
        <w:rPr>
          <w:color w:val="000000"/>
        </w:rPr>
        <w:tab/>
        <w:t>Respondent Activities</w:t>
      </w:r>
    </w:p>
    <w:p w14:paraId="71EE438B" w14:textId="77777777" w:rsidR="00E93144" w:rsidRDefault="00E93144">
      <w:pPr>
        <w:widowControl w:val="0"/>
        <w:rPr>
          <w:color w:val="000000"/>
        </w:rPr>
      </w:pPr>
    </w:p>
    <w:p w14:paraId="5CA22D0C" w14:textId="77777777" w:rsidR="002A4300" w:rsidRDefault="002A4300" w:rsidP="00E93144">
      <w:pPr>
        <w:widowControl w:val="0"/>
        <w:ind w:firstLine="720"/>
        <w:rPr>
          <w:color w:val="000000"/>
        </w:rPr>
      </w:pPr>
      <w:r>
        <w:rPr>
          <w:color w:val="000000"/>
        </w:rPr>
        <w:t>A representative respondent would engage in the following activities in order to produce the lists of studies and required data listed in section 5(b)(i) of this supporting statement:</w:t>
      </w:r>
    </w:p>
    <w:p w14:paraId="54A70172" w14:textId="77777777" w:rsidR="002A4300" w:rsidRDefault="002A4300">
      <w:pPr>
        <w:widowControl w:val="0"/>
        <w:rPr>
          <w:color w:val="000000"/>
        </w:rPr>
      </w:pPr>
    </w:p>
    <w:p w14:paraId="25EF5552" w14:textId="5F9EEC8F" w:rsidR="0051659B" w:rsidRPr="0051659B" w:rsidRDefault="0051659B" w:rsidP="00C15D48">
      <w:pPr>
        <w:widowControl w:val="0"/>
        <w:numPr>
          <w:ilvl w:val="0"/>
          <w:numId w:val="27"/>
        </w:numPr>
        <w:spacing w:after="200"/>
        <w:rPr>
          <w:color w:val="000000"/>
        </w:rPr>
      </w:pPr>
      <w:r w:rsidRPr="0051659B">
        <w:rPr>
          <w:color w:val="000000"/>
        </w:rPr>
        <w:t>Determine whether the firm may be required to report</w:t>
      </w:r>
      <w:r w:rsidR="00205FAB">
        <w:rPr>
          <w:color w:val="000000"/>
        </w:rPr>
        <w:t xml:space="preserve">. </w:t>
      </w:r>
      <w:r w:rsidRPr="0051659B">
        <w:rPr>
          <w:color w:val="000000"/>
        </w:rPr>
        <w:t>If so, review the rule in more detail;</w:t>
      </w:r>
    </w:p>
    <w:p w14:paraId="69A8FBA2" w14:textId="77777777" w:rsidR="0051659B" w:rsidRPr="0051659B" w:rsidRDefault="0051659B" w:rsidP="00C15D48">
      <w:pPr>
        <w:widowControl w:val="0"/>
        <w:numPr>
          <w:ilvl w:val="0"/>
          <w:numId w:val="27"/>
        </w:numPr>
        <w:spacing w:after="200"/>
        <w:rPr>
          <w:color w:val="000000"/>
        </w:rPr>
      </w:pPr>
      <w:r w:rsidRPr="0051659B">
        <w:rPr>
          <w:color w:val="000000"/>
        </w:rPr>
        <w:t>Conduct a corporate review to identify which firm sites must be searched to locate the appropriate health and safety studies;</w:t>
      </w:r>
    </w:p>
    <w:p w14:paraId="12CA75AF" w14:textId="77777777" w:rsidR="0051659B" w:rsidRPr="0051659B" w:rsidRDefault="0051659B" w:rsidP="00C15D48">
      <w:pPr>
        <w:widowControl w:val="0"/>
        <w:numPr>
          <w:ilvl w:val="0"/>
          <w:numId w:val="27"/>
        </w:numPr>
        <w:spacing w:after="200"/>
        <w:rPr>
          <w:color w:val="000000"/>
        </w:rPr>
      </w:pPr>
      <w:r w:rsidRPr="0051659B">
        <w:rPr>
          <w:color w:val="000000"/>
        </w:rPr>
        <w:t>Search the files at appropriate sites to locate relevant studies;</w:t>
      </w:r>
    </w:p>
    <w:p w14:paraId="7C116967" w14:textId="1D105221" w:rsidR="0051659B" w:rsidRPr="0051659B" w:rsidRDefault="0051659B" w:rsidP="00C15D48">
      <w:pPr>
        <w:widowControl w:val="0"/>
        <w:numPr>
          <w:ilvl w:val="0"/>
          <w:numId w:val="27"/>
        </w:numPr>
        <w:spacing w:after="200"/>
        <w:rPr>
          <w:color w:val="000000"/>
        </w:rPr>
      </w:pPr>
      <w:r w:rsidRPr="0051659B">
        <w:rPr>
          <w:color w:val="000000"/>
        </w:rPr>
        <w:t>Compile and transcribe lists of studies being submitted, ongoing studies, newly initiated studies, studies known to exist but not known to be in the respondent’s possession, and studies</w:t>
      </w:r>
      <w:r w:rsidR="00E03CA3">
        <w:rPr>
          <w:color w:val="000000"/>
        </w:rPr>
        <w:t xml:space="preserve"> previously submitted to other f</w:t>
      </w:r>
      <w:r w:rsidRPr="0051659B">
        <w:rPr>
          <w:color w:val="000000"/>
        </w:rPr>
        <w:t>ederal agencies without confidentiality claims;</w:t>
      </w:r>
    </w:p>
    <w:p w14:paraId="4305826A" w14:textId="50DE066B" w:rsidR="0051659B" w:rsidRPr="0051659B" w:rsidRDefault="0051659B" w:rsidP="00C15D48">
      <w:pPr>
        <w:widowControl w:val="0"/>
        <w:numPr>
          <w:ilvl w:val="0"/>
          <w:numId w:val="27"/>
        </w:numPr>
        <w:spacing w:after="200"/>
        <w:rPr>
          <w:color w:val="000000"/>
        </w:rPr>
      </w:pPr>
      <w:r w:rsidRPr="0051659B">
        <w:rPr>
          <w:color w:val="000000"/>
        </w:rPr>
        <w:t xml:space="preserve">Photocopy </w:t>
      </w:r>
      <w:r w:rsidR="00CC3699">
        <w:rPr>
          <w:color w:val="000000"/>
        </w:rPr>
        <w:t xml:space="preserve">or prepare electronic versions of </w:t>
      </w:r>
      <w:r w:rsidRPr="0051659B">
        <w:rPr>
          <w:color w:val="000000"/>
        </w:rPr>
        <w:t>the studies;</w:t>
      </w:r>
    </w:p>
    <w:p w14:paraId="4568E8DC" w14:textId="77777777" w:rsidR="0051659B" w:rsidRPr="0051659B" w:rsidRDefault="0051659B" w:rsidP="00C15D48">
      <w:pPr>
        <w:widowControl w:val="0"/>
        <w:numPr>
          <w:ilvl w:val="0"/>
          <w:numId w:val="27"/>
        </w:numPr>
        <w:spacing w:after="200"/>
        <w:rPr>
          <w:color w:val="000000"/>
        </w:rPr>
      </w:pPr>
      <w:r w:rsidRPr="0051659B">
        <w:rPr>
          <w:color w:val="000000"/>
        </w:rPr>
        <w:t xml:space="preserve">Voluntarily prepare robust summaries of the studies; </w:t>
      </w:r>
    </w:p>
    <w:p w14:paraId="64BA1D48" w14:textId="5EEFE481" w:rsidR="0051659B" w:rsidRPr="0051659B" w:rsidRDefault="0051659B" w:rsidP="00C15D48">
      <w:pPr>
        <w:widowControl w:val="0"/>
        <w:numPr>
          <w:ilvl w:val="0"/>
          <w:numId w:val="27"/>
        </w:numPr>
        <w:spacing w:after="200"/>
        <w:rPr>
          <w:color w:val="000000"/>
        </w:rPr>
      </w:pPr>
      <w:r w:rsidRPr="0051659B">
        <w:rPr>
          <w:color w:val="000000"/>
        </w:rPr>
        <w:t>Review the responses for possible confidential business information</w:t>
      </w:r>
      <w:r w:rsidR="00535D49">
        <w:rPr>
          <w:color w:val="000000"/>
        </w:rPr>
        <w:t xml:space="preserve"> and prepare information to substantiate a claim of confidentiality</w:t>
      </w:r>
      <w:r w:rsidRPr="0051659B">
        <w:rPr>
          <w:color w:val="000000"/>
        </w:rPr>
        <w:t>; and</w:t>
      </w:r>
    </w:p>
    <w:p w14:paraId="5302396F" w14:textId="12C5278C" w:rsidR="0051659B" w:rsidRDefault="00CC3699" w:rsidP="00A5395D">
      <w:pPr>
        <w:pStyle w:val="NoSpacing"/>
        <w:numPr>
          <w:ilvl w:val="0"/>
          <w:numId w:val="27"/>
        </w:numPr>
      </w:pPr>
      <w:r>
        <w:t>Submit the studies to EPA electronically, and, a</w:t>
      </w:r>
      <w:r w:rsidR="0051659B" w:rsidRPr="0051659B">
        <w:t>fter initial study submissions, notify EPA when other studies are initiated; submit studies completed after the reporting period.</w:t>
      </w:r>
    </w:p>
    <w:p w14:paraId="2284CC6D" w14:textId="77777777" w:rsidR="00A5395D" w:rsidRDefault="00A5395D" w:rsidP="00A5395D">
      <w:pPr>
        <w:pStyle w:val="NoSpacing"/>
        <w:rPr>
          <w:b/>
        </w:rPr>
      </w:pPr>
    </w:p>
    <w:p w14:paraId="2CABCDF1" w14:textId="0EE35DC0" w:rsidR="003F63AD" w:rsidRDefault="003F63AD" w:rsidP="00A5395D">
      <w:pPr>
        <w:pStyle w:val="NoSpacing"/>
      </w:pPr>
      <w:r>
        <w:rPr>
          <w:b/>
        </w:rPr>
        <w:t>6</w:t>
      </w:r>
      <w:r>
        <w:rPr>
          <w:b/>
        </w:rPr>
        <w:tab/>
        <w:t>ESTIMATING THE COST AND BURDEN OF THE COLLECTION</w:t>
      </w:r>
    </w:p>
    <w:p w14:paraId="5608563D" w14:textId="77777777" w:rsidR="003F63AD" w:rsidRDefault="003F63AD" w:rsidP="00A5395D">
      <w:pPr>
        <w:pStyle w:val="NoSpacing"/>
      </w:pPr>
    </w:p>
    <w:p w14:paraId="18E14B23" w14:textId="61C0F108" w:rsidR="007215AF" w:rsidRDefault="003F63AD" w:rsidP="007964D3">
      <w:pPr>
        <w:pStyle w:val="NoSpacing"/>
        <w:ind w:firstLine="720"/>
      </w:pPr>
      <w:r>
        <w:t xml:space="preserve">The methodology used </w:t>
      </w:r>
      <w:r w:rsidR="00221E0C">
        <w:t xml:space="preserve">for </w:t>
      </w:r>
      <w:r>
        <w:t>estimating the burden and costs to industry resulting from the addition of chemicals to the TSCA section 8(d) rule over the next three years is derived from the previous inform</w:t>
      </w:r>
      <w:r w:rsidR="00C85187">
        <w:t xml:space="preserve">ation collection request (ICR). </w:t>
      </w:r>
      <w:r>
        <w:t>EPA has added chemicals to the TSCA section 8(d) list on an episodic basis</w:t>
      </w:r>
      <w:r w:rsidR="00205FAB">
        <w:t xml:space="preserve">. </w:t>
      </w:r>
      <w:r>
        <w:t xml:space="preserve">As shown in Table 1, chemicals </w:t>
      </w:r>
      <w:r w:rsidR="003D5539">
        <w:t xml:space="preserve">have been </w:t>
      </w:r>
      <w:r>
        <w:t xml:space="preserve">added to the list </w:t>
      </w:r>
      <w:r w:rsidR="00220D9B">
        <w:t>four times</w:t>
      </w:r>
      <w:r>
        <w:t xml:space="preserve"> since 1996</w:t>
      </w:r>
      <w:r w:rsidR="001E36D3">
        <w:t xml:space="preserve"> yielding a</w:t>
      </w:r>
      <w:r w:rsidR="006E08DA">
        <w:t xml:space="preserve"> historical</w:t>
      </w:r>
      <w:r w:rsidR="001E36D3">
        <w:t xml:space="preserve"> average of </w:t>
      </w:r>
      <w:r w:rsidR="00F04392">
        <w:t>13</w:t>
      </w:r>
      <w:r w:rsidR="001E36D3">
        <w:t xml:space="preserve"> chemicals per year for the years between 1996 and the present</w:t>
      </w:r>
      <w:r>
        <w:t xml:space="preserve">. </w:t>
      </w:r>
      <w:r w:rsidR="006E08DA">
        <w:t xml:space="preserve">As such, </w:t>
      </w:r>
      <w:r w:rsidR="007215AF">
        <w:t>EPA use</w:t>
      </w:r>
      <w:r w:rsidR="00D837D2">
        <w:t>s</w:t>
      </w:r>
      <w:r w:rsidR="0003244E">
        <w:t xml:space="preserve"> a </w:t>
      </w:r>
      <w:r w:rsidR="007215AF">
        <w:t xml:space="preserve">basis of </w:t>
      </w:r>
      <w:r w:rsidR="006E08DA">
        <w:t>1</w:t>
      </w:r>
      <w:r w:rsidR="00622524">
        <w:t>3</w:t>
      </w:r>
      <w:r w:rsidR="007215AF">
        <w:t xml:space="preserve"> chemical</w:t>
      </w:r>
      <w:r w:rsidR="006E08DA">
        <w:t xml:space="preserve"> addition</w:t>
      </w:r>
      <w:r w:rsidR="007215AF">
        <w:t xml:space="preserve">s per year for the </w:t>
      </w:r>
      <w:r w:rsidR="001E36D3">
        <w:t>201</w:t>
      </w:r>
      <w:r w:rsidR="00F04392">
        <w:t>8</w:t>
      </w:r>
      <w:r w:rsidR="00D837D2">
        <w:t>-20</w:t>
      </w:r>
      <w:r w:rsidR="00F04392">
        <w:t>21</w:t>
      </w:r>
      <w:r w:rsidR="00D837D2">
        <w:t xml:space="preserve"> </w:t>
      </w:r>
      <w:r w:rsidR="007215AF">
        <w:t>ICR period</w:t>
      </w:r>
      <w:r w:rsidR="006E08DA">
        <w:t>.</w:t>
      </w:r>
      <w:r w:rsidR="002C2A54">
        <w:t xml:space="preserve"> </w:t>
      </w:r>
    </w:p>
    <w:p w14:paraId="6225340C" w14:textId="77777777" w:rsidR="0003244E" w:rsidRDefault="0003244E" w:rsidP="007964D3">
      <w:pPr>
        <w:pStyle w:val="NoSpacing"/>
        <w:ind w:firstLine="720"/>
      </w:pPr>
    </w:p>
    <w:tbl>
      <w:tblPr>
        <w:tblW w:w="10840" w:type="dxa"/>
        <w:tblLook w:val="04A0" w:firstRow="1" w:lastRow="0" w:firstColumn="1" w:lastColumn="0" w:noHBand="0" w:noVBand="1"/>
      </w:tblPr>
      <w:tblGrid>
        <w:gridCol w:w="1105"/>
        <w:gridCol w:w="960"/>
        <w:gridCol w:w="960"/>
        <w:gridCol w:w="960"/>
        <w:gridCol w:w="960"/>
        <w:gridCol w:w="960"/>
        <w:gridCol w:w="960"/>
        <w:gridCol w:w="960"/>
        <w:gridCol w:w="960"/>
        <w:gridCol w:w="1338"/>
        <w:gridCol w:w="717"/>
      </w:tblGrid>
      <w:tr w:rsidR="00F04392" w:rsidRPr="00F04392" w14:paraId="11172E0C" w14:textId="77777777" w:rsidTr="00F04392">
        <w:trPr>
          <w:trHeight w:val="324"/>
        </w:trPr>
        <w:tc>
          <w:tcPr>
            <w:tcW w:w="10840" w:type="dxa"/>
            <w:gridSpan w:val="11"/>
            <w:tcBorders>
              <w:top w:val="nil"/>
              <w:left w:val="nil"/>
              <w:bottom w:val="nil"/>
              <w:right w:val="nil"/>
            </w:tcBorders>
            <w:shd w:val="clear" w:color="auto" w:fill="auto"/>
            <w:noWrap/>
            <w:vAlign w:val="center"/>
            <w:hideMark/>
          </w:tcPr>
          <w:p w14:paraId="5824A693" w14:textId="77777777" w:rsidR="00F04392" w:rsidRPr="00F04392" w:rsidRDefault="00F04392" w:rsidP="00F04392">
            <w:pPr>
              <w:rPr>
                <w:b/>
                <w:bCs/>
                <w:color w:val="000000"/>
                <w:szCs w:val="24"/>
              </w:rPr>
            </w:pPr>
            <w:r w:rsidRPr="00F04392">
              <w:rPr>
                <w:b/>
                <w:bCs/>
                <w:color w:val="000000"/>
                <w:szCs w:val="24"/>
              </w:rPr>
              <w:t>Table 1. Number of Chemicals Added to the TSCA Section 8(d) Reporting List.</w:t>
            </w:r>
          </w:p>
        </w:tc>
      </w:tr>
      <w:tr w:rsidR="00F04392" w:rsidRPr="00F04392" w14:paraId="3E1B0139" w14:textId="77777777" w:rsidTr="00F04392">
        <w:trPr>
          <w:trHeight w:val="552"/>
        </w:trPr>
        <w:tc>
          <w:tcPr>
            <w:tcW w:w="960" w:type="dxa"/>
            <w:tcBorders>
              <w:top w:val="double" w:sz="6" w:space="0" w:color="000000"/>
              <w:left w:val="double" w:sz="6" w:space="0" w:color="000000"/>
              <w:bottom w:val="double" w:sz="6" w:space="0" w:color="000000"/>
              <w:right w:val="single" w:sz="8" w:space="0" w:color="000000"/>
            </w:tcBorders>
            <w:shd w:val="clear" w:color="auto" w:fill="auto"/>
            <w:vAlign w:val="center"/>
            <w:hideMark/>
          </w:tcPr>
          <w:p w14:paraId="414E3144" w14:textId="77777777" w:rsidR="00F04392" w:rsidRPr="00F04392" w:rsidRDefault="00F04392" w:rsidP="00F04392">
            <w:pPr>
              <w:jc w:val="center"/>
              <w:rPr>
                <w:b/>
                <w:bCs/>
                <w:color w:val="000000"/>
                <w:sz w:val="20"/>
              </w:rPr>
            </w:pPr>
            <w:r w:rsidRPr="00F04392">
              <w:rPr>
                <w:b/>
                <w:bCs/>
                <w:color w:val="000000"/>
                <w:sz w:val="20"/>
              </w:rPr>
              <w:t>Year</w:t>
            </w:r>
          </w:p>
        </w:tc>
        <w:tc>
          <w:tcPr>
            <w:tcW w:w="960" w:type="dxa"/>
            <w:tcBorders>
              <w:top w:val="double" w:sz="6" w:space="0" w:color="000000"/>
              <w:left w:val="nil"/>
              <w:bottom w:val="double" w:sz="6" w:space="0" w:color="000000"/>
              <w:right w:val="single" w:sz="8" w:space="0" w:color="000000"/>
            </w:tcBorders>
            <w:shd w:val="clear" w:color="auto" w:fill="auto"/>
            <w:vAlign w:val="center"/>
            <w:hideMark/>
          </w:tcPr>
          <w:p w14:paraId="6FC4CC4D" w14:textId="77777777" w:rsidR="00F04392" w:rsidRPr="00F04392" w:rsidRDefault="00F04392" w:rsidP="00F04392">
            <w:pPr>
              <w:jc w:val="center"/>
              <w:rPr>
                <w:color w:val="000000"/>
                <w:sz w:val="20"/>
              </w:rPr>
            </w:pPr>
            <w:r w:rsidRPr="00F04392">
              <w:rPr>
                <w:color w:val="000000"/>
                <w:sz w:val="20"/>
              </w:rPr>
              <w:t>1996</w:t>
            </w:r>
          </w:p>
        </w:tc>
        <w:tc>
          <w:tcPr>
            <w:tcW w:w="960" w:type="dxa"/>
            <w:tcBorders>
              <w:top w:val="double" w:sz="6" w:space="0" w:color="000000"/>
              <w:left w:val="nil"/>
              <w:bottom w:val="double" w:sz="6" w:space="0" w:color="000000"/>
              <w:right w:val="single" w:sz="8" w:space="0" w:color="000000"/>
            </w:tcBorders>
            <w:shd w:val="clear" w:color="auto" w:fill="auto"/>
            <w:vAlign w:val="center"/>
            <w:hideMark/>
          </w:tcPr>
          <w:p w14:paraId="6BDE9491" w14:textId="77777777" w:rsidR="00F04392" w:rsidRPr="00F04392" w:rsidRDefault="00F04392" w:rsidP="00F04392">
            <w:pPr>
              <w:jc w:val="center"/>
              <w:rPr>
                <w:color w:val="000000"/>
                <w:sz w:val="20"/>
              </w:rPr>
            </w:pPr>
            <w:r w:rsidRPr="00F04392">
              <w:rPr>
                <w:color w:val="000000"/>
                <w:sz w:val="20"/>
              </w:rPr>
              <w:t>1997-2003</w:t>
            </w:r>
          </w:p>
        </w:tc>
        <w:tc>
          <w:tcPr>
            <w:tcW w:w="960" w:type="dxa"/>
            <w:tcBorders>
              <w:top w:val="double" w:sz="6" w:space="0" w:color="000000"/>
              <w:left w:val="nil"/>
              <w:bottom w:val="double" w:sz="6" w:space="0" w:color="000000"/>
              <w:right w:val="single" w:sz="8" w:space="0" w:color="000000"/>
            </w:tcBorders>
            <w:shd w:val="clear" w:color="auto" w:fill="auto"/>
            <w:vAlign w:val="center"/>
            <w:hideMark/>
          </w:tcPr>
          <w:p w14:paraId="54F65C69" w14:textId="77777777" w:rsidR="00F04392" w:rsidRPr="00F04392" w:rsidRDefault="00F04392" w:rsidP="00F04392">
            <w:pPr>
              <w:jc w:val="center"/>
              <w:rPr>
                <w:color w:val="000000"/>
                <w:sz w:val="20"/>
              </w:rPr>
            </w:pPr>
            <w:r w:rsidRPr="00F04392">
              <w:rPr>
                <w:color w:val="000000"/>
                <w:sz w:val="20"/>
              </w:rPr>
              <w:t>2004</w:t>
            </w:r>
          </w:p>
        </w:tc>
        <w:tc>
          <w:tcPr>
            <w:tcW w:w="960" w:type="dxa"/>
            <w:tcBorders>
              <w:top w:val="double" w:sz="6" w:space="0" w:color="000000"/>
              <w:left w:val="nil"/>
              <w:bottom w:val="double" w:sz="6" w:space="0" w:color="000000"/>
              <w:right w:val="single" w:sz="8" w:space="0" w:color="000000"/>
            </w:tcBorders>
            <w:shd w:val="clear" w:color="auto" w:fill="auto"/>
            <w:vAlign w:val="center"/>
            <w:hideMark/>
          </w:tcPr>
          <w:p w14:paraId="0A440AFB" w14:textId="77777777" w:rsidR="00F04392" w:rsidRPr="00F04392" w:rsidRDefault="00F04392" w:rsidP="00F04392">
            <w:pPr>
              <w:jc w:val="center"/>
              <w:rPr>
                <w:color w:val="000000"/>
                <w:sz w:val="20"/>
              </w:rPr>
            </w:pPr>
            <w:r w:rsidRPr="00F04392">
              <w:rPr>
                <w:color w:val="000000"/>
                <w:sz w:val="20"/>
              </w:rPr>
              <w:t>2005</w:t>
            </w:r>
          </w:p>
        </w:tc>
        <w:tc>
          <w:tcPr>
            <w:tcW w:w="960" w:type="dxa"/>
            <w:tcBorders>
              <w:top w:val="double" w:sz="6" w:space="0" w:color="000000"/>
              <w:left w:val="nil"/>
              <w:bottom w:val="double" w:sz="6" w:space="0" w:color="000000"/>
              <w:right w:val="single" w:sz="8" w:space="0" w:color="000000"/>
            </w:tcBorders>
            <w:shd w:val="clear" w:color="auto" w:fill="auto"/>
            <w:vAlign w:val="center"/>
            <w:hideMark/>
          </w:tcPr>
          <w:p w14:paraId="6F65E2B2" w14:textId="77777777" w:rsidR="00F04392" w:rsidRPr="00F04392" w:rsidRDefault="00F04392" w:rsidP="00F04392">
            <w:pPr>
              <w:jc w:val="center"/>
              <w:rPr>
                <w:color w:val="000000"/>
                <w:sz w:val="20"/>
              </w:rPr>
            </w:pPr>
            <w:r w:rsidRPr="00F04392">
              <w:rPr>
                <w:color w:val="000000"/>
                <w:sz w:val="20"/>
              </w:rPr>
              <w:t>2006*</w:t>
            </w:r>
          </w:p>
        </w:tc>
        <w:tc>
          <w:tcPr>
            <w:tcW w:w="960" w:type="dxa"/>
            <w:tcBorders>
              <w:top w:val="double" w:sz="6" w:space="0" w:color="000000"/>
              <w:left w:val="nil"/>
              <w:bottom w:val="double" w:sz="6" w:space="0" w:color="000000"/>
              <w:right w:val="single" w:sz="8" w:space="0" w:color="000000"/>
            </w:tcBorders>
            <w:shd w:val="clear" w:color="auto" w:fill="auto"/>
            <w:vAlign w:val="center"/>
            <w:hideMark/>
          </w:tcPr>
          <w:p w14:paraId="32B6CA9D" w14:textId="77777777" w:rsidR="00F04392" w:rsidRPr="00F04392" w:rsidRDefault="00F04392" w:rsidP="00F04392">
            <w:pPr>
              <w:jc w:val="center"/>
              <w:rPr>
                <w:color w:val="000000"/>
                <w:sz w:val="20"/>
              </w:rPr>
            </w:pPr>
            <w:r w:rsidRPr="00F04392">
              <w:rPr>
                <w:color w:val="000000"/>
                <w:sz w:val="20"/>
              </w:rPr>
              <w:t>2007</w:t>
            </w:r>
          </w:p>
        </w:tc>
        <w:tc>
          <w:tcPr>
            <w:tcW w:w="960" w:type="dxa"/>
            <w:tcBorders>
              <w:top w:val="double" w:sz="6" w:space="0" w:color="000000"/>
              <w:left w:val="nil"/>
              <w:bottom w:val="double" w:sz="6" w:space="0" w:color="000000"/>
              <w:right w:val="single" w:sz="8" w:space="0" w:color="000000"/>
            </w:tcBorders>
            <w:shd w:val="clear" w:color="auto" w:fill="auto"/>
            <w:vAlign w:val="center"/>
            <w:hideMark/>
          </w:tcPr>
          <w:p w14:paraId="2987BDEE" w14:textId="77777777" w:rsidR="00F04392" w:rsidRPr="00F04392" w:rsidRDefault="00F04392" w:rsidP="00F04392">
            <w:pPr>
              <w:jc w:val="center"/>
              <w:rPr>
                <w:color w:val="000000"/>
                <w:sz w:val="20"/>
              </w:rPr>
            </w:pPr>
            <w:r w:rsidRPr="00F04392">
              <w:rPr>
                <w:color w:val="000000"/>
                <w:sz w:val="20"/>
              </w:rPr>
              <w:t>2008**</w:t>
            </w:r>
          </w:p>
        </w:tc>
        <w:tc>
          <w:tcPr>
            <w:tcW w:w="960" w:type="dxa"/>
            <w:tcBorders>
              <w:top w:val="double" w:sz="6" w:space="0" w:color="000000"/>
              <w:left w:val="nil"/>
              <w:bottom w:val="double" w:sz="6" w:space="0" w:color="000000"/>
              <w:right w:val="single" w:sz="8" w:space="0" w:color="000000"/>
            </w:tcBorders>
            <w:shd w:val="clear" w:color="auto" w:fill="auto"/>
            <w:vAlign w:val="center"/>
            <w:hideMark/>
          </w:tcPr>
          <w:p w14:paraId="578E2595" w14:textId="0DCB2EAC" w:rsidR="00F04392" w:rsidRPr="00F04392" w:rsidRDefault="00F04392" w:rsidP="00F04392">
            <w:pPr>
              <w:jc w:val="center"/>
              <w:rPr>
                <w:color w:val="000000"/>
                <w:sz w:val="20"/>
              </w:rPr>
            </w:pPr>
            <w:r w:rsidRPr="00F04392">
              <w:rPr>
                <w:color w:val="000000"/>
                <w:sz w:val="20"/>
              </w:rPr>
              <w:t>2009-201</w:t>
            </w:r>
            <w:r w:rsidR="00027A8C">
              <w:rPr>
                <w:color w:val="000000"/>
                <w:sz w:val="20"/>
              </w:rPr>
              <w:t>7</w:t>
            </w:r>
          </w:p>
        </w:tc>
        <w:tc>
          <w:tcPr>
            <w:tcW w:w="1240" w:type="dxa"/>
            <w:tcBorders>
              <w:top w:val="double" w:sz="6" w:space="0" w:color="000000"/>
              <w:left w:val="nil"/>
              <w:bottom w:val="double" w:sz="6" w:space="0" w:color="000000"/>
              <w:right w:val="double" w:sz="6" w:space="0" w:color="000000"/>
            </w:tcBorders>
            <w:shd w:val="clear" w:color="auto" w:fill="auto"/>
            <w:vAlign w:val="center"/>
            <w:hideMark/>
          </w:tcPr>
          <w:p w14:paraId="0344A1F8" w14:textId="77777777" w:rsidR="00F04392" w:rsidRPr="00F04392" w:rsidRDefault="00F04392" w:rsidP="00F04392">
            <w:pPr>
              <w:jc w:val="center"/>
              <w:rPr>
                <w:color w:val="000000"/>
                <w:sz w:val="20"/>
              </w:rPr>
            </w:pPr>
            <w:r w:rsidRPr="00F04392">
              <w:rPr>
                <w:color w:val="000000"/>
                <w:sz w:val="20"/>
              </w:rPr>
              <w:t>Average/Year</w:t>
            </w:r>
          </w:p>
        </w:tc>
        <w:tc>
          <w:tcPr>
            <w:tcW w:w="960" w:type="dxa"/>
            <w:tcBorders>
              <w:top w:val="nil"/>
              <w:left w:val="nil"/>
              <w:bottom w:val="nil"/>
              <w:right w:val="nil"/>
            </w:tcBorders>
            <w:shd w:val="clear" w:color="auto" w:fill="auto"/>
            <w:vAlign w:val="center"/>
            <w:hideMark/>
          </w:tcPr>
          <w:p w14:paraId="7B065C97" w14:textId="77777777" w:rsidR="00F04392" w:rsidRPr="00F04392" w:rsidRDefault="00F04392" w:rsidP="00F04392">
            <w:pPr>
              <w:jc w:val="center"/>
              <w:rPr>
                <w:color w:val="000000"/>
                <w:sz w:val="20"/>
              </w:rPr>
            </w:pPr>
          </w:p>
        </w:tc>
      </w:tr>
      <w:tr w:rsidR="00F04392" w:rsidRPr="00F04392" w14:paraId="732A9DD2" w14:textId="77777777" w:rsidTr="00027A8C">
        <w:trPr>
          <w:trHeight w:val="882"/>
        </w:trPr>
        <w:tc>
          <w:tcPr>
            <w:tcW w:w="960" w:type="dxa"/>
            <w:tcBorders>
              <w:top w:val="nil"/>
              <w:left w:val="double" w:sz="6" w:space="0" w:color="000000"/>
              <w:bottom w:val="double" w:sz="6" w:space="0" w:color="000000"/>
              <w:right w:val="single" w:sz="8" w:space="0" w:color="000000"/>
            </w:tcBorders>
            <w:shd w:val="clear" w:color="auto" w:fill="auto"/>
            <w:vAlign w:val="center"/>
            <w:hideMark/>
          </w:tcPr>
          <w:p w14:paraId="2D0AB58F" w14:textId="77777777" w:rsidR="00F04392" w:rsidRPr="00F04392" w:rsidRDefault="00F04392" w:rsidP="00F04392">
            <w:pPr>
              <w:jc w:val="center"/>
              <w:rPr>
                <w:b/>
                <w:bCs/>
                <w:color w:val="000000"/>
                <w:sz w:val="20"/>
              </w:rPr>
            </w:pPr>
            <w:r w:rsidRPr="00F04392">
              <w:rPr>
                <w:b/>
                <w:bCs/>
                <w:color w:val="000000"/>
                <w:sz w:val="20"/>
              </w:rPr>
              <w:t xml:space="preserve">Number of Chemicals </w:t>
            </w:r>
          </w:p>
        </w:tc>
        <w:tc>
          <w:tcPr>
            <w:tcW w:w="960" w:type="dxa"/>
            <w:tcBorders>
              <w:top w:val="nil"/>
              <w:left w:val="nil"/>
              <w:bottom w:val="double" w:sz="6" w:space="0" w:color="000000"/>
              <w:right w:val="single" w:sz="8" w:space="0" w:color="000000"/>
            </w:tcBorders>
            <w:shd w:val="clear" w:color="auto" w:fill="auto"/>
            <w:vAlign w:val="center"/>
            <w:hideMark/>
          </w:tcPr>
          <w:p w14:paraId="0EE3FE3A" w14:textId="77777777" w:rsidR="00F04392" w:rsidRPr="00F04392" w:rsidRDefault="00F04392" w:rsidP="00F04392">
            <w:pPr>
              <w:jc w:val="center"/>
              <w:rPr>
                <w:color w:val="000000"/>
                <w:sz w:val="20"/>
              </w:rPr>
            </w:pPr>
            <w:r w:rsidRPr="00F04392">
              <w:rPr>
                <w:color w:val="000000"/>
                <w:sz w:val="20"/>
              </w:rPr>
              <w:t>47</w:t>
            </w:r>
          </w:p>
        </w:tc>
        <w:tc>
          <w:tcPr>
            <w:tcW w:w="960" w:type="dxa"/>
            <w:tcBorders>
              <w:top w:val="nil"/>
              <w:left w:val="nil"/>
              <w:bottom w:val="double" w:sz="6" w:space="0" w:color="000000"/>
              <w:right w:val="single" w:sz="8" w:space="0" w:color="000000"/>
            </w:tcBorders>
            <w:shd w:val="clear" w:color="auto" w:fill="auto"/>
            <w:vAlign w:val="center"/>
            <w:hideMark/>
          </w:tcPr>
          <w:p w14:paraId="5B9CB14A" w14:textId="77777777" w:rsidR="00F04392" w:rsidRPr="00F04392" w:rsidRDefault="00F04392" w:rsidP="00F04392">
            <w:pPr>
              <w:jc w:val="center"/>
              <w:rPr>
                <w:color w:val="000000"/>
                <w:sz w:val="20"/>
              </w:rPr>
            </w:pPr>
            <w:r w:rsidRPr="00F04392">
              <w:rPr>
                <w:color w:val="000000"/>
                <w:sz w:val="20"/>
              </w:rPr>
              <w:t>0</w:t>
            </w:r>
          </w:p>
        </w:tc>
        <w:tc>
          <w:tcPr>
            <w:tcW w:w="960" w:type="dxa"/>
            <w:tcBorders>
              <w:top w:val="nil"/>
              <w:left w:val="nil"/>
              <w:bottom w:val="double" w:sz="6" w:space="0" w:color="000000"/>
              <w:right w:val="single" w:sz="8" w:space="0" w:color="000000"/>
            </w:tcBorders>
            <w:shd w:val="clear" w:color="auto" w:fill="auto"/>
            <w:vAlign w:val="center"/>
            <w:hideMark/>
          </w:tcPr>
          <w:p w14:paraId="254A42E5" w14:textId="77777777" w:rsidR="00F04392" w:rsidRPr="00F04392" w:rsidRDefault="00F04392" w:rsidP="00F04392">
            <w:pPr>
              <w:jc w:val="center"/>
              <w:rPr>
                <w:color w:val="000000"/>
                <w:sz w:val="20"/>
              </w:rPr>
            </w:pPr>
            <w:r w:rsidRPr="00F04392">
              <w:rPr>
                <w:color w:val="000000"/>
                <w:sz w:val="20"/>
              </w:rPr>
              <w:t>15</w:t>
            </w:r>
          </w:p>
        </w:tc>
        <w:tc>
          <w:tcPr>
            <w:tcW w:w="960" w:type="dxa"/>
            <w:tcBorders>
              <w:top w:val="nil"/>
              <w:left w:val="nil"/>
              <w:bottom w:val="double" w:sz="6" w:space="0" w:color="000000"/>
              <w:right w:val="single" w:sz="8" w:space="0" w:color="000000"/>
            </w:tcBorders>
            <w:shd w:val="clear" w:color="auto" w:fill="auto"/>
            <w:vAlign w:val="center"/>
            <w:hideMark/>
          </w:tcPr>
          <w:p w14:paraId="2CF50AF5" w14:textId="77777777" w:rsidR="00F04392" w:rsidRPr="00F04392" w:rsidRDefault="00F04392" w:rsidP="00F04392">
            <w:pPr>
              <w:jc w:val="center"/>
              <w:rPr>
                <w:color w:val="000000"/>
                <w:sz w:val="20"/>
              </w:rPr>
            </w:pPr>
            <w:r w:rsidRPr="00F04392">
              <w:rPr>
                <w:color w:val="000000"/>
                <w:sz w:val="20"/>
              </w:rPr>
              <w:t>0</w:t>
            </w:r>
          </w:p>
        </w:tc>
        <w:tc>
          <w:tcPr>
            <w:tcW w:w="960" w:type="dxa"/>
            <w:tcBorders>
              <w:top w:val="nil"/>
              <w:left w:val="nil"/>
              <w:bottom w:val="double" w:sz="6" w:space="0" w:color="000000"/>
              <w:right w:val="single" w:sz="8" w:space="0" w:color="000000"/>
            </w:tcBorders>
            <w:shd w:val="clear" w:color="auto" w:fill="auto"/>
            <w:vAlign w:val="center"/>
            <w:hideMark/>
          </w:tcPr>
          <w:p w14:paraId="4FB22295" w14:textId="77777777" w:rsidR="00F04392" w:rsidRPr="00F04392" w:rsidRDefault="00F04392" w:rsidP="00F04392">
            <w:pPr>
              <w:jc w:val="center"/>
              <w:rPr>
                <w:color w:val="000000"/>
                <w:sz w:val="20"/>
              </w:rPr>
            </w:pPr>
            <w:r w:rsidRPr="00F04392">
              <w:rPr>
                <w:color w:val="000000"/>
                <w:sz w:val="20"/>
              </w:rPr>
              <w:t>208</w:t>
            </w:r>
          </w:p>
        </w:tc>
        <w:tc>
          <w:tcPr>
            <w:tcW w:w="960" w:type="dxa"/>
            <w:tcBorders>
              <w:top w:val="nil"/>
              <w:left w:val="nil"/>
              <w:bottom w:val="double" w:sz="6" w:space="0" w:color="000000"/>
              <w:right w:val="single" w:sz="8" w:space="0" w:color="000000"/>
            </w:tcBorders>
            <w:shd w:val="clear" w:color="auto" w:fill="auto"/>
            <w:vAlign w:val="center"/>
            <w:hideMark/>
          </w:tcPr>
          <w:p w14:paraId="7FE59633" w14:textId="77777777" w:rsidR="00F04392" w:rsidRPr="00F04392" w:rsidRDefault="00F04392" w:rsidP="00F04392">
            <w:pPr>
              <w:jc w:val="center"/>
              <w:rPr>
                <w:color w:val="000000"/>
                <w:sz w:val="20"/>
              </w:rPr>
            </w:pPr>
            <w:r w:rsidRPr="00F04392">
              <w:rPr>
                <w:color w:val="000000"/>
                <w:sz w:val="20"/>
              </w:rPr>
              <w:t>0</w:t>
            </w:r>
          </w:p>
        </w:tc>
        <w:tc>
          <w:tcPr>
            <w:tcW w:w="960" w:type="dxa"/>
            <w:tcBorders>
              <w:top w:val="nil"/>
              <w:left w:val="nil"/>
              <w:bottom w:val="double" w:sz="6" w:space="0" w:color="000000"/>
              <w:right w:val="single" w:sz="8" w:space="0" w:color="000000"/>
            </w:tcBorders>
            <w:shd w:val="clear" w:color="auto" w:fill="auto"/>
            <w:vAlign w:val="center"/>
            <w:hideMark/>
          </w:tcPr>
          <w:p w14:paraId="25C02E32" w14:textId="77777777" w:rsidR="00F04392" w:rsidRPr="00F04392" w:rsidRDefault="00F04392" w:rsidP="00F04392">
            <w:pPr>
              <w:jc w:val="center"/>
              <w:rPr>
                <w:color w:val="000000"/>
                <w:sz w:val="20"/>
              </w:rPr>
            </w:pPr>
            <w:r w:rsidRPr="00F04392">
              <w:rPr>
                <w:color w:val="000000"/>
                <w:sz w:val="20"/>
              </w:rPr>
              <w:t>12</w:t>
            </w:r>
          </w:p>
        </w:tc>
        <w:tc>
          <w:tcPr>
            <w:tcW w:w="960" w:type="dxa"/>
            <w:tcBorders>
              <w:top w:val="nil"/>
              <w:left w:val="nil"/>
              <w:bottom w:val="double" w:sz="6" w:space="0" w:color="000000"/>
              <w:right w:val="single" w:sz="8" w:space="0" w:color="000000"/>
            </w:tcBorders>
            <w:shd w:val="clear" w:color="auto" w:fill="auto"/>
            <w:vAlign w:val="center"/>
            <w:hideMark/>
          </w:tcPr>
          <w:p w14:paraId="58B8FDD1" w14:textId="77777777" w:rsidR="00F04392" w:rsidRPr="00F04392" w:rsidRDefault="00F04392" w:rsidP="00F04392">
            <w:pPr>
              <w:jc w:val="center"/>
              <w:rPr>
                <w:color w:val="000000"/>
                <w:sz w:val="20"/>
              </w:rPr>
            </w:pPr>
            <w:r w:rsidRPr="00F04392">
              <w:rPr>
                <w:color w:val="000000"/>
                <w:sz w:val="20"/>
              </w:rPr>
              <w:t>0</w:t>
            </w:r>
          </w:p>
        </w:tc>
        <w:tc>
          <w:tcPr>
            <w:tcW w:w="1240" w:type="dxa"/>
            <w:tcBorders>
              <w:top w:val="nil"/>
              <w:left w:val="nil"/>
              <w:bottom w:val="double" w:sz="6" w:space="0" w:color="000000"/>
              <w:right w:val="double" w:sz="6" w:space="0" w:color="000000"/>
            </w:tcBorders>
            <w:shd w:val="clear" w:color="auto" w:fill="auto"/>
            <w:vAlign w:val="center"/>
            <w:hideMark/>
          </w:tcPr>
          <w:p w14:paraId="4BEE29F8" w14:textId="77777777" w:rsidR="00F04392" w:rsidRPr="00F04392" w:rsidRDefault="00F04392" w:rsidP="00F04392">
            <w:pPr>
              <w:jc w:val="center"/>
              <w:rPr>
                <w:color w:val="000000"/>
                <w:sz w:val="20"/>
              </w:rPr>
            </w:pPr>
            <w:r w:rsidRPr="00F04392">
              <w:rPr>
                <w:color w:val="000000"/>
                <w:sz w:val="20"/>
              </w:rPr>
              <w:t>13</w:t>
            </w:r>
          </w:p>
        </w:tc>
        <w:tc>
          <w:tcPr>
            <w:tcW w:w="960" w:type="dxa"/>
            <w:tcBorders>
              <w:top w:val="nil"/>
              <w:left w:val="nil"/>
              <w:bottom w:val="nil"/>
              <w:right w:val="nil"/>
            </w:tcBorders>
            <w:shd w:val="clear" w:color="auto" w:fill="auto"/>
            <w:vAlign w:val="center"/>
            <w:hideMark/>
          </w:tcPr>
          <w:p w14:paraId="0ACCF048" w14:textId="77777777" w:rsidR="00F04392" w:rsidRPr="00F04392" w:rsidRDefault="00F04392" w:rsidP="00F04392">
            <w:pPr>
              <w:jc w:val="center"/>
              <w:rPr>
                <w:color w:val="000000"/>
                <w:sz w:val="20"/>
              </w:rPr>
            </w:pPr>
          </w:p>
        </w:tc>
      </w:tr>
      <w:tr w:rsidR="00F04392" w:rsidRPr="00F04392" w14:paraId="6A4BF4D9" w14:textId="77777777" w:rsidTr="00F04392">
        <w:trPr>
          <w:trHeight w:val="1584"/>
        </w:trPr>
        <w:tc>
          <w:tcPr>
            <w:tcW w:w="9880" w:type="dxa"/>
            <w:gridSpan w:val="10"/>
            <w:tcBorders>
              <w:top w:val="double" w:sz="6" w:space="0" w:color="000000"/>
              <w:left w:val="double" w:sz="6" w:space="0" w:color="000000"/>
              <w:bottom w:val="double" w:sz="6" w:space="0" w:color="auto"/>
              <w:right w:val="double" w:sz="6" w:space="0" w:color="000000"/>
            </w:tcBorders>
            <w:shd w:val="clear" w:color="auto" w:fill="auto"/>
            <w:vAlign w:val="center"/>
            <w:hideMark/>
          </w:tcPr>
          <w:p w14:paraId="44F56CD0" w14:textId="435D547C" w:rsidR="00F04392" w:rsidRPr="00F04392" w:rsidRDefault="00F04392" w:rsidP="00D92870">
            <w:pPr>
              <w:rPr>
                <w:color w:val="000000"/>
                <w:sz w:val="20"/>
              </w:rPr>
            </w:pPr>
            <w:r w:rsidRPr="00F04392">
              <w:rPr>
                <w:color w:val="000000"/>
                <w:sz w:val="20"/>
              </w:rPr>
              <w:t xml:space="preserve">* EPA issued a TSCA section 8(d) rule (71 </w:t>
            </w:r>
            <w:r w:rsidRPr="00F04392">
              <w:rPr>
                <w:color w:val="000000"/>
                <w:sz w:val="20"/>
                <w:u w:val="single"/>
              </w:rPr>
              <w:t>FR</w:t>
            </w:r>
            <w:r w:rsidRPr="00F04392">
              <w:rPr>
                <w:color w:val="000000"/>
                <w:sz w:val="20"/>
              </w:rPr>
              <w:t xml:space="preserve"> 47130) on August 16, 2006 for 243 HPV chemicals that were not sponsored in the voluntary portion of the HPV Challenge Program. EPA later withdrew 33 of these chemicals in a final rule issued on September 29, 2006 (71</w:t>
            </w:r>
            <w:r w:rsidRPr="00F04392">
              <w:rPr>
                <w:color w:val="000000"/>
                <w:sz w:val="20"/>
                <w:u w:val="single"/>
              </w:rPr>
              <w:t xml:space="preserve"> FR </w:t>
            </w:r>
            <w:r w:rsidRPr="00F04392">
              <w:rPr>
                <w:color w:val="000000"/>
                <w:sz w:val="20"/>
              </w:rPr>
              <w:t xml:space="preserve">57439). In a subsequent direct final rule issued on April 30, 2007, EPA removed two additional chemicals (72 </w:t>
            </w:r>
            <w:r w:rsidRPr="00F04392">
              <w:rPr>
                <w:color w:val="000000"/>
                <w:sz w:val="20"/>
                <w:u w:val="single"/>
              </w:rPr>
              <w:t>FR</w:t>
            </w:r>
            <w:r w:rsidRPr="00F04392">
              <w:rPr>
                <w:color w:val="000000"/>
                <w:sz w:val="20"/>
              </w:rPr>
              <w:t xml:space="preserve"> 21119), resulting in a total of 208 chemicals subject to Section 8(d) reporting.  (**) </w:t>
            </w:r>
            <w:r w:rsidR="00D92870">
              <w:rPr>
                <w:color w:val="000000"/>
                <w:sz w:val="20"/>
              </w:rPr>
              <w:t>The TSCA Interagency Testing Committee added Lead and Lead Compounds to the Priority List as part of its 60</w:t>
            </w:r>
            <w:r w:rsidR="00D92870" w:rsidRPr="00042873">
              <w:rPr>
                <w:color w:val="000000"/>
                <w:sz w:val="20"/>
                <w:vertAlign w:val="superscript"/>
              </w:rPr>
              <w:t>th</w:t>
            </w:r>
            <w:r w:rsidR="00D92870">
              <w:rPr>
                <w:color w:val="000000"/>
                <w:sz w:val="20"/>
              </w:rPr>
              <w:t xml:space="preserve"> ITC Report. Based on this addition, EPA issued</w:t>
            </w:r>
            <w:r w:rsidRPr="00F04392">
              <w:rPr>
                <w:color w:val="000000"/>
                <w:sz w:val="20"/>
              </w:rPr>
              <w:t xml:space="preserve"> a final rule on January 20, 2008 (73 FR 5190)</w:t>
            </w:r>
            <w:r w:rsidR="00D92870">
              <w:rPr>
                <w:color w:val="000000"/>
                <w:sz w:val="20"/>
              </w:rPr>
              <w:t xml:space="preserve"> which</w:t>
            </w:r>
            <w:r w:rsidRPr="00F04392">
              <w:rPr>
                <w:color w:val="000000"/>
                <w:sz w:val="20"/>
              </w:rPr>
              <w:t xml:space="preserve"> add</w:t>
            </w:r>
            <w:r w:rsidR="00D92870">
              <w:rPr>
                <w:color w:val="000000"/>
                <w:sz w:val="20"/>
              </w:rPr>
              <w:t>ed</w:t>
            </w:r>
            <w:r w:rsidRPr="00F04392">
              <w:rPr>
                <w:color w:val="000000"/>
                <w:sz w:val="20"/>
              </w:rPr>
              <w:t xml:space="preserve"> 12 Lead and Lead compounds t</w:t>
            </w:r>
            <w:r w:rsidR="007964D3">
              <w:rPr>
                <w:color w:val="000000"/>
                <w:sz w:val="20"/>
              </w:rPr>
              <w:t>o 40 CFR 716.120</w:t>
            </w:r>
            <w:r w:rsidR="00D92870">
              <w:rPr>
                <w:color w:val="000000"/>
                <w:sz w:val="20"/>
              </w:rPr>
              <w:t>.</w:t>
            </w:r>
            <w:r w:rsidRPr="00F04392">
              <w:rPr>
                <w:color w:val="000000"/>
                <w:sz w:val="20"/>
              </w:rPr>
              <w:t xml:space="preserve">  </w:t>
            </w:r>
          </w:p>
        </w:tc>
        <w:tc>
          <w:tcPr>
            <w:tcW w:w="960" w:type="dxa"/>
            <w:tcBorders>
              <w:top w:val="nil"/>
              <w:left w:val="nil"/>
              <w:bottom w:val="nil"/>
              <w:right w:val="nil"/>
            </w:tcBorders>
            <w:shd w:val="clear" w:color="auto" w:fill="auto"/>
            <w:vAlign w:val="center"/>
            <w:hideMark/>
          </w:tcPr>
          <w:p w14:paraId="165C3438" w14:textId="77777777" w:rsidR="00F04392" w:rsidRPr="00F04392" w:rsidRDefault="00F04392" w:rsidP="00F04392">
            <w:pPr>
              <w:rPr>
                <w:color w:val="000000"/>
                <w:sz w:val="20"/>
              </w:rPr>
            </w:pPr>
          </w:p>
        </w:tc>
      </w:tr>
    </w:tbl>
    <w:p w14:paraId="160C438D" w14:textId="660B5AE3" w:rsidR="003F63AD" w:rsidRDefault="003F63AD">
      <w:pPr>
        <w:widowControl w:val="0"/>
        <w:rPr>
          <w:color w:val="000000"/>
        </w:rPr>
      </w:pPr>
    </w:p>
    <w:p w14:paraId="0D15DEF1" w14:textId="420B36E7" w:rsidR="00370EB5" w:rsidRDefault="007334DA" w:rsidP="004B15BB">
      <w:pPr>
        <w:keepNext/>
        <w:ind w:firstLine="720"/>
      </w:pPr>
      <w:r>
        <w:rPr>
          <w:color w:val="000000"/>
        </w:rPr>
        <w:t>M</w:t>
      </w:r>
      <w:r w:rsidR="000C1C6D">
        <w:rPr>
          <w:color w:val="000000"/>
        </w:rPr>
        <w:t xml:space="preserve">oreover, to characterize the </w:t>
      </w:r>
      <w:r w:rsidR="00214C02">
        <w:rPr>
          <w:color w:val="000000"/>
        </w:rPr>
        <w:t xml:space="preserve">reporting </w:t>
      </w:r>
      <w:r w:rsidR="00E54D91">
        <w:rPr>
          <w:color w:val="000000"/>
        </w:rPr>
        <w:t xml:space="preserve">implications per chemical </w:t>
      </w:r>
      <w:r w:rsidR="00214C02">
        <w:rPr>
          <w:color w:val="000000"/>
        </w:rPr>
        <w:t xml:space="preserve">addition associated with </w:t>
      </w:r>
      <w:r w:rsidR="000C1C6D">
        <w:rPr>
          <w:color w:val="000000"/>
        </w:rPr>
        <w:t>Section 8(d) reporting</w:t>
      </w:r>
      <w:r w:rsidR="00D837D2">
        <w:t>,</w:t>
      </w:r>
      <w:r w:rsidR="000C1C6D">
        <w:t xml:space="preserve"> this analysis use</w:t>
      </w:r>
      <w:r w:rsidR="00E54D91">
        <w:t>s</w:t>
      </w:r>
      <w:r w:rsidR="000C1C6D">
        <w:t xml:space="preserve"> TSCA </w:t>
      </w:r>
      <w:r w:rsidR="000869DB">
        <w:t>Inventory Update Rule</w:t>
      </w:r>
      <w:r w:rsidR="000C1C6D">
        <w:t xml:space="preserve"> data from the 1998, 2002, </w:t>
      </w:r>
      <w:r w:rsidR="00C21653">
        <w:t xml:space="preserve">and </w:t>
      </w:r>
      <w:r w:rsidR="000C1C6D">
        <w:t>2006</w:t>
      </w:r>
      <w:r w:rsidR="00C21653">
        <w:t xml:space="preserve"> reporting cycles</w:t>
      </w:r>
      <w:r w:rsidR="004F6C43">
        <w:t xml:space="preserve">, and </w:t>
      </w:r>
      <w:r w:rsidR="00C21653">
        <w:t xml:space="preserve">Chemical Data Reporting Rule data from the </w:t>
      </w:r>
      <w:r w:rsidR="004F6C43">
        <w:t>20</w:t>
      </w:r>
      <w:r w:rsidR="003C7ADB">
        <w:t>12</w:t>
      </w:r>
      <w:r w:rsidR="000C1C6D">
        <w:t xml:space="preserve"> reporting cycle.</w:t>
      </w:r>
      <w:r w:rsidR="00BD554F">
        <w:rPr>
          <w:rStyle w:val="FootnoteReference"/>
          <w:color w:val="000000"/>
        </w:rPr>
        <w:footnoteReference w:id="1"/>
      </w:r>
      <w:r w:rsidR="000C1C6D">
        <w:t xml:space="preserve"> </w:t>
      </w:r>
      <w:r w:rsidR="00E54D91">
        <w:t xml:space="preserve">Table </w:t>
      </w:r>
      <w:r w:rsidR="00C85187">
        <w:t>2</w:t>
      </w:r>
      <w:r w:rsidR="00E54D91">
        <w:t xml:space="preserve"> summarizes the models and bases, as appli</w:t>
      </w:r>
      <w:r w:rsidR="00D837D2">
        <w:t>ed to the 201</w:t>
      </w:r>
      <w:r w:rsidR="004F6C43">
        <w:t>8</w:t>
      </w:r>
      <w:r w:rsidR="00D837D2">
        <w:t>-20</w:t>
      </w:r>
      <w:r w:rsidR="004F6C43">
        <w:t>21</w:t>
      </w:r>
      <w:r w:rsidR="00D837D2">
        <w:t xml:space="preserve"> </w:t>
      </w:r>
      <w:r w:rsidR="00E54D91">
        <w:t xml:space="preserve">ICR </w:t>
      </w:r>
      <w:r w:rsidR="00975160">
        <w:t>r</w:t>
      </w:r>
      <w:r w:rsidR="00E54D91">
        <w:t>enewal.</w:t>
      </w:r>
      <w:r w:rsidR="00332567" w:rsidDel="00332567">
        <w:t xml:space="preserve"> </w:t>
      </w:r>
    </w:p>
    <w:p w14:paraId="1C8E3E0E" w14:textId="477B2F25" w:rsidR="00370EB5" w:rsidRDefault="00370EB5" w:rsidP="00A411E8">
      <w:pPr>
        <w:widowControl w:val="0"/>
      </w:pPr>
    </w:p>
    <w:tbl>
      <w:tblPr>
        <w:tblW w:w="11340" w:type="dxa"/>
        <w:tblInd w:w="-540" w:type="dxa"/>
        <w:tblLook w:val="04A0" w:firstRow="1" w:lastRow="0" w:firstColumn="1" w:lastColumn="0" w:noHBand="0" w:noVBand="1"/>
      </w:tblPr>
      <w:tblGrid>
        <w:gridCol w:w="2340"/>
        <w:gridCol w:w="2250"/>
        <w:gridCol w:w="1890"/>
        <w:gridCol w:w="1980"/>
        <w:gridCol w:w="1710"/>
        <w:gridCol w:w="1170"/>
      </w:tblGrid>
      <w:tr w:rsidR="00370EB5" w:rsidRPr="00370EB5" w14:paraId="65D52D2D" w14:textId="77777777" w:rsidTr="004B15BB">
        <w:trPr>
          <w:trHeight w:val="324"/>
        </w:trPr>
        <w:tc>
          <w:tcPr>
            <w:tcW w:w="6480" w:type="dxa"/>
            <w:gridSpan w:val="3"/>
            <w:tcBorders>
              <w:top w:val="nil"/>
              <w:left w:val="nil"/>
              <w:bottom w:val="double" w:sz="6" w:space="0" w:color="auto"/>
              <w:right w:val="nil"/>
            </w:tcBorders>
            <w:shd w:val="clear" w:color="auto" w:fill="auto"/>
            <w:noWrap/>
            <w:vAlign w:val="center"/>
            <w:hideMark/>
          </w:tcPr>
          <w:p w14:paraId="72392F69" w14:textId="77777777" w:rsidR="00370EB5" w:rsidRPr="00370EB5" w:rsidRDefault="00370EB5" w:rsidP="00370EB5">
            <w:pPr>
              <w:rPr>
                <w:b/>
                <w:bCs/>
                <w:color w:val="000000"/>
                <w:szCs w:val="24"/>
              </w:rPr>
            </w:pPr>
            <w:r w:rsidRPr="00370EB5">
              <w:rPr>
                <w:b/>
                <w:bCs/>
                <w:color w:val="000000"/>
                <w:szCs w:val="24"/>
              </w:rPr>
              <w:t>Table 2:  Reporting Implications per Chemical Added</w:t>
            </w:r>
          </w:p>
        </w:tc>
        <w:tc>
          <w:tcPr>
            <w:tcW w:w="1980" w:type="dxa"/>
            <w:tcBorders>
              <w:top w:val="nil"/>
              <w:left w:val="nil"/>
              <w:bottom w:val="double" w:sz="6" w:space="0" w:color="auto"/>
              <w:right w:val="nil"/>
            </w:tcBorders>
            <w:shd w:val="clear" w:color="auto" w:fill="auto"/>
            <w:noWrap/>
            <w:vAlign w:val="bottom"/>
            <w:hideMark/>
          </w:tcPr>
          <w:p w14:paraId="16DCB2E0" w14:textId="77777777" w:rsidR="00370EB5" w:rsidRPr="00370EB5" w:rsidRDefault="00370EB5" w:rsidP="00370EB5">
            <w:pPr>
              <w:rPr>
                <w:color w:val="000000"/>
                <w:sz w:val="20"/>
              </w:rPr>
            </w:pPr>
            <w:r w:rsidRPr="00370EB5">
              <w:rPr>
                <w:color w:val="000000"/>
                <w:sz w:val="20"/>
              </w:rPr>
              <w:t> </w:t>
            </w:r>
          </w:p>
        </w:tc>
        <w:tc>
          <w:tcPr>
            <w:tcW w:w="1710" w:type="dxa"/>
            <w:tcBorders>
              <w:top w:val="nil"/>
              <w:left w:val="nil"/>
              <w:bottom w:val="double" w:sz="6" w:space="0" w:color="auto"/>
              <w:right w:val="nil"/>
            </w:tcBorders>
            <w:shd w:val="clear" w:color="auto" w:fill="auto"/>
            <w:noWrap/>
            <w:vAlign w:val="bottom"/>
            <w:hideMark/>
          </w:tcPr>
          <w:p w14:paraId="2BC70C39" w14:textId="77777777" w:rsidR="00370EB5" w:rsidRPr="00370EB5" w:rsidRDefault="00370EB5" w:rsidP="00370EB5">
            <w:pPr>
              <w:rPr>
                <w:color w:val="000000"/>
                <w:sz w:val="20"/>
              </w:rPr>
            </w:pPr>
            <w:r w:rsidRPr="00370EB5">
              <w:rPr>
                <w:color w:val="000000"/>
                <w:sz w:val="20"/>
              </w:rPr>
              <w:t> </w:t>
            </w:r>
          </w:p>
        </w:tc>
        <w:tc>
          <w:tcPr>
            <w:tcW w:w="1170" w:type="dxa"/>
            <w:tcBorders>
              <w:top w:val="nil"/>
              <w:left w:val="nil"/>
              <w:bottom w:val="double" w:sz="6" w:space="0" w:color="auto"/>
              <w:right w:val="nil"/>
            </w:tcBorders>
            <w:shd w:val="clear" w:color="auto" w:fill="auto"/>
            <w:noWrap/>
            <w:vAlign w:val="bottom"/>
            <w:hideMark/>
          </w:tcPr>
          <w:p w14:paraId="0E2CC02D" w14:textId="77777777" w:rsidR="00370EB5" w:rsidRPr="00370EB5" w:rsidRDefault="00370EB5" w:rsidP="00370EB5">
            <w:pPr>
              <w:rPr>
                <w:color w:val="000000"/>
                <w:sz w:val="20"/>
              </w:rPr>
            </w:pPr>
            <w:r w:rsidRPr="00370EB5">
              <w:rPr>
                <w:color w:val="000000"/>
                <w:sz w:val="20"/>
              </w:rPr>
              <w:t> </w:t>
            </w:r>
          </w:p>
        </w:tc>
      </w:tr>
      <w:tr w:rsidR="00370EB5" w:rsidRPr="00370EB5" w14:paraId="05817F7C" w14:textId="77777777" w:rsidTr="004B15BB">
        <w:trPr>
          <w:trHeight w:val="1080"/>
        </w:trPr>
        <w:tc>
          <w:tcPr>
            <w:tcW w:w="2340" w:type="dxa"/>
            <w:tcBorders>
              <w:top w:val="nil"/>
              <w:left w:val="double" w:sz="6" w:space="0" w:color="auto"/>
              <w:bottom w:val="double" w:sz="6" w:space="0" w:color="auto"/>
              <w:right w:val="single" w:sz="4" w:space="0" w:color="auto"/>
            </w:tcBorders>
            <w:shd w:val="clear" w:color="auto" w:fill="auto"/>
            <w:vAlign w:val="center"/>
            <w:hideMark/>
          </w:tcPr>
          <w:p w14:paraId="1AC7AE6A" w14:textId="77777777" w:rsidR="00B06471" w:rsidRPr="004B15BB" w:rsidRDefault="00370EB5" w:rsidP="00370EB5">
            <w:pPr>
              <w:jc w:val="center"/>
              <w:rPr>
                <w:b/>
                <w:bCs/>
                <w:color w:val="000000"/>
                <w:sz w:val="18"/>
                <w:szCs w:val="18"/>
              </w:rPr>
            </w:pPr>
            <w:r w:rsidRPr="004B15BB">
              <w:rPr>
                <w:b/>
                <w:bCs/>
                <w:color w:val="000000"/>
                <w:sz w:val="18"/>
                <w:szCs w:val="18"/>
              </w:rPr>
              <w:t xml:space="preserve">Generic </w:t>
            </w:r>
          </w:p>
          <w:p w14:paraId="3E330558" w14:textId="497EA689" w:rsidR="00370EB5" w:rsidRPr="004B15BB" w:rsidRDefault="00370EB5" w:rsidP="00370EB5">
            <w:pPr>
              <w:jc w:val="center"/>
              <w:rPr>
                <w:b/>
                <w:bCs/>
                <w:color w:val="000000"/>
                <w:sz w:val="18"/>
                <w:szCs w:val="18"/>
              </w:rPr>
            </w:pPr>
            <w:r w:rsidRPr="004B15BB">
              <w:rPr>
                <w:b/>
                <w:bCs/>
                <w:color w:val="000000"/>
                <w:sz w:val="18"/>
                <w:szCs w:val="18"/>
              </w:rPr>
              <w:t xml:space="preserve">Model </w:t>
            </w:r>
          </w:p>
        </w:tc>
        <w:tc>
          <w:tcPr>
            <w:tcW w:w="2250" w:type="dxa"/>
            <w:tcBorders>
              <w:top w:val="nil"/>
              <w:left w:val="single" w:sz="4" w:space="0" w:color="auto"/>
              <w:bottom w:val="double" w:sz="6" w:space="0" w:color="auto"/>
              <w:right w:val="single" w:sz="4" w:space="0" w:color="auto"/>
            </w:tcBorders>
            <w:shd w:val="clear" w:color="auto" w:fill="auto"/>
            <w:vAlign w:val="center"/>
            <w:hideMark/>
          </w:tcPr>
          <w:p w14:paraId="4660CD52" w14:textId="77777777" w:rsidR="00370EB5" w:rsidRPr="004B15BB" w:rsidRDefault="00370EB5" w:rsidP="00370EB5">
            <w:pPr>
              <w:jc w:val="center"/>
              <w:rPr>
                <w:b/>
                <w:bCs/>
                <w:color w:val="000000"/>
                <w:sz w:val="18"/>
                <w:szCs w:val="18"/>
              </w:rPr>
            </w:pPr>
            <w:r w:rsidRPr="004B15BB">
              <w:rPr>
                <w:b/>
                <w:bCs/>
                <w:color w:val="000000"/>
                <w:sz w:val="18"/>
                <w:szCs w:val="18"/>
              </w:rPr>
              <w:t>ICR 2015-18               Model Sources</w:t>
            </w:r>
          </w:p>
        </w:tc>
        <w:tc>
          <w:tcPr>
            <w:tcW w:w="1890" w:type="dxa"/>
            <w:tcBorders>
              <w:top w:val="nil"/>
              <w:left w:val="single" w:sz="4" w:space="0" w:color="auto"/>
              <w:bottom w:val="double" w:sz="6" w:space="0" w:color="auto"/>
              <w:right w:val="single" w:sz="4" w:space="0" w:color="auto"/>
            </w:tcBorders>
            <w:shd w:val="clear" w:color="auto" w:fill="auto"/>
            <w:vAlign w:val="center"/>
            <w:hideMark/>
          </w:tcPr>
          <w:p w14:paraId="0AB1A027" w14:textId="77777777" w:rsidR="00370EB5" w:rsidRPr="004B15BB" w:rsidRDefault="00370EB5" w:rsidP="00370EB5">
            <w:pPr>
              <w:jc w:val="center"/>
              <w:rPr>
                <w:b/>
                <w:bCs/>
                <w:color w:val="000000"/>
                <w:sz w:val="18"/>
                <w:szCs w:val="18"/>
              </w:rPr>
            </w:pPr>
            <w:r w:rsidRPr="004B15BB">
              <w:rPr>
                <w:b/>
                <w:bCs/>
                <w:color w:val="000000"/>
                <w:sz w:val="18"/>
                <w:szCs w:val="18"/>
              </w:rPr>
              <w:t>ICR                                                2015-2018                                        Detailed Model</w:t>
            </w:r>
          </w:p>
        </w:tc>
        <w:tc>
          <w:tcPr>
            <w:tcW w:w="1980" w:type="dxa"/>
            <w:tcBorders>
              <w:top w:val="nil"/>
              <w:left w:val="single" w:sz="4" w:space="0" w:color="auto"/>
              <w:bottom w:val="double" w:sz="6" w:space="0" w:color="auto"/>
              <w:right w:val="single" w:sz="4" w:space="0" w:color="auto"/>
            </w:tcBorders>
            <w:shd w:val="clear" w:color="auto" w:fill="auto"/>
            <w:vAlign w:val="center"/>
            <w:hideMark/>
          </w:tcPr>
          <w:p w14:paraId="5B59B815" w14:textId="77777777" w:rsidR="00370EB5" w:rsidRPr="004B15BB" w:rsidRDefault="00370EB5" w:rsidP="00370EB5">
            <w:pPr>
              <w:jc w:val="center"/>
              <w:rPr>
                <w:b/>
                <w:bCs/>
                <w:color w:val="000000"/>
                <w:sz w:val="18"/>
                <w:szCs w:val="18"/>
              </w:rPr>
            </w:pPr>
            <w:r w:rsidRPr="004B15BB">
              <w:rPr>
                <w:b/>
                <w:bCs/>
                <w:color w:val="000000"/>
                <w:sz w:val="18"/>
                <w:szCs w:val="18"/>
              </w:rPr>
              <w:t>ICR 2018-21               Model Sources</w:t>
            </w:r>
          </w:p>
        </w:tc>
        <w:tc>
          <w:tcPr>
            <w:tcW w:w="1710" w:type="dxa"/>
            <w:tcBorders>
              <w:top w:val="nil"/>
              <w:left w:val="single" w:sz="4" w:space="0" w:color="auto"/>
              <w:bottom w:val="double" w:sz="6" w:space="0" w:color="auto"/>
              <w:right w:val="single" w:sz="4" w:space="0" w:color="auto"/>
            </w:tcBorders>
            <w:shd w:val="clear" w:color="auto" w:fill="auto"/>
            <w:vAlign w:val="center"/>
            <w:hideMark/>
          </w:tcPr>
          <w:p w14:paraId="1BF7D526" w14:textId="77777777" w:rsidR="00370EB5" w:rsidRPr="004B15BB" w:rsidRDefault="00370EB5" w:rsidP="00370EB5">
            <w:pPr>
              <w:jc w:val="center"/>
              <w:rPr>
                <w:b/>
                <w:bCs/>
                <w:color w:val="000000"/>
                <w:sz w:val="18"/>
                <w:szCs w:val="18"/>
              </w:rPr>
            </w:pPr>
            <w:r w:rsidRPr="004B15BB">
              <w:rPr>
                <w:b/>
                <w:bCs/>
                <w:color w:val="000000"/>
                <w:sz w:val="18"/>
                <w:szCs w:val="18"/>
              </w:rPr>
              <w:t>ICR                                                2018-2021                                        Detailed Model</w:t>
            </w:r>
          </w:p>
        </w:tc>
        <w:tc>
          <w:tcPr>
            <w:tcW w:w="1170" w:type="dxa"/>
            <w:tcBorders>
              <w:top w:val="nil"/>
              <w:left w:val="single" w:sz="4" w:space="0" w:color="auto"/>
              <w:bottom w:val="double" w:sz="6" w:space="0" w:color="auto"/>
              <w:right w:val="double" w:sz="6" w:space="0" w:color="auto"/>
            </w:tcBorders>
            <w:shd w:val="clear" w:color="auto" w:fill="auto"/>
            <w:vAlign w:val="center"/>
            <w:hideMark/>
          </w:tcPr>
          <w:p w14:paraId="0DB8CC47" w14:textId="77777777" w:rsidR="00370EB5" w:rsidRPr="004B15BB" w:rsidRDefault="00370EB5" w:rsidP="00370EB5">
            <w:pPr>
              <w:jc w:val="center"/>
              <w:rPr>
                <w:b/>
                <w:bCs/>
                <w:color w:val="000000"/>
                <w:sz w:val="18"/>
                <w:szCs w:val="18"/>
              </w:rPr>
            </w:pPr>
            <w:r w:rsidRPr="004B15BB">
              <w:rPr>
                <w:b/>
                <w:bCs/>
                <w:color w:val="000000"/>
                <w:sz w:val="18"/>
                <w:szCs w:val="18"/>
              </w:rPr>
              <w:t>BASIS ICR 2018-2021</w:t>
            </w:r>
          </w:p>
        </w:tc>
      </w:tr>
      <w:tr w:rsidR="00370EB5" w:rsidRPr="00370EB5" w14:paraId="172BBB43" w14:textId="77777777" w:rsidTr="004B15BB">
        <w:trPr>
          <w:trHeight w:val="1062"/>
        </w:trPr>
        <w:tc>
          <w:tcPr>
            <w:tcW w:w="2340" w:type="dxa"/>
            <w:tcBorders>
              <w:top w:val="nil"/>
              <w:left w:val="double" w:sz="6" w:space="0" w:color="auto"/>
              <w:bottom w:val="single" w:sz="4" w:space="0" w:color="auto"/>
              <w:right w:val="single" w:sz="4" w:space="0" w:color="auto"/>
            </w:tcBorders>
            <w:shd w:val="clear" w:color="auto" w:fill="auto"/>
            <w:vAlign w:val="center"/>
            <w:hideMark/>
          </w:tcPr>
          <w:p w14:paraId="54047AA8" w14:textId="77777777" w:rsidR="00370EB5" w:rsidRPr="004B15BB" w:rsidRDefault="00370EB5" w:rsidP="00BF0540">
            <w:pPr>
              <w:rPr>
                <w:color w:val="000000"/>
                <w:sz w:val="18"/>
                <w:szCs w:val="18"/>
              </w:rPr>
            </w:pPr>
            <w:r w:rsidRPr="004B15BB">
              <w:rPr>
                <w:color w:val="000000"/>
                <w:sz w:val="18"/>
                <w:szCs w:val="18"/>
              </w:rPr>
              <w:t>Number of firms potentially impacted per chemical</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14:paraId="4AE26B3A" w14:textId="77777777" w:rsidR="00370EB5" w:rsidRPr="00B37CA3" w:rsidRDefault="00370EB5" w:rsidP="00BF0540">
            <w:pPr>
              <w:rPr>
                <w:color w:val="000000"/>
                <w:sz w:val="18"/>
                <w:szCs w:val="18"/>
              </w:rPr>
            </w:pPr>
            <w:r w:rsidRPr="00BF0540">
              <w:rPr>
                <w:color w:val="000000"/>
                <w:sz w:val="18"/>
                <w:szCs w:val="18"/>
              </w:rPr>
              <w:t>TSCA IUR data, all manufacturers 1998, 2002, 2006: 344 firms associated with 208 chemicals</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68BEE23" w14:textId="43461322" w:rsidR="00370EB5" w:rsidRPr="004B15BB" w:rsidRDefault="007334DA" w:rsidP="00BF0540">
            <w:pPr>
              <w:rPr>
                <w:sz w:val="18"/>
                <w:szCs w:val="18"/>
              </w:rPr>
            </w:pPr>
            <w:r>
              <w:rPr>
                <w:sz w:val="18"/>
                <w:szCs w:val="18"/>
              </w:rPr>
              <w:t>344 firms / 208 chemicals = 1.7</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6FED4E2C" w14:textId="7646FDAC" w:rsidR="00370EB5" w:rsidRPr="00B37CA3" w:rsidRDefault="00370EB5" w:rsidP="004B15BB">
            <w:pPr>
              <w:rPr>
                <w:color w:val="000000"/>
                <w:sz w:val="18"/>
                <w:szCs w:val="18"/>
              </w:rPr>
            </w:pPr>
            <w:r w:rsidRPr="00BF0540">
              <w:rPr>
                <w:color w:val="000000"/>
                <w:sz w:val="18"/>
                <w:szCs w:val="18"/>
              </w:rPr>
              <w:t>TSCA IUR</w:t>
            </w:r>
            <w:r w:rsidR="003C7ADB" w:rsidRPr="00BF0540">
              <w:rPr>
                <w:color w:val="000000"/>
                <w:sz w:val="18"/>
                <w:szCs w:val="18"/>
              </w:rPr>
              <w:t>/CDR</w:t>
            </w:r>
            <w:r w:rsidRPr="00BF0540">
              <w:rPr>
                <w:color w:val="000000"/>
                <w:sz w:val="18"/>
                <w:szCs w:val="18"/>
              </w:rPr>
              <w:t xml:space="preserve"> data, all manufacturers 1998, 2002, </w:t>
            </w:r>
            <w:r w:rsidRPr="00B37CA3">
              <w:rPr>
                <w:color w:val="000000"/>
                <w:sz w:val="18"/>
                <w:szCs w:val="18"/>
              </w:rPr>
              <w:t>2006, 20</w:t>
            </w:r>
            <w:r w:rsidR="003C7ADB" w:rsidRPr="00B37CA3">
              <w:rPr>
                <w:color w:val="000000"/>
                <w:sz w:val="18"/>
                <w:szCs w:val="18"/>
              </w:rPr>
              <w:t>12</w:t>
            </w:r>
            <w:r w:rsidRPr="00B37CA3">
              <w:rPr>
                <w:color w:val="000000"/>
                <w:sz w:val="18"/>
                <w:szCs w:val="18"/>
              </w:rPr>
              <w:t>: 348 firms associated with 220 chemicals</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7DDCF1C8" w14:textId="6492A5F0" w:rsidR="00370EB5" w:rsidRPr="004B15BB" w:rsidRDefault="007334DA" w:rsidP="00BF0540">
            <w:pPr>
              <w:rPr>
                <w:sz w:val="18"/>
                <w:szCs w:val="18"/>
              </w:rPr>
            </w:pPr>
            <w:r w:rsidRPr="004B15BB">
              <w:rPr>
                <w:sz w:val="18"/>
                <w:szCs w:val="18"/>
              </w:rPr>
              <w:t xml:space="preserve">348 firms / 220 chemicals </w:t>
            </w:r>
          </w:p>
        </w:tc>
        <w:tc>
          <w:tcPr>
            <w:tcW w:w="1170" w:type="dxa"/>
            <w:tcBorders>
              <w:top w:val="nil"/>
              <w:left w:val="single" w:sz="4" w:space="0" w:color="auto"/>
              <w:bottom w:val="single" w:sz="4" w:space="0" w:color="auto"/>
              <w:right w:val="double" w:sz="6" w:space="0" w:color="auto"/>
            </w:tcBorders>
            <w:shd w:val="clear" w:color="auto" w:fill="auto"/>
            <w:noWrap/>
            <w:vAlign w:val="center"/>
            <w:hideMark/>
          </w:tcPr>
          <w:p w14:paraId="203472FB" w14:textId="77777777" w:rsidR="00370EB5" w:rsidRPr="004B15BB" w:rsidRDefault="00370EB5" w:rsidP="00BF0540">
            <w:pPr>
              <w:jc w:val="center"/>
              <w:rPr>
                <w:color w:val="000000"/>
                <w:sz w:val="18"/>
                <w:szCs w:val="18"/>
              </w:rPr>
            </w:pPr>
            <w:r w:rsidRPr="004B15BB">
              <w:rPr>
                <w:color w:val="000000"/>
                <w:sz w:val="18"/>
                <w:szCs w:val="18"/>
              </w:rPr>
              <w:t>1.6</w:t>
            </w:r>
          </w:p>
        </w:tc>
      </w:tr>
      <w:tr w:rsidR="00370EB5" w:rsidRPr="00370EB5" w14:paraId="7D1E0BBA" w14:textId="77777777" w:rsidTr="004B15BB">
        <w:trPr>
          <w:trHeight w:val="1268"/>
        </w:trPr>
        <w:tc>
          <w:tcPr>
            <w:tcW w:w="2340"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03BBB609" w14:textId="77777777" w:rsidR="00370EB5" w:rsidRPr="004B15BB" w:rsidRDefault="00370EB5" w:rsidP="00BF0540">
            <w:pPr>
              <w:rPr>
                <w:color w:val="000000"/>
                <w:sz w:val="18"/>
                <w:szCs w:val="18"/>
              </w:rPr>
            </w:pPr>
            <w:r w:rsidRPr="004B15BB">
              <w:rPr>
                <w:color w:val="000000"/>
                <w:sz w:val="18"/>
                <w:szCs w:val="18"/>
              </w:rPr>
              <w:t>Sites per firm</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32FB1" w14:textId="77777777" w:rsidR="00370EB5" w:rsidRPr="00B37CA3" w:rsidRDefault="00370EB5" w:rsidP="00BF0540">
            <w:pPr>
              <w:rPr>
                <w:color w:val="000000"/>
                <w:sz w:val="18"/>
                <w:szCs w:val="18"/>
              </w:rPr>
            </w:pPr>
            <w:r w:rsidRPr="00BF0540">
              <w:rPr>
                <w:color w:val="000000"/>
                <w:sz w:val="18"/>
                <w:szCs w:val="18"/>
              </w:rPr>
              <w:t>TSCA IUR data, all manufacturers 1998, 2002, 2006: 344 firms associated with 208 chemicals; Sites per firm</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092AE" w14:textId="7258E9AC" w:rsidR="00370EB5" w:rsidRPr="004B15BB" w:rsidRDefault="007334DA" w:rsidP="00BF0540">
            <w:pPr>
              <w:rPr>
                <w:rFonts w:ascii="Calibri" w:hAnsi="Calibri" w:cs="Calibri"/>
                <w:sz w:val="18"/>
                <w:szCs w:val="18"/>
              </w:rPr>
            </w:pPr>
            <w:r w:rsidRPr="004B15BB">
              <w:rPr>
                <w:sz w:val="18"/>
                <w:szCs w:val="18"/>
              </w:rPr>
              <w:t>Sites / firm = 1.5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86C9F" w14:textId="1C7EB310" w:rsidR="00370EB5" w:rsidRPr="00B37CA3" w:rsidRDefault="00370EB5" w:rsidP="00BF0540">
            <w:pPr>
              <w:rPr>
                <w:color w:val="000000"/>
                <w:sz w:val="18"/>
                <w:szCs w:val="18"/>
              </w:rPr>
            </w:pPr>
            <w:r w:rsidRPr="00BF0540">
              <w:rPr>
                <w:color w:val="000000"/>
                <w:sz w:val="18"/>
                <w:szCs w:val="18"/>
              </w:rPr>
              <w:t>TSCA IUR</w:t>
            </w:r>
            <w:r w:rsidR="003C7ADB" w:rsidRPr="00BF0540">
              <w:rPr>
                <w:color w:val="000000"/>
                <w:sz w:val="18"/>
                <w:szCs w:val="18"/>
              </w:rPr>
              <w:t>/CDR</w:t>
            </w:r>
            <w:r w:rsidRPr="00BF0540">
              <w:rPr>
                <w:color w:val="000000"/>
                <w:sz w:val="18"/>
                <w:szCs w:val="18"/>
              </w:rPr>
              <w:t xml:space="preserve"> data, all manufacturers 1998, 2002, 2006, 20</w:t>
            </w:r>
            <w:r w:rsidR="003C7ADB" w:rsidRPr="00B37CA3">
              <w:rPr>
                <w:color w:val="000000"/>
                <w:sz w:val="18"/>
                <w:szCs w:val="18"/>
              </w:rPr>
              <w:t>12</w:t>
            </w:r>
            <w:r w:rsidRPr="00B37CA3">
              <w:rPr>
                <w:color w:val="000000"/>
                <w:sz w:val="18"/>
                <w:szCs w:val="18"/>
              </w:rPr>
              <w:t>: 348 firms associated with 220 chemicals; Sites per firm</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BF6B6" w14:textId="7B024170" w:rsidR="00370EB5" w:rsidRPr="004B15BB" w:rsidRDefault="007334DA" w:rsidP="004B15BB">
            <w:pPr>
              <w:rPr>
                <w:color w:val="000000"/>
                <w:sz w:val="18"/>
                <w:szCs w:val="18"/>
              </w:rPr>
            </w:pPr>
            <w:r w:rsidRPr="001768AE">
              <w:rPr>
                <w:sz w:val="18"/>
                <w:szCs w:val="18"/>
              </w:rPr>
              <w:t>Sites / firm = 1.5</w:t>
            </w:r>
            <w:r w:rsidR="00370EB5" w:rsidRPr="004B15BB">
              <w:rPr>
                <w:color w:val="000000"/>
                <w:sz w:val="18"/>
                <w:szCs w:val="18"/>
              </w:rPr>
              <w:t> </w:t>
            </w:r>
          </w:p>
        </w:tc>
        <w:tc>
          <w:tcPr>
            <w:tcW w:w="117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753493FB" w14:textId="77777777" w:rsidR="00370EB5" w:rsidRPr="004B15BB" w:rsidRDefault="00370EB5" w:rsidP="00BF0540">
            <w:pPr>
              <w:jc w:val="center"/>
              <w:rPr>
                <w:color w:val="000000"/>
                <w:sz w:val="18"/>
                <w:szCs w:val="18"/>
              </w:rPr>
            </w:pPr>
            <w:r w:rsidRPr="004B15BB">
              <w:rPr>
                <w:color w:val="000000"/>
                <w:sz w:val="18"/>
                <w:szCs w:val="18"/>
              </w:rPr>
              <w:t>1.5</w:t>
            </w:r>
          </w:p>
        </w:tc>
      </w:tr>
      <w:tr w:rsidR="00370EB5" w:rsidRPr="00370EB5" w14:paraId="49C8B530" w14:textId="77777777" w:rsidTr="004B15BB">
        <w:trPr>
          <w:trHeight w:val="1232"/>
        </w:trPr>
        <w:tc>
          <w:tcPr>
            <w:tcW w:w="2340"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04B4CF0B" w14:textId="77777777" w:rsidR="00370EB5" w:rsidRPr="004B15BB" w:rsidRDefault="00370EB5" w:rsidP="00BF0540">
            <w:pPr>
              <w:rPr>
                <w:color w:val="000000"/>
                <w:sz w:val="18"/>
                <w:szCs w:val="18"/>
              </w:rPr>
            </w:pPr>
            <w:r w:rsidRPr="004B15BB">
              <w:rPr>
                <w:color w:val="000000"/>
                <w:sz w:val="18"/>
                <w:szCs w:val="18"/>
              </w:rPr>
              <w:t>Fraction of firms potentially affected who submit reports of studies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77ED6" w14:textId="77777777" w:rsidR="00370EB5" w:rsidRPr="00B37CA3" w:rsidRDefault="00370EB5" w:rsidP="00BF0540">
            <w:pPr>
              <w:rPr>
                <w:color w:val="000000"/>
                <w:sz w:val="18"/>
                <w:szCs w:val="18"/>
              </w:rPr>
            </w:pPr>
            <w:r w:rsidRPr="00BF0540">
              <w:rPr>
                <w:color w:val="000000"/>
                <w:sz w:val="18"/>
                <w:szCs w:val="18"/>
              </w:rPr>
              <w:t>TSCA IUR data, all manufacturers 1998, 2002, 2006: 59 firms submitted 527 studies associated with 208 chemicals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CB7FC" w14:textId="20956DE9" w:rsidR="00370EB5" w:rsidRPr="004B15BB" w:rsidRDefault="007334DA" w:rsidP="00BF0540">
            <w:pPr>
              <w:rPr>
                <w:sz w:val="18"/>
                <w:szCs w:val="18"/>
              </w:rPr>
            </w:pPr>
            <w:r>
              <w:rPr>
                <w:sz w:val="18"/>
                <w:szCs w:val="18"/>
              </w:rPr>
              <w:t>59 firms submitting reports / 344 firms = 0.17</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EE4C7" w14:textId="43A81ECA" w:rsidR="00370EB5" w:rsidRPr="004B15BB" w:rsidRDefault="00370EB5" w:rsidP="00BF0540">
            <w:pPr>
              <w:rPr>
                <w:color w:val="000000"/>
                <w:sz w:val="18"/>
                <w:szCs w:val="18"/>
              </w:rPr>
            </w:pPr>
            <w:r w:rsidRPr="004B15BB">
              <w:rPr>
                <w:color w:val="000000"/>
                <w:sz w:val="18"/>
                <w:szCs w:val="18"/>
              </w:rPr>
              <w:t>TSCA IUR</w:t>
            </w:r>
            <w:r w:rsidR="003C7ADB" w:rsidRPr="004B15BB">
              <w:rPr>
                <w:color w:val="000000"/>
                <w:sz w:val="18"/>
                <w:szCs w:val="18"/>
              </w:rPr>
              <w:t>/CDR</w:t>
            </w:r>
            <w:r w:rsidRPr="004B15BB">
              <w:rPr>
                <w:color w:val="000000"/>
                <w:sz w:val="18"/>
                <w:szCs w:val="18"/>
              </w:rPr>
              <w:t xml:space="preserve"> data, all manufacturers 1998, 2002, 2006, 20</w:t>
            </w:r>
            <w:r w:rsidR="003C7ADB" w:rsidRPr="004B15BB">
              <w:rPr>
                <w:color w:val="000000"/>
                <w:sz w:val="18"/>
                <w:szCs w:val="18"/>
              </w:rPr>
              <w:t>12</w:t>
            </w:r>
            <w:r w:rsidRPr="004B15BB">
              <w:rPr>
                <w:color w:val="000000"/>
                <w:sz w:val="18"/>
                <w:szCs w:val="18"/>
              </w:rPr>
              <w:t xml:space="preserve">: 63 firms submitted </w:t>
            </w:r>
            <w:r w:rsidRPr="004B15BB">
              <w:rPr>
                <w:sz w:val="18"/>
                <w:szCs w:val="18"/>
              </w:rPr>
              <w:t>541</w:t>
            </w:r>
            <w:r w:rsidRPr="004B15BB">
              <w:rPr>
                <w:color w:val="000000"/>
                <w:sz w:val="18"/>
                <w:szCs w:val="18"/>
              </w:rPr>
              <w:t xml:space="preserve"> studies associated with 220 chemicals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B7D10" w14:textId="1FA63FD0" w:rsidR="00370EB5" w:rsidRPr="004B15BB" w:rsidRDefault="007334DA" w:rsidP="00BF0540">
            <w:pPr>
              <w:rPr>
                <w:rFonts w:ascii="Calibri" w:hAnsi="Calibri" w:cs="Calibri"/>
                <w:color w:val="000000"/>
                <w:sz w:val="18"/>
                <w:szCs w:val="18"/>
              </w:rPr>
            </w:pPr>
            <w:r>
              <w:rPr>
                <w:sz w:val="18"/>
                <w:szCs w:val="18"/>
              </w:rPr>
              <w:t>63 firms submitting reports / 348 firms = 0.18</w:t>
            </w:r>
          </w:p>
          <w:p w14:paraId="0EBE73F4" w14:textId="77777777" w:rsidR="00370EB5" w:rsidRPr="004B15BB" w:rsidRDefault="00370EB5" w:rsidP="00BF0540">
            <w:pPr>
              <w:rPr>
                <w:rFonts w:ascii="Calibri" w:hAnsi="Calibri" w:cs="Calibri"/>
                <w:color w:val="000000"/>
                <w:sz w:val="18"/>
                <w:szCs w:val="18"/>
              </w:rPr>
            </w:pPr>
          </w:p>
        </w:tc>
        <w:tc>
          <w:tcPr>
            <w:tcW w:w="117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3B731A67" w14:textId="77777777" w:rsidR="00370EB5" w:rsidRPr="004B15BB" w:rsidRDefault="00370EB5">
            <w:pPr>
              <w:jc w:val="center"/>
              <w:rPr>
                <w:color w:val="000000"/>
                <w:sz w:val="18"/>
                <w:szCs w:val="18"/>
              </w:rPr>
            </w:pPr>
            <w:r w:rsidRPr="004B15BB">
              <w:rPr>
                <w:color w:val="000000"/>
                <w:sz w:val="18"/>
                <w:szCs w:val="18"/>
              </w:rPr>
              <w:t>0.18</w:t>
            </w:r>
          </w:p>
        </w:tc>
      </w:tr>
      <w:tr w:rsidR="00370EB5" w:rsidRPr="00370EB5" w14:paraId="28C804D5" w14:textId="77777777" w:rsidTr="004B15BB">
        <w:trPr>
          <w:trHeight w:val="1250"/>
        </w:trPr>
        <w:tc>
          <w:tcPr>
            <w:tcW w:w="2340"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33DBCF20" w14:textId="77777777" w:rsidR="00370EB5" w:rsidRPr="004B15BB" w:rsidRDefault="00370EB5" w:rsidP="00BF0540">
            <w:pPr>
              <w:rPr>
                <w:color w:val="000000"/>
                <w:sz w:val="18"/>
                <w:szCs w:val="18"/>
              </w:rPr>
            </w:pPr>
            <w:r w:rsidRPr="004B15BB">
              <w:rPr>
                <w:color w:val="000000"/>
                <w:sz w:val="18"/>
                <w:szCs w:val="18"/>
              </w:rPr>
              <w:t>Number of studies per firm</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5CC8E" w14:textId="77777777" w:rsidR="00370EB5" w:rsidRPr="004B15BB" w:rsidRDefault="00370EB5">
            <w:pPr>
              <w:rPr>
                <w:color w:val="000000"/>
                <w:sz w:val="18"/>
                <w:szCs w:val="18"/>
              </w:rPr>
            </w:pPr>
            <w:r w:rsidRPr="004B15BB">
              <w:rPr>
                <w:color w:val="000000"/>
                <w:sz w:val="18"/>
                <w:szCs w:val="18"/>
              </w:rPr>
              <w:t>TSCA IUR data, all manufacturers 1998, 2002, 2006: 59 firms submitted 527 studies associated with 208 chemicals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51376" w14:textId="6E96DC98" w:rsidR="00370EB5" w:rsidRPr="004B15BB" w:rsidRDefault="00332567">
            <w:pPr>
              <w:rPr>
                <w:color w:val="000000"/>
                <w:sz w:val="18"/>
                <w:szCs w:val="18"/>
              </w:rPr>
            </w:pPr>
            <w:r>
              <w:rPr>
                <w:color w:val="000000"/>
                <w:sz w:val="18"/>
                <w:szCs w:val="18"/>
              </w:rPr>
              <w:t>527 studies</w:t>
            </w:r>
            <w:r w:rsidR="007334DA">
              <w:rPr>
                <w:color w:val="000000"/>
                <w:sz w:val="18"/>
                <w:szCs w:val="18"/>
              </w:rPr>
              <w:t xml:space="preserve"> / 59 firms = 9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898B1" w14:textId="09A178C9" w:rsidR="00370EB5" w:rsidRPr="00B37CA3" w:rsidRDefault="00370EB5">
            <w:pPr>
              <w:rPr>
                <w:color w:val="000000"/>
                <w:sz w:val="18"/>
                <w:szCs w:val="18"/>
              </w:rPr>
            </w:pPr>
            <w:r w:rsidRPr="00BF0540">
              <w:rPr>
                <w:color w:val="000000"/>
                <w:sz w:val="18"/>
                <w:szCs w:val="18"/>
              </w:rPr>
              <w:t>TSCA IUR</w:t>
            </w:r>
            <w:r w:rsidR="003C7ADB" w:rsidRPr="00BF0540">
              <w:rPr>
                <w:color w:val="000000"/>
                <w:sz w:val="18"/>
                <w:szCs w:val="18"/>
              </w:rPr>
              <w:t>/CDR</w:t>
            </w:r>
            <w:r w:rsidRPr="00BF0540">
              <w:rPr>
                <w:color w:val="000000"/>
                <w:sz w:val="18"/>
                <w:szCs w:val="18"/>
              </w:rPr>
              <w:t xml:space="preserve"> data, all manufacturers 1998, 2002, 2006, 20</w:t>
            </w:r>
            <w:r w:rsidR="003C7ADB" w:rsidRPr="00B37CA3">
              <w:rPr>
                <w:color w:val="000000"/>
                <w:sz w:val="18"/>
                <w:szCs w:val="18"/>
              </w:rPr>
              <w:t>12</w:t>
            </w:r>
            <w:r w:rsidRPr="00B37CA3">
              <w:rPr>
                <w:color w:val="000000"/>
                <w:sz w:val="18"/>
                <w:szCs w:val="18"/>
              </w:rPr>
              <w:t>: 63 firms submitted 541 studies associated with 220 chemicals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69DD6" w14:textId="3086DD3E" w:rsidR="00370EB5" w:rsidRPr="004B15BB" w:rsidRDefault="007334DA">
            <w:pPr>
              <w:rPr>
                <w:rFonts w:ascii="Calibri" w:hAnsi="Calibri" w:cs="Calibri"/>
                <w:color w:val="000000"/>
                <w:sz w:val="18"/>
                <w:szCs w:val="18"/>
              </w:rPr>
            </w:pPr>
            <w:r>
              <w:rPr>
                <w:color w:val="000000"/>
                <w:sz w:val="18"/>
                <w:szCs w:val="18"/>
              </w:rPr>
              <w:t>542 studies / 63 firms = 9</w:t>
            </w:r>
          </w:p>
        </w:tc>
        <w:tc>
          <w:tcPr>
            <w:tcW w:w="117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6851E4EB" w14:textId="77777777" w:rsidR="00370EB5" w:rsidRPr="004B15BB" w:rsidRDefault="00370EB5">
            <w:pPr>
              <w:jc w:val="center"/>
              <w:rPr>
                <w:color w:val="000000"/>
                <w:sz w:val="18"/>
                <w:szCs w:val="18"/>
              </w:rPr>
            </w:pPr>
            <w:r w:rsidRPr="004B15BB">
              <w:rPr>
                <w:color w:val="000000"/>
                <w:sz w:val="18"/>
                <w:szCs w:val="18"/>
              </w:rPr>
              <w:t>9</w:t>
            </w:r>
          </w:p>
        </w:tc>
      </w:tr>
      <w:tr w:rsidR="00370EB5" w:rsidRPr="00370EB5" w14:paraId="5EE8B262" w14:textId="77777777" w:rsidTr="004B15BB">
        <w:trPr>
          <w:trHeight w:val="1250"/>
        </w:trPr>
        <w:tc>
          <w:tcPr>
            <w:tcW w:w="2340"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1C6E23B7" w14:textId="77777777" w:rsidR="00370EB5" w:rsidRPr="004B15BB" w:rsidRDefault="00370EB5" w:rsidP="00BF0540">
            <w:pPr>
              <w:rPr>
                <w:color w:val="000000"/>
                <w:sz w:val="18"/>
                <w:szCs w:val="18"/>
              </w:rPr>
            </w:pPr>
            <w:r w:rsidRPr="004B15BB">
              <w:rPr>
                <w:color w:val="000000"/>
                <w:sz w:val="18"/>
                <w:szCs w:val="18"/>
              </w:rPr>
              <w:t>Average length of study, pages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CF022" w14:textId="77777777" w:rsidR="00370EB5" w:rsidRPr="004B15BB" w:rsidRDefault="00370EB5">
            <w:pPr>
              <w:rPr>
                <w:color w:val="000000"/>
                <w:sz w:val="18"/>
                <w:szCs w:val="18"/>
              </w:rPr>
            </w:pPr>
            <w:r w:rsidRPr="004B15BB">
              <w:rPr>
                <w:color w:val="000000"/>
                <w:sz w:val="18"/>
                <w:szCs w:val="18"/>
              </w:rPr>
              <w:t>TSCA IUR data, all manufacturers 1998, 2002, 2006: 59 firms submitted 527 studies associated with 208 chemicals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51B39" w14:textId="47EAE2EE" w:rsidR="00370EB5" w:rsidRPr="004B15BB" w:rsidRDefault="008874A7" w:rsidP="004B15BB">
            <w:pPr>
              <w:rPr>
                <w:color w:val="000000"/>
                <w:sz w:val="18"/>
                <w:szCs w:val="18"/>
              </w:rPr>
            </w:pPr>
            <w:r w:rsidRPr="004B15BB">
              <w:rPr>
                <w:color w:val="000000"/>
                <w:sz w:val="18"/>
                <w:szCs w:val="18"/>
              </w:rPr>
              <w:t>20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22F81" w14:textId="0062432B" w:rsidR="00370EB5" w:rsidRPr="004B15BB" w:rsidRDefault="00370EB5" w:rsidP="00BF0540">
            <w:pPr>
              <w:rPr>
                <w:color w:val="000000"/>
                <w:sz w:val="18"/>
                <w:szCs w:val="18"/>
              </w:rPr>
            </w:pPr>
            <w:r w:rsidRPr="004B15BB">
              <w:rPr>
                <w:color w:val="000000"/>
                <w:sz w:val="18"/>
                <w:szCs w:val="18"/>
              </w:rPr>
              <w:t>TSCA IUR</w:t>
            </w:r>
            <w:r w:rsidR="003C7ADB" w:rsidRPr="004B15BB">
              <w:rPr>
                <w:color w:val="000000"/>
                <w:sz w:val="18"/>
                <w:szCs w:val="18"/>
              </w:rPr>
              <w:t>/CDR</w:t>
            </w:r>
            <w:r w:rsidRPr="004B15BB">
              <w:rPr>
                <w:color w:val="000000"/>
                <w:sz w:val="18"/>
                <w:szCs w:val="18"/>
              </w:rPr>
              <w:t xml:space="preserve"> data, all manufacturers 1998, 2002, 2006, 20</w:t>
            </w:r>
            <w:r w:rsidR="003C7ADB" w:rsidRPr="004B15BB">
              <w:rPr>
                <w:color w:val="000000"/>
                <w:sz w:val="18"/>
                <w:szCs w:val="18"/>
              </w:rPr>
              <w:t>12</w:t>
            </w:r>
            <w:r w:rsidRPr="004B15BB">
              <w:rPr>
                <w:color w:val="000000"/>
                <w:sz w:val="18"/>
                <w:szCs w:val="18"/>
              </w:rPr>
              <w:t>: 63 firms submitted 541 studies associated with 220 chemicals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51A84" w14:textId="3DF37275" w:rsidR="00370EB5" w:rsidRPr="004B15BB" w:rsidRDefault="002F67E2" w:rsidP="004B15BB">
            <w:pPr>
              <w:rPr>
                <w:color w:val="000000"/>
                <w:sz w:val="18"/>
                <w:szCs w:val="18"/>
              </w:rPr>
            </w:pPr>
            <w:r w:rsidRPr="004B15BB">
              <w:rPr>
                <w:color w:val="000000"/>
                <w:sz w:val="18"/>
                <w:szCs w:val="18"/>
              </w:rPr>
              <w:t>same</w:t>
            </w:r>
          </w:p>
        </w:tc>
        <w:tc>
          <w:tcPr>
            <w:tcW w:w="1170" w:type="dxa"/>
            <w:tcBorders>
              <w:top w:val="single" w:sz="4" w:space="0" w:color="auto"/>
              <w:left w:val="single" w:sz="4" w:space="0" w:color="auto"/>
              <w:bottom w:val="single" w:sz="4" w:space="0" w:color="auto"/>
              <w:right w:val="double" w:sz="6" w:space="0" w:color="auto"/>
            </w:tcBorders>
            <w:shd w:val="clear" w:color="auto" w:fill="auto"/>
            <w:vAlign w:val="center"/>
            <w:hideMark/>
          </w:tcPr>
          <w:p w14:paraId="12D70BB4" w14:textId="563A3E1F" w:rsidR="00370EB5" w:rsidRPr="004B15BB" w:rsidRDefault="008874A7" w:rsidP="00BF0540">
            <w:pPr>
              <w:jc w:val="center"/>
              <w:rPr>
                <w:color w:val="000000"/>
                <w:sz w:val="18"/>
                <w:szCs w:val="18"/>
              </w:rPr>
            </w:pPr>
            <w:r w:rsidRPr="004B15BB">
              <w:rPr>
                <w:color w:val="000000"/>
                <w:sz w:val="18"/>
                <w:szCs w:val="18"/>
              </w:rPr>
              <w:t>20</w:t>
            </w:r>
          </w:p>
        </w:tc>
      </w:tr>
      <w:tr w:rsidR="00370EB5" w:rsidRPr="00370EB5" w14:paraId="6F638CED" w14:textId="77777777" w:rsidTr="004B15BB">
        <w:trPr>
          <w:trHeight w:val="710"/>
        </w:trPr>
        <w:tc>
          <w:tcPr>
            <w:tcW w:w="2340"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0104A12" w14:textId="3E609F01" w:rsidR="00370EB5" w:rsidRPr="004B15BB" w:rsidRDefault="00370EB5" w:rsidP="00BF0540">
            <w:pPr>
              <w:rPr>
                <w:color w:val="000000"/>
                <w:sz w:val="18"/>
                <w:szCs w:val="18"/>
              </w:rPr>
            </w:pPr>
            <w:r w:rsidRPr="004B15BB">
              <w:rPr>
                <w:color w:val="000000"/>
                <w:sz w:val="18"/>
                <w:szCs w:val="18"/>
              </w:rPr>
              <w:t xml:space="preserve">Percent </w:t>
            </w:r>
            <w:r w:rsidR="008569BA" w:rsidRPr="004B15BB">
              <w:rPr>
                <w:color w:val="000000"/>
                <w:sz w:val="18"/>
                <w:szCs w:val="18"/>
              </w:rPr>
              <w:t xml:space="preserve">studies with robust </w:t>
            </w:r>
            <w:r w:rsidR="005A78C5" w:rsidRPr="004B15BB">
              <w:rPr>
                <w:color w:val="000000"/>
                <w:sz w:val="18"/>
                <w:szCs w:val="18"/>
              </w:rPr>
              <w:t xml:space="preserve">summaries; </w:t>
            </w:r>
            <w:r w:rsidRPr="004B15BB">
              <w:rPr>
                <w:color w:val="000000"/>
                <w:sz w:val="18"/>
                <w:szCs w:val="18"/>
              </w:rPr>
              <w:t>number of firms affected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660AB" w14:textId="1B92BA70" w:rsidR="00370EB5" w:rsidRPr="004B15BB" w:rsidRDefault="002F67E2">
            <w:pPr>
              <w:rPr>
                <w:color w:val="000000"/>
                <w:sz w:val="18"/>
                <w:szCs w:val="18"/>
              </w:rPr>
            </w:pPr>
            <w:r w:rsidRPr="004B15BB">
              <w:rPr>
                <w:color w:val="000000"/>
                <w:sz w:val="18"/>
                <w:szCs w:val="18"/>
              </w:rPr>
              <w:t>10</w:t>
            </w:r>
            <w:r w:rsidR="00370EB5" w:rsidRPr="004B15BB">
              <w:rPr>
                <w:color w:val="000000"/>
                <w:sz w:val="18"/>
                <w:szCs w:val="18"/>
              </w:rPr>
              <w:t>% of total studies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74894" w14:textId="67071F05" w:rsidR="00370EB5" w:rsidRPr="004B15BB" w:rsidRDefault="002F67E2">
            <w:pPr>
              <w:rPr>
                <w:color w:val="000000"/>
                <w:sz w:val="18"/>
                <w:szCs w:val="18"/>
              </w:rPr>
            </w:pPr>
            <w:r w:rsidRPr="004B15BB">
              <w:rPr>
                <w:color w:val="000000"/>
                <w:sz w:val="18"/>
                <w:szCs w:val="18"/>
              </w:rPr>
              <w:t>10</w:t>
            </w:r>
            <w:r w:rsidR="00370EB5" w:rsidRPr="004B15BB">
              <w:rPr>
                <w:color w:val="000000"/>
                <w:sz w:val="18"/>
                <w:szCs w:val="18"/>
              </w:rPr>
              <w:t>% of reports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8220B" w14:textId="173DF5D6" w:rsidR="00370EB5" w:rsidRPr="004B15BB" w:rsidRDefault="002F67E2">
            <w:pPr>
              <w:rPr>
                <w:color w:val="000000"/>
                <w:sz w:val="18"/>
                <w:szCs w:val="18"/>
              </w:rPr>
            </w:pPr>
            <w:r w:rsidRPr="004B15BB">
              <w:rPr>
                <w:color w:val="000000"/>
                <w:sz w:val="18"/>
                <w:szCs w:val="18"/>
              </w:rPr>
              <w:t>10% of total studies</w:t>
            </w:r>
            <w:r w:rsidRPr="004B15BB" w:rsidDel="002F67E2">
              <w:rPr>
                <w:color w:val="000000"/>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ED663" w14:textId="39EC2158" w:rsidR="00370EB5" w:rsidRPr="004B15BB" w:rsidRDefault="002F67E2" w:rsidP="004B15BB">
            <w:pPr>
              <w:rPr>
                <w:color w:val="000000"/>
                <w:sz w:val="18"/>
                <w:szCs w:val="18"/>
              </w:rPr>
            </w:pPr>
            <w:r w:rsidRPr="004B15BB">
              <w:rPr>
                <w:color w:val="000000"/>
                <w:sz w:val="18"/>
                <w:szCs w:val="18"/>
              </w:rPr>
              <w:t>10% of reports</w:t>
            </w:r>
            <w:r w:rsidR="00370EB5" w:rsidRPr="004B15BB">
              <w:rPr>
                <w:color w:val="000000"/>
                <w:sz w:val="18"/>
                <w:szCs w:val="18"/>
              </w:rPr>
              <w:t> </w:t>
            </w:r>
          </w:p>
        </w:tc>
        <w:tc>
          <w:tcPr>
            <w:tcW w:w="1170" w:type="dxa"/>
            <w:tcBorders>
              <w:top w:val="single" w:sz="4" w:space="0" w:color="auto"/>
              <w:left w:val="single" w:sz="4" w:space="0" w:color="auto"/>
              <w:bottom w:val="single" w:sz="4" w:space="0" w:color="auto"/>
              <w:right w:val="double" w:sz="6" w:space="0" w:color="auto"/>
            </w:tcBorders>
            <w:shd w:val="clear" w:color="auto" w:fill="auto"/>
            <w:vAlign w:val="center"/>
            <w:hideMark/>
          </w:tcPr>
          <w:p w14:paraId="02937E5E" w14:textId="77777777" w:rsidR="00370EB5" w:rsidRPr="004B15BB" w:rsidRDefault="00370EB5" w:rsidP="00BF0540">
            <w:pPr>
              <w:jc w:val="center"/>
              <w:rPr>
                <w:color w:val="000000"/>
                <w:sz w:val="18"/>
                <w:szCs w:val="18"/>
              </w:rPr>
            </w:pPr>
            <w:r w:rsidRPr="004B15BB">
              <w:rPr>
                <w:color w:val="000000"/>
                <w:sz w:val="18"/>
                <w:szCs w:val="18"/>
              </w:rPr>
              <w:t>1 Robust Summary per Firm</w:t>
            </w:r>
          </w:p>
        </w:tc>
      </w:tr>
      <w:tr w:rsidR="00370EB5" w:rsidRPr="00370EB5" w14:paraId="3341837C" w14:textId="77777777" w:rsidTr="004B15BB">
        <w:trPr>
          <w:trHeight w:val="440"/>
        </w:trPr>
        <w:tc>
          <w:tcPr>
            <w:tcW w:w="2340"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59224374" w14:textId="77777777" w:rsidR="00370EB5" w:rsidRPr="004B15BB" w:rsidRDefault="00370EB5" w:rsidP="00BF0540">
            <w:pPr>
              <w:rPr>
                <w:color w:val="000000"/>
                <w:sz w:val="18"/>
                <w:szCs w:val="18"/>
              </w:rPr>
            </w:pPr>
            <w:r w:rsidRPr="004B15BB">
              <w:rPr>
                <w:color w:val="000000"/>
                <w:sz w:val="18"/>
                <w:szCs w:val="18"/>
              </w:rPr>
              <w:t>Percent of affected firms submitting second responses</w:t>
            </w:r>
          </w:p>
        </w:tc>
        <w:tc>
          <w:tcPr>
            <w:tcW w:w="2250"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1282A484" w14:textId="77777777" w:rsidR="00370EB5" w:rsidRPr="004B15BB" w:rsidRDefault="00370EB5">
            <w:pPr>
              <w:rPr>
                <w:color w:val="000000"/>
                <w:sz w:val="18"/>
                <w:szCs w:val="18"/>
              </w:rPr>
            </w:pPr>
            <w:r w:rsidRPr="004B15BB">
              <w:rPr>
                <w:color w:val="000000"/>
                <w:sz w:val="18"/>
                <w:szCs w:val="18"/>
              </w:rPr>
              <w:t>5% of affected firms</w:t>
            </w:r>
          </w:p>
        </w:tc>
        <w:tc>
          <w:tcPr>
            <w:tcW w:w="189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8EE1A98" w14:textId="77777777" w:rsidR="00370EB5" w:rsidRPr="004B15BB" w:rsidRDefault="00370EB5" w:rsidP="004B15BB">
            <w:pPr>
              <w:rPr>
                <w:color w:val="000000"/>
                <w:sz w:val="18"/>
                <w:szCs w:val="18"/>
              </w:rPr>
            </w:pPr>
            <w:r w:rsidRPr="004B15BB">
              <w:rPr>
                <w:color w:val="000000"/>
                <w:sz w:val="18"/>
                <w:szCs w:val="18"/>
              </w:rPr>
              <w:t>5%</w:t>
            </w:r>
          </w:p>
        </w:tc>
        <w:tc>
          <w:tcPr>
            <w:tcW w:w="198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17F0D5E" w14:textId="3F0CBF40" w:rsidR="00370EB5" w:rsidRPr="004B15BB" w:rsidRDefault="002F67E2" w:rsidP="004B15BB">
            <w:pPr>
              <w:rPr>
                <w:color w:val="000000"/>
                <w:sz w:val="18"/>
                <w:szCs w:val="18"/>
              </w:rPr>
            </w:pPr>
            <w:r w:rsidRPr="004B15BB">
              <w:rPr>
                <w:color w:val="000000"/>
                <w:sz w:val="18"/>
                <w:szCs w:val="18"/>
              </w:rPr>
              <w:t xml:space="preserve">5% affected </w:t>
            </w:r>
          </w:p>
        </w:tc>
        <w:tc>
          <w:tcPr>
            <w:tcW w:w="171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23081F4" w14:textId="6711D00A" w:rsidR="00370EB5" w:rsidRPr="004B15BB" w:rsidRDefault="002F67E2" w:rsidP="004B15BB">
            <w:pPr>
              <w:rPr>
                <w:color w:val="000000"/>
                <w:sz w:val="18"/>
                <w:szCs w:val="18"/>
              </w:rPr>
            </w:pPr>
            <w:r w:rsidRPr="004B15BB">
              <w:rPr>
                <w:color w:val="000000"/>
                <w:sz w:val="18"/>
                <w:szCs w:val="18"/>
              </w:rPr>
              <w:t>5% affected</w:t>
            </w:r>
          </w:p>
        </w:tc>
        <w:tc>
          <w:tcPr>
            <w:tcW w:w="117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39F626F6" w14:textId="77777777" w:rsidR="00370EB5" w:rsidRPr="004B15BB" w:rsidRDefault="00370EB5" w:rsidP="00BF0540">
            <w:pPr>
              <w:jc w:val="center"/>
              <w:rPr>
                <w:color w:val="000000"/>
                <w:sz w:val="18"/>
                <w:szCs w:val="18"/>
              </w:rPr>
            </w:pPr>
            <w:r w:rsidRPr="004B15BB">
              <w:rPr>
                <w:color w:val="000000"/>
                <w:sz w:val="18"/>
                <w:szCs w:val="18"/>
              </w:rPr>
              <w:t>5%</w:t>
            </w:r>
          </w:p>
        </w:tc>
      </w:tr>
    </w:tbl>
    <w:p w14:paraId="04D88CC4" w14:textId="77777777" w:rsidR="00965E5D" w:rsidRDefault="00965E5D" w:rsidP="00A841EA">
      <w:pPr>
        <w:rPr>
          <w:b/>
          <w:color w:val="000000"/>
        </w:rPr>
      </w:pPr>
    </w:p>
    <w:p w14:paraId="7EADE43F" w14:textId="796723E2" w:rsidR="003F63AD" w:rsidRDefault="00A5395D" w:rsidP="00A841EA">
      <w:pPr>
        <w:rPr>
          <w:color w:val="000000"/>
        </w:rPr>
      </w:pPr>
      <w:r>
        <w:rPr>
          <w:b/>
          <w:color w:val="000000"/>
        </w:rPr>
        <w:t>6(a)</w:t>
      </w:r>
      <w:r w:rsidR="002D5447">
        <w:rPr>
          <w:b/>
          <w:color w:val="000000"/>
        </w:rPr>
        <w:tab/>
      </w:r>
      <w:r w:rsidR="003F63AD">
        <w:rPr>
          <w:b/>
          <w:color w:val="000000"/>
        </w:rPr>
        <w:t>Estimating Respondent Burden</w:t>
      </w:r>
    </w:p>
    <w:p w14:paraId="701A4709" w14:textId="77777777" w:rsidR="003F63AD" w:rsidRDefault="003F63AD" w:rsidP="00A411E8">
      <w:pPr>
        <w:widowControl w:val="0"/>
        <w:rPr>
          <w:color w:val="000000"/>
        </w:rPr>
      </w:pPr>
    </w:p>
    <w:p w14:paraId="3B2411BE" w14:textId="77777777" w:rsidR="00F143DB" w:rsidRDefault="003F63AD" w:rsidP="002D5447">
      <w:pPr>
        <w:widowControl w:val="0"/>
        <w:ind w:firstLine="720"/>
        <w:rPr>
          <w:color w:val="000000"/>
        </w:rPr>
      </w:pPr>
      <w:r>
        <w:rPr>
          <w:color w:val="000000"/>
        </w:rPr>
        <w:t xml:space="preserve">Firms will undertake </w:t>
      </w:r>
      <w:r w:rsidR="00F143DB">
        <w:rPr>
          <w:color w:val="000000"/>
        </w:rPr>
        <w:t>a number of</w:t>
      </w:r>
      <w:r>
        <w:rPr>
          <w:color w:val="000000"/>
        </w:rPr>
        <w:t xml:space="preserve"> actions in response</w:t>
      </w:r>
      <w:r w:rsidR="00F143DB">
        <w:rPr>
          <w:color w:val="000000"/>
        </w:rPr>
        <w:t xml:space="preserve"> to a TSCA section 8(d) listing and the unit burden associated with each of these tasks is discussed in detail below.</w:t>
      </w:r>
    </w:p>
    <w:p w14:paraId="71C96808" w14:textId="77777777" w:rsidR="00F143DB" w:rsidRDefault="00F143DB" w:rsidP="00F143DB">
      <w:pPr>
        <w:widowControl w:val="0"/>
      </w:pPr>
    </w:p>
    <w:p w14:paraId="56A8FC15" w14:textId="316965F3" w:rsidR="003F63AD" w:rsidRDefault="003F63AD" w:rsidP="004B15BB">
      <w:pPr>
        <w:keepNext/>
        <w:ind w:firstLine="720"/>
        <w:rPr>
          <w:color w:val="000000"/>
        </w:rPr>
      </w:pPr>
      <w:r w:rsidRPr="000D7648">
        <w:rPr>
          <w:color w:val="000000"/>
          <w:u w:val="single"/>
        </w:rPr>
        <w:t>Review the Rule</w:t>
      </w:r>
      <w:r w:rsidR="00F143DB" w:rsidRPr="000D7648">
        <w:rPr>
          <w:color w:val="000000"/>
          <w:u w:val="single"/>
        </w:rPr>
        <w:t>.</w:t>
      </w:r>
      <w:r w:rsidR="00F143DB">
        <w:rPr>
          <w:color w:val="000000"/>
        </w:rPr>
        <w:t xml:space="preserve"> </w:t>
      </w:r>
      <w:r>
        <w:rPr>
          <w:color w:val="000000"/>
        </w:rPr>
        <w:t xml:space="preserve">Firms in the relevant industries that may have unpublished health and safety studies will have to determine whether they manufacture </w:t>
      </w:r>
      <w:r w:rsidR="00A810A0">
        <w:rPr>
          <w:color w:val="000000"/>
        </w:rPr>
        <w:t xml:space="preserve">(including import) </w:t>
      </w:r>
      <w:r>
        <w:rPr>
          <w:color w:val="000000"/>
        </w:rPr>
        <w:t xml:space="preserve">a listed chemical and </w:t>
      </w:r>
      <w:r w:rsidR="00F143DB">
        <w:rPr>
          <w:color w:val="000000"/>
        </w:rPr>
        <w:t>may thus</w:t>
      </w:r>
      <w:r>
        <w:rPr>
          <w:color w:val="000000"/>
        </w:rPr>
        <w:t xml:space="preserve"> be required to report</w:t>
      </w:r>
      <w:r w:rsidR="00205FAB">
        <w:rPr>
          <w:color w:val="000000"/>
        </w:rPr>
        <w:t xml:space="preserve">. </w:t>
      </w:r>
      <w:r>
        <w:rPr>
          <w:color w:val="000000"/>
        </w:rPr>
        <w:t xml:space="preserve">If so, they will have to review the rule in detail to understand its requirements, such as the types of health and safety studies EPA is asking for, the grade or purity of </w:t>
      </w:r>
      <w:r w:rsidR="000D7648">
        <w:rPr>
          <w:color w:val="000000"/>
        </w:rPr>
        <w:t>the test material, and the time</w:t>
      </w:r>
      <w:r>
        <w:rPr>
          <w:color w:val="000000"/>
        </w:rPr>
        <w:t>frame of the reporting period</w:t>
      </w:r>
      <w:r w:rsidR="00205FAB">
        <w:rPr>
          <w:color w:val="000000"/>
        </w:rPr>
        <w:t xml:space="preserve">. </w:t>
      </w:r>
    </w:p>
    <w:p w14:paraId="2BDB912A" w14:textId="77777777" w:rsidR="003F63AD" w:rsidRDefault="003F63AD" w:rsidP="00A411E8">
      <w:pPr>
        <w:widowControl w:val="0"/>
        <w:rPr>
          <w:color w:val="000000"/>
        </w:rPr>
      </w:pPr>
    </w:p>
    <w:p w14:paraId="215CC270" w14:textId="074116AF" w:rsidR="003F63AD" w:rsidRDefault="00281DA5" w:rsidP="002D5447">
      <w:pPr>
        <w:widowControl w:val="0"/>
        <w:ind w:firstLine="720"/>
        <w:rPr>
          <w:color w:val="000000"/>
        </w:rPr>
      </w:pPr>
      <w:r>
        <w:rPr>
          <w:color w:val="000000"/>
        </w:rPr>
        <w:t>Note that</w:t>
      </w:r>
      <w:r w:rsidR="000D7648">
        <w:rPr>
          <w:color w:val="000000"/>
        </w:rPr>
        <w:t>,</w:t>
      </w:r>
      <w:r>
        <w:rPr>
          <w:color w:val="000000"/>
        </w:rPr>
        <w:t xml:space="preserve"> u</w:t>
      </w:r>
      <w:r w:rsidR="003F63AD">
        <w:rPr>
          <w:color w:val="000000"/>
        </w:rPr>
        <w:t xml:space="preserve">nless EPA specifies otherwise, the coverage of </w:t>
      </w:r>
      <w:r w:rsidR="00A810A0">
        <w:rPr>
          <w:color w:val="000000"/>
        </w:rPr>
        <w:t xml:space="preserve">section </w:t>
      </w:r>
      <w:r w:rsidR="003F63AD">
        <w:rPr>
          <w:color w:val="000000"/>
        </w:rPr>
        <w:t>8(d) rules is limited to chemical manufacturers and petroleum refineries</w:t>
      </w:r>
      <w:r w:rsidR="00205FAB">
        <w:rPr>
          <w:color w:val="000000"/>
        </w:rPr>
        <w:t xml:space="preserve">. </w:t>
      </w:r>
      <w:r w:rsidR="003F63AD">
        <w:rPr>
          <w:color w:val="000000"/>
        </w:rPr>
        <w:t>Most firms in these industries will not manufacture a listed chemical, and many will spend a de minimis amount of time making that determination</w:t>
      </w:r>
      <w:r w:rsidR="00205FAB">
        <w:rPr>
          <w:color w:val="000000"/>
        </w:rPr>
        <w:t xml:space="preserve">. </w:t>
      </w:r>
      <w:r w:rsidR="003F63AD">
        <w:rPr>
          <w:color w:val="000000"/>
        </w:rPr>
        <w:t>Those firms that manufacture a listed chemical must review the rule to understand its specific requirements</w:t>
      </w:r>
      <w:r w:rsidR="00205FAB">
        <w:rPr>
          <w:color w:val="000000"/>
        </w:rPr>
        <w:t xml:space="preserve">. </w:t>
      </w:r>
      <w:r w:rsidR="003F63AD">
        <w:rPr>
          <w:color w:val="000000"/>
        </w:rPr>
        <w:t xml:space="preserve">This is estimated to take an average of </w:t>
      </w:r>
      <w:r w:rsidR="006A6EAA">
        <w:rPr>
          <w:color w:val="000000"/>
        </w:rPr>
        <w:t>2</w:t>
      </w:r>
      <w:r w:rsidR="003F63AD">
        <w:rPr>
          <w:color w:val="000000"/>
        </w:rPr>
        <w:t xml:space="preserve"> hours of managerial time for each firm manufacturing a listed chemical.</w:t>
      </w:r>
    </w:p>
    <w:p w14:paraId="7E9C15C8" w14:textId="77777777" w:rsidR="003F63AD" w:rsidRDefault="003F63AD" w:rsidP="00A411E8">
      <w:pPr>
        <w:widowControl w:val="0"/>
        <w:rPr>
          <w:color w:val="000000"/>
        </w:rPr>
      </w:pPr>
    </w:p>
    <w:p w14:paraId="44FC845B" w14:textId="63489328" w:rsidR="00A27323" w:rsidRDefault="00281DA5" w:rsidP="002D5447">
      <w:pPr>
        <w:widowControl w:val="0"/>
        <w:ind w:firstLine="720"/>
        <w:rPr>
          <w:color w:val="000000"/>
        </w:rPr>
      </w:pPr>
      <w:r w:rsidRPr="000D7648">
        <w:rPr>
          <w:color w:val="000000"/>
          <w:u w:val="single"/>
        </w:rPr>
        <w:t xml:space="preserve">Conduct </w:t>
      </w:r>
      <w:r w:rsidR="003F63AD" w:rsidRPr="000D7648">
        <w:rPr>
          <w:color w:val="000000"/>
          <w:u w:val="single"/>
        </w:rPr>
        <w:t>Corporate Review for Site Identification.</w:t>
      </w:r>
      <w:r w:rsidR="000D7648">
        <w:rPr>
          <w:color w:val="000000"/>
        </w:rPr>
        <w:t xml:space="preserve"> </w:t>
      </w:r>
      <w:r w:rsidR="003F63AD">
        <w:rPr>
          <w:color w:val="000000"/>
        </w:rPr>
        <w:t>Firms that manufacture a listed chemical will need to conduct a corporate review to identify which of the firm’s sites must be searched for appropriate health and safety studies</w:t>
      </w:r>
      <w:r w:rsidR="00205FAB">
        <w:rPr>
          <w:color w:val="000000"/>
        </w:rPr>
        <w:t xml:space="preserve">. </w:t>
      </w:r>
      <w:r w:rsidR="003F63AD">
        <w:rPr>
          <w:color w:val="000000"/>
        </w:rPr>
        <w:t xml:space="preserve">This corporate review is estimated to require an average of </w:t>
      </w:r>
      <w:r w:rsidR="00051CEC">
        <w:rPr>
          <w:color w:val="000000"/>
        </w:rPr>
        <w:t xml:space="preserve">3 </w:t>
      </w:r>
      <w:r w:rsidR="003F63AD">
        <w:rPr>
          <w:color w:val="000000"/>
        </w:rPr>
        <w:t>managerial hours per firm.</w:t>
      </w:r>
    </w:p>
    <w:p w14:paraId="266E63B6" w14:textId="77777777" w:rsidR="00A27323" w:rsidRDefault="00A27323" w:rsidP="000D7648">
      <w:pPr>
        <w:widowControl w:val="0"/>
        <w:rPr>
          <w:color w:val="000000"/>
        </w:rPr>
      </w:pPr>
    </w:p>
    <w:p w14:paraId="73F40FFC" w14:textId="26FB5604" w:rsidR="003F63AD" w:rsidRDefault="00281DA5" w:rsidP="002D5447">
      <w:pPr>
        <w:widowControl w:val="0"/>
        <w:ind w:firstLine="720"/>
        <w:rPr>
          <w:color w:val="000000"/>
        </w:rPr>
      </w:pPr>
      <w:r w:rsidRPr="000D7648">
        <w:rPr>
          <w:color w:val="000000"/>
          <w:u w:val="single"/>
        </w:rPr>
        <w:t xml:space="preserve">Conduct </w:t>
      </w:r>
      <w:r w:rsidR="003F63AD" w:rsidRPr="000D7648">
        <w:rPr>
          <w:color w:val="000000"/>
          <w:u w:val="single"/>
        </w:rPr>
        <w:t>Site File Search</w:t>
      </w:r>
      <w:r w:rsidR="000D7648" w:rsidRPr="000D7648">
        <w:rPr>
          <w:color w:val="000000"/>
          <w:u w:val="single"/>
        </w:rPr>
        <w:t>.</w:t>
      </w:r>
      <w:r w:rsidR="003F63AD">
        <w:rPr>
          <w:color w:val="000000"/>
        </w:rPr>
        <w:t xml:space="preserve"> Firms that manufacture a listed chemical must search the files at appropriate sites to look for studies that are responsive to the TSCA section 8(d) rule</w:t>
      </w:r>
      <w:r w:rsidR="00205FAB">
        <w:rPr>
          <w:color w:val="000000"/>
        </w:rPr>
        <w:t xml:space="preserve">. </w:t>
      </w:r>
      <w:r w:rsidR="003F63AD">
        <w:rPr>
          <w:color w:val="000000"/>
        </w:rPr>
        <w:t xml:space="preserve">It is estimated that the search will take an average of </w:t>
      </w:r>
      <w:r w:rsidR="00051CEC">
        <w:rPr>
          <w:color w:val="000000"/>
        </w:rPr>
        <w:t>3</w:t>
      </w:r>
      <w:r w:rsidR="003F63AD">
        <w:rPr>
          <w:color w:val="000000"/>
        </w:rPr>
        <w:t xml:space="preserve"> hours of technical time per site</w:t>
      </w:r>
      <w:r w:rsidR="00205FAB">
        <w:rPr>
          <w:color w:val="000000"/>
        </w:rPr>
        <w:t xml:space="preserve">. </w:t>
      </w:r>
      <w:r w:rsidR="000D7648">
        <w:rPr>
          <w:color w:val="000000"/>
        </w:rPr>
        <w:t xml:space="preserve">EPA estimates that each firm will have an average of 1.5 sites manufacturing a listed chemical. </w:t>
      </w:r>
      <w:r w:rsidR="00706128">
        <w:rPr>
          <w:color w:val="000000"/>
        </w:rPr>
        <w:t xml:space="preserve">This </w:t>
      </w:r>
      <w:r w:rsidR="003F63AD">
        <w:rPr>
          <w:color w:val="000000"/>
        </w:rPr>
        <w:t>yields an average burden of 4.5 technical hours per firm for site file searching (3 hours per site * 1.5 sites per firm)</w:t>
      </w:r>
      <w:r w:rsidR="00205FAB">
        <w:rPr>
          <w:color w:val="000000"/>
        </w:rPr>
        <w:t xml:space="preserve">. </w:t>
      </w:r>
    </w:p>
    <w:p w14:paraId="751632B3" w14:textId="77777777" w:rsidR="003F63AD" w:rsidRDefault="003F63AD" w:rsidP="00A411E8">
      <w:pPr>
        <w:widowControl w:val="0"/>
        <w:rPr>
          <w:color w:val="000000"/>
        </w:rPr>
      </w:pPr>
    </w:p>
    <w:p w14:paraId="6FA3FC7A" w14:textId="19AE156D" w:rsidR="003F63AD" w:rsidRDefault="00281DA5" w:rsidP="002D5447">
      <w:pPr>
        <w:widowControl w:val="0"/>
        <w:ind w:firstLine="720"/>
        <w:rPr>
          <w:color w:val="000000"/>
        </w:rPr>
      </w:pPr>
      <w:r w:rsidRPr="000D7648">
        <w:rPr>
          <w:color w:val="000000"/>
          <w:u w:val="single"/>
        </w:rPr>
        <w:t xml:space="preserve">Provide </w:t>
      </w:r>
      <w:r w:rsidR="003F63AD" w:rsidRPr="000D7648">
        <w:rPr>
          <w:color w:val="000000"/>
          <w:u w:val="single"/>
        </w:rPr>
        <w:t>Study Title Lists</w:t>
      </w:r>
      <w:r w:rsidR="000D7648" w:rsidRPr="000D7648">
        <w:rPr>
          <w:color w:val="000000"/>
          <w:u w:val="single"/>
        </w:rPr>
        <w:t>.</w:t>
      </w:r>
      <w:r w:rsidR="000D7648">
        <w:rPr>
          <w:color w:val="000000"/>
        </w:rPr>
        <w:t xml:space="preserve"> </w:t>
      </w:r>
      <w:r w:rsidR="003F63AD" w:rsidRPr="00EA74DE">
        <w:rPr>
          <w:color w:val="000000"/>
        </w:rPr>
        <w:t xml:space="preserve">Respondents are required to submit lists containing the titles of any studies being submitted, titles of studies that are initiated or ongoing during the reporting period but that have not </w:t>
      </w:r>
      <w:r w:rsidR="000D7648">
        <w:rPr>
          <w:color w:val="000000"/>
        </w:rPr>
        <w:t>yet been completed</w:t>
      </w:r>
      <w:r w:rsidR="003F63AD" w:rsidRPr="00EA74DE">
        <w:rPr>
          <w:color w:val="000000"/>
        </w:rPr>
        <w:t>, titles of any unpublished studies that the respondent knows to exist but does not have in its possession, and titles of studies previously submi</w:t>
      </w:r>
      <w:r w:rsidR="00E03CA3">
        <w:rPr>
          <w:color w:val="000000"/>
        </w:rPr>
        <w:t>tted to other f</w:t>
      </w:r>
      <w:r w:rsidR="003F63AD" w:rsidRPr="00EA74DE">
        <w:rPr>
          <w:color w:val="000000"/>
        </w:rPr>
        <w:t>ederal agencies w</w:t>
      </w:r>
      <w:r w:rsidR="00EA74DE" w:rsidRPr="00EA74DE">
        <w:rPr>
          <w:color w:val="000000"/>
        </w:rPr>
        <w:t>ithout confidentiality claims. EPA expects that the major burden of compiling this list was incurred during the file search and would already be available in electronic format; therefore, there is no additional burden associated with this activity.</w:t>
      </w:r>
    </w:p>
    <w:p w14:paraId="0119D37A" w14:textId="77777777" w:rsidR="003F63AD" w:rsidRDefault="003F63AD" w:rsidP="00A411E8">
      <w:pPr>
        <w:widowControl w:val="0"/>
        <w:rPr>
          <w:color w:val="000000"/>
        </w:rPr>
      </w:pPr>
    </w:p>
    <w:p w14:paraId="56D2AC3C" w14:textId="4E3540B9" w:rsidR="003F63AD" w:rsidRDefault="00281DA5" w:rsidP="002D5447">
      <w:pPr>
        <w:widowControl w:val="0"/>
        <w:ind w:firstLine="720"/>
        <w:rPr>
          <w:color w:val="000000"/>
        </w:rPr>
      </w:pPr>
      <w:r>
        <w:rPr>
          <w:color w:val="000000"/>
          <w:u w:val="single"/>
        </w:rPr>
        <w:t xml:space="preserve">Prepare </w:t>
      </w:r>
      <w:r w:rsidR="003F63AD">
        <w:rPr>
          <w:color w:val="000000"/>
          <w:u w:val="single"/>
        </w:rPr>
        <w:t>Robust Summaries</w:t>
      </w:r>
      <w:r w:rsidR="000D7648">
        <w:rPr>
          <w:color w:val="000000"/>
          <w:u w:val="single"/>
        </w:rPr>
        <w:t>.</w:t>
      </w:r>
      <w:r w:rsidR="000D7648" w:rsidRPr="000D7648">
        <w:rPr>
          <w:color w:val="000000"/>
        </w:rPr>
        <w:t xml:space="preserve"> </w:t>
      </w:r>
      <w:r w:rsidR="003F63AD">
        <w:rPr>
          <w:color w:val="000000"/>
        </w:rPr>
        <w:t>Respondents may choose to develop and submit robust summaries of the full toxicological study reports</w:t>
      </w:r>
      <w:r w:rsidR="00205FAB">
        <w:rPr>
          <w:color w:val="000000"/>
        </w:rPr>
        <w:t xml:space="preserve">. </w:t>
      </w:r>
      <w:r w:rsidR="003F63AD">
        <w:rPr>
          <w:color w:val="000000"/>
        </w:rPr>
        <w:t xml:space="preserve">The robust summaries should contain technical information to adequately describe the study and results, and should be written </w:t>
      </w:r>
      <w:r w:rsidR="000D7648">
        <w:rPr>
          <w:color w:val="000000"/>
        </w:rPr>
        <w:t>in such a way</w:t>
      </w:r>
      <w:r w:rsidR="003F63AD">
        <w:rPr>
          <w:color w:val="000000"/>
        </w:rPr>
        <w:t xml:space="preserve"> that the information provided is sufficient to allow a technically qualified person to evaluate study results</w:t>
      </w:r>
      <w:r w:rsidR="00205FAB">
        <w:rPr>
          <w:color w:val="000000"/>
        </w:rPr>
        <w:t xml:space="preserve">. </w:t>
      </w:r>
      <w:r w:rsidR="003F63AD">
        <w:rPr>
          <w:color w:val="000000"/>
        </w:rPr>
        <w:t>Typically, a robust summary would include a description of the test substance, methods, results, conclusions, data quality description, and references associated with the full study</w:t>
      </w:r>
      <w:r w:rsidR="00205FAB">
        <w:rPr>
          <w:color w:val="000000"/>
        </w:rPr>
        <w:t xml:space="preserve">. </w:t>
      </w:r>
      <w:r w:rsidR="003F63AD" w:rsidRPr="009629EB">
        <w:rPr>
          <w:color w:val="000000"/>
        </w:rPr>
        <w:t xml:space="preserve">It is estimated that 8 to 16 hours of technical time are needed to develop and </w:t>
      </w:r>
      <w:r w:rsidR="000D7648">
        <w:rPr>
          <w:color w:val="000000"/>
        </w:rPr>
        <w:t>review</w:t>
      </w:r>
      <w:r w:rsidR="003F63AD" w:rsidRPr="009629EB">
        <w:rPr>
          <w:color w:val="000000"/>
        </w:rPr>
        <w:t xml:space="preserve"> a robust summary, depending on the type of study conducted</w:t>
      </w:r>
      <w:r w:rsidR="00205FAB">
        <w:rPr>
          <w:color w:val="000000"/>
        </w:rPr>
        <w:t xml:space="preserve">. </w:t>
      </w:r>
      <w:r w:rsidR="003F63AD" w:rsidRPr="009629EB">
        <w:rPr>
          <w:color w:val="000000"/>
        </w:rPr>
        <w:t xml:space="preserve">This </w:t>
      </w:r>
      <w:r w:rsidR="000D7648">
        <w:rPr>
          <w:color w:val="000000"/>
        </w:rPr>
        <w:t>ICR</w:t>
      </w:r>
      <w:r w:rsidR="003F63AD" w:rsidRPr="009629EB">
        <w:rPr>
          <w:color w:val="000000"/>
        </w:rPr>
        <w:t xml:space="preserve"> assumes an average of 12 hours of technical time to prepare a robust summary</w:t>
      </w:r>
      <w:r w:rsidR="00205FAB">
        <w:rPr>
          <w:color w:val="000000"/>
        </w:rPr>
        <w:t xml:space="preserve">. </w:t>
      </w:r>
      <w:r w:rsidR="003F63AD" w:rsidRPr="009629EB">
        <w:rPr>
          <w:color w:val="000000"/>
        </w:rPr>
        <w:t>Because submission of robust summaries is voluntary, EPA does not expect that many companies will undertake this activity</w:t>
      </w:r>
      <w:r w:rsidR="00205FAB">
        <w:rPr>
          <w:color w:val="000000"/>
        </w:rPr>
        <w:t xml:space="preserve">. </w:t>
      </w:r>
      <w:r w:rsidR="003F63AD" w:rsidRPr="009629EB">
        <w:rPr>
          <w:color w:val="000000"/>
        </w:rPr>
        <w:t>EPA estimate</w:t>
      </w:r>
      <w:r w:rsidR="003F63AD">
        <w:rPr>
          <w:color w:val="000000"/>
        </w:rPr>
        <w:t>s</w:t>
      </w:r>
      <w:r w:rsidR="003F63AD" w:rsidRPr="009629EB">
        <w:rPr>
          <w:color w:val="000000"/>
        </w:rPr>
        <w:t xml:space="preserve"> </w:t>
      </w:r>
      <w:r w:rsidR="000D7648">
        <w:rPr>
          <w:color w:val="000000"/>
        </w:rPr>
        <w:t xml:space="preserve">that each firm will submit an average of 9 studies, with 10% of those studies including a robust summary; therefore, EPA expects to receive </w:t>
      </w:r>
      <w:r w:rsidR="00B72390">
        <w:rPr>
          <w:color w:val="000000"/>
        </w:rPr>
        <w:t>an average of 0.9 robust summaries</w:t>
      </w:r>
      <w:r w:rsidR="000D7648">
        <w:rPr>
          <w:color w:val="000000"/>
        </w:rPr>
        <w:t xml:space="preserve"> per firm</w:t>
      </w:r>
      <w:r w:rsidR="00864518">
        <w:rPr>
          <w:color w:val="000000"/>
        </w:rPr>
        <w:t xml:space="preserve"> submitting studies</w:t>
      </w:r>
      <w:r w:rsidR="00B72390">
        <w:rPr>
          <w:color w:val="000000"/>
        </w:rPr>
        <w:t>, which we round up to 1 robust summary per firm</w:t>
      </w:r>
      <w:r w:rsidR="00864518">
        <w:rPr>
          <w:color w:val="000000"/>
        </w:rPr>
        <w:t xml:space="preserve"> submitting studies</w:t>
      </w:r>
      <w:r w:rsidR="000D7648">
        <w:rPr>
          <w:color w:val="000000"/>
        </w:rPr>
        <w:t>.</w:t>
      </w:r>
      <w:r w:rsidR="003F63AD">
        <w:rPr>
          <w:color w:val="000000"/>
        </w:rPr>
        <w:t xml:space="preserve"> </w:t>
      </w:r>
      <w:r w:rsidR="00B72390">
        <w:rPr>
          <w:color w:val="000000"/>
        </w:rPr>
        <w:t>T</w:t>
      </w:r>
      <w:r w:rsidR="003F63AD">
        <w:rPr>
          <w:color w:val="000000"/>
        </w:rPr>
        <w:t xml:space="preserve">he estimated average burden </w:t>
      </w:r>
      <w:r w:rsidR="00B72390">
        <w:rPr>
          <w:color w:val="000000"/>
        </w:rPr>
        <w:t>per robust summary</w:t>
      </w:r>
      <w:r w:rsidR="003F63AD">
        <w:rPr>
          <w:color w:val="000000"/>
        </w:rPr>
        <w:t xml:space="preserve"> is 1</w:t>
      </w:r>
      <w:r w:rsidR="000917E9">
        <w:rPr>
          <w:color w:val="000000"/>
        </w:rPr>
        <w:t>2</w:t>
      </w:r>
      <w:r w:rsidR="00B72390">
        <w:rPr>
          <w:color w:val="000000"/>
        </w:rPr>
        <w:t xml:space="preserve"> hours of technical time.</w:t>
      </w:r>
    </w:p>
    <w:p w14:paraId="6B266D7C" w14:textId="77777777" w:rsidR="003F63AD" w:rsidRDefault="003F63AD" w:rsidP="00A411E8">
      <w:pPr>
        <w:widowControl w:val="0"/>
        <w:rPr>
          <w:color w:val="000000"/>
        </w:rPr>
      </w:pPr>
    </w:p>
    <w:p w14:paraId="3C4324BC" w14:textId="7D95A43A" w:rsidR="00A27323" w:rsidRDefault="003F63AD" w:rsidP="002D5447">
      <w:pPr>
        <w:widowControl w:val="0"/>
        <w:ind w:firstLine="720"/>
        <w:rPr>
          <w:color w:val="000000"/>
        </w:rPr>
      </w:pPr>
      <w:r>
        <w:rPr>
          <w:color w:val="000000"/>
          <w:u w:val="single"/>
        </w:rPr>
        <w:t xml:space="preserve">Review Responses for </w:t>
      </w:r>
      <w:r w:rsidR="00051CEC">
        <w:rPr>
          <w:color w:val="000000"/>
          <w:u w:val="single"/>
        </w:rPr>
        <w:t>CBI</w:t>
      </w:r>
      <w:r>
        <w:rPr>
          <w:color w:val="000000"/>
          <w:u w:val="single"/>
        </w:rPr>
        <w:t>.</w:t>
      </w:r>
      <w:r w:rsidR="00B72390">
        <w:rPr>
          <w:color w:val="000000"/>
        </w:rPr>
        <w:t xml:space="preserve"> </w:t>
      </w:r>
      <w:r>
        <w:rPr>
          <w:color w:val="000000"/>
        </w:rPr>
        <w:t xml:space="preserve">Firms will need to review responses for possible </w:t>
      </w:r>
      <w:r w:rsidR="00051CEC">
        <w:rPr>
          <w:color w:val="000000"/>
        </w:rPr>
        <w:t>CBI</w:t>
      </w:r>
      <w:r>
        <w:rPr>
          <w:color w:val="000000"/>
        </w:rPr>
        <w:t xml:space="preserve"> and delete any material that is considered by the firm to be CB</w:t>
      </w:r>
      <w:r w:rsidR="00051CEC">
        <w:rPr>
          <w:color w:val="000000"/>
        </w:rPr>
        <w:t xml:space="preserve">I from one </w:t>
      </w:r>
      <w:r w:rsidR="00B72390">
        <w:rPr>
          <w:color w:val="000000"/>
        </w:rPr>
        <w:t>copy</w:t>
      </w:r>
      <w:r w:rsidR="00EA74DE">
        <w:rPr>
          <w:color w:val="000000"/>
        </w:rPr>
        <w:t xml:space="preserve"> </w:t>
      </w:r>
      <w:r w:rsidR="00051CEC">
        <w:rPr>
          <w:color w:val="000000"/>
        </w:rPr>
        <w:t xml:space="preserve">of the study. </w:t>
      </w:r>
      <w:r>
        <w:rPr>
          <w:color w:val="000000"/>
        </w:rPr>
        <w:t>A</w:t>
      </w:r>
      <w:r w:rsidR="00051CEC">
        <w:rPr>
          <w:color w:val="000000"/>
        </w:rPr>
        <w:t xml:space="preserve"> separate</w:t>
      </w:r>
      <w:r>
        <w:rPr>
          <w:color w:val="000000"/>
        </w:rPr>
        <w:t xml:space="preserve"> </w:t>
      </w:r>
      <w:r w:rsidR="00B72390">
        <w:rPr>
          <w:color w:val="000000"/>
        </w:rPr>
        <w:t>copy</w:t>
      </w:r>
      <w:r w:rsidR="00EA74DE">
        <w:rPr>
          <w:color w:val="000000"/>
        </w:rPr>
        <w:t xml:space="preserve"> </w:t>
      </w:r>
      <w:r w:rsidR="00051CEC">
        <w:rPr>
          <w:color w:val="000000"/>
        </w:rPr>
        <w:t xml:space="preserve">of the study </w:t>
      </w:r>
      <w:r>
        <w:rPr>
          <w:color w:val="000000"/>
        </w:rPr>
        <w:t>must b</w:t>
      </w:r>
      <w:r w:rsidR="00051CEC">
        <w:rPr>
          <w:color w:val="000000"/>
        </w:rPr>
        <w:t>e submitted without deletions</w:t>
      </w:r>
      <w:r w:rsidR="00B72390">
        <w:rPr>
          <w:color w:val="000000"/>
        </w:rPr>
        <w:t xml:space="preserve"> of CBI</w:t>
      </w:r>
      <w:r w:rsidR="00051CEC">
        <w:rPr>
          <w:color w:val="000000"/>
        </w:rPr>
        <w:t>.</w:t>
      </w:r>
      <w:r w:rsidR="00B72390">
        <w:rPr>
          <w:color w:val="000000"/>
        </w:rPr>
        <w:t xml:space="preserve"> CBI review is estimated to take an average of 1 hour of managerial time for each study. Since each </w:t>
      </w:r>
      <w:r w:rsidR="00185713">
        <w:rPr>
          <w:color w:val="000000"/>
        </w:rPr>
        <w:t>of the 21</w:t>
      </w:r>
      <w:r w:rsidR="00864518">
        <w:rPr>
          <w:color w:val="000000"/>
        </w:rPr>
        <w:t xml:space="preserve"> </w:t>
      </w:r>
      <w:r w:rsidR="00B72390">
        <w:rPr>
          <w:color w:val="000000"/>
        </w:rPr>
        <w:t>firm</w:t>
      </w:r>
      <w:r w:rsidR="00864518">
        <w:rPr>
          <w:color w:val="000000"/>
        </w:rPr>
        <w:t>s</w:t>
      </w:r>
      <w:r w:rsidR="00B72390">
        <w:rPr>
          <w:color w:val="000000"/>
        </w:rPr>
        <w:t xml:space="preserve"> is submitting an average of 9 studies, CBI review results in an estimated average of 9 hours of managerial time per firm.</w:t>
      </w:r>
    </w:p>
    <w:p w14:paraId="3BF31EDA" w14:textId="5971D0C2" w:rsidR="0045015E" w:rsidRDefault="0045015E" w:rsidP="002D5447">
      <w:pPr>
        <w:widowControl w:val="0"/>
        <w:ind w:firstLine="720"/>
        <w:rPr>
          <w:color w:val="000000"/>
        </w:rPr>
      </w:pPr>
    </w:p>
    <w:p w14:paraId="243E8026" w14:textId="7ADEEE9F" w:rsidR="0011608B" w:rsidRPr="00C21653" w:rsidRDefault="0011608B" w:rsidP="00C21653">
      <w:pPr>
        <w:widowControl w:val="0"/>
        <w:ind w:firstLine="720"/>
      </w:pPr>
      <w:r>
        <w:rPr>
          <w:color w:val="000000"/>
          <w:u w:val="single"/>
        </w:rPr>
        <w:t xml:space="preserve">CBI Legal Review and </w:t>
      </w:r>
      <w:r w:rsidR="0045015E">
        <w:rPr>
          <w:color w:val="000000"/>
          <w:u w:val="single"/>
        </w:rPr>
        <w:t>Confidential Business Substantiation.</w:t>
      </w:r>
      <w:r w:rsidR="0045015E" w:rsidRPr="00D25EEC">
        <w:rPr>
          <w:color w:val="000000"/>
        </w:rPr>
        <w:t xml:space="preserve"> </w:t>
      </w:r>
      <w:r w:rsidRPr="00C21653">
        <w:t xml:space="preserve">Firms will need to gather and prepare information to substantiate a claim for confidentiality. This will also involve approximately 1.5 hours of managerial </w:t>
      </w:r>
      <w:r w:rsidR="00D25EEC">
        <w:t>and attorney time</w:t>
      </w:r>
      <w:r w:rsidRPr="00C21653">
        <w:t>.</w:t>
      </w:r>
    </w:p>
    <w:p w14:paraId="13D00D55" w14:textId="77777777" w:rsidR="00C21653" w:rsidRDefault="00C21653" w:rsidP="00A27323">
      <w:pPr>
        <w:widowControl w:val="0"/>
        <w:rPr>
          <w:color w:val="000000"/>
        </w:rPr>
      </w:pPr>
    </w:p>
    <w:p w14:paraId="7903B8D3" w14:textId="0479075A" w:rsidR="00E410A5" w:rsidRDefault="003F63AD" w:rsidP="0011608B">
      <w:pPr>
        <w:widowControl w:val="0"/>
        <w:ind w:firstLine="720"/>
        <w:rPr>
          <w:color w:val="000000"/>
        </w:rPr>
      </w:pPr>
      <w:r>
        <w:rPr>
          <w:color w:val="000000"/>
          <w:u w:val="single"/>
        </w:rPr>
        <w:t>Post-Reporting Period</w:t>
      </w:r>
      <w:r w:rsidR="00281DA5">
        <w:rPr>
          <w:color w:val="000000"/>
          <w:u w:val="single"/>
        </w:rPr>
        <w:t xml:space="preserve">: </w:t>
      </w:r>
      <w:r>
        <w:rPr>
          <w:color w:val="000000"/>
          <w:u w:val="single"/>
        </w:rPr>
        <w:t xml:space="preserve"> Submi</w:t>
      </w:r>
      <w:r w:rsidR="00281DA5">
        <w:rPr>
          <w:color w:val="000000"/>
          <w:u w:val="single"/>
        </w:rPr>
        <w:t>t</w:t>
      </w:r>
      <w:r>
        <w:rPr>
          <w:color w:val="000000"/>
          <w:u w:val="single"/>
        </w:rPr>
        <w:t xml:space="preserve"> Ongoing or Newly</w:t>
      </w:r>
      <w:r w:rsidR="00051CEC">
        <w:rPr>
          <w:color w:val="000000"/>
          <w:u w:val="single"/>
        </w:rPr>
        <w:t>-</w:t>
      </w:r>
      <w:r>
        <w:rPr>
          <w:color w:val="000000"/>
          <w:u w:val="single"/>
        </w:rPr>
        <w:t>Initiated Studies.</w:t>
      </w:r>
      <w:r w:rsidR="00A27323">
        <w:rPr>
          <w:color w:val="000000"/>
        </w:rPr>
        <w:t xml:space="preserve"> </w:t>
      </w:r>
      <w:r>
        <w:rPr>
          <w:color w:val="000000"/>
        </w:rPr>
        <w:t>Firms that have an ongoing or newly</w:t>
      </w:r>
      <w:r w:rsidR="00051CEC">
        <w:rPr>
          <w:color w:val="000000"/>
        </w:rPr>
        <w:t>-</w:t>
      </w:r>
      <w:r>
        <w:rPr>
          <w:color w:val="000000"/>
        </w:rPr>
        <w:t>initiated study during the reporting period are required to provide EPA with a copy of the study once it is completed</w:t>
      </w:r>
      <w:r w:rsidR="00205FAB">
        <w:rPr>
          <w:color w:val="000000"/>
        </w:rPr>
        <w:t xml:space="preserve">. </w:t>
      </w:r>
      <w:r>
        <w:rPr>
          <w:color w:val="000000"/>
        </w:rPr>
        <w:t xml:space="preserve">CBI review </w:t>
      </w:r>
      <w:r w:rsidR="00A27323">
        <w:rPr>
          <w:color w:val="000000"/>
        </w:rPr>
        <w:t>and submission of ongoing or newly-initiated studies are</w:t>
      </w:r>
      <w:r w:rsidR="00EA74DE">
        <w:rPr>
          <w:color w:val="000000"/>
        </w:rPr>
        <w:t xml:space="preserve"> estimated to </w:t>
      </w:r>
      <w:r>
        <w:rPr>
          <w:color w:val="000000"/>
        </w:rPr>
        <w:t xml:space="preserve">require an average of </w:t>
      </w:r>
      <w:r w:rsidR="00EA74DE">
        <w:rPr>
          <w:color w:val="000000"/>
        </w:rPr>
        <w:t xml:space="preserve">1 </w:t>
      </w:r>
      <w:r>
        <w:rPr>
          <w:color w:val="000000"/>
        </w:rPr>
        <w:t>hour of managerial time.</w:t>
      </w:r>
    </w:p>
    <w:p w14:paraId="78DA3703" w14:textId="420BF1EE" w:rsidR="009A3490" w:rsidRDefault="009A3490"/>
    <w:tbl>
      <w:tblPr>
        <w:tblW w:w="9052" w:type="dxa"/>
        <w:jc w:val="center"/>
        <w:tblLook w:val="04A0" w:firstRow="1" w:lastRow="0" w:firstColumn="1" w:lastColumn="0" w:noHBand="0" w:noVBand="1"/>
      </w:tblPr>
      <w:tblGrid>
        <w:gridCol w:w="4485"/>
        <w:gridCol w:w="1648"/>
        <w:gridCol w:w="1423"/>
        <w:gridCol w:w="1496"/>
      </w:tblGrid>
      <w:tr w:rsidR="00B57823" w:rsidRPr="00B57823" w14:paraId="13C351D1" w14:textId="77777777" w:rsidTr="00E421F6">
        <w:trPr>
          <w:trHeight w:val="330"/>
          <w:jc w:val="center"/>
        </w:trPr>
        <w:tc>
          <w:tcPr>
            <w:tcW w:w="7556" w:type="dxa"/>
            <w:gridSpan w:val="3"/>
            <w:tcBorders>
              <w:top w:val="nil"/>
              <w:left w:val="nil"/>
              <w:bottom w:val="double" w:sz="6" w:space="0" w:color="000000"/>
              <w:right w:val="nil"/>
            </w:tcBorders>
            <w:shd w:val="clear" w:color="auto" w:fill="auto"/>
            <w:noWrap/>
            <w:vAlign w:val="center"/>
            <w:hideMark/>
          </w:tcPr>
          <w:p w14:paraId="1ED66912" w14:textId="4B578D72" w:rsidR="00B57823" w:rsidRPr="00B57823" w:rsidRDefault="00B57823" w:rsidP="00B57823">
            <w:pPr>
              <w:rPr>
                <w:b/>
                <w:bCs/>
                <w:color w:val="000000"/>
                <w:szCs w:val="24"/>
              </w:rPr>
            </w:pPr>
            <w:r w:rsidRPr="00B57823">
              <w:rPr>
                <w:b/>
                <w:bCs/>
                <w:color w:val="000000"/>
                <w:szCs w:val="24"/>
              </w:rPr>
              <w:t>T</w:t>
            </w:r>
            <w:r w:rsidR="00C85187">
              <w:rPr>
                <w:b/>
                <w:bCs/>
                <w:color w:val="000000"/>
                <w:szCs w:val="24"/>
              </w:rPr>
              <w:t>able 3</w:t>
            </w:r>
            <w:r w:rsidR="00205FAB">
              <w:rPr>
                <w:b/>
                <w:bCs/>
                <w:color w:val="000000"/>
                <w:szCs w:val="24"/>
              </w:rPr>
              <w:t xml:space="preserve">. </w:t>
            </w:r>
            <w:r w:rsidRPr="00B57823">
              <w:rPr>
                <w:b/>
                <w:bCs/>
                <w:color w:val="000000"/>
                <w:szCs w:val="24"/>
              </w:rPr>
              <w:t>Unit Burden for TSCA Section 8(d) Reporting</w:t>
            </w:r>
          </w:p>
        </w:tc>
        <w:tc>
          <w:tcPr>
            <w:tcW w:w="1496" w:type="dxa"/>
            <w:tcBorders>
              <w:top w:val="nil"/>
              <w:left w:val="nil"/>
              <w:bottom w:val="double" w:sz="6" w:space="0" w:color="000000"/>
              <w:right w:val="nil"/>
            </w:tcBorders>
            <w:shd w:val="clear" w:color="auto" w:fill="auto"/>
            <w:noWrap/>
            <w:vAlign w:val="center"/>
            <w:hideMark/>
          </w:tcPr>
          <w:p w14:paraId="2289991A" w14:textId="77777777" w:rsidR="00B57823" w:rsidRPr="00B57823" w:rsidRDefault="00B57823" w:rsidP="00B57823">
            <w:pPr>
              <w:rPr>
                <w:rFonts w:ascii="Calibri" w:hAnsi="Calibri" w:cs="Calibri"/>
                <w:color w:val="000000"/>
                <w:sz w:val="22"/>
                <w:szCs w:val="22"/>
              </w:rPr>
            </w:pPr>
          </w:p>
        </w:tc>
      </w:tr>
      <w:tr w:rsidR="00B57823" w:rsidRPr="00B57823" w14:paraId="1885F8AD" w14:textId="77777777" w:rsidTr="00E421F6">
        <w:trPr>
          <w:trHeight w:val="990"/>
          <w:jc w:val="center"/>
        </w:trPr>
        <w:tc>
          <w:tcPr>
            <w:tcW w:w="4485" w:type="dxa"/>
            <w:tcBorders>
              <w:top w:val="double" w:sz="6" w:space="0" w:color="000000"/>
              <w:left w:val="double" w:sz="6" w:space="0" w:color="000000"/>
              <w:bottom w:val="double" w:sz="6" w:space="0" w:color="000000"/>
              <w:right w:val="single" w:sz="4" w:space="0" w:color="auto"/>
            </w:tcBorders>
            <w:shd w:val="clear" w:color="auto" w:fill="auto"/>
            <w:vAlign w:val="center"/>
            <w:hideMark/>
          </w:tcPr>
          <w:p w14:paraId="47266A76" w14:textId="77777777" w:rsidR="00B57823" w:rsidRPr="00B030A8" w:rsidRDefault="00B57823" w:rsidP="00B57823">
            <w:pPr>
              <w:jc w:val="center"/>
              <w:rPr>
                <w:b/>
                <w:bCs/>
                <w:color w:val="000000"/>
                <w:sz w:val="20"/>
              </w:rPr>
            </w:pPr>
            <w:r w:rsidRPr="00B030A8">
              <w:rPr>
                <w:b/>
                <w:bCs/>
                <w:color w:val="000000"/>
                <w:sz w:val="20"/>
              </w:rPr>
              <w:t>Collection Activity</w:t>
            </w:r>
          </w:p>
        </w:tc>
        <w:tc>
          <w:tcPr>
            <w:tcW w:w="1648" w:type="dxa"/>
            <w:tcBorders>
              <w:top w:val="double" w:sz="6" w:space="0" w:color="000000"/>
              <w:left w:val="single" w:sz="4" w:space="0" w:color="auto"/>
              <w:bottom w:val="double" w:sz="6" w:space="0" w:color="000000"/>
              <w:right w:val="single" w:sz="4" w:space="0" w:color="auto"/>
            </w:tcBorders>
            <w:shd w:val="clear" w:color="auto" w:fill="auto"/>
            <w:vAlign w:val="center"/>
            <w:hideMark/>
          </w:tcPr>
          <w:p w14:paraId="27CEF8CD" w14:textId="77777777" w:rsidR="00B57823" w:rsidRPr="00B030A8" w:rsidRDefault="00B57823" w:rsidP="00B030A8">
            <w:pPr>
              <w:jc w:val="center"/>
              <w:rPr>
                <w:b/>
                <w:bCs/>
                <w:color w:val="000000"/>
                <w:sz w:val="20"/>
              </w:rPr>
            </w:pPr>
            <w:r w:rsidRPr="00B030A8">
              <w:rPr>
                <w:b/>
                <w:bCs/>
                <w:color w:val="000000"/>
                <w:sz w:val="20"/>
              </w:rPr>
              <w:t>Affected Respondent</w:t>
            </w:r>
            <w:r w:rsidR="00281DA5" w:rsidRPr="00B030A8">
              <w:rPr>
                <w:b/>
                <w:bCs/>
                <w:color w:val="000000"/>
                <w:sz w:val="20"/>
              </w:rPr>
              <w:t>s</w:t>
            </w:r>
            <w:r w:rsidRPr="00B030A8">
              <w:rPr>
                <w:b/>
                <w:bCs/>
                <w:color w:val="000000"/>
                <w:sz w:val="20"/>
              </w:rPr>
              <w:t xml:space="preserve"> (Weight)*</w:t>
            </w:r>
          </w:p>
        </w:tc>
        <w:tc>
          <w:tcPr>
            <w:tcW w:w="1423" w:type="dxa"/>
            <w:tcBorders>
              <w:top w:val="double" w:sz="6" w:space="0" w:color="000000"/>
              <w:left w:val="single" w:sz="4" w:space="0" w:color="auto"/>
              <w:bottom w:val="double" w:sz="6" w:space="0" w:color="000000"/>
              <w:right w:val="single" w:sz="4" w:space="0" w:color="auto"/>
            </w:tcBorders>
            <w:shd w:val="clear" w:color="auto" w:fill="auto"/>
            <w:vAlign w:val="center"/>
            <w:hideMark/>
          </w:tcPr>
          <w:p w14:paraId="4A2B9256" w14:textId="77777777" w:rsidR="00B57823" w:rsidRPr="00B030A8" w:rsidRDefault="00051CEC" w:rsidP="00051CEC">
            <w:pPr>
              <w:jc w:val="center"/>
              <w:rPr>
                <w:b/>
                <w:bCs/>
                <w:color w:val="000000"/>
                <w:sz w:val="20"/>
              </w:rPr>
            </w:pPr>
            <w:r w:rsidRPr="00B030A8">
              <w:rPr>
                <w:b/>
                <w:bCs/>
                <w:color w:val="000000"/>
                <w:sz w:val="20"/>
              </w:rPr>
              <w:t>Average Burden per Firm (H</w:t>
            </w:r>
            <w:r w:rsidR="00B57823" w:rsidRPr="00B030A8">
              <w:rPr>
                <w:b/>
                <w:bCs/>
                <w:color w:val="000000"/>
                <w:sz w:val="20"/>
              </w:rPr>
              <w:t>ours</w:t>
            </w:r>
            <w:r w:rsidRPr="00B030A8">
              <w:rPr>
                <w:b/>
                <w:bCs/>
                <w:color w:val="000000"/>
                <w:sz w:val="20"/>
              </w:rPr>
              <w:t>)</w:t>
            </w:r>
          </w:p>
        </w:tc>
        <w:tc>
          <w:tcPr>
            <w:tcW w:w="1496" w:type="dxa"/>
            <w:tcBorders>
              <w:top w:val="double" w:sz="6" w:space="0" w:color="000000"/>
              <w:left w:val="single" w:sz="4" w:space="0" w:color="auto"/>
              <w:bottom w:val="double" w:sz="6" w:space="0" w:color="000000"/>
              <w:right w:val="double" w:sz="6" w:space="0" w:color="000000"/>
            </w:tcBorders>
            <w:shd w:val="clear" w:color="auto" w:fill="auto"/>
            <w:vAlign w:val="center"/>
            <w:hideMark/>
          </w:tcPr>
          <w:p w14:paraId="0499BA1F" w14:textId="77777777" w:rsidR="00B57823" w:rsidRPr="00B030A8" w:rsidRDefault="00B57823" w:rsidP="00B57823">
            <w:pPr>
              <w:jc w:val="center"/>
              <w:rPr>
                <w:b/>
                <w:bCs/>
                <w:color w:val="000000"/>
                <w:sz w:val="20"/>
              </w:rPr>
            </w:pPr>
            <w:r w:rsidRPr="00B030A8">
              <w:rPr>
                <w:b/>
                <w:bCs/>
                <w:color w:val="000000"/>
                <w:sz w:val="20"/>
              </w:rPr>
              <w:t>Labor Category</w:t>
            </w:r>
          </w:p>
        </w:tc>
      </w:tr>
      <w:tr w:rsidR="00B57823" w:rsidRPr="00B57823" w14:paraId="0D7BAE94" w14:textId="77777777" w:rsidTr="00E421F6">
        <w:trPr>
          <w:trHeight w:val="330"/>
          <w:jc w:val="center"/>
        </w:trPr>
        <w:tc>
          <w:tcPr>
            <w:tcW w:w="4485" w:type="dxa"/>
            <w:tcBorders>
              <w:top w:val="nil"/>
              <w:left w:val="double" w:sz="6" w:space="0" w:color="000000"/>
              <w:bottom w:val="single" w:sz="4" w:space="0" w:color="000000"/>
              <w:right w:val="single" w:sz="4" w:space="0" w:color="000000"/>
            </w:tcBorders>
            <w:shd w:val="clear" w:color="auto" w:fill="auto"/>
            <w:vAlign w:val="center"/>
            <w:hideMark/>
          </w:tcPr>
          <w:p w14:paraId="66A1CE46" w14:textId="77777777" w:rsidR="00B57823" w:rsidRPr="00B030A8" w:rsidRDefault="00B57823" w:rsidP="00B57823">
            <w:pPr>
              <w:rPr>
                <w:color w:val="000000"/>
                <w:sz w:val="20"/>
              </w:rPr>
            </w:pPr>
            <w:r w:rsidRPr="00B030A8">
              <w:rPr>
                <w:color w:val="000000"/>
                <w:sz w:val="20"/>
              </w:rPr>
              <w:t>1. Review of Rule</w:t>
            </w:r>
          </w:p>
        </w:tc>
        <w:tc>
          <w:tcPr>
            <w:tcW w:w="1648" w:type="dxa"/>
            <w:tcBorders>
              <w:top w:val="nil"/>
              <w:left w:val="nil"/>
              <w:bottom w:val="single" w:sz="4" w:space="0" w:color="000000"/>
              <w:right w:val="single" w:sz="4" w:space="0" w:color="000000"/>
            </w:tcBorders>
            <w:shd w:val="clear" w:color="auto" w:fill="auto"/>
            <w:noWrap/>
            <w:vAlign w:val="center"/>
            <w:hideMark/>
          </w:tcPr>
          <w:p w14:paraId="687353EE" w14:textId="77777777" w:rsidR="00B57823" w:rsidRPr="00B030A8" w:rsidRDefault="00B57823" w:rsidP="00B57823">
            <w:pPr>
              <w:jc w:val="center"/>
              <w:rPr>
                <w:color w:val="000000"/>
                <w:sz w:val="20"/>
              </w:rPr>
            </w:pPr>
            <w:r w:rsidRPr="00B030A8">
              <w:rPr>
                <w:color w:val="000000"/>
                <w:sz w:val="20"/>
              </w:rPr>
              <w:t>1.000</w:t>
            </w:r>
          </w:p>
        </w:tc>
        <w:tc>
          <w:tcPr>
            <w:tcW w:w="1423" w:type="dxa"/>
            <w:tcBorders>
              <w:top w:val="nil"/>
              <w:left w:val="nil"/>
              <w:bottom w:val="single" w:sz="4" w:space="0" w:color="000000"/>
              <w:right w:val="single" w:sz="4" w:space="0" w:color="000000"/>
            </w:tcBorders>
            <w:shd w:val="clear" w:color="auto" w:fill="auto"/>
            <w:vAlign w:val="center"/>
            <w:hideMark/>
          </w:tcPr>
          <w:p w14:paraId="2B67BF02" w14:textId="77777777" w:rsidR="00B57823" w:rsidRPr="00B030A8" w:rsidRDefault="00B57823" w:rsidP="00B57823">
            <w:pPr>
              <w:jc w:val="center"/>
              <w:rPr>
                <w:color w:val="000000"/>
                <w:sz w:val="20"/>
              </w:rPr>
            </w:pPr>
            <w:r w:rsidRPr="00B030A8">
              <w:rPr>
                <w:color w:val="000000"/>
                <w:sz w:val="20"/>
              </w:rPr>
              <w:t>2</w:t>
            </w:r>
          </w:p>
        </w:tc>
        <w:tc>
          <w:tcPr>
            <w:tcW w:w="1496" w:type="dxa"/>
            <w:tcBorders>
              <w:top w:val="nil"/>
              <w:left w:val="nil"/>
              <w:bottom w:val="single" w:sz="4" w:space="0" w:color="000000"/>
              <w:right w:val="double" w:sz="6" w:space="0" w:color="000000"/>
            </w:tcBorders>
            <w:shd w:val="clear" w:color="auto" w:fill="auto"/>
            <w:vAlign w:val="center"/>
            <w:hideMark/>
          </w:tcPr>
          <w:p w14:paraId="461778A2" w14:textId="77777777" w:rsidR="00B57823" w:rsidRPr="00B030A8" w:rsidRDefault="00EA74DE" w:rsidP="00B57823">
            <w:pPr>
              <w:jc w:val="center"/>
              <w:rPr>
                <w:color w:val="000000"/>
                <w:sz w:val="20"/>
              </w:rPr>
            </w:pPr>
            <w:r w:rsidRPr="00B030A8">
              <w:rPr>
                <w:color w:val="000000"/>
                <w:sz w:val="20"/>
              </w:rPr>
              <w:t>M</w:t>
            </w:r>
            <w:r w:rsidR="00B57823" w:rsidRPr="00B030A8">
              <w:rPr>
                <w:color w:val="000000"/>
                <w:sz w:val="20"/>
              </w:rPr>
              <w:t>anagerial</w:t>
            </w:r>
          </w:p>
        </w:tc>
      </w:tr>
      <w:tr w:rsidR="00B57823" w:rsidRPr="00B57823" w14:paraId="7FE8A47F" w14:textId="77777777" w:rsidTr="00E421F6">
        <w:trPr>
          <w:trHeight w:val="350"/>
          <w:jc w:val="center"/>
        </w:trPr>
        <w:tc>
          <w:tcPr>
            <w:tcW w:w="4485" w:type="dxa"/>
            <w:tcBorders>
              <w:top w:val="nil"/>
              <w:left w:val="double" w:sz="6" w:space="0" w:color="000000"/>
              <w:bottom w:val="single" w:sz="4" w:space="0" w:color="000000"/>
              <w:right w:val="single" w:sz="4" w:space="0" w:color="000000"/>
            </w:tcBorders>
            <w:shd w:val="clear" w:color="auto" w:fill="auto"/>
            <w:vAlign w:val="center"/>
            <w:hideMark/>
          </w:tcPr>
          <w:p w14:paraId="5CE5216E" w14:textId="77777777" w:rsidR="00B57823" w:rsidRPr="00B030A8" w:rsidRDefault="00B57823" w:rsidP="00B57823">
            <w:pPr>
              <w:rPr>
                <w:color w:val="000000"/>
                <w:sz w:val="20"/>
              </w:rPr>
            </w:pPr>
            <w:r w:rsidRPr="00B030A8">
              <w:rPr>
                <w:color w:val="000000"/>
                <w:sz w:val="20"/>
              </w:rPr>
              <w:t>2. Site Identification</w:t>
            </w:r>
          </w:p>
        </w:tc>
        <w:tc>
          <w:tcPr>
            <w:tcW w:w="1648" w:type="dxa"/>
            <w:tcBorders>
              <w:top w:val="nil"/>
              <w:left w:val="nil"/>
              <w:bottom w:val="single" w:sz="4" w:space="0" w:color="000000"/>
              <w:right w:val="single" w:sz="4" w:space="0" w:color="000000"/>
            </w:tcBorders>
            <w:shd w:val="clear" w:color="auto" w:fill="auto"/>
            <w:noWrap/>
            <w:vAlign w:val="center"/>
            <w:hideMark/>
          </w:tcPr>
          <w:p w14:paraId="5D40659B" w14:textId="77777777" w:rsidR="00B57823" w:rsidRPr="00B030A8" w:rsidRDefault="00B57823" w:rsidP="00B57823">
            <w:pPr>
              <w:jc w:val="center"/>
              <w:rPr>
                <w:color w:val="000000"/>
                <w:sz w:val="20"/>
              </w:rPr>
            </w:pPr>
            <w:r w:rsidRPr="00B030A8">
              <w:rPr>
                <w:color w:val="000000"/>
                <w:sz w:val="20"/>
              </w:rPr>
              <w:t>1.000</w:t>
            </w:r>
          </w:p>
        </w:tc>
        <w:tc>
          <w:tcPr>
            <w:tcW w:w="1423" w:type="dxa"/>
            <w:tcBorders>
              <w:top w:val="nil"/>
              <w:left w:val="nil"/>
              <w:bottom w:val="single" w:sz="4" w:space="0" w:color="000000"/>
              <w:right w:val="single" w:sz="4" w:space="0" w:color="000000"/>
            </w:tcBorders>
            <w:shd w:val="clear" w:color="auto" w:fill="auto"/>
            <w:vAlign w:val="center"/>
            <w:hideMark/>
          </w:tcPr>
          <w:p w14:paraId="0A86D3B0" w14:textId="77777777" w:rsidR="00B57823" w:rsidRPr="00B030A8" w:rsidRDefault="00B57823" w:rsidP="00B57823">
            <w:pPr>
              <w:jc w:val="center"/>
              <w:rPr>
                <w:color w:val="000000"/>
                <w:sz w:val="20"/>
              </w:rPr>
            </w:pPr>
            <w:r w:rsidRPr="00B030A8">
              <w:rPr>
                <w:color w:val="000000"/>
                <w:sz w:val="20"/>
              </w:rPr>
              <w:t>3</w:t>
            </w:r>
          </w:p>
        </w:tc>
        <w:tc>
          <w:tcPr>
            <w:tcW w:w="1496" w:type="dxa"/>
            <w:tcBorders>
              <w:top w:val="nil"/>
              <w:left w:val="nil"/>
              <w:bottom w:val="single" w:sz="4" w:space="0" w:color="000000"/>
              <w:right w:val="double" w:sz="6" w:space="0" w:color="000000"/>
            </w:tcBorders>
            <w:shd w:val="clear" w:color="auto" w:fill="auto"/>
            <w:vAlign w:val="center"/>
            <w:hideMark/>
          </w:tcPr>
          <w:p w14:paraId="7173BB62" w14:textId="77777777" w:rsidR="00B57823" w:rsidRPr="00B030A8" w:rsidRDefault="00EA74DE" w:rsidP="00B57823">
            <w:pPr>
              <w:jc w:val="center"/>
              <w:rPr>
                <w:color w:val="000000"/>
                <w:sz w:val="20"/>
              </w:rPr>
            </w:pPr>
            <w:r w:rsidRPr="00B030A8">
              <w:rPr>
                <w:color w:val="000000"/>
                <w:sz w:val="20"/>
              </w:rPr>
              <w:t>M</w:t>
            </w:r>
            <w:r w:rsidR="00B57823" w:rsidRPr="00B030A8">
              <w:rPr>
                <w:color w:val="000000"/>
                <w:sz w:val="20"/>
              </w:rPr>
              <w:t>anagerial</w:t>
            </w:r>
          </w:p>
        </w:tc>
      </w:tr>
      <w:tr w:rsidR="00B57823" w:rsidRPr="00B57823" w14:paraId="62A3462D" w14:textId="77777777" w:rsidTr="00E421F6">
        <w:trPr>
          <w:trHeight w:val="315"/>
          <w:jc w:val="center"/>
        </w:trPr>
        <w:tc>
          <w:tcPr>
            <w:tcW w:w="4485" w:type="dxa"/>
            <w:tcBorders>
              <w:top w:val="nil"/>
              <w:left w:val="double" w:sz="6" w:space="0" w:color="000000"/>
              <w:bottom w:val="single" w:sz="4" w:space="0" w:color="000000"/>
              <w:right w:val="single" w:sz="4" w:space="0" w:color="000000"/>
            </w:tcBorders>
            <w:shd w:val="clear" w:color="auto" w:fill="auto"/>
            <w:vAlign w:val="center"/>
            <w:hideMark/>
          </w:tcPr>
          <w:p w14:paraId="1AFB8CC2" w14:textId="77777777" w:rsidR="00B57823" w:rsidRPr="00B030A8" w:rsidRDefault="00B57823" w:rsidP="00B57823">
            <w:pPr>
              <w:rPr>
                <w:color w:val="000000"/>
                <w:sz w:val="20"/>
              </w:rPr>
            </w:pPr>
            <w:r w:rsidRPr="00B030A8">
              <w:rPr>
                <w:color w:val="000000"/>
                <w:sz w:val="20"/>
              </w:rPr>
              <w:t>3. Site File Search**</w:t>
            </w:r>
          </w:p>
        </w:tc>
        <w:tc>
          <w:tcPr>
            <w:tcW w:w="1648" w:type="dxa"/>
            <w:tcBorders>
              <w:top w:val="nil"/>
              <w:left w:val="nil"/>
              <w:bottom w:val="single" w:sz="4" w:space="0" w:color="000000"/>
              <w:right w:val="single" w:sz="4" w:space="0" w:color="000000"/>
            </w:tcBorders>
            <w:shd w:val="clear" w:color="auto" w:fill="auto"/>
            <w:noWrap/>
            <w:vAlign w:val="center"/>
            <w:hideMark/>
          </w:tcPr>
          <w:p w14:paraId="3F53A241" w14:textId="77777777" w:rsidR="00B57823" w:rsidRPr="00B030A8" w:rsidRDefault="00B57823" w:rsidP="00B57823">
            <w:pPr>
              <w:jc w:val="center"/>
              <w:rPr>
                <w:color w:val="000000"/>
                <w:sz w:val="20"/>
              </w:rPr>
            </w:pPr>
            <w:r w:rsidRPr="00B030A8">
              <w:rPr>
                <w:color w:val="000000"/>
                <w:sz w:val="20"/>
              </w:rPr>
              <w:t>1.000</w:t>
            </w:r>
          </w:p>
        </w:tc>
        <w:tc>
          <w:tcPr>
            <w:tcW w:w="1423" w:type="dxa"/>
            <w:tcBorders>
              <w:top w:val="nil"/>
              <w:left w:val="nil"/>
              <w:bottom w:val="single" w:sz="4" w:space="0" w:color="000000"/>
              <w:right w:val="single" w:sz="4" w:space="0" w:color="000000"/>
            </w:tcBorders>
            <w:shd w:val="clear" w:color="auto" w:fill="auto"/>
            <w:vAlign w:val="center"/>
            <w:hideMark/>
          </w:tcPr>
          <w:p w14:paraId="06845ECD" w14:textId="77777777" w:rsidR="00B57823" w:rsidRPr="00B030A8" w:rsidRDefault="00B57823" w:rsidP="00B57823">
            <w:pPr>
              <w:jc w:val="center"/>
              <w:rPr>
                <w:color w:val="000000"/>
                <w:sz w:val="20"/>
              </w:rPr>
            </w:pPr>
            <w:r w:rsidRPr="00B030A8">
              <w:rPr>
                <w:color w:val="000000"/>
                <w:sz w:val="20"/>
              </w:rPr>
              <w:t>4.5</w:t>
            </w:r>
          </w:p>
        </w:tc>
        <w:tc>
          <w:tcPr>
            <w:tcW w:w="1496" w:type="dxa"/>
            <w:tcBorders>
              <w:top w:val="nil"/>
              <w:left w:val="nil"/>
              <w:bottom w:val="single" w:sz="4" w:space="0" w:color="000000"/>
              <w:right w:val="double" w:sz="6" w:space="0" w:color="000000"/>
            </w:tcBorders>
            <w:shd w:val="clear" w:color="auto" w:fill="auto"/>
            <w:vAlign w:val="center"/>
            <w:hideMark/>
          </w:tcPr>
          <w:p w14:paraId="1F358104" w14:textId="77777777" w:rsidR="00B57823" w:rsidRPr="00B030A8" w:rsidRDefault="00B57823" w:rsidP="00EA74DE">
            <w:pPr>
              <w:jc w:val="center"/>
              <w:rPr>
                <w:color w:val="000000"/>
                <w:sz w:val="20"/>
              </w:rPr>
            </w:pPr>
            <w:r w:rsidRPr="00B030A8">
              <w:rPr>
                <w:color w:val="000000"/>
                <w:sz w:val="20"/>
              </w:rPr>
              <w:t xml:space="preserve"> </w:t>
            </w:r>
            <w:r w:rsidR="00EA74DE" w:rsidRPr="00B030A8">
              <w:rPr>
                <w:color w:val="000000"/>
                <w:sz w:val="20"/>
              </w:rPr>
              <w:t>T</w:t>
            </w:r>
            <w:r w:rsidRPr="00B030A8">
              <w:rPr>
                <w:color w:val="000000"/>
                <w:sz w:val="20"/>
              </w:rPr>
              <w:t>echnical</w:t>
            </w:r>
          </w:p>
        </w:tc>
      </w:tr>
      <w:tr w:rsidR="00B57823" w:rsidRPr="00B57823" w14:paraId="0D911612" w14:textId="77777777" w:rsidTr="00E421F6">
        <w:trPr>
          <w:trHeight w:val="315"/>
          <w:jc w:val="center"/>
        </w:trPr>
        <w:tc>
          <w:tcPr>
            <w:tcW w:w="4485" w:type="dxa"/>
            <w:tcBorders>
              <w:top w:val="nil"/>
              <w:left w:val="double" w:sz="6" w:space="0" w:color="000000"/>
              <w:bottom w:val="single" w:sz="4" w:space="0" w:color="000000"/>
              <w:right w:val="single" w:sz="4" w:space="0" w:color="000000"/>
            </w:tcBorders>
            <w:shd w:val="clear" w:color="auto" w:fill="auto"/>
            <w:vAlign w:val="center"/>
            <w:hideMark/>
          </w:tcPr>
          <w:p w14:paraId="2CC81061" w14:textId="77777777" w:rsidR="00B57823" w:rsidRPr="00B030A8" w:rsidRDefault="00EA74DE" w:rsidP="00B57823">
            <w:pPr>
              <w:rPr>
                <w:color w:val="000000"/>
                <w:sz w:val="20"/>
              </w:rPr>
            </w:pPr>
            <w:r w:rsidRPr="00B030A8">
              <w:rPr>
                <w:color w:val="000000"/>
                <w:sz w:val="20"/>
              </w:rPr>
              <w:t>4</w:t>
            </w:r>
            <w:r w:rsidR="00B57823" w:rsidRPr="00B030A8">
              <w:rPr>
                <w:color w:val="000000"/>
                <w:sz w:val="20"/>
              </w:rPr>
              <w:t>. Robust Summaries</w:t>
            </w:r>
          </w:p>
        </w:tc>
        <w:tc>
          <w:tcPr>
            <w:tcW w:w="1648" w:type="dxa"/>
            <w:tcBorders>
              <w:top w:val="nil"/>
              <w:left w:val="nil"/>
              <w:bottom w:val="single" w:sz="4" w:space="0" w:color="000000"/>
              <w:right w:val="single" w:sz="4" w:space="0" w:color="000000"/>
            </w:tcBorders>
            <w:shd w:val="clear" w:color="auto" w:fill="auto"/>
            <w:noWrap/>
            <w:vAlign w:val="center"/>
            <w:hideMark/>
          </w:tcPr>
          <w:p w14:paraId="12291F86" w14:textId="77777777" w:rsidR="00B57823" w:rsidRPr="00B030A8" w:rsidRDefault="00B57823" w:rsidP="00B57823">
            <w:pPr>
              <w:jc w:val="center"/>
              <w:rPr>
                <w:color w:val="000000"/>
                <w:sz w:val="20"/>
              </w:rPr>
            </w:pPr>
            <w:r w:rsidRPr="00B030A8">
              <w:rPr>
                <w:color w:val="000000"/>
                <w:sz w:val="20"/>
              </w:rPr>
              <w:t>0.008</w:t>
            </w:r>
          </w:p>
        </w:tc>
        <w:tc>
          <w:tcPr>
            <w:tcW w:w="1423" w:type="dxa"/>
            <w:tcBorders>
              <w:top w:val="nil"/>
              <w:left w:val="nil"/>
              <w:bottom w:val="single" w:sz="4" w:space="0" w:color="000000"/>
              <w:right w:val="single" w:sz="4" w:space="0" w:color="000000"/>
            </w:tcBorders>
            <w:shd w:val="clear" w:color="auto" w:fill="auto"/>
            <w:vAlign w:val="center"/>
            <w:hideMark/>
          </w:tcPr>
          <w:p w14:paraId="4EAB19B1" w14:textId="77777777" w:rsidR="00B57823" w:rsidRPr="00B030A8" w:rsidRDefault="00B57823" w:rsidP="00B57823">
            <w:pPr>
              <w:jc w:val="center"/>
              <w:rPr>
                <w:color w:val="000000"/>
                <w:sz w:val="20"/>
              </w:rPr>
            </w:pPr>
            <w:r w:rsidRPr="00B030A8">
              <w:rPr>
                <w:color w:val="000000"/>
                <w:sz w:val="20"/>
              </w:rPr>
              <w:t>12</w:t>
            </w:r>
          </w:p>
        </w:tc>
        <w:tc>
          <w:tcPr>
            <w:tcW w:w="1496" w:type="dxa"/>
            <w:tcBorders>
              <w:top w:val="nil"/>
              <w:left w:val="nil"/>
              <w:bottom w:val="single" w:sz="4" w:space="0" w:color="000000"/>
              <w:right w:val="double" w:sz="6" w:space="0" w:color="000000"/>
            </w:tcBorders>
            <w:shd w:val="clear" w:color="auto" w:fill="auto"/>
            <w:vAlign w:val="center"/>
            <w:hideMark/>
          </w:tcPr>
          <w:p w14:paraId="1505761E" w14:textId="77777777" w:rsidR="00B57823" w:rsidRPr="00B030A8" w:rsidRDefault="00EA74DE" w:rsidP="00B57823">
            <w:pPr>
              <w:jc w:val="center"/>
              <w:rPr>
                <w:color w:val="000000"/>
                <w:sz w:val="20"/>
              </w:rPr>
            </w:pPr>
            <w:r w:rsidRPr="00B030A8">
              <w:rPr>
                <w:color w:val="000000"/>
                <w:sz w:val="20"/>
              </w:rPr>
              <w:t>T</w:t>
            </w:r>
            <w:r w:rsidR="00B57823" w:rsidRPr="00B030A8">
              <w:rPr>
                <w:color w:val="000000"/>
                <w:sz w:val="20"/>
              </w:rPr>
              <w:t>echnical</w:t>
            </w:r>
          </w:p>
        </w:tc>
      </w:tr>
      <w:tr w:rsidR="00B57823" w:rsidRPr="00B57823" w14:paraId="744A7AC4" w14:textId="77777777" w:rsidTr="00E421F6">
        <w:trPr>
          <w:trHeight w:val="315"/>
          <w:jc w:val="center"/>
        </w:trPr>
        <w:tc>
          <w:tcPr>
            <w:tcW w:w="4485" w:type="dxa"/>
            <w:tcBorders>
              <w:top w:val="nil"/>
              <w:left w:val="double" w:sz="6" w:space="0" w:color="000000"/>
              <w:bottom w:val="single" w:sz="4" w:space="0" w:color="000000"/>
              <w:right w:val="single" w:sz="4" w:space="0" w:color="000000"/>
            </w:tcBorders>
            <w:shd w:val="clear" w:color="auto" w:fill="auto"/>
            <w:vAlign w:val="center"/>
            <w:hideMark/>
          </w:tcPr>
          <w:p w14:paraId="12087AB9" w14:textId="77777777" w:rsidR="00B57823" w:rsidRPr="00B030A8" w:rsidRDefault="00EA74DE" w:rsidP="00B57823">
            <w:pPr>
              <w:rPr>
                <w:color w:val="000000"/>
                <w:sz w:val="20"/>
              </w:rPr>
            </w:pPr>
            <w:r w:rsidRPr="00B030A8">
              <w:rPr>
                <w:color w:val="000000"/>
                <w:sz w:val="20"/>
              </w:rPr>
              <w:t>5</w:t>
            </w:r>
            <w:r w:rsidR="00B57823" w:rsidRPr="00B030A8">
              <w:rPr>
                <w:color w:val="000000"/>
                <w:sz w:val="20"/>
              </w:rPr>
              <w:t>. CBI Review</w:t>
            </w:r>
          </w:p>
        </w:tc>
        <w:tc>
          <w:tcPr>
            <w:tcW w:w="1648" w:type="dxa"/>
            <w:tcBorders>
              <w:top w:val="nil"/>
              <w:left w:val="nil"/>
              <w:bottom w:val="single" w:sz="4" w:space="0" w:color="000000"/>
              <w:right w:val="single" w:sz="4" w:space="0" w:color="000000"/>
            </w:tcBorders>
            <w:shd w:val="clear" w:color="auto" w:fill="auto"/>
            <w:noWrap/>
            <w:vAlign w:val="center"/>
            <w:hideMark/>
          </w:tcPr>
          <w:p w14:paraId="6A58B7F0" w14:textId="77777777" w:rsidR="00B57823" w:rsidRPr="00B030A8" w:rsidRDefault="00B57823" w:rsidP="00B57823">
            <w:pPr>
              <w:jc w:val="center"/>
              <w:rPr>
                <w:color w:val="000000"/>
                <w:sz w:val="20"/>
              </w:rPr>
            </w:pPr>
            <w:r w:rsidRPr="00B030A8">
              <w:rPr>
                <w:color w:val="000000"/>
                <w:sz w:val="20"/>
              </w:rPr>
              <w:t>0.168</w:t>
            </w:r>
          </w:p>
        </w:tc>
        <w:tc>
          <w:tcPr>
            <w:tcW w:w="1423" w:type="dxa"/>
            <w:tcBorders>
              <w:top w:val="nil"/>
              <w:left w:val="nil"/>
              <w:bottom w:val="single" w:sz="4" w:space="0" w:color="auto"/>
              <w:right w:val="single" w:sz="4" w:space="0" w:color="000000"/>
            </w:tcBorders>
            <w:shd w:val="clear" w:color="auto" w:fill="auto"/>
            <w:vAlign w:val="center"/>
            <w:hideMark/>
          </w:tcPr>
          <w:p w14:paraId="68955CE2" w14:textId="77777777" w:rsidR="00B57823" w:rsidRPr="00B030A8" w:rsidRDefault="00B57823" w:rsidP="00B57823">
            <w:pPr>
              <w:jc w:val="center"/>
              <w:rPr>
                <w:color w:val="000000"/>
                <w:sz w:val="20"/>
              </w:rPr>
            </w:pPr>
            <w:r w:rsidRPr="00B030A8">
              <w:rPr>
                <w:color w:val="000000"/>
                <w:sz w:val="20"/>
              </w:rPr>
              <w:t>9</w:t>
            </w:r>
          </w:p>
        </w:tc>
        <w:tc>
          <w:tcPr>
            <w:tcW w:w="1496" w:type="dxa"/>
            <w:tcBorders>
              <w:top w:val="nil"/>
              <w:left w:val="nil"/>
              <w:bottom w:val="single" w:sz="4" w:space="0" w:color="000000"/>
              <w:right w:val="double" w:sz="6" w:space="0" w:color="000000"/>
            </w:tcBorders>
            <w:shd w:val="clear" w:color="auto" w:fill="auto"/>
            <w:vAlign w:val="center"/>
            <w:hideMark/>
          </w:tcPr>
          <w:p w14:paraId="45193D1E" w14:textId="77777777" w:rsidR="00B57823" w:rsidRPr="00B030A8" w:rsidRDefault="00EA74DE" w:rsidP="00B57823">
            <w:pPr>
              <w:jc w:val="center"/>
              <w:rPr>
                <w:color w:val="000000"/>
                <w:sz w:val="20"/>
              </w:rPr>
            </w:pPr>
            <w:r w:rsidRPr="00B030A8">
              <w:rPr>
                <w:color w:val="000000"/>
                <w:sz w:val="20"/>
              </w:rPr>
              <w:t>M</w:t>
            </w:r>
            <w:r w:rsidR="00B57823" w:rsidRPr="00B030A8">
              <w:rPr>
                <w:color w:val="000000"/>
                <w:sz w:val="20"/>
              </w:rPr>
              <w:t>anagerial</w:t>
            </w:r>
          </w:p>
        </w:tc>
      </w:tr>
      <w:tr w:rsidR="00702D14" w:rsidRPr="00B57823" w14:paraId="78C860B4" w14:textId="77777777" w:rsidTr="00E421F6">
        <w:trPr>
          <w:trHeight w:val="266"/>
          <w:jc w:val="center"/>
        </w:trPr>
        <w:tc>
          <w:tcPr>
            <w:tcW w:w="4485" w:type="dxa"/>
            <w:vMerge w:val="restart"/>
            <w:tcBorders>
              <w:top w:val="nil"/>
              <w:left w:val="double" w:sz="6" w:space="0" w:color="000000"/>
              <w:right w:val="single" w:sz="4" w:space="0" w:color="000000"/>
            </w:tcBorders>
            <w:shd w:val="clear" w:color="auto" w:fill="auto"/>
            <w:vAlign w:val="center"/>
          </w:tcPr>
          <w:p w14:paraId="7B359055" w14:textId="27EE52E0" w:rsidR="00702D14" w:rsidRPr="00B030A8" w:rsidRDefault="00702D14" w:rsidP="00B57823">
            <w:pPr>
              <w:rPr>
                <w:color w:val="000000"/>
                <w:sz w:val="20"/>
              </w:rPr>
            </w:pPr>
            <w:r>
              <w:rPr>
                <w:color w:val="000000"/>
                <w:sz w:val="20"/>
              </w:rPr>
              <w:t xml:space="preserve">6. CBI Legal Review </w:t>
            </w:r>
            <w:r w:rsidR="0011608B">
              <w:rPr>
                <w:color w:val="000000"/>
                <w:sz w:val="20"/>
              </w:rPr>
              <w:t xml:space="preserve">and </w:t>
            </w:r>
            <w:r>
              <w:rPr>
                <w:color w:val="000000"/>
                <w:sz w:val="20"/>
              </w:rPr>
              <w:t xml:space="preserve">CBI Substantiation </w:t>
            </w:r>
          </w:p>
        </w:tc>
        <w:tc>
          <w:tcPr>
            <w:tcW w:w="1648" w:type="dxa"/>
            <w:tcBorders>
              <w:top w:val="nil"/>
              <w:left w:val="nil"/>
              <w:bottom w:val="single" w:sz="4" w:space="0" w:color="000000"/>
              <w:right w:val="single" w:sz="4" w:space="0" w:color="auto"/>
            </w:tcBorders>
            <w:shd w:val="clear" w:color="auto" w:fill="auto"/>
            <w:noWrap/>
            <w:vAlign w:val="center"/>
          </w:tcPr>
          <w:p w14:paraId="50EF07D6" w14:textId="3D9BE970" w:rsidR="00702D14" w:rsidRPr="00B030A8" w:rsidRDefault="00702D14" w:rsidP="00B57823">
            <w:pPr>
              <w:jc w:val="center"/>
              <w:rPr>
                <w:color w:val="000000"/>
                <w:sz w:val="20"/>
              </w:rPr>
            </w:pPr>
            <w:r>
              <w:rPr>
                <w:color w:val="000000"/>
                <w:sz w:val="20"/>
              </w:rPr>
              <w:t>0.168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7D0C796D" w14:textId="4B9FBE8C" w:rsidR="00702D14" w:rsidRPr="00B030A8" w:rsidRDefault="00702D14" w:rsidP="00B57823">
            <w:pPr>
              <w:jc w:val="center"/>
              <w:rPr>
                <w:color w:val="000000"/>
                <w:sz w:val="20"/>
              </w:rPr>
            </w:pPr>
            <w:r>
              <w:rPr>
                <w:color w:val="000000"/>
                <w:sz w:val="20"/>
              </w:rPr>
              <w:t>0.75</w:t>
            </w:r>
          </w:p>
        </w:tc>
        <w:tc>
          <w:tcPr>
            <w:tcW w:w="1496" w:type="dxa"/>
            <w:tcBorders>
              <w:top w:val="nil"/>
              <w:left w:val="single" w:sz="4" w:space="0" w:color="auto"/>
              <w:bottom w:val="single" w:sz="4" w:space="0" w:color="auto"/>
              <w:right w:val="double" w:sz="6" w:space="0" w:color="000000"/>
            </w:tcBorders>
            <w:shd w:val="clear" w:color="auto" w:fill="auto"/>
            <w:vAlign w:val="center"/>
          </w:tcPr>
          <w:p w14:paraId="629B3EE2" w14:textId="076B16C0" w:rsidR="00702D14" w:rsidRPr="00B030A8" w:rsidRDefault="00702D14" w:rsidP="00B57823">
            <w:pPr>
              <w:jc w:val="center"/>
              <w:rPr>
                <w:color w:val="000000"/>
                <w:sz w:val="20"/>
              </w:rPr>
            </w:pPr>
            <w:r>
              <w:rPr>
                <w:color w:val="000000"/>
                <w:sz w:val="20"/>
              </w:rPr>
              <w:t xml:space="preserve">Managerial </w:t>
            </w:r>
          </w:p>
        </w:tc>
      </w:tr>
      <w:tr w:rsidR="00702D14" w:rsidRPr="00B57823" w14:paraId="0755A33D" w14:textId="77777777" w:rsidTr="00E421F6">
        <w:trPr>
          <w:trHeight w:val="265"/>
          <w:jc w:val="center"/>
        </w:trPr>
        <w:tc>
          <w:tcPr>
            <w:tcW w:w="4485" w:type="dxa"/>
            <w:vMerge/>
            <w:tcBorders>
              <w:left w:val="double" w:sz="6" w:space="0" w:color="000000"/>
              <w:bottom w:val="single" w:sz="4" w:space="0" w:color="000000"/>
              <w:right w:val="single" w:sz="4" w:space="0" w:color="000000"/>
            </w:tcBorders>
            <w:shd w:val="clear" w:color="auto" w:fill="auto"/>
            <w:vAlign w:val="center"/>
          </w:tcPr>
          <w:p w14:paraId="37DA54E3" w14:textId="77777777" w:rsidR="00702D14" w:rsidRDefault="00702D14" w:rsidP="00B57823">
            <w:pPr>
              <w:rPr>
                <w:color w:val="000000"/>
                <w:sz w:val="20"/>
              </w:rPr>
            </w:pPr>
          </w:p>
        </w:tc>
        <w:tc>
          <w:tcPr>
            <w:tcW w:w="1648" w:type="dxa"/>
            <w:tcBorders>
              <w:top w:val="nil"/>
              <w:left w:val="nil"/>
              <w:bottom w:val="single" w:sz="4" w:space="0" w:color="000000"/>
              <w:right w:val="single" w:sz="4" w:space="0" w:color="auto"/>
            </w:tcBorders>
            <w:shd w:val="clear" w:color="auto" w:fill="auto"/>
            <w:noWrap/>
            <w:vAlign w:val="center"/>
          </w:tcPr>
          <w:p w14:paraId="4DF7550B" w14:textId="2028FBC5" w:rsidR="00702D14" w:rsidRPr="00B030A8" w:rsidRDefault="00702D14" w:rsidP="00B57823">
            <w:pPr>
              <w:jc w:val="center"/>
              <w:rPr>
                <w:color w:val="000000"/>
                <w:sz w:val="20"/>
              </w:rPr>
            </w:pPr>
            <w:r>
              <w:rPr>
                <w:color w:val="000000"/>
                <w:sz w:val="20"/>
              </w:rPr>
              <w:t>0.168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248652E7" w14:textId="5C2DC33F" w:rsidR="00702D14" w:rsidRPr="00B030A8" w:rsidRDefault="00702D14" w:rsidP="00B57823">
            <w:pPr>
              <w:jc w:val="center"/>
              <w:rPr>
                <w:color w:val="000000"/>
                <w:sz w:val="20"/>
              </w:rPr>
            </w:pPr>
            <w:r>
              <w:rPr>
                <w:color w:val="000000"/>
                <w:sz w:val="20"/>
              </w:rPr>
              <w:t>0.75</w:t>
            </w:r>
          </w:p>
        </w:tc>
        <w:tc>
          <w:tcPr>
            <w:tcW w:w="1496" w:type="dxa"/>
            <w:tcBorders>
              <w:top w:val="single" w:sz="4" w:space="0" w:color="auto"/>
              <w:left w:val="single" w:sz="4" w:space="0" w:color="auto"/>
              <w:bottom w:val="single" w:sz="4" w:space="0" w:color="auto"/>
              <w:right w:val="double" w:sz="4" w:space="0" w:color="auto"/>
            </w:tcBorders>
            <w:shd w:val="clear" w:color="auto" w:fill="auto"/>
            <w:vAlign w:val="center"/>
          </w:tcPr>
          <w:p w14:paraId="50271B78" w14:textId="4171B5E2" w:rsidR="00702D14" w:rsidRPr="00B030A8" w:rsidRDefault="00702D14" w:rsidP="00B57823">
            <w:pPr>
              <w:jc w:val="center"/>
              <w:rPr>
                <w:color w:val="000000"/>
                <w:sz w:val="20"/>
              </w:rPr>
            </w:pPr>
            <w:r>
              <w:rPr>
                <w:color w:val="000000"/>
                <w:sz w:val="20"/>
              </w:rPr>
              <w:t>Attorney</w:t>
            </w:r>
          </w:p>
        </w:tc>
      </w:tr>
      <w:tr w:rsidR="00EA74DE" w:rsidRPr="00051CEC" w14:paraId="1F38DEE2" w14:textId="77777777" w:rsidTr="00E421F6">
        <w:trPr>
          <w:trHeight w:val="260"/>
          <w:jc w:val="center"/>
        </w:trPr>
        <w:tc>
          <w:tcPr>
            <w:tcW w:w="4485" w:type="dxa"/>
            <w:tcBorders>
              <w:top w:val="nil"/>
              <w:left w:val="double" w:sz="6" w:space="0" w:color="000000"/>
              <w:bottom w:val="single" w:sz="4" w:space="0" w:color="000000"/>
              <w:right w:val="single" w:sz="4" w:space="0" w:color="000000"/>
            </w:tcBorders>
            <w:shd w:val="clear" w:color="auto" w:fill="auto"/>
            <w:vAlign w:val="center"/>
            <w:hideMark/>
          </w:tcPr>
          <w:p w14:paraId="6854AD5B" w14:textId="5EF38531" w:rsidR="00EA74DE" w:rsidRPr="00B030A8" w:rsidRDefault="00A810A0" w:rsidP="00B57823">
            <w:pPr>
              <w:rPr>
                <w:color w:val="000000"/>
                <w:sz w:val="20"/>
                <w:highlight w:val="yellow"/>
              </w:rPr>
            </w:pPr>
            <w:r>
              <w:rPr>
                <w:color w:val="000000"/>
                <w:sz w:val="20"/>
              </w:rPr>
              <w:t>7</w:t>
            </w:r>
            <w:r w:rsidR="00EA74DE" w:rsidRPr="00B030A8">
              <w:rPr>
                <w:color w:val="000000"/>
                <w:sz w:val="20"/>
              </w:rPr>
              <w:t>. Post-Reporting Period Submission</w:t>
            </w:r>
          </w:p>
        </w:tc>
        <w:tc>
          <w:tcPr>
            <w:tcW w:w="1648" w:type="dxa"/>
            <w:tcBorders>
              <w:top w:val="nil"/>
              <w:left w:val="single" w:sz="4" w:space="0" w:color="000000"/>
              <w:bottom w:val="single" w:sz="4" w:space="0" w:color="000000"/>
              <w:right w:val="single" w:sz="4" w:space="0" w:color="000000"/>
            </w:tcBorders>
            <w:shd w:val="clear" w:color="auto" w:fill="auto"/>
            <w:noWrap/>
            <w:vAlign w:val="center"/>
            <w:hideMark/>
          </w:tcPr>
          <w:p w14:paraId="138B7B84" w14:textId="77777777" w:rsidR="00EA74DE" w:rsidRPr="00B030A8" w:rsidRDefault="00EA74DE" w:rsidP="00B57823">
            <w:pPr>
              <w:jc w:val="center"/>
              <w:rPr>
                <w:color w:val="000000"/>
                <w:sz w:val="20"/>
              </w:rPr>
            </w:pPr>
            <w:r w:rsidRPr="00B030A8">
              <w:rPr>
                <w:color w:val="000000"/>
                <w:sz w:val="20"/>
              </w:rPr>
              <w:t>0.008</w:t>
            </w:r>
          </w:p>
        </w:tc>
        <w:tc>
          <w:tcPr>
            <w:tcW w:w="1423" w:type="dxa"/>
            <w:tcBorders>
              <w:top w:val="single" w:sz="4" w:space="0" w:color="auto"/>
              <w:left w:val="nil"/>
              <w:right w:val="single" w:sz="4" w:space="0" w:color="000000"/>
            </w:tcBorders>
            <w:shd w:val="clear" w:color="auto" w:fill="auto"/>
            <w:vAlign w:val="center"/>
            <w:hideMark/>
          </w:tcPr>
          <w:p w14:paraId="690E294E" w14:textId="77777777" w:rsidR="00EA74DE" w:rsidRPr="00B030A8" w:rsidRDefault="00EA74DE" w:rsidP="00C85187">
            <w:pPr>
              <w:jc w:val="center"/>
              <w:rPr>
                <w:color w:val="000000"/>
                <w:sz w:val="20"/>
              </w:rPr>
            </w:pPr>
            <w:r w:rsidRPr="00B030A8">
              <w:rPr>
                <w:color w:val="000000"/>
                <w:sz w:val="20"/>
              </w:rPr>
              <w:t>1</w:t>
            </w:r>
          </w:p>
        </w:tc>
        <w:tc>
          <w:tcPr>
            <w:tcW w:w="1496" w:type="dxa"/>
            <w:tcBorders>
              <w:top w:val="single" w:sz="4" w:space="0" w:color="auto"/>
              <w:left w:val="nil"/>
              <w:right w:val="double" w:sz="6" w:space="0" w:color="000000"/>
            </w:tcBorders>
            <w:shd w:val="clear" w:color="auto" w:fill="auto"/>
            <w:vAlign w:val="center"/>
            <w:hideMark/>
          </w:tcPr>
          <w:p w14:paraId="5F537192" w14:textId="77777777" w:rsidR="00EA74DE" w:rsidRPr="00B030A8" w:rsidRDefault="00EA74DE" w:rsidP="00C85187">
            <w:pPr>
              <w:jc w:val="center"/>
              <w:rPr>
                <w:color w:val="000000"/>
                <w:sz w:val="20"/>
              </w:rPr>
            </w:pPr>
            <w:r w:rsidRPr="00B030A8">
              <w:rPr>
                <w:color w:val="000000"/>
                <w:sz w:val="20"/>
              </w:rPr>
              <w:t>Managerial</w:t>
            </w:r>
          </w:p>
        </w:tc>
      </w:tr>
      <w:tr w:rsidR="00B57823" w:rsidRPr="00B57823" w14:paraId="094A95F9" w14:textId="77777777" w:rsidTr="00E421F6">
        <w:trPr>
          <w:trHeight w:val="593"/>
          <w:jc w:val="center"/>
        </w:trPr>
        <w:tc>
          <w:tcPr>
            <w:tcW w:w="9052" w:type="dxa"/>
            <w:gridSpan w:val="4"/>
            <w:tcBorders>
              <w:top w:val="single" w:sz="4" w:space="0" w:color="000000"/>
              <w:left w:val="double" w:sz="6" w:space="0" w:color="000000"/>
              <w:bottom w:val="nil"/>
              <w:right w:val="double" w:sz="6" w:space="0" w:color="000000"/>
            </w:tcBorders>
            <w:shd w:val="clear" w:color="auto" w:fill="auto"/>
            <w:vAlign w:val="center"/>
            <w:hideMark/>
          </w:tcPr>
          <w:p w14:paraId="63CB4CB5" w14:textId="4678C606" w:rsidR="00B57823" w:rsidRPr="00B57823" w:rsidRDefault="00B57823" w:rsidP="00121DEB">
            <w:pPr>
              <w:rPr>
                <w:color w:val="000000"/>
                <w:sz w:val="20"/>
              </w:rPr>
            </w:pPr>
            <w:r w:rsidRPr="00B57823">
              <w:rPr>
                <w:color w:val="000000"/>
                <w:sz w:val="20"/>
              </w:rPr>
              <w:t xml:space="preserve">*Not all respondents perform all activities. This weight reflects that </w:t>
            </w:r>
            <w:r w:rsidRPr="00C85187">
              <w:rPr>
                <w:color w:val="000000"/>
                <w:sz w:val="20"/>
              </w:rPr>
              <w:t>for every firm that has to check for reports:  1</w:t>
            </w:r>
            <w:r w:rsidR="00A82DCC">
              <w:rPr>
                <w:color w:val="000000"/>
                <w:sz w:val="20"/>
              </w:rPr>
              <w:t>8</w:t>
            </w:r>
            <w:r w:rsidRPr="00C85187">
              <w:rPr>
                <w:color w:val="000000"/>
                <w:sz w:val="20"/>
              </w:rPr>
              <w:t>% will submit reports</w:t>
            </w:r>
            <w:r w:rsidR="00051CEC" w:rsidRPr="00C85187">
              <w:rPr>
                <w:color w:val="000000"/>
                <w:sz w:val="20"/>
              </w:rPr>
              <w:t>,</w:t>
            </w:r>
            <w:r w:rsidRPr="00C85187">
              <w:rPr>
                <w:color w:val="000000"/>
                <w:sz w:val="20"/>
              </w:rPr>
              <w:t xml:space="preserve"> of which </w:t>
            </w:r>
            <w:r w:rsidR="00121DEB" w:rsidRPr="00C85187">
              <w:rPr>
                <w:color w:val="000000"/>
                <w:sz w:val="20"/>
              </w:rPr>
              <w:t xml:space="preserve">1 firm (about </w:t>
            </w:r>
            <w:r w:rsidRPr="00C85187">
              <w:rPr>
                <w:color w:val="000000"/>
                <w:sz w:val="20"/>
              </w:rPr>
              <w:t>5%</w:t>
            </w:r>
            <w:r w:rsidR="00121DEB" w:rsidRPr="00C85187">
              <w:rPr>
                <w:color w:val="000000"/>
                <w:sz w:val="20"/>
              </w:rPr>
              <w:t>)</w:t>
            </w:r>
            <w:r w:rsidR="00051CEC" w:rsidRPr="00C85187">
              <w:rPr>
                <w:color w:val="000000"/>
                <w:sz w:val="20"/>
              </w:rPr>
              <w:t xml:space="preserve"> </w:t>
            </w:r>
            <w:r w:rsidRPr="00C85187">
              <w:rPr>
                <w:color w:val="000000"/>
                <w:sz w:val="20"/>
              </w:rPr>
              <w:t xml:space="preserve">will provide robust summaries and 5% </w:t>
            </w:r>
            <w:r w:rsidR="00121DEB" w:rsidRPr="00C85187">
              <w:rPr>
                <w:color w:val="000000"/>
                <w:sz w:val="20"/>
              </w:rPr>
              <w:t xml:space="preserve">(about 1 firm) </w:t>
            </w:r>
            <w:r w:rsidRPr="00C85187">
              <w:rPr>
                <w:color w:val="000000"/>
                <w:sz w:val="20"/>
              </w:rPr>
              <w:t>will provide a second response.</w:t>
            </w:r>
          </w:p>
        </w:tc>
      </w:tr>
      <w:tr w:rsidR="00B57823" w:rsidRPr="00B57823" w14:paraId="6D9D4AAB" w14:textId="77777777" w:rsidTr="00E421F6">
        <w:trPr>
          <w:trHeight w:val="162"/>
          <w:jc w:val="center"/>
        </w:trPr>
        <w:tc>
          <w:tcPr>
            <w:tcW w:w="9052" w:type="dxa"/>
            <w:gridSpan w:val="4"/>
            <w:tcBorders>
              <w:top w:val="nil"/>
              <w:left w:val="double" w:sz="6" w:space="0" w:color="000000"/>
              <w:bottom w:val="double" w:sz="6" w:space="0" w:color="000000"/>
              <w:right w:val="double" w:sz="6" w:space="0" w:color="000000"/>
            </w:tcBorders>
            <w:shd w:val="clear" w:color="auto" w:fill="auto"/>
            <w:noWrap/>
            <w:vAlign w:val="center"/>
            <w:hideMark/>
          </w:tcPr>
          <w:p w14:paraId="0D68193F" w14:textId="77777777" w:rsidR="00B57823" w:rsidRPr="00B57823" w:rsidRDefault="00B57823" w:rsidP="00B57823">
            <w:pPr>
              <w:rPr>
                <w:color w:val="000000"/>
                <w:sz w:val="20"/>
              </w:rPr>
            </w:pPr>
            <w:r w:rsidRPr="00B57823">
              <w:rPr>
                <w:color w:val="000000"/>
                <w:sz w:val="20"/>
              </w:rPr>
              <w:t>** Basis of 1.5 sites per firm</w:t>
            </w:r>
          </w:p>
        </w:tc>
      </w:tr>
    </w:tbl>
    <w:p w14:paraId="46467895" w14:textId="77777777" w:rsidR="00915D90" w:rsidRDefault="00915D90" w:rsidP="00A411E8">
      <w:pPr>
        <w:widowControl w:val="0"/>
        <w:rPr>
          <w:color w:val="000000"/>
        </w:rPr>
      </w:pPr>
    </w:p>
    <w:p w14:paraId="188CCCB7" w14:textId="3463201C" w:rsidR="003F63AD" w:rsidRDefault="003F63AD" w:rsidP="002D5447">
      <w:pPr>
        <w:widowControl w:val="0"/>
        <w:ind w:firstLine="720"/>
        <w:rPr>
          <w:color w:val="000000"/>
        </w:rPr>
      </w:pPr>
      <w:r>
        <w:rPr>
          <w:color w:val="000000"/>
        </w:rPr>
        <w:t>These unit burden estimates are average values</w:t>
      </w:r>
      <w:r w:rsidR="00205FAB">
        <w:rPr>
          <w:color w:val="000000"/>
        </w:rPr>
        <w:t xml:space="preserve">. </w:t>
      </w:r>
      <w:r>
        <w:rPr>
          <w:color w:val="000000"/>
        </w:rPr>
        <w:t>Large multi-divisional, multi-departmental firms may require more than the average time to comply</w:t>
      </w:r>
      <w:r w:rsidR="00205FAB">
        <w:rPr>
          <w:color w:val="000000"/>
        </w:rPr>
        <w:t xml:space="preserve">. </w:t>
      </w:r>
      <w:r>
        <w:rPr>
          <w:color w:val="000000"/>
        </w:rPr>
        <w:t>However, there are smaller firms that are less complicated, and these firms may have a simpler process that requires less time.</w:t>
      </w:r>
    </w:p>
    <w:p w14:paraId="6C964120" w14:textId="77777777" w:rsidR="003F63AD" w:rsidRDefault="003F63AD" w:rsidP="00A411E8">
      <w:pPr>
        <w:widowControl w:val="0"/>
        <w:rPr>
          <w:color w:val="000000"/>
        </w:rPr>
      </w:pPr>
    </w:p>
    <w:p w14:paraId="5B4D4EC0" w14:textId="74467E2A" w:rsidR="00A27323" w:rsidRDefault="00A5395D" w:rsidP="002D5447">
      <w:pPr>
        <w:widowControl w:val="0"/>
        <w:ind w:firstLine="720"/>
        <w:rPr>
          <w:b/>
          <w:color w:val="000000"/>
        </w:rPr>
      </w:pPr>
      <w:r>
        <w:rPr>
          <w:b/>
          <w:color w:val="000000"/>
        </w:rPr>
        <w:t>6(b)</w:t>
      </w:r>
      <w:r w:rsidR="002D5447">
        <w:rPr>
          <w:b/>
          <w:color w:val="000000"/>
        </w:rPr>
        <w:tab/>
      </w:r>
      <w:r w:rsidR="00A27323">
        <w:rPr>
          <w:b/>
          <w:color w:val="000000"/>
        </w:rPr>
        <w:t>Est</w:t>
      </w:r>
      <w:r w:rsidR="00562FE1">
        <w:rPr>
          <w:b/>
          <w:color w:val="000000"/>
        </w:rPr>
        <w:t>imating the Respondent Universe</w:t>
      </w:r>
    </w:p>
    <w:p w14:paraId="3FD30BC5" w14:textId="77777777" w:rsidR="00A27323" w:rsidRDefault="00A27323" w:rsidP="00A27323">
      <w:pPr>
        <w:widowControl w:val="0"/>
        <w:rPr>
          <w:b/>
          <w:color w:val="000000"/>
        </w:rPr>
      </w:pPr>
    </w:p>
    <w:p w14:paraId="1E774D40" w14:textId="1F6F8A15" w:rsidR="00D62CA3" w:rsidRDefault="00A27323" w:rsidP="002D5447">
      <w:pPr>
        <w:widowControl w:val="0"/>
        <w:ind w:firstLine="720"/>
        <w:rPr>
          <w:color w:val="000000"/>
        </w:rPr>
      </w:pPr>
      <w:r>
        <w:rPr>
          <w:color w:val="000000"/>
        </w:rPr>
        <w:t xml:space="preserve">The number of chemicals added to the section 8(d) list has varied significantly from year to year and has been zero </w:t>
      </w:r>
      <w:r w:rsidR="00706892">
        <w:rPr>
          <w:color w:val="000000"/>
        </w:rPr>
        <w:t>for</w:t>
      </w:r>
      <w:r>
        <w:rPr>
          <w:color w:val="000000"/>
        </w:rPr>
        <w:t xml:space="preserve"> many years</w:t>
      </w:r>
      <w:r w:rsidR="00205FAB">
        <w:rPr>
          <w:color w:val="000000"/>
        </w:rPr>
        <w:t xml:space="preserve">. </w:t>
      </w:r>
      <w:r>
        <w:rPr>
          <w:color w:val="000000"/>
        </w:rPr>
        <w:t>EPA has added a total of 2</w:t>
      </w:r>
      <w:r w:rsidR="008241AE">
        <w:rPr>
          <w:color w:val="000000"/>
        </w:rPr>
        <w:t>82</w:t>
      </w:r>
      <w:r>
        <w:rPr>
          <w:color w:val="000000"/>
        </w:rPr>
        <w:t xml:space="preserve"> chemicals to the list since 1996 (47 in 1996, 15 in </w:t>
      </w:r>
      <w:r w:rsidR="003F09F0">
        <w:rPr>
          <w:color w:val="000000"/>
        </w:rPr>
        <w:t>2004, 208</w:t>
      </w:r>
      <w:r>
        <w:rPr>
          <w:color w:val="000000"/>
        </w:rPr>
        <w:t xml:space="preserve"> in 2006</w:t>
      </w:r>
      <w:r w:rsidR="001D476F">
        <w:rPr>
          <w:color w:val="000000"/>
        </w:rPr>
        <w:t>, and 12 in 2008</w:t>
      </w:r>
      <w:r>
        <w:rPr>
          <w:color w:val="000000"/>
        </w:rPr>
        <w:t>), which is an overall program historical average of approximately 1</w:t>
      </w:r>
      <w:r w:rsidR="001D476F">
        <w:rPr>
          <w:color w:val="000000"/>
        </w:rPr>
        <w:t>3</w:t>
      </w:r>
      <w:r>
        <w:rPr>
          <w:color w:val="000000"/>
        </w:rPr>
        <w:t xml:space="preserve"> chemicals per year</w:t>
      </w:r>
      <w:r w:rsidR="00205FAB">
        <w:rPr>
          <w:color w:val="000000"/>
        </w:rPr>
        <w:t xml:space="preserve">. </w:t>
      </w:r>
      <w:r>
        <w:rPr>
          <w:color w:val="000000"/>
        </w:rPr>
        <w:t xml:space="preserve">For estimates in this ICR, EPA assumes that </w:t>
      </w:r>
      <w:r w:rsidR="008874A7">
        <w:rPr>
          <w:color w:val="000000"/>
        </w:rPr>
        <w:t>the historical</w:t>
      </w:r>
      <w:r>
        <w:rPr>
          <w:color w:val="000000"/>
        </w:rPr>
        <w:t xml:space="preserve"> average of </w:t>
      </w:r>
      <w:r w:rsidR="008874A7">
        <w:rPr>
          <w:color w:val="000000"/>
        </w:rPr>
        <w:t>1</w:t>
      </w:r>
      <w:r w:rsidR="001D476F">
        <w:rPr>
          <w:color w:val="000000"/>
        </w:rPr>
        <w:t>3</w:t>
      </w:r>
      <w:r>
        <w:rPr>
          <w:color w:val="000000"/>
        </w:rPr>
        <w:t xml:space="preserve"> chemicals per year will be added to the section 8(d) list from 20</w:t>
      </w:r>
      <w:r w:rsidR="001D476F">
        <w:rPr>
          <w:color w:val="000000"/>
        </w:rPr>
        <w:t>18</w:t>
      </w:r>
      <w:r>
        <w:rPr>
          <w:color w:val="000000"/>
        </w:rPr>
        <w:t xml:space="preserve"> to 20</w:t>
      </w:r>
      <w:r w:rsidR="001D476F">
        <w:rPr>
          <w:color w:val="000000"/>
        </w:rPr>
        <w:t>21</w:t>
      </w:r>
      <w:r>
        <w:rPr>
          <w:color w:val="000000"/>
        </w:rPr>
        <w:t xml:space="preserve">, for a total of </w:t>
      </w:r>
      <w:r w:rsidR="008874A7">
        <w:rPr>
          <w:color w:val="000000"/>
        </w:rPr>
        <w:t>39</w:t>
      </w:r>
      <w:r>
        <w:rPr>
          <w:color w:val="000000"/>
        </w:rPr>
        <w:t xml:space="preserve"> chemicals over the three-year I</w:t>
      </w:r>
      <w:r w:rsidR="00D62CA3">
        <w:rPr>
          <w:color w:val="000000"/>
        </w:rPr>
        <w:t>CR period. Assuming that each chemical that is added to the list impacts 1.</w:t>
      </w:r>
      <w:r w:rsidR="008874A7">
        <w:rPr>
          <w:color w:val="000000"/>
        </w:rPr>
        <w:t>6</w:t>
      </w:r>
      <w:r w:rsidR="00D62CA3">
        <w:rPr>
          <w:color w:val="000000"/>
        </w:rPr>
        <w:t xml:space="preserve"> firms, then EPA expects </w:t>
      </w:r>
      <w:r w:rsidR="008874A7" w:rsidRPr="00210EC7">
        <w:rPr>
          <w:color w:val="000000"/>
        </w:rPr>
        <w:t>21</w:t>
      </w:r>
      <w:r w:rsidR="00D62CA3">
        <w:rPr>
          <w:color w:val="000000"/>
        </w:rPr>
        <w:t xml:space="preserve"> chemical manufacturing firms to be affected </w:t>
      </w:r>
      <w:r w:rsidR="00270A16">
        <w:rPr>
          <w:color w:val="000000"/>
        </w:rPr>
        <w:t xml:space="preserve">per year </w:t>
      </w:r>
      <w:r w:rsidR="00D62CA3">
        <w:rPr>
          <w:color w:val="000000"/>
        </w:rPr>
        <w:t>by this ICR.</w:t>
      </w:r>
    </w:p>
    <w:p w14:paraId="61DB4B11" w14:textId="77777777" w:rsidR="00D62CA3" w:rsidRDefault="00D62CA3" w:rsidP="00D62CA3">
      <w:pPr>
        <w:widowControl w:val="0"/>
        <w:rPr>
          <w:color w:val="000000"/>
        </w:rPr>
      </w:pPr>
    </w:p>
    <w:p w14:paraId="34DBBB92" w14:textId="03FCE9EA" w:rsidR="00D62CA3" w:rsidRPr="00567D1E" w:rsidRDefault="00567D1E" w:rsidP="004B15BB">
      <w:pPr>
        <w:keepNext/>
        <w:ind w:firstLine="720"/>
        <w:rPr>
          <w:color w:val="000000"/>
        </w:rPr>
      </w:pPr>
      <w:r w:rsidRPr="00567D1E">
        <w:rPr>
          <w:color w:val="000000"/>
        </w:rPr>
        <w:t>Based on the reporting bases stated on Table 2, EPA assumes</w:t>
      </w:r>
      <w:r w:rsidR="00CB4568" w:rsidRPr="00567D1E">
        <w:rPr>
          <w:color w:val="000000"/>
        </w:rPr>
        <w:t xml:space="preserve"> that 1</w:t>
      </w:r>
      <w:r w:rsidR="00791F8E">
        <w:rPr>
          <w:color w:val="000000"/>
        </w:rPr>
        <w:t>8</w:t>
      </w:r>
      <w:r w:rsidR="00CB4568" w:rsidRPr="00567D1E">
        <w:rPr>
          <w:color w:val="000000"/>
        </w:rPr>
        <w:t>%</w:t>
      </w:r>
      <w:r w:rsidR="00D62CA3" w:rsidRPr="00567D1E">
        <w:rPr>
          <w:color w:val="000000"/>
        </w:rPr>
        <w:t xml:space="preserve"> percent of the </w:t>
      </w:r>
      <w:r w:rsidRPr="00567D1E">
        <w:rPr>
          <w:color w:val="000000"/>
        </w:rPr>
        <w:t xml:space="preserve">potentially affected </w:t>
      </w:r>
      <w:r w:rsidR="00D62CA3" w:rsidRPr="00567D1E">
        <w:rPr>
          <w:color w:val="000000"/>
        </w:rPr>
        <w:t>manufacturers</w:t>
      </w:r>
      <w:r w:rsidRPr="00567D1E">
        <w:rPr>
          <w:color w:val="000000"/>
        </w:rPr>
        <w:t xml:space="preserve"> will submit studies each year, yielding </w:t>
      </w:r>
      <w:r w:rsidR="00CE7253">
        <w:rPr>
          <w:color w:val="000000"/>
        </w:rPr>
        <w:t>4</w:t>
      </w:r>
      <w:r w:rsidRPr="00567D1E">
        <w:rPr>
          <w:color w:val="000000"/>
        </w:rPr>
        <w:t xml:space="preserve"> firms submitting studies (0.1</w:t>
      </w:r>
      <w:r w:rsidR="00791F8E">
        <w:rPr>
          <w:color w:val="000000"/>
        </w:rPr>
        <w:t>8</w:t>
      </w:r>
      <w:r w:rsidR="00D62CA3" w:rsidRPr="00567D1E">
        <w:rPr>
          <w:color w:val="000000"/>
        </w:rPr>
        <w:t xml:space="preserve"> * </w:t>
      </w:r>
      <w:r w:rsidR="00CE7253">
        <w:rPr>
          <w:color w:val="000000"/>
        </w:rPr>
        <w:t>21</w:t>
      </w:r>
      <w:r w:rsidR="00CE7253" w:rsidRPr="00567D1E">
        <w:rPr>
          <w:color w:val="000000"/>
        </w:rPr>
        <w:t xml:space="preserve"> </w:t>
      </w:r>
      <w:r w:rsidRPr="00567D1E">
        <w:rPr>
          <w:color w:val="000000"/>
        </w:rPr>
        <w:t>manufacturers)</w:t>
      </w:r>
      <w:r w:rsidR="00205FAB">
        <w:rPr>
          <w:color w:val="000000"/>
        </w:rPr>
        <w:t xml:space="preserve">. </w:t>
      </w:r>
      <w:r w:rsidRPr="00567D1E">
        <w:rPr>
          <w:color w:val="000000"/>
        </w:rPr>
        <w:t>Each submitting firm is expected to submit a total of 9 studies</w:t>
      </w:r>
      <w:r w:rsidR="00D62CA3" w:rsidRPr="00567D1E">
        <w:rPr>
          <w:color w:val="000000"/>
        </w:rPr>
        <w:t xml:space="preserve">, </w:t>
      </w:r>
      <w:r w:rsidRPr="00567D1E">
        <w:rPr>
          <w:color w:val="000000"/>
        </w:rPr>
        <w:t xml:space="preserve">yielding </w:t>
      </w:r>
      <w:r w:rsidR="00D62CA3" w:rsidRPr="00567D1E">
        <w:rPr>
          <w:color w:val="000000"/>
        </w:rPr>
        <w:t xml:space="preserve">an estimated total of </w:t>
      </w:r>
      <w:r w:rsidR="00CE7253">
        <w:rPr>
          <w:color w:val="000000"/>
        </w:rPr>
        <w:t>36</w:t>
      </w:r>
      <w:r w:rsidR="00D62CA3" w:rsidRPr="00567D1E">
        <w:rPr>
          <w:color w:val="000000"/>
        </w:rPr>
        <w:t xml:space="preserve"> studies annually (</w:t>
      </w:r>
      <w:r w:rsidR="00CE7253">
        <w:rPr>
          <w:color w:val="000000"/>
        </w:rPr>
        <w:t>4</w:t>
      </w:r>
      <w:r w:rsidR="00D62CA3" w:rsidRPr="00567D1E">
        <w:rPr>
          <w:color w:val="000000"/>
        </w:rPr>
        <w:t xml:space="preserve"> firms</w:t>
      </w:r>
      <w:r w:rsidRPr="00567D1E">
        <w:rPr>
          <w:color w:val="000000"/>
        </w:rPr>
        <w:t xml:space="preserve"> </w:t>
      </w:r>
      <w:r w:rsidR="00D62CA3" w:rsidRPr="00567D1E">
        <w:rPr>
          <w:color w:val="000000"/>
        </w:rPr>
        <w:t>* 9 studies per firm).</w:t>
      </w:r>
      <w:r w:rsidRPr="00567D1E">
        <w:rPr>
          <w:color w:val="000000"/>
        </w:rPr>
        <w:t xml:space="preserve"> A total of 10% of the studies are expected to contain robust summaries, yielding a total of 1 robust summary per firm (9 studies * 0.10, and rounding up to 1)</w:t>
      </w:r>
      <w:r w:rsidR="00D62CA3" w:rsidRPr="00567D1E">
        <w:rPr>
          <w:color w:val="000000"/>
        </w:rPr>
        <w:t>; a</w:t>
      </w:r>
      <w:r w:rsidRPr="00567D1E">
        <w:rPr>
          <w:color w:val="000000"/>
        </w:rPr>
        <w:t xml:space="preserve">nd </w:t>
      </w:r>
      <w:r w:rsidR="00CE7253">
        <w:rPr>
          <w:color w:val="000000"/>
        </w:rPr>
        <w:t xml:space="preserve">approximately </w:t>
      </w:r>
      <w:r w:rsidRPr="00567D1E">
        <w:rPr>
          <w:color w:val="000000"/>
        </w:rPr>
        <w:t>1</w:t>
      </w:r>
      <w:r w:rsidR="00D62CA3" w:rsidRPr="00567D1E">
        <w:rPr>
          <w:color w:val="000000"/>
        </w:rPr>
        <w:t xml:space="preserve"> firm (5% of </w:t>
      </w:r>
      <w:r w:rsidR="00CE7253">
        <w:rPr>
          <w:color w:val="000000"/>
        </w:rPr>
        <w:t>4</w:t>
      </w:r>
      <w:r w:rsidR="00D62CA3" w:rsidRPr="00567D1E">
        <w:rPr>
          <w:color w:val="000000"/>
        </w:rPr>
        <w:t xml:space="preserve"> firms) is estimated to submit a second response (for a newly initiated or ongoing study) after the reporting period ends. </w:t>
      </w:r>
    </w:p>
    <w:p w14:paraId="6CB79532" w14:textId="77777777" w:rsidR="00D62CA3" w:rsidRPr="00270A16" w:rsidRDefault="00D62CA3" w:rsidP="00D62CA3">
      <w:pPr>
        <w:widowControl w:val="0"/>
        <w:rPr>
          <w:color w:val="000000"/>
          <w:highlight w:val="yellow"/>
        </w:rPr>
      </w:pPr>
    </w:p>
    <w:p w14:paraId="7284A171" w14:textId="6B0EB589" w:rsidR="009A3490" w:rsidRDefault="00D62CA3" w:rsidP="00827BBC">
      <w:pPr>
        <w:widowControl w:val="0"/>
        <w:ind w:firstLine="720"/>
        <w:rPr>
          <w:color w:val="000000"/>
        </w:rPr>
      </w:pPr>
      <w:r w:rsidRPr="00567D1E">
        <w:rPr>
          <w:color w:val="000000"/>
        </w:rPr>
        <w:t>The number of firms estimated to engage in the various reporting activities is</w:t>
      </w:r>
      <w:r w:rsidR="00567D1E" w:rsidRPr="00567D1E">
        <w:rPr>
          <w:color w:val="000000"/>
        </w:rPr>
        <w:t xml:space="preserve"> summarized in Table 4</w:t>
      </w:r>
      <w:r w:rsidRPr="00567D1E">
        <w:rPr>
          <w:color w:val="000000"/>
        </w:rPr>
        <w:t xml:space="preserve">. Note that not all respondents incur every aspect of reporting burden. For this analysis, the conditions of the 2006 </w:t>
      </w:r>
      <w:r w:rsidR="00791F8E">
        <w:rPr>
          <w:color w:val="000000"/>
        </w:rPr>
        <w:t xml:space="preserve">and 2008 </w:t>
      </w:r>
      <w:r w:rsidR="00A810A0">
        <w:rPr>
          <w:color w:val="000000"/>
        </w:rPr>
        <w:t xml:space="preserve">section 8(d) </w:t>
      </w:r>
      <w:r w:rsidRPr="00567D1E">
        <w:rPr>
          <w:color w:val="000000"/>
        </w:rPr>
        <w:t>rule</w:t>
      </w:r>
      <w:r w:rsidR="00791F8E">
        <w:rPr>
          <w:color w:val="000000"/>
        </w:rPr>
        <w:t>s</w:t>
      </w:r>
      <w:r w:rsidRPr="00567D1E">
        <w:rPr>
          <w:color w:val="000000"/>
        </w:rPr>
        <w:t xml:space="preserve"> and </w:t>
      </w:r>
      <w:r w:rsidR="00791F8E">
        <w:rPr>
          <w:color w:val="000000"/>
        </w:rPr>
        <w:t>their</w:t>
      </w:r>
      <w:r w:rsidRPr="00567D1E">
        <w:rPr>
          <w:color w:val="000000"/>
        </w:rPr>
        <w:t xml:space="preserve"> reporting implications, along with the condition of </w:t>
      </w:r>
      <w:r w:rsidR="002D0D6B">
        <w:rPr>
          <w:color w:val="000000"/>
        </w:rPr>
        <w:t>1</w:t>
      </w:r>
      <w:r w:rsidR="00791F8E">
        <w:rPr>
          <w:color w:val="000000"/>
        </w:rPr>
        <w:t>3</w:t>
      </w:r>
      <w:r w:rsidRPr="00567D1E">
        <w:rPr>
          <w:color w:val="000000"/>
        </w:rPr>
        <w:t xml:space="preserve"> chemical additions per year, are assumed</w:t>
      </w:r>
      <w:r w:rsidR="00827BBC">
        <w:rPr>
          <w:color w:val="000000"/>
        </w:rPr>
        <w:t>.</w:t>
      </w:r>
    </w:p>
    <w:p w14:paraId="0CCEDB54" w14:textId="77777777" w:rsidR="00827BBC" w:rsidRPr="00827BBC" w:rsidRDefault="00827BBC" w:rsidP="00827BBC">
      <w:pPr>
        <w:widowControl w:val="0"/>
        <w:ind w:firstLine="720"/>
        <w:rPr>
          <w:color w:val="000000"/>
        </w:rPr>
      </w:pPr>
    </w:p>
    <w:tbl>
      <w:tblPr>
        <w:tblW w:w="6210" w:type="dxa"/>
        <w:jc w:val="center"/>
        <w:tblLook w:val="04A0" w:firstRow="1" w:lastRow="0" w:firstColumn="1" w:lastColumn="0" w:noHBand="0" w:noVBand="1"/>
      </w:tblPr>
      <w:tblGrid>
        <w:gridCol w:w="4185"/>
        <w:gridCol w:w="2025"/>
      </w:tblGrid>
      <w:tr w:rsidR="00D62CA3" w:rsidRPr="00567D1E" w14:paraId="43642854" w14:textId="77777777" w:rsidTr="009A3490">
        <w:trPr>
          <w:trHeight w:val="660"/>
          <w:jc w:val="center"/>
        </w:trPr>
        <w:tc>
          <w:tcPr>
            <w:tcW w:w="6210" w:type="dxa"/>
            <w:gridSpan w:val="2"/>
            <w:tcBorders>
              <w:top w:val="nil"/>
              <w:left w:val="nil"/>
              <w:bottom w:val="double" w:sz="6" w:space="0" w:color="auto"/>
              <w:right w:val="nil"/>
            </w:tcBorders>
            <w:shd w:val="clear" w:color="auto" w:fill="auto"/>
            <w:vAlign w:val="bottom"/>
            <w:hideMark/>
          </w:tcPr>
          <w:p w14:paraId="74AD9CC5" w14:textId="5E7CD690" w:rsidR="00D62CA3" w:rsidRPr="00567D1E" w:rsidRDefault="00D62CA3" w:rsidP="00E13356">
            <w:pPr>
              <w:rPr>
                <w:b/>
                <w:color w:val="000000"/>
                <w:szCs w:val="24"/>
              </w:rPr>
            </w:pPr>
            <w:r w:rsidRPr="00567D1E">
              <w:rPr>
                <w:b/>
                <w:color w:val="000000"/>
                <w:szCs w:val="24"/>
              </w:rPr>
              <w:t xml:space="preserve">Table </w:t>
            </w:r>
            <w:r w:rsidR="00567D1E" w:rsidRPr="00567D1E">
              <w:rPr>
                <w:b/>
                <w:color w:val="000000"/>
                <w:szCs w:val="24"/>
              </w:rPr>
              <w:t>4</w:t>
            </w:r>
            <w:r w:rsidR="00567D1E">
              <w:rPr>
                <w:b/>
                <w:color w:val="000000"/>
                <w:szCs w:val="24"/>
              </w:rPr>
              <w:t xml:space="preserve">: Number of Firms Affected per Year, by </w:t>
            </w:r>
            <w:r w:rsidRPr="00567D1E">
              <w:rPr>
                <w:b/>
                <w:color w:val="000000"/>
                <w:szCs w:val="24"/>
              </w:rPr>
              <w:t xml:space="preserve">Activity        </w:t>
            </w:r>
            <w:r w:rsidR="005A78C5" w:rsidRPr="00567D1E">
              <w:rPr>
                <w:b/>
                <w:color w:val="000000"/>
                <w:szCs w:val="24"/>
              </w:rPr>
              <w:t xml:space="preserve">  (</w:t>
            </w:r>
            <w:r w:rsidR="003C1AD0">
              <w:rPr>
                <w:b/>
                <w:color w:val="000000"/>
                <w:szCs w:val="24"/>
              </w:rPr>
              <w:t xml:space="preserve">13 </w:t>
            </w:r>
            <w:r w:rsidRPr="00567D1E">
              <w:rPr>
                <w:b/>
                <w:color w:val="000000"/>
                <w:szCs w:val="24"/>
              </w:rPr>
              <w:t>Chemicals Added Per Year)</w:t>
            </w:r>
          </w:p>
        </w:tc>
      </w:tr>
      <w:tr w:rsidR="00D62CA3" w:rsidRPr="00864518" w14:paraId="7E1A0CC9" w14:textId="77777777" w:rsidTr="009A3490">
        <w:trPr>
          <w:trHeight w:val="450"/>
          <w:jc w:val="center"/>
        </w:trPr>
        <w:tc>
          <w:tcPr>
            <w:tcW w:w="4185"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746BF49B" w14:textId="77777777" w:rsidR="00D62CA3" w:rsidRPr="00B139CC" w:rsidRDefault="00D62CA3" w:rsidP="00B139CC">
            <w:pPr>
              <w:jc w:val="center"/>
              <w:rPr>
                <w:b/>
                <w:color w:val="000000"/>
                <w:sz w:val="20"/>
              </w:rPr>
            </w:pPr>
            <w:r w:rsidRPr="00B139CC">
              <w:rPr>
                <w:b/>
                <w:color w:val="000000"/>
                <w:sz w:val="20"/>
              </w:rPr>
              <w:t>Collection Activity</w:t>
            </w:r>
          </w:p>
        </w:tc>
        <w:tc>
          <w:tcPr>
            <w:tcW w:w="2025" w:type="dxa"/>
            <w:tcBorders>
              <w:top w:val="double" w:sz="6" w:space="0" w:color="auto"/>
              <w:left w:val="nil"/>
              <w:bottom w:val="double" w:sz="6" w:space="0" w:color="auto"/>
              <w:right w:val="double" w:sz="6" w:space="0" w:color="auto"/>
            </w:tcBorders>
            <w:shd w:val="clear" w:color="auto" w:fill="auto"/>
            <w:vAlign w:val="center"/>
            <w:hideMark/>
          </w:tcPr>
          <w:p w14:paraId="6C93D332" w14:textId="77777777" w:rsidR="00D62CA3" w:rsidRPr="00B139CC" w:rsidRDefault="00D62CA3" w:rsidP="00CD21D8">
            <w:pPr>
              <w:jc w:val="center"/>
              <w:rPr>
                <w:b/>
                <w:color w:val="000000"/>
                <w:sz w:val="20"/>
              </w:rPr>
            </w:pPr>
            <w:r w:rsidRPr="00B139CC">
              <w:rPr>
                <w:b/>
                <w:color w:val="000000"/>
                <w:sz w:val="20"/>
              </w:rPr>
              <w:t>No. of Firms</w:t>
            </w:r>
          </w:p>
        </w:tc>
      </w:tr>
      <w:tr w:rsidR="00D62CA3" w:rsidRPr="00864518" w14:paraId="22DDEDB1" w14:textId="77777777" w:rsidTr="009A3490">
        <w:trPr>
          <w:trHeight w:val="315"/>
          <w:jc w:val="center"/>
        </w:trPr>
        <w:tc>
          <w:tcPr>
            <w:tcW w:w="4185"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14:paraId="48698350" w14:textId="77777777" w:rsidR="00D62CA3" w:rsidRPr="00B139CC" w:rsidRDefault="00D62CA3" w:rsidP="00CD21D8">
            <w:pPr>
              <w:rPr>
                <w:color w:val="000000"/>
                <w:sz w:val="20"/>
              </w:rPr>
            </w:pPr>
            <w:r w:rsidRPr="00B139CC">
              <w:rPr>
                <w:color w:val="000000"/>
                <w:sz w:val="20"/>
              </w:rPr>
              <w:t>Review of Rule</w:t>
            </w:r>
          </w:p>
        </w:tc>
        <w:tc>
          <w:tcPr>
            <w:tcW w:w="2025" w:type="dxa"/>
            <w:tcBorders>
              <w:top w:val="double" w:sz="6" w:space="0" w:color="auto"/>
              <w:left w:val="nil"/>
              <w:bottom w:val="single" w:sz="4" w:space="0" w:color="auto"/>
              <w:right w:val="double" w:sz="6" w:space="0" w:color="auto"/>
            </w:tcBorders>
            <w:shd w:val="clear" w:color="auto" w:fill="auto"/>
            <w:noWrap/>
            <w:vAlign w:val="bottom"/>
            <w:hideMark/>
          </w:tcPr>
          <w:p w14:paraId="12DF7D7D" w14:textId="40821858" w:rsidR="00D62CA3" w:rsidRPr="00B139CC" w:rsidRDefault="003C1AD0" w:rsidP="00CD21D8">
            <w:pPr>
              <w:jc w:val="center"/>
              <w:rPr>
                <w:color w:val="000000"/>
                <w:sz w:val="20"/>
              </w:rPr>
            </w:pPr>
            <w:r>
              <w:rPr>
                <w:color w:val="000000"/>
                <w:sz w:val="20"/>
              </w:rPr>
              <w:t>21</w:t>
            </w:r>
          </w:p>
        </w:tc>
      </w:tr>
      <w:tr w:rsidR="00D62CA3" w:rsidRPr="00864518" w14:paraId="2903F60A" w14:textId="77777777" w:rsidTr="009A3490">
        <w:trPr>
          <w:trHeight w:val="315"/>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14:paraId="36F46B81" w14:textId="77777777" w:rsidR="00D62CA3" w:rsidRPr="00B139CC" w:rsidRDefault="00D62CA3" w:rsidP="00CD21D8">
            <w:pPr>
              <w:rPr>
                <w:color w:val="000000"/>
                <w:sz w:val="20"/>
              </w:rPr>
            </w:pPr>
            <w:r w:rsidRPr="00B139CC">
              <w:rPr>
                <w:color w:val="000000"/>
                <w:sz w:val="20"/>
              </w:rPr>
              <w:t>Site Identification</w:t>
            </w:r>
          </w:p>
        </w:tc>
        <w:tc>
          <w:tcPr>
            <w:tcW w:w="2025" w:type="dxa"/>
            <w:tcBorders>
              <w:top w:val="nil"/>
              <w:left w:val="nil"/>
              <w:bottom w:val="single" w:sz="4" w:space="0" w:color="auto"/>
              <w:right w:val="double" w:sz="6" w:space="0" w:color="auto"/>
            </w:tcBorders>
            <w:shd w:val="clear" w:color="auto" w:fill="auto"/>
            <w:noWrap/>
            <w:vAlign w:val="bottom"/>
            <w:hideMark/>
          </w:tcPr>
          <w:p w14:paraId="59CD0349" w14:textId="6C71E13F" w:rsidR="00D62CA3" w:rsidRPr="00B139CC" w:rsidRDefault="003C1AD0" w:rsidP="00CD21D8">
            <w:pPr>
              <w:jc w:val="center"/>
              <w:rPr>
                <w:color w:val="000000"/>
                <w:sz w:val="20"/>
              </w:rPr>
            </w:pPr>
            <w:r>
              <w:rPr>
                <w:color w:val="000000"/>
                <w:sz w:val="20"/>
              </w:rPr>
              <w:t>21</w:t>
            </w:r>
          </w:p>
        </w:tc>
      </w:tr>
      <w:tr w:rsidR="00D62CA3" w:rsidRPr="00864518" w14:paraId="486AFA5C" w14:textId="77777777" w:rsidTr="009A3490">
        <w:trPr>
          <w:trHeight w:val="315"/>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14:paraId="1802B467" w14:textId="77777777" w:rsidR="00D62CA3" w:rsidRPr="00B139CC" w:rsidRDefault="00D62CA3" w:rsidP="00CD21D8">
            <w:pPr>
              <w:rPr>
                <w:color w:val="000000"/>
                <w:sz w:val="20"/>
              </w:rPr>
            </w:pPr>
            <w:r w:rsidRPr="00B139CC">
              <w:rPr>
                <w:color w:val="000000"/>
                <w:sz w:val="20"/>
              </w:rPr>
              <w:t>Site File Search</w:t>
            </w:r>
          </w:p>
        </w:tc>
        <w:tc>
          <w:tcPr>
            <w:tcW w:w="2025" w:type="dxa"/>
            <w:tcBorders>
              <w:top w:val="nil"/>
              <w:left w:val="nil"/>
              <w:bottom w:val="single" w:sz="4" w:space="0" w:color="auto"/>
              <w:right w:val="double" w:sz="6" w:space="0" w:color="auto"/>
            </w:tcBorders>
            <w:shd w:val="clear" w:color="auto" w:fill="auto"/>
            <w:noWrap/>
            <w:vAlign w:val="bottom"/>
            <w:hideMark/>
          </w:tcPr>
          <w:p w14:paraId="3ACF93EF" w14:textId="5BC0D9EA" w:rsidR="00D62CA3" w:rsidRPr="00B139CC" w:rsidRDefault="003C1AD0" w:rsidP="00CD21D8">
            <w:pPr>
              <w:jc w:val="center"/>
              <w:rPr>
                <w:color w:val="000000"/>
                <w:sz w:val="20"/>
              </w:rPr>
            </w:pPr>
            <w:r>
              <w:rPr>
                <w:color w:val="000000"/>
                <w:sz w:val="20"/>
              </w:rPr>
              <w:t>21</w:t>
            </w:r>
          </w:p>
        </w:tc>
      </w:tr>
      <w:tr w:rsidR="00D62CA3" w:rsidRPr="00864518" w14:paraId="6B79F4DC" w14:textId="77777777" w:rsidTr="009A3490">
        <w:trPr>
          <w:trHeight w:val="315"/>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14:paraId="4B1380A6" w14:textId="77777777" w:rsidR="00D62CA3" w:rsidRPr="00B139CC" w:rsidRDefault="00D62CA3" w:rsidP="00CD21D8">
            <w:pPr>
              <w:rPr>
                <w:color w:val="000000"/>
                <w:sz w:val="20"/>
              </w:rPr>
            </w:pPr>
            <w:r w:rsidRPr="00B139CC">
              <w:rPr>
                <w:color w:val="000000"/>
                <w:sz w:val="20"/>
              </w:rPr>
              <w:t xml:space="preserve">Robust Summaries </w:t>
            </w:r>
          </w:p>
        </w:tc>
        <w:tc>
          <w:tcPr>
            <w:tcW w:w="2025" w:type="dxa"/>
            <w:tcBorders>
              <w:top w:val="nil"/>
              <w:left w:val="nil"/>
              <w:bottom w:val="single" w:sz="4" w:space="0" w:color="auto"/>
              <w:right w:val="double" w:sz="6" w:space="0" w:color="auto"/>
            </w:tcBorders>
            <w:shd w:val="clear" w:color="auto" w:fill="auto"/>
            <w:noWrap/>
            <w:vAlign w:val="bottom"/>
            <w:hideMark/>
          </w:tcPr>
          <w:p w14:paraId="463B495B" w14:textId="6D5D720F" w:rsidR="00D62CA3" w:rsidRPr="00B139CC" w:rsidRDefault="003C1AD0" w:rsidP="00CD21D8">
            <w:pPr>
              <w:jc w:val="center"/>
              <w:rPr>
                <w:color w:val="000000"/>
                <w:sz w:val="20"/>
              </w:rPr>
            </w:pPr>
            <w:r>
              <w:rPr>
                <w:color w:val="000000"/>
                <w:sz w:val="20"/>
              </w:rPr>
              <w:t>4</w:t>
            </w:r>
          </w:p>
        </w:tc>
      </w:tr>
      <w:tr w:rsidR="00D62CA3" w:rsidRPr="00270A16" w14:paraId="5BBE71CF" w14:textId="77777777" w:rsidTr="009A3490">
        <w:trPr>
          <w:trHeight w:val="315"/>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14:paraId="40B37CBB" w14:textId="77777777" w:rsidR="00D62CA3" w:rsidRPr="00B139CC" w:rsidRDefault="00D62CA3" w:rsidP="00CD21D8">
            <w:pPr>
              <w:rPr>
                <w:color w:val="000000"/>
                <w:sz w:val="20"/>
              </w:rPr>
            </w:pPr>
            <w:r w:rsidRPr="00B139CC">
              <w:rPr>
                <w:color w:val="000000"/>
                <w:sz w:val="20"/>
              </w:rPr>
              <w:t>CBI Review</w:t>
            </w:r>
          </w:p>
        </w:tc>
        <w:tc>
          <w:tcPr>
            <w:tcW w:w="2025" w:type="dxa"/>
            <w:tcBorders>
              <w:top w:val="nil"/>
              <w:left w:val="nil"/>
              <w:bottom w:val="single" w:sz="4" w:space="0" w:color="auto"/>
              <w:right w:val="double" w:sz="6" w:space="0" w:color="auto"/>
            </w:tcBorders>
            <w:shd w:val="clear" w:color="auto" w:fill="auto"/>
            <w:noWrap/>
            <w:vAlign w:val="bottom"/>
            <w:hideMark/>
          </w:tcPr>
          <w:p w14:paraId="40C4DF7C" w14:textId="34ED8BE8" w:rsidR="00D62CA3" w:rsidRPr="00B139CC" w:rsidRDefault="003C1AD0" w:rsidP="00CD21D8">
            <w:pPr>
              <w:jc w:val="center"/>
              <w:rPr>
                <w:color w:val="000000"/>
                <w:sz w:val="20"/>
              </w:rPr>
            </w:pPr>
            <w:r>
              <w:rPr>
                <w:color w:val="000000"/>
                <w:sz w:val="20"/>
              </w:rPr>
              <w:t>1</w:t>
            </w:r>
          </w:p>
        </w:tc>
      </w:tr>
      <w:tr w:rsidR="00D62CA3" w:rsidRPr="00C75716" w14:paraId="68AB7CD4" w14:textId="77777777" w:rsidTr="009A3490">
        <w:trPr>
          <w:trHeight w:val="368"/>
          <w:jc w:val="center"/>
        </w:trPr>
        <w:tc>
          <w:tcPr>
            <w:tcW w:w="4185" w:type="dxa"/>
            <w:tcBorders>
              <w:top w:val="nil"/>
              <w:left w:val="double" w:sz="6" w:space="0" w:color="auto"/>
              <w:bottom w:val="double" w:sz="6" w:space="0" w:color="auto"/>
              <w:right w:val="single" w:sz="4" w:space="0" w:color="auto"/>
            </w:tcBorders>
            <w:shd w:val="clear" w:color="auto" w:fill="auto"/>
            <w:noWrap/>
            <w:vAlign w:val="bottom"/>
            <w:hideMark/>
          </w:tcPr>
          <w:p w14:paraId="34210344" w14:textId="77777777" w:rsidR="00D62CA3" w:rsidRPr="00B139CC" w:rsidRDefault="00D62CA3" w:rsidP="00CD21D8">
            <w:pPr>
              <w:rPr>
                <w:color w:val="000000"/>
                <w:sz w:val="20"/>
              </w:rPr>
            </w:pPr>
            <w:r w:rsidRPr="00B139CC">
              <w:rPr>
                <w:color w:val="000000"/>
                <w:sz w:val="20"/>
              </w:rPr>
              <w:t>Post-Reporting Period Submission</w:t>
            </w:r>
          </w:p>
        </w:tc>
        <w:tc>
          <w:tcPr>
            <w:tcW w:w="2025" w:type="dxa"/>
            <w:tcBorders>
              <w:top w:val="nil"/>
              <w:left w:val="nil"/>
              <w:bottom w:val="double" w:sz="6" w:space="0" w:color="auto"/>
              <w:right w:val="double" w:sz="6" w:space="0" w:color="auto"/>
            </w:tcBorders>
            <w:shd w:val="clear" w:color="auto" w:fill="auto"/>
            <w:noWrap/>
            <w:vAlign w:val="bottom"/>
            <w:hideMark/>
          </w:tcPr>
          <w:p w14:paraId="71872536" w14:textId="77777777" w:rsidR="00D62CA3" w:rsidRPr="00B139CC" w:rsidRDefault="00D62CA3" w:rsidP="00CD21D8">
            <w:pPr>
              <w:jc w:val="center"/>
              <w:rPr>
                <w:color w:val="000000"/>
                <w:sz w:val="20"/>
              </w:rPr>
            </w:pPr>
            <w:r w:rsidRPr="00B139CC">
              <w:rPr>
                <w:color w:val="000000"/>
                <w:sz w:val="20"/>
              </w:rPr>
              <w:t>1</w:t>
            </w:r>
          </w:p>
        </w:tc>
      </w:tr>
    </w:tbl>
    <w:p w14:paraId="15E0C6BB" w14:textId="77777777" w:rsidR="00567D1E" w:rsidRDefault="00567D1E" w:rsidP="00D62CA3">
      <w:pPr>
        <w:widowControl w:val="0"/>
        <w:rPr>
          <w:color w:val="000000"/>
          <w:highlight w:val="yellow"/>
        </w:rPr>
      </w:pPr>
    </w:p>
    <w:p w14:paraId="60154126" w14:textId="653264AF" w:rsidR="00D62CA3" w:rsidRDefault="00D62CA3" w:rsidP="009A3490">
      <w:pPr>
        <w:widowControl w:val="0"/>
        <w:ind w:firstLine="720"/>
        <w:rPr>
          <w:color w:val="000000"/>
        </w:rPr>
      </w:pPr>
      <w:r w:rsidRPr="00C75716">
        <w:rPr>
          <w:color w:val="000000"/>
        </w:rPr>
        <w:t xml:space="preserve">The number of firms or studies described above is combined with the estimated average unit burden hours and wages from Tables </w:t>
      </w:r>
      <w:r w:rsidR="00C75716" w:rsidRPr="00C75716">
        <w:rPr>
          <w:color w:val="000000"/>
        </w:rPr>
        <w:t>3</w:t>
      </w:r>
      <w:r w:rsidRPr="00C75716">
        <w:rPr>
          <w:color w:val="000000"/>
        </w:rPr>
        <w:t xml:space="preserve"> and 5 to estimate the total burden hours and cost per year based on three types of response activities:  searching files, submitting studies during the reporting period, and submitting studies after the reporting period</w:t>
      </w:r>
      <w:r w:rsidR="00205FAB">
        <w:rPr>
          <w:color w:val="000000"/>
        </w:rPr>
        <w:t xml:space="preserve">. </w:t>
      </w:r>
      <w:r w:rsidRPr="00C75716">
        <w:rPr>
          <w:color w:val="000000"/>
        </w:rPr>
        <w:t xml:space="preserve">The results are shown in Table </w:t>
      </w:r>
      <w:r w:rsidR="00C75716" w:rsidRPr="00C75716">
        <w:rPr>
          <w:color w:val="000000"/>
        </w:rPr>
        <w:t>6</w:t>
      </w:r>
      <w:r w:rsidRPr="00C75716">
        <w:rPr>
          <w:color w:val="000000"/>
        </w:rPr>
        <w:t>.</w:t>
      </w:r>
    </w:p>
    <w:p w14:paraId="579185E1" w14:textId="77777777" w:rsidR="00F66476" w:rsidRDefault="00F66476" w:rsidP="00A27323">
      <w:pPr>
        <w:widowControl w:val="0"/>
        <w:rPr>
          <w:b/>
          <w:color w:val="000000"/>
        </w:rPr>
      </w:pPr>
    </w:p>
    <w:p w14:paraId="2A713562" w14:textId="2240A00E" w:rsidR="003F63AD" w:rsidRDefault="00A5395D" w:rsidP="00F66476">
      <w:pPr>
        <w:widowControl w:val="0"/>
        <w:ind w:firstLine="720"/>
        <w:rPr>
          <w:color w:val="000000"/>
        </w:rPr>
      </w:pPr>
      <w:r>
        <w:rPr>
          <w:b/>
          <w:color w:val="000000"/>
        </w:rPr>
        <w:t>6(c)</w:t>
      </w:r>
      <w:r w:rsidR="00F66476">
        <w:rPr>
          <w:b/>
          <w:color w:val="000000"/>
        </w:rPr>
        <w:tab/>
      </w:r>
      <w:r w:rsidR="00FF3FE7">
        <w:rPr>
          <w:b/>
          <w:color w:val="000000"/>
        </w:rPr>
        <w:t>Estimating Respondent Cost</w:t>
      </w:r>
    </w:p>
    <w:p w14:paraId="5419BDA0" w14:textId="77777777" w:rsidR="003F63AD" w:rsidRDefault="003F63AD" w:rsidP="00A411E8">
      <w:pPr>
        <w:widowControl w:val="0"/>
        <w:rPr>
          <w:color w:val="000000"/>
        </w:rPr>
      </w:pPr>
    </w:p>
    <w:p w14:paraId="7A8C98D6" w14:textId="27E1AAA6" w:rsidR="003F63AD" w:rsidRDefault="003F63AD" w:rsidP="00F66476">
      <w:pPr>
        <w:ind w:right="216" w:firstLine="720"/>
      </w:pPr>
      <w:r w:rsidRPr="00C32A8F">
        <w:t>Unit labor costs are calculated by adding fringe benefits and overhead to the wage or salary to derive a fully loaded labor cost</w:t>
      </w:r>
      <w:r w:rsidR="00205FAB">
        <w:t xml:space="preserve">. </w:t>
      </w:r>
      <w:r w:rsidRPr="00C32A8F">
        <w:t xml:space="preserve">Costs are calculated for </w:t>
      </w:r>
      <w:r>
        <w:t>m</w:t>
      </w:r>
      <w:r w:rsidRPr="00C32A8F">
        <w:t xml:space="preserve">anagerial, </w:t>
      </w:r>
      <w:r>
        <w:t>p</w:t>
      </w:r>
      <w:r w:rsidRPr="00C32A8F">
        <w:t>rofessional/</w:t>
      </w:r>
      <w:r>
        <w:t>t</w:t>
      </w:r>
      <w:r w:rsidRPr="00C32A8F">
        <w:t xml:space="preserve">echnical, </w:t>
      </w:r>
      <w:r>
        <w:t>and cl</w:t>
      </w:r>
      <w:r w:rsidRPr="00C32A8F">
        <w:t>erical</w:t>
      </w:r>
      <w:r>
        <w:t xml:space="preserve"> workers</w:t>
      </w:r>
      <w:r w:rsidR="00205FAB">
        <w:t xml:space="preserve">. </w:t>
      </w:r>
      <w:r w:rsidRPr="00C32A8F">
        <w:rPr>
          <w:spacing w:val="-2"/>
        </w:rPr>
        <w:t xml:space="preserve">Wages and fringe benefits for managerial, professional/technical, </w:t>
      </w:r>
      <w:r>
        <w:rPr>
          <w:spacing w:val="-2"/>
        </w:rPr>
        <w:t xml:space="preserve">and </w:t>
      </w:r>
      <w:r w:rsidRPr="00C32A8F">
        <w:rPr>
          <w:spacing w:val="-2"/>
        </w:rPr>
        <w:t xml:space="preserve">clerical </w:t>
      </w:r>
      <w:r w:rsidRPr="00C32A8F">
        <w:t xml:space="preserve">labor </w:t>
      </w:r>
      <w:r>
        <w:t xml:space="preserve">are </w:t>
      </w:r>
      <w:r w:rsidRPr="00C32A8F">
        <w:t xml:space="preserve">taken from the Bureau of Labor Statistics (BLS) </w:t>
      </w:r>
      <w:r w:rsidRPr="00C32A8F">
        <w:rPr>
          <w:i/>
          <w:iCs/>
        </w:rPr>
        <w:t xml:space="preserve">Employer Costs for Employee Compensation </w:t>
      </w:r>
      <w:r w:rsidRPr="00C32A8F">
        <w:t xml:space="preserve">(ECEC) </w:t>
      </w:r>
      <w:r>
        <w:t xml:space="preserve">manufacturing industry </w:t>
      </w:r>
      <w:r w:rsidRPr="00C32A8F">
        <w:t>data</w:t>
      </w:r>
      <w:r>
        <w:t xml:space="preserve"> </w:t>
      </w:r>
      <w:r w:rsidRPr="001D0D56">
        <w:t>f</w:t>
      </w:r>
      <w:r w:rsidR="006A401D" w:rsidRPr="001D0D56">
        <w:t xml:space="preserve">rom </w:t>
      </w:r>
      <w:r w:rsidR="001D0D56" w:rsidRPr="001D0D56">
        <w:t>201</w:t>
      </w:r>
      <w:r w:rsidR="00791F8E">
        <w:t>6</w:t>
      </w:r>
      <w:r w:rsidR="006A401D">
        <w:t xml:space="preserve">. </w:t>
      </w:r>
      <w:r w:rsidR="00E7302F" w:rsidRPr="00C32A8F">
        <w:t>The cost of fringe benefits such as pai</w:t>
      </w:r>
      <w:r w:rsidR="00E7302F">
        <w:t xml:space="preserve">d leave and insurance </w:t>
      </w:r>
      <w:r w:rsidR="00E7302F" w:rsidRPr="00C32A8F">
        <w:t>are taken from the same ECEC series</w:t>
      </w:r>
      <w:r w:rsidR="00E7302F">
        <w:t xml:space="preserve"> for each labor category</w:t>
      </w:r>
      <w:r w:rsidR="00205FAB">
        <w:t xml:space="preserve">. </w:t>
      </w:r>
      <w:r w:rsidR="00E7302F" w:rsidRPr="00C32A8F">
        <w:t>Fringe benefits as a percent of wages are calculated separately for each labor category</w:t>
      </w:r>
      <w:r w:rsidR="00205FAB">
        <w:t xml:space="preserve">. </w:t>
      </w:r>
      <w:r w:rsidR="006A401D">
        <w:t xml:space="preserve">Table </w:t>
      </w:r>
      <w:r w:rsidR="00C75716">
        <w:t>5</w:t>
      </w:r>
      <w:r w:rsidR="006A401D">
        <w:t xml:space="preserve"> presents these results</w:t>
      </w:r>
      <w:r w:rsidR="00E7302F">
        <w:t xml:space="preserve"> with fully loaded rates </w:t>
      </w:r>
      <w:r w:rsidR="00E7302F" w:rsidRPr="001D0D56">
        <w:t>for</w:t>
      </w:r>
      <w:r w:rsidR="00791F8E">
        <w:t xml:space="preserve"> attorney labor at $116.15,</w:t>
      </w:r>
      <w:r w:rsidR="00E7302F" w:rsidRPr="001D0D56">
        <w:t xml:space="preserve"> managerial labor at $</w:t>
      </w:r>
      <w:r w:rsidR="00791F8E">
        <w:t>83.15</w:t>
      </w:r>
      <w:r w:rsidR="00E7302F" w:rsidRPr="001D0D56">
        <w:t>/h</w:t>
      </w:r>
      <w:r w:rsidR="00B139CC">
        <w:t>ou</w:t>
      </w:r>
      <w:r w:rsidR="00E7302F" w:rsidRPr="001D0D56">
        <w:t>r; for technical labor at $</w:t>
      </w:r>
      <w:r w:rsidR="00791F8E">
        <w:t>78.08</w:t>
      </w:r>
      <w:r w:rsidR="00E7302F" w:rsidRPr="001D0D56">
        <w:t>/</w:t>
      </w:r>
      <w:r w:rsidR="00B139CC">
        <w:t>hour</w:t>
      </w:r>
      <w:r w:rsidR="00E7302F" w:rsidRPr="001D0D56">
        <w:t>; and for clerical labor at $</w:t>
      </w:r>
      <w:r w:rsidR="005B2A89">
        <w:t>3</w:t>
      </w:r>
      <w:r w:rsidR="00791F8E">
        <w:t>4.29</w:t>
      </w:r>
      <w:r w:rsidR="00E7302F" w:rsidRPr="001D0D56">
        <w:t>/h</w:t>
      </w:r>
      <w:r w:rsidR="00B139CC">
        <w:t>ou</w:t>
      </w:r>
      <w:r w:rsidR="00E7302F" w:rsidRPr="001D0D56">
        <w:t>r.</w:t>
      </w:r>
    </w:p>
    <w:p w14:paraId="6F657B43" w14:textId="43F2E214" w:rsidR="003F3BCC" w:rsidRDefault="003F3BCC" w:rsidP="003F3BC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369FD8" w14:textId="082E5EE6" w:rsidR="003F3BCC" w:rsidRPr="00E804DE" w:rsidRDefault="003F3BCC" w:rsidP="003F3BCC">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szCs w:val="22"/>
        </w:rPr>
        <w:t>Table 5</w:t>
      </w:r>
      <w:r w:rsidRPr="0049227B">
        <w:rPr>
          <w:b/>
          <w:sz w:val="22"/>
          <w:szCs w:val="22"/>
        </w:rPr>
        <w:t>: Loaded Hourly Wage Rates by Labor Category</w:t>
      </w:r>
      <w:r>
        <w:rPr>
          <w:b/>
          <w:sz w:val="22"/>
          <w:szCs w:val="22"/>
        </w:rPr>
        <w:t xml:space="preserve"> in 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4"/>
        <w:gridCol w:w="1446"/>
        <w:gridCol w:w="1415"/>
        <w:gridCol w:w="1559"/>
        <w:gridCol w:w="1404"/>
        <w:gridCol w:w="1592"/>
        <w:gridCol w:w="1586"/>
      </w:tblGrid>
      <w:tr w:rsidR="003F3BCC" w:rsidRPr="003F146A" w14:paraId="6A4A7799" w14:textId="77777777" w:rsidTr="006769E3">
        <w:trPr>
          <w:cantSplit/>
          <w:trHeight w:val="650"/>
        </w:trPr>
        <w:tc>
          <w:tcPr>
            <w:tcW w:w="629" w:type="pct"/>
            <w:vMerge w:val="restart"/>
            <w:tcBorders>
              <w:top w:val="single" w:sz="4" w:space="0" w:color="auto"/>
              <w:left w:val="single" w:sz="4" w:space="0" w:color="auto"/>
              <w:bottom w:val="single" w:sz="4" w:space="0" w:color="auto"/>
            </w:tcBorders>
            <w:shd w:val="clear" w:color="auto" w:fill="F2F2F2"/>
            <w:vAlign w:val="center"/>
          </w:tcPr>
          <w:p w14:paraId="019EE788" w14:textId="77777777" w:rsidR="003F3BCC" w:rsidRPr="00E03C2B" w:rsidRDefault="003F3BCC" w:rsidP="006769E3">
            <w:pPr>
              <w:keepNext/>
              <w:jc w:val="center"/>
              <w:rPr>
                <w:sz w:val="20"/>
              </w:rPr>
            </w:pPr>
            <w:r>
              <w:rPr>
                <w:b/>
                <w:sz w:val="20"/>
              </w:rPr>
              <w:t>Labor Category</w:t>
            </w:r>
          </w:p>
        </w:tc>
        <w:tc>
          <w:tcPr>
            <w:tcW w:w="702" w:type="pct"/>
            <w:tcBorders>
              <w:top w:val="single" w:sz="4" w:space="0" w:color="auto"/>
              <w:bottom w:val="single" w:sz="4" w:space="0" w:color="auto"/>
            </w:tcBorders>
            <w:shd w:val="clear" w:color="auto" w:fill="F2F2F2"/>
            <w:vAlign w:val="center"/>
          </w:tcPr>
          <w:p w14:paraId="4824F983" w14:textId="77777777" w:rsidR="003F3BCC" w:rsidRPr="00E03C2B" w:rsidRDefault="003F3BCC" w:rsidP="006769E3">
            <w:pPr>
              <w:keepNext/>
              <w:jc w:val="center"/>
              <w:rPr>
                <w:b/>
                <w:color w:val="000000"/>
                <w:sz w:val="20"/>
              </w:rPr>
            </w:pPr>
          </w:p>
          <w:p w14:paraId="4D84FDC4" w14:textId="77777777" w:rsidR="003F3BCC" w:rsidRPr="00E03C2B" w:rsidRDefault="003F3BCC" w:rsidP="006769E3">
            <w:pPr>
              <w:keepNext/>
              <w:jc w:val="center"/>
              <w:rPr>
                <w:sz w:val="20"/>
              </w:rPr>
            </w:pPr>
            <w:r w:rsidRPr="00E03C2B">
              <w:rPr>
                <w:b/>
                <w:color w:val="000000"/>
                <w:sz w:val="20"/>
              </w:rPr>
              <w:t>Wage</w:t>
            </w:r>
          </w:p>
        </w:tc>
        <w:tc>
          <w:tcPr>
            <w:tcW w:w="687" w:type="pct"/>
            <w:tcBorders>
              <w:top w:val="single" w:sz="4" w:space="0" w:color="auto"/>
              <w:bottom w:val="single" w:sz="4" w:space="0" w:color="auto"/>
            </w:tcBorders>
            <w:shd w:val="clear" w:color="auto" w:fill="F2F2F2"/>
            <w:vAlign w:val="center"/>
          </w:tcPr>
          <w:p w14:paraId="02083215" w14:textId="77777777" w:rsidR="003F3BCC" w:rsidRPr="00E03C2B" w:rsidRDefault="003F3BCC" w:rsidP="006769E3">
            <w:pPr>
              <w:keepNext/>
              <w:jc w:val="center"/>
              <w:rPr>
                <w:sz w:val="20"/>
              </w:rPr>
            </w:pPr>
            <w:r w:rsidRPr="00E03C2B">
              <w:rPr>
                <w:b/>
                <w:color w:val="000000"/>
                <w:sz w:val="20"/>
              </w:rPr>
              <w:t>Fringe Benefits</w:t>
            </w:r>
          </w:p>
        </w:tc>
        <w:tc>
          <w:tcPr>
            <w:tcW w:w="757" w:type="pct"/>
            <w:tcBorders>
              <w:top w:val="single" w:sz="4" w:space="0" w:color="auto"/>
              <w:bottom w:val="single" w:sz="4" w:space="0" w:color="auto"/>
            </w:tcBorders>
            <w:shd w:val="clear" w:color="auto" w:fill="F2F2F2"/>
            <w:vAlign w:val="center"/>
          </w:tcPr>
          <w:p w14:paraId="0F75F5FF" w14:textId="77777777" w:rsidR="003F3BCC" w:rsidRPr="00E03C2B" w:rsidRDefault="003F3BCC" w:rsidP="006769E3">
            <w:pPr>
              <w:keepNext/>
              <w:jc w:val="center"/>
              <w:rPr>
                <w:sz w:val="20"/>
              </w:rPr>
            </w:pPr>
            <w:r w:rsidRPr="00E03C2B">
              <w:rPr>
                <w:b/>
                <w:color w:val="000000"/>
                <w:sz w:val="20"/>
              </w:rPr>
              <w:t xml:space="preserve">Fringes as % </w:t>
            </w:r>
            <w:r>
              <w:rPr>
                <w:b/>
                <w:color w:val="000000"/>
                <w:sz w:val="20"/>
              </w:rPr>
              <w:t xml:space="preserve">of </w:t>
            </w:r>
            <w:r w:rsidRPr="00E03C2B">
              <w:rPr>
                <w:b/>
                <w:color w:val="000000"/>
                <w:sz w:val="20"/>
              </w:rPr>
              <w:t>Wage</w:t>
            </w:r>
          </w:p>
        </w:tc>
        <w:tc>
          <w:tcPr>
            <w:tcW w:w="682" w:type="pct"/>
            <w:tcBorders>
              <w:top w:val="single" w:sz="4" w:space="0" w:color="auto"/>
              <w:bottom w:val="single" w:sz="4" w:space="0" w:color="auto"/>
            </w:tcBorders>
            <w:shd w:val="clear" w:color="auto" w:fill="F2F2F2"/>
            <w:vAlign w:val="center"/>
          </w:tcPr>
          <w:p w14:paraId="3B6AEB1E" w14:textId="77777777" w:rsidR="003F3BCC" w:rsidRPr="00E03C2B" w:rsidRDefault="003F3BCC" w:rsidP="006769E3">
            <w:pPr>
              <w:keepNext/>
              <w:jc w:val="center"/>
              <w:rPr>
                <w:sz w:val="20"/>
              </w:rPr>
            </w:pPr>
            <w:r w:rsidRPr="00E03C2B">
              <w:rPr>
                <w:b/>
                <w:color w:val="000000"/>
                <w:sz w:val="20"/>
              </w:rPr>
              <w:t xml:space="preserve">Overhead % </w:t>
            </w:r>
            <w:r>
              <w:rPr>
                <w:b/>
                <w:color w:val="000000"/>
                <w:sz w:val="20"/>
              </w:rPr>
              <w:t xml:space="preserve">of </w:t>
            </w:r>
            <w:r w:rsidRPr="00E03C2B">
              <w:rPr>
                <w:b/>
                <w:color w:val="000000"/>
                <w:sz w:val="20"/>
              </w:rPr>
              <w:t>Wage</w:t>
            </w:r>
            <w:r>
              <w:rPr>
                <w:b/>
                <w:color w:val="000000"/>
                <w:sz w:val="20"/>
                <w:vertAlign w:val="superscript"/>
              </w:rPr>
              <w:t>3</w:t>
            </w:r>
          </w:p>
        </w:tc>
        <w:tc>
          <w:tcPr>
            <w:tcW w:w="773" w:type="pct"/>
            <w:tcBorders>
              <w:top w:val="single" w:sz="4" w:space="0" w:color="auto"/>
              <w:bottom w:val="single" w:sz="4" w:space="0" w:color="auto"/>
            </w:tcBorders>
            <w:shd w:val="clear" w:color="auto" w:fill="F2F2F2"/>
            <w:vAlign w:val="center"/>
          </w:tcPr>
          <w:p w14:paraId="0FCAA037" w14:textId="77777777" w:rsidR="003F3BCC" w:rsidRPr="00E03C2B" w:rsidRDefault="003F3BCC" w:rsidP="006769E3">
            <w:pPr>
              <w:keepNext/>
              <w:jc w:val="center"/>
              <w:rPr>
                <w:sz w:val="20"/>
              </w:rPr>
            </w:pPr>
            <w:r w:rsidRPr="00E03C2B">
              <w:rPr>
                <w:b/>
                <w:color w:val="000000"/>
                <w:sz w:val="20"/>
              </w:rPr>
              <w:t>Fringe + Overhead Factor</w:t>
            </w:r>
          </w:p>
        </w:tc>
        <w:tc>
          <w:tcPr>
            <w:tcW w:w="770" w:type="pct"/>
            <w:tcBorders>
              <w:top w:val="single" w:sz="4" w:space="0" w:color="auto"/>
              <w:bottom w:val="single" w:sz="4" w:space="0" w:color="auto"/>
              <w:right w:val="single" w:sz="4" w:space="0" w:color="auto"/>
            </w:tcBorders>
            <w:shd w:val="clear" w:color="auto" w:fill="F2F2F2"/>
            <w:vAlign w:val="center"/>
          </w:tcPr>
          <w:p w14:paraId="6B7107F0" w14:textId="77777777" w:rsidR="003F3BCC" w:rsidRPr="00E03C2B" w:rsidRDefault="003F3BCC" w:rsidP="006769E3">
            <w:pPr>
              <w:keepNext/>
              <w:jc w:val="center"/>
              <w:rPr>
                <w:sz w:val="20"/>
              </w:rPr>
            </w:pPr>
            <w:r w:rsidRPr="00E03C2B">
              <w:rPr>
                <w:b/>
                <w:color w:val="000000"/>
                <w:sz w:val="20"/>
              </w:rPr>
              <w:t>Loaded Wages</w:t>
            </w:r>
          </w:p>
        </w:tc>
      </w:tr>
      <w:tr w:rsidR="003F3BCC" w:rsidRPr="003F146A" w14:paraId="25197E60" w14:textId="77777777" w:rsidTr="006769E3">
        <w:trPr>
          <w:cantSplit/>
          <w:trHeight w:val="242"/>
        </w:trPr>
        <w:tc>
          <w:tcPr>
            <w:tcW w:w="629" w:type="pct"/>
            <w:vMerge/>
            <w:tcBorders>
              <w:top w:val="single" w:sz="4" w:space="0" w:color="auto"/>
              <w:left w:val="single" w:sz="4" w:space="0" w:color="auto"/>
              <w:bottom w:val="single" w:sz="4" w:space="0" w:color="auto"/>
            </w:tcBorders>
            <w:shd w:val="clear" w:color="auto" w:fill="F2F2F2"/>
            <w:vAlign w:val="center"/>
          </w:tcPr>
          <w:p w14:paraId="45DB1AB3" w14:textId="77777777" w:rsidR="003F3BCC" w:rsidRPr="00E03C2B" w:rsidRDefault="003F3BCC" w:rsidP="006769E3">
            <w:pPr>
              <w:keepNext/>
              <w:jc w:val="center"/>
              <w:rPr>
                <w:b/>
                <w:sz w:val="20"/>
              </w:rPr>
            </w:pPr>
          </w:p>
        </w:tc>
        <w:tc>
          <w:tcPr>
            <w:tcW w:w="702" w:type="pct"/>
            <w:tcBorders>
              <w:top w:val="single" w:sz="4" w:space="0" w:color="auto"/>
              <w:bottom w:val="single" w:sz="4" w:space="0" w:color="auto"/>
            </w:tcBorders>
            <w:shd w:val="clear" w:color="auto" w:fill="F2F2F2"/>
            <w:vAlign w:val="center"/>
          </w:tcPr>
          <w:p w14:paraId="019C1102" w14:textId="77777777" w:rsidR="003F3BCC" w:rsidRPr="00E03C2B" w:rsidRDefault="003F3BCC" w:rsidP="006769E3">
            <w:pPr>
              <w:keepNext/>
              <w:jc w:val="center"/>
              <w:rPr>
                <w:b/>
                <w:color w:val="000000"/>
                <w:sz w:val="20"/>
              </w:rPr>
            </w:pPr>
            <w:r w:rsidRPr="00E03C2B">
              <w:rPr>
                <w:b/>
                <w:color w:val="000000"/>
                <w:sz w:val="20"/>
              </w:rPr>
              <w:t>(a)</w:t>
            </w:r>
          </w:p>
        </w:tc>
        <w:tc>
          <w:tcPr>
            <w:tcW w:w="687" w:type="pct"/>
            <w:tcBorders>
              <w:top w:val="single" w:sz="4" w:space="0" w:color="auto"/>
              <w:bottom w:val="single" w:sz="4" w:space="0" w:color="auto"/>
            </w:tcBorders>
            <w:shd w:val="clear" w:color="auto" w:fill="F2F2F2"/>
            <w:vAlign w:val="center"/>
          </w:tcPr>
          <w:p w14:paraId="5B45343F" w14:textId="77777777" w:rsidR="003F3BCC" w:rsidRPr="00E03C2B" w:rsidRDefault="003F3BCC" w:rsidP="006769E3">
            <w:pPr>
              <w:keepNext/>
              <w:jc w:val="center"/>
              <w:rPr>
                <w:b/>
                <w:color w:val="000000"/>
                <w:sz w:val="20"/>
              </w:rPr>
            </w:pPr>
            <w:r w:rsidRPr="00E03C2B">
              <w:rPr>
                <w:b/>
                <w:color w:val="000000"/>
                <w:sz w:val="20"/>
              </w:rPr>
              <w:t>(b)</w:t>
            </w:r>
          </w:p>
        </w:tc>
        <w:tc>
          <w:tcPr>
            <w:tcW w:w="757" w:type="pct"/>
            <w:tcBorders>
              <w:top w:val="single" w:sz="4" w:space="0" w:color="auto"/>
              <w:bottom w:val="single" w:sz="4" w:space="0" w:color="auto"/>
            </w:tcBorders>
            <w:shd w:val="clear" w:color="auto" w:fill="F2F2F2"/>
            <w:vAlign w:val="center"/>
          </w:tcPr>
          <w:p w14:paraId="08F22969" w14:textId="77777777" w:rsidR="003F3BCC" w:rsidRPr="00E03C2B" w:rsidRDefault="003F3BCC" w:rsidP="006769E3">
            <w:pPr>
              <w:keepNext/>
              <w:jc w:val="center"/>
              <w:rPr>
                <w:b/>
                <w:color w:val="000000"/>
                <w:sz w:val="20"/>
              </w:rPr>
            </w:pPr>
            <w:r w:rsidRPr="00E03C2B">
              <w:rPr>
                <w:b/>
                <w:color w:val="000000"/>
                <w:sz w:val="20"/>
              </w:rPr>
              <w:t>(c) = (b)/(a)</w:t>
            </w:r>
          </w:p>
        </w:tc>
        <w:tc>
          <w:tcPr>
            <w:tcW w:w="682" w:type="pct"/>
            <w:tcBorders>
              <w:top w:val="single" w:sz="4" w:space="0" w:color="auto"/>
              <w:bottom w:val="single" w:sz="4" w:space="0" w:color="auto"/>
            </w:tcBorders>
            <w:shd w:val="clear" w:color="auto" w:fill="F2F2F2"/>
            <w:vAlign w:val="center"/>
          </w:tcPr>
          <w:p w14:paraId="4D2B5BE3" w14:textId="77777777" w:rsidR="003F3BCC" w:rsidRPr="00E03C2B" w:rsidRDefault="003F3BCC" w:rsidP="006769E3">
            <w:pPr>
              <w:keepNext/>
              <w:jc w:val="center"/>
              <w:rPr>
                <w:b/>
                <w:color w:val="000000"/>
                <w:sz w:val="20"/>
              </w:rPr>
            </w:pPr>
            <w:r w:rsidRPr="00E03C2B">
              <w:rPr>
                <w:b/>
                <w:color w:val="000000"/>
                <w:sz w:val="20"/>
              </w:rPr>
              <w:t>(d)</w:t>
            </w:r>
          </w:p>
        </w:tc>
        <w:tc>
          <w:tcPr>
            <w:tcW w:w="773" w:type="pct"/>
            <w:tcBorders>
              <w:top w:val="single" w:sz="4" w:space="0" w:color="auto"/>
              <w:bottom w:val="single" w:sz="4" w:space="0" w:color="auto"/>
            </w:tcBorders>
            <w:shd w:val="clear" w:color="auto" w:fill="F2F2F2"/>
            <w:vAlign w:val="center"/>
          </w:tcPr>
          <w:p w14:paraId="1370FCE4" w14:textId="77777777" w:rsidR="003F3BCC" w:rsidRPr="00E03C2B" w:rsidRDefault="003F3BCC" w:rsidP="006769E3">
            <w:pPr>
              <w:keepNext/>
              <w:jc w:val="center"/>
              <w:rPr>
                <w:b/>
                <w:color w:val="000000"/>
                <w:sz w:val="20"/>
              </w:rPr>
            </w:pPr>
            <w:r w:rsidRPr="00E03C2B">
              <w:rPr>
                <w:b/>
                <w:color w:val="000000"/>
                <w:sz w:val="20"/>
              </w:rPr>
              <w:t>(e)=(1)+(c)+(d)</w:t>
            </w:r>
          </w:p>
        </w:tc>
        <w:tc>
          <w:tcPr>
            <w:tcW w:w="770" w:type="pct"/>
            <w:tcBorders>
              <w:top w:val="single" w:sz="4" w:space="0" w:color="auto"/>
              <w:bottom w:val="single" w:sz="4" w:space="0" w:color="auto"/>
              <w:right w:val="single" w:sz="4" w:space="0" w:color="auto"/>
            </w:tcBorders>
            <w:shd w:val="clear" w:color="auto" w:fill="F2F2F2"/>
            <w:vAlign w:val="center"/>
          </w:tcPr>
          <w:p w14:paraId="70A2801B" w14:textId="77777777" w:rsidR="003F3BCC" w:rsidRPr="00E03C2B" w:rsidRDefault="003F3BCC" w:rsidP="006769E3">
            <w:pPr>
              <w:keepNext/>
              <w:jc w:val="center"/>
              <w:rPr>
                <w:b/>
                <w:color w:val="000000"/>
                <w:sz w:val="20"/>
              </w:rPr>
            </w:pPr>
            <w:r w:rsidRPr="00E03C2B">
              <w:rPr>
                <w:b/>
                <w:color w:val="000000"/>
                <w:sz w:val="20"/>
              </w:rPr>
              <w:t>(f) = (a) x (e)</w:t>
            </w:r>
          </w:p>
        </w:tc>
      </w:tr>
      <w:tr w:rsidR="003F3BCC" w:rsidRPr="003F146A" w14:paraId="5AF15F45" w14:textId="77777777" w:rsidTr="006769E3">
        <w:trPr>
          <w:cantSplit/>
          <w:trHeight w:val="242"/>
        </w:trPr>
        <w:tc>
          <w:tcPr>
            <w:tcW w:w="629" w:type="pct"/>
            <w:tcBorders>
              <w:top w:val="single" w:sz="4" w:space="0" w:color="auto"/>
              <w:left w:val="single" w:sz="4" w:space="0" w:color="auto"/>
            </w:tcBorders>
            <w:vAlign w:val="center"/>
          </w:tcPr>
          <w:p w14:paraId="5E11F85F" w14:textId="77777777" w:rsidR="003F3BCC" w:rsidRPr="00E03C2B" w:rsidRDefault="003F3BCC" w:rsidP="006769E3">
            <w:pPr>
              <w:keepNext/>
              <w:rPr>
                <w:b/>
                <w:sz w:val="20"/>
              </w:rPr>
            </w:pPr>
            <w:r>
              <w:rPr>
                <w:b/>
                <w:bCs/>
                <w:color w:val="000000"/>
                <w:sz w:val="20"/>
              </w:rPr>
              <w:t>Attorney</w:t>
            </w:r>
            <w:r w:rsidRPr="002E7F4E">
              <w:rPr>
                <w:b/>
                <w:bCs/>
                <w:color w:val="000000"/>
                <w:sz w:val="20"/>
                <w:vertAlign w:val="superscript"/>
              </w:rPr>
              <w:t>1</w:t>
            </w:r>
          </w:p>
        </w:tc>
        <w:tc>
          <w:tcPr>
            <w:tcW w:w="702" w:type="pct"/>
            <w:tcBorders>
              <w:top w:val="single" w:sz="4" w:space="0" w:color="auto"/>
            </w:tcBorders>
            <w:vAlign w:val="center"/>
          </w:tcPr>
          <w:p w14:paraId="727249FF" w14:textId="77777777" w:rsidR="003F3BCC" w:rsidRPr="004574E2" w:rsidRDefault="003F3BCC" w:rsidP="006769E3">
            <w:pPr>
              <w:keepNext/>
              <w:jc w:val="center"/>
              <w:rPr>
                <w:sz w:val="20"/>
              </w:rPr>
            </w:pPr>
            <w:r w:rsidRPr="004574E2">
              <w:rPr>
                <w:bCs/>
                <w:color w:val="000000"/>
                <w:sz w:val="20"/>
              </w:rPr>
              <w:t>$69.97</w:t>
            </w:r>
          </w:p>
        </w:tc>
        <w:tc>
          <w:tcPr>
            <w:tcW w:w="687" w:type="pct"/>
            <w:tcBorders>
              <w:top w:val="single" w:sz="4" w:space="0" w:color="auto"/>
            </w:tcBorders>
            <w:vAlign w:val="center"/>
          </w:tcPr>
          <w:p w14:paraId="258DB4A6" w14:textId="77777777" w:rsidR="003F3BCC" w:rsidRPr="004574E2" w:rsidRDefault="003F3BCC" w:rsidP="006769E3">
            <w:pPr>
              <w:keepNext/>
              <w:jc w:val="center"/>
              <w:rPr>
                <w:sz w:val="20"/>
              </w:rPr>
            </w:pPr>
            <w:r w:rsidRPr="004574E2">
              <w:rPr>
                <w:bCs/>
                <w:color w:val="000000"/>
                <w:sz w:val="20"/>
              </w:rPr>
              <w:t>$34.40</w:t>
            </w:r>
          </w:p>
        </w:tc>
        <w:tc>
          <w:tcPr>
            <w:tcW w:w="757" w:type="pct"/>
            <w:tcBorders>
              <w:top w:val="single" w:sz="4" w:space="0" w:color="auto"/>
            </w:tcBorders>
            <w:vAlign w:val="center"/>
          </w:tcPr>
          <w:p w14:paraId="48580544" w14:textId="77777777" w:rsidR="003F3BCC" w:rsidRPr="004574E2" w:rsidRDefault="003F3BCC" w:rsidP="006769E3">
            <w:pPr>
              <w:keepNext/>
              <w:jc w:val="center"/>
              <w:rPr>
                <w:sz w:val="20"/>
              </w:rPr>
            </w:pPr>
            <w:r w:rsidRPr="004574E2">
              <w:rPr>
                <w:bCs/>
                <w:color w:val="000000"/>
                <w:sz w:val="20"/>
              </w:rPr>
              <w:t>49.17%</w:t>
            </w:r>
          </w:p>
        </w:tc>
        <w:tc>
          <w:tcPr>
            <w:tcW w:w="682" w:type="pct"/>
            <w:tcBorders>
              <w:top w:val="single" w:sz="4" w:space="0" w:color="auto"/>
            </w:tcBorders>
            <w:vAlign w:val="center"/>
          </w:tcPr>
          <w:p w14:paraId="73CEEE0C" w14:textId="77777777" w:rsidR="003F3BCC" w:rsidRPr="004574E2" w:rsidRDefault="003F3BCC" w:rsidP="006769E3">
            <w:pPr>
              <w:keepNext/>
              <w:jc w:val="center"/>
              <w:rPr>
                <w:sz w:val="20"/>
              </w:rPr>
            </w:pPr>
            <w:r w:rsidRPr="004574E2">
              <w:rPr>
                <w:bCs/>
                <w:color w:val="000000"/>
                <w:sz w:val="20"/>
              </w:rPr>
              <w:t>17%</w:t>
            </w:r>
          </w:p>
        </w:tc>
        <w:tc>
          <w:tcPr>
            <w:tcW w:w="773" w:type="pct"/>
            <w:tcBorders>
              <w:top w:val="single" w:sz="4" w:space="0" w:color="auto"/>
            </w:tcBorders>
            <w:vAlign w:val="center"/>
          </w:tcPr>
          <w:p w14:paraId="648F3539" w14:textId="77777777" w:rsidR="003F3BCC" w:rsidRDefault="003F3BCC" w:rsidP="006769E3">
            <w:pPr>
              <w:keepNext/>
              <w:jc w:val="center"/>
              <w:rPr>
                <w:sz w:val="20"/>
              </w:rPr>
            </w:pPr>
            <w:r>
              <w:rPr>
                <w:color w:val="000000"/>
                <w:sz w:val="20"/>
              </w:rPr>
              <w:t>1.66</w:t>
            </w:r>
          </w:p>
        </w:tc>
        <w:tc>
          <w:tcPr>
            <w:tcW w:w="770" w:type="pct"/>
            <w:tcBorders>
              <w:top w:val="single" w:sz="4" w:space="0" w:color="auto"/>
              <w:right w:val="single" w:sz="4" w:space="0" w:color="auto"/>
            </w:tcBorders>
            <w:vAlign w:val="center"/>
          </w:tcPr>
          <w:p w14:paraId="64F9B714" w14:textId="77777777" w:rsidR="003F3BCC" w:rsidRPr="008A6DE0" w:rsidRDefault="003F3BCC" w:rsidP="006769E3">
            <w:pPr>
              <w:keepNext/>
              <w:jc w:val="center"/>
              <w:rPr>
                <w:b/>
                <w:sz w:val="20"/>
              </w:rPr>
            </w:pPr>
            <w:r>
              <w:rPr>
                <w:b/>
                <w:bCs/>
                <w:color w:val="000000"/>
                <w:sz w:val="20"/>
              </w:rPr>
              <w:t>$116.15</w:t>
            </w:r>
          </w:p>
        </w:tc>
      </w:tr>
      <w:tr w:rsidR="003F3BCC" w:rsidRPr="003F146A" w14:paraId="6E4F20FC" w14:textId="77777777" w:rsidTr="006769E3">
        <w:trPr>
          <w:cantSplit/>
          <w:trHeight w:val="242"/>
        </w:trPr>
        <w:tc>
          <w:tcPr>
            <w:tcW w:w="629" w:type="pct"/>
            <w:tcBorders>
              <w:top w:val="single" w:sz="4" w:space="0" w:color="auto"/>
              <w:left w:val="single" w:sz="4" w:space="0" w:color="auto"/>
            </w:tcBorders>
            <w:vAlign w:val="center"/>
          </w:tcPr>
          <w:p w14:paraId="78E0AE35" w14:textId="77777777" w:rsidR="003F3BCC" w:rsidRPr="00E03C2B" w:rsidRDefault="003F3BCC" w:rsidP="006769E3">
            <w:pPr>
              <w:keepNext/>
              <w:rPr>
                <w:b/>
                <w:sz w:val="20"/>
              </w:rPr>
            </w:pPr>
            <w:r w:rsidRPr="00E03C2B">
              <w:rPr>
                <w:b/>
                <w:sz w:val="20"/>
              </w:rPr>
              <w:t>Managerial</w:t>
            </w:r>
            <w:r>
              <w:rPr>
                <w:b/>
                <w:color w:val="000000"/>
                <w:sz w:val="20"/>
                <w:vertAlign w:val="superscript"/>
              </w:rPr>
              <w:t>2</w:t>
            </w:r>
          </w:p>
        </w:tc>
        <w:tc>
          <w:tcPr>
            <w:tcW w:w="702" w:type="pct"/>
            <w:tcBorders>
              <w:top w:val="single" w:sz="4" w:space="0" w:color="auto"/>
            </w:tcBorders>
            <w:vAlign w:val="center"/>
          </w:tcPr>
          <w:p w14:paraId="5E8826C8" w14:textId="77777777" w:rsidR="003F3BCC" w:rsidRPr="00664895" w:rsidRDefault="003F3BCC" w:rsidP="006769E3">
            <w:pPr>
              <w:keepNext/>
              <w:jc w:val="center"/>
              <w:rPr>
                <w:sz w:val="20"/>
              </w:rPr>
            </w:pPr>
            <w:r w:rsidRPr="000C1F76">
              <w:rPr>
                <w:sz w:val="20"/>
              </w:rPr>
              <w:t>$</w:t>
            </w:r>
            <w:r>
              <w:rPr>
                <w:sz w:val="20"/>
              </w:rPr>
              <w:t>50.09</w:t>
            </w:r>
          </w:p>
        </w:tc>
        <w:tc>
          <w:tcPr>
            <w:tcW w:w="687" w:type="pct"/>
            <w:tcBorders>
              <w:top w:val="single" w:sz="4" w:space="0" w:color="auto"/>
            </w:tcBorders>
            <w:vAlign w:val="center"/>
          </w:tcPr>
          <w:p w14:paraId="2844A67E" w14:textId="77777777" w:rsidR="003F3BCC" w:rsidRPr="003D0AF8" w:rsidRDefault="003F3BCC" w:rsidP="006769E3">
            <w:pPr>
              <w:keepNext/>
              <w:jc w:val="center"/>
              <w:rPr>
                <w:sz w:val="20"/>
              </w:rPr>
            </w:pPr>
            <w:r>
              <w:rPr>
                <w:sz w:val="20"/>
              </w:rPr>
              <w:t>$24.63</w:t>
            </w:r>
          </w:p>
        </w:tc>
        <w:tc>
          <w:tcPr>
            <w:tcW w:w="757" w:type="pct"/>
            <w:tcBorders>
              <w:top w:val="single" w:sz="4" w:space="0" w:color="auto"/>
            </w:tcBorders>
            <w:vAlign w:val="center"/>
          </w:tcPr>
          <w:p w14:paraId="6CB3EF76" w14:textId="77777777" w:rsidR="003F3BCC" w:rsidRPr="00664895" w:rsidRDefault="003F3BCC" w:rsidP="006769E3">
            <w:pPr>
              <w:keepNext/>
              <w:jc w:val="center"/>
              <w:rPr>
                <w:sz w:val="20"/>
              </w:rPr>
            </w:pPr>
            <w:r>
              <w:rPr>
                <w:sz w:val="20"/>
              </w:rPr>
              <w:t>49.17%</w:t>
            </w:r>
          </w:p>
        </w:tc>
        <w:tc>
          <w:tcPr>
            <w:tcW w:w="682" w:type="pct"/>
            <w:tcBorders>
              <w:top w:val="single" w:sz="4" w:space="0" w:color="auto"/>
            </w:tcBorders>
            <w:vAlign w:val="center"/>
          </w:tcPr>
          <w:p w14:paraId="4DF66AD7" w14:textId="77777777" w:rsidR="003F3BCC" w:rsidRPr="001D349C" w:rsidRDefault="003F3BCC" w:rsidP="006769E3">
            <w:pPr>
              <w:keepNext/>
              <w:jc w:val="center"/>
              <w:rPr>
                <w:sz w:val="20"/>
              </w:rPr>
            </w:pPr>
            <w:r>
              <w:rPr>
                <w:sz w:val="20"/>
              </w:rPr>
              <w:t>17%</w:t>
            </w:r>
          </w:p>
        </w:tc>
        <w:tc>
          <w:tcPr>
            <w:tcW w:w="773" w:type="pct"/>
            <w:tcBorders>
              <w:top w:val="single" w:sz="4" w:space="0" w:color="auto"/>
            </w:tcBorders>
            <w:vAlign w:val="center"/>
          </w:tcPr>
          <w:p w14:paraId="016DA662" w14:textId="77777777" w:rsidR="003F3BCC" w:rsidRPr="001D349C" w:rsidRDefault="003F3BCC" w:rsidP="006769E3">
            <w:pPr>
              <w:keepNext/>
              <w:jc w:val="center"/>
              <w:rPr>
                <w:sz w:val="20"/>
              </w:rPr>
            </w:pPr>
            <w:r>
              <w:rPr>
                <w:sz w:val="20"/>
              </w:rPr>
              <w:t>1.66</w:t>
            </w:r>
          </w:p>
        </w:tc>
        <w:tc>
          <w:tcPr>
            <w:tcW w:w="770" w:type="pct"/>
            <w:tcBorders>
              <w:top w:val="single" w:sz="4" w:space="0" w:color="auto"/>
              <w:right w:val="single" w:sz="4" w:space="0" w:color="auto"/>
            </w:tcBorders>
            <w:vAlign w:val="center"/>
          </w:tcPr>
          <w:p w14:paraId="66949CC5" w14:textId="77777777" w:rsidR="003F3BCC" w:rsidRPr="00A26DC6" w:rsidRDefault="003F3BCC" w:rsidP="006769E3">
            <w:pPr>
              <w:keepNext/>
              <w:jc w:val="center"/>
              <w:rPr>
                <w:b/>
                <w:sz w:val="20"/>
              </w:rPr>
            </w:pPr>
            <w:r w:rsidRPr="008A6DE0">
              <w:rPr>
                <w:b/>
                <w:sz w:val="20"/>
              </w:rPr>
              <w:t>$</w:t>
            </w:r>
            <w:r>
              <w:rPr>
                <w:b/>
                <w:sz w:val="20"/>
              </w:rPr>
              <w:t>83.15</w:t>
            </w:r>
          </w:p>
        </w:tc>
      </w:tr>
      <w:tr w:rsidR="003F3BCC" w:rsidRPr="003F146A" w14:paraId="16E492E7" w14:textId="77777777" w:rsidTr="006769E3">
        <w:trPr>
          <w:cantSplit/>
          <w:trHeight w:val="170"/>
        </w:trPr>
        <w:tc>
          <w:tcPr>
            <w:tcW w:w="629" w:type="pct"/>
            <w:tcBorders>
              <w:left w:val="single" w:sz="4" w:space="0" w:color="auto"/>
            </w:tcBorders>
            <w:vAlign w:val="center"/>
          </w:tcPr>
          <w:p w14:paraId="6CB14CAB" w14:textId="77777777" w:rsidR="003F3BCC" w:rsidRPr="00E03C2B" w:rsidRDefault="003F3BCC" w:rsidP="006769E3">
            <w:pPr>
              <w:keepNext/>
              <w:rPr>
                <w:b/>
                <w:sz w:val="20"/>
              </w:rPr>
            </w:pPr>
            <w:r w:rsidRPr="00E03C2B">
              <w:rPr>
                <w:b/>
                <w:sz w:val="20"/>
              </w:rPr>
              <w:t>Technical</w:t>
            </w:r>
            <w:r>
              <w:rPr>
                <w:b/>
                <w:sz w:val="20"/>
                <w:vertAlign w:val="superscript"/>
              </w:rPr>
              <w:t>2</w:t>
            </w:r>
          </w:p>
        </w:tc>
        <w:tc>
          <w:tcPr>
            <w:tcW w:w="702" w:type="pct"/>
            <w:vAlign w:val="center"/>
          </w:tcPr>
          <w:p w14:paraId="68D73654" w14:textId="77777777" w:rsidR="003F3BCC" w:rsidRPr="00664895" w:rsidRDefault="003F3BCC" w:rsidP="006769E3">
            <w:pPr>
              <w:keepNext/>
              <w:jc w:val="center"/>
              <w:rPr>
                <w:sz w:val="20"/>
              </w:rPr>
            </w:pPr>
            <w:r>
              <w:rPr>
                <w:sz w:val="20"/>
              </w:rPr>
              <w:t>$45.66</w:t>
            </w:r>
          </w:p>
        </w:tc>
        <w:tc>
          <w:tcPr>
            <w:tcW w:w="687" w:type="pct"/>
            <w:vAlign w:val="center"/>
          </w:tcPr>
          <w:p w14:paraId="234C183F" w14:textId="77777777" w:rsidR="003F3BCC" w:rsidRPr="003D0AF8" w:rsidRDefault="003F3BCC" w:rsidP="006769E3">
            <w:pPr>
              <w:keepNext/>
              <w:jc w:val="center"/>
              <w:rPr>
                <w:sz w:val="20"/>
              </w:rPr>
            </w:pPr>
            <w:r>
              <w:rPr>
                <w:sz w:val="20"/>
              </w:rPr>
              <w:t>$24.98</w:t>
            </w:r>
          </w:p>
        </w:tc>
        <w:tc>
          <w:tcPr>
            <w:tcW w:w="757" w:type="pct"/>
            <w:vAlign w:val="center"/>
          </w:tcPr>
          <w:p w14:paraId="394AF9A9" w14:textId="77777777" w:rsidR="003F3BCC" w:rsidRPr="00664895" w:rsidRDefault="003F3BCC" w:rsidP="006769E3">
            <w:pPr>
              <w:keepNext/>
              <w:jc w:val="center"/>
              <w:rPr>
                <w:sz w:val="20"/>
              </w:rPr>
            </w:pPr>
            <w:r>
              <w:rPr>
                <w:sz w:val="20"/>
              </w:rPr>
              <w:t>54.70%</w:t>
            </w:r>
          </w:p>
        </w:tc>
        <w:tc>
          <w:tcPr>
            <w:tcW w:w="682" w:type="pct"/>
            <w:vAlign w:val="center"/>
          </w:tcPr>
          <w:p w14:paraId="0C589AE5" w14:textId="77777777" w:rsidR="003F3BCC" w:rsidRPr="001D349C" w:rsidRDefault="003F3BCC" w:rsidP="006769E3">
            <w:pPr>
              <w:keepNext/>
              <w:jc w:val="center"/>
              <w:rPr>
                <w:sz w:val="20"/>
              </w:rPr>
            </w:pPr>
            <w:r>
              <w:rPr>
                <w:sz w:val="20"/>
              </w:rPr>
              <w:t>17%</w:t>
            </w:r>
          </w:p>
        </w:tc>
        <w:tc>
          <w:tcPr>
            <w:tcW w:w="773" w:type="pct"/>
            <w:vAlign w:val="center"/>
          </w:tcPr>
          <w:p w14:paraId="3E3AF625" w14:textId="77777777" w:rsidR="003F3BCC" w:rsidRPr="001D349C" w:rsidRDefault="003F3BCC" w:rsidP="006769E3">
            <w:pPr>
              <w:keepNext/>
              <w:jc w:val="center"/>
              <w:rPr>
                <w:sz w:val="20"/>
              </w:rPr>
            </w:pPr>
            <w:r>
              <w:rPr>
                <w:sz w:val="20"/>
              </w:rPr>
              <w:t>1.71</w:t>
            </w:r>
          </w:p>
        </w:tc>
        <w:tc>
          <w:tcPr>
            <w:tcW w:w="770" w:type="pct"/>
            <w:tcBorders>
              <w:right w:val="single" w:sz="4" w:space="0" w:color="auto"/>
            </w:tcBorders>
            <w:vAlign w:val="center"/>
          </w:tcPr>
          <w:p w14:paraId="7701B0B2" w14:textId="77777777" w:rsidR="003F3BCC" w:rsidRPr="00A26DC6" w:rsidRDefault="003F3BCC" w:rsidP="006769E3">
            <w:pPr>
              <w:keepNext/>
              <w:jc w:val="center"/>
              <w:rPr>
                <w:b/>
                <w:sz w:val="20"/>
              </w:rPr>
            </w:pPr>
            <w:r w:rsidRPr="008A6DE0">
              <w:rPr>
                <w:b/>
                <w:sz w:val="20"/>
              </w:rPr>
              <w:t>$</w:t>
            </w:r>
            <w:r>
              <w:rPr>
                <w:b/>
                <w:sz w:val="20"/>
              </w:rPr>
              <w:t>78.08</w:t>
            </w:r>
          </w:p>
        </w:tc>
      </w:tr>
      <w:tr w:rsidR="003F3BCC" w:rsidRPr="003F146A" w14:paraId="1136B2C8" w14:textId="77777777" w:rsidTr="006769E3">
        <w:trPr>
          <w:cantSplit/>
          <w:trHeight w:val="230"/>
        </w:trPr>
        <w:tc>
          <w:tcPr>
            <w:tcW w:w="629" w:type="pct"/>
            <w:tcBorders>
              <w:left w:val="single" w:sz="4" w:space="0" w:color="auto"/>
              <w:bottom w:val="single" w:sz="4" w:space="0" w:color="auto"/>
            </w:tcBorders>
            <w:vAlign w:val="center"/>
          </w:tcPr>
          <w:p w14:paraId="59E473AB" w14:textId="77777777" w:rsidR="003F3BCC" w:rsidRPr="00E03C2B" w:rsidRDefault="003F3BCC" w:rsidP="006769E3">
            <w:pPr>
              <w:keepNext/>
              <w:rPr>
                <w:b/>
                <w:sz w:val="20"/>
              </w:rPr>
            </w:pPr>
            <w:r w:rsidRPr="00E03C2B">
              <w:rPr>
                <w:b/>
                <w:sz w:val="20"/>
              </w:rPr>
              <w:t>Clerical</w:t>
            </w:r>
            <w:r w:rsidRPr="002E7F4E">
              <w:rPr>
                <w:b/>
                <w:sz w:val="20"/>
                <w:vertAlign w:val="superscript"/>
              </w:rPr>
              <w:t>2</w:t>
            </w:r>
          </w:p>
        </w:tc>
        <w:tc>
          <w:tcPr>
            <w:tcW w:w="702" w:type="pct"/>
            <w:tcBorders>
              <w:bottom w:val="single" w:sz="4" w:space="0" w:color="auto"/>
            </w:tcBorders>
            <w:vAlign w:val="center"/>
          </w:tcPr>
          <w:p w14:paraId="2C365977" w14:textId="77777777" w:rsidR="003F3BCC" w:rsidRPr="00664895" w:rsidRDefault="003F3BCC" w:rsidP="006769E3">
            <w:pPr>
              <w:keepNext/>
              <w:jc w:val="center"/>
              <w:rPr>
                <w:sz w:val="20"/>
              </w:rPr>
            </w:pPr>
            <w:r>
              <w:rPr>
                <w:sz w:val="20"/>
              </w:rPr>
              <w:t>$20.29</w:t>
            </w:r>
          </w:p>
        </w:tc>
        <w:tc>
          <w:tcPr>
            <w:tcW w:w="687" w:type="pct"/>
            <w:tcBorders>
              <w:bottom w:val="single" w:sz="4" w:space="0" w:color="auto"/>
            </w:tcBorders>
            <w:vAlign w:val="center"/>
          </w:tcPr>
          <w:p w14:paraId="3C12E4C0" w14:textId="77777777" w:rsidR="003F3BCC" w:rsidRPr="006016DC" w:rsidRDefault="003F3BCC" w:rsidP="006769E3">
            <w:pPr>
              <w:keepNext/>
              <w:jc w:val="center"/>
              <w:rPr>
                <w:sz w:val="20"/>
              </w:rPr>
            </w:pPr>
            <w:r>
              <w:rPr>
                <w:sz w:val="20"/>
              </w:rPr>
              <w:t>$10.52</w:t>
            </w:r>
          </w:p>
        </w:tc>
        <w:tc>
          <w:tcPr>
            <w:tcW w:w="757" w:type="pct"/>
            <w:tcBorders>
              <w:bottom w:val="single" w:sz="4" w:space="0" w:color="auto"/>
            </w:tcBorders>
            <w:vAlign w:val="center"/>
          </w:tcPr>
          <w:p w14:paraId="3BDE6E45" w14:textId="77777777" w:rsidR="003F3BCC" w:rsidRPr="00664895" w:rsidRDefault="003F3BCC" w:rsidP="006769E3">
            <w:pPr>
              <w:keepNext/>
              <w:jc w:val="center"/>
              <w:rPr>
                <w:sz w:val="20"/>
              </w:rPr>
            </w:pPr>
            <w:r>
              <w:rPr>
                <w:sz w:val="20"/>
              </w:rPr>
              <w:t>51.848%</w:t>
            </w:r>
          </w:p>
        </w:tc>
        <w:tc>
          <w:tcPr>
            <w:tcW w:w="682" w:type="pct"/>
            <w:tcBorders>
              <w:bottom w:val="single" w:sz="4" w:space="0" w:color="auto"/>
            </w:tcBorders>
            <w:vAlign w:val="center"/>
          </w:tcPr>
          <w:p w14:paraId="5F3922B5" w14:textId="77777777" w:rsidR="003F3BCC" w:rsidRPr="001D349C" w:rsidRDefault="003F3BCC" w:rsidP="006769E3">
            <w:pPr>
              <w:keepNext/>
              <w:jc w:val="center"/>
              <w:rPr>
                <w:sz w:val="20"/>
              </w:rPr>
            </w:pPr>
            <w:r>
              <w:rPr>
                <w:sz w:val="20"/>
              </w:rPr>
              <w:t>17%</w:t>
            </w:r>
          </w:p>
        </w:tc>
        <w:tc>
          <w:tcPr>
            <w:tcW w:w="773" w:type="pct"/>
            <w:tcBorders>
              <w:bottom w:val="single" w:sz="4" w:space="0" w:color="auto"/>
            </w:tcBorders>
            <w:vAlign w:val="center"/>
          </w:tcPr>
          <w:p w14:paraId="2DF56B32" w14:textId="77777777" w:rsidR="003F3BCC" w:rsidRPr="001D349C" w:rsidRDefault="003F3BCC" w:rsidP="006769E3">
            <w:pPr>
              <w:keepNext/>
              <w:jc w:val="center"/>
              <w:rPr>
                <w:sz w:val="20"/>
              </w:rPr>
            </w:pPr>
            <w:r>
              <w:rPr>
                <w:sz w:val="20"/>
              </w:rPr>
              <w:t>1.69</w:t>
            </w:r>
          </w:p>
        </w:tc>
        <w:tc>
          <w:tcPr>
            <w:tcW w:w="770" w:type="pct"/>
            <w:tcBorders>
              <w:bottom w:val="single" w:sz="4" w:space="0" w:color="auto"/>
              <w:right w:val="single" w:sz="4" w:space="0" w:color="auto"/>
            </w:tcBorders>
            <w:vAlign w:val="center"/>
          </w:tcPr>
          <w:p w14:paraId="3B1E3727" w14:textId="77777777" w:rsidR="003F3BCC" w:rsidRPr="00A26DC6" w:rsidRDefault="003F3BCC" w:rsidP="006769E3">
            <w:pPr>
              <w:keepNext/>
              <w:jc w:val="center"/>
              <w:rPr>
                <w:b/>
                <w:sz w:val="20"/>
              </w:rPr>
            </w:pPr>
            <w:r w:rsidRPr="008A6DE0">
              <w:rPr>
                <w:b/>
                <w:sz w:val="20"/>
              </w:rPr>
              <w:t>$3</w:t>
            </w:r>
            <w:r>
              <w:rPr>
                <w:b/>
                <w:sz w:val="20"/>
              </w:rPr>
              <w:t>4.29</w:t>
            </w:r>
          </w:p>
        </w:tc>
      </w:tr>
      <w:tr w:rsidR="003F3BCC" w:rsidRPr="009D1D57" w14:paraId="12024C68" w14:textId="77777777" w:rsidTr="0067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4"/>
        </w:trPr>
        <w:tc>
          <w:tcPr>
            <w:tcW w:w="5000" w:type="pct"/>
            <w:gridSpan w:val="7"/>
            <w:tcBorders>
              <w:top w:val="single" w:sz="4" w:space="0" w:color="auto"/>
            </w:tcBorders>
          </w:tcPr>
          <w:p w14:paraId="7A754D70" w14:textId="77777777" w:rsidR="003F3BCC" w:rsidRPr="00E03C2B" w:rsidRDefault="003F3BCC" w:rsidP="006769E3">
            <w:pPr>
              <w:keepNext/>
              <w:autoSpaceDE w:val="0"/>
              <w:autoSpaceDN w:val="0"/>
              <w:adjustRightInd w:val="0"/>
              <w:rPr>
                <w:i/>
                <w:iCs/>
                <w:color w:val="000000"/>
                <w:sz w:val="20"/>
              </w:rPr>
            </w:pPr>
            <w:r w:rsidRPr="00303816">
              <w:rPr>
                <w:b/>
                <w:bCs/>
                <w:sz w:val="20"/>
              </w:rPr>
              <w:t>Source</w:t>
            </w:r>
            <w:r>
              <w:rPr>
                <w:b/>
                <w:bCs/>
                <w:sz w:val="20"/>
              </w:rPr>
              <w:t>s</w:t>
            </w:r>
            <w:r w:rsidRPr="00303816">
              <w:rPr>
                <w:b/>
                <w:bCs/>
                <w:sz w:val="20"/>
              </w:rPr>
              <w:t xml:space="preserve">: </w:t>
            </w:r>
            <w:r w:rsidRPr="002E7F4E">
              <w:rPr>
                <w:bCs/>
                <w:sz w:val="20"/>
                <w:vertAlign w:val="superscript"/>
              </w:rPr>
              <w:t>1</w:t>
            </w:r>
            <w:r w:rsidRPr="00DD3597">
              <w:rPr>
                <w:sz w:val="20"/>
                <w:vertAlign w:val="superscript"/>
              </w:rPr>
              <w:t xml:space="preserve"> </w:t>
            </w:r>
            <w:r w:rsidRPr="002E7F4E">
              <w:rPr>
                <w:sz w:val="20"/>
              </w:rPr>
              <w:t>BLS Occupational Employment Statistics (OES) May 201</w:t>
            </w:r>
            <w:r>
              <w:rPr>
                <w:sz w:val="20"/>
              </w:rPr>
              <w:t>6</w:t>
            </w:r>
            <w:r w:rsidRPr="002E7F4E">
              <w:rPr>
                <w:sz w:val="20"/>
              </w:rPr>
              <w:t xml:space="preserve"> National Industry-Specific Occupational Employment and Wage Estimates</w:t>
            </w:r>
            <w:r>
              <w:rPr>
                <w:sz w:val="20"/>
              </w:rPr>
              <w:t xml:space="preserve"> (BLS, 2016b)</w:t>
            </w:r>
            <w:r w:rsidRPr="002E7F4E">
              <w:rPr>
                <w:sz w:val="20"/>
              </w:rPr>
              <w:t xml:space="preserve"> </w:t>
            </w:r>
            <w:r w:rsidRPr="00DD3597">
              <w:rPr>
                <w:sz w:val="20"/>
                <w:vertAlign w:val="superscript"/>
              </w:rPr>
              <w:t>2</w:t>
            </w:r>
            <w:r w:rsidRPr="00CD708E">
              <w:rPr>
                <w:sz w:val="20"/>
              </w:rPr>
              <w:t>Employer Costs for Employee Compensation Supplementary Tables: December 2006-</w:t>
            </w:r>
            <w:r>
              <w:rPr>
                <w:sz w:val="20"/>
              </w:rPr>
              <w:t>December</w:t>
            </w:r>
            <w:r w:rsidRPr="00CD708E">
              <w:rPr>
                <w:sz w:val="20"/>
              </w:rPr>
              <w:t xml:space="preserve"> 201</w:t>
            </w:r>
            <w:r>
              <w:rPr>
                <w:sz w:val="20"/>
              </w:rPr>
              <w:t>6</w:t>
            </w:r>
            <w:r w:rsidRPr="00CD708E">
              <w:rPr>
                <w:sz w:val="20"/>
              </w:rPr>
              <w:t>, US Bureau of Labor Statistics</w:t>
            </w:r>
            <w:r>
              <w:rPr>
                <w:sz w:val="20"/>
              </w:rPr>
              <w:t xml:space="preserve"> (</w:t>
            </w:r>
            <w:r w:rsidRPr="00042873">
              <w:rPr>
                <w:sz w:val="20"/>
              </w:rPr>
              <w:t>BLS, 2016a</w:t>
            </w:r>
            <w:r>
              <w:rPr>
                <w:sz w:val="20"/>
              </w:rPr>
              <w:t>)</w:t>
            </w:r>
          </w:p>
          <w:p w14:paraId="0128B708" w14:textId="77777777" w:rsidR="003F3BCC" w:rsidRPr="00E03C2B" w:rsidRDefault="003F3BCC" w:rsidP="006769E3">
            <w:pPr>
              <w:keepNext/>
              <w:rPr>
                <w:sz w:val="20"/>
              </w:rPr>
            </w:pPr>
            <w:r>
              <w:rPr>
                <w:sz w:val="20"/>
                <w:vertAlign w:val="superscript"/>
              </w:rPr>
              <w:t>3</w:t>
            </w:r>
            <w:r w:rsidRPr="00E03C2B">
              <w:rPr>
                <w:sz w:val="20"/>
              </w:rPr>
              <w:t>An overhead rate of 17</w:t>
            </w:r>
            <w:r>
              <w:rPr>
                <w:sz w:val="20"/>
              </w:rPr>
              <w:t xml:space="preserve"> percent</w:t>
            </w:r>
            <w:r w:rsidRPr="00E03C2B">
              <w:rPr>
                <w:sz w:val="20"/>
              </w:rPr>
              <w:t xml:space="preserve"> was estimated based on industry data gathered for the </w:t>
            </w:r>
            <w:r w:rsidRPr="00E03C2B">
              <w:rPr>
                <w:i/>
                <w:sz w:val="20"/>
              </w:rPr>
              <w:t xml:space="preserve">Revised Economic Analysis for the Amended Inventory Update Rule: </w:t>
            </w:r>
            <w:r w:rsidRPr="00FF5593">
              <w:rPr>
                <w:i/>
                <w:sz w:val="20"/>
              </w:rPr>
              <w:t xml:space="preserve">Final Report </w:t>
            </w:r>
            <w:r w:rsidRPr="00FF5593">
              <w:rPr>
                <w:sz w:val="20"/>
              </w:rPr>
              <w:t xml:space="preserve">(EPA, 2002a) and </w:t>
            </w:r>
            <w:r w:rsidRPr="00FF5593">
              <w:rPr>
                <w:i/>
                <w:sz w:val="20"/>
              </w:rPr>
              <w:t>Wage Rates for Economic Analyses of the Toxics Release Inventory Program</w:t>
            </w:r>
            <w:r w:rsidRPr="00FF5593">
              <w:rPr>
                <w:sz w:val="20"/>
              </w:rPr>
              <w:t>.</w:t>
            </w:r>
            <w:r>
              <w:rPr>
                <w:sz w:val="20"/>
              </w:rPr>
              <w:t xml:space="preserve"> </w:t>
            </w:r>
            <w:r w:rsidRPr="00042873">
              <w:rPr>
                <w:sz w:val="20"/>
              </w:rPr>
              <w:t>(EPA, 2002b</w:t>
            </w:r>
            <w:r>
              <w:rPr>
                <w:sz w:val="20"/>
              </w:rPr>
              <w:t>)</w:t>
            </w:r>
          </w:p>
        </w:tc>
      </w:tr>
    </w:tbl>
    <w:p w14:paraId="74F9F37E" w14:textId="39AF3ABB" w:rsidR="006B3D9F" w:rsidRDefault="006B3D9F">
      <w:pPr>
        <w:rPr>
          <w:b/>
          <w:color w:val="000000"/>
        </w:rPr>
      </w:pPr>
    </w:p>
    <w:p w14:paraId="741C24D6" w14:textId="1D06FDB8" w:rsidR="00386BED" w:rsidRDefault="00A5395D" w:rsidP="00F66476">
      <w:pPr>
        <w:widowControl w:val="0"/>
        <w:ind w:firstLine="720"/>
        <w:rPr>
          <w:b/>
          <w:color w:val="000000"/>
        </w:rPr>
      </w:pPr>
      <w:r>
        <w:rPr>
          <w:b/>
          <w:color w:val="000000"/>
        </w:rPr>
        <w:t>6(d)</w:t>
      </w:r>
      <w:r w:rsidR="00F66476">
        <w:rPr>
          <w:b/>
          <w:color w:val="000000"/>
        </w:rPr>
        <w:tab/>
      </w:r>
      <w:r w:rsidR="00A27323">
        <w:rPr>
          <w:b/>
          <w:color w:val="000000"/>
        </w:rPr>
        <w:t>Estimating</w:t>
      </w:r>
      <w:r w:rsidR="003F63AD">
        <w:rPr>
          <w:b/>
          <w:color w:val="000000"/>
        </w:rPr>
        <w:t xml:space="preserve"> </w:t>
      </w:r>
      <w:r w:rsidR="00FF3FE7">
        <w:rPr>
          <w:b/>
          <w:color w:val="000000"/>
        </w:rPr>
        <w:t>Reporting</w:t>
      </w:r>
      <w:r w:rsidR="003F63AD">
        <w:rPr>
          <w:b/>
          <w:color w:val="000000"/>
        </w:rPr>
        <w:t xml:space="preserve"> Burden and Costs</w:t>
      </w:r>
    </w:p>
    <w:p w14:paraId="4D2B55ED" w14:textId="77777777" w:rsidR="00897F95" w:rsidRDefault="00897F95" w:rsidP="00897F95">
      <w:pPr>
        <w:widowControl w:val="0"/>
        <w:rPr>
          <w:b/>
          <w:color w:val="000000"/>
        </w:rPr>
      </w:pPr>
    </w:p>
    <w:p w14:paraId="128C39D8" w14:textId="2893D7A8" w:rsidR="00897F95" w:rsidRDefault="00897F95" w:rsidP="00897F95">
      <w:pPr>
        <w:widowControl w:val="0"/>
        <w:rPr>
          <w:b/>
          <w:color w:val="000000"/>
        </w:rPr>
      </w:pPr>
      <w:r>
        <w:rPr>
          <w:b/>
          <w:color w:val="000000"/>
        </w:rPr>
        <w:t>Table 6. Annual Respondent Cost and Burden Hour Estimates</w:t>
      </w:r>
    </w:p>
    <w:tbl>
      <w:tblPr>
        <w:tblStyle w:val="TableGrid"/>
        <w:tblW w:w="10016" w:type="dxa"/>
        <w:tblInd w:w="-23" w:type="dxa"/>
        <w:tblBorders>
          <w:top w:val="double" w:sz="6" w:space="0" w:color="000000"/>
          <w:left w:val="double" w:sz="6" w:space="0" w:color="000000"/>
          <w:bottom w:val="double" w:sz="6" w:space="0" w:color="000000"/>
          <w:right w:val="double" w:sz="6" w:space="0" w:color="000000"/>
        </w:tblBorders>
        <w:tblLook w:val="04A0" w:firstRow="1" w:lastRow="0" w:firstColumn="1" w:lastColumn="0" w:noHBand="0" w:noVBand="1"/>
      </w:tblPr>
      <w:tblGrid>
        <w:gridCol w:w="1890"/>
        <w:gridCol w:w="1361"/>
        <w:gridCol w:w="1017"/>
        <w:gridCol w:w="1516"/>
        <w:gridCol w:w="1024"/>
        <w:gridCol w:w="1094"/>
        <w:gridCol w:w="934"/>
        <w:gridCol w:w="1180"/>
      </w:tblGrid>
      <w:tr w:rsidR="00897F95" w14:paraId="0E1B19C6" w14:textId="77777777" w:rsidTr="0027513B">
        <w:tc>
          <w:tcPr>
            <w:tcW w:w="1890" w:type="dxa"/>
            <w:vAlign w:val="center"/>
          </w:tcPr>
          <w:p w14:paraId="1D1A7E2B" w14:textId="705EBE0A" w:rsidR="00897F95" w:rsidRPr="00897F95" w:rsidRDefault="00897F95" w:rsidP="00897F95">
            <w:pPr>
              <w:widowControl w:val="0"/>
              <w:jc w:val="center"/>
              <w:rPr>
                <w:b/>
                <w:color w:val="000000"/>
                <w:sz w:val="20"/>
              </w:rPr>
            </w:pPr>
            <w:r>
              <w:rPr>
                <w:b/>
                <w:color w:val="000000"/>
                <w:sz w:val="20"/>
              </w:rPr>
              <w:t>Information Collections</w:t>
            </w:r>
          </w:p>
        </w:tc>
        <w:tc>
          <w:tcPr>
            <w:tcW w:w="1361" w:type="dxa"/>
            <w:vAlign w:val="center"/>
          </w:tcPr>
          <w:p w14:paraId="1C66FE48" w14:textId="7DAD7A5E" w:rsidR="00897F95" w:rsidRPr="00897F95" w:rsidRDefault="00897F95" w:rsidP="00897F95">
            <w:pPr>
              <w:widowControl w:val="0"/>
              <w:jc w:val="center"/>
              <w:rPr>
                <w:b/>
                <w:color w:val="000000"/>
                <w:sz w:val="20"/>
              </w:rPr>
            </w:pPr>
            <w:r>
              <w:rPr>
                <w:b/>
                <w:color w:val="000000"/>
                <w:sz w:val="20"/>
              </w:rPr>
              <w:t>Response Activities</w:t>
            </w:r>
          </w:p>
        </w:tc>
        <w:tc>
          <w:tcPr>
            <w:tcW w:w="1017" w:type="dxa"/>
            <w:vAlign w:val="center"/>
          </w:tcPr>
          <w:p w14:paraId="3635CEA6" w14:textId="033C685B" w:rsidR="00897F95" w:rsidRPr="00897F95" w:rsidRDefault="00897F95" w:rsidP="00897F95">
            <w:pPr>
              <w:widowControl w:val="0"/>
              <w:jc w:val="center"/>
              <w:rPr>
                <w:b/>
                <w:color w:val="000000"/>
                <w:sz w:val="20"/>
              </w:rPr>
            </w:pPr>
            <w:r>
              <w:rPr>
                <w:b/>
                <w:color w:val="000000"/>
                <w:sz w:val="20"/>
              </w:rPr>
              <w:t>Burden per Response (Hours)</w:t>
            </w:r>
          </w:p>
        </w:tc>
        <w:tc>
          <w:tcPr>
            <w:tcW w:w="1516" w:type="dxa"/>
            <w:vAlign w:val="center"/>
          </w:tcPr>
          <w:p w14:paraId="49457C83" w14:textId="3F7C1671" w:rsidR="00897F95" w:rsidRPr="00897F95" w:rsidRDefault="00897F95" w:rsidP="00897F95">
            <w:pPr>
              <w:widowControl w:val="0"/>
              <w:jc w:val="center"/>
              <w:rPr>
                <w:b/>
                <w:color w:val="000000"/>
                <w:sz w:val="20"/>
              </w:rPr>
            </w:pPr>
            <w:r>
              <w:rPr>
                <w:b/>
                <w:color w:val="000000"/>
                <w:sz w:val="20"/>
              </w:rPr>
              <w:t>Labor Category</w:t>
            </w:r>
          </w:p>
        </w:tc>
        <w:tc>
          <w:tcPr>
            <w:tcW w:w="1024" w:type="dxa"/>
            <w:vAlign w:val="center"/>
          </w:tcPr>
          <w:p w14:paraId="09C68F00" w14:textId="1675CD6A" w:rsidR="00897F95" w:rsidRPr="00897F95" w:rsidRDefault="00897F95" w:rsidP="00897F95">
            <w:pPr>
              <w:widowControl w:val="0"/>
              <w:jc w:val="center"/>
              <w:rPr>
                <w:b/>
                <w:color w:val="000000"/>
                <w:sz w:val="20"/>
              </w:rPr>
            </w:pPr>
            <w:r>
              <w:rPr>
                <w:b/>
                <w:color w:val="000000"/>
                <w:sz w:val="20"/>
              </w:rPr>
              <w:t>Cost per Response</w:t>
            </w:r>
          </w:p>
        </w:tc>
        <w:tc>
          <w:tcPr>
            <w:tcW w:w="1094" w:type="dxa"/>
            <w:vAlign w:val="center"/>
          </w:tcPr>
          <w:p w14:paraId="2168AB93" w14:textId="40561640" w:rsidR="00897F95" w:rsidRPr="00897F95" w:rsidRDefault="00897F95" w:rsidP="00897F95">
            <w:pPr>
              <w:widowControl w:val="0"/>
              <w:jc w:val="center"/>
              <w:rPr>
                <w:b/>
                <w:color w:val="000000"/>
                <w:sz w:val="20"/>
              </w:rPr>
            </w:pPr>
            <w:r>
              <w:rPr>
                <w:b/>
                <w:color w:val="000000"/>
                <w:sz w:val="20"/>
              </w:rPr>
              <w:t>Number of Responses</w:t>
            </w:r>
          </w:p>
        </w:tc>
        <w:tc>
          <w:tcPr>
            <w:tcW w:w="934" w:type="dxa"/>
            <w:vAlign w:val="center"/>
          </w:tcPr>
          <w:p w14:paraId="478ADF33" w14:textId="41A07EAD" w:rsidR="00897F95" w:rsidRPr="00897F95" w:rsidRDefault="00897F95" w:rsidP="00897F95">
            <w:pPr>
              <w:widowControl w:val="0"/>
              <w:jc w:val="center"/>
              <w:rPr>
                <w:b/>
                <w:color w:val="000000"/>
                <w:sz w:val="20"/>
              </w:rPr>
            </w:pPr>
            <w:r>
              <w:rPr>
                <w:b/>
                <w:color w:val="000000"/>
                <w:sz w:val="20"/>
              </w:rPr>
              <w:t>Total Burden (Hours)</w:t>
            </w:r>
          </w:p>
        </w:tc>
        <w:tc>
          <w:tcPr>
            <w:tcW w:w="1180" w:type="dxa"/>
            <w:vAlign w:val="center"/>
          </w:tcPr>
          <w:p w14:paraId="35A1753B" w14:textId="45287C21" w:rsidR="00897F95" w:rsidRPr="00897F95" w:rsidRDefault="00897F95" w:rsidP="00897F95">
            <w:pPr>
              <w:widowControl w:val="0"/>
              <w:jc w:val="center"/>
              <w:rPr>
                <w:b/>
                <w:color w:val="000000"/>
                <w:sz w:val="20"/>
              </w:rPr>
            </w:pPr>
            <w:r>
              <w:rPr>
                <w:b/>
                <w:color w:val="000000"/>
                <w:sz w:val="20"/>
              </w:rPr>
              <w:t>Total Cost</w:t>
            </w:r>
          </w:p>
        </w:tc>
      </w:tr>
      <w:tr w:rsidR="002B27FC" w14:paraId="531FF8DA" w14:textId="77777777" w:rsidTr="0027513B">
        <w:trPr>
          <w:trHeight w:val="448"/>
        </w:trPr>
        <w:tc>
          <w:tcPr>
            <w:tcW w:w="1890" w:type="dxa"/>
            <w:vMerge w:val="restart"/>
            <w:vAlign w:val="center"/>
          </w:tcPr>
          <w:p w14:paraId="40B88364" w14:textId="1F8F7A4C" w:rsidR="002B27FC" w:rsidRPr="006A5D43" w:rsidRDefault="002B27FC" w:rsidP="002B27FC">
            <w:pPr>
              <w:widowControl w:val="0"/>
              <w:rPr>
                <w:color w:val="000000"/>
                <w:sz w:val="20"/>
              </w:rPr>
            </w:pPr>
            <w:r>
              <w:rPr>
                <w:color w:val="000000"/>
                <w:sz w:val="20"/>
              </w:rPr>
              <w:t>Compliance determination and data search</w:t>
            </w:r>
          </w:p>
        </w:tc>
        <w:tc>
          <w:tcPr>
            <w:tcW w:w="1361" w:type="dxa"/>
            <w:vAlign w:val="center"/>
          </w:tcPr>
          <w:p w14:paraId="01957198" w14:textId="11E91206" w:rsidR="002B27FC" w:rsidRPr="006A5D43" w:rsidRDefault="00057701" w:rsidP="002B27FC">
            <w:pPr>
              <w:widowControl w:val="0"/>
              <w:rPr>
                <w:color w:val="000000"/>
                <w:sz w:val="20"/>
              </w:rPr>
            </w:pPr>
            <w:r>
              <w:rPr>
                <w:color w:val="000000"/>
                <w:sz w:val="20"/>
              </w:rPr>
              <w:t>Rule review</w:t>
            </w:r>
          </w:p>
        </w:tc>
        <w:tc>
          <w:tcPr>
            <w:tcW w:w="1017" w:type="dxa"/>
            <w:vAlign w:val="center"/>
          </w:tcPr>
          <w:p w14:paraId="5D3374A9" w14:textId="0B32AA94" w:rsidR="002B27FC" w:rsidRPr="006A5D43" w:rsidRDefault="002B27FC" w:rsidP="002B27FC">
            <w:pPr>
              <w:widowControl w:val="0"/>
              <w:jc w:val="center"/>
              <w:rPr>
                <w:color w:val="000000"/>
                <w:sz w:val="20"/>
              </w:rPr>
            </w:pPr>
            <w:r>
              <w:rPr>
                <w:color w:val="000000"/>
                <w:sz w:val="20"/>
              </w:rPr>
              <w:t>2</w:t>
            </w:r>
          </w:p>
        </w:tc>
        <w:tc>
          <w:tcPr>
            <w:tcW w:w="1516" w:type="dxa"/>
            <w:vAlign w:val="center"/>
          </w:tcPr>
          <w:p w14:paraId="1A0F6A30" w14:textId="31C6A6B0" w:rsidR="002B27FC" w:rsidRPr="006A5D43" w:rsidRDefault="002B27FC" w:rsidP="002B27FC">
            <w:pPr>
              <w:widowControl w:val="0"/>
              <w:jc w:val="center"/>
              <w:rPr>
                <w:color w:val="000000"/>
                <w:sz w:val="20"/>
              </w:rPr>
            </w:pPr>
            <w:r>
              <w:rPr>
                <w:color w:val="000000"/>
                <w:sz w:val="20"/>
              </w:rPr>
              <w:t>Managerial ($83.5)</w:t>
            </w:r>
          </w:p>
        </w:tc>
        <w:tc>
          <w:tcPr>
            <w:tcW w:w="1024" w:type="dxa"/>
            <w:vMerge w:val="restart"/>
            <w:vAlign w:val="center"/>
          </w:tcPr>
          <w:p w14:paraId="5C697CDE" w14:textId="2CF58D3F" w:rsidR="002B27FC" w:rsidRPr="006A5D43" w:rsidRDefault="002B27FC" w:rsidP="002B27FC">
            <w:pPr>
              <w:widowControl w:val="0"/>
              <w:jc w:val="center"/>
              <w:rPr>
                <w:color w:val="000000"/>
                <w:sz w:val="20"/>
              </w:rPr>
            </w:pPr>
            <w:r>
              <w:rPr>
                <w:color w:val="000000"/>
                <w:sz w:val="20"/>
              </w:rPr>
              <w:t>$769</w:t>
            </w:r>
          </w:p>
        </w:tc>
        <w:tc>
          <w:tcPr>
            <w:tcW w:w="1094" w:type="dxa"/>
            <w:vMerge w:val="restart"/>
            <w:vAlign w:val="center"/>
          </w:tcPr>
          <w:p w14:paraId="55E82AC9" w14:textId="181D10D6" w:rsidR="002B27FC" w:rsidRPr="006A5D43" w:rsidRDefault="002B27FC" w:rsidP="002B27FC">
            <w:pPr>
              <w:widowControl w:val="0"/>
              <w:jc w:val="center"/>
              <w:rPr>
                <w:color w:val="000000"/>
                <w:sz w:val="20"/>
              </w:rPr>
            </w:pPr>
            <w:r>
              <w:rPr>
                <w:color w:val="000000"/>
                <w:sz w:val="20"/>
              </w:rPr>
              <w:t>21</w:t>
            </w:r>
          </w:p>
        </w:tc>
        <w:tc>
          <w:tcPr>
            <w:tcW w:w="934" w:type="dxa"/>
            <w:vMerge w:val="restart"/>
            <w:vAlign w:val="center"/>
          </w:tcPr>
          <w:p w14:paraId="46BE4E91" w14:textId="2E1B9525" w:rsidR="002B27FC" w:rsidRPr="00D354C5" w:rsidRDefault="002B27FC" w:rsidP="002B27FC">
            <w:pPr>
              <w:widowControl w:val="0"/>
              <w:jc w:val="center"/>
              <w:rPr>
                <w:color w:val="000000"/>
                <w:sz w:val="20"/>
              </w:rPr>
            </w:pPr>
            <w:r w:rsidRPr="00D354C5">
              <w:rPr>
                <w:color w:val="000000"/>
                <w:sz w:val="20"/>
              </w:rPr>
              <w:t>200</w:t>
            </w:r>
          </w:p>
        </w:tc>
        <w:tc>
          <w:tcPr>
            <w:tcW w:w="1180" w:type="dxa"/>
            <w:vMerge w:val="restart"/>
            <w:vAlign w:val="center"/>
          </w:tcPr>
          <w:p w14:paraId="0DD8D996" w14:textId="6528A3F3" w:rsidR="002B27FC" w:rsidRPr="00D354C5" w:rsidRDefault="00D354C5" w:rsidP="002B27FC">
            <w:pPr>
              <w:widowControl w:val="0"/>
              <w:jc w:val="center"/>
              <w:rPr>
                <w:color w:val="000000"/>
                <w:sz w:val="20"/>
              </w:rPr>
            </w:pPr>
            <w:r w:rsidRPr="00D354C5">
              <w:rPr>
                <w:color w:val="000000"/>
                <w:sz w:val="20"/>
              </w:rPr>
              <w:t>$16,149</w:t>
            </w:r>
          </w:p>
        </w:tc>
      </w:tr>
      <w:tr w:rsidR="002B27FC" w14:paraId="7B36B048" w14:textId="77777777" w:rsidTr="0027513B">
        <w:trPr>
          <w:trHeight w:val="447"/>
        </w:trPr>
        <w:tc>
          <w:tcPr>
            <w:tcW w:w="1890" w:type="dxa"/>
            <w:vMerge/>
            <w:vAlign w:val="center"/>
          </w:tcPr>
          <w:p w14:paraId="7ED5A087" w14:textId="77777777" w:rsidR="002B27FC" w:rsidRDefault="002B27FC" w:rsidP="002B27FC">
            <w:pPr>
              <w:widowControl w:val="0"/>
              <w:rPr>
                <w:color w:val="000000"/>
                <w:sz w:val="20"/>
              </w:rPr>
            </w:pPr>
          </w:p>
        </w:tc>
        <w:tc>
          <w:tcPr>
            <w:tcW w:w="1361" w:type="dxa"/>
            <w:vAlign w:val="center"/>
          </w:tcPr>
          <w:p w14:paraId="647C4930" w14:textId="7C1CE8EC" w:rsidR="002B27FC" w:rsidRPr="006A5D43" w:rsidRDefault="002B27FC" w:rsidP="002B27FC">
            <w:pPr>
              <w:widowControl w:val="0"/>
              <w:rPr>
                <w:color w:val="000000"/>
                <w:sz w:val="20"/>
              </w:rPr>
            </w:pPr>
            <w:r>
              <w:rPr>
                <w:color w:val="000000"/>
                <w:sz w:val="20"/>
              </w:rPr>
              <w:t xml:space="preserve">Site Identification </w:t>
            </w:r>
          </w:p>
        </w:tc>
        <w:tc>
          <w:tcPr>
            <w:tcW w:w="1017" w:type="dxa"/>
            <w:vAlign w:val="center"/>
          </w:tcPr>
          <w:p w14:paraId="0F1090E1" w14:textId="237CC2C0" w:rsidR="002B27FC" w:rsidRDefault="002B27FC" w:rsidP="002B27FC">
            <w:pPr>
              <w:widowControl w:val="0"/>
              <w:jc w:val="center"/>
              <w:rPr>
                <w:color w:val="000000"/>
                <w:sz w:val="20"/>
              </w:rPr>
            </w:pPr>
            <w:r>
              <w:rPr>
                <w:color w:val="000000"/>
                <w:sz w:val="20"/>
              </w:rPr>
              <w:t>3</w:t>
            </w:r>
          </w:p>
        </w:tc>
        <w:tc>
          <w:tcPr>
            <w:tcW w:w="1516" w:type="dxa"/>
            <w:vAlign w:val="center"/>
          </w:tcPr>
          <w:p w14:paraId="0992C46F" w14:textId="4112719F" w:rsidR="002B27FC" w:rsidRDefault="002B27FC" w:rsidP="002B27FC">
            <w:pPr>
              <w:widowControl w:val="0"/>
              <w:jc w:val="center"/>
              <w:rPr>
                <w:color w:val="000000"/>
                <w:sz w:val="20"/>
              </w:rPr>
            </w:pPr>
            <w:r>
              <w:rPr>
                <w:color w:val="000000"/>
                <w:sz w:val="20"/>
              </w:rPr>
              <w:t>Managerial ($83.5)</w:t>
            </w:r>
          </w:p>
        </w:tc>
        <w:tc>
          <w:tcPr>
            <w:tcW w:w="1024" w:type="dxa"/>
            <w:vMerge/>
            <w:vAlign w:val="center"/>
          </w:tcPr>
          <w:p w14:paraId="5E868EBE" w14:textId="77777777" w:rsidR="002B27FC" w:rsidRDefault="002B27FC" w:rsidP="002B27FC">
            <w:pPr>
              <w:widowControl w:val="0"/>
              <w:jc w:val="center"/>
              <w:rPr>
                <w:color w:val="000000"/>
                <w:sz w:val="20"/>
              </w:rPr>
            </w:pPr>
          </w:p>
        </w:tc>
        <w:tc>
          <w:tcPr>
            <w:tcW w:w="1094" w:type="dxa"/>
            <w:vMerge/>
            <w:vAlign w:val="center"/>
          </w:tcPr>
          <w:p w14:paraId="6B1F069B" w14:textId="77777777" w:rsidR="002B27FC" w:rsidRDefault="002B27FC" w:rsidP="002B27FC">
            <w:pPr>
              <w:widowControl w:val="0"/>
              <w:jc w:val="center"/>
              <w:rPr>
                <w:color w:val="000000"/>
                <w:sz w:val="20"/>
              </w:rPr>
            </w:pPr>
          </w:p>
        </w:tc>
        <w:tc>
          <w:tcPr>
            <w:tcW w:w="934" w:type="dxa"/>
            <w:vMerge/>
            <w:vAlign w:val="center"/>
          </w:tcPr>
          <w:p w14:paraId="204D649E" w14:textId="77777777" w:rsidR="002B27FC" w:rsidRPr="00D354C5" w:rsidRDefault="002B27FC" w:rsidP="002B27FC">
            <w:pPr>
              <w:widowControl w:val="0"/>
              <w:jc w:val="center"/>
              <w:rPr>
                <w:color w:val="000000"/>
                <w:sz w:val="20"/>
              </w:rPr>
            </w:pPr>
          </w:p>
        </w:tc>
        <w:tc>
          <w:tcPr>
            <w:tcW w:w="1180" w:type="dxa"/>
            <w:vMerge/>
            <w:vAlign w:val="center"/>
          </w:tcPr>
          <w:p w14:paraId="5419C210" w14:textId="77777777" w:rsidR="002B27FC" w:rsidRPr="00D354C5" w:rsidRDefault="002B27FC" w:rsidP="002B27FC">
            <w:pPr>
              <w:widowControl w:val="0"/>
              <w:jc w:val="center"/>
              <w:rPr>
                <w:color w:val="000000"/>
                <w:sz w:val="20"/>
              </w:rPr>
            </w:pPr>
          </w:p>
        </w:tc>
      </w:tr>
      <w:tr w:rsidR="002B27FC" w14:paraId="0050B8E0" w14:textId="77777777" w:rsidTr="0027513B">
        <w:trPr>
          <w:trHeight w:val="447"/>
        </w:trPr>
        <w:tc>
          <w:tcPr>
            <w:tcW w:w="1890" w:type="dxa"/>
            <w:vMerge/>
            <w:vAlign w:val="center"/>
          </w:tcPr>
          <w:p w14:paraId="7C15BD81" w14:textId="77777777" w:rsidR="002B27FC" w:rsidRDefault="002B27FC" w:rsidP="002B27FC">
            <w:pPr>
              <w:widowControl w:val="0"/>
              <w:rPr>
                <w:color w:val="000000"/>
                <w:sz w:val="20"/>
              </w:rPr>
            </w:pPr>
          </w:p>
        </w:tc>
        <w:tc>
          <w:tcPr>
            <w:tcW w:w="1361" w:type="dxa"/>
            <w:vAlign w:val="center"/>
          </w:tcPr>
          <w:p w14:paraId="6913E7BC" w14:textId="65623566" w:rsidR="002B27FC" w:rsidRPr="006A5D43" w:rsidRDefault="002B27FC" w:rsidP="002B27FC">
            <w:pPr>
              <w:widowControl w:val="0"/>
              <w:rPr>
                <w:color w:val="000000"/>
                <w:sz w:val="20"/>
              </w:rPr>
            </w:pPr>
            <w:r>
              <w:rPr>
                <w:color w:val="000000"/>
                <w:sz w:val="20"/>
              </w:rPr>
              <w:t>Site File Search</w:t>
            </w:r>
          </w:p>
        </w:tc>
        <w:tc>
          <w:tcPr>
            <w:tcW w:w="1017" w:type="dxa"/>
            <w:vAlign w:val="center"/>
          </w:tcPr>
          <w:p w14:paraId="3BAE0A76" w14:textId="090E6A3B" w:rsidR="002B27FC" w:rsidRDefault="002B27FC" w:rsidP="002B27FC">
            <w:pPr>
              <w:widowControl w:val="0"/>
              <w:jc w:val="center"/>
              <w:rPr>
                <w:color w:val="000000"/>
                <w:sz w:val="20"/>
              </w:rPr>
            </w:pPr>
            <w:r>
              <w:rPr>
                <w:color w:val="000000"/>
                <w:sz w:val="20"/>
              </w:rPr>
              <w:t>4.5</w:t>
            </w:r>
          </w:p>
        </w:tc>
        <w:tc>
          <w:tcPr>
            <w:tcW w:w="1516" w:type="dxa"/>
            <w:vAlign w:val="center"/>
          </w:tcPr>
          <w:p w14:paraId="1ED431AD" w14:textId="4D6CFE1E" w:rsidR="002B27FC" w:rsidRDefault="002B27FC" w:rsidP="002B27FC">
            <w:pPr>
              <w:widowControl w:val="0"/>
              <w:jc w:val="center"/>
              <w:rPr>
                <w:color w:val="000000"/>
                <w:sz w:val="20"/>
              </w:rPr>
            </w:pPr>
            <w:r>
              <w:rPr>
                <w:color w:val="000000"/>
                <w:sz w:val="20"/>
              </w:rPr>
              <w:t>Technical ($78.08)</w:t>
            </w:r>
          </w:p>
        </w:tc>
        <w:tc>
          <w:tcPr>
            <w:tcW w:w="1024" w:type="dxa"/>
            <w:vMerge/>
            <w:vAlign w:val="center"/>
          </w:tcPr>
          <w:p w14:paraId="4D828766" w14:textId="77777777" w:rsidR="002B27FC" w:rsidRDefault="002B27FC" w:rsidP="002B27FC">
            <w:pPr>
              <w:widowControl w:val="0"/>
              <w:jc w:val="center"/>
              <w:rPr>
                <w:color w:val="000000"/>
                <w:sz w:val="20"/>
              </w:rPr>
            </w:pPr>
          </w:p>
        </w:tc>
        <w:tc>
          <w:tcPr>
            <w:tcW w:w="1094" w:type="dxa"/>
            <w:vMerge/>
            <w:vAlign w:val="center"/>
          </w:tcPr>
          <w:p w14:paraId="23912DD2" w14:textId="77777777" w:rsidR="002B27FC" w:rsidRDefault="002B27FC" w:rsidP="002B27FC">
            <w:pPr>
              <w:widowControl w:val="0"/>
              <w:jc w:val="center"/>
              <w:rPr>
                <w:color w:val="000000"/>
                <w:sz w:val="20"/>
              </w:rPr>
            </w:pPr>
          </w:p>
        </w:tc>
        <w:tc>
          <w:tcPr>
            <w:tcW w:w="934" w:type="dxa"/>
            <w:vMerge/>
            <w:vAlign w:val="center"/>
          </w:tcPr>
          <w:p w14:paraId="13979BFF" w14:textId="77777777" w:rsidR="002B27FC" w:rsidRPr="00D354C5" w:rsidRDefault="002B27FC" w:rsidP="002B27FC">
            <w:pPr>
              <w:widowControl w:val="0"/>
              <w:jc w:val="center"/>
              <w:rPr>
                <w:color w:val="000000"/>
                <w:sz w:val="20"/>
              </w:rPr>
            </w:pPr>
          </w:p>
        </w:tc>
        <w:tc>
          <w:tcPr>
            <w:tcW w:w="1180" w:type="dxa"/>
            <w:vMerge/>
            <w:vAlign w:val="center"/>
          </w:tcPr>
          <w:p w14:paraId="3A483CC9" w14:textId="77777777" w:rsidR="002B27FC" w:rsidRPr="00D354C5" w:rsidRDefault="002B27FC" w:rsidP="002B27FC">
            <w:pPr>
              <w:widowControl w:val="0"/>
              <w:jc w:val="center"/>
              <w:rPr>
                <w:color w:val="000000"/>
                <w:sz w:val="20"/>
              </w:rPr>
            </w:pPr>
          </w:p>
        </w:tc>
      </w:tr>
      <w:tr w:rsidR="002B27FC" w14:paraId="738E83CA" w14:textId="77777777" w:rsidTr="0027513B">
        <w:trPr>
          <w:trHeight w:val="530"/>
        </w:trPr>
        <w:tc>
          <w:tcPr>
            <w:tcW w:w="1890" w:type="dxa"/>
            <w:vMerge w:val="restart"/>
            <w:vAlign w:val="center"/>
          </w:tcPr>
          <w:p w14:paraId="0C9AA73A" w14:textId="4871DD65" w:rsidR="002B27FC" w:rsidRPr="006A5D43" w:rsidRDefault="002B27FC" w:rsidP="002B27FC">
            <w:pPr>
              <w:widowControl w:val="0"/>
              <w:rPr>
                <w:color w:val="000000"/>
                <w:sz w:val="20"/>
              </w:rPr>
            </w:pPr>
            <w:r>
              <w:rPr>
                <w:color w:val="000000"/>
                <w:sz w:val="20"/>
              </w:rPr>
              <w:t xml:space="preserve">Submission of health and safety studies during the reporting period and CBI Substantiation </w:t>
            </w:r>
          </w:p>
        </w:tc>
        <w:tc>
          <w:tcPr>
            <w:tcW w:w="1361" w:type="dxa"/>
            <w:vAlign w:val="center"/>
          </w:tcPr>
          <w:p w14:paraId="240E225B" w14:textId="41CBE068" w:rsidR="002B27FC" w:rsidRPr="006A5D43" w:rsidRDefault="002B27FC" w:rsidP="002B27FC">
            <w:pPr>
              <w:widowControl w:val="0"/>
              <w:rPr>
                <w:color w:val="000000"/>
                <w:sz w:val="20"/>
              </w:rPr>
            </w:pPr>
            <w:r w:rsidRPr="006A5D43">
              <w:rPr>
                <w:color w:val="000000"/>
                <w:sz w:val="20"/>
              </w:rPr>
              <w:t>Robust summaries</w:t>
            </w:r>
          </w:p>
        </w:tc>
        <w:tc>
          <w:tcPr>
            <w:tcW w:w="1017" w:type="dxa"/>
            <w:vAlign w:val="center"/>
          </w:tcPr>
          <w:p w14:paraId="4D48BF12" w14:textId="456CC5F4" w:rsidR="002B27FC" w:rsidRPr="006A5D43" w:rsidRDefault="002B27FC" w:rsidP="002B27FC">
            <w:pPr>
              <w:widowControl w:val="0"/>
              <w:jc w:val="center"/>
              <w:rPr>
                <w:color w:val="000000"/>
                <w:sz w:val="20"/>
              </w:rPr>
            </w:pPr>
            <w:r>
              <w:rPr>
                <w:color w:val="000000"/>
                <w:sz w:val="20"/>
              </w:rPr>
              <w:t>12</w:t>
            </w:r>
          </w:p>
        </w:tc>
        <w:tc>
          <w:tcPr>
            <w:tcW w:w="1516" w:type="dxa"/>
            <w:vAlign w:val="center"/>
          </w:tcPr>
          <w:p w14:paraId="7AD6F059" w14:textId="78F3091D" w:rsidR="002B27FC" w:rsidRPr="006A5D43" w:rsidRDefault="002B27FC" w:rsidP="00057701">
            <w:pPr>
              <w:widowControl w:val="0"/>
              <w:jc w:val="center"/>
              <w:rPr>
                <w:color w:val="000000"/>
                <w:sz w:val="20"/>
              </w:rPr>
            </w:pPr>
            <w:r w:rsidRPr="006A5D43">
              <w:rPr>
                <w:color w:val="000000"/>
                <w:sz w:val="20"/>
              </w:rPr>
              <w:t>Technical</w:t>
            </w:r>
            <w:r>
              <w:rPr>
                <w:color w:val="000000"/>
                <w:sz w:val="20"/>
              </w:rPr>
              <w:t xml:space="preserve"> ($78.08)</w:t>
            </w:r>
          </w:p>
        </w:tc>
        <w:tc>
          <w:tcPr>
            <w:tcW w:w="1024" w:type="dxa"/>
            <w:vMerge w:val="restart"/>
            <w:vAlign w:val="center"/>
          </w:tcPr>
          <w:p w14:paraId="22CF8C3B" w14:textId="1EB197D2" w:rsidR="002B27FC" w:rsidRPr="006A5D43" w:rsidRDefault="002B27FC" w:rsidP="002B27FC">
            <w:pPr>
              <w:widowControl w:val="0"/>
              <w:jc w:val="center"/>
              <w:rPr>
                <w:color w:val="000000"/>
                <w:sz w:val="20"/>
              </w:rPr>
            </w:pPr>
            <w:r>
              <w:rPr>
                <w:color w:val="000000"/>
                <w:sz w:val="20"/>
              </w:rPr>
              <w:t>$1,838</w:t>
            </w:r>
          </w:p>
        </w:tc>
        <w:tc>
          <w:tcPr>
            <w:tcW w:w="1094" w:type="dxa"/>
            <w:vMerge w:val="restart"/>
            <w:vAlign w:val="center"/>
          </w:tcPr>
          <w:p w14:paraId="0F437DB1" w14:textId="6326957D" w:rsidR="002B27FC" w:rsidRPr="00D354C5" w:rsidRDefault="002947A4" w:rsidP="002B27FC">
            <w:pPr>
              <w:widowControl w:val="0"/>
              <w:jc w:val="center"/>
              <w:rPr>
                <w:color w:val="000000"/>
                <w:sz w:val="20"/>
              </w:rPr>
            </w:pPr>
            <w:r w:rsidRPr="00D354C5">
              <w:rPr>
                <w:color w:val="000000"/>
                <w:sz w:val="20"/>
              </w:rPr>
              <w:t>4</w:t>
            </w:r>
          </w:p>
        </w:tc>
        <w:tc>
          <w:tcPr>
            <w:tcW w:w="934" w:type="dxa"/>
            <w:vMerge w:val="restart"/>
            <w:vAlign w:val="center"/>
          </w:tcPr>
          <w:p w14:paraId="2B39A301" w14:textId="5A41D20C" w:rsidR="002B27FC" w:rsidRPr="00D354C5" w:rsidRDefault="002947A4" w:rsidP="002B27FC">
            <w:pPr>
              <w:widowControl w:val="0"/>
              <w:jc w:val="center"/>
              <w:rPr>
                <w:color w:val="000000"/>
                <w:sz w:val="20"/>
              </w:rPr>
            </w:pPr>
            <w:r w:rsidRPr="00D354C5">
              <w:rPr>
                <w:color w:val="000000"/>
                <w:sz w:val="20"/>
              </w:rPr>
              <w:t>90</w:t>
            </w:r>
          </w:p>
        </w:tc>
        <w:tc>
          <w:tcPr>
            <w:tcW w:w="1180" w:type="dxa"/>
            <w:vMerge w:val="restart"/>
            <w:vAlign w:val="center"/>
          </w:tcPr>
          <w:p w14:paraId="5D2F1D93" w14:textId="2A23F6F2" w:rsidR="002B27FC" w:rsidRPr="00D354C5" w:rsidRDefault="002947A4" w:rsidP="002B27FC">
            <w:pPr>
              <w:widowControl w:val="0"/>
              <w:jc w:val="center"/>
              <w:rPr>
                <w:color w:val="000000"/>
                <w:sz w:val="20"/>
              </w:rPr>
            </w:pPr>
            <w:r w:rsidRPr="00D354C5">
              <w:rPr>
                <w:color w:val="000000"/>
                <w:sz w:val="20"/>
              </w:rPr>
              <w:t>$7,352</w:t>
            </w:r>
          </w:p>
        </w:tc>
      </w:tr>
      <w:tr w:rsidR="002B27FC" w14:paraId="3FCD9CE2" w14:textId="77777777" w:rsidTr="0027513B">
        <w:trPr>
          <w:trHeight w:val="530"/>
        </w:trPr>
        <w:tc>
          <w:tcPr>
            <w:tcW w:w="1890" w:type="dxa"/>
            <w:vMerge/>
            <w:vAlign w:val="center"/>
          </w:tcPr>
          <w:p w14:paraId="4FF6A2FA" w14:textId="77777777" w:rsidR="002B27FC" w:rsidRDefault="002B27FC" w:rsidP="002B27FC">
            <w:pPr>
              <w:widowControl w:val="0"/>
              <w:rPr>
                <w:color w:val="000000"/>
                <w:sz w:val="20"/>
              </w:rPr>
            </w:pPr>
          </w:p>
        </w:tc>
        <w:tc>
          <w:tcPr>
            <w:tcW w:w="1361" w:type="dxa"/>
            <w:vAlign w:val="center"/>
          </w:tcPr>
          <w:p w14:paraId="43D72052" w14:textId="2BB4F4A2" w:rsidR="002B27FC" w:rsidRPr="006A5D43" w:rsidRDefault="002B27FC" w:rsidP="002B27FC">
            <w:pPr>
              <w:widowControl w:val="0"/>
              <w:rPr>
                <w:color w:val="000000"/>
                <w:sz w:val="20"/>
              </w:rPr>
            </w:pPr>
            <w:r>
              <w:rPr>
                <w:color w:val="000000"/>
                <w:sz w:val="20"/>
              </w:rPr>
              <w:t xml:space="preserve">CBI Review </w:t>
            </w:r>
          </w:p>
        </w:tc>
        <w:tc>
          <w:tcPr>
            <w:tcW w:w="1017" w:type="dxa"/>
            <w:vAlign w:val="center"/>
          </w:tcPr>
          <w:p w14:paraId="2EFFB8EA" w14:textId="10BE5B67" w:rsidR="002B27FC" w:rsidRDefault="002B27FC" w:rsidP="002B27FC">
            <w:pPr>
              <w:widowControl w:val="0"/>
              <w:jc w:val="center"/>
              <w:rPr>
                <w:color w:val="000000"/>
                <w:sz w:val="20"/>
              </w:rPr>
            </w:pPr>
            <w:r>
              <w:rPr>
                <w:color w:val="000000"/>
                <w:sz w:val="20"/>
              </w:rPr>
              <w:t>9</w:t>
            </w:r>
          </w:p>
        </w:tc>
        <w:tc>
          <w:tcPr>
            <w:tcW w:w="1516" w:type="dxa"/>
            <w:vAlign w:val="center"/>
          </w:tcPr>
          <w:p w14:paraId="2365BBA8" w14:textId="5D11F0A2" w:rsidR="002B27FC" w:rsidRPr="006A5D43" w:rsidRDefault="002B27FC" w:rsidP="002B27FC">
            <w:pPr>
              <w:widowControl w:val="0"/>
              <w:jc w:val="center"/>
              <w:rPr>
                <w:color w:val="000000"/>
                <w:sz w:val="20"/>
              </w:rPr>
            </w:pPr>
            <w:r>
              <w:rPr>
                <w:color w:val="000000"/>
                <w:sz w:val="20"/>
              </w:rPr>
              <w:t>Management ($83.5)</w:t>
            </w:r>
          </w:p>
        </w:tc>
        <w:tc>
          <w:tcPr>
            <w:tcW w:w="1024" w:type="dxa"/>
            <w:vMerge/>
            <w:vAlign w:val="center"/>
          </w:tcPr>
          <w:p w14:paraId="10DCDCEC" w14:textId="77777777" w:rsidR="002B27FC" w:rsidRDefault="002B27FC" w:rsidP="002B27FC">
            <w:pPr>
              <w:widowControl w:val="0"/>
              <w:jc w:val="center"/>
              <w:rPr>
                <w:color w:val="000000"/>
                <w:sz w:val="20"/>
              </w:rPr>
            </w:pPr>
          </w:p>
        </w:tc>
        <w:tc>
          <w:tcPr>
            <w:tcW w:w="1094" w:type="dxa"/>
            <w:vMerge/>
            <w:vAlign w:val="center"/>
          </w:tcPr>
          <w:p w14:paraId="041408C1" w14:textId="77777777" w:rsidR="002B27FC" w:rsidRPr="00D354C5" w:rsidRDefault="002B27FC" w:rsidP="002B27FC">
            <w:pPr>
              <w:widowControl w:val="0"/>
              <w:jc w:val="center"/>
              <w:rPr>
                <w:color w:val="000000"/>
                <w:sz w:val="20"/>
              </w:rPr>
            </w:pPr>
          </w:p>
        </w:tc>
        <w:tc>
          <w:tcPr>
            <w:tcW w:w="934" w:type="dxa"/>
            <w:vMerge/>
            <w:vAlign w:val="center"/>
          </w:tcPr>
          <w:p w14:paraId="0FA07E60" w14:textId="77777777" w:rsidR="002B27FC" w:rsidRPr="00D354C5" w:rsidRDefault="002B27FC" w:rsidP="002B27FC">
            <w:pPr>
              <w:widowControl w:val="0"/>
              <w:jc w:val="center"/>
              <w:rPr>
                <w:color w:val="000000"/>
                <w:sz w:val="20"/>
              </w:rPr>
            </w:pPr>
          </w:p>
        </w:tc>
        <w:tc>
          <w:tcPr>
            <w:tcW w:w="1180" w:type="dxa"/>
            <w:vMerge/>
            <w:vAlign w:val="center"/>
          </w:tcPr>
          <w:p w14:paraId="1B1CED70" w14:textId="77777777" w:rsidR="002B27FC" w:rsidRPr="00D354C5" w:rsidRDefault="002B27FC" w:rsidP="002B27FC">
            <w:pPr>
              <w:widowControl w:val="0"/>
              <w:jc w:val="center"/>
              <w:rPr>
                <w:color w:val="000000"/>
                <w:sz w:val="20"/>
              </w:rPr>
            </w:pPr>
          </w:p>
        </w:tc>
      </w:tr>
      <w:tr w:rsidR="002B27FC" w14:paraId="0312EDC3" w14:textId="77777777" w:rsidTr="0027513B">
        <w:trPr>
          <w:trHeight w:val="413"/>
        </w:trPr>
        <w:tc>
          <w:tcPr>
            <w:tcW w:w="1890" w:type="dxa"/>
            <w:vMerge/>
            <w:vAlign w:val="center"/>
          </w:tcPr>
          <w:p w14:paraId="4E08509C" w14:textId="77777777" w:rsidR="002B27FC" w:rsidRDefault="002B27FC" w:rsidP="002B27FC">
            <w:pPr>
              <w:widowControl w:val="0"/>
              <w:rPr>
                <w:color w:val="000000"/>
                <w:sz w:val="20"/>
              </w:rPr>
            </w:pPr>
          </w:p>
        </w:tc>
        <w:tc>
          <w:tcPr>
            <w:tcW w:w="1361" w:type="dxa"/>
            <w:vMerge w:val="restart"/>
            <w:vAlign w:val="center"/>
          </w:tcPr>
          <w:p w14:paraId="30094797" w14:textId="10FD2BAA" w:rsidR="002B27FC" w:rsidRPr="006A5D43" w:rsidRDefault="002B27FC" w:rsidP="0027513B">
            <w:pPr>
              <w:widowControl w:val="0"/>
              <w:rPr>
                <w:color w:val="000000"/>
                <w:sz w:val="20"/>
              </w:rPr>
            </w:pPr>
            <w:r>
              <w:rPr>
                <w:color w:val="000000"/>
                <w:sz w:val="20"/>
              </w:rPr>
              <w:t xml:space="preserve">CBI Legal Review </w:t>
            </w:r>
            <w:r w:rsidR="0011608B">
              <w:rPr>
                <w:color w:val="000000"/>
                <w:sz w:val="20"/>
              </w:rPr>
              <w:t xml:space="preserve">and CBI </w:t>
            </w:r>
            <w:r>
              <w:rPr>
                <w:color w:val="000000"/>
                <w:sz w:val="20"/>
              </w:rPr>
              <w:t>Substantiation</w:t>
            </w:r>
          </w:p>
        </w:tc>
        <w:tc>
          <w:tcPr>
            <w:tcW w:w="1017" w:type="dxa"/>
            <w:vAlign w:val="center"/>
          </w:tcPr>
          <w:p w14:paraId="6F0C3A4E" w14:textId="25C1298D" w:rsidR="002B27FC" w:rsidRDefault="002B27FC" w:rsidP="002B27FC">
            <w:pPr>
              <w:widowControl w:val="0"/>
              <w:jc w:val="center"/>
              <w:rPr>
                <w:color w:val="000000"/>
                <w:sz w:val="20"/>
              </w:rPr>
            </w:pPr>
            <w:r>
              <w:rPr>
                <w:color w:val="000000"/>
                <w:sz w:val="20"/>
              </w:rPr>
              <w:t>0.75</w:t>
            </w:r>
          </w:p>
        </w:tc>
        <w:tc>
          <w:tcPr>
            <w:tcW w:w="1516" w:type="dxa"/>
            <w:vAlign w:val="center"/>
          </w:tcPr>
          <w:p w14:paraId="4325A2FE" w14:textId="19E547FD" w:rsidR="002B27FC" w:rsidRPr="006A5D43" w:rsidRDefault="002B27FC" w:rsidP="002B27FC">
            <w:pPr>
              <w:widowControl w:val="0"/>
              <w:jc w:val="center"/>
              <w:rPr>
                <w:color w:val="000000"/>
                <w:sz w:val="20"/>
              </w:rPr>
            </w:pPr>
            <w:r>
              <w:rPr>
                <w:color w:val="000000"/>
                <w:sz w:val="20"/>
              </w:rPr>
              <w:t>Managerial ($83.5)</w:t>
            </w:r>
          </w:p>
        </w:tc>
        <w:tc>
          <w:tcPr>
            <w:tcW w:w="1024" w:type="dxa"/>
            <w:vMerge/>
            <w:vAlign w:val="center"/>
          </w:tcPr>
          <w:p w14:paraId="15EAD067" w14:textId="77777777" w:rsidR="002B27FC" w:rsidRDefault="002B27FC" w:rsidP="002B27FC">
            <w:pPr>
              <w:widowControl w:val="0"/>
              <w:jc w:val="center"/>
              <w:rPr>
                <w:color w:val="000000"/>
                <w:sz w:val="20"/>
              </w:rPr>
            </w:pPr>
          </w:p>
        </w:tc>
        <w:tc>
          <w:tcPr>
            <w:tcW w:w="1094" w:type="dxa"/>
            <w:vMerge/>
            <w:vAlign w:val="center"/>
          </w:tcPr>
          <w:p w14:paraId="6C49C8FF" w14:textId="77777777" w:rsidR="002B27FC" w:rsidRPr="00D354C5" w:rsidRDefault="002B27FC" w:rsidP="002B27FC">
            <w:pPr>
              <w:widowControl w:val="0"/>
              <w:jc w:val="center"/>
              <w:rPr>
                <w:color w:val="000000"/>
                <w:sz w:val="20"/>
              </w:rPr>
            </w:pPr>
          </w:p>
        </w:tc>
        <w:tc>
          <w:tcPr>
            <w:tcW w:w="934" w:type="dxa"/>
            <w:vMerge/>
            <w:vAlign w:val="center"/>
          </w:tcPr>
          <w:p w14:paraId="65B0C6B6" w14:textId="77777777" w:rsidR="002B27FC" w:rsidRPr="00D354C5" w:rsidRDefault="002B27FC" w:rsidP="002B27FC">
            <w:pPr>
              <w:widowControl w:val="0"/>
              <w:jc w:val="center"/>
              <w:rPr>
                <w:color w:val="000000"/>
                <w:sz w:val="20"/>
              </w:rPr>
            </w:pPr>
          </w:p>
        </w:tc>
        <w:tc>
          <w:tcPr>
            <w:tcW w:w="1180" w:type="dxa"/>
            <w:vMerge/>
            <w:vAlign w:val="center"/>
          </w:tcPr>
          <w:p w14:paraId="49C4197F" w14:textId="77777777" w:rsidR="002B27FC" w:rsidRPr="00D354C5" w:rsidRDefault="002B27FC" w:rsidP="002B27FC">
            <w:pPr>
              <w:widowControl w:val="0"/>
              <w:jc w:val="center"/>
              <w:rPr>
                <w:color w:val="000000"/>
                <w:sz w:val="20"/>
              </w:rPr>
            </w:pPr>
          </w:p>
        </w:tc>
      </w:tr>
      <w:tr w:rsidR="002B27FC" w14:paraId="7C430B6C" w14:textId="77777777" w:rsidTr="0027513B">
        <w:trPr>
          <w:trHeight w:val="412"/>
        </w:trPr>
        <w:tc>
          <w:tcPr>
            <w:tcW w:w="1890" w:type="dxa"/>
            <w:vMerge/>
            <w:vAlign w:val="center"/>
          </w:tcPr>
          <w:p w14:paraId="0D959ADB" w14:textId="77777777" w:rsidR="002B27FC" w:rsidRDefault="002B27FC" w:rsidP="002B27FC">
            <w:pPr>
              <w:widowControl w:val="0"/>
              <w:rPr>
                <w:color w:val="000000"/>
                <w:sz w:val="20"/>
              </w:rPr>
            </w:pPr>
          </w:p>
        </w:tc>
        <w:tc>
          <w:tcPr>
            <w:tcW w:w="1361" w:type="dxa"/>
            <w:vMerge/>
            <w:vAlign w:val="center"/>
          </w:tcPr>
          <w:p w14:paraId="3F627CCE" w14:textId="77777777" w:rsidR="002B27FC" w:rsidRDefault="002B27FC" w:rsidP="002B27FC">
            <w:pPr>
              <w:widowControl w:val="0"/>
              <w:rPr>
                <w:color w:val="000000"/>
                <w:sz w:val="20"/>
              </w:rPr>
            </w:pPr>
          </w:p>
        </w:tc>
        <w:tc>
          <w:tcPr>
            <w:tcW w:w="1017" w:type="dxa"/>
            <w:vAlign w:val="center"/>
          </w:tcPr>
          <w:p w14:paraId="405ABBFC" w14:textId="176C0BB5" w:rsidR="002B27FC" w:rsidRDefault="002B27FC" w:rsidP="002B27FC">
            <w:pPr>
              <w:widowControl w:val="0"/>
              <w:jc w:val="center"/>
              <w:rPr>
                <w:color w:val="000000"/>
                <w:sz w:val="20"/>
              </w:rPr>
            </w:pPr>
            <w:r>
              <w:rPr>
                <w:color w:val="000000"/>
                <w:sz w:val="20"/>
              </w:rPr>
              <w:t>0.75</w:t>
            </w:r>
          </w:p>
        </w:tc>
        <w:tc>
          <w:tcPr>
            <w:tcW w:w="1516" w:type="dxa"/>
            <w:vAlign w:val="center"/>
          </w:tcPr>
          <w:p w14:paraId="73EA8185" w14:textId="4AFC45F3" w:rsidR="002B27FC" w:rsidRPr="006A5D43" w:rsidRDefault="002B27FC" w:rsidP="002B27FC">
            <w:pPr>
              <w:widowControl w:val="0"/>
              <w:jc w:val="center"/>
              <w:rPr>
                <w:color w:val="000000"/>
                <w:sz w:val="20"/>
              </w:rPr>
            </w:pPr>
            <w:r>
              <w:rPr>
                <w:color w:val="000000"/>
                <w:sz w:val="20"/>
              </w:rPr>
              <w:t>Attorney ($116.15)</w:t>
            </w:r>
          </w:p>
        </w:tc>
        <w:tc>
          <w:tcPr>
            <w:tcW w:w="1024" w:type="dxa"/>
            <w:vMerge/>
            <w:vAlign w:val="center"/>
          </w:tcPr>
          <w:p w14:paraId="0677B665" w14:textId="77777777" w:rsidR="002B27FC" w:rsidRDefault="002B27FC" w:rsidP="002B27FC">
            <w:pPr>
              <w:widowControl w:val="0"/>
              <w:jc w:val="center"/>
              <w:rPr>
                <w:color w:val="000000"/>
                <w:sz w:val="20"/>
              </w:rPr>
            </w:pPr>
          </w:p>
        </w:tc>
        <w:tc>
          <w:tcPr>
            <w:tcW w:w="1094" w:type="dxa"/>
            <w:vMerge/>
            <w:vAlign w:val="center"/>
          </w:tcPr>
          <w:p w14:paraId="399CE389" w14:textId="77777777" w:rsidR="002B27FC" w:rsidRPr="00D354C5" w:rsidRDefault="002B27FC" w:rsidP="002B27FC">
            <w:pPr>
              <w:widowControl w:val="0"/>
              <w:jc w:val="center"/>
              <w:rPr>
                <w:color w:val="000000"/>
                <w:sz w:val="20"/>
              </w:rPr>
            </w:pPr>
          </w:p>
        </w:tc>
        <w:tc>
          <w:tcPr>
            <w:tcW w:w="934" w:type="dxa"/>
            <w:vMerge/>
            <w:vAlign w:val="center"/>
          </w:tcPr>
          <w:p w14:paraId="52D1C401" w14:textId="77777777" w:rsidR="002B27FC" w:rsidRPr="00D354C5" w:rsidRDefault="002B27FC" w:rsidP="002B27FC">
            <w:pPr>
              <w:widowControl w:val="0"/>
              <w:jc w:val="center"/>
              <w:rPr>
                <w:color w:val="000000"/>
                <w:sz w:val="20"/>
              </w:rPr>
            </w:pPr>
          </w:p>
        </w:tc>
        <w:tc>
          <w:tcPr>
            <w:tcW w:w="1180" w:type="dxa"/>
            <w:vMerge/>
            <w:vAlign w:val="center"/>
          </w:tcPr>
          <w:p w14:paraId="54592DE8" w14:textId="77777777" w:rsidR="002B27FC" w:rsidRPr="00D354C5" w:rsidRDefault="002B27FC" w:rsidP="002B27FC">
            <w:pPr>
              <w:widowControl w:val="0"/>
              <w:jc w:val="center"/>
              <w:rPr>
                <w:color w:val="000000"/>
                <w:sz w:val="20"/>
              </w:rPr>
            </w:pPr>
          </w:p>
        </w:tc>
      </w:tr>
      <w:tr w:rsidR="002B27FC" w14:paraId="45BE0FFD" w14:textId="77777777" w:rsidTr="0027513B">
        <w:tc>
          <w:tcPr>
            <w:tcW w:w="1890" w:type="dxa"/>
            <w:tcBorders>
              <w:bottom w:val="single" w:sz="4" w:space="0" w:color="auto"/>
            </w:tcBorders>
            <w:vAlign w:val="center"/>
          </w:tcPr>
          <w:p w14:paraId="3D62D218" w14:textId="6942EE9C" w:rsidR="002B27FC" w:rsidRPr="006A5D43" w:rsidRDefault="002B27FC" w:rsidP="002B27FC">
            <w:pPr>
              <w:widowControl w:val="0"/>
              <w:rPr>
                <w:color w:val="000000"/>
                <w:sz w:val="20"/>
              </w:rPr>
            </w:pPr>
            <w:r w:rsidRPr="006A5D43">
              <w:rPr>
                <w:color w:val="000000"/>
                <w:sz w:val="20"/>
              </w:rPr>
              <w:t>Notification and submission of health and safety studies initiated and/or completed after the reporting period</w:t>
            </w:r>
          </w:p>
        </w:tc>
        <w:tc>
          <w:tcPr>
            <w:tcW w:w="1361" w:type="dxa"/>
            <w:tcBorders>
              <w:bottom w:val="single" w:sz="4" w:space="0" w:color="auto"/>
            </w:tcBorders>
            <w:vAlign w:val="center"/>
          </w:tcPr>
          <w:p w14:paraId="1322CA59" w14:textId="04604BC1" w:rsidR="002B27FC" w:rsidRPr="006A5D43" w:rsidRDefault="002B27FC" w:rsidP="002B27FC">
            <w:pPr>
              <w:widowControl w:val="0"/>
              <w:rPr>
                <w:color w:val="000000"/>
                <w:sz w:val="20"/>
              </w:rPr>
            </w:pPr>
            <w:r w:rsidRPr="006A5D43">
              <w:rPr>
                <w:color w:val="000000"/>
                <w:sz w:val="20"/>
              </w:rPr>
              <w:t>Post-reporting period submission</w:t>
            </w:r>
          </w:p>
        </w:tc>
        <w:tc>
          <w:tcPr>
            <w:tcW w:w="1017" w:type="dxa"/>
            <w:tcBorders>
              <w:bottom w:val="single" w:sz="4" w:space="0" w:color="auto"/>
            </w:tcBorders>
            <w:vAlign w:val="center"/>
          </w:tcPr>
          <w:p w14:paraId="38B973D3" w14:textId="11F43FA9" w:rsidR="002B27FC" w:rsidRPr="006A5D43" w:rsidRDefault="002B27FC" w:rsidP="002B27FC">
            <w:pPr>
              <w:widowControl w:val="0"/>
              <w:jc w:val="center"/>
              <w:rPr>
                <w:color w:val="000000"/>
                <w:sz w:val="20"/>
              </w:rPr>
            </w:pPr>
            <w:r>
              <w:rPr>
                <w:color w:val="000000"/>
                <w:sz w:val="20"/>
              </w:rPr>
              <w:t>1.0</w:t>
            </w:r>
          </w:p>
        </w:tc>
        <w:tc>
          <w:tcPr>
            <w:tcW w:w="1516" w:type="dxa"/>
            <w:tcBorders>
              <w:bottom w:val="single" w:sz="4" w:space="0" w:color="auto"/>
            </w:tcBorders>
            <w:vAlign w:val="center"/>
          </w:tcPr>
          <w:p w14:paraId="3D9D4809" w14:textId="1CEAA73A" w:rsidR="002B27FC" w:rsidRPr="006A5D43" w:rsidRDefault="002B27FC" w:rsidP="002B27FC">
            <w:pPr>
              <w:widowControl w:val="0"/>
              <w:jc w:val="center"/>
              <w:rPr>
                <w:color w:val="000000"/>
                <w:sz w:val="20"/>
              </w:rPr>
            </w:pPr>
            <w:r w:rsidRPr="006A5D43">
              <w:rPr>
                <w:color w:val="000000"/>
                <w:sz w:val="20"/>
              </w:rPr>
              <w:t>Manageri</w:t>
            </w:r>
            <w:r>
              <w:rPr>
                <w:color w:val="000000"/>
                <w:sz w:val="20"/>
              </w:rPr>
              <w:t>al</w:t>
            </w:r>
          </w:p>
        </w:tc>
        <w:tc>
          <w:tcPr>
            <w:tcW w:w="1024" w:type="dxa"/>
            <w:tcBorders>
              <w:bottom w:val="single" w:sz="4" w:space="0" w:color="auto"/>
            </w:tcBorders>
            <w:vAlign w:val="center"/>
          </w:tcPr>
          <w:p w14:paraId="55E147B3" w14:textId="684AAAD9" w:rsidR="002B27FC" w:rsidRPr="006A5D43" w:rsidRDefault="002B27FC" w:rsidP="002B27FC">
            <w:pPr>
              <w:widowControl w:val="0"/>
              <w:jc w:val="center"/>
              <w:rPr>
                <w:color w:val="000000"/>
                <w:sz w:val="20"/>
              </w:rPr>
            </w:pPr>
            <w:r>
              <w:rPr>
                <w:color w:val="000000"/>
                <w:sz w:val="20"/>
              </w:rPr>
              <w:t>$83.5</w:t>
            </w:r>
          </w:p>
        </w:tc>
        <w:tc>
          <w:tcPr>
            <w:tcW w:w="1094" w:type="dxa"/>
            <w:tcBorders>
              <w:bottom w:val="single" w:sz="4" w:space="0" w:color="auto"/>
            </w:tcBorders>
            <w:vAlign w:val="center"/>
          </w:tcPr>
          <w:p w14:paraId="3E889457" w14:textId="6ABC3AEF" w:rsidR="002B27FC" w:rsidRPr="00D354C5" w:rsidRDefault="002B27FC" w:rsidP="002B27FC">
            <w:pPr>
              <w:widowControl w:val="0"/>
              <w:jc w:val="center"/>
              <w:rPr>
                <w:color w:val="000000"/>
                <w:sz w:val="20"/>
              </w:rPr>
            </w:pPr>
            <w:r w:rsidRPr="00D354C5">
              <w:rPr>
                <w:color w:val="000000"/>
                <w:sz w:val="20"/>
              </w:rPr>
              <w:t>1</w:t>
            </w:r>
          </w:p>
        </w:tc>
        <w:tc>
          <w:tcPr>
            <w:tcW w:w="934" w:type="dxa"/>
            <w:tcBorders>
              <w:bottom w:val="single" w:sz="4" w:space="0" w:color="auto"/>
            </w:tcBorders>
            <w:vAlign w:val="center"/>
          </w:tcPr>
          <w:p w14:paraId="18AFA02E" w14:textId="0CE18D5E" w:rsidR="002B27FC" w:rsidRPr="00D354C5" w:rsidRDefault="002B27FC" w:rsidP="002B27FC">
            <w:pPr>
              <w:widowControl w:val="0"/>
              <w:jc w:val="center"/>
              <w:rPr>
                <w:color w:val="000000"/>
                <w:sz w:val="20"/>
              </w:rPr>
            </w:pPr>
            <w:r w:rsidRPr="00D354C5">
              <w:rPr>
                <w:color w:val="000000"/>
                <w:sz w:val="20"/>
              </w:rPr>
              <w:t>1</w:t>
            </w:r>
          </w:p>
        </w:tc>
        <w:tc>
          <w:tcPr>
            <w:tcW w:w="1180" w:type="dxa"/>
            <w:tcBorders>
              <w:bottom w:val="single" w:sz="4" w:space="0" w:color="auto"/>
            </w:tcBorders>
            <w:vAlign w:val="center"/>
          </w:tcPr>
          <w:p w14:paraId="24A0BEA2" w14:textId="1389235F" w:rsidR="002B27FC" w:rsidRPr="00D354C5" w:rsidRDefault="002B27FC" w:rsidP="002B27FC">
            <w:pPr>
              <w:widowControl w:val="0"/>
              <w:jc w:val="center"/>
              <w:rPr>
                <w:color w:val="000000"/>
                <w:sz w:val="20"/>
              </w:rPr>
            </w:pPr>
            <w:r w:rsidRPr="00D354C5">
              <w:rPr>
                <w:color w:val="000000"/>
                <w:sz w:val="20"/>
              </w:rPr>
              <w:t>$83.5</w:t>
            </w:r>
          </w:p>
        </w:tc>
      </w:tr>
      <w:tr w:rsidR="002B27FC" w14:paraId="7DF697ED" w14:textId="77777777" w:rsidTr="0027513B">
        <w:tc>
          <w:tcPr>
            <w:tcW w:w="6808" w:type="dxa"/>
            <w:gridSpan w:val="5"/>
            <w:tcBorders>
              <w:top w:val="single" w:sz="4" w:space="0" w:color="auto"/>
              <w:bottom w:val="double" w:sz="6" w:space="0" w:color="000000"/>
            </w:tcBorders>
            <w:vAlign w:val="center"/>
          </w:tcPr>
          <w:p w14:paraId="4A9D0728" w14:textId="77777777" w:rsidR="002B27FC" w:rsidRPr="00897F95" w:rsidRDefault="002B27FC" w:rsidP="002B27FC">
            <w:pPr>
              <w:widowControl w:val="0"/>
              <w:rPr>
                <w:b/>
                <w:color w:val="000000"/>
                <w:sz w:val="20"/>
              </w:rPr>
            </w:pPr>
            <w:r>
              <w:rPr>
                <w:b/>
                <w:color w:val="000000"/>
                <w:sz w:val="20"/>
              </w:rPr>
              <w:t>Total</w:t>
            </w:r>
          </w:p>
        </w:tc>
        <w:tc>
          <w:tcPr>
            <w:tcW w:w="1094" w:type="dxa"/>
            <w:tcBorders>
              <w:top w:val="single" w:sz="4" w:space="0" w:color="auto"/>
              <w:bottom w:val="double" w:sz="6" w:space="0" w:color="000000"/>
            </w:tcBorders>
            <w:vAlign w:val="center"/>
          </w:tcPr>
          <w:p w14:paraId="733A30BB" w14:textId="40C55A8F" w:rsidR="002B27FC" w:rsidRPr="00D354C5" w:rsidRDefault="008B67B8" w:rsidP="002B27FC">
            <w:pPr>
              <w:widowControl w:val="0"/>
              <w:jc w:val="center"/>
              <w:rPr>
                <w:b/>
                <w:color w:val="000000"/>
                <w:sz w:val="20"/>
              </w:rPr>
            </w:pPr>
            <w:r w:rsidRPr="00D354C5">
              <w:rPr>
                <w:b/>
                <w:color w:val="000000"/>
                <w:sz w:val="20"/>
              </w:rPr>
              <w:t>26</w:t>
            </w:r>
          </w:p>
        </w:tc>
        <w:tc>
          <w:tcPr>
            <w:tcW w:w="934" w:type="dxa"/>
            <w:tcBorders>
              <w:top w:val="single" w:sz="4" w:space="0" w:color="auto"/>
              <w:bottom w:val="double" w:sz="6" w:space="0" w:color="000000"/>
            </w:tcBorders>
            <w:vAlign w:val="center"/>
          </w:tcPr>
          <w:p w14:paraId="1A6C5B9D" w14:textId="6E300613" w:rsidR="002B27FC" w:rsidRPr="00D354C5" w:rsidRDefault="008B67B8" w:rsidP="002B27FC">
            <w:pPr>
              <w:widowControl w:val="0"/>
              <w:jc w:val="center"/>
              <w:rPr>
                <w:b/>
                <w:color w:val="000000"/>
                <w:sz w:val="20"/>
              </w:rPr>
            </w:pPr>
            <w:r w:rsidRPr="00D354C5">
              <w:rPr>
                <w:b/>
                <w:color w:val="000000"/>
                <w:sz w:val="20"/>
              </w:rPr>
              <w:t>291</w:t>
            </w:r>
          </w:p>
        </w:tc>
        <w:tc>
          <w:tcPr>
            <w:tcW w:w="1180" w:type="dxa"/>
            <w:tcBorders>
              <w:top w:val="single" w:sz="4" w:space="0" w:color="auto"/>
              <w:bottom w:val="double" w:sz="6" w:space="0" w:color="000000"/>
            </w:tcBorders>
            <w:vAlign w:val="center"/>
          </w:tcPr>
          <w:p w14:paraId="4A035C3E" w14:textId="4365F6D8" w:rsidR="002B27FC" w:rsidRPr="00D354C5" w:rsidRDefault="008B67B8" w:rsidP="002B27FC">
            <w:pPr>
              <w:widowControl w:val="0"/>
              <w:jc w:val="center"/>
              <w:rPr>
                <w:b/>
                <w:color w:val="000000"/>
                <w:sz w:val="20"/>
              </w:rPr>
            </w:pPr>
            <w:r w:rsidRPr="00D354C5">
              <w:rPr>
                <w:b/>
                <w:color w:val="000000"/>
                <w:sz w:val="20"/>
              </w:rPr>
              <w:t>$23,584</w:t>
            </w:r>
          </w:p>
        </w:tc>
      </w:tr>
    </w:tbl>
    <w:p w14:paraId="493E6F5C" w14:textId="77777777" w:rsidR="00897F95" w:rsidRDefault="00897F95" w:rsidP="00F66476">
      <w:pPr>
        <w:widowControl w:val="0"/>
        <w:ind w:firstLine="720"/>
        <w:rPr>
          <w:b/>
          <w:color w:val="000000"/>
        </w:rPr>
      </w:pPr>
    </w:p>
    <w:p w14:paraId="630C23EB" w14:textId="0A5C5332" w:rsidR="00FF3FE7" w:rsidRDefault="00FF3FE7" w:rsidP="00F66476">
      <w:pPr>
        <w:widowControl w:val="0"/>
        <w:ind w:firstLine="720"/>
        <w:rPr>
          <w:color w:val="000000"/>
        </w:rPr>
      </w:pPr>
      <w:r w:rsidRPr="003A2400">
        <w:rPr>
          <w:color w:val="000000"/>
        </w:rPr>
        <w:t>A typical firm submitting a response is conservatively estimated to engage in review of the rule, site identification, site file search, preparing study title lists, CBI review,</w:t>
      </w:r>
      <w:r w:rsidR="00B00B32">
        <w:rPr>
          <w:color w:val="000000"/>
        </w:rPr>
        <w:t xml:space="preserve"> CBI </w:t>
      </w:r>
      <w:r w:rsidR="00220D9B">
        <w:rPr>
          <w:color w:val="000000"/>
        </w:rPr>
        <w:t xml:space="preserve">substantiation, </w:t>
      </w:r>
      <w:r w:rsidR="00220D9B" w:rsidRPr="003A2400">
        <w:rPr>
          <w:color w:val="000000"/>
        </w:rPr>
        <w:t>and</w:t>
      </w:r>
      <w:r w:rsidRPr="003A2400">
        <w:rPr>
          <w:color w:val="000000"/>
        </w:rPr>
        <w:t xml:space="preserve"> possibly submit a robust summary and/or a post-reporting period submission</w:t>
      </w:r>
      <w:r w:rsidR="00205FAB">
        <w:rPr>
          <w:color w:val="000000"/>
        </w:rPr>
        <w:t xml:space="preserve">. </w:t>
      </w:r>
      <w:r w:rsidRPr="003A2400">
        <w:rPr>
          <w:color w:val="000000"/>
        </w:rPr>
        <w:t xml:space="preserve">Assuming that </w:t>
      </w:r>
      <w:r w:rsidR="008B67B8">
        <w:rPr>
          <w:color w:val="000000"/>
        </w:rPr>
        <w:t>1</w:t>
      </w:r>
      <w:r w:rsidR="00791F8E">
        <w:rPr>
          <w:color w:val="000000"/>
        </w:rPr>
        <w:t>3</w:t>
      </w:r>
      <w:r w:rsidRPr="003A2400">
        <w:rPr>
          <w:color w:val="000000"/>
        </w:rPr>
        <w:t xml:space="preserve"> chemicals per year are added to the TSCA section 8(d) list and that reporting is similar to the 2006 </w:t>
      </w:r>
      <w:r w:rsidR="00791F8E">
        <w:rPr>
          <w:color w:val="000000"/>
        </w:rPr>
        <w:t xml:space="preserve">and 2008 </w:t>
      </w:r>
      <w:r w:rsidR="005554BA">
        <w:rPr>
          <w:color w:val="000000"/>
        </w:rPr>
        <w:t xml:space="preserve">section 8(d) reporting </w:t>
      </w:r>
      <w:r w:rsidRPr="003A2400">
        <w:rPr>
          <w:color w:val="000000"/>
        </w:rPr>
        <w:t>experience</w:t>
      </w:r>
      <w:r w:rsidR="00791F8E">
        <w:rPr>
          <w:color w:val="000000"/>
        </w:rPr>
        <w:t>s</w:t>
      </w:r>
      <w:r w:rsidR="005554BA">
        <w:rPr>
          <w:color w:val="000000"/>
        </w:rPr>
        <w:t>,</w:t>
      </w:r>
      <w:r w:rsidR="00B00B32">
        <w:rPr>
          <w:color w:val="000000"/>
        </w:rPr>
        <w:t xml:space="preserve"> but considering that the CBI substantiation has been added</w:t>
      </w:r>
      <w:r w:rsidRPr="003A2400">
        <w:rPr>
          <w:color w:val="000000"/>
        </w:rPr>
        <w:t xml:space="preserve">, the average annual burden and cost per response is </w:t>
      </w:r>
      <w:r w:rsidR="008B67B8" w:rsidRPr="00317575">
        <w:rPr>
          <w:color w:val="000000"/>
        </w:rPr>
        <w:t>11</w:t>
      </w:r>
      <w:r w:rsidR="008B67B8">
        <w:rPr>
          <w:color w:val="000000"/>
        </w:rPr>
        <w:t xml:space="preserve"> </w:t>
      </w:r>
      <w:r w:rsidRPr="003A2400">
        <w:rPr>
          <w:color w:val="000000"/>
        </w:rPr>
        <w:t xml:space="preserve">hours and </w:t>
      </w:r>
      <w:r w:rsidR="008B67B8" w:rsidRPr="003A2400">
        <w:rPr>
          <w:color w:val="000000"/>
        </w:rPr>
        <w:t>$</w:t>
      </w:r>
      <w:r w:rsidR="008B67B8" w:rsidRPr="00317575">
        <w:rPr>
          <w:color w:val="000000"/>
        </w:rPr>
        <w:t>907</w:t>
      </w:r>
      <w:r w:rsidRPr="003A2400">
        <w:rPr>
          <w:color w:val="000000"/>
        </w:rPr>
        <w:t>, respectively.</w:t>
      </w:r>
    </w:p>
    <w:p w14:paraId="63CAC74F" w14:textId="77777777" w:rsidR="00FF3FE7" w:rsidRDefault="00FF3FE7" w:rsidP="00FF3FE7">
      <w:pPr>
        <w:widowControl w:val="0"/>
        <w:rPr>
          <w:color w:val="000000"/>
        </w:rPr>
      </w:pPr>
    </w:p>
    <w:p w14:paraId="754D12D7" w14:textId="1CB3AB10" w:rsidR="00863177" w:rsidRDefault="003459EC" w:rsidP="00F66476">
      <w:pPr>
        <w:widowControl w:val="0"/>
        <w:ind w:firstLine="720"/>
        <w:rPr>
          <w:b/>
          <w:color w:val="000000"/>
        </w:rPr>
      </w:pPr>
      <w:r>
        <w:rPr>
          <w:b/>
          <w:color w:val="000000"/>
        </w:rPr>
        <w:t xml:space="preserve">6(e) </w:t>
      </w:r>
      <w:r w:rsidR="00F66476">
        <w:rPr>
          <w:b/>
          <w:color w:val="000000"/>
        </w:rPr>
        <w:tab/>
      </w:r>
      <w:r w:rsidR="00863177">
        <w:rPr>
          <w:b/>
          <w:color w:val="000000"/>
        </w:rPr>
        <w:t>CDX Registration Activities to Enable Electronic Reporting</w:t>
      </w:r>
    </w:p>
    <w:p w14:paraId="28D8A696" w14:textId="77777777" w:rsidR="00863177" w:rsidRDefault="00863177" w:rsidP="002F7EA9">
      <w:pPr>
        <w:widowControl w:val="0"/>
        <w:ind w:left="720"/>
        <w:rPr>
          <w:b/>
          <w:color w:val="000000"/>
        </w:rPr>
      </w:pPr>
    </w:p>
    <w:p w14:paraId="1A7B924D" w14:textId="743E32C8" w:rsidR="0064205C" w:rsidRPr="009675F4" w:rsidRDefault="00863177" w:rsidP="00F66476">
      <w:pPr>
        <w:ind w:firstLine="720"/>
        <w:rPr>
          <w:szCs w:val="24"/>
        </w:rPr>
      </w:pPr>
      <w:r w:rsidRPr="00A56526">
        <w:rPr>
          <w:szCs w:val="24"/>
        </w:rPr>
        <w:t xml:space="preserve">EPA </w:t>
      </w:r>
      <w:r>
        <w:rPr>
          <w:szCs w:val="24"/>
        </w:rPr>
        <w:t>estimates</w:t>
      </w:r>
      <w:r w:rsidRPr="00A56526">
        <w:rPr>
          <w:szCs w:val="24"/>
        </w:rPr>
        <w:t xml:space="preserve"> that respondents </w:t>
      </w:r>
      <w:r>
        <w:rPr>
          <w:szCs w:val="24"/>
        </w:rPr>
        <w:t>will</w:t>
      </w:r>
      <w:r w:rsidRPr="00A56526">
        <w:rPr>
          <w:szCs w:val="24"/>
        </w:rPr>
        <w:t xml:space="preserve"> incur </w:t>
      </w:r>
      <w:r>
        <w:rPr>
          <w:szCs w:val="24"/>
        </w:rPr>
        <w:t xml:space="preserve">a small amount of </w:t>
      </w:r>
      <w:r w:rsidRPr="00A56526">
        <w:rPr>
          <w:szCs w:val="24"/>
        </w:rPr>
        <w:t xml:space="preserve">cost in </w:t>
      </w:r>
      <w:r w:rsidRPr="003459EC">
        <w:rPr>
          <w:szCs w:val="24"/>
        </w:rPr>
        <w:t xml:space="preserve">carrying out the additional paperwork activities that were imposed by the </w:t>
      </w:r>
      <w:r w:rsidRPr="003459EC">
        <w:rPr>
          <w:i/>
          <w:szCs w:val="24"/>
        </w:rPr>
        <w:t>Electronic Reporting under the Substances Control Act (TSCA) Final Rule</w:t>
      </w:r>
      <w:r w:rsidRPr="003459EC">
        <w:rPr>
          <w:szCs w:val="24"/>
        </w:rPr>
        <w:t>. This includes the burden associated with activities that facilitate submission of an electronic report: CDX registration and CDX electronic signature. These activities occur only once</w:t>
      </w:r>
      <w:r w:rsidR="003459EC" w:rsidRPr="003459EC">
        <w:rPr>
          <w:szCs w:val="24"/>
        </w:rPr>
        <w:t xml:space="preserve"> for each submitter</w:t>
      </w:r>
      <w:r w:rsidRPr="003459EC">
        <w:rPr>
          <w:szCs w:val="24"/>
        </w:rPr>
        <w:t>.</w:t>
      </w:r>
      <w:r w:rsidR="0064205C" w:rsidRPr="003459EC">
        <w:rPr>
          <w:szCs w:val="24"/>
        </w:rPr>
        <w:t xml:space="preserve"> Some submitters may already have registered to use the e-TSCA</w:t>
      </w:r>
      <w:r w:rsidR="00816DF2">
        <w:rPr>
          <w:szCs w:val="24"/>
        </w:rPr>
        <w:t xml:space="preserve"> </w:t>
      </w:r>
      <w:r w:rsidR="0064205C" w:rsidRPr="003459EC">
        <w:rPr>
          <w:szCs w:val="24"/>
        </w:rPr>
        <w:t xml:space="preserve">web reporting tool in CDX (and obtained an accompanying electronic signature) in order to comply with the mandatory electronic reporting requirements of EPA’s e-PMN rule and/or IUR/CDR rule. Those submitters will not need to repeat the CDX registration and e-signature process in order to file their </w:t>
      </w:r>
      <w:r w:rsidR="00482123" w:rsidRPr="003459EC">
        <w:rPr>
          <w:szCs w:val="24"/>
        </w:rPr>
        <w:t>health and safety studies</w:t>
      </w:r>
      <w:r w:rsidR="0064205C" w:rsidRPr="003459EC">
        <w:rPr>
          <w:szCs w:val="24"/>
        </w:rPr>
        <w:t>. While there</w:t>
      </w:r>
      <w:r w:rsidR="0064205C" w:rsidRPr="009675F4">
        <w:rPr>
          <w:szCs w:val="24"/>
        </w:rPr>
        <w:t xml:space="preserve"> may be some overlap in the specific individuals that have already completed CDX activities, EPA is using a conservative assumption that all submitters who will file electronically will need to register with CDX and, thus, incur associated burdens. This assumption may overestimate the burdens and costs actually experienced by respondents.</w:t>
      </w:r>
    </w:p>
    <w:p w14:paraId="11A8443B" w14:textId="77777777" w:rsidR="0064205C" w:rsidRPr="009675F4" w:rsidRDefault="0064205C" w:rsidP="0064205C">
      <w:pPr>
        <w:rPr>
          <w:szCs w:val="24"/>
        </w:rPr>
      </w:pPr>
    </w:p>
    <w:p w14:paraId="7F4E3E02" w14:textId="77777777" w:rsidR="0064205C" w:rsidRPr="009675F4" w:rsidRDefault="0064205C" w:rsidP="00F66476">
      <w:pPr>
        <w:ind w:firstLine="720"/>
        <w:rPr>
          <w:szCs w:val="24"/>
        </w:rPr>
      </w:pPr>
      <w:r w:rsidRPr="009675F4">
        <w:rPr>
          <w:szCs w:val="24"/>
        </w:rPr>
        <w:t xml:space="preserve">The </w:t>
      </w:r>
      <w:r w:rsidRPr="00EF4846">
        <w:rPr>
          <w:i/>
          <w:szCs w:val="24"/>
        </w:rPr>
        <w:t>one-time</w:t>
      </w:r>
      <w:r w:rsidRPr="009675F4">
        <w:rPr>
          <w:szCs w:val="24"/>
        </w:rPr>
        <w:t xml:space="preserve"> CDX burden includes the following:</w:t>
      </w:r>
    </w:p>
    <w:p w14:paraId="77ADC3DD" w14:textId="77777777" w:rsidR="0064205C" w:rsidRPr="009675F4" w:rsidRDefault="0064205C" w:rsidP="0064205C">
      <w:pPr>
        <w:rPr>
          <w:szCs w:val="24"/>
        </w:rPr>
      </w:pPr>
    </w:p>
    <w:p w14:paraId="60400047" w14:textId="77777777" w:rsidR="0064205C" w:rsidRPr="003459EC" w:rsidRDefault="0064205C" w:rsidP="00714982">
      <w:pPr>
        <w:pStyle w:val="ListParagraph"/>
        <w:spacing w:line="240" w:lineRule="auto"/>
        <w:ind w:left="0" w:firstLine="720"/>
        <w:rPr>
          <w:rFonts w:ascii="Times New Roman" w:hAnsi="Times New Roman"/>
          <w:sz w:val="24"/>
          <w:szCs w:val="24"/>
        </w:rPr>
      </w:pPr>
      <w:r w:rsidRPr="00D572E4">
        <w:rPr>
          <w:rFonts w:ascii="Times New Roman" w:hAnsi="Times New Roman"/>
          <w:i/>
          <w:sz w:val="24"/>
          <w:szCs w:val="24"/>
        </w:rPr>
        <w:t>CDX Registration</w:t>
      </w:r>
      <w:r w:rsidRPr="00D572E4">
        <w:rPr>
          <w:rFonts w:ascii="Times New Roman" w:hAnsi="Times New Roman"/>
          <w:sz w:val="24"/>
          <w:szCs w:val="24"/>
        </w:rPr>
        <w:t xml:space="preserve"> – Based on the </w:t>
      </w:r>
      <w:r w:rsidRPr="003459EC">
        <w:rPr>
          <w:rFonts w:ascii="Times New Roman" w:hAnsi="Times New Roman"/>
          <w:sz w:val="24"/>
          <w:szCs w:val="24"/>
        </w:rPr>
        <w:t>CROMERR Cost Benefit Analysis,</w:t>
      </w:r>
      <w:r w:rsidRPr="00D572E4">
        <w:rPr>
          <w:rFonts w:ascii="Times New Roman" w:hAnsi="Times New Roman"/>
          <w:sz w:val="24"/>
          <w:szCs w:val="24"/>
        </w:rPr>
        <w:t xml:space="preserve"> EPA assumed that companies would spend </w:t>
      </w:r>
      <w:r w:rsidR="00482123">
        <w:rPr>
          <w:rFonts w:ascii="Times New Roman" w:hAnsi="Times New Roman"/>
          <w:sz w:val="24"/>
          <w:szCs w:val="24"/>
        </w:rPr>
        <w:t>11</w:t>
      </w:r>
      <w:r w:rsidRPr="00D572E4">
        <w:rPr>
          <w:rFonts w:ascii="Times New Roman" w:hAnsi="Times New Roman"/>
          <w:sz w:val="24"/>
          <w:szCs w:val="24"/>
        </w:rPr>
        <w:t xml:space="preserve"> minutes per employee to register with </w:t>
      </w:r>
      <w:r w:rsidRPr="003459EC">
        <w:rPr>
          <w:rFonts w:ascii="Times New Roman" w:hAnsi="Times New Roman"/>
          <w:sz w:val="24"/>
          <w:szCs w:val="24"/>
        </w:rPr>
        <w:t xml:space="preserve">CDX (EPA, 2004). Furthermore, EPA assumed that an average of four technical staff members and one manager would need to register for each company, resulting in 55 minutes of burden per </w:t>
      </w:r>
      <w:r w:rsidR="00F65A6D" w:rsidRPr="003459EC">
        <w:rPr>
          <w:rFonts w:ascii="Times New Roman" w:hAnsi="Times New Roman"/>
          <w:sz w:val="24"/>
          <w:szCs w:val="24"/>
        </w:rPr>
        <w:t>firm</w:t>
      </w:r>
      <w:r w:rsidRPr="003459EC">
        <w:rPr>
          <w:rFonts w:ascii="Times New Roman" w:hAnsi="Times New Roman"/>
          <w:sz w:val="24"/>
          <w:szCs w:val="24"/>
        </w:rPr>
        <w:t>.</w:t>
      </w:r>
    </w:p>
    <w:p w14:paraId="12577B8A" w14:textId="77777777" w:rsidR="00D62CA3" w:rsidRPr="003459EC" w:rsidRDefault="00D62CA3" w:rsidP="00714982">
      <w:pPr>
        <w:pStyle w:val="ListParagraph"/>
        <w:spacing w:line="240" w:lineRule="auto"/>
        <w:ind w:left="0"/>
        <w:rPr>
          <w:rFonts w:ascii="Times New Roman" w:hAnsi="Times New Roman"/>
          <w:i/>
          <w:sz w:val="24"/>
          <w:szCs w:val="24"/>
        </w:rPr>
      </w:pPr>
    </w:p>
    <w:p w14:paraId="412B0525" w14:textId="40113F61" w:rsidR="0064205C" w:rsidRDefault="0064205C" w:rsidP="00714982">
      <w:pPr>
        <w:pStyle w:val="ListParagraph"/>
        <w:spacing w:line="240" w:lineRule="auto"/>
        <w:ind w:left="0" w:firstLine="720"/>
        <w:rPr>
          <w:rFonts w:ascii="Times New Roman" w:hAnsi="Times New Roman"/>
          <w:sz w:val="24"/>
          <w:szCs w:val="24"/>
        </w:rPr>
      </w:pPr>
      <w:r w:rsidRPr="003459EC">
        <w:rPr>
          <w:rFonts w:ascii="Times New Roman" w:hAnsi="Times New Roman"/>
          <w:i/>
          <w:sz w:val="24"/>
          <w:szCs w:val="24"/>
        </w:rPr>
        <w:t>CDX electronic signature (labor burden)</w:t>
      </w:r>
      <w:r w:rsidRPr="003459EC">
        <w:rPr>
          <w:rFonts w:ascii="Times New Roman" w:hAnsi="Times New Roman"/>
          <w:sz w:val="24"/>
          <w:szCs w:val="24"/>
        </w:rPr>
        <w:t xml:space="preserve"> – Based on the CROMERR Cost Benefit Analysis, EPA assumed that </w:t>
      </w:r>
      <w:r w:rsidR="00F65A6D" w:rsidRPr="003459EC">
        <w:rPr>
          <w:rFonts w:ascii="Times New Roman" w:hAnsi="Times New Roman"/>
          <w:sz w:val="24"/>
          <w:szCs w:val="24"/>
        </w:rPr>
        <w:t>firms</w:t>
      </w:r>
      <w:r w:rsidRPr="003459EC">
        <w:rPr>
          <w:rFonts w:ascii="Times New Roman" w:hAnsi="Times New Roman"/>
          <w:sz w:val="24"/>
          <w:szCs w:val="24"/>
        </w:rPr>
        <w:t xml:space="preserve"> would spend 15 minutes preparing, submitting, and filing an electronic signature agreement (Authentication of Identity) form to EPA per employee (EPA, 2004). One</w:t>
      </w:r>
      <w:r w:rsidRPr="00D572E4">
        <w:rPr>
          <w:rFonts w:ascii="Times New Roman" w:hAnsi="Times New Roman"/>
          <w:sz w:val="24"/>
          <w:szCs w:val="24"/>
        </w:rPr>
        <w:t xml:space="preserve"> manager and four technical staff members per </w:t>
      </w:r>
      <w:r w:rsidR="00F65A6D">
        <w:rPr>
          <w:rFonts w:ascii="Times New Roman" w:hAnsi="Times New Roman"/>
          <w:sz w:val="24"/>
          <w:szCs w:val="24"/>
        </w:rPr>
        <w:t>firm</w:t>
      </w:r>
      <w:r w:rsidRPr="00D572E4">
        <w:rPr>
          <w:rFonts w:ascii="Times New Roman" w:hAnsi="Times New Roman"/>
          <w:sz w:val="24"/>
          <w:szCs w:val="24"/>
        </w:rPr>
        <w:t xml:space="preserve"> would incur this burden, totaling 75 minutes of burden per company. In addition, EPA </w:t>
      </w:r>
      <w:r w:rsidR="00482123">
        <w:rPr>
          <w:rFonts w:ascii="Times New Roman" w:hAnsi="Times New Roman"/>
          <w:sz w:val="24"/>
          <w:szCs w:val="24"/>
        </w:rPr>
        <w:t>estimates</w:t>
      </w:r>
      <w:r w:rsidRPr="00D572E4">
        <w:rPr>
          <w:rFonts w:ascii="Times New Roman" w:hAnsi="Times New Roman"/>
          <w:sz w:val="24"/>
          <w:szCs w:val="24"/>
        </w:rPr>
        <w:t xml:space="preserve"> that a manager would spend an additional 30 minutes accessing, preparing, and submitting verification forms (Verification of Authorization) for all authorized submitters to EPA. The total burden incurred by </w:t>
      </w:r>
      <w:r w:rsidR="00F65A6D">
        <w:rPr>
          <w:rFonts w:ascii="Times New Roman" w:hAnsi="Times New Roman"/>
          <w:sz w:val="24"/>
          <w:szCs w:val="24"/>
        </w:rPr>
        <w:t>firms</w:t>
      </w:r>
      <w:r w:rsidRPr="00D572E4">
        <w:rPr>
          <w:rFonts w:ascii="Times New Roman" w:hAnsi="Times New Roman"/>
          <w:sz w:val="24"/>
          <w:szCs w:val="24"/>
        </w:rPr>
        <w:t xml:space="preserve"> submitting and then verifying electronic signature agreements would be 105 minutes. It should be noted that the burden associated with CDX Electronic Signatures does not include costs associated with contacting EPA’s CDX help desk to notify a change of submitter status, should one occur.</w:t>
      </w:r>
    </w:p>
    <w:p w14:paraId="1DEE2646" w14:textId="77777777" w:rsidR="00D25EEC" w:rsidRPr="0027513B" w:rsidRDefault="00D25EEC" w:rsidP="0027513B">
      <w:pPr>
        <w:pStyle w:val="ListParagraph"/>
        <w:spacing w:after="0" w:line="240" w:lineRule="auto"/>
        <w:ind w:left="0" w:firstLine="720"/>
        <w:rPr>
          <w:rFonts w:ascii="Times New Roman" w:hAnsi="Times New Roman"/>
          <w:sz w:val="20"/>
          <w:szCs w:val="20"/>
        </w:rPr>
      </w:pPr>
    </w:p>
    <w:p w14:paraId="2A713622" w14:textId="676B8CA0" w:rsidR="00482123" w:rsidRPr="00F926F1" w:rsidRDefault="00F65A6D" w:rsidP="00482123">
      <w:pPr>
        <w:spacing w:after="40"/>
        <w:rPr>
          <w:b/>
          <w:szCs w:val="24"/>
        </w:rPr>
      </w:pPr>
      <w:r>
        <w:rPr>
          <w:b/>
          <w:szCs w:val="24"/>
        </w:rPr>
        <w:t>Table 7</w:t>
      </w:r>
      <w:r w:rsidR="00482123">
        <w:rPr>
          <w:b/>
          <w:szCs w:val="24"/>
        </w:rPr>
        <w:t xml:space="preserve">. </w:t>
      </w:r>
      <w:r w:rsidR="00482123" w:rsidRPr="00F926F1">
        <w:rPr>
          <w:b/>
          <w:szCs w:val="24"/>
        </w:rPr>
        <w:t>Estimated Burden Associated with New CDX Registration Activities</w:t>
      </w: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1260"/>
        <w:gridCol w:w="1260"/>
        <w:gridCol w:w="630"/>
        <w:gridCol w:w="720"/>
        <w:gridCol w:w="630"/>
        <w:gridCol w:w="720"/>
        <w:gridCol w:w="1350"/>
        <w:gridCol w:w="1170"/>
      </w:tblGrid>
      <w:tr w:rsidR="0071222A" w:rsidRPr="002F7EA9" w14:paraId="0B58DC1D" w14:textId="77777777" w:rsidTr="0027513B">
        <w:trPr>
          <w:cantSplit/>
          <w:trHeight w:val="315"/>
        </w:trPr>
        <w:tc>
          <w:tcPr>
            <w:tcW w:w="1849" w:type="dxa"/>
            <w:vMerge w:val="restart"/>
            <w:tcBorders>
              <w:top w:val="double" w:sz="6" w:space="0" w:color="000000"/>
              <w:left w:val="double" w:sz="6" w:space="0" w:color="000000"/>
            </w:tcBorders>
            <w:shd w:val="clear" w:color="auto" w:fill="auto"/>
            <w:vAlign w:val="center"/>
          </w:tcPr>
          <w:p w14:paraId="54367A16" w14:textId="77777777" w:rsidR="0071222A" w:rsidRPr="002F7EA9" w:rsidRDefault="0071222A" w:rsidP="00FF3FE7">
            <w:pPr>
              <w:jc w:val="center"/>
              <w:rPr>
                <w:sz w:val="20"/>
              </w:rPr>
            </w:pPr>
            <w:r w:rsidRPr="002F7EA9">
              <w:rPr>
                <w:b/>
                <w:sz w:val="20"/>
              </w:rPr>
              <w:t>Information Collection</w:t>
            </w:r>
          </w:p>
        </w:tc>
        <w:tc>
          <w:tcPr>
            <w:tcW w:w="1260" w:type="dxa"/>
            <w:vMerge w:val="restart"/>
            <w:tcBorders>
              <w:top w:val="double" w:sz="6" w:space="0" w:color="000000"/>
            </w:tcBorders>
            <w:shd w:val="clear" w:color="auto" w:fill="auto"/>
            <w:noWrap/>
            <w:vAlign w:val="center"/>
          </w:tcPr>
          <w:p w14:paraId="48F67FA0" w14:textId="7F17DE49" w:rsidR="0071222A" w:rsidRPr="002F7EA9" w:rsidRDefault="0071222A" w:rsidP="00FF3FE7">
            <w:pPr>
              <w:ind w:left="-108"/>
              <w:jc w:val="center"/>
              <w:rPr>
                <w:b/>
                <w:sz w:val="20"/>
              </w:rPr>
            </w:pPr>
            <w:r w:rsidRPr="002F7EA9">
              <w:rPr>
                <w:b/>
                <w:sz w:val="20"/>
              </w:rPr>
              <w:t xml:space="preserve">Estimated Number </w:t>
            </w:r>
            <w:r w:rsidR="00220D9B" w:rsidRPr="002F7EA9">
              <w:rPr>
                <w:b/>
                <w:sz w:val="20"/>
              </w:rPr>
              <w:t>of Annual</w:t>
            </w:r>
            <w:r w:rsidRPr="002F7EA9">
              <w:rPr>
                <w:b/>
                <w:sz w:val="20"/>
              </w:rPr>
              <w:t xml:space="preserve"> Respondents</w:t>
            </w:r>
          </w:p>
        </w:tc>
        <w:tc>
          <w:tcPr>
            <w:tcW w:w="1260" w:type="dxa"/>
            <w:vMerge w:val="restart"/>
            <w:tcBorders>
              <w:top w:val="double" w:sz="6" w:space="0" w:color="000000"/>
            </w:tcBorders>
            <w:shd w:val="clear" w:color="auto" w:fill="auto"/>
            <w:vAlign w:val="center"/>
          </w:tcPr>
          <w:p w14:paraId="338AEA9A" w14:textId="77777777" w:rsidR="0071222A" w:rsidRPr="002F7EA9" w:rsidRDefault="0071222A" w:rsidP="00FF3FE7">
            <w:pPr>
              <w:jc w:val="center"/>
              <w:rPr>
                <w:b/>
                <w:sz w:val="20"/>
              </w:rPr>
            </w:pPr>
            <w:r w:rsidRPr="002F7EA9">
              <w:rPr>
                <w:b/>
                <w:sz w:val="20"/>
              </w:rPr>
              <w:t>Number of Responses/</w:t>
            </w:r>
          </w:p>
          <w:p w14:paraId="7356E8BD" w14:textId="77777777" w:rsidR="0071222A" w:rsidRPr="002F7EA9" w:rsidRDefault="0071222A" w:rsidP="00FF3FE7">
            <w:pPr>
              <w:jc w:val="center"/>
              <w:rPr>
                <w:b/>
                <w:sz w:val="20"/>
              </w:rPr>
            </w:pPr>
            <w:r w:rsidRPr="002F7EA9">
              <w:rPr>
                <w:b/>
                <w:sz w:val="20"/>
              </w:rPr>
              <w:t>Respondent</w:t>
            </w:r>
          </w:p>
        </w:tc>
        <w:tc>
          <w:tcPr>
            <w:tcW w:w="2700" w:type="dxa"/>
            <w:gridSpan w:val="4"/>
            <w:tcBorders>
              <w:top w:val="double" w:sz="6" w:space="0" w:color="000000"/>
            </w:tcBorders>
            <w:shd w:val="clear" w:color="auto" w:fill="auto"/>
            <w:noWrap/>
            <w:vAlign w:val="center"/>
          </w:tcPr>
          <w:p w14:paraId="682B8FD9" w14:textId="77777777" w:rsidR="0071222A" w:rsidRPr="002F7EA9" w:rsidRDefault="0071222A" w:rsidP="00FF3FE7">
            <w:pPr>
              <w:jc w:val="center"/>
              <w:rPr>
                <w:b/>
                <w:sz w:val="20"/>
              </w:rPr>
            </w:pPr>
            <w:r w:rsidRPr="002F7EA9">
              <w:rPr>
                <w:b/>
                <w:sz w:val="20"/>
              </w:rPr>
              <w:t xml:space="preserve">Estimated Burden Hours </w:t>
            </w:r>
            <w:r>
              <w:rPr>
                <w:b/>
                <w:sz w:val="20"/>
              </w:rPr>
              <w:t xml:space="preserve">and Cost </w:t>
            </w:r>
            <w:r w:rsidRPr="002F7EA9">
              <w:rPr>
                <w:b/>
                <w:sz w:val="20"/>
              </w:rPr>
              <w:t>per Response</w:t>
            </w:r>
          </w:p>
        </w:tc>
        <w:tc>
          <w:tcPr>
            <w:tcW w:w="1350" w:type="dxa"/>
            <w:vMerge w:val="restart"/>
            <w:tcBorders>
              <w:top w:val="double" w:sz="6" w:space="0" w:color="000000"/>
            </w:tcBorders>
            <w:vAlign w:val="center"/>
          </w:tcPr>
          <w:p w14:paraId="38933EC6" w14:textId="77777777" w:rsidR="0071222A" w:rsidRPr="002F7EA9" w:rsidRDefault="0071222A" w:rsidP="00FF3FE7">
            <w:pPr>
              <w:jc w:val="center"/>
              <w:rPr>
                <w:b/>
                <w:sz w:val="20"/>
              </w:rPr>
            </w:pPr>
            <w:r w:rsidRPr="002F7EA9">
              <w:rPr>
                <w:b/>
                <w:sz w:val="20"/>
              </w:rPr>
              <w:t>Estimated Burden Hours /Year</w:t>
            </w:r>
          </w:p>
          <w:p w14:paraId="6A3A54F7" w14:textId="136260A3" w:rsidR="0071222A" w:rsidRPr="002F7EA9" w:rsidRDefault="0071222A" w:rsidP="002D05E5">
            <w:pPr>
              <w:ind w:left="-108"/>
              <w:jc w:val="center"/>
              <w:rPr>
                <w:b/>
                <w:sz w:val="20"/>
              </w:rPr>
            </w:pPr>
          </w:p>
        </w:tc>
        <w:tc>
          <w:tcPr>
            <w:tcW w:w="1170" w:type="dxa"/>
            <w:vMerge w:val="restart"/>
            <w:tcBorders>
              <w:top w:val="double" w:sz="6" w:space="0" w:color="000000"/>
              <w:right w:val="double" w:sz="6" w:space="0" w:color="000000"/>
            </w:tcBorders>
            <w:vAlign w:val="center"/>
          </w:tcPr>
          <w:p w14:paraId="130630CF" w14:textId="77777777" w:rsidR="0071222A" w:rsidRPr="002F7EA9" w:rsidRDefault="0071222A" w:rsidP="00FF3FE7">
            <w:pPr>
              <w:jc w:val="center"/>
              <w:rPr>
                <w:b/>
                <w:sz w:val="20"/>
              </w:rPr>
            </w:pPr>
            <w:r w:rsidRPr="002F7EA9">
              <w:rPr>
                <w:b/>
                <w:sz w:val="20"/>
              </w:rPr>
              <w:t xml:space="preserve">Estimated </w:t>
            </w:r>
            <w:r>
              <w:rPr>
                <w:b/>
                <w:sz w:val="20"/>
              </w:rPr>
              <w:t>Labor Cost</w:t>
            </w:r>
            <w:r w:rsidRPr="002F7EA9">
              <w:rPr>
                <w:b/>
                <w:sz w:val="20"/>
              </w:rPr>
              <w:t xml:space="preserve"> /Year</w:t>
            </w:r>
          </w:p>
          <w:p w14:paraId="5ADA7F77" w14:textId="48FB27A3" w:rsidR="0071222A" w:rsidRPr="002F7EA9" w:rsidRDefault="0071222A" w:rsidP="002D05E5">
            <w:pPr>
              <w:ind w:left="-108"/>
              <w:jc w:val="center"/>
              <w:rPr>
                <w:b/>
                <w:sz w:val="20"/>
              </w:rPr>
            </w:pPr>
          </w:p>
        </w:tc>
      </w:tr>
      <w:tr w:rsidR="0071222A" w:rsidRPr="002F7EA9" w14:paraId="416E9D8F" w14:textId="77777777" w:rsidTr="0027513B">
        <w:trPr>
          <w:cantSplit/>
          <w:trHeight w:val="153"/>
        </w:trPr>
        <w:tc>
          <w:tcPr>
            <w:tcW w:w="1849" w:type="dxa"/>
            <w:vMerge/>
            <w:tcBorders>
              <w:left w:val="double" w:sz="6" w:space="0" w:color="000000"/>
            </w:tcBorders>
            <w:shd w:val="clear" w:color="auto" w:fill="auto"/>
            <w:vAlign w:val="center"/>
          </w:tcPr>
          <w:p w14:paraId="6B00FCE1" w14:textId="77777777" w:rsidR="0071222A" w:rsidRPr="002F7EA9" w:rsidRDefault="0071222A" w:rsidP="00E23D5C">
            <w:pPr>
              <w:rPr>
                <w:b/>
                <w:sz w:val="20"/>
              </w:rPr>
            </w:pPr>
          </w:p>
        </w:tc>
        <w:tc>
          <w:tcPr>
            <w:tcW w:w="1260" w:type="dxa"/>
            <w:vMerge/>
            <w:shd w:val="clear" w:color="auto" w:fill="auto"/>
            <w:noWrap/>
            <w:vAlign w:val="center"/>
          </w:tcPr>
          <w:p w14:paraId="1FF2345C" w14:textId="77777777" w:rsidR="0071222A" w:rsidRPr="002F7EA9" w:rsidRDefault="0071222A" w:rsidP="00E23D5C">
            <w:pPr>
              <w:ind w:left="-108"/>
              <w:jc w:val="center"/>
              <w:rPr>
                <w:b/>
                <w:sz w:val="20"/>
              </w:rPr>
            </w:pPr>
          </w:p>
        </w:tc>
        <w:tc>
          <w:tcPr>
            <w:tcW w:w="1260" w:type="dxa"/>
            <w:vMerge/>
            <w:shd w:val="clear" w:color="auto" w:fill="auto"/>
            <w:vAlign w:val="center"/>
          </w:tcPr>
          <w:p w14:paraId="29CF6133" w14:textId="77777777" w:rsidR="0071222A" w:rsidRPr="002F7EA9" w:rsidRDefault="0071222A" w:rsidP="00E23D5C">
            <w:pPr>
              <w:jc w:val="center"/>
              <w:rPr>
                <w:b/>
                <w:sz w:val="20"/>
              </w:rPr>
            </w:pPr>
          </w:p>
        </w:tc>
        <w:tc>
          <w:tcPr>
            <w:tcW w:w="1350" w:type="dxa"/>
            <w:gridSpan w:val="2"/>
            <w:shd w:val="clear" w:color="auto" w:fill="auto"/>
            <w:noWrap/>
            <w:vAlign w:val="center"/>
          </w:tcPr>
          <w:p w14:paraId="13D0A8B6" w14:textId="77777777" w:rsidR="0071222A" w:rsidRPr="00FF3FE7" w:rsidRDefault="0071222A" w:rsidP="002D05E5">
            <w:pPr>
              <w:jc w:val="center"/>
              <w:rPr>
                <w:sz w:val="20"/>
              </w:rPr>
            </w:pPr>
            <w:r w:rsidRPr="00FF3FE7">
              <w:rPr>
                <w:sz w:val="20"/>
              </w:rPr>
              <w:t>Managerial</w:t>
            </w:r>
          </w:p>
        </w:tc>
        <w:tc>
          <w:tcPr>
            <w:tcW w:w="1350" w:type="dxa"/>
            <w:gridSpan w:val="2"/>
            <w:vAlign w:val="center"/>
          </w:tcPr>
          <w:p w14:paraId="46E51706" w14:textId="77777777" w:rsidR="0071222A" w:rsidRPr="00FF3FE7" w:rsidRDefault="0071222A" w:rsidP="00E23D5C">
            <w:pPr>
              <w:jc w:val="center"/>
              <w:rPr>
                <w:sz w:val="20"/>
              </w:rPr>
            </w:pPr>
            <w:r w:rsidRPr="00FF3FE7">
              <w:rPr>
                <w:sz w:val="20"/>
              </w:rPr>
              <w:t>Technical</w:t>
            </w:r>
          </w:p>
        </w:tc>
        <w:tc>
          <w:tcPr>
            <w:tcW w:w="1350" w:type="dxa"/>
            <w:vMerge/>
            <w:vAlign w:val="center"/>
          </w:tcPr>
          <w:p w14:paraId="5DB110E7" w14:textId="414079CE" w:rsidR="0071222A" w:rsidRPr="002F7EA9" w:rsidRDefault="0071222A" w:rsidP="002D05E5">
            <w:pPr>
              <w:ind w:left="-108"/>
              <w:jc w:val="center"/>
              <w:rPr>
                <w:b/>
                <w:sz w:val="20"/>
              </w:rPr>
            </w:pPr>
          </w:p>
        </w:tc>
        <w:tc>
          <w:tcPr>
            <w:tcW w:w="1170" w:type="dxa"/>
            <w:vMerge/>
            <w:tcBorders>
              <w:right w:val="double" w:sz="6" w:space="0" w:color="000000"/>
            </w:tcBorders>
            <w:vAlign w:val="center"/>
          </w:tcPr>
          <w:p w14:paraId="6CE251F2" w14:textId="5E8E4552" w:rsidR="0071222A" w:rsidRPr="002F7EA9" w:rsidRDefault="0071222A" w:rsidP="002D05E5">
            <w:pPr>
              <w:ind w:left="-108"/>
              <w:jc w:val="center"/>
              <w:rPr>
                <w:b/>
                <w:sz w:val="20"/>
              </w:rPr>
            </w:pPr>
          </w:p>
        </w:tc>
      </w:tr>
      <w:tr w:rsidR="0071222A" w:rsidRPr="002F7EA9" w14:paraId="39A92128" w14:textId="77777777" w:rsidTr="0027513B">
        <w:trPr>
          <w:cantSplit/>
          <w:trHeight w:val="255"/>
        </w:trPr>
        <w:tc>
          <w:tcPr>
            <w:tcW w:w="1849" w:type="dxa"/>
            <w:vMerge/>
            <w:tcBorders>
              <w:left w:val="double" w:sz="6" w:space="0" w:color="000000"/>
              <w:bottom w:val="double" w:sz="6" w:space="0" w:color="000000"/>
            </w:tcBorders>
            <w:shd w:val="clear" w:color="auto" w:fill="auto"/>
            <w:vAlign w:val="center"/>
          </w:tcPr>
          <w:p w14:paraId="4B9F5F79" w14:textId="77777777" w:rsidR="0071222A" w:rsidRPr="002F7EA9" w:rsidRDefault="0071222A" w:rsidP="00E23D5C">
            <w:pPr>
              <w:ind w:left="252"/>
              <w:rPr>
                <w:i/>
                <w:sz w:val="20"/>
              </w:rPr>
            </w:pPr>
          </w:p>
        </w:tc>
        <w:tc>
          <w:tcPr>
            <w:tcW w:w="1260" w:type="dxa"/>
            <w:vMerge/>
            <w:tcBorders>
              <w:bottom w:val="double" w:sz="6" w:space="0" w:color="000000"/>
            </w:tcBorders>
            <w:shd w:val="clear" w:color="auto" w:fill="auto"/>
            <w:noWrap/>
            <w:vAlign w:val="center"/>
          </w:tcPr>
          <w:p w14:paraId="3C1E8DB5" w14:textId="77777777" w:rsidR="0071222A" w:rsidRDefault="0071222A" w:rsidP="00E23D5C">
            <w:pPr>
              <w:ind w:left="-108"/>
              <w:jc w:val="center"/>
              <w:rPr>
                <w:bCs/>
                <w:iCs/>
                <w:sz w:val="20"/>
              </w:rPr>
            </w:pPr>
          </w:p>
        </w:tc>
        <w:tc>
          <w:tcPr>
            <w:tcW w:w="1260" w:type="dxa"/>
            <w:vMerge/>
            <w:tcBorders>
              <w:bottom w:val="double" w:sz="6" w:space="0" w:color="000000"/>
            </w:tcBorders>
            <w:shd w:val="clear" w:color="auto" w:fill="auto"/>
            <w:vAlign w:val="center"/>
          </w:tcPr>
          <w:p w14:paraId="7B2F300B" w14:textId="77777777" w:rsidR="0071222A" w:rsidRPr="002F7EA9" w:rsidRDefault="0071222A" w:rsidP="00E23D5C">
            <w:pPr>
              <w:ind w:left="-108"/>
              <w:jc w:val="center"/>
              <w:rPr>
                <w:color w:val="000000"/>
                <w:sz w:val="20"/>
              </w:rPr>
            </w:pPr>
          </w:p>
        </w:tc>
        <w:tc>
          <w:tcPr>
            <w:tcW w:w="630" w:type="dxa"/>
            <w:tcBorders>
              <w:bottom w:val="double" w:sz="6" w:space="0" w:color="000000"/>
            </w:tcBorders>
            <w:shd w:val="clear" w:color="auto" w:fill="auto"/>
            <w:noWrap/>
            <w:vAlign w:val="center"/>
          </w:tcPr>
          <w:p w14:paraId="5C530749" w14:textId="77777777" w:rsidR="0071222A" w:rsidRPr="00FF3FE7" w:rsidRDefault="0071222A" w:rsidP="002D05E5">
            <w:pPr>
              <w:ind w:left="-108"/>
              <w:jc w:val="center"/>
              <w:rPr>
                <w:sz w:val="20"/>
              </w:rPr>
            </w:pPr>
            <w:r w:rsidRPr="00FF3FE7">
              <w:rPr>
                <w:sz w:val="20"/>
              </w:rPr>
              <w:t>Hours</w:t>
            </w:r>
          </w:p>
        </w:tc>
        <w:tc>
          <w:tcPr>
            <w:tcW w:w="720" w:type="dxa"/>
            <w:tcBorders>
              <w:bottom w:val="double" w:sz="6" w:space="0" w:color="000000"/>
            </w:tcBorders>
            <w:vAlign w:val="center"/>
          </w:tcPr>
          <w:p w14:paraId="784B6DEF" w14:textId="77777777" w:rsidR="0071222A" w:rsidRPr="00FF3FE7" w:rsidRDefault="0071222A" w:rsidP="002D05E5">
            <w:pPr>
              <w:ind w:left="-108"/>
              <w:jc w:val="center"/>
              <w:rPr>
                <w:sz w:val="20"/>
              </w:rPr>
            </w:pPr>
            <w:r w:rsidRPr="00FF3FE7">
              <w:rPr>
                <w:sz w:val="20"/>
              </w:rPr>
              <w:t>Wage Rate</w:t>
            </w:r>
          </w:p>
        </w:tc>
        <w:tc>
          <w:tcPr>
            <w:tcW w:w="630" w:type="dxa"/>
            <w:tcBorders>
              <w:bottom w:val="double" w:sz="6" w:space="0" w:color="000000"/>
            </w:tcBorders>
            <w:vAlign w:val="center"/>
          </w:tcPr>
          <w:p w14:paraId="00C551AE" w14:textId="77777777" w:rsidR="0071222A" w:rsidRPr="00FF3FE7" w:rsidRDefault="0071222A" w:rsidP="002D05E5">
            <w:pPr>
              <w:ind w:left="-108"/>
              <w:jc w:val="center"/>
              <w:rPr>
                <w:sz w:val="20"/>
              </w:rPr>
            </w:pPr>
            <w:r w:rsidRPr="00FF3FE7">
              <w:rPr>
                <w:sz w:val="20"/>
              </w:rPr>
              <w:t>Hours</w:t>
            </w:r>
          </w:p>
        </w:tc>
        <w:tc>
          <w:tcPr>
            <w:tcW w:w="720" w:type="dxa"/>
            <w:tcBorders>
              <w:bottom w:val="double" w:sz="6" w:space="0" w:color="000000"/>
            </w:tcBorders>
            <w:vAlign w:val="center"/>
          </w:tcPr>
          <w:p w14:paraId="2CDB2A66" w14:textId="77777777" w:rsidR="0071222A" w:rsidRPr="00FF3FE7" w:rsidRDefault="0071222A" w:rsidP="002D05E5">
            <w:pPr>
              <w:ind w:left="-108"/>
              <w:jc w:val="center"/>
              <w:rPr>
                <w:sz w:val="20"/>
              </w:rPr>
            </w:pPr>
            <w:r w:rsidRPr="00FF3FE7">
              <w:rPr>
                <w:sz w:val="20"/>
              </w:rPr>
              <w:t>Wage Rate</w:t>
            </w:r>
          </w:p>
        </w:tc>
        <w:tc>
          <w:tcPr>
            <w:tcW w:w="1350" w:type="dxa"/>
            <w:vMerge/>
            <w:tcBorders>
              <w:bottom w:val="double" w:sz="6" w:space="0" w:color="000000"/>
            </w:tcBorders>
            <w:vAlign w:val="center"/>
          </w:tcPr>
          <w:p w14:paraId="6EF648A5" w14:textId="79A1F04B" w:rsidR="0071222A" w:rsidRDefault="0071222A" w:rsidP="002D05E5">
            <w:pPr>
              <w:ind w:left="-108"/>
              <w:jc w:val="center"/>
              <w:rPr>
                <w:color w:val="000000"/>
                <w:sz w:val="20"/>
              </w:rPr>
            </w:pPr>
          </w:p>
        </w:tc>
        <w:tc>
          <w:tcPr>
            <w:tcW w:w="1170" w:type="dxa"/>
            <w:vMerge/>
            <w:tcBorders>
              <w:bottom w:val="double" w:sz="6" w:space="0" w:color="000000"/>
              <w:right w:val="double" w:sz="6" w:space="0" w:color="000000"/>
            </w:tcBorders>
            <w:vAlign w:val="center"/>
          </w:tcPr>
          <w:p w14:paraId="794DD31E" w14:textId="105340CD" w:rsidR="0071222A" w:rsidRDefault="0071222A" w:rsidP="002D05E5">
            <w:pPr>
              <w:ind w:left="-108"/>
              <w:jc w:val="center"/>
              <w:rPr>
                <w:color w:val="000000"/>
                <w:sz w:val="20"/>
              </w:rPr>
            </w:pPr>
          </w:p>
        </w:tc>
      </w:tr>
      <w:tr w:rsidR="0071222A" w:rsidRPr="00D354C5" w14:paraId="4B5233BA" w14:textId="77777777" w:rsidTr="0027513B">
        <w:trPr>
          <w:cantSplit/>
        </w:trPr>
        <w:tc>
          <w:tcPr>
            <w:tcW w:w="1849" w:type="dxa"/>
            <w:tcBorders>
              <w:top w:val="double" w:sz="6" w:space="0" w:color="000000"/>
              <w:left w:val="double" w:sz="6" w:space="0" w:color="000000"/>
              <w:bottom w:val="double" w:sz="6" w:space="0" w:color="000000"/>
            </w:tcBorders>
            <w:shd w:val="clear" w:color="auto" w:fill="auto"/>
            <w:vAlign w:val="center"/>
          </w:tcPr>
          <w:p w14:paraId="2869CDBB" w14:textId="77777777" w:rsidR="0071222A" w:rsidRPr="00D354C5" w:rsidRDefault="0071222A" w:rsidP="00FF3FE7">
            <w:pPr>
              <w:rPr>
                <w:i/>
                <w:sz w:val="20"/>
              </w:rPr>
            </w:pPr>
            <w:r w:rsidRPr="00D354C5">
              <w:rPr>
                <w:i/>
                <w:sz w:val="20"/>
              </w:rPr>
              <w:t>CDX Registration &amp; E-signature</w:t>
            </w:r>
          </w:p>
        </w:tc>
        <w:tc>
          <w:tcPr>
            <w:tcW w:w="1260" w:type="dxa"/>
            <w:tcBorders>
              <w:top w:val="double" w:sz="6" w:space="0" w:color="000000"/>
              <w:bottom w:val="double" w:sz="6" w:space="0" w:color="000000"/>
            </w:tcBorders>
            <w:shd w:val="clear" w:color="auto" w:fill="auto"/>
            <w:noWrap/>
            <w:vAlign w:val="center"/>
          </w:tcPr>
          <w:p w14:paraId="7E063C5F" w14:textId="0612B813" w:rsidR="0071222A" w:rsidRPr="00D354C5" w:rsidRDefault="008B67B8" w:rsidP="00E23D5C">
            <w:pPr>
              <w:ind w:left="-108"/>
              <w:jc w:val="center"/>
              <w:rPr>
                <w:bCs/>
                <w:iCs/>
                <w:sz w:val="20"/>
              </w:rPr>
            </w:pPr>
            <w:r w:rsidRPr="00D354C5">
              <w:rPr>
                <w:bCs/>
                <w:iCs/>
                <w:sz w:val="20"/>
              </w:rPr>
              <w:t>4</w:t>
            </w:r>
          </w:p>
        </w:tc>
        <w:tc>
          <w:tcPr>
            <w:tcW w:w="1260" w:type="dxa"/>
            <w:tcBorders>
              <w:top w:val="double" w:sz="6" w:space="0" w:color="000000"/>
              <w:bottom w:val="double" w:sz="6" w:space="0" w:color="000000"/>
            </w:tcBorders>
            <w:shd w:val="clear" w:color="auto" w:fill="auto"/>
            <w:vAlign w:val="center"/>
          </w:tcPr>
          <w:p w14:paraId="5047069E" w14:textId="77777777" w:rsidR="0071222A" w:rsidRPr="00D354C5" w:rsidRDefault="0071222A" w:rsidP="00E23D5C">
            <w:pPr>
              <w:ind w:left="-108"/>
              <w:jc w:val="center"/>
              <w:rPr>
                <w:rFonts w:ascii="Arial" w:hAnsi="Arial" w:cs="Arial"/>
                <w:b/>
                <w:bCs/>
                <w:i/>
                <w:iCs/>
                <w:sz w:val="20"/>
              </w:rPr>
            </w:pPr>
            <w:r w:rsidRPr="00D354C5">
              <w:rPr>
                <w:color w:val="000000"/>
                <w:sz w:val="20"/>
              </w:rPr>
              <w:t>1</w:t>
            </w:r>
          </w:p>
        </w:tc>
        <w:tc>
          <w:tcPr>
            <w:tcW w:w="630" w:type="dxa"/>
            <w:tcBorders>
              <w:top w:val="double" w:sz="6" w:space="0" w:color="000000"/>
              <w:bottom w:val="double" w:sz="6" w:space="0" w:color="000000"/>
            </w:tcBorders>
            <w:shd w:val="clear" w:color="auto" w:fill="auto"/>
            <w:noWrap/>
            <w:vAlign w:val="center"/>
          </w:tcPr>
          <w:p w14:paraId="4FD5A9D9" w14:textId="77777777" w:rsidR="0071222A" w:rsidRPr="00D354C5" w:rsidRDefault="0071222A" w:rsidP="002D05E5">
            <w:pPr>
              <w:ind w:left="-108"/>
              <w:jc w:val="center"/>
              <w:rPr>
                <w:sz w:val="20"/>
              </w:rPr>
            </w:pPr>
            <w:r w:rsidRPr="00D354C5">
              <w:rPr>
                <w:sz w:val="20"/>
              </w:rPr>
              <w:t>0.93</w:t>
            </w:r>
          </w:p>
        </w:tc>
        <w:tc>
          <w:tcPr>
            <w:tcW w:w="720" w:type="dxa"/>
            <w:tcBorders>
              <w:top w:val="double" w:sz="6" w:space="0" w:color="000000"/>
              <w:bottom w:val="double" w:sz="6" w:space="0" w:color="000000"/>
            </w:tcBorders>
            <w:vAlign w:val="center"/>
          </w:tcPr>
          <w:p w14:paraId="52E1CA7D" w14:textId="31F3F5A5" w:rsidR="0071222A" w:rsidRPr="00D354C5" w:rsidRDefault="0071222A" w:rsidP="002D05E5">
            <w:pPr>
              <w:ind w:left="-108"/>
              <w:jc w:val="center"/>
              <w:rPr>
                <w:sz w:val="20"/>
              </w:rPr>
            </w:pPr>
            <w:r w:rsidRPr="00D354C5">
              <w:rPr>
                <w:sz w:val="20"/>
              </w:rPr>
              <w:t>$</w:t>
            </w:r>
            <w:r w:rsidR="00B00B32" w:rsidRPr="00D354C5">
              <w:rPr>
                <w:sz w:val="20"/>
              </w:rPr>
              <w:t>83.15</w:t>
            </w:r>
          </w:p>
        </w:tc>
        <w:tc>
          <w:tcPr>
            <w:tcW w:w="630" w:type="dxa"/>
            <w:tcBorders>
              <w:top w:val="double" w:sz="6" w:space="0" w:color="000000"/>
              <w:bottom w:val="double" w:sz="6" w:space="0" w:color="000000"/>
            </w:tcBorders>
            <w:vAlign w:val="center"/>
          </w:tcPr>
          <w:p w14:paraId="3B220363" w14:textId="77777777" w:rsidR="0071222A" w:rsidRPr="00D354C5" w:rsidRDefault="0071222A" w:rsidP="002D05E5">
            <w:pPr>
              <w:ind w:left="-108"/>
              <w:jc w:val="center"/>
              <w:rPr>
                <w:sz w:val="20"/>
              </w:rPr>
            </w:pPr>
            <w:r w:rsidRPr="00D354C5">
              <w:rPr>
                <w:sz w:val="20"/>
              </w:rPr>
              <w:t>1.73</w:t>
            </w:r>
          </w:p>
        </w:tc>
        <w:tc>
          <w:tcPr>
            <w:tcW w:w="720" w:type="dxa"/>
            <w:tcBorders>
              <w:top w:val="double" w:sz="6" w:space="0" w:color="000000"/>
              <w:bottom w:val="double" w:sz="6" w:space="0" w:color="000000"/>
            </w:tcBorders>
            <w:vAlign w:val="center"/>
          </w:tcPr>
          <w:p w14:paraId="22E8CEF9" w14:textId="7723808C" w:rsidR="0071222A" w:rsidRPr="00D354C5" w:rsidRDefault="0071222A" w:rsidP="002D05E5">
            <w:pPr>
              <w:ind w:left="-108"/>
              <w:jc w:val="center"/>
              <w:rPr>
                <w:sz w:val="20"/>
              </w:rPr>
            </w:pPr>
            <w:r w:rsidRPr="00D354C5">
              <w:rPr>
                <w:sz w:val="20"/>
              </w:rPr>
              <w:t>$</w:t>
            </w:r>
            <w:r w:rsidR="00B00B32" w:rsidRPr="00D354C5">
              <w:rPr>
                <w:sz w:val="20"/>
              </w:rPr>
              <w:t>78.08</w:t>
            </w:r>
          </w:p>
        </w:tc>
        <w:tc>
          <w:tcPr>
            <w:tcW w:w="1350" w:type="dxa"/>
            <w:tcBorders>
              <w:top w:val="double" w:sz="6" w:space="0" w:color="000000"/>
              <w:bottom w:val="double" w:sz="6" w:space="0" w:color="000000"/>
            </w:tcBorders>
            <w:vAlign w:val="center"/>
          </w:tcPr>
          <w:p w14:paraId="5858F069" w14:textId="172C53D2" w:rsidR="0071222A" w:rsidRPr="00D718FF" w:rsidRDefault="008B67B8" w:rsidP="002D05E5">
            <w:pPr>
              <w:ind w:left="-108"/>
              <w:jc w:val="center"/>
              <w:rPr>
                <w:sz w:val="20"/>
              </w:rPr>
            </w:pPr>
            <w:r w:rsidRPr="00D718FF">
              <w:rPr>
                <w:sz w:val="20"/>
              </w:rPr>
              <w:t>11</w:t>
            </w:r>
          </w:p>
        </w:tc>
        <w:tc>
          <w:tcPr>
            <w:tcW w:w="1170" w:type="dxa"/>
            <w:tcBorders>
              <w:top w:val="double" w:sz="6" w:space="0" w:color="000000"/>
              <w:bottom w:val="double" w:sz="6" w:space="0" w:color="000000"/>
              <w:right w:val="double" w:sz="6" w:space="0" w:color="000000"/>
            </w:tcBorders>
            <w:vAlign w:val="center"/>
          </w:tcPr>
          <w:p w14:paraId="670BD0B2" w14:textId="64609032" w:rsidR="0071222A" w:rsidRPr="00D354C5" w:rsidRDefault="008B67B8" w:rsidP="002D05E5">
            <w:pPr>
              <w:ind w:left="-108"/>
              <w:jc w:val="center"/>
              <w:rPr>
                <w:color w:val="000000"/>
                <w:sz w:val="20"/>
              </w:rPr>
            </w:pPr>
            <w:r w:rsidRPr="00D354C5">
              <w:rPr>
                <w:color w:val="000000"/>
                <w:sz w:val="20"/>
              </w:rPr>
              <w:t>$851</w:t>
            </w:r>
          </w:p>
        </w:tc>
      </w:tr>
    </w:tbl>
    <w:p w14:paraId="2B973219" w14:textId="77777777" w:rsidR="00482123" w:rsidRPr="00D354C5" w:rsidRDefault="00482123" w:rsidP="00482123">
      <w:pPr>
        <w:rPr>
          <w:szCs w:val="24"/>
        </w:rPr>
      </w:pPr>
    </w:p>
    <w:p w14:paraId="6269C684" w14:textId="086EC6E0" w:rsidR="00482123" w:rsidRPr="00D354C5" w:rsidRDefault="00482123" w:rsidP="00F66476">
      <w:pPr>
        <w:ind w:firstLine="720"/>
        <w:rPr>
          <w:bCs/>
          <w:szCs w:val="24"/>
        </w:rPr>
      </w:pPr>
      <w:r w:rsidRPr="00D354C5">
        <w:rPr>
          <w:bCs/>
          <w:szCs w:val="24"/>
        </w:rPr>
        <w:t>Non-labor costs include a $0.</w:t>
      </w:r>
      <w:r w:rsidR="00B00B32" w:rsidRPr="00D354C5">
        <w:rPr>
          <w:bCs/>
          <w:szCs w:val="24"/>
        </w:rPr>
        <w:t>49</w:t>
      </w:r>
      <w:r w:rsidR="00C45AA8" w:rsidRPr="00D354C5">
        <w:rPr>
          <w:bCs/>
          <w:szCs w:val="24"/>
        </w:rPr>
        <w:t>-</w:t>
      </w:r>
      <w:r w:rsidRPr="00D354C5">
        <w:rPr>
          <w:bCs/>
          <w:szCs w:val="24"/>
        </w:rPr>
        <w:t xml:space="preserve"> stamp and a $0.0</w:t>
      </w:r>
      <w:r w:rsidR="00B00B32" w:rsidRPr="00D354C5">
        <w:rPr>
          <w:bCs/>
          <w:szCs w:val="24"/>
        </w:rPr>
        <w:t>3</w:t>
      </w:r>
      <w:r w:rsidRPr="00D354C5">
        <w:rPr>
          <w:bCs/>
          <w:szCs w:val="24"/>
        </w:rPr>
        <w:t xml:space="preserve"> standard business envelope for each of five required electronic signature agreements. The total non-labor cost for electronic signature agreements equals $</w:t>
      </w:r>
      <w:r w:rsidR="00B00B32" w:rsidRPr="00D354C5">
        <w:rPr>
          <w:bCs/>
          <w:szCs w:val="24"/>
        </w:rPr>
        <w:t>2.60</w:t>
      </w:r>
      <w:r w:rsidRPr="00D354C5">
        <w:rPr>
          <w:bCs/>
          <w:szCs w:val="24"/>
        </w:rPr>
        <w:t>. This amounts to $</w:t>
      </w:r>
      <w:r w:rsidR="00D718FF">
        <w:rPr>
          <w:bCs/>
          <w:szCs w:val="24"/>
        </w:rPr>
        <w:t xml:space="preserve">10.40 </w:t>
      </w:r>
      <w:r w:rsidRPr="00D354C5">
        <w:rPr>
          <w:bCs/>
          <w:szCs w:val="24"/>
        </w:rPr>
        <w:t>in non-labor costs per year.</w:t>
      </w:r>
    </w:p>
    <w:p w14:paraId="0EF1A334" w14:textId="77777777" w:rsidR="003A2400" w:rsidRPr="00D354C5" w:rsidRDefault="003A2400" w:rsidP="00F65A6D">
      <w:pPr>
        <w:rPr>
          <w:bCs/>
          <w:szCs w:val="24"/>
        </w:rPr>
      </w:pPr>
    </w:p>
    <w:p w14:paraId="670EAEEC" w14:textId="1A64B344" w:rsidR="003A2400" w:rsidRDefault="003A2400" w:rsidP="00F66476">
      <w:pPr>
        <w:ind w:firstLine="720"/>
        <w:rPr>
          <w:bCs/>
          <w:szCs w:val="24"/>
        </w:rPr>
      </w:pPr>
      <w:r w:rsidRPr="00D354C5">
        <w:rPr>
          <w:color w:val="000000"/>
        </w:rPr>
        <w:t xml:space="preserve">Conservatively assuming that all </w:t>
      </w:r>
      <w:r w:rsidR="008B67B8" w:rsidRPr="00D354C5">
        <w:rPr>
          <w:color w:val="000000"/>
        </w:rPr>
        <w:t xml:space="preserve">4 </w:t>
      </w:r>
      <w:r w:rsidRPr="00D354C5">
        <w:rPr>
          <w:color w:val="000000"/>
        </w:rPr>
        <w:t xml:space="preserve">firms submitting studies will need to register with CDX, the average burden and cost per CDX registration is </w:t>
      </w:r>
      <w:r w:rsidR="008B67B8" w:rsidRPr="00D354C5">
        <w:rPr>
          <w:color w:val="000000"/>
        </w:rPr>
        <w:t xml:space="preserve">2.75 </w:t>
      </w:r>
      <w:r w:rsidR="00EF4846" w:rsidRPr="00D354C5">
        <w:rPr>
          <w:color w:val="000000"/>
        </w:rPr>
        <w:t xml:space="preserve">hours and </w:t>
      </w:r>
      <w:r w:rsidR="008B67B8" w:rsidRPr="00D354C5">
        <w:rPr>
          <w:color w:val="000000"/>
        </w:rPr>
        <w:t>$212.75</w:t>
      </w:r>
      <w:r w:rsidR="00EF4846">
        <w:rPr>
          <w:color w:val="000000"/>
        </w:rPr>
        <w:t>, respectively.</w:t>
      </w:r>
    </w:p>
    <w:p w14:paraId="395973F1" w14:textId="77777777" w:rsidR="00482123" w:rsidRDefault="00482123" w:rsidP="00482123">
      <w:pPr>
        <w:rPr>
          <w:szCs w:val="24"/>
        </w:rPr>
      </w:pPr>
    </w:p>
    <w:p w14:paraId="37C1C715" w14:textId="2F39A854" w:rsidR="003F63AD" w:rsidRDefault="00A5395D" w:rsidP="00F66476">
      <w:pPr>
        <w:widowControl w:val="0"/>
        <w:ind w:firstLine="720"/>
        <w:rPr>
          <w:color w:val="000000"/>
        </w:rPr>
      </w:pPr>
      <w:r>
        <w:rPr>
          <w:b/>
          <w:color w:val="000000"/>
        </w:rPr>
        <w:t>6(f)</w:t>
      </w:r>
      <w:r w:rsidR="00F66476">
        <w:rPr>
          <w:b/>
          <w:color w:val="000000"/>
        </w:rPr>
        <w:tab/>
      </w:r>
      <w:r w:rsidR="003F63AD">
        <w:rPr>
          <w:b/>
          <w:color w:val="000000"/>
        </w:rPr>
        <w:t>Estimating Agency Cost</w:t>
      </w:r>
    </w:p>
    <w:p w14:paraId="1FFF4500" w14:textId="77777777" w:rsidR="003F63AD" w:rsidRDefault="003F63AD" w:rsidP="00A411E8">
      <w:pPr>
        <w:widowControl w:val="0"/>
        <w:rPr>
          <w:color w:val="000000"/>
        </w:rPr>
      </w:pPr>
    </w:p>
    <w:p w14:paraId="1F06D8B5" w14:textId="77777777" w:rsidR="003F63AD" w:rsidRDefault="003F63AD" w:rsidP="00F66476">
      <w:pPr>
        <w:widowControl w:val="0"/>
        <w:ind w:firstLine="720"/>
        <w:rPr>
          <w:color w:val="000000"/>
        </w:rPr>
      </w:pPr>
      <w:r>
        <w:rPr>
          <w:color w:val="000000"/>
        </w:rPr>
        <w:t xml:space="preserve">The activities routinely conducted by EPA related to processing and storage of the information collected under this rule include </w:t>
      </w:r>
      <w:r w:rsidR="00596563">
        <w:rPr>
          <w:color w:val="000000"/>
        </w:rPr>
        <w:t>p</w:t>
      </w:r>
      <w:r w:rsidR="00596563" w:rsidRPr="00596563">
        <w:rPr>
          <w:color w:val="000000"/>
        </w:rPr>
        <w:t>rocess</w:t>
      </w:r>
      <w:r w:rsidR="00596563">
        <w:rPr>
          <w:color w:val="000000"/>
        </w:rPr>
        <w:t>ing</w:t>
      </w:r>
      <w:r w:rsidR="000A4A2F">
        <w:rPr>
          <w:color w:val="000000"/>
        </w:rPr>
        <w:t xml:space="preserve"> and analyzing</w:t>
      </w:r>
      <w:r w:rsidR="00596563" w:rsidRPr="00596563">
        <w:rPr>
          <w:color w:val="000000"/>
        </w:rPr>
        <w:t xml:space="preserve"> </w:t>
      </w:r>
      <w:r w:rsidR="000A4A2F">
        <w:rPr>
          <w:color w:val="000000"/>
        </w:rPr>
        <w:t>the materials submitted under the rule</w:t>
      </w:r>
      <w:r w:rsidR="00596563" w:rsidRPr="00596563">
        <w:rPr>
          <w:color w:val="000000"/>
        </w:rPr>
        <w:t>, including requests for confidentiality; and</w:t>
      </w:r>
      <w:r w:rsidR="00596563">
        <w:rPr>
          <w:color w:val="000000"/>
        </w:rPr>
        <w:t xml:space="preserve"> main</w:t>
      </w:r>
      <w:r w:rsidR="00596563" w:rsidRPr="00596563">
        <w:rPr>
          <w:color w:val="000000"/>
        </w:rPr>
        <w:t>tain</w:t>
      </w:r>
      <w:r w:rsidR="00596563">
        <w:rPr>
          <w:color w:val="000000"/>
        </w:rPr>
        <w:t>ing</w:t>
      </w:r>
      <w:r w:rsidR="00596563" w:rsidRPr="00596563">
        <w:rPr>
          <w:color w:val="000000"/>
        </w:rPr>
        <w:t xml:space="preserve"> and distribut</w:t>
      </w:r>
      <w:r w:rsidR="00596563">
        <w:rPr>
          <w:color w:val="000000"/>
        </w:rPr>
        <w:t>ing</w:t>
      </w:r>
      <w:r w:rsidR="00596563" w:rsidRPr="00596563">
        <w:rPr>
          <w:color w:val="000000"/>
        </w:rPr>
        <w:t xml:space="preserve"> data.</w:t>
      </w:r>
    </w:p>
    <w:p w14:paraId="64B46B12" w14:textId="77777777" w:rsidR="003F63AD" w:rsidRDefault="003F63AD" w:rsidP="00A411E8">
      <w:pPr>
        <w:pStyle w:val="a"/>
        <w:ind w:left="1440" w:hanging="1440"/>
        <w:rPr>
          <w:color w:val="000000"/>
        </w:rPr>
      </w:pPr>
    </w:p>
    <w:p w14:paraId="67CAF213" w14:textId="78B0672B" w:rsidR="00FB39CA" w:rsidRPr="00C91941" w:rsidRDefault="00D62CA3" w:rsidP="00C91941">
      <w:pPr>
        <w:widowControl w:val="0"/>
        <w:ind w:firstLine="720"/>
        <w:rPr>
          <w:color w:val="000000"/>
        </w:rPr>
      </w:pPr>
      <w:r>
        <w:rPr>
          <w:color w:val="000000"/>
        </w:rPr>
        <w:t>T</w:t>
      </w:r>
      <w:r w:rsidR="003F63AD" w:rsidRPr="00FC6AEF">
        <w:rPr>
          <w:color w:val="000000"/>
        </w:rPr>
        <w:t>he activities associated with Agency responses to TSCA section 8(d) listings are assumed to be accomplished by a GS 13, Step 5 federal employee</w:t>
      </w:r>
      <w:r w:rsidR="00205FAB">
        <w:rPr>
          <w:color w:val="000000"/>
        </w:rPr>
        <w:t xml:space="preserve">. </w:t>
      </w:r>
      <w:r w:rsidR="003F63AD" w:rsidRPr="00153FD9">
        <w:rPr>
          <w:color w:val="000000"/>
        </w:rPr>
        <w:t xml:space="preserve">The </w:t>
      </w:r>
      <w:r w:rsidR="00153FD9" w:rsidRPr="00153FD9">
        <w:rPr>
          <w:color w:val="000000"/>
        </w:rPr>
        <w:t>201</w:t>
      </w:r>
      <w:r w:rsidR="00622BDE">
        <w:rPr>
          <w:color w:val="000000"/>
        </w:rPr>
        <w:t>7</w:t>
      </w:r>
      <w:r w:rsidR="006366D7" w:rsidRPr="00153FD9">
        <w:rPr>
          <w:color w:val="000000"/>
        </w:rPr>
        <w:t xml:space="preserve"> </w:t>
      </w:r>
      <w:r w:rsidR="003F63AD" w:rsidRPr="00153FD9">
        <w:rPr>
          <w:color w:val="000000"/>
        </w:rPr>
        <w:t>hourly wage rate for this level of employee in the Washington, D.C. locality is $</w:t>
      </w:r>
      <w:r w:rsidR="00346E15">
        <w:rPr>
          <w:color w:val="000000"/>
        </w:rPr>
        <w:t>51.48</w:t>
      </w:r>
      <w:r w:rsidR="003F63AD" w:rsidRPr="00153FD9">
        <w:rPr>
          <w:color w:val="000000"/>
        </w:rPr>
        <w:t xml:space="preserve"> per hour</w:t>
      </w:r>
      <w:r w:rsidR="00205FAB">
        <w:rPr>
          <w:color w:val="000000"/>
        </w:rPr>
        <w:t xml:space="preserve">. </w:t>
      </w:r>
      <w:r w:rsidR="003F63AD" w:rsidRPr="00153FD9">
        <w:rPr>
          <w:color w:val="000000"/>
        </w:rPr>
        <w:t>Adding 60% for benefits and overhead yields a loaded annual wage rate of $</w:t>
      </w:r>
      <w:r w:rsidR="00346E15">
        <w:rPr>
          <w:color w:val="000000"/>
        </w:rPr>
        <w:t>82.36</w:t>
      </w:r>
      <w:r w:rsidR="00153FD9">
        <w:rPr>
          <w:color w:val="000000"/>
        </w:rPr>
        <w:t xml:space="preserve"> </w:t>
      </w:r>
      <w:r w:rsidR="003F63AD" w:rsidRPr="00153FD9">
        <w:rPr>
          <w:color w:val="000000"/>
        </w:rPr>
        <w:t>per hour.</w:t>
      </w:r>
      <w:r w:rsidR="003F63AD" w:rsidRPr="00153FD9">
        <w:rPr>
          <w:rStyle w:val="FootnoteReference"/>
          <w:color w:val="000000"/>
        </w:rPr>
        <w:footnoteReference w:id="2"/>
      </w:r>
    </w:p>
    <w:p w14:paraId="6FB5C26D" w14:textId="77777777" w:rsidR="00FB39CA" w:rsidRDefault="003F63AD" w:rsidP="00A411E8">
      <w:pPr>
        <w:widowControl w:val="0"/>
        <w:rPr>
          <w:color w:val="000000"/>
        </w:rPr>
      </w:pPr>
      <w:r>
        <w:rPr>
          <w:color w:val="000000"/>
        </w:rPr>
        <w:tab/>
      </w:r>
    </w:p>
    <w:p w14:paraId="2AF0D5A5" w14:textId="5F15271E" w:rsidR="003F63AD" w:rsidRDefault="003F63AD" w:rsidP="00F66476">
      <w:pPr>
        <w:widowControl w:val="0"/>
        <w:ind w:firstLine="720"/>
        <w:rPr>
          <w:color w:val="000000"/>
        </w:rPr>
      </w:pPr>
      <w:r w:rsidRPr="00D211D3">
        <w:rPr>
          <w:color w:val="000000"/>
        </w:rPr>
        <w:t>Th</w:t>
      </w:r>
      <w:r w:rsidR="00E03CA3">
        <w:rPr>
          <w:color w:val="000000"/>
        </w:rPr>
        <w:t>e estimated annual cost to the f</w:t>
      </w:r>
      <w:r w:rsidRPr="00D211D3">
        <w:rPr>
          <w:color w:val="000000"/>
        </w:rPr>
        <w:t xml:space="preserve">ederal government for TSCA section 8(d) data collection </w:t>
      </w:r>
      <w:r w:rsidR="00D211D3" w:rsidRPr="00D211D3">
        <w:rPr>
          <w:color w:val="000000"/>
        </w:rPr>
        <w:t>totals $</w:t>
      </w:r>
      <w:r w:rsidR="006769E3">
        <w:rPr>
          <w:color w:val="000000"/>
        </w:rPr>
        <w:t>4,813.94</w:t>
      </w:r>
      <w:r w:rsidR="006366D7" w:rsidRPr="00D211D3">
        <w:rPr>
          <w:color w:val="000000"/>
        </w:rPr>
        <w:t xml:space="preserve"> for </w:t>
      </w:r>
      <w:r w:rsidR="00A011B5">
        <w:rPr>
          <w:color w:val="000000"/>
        </w:rPr>
        <w:t>58.45</w:t>
      </w:r>
      <w:r w:rsidR="00A011B5" w:rsidRPr="00D211D3">
        <w:rPr>
          <w:color w:val="000000"/>
        </w:rPr>
        <w:t xml:space="preserve"> </w:t>
      </w:r>
      <w:r w:rsidR="006366D7" w:rsidRPr="00D211D3">
        <w:rPr>
          <w:color w:val="000000"/>
        </w:rPr>
        <w:t>hours</w:t>
      </w:r>
      <w:r w:rsidR="00D211D3">
        <w:rPr>
          <w:color w:val="000000"/>
        </w:rPr>
        <w:t>,</w:t>
      </w:r>
      <w:r w:rsidR="006366D7" w:rsidRPr="00D211D3">
        <w:rPr>
          <w:color w:val="000000"/>
        </w:rPr>
        <w:t xml:space="preserve"> a</w:t>
      </w:r>
      <w:r w:rsidRPr="00D211D3">
        <w:rPr>
          <w:color w:val="000000"/>
        </w:rPr>
        <w:t xml:space="preserve">s </w:t>
      </w:r>
      <w:r w:rsidR="006366D7" w:rsidRPr="00D211D3">
        <w:rPr>
          <w:color w:val="000000"/>
        </w:rPr>
        <w:t xml:space="preserve">presented </w:t>
      </w:r>
      <w:r w:rsidRPr="00D211D3">
        <w:rPr>
          <w:color w:val="000000"/>
        </w:rPr>
        <w:t xml:space="preserve">in Table </w:t>
      </w:r>
      <w:r w:rsidR="006769E3">
        <w:rPr>
          <w:color w:val="000000"/>
        </w:rPr>
        <w:t>8</w:t>
      </w:r>
      <w:r w:rsidRPr="00D211D3">
        <w:rPr>
          <w:color w:val="000000"/>
        </w:rPr>
        <w:t>.</w:t>
      </w:r>
    </w:p>
    <w:p w14:paraId="7440F321" w14:textId="77777777" w:rsidR="00ED67F0" w:rsidRDefault="00ED67F0" w:rsidP="00A411E8">
      <w:pPr>
        <w:widowControl w:val="0"/>
        <w:rPr>
          <w:color w:val="000000"/>
        </w:rPr>
      </w:pPr>
    </w:p>
    <w:tbl>
      <w:tblPr>
        <w:tblW w:w="9090" w:type="dxa"/>
        <w:tblInd w:w="108" w:type="dxa"/>
        <w:tblLook w:val="04A0" w:firstRow="1" w:lastRow="0" w:firstColumn="1" w:lastColumn="0" w:noHBand="0" w:noVBand="1"/>
      </w:tblPr>
      <w:tblGrid>
        <w:gridCol w:w="5196"/>
        <w:gridCol w:w="976"/>
        <w:gridCol w:w="1928"/>
        <w:gridCol w:w="1016"/>
      </w:tblGrid>
      <w:tr w:rsidR="00ED67F0" w:rsidRPr="00ED67F0" w14:paraId="0EAE1C1D" w14:textId="77777777" w:rsidTr="00453EFC">
        <w:trPr>
          <w:trHeight w:val="330"/>
        </w:trPr>
        <w:tc>
          <w:tcPr>
            <w:tcW w:w="5196" w:type="dxa"/>
            <w:tcBorders>
              <w:top w:val="nil"/>
              <w:left w:val="nil"/>
              <w:bottom w:val="nil"/>
              <w:right w:val="nil"/>
            </w:tcBorders>
            <w:shd w:val="clear" w:color="auto" w:fill="auto"/>
            <w:noWrap/>
            <w:vAlign w:val="center"/>
            <w:hideMark/>
          </w:tcPr>
          <w:p w14:paraId="7ABC312C" w14:textId="691CCE61" w:rsidR="00ED67F0" w:rsidRPr="00ED67F0" w:rsidRDefault="00ED67F0" w:rsidP="00ED67F0">
            <w:pPr>
              <w:rPr>
                <w:b/>
                <w:bCs/>
                <w:color w:val="000000"/>
                <w:szCs w:val="24"/>
              </w:rPr>
            </w:pPr>
            <w:r w:rsidRPr="00ED67F0">
              <w:rPr>
                <w:b/>
                <w:bCs/>
                <w:color w:val="000000"/>
                <w:szCs w:val="24"/>
              </w:rPr>
              <w:t xml:space="preserve">Table </w:t>
            </w:r>
            <w:r w:rsidR="00FF3FE7">
              <w:rPr>
                <w:b/>
                <w:bCs/>
                <w:color w:val="000000"/>
                <w:szCs w:val="24"/>
              </w:rPr>
              <w:t>8</w:t>
            </w:r>
            <w:r w:rsidR="00205FAB">
              <w:rPr>
                <w:b/>
                <w:bCs/>
                <w:color w:val="000000"/>
                <w:szCs w:val="24"/>
              </w:rPr>
              <w:t xml:space="preserve">. </w:t>
            </w:r>
            <w:r w:rsidRPr="00ED67F0">
              <w:rPr>
                <w:b/>
                <w:bCs/>
                <w:color w:val="000000"/>
                <w:szCs w:val="24"/>
              </w:rPr>
              <w:t>Agency Annual Cost Estimates</w:t>
            </w:r>
          </w:p>
        </w:tc>
        <w:tc>
          <w:tcPr>
            <w:tcW w:w="976" w:type="dxa"/>
            <w:tcBorders>
              <w:top w:val="nil"/>
              <w:left w:val="nil"/>
              <w:bottom w:val="nil"/>
              <w:right w:val="nil"/>
            </w:tcBorders>
            <w:shd w:val="clear" w:color="auto" w:fill="auto"/>
            <w:noWrap/>
            <w:vAlign w:val="bottom"/>
            <w:hideMark/>
          </w:tcPr>
          <w:p w14:paraId="20B74C50" w14:textId="77777777" w:rsidR="00ED67F0" w:rsidRPr="00ED67F0" w:rsidRDefault="00ED67F0" w:rsidP="00ED67F0">
            <w:pPr>
              <w:rPr>
                <w:rFonts w:ascii="Calibri" w:hAnsi="Calibri" w:cs="Calibri"/>
                <w:color w:val="000000"/>
                <w:sz w:val="22"/>
                <w:szCs w:val="22"/>
              </w:rPr>
            </w:pPr>
          </w:p>
        </w:tc>
        <w:tc>
          <w:tcPr>
            <w:tcW w:w="1928" w:type="dxa"/>
            <w:tcBorders>
              <w:top w:val="nil"/>
              <w:left w:val="nil"/>
              <w:bottom w:val="nil"/>
              <w:right w:val="nil"/>
            </w:tcBorders>
            <w:shd w:val="clear" w:color="auto" w:fill="auto"/>
            <w:noWrap/>
            <w:vAlign w:val="bottom"/>
            <w:hideMark/>
          </w:tcPr>
          <w:p w14:paraId="32F75F1F" w14:textId="77777777" w:rsidR="00ED67F0" w:rsidRPr="00ED67F0" w:rsidRDefault="00ED67F0" w:rsidP="00ED67F0">
            <w:pPr>
              <w:rPr>
                <w:rFonts w:ascii="Calibri" w:hAnsi="Calibri" w:cs="Calibri"/>
                <w:color w:val="000000"/>
                <w:sz w:val="22"/>
                <w:szCs w:val="22"/>
              </w:rPr>
            </w:pPr>
          </w:p>
        </w:tc>
        <w:tc>
          <w:tcPr>
            <w:tcW w:w="990" w:type="dxa"/>
            <w:tcBorders>
              <w:top w:val="nil"/>
              <w:left w:val="nil"/>
              <w:bottom w:val="nil"/>
              <w:right w:val="nil"/>
            </w:tcBorders>
            <w:shd w:val="clear" w:color="auto" w:fill="auto"/>
            <w:noWrap/>
            <w:vAlign w:val="bottom"/>
            <w:hideMark/>
          </w:tcPr>
          <w:p w14:paraId="5708FBBB" w14:textId="77777777" w:rsidR="00ED67F0" w:rsidRPr="00ED67F0" w:rsidRDefault="00ED67F0" w:rsidP="00ED67F0">
            <w:pPr>
              <w:rPr>
                <w:rFonts w:ascii="Calibri" w:hAnsi="Calibri" w:cs="Calibri"/>
                <w:color w:val="000000"/>
                <w:sz w:val="22"/>
                <w:szCs w:val="22"/>
              </w:rPr>
            </w:pPr>
          </w:p>
        </w:tc>
      </w:tr>
      <w:tr w:rsidR="00153FD9" w:rsidRPr="00ED67F0" w14:paraId="6F0D4F65" w14:textId="77777777" w:rsidTr="009A3490">
        <w:trPr>
          <w:cantSplit/>
          <w:trHeight w:val="675"/>
        </w:trPr>
        <w:tc>
          <w:tcPr>
            <w:tcW w:w="5196" w:type="dxa"/>
            <w:tcBorders>
              <w:top w:val="double" w:sz="6" w:space="0" w:color="000000"/>
              <w:left w:val="double" w:sz="6" w:space="0" w:color="000000"/>
              <w:bottom w:val="double" w:sz="6" w:space="0" w:color="000000"/>
              <w:right w:val="single" w:sz="8" w:space="0" w:color="000000"/>
            </w:tcBorders>
            <w:shd w:val="clear" w:color="auto" w:fill="auto"/>
            <w:vAlign w:val="center"/>
            <w:hideMark/>
          </w:tcPr>
          <w:p w14:paraId="48793C95" w14:textId="77777777" w:rsidR="00153FD9" w:rsidRPr="005B3A2F" w:rsidRDefault="00153FD9" w:rsidP="00ED67F0">
            <w:pPr>
              <w:jc w:val="center"/>
              <w:rPr>
                <w:b/>
                <w:bCs/>
                <w:color w:val="000000"/>
                <w:sz w:val="20"/>
              </w:rPr>
            </w:pPr>
            <w:r w:rsidRPr="005B3A2F">
              <w:rPr>
                <w:b/>
                <w:bCs/>
                <w:color w:val="000000"/>
                <w:sz w:val="20"/>
              </w:rPr>
              <w:t>Collection Activity</w:t>
            </w:r>
          </w:p>
        </w:tc>
        <w:tc>
          <w:tcPr>
            <w:tcW w:w="976" w:type="dxa"/>
            <w:tcBorders>
              <w:top w:val="double" w:sz="6" w:space="0" w:color="000000"/>
              <w:left w:val="single" w:sz="8" w:space="0" w:color="000000"/>
              <w:bottom w:val="double" w:sz="6" w:space="0" w:color="000000"/>
              <w:right w:val="single" w:sz="8" w:space="0" w:color="000000"/>
            </w:tcBorders>
            <w:shd w:val="clear" w:color="auto" w:fill="auto"/>
            <w:vAlign w:val="center"/>
            <w:hideMark/>
          </w:tcPr>
          <w:p w14:paraId="6E15F4DF" w14:textId="77777777" w:rsidR="00153FD9" w:rsidRPr="005B3A2F" w:rsidRDefault="00153FD9" w:rsidP="00ED67F0">
            <w:pPr>
              <w:jc w:val="center"/>
              <w:rPr>
                <w:b/>
                <w:bCs/>
                <w:color w:val="000000"/>
                <w:sz w:val="20"/>
              </w:rPr>
            </w:pPr>
            <w:r w:rsidRPr="005B3A2F">
              <w:rPr>
                <w:b/>
                <w:bCs/>
                <w:color w:val="000000"/>
                <w:sz w:val="20"/>
              </w:rPr>
              <w:t xml:space="preserve">FTEs </w:t>
            </w:r>
          </w:p>
        </w:tc>
        <w:tc>
          <w:tcPr>
            <w:tcW w:w="1928" w:type="dxa"/>
            <w:tcBorders>
              <w:top w:val="double" w:sz="6" w:space="0" w:color="000000"/>
              <w:left w:val="nil"/>
              <w:bottom w:val="double" w:sz="4" w:space="0" w:color="auto"/>
              <w:right w:val="single" w:sz="8" w:space="0" w:color="000000"/>
            </w:tcBorders>
            <w:shd w:val="clear" w:color="auto" w:fill="auto"/>
            <w:vAlign w:val="center"/>
            <w:hideMark/>
          </w:tcPr>
          <w:p w14:paraId="5B5FF98F" w14:textId="77777777" w:rsidR="00153FD9" w:rsidRPr="005B3A2F" w:rsidRDefault="00153FD9" w:rsidP="00ED67F0">
            <w:pPr>
              <w:jc w:val="center"/>
              <w:rPr>
                <w:b/>
                <w:bCs/>
                <w:color w:val="000000"/>
                <w:sz w:val="20"/>
              </w:rPr>
            </w:pPr>
            <w:r w:rsidRPr="005B3A2F">
              <w:rPr>
                <w:b/>
                <w:bCs/>
                <w:color w:val="000000"/>
                <w:sz w:val="20"/>
              </w:rPr>
              <w:t xml:space="preserve">Hours </w:t>
            </w:r>
          </w:p>
        </w:tc>
        <w:tc>
          <w:tcPr>
            <w:tcW w:w="990" w:type="dxa"/>
            <w:tcBorders>
              <w:top w:val="double" w:sz="6" w:space="0" w:color="000000"/>
              <w:left w:val="single" w:sz="8" w:space="0" w:color="000000"/>
              <w:bottom w:val="double" w:sz="6" w:space="0" w:color="000000"/>
              <w:right w:val="double" w:sz="6" w:space="0" w:color="000000"/>
            </w:tcBorders>
            <w:shd w:val="clear" w:color="auto" w:fill="auto"/>
            <w:vAlign w:val="center"/>
            <w:hideMark/>
          </w:tcPr>
          <w:p w14:paraId="0BF5C82E" w14:textId="77777777" w:rsidR="00153FD9" w:rsidRPr="005B3A2F" w:rsidRDefault="00153FD9" w:rsidP="00ED67F0">
            <w:pPr>
              <w:jc w:val="center"/>
              <w:rPr>
                <w:b/>
                <w:bCs/>
                <w:color w:val="000000"/>
                <w:sz w:val="20"/>
              </w:rPr>
            </w:pPr>
            <w:r w:rsidRPr="005B3A2F">
              <w:rPr>
                <w:b/>
                <w:bCs/>
                <w:color w:val="000000"/>
                <w:sz w:val="20"/>
              </w:rPr>
              <w:t>Annual Cost</w:t>
            </w:r>
          </w:p>
        </w:tc>
      </w:tr>
      <w:tr w:rsidR="00453EFC" w:rsidRPr="00ED67F0" w14:paraId="130D698C" w14:textId="77777777" w:rsidTr="00153FD9">
        <w:trPr>
          <w:cantSplit/>
          <w:trHeight w:val="345"/>
        </w:trPr>
        <w:tc>
          <w:tcPr>
            <w:tcW w:w="5196" w:type="dxa"/>
            <w:tcBorders>
              <w:top w:val="nil"/>
              <w:left w:val="double" w:sz="6" w:space="0" w:color="000000"/>
              <w:bottom w:val="single" w:sz="8" w:space="0" w:color="000000"/>
              <w:right w:val="single" w:sz="8" w:space="0" w:color="000000"/>
            </w:tcBorders>
            <w:shd w:val="clear" w:color="auto" w:fill="auto"/>
            <w:vAlign w:val="center"/>
            <w:hideMark/>
          </w:tcPr>
          <w:p w14:paraId="6CABC8DB" w14:textId="77777777" w:rsidR="00453EFC" w:rsidRPr="005B3A2F" w:rsidRDefault="00453EFC" w:rsidP="00ED67F0">
            <w:pPr>
              <w:rPr>
                <w:color w:val="000000"/>
                <w:sz w:val="20"/>
              </w:rPr>
            </w:pPr>
            <w:r w:rsidRPr="005B3A2F">
              <w:rPr>
                <w:color w:val="000000"/>
                <w:sz w:val="20"/>
              </w:rPr>
              <w:t>Data processing and system support</w:t>
            </w:r>
          </w:p>
        </w:tc>
        <w:tc>
          <w:tcPr>
            <w:tcW w:w="976" w:type="dxa"/>
            <w:tcBorders>
              <w:top w:val="nil"/>
              <w:left w:val="nil"/>
              <w:bottom w:val="single" w:sz="8" w:space="0" w:color="000000"/>
              <w:right w:val="single" w:sz="8" w:space="0" w:color="000000"/>
            </w:tcBorders>
            <w:shd w:val="clear" w:color="auto" w:fill="auto"/>
            <w:vAlign w:val="center"/>
            <w:hideMark/>
          </w:tcPr>
          <w:p w14:paraId="15455A72" w14:textId="77777777" w:rsidR="00453EFC" w:rsidRPr="005B3A2F" w:rsidRDefault="00453EFC" w:rsidP="00ED67F0">
            <w:pPr>
              <w:jc w:val="center"/>
              <w:rPr>
                <w:color w:val="000000"/>
                <w:sz w:val="20"/>
              </w:rPr>
            </w:pPr>
            <w:r w:rsidRPr="005B3A2F">
              <w:rPr>
                <w:color w:val="000000"/>
                <w:sz w:val="20"/>
              </w:rPr>
              <w:t>0.025</w:t>
            </w:r>
          </w:p>
        </w:tc>
        <w:tc>
          <w:tcPr>
            <w:tcW w:w="1928" w:type="dxa"/>
            <w:tcBorders>
              <w:top w:val="double" w:sz="4" w:space="0" w:color="auto"/>
              <w:left w:val="nil"/>
              <w:bottom w:val="single" w:sz="8" w:space="0" w:color="000000"/>
              <w:right w:val="single" w:sz="8" w:space="0" w:color="000000"/>
            </w:tcBorders>
            <w:shd w:val="clear" w:color="auto" w:fill="auto"/>
            <w:vAlign w:val="center"/>
            <w:hideMark/>
          </w:tcPr>
          <w:p w14:paraId="20AB75A6" w14:textId="77777777" w:rsidR="00453EFC" w:rsidRPr="005B3A2F" w:rsidRDefault="00A011B5" w:rsidP="00ED67F0">
            <w:pPr>
              <w:jc w:val="center"/>
              <w:rPr>
                <w:color w:val="000000"/>
                <w:sz w:val="20"/>
              </w:rPr>
            </w:pPr>
            <w:r w:rsidRPr="005B3A2F">
              <w:rPr>
                <w:color w:val="000000"/>
                <w:sz w:val="20"/>
              </w:rPr>
              <w:t>41.75</w:t>
            </w:r>
          </w:p>
        </w:tc>
        <w:tc>
          <w:tcPr>
            <w:tcW w:w="990" w:type="dxa"/>
            <w:tcBorders>
              <w:top w:val="nil"/>
              <w:left w:val="nil"/>
              <w:bottom w:val="single" w:sz="8" w:space="0" w:color="000000"/>
              <w:right w:val="double" w:sz="6" w:space="0" w:color="000000"/>
            </w:tcBorders>
            <w:shd w:val="clear" w:color="auto" w:fill="auto"/>
            <w:vAlign w:val="center"/>
            <w:hideMark/>
          </w:tcPr>
          <w:p w14:paraId="6CCD178D" w14:textId="669E4546" w:rsidR="00453EFC" w:rsidRPr="005B3A2F" w:rsidRDefault="00D211D3" w:rsidP="00A011B5">
            <w:pPr>
              <w:jc w:val="center"/>
              <w:rPr>
                <w:color w:val="000000"/>
                <w:sz w:val="20"/>
              </w:rPr>
            </w:pPr>
            <w:r w:rsidRPr="005B3A2F">
              <w:rPr>
                <w:color w:val="000000"/>
                <w:sz w:val="20"/>
              </w:rPr>
              <w:t>$</w:t>
            </w:r>
            <w:r w:rsidR="003F316F">
              <w:rPr>
                <w:color w:val="000000"/>
                <w:sz w:val="20"/>
              </w:rPr>
              <w:t>3,438.53</w:t>
            </w:r>
            <w:r w:rsidR="00453EFC" w:rsidRPr="005B3A2F">
              <w:rPr>
                <w:color w:val="000000"/>
                <w:sz w:val="20"/>
              </w:rPr>
              <w:t xml:space="preserve"> </w:t>
            </w:r>
          </w:p>
        </w:tc>
      </w:tr>
      <w:tr w:rsidR="00453EFC" w:rsidRPr="00ED67F0" w14:paraId="69452CDC" w14:textId="77777777" w:rsidTr="00453EFC">
        <w:trPr>
          <w:cantSplit/>
          <w:trHeight w:val="330"/>
        </w:trPr>
        <w:tc>
          <w:tcPr>
            <w:tcW w:w="5196" w:type="dxa"/>
            <w:tcBorders>
              <w:top w:val="nil"/>
              <w:left w:val="double" w:sz="6" w:space="0" w:color="000000"/>
              <w:bottom w:val="single" w:sz="8" w:space="0" w:color="000000"/>
              <w:right w:val="single" w:sz="8" w:space="0" w:color="000000"/>
            </w:tcBorders>
            <w:shd w:val="clear" w:color="auto" w:fill="auto"/>
            <w:vAlign w:val="center"/>
            <w:hideMark/>
          </w:tcPr>
          <w:p w14:paraId="0496D3F0" w14:textId="77777777" w:rsidR="00453EFC" w:rsidRPr="005B3A2F" w:rsidRDefault="00453EFC" w:rsidP="00ED67F0">
            <w:pPr>
              <w:rPr>
                <w:color w:val="000000"/>
                <w:sz w:val="20"/>
              </w:rPr>
            </w:pPr>
            <w:r w:rsidRPr="005B3A2F">
              <w:rPr>
                <w:color w:val="000000"/>
                <w:sz w:val="20"/>
              </w:rPr>
              <w:t>Storage and distribution</w:t>
            </w:r>
          </w:p>
        </w:tc>
        <w:tc>
          <w:tcPr>
            <w:tcW w:w="976" w:type="dxa"/>
            <w:tcBorders>
              <w:top w:val="nil"/>
              <w:left w:val="nil"/>
              <w:bottom w:val="single" w:sz="8" w:space="0" w:color="000000"/>
              <w:right w:val="single" w:sz="8" w:space="0" w:color="000000"/>
            </w:tcBorders>
            <w:shd w:val="clear" w:color="auto" w:fill="auto"/>
            <w:vAlign w:val="center"/>
            <w:hideMark/>
          </w:tcPr>
          <w:p w14:paraId="294D5AE2" w14:textId="77777777" w:rsidR="00453EFC" w:rsidRPr="005B3A2F" w:rsidRDefault="00453EFC" w:rsidP="00ED67F0">
            <w:pPr>
              <w:jc w:val="center"/>
              <w:rPr>
                <w:color w:val="000000"/>
                <w:sz w:val="20"/>
              </w:rPr>
            </w:pPr>
            <w:r w:rsidRPr="005B3A2F">
              <w:rPr>
                <w:color w:val="000000"/>
                <w:sz w:val="20"/>
              </w:rPr>
              <w:t>0.010</w:t>
            </w:r>
          </w:p>
        </w:tc>
        <w:tc>
          <w:tcPr>
            <w:tcW w:w="1928" w:type="dxa"/>
            <w:tcBorders>
              <w:top w:val="nil"/>
              <w:left w:val="nil"/>
              <w:bottom w:val="single" w:sz="8" w:space="0" w:color="000000"/>
              <w:right w:val="single" w:sz="8" w:space="0" w:color="000000"/>
            </w:tcBorders>
            <w:shd w:val="clear" w:color="auto" w:fill="auto"/>
            <w:vAlign w:val="center"/>
            <w:hideMark/>
          </w:tcPr>
          <w:p w14:paraId="17A44886" w14:textId="77777777" w:rsidR="00453EFC" w:rsidRPr="005B3A2F" w:rsidRDefault="00A011B5" w:rsidP="00ED67F0">
            <w:pPr>
              <w:jc w:val="center"/>
              <w:rPr>
                <w:color w:val="000000"/>
                <w:sz w:val="20"/>
              </w:rPr>
            </w:pPr>
            <w:r w:rsidRPr="005B3A2F">
              <w:rPr>
                <w:color w:val="000000"/>
                <w:sz w:val="20"/>
              </w:rPr>
              <w:t>16.70</w:t>
            </w:r>
          </w:p>
        </w:tc>
        <w:tc>
          <w:tcPr>
            <w:tcW w:w="990" w:type="dxa"/>
            <w:tcBorders>
              <w:top w:val="nil"/>
              <w:left w:val="nil"/>
              <w:bottom w:val="single" w:sz="8" w:space="0" w:color="000000"/>
              <w:right w:val="double" w:sz="6" w:space="0" w:color="000000"/>
            </w:tcBorders>
            <w:shd w:val="clear" w:color="auto" w:fill="auto"/>
            <w:vAlign w:val="center"/>
            <w:hideMark/>
          </w:tcPr>
          <w:p w14:paraId="147F0DE8" w14:textId="502F6B0C" w:rsidR="00453EFC" w:rsidRPr="005B3A2F" w:rsidRDefault="00D211D3" w:rsidP="00A011B5">
            <w:pPr>
              <w:jc w:val="center"/>
              <w:rPr>
                <w:color w:val="000000"/>
                <w:sz w:val="20"/>
              </w:rPr>
            </w:pPr>
            <w:r w:rsidRPr="005B3A2F">
              <w:rPr>
                <w:color w:val="000000"/>
                <w:sz w:val="20"/>
              </w:rPr>
              <w:t>$1,</w:t>
            </w:r>
            <w:r w:rsidR="003F316F">
              <w:rPr>
                <w:color w:val="000000"/>
                <w:sz w:val="20"/>
              </w:rPr>
              <w:t>375.41</w:t>
            </w:r>
          </w:p>
        </w:tc>
      </w:tr>
      <w:tr w:rsidR="00453EFC" w:rsidRPr="00ED67F0" w14:paraId="534EF978" w14:textId="77777777" w:rsidTr="005B3A2F">
        <w:trPr>
          <w:cantSplit/>
          <w:trHeight w:val="330"/>
        </w:trPr>
        <w:tc>
          <w:tcPr>
            <w:tcW w:w="5196" w:type="dxa"/>
            <w:tcBorders>
              <w:top w:val="nil"/>
              <w:left w:val="double" w:sz="6" w:space="0" w:color="000000"/>
              <w:bottom w:val="double" w:sz="6" w:space="0" w:color="000000"/>
              <w:right w:val="single" w:sz="8" w:space="0" w:color="000000"/>
            </w:tcBorders>
            <w:shd w:val="clear" w:color="auto" w:fill="auto"/>
            <w:vAlign w:val="center"/>
            <w:hideMark/>
          </w:tcPr>
          <w:p w14:paraId="1DD6DAE0" w14:textId="77777777" w:rsidR="00453EFC" w:rsidRPr="005B3A2F" w:rsidRDefault="00453EFC" w:rsidP="00ED67F0">
            <w:pPr>
              <w:jc w:val="center"/>
              <w:rPr>
                <w:b/>
                <w:bCs/>
                <w:color w:val="000000"/>
                <w:sz w:val="20"/>
              </w:rPr>
            </w:pPr>
            <w:r w:rsidRPr="005B3A2F">
              <w:rPr>
                <w:b/>
                <w:bCs/>
                <w:color w:val="000000"/>
                <w:sz w:val="20"/>
              </w:rPr>
              <w:t>TOTALS</w:t>
            </w:r>
          </w:p>
        </w:tc>
        <w:tc>
          <w:tcPr>
            <w:tcW w:w="976" w:type="dxa"/>
            <w:tcBorders>
              <w:top w:val="nil"/>
              <w:left w:val="nil"/>
              <w:bottom w:val="double" w:sz="6" w:space="0" w:color="000000"/>
              <w:right w:val="single" w:sz="8" w:space="0" w:color="000000"/>
            </w:tcBorders>
            <w:shd w:val="clear" w:color="auto" w:fill="auto"/>
            <w:vAlign w:val="center"/>
            <w:hideMark/>
          </w:tcPr>
          <w:p w14:paraId="56978CE1" w14:textId="77777777" w:rsidR="00453EFC" w:rsidRPr="005B3A2F" w:rsidRDefault="00453EFC" w:rsidP="00ED67F0">
            <w:pPr>
              <w:jc w:val="center"/>
              <w:rPr>
                <w:b/>
                <w:bCs/>
                <w:color w:val="000000"/>
                <w:sz w:val="20"/>
              </w:rPr>
            </w:pPr>
            <w:r w:rsidRPr="005B3A2F">
              <w:rPr>
                <w:b/>
                <w:bCs/>
                <w:color w:val="000000"/>
                <w:sz w:val="20"/>
              </w:rPr>
              <w:t>0.035</w:t>
            </w:r>
          </w:p>
        </w:tc>
        <w:tc>
          <w:tcPr>
            <w:tcW w:w="1928" w:type="dxa"/>
            <w:tcBorders>
              <w:top w:val="nil"/>
              <w:left w:val="nil"/>
              <w:bottom w:val="double" w:sz="6" w:space="0" w:color="000000"/>
              <w:right w:val="single" w:sz="8" w:space="0" w:color="000000"/>
            </w:tcBorders>
            <w:shd w:val="clear" w:color="auto" w:fill="auto"/>
            <w:vAlign w:val="center"/>
            <w:hideMark/>
          </w:tcPr>
          <w:p w14:paraId="0F0474D9" w14:textId="77777777" w:rsidR="00453EFC" w:rsidRPr="005B3A2F" w:rsidRDefault="00A011B5" w:rsidP="00ED67F0">
            <w:pPr>
              <w:jc w:val="center"/>
              <w:rPr>
                <w:b/>
                <w:bCs/>
                <w:color w:val="000000"/>
                <w:sz w:val="20"/>
              </w:rPr>
            </w:pPr>
            <w:r w:rsidRPr="005B3A2F">
              <w:rPr>
                <w:b/>
                <w:bCs/>
                <w:color w:val="000000"/>
                <w:sz w:val="20"/>
              </w:rPr>
              <w:t>58.45</w:t>
            </w:r>
          </w:p>
        </w:tc>
        <w:tc>
          <w:tcPr>
            <w:tcW w:w="990" w:type="dxa"/>
            <w:tcBorders>
              <w:top w:val="nil"/>
              <w:left w:val="nil"/>
              <w:bottom w:val="double" w:sz="6" w:space="0" w:color="000000"/>
              <w:right w:val="double" w:sz="6" w:space="0" w:color="000000"/>
            </w:tcBorders>
            <w:shd w:val="clear" w:color="auto" w:fill="auto"/>
            <w:vAlign w:val="center"/>
            <w:hideMark/>
          </w:tcPr>
          <w:p w14:paraId="39036BE5" w14:textId="462A8F3D" w:rsidR="00453EFC" w:rsidRPr="005B3A2F" w:rsidRDefault="00453EFC" w:rsidP="00A011B5">
            <w:pPr>
              <w:jc w:val="center"/>
              <w:rPr>
                <w:b/>
                <w:bCs/>
                <w:color w:val="000000"/>
                <w:sz w:val="20"/>
              </w:rPr>
            </w:pPr>
            <w:r w:rsidRPr="005B3A2F">
              <w:rPr>
                <w:b/>
                <w:bCs/>
                <w:color w:val="000000"/>
                <w:sz w:val="20"/>
              </w:rPr>
              <w:t>$</w:t>
            </w:r>
            <w:r w:rsidR="003F316F">
              <w:rPr>
                <w:b/>
                <w:bCs/>
                <w:color w:val="000000"/>
                <w:sz w:val="20"/>
              </w:rPr>
              <w:t>4,813.94</w:t>
            </w:r>
          </w:p>
        </w:tc>
      </w:tr>
      <w:tr w:rsidR="00ED67F0" w:rsidRPr="00ED67F0" w14:paraId="0A79EB52" w14:textId="77777777" w:rsidTr="005B3A2F">
        <w:trPr>
          <w:trHeight w:val="315"/>
        </w:trPr>
        <w:tc>
          <w:tcPr>
            <w:tcW w:w="9090" w:type="dxa"/>
            <w:gridSpan w:val="4"/>
            <w:tcBorders>
              <w:top w:val="double" w:sz="6" w:space="0" w:color="000000"/>
              <w:left w:val="double" w:sz="6" w:space="0" w:color="000000"/>
              <w:bottom w:val="double" w:sz="6" w:space="0" w:color="000000"/>
              <w:right w:val="double" w:sz="6" w:space="0" w:color="000000"/>
            </w:tcBorders>
            <w:shd w:val="clear" w:color="auto" w:fill="auto"/>
            <w:noWrap/>
            <w:vAlign w:val="bottom"/>
            <w:hideMark/>
          </w:tcPr>
          <w:p w14:paraId="17C56329" w14:textId="69C5F5DE" w:rsidR="00ED67F0" w:rsidRPr="00D211D3" w:rsidRDefault="00D211D3" w:rsidP="00ED67F0">
            <w:pPr>
              <w:rPr>
                <w:color w:val="000000"/>
                <w:sz w:val="20"/>
              </w:rPr>
            </w:pPr>
            <w:r w:rsidRPr="00D211D3">
              <w:rPr>
                <w:color w:val="000000"/>
                <w:sz w:val="20"/>
              </w:rPr>
              <w:t>Source: OPM 201</w:t>
            </w:r>
            <w:r w:rsidR="00622BDE">
              <w:rPr>
                <w:color w:val="000000"/>
                <w:sz w:val="20"/>
              </w:rPr>
              <w:t>7</w:t>
            </w:r>
            <w:r w:rsidR="00ED67F0" w:rsidRPr="00D211D3">
              <w:rPr>
                <w:color w:val="000000"/>
                <w:sz w:val="20"/>
              </w:rPr>
              <w:t xml:space="preserve"> hourly rate table for the Washington-Baltimore-Northern Virginia Locality Pay Area</w:t>
            </w:r>
            <w:r w:rsidR="00453EFC" w:rsidRPr="00D211D3">
              <w:rPr>
                <w:color w:val="000000"/>
                <w:sz w:val="20"/>
              </w:rPr>
              <w:t>, with 60% for benefits and overhead added</w:t>
            </w:r>
            <w:r w:rsidR="00ED67F0" w:rsidRPr="00D211D3">
              <w:rPr>
                <w:color w:val="000000"/>
                <w:sz w:val="20"/>
              </w:rPr>
              <w:t>.</w:t>
            </w:r>
          </w:p>
        </w:tc>
      </w:tr>
    </w:tbl>
    <w:p w14:paraId="024570F3" w14:textId="038CA408" w:rsidR="00D25EEC" w:rsidRDefault="00D25EEC" w:rsidP="00713B26">
      <w:pPr>
        <w:widowControl w:val="0"/>
        <w:ind w:firstLine="720"/>
        <w:rPr>
          <w:b/>
          <w:color w:val="000000"/>
        </w:rPr>
      </w:pPr>
    </w:p>
    <w:p w14:paraId="3D0ACAAE" w14:textId="61592011" w:rsidR="00713B26" w:rsidRDefault="00A5395D" w:rsidP="00F66476">
      <w:pPr>
        <w:widowControl w:val="0"/>
        <w:ind w:firstLine="720"/>
        <w:rPr>
          <w:color w:val="000000"/>
        </w:rPr>
      </w:pPr>
      <w:r>
        <w:rPr>
          <w:b/>
          <w:color w:val="000000"/>
        </w:rPr>
        <w:t>6(g)</w:t>
      </w:r>
      <w:r w:rsidR="00F66476">
        <w:rPr>
          <w:b/>
          <w:color w:val="000000"/>
        </w:rPr>
        <w:tab/>
      </w:r>
      <w:r w:rsidR="00713B26">
        <w:rPr>
          <w:b/>
          <w:color w:val="000000"/>
        </w:rPr>
        <w:t>Bottom Line Burden Hours and Cost</w:t>
      </w:r>
    </w:p>
    <w:p w14:paraId="620E5C17" w14:textId="77777777" w:rsidR="00713B26" w:rsidRDefault="00713B26" w:rsidP="00713B26">
      <w:pPr>
        <w:widowControl w:val="0"/>
        <w:rPr>
          <w:color w:val="000000"/>
        </w:rPr>
      </w:pPr>
    </w:p>
    <w:p w14:paraId="5BEFB7E5" w14:textId="7645F5E2" w:rsidR="00FF3FE7" w:rsidRPr="00D354C5" w:rsidRDefault="00FF3FE7" w:rsidP="00F66476">
      <w:pPr>
        <w:widowControl w:val="0"/>
        <w:ind w:firstLine="720"/>
        <w:rPr>
          <w:color w:val="000000"/>
        </w:rPr>
      </w:pPr>
      <w:r>
        <w:rPr>
          <w:color w:val="000000"/>
        </w:rPr>
        <w:t>As shown in Table 6</w:t>
      </w:r>
      <w:r w:rsidR="00713B26">
        <w:rPr>
          <w:color w:val="000000"/>
        </w:rPr>
        <w:t xml:space="preserve">, if EPA adds </w:t>
      </w:r>
      <w:r w:rsidR="00785DB7">
        <w:rPr>
          <w:color w:val="000000"/>
        </w:rPr>
        <w:t>1</w:t>
      </w:r>
      <w:r w:rsidR="000B67E4">
        <w:rPr>
          <w:color w:val="000000"/>
        </w:rPr>
        <w:t>3</w:t>
      </w:r>
      <w:r w:rsidR="00713B26">
        <w:rPr>
          <w:color w:val="000000"/>
        </w:rPr>
        <w:t xml:space="preserve"> chemicals per year to the TSCA section 8(d) list during the time period covered by this ICR, burden </w:t>
      </w:r>
      <w:r>
        <w:rPr>
          <w:color w:val="000000"/>
        </w:rPr>
        <w:t xml:space="preserve">associated with </w:t>
      </w:r>
      <w:r w:rsidR="0051337F">
        <w:rPr>
          <w:color w:val="000000"/>
        </w:rPr>
        <w:t xml:space="preserve">section </w:t>
      </w:r>
      <w:r>
        <w:rPr>
          <w:color w:val="000000"/>
        </w:rPr>
        <w:t xml:space="preserve">8(d) review and reporting will be incurred </w:t>
      </w:r>
      <w:r w:rsidRPr="00D354C5">
        <w:rPr>
          <w:color w:val="000000"/>
        </w:rPr>
        <w:t xml:space="preserve">by </w:t>
      </w:r>
      <w:r w:rsidR="00785DB7" w:rsidRPr="00D354C5">
        <w:rPr>
          <w:color w:val="000000"/>
        </w:rPr>
        <w:t>4</w:t>
      </w:r>
      <w:r w:rsidRPr="00D354C5">
        <w:rPr>
          <w:color w:val="000000"/>
        </w:rPr>
        <w:t xml:space="preserve"> firms.</w:t>
      </w:r>
      <w:r w:rsidR="003A2400" w:rsidRPr="00D354C5">
        <w:rPr>
          <w:color w:val="000000"/>
        </w:rPr>
        <w:t xml:space="preserve"> Note that not all </w:t>
      </w:r>
      <w:r w:rsidR="003758BC" w:rsidRPr="00D354C5">
        <w:rPr>
          <w:color w:val="000000"/>
        </w:rPr>
        <w:t xml:space="preserve">these </w:t>
      </w:r>
      <w:r w:rsidR="003A2400" w:rsidRPr="00D354C5">
        <w:rPr>
          <w:color w:val="000000"/>
        </w:rPr>
        <w:t>firms incur every aspect of reporting burden</w:t>
      </w:r>
      <w:r w:rsidR="003A69D6" w:rsidRPr="00D354C5">
        <w:rPr>
          <w:color w:val="000000"/>
        </w:rPr>
        <w:t xml:space="preserve">. </w:t>
      </w:r>
      <w:r w:rsidR="003A2400" w:rsidRPr="00D354C5">
        <w:rPr>
          <w:color w:val="000000"/>
        </w:rPr>
        <w:t xml:space="preserve">Those firms that do ultimately submit studies incur a small amount of additional burden and cost associated with registering with CDX in order to comply with new electronic reporting requirements. </w:t>
      </w:r>
      <w:r w:rsidR="003A2400" w:rsidRPr="00D354C5">
        <w:rPr>
          <w:szCs w:val="24"/>
        </w:rPr>
        <w:t>The burden activities associated with CDX registration occur only once</w:t>
      </w:r>
      <w:r w:rsidR="003A69D6" w:rsidRPr="00D354C5">
        <w:rPr>
          <w:szCs w:val="24"/>
        </w:rPr>
        <w:t>,</w:t>
      </w:r>
      <w:r w:rsidR="003A2400" w:rsidRPr="00D354C5">
        <w:rPr>
          <w:szCs w:val="24"/>
        </w:rPr>
        <w:t xml:space="preserve"> during the first year of the ICR period.</w:t>
      </w:r>
    </w:p>
    <w:p w14:paraId="166EA85B" w14:textId="77777777" w:rsidR="003A2400" w:rsidRPr="00D354C5" w:rsidRDefault="003A2400" w:rsidP="00713B26">
      <w:pPr>
        <w:widowControl w:val="0"/>
        <w:rPr>
          <w:color w:val="000000"/>
        </w:rPr>
      </w:pPr>
    </w:p>
    <w:p w14:paraId="2E3D6E92" w14:textId="41712CF8" w:rsidR="00713B26" w:rsidRPr="00D354C5" w:rsidRDefault="00713B26" w:rsidP="00785DB7">
      <w:pPr>
        <w:widowControl w:val="0"/>
        <w:ind w:firstLine="720"/>
        <w:rPr>
          <w:color w:val="000000"/>
        </w:rPr>
      </w:pPr>
      <w:r w:rsidRPr="00D354C5">
        <w:rPr>
          <w:color w:val="000000"/>
        </w:rPr>
        <w:t xml:space="preserve">The average </w:t>
      </w:r>
      <w:r w:rsidR="003A2400" w:rsidRPr="00D354C5">
        <w:rPr>
          <w:color w:val="000000"/>
        </w:rPr>
        <w:t xml:space="preserve">annual reporting </w:t>
      </w:r>
      <w:r w:rsidRPr="00D354C5">
        <w:rPr>
          <w:color w:val="000000"/>
        </w:rPr>
        <w:t xml:space="preserve">burden and cost per </w:t>
      </w:r>
      <w:r w:rsidR="003A2400" w:rsidRPr="00D354C5">
        <w:rPr>
          <w:color w:val="000000"/>
        </w:rPr>
        <w:t>response</w:t>
      </w:r>
      <w:r w:rsidRPr="00D354C5">
        <w:rPr>
          <w:color w:val="000000"/>
        </w:rPr>
        <w:t xml:space="preserve"> is estimated at </w:t>
      </w:r>
      <w:r w:rsidR="00785DB7" w:rsidRPr="00D354C5">
        <w:rPr>
          <w:color w:val="000000"/>
        </w:rPr>
        <w:t xml:space="preserve">11 </w:t>
      </w:r>
      <w:r w:rsidRPr="00D354C5">
        <w:rPr>
          <w:color w:val="000000"/>
        </w:rPr>
        <w:t xml:space="preserve">hours and </w:t>
      </w:r>
      <w:r w:rsidR="006A0DE7" w:rsidRPr="00D354C5">
        <w:rPr>
          <w:color w:val="000000"/>
        </w:rPr>
        <w:t>$</w:t>
      </w:r>
      <w:r w:rsidR="00785DB7" w:rsidRPr="00D354C5">
        <w:rPr>
          <w:color w:val="000000"/>
        </w:rPr>
        <w:t>907</w:t>
      </w:r>
      <w:r w:rsidRPr="00D354C5">
        <w:rPr>
          <w:color w:val="000000"/>
        </w:rPr>
        <w:t>, respectively</w:t>
      </w:r>
      <w:r w:rsidR="006A0DE7" w:rsidRPr="00D354C5">
        <w:rPr>
          <w:color w:val="000000"/>
        </w:rPr>
        <w:t xml:space="preserve">, </w:t>
      </w:r>
      <w:r w:rsidR="00216CD5" w:rsidRPr="00D354C5">
        <w:rPr>
          <w:color w:val="000000"/>
        </w:rPr>
        <w:t>with</w:t>
      </w:r>
      <w:r w:rsidR="006A0DE7" w:rsidRPr="00D354C5">
        <w:rPr>
          <w:color w:val="000000"/>
        </w:rPr>
        <w:t xml:space="preserve"> overall </w:t>
      </w:r>
      <w:r w:rsidR="00D5238F" w:rsidRPr="00D354C5">
        <w:rPr>
          <w:color w:val="000000"/>
        </w:rPr>
        <w:t xml:space="preserve">estimated annual </w:t>
      </w:r>
      <w:r w:rsidR="006A0DE7" w:rsidRPr="00D354C5">
        <w:rPr>
          <w:color w:val="000000"/>
        </w:rPr>
        <w:t xml:space="preserve">totals of </w:t>
      </w:r>
      <w:r w:rsidR="00785DB7" w:rsidRPr="00D354C5">
        <w:rPr>
          <w:color w:val="000000"/>
        </w:rPr>
        <w:t xml:space="preserve">291 </w:t>
      </w:r>
      <w:r w:rsidR="006A0DE7" w:rsidRPr="00D354C5">
        <w:rPr>
          <w:color w:val="000000"/>
        </w:rPr>
        <w:t>burden hours and $</w:t>
      </w:r>
      <w:r w:rsidR="00D718FF">
        <w:rPr>
          <w:color w:val="000000"/>
        </w:rPr>
        <w:t>23,58</w:t>
      </w:r>
      <w:r w:rsidR="00785DB7" w:rsidRPr="00D354C5">
        <w:rPr>
          <w:color w:val="000000"/>
        </w:rPr>
        <w:t>4</w:t>
      </w:r>
      <w:r w:rsidRPr="00D354C5">
        <w:rPr>
          <w:color w:val="000000"/>
        </w:rPr>
        <w:t>.</w:t>
      </w:r>
      <w:r w:rsidR="00A011B5" w:rsidRPr="00D354C5">
        <w:rPr>
          <w:color w:val="000000"/>
        </w:rPr>
        <w:t xml:space="preserve"> </w:t>
      </w:r>
      <w:r w:rsidR="00EF4846" w:rsidRPr="00D354C5">
        <w:rPr>
          <w:color w:val="000000"/>
        </w:rPr>
        <w:t xml:space="preserve">Conservatively assuming that all firms submitting studies will need to complete a </w:t>
      </w:r>
      <w:r w:rsidR="00EF4846" w:rsidRPr="00D354C5">
        <w:rPr>
          <w:i/>
          <w:color w:val="000000"/>
        </w:rPr>
        <w:t>one-time</w:t>
      </w:r>
      <w:r w:rsidR="00EF4846" w:rsidRPr="00D354C5">
        <w:rPr>
          <w:color w:val="000000"/>
        </w:rPr>
        <w:t xml:space="preserve"> CDX registration, the average annual burden and cost per CDX registration is </w:t>
      </w:r>
      <w:r w:rsidR="00785DB7" w:rsidRPr="00D354C5">
        <w:rPr>
          <w:color w:val="000000"/>
        </w:rPr>
        <w:t xml:space="preserve">2.75 </w:t>
      </w:r>
      <w:r w:rsidR="00EF4846" w:rsidRPr="00D354C5">
        <w:rPr>
          <w:color w:val="000000"/>
        </w:rPr>
        <w:t>hours and $</w:t>
      </w:r>
      <w:r w:rsidR="00D718FF">
        <w:rPr>
          <w:color w:val="000000"/>
        </w:rPr>
        <w:t>212.75</w:t>
      </w:r>
      <w:r w:rsidR="00EF4846" w:rsidRPr="00D354C5">
        <w:rPr>
          <w:color w:val="000000"/>
        </w:rPr>
        <w:t xml:space="preserve">, respectively. This yields an estimated annual burden and cost per response </w:t>
      </w:r>
      <w:r w:rsidR="006A0DE7" w:rsidRPr="00D354C5">
        <w:rPr>
          <w:color w:val="000000"/>
        </w:rPr>
        <w:t xml:space="preserve">for CDX-related activities </w:t>
      </w:r>
      <w:r w:rsidR="00EF4846" w:rsidRPr="00D354C5">
        <w:rPr>
          <w:color w:val="000000"/>
        </w:rPr>
        <w:t xml:space="preserve">of </w:t>
      </w:r>
      <w:r w:rsidR="00785DB7" w:rsidRPr="00D354C5">
        <w:rPr>
          <w:color w:val="000000"/>
        </w:rPr>
        <w:t xml:space="preserve">11 </w:t>
      </w:r>
      <w:r w:rsidR="00EF4846" w:rsidRPr="00D354C5">
        <w:rPr>
          <w:color w:val="000000"/>
        </w:rPr>
        <w:t>hours and $</w:t>
      </w:r>
      <w:r w:rsidR="00785DB7" w:rsidRPr="00D354C5">
        <w:rPr>
          <w:color w:val="000000"/>
        </w:rPr>
        <w:t>8</w:t>
      </w:r>
      <w:r w:rsidR="00D718FF">
        <w:rPr>
          <w:color w:val="000000"/>
        </w:rPr>
        <w:t>51</w:t>
      </w:r>
      <w:r w:rsidR="00785DB7" w:rsidRPr="00D354C5">
        <w:rPr>
          <w:color w:val="000000"/>
        </w:rPr>
        <w:t>.</w:t>
      </w:r>
    </w:p>
    <w:p w14:paraId="05C7A3C5" w14:textId="77777777" w:rsidR="00EF4846" w:rsidRPr="00D354C5" w:rsidRDefault="00EF4846" w:rsidP="00713B26">
      <w:pPr>
        <w:widowControl w:val="0"/>
        <w:rPr>
          <w:color w:val="000000"/>
        </w:rPr>
      </w:pPr>
    </w:p>
    <w:p w14:paraId="56E2700B" w14:textId="42DF1540" w:rsidR="00713B26" w:rsidRPr="00D354C5" w:rsidRDefault="00713B26" w:rsidP="00F66476">
      <w:pPr>
        <w:widowControl w:val="0"/>
        <w:ind w:firstLine="720"/>
        <w:rPr>
          <w:szCs w:val="24"/>
        </w:rPr>
      </w:pPr>
      <w:r w:rsidRPr="001965F9">
        <w:rPr>
          <w:color w:val="000000"/>
        </w:rPr>
        <w:t>As noted earlier, basing the future burden estimates on t</w:t>
      </w:r>
      <w:r w:rsidR="005B3C68" w:rsidRPr="001965F9">
        <w:rPr>
          <w:color w:val="000000"/>
        </w:rPr>
        <w:t>he reporting from the 2006</w:t>
      </w:r>
      <w:r w:rsidR="00A74325" w:rsidRPr="001965F9">
        <w:rPr>
          <w:color w:val="000000"/>
        </w:rPr>
        <w:t xml:space="preserve"> and 2008</w:t>
      </w:r>
      <w:r w:rsidR="005B3C68" w:rsidRPr="001965F9">
        <w:rPr>
          <w:color w:val="000000"/>
        </w:rPr>
        <w:t xml:space="preserve"> </w:t>
      </w:r>
      <w:r w:rsidR="00832620" w:rsidRPr="001965F9">
        <w:rPr>
          <w:color w:val="000000"/>
        </w:rPr>
        <w:t xml:space="preserve">section 8(d) </w:t>
      </w:r>
      <w:r w:rsidR="005B3C68" w:rsidRPr="001965F9">
        <w:rPr>
          <w:color w:val="000000"/>
        </w:rPr>
        <w:t>rule</w:t>
      </w:r>
      <w:r w:rsidR="00A74325" w:rsidRPr="001965F9">
        <w:rPr>
          <w:color w:val="000000"/>
        </w:rPr>
        <w:t>s</w:t>
      </w:r>
      <w:r w:rsidR="005B3C68" w:rsidRPr="001965F9">
        <w:rPr>
          <w:color w:val="000000"/>
        </w:rPr>
        <w:t xml:space="preserve"> </w:t>
      </w:r>
      <w:r w:rsidRPr="001965F9">
        <w:rPr>
          <w:color w:val="000000"/>
        </w:rPr>
        <w:t>may overestimate reporting burden and cost if number and characteristics of the chemicals that are added to the TSCA section 8(d) list during the next three year</w:t>
      </w:r>
      <w:r w:rsidR="00C91941" w:rsidRPr="001965F9">
        <w:rPr>
          <w:color w:val="000000"/>
        </w:rPr>
        <w:t xml:space="preserve">s are less burdensome than the </w:t>
      </w:r>
      <w:r w:rsidRPr="001965F9">
        <w:rPr>
          <w:color w:val="000000"/>
        </w:rPr>
        <w:t>chemicals that were added in 2006</w:t>
      </w:r>
      <w:r w:rsidR="00A74325" w:rsidRPr="001965F9">
        <w:rPr>
          <w:color w:val="000000"/>
        </w:rPr>
        <w:t xml:space="preserve"> and 2008</w:t>
      </w:r>
      <w:r w:rsidRPr="001965F9">
        <w:rPr>
          <w:color w:val="000000"/>
        </w:rPr>
        <w:t>.</w:t>
      </w:r>
      <w:r w:rsidR="005B3C68" w:rsidRPr="00D354C5">
        <w:rPr>
          <w:color w:val="000000"/>
        </w:rPr>
        <w:t xml:space="preserve"> </w:t>
      </w:r>
    </w:p>
    <w:p w14:paraId="76215FD9" w14:textId="77777777" w:rsidR="00786A62" w:rsidRPr="00D354C5" w:rsidRDefault="00786A62" w:rsidP="00F66476">
      <w:pPr>
        <w:widowControl w:val="0"/>
        <w:ind w:firstLine="720"/>
        <w:rPr>
          <w:szCs w:val="24"/>
        </w:rPr>
      </w:pPr>
    </w:p>
    <w:p w14:paraId="7966F932" w14:textId="7EB2E4BA" w:rsidR="00786A62" w:rsidRDefault="00786A62" w:rsidP="00F66476">
      <w:pPr>
        <w:widowControl w:val="0"/>
        <w:ind w:firstLine="720"/>
        <w:rPr>
          <w:color w:val="000000"/>
        </w:rPr>
      </w:pPr>
      <w:r w:rsidRPr="00D354C5">
        <w:rPr>
          <w:szCs w:val="24"/>
        </w:rPr>
        <w:t>T</w:t>
      </w:r>
      <w:r w:rsidR="00C93757" w:rsidRPr="00D354C5">
        <w:rPr>
          <w:szCs w:val="24"/>
        </w:rPr>
        <w:t>he t</w:t>
      </w:r>
      <w:r w:rsidRPr="00D354C5">
        <w:rPr>
          <w:szCs w:val="24"/>
        </w:rPr>
        <w:t xml:space="preserve">otal </w:t>
      </w:r>
      <w:r w:rsidR="00C93757" w:rsidRPr="00D354C5">
        <w:rPr>
          <w:szCs w:val="24"/>
        </w:rPr>
        <w:t xml:space="preserve">annual </w:t>
      </w:r>
      <w:r w:rsidRPr="00D354C5">
        <w:rPr>
          <w:szCs w:val="24"/>
        </w:rPr>
        <w:t xml:space="preserve">respondent burden </w:t>
      </w:r>
      <w:r w:rsidR="00637130" w:rsidRPr="00D354C5">
        <w:rPr>
          <w:szCs w:val="24"/>
        </w:rPr>
        <w:t xml:space="preserve">and cost </w:t>
      </w:r>
      <w:r w:rsidR="00C93757" w:rsidRPr="00D354C5">
        <w:rPr>
          <w:szCs w:val="24"/>
        </w:rPr>
        <w:t xml:space="preserve">for this collection </w:t>
      </w:r>
      <w:r w:rsidRPr="00D354C5">
        <w:rPr>
          <w:szCs w:val="24"/>
        </w:rPr>
        <w:t>(</w:t>
      </w:r>
      <w:r w:rsidR="00C93757" w:rsidRPr="00D354C5">
        <w:rPr>
          <w:szCs w:val="24"/>
        </w:rPr>
        <w:t xml:space="preserve">sum of </w:t>
      </w:r>
      <w:r w:rsidRPr="00D354C5">
        <w:rPr>
          <w:szCs w:val="24"/>
        </w:rPr>
        <w:t xml:space="preserve">Tables 6 and 7) is </w:t>
      </w:r>
      <w:r w:rsidR="00785DB7" w:rsidRPr="00D354C5">
        <w:rPr>
          <w:szCs w:val="24"/>
        </w:rPr>
        <w:t xml:space="preserve">302 </w:t>
      </w:r>
      <w:r w:rsidRPr="00D354C5">
        <w:rPr>
          <w:szCs w:val="24"/>
        </w:rPr>
        <w:t>hours and $</w:t>
      </w:r>
      <w:r w:rsidR="00785DB7" w:rsidRPr="00D354C5">
        <w:rPr>
          <w:szCs w:val="24"/>
        </w:rPr>
        <w:t xml:space="preserve">24,435 </w:t>
      </w:r>
      <w:r w:rsidR="00637130" w:rsidRPr="00D354C5">
        <w:rPr>
          <w:szCs w:val="24"/>
        </w:rPr>
        <w:t>respectively.</w:t>
      </w:r>
    </w:p>
    <w:p w14:paraId="47F127AB" w14:textId="77777777" w:rsidR="00051BB5" w:rsidRDefault="00051BB5" w:rsidP="003C4052">
      <w:pPr>
        <w:widowControl w:val="0"/>
        <w:rPr>
          <w:color w:val="000000"/>
        </w:rPr>
      </w:pPr>
    </w:p>
    <w:p w14:paraId="098BA484" w14:textId="59F14FAE" w:rsidR="003F63AD" w:rsidRDefault="00A5395D" w:rsidP="00F66476">
      <w:pPr>
        <w:widowControl w:val="0"/>
        <w:ind w:firstLine="720"/>
        <w:rPr>
          <w:color w:val="000000"/>
        </w:rPr>
      </w:pPr>
      <w:r>
        <w:rPr>
          <w:b/>
          <w:color w:val="000000"/>
        </w:rPr>
        <w:t>6(h)</w:t>
      </w:r>
      <w:r w:rsidR="00F66476">
        <w:rPr>
          <w:b/>
          <w:color w:val="000000"/>
        </w:rPr>
        <w:tab/>
      </w:r>
      <w:r w:rsidR="006C0C3B">
        <w:rPr>
          <w:b/>
          <w:color w:val="000000"/>
        </w:rPr>
        <w:t>Reasons f</w:t>
      </w:r>
      <w:r w:rsidR="003F63AD">
        <w:rPr>
          <w:b/>
          <w:color w:val="000000"/>
        </w:rPr>
        <w:t>or Changes in Burden</w:t>
      </w:r>
    </w:p>
    <w:p w14:paraId="4D3303D1" w14:textId="77777777" w:rsidR="003F63AD" w:rsidRDefault="003F63AD" w:rsidP="00A411E8">
      <w:pPr>
        <w:widowControl w:val="0"/>
        <w:rPr>
          <w:color w:val="000000"/>
        </w:rPr>
      </w:pPr>
    </w:p>
    <w:p w14:paraId="09BFC331" w14:textId="15B4173A" w:rsidR="00E05CF3" w:rsidRDefault="00AA5041" w:rsidP="00785DB7">
      <w:pPr>
        <w:widowControl w:val="0"/>
        <w:ind w:firstLine="720"/>
        <w:rPr>
          <w:color w:val="000000"/>
        </w:rPr>
      </w:pPr>
      <w:r>
        <w:t xml:space="preserve">Although </w:t>
      </w:r>
      <w:r w:rsidR="00B06BFB">
        <w:rPr>
          <w:color w:val="000000"/>
          <w:szCs w:val="24"/>
        </w:rPr>
        <w:t>CBI substantiation has</w:t>
      </w:r>
      <w:r w:rsidRPr="00AA5041">
        <w:rPr>
          <w:color w:val="000000"/>
          <w:szCs w:val="24"/>
        </w:rPr>
        <w:t xml:space="preserve"> added 31.5 burden hours per year</w:t>
      </w:r>
      <w:r w:rsidRPr="002F7EA9">
        <w:t xml:space="preserve"> </w:t>
      </w:r>
      <w:r>
        <w:t>to the total estimated burden, there is an overall</w:t>
      </w:r>
      <w:r w:rsidR="0080352A">
        <w:t xml:space="preserve"> </w:t>
      </w:r>
      <w:r w:rsidR="007023F1" w:rsidRPr="002F7EA9">
        <w:t>n</w:t>
      </w:r>
      <w:r w:rsidR="0080352A">
        <w:t>et</w:t>
      </w:r>
      <w:r w:rsidR="007023F1" w:rsidRPr="002F7EA9">
        <w:t xml:space="preserve"> </w:t>
      </w:r>
      <w:r w:rsidR="00785DB7">
        <w:t xml:space="preserve">decrease of 1,303 </w:t>
      </w:r>
      <w:r w:rsidR="00785DB7" w:rsidRPr="0080352A">
        <w:t xml:space="preserve">hours (from </w:t>
      </w:r>
      <w:r w:rsidR="00785DB7">
        <w:t>1,605 to 302</w:t>
      </w:r>
      <w:r w:rsidR="00785DB7" w:rsidRPr="002F7EA9">
        <w:t>) in the total estimated respondent burden</w:t>
      </w:r>
      <w:r w:rsidR="00785DB7" w:rsidRPr="00032A67">
        <w:t xml:space="preserve"> compared with that currently in the OMB inventory</w:t>
      </w:r>
      <w:r w:rsidR="00785DB7">
        <w:t xml:space="preserve">. </w:t>
      </w:r>
      <w:r w:rsidR="00785DB7" w:rsidRPr="002F7EA9">
        <w:rPr>
          <w:color w:val="000000"/>
        </w:rPr>
        <w:t xml:space="preserve">This </w:t>
      </w:r>
      <w:r w:rsidR="00785DB7">
        <w:rPr>
          <w:color w:val="000000"/>
        </w:rPr>
        <w:t>net decrease in burden</w:t>
      </w:r>
      <w:r w:rsidR="00785DB7" w:rsidRPr="002F7EA9">
        <w:rPr>
          <w:color w:val="000000"/>
        </w:rPr>
        <w:t xml:space="preserve"> is due </w:t>
      </w:r>
      <w:r w:rsidR="00785DB7">
        <w:rPr>
          <w:color w:val="000000"/>
        </w:rPr>
        <w:t>to the following:</w:t>
      </w:r>
    </w:p>
    <w:p w14:paraId="6D1B03F9" w14:textId="1529098D" w:rsidR="00785DB7" w:rsidRPr="00B06BFB" w:rsidRDefault="00785DB7" w:rsidP="00B06BFB">
      <w:pPr>
        <w:widowControl w:val="0"/>
        <w:numPr>
          <w:ilvl w:val="0"/>
          <w:numId w:val="39"/>
        </w:numPr>
        <w:rPr>
          <w:color w:val="000000"/>
          <w:szCs w:val="24"/>
        </w:rPr>
      </w:pPr>
      <w:r w:rsidRPr="00B06BFB">
        <w:rPr>
          <w:color w:val="000000"/>
          <w:szCs w:val="24"/>
        </w:rPr>
        <w:t>This ICR</w:t>
      </w:r>
      <w:r w:rsidR="00B06BFB" w:rsidRPr="00B06BFB">
        <w:rPr>
          <w:color w:val="000000"/>
          <w:szCs w:val="24"/>
        </w:rPr>
        <w:t xml:space="preserve"> assumes that a</w:t>
      </w:r>
      <w:r w:rsidRPr="00B06BFB">
        <w:rPr>
          <w:color w:val="000000"/>
          <w:szCs w:val="24"/>
        </w:rPr>
        <w:t xml:space="preserve"> historical average (from 1996 to present) of 13 chemicals will be added to the </w:t>
      </w:r>
      <w:r w:rsidR="00832620">
        <w:rPr>
          <w:color w:val="000000"/>
          <w:szCs w:val="24"/>
        </w:rPr>
        <w:t xml:space="preserve">section </w:t>
      </w:r>
      <w:r w:rsidRPr="00B06BFB">
        <w:rPr>
          <w:color w:val="000000"/>
          <w:szCs w:val="24"/>
        </w:rPr>
        <w:t xml:space="preserve">8(d) list over the next three years.  </w:t>
      </w:r>
    </w:p>
    <w:p w14:paraId="7781EFC6" w14:textId="5699B599" w:rsidR="00785DB7" w:rsidRPr="00B06BFB" w:rsidRDefault="00785DB7" w:rsidP="00B06BFB">
      <w:pPr>
        <w:pStyle w:val="ListParagraph"/>
        <w:widowControl w:val="0"/>
        <w:numPr>
          <w:ilvl w:val="0"/>
          <w:numId w:val="39"/>
        </w:numPr>
        <w:spacing w:after="0" w:line="240" w:lineRule="auto"/>
        <w:rPr>
          <w:rFonts w:ascii="Times New Roman" w:hAnsi="Times New Roman"/>
          <w:color w:val="000000"/>
          <w:sz w:val="24"/>
          <w:szCs w:val="24"/>
        </w:rPr>
      </w:pPr>
      <w:r w:rsidRPr="00B06BFB">
        <w:rPr>
          <w:rFonts w:ascii="Times New Roman" w:hAnsi="Times New Roman"/>
          <w:color w:val="000000"/>
          <w:sz w:val="24"/>
          <w:szCs w:val="24"/>
        </w:rPr>
        <w:t xml:space="preserve">The previous ICR based the average number of chemicals to be added to the </w:t>
      </w:r>
      <w:r w:rsidR="0051337F">
        <w:rPr>
          <w:rFonts w:ascii="Times New Roman" w:hAnsi="Times New Roman"/>
          <w:color w:val="000000"/>
          <w:sz w:val="24"/>
          <w:szCs w:val="24"/>
        </w:rPr>
        <w:t xml:space="preserve">section </w:t>
      </w:r>
      <w:r w:rsidRPr="00B06BFB">
        <w:rPr>
          <w:rFonts w:ascii="Times New Roman" w:hAnsi="Times New Roman"/>
          <w:color w:val="000000"/>
          <w:sz w:val="24"/>
          <w:szCs w:val="24"/>
        </w:rPr>
        <w:t>8(d)</w:t>
      </w:r>
      <w:r w:rsidR="00AA5041" w:rsidRPr="00B06BFB">
        <w:rPr>
          <w:rFonts w:ascii="Times New Roman" w:hAnsi="Times New Roman"/>
          <w:color w:val="000000"/>
          <w:sz w:val="24"/>
          <w:szCs w:val="24"/>
        </w:rPr>
        <w:t xml:space="preserve"> list</w:t>
      </w:r>
      <w:r w:rsidRPr="00B06BFB">
        <w:rPr>
          <w:rFonts w:ascii="Times New Roman" w:hAnsi="Times New Roman"/>
          <w:color w:val="000000"/>
          <w:sz w:val="24"/>
          <w:szCs w:val="24"/>
        </w:rPr>
        <w:t xml:space="preserve"> on the period from 2006 – 2015.  In 2006, 208 chemicals were added to the list, the largest addition since 1996.  </w:t>
      </w:r>
    </w:p>
    <w:p w14:paraId="14D80FE4" w14:textId="7ABAB8E8" w:rsidR="00B06BFB" w:rsidRPr="00B06BFB" w:rsidRDefault="00785DB7" w:rsidP="00B06BFB">
      <w:pPr>
        <w:pStyle w:val="ListParagraph"/>
        <w:widowControl w:val="0"/>
        <w:numPr>
          <w:ilvl w:val="0"/>
          <w:numId w:val="39"/>
        </w:numPr>
        <w:spacing w:after="0" w:line="240" w:lineRule="auto"/>
        <w:rPr>
          <w:rFonts w:ascii="Times New Roman" w:hAnsi="Times New Roman"/>
          <w:color w:val="000000"/>
          <w:sz w:val="24"/>
          <w:szCs w:val="24"/>
        </w:rPr>
      </w:pPr>
      <w:r w:rsidRPr="00B06BFB">
        <w:rPr>
          <w:rFonts w:ascii="Times New Roman" w:hAnsi="Times New Roman"/>
          <w:color w:val="000000"/>
          <w:sz w:val="24"/>
          <w:szCs w:val="24"/>
        </w:rPr>
        <w:t xml:space="preserve">The final </w:t>
      </w:r>
      <w:r w:rsidR="00832620">
        <w:rPr>
          <w:rFonts w:ascii="Times New Roman" w:hAnsi="Times New Roman"/>
          <w:color w:val="000000"/>
          <w:sz w:val="24"/>
          <w:szCs w:val="24"/>
        </w:rPr>
        <w:t xml:space="preserve">section </w:t>
      </w:r>
      <w:r w:rsidRPr="00B06BFB">
        <w:rPr>
          <w:rFonts w:ascii="Times New Roman" w:hAnsi="Times New Roman"/>
          <w:color w:val="000000"/>
          <w:sz w:val="24"/>
          <w:szCs w:val="24"/>
        </w:rPr>
        <w:t>8(d) rule issued on January 20, 2008 (73 FR 5190) added 12 Lead and Lead Compound</w:t>
      </w:r>
      <w:r w:rsidR="00AA5041" w:rsidRPr="00B06BFB">
        <w:rPr>
          <w:rFonts w:ascii="Times New Roman" w:hAnsi="Times New Roman"/>
          <w:color w:val="000000"/>
          <w:sz w:val="24"/>
          <w:szCs w:val="24"/>
        </w:rPr>
        <w:t>s</w:t>
      </w:r>
      <w:r w:rsidRPr="00B06BFB">
        <w:rPr>
          <w:rFonts w:ascii="Times New Roman" w:hAnsi="Times New Roman"/>
          <w:color w:val="000000"/>
          <w:sz w:val="24"/>
          <w:szCs w:val="24"/>
        </w:rPr>
        <w:t xml:space="preserve"> to 40 CFR 716 120 was included in this ICR.   </w:t>
      </w:r>
    </w:p>
    <w:p w14:paraId="76060384" w14:textId="24652A13" w:rsidR="00785DB7" w:rsidRPr="00B06BFB" w:rsidRDefault="00785DB7" w:rsidP="00B06BFB">
      <w:pPr>
        <w:pStyle w:val="ListParagraph"/>
        <w:widowControl w:val="0"/>
        <w:numPr>
          <w:ilvl w:val="0"/>
          <w:numId w:val="39"/>
        </w:numPr>
        <w:spacing w:after="0" w:line="240" w:lineRule="auto"/>
        <w:rPr>
          <w:rFonts w:ascii="Times New Roman" w:hAnsi="Times New Roman"/>
          <w:color w:val="000000"/>
          <w:sz w:val="24"/>
          <w:szCs w:val="24"/>
        </w:rPr>
      </w:pPr>
      <w:r w:rsidRPr="00B06BFB">
        <w:rPr>
          <w:rFonts w:ascii="Times New Roman" w:hAnsi="Times New Roman"/>
          <w:color w:val="000000"/>
          <w:sz w:val="24"/>
          <w:szCs w:val="24"/>
        </w:rPr>
        <w:t xml:space="preserve">The number of chemicals added to the </w:t>
      </w:r>
      <w:r w:rsidR="00832620">
        <w:rPr>
          <w:rFonts w:ascii="Times New Roman" w:hAnsi="Times New Roman"/>
          <w:color w:val="000000"/>
          <w:sz w:val="24"/>
          <w:szCs w:val="24"/>
        </w:rPr>
        <w:t xml:space="preserve">section </w:t>
      </w:r>
      <w:r w:rsidRPr="00B06BFB">
        <w:rPr>
          <w:rFonts w:ascii="Times New Roman" w:hAnsi="Times New Roman"/>
          <w:color w:val="000000"/>
          <w:sz w:val="24"/>
          <w:szCs w:val="24"/>
        </w:rPr>
        <w:t xml:space="preserve">8(d) list has been zero since </w:t>
      </w:r>
      <w:r w:rsidR="005C7674">
        <w:rPr>
          <w:rFonts w:ascii="Times New Roman" w:hAnsi="Times New Roman"/>
          <w:color w:val="000000"/>
          <w:sz w:val="24"/>
          <w:szCs w:val="24"/>
        </w:rPr>
        <w:t xml:space="preserve">early </w:t>
      </w:r>
      <w:r w:rsidRPr="00B06BFB">
        <w:rPr>
          <w:rFonts w:ascii="Times New Roman" w:hAnsi="Times New Roman"/>
          <w:color w:val="000000"/>
          <w:sz w:val="24"/>
          <w:szCs w:val="24"/>
        </w:rPr>
        <w:t>2008.</w:t>
      </w:r>
    </w:p>
    <w:p w14:paraId="59E893DF" w14:textId="7FB0D9CB" w:rsidR="00785DB7" w:rsidRPr="00B06BFB" w:rsidRDefault="00785DB7" w:rsidP="00AA5041">
      <w:pPr>
        <w:widowControl w:val="0"/>
        <w:numPr>
          <w:ilvl w:val="0"/>
          <w:numId w:val="39"/>
        </w:numPr>
        <w:rPr>
          <w:color w:val="000000"/>
          <w:szCs w:val="24"/>
        </w:rPr>
      </w:pPr>
      <w:r w:rsidRPr="00B06BFB">
        <w:rPr>
          <w:color w:val="000000"/>
          <w:szCs w:val="24"/>
        </w:rPr>
        <w:t xml:space="preserve">The methodology used in the previous ICR overestimated the burden resulting from the addition of chemicals to the TSCA </w:t>
      </w:r>
      <w:r w:rsidR="00832620">
        <w:rPr>
          <w:color w:val="000000"/>
          <w:szCs w:val="24"/>
        </w:rPr>
        <w:t xml:space="preserve">section </w:t>
      </w:r>
      <w:r w:rsidRPr="00B06BFB">
        <w:rPr>
          <w:color w:val="000000"/>
          <w:szCs w:val="24"/>
        </w:rPr>
        <w:t>8(d) rule.</w:t>
      </w:r>
    </w:p>
    <w:p w14:paraId="61197609" w14:textId="13029CC4" w:rsidR="0080352A" w:rsidRDefault="0080352A" w:rsidP="00FC5E65">
      <w:pPr>
        <w:widowControl w:val="0"/>
        <w:rPr>
          <w:color w:val="000000"/>
        </w:rPr>
      </w:pPr>
    </w:p>
    <w:p w14:paraId="5365B059" w14:textId="77B7928B" w:rsidR="003F63AD" w:rsidRDefault="00A5395D" w:rsidP="00F66476">
      <w:pPr>
        <w:widowControl w:val="0"/>
        <w:ind w:firstLine="720"/>
        <w:rPr>
          <w:color w:val="000000"/>
        </w:rPr>
      </w:pPr>
      <w:r>
        <w:rPr>
          <w:b/>
          <w:color w:val="000000"/>
        </w:rPr>
        <w:t>6(i)</w:t>
      </w:r>
      <w:r w:rsidR="00F66476">
        <w:rPr>
          <w:b/>
          <w:color w:val="000000"/>
        </w:rPr>
        <w:tab/>
      </w:r>
      <w:r w:rsidR="003F63AD">
        <w:rPr>
          <w:b/>
          <w:color w:val="000000"/>
        </w:rPr>
        <w:t>Burden Statement</w:t>
      </w:r>
    </w:p>
    <w:p w14:paraId="7F2B25F0" w14:textId="77777777" w:rsidR="003F63AD" w:rsidRDefault="003F63AD" w:rsidP="00A411E8">
      <w:pPr>
        <w:widowControl w:val="0"/>
        <w:rPr>
          <w:color w:val="000000"/>
        </w:rPr>
      </w:pPr>
    </w:p>
    <w:p w14:paraId="0D732515" w14:textId="39373F1D" w:rsidR="003F63AD" w:rsidRDefault="003F63AD" w:rsidP="00574FD9">
      <w:pPr>
        <w:widowControl w:val="0"/>
        <w:ind w:firstLine="720"/>
        <w:rPr>
          <w:color w:val="000000"/>
        </w:rPr>
      </w:pPr>
      <w:r w:rsidRPr="002F7EA9">
        <w:rPr>
          <w:color w:val="000000"/>
        </w:rPr>
        <w:t xml:space="preserve">The annual public burden for this collection of information, which is approved under OMB Control No. 2070-0004, is estimated to average about </w:t>
      </w:r>
      <w:r w:rsidR="006A5D43" w:rsidRPr="006A0DE7">
        <w:rPr>
          <w:color w:val="000000"/>
        </w:rPr>
        <w:t>1</w:t>
      </w:r>
      <w:r w:rsidR="008D2DE9">
        <w:rPr>
          <w:color w:val="000000"/>
        </w:rPr>
        <w:t>1</w:t>
      </w:r>
      <w:r w:rsidRPr="002F7EA9">
        <w:rPr>
          <w:color w:val="000000"/>
        </w:rPr>
        <w:t xml:space="preserve"> hours per response.</w:t>
      </w:r>
      <w:r>
        <w:rPr>
          <w:color w:val="000000"/>
        </w:rPr>
        <w:t xml:space="preserve"> </w:t>
      </w:r>
      <w:r w:rsidR="00574FD9" w:rsidRPr="00574FD9">
        <w:rPr>
          <w:color w:val="000000"/>
        </w:rPr>
        <w:t>Burden is defined in 5 CFR 1320.3(b)</w:t>
      </w:r>
      <w:r w:rsidR="00205FAB">
        <w:rPr>
          <w:color w:val="000000"/>
        </w:rPr>
        <w:t xml:space="preserve">. </w:t>
      </w:r>
      <w:r>
        <w:rPr>
          <w:color w:val="000000"/>
        </w:rPr>
        <w:t>An agency may not conduct or sponsor, and a person is not required to respond to, a collection of information unless it displays a currently valid OMB control number</w:t>
      </w:r>
      <w:r w:rsidR="00205FAB">
        <w:rPr>
          <w:color w:val="000000"/>
        </w:rPr>
        <w:t xml:space="preserve">. </w:t>
      </w:r>
      <w:r>
        <w:rPr>
          <w:color w:val="000000"/>
        </w:rPr>
        <w:t>The OMB control number for this information collection appears above</w:t>
      </w:r>
      <w:r w:rsidR="00205FAB">
        <w:rPr>
          <w:color w:val="000000"/>
        </w:rPr>
        <w:t xml:space="preserve">. </w:t>
      </w:r>
      <w:r w:rsidR="00574FD9" w:rsidRPr="00574FD9">
        <w:rPr>
          <w:color w:val="000000"/>
        </w:rPr>
        <w:t xml:space="preserve">The OMB control numbers for EPA’s regulations in title 40 of the CFR, after appearing in the </w:t>
      </w:r>
      <w:r w:rsidR="00574FD9" w:rsidRPr="00E03CA3">
        <w:rPr>
          <w:color w:val="000000"/>
          <w:u w:val="single"/>
        </w:rPr>
        <w:t>Federal Register</w:t>
      </w:r>
      <w:r w:rsidR="00574FD9" w:rsidRPr="00574FD9">
        <w:rPr>
          <w:color w:val="000000"/>
        </w:rPr>
        <w:t>, are listed in 40 CFR part 9 and included on the related collection instrument or form, if applicable.</w:t>
      </w:r>
    </w:p>
    <w:p w14:paraId="7701D6E4" w14:textId="77777777" w:rsidR="00574FD9" w:rsidRDefault="00574FD9" w:rsidP="00574FD9">
      <w:pPr>
        <w:widowControl w:val="0"/>
        <w:ind w:firstLine="720"/>
        <w:rPr>
          <w:color w:val="000000"/>
        </w:rPr>
      </w:pPr>
    </w:p>
    <w:p w14:paraId="15623BF2" w14:textId="246E7151" w:rsidR="003F63AD" w:rsidRDefault="003F63AD" w:rsidP="00F66476">
      <w:pPr>
        <w:ind w:firstLine="720"/>
      </w:pPr>
      <w:r>
        <w:t xml:space="preserve">The Agency has established a public docket for this ICR under </w:t>
      </w:r>
      <w:r w:rsidRPr="003A5ACB">
        <w:t xml:space="preserve">Docket ID No. </w:t>
      </w:r>
      <w:r w:rsidR="0006206C" w:rsidRPr="0006206C">
        <w:t>EPA-HQ-OPPT-2017-0646</w:t>
      </w:r>
      <w:r>
        <w:t xml:space="preserve"> which is available for online viewin</w:t>
      </w:r>
      <w:r w:rsidR="00574FD9">
        <w:t>g at www.regulations.gov, or in-</w:t>
      </w:r>
      <w:r>
        <w:t xml:space="preserve">person </w:t>
      </w:r>
      <w:r w:rsidR="00574FD9" w:rsidRPr="00574FD9">
        <w:t>viewing at the Pollution Prevention and Toxics Docket in the EPA Docket Center (EPA/DC)</w:t>
      </w:r>
      <w:r w:rsidR="00205FAB">
        <w:t xml:space="preserve">. </w:t>
      </w:r>
      <w:r w:rsidR="00574FD9" w:rsidRPr="00574FD9">
        <w:t>The EPA/DC Public Reading Room is located in the West William Jefferson Clinton Bldg., Room 3334, 1301 Constitution Ave., N.W., Washington, DC</w:t>
      </w:r>
      <w:r w:rsidR="00205FAB">
        <w:t xml:space="preserve">. </w:t>
      </w:r>
      <w:r w:rsidR="00574FD9" w:rsidRPr="00574FD9">
        <w:t>The EPA/DC Public Reading Room is open from 8:30 a.m. to 4:30 p.m., Monday through Friday, excluding legal holidays</w:t>
      </w:r>
      <w:r w:rsidR="00205FAB">
        <w:t xml:space="preserve">. </w:t>
      </w:r>
      <w:r w:rsidR="00574FD9" w:rsidRPr="00574FD9">
        <w:t>The telephone number for the EPA/DC Public Reading Room is (202) 566-1744, and the telephone number for the Pollution Prevention and Toxics Docket is (202) 566-0280.</w:t>
      </w:r>
    </w:p>
    <w:p w14:paraId="74A277EC" w14:textId="77777777" w:rsidR="003F63AD" w:rsidRDefault="003F63AD" w:rsidP="00DA3094">
      <w:r>
        <w:tab/>
      </w:r>
    </w:p>
    <w:p w14:paraId="17DF7DBE" w14:textId="688E1F00" w:rsidR="00F03F29" w:rsidRDefault="00574FD9" w:rsidP="00F66476">
      <w:pPr>
        <w:ind w:firstLine="720"/>
      </w:pPr>
      <w:r w:rsidRPr="00574FD9">
        <w:t xml:space="preserve">You may submit comments regarding the Agency's need for this information, the accuracy of the provided burden estimates and any suggested methods for minimizing respondent burden, including the use of automated collection techniques. Submit your comments, </w:t>
      </w:r>
      <w:r w:rsidR="003F63AD">
        <w:t xml:space="preserve">referencing </w:t>
      </w:r>
      <w:r w:rsidR="003F63AD" w:rsidRPr="003A5ACB">
        <w:t xml:space="preserve">Docket ID No. </w:t>
      </w:r>
      <w:r w:rsidR="0006206C" w:rsidRPr="0006206C">
        <w:t>EPA-HQ-OPPT-2017-0646</w:t>
      </w:r>
      <w:r w:rsidR="003F63AD">
        <w:t xml:space="preserve"> and OMB Control No. </w:t>
      </w:r>
      <w:r w:rsidR="003F63AD" w:rsidRPr="009E46AD">
        <w:t>2070-</w:t>
      </w:r>
      <w:r w:rsidR="003F63AD">
        <w:t xml:space="preserve">0004, </w:t>
      </w:r>
      <w:r w:rsidRPr="00574FD9">
        <w:t>to (1) EPA online using www.regulations.gov (our preferred method), or by mail to: Pollution Prevention and Toxics Docket, Environmental Protection Agency Docket Center (EPA/DC), Mailcode: 28221T, 1200 Pennsylvania Ave., N.W., Washington, DC 20460, and (2) OMB by mail to: Office of Information and Regulatory Affairs, Office of Management and Budget (OMB), Attention: Desk Officer for EPA, 725 17th Street, N.W., Washington, DC 20503.</w:t>
      </w:r>
    </w:p>
    <w:p w14:paraId="380268F4" w14:textId="77777777" w:rsidR="00F03F29" w:rsidRDefault="00F03F29">
      <w:r>
        <w:br w:type="page"/>
      </w:r>
    </w:p>
    <w:p w14:paraId="29CE4554" w14:textId="77777777" w:rsidR="006E0EE1" w:rsidRPr="006E0EE1" w:rsidRDefault="006E0EE1" w:rsidP="006E0EE1">
      <w:pPr>
        <w:widowControl w:val="0"/>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6E0EE1">
        <w:rPr>
          <w:b/>
          <w:color w:val="000000"/>
        </w:rPr>
        <w:t>ATTACHMENTS TO THE SUPPORTING STATEMENT</w:t>
      </w:r>
    </w:p>
    <w:p w14:paraId="69466D7F" w14:textId="77777777" w:rsidR="006E0EE1" w:rsidRPr="006E0EE1" w:rsidRDefault="006E0EE1" w:rsidP="006E0EE1">
      <w:pPr>
        <w:widowControl w:val="0"/>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14:paraId="4DE39400" w14:textId="6ED2AD20" w:rsidR="006E0EE1" w:rsidRPr="006E0EE1" w:rsidRDefault="006E0EE1" w:rsidP="006E0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6E0EE1">
        <w:rPr>
          <w:color w:val="000000"/>
        </w:rPr>
        <w:tab/>
        <w:t xml:space="preserve">Attachments to the supporting statement are available in the public docket established for this ICR under docket identification number </w:t>
      </w:r>
      <w:r w:rsidRPr="006E0EE1">
        <w:rPr>
          <w:b/>
          <w:color w:val="000000"/>
        </w:rPr>
        <w:t>EPA-HQ-OPPT-</w:t>
      </w:r>
      <w:r w:rsidR="0006206C">
        <w:rPr>
          <w:b/>
          <w:color w:val="000000"/>
        </w:rPr>
        <w:t>2017</w:t>
      </w:r>
      <w:r w:rsidR="00E13356" w:rsidRPr="0006206C">
        <w:rPr>
          <w:b/>
          <w:color w:val="000000"/>
        </w:rPr>
        <w:t>-</w:t>
      </w:r>
      <w:r w:rsidR="0006206C">
        <w:rPr>
          <w:b/>
          <w:color w:val="000000"/>
        </w:rPr>
        <w:t>0646</w:t>
      </w:r>
      <w:r w:rsidRPr="006E0EE1">
        <w:rPr>
          <w:color w:val="000000"/>
        </w:rPr>
        <w:t xml:space="preserve"> These attachments are available for online viewing at </w:t>
      </w:r>
      <w:hyperlink r:id="rId10" w:history="1">
        <w:r w:rsidRPr="006E0EE1">
          <w:rPr>
            <w:color w:val="0000FF"/>
            <w:u w:val="single"/>
          </w:rPr>
          <w:t>www.regulations.gov</w:t>
        </w:r>
      </w:hyperlink>
      <w:r w:rsidRPr="006E0EE1">
        <w:rPr>
          <w:color w:val="000000"/>
        </w:rPr>
        <w:t xml:space="preserve"> or otherwise accessed as described in section 6(f) of the supporting statement.</w:t>
      </w:r>
    </w:p>
    <w:p w14:paraId="2EB1AF4C" w14:textId="77777777" w:rsidR="006E0EE1" w:rsidRPr="006E0EE1" w:rsidRDefault="006E0EE1" w:rsidP="006E0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AD775D6" w14:textId="77777777" w:rsidR="0062730C" w:rsidRDefault="006E0EE1" w:rsidP="00627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6E0EE1">
        <w:rPr>
          <w:b/>
          <w:color w:val="000000"/>
        </w:rPr>
        <w:t xml:space="preserve">Attachment </w:t>
      </w:r>
      <w:r>
        <w:rPr>
          <w:b/>
          <w:color w:val="000000"/>
        </w:rPr>
        <w:t>1</w:t>
      </w:r>
      <w:r w:rsidRPr="006E0EE1">
        <w:rPr>
          <w:b/>
          <w:color w:val="000000"/>
        </w:rPr>
        <w:t>:</w:t>
      </w:r>
      <w:r w:rsidRPr="006E0EE1">
        <w:rPr>
          <w:b/>
          <w:color w:val="000000"/>
        </w:rPr>
        <w:tab/>
        <w:t>15 U.S.C. 260</w:t>
      </w:r>
      <w:r w:rsidR="0062730C">
        <w:rPr>
          <w:b/>
          <w:color w:val="000000"/>
        </w:rPr>
        <w:t>7(d)</w:t>
      </w:r>
      <w:r w:rsidRPr="006E0EE1">
        <w:rPr>
          <w:b/>
          <w:color w:val="000000"/>
        </w:rPr>
        <w:t xml:space="preserve"> </w:t>
      </w:r>
      <w:r w:rsidRPr="006E0EE1">
        <w:rPr>
          <w:b/>
          <w:i/>
        </w:rPr>
        <w:t>-</w:t>
      </w:r>
      <w:r w:rsidRPr="006E0EE1">
        <w:rPr>
          <w:b/>
        </w:rPr>
        <w:t xml:space="preserve"> </w:t>
      </w:r>
      <w:r w:rsidRPr="006E0EE1">
        <w:rPr>
          <w:b/>
          <w:color w:val="000000"/>
        </w:rPr>
        <w:t xml:space="preserve">Section </w:t>
      </w:r>
      <w:r w:rsidR="0062730C">
        <w:rPr>
          <w:b/>
          <w:color w:val="000000"/>
        </w:rPr>
        <w:t>8(d)</w:t>
      </w:r>
      <w:r w:rsidRPr="006E0EE1">
        <w:rPr>
          <w:b/>
          <w:color w:val="000000"/>
        </w:rPr>
        <w:t xml:space="preserve"> of the Toxic Substances Control Act. </w:t>
      </w:r>
    </w:p>
    <w:p w14:paraId="75509634" w14:textId="18429241" w:rsidR="006E0EE1" w:rsidRPr="006E0EE1" w:rsidRDefault="0062730C" w:rsidP="00627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color w:val="000000"/>
        </w:rPr>
      </w:pPr>
      <w:r>
        <w:rPr>
          <w:b/>
          <w:color w:val="000000"/>
        </w:rPr>
        <w:tab/>
      </w:r>
      <w:r w:rsidR="006E0EE1" w:rsidRPr="006E0EE1">
        <w:rPr>
          <w:color w:val="000000"/>
        </w:rPr>
        <w:t>Also</w:t>
      </w:r>
      <w:r>
        <w:rPr>
          <w:color w:val="000000"/>
        </w:rPr>
        <w:t xml:space="preserve"> </w:t>
      </w:r>
      <w:r w:rsidR="006E0EE1" w:rsidRPr="006E0EE1">
        <w:rPr>
          <w:color w:val="000000"/>
        </w:rPr>
        <w:t xml:space="preserve">available online at the U.S. House of Representatives’ </w:t>
      </w:r>
      <w:hyperlink r:id="rId11" w:history="1">
        <w:r w:rsidR="006E0EE1" w:rsidRPr="006E0EE1">
          <w:rPr>
            <w:color w:val="0000FF"/>
            <w:u w:val="single"/>
          </w:rPr>
          <w:t>U.S. Code website</w:t>
        </w:r>
      </w:hyperlink>
    </w:p>
    <w:p w14:paraId="2F9F4832" w14:textId="77777777" w:rsidR="006E0EE1" w:rsidRPr="006E0EE1" w:rsidRDefault="006E0EE1" w:rsidP="006E0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CA17105" w14:textId="11C42929" w:rsidR="006E0EE1" w:rsidRDefault="006E0EE1" w:rsidP="006E0EE1">
      <w:pPr>
        <w:ind w:left="2160" w:hanging="2160"/>
        <w:rPr>
          <w:color w:val="0000FF"/>
          <w:u w:val="single"/>
        </w:rPr>
      </w:pPr>
      <w:r w:rsidRPr="006E0EE1">
        <w:rPr>
          <w:b/>
          <w:szCs w:val="24"/>
        </w:rPr>
        <w:t xml:space="preserve">Attachment </w:t>
      </w:r>
      <w:r>
        <w:rPr>
          <w:b/>
          <w:szCs w:val="24"/>
        </w:rPr>
        <w:t>2</w:t>
      </w:r>
      <w:r w:rsidRPr="006E0EE1">
        <w:rPr>
          <w:b/>
          <w:szCs w:val="24"/>
        </w:rPr>
        <w:t>:</w:t>
      </w:r>
      <w:r w:rsidRPr="006E0EE1">
        <w:rPr>
          <w:b/>
          <w:szCs w:val="24"/>
        </w:rPr>
        <w:tab/>
      </w:r>
      <w:r w:rsidRPr="006E0EE1">
        <w:rPr>
          <w:b/>
          <w:color w:val="000000"/>
        </w:rPr>
        <w:t>40 C</w:t>
      </w:r>
      <w:r w:rsidR="005F3C91">
        <w:rPr>
          <w:b/>
          <w:color w:val="000000"/>
        </w:rPr>
        <w:t>.</w:t>
      </w:r>
      <w:r w:rsidRPr="006E0EE1">
        <w:rPr>
          <w:b/>
          <w:color w:val="000000"/>
        </w:rPr>
        <w:t>F</w:t>
      </w:r>
      <w:r w:rsidR="005F3C91">
        <w:rPr>
          <w:b/>
          <w:color w:val="000000"/>
        </w:rPr>
        <w:t>.</w:t>
      </w:r>
      <w:r w:rsidRPr="006E0EE1">
        <w:rPr>
          <w:b/>
          <w:color w:val="000000"/>
        </w:rPr>
        <w:t>R</w:t>
      </w:r>
      <w:r w:rsidR="005F3C91">
        <w:rPr>
          <w:b/>
          <w:color w:val="000000"/>
        </w:rPr>
        <w:t>.</w:t>
      </w:r>
      <w:r w:rsidRPr="006E0EE1">
        <w:rPr>
          <w:b/>
          <w:color w:val="000000"/>
        </w:rPr>
        <w:t xml:space="preserve"> part 7</w:t>
      </w:r>
      <w:r w:rsidR="005F3C91">
        <w:rPr>
          <w:b/>
          <w:color w:val="000000"/>
        </w:rPr>
        <w:t>16</w:t>
      </w:r>
      <w:r w:rsidRPr="006E0EE1">
        <w:rPr>
          <w:color w:val="000000"/>
        </w:rPr>
        <w:t xml:space="preserve"> </w:t>
      </w:r>
      <w:r w:rsidRPr="006E0EE1">
        <w:rPr>
          <w:b/>
          <w:i/>
        </w:rPr>
        <w:t xml:space="preserve">- </w:t>
      </w:r>
      <w:r w:rsidR="005F3C91" w:rsidRPr="005F3C91">
        <w:rPr>
          <w:b/>
        </w:rPr>
        <w:t>Health and Safety Data Reporting</w:t>
      </w:r>
      <w:r w:rsidRPr="006E0EE1">
        <w:t xml:space="preserve">. Also available online at the National Archives and Records Administration’s </w:t>
      </w:r>
      <w:hyperlink r:id="rId12" w:history="1">
        <w:r w:rsidRPr="006E0EE1">
          <w:rPr>
            <w:color w:val="0000FF"/>
            <w:u w:val="single"/>
          </w:rPr>
          <w:t>Electronic CFR website</w:t>
        </w:r>
      </w:hyperlink>
    </w:p>
    <w:p w14:paraId="2A55D8FB" w14:textId="77777777" w:rsidR="00C7250D" w:rsidRPr="006E0EE1" w:rsidRDefault="00C7250D" w:rsidP="00BF05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0FEC3B2" w14:textId="6E6645F7" w:rsidR="00F16838" w:rsidRDefault="00F16838" w:rsidP="00F1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6E0EE1">
        <w:rPr>
          <w:b/>
          <w:color w:val="000000"/>
        </w:rPr>
        <w:t xml:space="preserve">Attachment </w:t>
      </w:r>
      <w:r>
        <w:rPr>
          <w:b/>
          <w:color w:val="000000"/>
        </w:rPr>
        <w:t>3</w:t>
      </w:r>
      <w:r w:rsidRPr="006E0EE1">
        <w:rPr>
          <w:b/>
          <w:color w:val="000000"/>
        </w:rPr>
        <w:t>:</w:t>
      </w:r>
      <w:r w:rsidRPr="006E0EE1">
        <w:rPr>
          <w:b/>
          <w:color w:val="000000"/>
        </w:rPr>
        <w:tab/>
      </w:r>
      <w:r>
        <w:rPr>
          <w:b/>
          <w:color w:val="000000"/>
        </w:rPr>
        <w:t>Response to Comments Memo.</w:t>
      </w:r>
    </w:p>
    <w:p w14:paraId="68A649A5" w14:textId="63A2F35A" w:rsidR="00F16838" w:rsidRPr="006E0EE1" w:rsidRDefault="00F16838" w:rsidP="00F1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color w:val="000000"/>
        </w:rPr>
      </w:pPr>
      <w:r>
        <w:rPr>
          <w:b/>
          <w:color w:val="000000"/>
        </w:rPr>
        <w:tab/>
      </w:r>
    </w:p>
    <w:p w14:paraId="74D79721" w14:textId="3AB8574E" w:rsidR="00F16838" w:rsidRDefault="00F16838" w:rsidP="00F16838">
      <w:pPr>
        <w:ind w:left="2160" w:hanging="2160"/>
        <w:rPr>
          <w:color w:val="0000FF"/>
          <w:u w:val="single"/>
        </w:rPr>
      </w:pPr>
      <w:r w:rsidRPr="006E0EE1">
        <w:rPr>
          <w:b/>
          <w:szCs w:val="24"/>
        </w:rPr>
        <w:t xml:space="preserve">Attachment </w:t>
      </w:r>
      <w:r>
        <w:rPr>
          <w:b/>
          <w:szCs w:val="24"/>
        </w:rPr>
        <w:t>4</w:t>
      </w:r>
      <w:r w:rsidRPr="006E0EE1">
        <w:rPr>
          <w:b/>
          <w:szCs w:val="24"/>
        </w:rPr>
        <w:t>:</w:t>
      </w:r>
      <w:r w:rsidRPr="006E0EE1">
        <w:rPr>
          <w:b/>
          <w:szCs w:val="24"/>
        </w:rPr>
        <w:tab/>
      </w:r>
      <w:r>
        <w:rPr>
          <w:b/>
          <w:color w:val="000000"/>
        </w:rPr>
        <w:t>Consultations Correspondence.</w:t>
      </w:r>
      <w:r>
        <w:rPr>
          <w:color w:val="0000FF"/>
          <w:u w:val="single"/>
        </w:rPr>
        <w:t xml:space="preserve"> </w:t>
      </w:r>
    </w:p>
    <w:p w14:paraId="2D6BCA69" w14:textId="77777777" w:rsidR="00F16838" w:rsidRDefault="00F16838" w:rsidP="006E0EE1">
      <w:pPr>
        <w:ind w:left="2160" w:hanging="2160"/>
        <w:rPr>
          <w:color w:val="0000FF"/>
          <w:u w:val="single"/>
        </w:rPr>
      </w:pPr>
    </w:p>
    <w:p w14:paraId="587DE4FE" w14:textId="77777777" w:rsidR="00A5395D" w:rsidRDefault="00A5395D" w:rsidP="006E0EE1">
      <w:pPr>
        <w:ind w:left="2160" w:hanging="2160"/>
      </w:pPr>
    </w:p>
    <w:p w14:paraId="23DA3D75" w14:textId="77777777" w:rsidR="00F73CAC" w:rsidRPr="00A5395D" w:rsidRDefault="00F73CAC" w:rsidP="006E0EE1">
      <w:pPr>
        <w:ind w:left="2160" w:hanging="2160"/>
        <w:rPr>
          <w:b/>
        </w:rPr>
      </w:pPr>
    </w:p>
    <w:p w14:paraId="4EB63B7C" w14:textId="2921C86D" w:rsidR="00EA42B0" w:rsidRDefault="006E0EE1" w:rsidP="004911DC">
      <w:pPr>
        <w:ind w:left="2160" w:hanging="2160"/>
      </w:pPr>
      <w:r w:rsidRPr="006E0EE1">
        <w:t xml:space="preserve"> </w:t>
      </w:r>
    </w:p>
    <w:sectPr w:rsidR="00EA42B0" w:rsidSect="00E421F6">
      <w:headerReference w:type="default" r:id="rId13"/>
      <w:footerReference w:type="even" r:id="rId14"/>
      <w:footerReference w:type="default" r:id="rId15"/>
      <w:headerReference w:type="first" r:id="rId16"/>
      <w:footerReference w:type="first" r:id="rId17"/>
      <w:endnotePr>
        <w:numFmt w:val="lowerLetter"/>
      </w:endnotePr>
      <w:type w:val="continuous"/>
      <w:pgSz w:w="12240" w:h="15840" w:code="1"/>
      <w:pgMar w:top="1080" w:right="1080" w:bottom="1080" w:left="1080" w:header="630" w:footer="53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A0319" w14:textId="77777777" w:rsidR="002E678F" w:rsidRDefault="002E678F">
      <w:r>
        <w:separator/>
      </w:r>
    </w:p>
  </w:endnote>
  <w:endnote w:type="continuationSeparator" w:id="0">
    <w:p w14:paraId="45DEE7A7" w14:textId="77777777" w:rsidR="002E678F" w:rsidRDefault="002E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P MathA">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32809" w14:textId="77777777" w:rsidR="002E678F" w:rsidRDefault="002E678F">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287244"/>
      <w:docPartObj>
        <w:docPartGallery w:val="Page Numbers (Bottom of Page)"/>
        <w:docPartUnique/>
      </w:docPartObj>
    </w:sdtPr>
    <w:sdtEndPr>
      <w:rPr>
        <w:sz w:val="22"/>
        <w:szCs w:val="22"/>
      </w:rPr>
    </w:sdtEndPr>
    <w:sdtContent>
      <w:sdt>
        <w:sdtPr>
          <w:rPr>
            <w:sz w:val="22"/>
            <w:szCs w:val="22"/>
          </w:rPr>
          <w:id w:val="-1798438361"/>
          <w:docPartObj>
            <w:docPartGallery w:val="Page Numbers (Top of Page)"/>
            <w:docPartUnique/>
          </w:docPartObj>
        </w:sdtPr>
        <w:sdtEndPr/>
        <w:sdtContent>
          <w:p w14:paraId="297415BF" w14:textId="5BFAEC27" w:rsidR="002E678F" w:rsidRPr="007613B2" w:rsidRDefault="007613B2" w:rsidP="007613B2">
            <w:pPr>
              <w:pStyle w:val="Footer"/>
              <w:jc w:val="center"/>
              <w:rPr>
                <w:sz w:val="22"/>
                <w:szCs w:val="22"/>
              </w:rPr>
            </w:pPr>
            <w:r w:rsidRPr="007613B2">
              <w:rPr>
                <w:sz w:val="22"/>
                <w:szCs w:val="22"/>
              </w:rPr>
              <w:t xml:space="preserve">Page </w:t>
            </w:r>
            <w:r w:rsidRPr="007613B2">
              <w:rPr>
                <w:bCs/>
                <w:sz w:val="22"/>
                <w:szCs w:val="22"/>
              </w:rPr>
              <w:fldChar w:fldCharType="begin"/>
            </w:r>
            <w:r w:rsidRPr="007613B2">
              <w:rPr>
                <w:bCs/>
                <w:sz w:val="22"/>
                <w:szCs w:val="22"/>
              </w:rPr>
              <w:instrText xml:space="preserve"> PAGE </w:instrText>
            </w:r>
            <w:r w:rsidRPr="007613B2">
              <w:rPr>
                <w:bCs/>
                <w:sz w:val="22"/>
                <w:szCs w:val="22"/>
              </w:rPr>
              <w:fldChar w:fldCharType="separate"/>
            </w:r>
            <w:r w:rsidR="006A0851">
              <w:rPr>
                <w:bCs/>
                <w:noProof/>
                <w:sz w:val="22"/>
                <w:szCs w:val="22"/>
              </w:rPr>
              <w:t>1</w:t>
            </w:r>
            <w:r w:rsidRPr="007613B2">
              <w:rPr>
                <w:bCs/>
                <w:sz w:val="22"/>
                <w:szCs w:val="22"/>
              </w:rPr>
              <w:fldChar w:fldCharType="end"/>
            </w:r>
            <w:r w:rsidRPr="007613B2">
              <w:rPr>
                <w:sz w:val="22"/>
                <w:szCs w:val="22"/>
              </w:rPr>
              <w:t xml:space="preserve"> of </w:t>
            </w:r>
            <w:r w:rsidRPr="007613B2">
              <w:rPr>
                <w:bCs/>
                <w:sz w:val="22"/>
                <w:szCs w:val="22"/>
              </w:rPr>
              <w:fldChar w:fldCharType="begin"/>
            </w:r>
            <w:r w:rsidRPr="007613B2">
              <w:rPr>
                <w:bCs/>
                <w:sz w:val="22"/>
                <w:szCs w:val="22"/>
              </w:rPr>
              <w:instrText xml:space="preserve"> NUMPAGES  </w:instrText>
            </w:r>
            <w:r w:rsidRPr="007613B2">
              <w:rPr>
                <w:bCs/>
                <w:sz w:val="22"/>
                <w:szCs w:val="22"/>
              </w:rPr>
              <w:fldChar w:fldCharType="separate"/>
            </w:r>
            <w:r w:rsidR="006A0851">
              <w:rPr>
                <w:bCs/>
                <w:noProof/>
                <w:sz w:val="22"/>
                <w:szCs w:val="22"/>
              </w:rPr>
              <w:t>3</w:t>
            </w:r>
            <w:r w:rsidRPr="007613B2">
              <w:rPr>
                <w:bCs/>
                <w:sz w:val="22"/>
                <w:szCs w:val="22"/>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205621"/>
      <w:docPartObj>
        <w:docPartGallery w:val="Page Numbers (Bottom of Page)"/>
        <w:docPartUnique/>
      </w:docPartObj>
    </w:sdtPr>
    <w:sdtEndPr/>
    <w:sdtContent>
      <w:sdt>
        <w:sdtPr>
          <w:id w:val="1728636285"/>
          <w:docPartObj>
            <w:docPartGallery w:val="Page Numbers (Top of Page)"/>
            <w:docPartUnique/>
          </w:docPartObj>
        </w:sdtPr>
        <w:sdtEndPr/>
        <w:sdtContent>
          <w:p w14:paraId="770EF477" w14:textId="73B93719" w:rsidR="002E678F" w:rsidRDefault="0027513B" w:rsidP="0027513B">
            <w:pPr>
              <w:pStyle w:val="Footer"/>
              <w:jc w:val="center"/>
            </w:pPr>
            <w:r w:rsidRPr="0027513B">
              <w:t xml:space="preserve">Page </w:t>
            </w:r>
            <w:r w:rsidRPr="0027513B">
              <w:rPr>
                <w:bCs/>
                <w:szCs w:val="24"/>
              </w:rPr>
              <w:fldChar w:fldCharType="begin"/>
            </w:r>
            <w:r w:rsidRPr="0027513B">
              <w:rPr>
                <w:bCs/>
              </w:rPr>
              <w:instrText xml:space="preserve"> PAGE </w:instrText>
            </w:r>
            <w:r w:rsidRPr="0027513B">
              <w:rPr>
                <w:bCs/>
                <w:szCs w:val="24"/>
              </w:rPr>
              <w:fldChar w:fldCharType="separate"/>
            </w:r>
            <w:r w:rsidRPr="0027513B">
              <w:rPr>
                <w:bCs/>
                <w:noProof/>
              </w:rPr>
              <w:t>2</w:t>
            </w:r>
            <w:r w:rsidRPr="0027513B">
              <w:rPr>
                <w:bCs/>
                <w:szCs w:val="24"/>
              </w:rPr>
              <w:fldChar w:fldCharType="end"/>
            </w:r>
            <w:r w:rsidRPr="0027513B">
              <w:t xml:space="preserve"> of </w:t>
            </w:r>
            <w:r w:rsidRPr="0027513B">
              <w:rPr>
                <w:bCs/>
                <w:szCs w:val="24"/>
              </w:rPr>
              <w:fldChar w:fldCharType="begin"/>
            </w:r>
            <w:r w:rsidRPr="0027513B">
              <w:rPr>
                <w:bCs/>
              </w:rPr>
              <w:instrText xml:space="preserve"> NUMPAGES  </w:instrText>
            </w:r>
            <w:r w:rsidRPr="0027513B">
              <w:rPr>
                <w:bCs/>
                <w:szCs w:val="24"/>
              </w:rPr>
              <w:fldChar w:fldCharType="separate"/>
            </w:r>
            <w:r w:rsidRPr="0027513B">
              <w:rPr>
                <w:bCs/>
                <w:noProof/>
              </w:rPr>
              <w:t>2</w:t>
            </w:r>
            <w:r w:rsidRPr="0027513B">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9A2B0" w14:textId="77777777" w:rsidR="002E678F" w:rsidRDefault="002E678F">
      <w:r>
        <w:separator/>
      </w:r>
    </w:p>
  </w:footnote>
  <w:footnote w:type="continuationSeparator" w:id="0">
    <w:p w14:paraId="1692EE84" w14:textId="77777777" w:rsidR="002E678F" w:rsidRDefault="002E678F">
      <w:r>
        <w:continuationSeparator/>
      </w:r>
    </w:p>
  </w:footnote>
  <w:footnote w:id="1">
    <w:p w14:paraId="60632B49" w14:textId="70CA4C77" w:rsidR="002E678F" w:rsidRDefault="002E678F" w:rsidP="00BD554F">
      <w:pPr>
        <w:pStyle w:val="FootnoteText"/>
      </w:pPr>
      <w:r>
        <w:rPr>
          <w:rStyle w:val="FootnoteReference"/>
        </w:rPr>
        <w:footnoteRef/>
      </w:r>
      <w:r>
        <w:t xml:space="preserve"> According to 40 CFR 716.5, persons are required to report under a TSCA section 8(d) rule if, during the 10 years preceding the effective date of the rule, they manufactured (including imported) or planned to manufacture (including import) a listed chemical. The CDR data for this analysis is not limited to reporting from chemical manufacturers and petroleum refiners. This scope does not affect the accuracy of the results, given that only firms regulated under TSCA 8(d) submit reports.</w:t>
      </w:r>
    </w:p>
  </w:footnote>
  <w:footnote w:id="2">
    <w:p w14:paraId="578085D5" w14:textId="3C80A987" w:rsidR="002E678F" w:rsidRDefault="002E678F" w:rsidP="00A411E8">
      <w:pPr>
        <w:pStyle w:val="FootnoteText"/>
      </w:pPr>
      <w:r w:rsidRPr="00153FD9">
        <w:rPr>
          <w:rStyle w:val="FootnoteReference"/>
        </w:rPr>
        <w:footnoteRef/>
      </w:r>
      <w:r w:rsidRPr="00153FD9">
        <w:t xml:space="preserve"> The EPA wage rate is calculated based on the GS-13 Step 5 wage rate for calendar 201</w:t>
      </w:r>
      <w:r>
        <w:t>7</w:t>
      </w:r>
      <w:r w:rsidRPr="00153FD9">
        <w:t>, from the Office of Personnel Management salary and wage tables for Washington-Baltimore</w:t>
      </w:r>
      <w:r w:rsidRPr="00153FD9">
        <w:rPr>
          <w:i/>
          <w:iCs/>
        </w:rPr>
        <w:t>-</w:t>
      </w:r>
      <w:r w:rsidRPr="00153FD9">
        <w:t xml:space="preserve">Northern Virginia. The 60% fringes-and-overhead rate is from </w:t>
      </w:r>
      <w:r w:rsidRPr="00153FD9">
        <w:rPr>
          <w:i/>
          <w:iCs/>
        </w:rPr>
        <w:t>ICR Handbook: EPA’s Guide to Writing Information Collection Requests under the Paperwork Reduction Act of 1995</w:t>
      </w:r>
      <w:r>
        <w:rPr>
          <w:i/>
          <w:iCs/>
        </w:rPr>
        <w:t xml:space="preserve">. </w:t>
      </w:r>
      <w:r w:rsidRPr="00153FD9">
        <w:t>(EPA Office of Environmental Information,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2"/>
        <w:szCs w:val="22"/>
      </w:rPr>
      <w:id w:val="1260175806"/>
      <w:placeholder>
        <w:docPart w:val="DefaultPlaceholder_-1854013438"/>
      </w:placeholder>
      <w:date w:fullDate="2018-11-15T00:00:00Z">
        <w:dateFormat w:val="M/d/yyyy"/>
        <w:lid w:val="en-US"/>
        <w:storeMappedDataAs w:val="dateTime"/>
        <w:calendar w:val="gregorian"/>
      </w:date>
    </w:sdtPr>
    <w:sdtEndPr/>
    <w:sdtContent>
      <w:p w14:paraId="64C32155" w14:textId="75241E98" w:rsidR="002E678F" w:rsidRPr="00E421F6" w:rsidRDefault="00E421F6" w:rsidP="00E421F6">
        <w:pPr>
          <w:pStyle w:val="Header"/>
          <w:jc w:val="right"/>
          <w:rPr>
            <w:i/>
            <w:sz w:val="22"/>
            <w:szCs w:val="22"/>
          </w:rPr>
        </w:pPr>
        <w:r>
          <w:rPr>
            <w:i/>
            <w:sz w:val="22"/>
            <w:szCs w:val="22"/>
          </w:rPr>
          <w:t>11/15/2018</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2"/>
        <w:szCs w:val="22"/>
      </w:rPr>
      <w:id w:val="-1856336798"/>
      <w:placeholder>
        <w:docPart w:val="DefaultPlaceholder_-1854013438"/>
      </w:placeholder>
      <w:date w:fullDate="2018-11-14T00:00:00Z">
        <w:dateFormat w:val="M/d/yyyy"/>
        <w:lid w:val="en-US"/>
        <w:storeMappedDataAs w:val="dateTime"/>
        <w:calendar w:val="gregorian"/>
      </w:date>
    </w:sdtPr>
    <w:sdtEndPr/>
    <w:sdtContent>
      <w:p w14:paraId="68758396" w14:textId="59DDCA7E" w:rsidR="00C0301F" w:rsidRPr="00C0301F" w:rsidRDefault="00C0301F" w:rsidP="00C0301F">
        <w:pPr>
          <w:pStyle w:val="Header"/>
          <w:jc w:val="right"/>
          <w:rPr>
            <w:i/>
            <w:sz w:val="22"/>
            <w:szCs w:val="22"/>
          </w:rPr>
        </w:pPr>
        <w:r w:rsidRPr="00C0301F">
          <w:rPr>
            <w:i/>
            <w:sz w:val="22"/>
            <w:szCs w:val="22"/>
          </w:rPr>
          <w:t>11/14/2018</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lowerRoman"/>
      <w:suff w:val="nothing"/>
      <w:lvlText w:val="(%1)"/>
      <w:lvlJc w:val="left"/>
    </w:lvl>
    <w:lvl w:ilvl="1">
      <w:start w:val="1"/>
      <w:numFmt w:val="lowerRoman"/>
      <w:suff w:val="nothing"/>
      <w:lvlText w:val="(%2)"/>
      <w:lvlJc w:val="left"/>
    </w:lvl>
    <w:lvl w:ilvl="2">
      <w:start w:val="1"/>
      <w:numFmt w:val="lowerRoman"/>
      <w:suff w:val="nothing"/>
      <w:lvlText w:val="(%3)"/>
      <w:lvlJc w:val="left"/>
    </w:lvl>
    <w:lvl w:ilvl="3">
      <w:start w:val="1"/>
      <w:numFmt w:val="lowerRoman"/>
      <w:suff w:val="nothing"/>
      <w:lvlText w:val="(%4)"/>
      <w:lvlJc w:val="left"/>
    </w:lvl>
    <w:lvl w:ilvl="4">
      <w:start w:val="1"/>
      <w:numFmt w:val="lowerRoman"/>
      <w:suff w:val="nothing"/>
      <w:lvlText w:val="(%5)"/>
      <w:lvlJc w:val="left"/>
    </w:lvl>
    <w:lvl w:ilvl="5">
      <w:start w:val="1"/>
      <w:numFmt w:val="lowerRoman"/>
      <w:suff w:val="nothing"/>
      <w:lvlText w:val="(%6)"/>
      <w:lvlJc w:val="left"/>
    </w:lvl>
    <w:lvl w:ilvl="6">
      <w:start w:val="1"/>
      <w:numFmt w:val="lowerRoman"/>
      <w:suff w:val="nothing"/>
      <w:lvlText w:val="(%7)"/>
      <w:lvlJc w:val="left"/>
    </w:lvl>
    <w:lvl w:ilvl="7">
      <w:start w:val="1"/>
      <w:numFmt w:val="lowerRoman"/>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C"/>
      <w:lvlJc w:val="left"/>
      <w:rPr>
        <w:rFonts w:ascii="WP MathA" w:hAnsi="WP MathA"/>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S"/>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S"/>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S"/>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S"/>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S"/>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S"/>
      <w:lvlJc w:val="left"/>
      <w:rPr>
        <w:rFonts w:ascii="WP TypographicSymbols" w:hAnsi="WP TypographicSymbols"/>
      </w:rPr>
    </w:lvl>
  </w:abstractNum>
  <w:abstractNum w:abstractNumId="8">
    <w:nsid w:val="00000009"/>
    <w:multiLevelType w:val="singleLevel"/>
    <w:tmpl w:val="00000009"/>
    <w:lvl w:ilvl="0">
      <w:start w:val="1"/>
      <w:numFmt w:val="none"/>
      <w:suff w:val="nothing"/>
      <w:lvlText w:val="S"/>
      <w:lvlJc w:val="left"/>
      <w:rPr>
        <w:rFonts w:ascii="WP TypographicSymbols" w:hAnsi="WP TypographicSymbols"/>
      </w:rPr>
    </w:lvl>
  </w:abstractNum>
  <w:abstractNum w:abstractNumId="9">
    <w:nsid w:val="0000000A"/>
    <w:multiLevelType w:val="singleLevel"/>
    <w:tmpl w:val="0000000A"/>
    <w:lvl w:ilvl="0">
      <w:start w:val="1"/>
      <w:numFmt w:val="none"/>
      <w:suff w:val="nothing"/>
      <w:lvlText w:val="S"/>
      <w:lvlJc w:val="left"/>
      <w:rPr>
        <w:rFonts w:ascii="WP TypographicSymbols" w:hAnsi="WP TypographicSymbols"/>
      </w:rPr>
    </w:lvl>
  </w:abstractNum>
  <w:abstractNum w:abstractNumId="10">
    <w:nsid w:val="0000000B"/>
    <w:multiLevelType w:val="singleLevel"/>
    <w:tmpl w:val="0000000B"/>
    <w:lvl w:ilvl="0">
      <w:start w:val="1"/>
      <w:numFmt w:val="none"/>
      <w:suff w:val="nothing"/>
      <w:lvlText w:val="S"/>
      <w:lvlJc w:val="left"/>
      <w:rPr>
        <w:rFonts w:ascii="WP TypographicSymbols" w:hAnsi="WP TypographicSymbols"/>
      </w:rPr>
    </w:lvl>
  </w:abstractNum>
  <w:abstractNum w:abstractNumId="11">
    <w:nsid w:val="0000000C"/>
    <w:multiLevelType w:val="singleLevel"/>
    <w:tmpl w:val="0000000C"/>
    <w:lvl w:ilvl="0">
      <w:start w:val="1"/>
      <w:numFmt w:val="none"/>
      <w:suff w:val="nothing"/>
      <w:lvlText w:val="S"/>
      <w:lvlJc w:val="left"/>
      <w:rPr>
        <w:rFonts w:ascii="WP TypographicSymbols" w:hAnsi="WP TypographicSymbols"/>
      </w:rPr>
    </w:lvl>
  </w:abstractNum>
  <w:abstractNum w:abstractNumId="12">
    <w:nsid w:val="0000000D"/>
    <w:multiLevelType w:val="singleLevel"/>
    <w:tmpl w:val="0000000D"/>
    <w:lvl w:ilvl="0">
      <w:start w:val="1"/>
      <w:numFmt w:val="none"/>
      <w:suff w:val="nothing"/>
      <w:lvlText w:val="S"/>
      <w:lvlJc w:val="left"/>
      <w:rPr>
        <w:rFonts w:ascii="WP TypographicSymbols" w:hAnsi="WP TypographicSymbols"/>
      </w:rPr>
    </w:lvl>
  </w:abstractNum>
  <w:abstractNum w:abstractNumId="13">
    <w:nsid w:val="0000000E"/>
    <w:multiLevelType w:val="singleLevel"/>
    <w:tmpl w:val="0000000E"/>
    <w:lvl w:ilvl="0">
      <w:start w:val="1"/>
      <w:numFmt w:val="none"/>
      <w:suff w:val="nothing"/>
      <w:lvlText w:val="S"/>
      <w:lvlJc w:val="left"/>
      <w:rPr>
        <w:rFonts w:ascii="WP TypographicSymbols" w:hAnsi="WP TypographicSymbols"/>
      </w:rPr>
    </w:lvl>
  </w:abstractNum>
  <w:abstractNum w:abstractNumId="14">
    <w:nsid w:val="036B3C30"/>
    <w:multiLevelType w:val="hybridMultilevel"/>
    <w:tmpl w:val="4514652E"/>
    <w:lvl w:ilvl="0" w:tplc="26B8B7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9007B9C"/>
    <w:multiLevelType w:val="hybridMultilevel"/>
    <w:tmpl w:val="B56C9506"/>
    <w:lvl w:ilvl="0" w:tplc="398C30F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DCD26E6"/>
    <w:multiLevelType w:val="hybridMultilevel"/>
    <w:tmpl w:val="22EC0096"/>
    <w:lvl w:ilvl="0" w:tplc="0409000F">
      <w:start w:val="1"/>
      <w:numFmt w:val="decimal"/>
      <w:lvlText w:val="%1."/>
      <w:lvlJc w:val="left"/>
      <w:pPr>
        <w:tabs>
          <w:tab w:val="num" w:pos="1440"/>
        </w:tabs>
        <w:ind w:left="144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5F7C99"/>
    <w:multiLevelType w:val="hybridMultilevel"/>
    <w:tmpl w:val="98FE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1A4666"/>
    <w:multiLevelType w:val="hybridMultilevel"/>
    <w:tmpl w:val="7F369E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6B665D"/>
    <w:multiLevelType w:val="hybridMultilevel"/>
    <w:tmpl w:val="A7784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520045C"/>
    <w:multiLevelType w:val="hybridMultilevel"/>
    <w:tmpl w:val="EFDEA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681904"/>
    <w:multiLevelType w:val="hybridMultilevel"/>
    <w:tmpl w:val="DD84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837F40"/>
    <w:multiLevelType w:val="hybridMultilevel"/>
    <w:tmpl w:val="FF448890"/>
    <w:lvl w:ilvl="0" w:tplc="398C30F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274BE4"/>
    <w:multiLevelType w:val="hybridMultilevel"/>
    <w:tmpl w:val="47A8869C"/>
    <w:lvl w:ilvl="0" w:tplc="398C30F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095837"/>
    <w:multiLevelType w:val="hybridMultilevel"/>
    <w:tmpl w:val="B020327E"/>
    <w:lvl w:ilvl="0" w:tplc="398C30F0">
      <w:numFmt w:val="bullet"/>
      <w:lvlText w:val=""/>
      <w:lvlJc w:val="left"/>
      <w:pPr>
        <w:ind w:left="1440" w:hanging="720"/>
      </w:pPr>
      <w:rPr>
        <w:rFonts w:ascii="WP MathA" w:eastAsia="Times New Roman" w:hAnsi="WP Math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8F7081C"/>
    <w:multiLevelType w:val="hybridMultilevel"/>
    <w:tmpl w:val="58CCDCBA"/>
    <w:lvl w:ilvl="0" w:tplc="E514CB9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881422"/>
    <w:multiLevelType w:val="hybridMultilevel"/>
    <w:tmpl w:val="3D345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842DA9"/>
    <w:multiLevelType w:val="hybridMultilevel"/>
    <w:tmpl w:val="E36E6E52"/>
    <w:lvl w:ilvl="0" w:tplc="04090001">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4F699F"/>
    <w:multiLevelType w:val="hybridMultilevel"/>
    <w:tmpl w:val="920E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3D2DEF"/>
    <w:multiLevelType w:val="hybridMultilevel"/>
    <w:tmpl w:val="CBDC67E4"/>
    <w:lvl w:ilvl="0" w:tplc="EA16F94E">
      <w:start w:val="2"/>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5725A34"/>
    <w:multiLevelType w:val="hybridMultilevel"/>
    <w:tmpl w:val="7F369E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E60163"/>
    <w:multiLevelType w:val="hybridMultilevel"/>
    <w:tmpl w:val="22EC0096"/>
    <w:lvl w:ilvl="0" w:tplc="0409000F">
      <w:start w:val="1"/>
      <w:numFmt w:val="decimal"/>
      <w:lvlText w:val="%1."/>
      <w:lvlJc w:val="left"/>
      <w:pPr>
        <w:tabs>
          <w:tab w:val="num" w:pos="1440"/>
        </w:tabs>
        <w:ind w:left="144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DA7164"/>
    <w:multiLevelType w:val="hybridMultilevel"/>
    <w:tmpl w:val="B0540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014921"/>
    <w:multiLevelType w:val="multilevel"/>
    <w:tmpl w:val="92F6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8F0CD6"/>
    <w:multiLevelType w:val="hybridMultilevel"/>
    <w:tmpl w:val="7F369E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543863"/>
    <w:multiLevelType w:val="hybridMultilevel"/>
    <w:tmpl w:val="22EC0096"/>
    <w:lvl w:ilvl="0" w:tplc="0409000F">
      <w:start w:val="1"/>
      <w:numFmt w:val="decimal"/>
      <w:lvlText w:val="%1."/>
      <w:lvlJc w:val="left"/>
      <w:pPr>
        <w:tabs>
          <w:tab w:val="num" w:pos="1440"/>
        </w:tabs>
        <w:ind w:left="144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D31181"/>
    <w:multiLevelType w:val="hybridMultilevel"/>
    <w:tmpl w:val="901C03D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7196453"/>
    <w:multiLevelType w:val="hybridMultilevel"/>
    <w:tmpl w:val="FB00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010102"/>
    <w:multiLevelType w:val="hybridMultilevel"/>
    <w:tmpl w:val="B1B87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7621C1"/>
    <w:multiLevelType w:val="hybridMultilevel"/>
    <w:tmpl w:val="3F0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400035"/>
    <w:multiLevelType w:val="hybridMultilevel"/>
    <w:tmpl w:val="CD84CB22"/>
    <w:lvl w:ilvl="0" w:tplc="87763E06">
      <w:numFmt w:val="bullet"/>
      <w:lvlText w:val=""/>
      <w:lvlJc w:val="left"/>
      <w:pPr>
        <w:ind w:left="1440" w:hanging="720"/>
      </w:pPr>
      <w:rPr>
        <w:rFonts w:ascii="WP MathA" w:eastAsia="Times New Roman" w:hAnsi="WP Math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9"/>
  </w:num>
  <w:num w:numId="16">
    <w:abstractNumId w:val="15"/>
  </w:num>
  <w:num w:numId="17">
    <w:abstractNumId w:val="32"/>
  </w:num>
  <w:num w:numId="18">
    <w:abstractNumId w:val="40"/>
  </w:num>
  <w:num w:numId="19">
    <w:abstractNumId w:val="22"/>
  </w:num>
  <w:num w:numId="20">
    <w:abstractNumId w:val="23"/>
  </w:num>
  <w:num w:numId="21">
    <w:abstractNumId w:val="27"/>
  </w:num>
  <w:num w:numId="22">
    <w:abstractNumId w:val="26"/>
  </w:num>
  <w:num w:numId="23">
    <w:abstractNumId w:val="24"/>
  </w:num>
  <w:num w:numId="24">
    <w:abstractNumId w:val="16"/>
  </w:num>
  <w:num w:numId="25">
    <w:abstractNumId w:val="36"/>
  </w:num>
  <w:num w:numId="26">
    <w:abstractNumId w:val="39"/>
  </w:num>
  <w:num w:numId="27">
    <w:abstractNumId w:val="30"/>
  </w:num>
  <w:num w:numId="28">
    <w:abstractNumId w:val="34"/>
  </w:num>
  <w:num w:numId="29">
    <w:abstractNumId w:val="18"/>
  </w:num>
  <w:num w:numId="30">
    <w:abstractNumId w:val="31"/>
  </w:num>
  <w:num w:numId="31">
    <w:abstractNumId w:val="35"/>
  </w:num>
  <w:num w:numId="32">
    <w:abstractNumId w:val="33"/>
  </w:num>
  <w:num w:numId="33">
    <w:abstractNumId w:val="28"/>
  </w:num>
  <w:num w:numId="34">
    <w:abstractNumId w:val="37"/>
  </w:num>
  <w:num w:numId="35">
    <w:abstractNumId w:val="17"/>
  </w:num>
  <w:num w:numId="36">
    <w:abstractNumId w:val="21"/>
  </w:num>
  <w:num w:numId="37">
    <w:abstractNumId w:val="19"/>
  </w:num>
  <w:num w:numId="38">
    <w:abstractNumId w:val="38"/>
  </w:num>
  <w:num w:numId="39">
    <w:abstractNumId w:val="20"/>
  </w:num>
  <w:num w:numId="40">
    <w:abstractNumId w:val="1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98"/>
    <w:rsid w:val="00004ECA"/>
    <w:rsid w:val="00014F9F"/>
    <w:rsid w:val="00020DBF"/>
    <w:rsid w:val="00027A8C"/>
    <w:rsid w:val="0003244E"/>
    <w:rsid w:val="00032A67"/>
    <w:rsid w:val="00036527"/>
    <w:rsid w:val="00041B4C"/>
    <w:rsid w:val="00042873"/>
    <w:rsid w:val="00044AC5"/>
    <w:rsid w:val="00051BB5"/>
    <w:rsid w:val="00051CEC"/>
    <w:rsid w:val="00053E1A"/>
    <w:rsid w:val="00057701"/>
    <w:rsid w:val="0006206C"/>
    <w:rsid w:val="00065FF9"/>
    <w:rsid w:val="00072ACA"/>
    <w:rsid w:val="00082892"/>
    <w:rsid w:val="000866ED"/>
    <w:rsid w:val="000869DB"/>
    <w:rsid w:val="000917E9"/>
    <w:rsid w:val="00094FF4"/>
    <w:rsid w:val="00097B42"/>
    <w:rsid w:val="000A3708"/>
    <w:rsid w:val="000A4A2F"/>
    <w:rsid w:val="000A751B"/>
    <w:rsid w:val="000A76A4"/>
    <w:rsid w:val="000B6027"/>
    <w:rsid w:val="000B67E4"/>
    <w:rsid w:val="000B6F21"/>
    <w:rsid w:val="000C1C6D"/>
    <w:rsid w:val="000C2322"/>
    <w:rsid w:val="000C37E4"/>
    <w:rsid w:val="000D5940"/>
    <w:rsid w:val="000D7648"/>
    <w:rsid w:val="000E2A17"/>
    <w:rsid w:val="000E57E1"/>
    <w:rsid w:val="000E5E5C"/>
    <w:rsid w:val="000E68C1"/>
    <w:rsid w:val="000F2BFC"/>
    <w:rsid w:val="001017D3"/>
    <w:rsid w:val="001109EC"/>
    <w:rsid w:val="0011608B"/>
    <w:rsid w:val="00116114"/>
    <w:rsid w:val="00121DEB"/>
    <w:rsid w:val="00131D2A"/>
    <w:rsid w:val="00142B81"/>
    <w:rsid w:val="00144A6F"/>
    <w:rsid w:val="00144BBA"/>
    <w:rsid w:val="00153FD9"/>
    <w:rsid w:val="00182414"/>
    <w:rsid w:val="00185713"/>
    <w:rsid w:val="0018599C"/>
    <w:rsid w:val="0018681F"/>
    <w:rsid w:val="00187262"/>
    <w:rsid w:val="001965F9"/>
    <w:rsid w:val="0019790C"/>
    <w:rsid w:val="001A1F70"/>
    <w:rsid w:val="001A74D1"/>
    <w:rsid w:val="001B117C"/>
    <w:rsid w:val="001B5E79"/>
    <w:rsid w:val="001B5FDE"/>
    <w:rsid w:val="001D0737"/>
    <w:rsid w:val="001D0D56"/>
    <w:rsid w:val="001D476F"/>
    <w:rsid w:val="001E2709"/>
    <w:rsid w:val="001E36D3"/>
    <w:rsid w:val="001E42E6"/>
    <w:rsid w:val="001F4A83"/>
    <w:rsid w:val="001F6368"/>
    <w:rsid w:val="001F6443"/>
    <w:rsid w:val="00201D3D"/>
    <w:rsid w:val="00202970"/>
    <w:rsid w:val="00205FAB"/>
    <w:rsid w:val="00210031"/>
    <w:rsid w:val="0021032B"/>
    <w:rsid w:val="00210EC7"/>
    <w:rsid w:val="00214C02"/>
    <w:rsid w:val="00216CD5"/>
    <w:rsid w:val="00220D9B"/>
    <w:rsid w:val="00221E0C"/>
    <w:rsid w:val="002262AE"/>
    <w:rsid w:val="00226766"/>
    <w:rsid w:val="002269E0"/>
    <w:rsid w:val="002317AF"/>
    <w:rsid w:val="00233009"/>
    <w:rsid w:val="002354FE"/>
    <w:rsid w:val="002361B5"/>
    <w:rsid w:val="002369A5"/>
    <w:rsid w:val="00237040"/>
    <w:rsid w:val="002552A1"/>
    <w:rsid w:val="0025586C"/>
    <w:rsid w:val="00256472"/>
    <w:rsid w:val="00264A53"/>
    <w:rsid w:val="00265A02"/>
    <w:rsid w:val="002679DD"/>
    <w:rsid w:val="00270A16"/>
    <w:rsid w:val="0027513B"/>
    <w:rsid w:val="00276CD5"/>
    <w:rsid w:val="00277639"/>
    <w:rsid w:val="0027764C"/>
    <w:rsid w:val="00280834"/>
    <w:rsid w:val="00281B61"/>
    <w:rsid w:val="00281DA5"/>
    <w:rsid w:val="002841E5"/>
    <w:rsid w:val="002846E5"/>
    <w:rsid w:val="00284861"/>
    <w:rsid w:val="002947A4"/>
    <w:rsid w:val="00295A2C"/>
    <w:rsid w:val="002975C7"/>
    <w:rsid w:val="002A28AF"/>
    <w:rsid w:val="002A4300"/>
    <w:rsid w:val="002A691A"/>
    <w:rsid w:val="002A6AAD"/>
    <w:rsid w:val="002B27FC"/>
    <w:rsid w:val="002C1DDE"/>
    <w:rsid w:val="002C2A54"/>
    <w:rsid w:val="002C66A5"/>
    <w:rsid w:val="002D05E5"/>
    <w:rsid w:val="002D0D6B"/>
    <w:rsid w:val="002D4637"/>
    <w:rsid w:val="002D5447"/>
    <w:rsid w:val="002D7B2B"/>
    <w:rsid w:val="002E57F0"/>
    <w:rsid w:val="002E678F"/>
    <w:rsid w:val="002E6B9F"/>
    <w:rsid w:val="002E7480"/>
    <w:rsid w:val="002E766B"/>
    <w:rsid w:val="002F16EE"/>
    <w:rsid w:val="002F67E2"/>
    <w:rsid w:val="002F7EA9"/>
    <w:rsid w:val="0031031D"/>
    <w:rsid w:val="00315286"/>
    <w:rsid w:val="00315AD6"/>
    <w:rsid w:val="00317575"/>
    <w:rsid w:val="00320422"/>
    <w:rsid w:val="00330596"/>
    <w:rsid w:val="00332567"/>
    <w:rsid w:val="003342C5"/>
    <w:rsid w:val="003422EC"/>
    <w:rsid w:val="003459EC"/>
    <w:rsid w:val="00346E15"/>
    <w:rsid w:val="003478F2"/>
    <w:rsid w:val="0036430B"/>
    <w:rsid w:val="00364FE1"/>
    <w:rsid w:val="00370EB5"/>
    <w:rsid w:val="003758BC"/>
    <w:rsid w:val="00377B3C"/>
    <w:rsid w:val="00382F64"/>
    <w:rsid w:val="0038477F"/>
    <w:rsid w:val="00384822"/>
    <w:rsid w:val="00384B78"/>
    <w:rsid w:val="003855FD"/>
    <w:rsid w:val="00386BED"/>
    <w:rsid w:val="00395DC1"/>
    <w:rsid w:val="003A2400"/>
    <w:rsid w:val="003A4647"/>
    <w:rsid w:val="003A5ACB"/>
    <w:rsid w:val="003A69D6"/>
    <w:rsid w:val="003B3C05"/>
    <w:rsid w:val="003C1A19"/>
    <w:rsid w:val="003C1AD0"/>
    <w:rsid w:val="003C1DE4"/>
    <w:rsid w:val="003C1F80"/>
    <w:rsid w:val="003C2AE8"/>
    <w:rsid w:val="003C4052"/>
    <w:rsid w:val="003C5C4A"/>
    <w:rsid w:val="003C7ADB"/>
    <w:rsid w:val="003D4138"/>
    <w:rsid w:val="003D5539"/>
    <w:rsid w:val="003D6E90"/>
    <w:rsid w:val="003E67AC"/>
    <w:rsid w:val="003E72C9"/>
    <w:rsid w:val="003F09F0"/>
    <w:rsid w:val="003F316F"/>
    <w:rsid w:val="003F3BCC"/>
    <w:rsid w:val="003F63AD"/>
    <w:rsid w:val="003F7816"/>
    <w:rsid w:val="004018FF"/>
    <w:rsid w:val="00406B56"/>
    <w:rsid w:val="00423F0B"/>
    <w:rsid w:val="00423F7D"/>
    <w:rsid w:val="004315C8"/>
    <w:rsid w:val="00431F71"/>
    <w:rsid w:val="00437177"/>
    <w:rsid w:val="0045015E"/>
    <w:rsid w:val="00451A8D"/>
    <w:rsid w:val="00451B95"/>
    <w:rsid w:val="00453411"/>
    <w:rsid w:val="00453EFC"/>
    <w:rsid w:val="004574E2"/>
    <w:rsid w:val="00460E7C"/>
    <w:rsid w:val="00464584"/>
    <w:rsid w:val="00470C82"/>
    <w:rsid w:val="00474D06"/>
    <w:rsid w:val="00482123"/>
    <w:rsid w:val="004846CA"/>
    <w:rsid w:val="00485DC8"/>
    <w:rsid w:val="0048701D"/>
    <w:rsid w:val="004902AD"/>
    <w:rsid w:val="004911DC"/>
    <w:rsid w:val="004A037D"/>
    <w:rsid w:val="004A0A22"/>
    <w:rsid w:val="004A266F"/>
    <w:rsid w:val="004A62DB"/>
    <w:rsid w:val="004A7752"/>
    <w:rsid w:val="004A7B52"/>
    <w:rsid w:val="004B15BB"/>
    <w:rsid w:val="004C16CD"/>
    <w:rsid w:val="004C520A"/>
    <w:rsid w:val="004D0469"/>
    <w:rsid w:val="004D3639"/>
    <w:rsid w:val="004D5894"/>
    <w:rsid w:val="004D6B46"/>
    <w:rsid w:val="004D70AE"/>
    <w:rsid w:val="004E2FE6"/>
    <w:rsid w:val="004E37FE"/>
    <w:rsid w:val="004E5232"/>
    <w:rsid w:val="004E769A"/>
    <w:rsid w:val="004F4BDF"/>
    <w:rsid w:val="004F6C43"/>
    <w:rsid w:val="004F76BE"/>
    <w:rsid w:val="00500104"/>
    <w:rsid w:val="005032E0"/>
    <w:rsid w:val="00506083"/>
    <w:rsid w:val="005063F1"/>
    <w:rsid w:val="00511C6B"/>
    <w:rsid w:val="0051337F"/>
    <w:rsid w:val="0051659B"/>
    <w:rsid w:val="00520002"/>
    <w:rsid w:val="0052008C"/>
    <w:rsid w:val="00520BC2"/>
    <w:rsid w:val="005266D7"/>
    <w:rsid w:val="00532A67"/>
    <w:rsid w:val="00535D49"/>
    <w:rsid w:val="00540B6B"/>
    <w:rsid w:val="0055210D"/>
    <w:rsid w:val="00552DAE"/>
    <w:rsid w:val="005554BA"/>
    <w:rsid w:val="00556407"/>
    <w:rsid w:val="00561846"/>
    <w:rsid w:val="00562FE1"/>
    <w:rsid w:val="00567D1E"/>
    <w:rsid w:val="0057347D"/>
    <w:rsid w:val="00574FD9"/>
    <w:rsid w:val="00593F6B"/>
    <w:rsid w:val="00596563"/>
    <w:rsid w:val="005A78C5"/>
    <w:rsid w:val="005B2A89"/>
    <w:rsid w:val="005B3840"/>
    <w:rsid w:val="005B3A2F"/>
    <w:rsid w:val="005B3C68"/>
    <w:rsid w:val="005B66F2"/>
    <w:rsid w:val="005C7674"/>
    <w:rsid w:val="005D6BF5"/>
    <w:rsid w:val="005D7319"/>
    <w:rsid w:val="005E06E2"/>
    <w:rsid w:val="005F0088"/>
    <w:rsid w:val="005F3C91"/>
    <w:rsid w:val="00601132"/>
    <w:rsid w:val="006015E3"/>
    <w:rsid w:val="006144F0"/>
    <w:rsid w:val="0061561C"/>
    <w:rsid w:val="00622524"/>
    <w:rsid w:val="00622BDE"/>
    <w:rsid w:val="0062397A"/>
    <w:rsid w:val="006268AC"/>
    <w:rsid w:val="0062730C"/>
    <w:rsid w:val="006335EB"/>
    <w:rsid w:val="006366D7"/>
    <w:rsid w:val="00637130"/>
    <w:rsid w:val="0064090B"/>
    <w:rsid w:val="0064205C"/>
    <w:rsid w:val="006539D8"/>
    <w:rsid w:val="00657DA6"/>
    <w:rsid w:val="00660974"/>
    <w:rsid w:val="006623DC"/>
    <w:rsid w:val="006659ED"/>
    <w:rsid w:val="00665AED"/>
    <w:rsid w:val="006662F7"/>
    <w:rsid w:val="00671161"/>
    <w:rsid w:val="006769E3"/>
    <w:rsid w:val="006A0851"/>
    <w:rsid w:val="006A0DE7"/>
    <w:rsid w:val="006A401D"/>
    <w:rsid w:val="006A5098"/>
    <w:rsid w:val="006A5D43"/>
    <w:rsid w:val="006A6EAA"/>
    <w:rsid w:val="006A7418"/>
    <w:rsid w:val="006B15CD"/>
    <w:rsid w:val="006B3D9F"/>
    <w:rsid w:val="006B451B"/>
    <w:rsid w:val="006B7715"/>
    <w:rsid w:val="006C0C3B"/>
    <w:rsid w:val="006C70E7"/>
    <w:rsid w:val="006D4895"/>
    <w:rsid w:val="006E08DA"/>
    <w:rsid w:val="006E0EE1"/>
    <w:rsid w:val="006E6904"/>
    <w:rsid w:val="006F0C6C"/>
    <w:rsid w:val="006F453A"/>
    <w:rsid w:val="006F4B1E"/>
    <w:rsid w:val="007023F1"/>
    <w:rsid w:val="00702D14"/>
    <w:rsid w:val="00703C93"/>
    <w:rsid w:val="00706128"/>
    <w:rsid w:val="00706892"/>
    <w:rsid w:val="007102D5"/>
    <w:rsid w:val="007103ED"/>
    <w:rsid w:val="00712049"/>
    <w:rsid w:val="0071222A"/>
    <w:rsid w:val="00713B26"/>
    <w:rsid w:val="00714982"/>
    <w:rsid w:val="007215AF"/>
    <w:rsid w:val="007266BA"/>
    <w:rsid w:val="007334DA"/>
    <w:rsid w:val="007352E0"/>
    <w:rsid w:val="00741305"/>
    <w:rsid w:val="00744E5C"/>
    <w:rsid w:val="00747B17"/>
    <w:rsid w:val="007613B2"/>
    <w:rsid w:val="007634E9"/>
    <w:rsid w:val="00765387"/>
    <w:rsid w:val="00774E59"/>
    <w:rsid w:val="007830B4"/>
    <w:rsid w:val="00785DB7"/>
    <w:rsid w:val="00786A62"/>
    <w:rsid w:val="00791F8E"/>
    <w:rsid w:val="00794C79"/>
    <w:rsid w:val="007964D3"/>
    <w:rsid w:val="007B3D0D"/>
    <w:rsid w:val="007D013E"/>
    <w:rsid w:val="007D0DF6"/>
    <w:rsid w:val="007D2B7E"/>
    <w:rsid w:val="007D2E36"/>
    <w:rsid w:val="007E2179"/>
    <w:rsid w:val="0080352A"/>
    <w:rsid w:val="00816DF2"/>
    <w:rsid w:val="00820259"/>
    <w:rsid w:val="008241AE"/>
    <w:rsid w:val="00825805"/>
    <w:rsid w:val="00827BBC"/>
    <w:rsid w:val="0083088E"/>
    <w:rsid w:val="00832620"/>
    <w:rsid w:val="0084731F"/>
    <w:rsid w:val="0085162C"/>
    <w:rsid w:val="008569BA"/>
    <w:rsid w:val="00863177"/>
    <w:rsid w:val="00864518"/>
    <w:rsid w:val="00864745"/>
    <w:rsid w:val="00864EDA"/>
    <w:rsid w:val="008716D0"/>
    <w:rsid w:val="00883128"/>
    <w:rsid w:val="008854EE"/>
    <w:rsid w:val="008874A7"/>
    <w:rsid w:val="0088784D"/>
    <w:rsid w:val="00890DA5"/>
    <w:rsid w:val="00895A77"/>
    <w:rsid w:val="00897F95"/>
    <w:rsid w:val="008B61A7"/>
    <w:rsid w:val="008B67B8"/>
    <w:rsid w:val="008C58E5"/>
    <w:rsid w:val="008D2DE9"/>
    <w:rsid w:val="008D46BF"/>
    <w:rsid w:val="008D6113"/>
    <w:rsid w:val="008E50DD"/>
    <w:rsid w:val="00902688"/>
    <w:rsid w:val="009041E6"/>
    <w:rsid w:val="00905A4B"/>
    <w:rsid w:val="00915D90"/>
    <w:rsid w:val="00924AC9"/>
    <w:rsid w:val="00930CC9"/>
    <w:rsid w:val="009406AA"/>
    <w:rsid w:val="00944873"/>
    <w:rsid w:val="009459F9"/>
    <w:rsid w:val="0094649B"/>
    <w:rsid w:val="009506A3"/>
    <w:rsid w:val="009506FE"/>
    <w:rsid w:val="0095181B"/>
    <w:rsid w:val="00952DF1"/>
    <w:rsid w:val="009534AC"/>
    <w:rsid w:val="00953DF4"/>
    <w:rsid w:val="009556FA"/>
    <w:rsid w:val="009629EB"/>
    <w:rsid w:val="009659A4"/>
    <w:rsid w:val="00965E5D"/>
    <w:rsid w:val="0096610D"/>
    <w:rsid w:val="00966446"/>
    <w:rsid w:val="009734B6"/>
    <w:rsid w:val="00973933"/>
    <w:rsid w:val="00975160"/>
    <w:rsid w:val="00975AC5"/>
    <w:rsid w:val="00982B5C"/>
    <w:rsid w:val="009913D7"/>
    <w:rsid w:val="00994E9C"/>
    <w:rsid w:val="0099603F"/>
    <w:rsid w:val="009964AC"/>
    <w:rsid w:val="009A0322"/>
    <w:rsid w:val="009A0F7E"/>
    <w:rsid w:val="009A3490"/>
    <w:rsid w:val="009A6B58"/>
    <w:rsid w:val="009B1F82"/>
    <w:rsid w:val="009C12F9"/>
    <w:rsid w:val="009C248C"/>
    <w:rsid w:val="009C4843"/>
    <w:rsid w:val="009D710C"/>
    <w:rsid w:val="009E4933"/>
    <w:rsid w:val="009F22EB"/>
    <w:rsid w:val="009F383F"/>
    <w:rsid w:val="009F7A7A"/>
    <w:rsid w:val="00A011B5"/>
    <w:rsid w:val="00A117DF"/>
    <w:rsid w:val="00A140A0"/>
    <w:rsid w:val="00A15034"/>
    <w:rsid w:val="00A15C8B"/>
    <w:rsid w:val="00A27323"/>
    <w:rsid w:val="00A3600D"/>
    <w:rsid w:val="00A411E8"/>
    <w:rsid w:val="00A419F2"/>
    <w:rsid w:val="00A45D33"/>
    <w:rsid w:val="00A5395D"/>
    <w:rsid w:val="00A65A9E"/>
    <w:rsid w:val="00A70952"/>
    <w:rsid w:val="00A73B2A"/>
    <w:rsid w:val="00A74325"/>
    <w:rsid w:val="00A77804"/>
    <w:rsid w:val="00A810A0"/>
    <w:rsid w:val="00A82DCC"/>
    <w:rsid w:val="00A841EA"/>
    <w:rsid w:val="00A85ACA"/>
    <w:rsid w:val="00A96904"/>
    <w:rsid w:val="00AA5041"/>
    <w:rsid w:val="00AA5FC2"/>
    <w:rsid w:val="00AC101E"/>
    <w:rsid w:val="00AC12B6"/>
    <w:rsid w:val="00AD1364"/>
    <w:rsid w:val="00AD36FD"/>
    <w:rsid w:val="00AD67D9"/>
    <w:rsid w:val="00AE0AED"/>
    <w:rsid w:val="00AE6998"/>
    <w:rsid w:val="00AE7263"/>
    <w:rsid w:val="00AF15B8"/>
    <w:rsid w:val="00B00B32"/>
    <w:rsid w:val="00B030A8"/>
    <w:rsid w:val="00B06471"/>
    <w:rsid w:val="00B06BFB"/>
    <w:rsid w:val="00B139CC"/>
    <w:rsid w:val="00B20C04"/>
    <w:rsid w:val="00B247F7"/>
    <w:rsid w:val="00B37CA3"/>
    <w:rsid w:val="00B50133"/>
    <w:rsid w:val="00B57823"/>
    <w:rsid w:val="00B6287D"/>
    <w:rsid w:val="00B64107"/>
    <w:rsid w:val="00B722C8"/>
    <w:rsid w:val="00B72390"/>
    <w:rsid w:val="00B74D4A"/>
    <w:rsid w:val="00B8446A"/>
    <w:rsid w:val="00B91715"/>
    <w:rsid w:val="00B92DEC"/>
    <w:rsid w:val="00B9418E"/>
    <w:rsid w:val="00B94D34"/>
    <w:rsid w:val="00B979C1"/>
    <w:rsid w:val="00BC5EBD"/>
    <w:rsid w:val="00BC78FA"/>
    <w:rsid w:val="00BD04D5"/>
    <w:rsid w:val="00BD554F"/>
    <w:rsid w:val="00BE1DCE"/>
    <w:rsid w:val="00BF0540"/>
    <w:rsid w:val="00BF4427"/>
    <w:rsid w:val="00C0301F"/>
    <w:rsid w:val="00C03FCC"/>
    <w:rsid w:val="00C0633A"/>
    <w:rsid w:val="00C12379"/>
    <w:rsid w:val="00C15D48"/>
    <w:rsid w:val="00C16C04"/>
    <w:rsid w:val="00C21653"/>
    <w:rsid w:val="00C26880"/>
    <w:rsid w:val="00C32756"/>
    <w:rsid w:val="00C35AC3"/>
    <w:rsid w:val="00C37106"/>
    <w:rsid w:val="00C432E1"/>
    <w:rsid w:val="00C45AA8"/>
    <w:rsid w:val="00C60407"/>
    <w:rsid w:val="00C62B96"/>
    <w:rsid w:val="00C70A1B"/>
    <w:rsid w:val="00C71DC6"/>
    <w:rsid w:val="00C7250D"/>
    <w:rsid w:val="00C737B1"/>
    <w:rsid w:val="00C75716"/>
    <w:rsid w:val="00C75A17"/>
    <w:rsid w:val="00C76662"/>
    <w:rsid w:val="00C77847"/>
    <w:rsid w:val="00C809CC"/>
    <w:rsid w:val="00C85187"/>
    <w:rsid w:val="00C91941"/>
    <w:rsid w:val="00C92A19"/>
    <w:rsid w:val="00C93757"/>
    <w:rsid w:val="00C97FCD"/>
    <w:rsid w:val="00CA4ECC"/>
    <w:rsid w:val="00CA7C24"/>
    <w:rsid w:val="00CB4568"/>
    <w:rsid w:val="00CC3699"/>
    <w:rsid w:val="00CD21D8"/>
    <w:rsid w:val="00CD3244"/>
    <w:rsid w:val="00CD42CC"/>
    <w:rsid w:val="00CD7211"/>
    <w:rsid w:val="00CE45E3"/>
    <w:rsid w:val="00CE5495"/>
    <w:rsid w:val="00CE7253"/>
    <w:rsid w:val="00CF237F"/>
    <w:rsid w:val="00D10251"/>
    <w:rsid w:val="00D15C03"/>
    <w:rsid w:val="00D163D6"/>
    <w:rsid w:val="00D16CB8"/>
    <w:rsid w:val="00D201E2"/>
    <w:rsid w:val="00D211D3"/>
    <w:rsid w:val="00D25A8F"/>
    <w:rsid w:val="00D25EEC"/>
    <w:rsid w:val="00D26081"/>
    <w:rsid w:val="00D26546"/>
    <w:rsid w:val="00D3379D"/>
    <w:rsid w:val="00D354C5"/>
    <w:rsid w:val="00D37694"/>
    <w:rsid w:val="00D42A14"/>
    <w:rsid w:val="00D45CC9"/>
    <w:rsid w:val="00D5016E"/>
    <w:rsid w:val="00D5238F"/>
    <w:rsid w:val="00D55129"/>
    <w:rsid w:val="00D62CA3"/>
    <w:rsid w:val="00D64927"/>
    <w:rsid w:val="00D71549"/>
    <w:rsid w:val="00D718FF"/>
    <w:rsid w:val="00D7394E"/>
    <w:rsid w:val="00D741D7"/>
    <w:rsid w:val="00D837D2"/>
    <w:rsid w:val="00D90068"/>
    <w:rsid w:val="00D90388"/>
    <w:rsid w:val="00D92870"/>
    <w:rsid w:val="00DA0020"/>
    <w:rsid w:val="00DA3094"/>
    <w:rsid w:val="00DA3101"/>
    <w:rsid w:val="00DB663D"/>
    <w:rsid w:val="00DB6AAC"/>
    <w:rsid w:val="00DC3500"/>
    <w:rsid w:val="00DC41EF"/>
    <w:rsid w:val="00DC66A3"/>
    <w:rsid w:val="00DC7D60"/>
    <w:rsid w:val="00DD3C88"/>
    <w:rsid w:val="00DD6679"/>
    <w:rsid w:val="00DD69F6"/>
    <w:rsid w:val="00DE1C6C"/>
    <w:rsid w:val="00DE5B82"/>
    <w:rsid w:val="00DE5FA9"/>
    <w:rsid w:val="00DF0988"/>
    <w:rsid w:val="00DF5A47"/>
    <w:rsid w:val="00DF72DD"/>
    <w:rsid w:val="00E02E56"/>
    <w:rsid w:val="00E03CA3"/>
    <w:rsid w:val="00E041E1"/>
    <w:rsid w:val="00E05CF3"/>
    <w:rsid w:val="00E13356"/>
    <w:rsid w:val="00E14087"/>
    <w:rsid w:val="00E23D5C"/>
    <w:rsid w:val="00E30A0A"/>
    <w:rsid w:val="00E40052"/>
    <w:rsid w:val="00E410A5"/>
    <w:rsid w:val="00E41118"/>
    <w:rsid w:val="00E421F6"/>
    <w:rsid w:val="00E439EF"/>
    <w:rsid w:val="00E43B5D"/>
    <w:rsid w:val="00E52049"/>
    <w:rsid w:val="00E54D91"/>
    <w:rsid w:val="00E6220A"/>
    <w:rsid w:val="00E7302F"/>
    <w:rsid w:val="00E7428E"/>
    <w:rsid w:val="00E7491B"/>
    <w:rsid w:val="00E80BEA"/>
    <w:rsid w:val="00E90EC4"/>
    <w:rsid w:val="00E91F92"/>
    <w:rsid w:val="00E93144"/>
    <w:rsid w:val="00EA00A5"/>
    <w:rsid w:val="00EA42B0"/>
    <w:rsid w:val="00EA70FD"/>
    <w:rsid w:val="00EA74DE"/>
    <w:rsid w:val="00EB0154"/>
    <w:rsid w:val="00EB0204"/>
    <w:rsid w:val="00EB03E0"/>
    <w:rsid w:val="00EB0476"/>
    <w:rsid w:val="00EB0EDE"/>
    <w:rsid w:val="00EB4951"/>
    <w:rsid w:val="00EB704D"/>
    <w:rsid w:val="00EC1C84"/>
    <w:rsid w:val="00EC4DD3"/>
    <w:rsid w:val="00ED1B21"/>
    <w:rsid w:val="00ED1F44"/>
    <w:rsid w:val="00ED67F0"/>
    <w:rsid w:val="00EF181B"/>
    <w:rsid w:val="00EF1E55"/>
    <w:rsid w:val="00EF4846"/>
    <w:rsid w:val="00EF636D"/>
    <w:rsid w:val="00F03F29"/>
    <w:rsid w:val="00F04392"/>
    <w:rsid w:val="00F11A08"/>
    <w:rsid w:val="00F1314A"/>
    <w:rsid w:val="00F143DB"/>
    <w:rsid w:val="00F16838"/>
    <w:rsid w:val="00F301EB"/>
    <w:rsid w:val="00F30208"/>
    <w:rsid w:val="00F4350A"/>
    <w:rsid w:val="00F47923"/>
    <w:rsid w:val="00F500D8"/>
    <w:rsid w:val="00F601A9"/>
    <w:rsid w:val="00F65A6D"/>
    <w:rsid w:val="00F66476"/>
    <w:rsid w:val="00F6743D"/>
    <w:rsid w:val="00F7290A"/>
    <w:rsid w:val="00F73CAC"/>
    <w:rsid w:val="00F73F23"/>
    <w:rsid w:val="00F80EF3"/>
    <w:rsid w:val="00F833EA"/>
    <w:rsid w:val="00F97585"/>
    <w:rsid w:val="00FA0F34"/>
    <w:rsid w:val="00FB39CA"/>
    <w:rsid w:val="00FC5E65"/>
    <w:rsid w:val="00FC6AEF"/>
    <w:rsid w:val="00FD3E41"/>
    <w:rsid w:val="00FD7B38"/>
    <w:rsid w:val="00FE1F25"/>
    <w:rsid w:val="00FE4181"/>
    <w:rsid w:val="00FF1860"/>
    <w:rsid w:val="00FF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A1A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69A"/>
    <w:rPr>
      <w:sz w:val="24"/>
    </w:rPr>
  </w:style>
  <w:style w:type="paragraph" w:styleId="Heading1">
    <w:name w:val="heading 1"/>
    <w:basedOn w:val="Normal"/>
    <w:next w:val="Normal"/>
    <w:qFormat/>
    <w:rsid w:val="006A5098"/>
    <w:pPr>
      <w:keepNext/>
      <w:autoSpaceDE w:val="0"/>
      <w:autoSpaceDN w:val="0"/>
      <w:spacing w:before="480" w:after="240"/>
      <w:outlineLvl w:val="0"/>
    </w:pPr>
    <w:rPr>
      <w:rFonts w:ascii="Times New Roman Bold" w:hAnsi="Times New Roman Bold"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link w:val="Caption"/>
    <w:rsid w:val="006A5098"/>
    <w:rPr>
      <w:rFonts w:ascii="Times New Roman Bold" w:hAnsi="Times New Roman Bold"/>
      <w:b/>
      <w:bCs/>
      <w:sz w:val="22"/>
      <w:lang w:val="en-US" w:eastAsia="en-US" w:bidi="ar-SA"/>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pPr>
      <w:widowControl w:val="0"/>
      <w:tabs>
        <w:tab w:val="left" w:pos="5760"/>
        <w:tab w:val="left" w:pos="6480"/>
        <w:tab w:val="left" w:pos="7200"/>
        <w:tab w:val="left" w:pos="7920"/>
      </w:tabs>
      <w:ind w:left="5760" w:hanging="720"/>
    </w:pPr>
  </w:style>
  <w:style w:type="paragraph" w:customStyle="1" w:styleId="level90">
    <w:name w:val="_level9"/>
    <w:basedOn w:val="Normal"/>
    <w:pPr>
      <w:widowControl w:val="0"/>
      <w:tabs>
        <w:tab w:val="left" w:pos="6480"/>
        <w:tab w:val="left" w:pos="7200"/>
        <w:tab w:val="left" w:pos="792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pPr>
      <w:widowControl w:val="0"/>
      <w:tabs>
        <w:tab w:val="left" w:pos="5760"/>
        <w:tab w:val="left" w:pos="6480"/>
        <w:tab w:val="left" w:pos="7200"/>
        <w:tab w:val="left" w:pos="7920"/>
      </w:tabs>
      <w:ind w:left="5760" w:hanging="720"/>
    </w:pPr>
  </w:style>
  <w:style w:type="paragraph" w:customStyle="1" w:styleId="levsl9">
    <w:name w:val="_levsl9"/>
    <w:basedOn w:val="Normal"/>
    <w:pPr>
      <w:widowControl w:val="0"/>
      <w:tabs>
        <w:tab w:val="left" w:pos="6480"/>
        <w:tab w:val="left" w:pos="7200"/>
        <w:tab w:val="left" w:pos="792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pPr>
      <w:widowControl w:val="0"/>
      <w:tabs>
        <w:tab w:val="left" w:pos="5760"/>
        <w:tab w:val="left" w:pos="6480"/>
        <w:tab w:val="left" w:pos="7200"/>
        <w:tab w:val="left" w:pos="7920"/>
      </w:tabs>
      <w:ind w:left="5760" w:hanging="720"/>
    </w:pPr>
  </w:style>
  <w:style w:type="paragraph" w:customStyle="1" w:styleId="levnl9">
    <w:name w:val="_levnl9"/>
    <w:basedOn w:val="Normal"/>
    <w:pPr>
      <w:widowControl w:val="0"/>
      <w:tabs>
        <w:tab w:val="left" w:pos="6480"/>
        <w:tab w:val="left" w:pos="7200"/>
        <w:tab w:val="left" w:pos="7920"/>
      </w:tabs>
      <w:ind w:left="6480" w:hanging="720"/>
    </w:pPr>
  </w:style>
  <w:style w:type="paragraph" w:customStyle="1" w:styleId="a">
    <w:name w:val="آ"/>
    <w:basedOn w:val="Normal"/>
    <w:pPr>
      <w:widowControl w:val="0"/>
    </w:pPr>
  </w:style>
  <w:style w:type="character" w:customStyle="1" w:styleId="SYSHYPERTEXT">
    <w:name w:val="SYS_HYPERTEXT"/>
    <w:rPr>
      <w:color w:val="0000FF"/>
      <w:u w:val="single"/>
    </w:rPr>
  </w:style>
  <w:style w:type="paragraph" w:styleId="Caption">
    <w:name w:val="caption"/>
    <w:basedOn w:val="Normal"/>
    <w:next w:val="Normal"/>
    <w:link w:val="CaptionChar"/>
    <w:qFormat/>
    <w:rsid w:val="006A5098"/>
    <w:pPr>
      <w:autoSpaceDE w:val="0"/>
      <w:autoSpaceDN w:val="0"/>
    </w:pPr>
    <w:rPr>
      <w:rFonts w:ascii="Times New Roman Bold" w:hAnsi="Times New Roman Bold"/>
      <w:b/>
      <w:bCs/>
      <w:sz w:val="22"/>
    </w:rPr>
  </w:style>
  <w:style w:type="paragraph" w:styleId="Header">
    <w:name w:val="header"/>
    <w:basedOn w:val="Normal"/>
    <w:link w:val="HeaderChar"/>
    <w:uiPriority w:val="99"/>
    <w:rsid w:val="006A5098"/>
    <w:pPr>
      <w:tabs>
        <w:tab w:val="center" w:pos="4320"/>
        <w:tab w:val="right" w:pos="8640"/>
      </w:tabs>
    </w:pPr>
  </w:style>
  <w:style w:type="paragraph" w:styleId="Footer">
    <w:name w:val="footer"/>
    <w:basedOn w:val="Normal"/>
    <w:link w:val="FooterChar"/>
    <w:uiPriority w:val="99"/>
    <w:rsid w:val="006A5098"/>
    <w:pPr>
      <w:tabs>
        <w:tab w:val="center" w:pos="4320"/>
        <w:tab w:val="right" w:pos="8640"/>
      </w:tabs>
    </w:pPr>
  </w:style>
  <w:style w:type="character" w:styleId="PageNumber">
    <w:name w:val="page number"/>
    <w:basedOn w:val="DefaultParagraphFont"/>
    <w:rsid w:val="006A5098"/>
  </w:style>
  <w:style w:type="paragraph" w:styleId="FootnoteText">
    <w:name w:val="footnote text"/>
    <w:basedOn w:val="Normal"/>
    <w:link w:val="FootnoteTextChar"/>
    <w:semiHidden/>
    <w:rsid w:val="00FC6AEF"/>
    <w:rPr>
      <w:sz w:val="20"/>
    </w:rPr>
  </w:style>
  <w:style w:type="character" w:styleId="FootnoteReference">
    <w:name w:val="footnote reference"/>
    <w:semiHidden/>
    <w:rsid w:val="00FC6AEF"/>
    <w:rPr>
      <w:vertAlign w:val="superscript"/>
    </w:rPr>
  </w:style>
  <w:style w:type="character" w:styleId="CommentReference">
    <w:name w:val="annotation reference"/>
    <w:semiHidden/>
    <w:rsid w:val="009629EB"/>
    <w:rPr>
      <w:sz w:val="16"/>
      <w:szCs w:val="16"/>
    </w:rPr>
  </w:style>
  <w:style w:type="paragraph" w:styleId="CommentText">
    <w:name w:val="annotation text"/>
    <w:basedOn w:val="Normal"/>
    <w:link w:val="CommentTextChar"/>
    <w:uiPriority w:val="99"/>
    <w:semiHidden/>
    <w:rsid w:val="009629EB"/>
    <w:rPr>
      <w:sz w:val="20"/>
    </w:rPr>
  </w:style>
  <w:style w:type="paragraph" w:styleId="CommentSubject">
    <w:name w:val="annotation subject"/>
    <w:basedOn w:val="CommentText"/>
    <w:next w:val="CommentText"/>
    <w:semiHidden/>
    <w:rsid w:val="009629EB"/>
    <w:rPr>
      <w:b/>
      <w:bCs/>
    </w:rPr>
  </w:style>
  <w:style w:type="paragraph" w:styleId="BalloonText">
    <w:name w:val="Balloon Text"/>
    <w:basedOn w:val="Normal"/>
    <w:semiHidden/>
    <w:rsid w:val="009629EB"/>
    <w:rPr>
      <w:rFonts w:ascii="Tahoma" w:hAnsi="Tahoma" w:cs="Tahoma"/>
      <w:sz w:val="16"/>
      <w:szCs w:val="16"/>
    </w:rPr>
  </w:style>
  <w:style w:type="character" w:styleId="Hyperlink">
    <w:name w:val="Hyperlink"/>
    <w:rsid w:val="00F833EA"/>
    <w:rPr>
      <w:color w:val="0000FF"/>
      <w:u w:val="single"/>
    </w:rPr>
  </w:style>
  <w:style w:type="table" w:styleId="TableGrid">
    <w:name w:val="Table Grid"/>
    <w:basedOn w:val="TableNormal"/>
    <w:rsid w:val="00A4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5A9E"/>
    <w:rPr>
      <w:sz w:val="24"/>
    </w:rPr>
  </w:style>
  <w:style w:type="character" w:customStyle="1" w:styleId="FootnoteTextChar">
    <w:name w:val="Footnote Text Char"/>
    <w:link w:val="FootnoteText"/>
    <w:semiHidden/>
    <w:rsid w:val="00E54D91"/>
  </w:style>
  <w:style w:type="character" w:customStyle="1" w:styleId="CommentTextChar">
    <w:name w:val="Comment Text Char"/>
    <w:link w:val="CommentText"/>
    <w:uiPriority w:val="99"/>
    <w:semiHidden/>
    <w:rsid w:val="003422EC"/>
  </w:style>
  <w:style w:type="paragraph" w:styleId="NormalWeb">
    <w:name w:val="Normal (Web)"/>
    <w:basedOn w:val="Normal"/>
    <w:rsid w:val="001E2709"/>
    <w:rPr>
      <w:szCs w:val="24"/>
    </w:rPr>
  </w:style>
  <w:style w:type="paragraph" w:styleId="ListParagraph">
    <w:name w:val="List Paragraph"/>
    <w:basedOn w:val="Normal"/>
    <w:uiPriority w:val="34"/>
    <w:qFormat/>
    <w:rsid w:val="0064205C"/>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5395D"/>
    <w:rPr>
      <w:sz w:val="24"/>
    </w:rPr>
  </w:style>
  <w:style w:type="character" w:customStyle="1" w:styleId="FooterChar">
    <w:name w:val="Footer Char"/>
    <w:basedOn w:val="DefaultParagraphFont"/>
    <w:link w:val="Footer"/>
    <w:uiPriority w:val="99"/>
    <w:rsid w:val="00EC1C84"/>
    <w:rPr>
      <w:sz w:val="24"/>
    </w:rPr>
  </w:style>
  <w:style w:type="character" w:customStyle="1" w:styleId="HeaderChar">
    <w:name w:val="Header Char"/>
    <w:basedOn w:val="DefaultParagraphFont"/>
    <w:link w:val="Header"/>
    <w:uiPriority w:val="99"/>
    <w:rsid w:val="00EC1C84"/>
    <w:rPr>
      <w:sz w:val="24"/>
    </w:rPr>
  </w:style>
  <w:style w:type="character" w:styleId="FollowedHyperlink">
    <w:name w:val="FollowedHyperlink"/>
    <w:basedOn w:val="DefaultParagraphFont"/>
    <w:rsid w:val="00D16CB8"/>
    <w:rPr>
      <w:color w:val="954F72" w:themeColor="followedHyperlink"/>
      <w:u w:val="single"/>
    </w:rPr>
  </w:style>
  <w:style w:type="character" w:customStyle="1" w:styleId="UnresolvedMention">
    <w:name w:val="Unresolved Mention"/>
    <w:basedOn w:val="DefaultParagraphFont"/>
    <w:uiPriority w:val="99"/>
    <w:semiHidden/>
    <w:unhideWhenUsed/>
    <w:rsid w:val="000E57E1"/>
    <w:rPr>
      <w:color w:val="605E5C"/>
      <w:shd w:val="clear" w:color="auto" w:fill="E1DFDD"/>
    </w:rPr>
  </w:style>
  <w:style w:type="character" w:styleId="PlaceholderText">
    <w:name w:val="Placeholder Text"/>
    <w:basedOn w:val="DefaultParagraphFont"/>
    <w:uiPriority w:val="99"/>
    <w:semiHidden/>
    <w:rsid w:val="00C0301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69A"/>
    <w:rPr>
      <w:sz w:val="24"/>
    </w:rPr>
  </w:style>
  <w:style w:type="paragraph" w:styleId="Heading1">
    <w:name w:val="heading 1"/>
    <w:basedOn w:val="Normal"/>
    <w:next w:val="Normal"/>
    <w:qFormat/>
    <w:rsid w:val="006A5098"/>
    <w:pPr>
      <w:keepNext/>
      <w:autoSpaceDE w:val="0"/>
      <w:autoSpaceDN w:val="0"/>
      <w:spacing w:before="480" w:after="240"/>
      <w:outlineLvl w:val="0"/>
    </w:pPr>
    <w:rPr>
      <w:rFonts w:ascii="Times New Roman Bold" w:hAnsi="Times New Roman Bold"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link w:val="Caption"/>
    <w:rsid w:val="006A5098"/>
    <w:rPr>
      <w:rFonts w:ascii="Times New Roman Bold" w:hAnsi="Times New Roman Bold"/>
      <w:b/>
      <w:bCs/>
      <w:sz w:val="22"/>
      <w:lang w:val="en-US" w:eastAsia="en-US" w:bidi="ar-SA"/>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pPr>
      <w:widowControl w:val="0"/>
      <w:tabs>
        <w:tab w:val="left" w:pos="5760"/>
        <w:tab w:val="left" w:pos="6480"/>
        <w:tab w:val="left" w:pos="7200"/>
        <w:tab w:val="left" w:pos="7920"/>
      </w:tabs>
      <w:ind w:left="5760" w:hanging="720"/>
    </w:pPr>
  </w:style>
  <w:style w:type="paragraph" w:customStyle="1" w:styleId="level90">
    <w:name w:val="_level9"/>
    <w:basedOn w:val="Normal"/>
    <w:pPr>
      <w:widowControl w:val="0"/>
      <w:tabs>
        <w:tab w:val="left" w:pos="6480"/>
        <w:tab w:val="left" w:pos="7200"/>
        <w:tab w:val="left" w:pos="792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pPr>
      <w:widowControl w:val="0"/>
      <w:tabs>
        <w:tab w:val="left" w:pos="5760"/>
        <w:tab w:val="left" w:pos="6480"/>
        <w:tab w:val="left" w:pos="7200"/>
        <w:tab w:val="left" w:pos="7920"/>
      </w:tabs>
      <w:ind w:left="5760" w:hanging="720"/>
    </w:pPr>
  </w:style>
  <w:style w:type="paragraph" w:customStyle="1" w:styleId="levsl9">
    <w:name w:val="_levsl9"/>
    <w:basedOn w:val="Normal"/>
    <w:pPr>
      <w:widowControl w:val="0"/>
      <w:tabs>
        <w:tab w:val="left" w:pos="6480"/>
        <w:tab w:val="left" w:pos="7200"/>
        <w:tab w:val="left" w:pos="792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pPr>
      <w:widowControl w:val="0"/>
      <w:tabs>
        <w:tab w:val="left" w:pos="5760"/>
        <w:tab w:val="left" w:pos="6480"/>
        <w:tab w:val="left" w:pos="7200"/>
        <w:tab w:val="left" w:pos="7920"/>
      </w:tabs>
      <w:ind w:left="5760" w:hanging="720"/>
    </w:pPr>
  </w:style>
  <w:style w:type="paragraph" w:customStyle="1" w:styleId="levnl9">
    <w:name w:val="_levnl9"/>
    <w:basedOn w:val="Normal"/>
    <w:pPr>
      <w:widowControl w:val="0"/>
      <w:tabs>
        <w:tab w:val="left" w:pos="6480"/>
        <w:tab w:val="left" w:pos="7200"/>
        <w:tab w:val="left" w:pos="7920"/>
      </w:tabs>
      <w:ind w:left="6480" w:hanging="720"/>
    </w:pPr>
  </w:style>
  <w:style w:type="paragraph" w:customStyle="1" w:styleId="a">
    <w:name w:val="آ"/>
    <w:basedOn w:val="Normal"/>
    <w:pPr>
      <w:widowControl w:val="0"/>
    </w:pPr>
  </w:style>
  <w:style w:type="character" w:customStyle="1" w:styleId="SYSHYPERTEXT">
    <w:name w:val="SYS_HYPERTEXT"/>
    <w:rPr>
      <w:color w:val="0000FF"/>
      <w:u w:val="single"/>
    </w:rPr>
  </w:style>
  <w:style w:type="paragraph" w:styleId="Caption">
    <w:name w:val="caption"/>
    <w:basedOn w:val="Normal"/>
    <w:next w:val="Normal"/>
    <w:link w:val="CaptionChar"/>
    <w:qFormat/>
    <w:rsid w:val="006A5098"/>
    <w:pPr>
      <w:autoSpaceDE w:val="0"/>
      <w:autoSpaceDN w:val="0"/>
    </w:pPr>
    <w:rPr>
      <w:rFonts w:ascii="Times New Roman Bold" w:hAnsi="Times New Roman Bold"/>
      <w:b/>
      <w:bCs/>
      <w:sz w:val="22"/>
    </w:rPr>
  </w:style>
  <w:style w:type="paragraph" w:styleId="Header">
    <w:name w:val="header"/>
    <w:basedOn w:val="Normal"/>
    <w:link w:val="HeaderChar"/>
    <w:uiPriority w:val="99"/>
    <w:rsid w:val="006A5098"/>
    <w:pPr>
      <w:tabs>
        <w:tab w:val="center" w:pos="4320"/>
        <w:tab w:val="right" w:pos="8640"/>
      </w:tabs>
    </w:pPr>
  </w:style>
  <w:style w:type="paragraph" w:styleId="Footer">
    <w:name w:val="footer"/>
    <w:basedOn w:val="Normal"/>
    <w:link w:val="FooterChar"/>
    <w:uiPriority w:val="99"/>
    <w:rsid w:val="006A5098"/>
    <w:pPr>
      <w:tabs>
        <w:tab w:val="center" w:pos="4320"/>
        <w:tab w:val="right" w:pos="8640"/>
      </w:tabs>
    </w:pPr>
  </w:style>
  <w:style w:type="character" w:styleId="PageNumber">
    <w:name w:val="page number"/>
    <w:basedOn w:val="DefaultParagraphFont"/>
    <w:rsid w:val="006A5098"/>
  </w:style>
  <w:style w:type="paragraph" w:styleId="FootnoteText">
    <w:name w:val="footnote text"/>
    <w:basedOn w:val="Normal"/>
    <w:link w:val="FootnoteTextChar"/>
    <w:semiHidden/>
    <w:rsid w:val="00FC6AEF"/>
    <w:rPr>
      <w:sz w:val="20"/>
    </w:rPr>
  </w:style>
  <w:style w:type="character" w:styleId="FootnoteReference">
    <w:name w:val="footnote reference"/>
    <w:semiHidden/>
    <w:rsid w:val="00FC6AEF"/>
    <w:rPr>
      <w:vertAlign w:val="superscript"/>
    </w:rPr>
  </w:style>
  <w:style w:type="character" w:styleId="CommentReference">
    <w:name w:val="annotation reference"/>
    <w:semiHidden/>
    <w:rsid w:val="009629EB"/>
    <w:rPr>
      <w:sz w:val="16"/>
      <w:szCs w:val="16"/>
    </w:rPr>
  </w:style>
  <w:style w:type="paragraph" w:styleId="CommentText">
    <w:name w:val="annotation text"/>
    <w:basedOn w:val="Normal"/>
    <w:link w:val="CommentTextChar"/>
    <w:uiPriority w:val="99"/>
    <w:semiHidden/>
    <w:rsid w:val="009629EB"/>
    <w:rPr>
      <w:sz w:val="20"/>
    </w:rPr>
  </w:style>
  <w:style w:type="paragraph" w:styleId="CommentSubject">
    <w:name w:val="annotation subject"/>
    <w:basedOn w:val="CommentText"/>
    <w:next w:val="CommentText"/>
    <w:semiHidden/>
    <w:rsid w:val="009629EB"/>
    <w:rPr>
      <w:b/>
      <w:bCs/>
    </w:rPr>
  </w:style>
  <w:style w:type="paragraph" w:styleId="BalloonText">
    <w:name w:val="Balloon Text"/>
    <w:basedOn w:val="Normal"/>
    <w:semiHidden/>
    <w:rsid w:val="009629EB"/>
    <w:rPr>
      <w:rFonts w:ascii="Tahoma" w:hAnsi="Tahoma" w:cs="Tahoma"/>
      <w:sz w:val="16"/>
      <w:szCs w:val="16"/>
    </w:rPr>
  </w:style>
  <w:style w:type="character" w:styleId="Hyperlink">
    <w:name w:val="Hyperlink"/>
    <w:rsid w:val="00F833EA"/>
    <w:rPr>
      <w:color w:val="0000FF"/>
      <w:u w:val="single"/>
    </w:rPr>
  </w:style>
  <w:style w:type="table" w:styleId="TableGrid">
    <w:name w:val="Table Grid"/>
    <w:basedOn w:val="TableNormal"/>
    <w:rsid w:val="00A4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5A9E"/>
    <w:rPr>
      <w:sz w:val="24"/>
    </w:rPr>
  </w:style>
  <w:style w:type="character" w:customStyle="1" w:styleId="FootnoteTextChar">
    <w:name w:val="Footnote Text Char"/>
    <w:link w:val="FootnoteText"/>
    <w:semiHidden/>
    <w:rsid w:val="00E54D91"/>
  </w:style>
  <w:style w:type="character" w:customStyle="1" w:styleId="CommentTextChar">
    <w:name w:val="Comment Text Char"/>
    <w:link w:val="CommentText"/>
    <w:uiPriority w:val="99"/>
    <w:semiHidden/>
    <w:rsid w:val="003422EC"/>
  </w:style>
  <w:style w:type="paragraph" w:styleId="NormalWeb">
    <w:name w:val="Normal (Web)"/>
    <w:basedOn w:val="Normal"/>
    <w:rsid w:val="001E2709"/>
    <w:rPr>
      <w:szCs w:val="24"/>
    </w:rPr>
  </w:style>
  <w:style w:type="paragraph" w:styleId="ListParagraph">
    <w:name w:val="List Paragraph"/>
    <w:basedOn w:val="Normal"/>
    <w:uiPriority w:val="34"/>
    <w:qFormat/>
    <w:rsid w:val="0064205C"/>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5395D"/>
    <w:rPr>
      <w:sz w:val="24"/>
    </w:rPr>
  </w:style>
  <w:style w:type="character" w:customStyle="1" w:styleId="FooterChar">
    <w:name w:val="Footer Char"/>
    <w:basedOn w:val="DefaultParagraphFont"/>
    <w:link w:val="Footer"/>
    <w:uiPriority w:val="99"/>
    <w:rsid w:val="00EC1C84"/>
    <w:rPr>
      <w:sz w:val="24"/>
    </w:rPr>
  </w:style>
  <w:style w:type="character" w:customStyle="1" w:styleId="HeaderChar">
    <w:name w:val="Header Char"/>
    <w:basedOn w:val="DefaultParagraphFont"/>
    <w:link w:val="Header"/>
    <w:uiPriority w:val="99"/>
    <w:rsid w:val="00EC1C84"/>
    <w:rPr>
      <w:sz w:val="24"/>
    </w:rPr>
  </w:style>
  <w:style w:type="character" w:styleId="FollowedHyperlink">
    <w:name w:val="FollowedHyperlink"/>
    <w:basedOn w:val="DefaultParagraphFont"/>
    <w:rsid w:val="00D16CB8"/>
    <w:rPr>
      <w:color w:val="954F72" w:themeColor="followedHyperlink"/>
      <w:u w:val="single"/>
    </w:rPr>
  </w:style>
  <w:style w:type="character" w:customStyle="1" w:styleId="UnresolvedMention">
    <w:name w:val="Unresolved Mention"/>
    <w:basedOn w:val="DefaultParagraphFont"/>
    <w:uiPriority w:val="99"/>
    <w:semiHidden/>
    <w:unhideWhenUsed/>
    <w:rsid w:val="000E57E1"/>
    <w:rPr>
      <w:color w:val="605E5C"/>
      <w:shd w:val="clear" w:color="auto" w:fill="E1DFDD"/>
    </w:rPr>
  </w:style>
  <w:style w:type="character" w:styleId="PlaceholderText">
    <w:name w:val="Placeholder Text"/>
    <w:basedOn w:val="DefaultParagraphFont"/>
    <w:uiPriority w:val="99"/>
    <w:semiHidden/>
    <w:rsid w:val="00C030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05">
      <w:bodyDiv w:val="1"/>
      <w:marLeft w:val="0"/>
      <w:marRight w:val="0"/>
      <w:marTop w:val="0"/>
      <w:marBottom w:val="0"/>
      <w:divBdr>
        <w:top w:val="none" w:sz="0" w:space="0" w:color="auto"/>
        <w:left w:val="none" w:sz="0" w:space="0" w:color="auto"/>
        <w:bottom w:val="none" w:sz="0" w:space="0" w:color="auto"/>
        <w:right w:val="none" w:sz="0" w:space="0" w:color="auto"/>
      </w:divBdr>
    </w:div>
    <w:div w:id="36592856">
      <w:bodyDiv w:val="1"/>
      <w:marLeft w:val="0"/>
      <w:marRight w:val="0"/>
      <w:marTop w:val="0"/>
      <w:marBottom w:val="0"/>
      <w:divBdr>
        <w:top w:val="none" w:sz="0" w:space="0" w:color="auto"/>
        <w:left w:val="none" w:sz="0" w:space="0" w:color="auto"/>
        <w:bottom w:val="none" w:sz="0" w:space="0" w:color="auto"/>
        <w:right w:val="none" w:sz="0" w:space="0" w:color="auto"/>
      </w:divBdr>
    </w:div>
    <w:div w:id="38207551">
      <w:bodyDiv w:val="1"/>
      <w:marLeft w:val="0"/>
      <w:marRight w:val="0"/>
      <w:marTop w:val="0"/>
      <w:marBottom w:val="0"/>
      <w:divBdr>
        <w:top w:val="none" w:sz="0" w:space="0" w:color="auto"/>
        <w:left w:val="none" w:sz="0" w:space="0" w:color="auto"/>
        <w:bottom w:val="none" w:sz="0" w:space="0" w:color="auto"/>
        <w:right w:val="none" w:sz="0" w:space="0" w:color="auto"/>
      </w:divBdr>
    </w:div>
    <w:div w:id="42800245">
      <w:bodyDiv w:val="1"/>
      <w:marLeft w:val="0"/>
      <w:marRight w:val="0"/>
      <w:marTop w:val="0"/>
      <w:marBottom w:val="0"/>
      <w:divBdr>
        <w:top w:val="none" w:sz="0" w:space="0" w:color="auto"/>
        <w:left w:val="none" w:sz="0" w:space="0" w:color="auto"/>
        <w:bottom w:val="none" w:sz="0" w:space="0" w:color="auto"/>
        <w:right w:val="none" w:sz="0" w:space="0" w:color="auto"/>
      </w:divBdr>
    </w:div>
    <w:div w:id="85925723">
      <w:bodyDiv w:val="1"/>
      <w:marLeft w:val="0"/>
      <w:marRight w:val="0"/>
      <w:marTop w:val="0"/>
      <w:marBottom w:val="0"/>
      <w:divBdr>
        <w:top w:val="none" w:sz="0" w:space="0" w:color="auto"/>
        <w:left w:val="none" w:sz="0" w:space="0" w:color="auto"/>
        <w:bottom w:val="none" w:sz="0" w:space="0" w:color="auto"/>
        <w:right w:val="none" w:sz="0" w:space="0" w:color="auto"/>
      </w:divBdr>
    </w:div>
    <w:div w:id="93214959">
      <w:bodyDiv w:val="1"/>
      <w:marLeft w:val="0"/>
      <w:marRight w:val="0"/>
      <w:marTop w:val="0"/>
      <w:marBottom w:val="0"/>
      <w:divBdr>
        <w:top w:val="none" w:sz="0" w:space="0" w:color="auto"/>
        <w:left w:val="none" w:sz="0" w:space="0" w:color="auto"/>
        <w:bottom w:val="none" w:sz="0" w:space="0" w:color="auto"/>
        <w:right w:val="none" w:sz="0" w:space="0" w:color="auto"/>
      </w:divBdr>
    </w:div>
    <w:div w:id="98722502">
      <w:bodyDiv w:val="1"/>
      <w:marLeft w:val="0"/>
      <w:marRight w:val="0"/>
      <w:marTop w:val="0"/>
      <w:marBottom w:val="0"/>
      <w:divBdr>
        <w:top w:val="none" w:sz="0" w:space="0" w:color="auto"/>
        <w:left w:val="none" w:sz="0" w:space="0" w:color="auto"/>
        <w:bottom w:val="none" w:sz="0" w:space="0" w:color="auto"/>
        <w:right w:val="none" w:sz="0" w:space="0" w:color="auto"/>
      </w:divBdr>
    </w:div>
    <w:div w:id="212037681">
      <w:bodyDiv w:val="1"/>
      <w:marLeft w:val="0"/>
      <w:marRight w:val="0"/>
      <w:marTop w:val="0"/>
      <w:marBottom w:val="0"/>
      <w:divBdr>
        <w:top w:val="none" w:sz="0" w:space="0" w:color="auto"/>
        <w:left w:val="none" w:sz="0" w:space="0" w:color="auto"/>
        <w:bottom w:val="none" w:sz="0" w:space="0" w:color="auto"/>
        <w:right w:val="none" w:sz="0" w:space="0" w:color="auto"/>
      </w:divBdr>
    </w:div>
    <w:div w:id="224342178">
      <w:bodyDiv w:val="1"/>
      <w:marLeft w:val="0"/>
      <w:marRight w:val="0"/>
      <w:marTop w:val="0"/>
      <w:marBottom w:val="0"/>
      <w:divBdr>
        <w:top w:val="none" w:sz="0" w:space="0" w:color="auto"/>
        <w:left w:val="none" w:sz="0" w:space="0" w:color="auto"/>
        <w:bottom w:val="none" w:sz="0" w:space="0" w:color="auto"/>
        <w:right w:val="none" w:sz="0" w:space="0" w:color="auto"/>
      </w:divBdr>
    </w:div>
    <w:div w:id="247426352">
      <w:bodyDiv w:val="1"/>
      <w:marLeft w:val="0"/>
      <w:marRight w:val="0"/>
      <w:marTop w:val="0"/>
      <w:marBottom w:val="0"/>
      <w:divBdr>
        <w:top w:val="none" w:sz="0" w:space="0" w:color="auto"/>
        <w:left w:val="none" w:sz="0" w:space="0" w:color="auto"/>
        <w:bottom w:val="none" w:sz="0" w:space="0" w:color="auto"/>
        <w:right w:val="none" w:sz="0" w:space="0" w:color="auto"/>
      </w:divBdr>
    </w:div>
    <w:div w:id="250356053">
      <w:bodyDiv w:val="1"/>
      <w:marLeft w:val="0"/>
      <w:marRight w:val="0"/>
      <w:marTop w:val="0"/>
      <w:marBottom w:val="0"/>
      <w:divBdr>
        <w:top w:val="none" w:sz="0" w:space="0" w:color="auto"/>
        <w:left w:val="none" w:sz="0" w:space="0" w:color="auto"/>
        <w:bottom w:val="none" w:sz="0" w:space="0" w:color="auto"/>
        <w:right w:val="none" w:sz="0" w:space="0" w:color="auto"/>
      </w:divBdr>
    </w:div>
    <w:div w:id="294261488">
      <w:bodyDiv w:val="1"/>
      <w:marLeft w:val="0"/>
      <w:marRight w:val="0"/>
      <w:marTop w:val="0"/>
      <w:marBottom w:val="0"/>
      <w:divBdr>
        <w:top w:val="none" w:sz="0" w:space="0" w:color="auto"/>
        <w:left w:val="none" w:sz="0" w:space="0" w:color="auto"/>
        <w:bottom w:val="none" w:sz="0" w:space="0" w:color="auto"/>
        <w:right w:val="none" w:sz="0" w:space="0" w:color="auto"/>
      </w:divBdr>
    </w:div>
    <w:div w:id="350648081">
      <w:bodyDiv w:val="1"/>
      <w:marLeft w:val="0"/>
      <w:marRight w:val="0"/>
      <w:marTop w:val="0"/>
      <w:marBottom w:val="0"/>
      <w:divBdr>
        <w:top w:val="none" w:sz="0" w:space="0" w:color="auto"/>
        <w:left w:val="none" w:sz="0" w:space="0" w:color="auto"/>
        <w:bottom w:val="none" w:sz="0" w:space="0" w:color="auto"/>
        <w:right w:val="none" w:sz="0" w:space="0" w:color="auto"/>
      </w:divBdr>
    </w:div>
    <w:div w:id="382949752">
      <w:bodyDiv w:val="1"/>
      <w:marLeft w:val="0"/>
      <w:marRight w:val="0"/>
      <w:marTop w:val="0"/>
      <w:marBottom w:val="0"/>
      <w:divBdr>
        <w:top w:val="none" w:sz="0" w:space="0" w:color="auto"/>
        <w:left w:val="none" w:sz="0" w:space="0" w:color="auto"/>
        <w:bottom w:val="none" w:sz="0" w:space="0" w:color="auto"/>
        <w:right w:val="none" w:sz="0" w:space="0" w:color="auto"/>
      </w:divBdr>
    </w:div>
    <w:div w:id="394207387">
      <w:bodyDiv w:val="1"/>
      <w:marLeft w:val="0"/>
      <w:marRight w:val="0"/>
      <w:marTop w:val="0"/>
      <w:marBottom w:val="0"/>
      <w:divBdr>
        <w:top w:val="none" w:sz="0" w:space="0" w:color="auto"/>
        <w:left w:val="none" w:sz="0" w:space="0" w:color="auto"/>
        <w:bottom w:val="none" w:sz="0" w:space="0" w:color="auto"/>
        <w:right w:val="none" w:sz="0" w:space="0" w:color="auto"/>
      </w:divBdr>
    </w:div>
    <w:div w:id="502286303">
      <w:bodyDiv w:val="1"/>
      <w:marLeft w:val="0"/>
      <w:marRight w:val="0"/>
      <w:marTop w:val="0"/>
      <w:marBottom w:val="0"/>
      <w:divBdr>
        <w:top w:val="none" w:sz="0" w:space="0" w:color="auto"/>
        <w:left w:val="none" w:sz="0" w:space="0" w:color="auto"/>
        <w:bottom w:val="none" w:sz="0" w:space="0" w:color="auto"/>
        <w:right w:val="none" w:sz="0" w:space="0" w:color="auto"/>
      </w:divBdr>
    </w:div>
    <w:div w:id="654063722">
      <w:bodyDiv w:val="1"/>
      <w:marLeft w:val="0"/>
      <w:marRight w:val="0"/>
      <w:marTop w:val="0"/>
      <w:marBottom w:val="0"/>
      <w:divBdr>
        <w:top w:val="none" w:sz="0" w:space="0" w:color="auto"/>
        <w:left w:val="none" w:sz="0" w:space="0" w:color="auto"/>
        <w:bottom w:val="none" w:sz="0" w:space="0" w:color="auto"/>
        <w:right w:val="none" w:sz="0" w:space="0" w:color="auto"/>
      </w:divBdr>
    </w:div>
    <w:div w:id="672562595">
      <w:bodyDiv w:val="1"/>
      <w:marLeft w:val="0"/>
      <w:marRight w:val="0"/>
      <w:marTop w:val="0"/>
      <w:marBottom w:val="0"/>
      <w:divBdr>
        <w:top w:val="none" w:sz="0" w:space="0" w:color="auto"/>
        <w:left w:val="none" w:sz="0" w:space="0" w:color="auto"/>
        <w:bottom w:val="none" w:sz="0" w:space="0" w:color="auto"/>
        <w:right w:val="none" w:sz="0" w:space="0" w:color="auto"/>
      </w:divBdr>
    </w:div>
    <w:div w:id="709956827">
      <w:bodyDiv w:val="1"/>
      <w:marLeft w:val="0"/>
      <w:marRight w:val="0"/>
      <w:marTop w:val="0"/>
      <w:marBottom w:val="0"/>
      <w:divBdr>
        <w:top w:val="none" w:sz="0" w:space="0" w:color="auto"/>
        <w:left w:val="none" w:sz="0" w:space="0" w:color="auto"/>
        <w:bottom w:val="none" w:sz="0" w:space="0" w:color="auto"/>
        <w:right w:val="none" w:sz="0" w:space="0" w:color="auto"/>
      </w:divBdr>
    </w:div>
    <w:div w:id="712315870">
      <w:bodyDiv w:val="1"/>
      <w:marLeft w:val="0"/>
      <w:marRight w:val="0"/>
      <w:marTop w:val="0"/>
      <w:marBottom w:val="0"/>
      <w:divBdr>
        <w:top w:val="none" w:sz="0" w:space="0" w:color="auto"/>
        <w:left w:val="none" w:sz="0" w:space="0" w:color="auto"/>
        <w:bottom w:val="none" w:sz="0" w:space="0" w:color="auto"/>
        <w:right w:val="none" w:sz="0" w:space="0" w:color="auto"/>
      </w:divBdr>
    </w:div>
    <w:div w:id="719550782">
      <w:bodyDiv w:val="1"/>
      <w:marLeft w:val="0"/>
      <w:marRight w:val="0"/>
      <w:marTop w:val="0"/>
      <w:marBottom w:val="0"/>
      <w:divBdr>
        <w:top w:val="none" w:sz="0" w:space="0" w:color="auto"/>
        <w:left w:val="none" w:sz="0" w:space="0" w:color="auto"/>
        <w:bottom w:val="none" w:sz="0" w:space="0" w:color="auto"/>
        <w:right w:val="none" w:sz="0" w:space="0" w:color="auto"/>
      </w:divBdr>
    </w:div>
    <w:div w:id="854732054">
      <w:bodyDiv w:val="1"/>
      <w:marLeft w:val="0"/>
      <w:marRight w:val="0"/>
      <w:marTop w:val="0"/>
      <w:marBottom w:val="0"/>
      <w:divBdr>
        <w:top w:val="none" w:sz="0" w:space="0" w:color="auto"/>
        <w:left w:val="none" w:sz="0" w:space="0" w:color="auto"/>
        <w:bottom w:val="none" w:sz="0" w:space="0" w:color="auto"/>
        <w:right w:val="none" w:sz="0" w:space="0" w:color="auto"/>
      </w:divBdr>
    </w:div>
    <w:div w:id="857161635">
      <w:bodyDiv w:val="1"/>
      <w:marLeft w:val="0"/>
      <w:marRight w:val="0"/>
      <w:marTop w:val="0"/>
      <w:marBottom w:val="0"/>
      <w:divBdr>
        <w:top w:val="none" w:sz="0" w:space="0" w:color="auto"/>
        <w:left w:val="none" w:sz="0" w:space="0" w:color="auto"/>
        <w:bottom w:val="none" w:sz="0" w:space="0" w:color="auto"/>
        <w:right w:val="none" w:sz="0" w:space="0" w:color="auto"/>
      </w:divBdr>
    </w:div>
    <w:div w:id="920717254">
      <w:bodyDiv w:val="1"/>
      <w:marLeft w:val="0"/>
      <w:marRight w:val="0"/>
      <w:marTop w:val="0"/>
      <w:marBottom w:val="0"/>
      <w:divBdr>
        <w:top w:val="none" w:sz="0" w:space="0" w:color="auto"/>
        <w:left w:val="none" w:sz="0" w:space="0" w:color="auto"/>
        <w:bottom w:val="none" w:sz="0" w:space="0" w:color="auto"/>
        <w:right w:val="none" w:sz="0" w:space="0" w:color="auto"/>
      </w:divBdr>
    </w:div>
    <w:div w:id="923302665">
      <w:bodyDiv w:val="1"/>
      <w:marLeft w:val="0"/>
      <w:marRight w:val="0"/>
      <w:marTop w:val="0"/>
      <w:marBottom w:val="0"/>
      <w:divBdr>
        <w:top w:val="none" w:sz="0" w:space="0" w:color="auto"/>
        <w:left w:val="none" w:sz="0" w:space="0" w:color="auto"/>
        <w:bottom w:val="none" w:sz="0" w:space="0" w:color="auto"/>
        <w:right w:val="none" w:sz="0" w:space="0" w:color="auto"/>
      </w:divBdr>
    </w:div>
    <w:div w:id="991107447">
      <w:bodyDiv w:val="1"/>
      <w:marLeft w:val="0"/>
      <w:marRight w:val="0"/>
      <w:marTop w:val="0"/>
      <w:marBottom w:val="0"/>
      <w:divBdr>
        <w:top w:val="none" w:sz="0" w:space="0" w:color="auto"/>
        <w:left w:val="none" w:sz="0" w:space="0" w:color="auto"/>
        <w:bottom w:val="none" w:sz="0" w:space="0" w:color="auto"/>
        <w:right w:val="none" w:sz="0" w:space="0" w:color="auto"/>
      </w:divBdr>
    </w:div>
    <w:div w:id="1060713176">
      <w:bodyDiv w:val="1"/>
      <w:marLeft w:val="0"/>
      <w:marRight w:val="0"/>
      <w:marTop w:val="0"/>
      <w:marBottom w:val="0"/>
      <w:divBdr>
        <w:top w:val="none" w:sz="0" w:space="0" w:color="auto"/>
        <w:left w:val="none" w:sz="0" w:space="0" w:color="auto"/>
        <w:bottom w:val="none" w:sz="0" w:space="0" w:color="auto"/>
        <w:right w:val="none" w:sz="0" w:space="0" w:color="auto"/>
      </w:divBdr>
    </w:div>
    <w:div w:id="1220748150">
      <w:bodyDiv w:val="1"/>
      <w:marLeft w:val="0"/>
      <w:marRight w:val="0"/>
      <w:marTop w:val="0"/>
      <w:marBottom w:val="0"/>
      <w:divBdr>
        <w:top w:val="none" w:sz="0" w:space="0" w:color="auto"/>
        <w:left w:val="none" w:sz="0" w:space="0" w:color="auto"/>
        <w:bottom w:val="none" w:sz="0" w:space="0" w:color="auto"/>
        <w:right w:val="none" w:sz="0" w:space="0" w:color="auto"/>
      </w:divBdr>
    </w:div>
    <w:div w:id="1230966107">
      <w:bodyDiv w:val="1"/>
      <w:marLeft w:val="0"/>
      <w:marRight w:val="0"/>
      <w:marTop w:val="0"/>
      <w:marBottom w:val="0"/>
      <w:divBdr>
        <w:top w:val="none" w:sz="0" w:space="0" w:color="auto"/>
        <w:left w:val="none" w:sz="0" w:space="0" w:color="auto"/>
        <w:bottom w:val="none" w:sz="0" w:space="0" w:color="auto"/>
        <w:right w:val="none" w:sz="0" w:space="0" w:color="auto"/>
      </w:divBdr>
    </w:div>
    <w:div w:id="1250624123">
      <w:bodyDiv w:val="1"/>
      <w:marLeft w:val="0"/>
      <w:marRight w:val="0"/>
      <w:marTop w:val="0"/>
      <w:marBottom w:val="0"/>
      <w:divBdr>
        <w:top w:val="none" w:sz="0" w:space="0" w:color="auto"/>
        <w:left w:val="none" w:sz="0" w:space="0" w:color="auto"/>
        <w:bottom w:val="none" w:sz="0" w:space="0" w:color="auto"/>
        <w:right w:val="none" w:sz="0" w:space="0" w:color="auto"/>
      </w:divBdr>
    </w:div>
    <w:div w:id="1302350307">
      <w:bodyDiv w:val="1"/>
      <w:marLeft w:val="0"/>
      <w:marRight w:val="0"/>
      <w:marTop w:val="0"/>
      <w:marBottom w:val="0"/>
      <w:divBdr>
        <w:top w:val="none" w:sz="0" w:space="0" w:color="auto"/>
        <w:left w:val="none" w:sz="0" w:space="0" w:color="auto"/>
        <w:bottom w:val="none" w:sz="0" w:space="0" w:color="auto"/>
        <w:right w:val="none" w:sz="0" w:space="0" w:color="auto"/>
      </w:divBdr>
    </w:div>
    <w:div w:id="1309439785">
      <w:bodyDiv w:val="1"/>
      <w:marLeft w:val="0"/>
      <w:marRight w:val="0"/>
      <w:marTop w:val="0"/>
      <w:marBottom w:val="0"/>
      <w:divBdr>
        <w:top w:val="none" w:sz="0" w:space="0" w:color="auto"/>
        <w:left w:val="none" w:sz="0" w:space="0" w:color="auto"/>
        <w:bottom w:val="none" w:sz="0" w:space="0" w:color="auto"/>
        <w:right w:val="none" w:sz="0" w:space="0" w:color="auto"/>
      </w:divBdr>
    </w:div>
    <w:div w:id="1346253708">
      <w:bodyDiv w:val="1"/>
      <w:marLeft w:val="0"/>
      <w:marRight w:val="0"/>
      <w:marTop w:val="0"/>
      <w:marBottom w:val="0"/>
      <w:divBdr>
        <w:top w:val="none" w:sz="0" w:space="0" w:color="auto"/>
        <w:left w:val="none" w:sz="0" w:space="0" w:color="auto"/>
        <w:bottom w:val="none" w:sz="0" w:space="0" w:color="auto"/>
        <w:right w:val="none" w:sz="0" w:space="0" w:color="auto"/>
      </w:divBdr>
    </w:div>
    <w:div w:id="1383670796">
      <w:bodyDiv w:val="1"/>
      <w:marLeft w:val="0"/>
      <w:marRight w:val="0"/>
      <w:marTop w:val="0"/>
      <w:marBottom w:val="0"/>
      <w:divBdr>
        <w:top w:val="none" w:sz="0" w:space="0" w:color="auto"/>
        <w:left w:val="none" w:sz="0" w:space="0" w:color="auto"/>
        <w:bottom w:val="none" w:sz="0" w:space="0" w:color="auto"/>
        <w:right w:val="none" w:sz="0" w:space="0" w:color="auto"/>
      </w:divBdr>
    </w:div>
    <w:div w:id="1400205230">
      <w:bodyDiv w:val="1"/>
      <w:marLeft w:val="0"/>
      <w:marRight w:val="0"/>
      <w:marTop w:val="0"/>
      <w:marBottom w:val="0"/>
      <w:divBdr>
        <w:top w:val="none" w:sz="0" w:space="0" w:color="auto"/>
        <w:left w:val="none" w:sz="0" w:space="0" w:color="auto"/>
        <w:bottom w:val="none" w:sz="0" w:space="0" w:color="auto"/>
        <w:right w:val="none" w:sz="0" w:space="0" w:color="auto"/>
      </w:divBdr>
    </w:div>
    <w:div w:id="1483543683">
      <w:bodyDiv w:val="1"/>
      <w:marLeft w:val="0"/>
      <w:marRight w:val="0"/>
      <w:marTop w:val="0"/>
      <w:marBottom w:val="0"/>
      <w:divBdr>
        <w:top w:val="none" w:sz="0" w:space="0" w:color="auto"/>
        <w:left w:val="none" w:sz="0" w:space="0" w:color="auto"/>
        <w:bottom w:val="none" w:sz="0" w:space="0" w:color="auto"/>
        <w:right w:val="none" w:sz="0" w:space="0" w:color="auto"/>
      </w:divBdr>
    </w:div>
    <w:div w:id="1486163134">
      <w:bodyDiv w:val="1"/>
      <w:marLeft w:val="0"/>
      <w:marRight w:val="0"/>
      <w:marTop w:val="0"/>
      <w:marBottom w:val="0"/>
      <w:divBdr>
        <w:top w:val="none" w:sz="0" w:space="0" w:color="auto"/>
        <w:left w:val="none" w:sz="0" w:space="0" w:color="auto"/>
        <w:bottom w:val="none" w:sz="0" w:space="0" w:color="auto"/>
        <w:right w:val="none" w:sz="0" w:space="0" w:color="auto"/>
      </w:divBdr>
    </w:div>
    <w:div w:id="1521813786">
      <w:bodyDiv w:val="1"/>
      <w:marLeft w:val="0"/>
      <w:marRight w:val="0"/>
      <w:marTop w:val="0"/>
      <w:marBottom w:val="0"/>
      <w:divBdr>
        <w:top w:val="none" w:sz="0" w:space="0" w:color="auto"/>
        <w:left w:val="none" w:sz="0" w:space="0" w:color="auto"/>
        <w:bottom w:val="none" w:sz="0" w:space="0" w:color="auto"/>
        <w:right w:val="none" w:sz="0" w:space="0" w:color="auto"/>
      </w:divBdr>
    </w:div>
    <w:div w:id="1534272142">
      <w:bodyDiv w:val="1"/>
      <w:marLeft w:val="0"/>
      <w:marRight w:val="0"/>
      <w:marTop w:val="0"/>
      <w:marBottom w:val="0"/>
      <w:divBdr>
        <w:top w:val="none" w:sz="0" w:space="0" w:color="auto"/>
        <w:left w:val="none" w:sz="0" w:space="0" w:color="auto"/>
        <w:bottom w:val="none" w:sz="0" w:space="0" w:color="auto"/>
        <w:right w:val="none" w:sz="0" w:space="0" w:color="auto"/>
      </w:divBdr>
    </w:div>
    <w:div w:id="1540434512">
      <w:bodyDiv w:val="1"/>
      <w:marLeft w:val="0"/>
      <w:marRight w:val="0"/>
      <w:marTop w:val="0"/>
      <w:marBottom w:val="0"/>
      <w:divBdr>
        <w:top w:val="none" w:sz="0" w:space="0" w:color="auto"/>
        <w:left w:val="none" w:sz="0" w:space="0" w:color="auto"/>
        <w:bottom w:val="none" w:sz="0" w:space="0" w:color="auto"/>
        <w:right w:val="none" w:sz="0" w:space="0" w:color="auto"/>
      </w:divBdr>
    </w:div>
    <w:div w:id="1543783244">
      <w:bodyDiv w:val="1"/>
      <w:marLeft w:val="0"/>
      <w:marRight w:val="0"/>
      <w:marTop w:val="0"/>
      <w:marBottom w:val="0"/>
      <w:divBdr>
        <w:top w:val="none" w:sz="0" w:space="0" w:color="auto"/>
        <w:left w:val="none" w:sz="0" w:space="0" w:color="auto"/>
        <w:bottom w:val="none" w:sz="0" w:space="0" w:color="auto"/>
        <w:right w:val="none" w:sz="0" w:space="0" w:color="auto"/>
      </w:divBdr>
    </w:div>
    <w:div w:id="1614944687">
      <w:bodyDiv w:val="1"/>
      <w:marLeft w:val="0"/>
      <w:marRight w:val="0"/>
      <w:marTop w:val="0"/>
      <w:marBottom w:val="0"/>
      <w:divBdr>
        <w:top w:val="none" w:sz="0" w:space="0" w:color="auto"/>
        <w:left w:val="none" w:sz="0" w:space="0" w:color="auto"/>
        <w:bottom w:val="none" w:sz="0" w:space="0" w:color="auto"/>
        <w:right w:val="none" w:sz="0" w:space="0" w:color="auto"/>
      </w:divBdr>
    </w:div>
    <w:div w:id="1667324680">
      <w:bodyDiv w:val="1"/>
      <w:marLeft w:val="0"/>
      <w:marRight w:val="0"/>
      <w:marTop w:val="0"/>
      <w:marBottom w:val="0"/>
      <w:divBdr>
        <w:top w:val="none" w:sz="0" w:space="0" w:color="auto"/>
        <w:left w:val="none" w:sz="0" w:space="0" w:color="auto"/>
        <w:bottom w:val="none" w:sz="0" w:space="0" w:color="auto"/>
        <w:right w:val="none" w:sz="0" w:space="0" w:color="auto"/>
      </w:divBdr>
    </w:div>
    <w:div w:id="1671643947">
      <w:bodyDiv w:val="1"/>
      <w:marLeft w:val="0"/>
      <w:marRight w:val="0"/>
      <w:marTop w:val="0"/>
      <w:marBottom w:val="0"/>
      <w:divBdr>
        <w:top w:val="none" w:sz="0" w:space="0" w:color="auto"/>
        <w:left w:val="none" w:sz="0" w:space="0" w:color="auto"/>
        <w:bottom w:val="none" w:sz="0" w:space="0" w:color="auto"/>
        <w:right w:val="none" w:sz="0" w:space="0" w:color="auto"/>
      </w:divBdr>
    </w:div>
    <w:div w:id="1676228244">
      <w:bodyDiv w:val="1"/>
      <w:marLeft w:val="0"/>
      <w:marRight w:val="0"/>
      <w:marTop w:val="0"/>
      <w:marBottom w:val="0"/>
      <w:divBdr>
        <w:top w:val="none" w:sz="0" w:space="0" w:color="auto"/>
        <w:left w:val="none" w:sz="0" w:space="0" w:color="auto"/>
        <w:bottom w:val="none" w:sz="0" w:space="0" w:color="auto"/>
        <w:right w:val="none" w:sz="0" w:space="0" w:color="auto"/>
      </w:divBdr>
    </w:div>
    <w:div w:id="1745911790">
      <w:bodyDiv w:val="1"/>
      <w:marLeft w:val="0"/>
      <w:marRight w:val="0"/>
      <w:marTop w:val="0"/>
      <w:marBottom w:val="0"/>
      <w:divBdr>
        <w:top w:val="none" w:sz="0" w:space="0" w:color="auto"/>
        <w:left w:val="none" w:sz="0" w:space="0" w:color="auto"/>
        <w:bottom w:val="none" w:sz="0" w:space="0" w:color="auto"/>
        <w:right w:val="none" w:sz="0" w:space="0" w:color="auto"/>
      </w:divBdr>
    </w:div>
    <w:div w:id="1750347635">
      <w:bodyDiv w:val="1"/>
      <w:marLeft w:val="0"/>
      <w:marRight w:val="0"/>
      <w:marTop w:val="0"/>
      <w:marBottom w:val="0"/>
      <w:divBdr>
        <w:top w:val="none" w:sz="0" w:space="0" w:color="auto"/>
        <w:left w:val="none" w:sz="0" w:space="0" w:color="auto"/>
        <w:bottom w:val="none" w:sz="0" w:space="0" w:color="auto"/>
        <w:right w:val="none" w:sz="0" w:space="0" w:color="auto"/>
      </w:divBdr>
    </w:div>
    <w:div w:id="1807158249">
      <w:bodyDiv w:val="1"/>
      <w:marLeft w:val="0"/>
      <w:marRight w:val="0"/>
      <w:marTop w:val="0"/>
      <w:marBottom w:val="0"/>
      <w:divBdr>
        <w:top w:val="none" w:sz="0" w:space="0" w:color="auto"/>
        <w:left w:val="none" w:sz="0" w:space="0" w:color="auto"/>
        <w:bottom w:val="none" w:sz="0" w:space="0" w:color="auto"/>
        <w:right w:val="none" w:sz="0" w:space="0" w:color="auto"/>
      </w:divBdr>
    </w:div>
    <w:div w:id="1917323795">
      <w:bodyDiv w:val="1"/>
      <w:marLeft w:val="0"/>
      <w:marRight w:val="0"/>
      <w:marTop w:val="0"/>
      <w:marBottom w:val="0"/>
      <w:divBdr>
        <w:top w:val="none" w:sz="0" w:space="0" w:color="auto"/>
        <w:left w:val="none" w:sz="0" w:space="0" w:color="auto"/>
        <w:bottom w:val="none" w:sz="0" w:space="0" w:color="auto"/>
        <w:right w:val="none" w:sz="0" w:space="0" w:color="auto"/>
      </w:divBdr>
    </w:div>
    <w:div w:id="2106490085">
      <w:bodyDiv w:val="1"/>
      <w:marLeft w:val="0"/>
      <w:marRight w:val="0"/>
      <w:marTop w:val="0"/>
      <w:marBottom w:val="0"/>
      <w:divBdr>
        <w:top w:val="none" w:sz="0" w:space="0" w:color="auto"/>
        <w:left w:val="none" w:sz="0" w:space="0" w:color="auto"/>
        <w:bottom w:val="none" w:sz="0" w:space="0" w:color="auto"/>
        <w:right w:val="none" w:sz="0" w:space="0" w:color="auto"/>
      </w:divBdr>
      <w:divsChild>
        <w:div w:id="455024899">
          <w:marLeft w:val="0"/>
          <w:marRight w:val="0"/>
          <w:marTop w:val="0"/>
          <w:marBottom w:val="0"/>
          <w:divBdr>
            <w:top w:val="none" w:sz="0" w:space="0" w:color="auto"/>
            <w:left w:val="none" w:sz="0" w:space="0" w:color="auto"/>
            <w:bottom w:val="none" w:sz="0" w:space="0" w:color="auto"/>
            <w:right w:val="none" w:sz="0" w:space="0" w:color="auto"/>
          </w:divBdr>
          <w:divsChild>
            <w:div w:id="596836646">
              <w:marLeft w:val="0"/>
              <w:marRight w:val="0"/>
              <w:marTop w:val="0"/>
              <w:marBottom w:val="0"/>
              <w:divBdr>
                <w:top w:val="none" w:sz="0" w:space="0" w:color="auto"/>
                <w:left w:val="none" w:sz="0" w:space="0" w:color="auto"/>
                <w:bottom w:val="none" w:sz="0" w:space="0" w:color="auto"/>
                <w:right w:val="none" w:sz="0" w:space="0" w:color="auto"/>
              </w:divBdr>
              <w:divsChild>
                <w:div w:id="1419911321">
                  <w:marLeft w:val="0"/>
                  <w:marRight w:val="0"/>
                  <w:marTop w:val="0"/>
                  <w:marBottom w:val="0"/>
                  <w:divBdr>
                    <w:top w:val="none" w:sz="0" w:space="0" w:color="auto"/>
                    <w:left w:val="none" w:sz="0" w:space="0" w:color="auto"/>
                    <w:bottom w:val="none" w:sz="0" w:space="0" w:color="auto"/>
                    <w:right w:val="none" w:sz="0" w:space="0" w:color="auto"/>
                  </w:divBdr>
                  <w:divsChild>
                    <w:div w:id="1484155069">
                      <w:marLeft w:val="0"/>
                      <w:marRight w:val="0"/>
                      <w:marTop w:val="0"/>
                      <w:marBottom w:val="0"/>
                      <w:divBdr>
                        <w:top w:val="none" w:sz="0" w:space="0" w:color="auto"/>
                        <w:left w:val="none" w:sz="0" w:space="0" w:color="auto"/>
                        <w:bottom w:val="none" w:sz="0" w:space="0" w:color="auto"/>
                        <w:right w:val="none" w:sz="0" w:space="0" w:color="auto"/>
                      </w:divBdr>
                      <w:divsChild>
                        <w:div w:id="1448155890">
                          <w:marLeft w:val="0"/>
                          <w:marRight w:val="0"/>
                          <w:marTop w:val="0"/>
                          <w:marBottom w:val="0"/>
                          <w:divBdr>
                            <w:top w:val="none" w:sz="0" w:space="0" w:color="auto"/>
                            <w:left w:val="none" w:sz="0" w:space="0" w:color="auto"/>
                            <w:bottom w:val="none" w:sz="0" w:space="0" w:color="auto"/>
                            <w:right w:val="none" w:sz="0" w:space="0" w:color="auto"/>
                          </w:divBdr>
                          <w:divsChild>
                            <w:div w:id="1725132306">
                              <w:marLeft w:val="0"/>
                              <w:marRight w:val="0"/>
                              <w:marTop w:val="0"/>
                              <w:marBottom w:val="0"/>
                              <w:divBdr>
                                <w:top w:val="none" w:sz="0" w:space="0" w:color="auto"/>
                                <w:left w:val="none" w:sz="0" w:space="0" w:color="auto"/>
                                <w:bottom w:val="none" w:sz="0" w:space="0" w:color="auto"/>
                                <w:right w:val="none" w:sz="0" w:space="0" w:color="auto"/>
                              </w:divBdr>
                              <w:divsChild>
                                <w:div w:id="1271276009">
                                  <w:marLeft w:val="0"/>
                                  <w:marRight w:val="0"/>
                                  <w:marTop w:val="0"/>
                                  <w:marBottom w:val="0"/>
                                  <w:divBdr>
                                    <w:top w:val="none" w:sz="0" w:space="0" w:color="auto"/>
                                    <w:left w:val="none" w:sz="0" w:space="0" w:color="auto"/>
                                    <w:bottom w:val="none" w:sz="0" w:space="0" w:color="auto"/>
                                    <w:right w:val="none" w:sz="0" w:space="0" w:color="auto"/>
                                  </w:divBdr>
                                  <w:divsChild>
                                    <w:div w:id="526338602">
                                      <w:marLeft w:val="0"/>
                                      <w:marRight w:val="0"/>
                                      <w:marTop w:val="0"/>
                                      <w:marBottom w:val="0"/>
                                      <w:divBdr>
                                        <w:top w:val="none" w:sz="0" w:space="0" w:color="auto"/>
                                        <w:left w:val="none" w:sz="0" w:space="0" w:color="auto"/>
                                        <w:bottom w:val="none" w:sz="0" w:space="0" w:color="auto"/>
                                        <w:right w:val="none" w:sz="0" w:space="0" w:color="auto"/>
                                      </w:divBdr>
                                      <w:divsChild>
                                        <w:div w:id="1245725558">
                                          <w:marLeft w:val="0"/>
                                          <w:marRight w:val="0"/>
                                          <w:marTop w:val="0"/>
                                          <w:marBottom w:val="0"/>
                                          <w:divBdr>
                                            <w:top w:val="none" w:sz="0" w:space="0" w:color="auto"/>
                                            <w:left w:val="none" w:sz="0" w:space="0" w:color="auto"/>
                                            <w:bottom w:val="none" w:sz="0" w:space="0" w:color="auto"/>
                                            <w:right w:val="none" w:sz="0" w:space="0" w:color="auto"/>
                                          </w:divBdr>
                                          <w:divsChild>
                                            <w:div w:id="1694064355">
                                              <w:marLeft w:val="0"/>
                                              <w:marRight w:val="0"/>
                                              <w:marTop w:val="0"/>
                                              <w:marBottom w:val="0"/>
                                              <w:divBdr>
                                                <w:top w:val="none" w:sz="0" w:space="0" w:color="auto"/>
                                                <w:left w:val="none" w:sz="0" w:space="0" w:color="auto"/>
                                                <w:bottom w:val="none" w:sz="0" w:space="0" w:color="auto"/>
                                                <w:right w:val="none" w:sz="0" w:space="0" w:color="auto"/>
                                              </w:divBdr>
                                              <w:divsChild>
                                                <w:div w:id="1358000455">
                                                  <w:marLeft w:val="0"/>
                                                  <w:marRight w:val="0"/>
                                                  <w:marTop w:val="0"/>
                                                  <w:marBottom w:val="0"/>
                                                  <w:divBdr>
                                                    <w:top w:val="none" w:sz="0" w:space="0" w:color="auto"/>
                                                    <w:left w:val="none" w:sz="0" w:space="0" w:color="auto"/>
                                                    <w:bottom w:val="none" w:sz="0" w:space="0" w:color="auto"/>
                                                    <w:right w:val="none" w:sz="0" w:space="0" w:color="auto"/>
                                                  </w:divBdr>
                                                  <w:divsChild>
                                                    <w:div w:id="988290969">
                                                      <w:marLeft w:val="0"/>
                                                      <w:marRight w:val="0"/>
                                                      <w:marTop w:val="0"/>
                                                      <w:marBottom w:val="0"/>
                                                      <w:divBdr>
                                                        <w:top w:val="none" w:sz="0" w:space="0" w:color="auto"/>
                                                        <w:left w:val="none" w:sz="0" w:space="0" w:color="auto"/>
                                                        <w:bottom w:val="none" w:sz="0" w:space="0" w:color="auto"/>
                                                        <w:right w:val="none" w:sz="0" w:space="0" w:color="auto"/>
                                                      </w:divBdr>
                                                      <w:divsChild>
                                                        <w:div w:id="127821776">
                                                          <w:marLeft w:val="0"/>
                                                          <w:marRight w:val="0"/>
                                                          <w:marTop w:val="0"/>
                                                          <w:marBottom w:val="0"/>
                                                          <w:divBdr>
                                                            <w:top w:val="none" w:sz="0" w:space="0" w:color="auto"/>
                                                            <w:left w:val="none" w:sz="0" w:space="0" w:color="auto"/>
                                                            <w:bottom w:val="none" w:sz="0" w:space="0" w:color="auto"/>
                                                            <w:right w:val="none" w:sz="0" w:space="0" w:color="auto"/>
                                                          </w:divBdr>
                                                          <w:divsChild>
                                                            <w:div w:id="323246687">
                                                              <w:marLeft w:val="0"/>
                                                              <w:marRight w:val="0"/>
                                                              <w:marTop w:val="0"/>
                                                              <w:marBottom w:val="0"/>
                                                              <w:divBdr>
                                                                <w:top w:val="none" w:sz="0" w:space="0" w:color="auto"/>
                                                                <w:left w:val="none" w:sz="0" w:space="0" w:color="auto"/>
                                                                <w:bottom w:val="none" w:sz="0" w:space="0" w:color="auto"/>
                                                                <w:right w:val="none" w:sz="0" w:space="0" w:color="auto"/>
                                                              </w:divBdr>
                                                              <w:divsChild>
                                                                <w:div w:id="1635141270">
                                                                  <w:marLeft w:val="0"/>
                                                                  <w:marRight w:val="0"/>
                                                                  <w:marTop w:val="0"/>
                                                                  <w:marBottom w:val="0"/>
                                                                  <w:divBdr>
                                                                    <w:top w:val="none" w:sz="0" w:space="0" w:color="auto"/>
                                                                    <w:left w:val="none" w:sz="0" w:space="0" w:color="auto"/>
                                                                    <w:bottom w:val="none" w:sz="0" w:space="0" w:color="auto"/>
                                                                    <w:right w:val="none" w:sz="0" w:space="0" w:color="auto"/>
                                                                  </w:divBdr>
                                                                  <w:divsChild>
                                                                    <w:div w:id="1827086918">
                                                                      <w:marLeft w:val="0"/>
                                                                      <w:marRight w:val="0"/>
                                                                      <w:marTop w:val="0"/>
                                                                      <w:marBottom w:val="0"/>
                                                                      <w:divBdr>
                                                                        <w:top w:val="none" w:sz="0" w:space="0" w:color="auto"/>
                                                                        <w:left w:val="none" w:sz="0" w:space="0" w:color="auto"/>
                                                                        <w:bottom w:val="none" w:sz="0" w:space="0" w:color="auto"/>
                                                                        <w:right w:val="none" w:sz="0" w:space="0" w:color="auto"/>
                                                                      </w:divBdr>
                                                                      <w:divsChild>
                                                                        <w:div w:id="988480378">
                                                                          <w:marLeft w:val="0"/>
                                                                          <w:marRight w:val="0"/>
                                                                          <w:marTop w:val="0"/>
                                                                          <w:marBottom w:val="0"/>
                                                                          <w:divBdr>
                                                                            <w:top w:val="none" w:sz="0" w:space="0" w:color="auto"/>
                                                                            <w:left w:val="none" w:sz="0" w:space="0" w:color="auto"/>
                                                                            <w:bottom w:val="none" w:sz="0" w:space="0" w:color="auto"/>
                                                                            <w:right w:val="none" w:sz="0" w:space="0" w:color="auto"/>
                                                                          </w:divBdr>
                                                                          <w:divsChild>
                                                                            <w:div w:id="2102144295">
                                                                              <w:marLeft w:val="0"/>
                                                                              <w:marRight w:val="0"/>
                                                                              <w:marTop w:val="0"/>
                                                                              <w:marBottom w:val="0"/>
                                                                              <w:divBdr>
                                                                                <w:top w:val="none" w:sz="0" w:space="0" w:color="auto"/>
                                                                                <w:left w:val="none" w:sz="0" w:space="0" w:color="auto"/>
                                                                                <w:bottom w:val="none" w:sz="0" w:space="0" w:color="auto"/>
                                                                                <w:right w:val="none" w:sz="0" w:space="0" w:color="auto"/>
                                                                              </w:divBdr>
                                                                              <w:divsChild>
                                                                                <w:div w:id="486284356">
                                                                                  <w:marLeft w:val="0"/>
                                                                                  <w:marRight w:val="0"/>
                                                                                  <w:marTop w:val="0"/>
                                                                                  <w:marBottom w:val="0"/>
                                                                                  <w:divBdr>
                                                                                    <w:top w:val="none" w:sz="0" w:space="0" w:color="auto"/>
                                                                                    <w:left w:val="none" w:sz="0" w:space="0" w:color="auto"/>
                                                                                    <w:bottom w:val="none" w:sz="0" w:space="0" w:color="auto"/>
                                                                                    <w:right w:val="none" w:sz="0" w:space="0" w:color="auto"/>
                                                                                  </w:divBdr>
                                                                                  <w:divsChild>
                                                                                    <w:div w:id="444544201">
                                                                                      <w:marLeft w:val="0"/>
                                                                                      <w:marRight w:val="0"/>
                                                                                      <w:marTop w:val="0"/>
                                                                                      <w:marBottom w:val="0"/>
                                                                                      <w:divBdr>
                                                                                        <w:top w:val="none" w:sz="0" w:space="0" w:color="auto"/>
                                                                                        <w:left w:val="none" w:sz="0" w:space="0" w:color="auto"/>
                                                                                        <w:bottom w:val="none" w:sz="0" w:space="0" w:color="auto"/>
                                                                                        <w:right w:val="none" w:sz="0" w:space="0" w:color="auto"/>
                                                                                      </w:divBdr>
                                                                                      <w:divsChild>
                                                                                        <w:div w:id="2089880000">
                                                                                          <w:marLeft w:val="0"/>
                                                                                          <w:marRight w:val="0"/>
                                                                                          <w:marTop w:val="0"/>
                                                                                          <w:marBottom w:val="0"/>
                                                                                          <w:divBdr>
                                                                                            <w:top w:val="none" w:sz="0" w:space="0" w:color="auto"/>
                                                                                            <w:left w:val="none" w:sz="0" w:space="0" w:color="auto"/>
                                                                                            <w:bottom w:val="none" w:sz="0" w:space="0" w:color="auto"/>
                                                                                            <w:right w:val="none" w:sz="0" w:space="0" w:color="auto"/>
                                                                                          </w:divBdr>
                                                                                          <w:divsChild>
                                                                                            <w:div w:id="14954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retrieveECFR?gp=&amp;SID=009e262506d022d7315707702a3bd921&amp;r=PART&amp;n=pt40.31.716"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USCODE-2011-title15/html/USCODE-2011-title15-chap53-subchapI-sec2607.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egulations.gov_"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s://www.gpo.gov/fdsys/pkg/FR-2018-07-25/pdf/2018-15921.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General"/>
          <w:gallery w:val="placeholder"/>
        </w:category>
        <w:types>
          <w:type w:val="bbPlcHdr"/>
        </w:types>
        <w:behaviors>
          <w:behavior w:val="content"/>
        </w:behaviors>
        <w:guid w:val="{E4E7D91F-375D-4816-8DAB-B91CD88D71CC}"/>
      </w:docPartPr>
      <w:docPartBody>
        <w:p w:rsidR="00365CC5" w:rsidRDefault="009F336F">
          <w:r w:rsidRPr="009B36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P MathA">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36F"/>
    <w:rsid w:val="00365CC5"/>
    <w:rsid w:val="009F3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36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3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EFA9C-59AB-4F83-AC48-C3E89C56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6993</Words>
  <Characters>39863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LinksUpToDate>false</LinksUpToDate>
  <CharactersWithSpaces>46763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
  <cp:keywords/>
  <cp:lastModifiedBy/>
  <cp:revision>1</cp:revision>
  <cp:lastPrinted>2008-11-18T18:56:00Z</cp:lastPrinted>
  <dcterms:created xsi:type="dcterms:W3CDTF">2018-11-27T22:05:00Z</dcterms:created>
  <dcterms:modified xsi:type="dcterms:W3CDTF">2018-11-27T22:05:00Z</dcterms:modified>
</cp:coreProperties>
</file>