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48EAF" w14:textId="77777777" w:rsidR="00D22147" w:rsidRDefault="00D22147" w:rsidP="00B25DE3">
      <w:pPr>
        <w:spacing w:after="0"/>
        <w:jc w:val="center"/>
        <w:rPr>
          <w:b/>
        </w:rPr>
      </w:pPr>
      <w:bookmarkStart w:id="0" w:name="_GoBack"/>
      <w:bookmarkEnd w:id="0"/>
      <w:r>
        <w:rPr>
          <w:b/>
        </w:rPr>
        <w:t>Information Collection Request Supporting Statement: Section A</w:t>
      </w:r>
    </w:p>
    <w:p w14:paraId="6CC2AB0F" w14:textId="77777777" w:rsidR="00E03515" w:rsidRDefault="006345B9" w:rsidP="00B25DE3">
      <w:pPr>
        <w:spacing w:after="0"/>
        <w:ind w:left="720" w:hanging="720"/>
        <w:jc w:val="center"/>
        <w:rPr>
          <w:b/>
        </w:rPr>
      </w:pPr>
      <w:r w:rsidRPr="006345B9">
        <w:rPr>
          <w:b/>
        </w:rPr>
        <w:t>Hazard Perception and Distracted Driving Training Intervention for Teens Evaluation</w:t>
      </w:r>
    </w:p>
    <w:p w14:paraId="03295657" w14:textId="77777777" w:rsidR="003B36EB" w:rsidRDefault="003B36EB" w:rsidP="00B25DE3">
      <w:pPr>
        <w:spacing w:after="0"/>
        <w:ind w:left="720" w:hanging="720"/>
        <w:jc w:val="center"/>
        <w:rPr>
          <w:b/>
        </w:rPr>
      </w:pPr>
    </w:p>
    <w:p w14:paraId="63E1ECB1" w14:textId="2B2ABA08" w:rsidR="006345B9" w:rsidRDefault="00B25DE3" w:rsidP="00B25DE3">
      <w:pPr>
        <w:ind w:right="-360"/>
        <w:rPr>
          <w:color w:val="000000"/>
        </w:rPr>
      </w:pPr>
      <w:r>
        <w:tab/>
      </w:r>
      <w:r w:rsidR="00E35E69" w:rsidRPr="009D1C79">
        <w:t xml:space="preserve">The National Highway Traffic Safety Administration (NHTSA) of the U.S. Department of Transportation (USDOT) is seeking approval from the Office of Management and Budget (OMB) to </w:t>
      </w:r>
      <w:r w:rsidR="00E35E69" w:rsidRPr="003C4C7C">
        <w:rPr>
          <w:color w:val="000000"/>
        </w:rPr>
        <w:t>collect information from</w:t>
      </w:r>
      <w:r w:rsidR="006345B9">
        <w:rPr>
          <w:color w:val="000000"/>
        </w:rPr>
        <w:t xml:space="preserve"> </w:t>
      </w:r>
      <w:r w:rsidR="00C30020">
        <w:rPr>
          <w:color w:val="000000"/>
        </w:rPr>
        <w:t xml:space="preserve">newly-licensed </w:t>
      </w:r>
      <w:r w:rsidR="006345B9" w:rsidRPr="006345B9">
        <w:rPr>
          <w:color w:val="000000"/>
        </w:rPr>
        <w:t>teen drivers to determine (1) their eligibility to participate in</w:t>
      </w:r>
      <w:r w:rsidR="00C30020">
        <w:rPr>
          <w:color w:val="000000"/>
        </w:rPr>
        <w:t xml:space="preserve"> a study to evaluate a </w:t>
      </w:r>
      <w:r w:rsidR="006345B9" w:rsidRPr="006345B9">
        <w:rPr>
          <w:color w:val="000000"/>
        </w:rPr>
        <w:t>training intervention for teens to improve driving safety, called Risk Awareness and Perception Training (RAPT), (2) whether</w:t>
      </w:r>
      <w:r w:rsidR="00A47FB4">
        <w:rPr>
          <w:color w:val="000000"/>
        </w:rPr>
        <w:t>,</w:t>
      </w:r>
      <w:r w:rsidR="006345B9" w:rsidRPr="006345B9">
        <w:rPr>
          <w:color w:val="000000"/>
        </w:rPr>
        <w:t xml:space="preserve"> during the first six months of driving, new drivers who complete the training have fewer crashes or traffic violations on their driving records than comparison group members who receive placebo training, (3) when they do crash, </w:t>
      </w:r>
      <w:r w:rsidR="00A47FB4">
        <w:rPr>
          <w:color w:val="000000"/>
        </w:rPr>
        <w:t>whether</w:t>
      </w:r>
      <w:r w:rsidR="006345B9" w:rsidRPr="006345B9">
        <w:rPr>
          <w:color w:val="000000"/>
        </w:rPr>
        <w:t xml:space="preserve"> there </w:t>
      </w:r>
      <w:r w:rsidR="00A47FB4">
        <w:rPr>
          <w:color w:val="000000"/>
        </w:rPr>
        <w:t xml:space="preserve">is </w:t>
      </w:r>
      <w:r w:rsidR="006345B9" w:rsidRPr="006345B9">
        <w:rPr>
          <w:color w:val="000000"/>
        </w:rPr>
        <w:t xml:space="preserve">a difference in severity and at-fault between drivers taking the training versus those not taking the training, and (4) </w:t>
      </w:r>
      <w:r w:rsidR="00A47FB4">
        <w:rPr>
          <w:color w:val="000000"/>
        </w:rPr>
        <w:t>whether</w:t>
      </w:r>
      <w:r w:rsidR="006345B9" w:rsidRPr="006345B9">
        <w:rPr>
          <w:color w:val="000000"/>
        </w:rPr>
        <w:t xml:space="preserve"> there</w:t>
      </w:r>
      <w:r w:rsidR="00A47FB4">
        <w:rPr>
          <w:color w:val="000000"/>
        </w:rPr>
        <w:t xml:space="preserve"> is</w:t>
      </w:r>
      <w:r w:rsidR="006345B9" w:rsidRPr="006345B9">
        <w:rPr>
          <w:color w:val="000000"/>
        </w:rPr>
        <w:t xml:space="preserve"> an interaction between sex and training group as meas</w:t>
      </w:r>
      <w:r w:rsidR="006345B9">
        <w:rPr>
          <w:color w:val="000000"/>
        </w:rPr>
        <w:t xml:space="preserve">ured by </w:t>
      </w:r>
      <w:r w:rsidR="00CC7BA2">
        <w:rPr>
          <w:color w:val="000000"/>
        </w:rPr>
        <w:t xml:space="preserve">exposure, </w:t>
      </w:r>
      <w:r w:rsidR="006345B9">
        <w:rPr>
          <w:color w:val="000000"/>
        </w:rPr>
        <w:t>crashes</w:t>
      </w:r>
      <w:r w:rsidR="00CC7BA2">
        <w:rPr>
          <w:color w:val="000000"/>
        </w:rPr>
        <w:t>,</w:t>
      </w:r>
      <w:r w:rsidR="00C30020">
        <w:rPr>
          <w:color w:val="000000"/>
        </w:rPr>
        <w:t xml:space="preserve"> or crash characteristics</w:t>
      </w:r>
      <w:r w:rsidR="006345B9">
        <w:rPr>
          <w:color w:val="000000"/>
        </w:rPr>
        <w:t xml:space="preserve">. </w:t>
      </w:r>
    </w:p>
    <w:p w14:paraId="6D423F22" w14:textId="70D8E672" w:rsidR="006345B9" w:rsidRPr="006345B9" w:rsidRDefault="006345B9" w:rsidP="006345B9">
      <w:pPr>
        <w:pStyle w:val="Default"/>
        <w:ind w:firstLine="720"/>
        <w:rPr>
          <w:rFonts w:ascii="Times New Roman" w:hAnsi="Times New Roman" w:cs="Times New Roman"/>
          <w:bCs/>
          <w:lang w:bidi="en-US"/>
        </w:rPr>
      </w:pPr>
      <w:r w:rsidRPr="006345B9">
        <w:rPr>
          <w:rFonts w:ascii="Times New Roman" w:hAnsi="Times New Roman" w:cs="Times New Roman"/>
          <w:bCs/>
          <w:lang w:bidi="en-US"/>
        </w:rPr>
        <w:t xml:space="preserve">Previous evaluation studies of RAPT have shown promise </w:t>
      </w:r>
      <w:r w:rsidR="00C30020">
        <w:rPr>
          <w:rFonts w:ascii="Times New Roman" w:hAnsi="Times New Roman" w:cs="Times New Roman"/>
          <w:bCs/>
          <w:lang w:bidi="en-US"/>
        </w:rPr>
        <w:t>for improving the safety of teen drivers</w:t>
      </w:r>
      <w:r w:rsidRPr="006345B9">
        <w:rPr>
          <w:rFonts w:ascii="Times New Roman" w:hAnsi="Times New Roman" w:cs="Times New Roman"/>
          <w:bCs/>
          <w:lang w:bidi="en-US"/>
        </w:rPr>
        <w:t>. In particular, RAPT has been shown to improve hazard detection on a driving simulator</w:t>
      </w:r>
      <w:r>
        <w:rPr>
          <w:rFonts w:ascii="Times New Roman" w:hAnsi="Times New Roman" w:cs="Times New Roman"/>
          <w:bCs/>
          <w:lang w:bidi="en-US"/>
        </w:rPr>
        <w:t xml:space="preserve"> (</w:t>
      </w:r>
      <w:r w:rsidR="003B6302">
        <w:rPr>
          <w:rFonts w:ascii="Times New Roman" w:hAnsi="Times New Roman" w:cs="Times New Roman"/>
          <w:bCs/>
          <w:lang w:bidi="en-US"/>
        </w:rPr>
        <w:t xml:space="preserve">Report No. </w:t>
      </w:r>
      <w:r w:rsidRPr="006345B9">
        <w:rPr>
          <w:rFonts w:ascii="Times New Roman" w:hAnsi="Times New Roman" w:cs="Times New Roman"/>
          <w:bCs/>
          <w:lang w:bidi="en-US"/>
        </w:rPr>
        <w:t>DOT HS 812 379</w:t>
      </w:r>
      <w:r>
        <w:rPr>
          <w:rFonts w:ascii="Times New Roman" w:hAnsi="Times New Roman" w:cs="Times New Roman"/>
          <w:bCs/>
          <w:lang w:bidi="en-US"/>
        </w:rPr>
        <w:t>)</w:t>
      </w:r>
      <w:r w:rsidRPr="006345B9">
        <w:rPr>
          <w:rFonts w:ascii="Times New Roman" w:hAnsi="Times New Roman" w:cs="Times New Roman"/>
          <w:bCs/>
          <w:lang w:bidi="en-US"/>
        </w:rPr>
        <w:t xml:space="preserve"> and, more importantly, on-road</w:t>
      </w:r>
      <w:r>
        <w:rPr>
          <w:rFonts w:ascii="Times New Roman" w:hAnsi="Times New Roman" w:cs="Times New Roman"/>
          <w:bCs/>
          <w:lang w:bidi="en-US"/>
        </w:rPr>
        <w:t xml:space="preserve"> (</w:t>
      </w:r>
      <w:r w:rsidRPr="006345B9">
        <w:rPr>
          <w:rFonts w:ascii="Times New Roman" w:hAnsi="Times New Roman" w:cs="Times New Roman"/>
          <w:bCs/>
          <w:lang w:bidi="en-US"/>
        </w:rPr>
        <w:t>Report No. DOT HS 812 235</w:t>
      </w:r>
      <w:r>
        <w:rPr>
          <w:rFonts w:ascii="Times New Roman" w:hAnsi="Times New Roman" w:cs="Times New Roman"/>
          <w:bCs/>
          <w:lang w:bidi="en-US"/>
        </w:rPr>
        <w:t>)</w:t>
      </w:r>
      <w:r w:rsidR="00C30020">
        <w:rPr>
          <w:rFonts w:ascii="Times New Roman" w:hAnsi="Times New Roman" w:cs="Times New Roman"/>
          <w:bCs/>
          <w:lang w:bidi="en-US"/>
        </w:rPr>
        <w:t>. The on-road</w:t>
      </w:r>
      <w:r w:rsidRPr="006345B9">
        <w:rPr>
          <w:rFonts w:ascii="Times New Roman" w:hAnsi="Times New Roman" w:cs="Times New Roman"/>
          <w:bCs/>
          <w:lang w:bidi="en-US"/>
        </w:rPr>
        <w:t xml:space="preserve"> evaluation of the effects of RAPT on teen crashes, however, produced mixed results</w:t>
      </w:r>
      <w:r>
        <w:rPr>
          <w:rFonts w:ascii="Times New Roman" w:hAnsi="Times New Roman" w:cs="Times New Roman"/>
          <w:bCs/>
          <w:lang w:bidi="en-US"/>
        </w:rPr>
        <w:t xml:space="preserve"> (</w:t>
      </w:r>
      <w:r w:rsidRPr="006345B9">
        <w:rPr>
          <w:rFonts w:ascii="Times New Roman" w:hAnsi="Times New Roman" w:cs="Times New Roman"/>
          <w:bCs/>
          <w:lang w:bidi="en-US"/>
        </w:rPr>
        <w:t>Report No. DOT HS 812 235</w:t>
      </w:r>
      <w:r>
        <w:rPr>
          <w:rFonts w:ascii="Times New Roman" w:hAnsi="Times New Roman" w:cs="Times New Roman"/>
          <w:bCs/>
          <w:lang w:bidi="en-US"/>
        </w:rPr>
        <w:t>)</w:t>
      </w:r>
      <w:r w:rsidRPr="006345B9">
        <w:rPr>
          <w:rFonts w:ascii="Times New Roman" w:hAnsi="Times New Roman" w:cs="Times New Roman"/>
          <w:bCs/>
          <w:lang w:bidi="en-US"/>
        </w:rPr>
        <w:t>. Crash analys</w:t>
      </w:r>
      <w:r w:rsidR="00C30020">
        <w:rPr>
          <w:rFonts w:ascii="Times New Roman" w:hAnsi="Times New Roman" w:cs="Times New Roman"/>
          <w:bCs/>
          <w:lang w:bidi="en-US"/>
        </w:rPr>
        <w:t xml:space="preserve">es did not show an overall </w:t>
      </w:r>
      <w:r w:rsidRPr="006345B9">
        <w:rPr>
          <w:rFonts w:ascii="Times New Roman" w:hAnsi="Times New Roman" w:cs="Times New Roman"/>
          <w:bCs/>
          <w:lang w:bidi="en-US"/>
        </w:rPr>
        <w:t>effect of the program</w:t>
      </w:r>
      <w:r w:rsidR="00A47FB4">
        <w:rPr>
          <w:rFonts w:ascii="Times New Roman" w:hAnsi="Times New Roman" w:cs="Times New Roman"/>
          <w:bCs/>
          <w:lang w:bidi="en-US"/>
        </w:rPr>
        <w:t>,</w:t>
      </w:r>
      <w:r w:rsidRPr="006345B9">
        <w:rPr>
          <w:rFonts w:ascii="Times New Roman" w:hAnsi="Times New Roman" w:cs="Times New Roman"/>
          <w:bCs/>
          <w:lang w:bidi="en-US"/>
        </w:rPr>
        <w:t xml:space="preserve"> bu</w:t>
      </w:r>
      <w:r w:rsidR="00C30020">
        <w:rPr>
          <w:rFonts w:ascii="Times New Roman" w:hAnsi="Times New Roman" w:cs="Times New Roman"/>
          <w:bCs/>
          <w:lang w:bidi="en-US"/>
        </w:rPr>
        <w:t>t there was a significant improvement in safety</w:t>
      </w:r>
      <w:r w:rsidRPr="006345B9">
        <w:rPr>
          <w:rFonts w:ascii="Times New Roman" w:hAnsi="Times New Roman" w:cs="Times New Roman"/>
          <w:bCs/>
          <w:lang w:bidi="en-US"/>
        </w:rPr>
        <w:t xml:space="preserve"> for males. Trained males had a 24% lower crash rate relative to the male comparison group. </w:t>
      </w:r>
      <w:r w:rsidR="00586E68">
        <w:rPr>
          <w:rFonts w:ascii="Times New Roman" w:hAnsi="Times New Roman" w:cs="Times New Roman"/>
          <w:bCs/>
          <w:lang w:bidi="en-US"/>
        </w:rPr>
        <w:t xml:space="preserve">There was no significant effect of training </w:t>
      </w:r>
      <w:r w:rsidR="00C30020">
        <w:rPr>
          <w:rFonts w:ascii="Times New Roman" w:hAnsi="Times New Roman" w:cs="Times New Roman"/>
          <w:bCs/>
          <w:lang w:bidi="en-US"/>
        </w:rPr>
        <w:t xml:space="preserve">on safety </w:t>
      </w:r>
      <w:r w:rsidR="00586E68">
        <w:rPr>
          <w:rFonts w:ascii="Times New Roman" w:hAnsi="Times New Roman" w:cs="Times New Roman"/>
          <w:bCs/>
          <w:lang w:bidi="en-US"/>
        </w:rPr>
        <w:t>f</w:t>
      </w:r>
      <w:r w:rsidR="00586E68" w:rsidRPr="006345B9">
        <w:rPr>
          <w:rFonts w:ascii="Times New Roman" w:hAnsi="Times New Roman" w:cs="Times New Roman"/>
          <w:bCs/>
          <w:lang w:bidi="en-US"/>
        </w:rPr>
        <w:t xml:space="preserve">or </w:t>
      </w:r>
      <w:r w:rsidRPr="006345B9">
        <w:rPr>
          <w:rFonts w:ascii="Times New Roman" w:hAnsi="Times New Roman" w:cs="Times New Roman"/>
          <w:bCs/>
          <w:lang w:bidi="en-US"/>
        </w:rPr>
        <w:t>females. While</w:t>
      </w:r>
      <w:r w:rsidR="00227C89">
        <w:rPr>
          <w:rFonts w:ascii="Times New Roman" w:hAnsi="Times New Roman" w:cs="Times New Roman"/>
          <w:bCs/>
          <w:lang w:bidi="en-US"/>
        </w:rPr>
        <w:t xml:space="preserve"> the results from this</w:t>
      </w:r>
      <w:r w:rsidRPr="006345B9">
        <w:rPr>
          <w:rFonts w:ascii="Times New Roman" w:hAnsi="Times New Roman" w:cs="Times New Roman"/>
          <w:bCs/>
          <w:lang w:bidi="en-US"/>
        </w:rPr>
        <w:t xml:space="preserve"> study were encouraging, promotion of this intervention require</w:t>
      </w:r>
      <w:r w:rsidR="00586E68">
        <w:rPr>
          <w:rFonts w:ascii="Times New Roman" w:hAnsi="Times New Roman" w:cs="Times New Roman"/>
          <w:bCs/>
          <w:lang w:bidi="en-US"/>
        </w:rPr>
        <w:t>s</w:t>
      </w:r>
      <w:r w:rsidRPr="006345B9">
        <w:rPr>
          <w:rFonts w:ascii="Times New Roman" w:hAnsi="Times New Roman" w:cs="Times New Roman"/>
          <w:bCs/>
          <w:lang w:bidi="en-US"/>
        </w:rPr>
        <w:t xml:space="preserve"> additional evidence</w:t>
      </w:r>
      <w:r w:rsidR="00586E68">
        <w:rPr>
          <w:rFonts w:ascii="Times New Roman" w:hAnsi="Times New Roman" w:cs="Times New Roman"/>
          <w:bCs/>
          <w:lang w:bidi="en-US"/>
        </w:rPr>
        <w:t xml:space="preserve"> of its effectiveness in reducing teen driver crashes</w:t>
      </w:r>
      <w:r w:rsidRPr="006345B9">
        <w:rPr>
          <w:rFonts w:ascii="Times New Roman" w:hAnsi="Times New Roman" w:cs="Times New Roman"/>
          <w:bCs/>
          <w:lang w:bidi="en-US"/>
        </w:rPr>
        <w:t xml:space="preserve">. </w:t>
      </w:r>
    </w:p>
    <w:p w14:paraId="217CDD5C" w14:textId="2C055F8A" w:rsidR="006F736C" w:rsidRPr="004B447F" w:rsidRDefault="003C6D62" w:rsidP="004B447F">
      <w:pPr>
        <w:pStyle w:val="Default"/>
        <w:ind w:firstLine="720"/>
        <w:rPr>
          <w:rFonts w:ascii="Times New Roman" w:hAnsi="Times New Roman" w:cs="Times New Roman"/>
        </w:rPr>
      </w:pPr>
      <w:r w:rsidRPr="004B447F">
        <w:rPr>
          <w:rFonts w:ascii="Times New Roman" w:hAnsi="Times New Roman" w:cs="Times New Roman"/>
          <w:bCs/>
          <w:lang w:bidi="en-US"/>
        </w:rPr>
        <w:t xml:space="preserve">Following efforts to refine and streamline the training protocol, </w:t>
      </w:r>
      <w:r w:rsidR="006345B9">
        <w:rPr>
          <w:rFonts w:ascii="Times New Roman" w:hAnsi="Times New Roman" w:cs="Times New Roman"/>
          <w:bCs/>
          <w:lang w:bidi="en-US"/>
        </w:rPr>
        <w:t>a larger sample of teen</w:t>
      </w:r>
      <w:r w:rsidRPr="004B447F">
        <w:rPr>
          <w:rFonts w:ascii="Times New Roman" w:hAnsi="Times New Roman" w:cs="Times New Roman"/>
          <w:bCs/>
          <w:lang w:bidi="en-US"/>
        </w:rPr>
        <w:t xml:space="preserve"> drivers will receive the updated training program. Th</w:t>
      </w:r>
      <w:r w:rsidR="001F33AC" w:rsidRPr="004B447F">
        <w:rPr>
          <w:rFonts w:ascii="Times New Roman" w:hAnsi="Times New Roman" w:cs="Times New Roman"/>
          <w:bCs/>
          <w:lang w:bidi="en-US"/>
        </w:rPr>
        <w:t>is</w:t>
      </w:r>
      <w:r w:rsidRPr="004B447F">
        <w:rPr>
          <w:rFonts w:ascii="Times New Roman" w:hAnsi="Times New Roman" w:cs="Times New Roman"/>
          <w:bCs/>
          <w:lang w:bidi="en-US"/>
        </w:rPr>
        <w:t xml:space="preserve"> study will measure effectiveness of the training by c</w:t>
      </w:r>
      <w:r w:rsidR="006345B9">
        <w:rPr>
          <w:rFonts w:ascii="Times New Roman" w:hAnsi="Times New Roman" w:cs="Times New Roman"/>
          <w:bCs/>
          <w:lang w:bidi="en-US"/>
        </w:rPr>
        <w:t xml:space="preserve">omparison of teens receiving the training </w:t>
      </w:r>
      <w:r w:rsidR="003D55DC">
        <w:rPr>
          <w:rFonts w:ascii="Times New Roman" w:hAnsi="Times New Roman" w:cs="Times New Roman"/>
          <w:bCs/>
          <w:lang w:bidi="en-US"/>
        </w:rPr>
        <w:t>to those receiving placebo training</w:t>
      </w:r>
      <w:r w:rsidR="006345B9">
        <w:rPr>
          <w:rFonts w:ascii="Times New Roman" w:hAnsi="Times New Roman" w:cs="Times New Roman"/>
          <w:bCs/>
          <w:lang w:bidi="en-US"/>
        </w:rPr>
        <w:t xml:space="preserve"> to answer the three research questions listed above.</w:t>
      </w:r>
      <w:r w:rsidRPr="004B447F">
        <w:rPr>
          <w:rFonts w:ascii="Times New Roman" w:hAnsi="Times New Roman" w:cs="Times New Roman"/>
          <w:bCs/>
          <w:lang w:bidi="en-US"/>
        </w:rPr>
        <w:t xml:space="preserve"> </w:t>
      </w:r>
    </w:p>
    <w:p w14:paraId="4E44DC60" w14:textId="77777777" w:rsidR="00DC1955" w:rsidRDefault="00DC1955" w:rsidP="000E0FDD">
      <w:bookmarkStart w:id="1" w:name="_Toc125278813"/>
      <w:bookmarkStart w:id="2" w:name="_Toc125341734"/>
      <w:bookmarkStart w:id="3" w:name="_Toc125447292"/>
      <w:bookmarkStart w:id="4" w:name="_Toc126394120"/>
    </w:p>
    <w:p w14:paraId="42C7336E" w14:textId="2467A250" w:rsidR="00C800ED" w:rsidRPr="00B25DE3" w:rsidRDefault="004F29DA" w:rsidP="00B25DE3">
      <w:pPr>
        <w:pStyle w:val="Heading2"/>
        <w:ind w:right="-360"/>
        <w:rPr>
          <w:b/>
          <w:u w:val="none"/>
        </w:rPr>
      </w:pPr>
      <w:r>
        <w:rPr>
          <w:b/>
          <w:u w:val="none"/>
        </w:rPr>
        <w:t xml:space="preserve">A.1. </w:t>
      </w:r>
      <w:r w:rsidR="00C800ED" w:rsidRPr="00672019">
        <w:rPr>
          <w:b/>
          <w:u w:val="none"/>
        </w:rPr>
        <w:t>Explain the circumstances that make the collection of information necessary.</w:t>
      </w:r>
      <w:bookmarkEnd w:id="1"/>
      <w:bookmarkEnd w:id="2"/>
      <w:r w:rsidR="00C800ED" w:rsidRPr="00672019">
        <w:rPr>
          <w:b/>
          <w:u w:val="none"/>
        </w:rPr>
        <w:t xml:space="preserve"> Identify any </w:t>
      </w:r>
      <w:r w:rsidR="00E35E69">
        <w:rPr>
          <w:b/>
          <w:u w:val="none"/>
        </w:rPr>
        <w:t>l</w:t>
      </w:r>
      <w:r w:rsidR="00C800ED" w:rsidRPr="00672019">
        <w:rPr>
          <w:b/>
          <w:u w:val="none"/>
        </w:rPr>
        <w:t xml:space="preserve">egal or administrative requirements that necessitate the collection. </w:t>
      </w:r>
      <w:bookmarkStart w:id="5" w:name="_Toc125341735"/>
      <w:bookmarkEnd w:id="3"/>
      <w:bookmarkEnd w:id="4"/>
    </w:p>
    <w:p w14:paraId="6F0CD3A8" w14:textId="77777777" w:rsidR="004F29DA" w:rsidRDefault="00C800ED" w:rsidP="00D63B4F">
      <w:pPr>
        <w:pStyle w:val="Heading3"/>
        <w:numPr>
          <w:ilvl w:val="0"/>
          <w:numId w:val="0"/>
        </w:numPr>
        <w:ind w:right="-360"/>
        <w:rPr>
          <w:b/>
          <w:i/>
          <w:u w:val="none"/>
        </w:rPr>
      </w:pPr>
      <w:bookmarkStart w:id="6" w:name="_Toc125447293"/>
      <w:bookmarkStart w:id="7" w:name="_Toc126394121"/>
      <w:r w:rsidRPr="00672019">
        <w:rPr>
          <w:b/>
          <w:i/>
          <w:u w:val="none"/>
        </w:rPr>
        <w:t xml:space="preserve">a. Circumstances making the collection </w:t>
      </w:r>
      <w:bookmarkEnd w:id="5"/>
      <w:r w:rsidRPr="00672019">
        <w:rPr>
          <w:b/>
          <w:i/>
          <w:u w:val="none"/>
        </w:rPr>
        <w:t>necessary</w:t>
      </w:r>
      <w:bookmarkEnd w:id="6"/>
      <w:bookmarkEnd w:id="7"/>
    </w:p>
    <w:p w14:paraId="5A20C5EC" w14:textId="6517B100" w:rsidR="001F33AC" w:rsidRPr="00B377F6" w:rsidRDefault="001F33AC" w:rsidP="001F33AC">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Cs/>
          <w:lang w:bidi="en-US"/>
        </w:rPr>
      </w:pPr>
      <w:r w:rsidRPr="00444AF2">
        <w:rPr>
          <w:color w:val="000000"/>
        </w:rPr>
        <w:t>NHTSA was established to reduce the number of deaths, injuries, and economic losses resulting from motor vehicle crashes on the Nation's highway</w:t>
      </w:r>
      <w:r w:rsidRPr="00B377F6">
        <w:rPr>
          <w:color w:val="000000"/>
        </w:rPr>
        <w:t>s. As part of this statutory mandate, NHTSA is authorized to conduct research as a foundation for the development of traffic safety programs.</w:t>
      </w:r>
      <w:r>
        <w:rPr>
          <w:color w:val="000000"/>
        </w:rPr>
        <w:t xml:space="preserve"> </w:t>
      </w:r>
      <w:r w:rsidR="006345B9" w:rsidRPr="006345B9">
        <w:rPr>
          <w:color w:val="000000"/>
        </w:rPr>
        <w:t>Teens comprise an important proportion of the licensed population, and exposure-based analyses of crash risk have consistently shown teens have an elevated crash risk. Further, crash risk studies have identified that the lack of skills among teen drivers, notably</w:t>
      </w:r>
      <w:r w:rsidR="008F21D1">
        <w:rPr>
          <w:color w:val="000000"/>
        </w:rPr>
        <w:t>,</w:t>
      </w:r>
      <w:r w:rsidR="006345B9" w:rsidRPr="006345B9">
        <w:rPr>
          <w:color w:val="000000"/>
        </w:rPr>
        <w:t xml:space="preserve"> poor hazard awareness skills</w:t>
      </w:r>
      <w:r w:rsidR="008F21D1">
        <w:rPr>
          <w:color w:val="000000"/>
        </w:rPr>
        <w:t>—</w:t>
      </w:r>
      <w:r w:rsidR="006345B9" w:rsidRPr="006345B9">
        <w:rPr>
          <w:color w:val="000000"/>
        </w:rPr>
        <w:t>i.e., teen drivers often fail to identify unexpected hazards on the road</w:t>
      </w:r>
      <w:r w:rsidR="008F21D1">
        <w:rPr>
          <w:color w:val="000000"/>
        </w:rPr>
        <w:t>—</w:t>
      </w:r>
      <w:r w:rsidR="006345B9" w:rsidRPr="006345B9">
        <w:rPr>
          <w:color w:val="000000"/>
        </w:rPr>
        <w:t>is one of the reasons why teen driver crash rates are so high.</w:t>
      </w:r>
      <w:r w:rsidR="006345B9">
        <w:rPr>
          <w:color w:val="000000"/>
        </w:rPr>
        <w:t xml:space="preserve"> </w:t>
      </w:r>
      <w:r>
        <w:rPr>
          <w:bCs/>
          <w:lang w:bidi="en-US"/>
        </w:rPr>
        <w:t>The purpose of this information co</w:t>
      </w:r>
      <w:r w:rsidR="000B7949">
        <w:rPr>
          <w:bCs/>
          <w:lang w:bidi="en-US"/>
        </w:rPr>
        <w:t xml:space="preserve">llection </w:t>
      </w:r>
      <w:r>
        <w:rPr>
          <w:bCs/>
          <w:lang w:bidi="en-US"/>
        </w:rPr>
        <w:t xml:space="preserve">is to </w:t>
      </w:r>
      <w:r w:rsidR="00586E68">
        <w:rPr>
          <w:bCs/>
          <w:lang w:bidi="en-US"/>
        </w:rPr>
        <w:t xml:space="preserve">evaluate </w:t>
      </w:r>
      <w:r>
        <w:rPr>
          <w:bCs/>
          <w:lang w:bidi="en-US"/>
        </w:rPr>
        <w:t xml:space="preserve">the effect of </w:t>
      </w:r>
      <w:r w:rsidR="006345B9">
        <w:rPr>
          <w:bCs/>
          <w:lang w:bidi="en-US"/>
        </w:rPr>
        <w:t xml:space="preserve">hazard perception training of teens </w:t>
      </w:r>
      <w:r w:rsidRPr="003C6D62">
        <w:rPr>
          <w:bCs/>
          <w:lang w:bidi="en-US"/>
        </w:rPr>
        <w:t>on safe driving abilities</w:t>
      </w:r>
      <w:r w:rsidR="00586E68">
        <w:rPr>
          <w:bCs/>
          <w:lang w:bidi="en-US"/>
        </w:rPr>
        <w:t xml:space="preserve"> to determine whether such training is effective in</w:t>
      </w:r>
      <w:r w:rsidR="006345B9">
        <w:rPr>
          <w:bCs/>
          <w:lang w:bidi="en-US"/>
        </w:rPr>
        <w:t xml:space="preserve"> </w:t>
      </w:r>
      <w:r w:rsidR="00586E68">
        <w:rPr>
          <w:bCs/>
          <w:lang w:bidi="en-US"/>
        </w:rPr>
        <w:t xml:space="preserve">reducing </w:t>
      </w:r>
      <w:r w:rsidR="006345B9">
        <w:rPr>
          <w:bCs/>
          <w:lang w:bidi="en-US"/>
        </w:rPr>
        <w:t>crashes involving teen</w:t>
      </w:r>
      <w:r w:rsidR="00D22147">
        <w:rPr>
          <w:bCs/>
          <w:lang w:bidi="en-US"/>
        </w:rPr>
        <w:t xml:space="preserve"> drivers</w:t>
      </w:r>
      <w:r w:rsidRPr="003C6D62">
        <w:rPr>
          <w:bCs/>
          <w:lang w:bidi="en-US"/>
        </w:rPr>
        <w:t>.</w:t>
      </w:r>
    </w:p>
    <w:p w14:paraId="3655CC2C" w14:textId="77777777" w:rsidR="00C800ED" w:rsidRPr="00672019" w:rsidRDefault="00C800ED" w:rsidP="00D63B4F">
      <w:pPr>
        <w:pStyle w:val="Heading3"/>
        <w:numPr>
          <w:ilvl w:val="0"/>
          <w:numId w:val="0"/>
        </w:numPr>
        <w:ind w:right="-360"/>
        <w:rPr>
          <w:b/>
          <w:i/>
          <w:u w:val="none"/>
        </w:rPr>
      </w:pPr>
      <w:bookmarkStart w:id="8" w:name="_Toc125341736"/>
      <w:bookmarkStart w:id="9" w:name="_Toc125447294"/>
      <w:bookmarkStart w:id="10" w:name="_Toc126394122"/>
      <w:r w:rsidRPr="00672019">
        <w:rPr>
          <w:b/>
          <w:i/>
          <w:u w:val="none"/>
        </w:rPr>
        <w:t>b. Statute authorizing the collection of information</w:t>
      </w:r>
      <w:bookmarkEnd w:id="8"/>
      <w:bookmarkEnd w:id="9"/>
      <w:bookmarkEnd w:id="10"/>
    </w:p>
    <w:p w14:paraId="14867ADF" w14:textId="60BE0CB0" w:rsidR="00FC1FA6" w:rsidRPr="006504D5" w:rsidRDefault="00900963" w:rsidP="00D63B4F">
      <w:pPr>
        <w:ind w:right="-360"/>
        <w:rPr>
          <w:bCs/>
        </w:rPr>
      </w:pPr>
      <w:r>
        <w:tab/>
      </w:r>
      <w:r w:rsidR="00696AAE" w:rsidRPr="0029554E">
        <w:rPr>
          <w:b/>
          <w:bCs/>
        </w:rPr>
        <w:t xml:space="preserve">Title 23, United States Code, Chapter 4, Section 403 </w:t>
      </w:r>
      <w:r w:rsidR="00E35E69">
        <w:t xml:space="preserve">authorizes </w:t>
      </w:r>
      <w:r w:rsidR="00FC1FA6">
        <w:t xml:space="preserve">the Secretary </w:t>
      </w:r>
      <w:r w:rsidR="00E35E69">
        <w:t>of Transportation</w:t>
      </w:r>
      <w:r w:rsidR="00FC1FA6">
        <w:t xml:space="preserve"> to conduct research and development activities, including demonstration projects and </w:t>
      </w:r>
      <w:r w:rsidR="00FC1FA6">
        <w:lastRenderedPageBreak/>
        <w:t>the collection and analysis of highway and motor vehicle safety data and related information needed to carry out this section, with respect to all aspects of highway and traffic safety syste</w:t>
      </w:r>
      <w:r w:rsidR="0021479F">
        <w:t>ms and conditions relating to—</w:t>
      </w:r>
      <w:r w:rsidR="00FC1FA6">
        <w:t xml:space="preserve">vehicle, highway, driver, passenger, motorcyclist, bicyclist, </w:t>
      </w:r>
      <w:r w:rsidR="00F7330E">
        <w:t>and pedestrian characteristics;</w:t>
      </w:r>
      <w:r w:rsidR="00FC1FA6">
        <w:t xml:space="preserve"> accident causation and investigations; and human behavioral factors and their effect on highway and traffic safety</w:t>
      </w:r>
      <w:r w:rsidR="00F7330E">
        <w:t>, including distracted driving.</w:t>
      </w:r>
      <w:r w:rsidR="00FC1FA6">
        <w:t xml:space="preserve"> [See 23 U.S.C. 403(b)(1)(A)(i), 23 U.S.C. 403(b)(1)(A)(ii), 23 U.S.C. 403(b)(1)(B)(iii)].</w:t>
      </w:r>
    </w:p>
    <w:p w14:paraId="06246A0C" w14:textId="77777777" w:rsidR="00900963" w:rsidRPr="00B25DE3" w:rsidRDefault="00900963" w:rsidP="00B25DE3"/>
    <w:p w14:paraId="3E050834" w14:textId="77777777" w:rsidR="00C800ED" w:rsidRPr="00672019" w:rsidRDefault="00C800ED" w:rsidP="00D63B4F">
      <w:pPr>
        <w:pStyle w:val="Heading2"/>
        <w:ind w:left="720" w:right="-360" w:hanging="720"/>
        <w:rPr>
          <w:b/>
          <w:u w:val="none"/>
        </w:rPr>
      </w:pPr>
      <w:bookmarkStart w:id="11" w:name="_Toc125278814"/>
      <w:bookmarkStart w:id="12" w:name="_Toc125341737"/>
      <w:bookmarkStart w:id="13" w:name="_Toc125447295"/>
      <w:bookmarkStart w:id="14" w:name="_Toc126394123"/>
      <w:r w:rsidRPr="00672019">
        <w:rPr>
          <w:b/>
          <w:u w:val="none"/>
        </w:rPr>
        <w:t xml:space="preserve">A.2. </w:t>
      </w:r>
      <w:r w:rsidRPr="00672019">
        <w:rPr>
          <w:b/>
          <w:u w:val="none"/>
        </w:rPr>
        <w:tab/>
        <w:t>Indicate how, by whom, and for what purpose the information is to be used.</w:t>
      </w:r>
      <w:bookmarkEnd w:id="11"/>
      <w:bookmarkEnd w:id="12"/>
      <w:r w:rsidRPr="00672019">
        <w:rPr>
          <w:b/>
          <w:u w:val="none"/>
        </w:rPr>
        <w:t xml:space="preserve"> Except for a new collection, indicate the actual use the agency has made of the information received from the current collection.</w:t>
      </w:r>
      <w:bookmarkEnd w:id="13"/>
      <w:bookmarkEnd w:id="14"/>
    </w:p>
    <w:p w14:paraId="6218956B" w14:textId="2BF96889" w:rsidR="007F0D87" w:rsidRPr="003C4C7C" w:rsidRDefault="006345B9" w:rsidP="00055C16">
      <w:pPr>
        <w:ind w:right="-360" w:firstLine="720"/>
        <w:rPr>
          <w:color w:val="000000"/>
        </w:rPr>
      </w:pPr>
      <w:r>
        <w:rPr>
          <w:color w:val="000000"/>
        </w:rPr>
        <w:t>The Traffic Injury Research Foundation (TIRF)</w:t>
      </w:r>
      <w:r w:rsidR="00CA6631">
        <w:rPr>
          <w:color w:val="000000"/>
        </w:rPr>
        <w:t xml:space="preserve"> will conduct this study under </w:t>
      </w:r>
      <w:r w:rsidR="00B823CA">
        <w:rPr>
          <w:color w:val="000000"/>
        </w:rPr>
        <w:t xml:space="preserve">a task order on </w:t>
      </w:r>
      <w:r w:rsidR="00CA6631">
        <w:rPr>
          <w:color w:val="000000"/>
        </w:rPr>
        <w:t xml:space="preserve">an Indefinite Delivery, Indefinite Quantity contract with NHTSA. </w:t>
      </w:r>
      <w:r w:rsidR="002A273D" w:rsidRPr="002A273D">
        <w:rPr>
          <w:color w:val="000000"/>
        </w:rPr>
        <w:t>Study participation will be voluntary and solicited through</w:t>
      </w:r>
      <w:r>
        <w:rPr>
          <w:color w:val="000000"/>
        </w:rPr>
        <w:t xml:space="preserve"> a brief letter </w:t>
      </w:r>
      <w:r w:rsidR="00C30020">
        <w:rPr>
          <w:color w:val="000000"/>
        </w:rPr>
        <w:t xml:space="preserve">(NHTSA Form 1454) </w:t>
      </w:r>
      <w:r w:rsidR="006678A6">
        <w:rPr>
          <w:color w:val="000000"/>
        </w:rPr>
        <w:t xml:space="preserve">given </w:t>
      </w:r>
      <w:r>
        <w:rPr>
          <w:color w:val="000000"/>
        </w:rPr>
        <w:t xml:space="preserve">to teens and their parents at local </w:t>
      </w:r>
      <w:r w:rsidR="00C30020">
        <w:rPr>
          <w:color w:val="000000"/>
        </w:rPr>
        <w:t>Department of Motor Vehicle offices (</w:t>
      </w:r>
      <w:r>
        <w:rPr>
          <w:color w:val="000000"/>
        </w:rPr>
        <w:t>DMVs</w:t>
      </w:r>
      <w:r w:rsidR="00C30020">
        <w:rPr>
          <w:color w:val="000000"/>
        </w:rPr>
        <w:t>)</w:t>
      </w:r>
      <w:r>
        <w:rPr>
          <w:color w:val="000000"/>
        </w:rPr>
        <w:t xml:space="preserve"> </w:t>
      </w:r>
      <w:r w:rsidR="00C30020">
        <w:rPr>
          <w:color w:val="000000"/>
        </w:rPr>
        <w:t>after passing the on-road driving test required to obtain a new license</w:t>
      </w:r>
      <w:r w:rsidR="00322B9F">
        <w:rPr>
          <w:color w:val="000000"/>
        </w:rPr>
        <w:t>.</w:t>
      </w:r>
      <w:r w:rsidR="00C21F87">
        <w:rPr>
          <w:color w:val="000000"/>
        </w:rPr>
        <w:t xml:space="preserve"> Teens will have two weeks from receipt of the letter to complete the training.</w:t>
      </w:r>
      <w:r w:rsidR="00B52B7B">
        <w:rPr>
          <w:color w:val="000000"/>
        </w:rPr>
        <w:t xml:space="preserve"> A reminder card </w:t>
      </w:r>
      <w:r w:rsidR="007B4A53">
        <w:rPr>
          <w:color w:val="000000"/>
        </w:rPr>
        <w:t>(</w:t>
      </w:r>
      <w:r w:rsidR="007B4A53" w:rsidRPr="00C80ECF">
        <w:rPr>
          <w:color w:val="000000"/>
        </w:rPr>
        <w:t>NHTSA Form 1471)</w:t>
      </w:r>
      <w:r w:rsidR="007B4A53">
        <w:rPr>
          <w:color w:val="000000"/>
        </w:rPr>
        <w:t xml:space="preserve"> </w:t>
      </w:r>
      <w:r w:rsidR="00B52B7B">
        <w:rPr>
          <w:color w:val="000000"/>
        </w:rPr>
        <w:t>will be sent to them if they have not completed the training within 10 calendar days following the initial invitation</w:t>
      </w:r>
      <w:r w:rsidR="00B52B7B" w:rsidRPr="00C80ECF">
        <w:rPr>
          <w:color w:val="000000"/>
        </w:rPr>
        <w:t>.</w:t>
      </w:r>
    </w:p>
    <w:p w14:paraId="48D27B11" w14:textId="6CB87EB9" w:rsidR="00391D79" w:rsidRDefault="00391D79" w:rsidP="00391D79">
      <w:pPr>
        <w:ind w:firstLine="720"/>
      </w:pPr>
      <w:r>
        <w:t xml:space="preserve">This invitation letter will contain an Internet link to a web page </w:t>
      </w:r>
      <w:r w:rsidR="007105F0">
        <w:t xml:space="preserve">that will be used to obtain consent for </w:t>
      </w:r>
      <w:r w:rsidR="000B7949">
        <w:t>the participant (NHTSA Form 1456</w:t>
      </w:r>
      <w:r w:rsidR="007105F0">
        <w:t xml:space="preserve">), consent from a </w:t>
      </w:r>
      <w:r w:rsidR="007105F0">
        <w:rPr>
          <w:color w:val="000000"/>
        </w:rPr>
        <w:t>parent/guardian if the particip</w:t>
      </w:r>
      <w:r w:rsidR="000B7949">
        <w:rPr>
          <w:color w:val="000000"/>
        </w:rPr>
        <w:t>ant is under 18 (NHTSA Form 1455</w:t>
      </w:r>
      <w:r w:rsidR="007105F0">
        <w:rPr>
          <w:color w:val="000000"/>
        </w:rPr>
        <w:t xml:space="preserve">), and questions to determine eligibility for the study and to assign participants to the RAPT or training protocol (NHTSA Form 1457).  </w:t>
      </w:r>
    </w:p>
    <w:p w14:paraId="6429249A" w14:textId="198821C5" w:rsidR="00055C16" w:rsidRDefault="007F0D87" w:rsidP="00B25D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3C4C7C">
        <w:rPr>
          <w:color w:val="000000"/>
        </w:rPr>
        <w:tab/>
      </w:r>
      <w:r w:rsidR="00322B9F">
        <w:rPr>
          <w:color w:val="000000"/>
        </w:rPr>
        <w:t>For those who are eligible for the study,</w:t>
      </w:r>
      <w:r w:rsidR="00055C16">
        <w:rPr>
          <w:color w:val="000000"/>
        </w:rPr>
        <w:t xml:space="preserve"> they will be directe</w:t>
      </w:r>
      <w:r w:rsidR="005D7694">
        <w:rPr>
          <w:color w:val="000000"/>
        </w:rPr>
        <w:t>d to an Internet link from which</w:t>
      </w:r>
      <w:r w:rsidR="00055C16">
        <w:rPr>
          <w:color w:val="000000"/>
        </w:rPr>
        <w:t xml:space="preserve"> they can download the RAPT software training protocol. </w:t>
      </w:r>
      <w:r w:rsidR="007105F0">
        <w:rPr>
          <w:color w:val="000000"/>
        </w:rPr>
        <w:t xml:space="preserve">The consented study participants will be randomly assigned within age and sex categories to either participate in the RAPT training protocol or the placebo </w:t>
      </w:r>
      <w:r w:rsidR="000B7949">
        <w:rPr>
          <w:color w:val="000000"/>
        </w:rPr>
        <w:t>training protocol</w:t>
      </w:r>
      <w:r w:rsidR="007105F0">
        <w:rPr>
          <w:color w:val="000000"/>
        </w:rPr>
        <w:t xml:space="preserve">. The placebo </w:t>
      </w:r>
      <w:r w:rsidR="000B7949">
        <w:rPr>
          <w:color w:val="000000"/>
        </w:rPr>
        <w:t>training</w:t>
      </w:r>
      <w:r w:rsidR="007105F0">
        <w:rPr>
          <w:color w:val="000000"/>
        </w:rPr>
        <w:t xml:space="preserve"> will adopt the same approach in that the link will guide participants to one location where consent and all data collection, pre-test, placebo training (a vehicle maintenance video), and post-test will take place. </w:t>
      </w:r>
      <w:r w:rsidR="00055C16">
        <w:rPr>
          <w:color w:val="000000"/>
        </w:rPr>
        <w:t>This protocol will seamlessly incorporate data collection required for the analyses such that teens only need to take the pre-test, training</w:t>
      </w:r>
      <w:r w:rsidR="005D7694">
        <w:rPr>
          <w:color w:val="000000"/>
        </w:rPr>
        <w:t>,</w:t>
      </w:r>
      <w:r w:rsidR="00055C16">
        <w:rPr>
          <w:color w:val="000000"/>
        </w:rPr>
        <w:t xml:space="preserve"> and post-test</w:t>
      </w:r>
      <w:r w:rsidR="005D7694">
        <w:rPr>
          <w:color w:val="000000"/>
        </w:rPr>
        <w:t>,</w:t>
      </w:r>
      <w:r w:rsidR="00055C16">
        <w:rPr>
          <w:color w:val="000000"/>
        </w:rPr>
        <w:t xml:space="preserve"> all in one session.</w:t>
      </w:r>
      <w:r w:rsidR="005F3372">
        <w:rPr>
          <w:color w:val="000000"/>
        </w:rPr>
        <w:t xml:space="preserve"> </w:t>
      </w:r>
      <w:r w:rsidR="00C22983">
        <w:rPr>
          <w:color w:val="000000"/>
        </w:rPr>
        <w:t xml:space="preserve">A subsample of teens will be invited to complete a one-week trip log to record driving </w:t>
      </w:r>
      <w:r w:rsidR="00C22983" w:rsidRPr="005D7694">
        <w:rPr>
          <w:color w:val="000000"/>
        </w:rPr>
        <w:t xml:space="preserve">exposure </w:t>
      </w:r>
      <w:r w:rsidR="007105F0">
        <w:rPr>
          <w:color w:val="000000"/>
        </w:rPr>
        <w:t>(</w:t>
      </w:r>
      <w:r w:rsidR="005D7694" w:rsidRPr="005D7694">
        <w:rPr>
          <w:color w:val="000000"/>
        </w:rPr>
        <w:t>NHTSA Form 1470</w:t>
      </w:r>
      <w:r w:rsidR="00433AA6" w:rsidRPr="005D7694">
        <w:rPr>
          <w:color w:val="000000"/>
        </w:rPr>
        <w:t>)</w:t>
      </w:r>
      <w:r w:rsidR="00055C16" w:rsidRPr="005D7694">
        <w:rPr>
          <w:color w:val="000000"/>
        </w:rPr>
        <w:t>.</w:t>
      </w:r>
      <w:r w:rsidR="00C22983">
        <w:rPr>
          <w:color w:val="000000"/>
        </w:rPr>
        <w:t xml:space="preserve"> This subsample will be distributed over the </w:t>
      </w:r>
      <w:r w:rsidR="001D44F3">
        <w:rPr>
          <w:color w:val="000000"/>
        </w:rPr>
        <w:t>six-month</w:t>
      </w:r>
      <w:r w:rsidR="00C22983">
        <w:rPr>
          <w:color w:val="000000"/>
        </w:rPr>
        <w:t xml:space="preserve"> follow</w:t>
      </w:r>
      <w:r w:rsidR="00932786">
        <w:rPr>
          <w:color w:val="000000"/>
        </w:rPr>
        <w:t>-</w:t>
      </w:r>
      <w:r w:rsidR="00C22983">
        <w:rPr>
          <w:color w:val="000000"/>
        </w:rPr>
        <w:t xml:space="preserve">up period so that representative information for each month of driving during this </w:t>
      </w:r>
      <w:r w:rsidR="001D44F3">
        <w:rPr>
          <w:color w:val="000000"/>
        </w:rPr>
        <w:t>six-month</w:t>
      </w:r>
      <w:r w:rsidR="00C22983">
        <w:rPr>
          <w:color w:val="000000"/>
        </w:rPr>
        <w:t xml:space="preserve"> period will become available.</w:t>
      </w:r>
    </w:p>
    <w:p w14:paraId="196E1605" w14:textId="12B446BF" w:rsidR="00055C16" w:rsidRDefault="00055C16" w:rsidP="0005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r>
      <w:r w:rsidR="003D55DC">
        <w:rPr>
          <w:color w:val="000000"/>
        </w:rPr>
        <w:t>Participants will be recruited from two different jurisdictions</w:t>
      </w:r>
      <w:r w:rsidR="000F5E6F">
        <w:rPr>
          <w:color w:val="000000"/>
        </w:rPr>
        <w:t>: a primary jurisdiction and a secondary jurisdiction</w:t>
      </w:r>
      <w:r w:rsidR="003D55DC">
        <w:rPr>
          <w:color w:val="000000"/>
        </w:rPr>
        <w:t>.  In each jurisdiction, half of the parti</w:t>
      </w:r>
      <w:r w:rsidR="00391D79">
        <w:rPr>
          <w:color w:val="000000"/>
        </w:rPr>
        <w:t xml:space="preserve">cipants will complete the RAPT </w:t>
      </w:r>
      <w:r w:rsidR="003D55DC">
        <w:rPr>
          <w:color w:val="000000"/>
        </w:rPr>
        <w:t>training protocol</w:t>
      </w:r>
      <w:r w:rsidR="00200630">
        <w:rPr>
          <w:color w:val="000000"/>
        </w:rPr>
        <w:t>,</w:t>
      </w:r>
      <w:r w:rsidR="003D55DC">
        <w:rPr>
          <w:color w:val="000000"/>
        </w:rPr>
        <w:t xml:space="preserve"> and half will complete the placebo training protocol. </w:t>
      </w:r>
      <w:r w:rsidR="00A20678">
        <w:t xml:space="preserve">The majority of </w:t>
      </w:r>
      <w:r w:rsidR="003E4A45">
        <w:t xml:space="preserve">participants will be recruited from the primary jurisdiction. A smaller number of participants will be recruited from a </w:t>
      </w:r>
      <w:r>
        <w:rPr>
          <w:color w:val="000000"/>
        </w:rPr>
        <w:t xml:space="preserve">second </w:t>
      </w:r>
      <w:r w:rsidR="003D55DC">
        <w:rPr>
          <w:color w:val="000000"/>
        </w:rPr>
        <w:t>jurisdiction</w:t>
      </w:r>
      <w:r>
        <w:rPr>
          <w:color w:val="000000"/>
        </w:rPr>
        <w:t xml:space="preserve"> to bolster the </w:t>
      </w:r>
      <w:r w:rsidR="003D55DC">
        <w:rPr>
          <w:color w:val="000000"/>
        </w:rPr>
        <w:t xml:space="preserve">external validity of </w:t>
      </w:r>
      <w:r>
        <w:rPr>
          <w:color w:val="000000"/>
        </w:rPr>
        <w:t xml:space="preserve">findings from the </w:t>
      </w:r>
      <w:r w:rsidR="003E4A45">
        <w:rPr>
          <w:color w:val="000000"/>
        </w:rPr>
        <w:t xml:space="preserve">primary </w:t>
      </w:r>
      <w:r w:rsidR="003D55DC">
        <w:rPr>
          <w:color w:val="000000"/>
        </w:rPr>
        <w:t>jurisdiction</w:t>
      </w:r>
      <w:r>
        <w:rPr>
          <w:color w:val="000000"/>
        </w:rPr>
        <w:t>.</w:t>
      </w:r>
    </w:p>
    <w:p w14:paraId="2F4F6AC6" w14:textId="62E52E25" w:rsidR="00055C16" w:rsidRDefault="00055C16" w:rsidP="0005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r>
      <w:r w:rsidR="003B6302">
        <w:rPr>
          <w:color w:val="000000"/>
        </w:rPr>
        <w:t xml:space="preserve">The teens taking the RAPT </w:t>
      </w:r>
      <w:r w:rsidR="00A03CA5">
        <w:rPr>
          <w:color w:val="000000"/>
        </w:rPr>
        <w:t xml:space="preserve">or placebo </w:t>
      </w:r>
      <w:r w:rsidR="003B6302">
        <w:rPr>
          <w:color w:val="000000"/>
        </w:rPr>
        <w:t xml:space="preserve">training protocol in the </w:t>
      </w:r>
      <w:r w:rsidR="004014D4">
        <w:rPr>
          <w:color w:val="000000"/>
        </w:rPr>
        <w:t xml:space="preserve">primary </w:t>
      </w:r>
      <w:r w:rsidR="003B6302">
        <w:rPr>
          <w:color w:val="000000"/>
        </w:rPr>
        <w:t>jurisdiction (</w:t>
      </w:r>
      <w:r w:rsidR="00684223">
        <w:rPr>
          <w:color w:val="000000"/>
        </w:rPr>
        <w:t xml:space="preserve">but </w:t>
      </w:r>
      <w:r w:rsidR="003B6302">
        <w:rPr>
          <w:color w:val="000000"/>
        </w:rPr>
        <w:t xml:space="preserve">not the ones in the </w:t>
      </w:r>
      <w:r w:rsidR="00696160">
        <w:rPr>
          <w:color w:val="000000"/>
        </w:rPr>
        <w:t>second</w:t>
      </w:r>
      <w:r w:rsidR="00947CD5">
        <w:rPr>
          <w:color w:val="000000"/>
        </w:rPr>
        <w:t>ary</w:t>
      </w:r>
      <w:r w:rsidR="003B6302">
        <w:rPr>
          <w:color w:val="000000"/>
        </w:rPr>
        <w:t xml:space="preserve"> jurisdiction) will be asked to take the </w:t>
      </w:r>
      <w:r w:rsidR="0003100D">
        <w:rPr>
          <w:color w:val="000000"/>
        </w:rPr>
        <w:t xml:space="preserve">online </w:t>
      </w:r>
      <w:r w:rsidR="003B6302">
        <w:rPr>
          <w:color w:val="000000"/>
        </w:rPr>
        <w:t>hazard recognition test again after six months</w:t>
      </w:r>
      <w:r w:rsidR="00B72AEE">
        <w:rPr>
          <w:color w:val="000000"/>
        </w:rPr>
        <w:t xml:space="preserve"> (see NHTSA Form 1458); they </w:t>
      </w:r>
      <w:r w:rsidR="00B72AEE" w:rsidRPr="00A90C73">
        <w:rPr>
          <w:rFonts w:eastAsia="Calibri"/>
        </w:rPr>
        <w:t>will</w:t>
      </w:r>
      <w:r w:rsidR="00B72AEE">
        <w:rPr>
          <w:rFonts w:eastAsia="Calibri"/>
        </w:rPr>
        <w:t xml:space="preserve"> also</w:t>
      </w:r>
      <w:r w:rsidR="00B72AEE" w:rsidRPr="00A90C73">
        <w:rPr>
          <w:rFonts w:eastAsia="Calibri"/>
        </w:rPr>
        <w:t xml:space="preserve"> be asked </w:t>
      </w:r>
      <w:r w:rsidR="00B72AEE">
        <w:rPr>
          <w:rFonts w:eastAsia="Calibri"/>
        </w:rPr>
        <w:t>questions about any crashes or traffic tickets during their first six months of driving (see NHTSA Form 1549)</w:t>
      </w:r>
      <w:r w:rsidR="003B6302">
        <w:rPr>
          <w:color w:val="000000"/>
        </w:rPr>
        <w:t xml:space="preserve">. This is </w:t>
      </w:r>
      <w:r w:rsidR="003B6302">
        <w:rPr>
          <w:color w:val="000000"/>
        </w:rPr>
        <w:lastRenderedPageBreak/>
        <w:t>meant to assess whether training effects persist over time</w:t>
      </w:r>
      <w:r w:rsidR="00A802EF">
        <w:rPr>
          <w:color w:val="000000"/>
        </w:rPr>
        <w:t xml:space="preserve"> and to link training effect</w:t>
      </w:r>
      <w:r w:rsidR="00A20678">
        <w:rPr>
          <w:color w:val="000000"/>
        </w:rPr>
        <w:t>s</w:t>
      </w:r>
      <w:r w:rsidR="00A802EF">
        <w:rPr>
          <w:color w:val="000000"/>
        </w:rPr>
        <w:t xml:space="preserve"> to crash/offen</w:t>
      </w:r>
      <w:r w:rsidR="00114258">
        <w:rPr>
          <w:color w:val="000000"/>
        </w:rPr>
        <w:t>s</w:t>
      </w:r>
      <w:r w:rsidR="00A802EF">
        <w:rPr>
          <w:color w:val="000000"/>
        </w:rPr>
        <w:t>e performance</w:t>
      </w:r>
      <w:r w:rsidR="003B6302">
        <w:rPr>
          <w:color w:val="000000"/>
        </w:rPr>
        <w:t>.</w:t>
      </w:r>
    </w:p>
    <w:p w14:paraId="14C0072C" w14:textId="77777777" w:rsidR="000008A3" w:rsidRPr="00055C16" w:rsidRDefault="00055C16" w:rsidP="0005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r>
    </w:p>
    <w:p w14:paraId="25DFE346" w14:textId="77777777" w:rsidR="000008A3" w:rsidRPr="000008A3" w:rsidRDefault="00C800ED" w:rsidP="00D63B4F">
      <w:pPr>
        <w:pStyle w:val="Heading2"/>
        <w:keepLines/>
        <w:ind w:left="360" w:hanging="720"/>
      </w:pPr>
      <w:bookmarkStart w:id="15" w:name="_Toc125278815"/>
      <w:bookmarkStart w:id="16" w:name="_Toc125341738"/>
      <w:bookmarkStart w:id="17" w:name="_Toc125447296"/>
      <w:bookmarkStart w:id="18" w:name="_Toc126394124"/>
      <w:r w:rsidRPr="00672019">
        <w:rPr>
          <w:b/>
          <w:u w:val="none"/>
        </w:rPr>
        <w:t>A.3.</w:t>
      </w:r>
      <w:r w:rsidRPr="00672019">
        <w:rPr>
          <w:b/>
          <w:u w:val="none"/>
        </w:rPr>
        <w:tab/>
        <w:t>Describe whether, and to what extent, the collection of information involves the use of automated, electronic, mechanical or other technological collection techniques or other information technology.</w:t>
      </w:r>
      <w:bookmarkEnd w:id="15"/>
      <w:bookmarkEnd w:id="16"/>
      <w:r w:rsidRPr="00672019">
        <w:rPr>
          <w:b/>
          <w:u w:val="none"/>
        </w:rPr>
        <w:t xml:space="preserve"> Also describe any consideration of using information technology to reduce burden.</w:t>
      </w:r>
      <w:bookmarkEnd w:id="17"/>
      <w:bookmarkEnd w:id="18"/>
    </w:p>
    <w:p w14:paraId="191EC86D" w14:textId="0760A79A" w:rsidR="003B6302" w:rsidRDefault="003B6302">
      <w:pPr>
        <w:ind w:firstLine="720"/>
      </w:pPr>
      <w:r>
        <w:t>Recr</w:t>
      </w:r>
      <w:r w:rsidR="00A802EF">
        <w:t>uitment will take place using</w:t>
      </w:r>
      <w:r w:rsidR="00133783">
        <w:t xml:space="preserve"> an initial paper </w:t>
      </w:r>
      <w:r>
        <w:t>letter</w:t>
      </w:r>
      <w:r w:rsidR="00133783">
        <w:t>, and DMVs in two jurisdictions will</w:t>
      </w:r>
      <w:r w:rsidR="00133783">
        <w:rPr>
          <w:color w:val="000000"/>
        </w:rPr>
        <w:t xml:space="preserve"> distribute the invitations</w:t>
      </w:r>
      <w:r>
        <w:t>. This letter will contain a</w:t>
      </w:r>
      <w:r w:rsidR="00133783">
        <w:t>n Internet link to a web page that</w:t>
      </w:r>
      <w:r>
        <w:t xml:space="preserve"> can be accessed through a secure Internet connection. </w:t>
      </w:r>
      <w:r w:rsidR="00133783">
        <w:t xml:space="preserve">This collection will use electronic forms available through the web site </w:t>
      </w:r>
      <w:r w:rsidR="00391D79">
        <w:t>for</w:t>
      </w:r>
      <w:r w:rsidR="00133783">
        <w:t xml:space="preserve"> p</w:t>
      </w:r>
      <w:r w:rsidR="002E00C9">
        <w:t>arent</w:t>
      </w:r>
      <w:r w:rsidR="00133783">
        <w:t>al</w:t>
      </w:r>
      <w:r w:rsidR="002E00C9">
        <w:t xml:space="preserve"> consent </w:t>
      </w:r>
      <w:r w:rsidR="00626C75">
        <w:t>(if</w:t>
      </w:r>
      <w:r w:rsidR="00133783">
        <w:t xml:space="preserve"> a teen is under the age of 18), </w:t>
      </w:r>
      <w:r w:rsidR="002E00C9">
        <w:t>p</w:t>
      </w:r>
      <w:r w:rsidR="001A5CDA">
        <w:t>articipant consent</w:t>
      </w:r>
      <w:r w:rsidR="00391D79">
        <w:t>, demographic and eligibility information, as well as both the RAPT and placebo training modules</w:t>
      </w:r>
      <w:r>
        <w:t xml:space="preserve"> to streamline data collection and reduce the burden on participants.</w:t>
      </w:r>
    </w:p>
    <w:p w14:paraId="72542E93" w14:textId="6F02443D" w:rsidR="008B7ED2" w:rsidRDefault="003B6302" w:rsidP="003B6302">
      <w:pPr>
        <w:ind w:firstLine="720"/>
        <w:rPr>
          <w:color w:val="000000"/>
        </w:rPr>
      </w:pPr>
      <w:r>
        <w:rPr>
          <w:color w:val="000000"/>
        </w:rPr>
        <w:t xml:space="preserve">The </w:t>
      </w:r>
      <w:r w:rsidR="001D44F3">
        <w:rPr>
          <w:color w:val="000000"/>
        </w:rPr>
        <w:t>six-month</w:t>
      </w:r>
      <w:r>
        <w:rPr>
          <w:color w:val="000000"/>
        </w:rPr>
        <w:t xml:space="preserve"> follow</w:t>
      </w:r>
      <w:r w:rsidR="00684223">
        <w:rPr>
          <w:color w:val="000000"/>
        </w:rPr>
        <w:t>-</w:t>
      </w:r>
      <w:r>
        <w:rPr>
          <w:color w:val="000000"/>
        </w:rPr>
        <w:t xml:space="preserve">up test and data collection will be initiated by contacting the participants by email after approximately six months and by again providing the </w:t>
      </w:r>
      <w:r w:rsidR="00391D79">
        <w:rPr>
          <w:color w:val="000000"/>
        </w:rPr>
        <w:t xml:space="preserve">Internet </w:t>
      </w:r>
      <w:r>
        <w:rPr>
          <w:color w:val="000000"/>
        </w:rPr>
        <w:t>link to them that they can easily follow to complete the protocol.</w:t>
      </w:r>
    </w:p>
    <w:p w14:paraId="228BBB22" w14:textId="77777777" w:rsidR="003B6302" w:rsidRDefault="003B6302" w:rsidP="003B6302">
      <w:pPr>
        <w:ind w:firstLine="720"/>
        <w:rPr>
          <w:color w:val="000000"/>
        </w:rPr>
      </w:pPr>
    </w:p>
    <w:p w14:paraId="6596D965" w14:textId="77777777" w:rsidR="00C800ED" w:rsidRPr="00672019" w:rsidRDefault="00C800ED" w:rsidP="00D63B4F">
      <w:pPr>
        <w:pStyle w:val="Heading2"/>
        <w:ind w:left="720" w:hanging="720"/>
        <w:rPr>
          <w:b/>
          <w:u w:val="none"/>
        </w:rPr>
      </w:pPr>
      <w:bookmarkStart w:id="19" w:name="_Toc125278816"/>
      <w:bookmarkStart w:id="20" w:name="_Toc125341739"/>
      <w:bookmarkStart w:id="21" w:name="_Toc125447297"/>
      <w:bookmarkStart w:id="22" w:name="_Toc126394125"/>
      <w:r w:rsidRPr="00672019">
        <w:rPr>
          <w:b/>
          <w:u w:val="none"/>
        </w:rPr>
        <w:t>A.4.</w:t>
      </w:r>
      <w:r w:rsidRPr="00672019">
        <w:rPr>
          <w:b/>
          <w:u w:val="none"/>
        </w:rPr>
        <w:tab/>
        <w:t>Describe efforts to identify duplication. Show specifically why any similar information, already available cannot be used or modified for use for the purposes described in Item 2 above.</w:t>
      </w:r>
      <w:bookmarkEnd w:id="19"/>
      <w:bookmarkEnd w:id="20"/>
      <w:bookmarkEnd w:id="21"/>
      <w:bookmarkEnd w:id="22"/>
    </w:p>
    <w:p w14:paraId="671EF3EC" w14:textId="3A33C5C2" w:rsidR="00AF3239" w:rsidRDefault="003B6302" w:rsidP="00290FD4">
      <w:pPr>
        <w:ind w:firstLine="720"/>
        <w:rPr>
          <w:bCs/>
          <w:lang w:bidi="en-US"/>
        </w:rPr>
      </w:pPr>
      <w:r>
        <w:rPr>
          <w:bCs/>
          <w:lang w:bidi="en-US"/>
        </w:rPr>
        <w:t>Two previous studies have found promising</w:t>
      </w:r>
      <w:r w:rsidR="00133783">
        <w:rPr>
          <w:bCs/>
          <w:lang w:bidi="en-US"/>
        </w:rPr>
        <w:t xml:space="preserve"> </w:t>
      </w:r>
      <w:r>
        <w:rPr>
          <w:bCs/>
          <w:lang w:bidi="en-US"/>
        </w:rPr>
        <w:t xml:space="preserve">results regarding the use of the RAPT educational tool (see </w:t>
      </w:r>
      <w:r w:rsidRPr="003B6302">
        <w:rPr>
          <w:bCs/>
          <w:lang w:bidi="en-US"/>
        </w:rPr>
        <w:t>Report No. DOT HS 812 235</w:t>
      </w:r>
      <w:r>
        <w:rPr>
          <w:bCs/>
          <w:lang w:bidi="en-US"/>
        </w:rPr>
        <w:t xml:space="preserve"> and </w:t>
      </w:r>
      <w:r w:rsidRPr="003B6302">
        <w:rPr>
          <w:bCs/>
          <w:lang w:bidi="en-US"/>
        </w:rPr>
        <w:t>DOT HS 812 379</w:t>
      </w:r>
      <w:r>
        <w:rPr>
          <w:bCs/>
          <w:lang w:bidi="en-US"/>
        </w:rPr>
        <w:t xml:space="preserve">). </w:t>
      </w:r>
      <w:r w:rsidR="00290FD4">
        <w:rPr>
          <w:bCs/>
          <w:lang w:bidi="en-US"/>
        </w:rPr>
        <w:t xml:space="preserve">For example, </w:t>
      </w:r>
      <w:r w:rsidR="00DF0FBC">
        <w:rPr>
          <w:bCs/>
          <w:lang w:bidi="en-US"/>
        </w:rPr>
        <w:t>one study</w:t>
      </w:r>
      <w:r>
        <w:rPr>
          <w:bCs/>
          <w:lang w:bidi="en-US"/>
        </w:rPr>
        <w:t xml:space="preserve"> only demonstrated</w:t>
      </w:r>
      <w:r w:rsidR="00133783">
        <w:rPr>
          <w:bCs/>
          <w:lang w:bidi="en-US"/>
        </w:rPr>
        <w:t xml:space="preserve"> </w:t>
      </w:r>
      <w:r>
        <w:rPr>
          <w:bCs/>
          <w:lang w:bidi="en-US"/>
        </w:rPr>
        <w:t>safety benefits in the real world for male teen drivers</w:t>
      </w:r>
      <w:r w:rsidR="00133783">
        <w:rPr>
          <w:bCs/>
          <w:lang w:bidi="en-US"/>
        </w:rPr>
        <w:t xml:space="preserve"> but not for female drivers. (A</w:t>
      </w:r>
      <w:r>
        <w:rPr>
          <w:bCs/>
          <w:lang w:bidi="en-US"/>
        </w:rPr>
        <w:t xml:space="preserve"> beneficial effect</w:t>
      </w:r>
      <w:r w:rsidR="000F2288">
        <w:rPr>
          <w:bCs/>
          <w:lang w:bidi="en-US"/>
        </w:rPr>
        <w:t xml:space="preserve"> on crash rates</w:t>
      </w:r>
      <w:r>
        <w:rPr>
          <w:bCs/>
          <w:lang w:bidi="en-US"/>
        </w:rPr>
        <w:t xml:space="preserve"> has yet to be demonstrated for female drivers.</w:t>
      </w:r>
      <w:r w:rsidR="00133783">
        <w:rPr>
          <w:bCs/>
          <w:lang w:bidi="en-US"/>
        </w:rPr>
        <w:t>)</w:t>
      </w:r>
      <w:r w:rsidR="00676440">
        <w:rPr>
          <w:bCs/>
          <w:lang w:bidi="en-US"/>
        </w:rPr>
        <w:t xml:space="preserve"> Furthermore, limited information regarding driving exposure during the first six month of driving has been collected to date</w:t>
      </w:r>
      <w:r w:rsidR="00442964">
        <w:rPr>
          <w:bCs/>
          <w:lang w:bidi="en-US"/>
        </w:rPr>
        <w:t xml:space="preserve"> and may be </w:t>
      </w:r>
      <w:r w:rsidR="002C5FE5">
        <w:rPr>
          <w:bCs/>
          <w:lang w:bidi="en-US"/>
        </w:rPr>
        <w:t>useful for understanding the different effects of training by sex</w:t>
      </w:r>
      <w:r w:rsidR="00676440">
        <w:rPr>
          <w:bCs/>
          <w:lang w:bidi="en-US"/>
        </w:rPr>
        <w:t>.</w:t>
      </w:r>
      <w:r w:rsidR="00290FD4">
        <w:rPr>
          <w:bCs/>
          <w:lang w:bidi="en-US"/>
        </w:rPr>
        <w:t xml:space="preserve"> Therefore, w</w:t>
      </w:r>
      <w:r w:rsidR="00A76181" w:rsidRPr="003C6D62">
        <w:rPr>
          <w:bCs/>
          <w:lang w:bidi="en-US"/>
        </w:rPr>
        <w:t>hile the results wer</w:t>
      </w:r>
      <w:r w:rsidR="00290FD4">
        <w:rPr>
          <w:bCs/>
          <w:lang w:bidi="en-US"/>
        </w:rPr>
        <w:t>e encouraging, it was</w:t>
      </w:r>
      <w:r w:rsidR="00A76181" w:rsidRPr="003C6D62">
        <w:rPr>
          <w:bCs/>
          <w:lang w:bidi="en-US"/>
        </w:rPr>
        <w:t xml:space="preserve"> concluded that promotion of this intervention would</w:t>
      </w:r>
      <w:r w:rsidR="00A76181">
        <w:rPr>
          <w:bCs/>
          <w:lang w:bidi="en-US"/>
        </w:rPr>
        <w:t xml:space="preserve"> require additional evidence</w:t>
      </w:r>
      <w:r w:rsidR="00676440">
        <w:rPr>
          <w:bCs/>
          <w:lang w:bidi="en-US"/>
        </w:rPr>
        <w:t>, notably</w:t>
      </w:r>
      <w:r w:rsidR="00684223">
        <w:rPr>
          <w:bCs/>
          <w:lang w:bidi="en-US"/>
        </w:rPr>
        <w:t>,</w:t>
      </w:r>
      <w:r w:rsidR="00676440">
        <w:rPr>
          <w:bCs/>
          <w:lang w:bidi="en-US"/>
        </w:rPr>
        <w:t xml:space="preserve"> to study the relevance of driving exposure and to better understand differences between males and females</w:t>
      </w:r>
      <w:r w:rsidR="00A76181">
        <w:rPr>
          <w:bCs/>
          <w:lang w:bidi="en-US"/>
        </w:rPr>
        <w:t xml:space="preserve">. </w:t>
      </w:r>
      <w:r w:rsidR="00A76181" w:rsidRPr="00022532">
        <w:rPr>
          <w:bCs/>
          <w:lang w:bidi="en-US"/>
        </w:rPr>
        <w:t>Following efforts to refine and streamline</w:t>
      </w:r>
      <w:r w:rsidR="00290FD4">
        <w:rPr>
          <w:bCs/>
          <w:lang w:bidi="en-US"/>
        </w:rPr>
        <w:t xml:space="preserve"> the training protocol, a new</w:t>
      </w:r>
      <w:r w:rsidR="008442D2">
        <w:rPr>
          <w:bCs/>
          <w:lang w:bidi="en-US"/>
        </w:rPr>
        <w:t>, larger</w:t>
      </w:r>
      <w:r w:rsidR="00290FD4">
        <w:rPr>
          <w:bCs/>
          <w:lang w:bidi="en-US"/>
        </w:rPr>
        <w:t xml:space="preserve"> sample of teen</w:t>
      </w:r>
      <w:r w:rsidR="00A76181" w:rsidRPr="00022532">
        <w:rPr>
          <w:bCs/>
          <w:lang w:bidi="en-US"/>
        </w:rPr>
        <w:t xml:space="preserve"> drivers will receive the updated training program.</w:t>
      </w:r>
      <w:r w:rsidR="00290FD4">
        <w:rPr>
          <w:bCs/>
          <w:lang w:bidi="en-US"/>
        </w:rPr>
        <w:t xml:space="preserve"> This study will focus particularly on the limitations of the existing studies </w:t>
      </w:r>
      <w:r w:rsidR="008442D2">
        <w:rPr>
          <w:bCs/>
          <w:lang w:bidi="en-US"/>
        </w:rPr>
        <w:t>by increasing the number of participants, collecting measures of exposure, and adding a</w:t>
      </w:r>
      <w:r w:rsidR="000545AB">
        <w:rPr>
          <w:bCs/>
          <w:lang w:bidi="en-US"/>
        </w:rPr>
        <w:t xml:space="preserve"> secondary jurisdiction to increase </w:t>
      </w:r>
      <w:r w:rsidR="008442D2">
        <w:rPr>
          <w:bCs/>
          <w:lang w:bidi="en-US"/>
        </w:rPr>
        <w:t>external valid</w:t>
      </w:r>
      <w:r w:rsidR="000545AB">
        <w:rPr>
          <w:bCs/>
          <w:lang w:bidi="en-US"/>
        </w:rPr>
        <w:t>ity</w:t>
      </w:r>
      <w:r w:rsidR="00442201">
        <w:rPr>
          <w:bCs/>
          <w:lang w:bidi="en-US"/>
        </w:rPr>
        <w:t>.</w:t>
      </w:r>
    </w:p>
    <w:p w14:paraId="7718828B" w14:textId="77777777" w:rsidR="0084169F" w:rsidRPr="00D22147" w:rsidRDefault="0084169F" w:rsidP="00290FD4">
      <w:pPr>
        <w:ind w:firstLine="720"/>
        <w:rPr>
          <w:bCs/>
          <w:lang w:bidi="en-US"/>
        </w:rPr>
      </w:pPr>
    </w:p>
    <w:p w14:paraId="42705478" w14:textId="77777777" w:rsidR="00C800ED" w:rsidRPr="00672019" w:rsidRDefault="00C800ED" w:rsidP="00C800ED">
      <w:pPr>
        <w:pStyle w:val="Heading2"/>
        <w:ind w:left="720" w:hanging="720"/>
        <w:rPr>
          <w:b/>
          <w:u w:val="none"/>
        </w:rPr>
      </w:pPr>
      <w:bookmarkStart w:id="23" w:name="_Toc125278817"/>
      <w:bookmarkStart w:id="24" w:name="_Toc125341740"/>
      <w:bookmarkStart w:id="25" w:name="_Toc125447298"/>
      <w:bookmarkStart w:id="26" w:name="_Toc126394126"/>
      <w:r w:rsidRPr="00672019">
        <w:rPr>
          <w:b/>
          <w:u w:val="none"/>
        </w:rPr>
        <w:t>A.5.</w:t>
      </w:r>
      <w:r w:rsidRPr="00672019">
        <w:rPr>
          <w:b/>
          <w:u w:val="none"/>
        </w:rPr>
        <w:tab/>
        <w:t>If the collection of information involves small businesses or other small entities, describe the methods used to minimize burden.</w:t>
      </w:r>
      <w:bookmarkEnd w:id="23"/>
      <w:bookmarkEnd w:id="24"/>
      <w:bookmarkEnd w:id="25"/>
      <w:bookmarkEnd w:id="26"/>
    </w:p>
    <w:p w14:paraId="6A656053" w14:textId="77777777" w:rsidR="008D40C3" w:rsidRPr="006B5DDC" w:rsidRDefault="008D40C3" w:rsidP="007E1DAA">
      <w:pPr>
        <w:ind w:firstLine="720"/>
      </w:pPr>
      <w:r w:rsidRPr="008D40C3">
        <w:t>The collection of information does not involve small b</w:t>
      </w:r>
      <w:r w:rsidR="00552084">
        <w:t xml:space="preserve">usinesses except insofar as data </w:t>
      </w:r>
      <w:r w:rsidRPr="008D40C3">
        <w:t>collect</w:t>
      </w:r>
      <w:r w:rsidR="00290FD4">
        <w:t>ion activities will be led</w:t>
      </w:r>
      <w:r w:rsidRPr="008D40C3">
        <w:t xml:space="preserve"> by a small business contractor to NHTSA.</w:t>
      </w:r>
    </w:p>
    <w:p w14:paraId="4E2D3D19" w14:textId="77777777" w:rsidR="00C800ED" w:rsidRPr="00672019" w:rsidRDefault="00C800ED" w:rsidP="00C800ED">
      <w:pPr>
        <w:ind w:left="720" w:hanging="720"/>
      </w:pPr>
    </w:p>
    <w:p w14:paraId="388DC5F8" w14:textId="77777777" w:rsidR="000E682C" w:rsidRPr="0084169F" w:rsidRDefault="00C800ED" w:rsidP="0084169F">
      <w:pPr>
        <w:pStyle w:val="Heading2"/>
        <w:ind w:left="720" w:hanging="720"/>
        <w:rPr>
          <w:b/>
          <w:u w:val="none"/>
        </w:rPr>
      </w:pPr>
      <w:bookmarkStart w:id="27" w:name="_Toc125278818"/>
      <w:bookmarkStart w:id="28" w:name="_Toc125341741"/>
      <w:bookmarkStart w:id="29" w:name="_Toc125447299"/>
      <w:bookmarkStart w:id="30" w:name="_Toc126394127"/>
      <w:r w:rsidRPr="0084169F">
        <w:rPr>
          <w:b/>
          <w:u w:val="none"/>
        </w:rPr>
        <w:t>A.6.</w:t>
      </w:r>
      <w:r w:rsidRPr="0084169F">
        <w:rPr>
          <w:b/>
          <w:u w:val="none"/>
        </w:rPr>
        <w:tab/>
      </w:r>
      <w:r w:rsidR="000E682C" w:rsidRPr="0084169F">
        <w:rPr>
          <w:b/>
          <w:u w:val="none"/>
        </w:rPr>
        <w:t>Describe the consequence to Federal program or policy activities if the collection is not conducted or is conducted less frequently, as well as any technical or legal obstacles to reducing burden.</w:t>
      </w:r>
    </w:p>
    <w:bookmarkEnd w:id="27"/>
    <w:bookmarkEnd w:id="28"/>
    <w:bookmarkEnd w:id="29"/>
    <w:bookmarkEnd w:id="30"/>
    <w:p w14:paraId="31F0856C" w14:textId="188B7D23" w:rsidR="000C44E5" w:rsidRDefault="009626FA" w:rsidP="00D63B4F">
      <w:r>
        <w:tab/>
        <w:t>Teen drivers are especially at risk for crashing compared to other age categories. This is due to a higher willingness to take risks, which is typical for that age category, but also</w:t>
      </w:r>
      <w:r w:rsidR="001A5CDA">
        <w:t xml:space="preserve"> </w:t>
      </w:r>
      <w:r>
        <w:t>due to a lack of experience.</w:t>
      </w:r>
      <w:r w:rsidR="001A5CDA">
        <w:t xml:space="preserve"> This inexperience undermines </w:t>
      </w:r>
      <w:r w:rsidR="001A5040">
        <w:t>teens’</w:t>
      </w:r>
      <w:r w:rsidR="001A5CDA">
        <w:t xml:space="preserve"> ability to</w:t>
      </w:r>
      <w:r>
        <w:t xml:space="preserve"> recognize </w:t>
      </w:r>
      <w:r w:rsidR="001A5CDA">
        <w:t>and avoid hazards. T</w:t>
      </w:r>
      <w:r>
        <w:t xml:space="preserve">raining </w:t>
      </w:r>
      <w:r w:rsidR="001A5CDA">
        <w:t xml:space="preserve">teen drivers </w:t>
      </w:r>
      <w:r>
        <w:t xml:space="preserve">to better recognize </w:t>
      </w:r>
      <w:r w:rsidR="001A5CDA">
        <w:t xml:space="preserve">and avoid </w:t>
      </w:r>
      <w:r>
        <w:t xml:space="preserve">hazards </w:t>
      </w:r>
      <w:r w:rsidR="001A5CDA">
        <w:t>could improve</w:t>
      </w:r>
      <w:r>
        <w:t xml:space="preserve"> road</w:t>
      </w:r>
      <w:r w:rsidR="00676440">
        <w:t xml:space="preserve"> safety</w:t>
      </w:r>
      <w:r>
        <w:t xml:space="preserve">. </w:t>
      </w:r>
      <w:r w:rsidR="00A76181">
        <w:t xml:space="preserve">If this collection is not conducted, NHTSA would not have the evidence it needs to </w:t>
      </w:r>
      <w:r>
        <w:t>determine the effectiveness of hazard training</w:t>
      </w:r>
      <w:r w:rsidR="000C44E5">
        <w:t xml:space="preserve"> techniques </w:t>
      </w:r>
      <w:r>
        <w:t>for addressing these issues</w:t>
      </w:r>
      <w:r w:rsidR="00A76181">
        <w:t xml:space="preserve"> and could miss an opportunity to</w:t>
      </w:r>
      <w:r w:rsidR="000C44E5">
        <w:t xml:space="preserve"> </w:t>
      </w:r>
      <w:r w:rsidR="00175AB7">
        <w:t>help reduce</w:t>
      </w:r>
      <w:r>
        <w:t xml:space="preserve"> teen</w:t>
      </w:r>
      <w:r w:rsidR="00466361">
        <w:t xml:space="preserve"> drivers’</w:t>
      </w:r>
      <w:r w:rsidR="00175AB7">
        <w:t xml:space="preserve"> crash risk. </w:t>
      </w:r>
    </w:p>
    <w:p w14:paraId="23A06030" w14:textId="705C139D" w:rsidR="00133783" w:rsidRPr="006C6370" w:rsidRDefault="00133783" w:rsidP="00133783">
      <w:pPr>
        <w:pStyle w:val="BodyTextIndent2"/>
        <w:spacing w:before="120"/>
        <w:ind w:left="0" w:firstLine="0"/>
        <w:rPr>
          <w:b w:val="0"/>
          <w:bCs w:val="0"/>
        </w:rPr>
      </w:pPr>
      <w:r>
        <w:tab/>
      </w:r>
      <w:r>
        <w:rPr>
          <w:b w:val="0"/>
          <w:bCs w:val="0"/>
        </w:rPr>
        <w:t xml:space="preserve">Under the current contract, data collection is scheduled to begin in September 2019. </w:t>
      </w:r>
      <w:r w:rsidRPr="009633A4">
        <w:rPr>
          <w:b w:val="0"/>
          <w:bCs w:val="0"/>
        </w:rPr>
        <w:t xml:space="preserve">Delay </w:t>
      </w:r>
      <w:r>
        <w:rPr>
          <w:b w:val="0"/>
          <w:bCs w:val="0"/>
        </w:rPr>
        <w:t xml:space="preserve">in approval of this ICR </w:t>
      </w:r>
      <w:r w:rsidRPr="009633A4">
        <w:rPr>
          <w:b w:val="0"/>
          <w:bCs w:val="0"/>
        </w:rPr>
        <w:t xml:space="preserve">will </w:t>
      </w:r>
      <w:r>
        <w:rPr>
          <w:b w:val="0"/>
          <w:bCs w:val="0"/>
        </w:rPr>
        <w:t xml:space="preserve">likely </w:t>
      </w:r>
      <w:r w:rsidRPr="009633A4">
        <w:rPr>
          <w:b w:val="0"/>
          <w:bCs w:val="0"/>
        </w:rPr>
        <w:t>result in contract modifications and addit</w:t>
      </w:r>
      <w:r>
        <w:rPr>
          <w:b w:val="0"/>
          <w:bCs w:val="0"/>
        </w:rPr>
        <w:t xml:space="preserve">ional costs to the government.  </w:t>
      </w:r>
    </w:p>
    <w:p w14:paraId="3A4C5434" w14:textId="7AC2AB8B" w:rsidR="00133783" w:rsidRDefault="00133783" w:rsidP="00D63B4F"/>
    <w:p w14:paraId="480F5029" w14:textId="77777777" w:rsidR="00C800ED" w:rsidRPr="00672019" w:rsidRDefault="00C800ED" w:rsidP="00C800ED">
      <w:pPr>
        <w:pStyle w:val="Heading2"/>
        <w:ind w:left="720" w:hanging="720"/>
        <w:rPr>
          <w:b/>
          <w:u w:val="none"/>
        </w:rPr>
      </w:pPr>
      <w:bookmarkStart w:id="31" w:name="_Toc125278819"/>
      <w:bookmarkStart w:id="32" w:name="_Toc125341742"/>
      <w:bookmarkStart w:id="33" w:name="_Toc125447300"/>
      <w:bookmarkStart w:id="34" w:name="_Toc126394128"/>
      <w:r w:rsidRPr="00672019">
        <w:rPr>
          <w:b/>
          <w:u w:val="none"/>
        </w:rPr>
        <w:t>A.7.</w:t>
      </w:r>
      <w:r w:rsidRPr="00672019">
        <w:rPr>
          <w:b/>
          <w:u w:val="none"/>
        </w:rPr>
        <w:tab/>
        <w:t>Explain any special circumstances that require the collection to be conducted in a manner inconsistent with the guidelines set forth in 5 CFR 1320.6.</w:t>
      </w:r>
      <w:bookmarkEnd w:id="31"/>
      <w:bookmarkEnd w:id="32"/>
      <w:bookmarkEnd w:id="33"/>
      <w:bookmarkEnd w:id="34"/>
    </w:p>
    <w:p w14:paraId="0E830273" w14:textId="77777777" w:rsidR="00C800ED" w:rsidRPr="003C343C" w:rsidRDefault="00C800ED" w:rsidP="007E1DAA">
      <w:pPr>
        <w:ind w:firstLine="720"/>
      </w:pPr>
      <w:r w:rsidRPr="003C343C">
        <w:t>No special circumstances require the collection to be conducted in a manner inconsistent with the guidelines in 5 CFR 1320.6.</w:t>
      </w:r>
    </w:p>
    <w:p w14:paraId="5301A92D" w14:textId="77777777" w:rsidR="00C800ED" w:rsidRPr="0084169F" w:rsidRDefault="00C800ED" w:rsidP="0084169F">
      <w:pPr>
        <w:ind w:firstLine="720"/>
      </w:pPr>
      <w:bookmarkStart w:id="35" w:name="_Toc125278820"/>
      <w:bookmarkStart w:id="36" w:name="_Toc125341743"/>
      <w:bookmarkStart w:id="37" w:name="_Toc125447301"/>
    </w:p>
    <w:p w14:paraId="01C4146B" w14:textId="77777777" w:rsidR="00C800ED" w:rsidRPr="00672019" w:rsidRDefault="00C800ED" w:rsidP="00C800ED">
      <w:pPr>
        <w:pStyle w:val="Heading2"/>
        <w:ind w:left="720" w:hanging="720"/>
        <w:rPr>
          <w:b/>
          <w:u w:val="none"/>
        </w:rPr>
      </w:pPr>
      <w:bookmarkStart w:id="38" w:name="_Toc126394129"/>
      <w:r w:rsidRPr="00672019">
        <w:rPr>
          <w:b/>
          <w:u w:val="none"/>
        </w:rPr>
        <w:t xml:space="preserve">A.8. </w:t>
      </w:r>
      <w:r w:rsidRPr="00672019">
        <w:rPr>
          <w:b/>
          <w:u w:val="none"/>
        </w:rPr>
        <w:tab/>
        <w:t xml:space="preserve">Provide a </w:t>
      </w:r>
      <w:r w:rsidR="00D22147">
        <w:rPr>
          <w:b/>
          <w:u w:val="none"/>
        </w:rPr>
        <w:t>citation for</w:t>
      </w:r>
      <w:r w:rsidRPr="00672019">
        <w:rPr>
          <w:b/>
          <w:u w:val="none"/>
        </w:rPr>
        <w:t xml:space="preserve"> the FEDERAL REGISTER document soliciting comments on th</w:t>
      </w:r>
      <w:r w:rsidR="00D22147">
        <w:rPr>
          <w:b/>
          <w:u w:val="none"/>
        </w:rPr>
        <w:t>is</w:t>
      </w:r>
      <w:r w:rsidRPr="00672019">
        <w:rPr>
          <w:b/>
          <w:u w:val="none"/>
        </w:rPr>
        <w:t xml:space="preserve"> collection of information, a summary of all public comments responding to the notice, and a description of the agency’s actions in response to the comments. Describe efforts to consult with persons outside the agency to obtain their views.</w:t>
      </w:r>
      <w:bookmarkEnd w:id="35"/>
      <w:bookmarkEnd w:id="36"/>
      <w:bookmarkEnd w:id="37"/>
      <w:bookmarkEnd w:id="38"/>
      <w:r w:rsidRPr="00672019">
        <w:rPr>
          <w:b/>
          <w:u w:val="none"/>
        </w:rPr>
        <w:t xml:space="preserve"> </w:t>
      </w:r>
    </w:p>
    <w:p w14:paraId="5A500404" w14:textId="33C19A6E" w:rsidR="00C800ED" w:rsidRPr="007D361F" w:rsidRDefault="00C800ED" w:rsidP="009B20BA">
      <w:pPr>
        <w:ind w:firstLine="720"/>
        <w:rPr>
          <w:color w:val="4F81BD" w:themeColor="accent1"/>
        </w:rPr>
      </w:pPr>
      <w:r w:rsidRPr="00F22FFD">
        <w:t xml:space="preserve">A copy of the </w:t>
      </w:r>
      <w:r w:rsidR="00A9605E" w:rsidRPr="00F22FFD">
        <w:t xml:space="preserve">60-day </w:t>
      </w:r>
      <w:r w:rsidR="00442E5D" w:rsidRPr="00F22FFD">
        <w:t>Federal Register Notice</w:t>
      </w:r>
      <w:r w:rsidR="00A9605E" w:rsidRPr="00F22FFD">
        <w:t>,</w:t>
      </w:r>
      <w:r w:rsidR="00442E5D" w:rsidRPr="00F22FFD">
        <w:t xml:space="preserve"> </w:t>
      </w:r>
      <w:r w:rsidR="003D5608" w:rsidRPr="00F22FFD">
        <w:t>which notified the public of NHTSA’s intent to conduct this information collection and provided a 60-day comment period</w:t>
      </w:r>
      <w:r w:rsidR="006607E3" w:rsidRPr="00F22FFD">
        <w:t>,</w:t>
      </w:r>
      <w:r w:rsidR="003D5608" w:rsidRPr="00F22FFD">
        <w:t xml:space="preserve"> was published on </w:t>
      </w:r>
      <w:r w:rsidR="00F7791B">
        <w:t xml:space="preserve">May 18, </w:t>
      </w:r>
      <w:r w:rsidR="00F22FFD" w:rsidRPr="00F22FFD">
        <w:t xml:space="preserve">2018 </w:t>
      </w:r>
      <w:r w:rsidR="003D5608" w:rsidRPr="00F22FFD">
        <w:t xml:space="preserve">(Vol. </w:t>
      </w:r>
      <w:r w:rsidR="00F22FFD" w:rsidRPr="00F22FFD">
        <w:t xml:space="preserve">83, </w:t>
      </w:r>
      <w:r w:rsidR="00442E5D" w:rsidRPr="00F22FFD">
        <w:t xml:space="preserve">No. </w:t>
      </w:r>
      <w:r w:rsidR="00F22FFD" w:rsidRPr="00F22FFD">
        <w:t xml:space="preserve">97, </w:t>
      </w:r>
      <w:r w:rsidR="009626FA" w:rsidRPr="00F22FFD">
        <w:t xml:space="preserve">Pages </w:t>
      </w:r>
      <w:r w:rsidR="00F7791B">
        <w:t>23,336-</w:t>
      </w:r>
      <w:r w:rsidR="00F22FFD" w:rsidRPr="007D361F">
        <w:t xml:space="preserve">7). </w:t>
      </w:r>
      <w:r w:rsidR="004F79B8" w:rsidRPr="007D361F">
        <w:t>No comments were entered into the NHTSA docket in response to the 60-day Federal Register Notice</w:t>
      </w:r>
      <w:r w:rsidR="005720E8" w:rsidRPr="007D361F">
        <w:t>.</w:t>
      </w:r>
    </w:p>
    <w:p w14:paraId="4AB701AB" w14:textId="58293957" w:rsidR="009377B5" w:rsidRPr="005720E8" w:rsidRDefault="00C800ED" w:rsidP="007E1DAA">
      <w:pPr>
        <w:ind w:firstLine="720"/>
      </w:pPr>
      <w:r w:rsidRPr="00F7791B">
        <w:t>A copy of a second</w:t>
      </w:r>
      <w:r w:rsidR="00A44A43" w:rsidRPr="00F7791B">
        <w:t>, 30-day</w:t>
      </w:r>
      <w:r w:rsidRPr="00F7791B">
        <w:t xml:space="preserve"> Federal Register Notice (Vol. </w:t>
      </w:r>
      <w:r w:rsidR="00F7791B" w:rsidRPr="00F7791B">
        <w:t>83</w:t>
      </w:r>
      <w:r w:rsidR="00A44A43" w:rsidRPr="00F7791B">
        <w:t>,</w:t>
      </w:r>
      <w:r w:rsidRPr="00F7791B">
        <w:t xml:space="preserve"> </w:t>
      </w:r>
      <w:r w:rsidR="007D5003" w:rsidRPr="00F7791B">
        <w:t xml:space="preserve">No. </w:t>
      </w:r>
      <w:r w:rsidR="00F7791B" w:rsidRPr="00F7791B">
        <w:t>153</w:t>
      </w:r>
      <w:r w:rsidR="007D5003" w:rsidRPr="00F7791B">
        <w:t xml:space="preserve">, </w:t>
      </w:r>
      <w:r w:rsidRPr="00F7791B">
        <w:t>Page</w:t>
      </w:r>
      <w:r w:rsidR="003B6A9D" w:rsidRPr="00F7791B">
        <w:t>s</w:t>
      </w:r>
      <w:r w:rsidR="009377B5" w:rsidRPr="00F7791B">
        <w:t xml:space="preserve"> </w:t>
      </w:r>
      <w:r w:rsidR="00F7791B" w:rsidRPr="00F7791B">
        <w:t>39155-6</w:t>
      </w:r>
      <w:r w:rsidRPr="00F7791B">
        <w:t xml:space="preserve">), which announced that this information collection request </w:t>
      </w:r>
      <w:r w:rsidR="00E17F6D" w:rsidRPr="00F7791B">
        <w:t>will be</w:t>
      </w:r>
      <w:r w:rsidRPr="00F7791B">
        <w:t xml:space="preserve"> forwarded to OMB, </w:t>
      </w:r>
      <w:r w:rsidR="009377B5" w:rsidRPr="00F7791B">
        <w:t>was published</w:t>
      </w:r>
      <w:r w:rsidR="006700EC" w:rsidRPr="00F7791B">
        <w:t xml:space="preserve"> on</w:t>
      </w:r>
      <w:r w:rsidR="009377B5" w:rsidRPr="00F7791B">
        <w:t xml:space="preserve"> </w:t>
      </w:r>
      <w:r w:rsidR="00F7791B" w:rsidRPr="00F7791B">
        <w:t>August 8, 2018</w:t>
      </w:r>
      <w:r w:rsidR="009377B5" w:rsidRPr="00F7791B">
        <w:t>.</w:t>
      </w:r>
      <w:r w:rsidR="00A44A43">
        <w:t xml:space="preserve">  </w:t>
      </w:r>
    </w:p>
    <w:p w14:paraId="69C7E365" w14:textId="77777777" w:rsidR="00C800ED" w:rsidRPr="00672019" w:rsidRDefault="00C800ED" w:rsidP="00C800ED">
      <w:pPr>
        <w:ind w:left="720" w:hanging="720"/>
      </w:pPr>
    </w:p>
    <w:p w14:paraId="346B9792" w14:textId="77777777" w:rsidR="00C800ED" w:rsidRPr="00672019" w:rsidRDefault="00C800ED" w:rsidP="00C800ED">
      <w:pPr>
        <w:pStyle w:val="Heading2"/>
        <w:ind w:left="720" w:hanging="720"/>
        <w:rPr>
          <w:b/>
          <w:u w:val="none"/>
        </w:rPr>
      </w:pPr>
      <w:bookmarkStart w:id="39" w:name="_Toc125278821"/>
      <w:bookmarkStart w:id="40" w:name="_Toc125341744"/>
      <w:bookmarkStart w:id="41" w:name="_Toc125447302"/>
      <w:bookmarkStart w:id="42" w:name="_Toc126394130"/>
      <w:r w:rsidRPr="00672019">
        <w:rPr>
          <w:b/>
          <w:u w:val="none"/>
        </w:rPr>
        <w:t xml:space="preserve">A.9. </w:t>
      </w:r>
      <w:r w:rsidRPr="00672019">
        <w:rPr>
          <w:b/>
          <w:u w:val="none"/>
        </w:rPr>
        <w:tab/>
        <w:t>Explain any decision to provide any payment or gift to respondents, other than remuneration of contractors or grantees.</w:t>
      </w:r>
      <w:bookmarkEnd w:id="39"/>
      <w:bookmarkEnd w:id="40"/>
      <w:bookmarkEnd w:id="41"/>
      <w:bookmarkEnd w:id="42"/>
      <w:r w:rsidRPr="00672019">
        <w:rPr>
          <w:b/>
          <w:u w:val="none"/>
        </w:rPr>
        <w:t xml:space="preserve"> </w:t>
      </w:r>
    </w:p>
    <w:p w14:paraId="1EA29BE0" w14:textId="6570FF9E" w:rsidR="00B8167F" w:rsidRDefault="009626FA" w:rsidP="009B20BA">
      <w:pPr>
        <w:ind w:firstLine="720"/>
      </w:pPr>
      <w:r>
        <w:t xml:space="preserve">Respondents will </w:t>
      </w:r>
      <w:r w:rsidR="00F7791B">
        <w:t>receive an envelope when invited</w:t>
      </w:r>
      <w:r>
        <w:t xml:space="preserve"> to participate. </w:t>
      </w:r>
      <w:r w:rsidR="00CF5DC6">
        <w:t xml:space="preserve">The </w:t>
      </w:r>
      <w:r w:rsidR="00F7791B">
        <w:t xml:space="preserve">envelope will </w:t>
      </w:r>
      <w:r w:rsidR="00CF5DC6">
        <w:t xml:space="preserve">include a </w:t>
      </w:r>
      <w:r>
        <w:t xml:space="preserve">$2 </w:t>
      </w:r>
      <w:r w:rsidR="00CF5DC6">
        <w:t>incentive</w:t>
      </w:r>
      <w:r w:rsidR="00B8167F">
        <w:t xml:space="preserve"> (two </w:t>
      </w:r>
      <w:r w:rsidR="001D44F3">
        <w:t>one-</w:t>
      </w:r>
      <w:r w:rsidR="00B8167F">
        <w:t>dollar bills</w:t>
      </w:r>
      <w:r w:rsidR="00F7791B">
        <w:t xml:space="preserve">) </w:t>
      </w:r>
      <w:r w:rsidR="00B8167F">
        <w:t xml:space="preserve">along with the </w:t>
      </w:r>
      <w:r w:rsidR="00CF5DC6">
        <w:t xml:space="preserve">invitation </w:t>
      </w:r>
      <w:r w:rsidR="00F7791B">
        <w:t>letter</w:t>
      </w:r>
      <w:r>
        <w:t xml:space="preserve">. </w:t>
      </w:r>
      <w:r w:rsidR="00CF5DC6">
        <w:t>O</w:t>
      </w:r>
      <w:r w:rsidR="00F7791B">
        <w:t>ffering a small monetary incentive up front</w:t>
      </w:r>
      <w:r>
        <w:t xml:space="preserve"> </w:t>
      </w:r>
      <w:r w:rsidR="00CF5DC6">
        <w:t>has been shown to increase participation</w:t>
      </w:r>
      <w:r>
        <w:t>. This method is consistent with Dillman’s</w:t>
      </w:r>
      <w:r w:rsidR="00B8167F">
        <w:t xml:space="preserve"> tailored design method</w:t>
      </w:r>
      <w:r w:rsidR="00D12CEB">
        <w:rPr>
          <w:rStyle w:val="FootnoteReference"/>
        </w:rPr>
        <w:footnoteReference w:id="1"/>
      </w:r>
      <w:r w:rsidR="00B8167F">
        <w:t xml:space="preserve"> and has been successfully applied in other studies by the contractor</w:t>
      </w:r>
      <w:r w:rsidR="00676440">
        <w:t xml:space="preserve"> as well as</w:t>
      </w:r>
      <w:r w:rsidR="001D44F3">
        <w:t xml:space="preserve"> in</w:t>
      </w:r>
      <w:r w:rsidR="00676440">
        <w:t xml:space="preserve"> NHTS</w:t>
      </w:r>
      <w:r w:rsidR="00F7791B">
        <w:t xml:space="preserve">A’s Young Driver Survey (OMB Control No. </w:t>
      </w:r>
      <w:r w:rsidR="00F7791B" w:rsidRPr="00F7791B">
        <w:t>2127-0704</w:t>
      </w:r>
      <w:r w:rsidR="00676440">
        <w:t>)</w:t>
      </w:r>
      <w:r w:rsidR="00B8167F">
        <w:t>.</w:t>
      </w:r>
    </w:p>
    <w:p w14:paraId="5F42A010" w14:textId="1A9C987F" w:rsidR="009626FA" w:rsidRDefault="009E1E85" w:rsidP="009B20BA">
      <w:pPr>
        <w:ind w:firstLine="720"/>
      </w:pPr>
      <w:r>
        <w:t>S</w:t>
      </w:r>
      <w:r w:rsidR="00B8167F">
        <w:t>tudy participants will be offered $5 as compensation for completing the</w:t>
      </w:r>
      <w:r w:rsidR="00F7791B">
        <w:t xml:space="preserve"> RAPT</w:t>
      </w:r>
      <w:r w:rsidR="00B8167F">
        <w:t xml:space="preserve"> or </w:t>
      </w:r>
      <w:r w:rsidR="004B25AE">
        <w:t xml:space="preserve">placebo training protocols. A </w:t>
      </w:r>
      <w:r w:rsidR="001D44F3">
        <w:t>five-dollar</w:t>
      </w:r>
      <w:r w:rsidR="004B25AE">
        <w:t xml:space="preserve"> bill</w:t>
      </w:r>
      <w:r w:rsidR="00B8167F">
        <w:t xml:space="preserve"> will be mailed once they have completed the protocol. </w:t>
      </w:r>
      <w:r w:rsidR="00676440">
        <w:t>S</w:t>
      </w:r>
      <w:r w:rsidR="00B8167F">
        <w:t xml:space="preserve">tudy participants who complete the </w:t>
      </w:r>
      <w:r w:rsidR="001D44F3">
        <w:t>six-month</w:t>
      </w:r>
      <w:r w:rsidR="00B8167F">
        <w:t xml:space="preserve"> follow</w:t>
      </w:r>
      <w:r w:rsidR="00684223">
        <w:t>-</w:t>
      </w:r>
      <w:r w:rsidR="00B8167F">
        <w:t>up test will receive a furth</w:t>
      </w:r>
      <w:r w:rsidR="00A562B9">
        <w:t>er $1</w:t>
      </w:r>
      <w:r w:rsidR="00676440">
        <w:t>0</w:t>
      </w:r>
      <w:r w:rsidR="00B8167F">
        <w:t>.</w:t>
      </w:r>
      <w:r w:rsidR="00676440">
        <w:t xml:space="preserve"> Finally, the sub</w:t>
      </w:r>
      <w:r w:rsidR="00F7791B">
        <w:t xml:space="preserve">sample of participants who </w:t>
      </w:r>
      <w:r w:rsidR="00676440">
        <w:t>complete the drive log</w:t>
      </w:r>
      <w:r w:rsidR="008057C9">
        <w:t xml:space="preserve"> to measure exposure</w:t>
      </w:r>
      <w:r w:rsidR="00676440">
        <w:t xml:space="preserve"> will receive $10</w:t>
      </w:r>
      <w:r w:rsidR="008057C9">
        <w:t>.</w:t>
      </w:r>
      <w:r w:rsidR="00B8167F">
        <w:t xml:space="preserve"> This will also be mailed to them once they have completed this follow</w:t>
      </w:r>
      <w:r w:rsidR="00684223">
        <w:t>-</w:t>
      </w:r>
      <w:r w:rsidR="00B8167F">
        <w:t>up test.</w:t>
      </w:r>
      <w:r w:rsidR="00133783">
        <w:t xml:space="preserve"> The maximum incentive for any one participant would be $27.</w:t>
      </w:r>
      <w:r w:rsidR="009626FA">
        <w:t xml:space="preserve">  </w:t>
      </w:r>
    </w:p>
    <w:p w14:paraId="1A036ECA" w14:textId="71CE6869" w:rsidR="00B8167F" w:rsidRPr="008057C9" w:rsidRDefault="00133783" w:rsidP="008057C9">
      <w:pPr>
        <w:ind w:firstLine="720"/>
        <w:rPr>
          <w:color w:val="000000"/>
          <w:lang w:val="en-CA"/>
        </w:rPr>
      </w:pPr>
      <w:r>
        <w:rPr>
          <w:color w:val="000000"/>
        </w:rPr>
        <w:t>P</w:t>
      </w:r>
      <w:r w:rsidR="00B8167F">
        <w:rPr>
          <w:color w:val="000000"/>
        </w:rPr>
        <w:t>revious experience working with large samples of teens</w:t>
      </w:r>
      <w:r w:rsidR="008057C9">
        <w:rPr>
          <w:color w:val="000000"/>
        </w:rPr>
        <w:t xml:space="preserve"> (notably</w:t>
      </w:r>
      <w:r w:rsidR="001D44F3">
        <w:rPr>
          <w:color w:val="000000"/>
        </w:rPr>
        <w:t>,</w:t>
      </w:r>
      <w:r w:rsidR="008057C9">
        <w:rPr>
          <w:color w:val="000000"/>
        </w:rPr>
        <w:t xml:space="preserve"> in an evaluation project of driver education conducted in Oregon and Manitoba</w:t>
      </w:r>
      <w:r w:rsidR="00684223">
        <w:rPr>
          <w:rStyle w:val="FootnoteReference"/>
          <w:color w:val="000000"/>
        </w:rPr>
        <w:footnoteReference w:id="2"/>
      </w:r>
      <w:r w:rsidR="008057C9">
        <w:rPr>
          <w:color w:val="000000"/>
          <w:lang w:val="en-CA"/>
        </w:rPr>
        <w:t>)</w:t>
      </w:r>
      <w:r w:rsidR="00B8167F">
        <w:rPr>
          <w:color w:val="000000"/>
        </w:rPr>
        <w:t xml:space="preserve"> indicates that using this method of dispensing small amounts merely to invite teens to participate in combination with higher, yet still relatively small, amounts to compensate for participation works well to recruit participants from this population.</w:t>
      </w:r>
    </w:p>
    <w:p w14:paraId="10BE0138" w14:textId="77777777" w:rsidR="00C1477E" w:rsidRPr="00B8167F" w:rsidRDefault="006979AF" w:rsidP="00B8167F">
      <w:pPr>
        <w:ind w:firstLine="720"/>
      </w:pPr>
      <w:r>
        <w:rPr>
          <w:color w:val="000000"/>
        </w:rPr>
        <w:t> </w:t>
      </w:r>
      <w:bookmarkStart w:id="43" w:name="_Toc125278822"/>
      <w:bookmarkStart w:id="44" w:name="_Toc125341745"/>
      <w:bookmarkStart w:id="45" w:name="_Toc125447303"/>
      <w:bookmarkStart w:id="46" w:name="_Toc126394131"/>
    </w:p>
    <w:p w14:paraId="64417FE8" w14:textId="77777777" w:rsidR="00C800ED" w:rsidRPr="00672019" w:rsidRDefault="00C800ED" w:rsidP="00C800ED">
      <w:pPr>
        <w:pStyle w:val="Heading2"/>
        <w:rPr>
          <w:b/>
          <w:u w:val="none"/>
        </w:rPr>
      </w:pPr>
      <w:r w:rsidRPr="00672019">
        <w:rPr>
          <w:b/>
          <w:u w:val="none"/>
        </w:rPr>
        <w:t xml:space="preserve">A.10. </w:t>
      </w:r>
      <w:r w:rsidRPr="00672019">
        <w:rPr>
          <w:b/>
          <w:u w:val="none"/>
        </w:rPr>
        <w:tab/>
        <w:t>Describe any assurance of confidentiality provided to respondents</w:t>
      </w:r>
      <w:bookmarkEnd w:id="43"/>
      <w:bookmarkEnd w:id="44"/>
      <w:bookmarkEnd w:id="45"/>
      <w:bookmarkEnd w:id="46"/>
    </w:p>
    <w:p w14:paraId="3FD4DAD2" w14:textId="49DABECC" w:rsidR="00682869" w:rsidRPr="005720E8" w:rsidRDefault="00B8167F" w:rsidP="00DB25DC">
      <w:pPr>
        <w:ind w:firstLine="720"/>
      </w:pPr>
      <w:r>
        <w:t>Teens</w:t>
      </w:r>
      <w:r w:rsidR="00576E6D">
        <w:t xml:space="preserve"> who are qualified and choose to participate in this study will be</w:t>
      </w:r>
      <w:r w:rsidR="00682869" w:rsidRPr="00562097">
        <w:t xml:space="preserve"> asked to execute an </w:t>
      </w:r>
      <w:r w:rsidR="00533FB6">
        <w:t>i</w:t>
      </w:r>
      <w:r w:rsidR="00682869" w:rsidRPr="00562097">
        <w:t xml:space="preserve">nformed </w:t>
      </w:r>
      <w:r w:rsidR="00533FB6">
        <w:t>c</w:t>
      </w:r>
      <w:r w:rsidR="00682869" w:rsidRPr="00562097">
        <w:t xml:space="preserve">onsent </w:t>
      </w:r>
      <w:r w:rsidR="00533FB6">
        <w:t>form</w:t>
      </w:r>
      <w:r w:rsidR="008F24DF">
        <w:t>,</w:t>
      </w:r>
      <w:r w:rsidR="002B7375">
        <w:t xml:space="preserve"> as will their parent or guardian</w:t>
      </w:r>
      <w:r w:rsidR="00691782">
        <w:t xml:space="preserve"> if the teen is under the age of 18</w:t>
      </w:r>
      <w:r w:rsidR="00533FB6">
        <w:t xml:space="preserve">. The consent form </w:t>
      </w:r>
      <w:r w:rsidR="00682869" w:rsidRPr="00562097">
        <w:t xml:space="preserve">promises that no individual results and no personal information will be published and </w:t>
      </w:r>
      <w:r w:rsidR="00533FB6">
        <w:t xml:space="preserve">that </w:t>
      </w:r>
      <w:r w:rsidR="00682869" w:rsidRPr="00562097">
        <w:t>no personal results will be shared with any licensing regulatory authority. All published results will provide only summary statistics that cannot be used to ident</w:t>
      </w:r>
      <w:r w:rsidR="00562097" w:rsidRPr="00562097">
        <w:t>ify any individual or individual</w:t>
      </w:r>
      <w:r w:rsidR="00576E6D">
        <w:t>’s</w:t>
      </w:r>
      <w:r w:rsidR="00562097" w:rsidRPr="00562097">
        <w:t xml:space="preserve"> responses.</w:t>
      </w:r>
    </w:p>
    <w:p w14:paraId="63DB8793" w14:textId="77777777" w:rsidR="00C800ED" w:rsidRPr="00672019" w:rsidRDefault="00C800ED" w:rsidP="00C800ED">
      <w:pPr>
        <w:ind w:left="720" w:hanging="720"/>
      </w:pPr>
    </w:p>
    <w:p w14:paraId="77ECF1B5" w14:textId="77777777" w:rsidR="00C800ED" w:rsidRPr="00672019" w:rsidRDefault="00C800ED" w:rsidP="00C800ED">
      <w:pPr>
        <w:pStyle w:val="Heading2"/>
        <w:ind w:left="720" w:hanging="720"/>
        <w:rPr>
          <w:b/>
          <w:u w:val="none"/>
        </w:rPr>
      </w:pPr>
      <w:bookmarkStart w:id="47" w:name="_Toc125278823"/>
      <w:bookmarkStart w:id="48" w:name="_Toc125341746"/>
      <w:bookmarkStart w:id="49" w:name="_Toc125447304"/>
      <w:bookmarkStart w:id="50" w:name="_Toc126394132"/>
      <w:r w:rsidRPr="00672019">
        <w:rPr>
          <w:b/>
          <w:u w:val="none"/>
        </w:rPr>
        <w:t>A.11.</w:t>
      </w:r>
      <w:r w:rsidRPr="00672019">
        <w:rPr>
          <w:b/>
          <w:u w:val="none"/>
        </w:rPr>
        <w:tab/>
        <w:t>Provide additional justification for any questions of a sensitive nature, such as sexual behavior or attitudes, religious beliefs, and other matters that are commonly considered private.</w:t>
      </w:r>
      <w:bookmarkEnd w:id="47"/>
      <w:bookmarkEnd w:id="48"/>
      <w:bookmarkEnd w:id="49"/>
      <w:bookmarkEnd w:id="50"/>
    </w:p>
    <w:p w14:paraId="5801AEC1" w14:textId="77777777" w:rsidR="00562097" w:rsidRPr="00562097" w:rsidRDefault="00576E6D" w:rsidP="00576E6D">
      <w:pPr>
        <w:ind w:firstLine="720"/>
      </w:pPr>
      <w:r>
        <w:t xml:space="preserve">No questions </w:t>
      </w:r>
      <w:r w:rsidR="00F100B4">
        <w:t>commonly considered private or sensitive in nature</w:t>
      </w:r>
      <w:r>
        <w:t xml:space="preserve"> will be asked </w:t>
      </w:r>
      <w:r w:rsidR="00533FB6">
        <w:t>as part of this study</w:t>
      </w:r>
      <w:r w:rsidR="009830F6">
        <w:t xml:space="preserve">. </w:t>
      </w:r>
      <w:r w:rsidR="00FC64B6">
        <w:t xml:space="preserve"> </w:t>
      </w:r>
    </w:p>
    <w:p w14:paraId="539A01A5" w14:textId="77777777" w:rsidR="00DA3DD3" w:rsidRPr="00672019" w:rsidRDefault="00DA3DD3" w:rsidP="00C800ED"/>
    <w:p w14:paraId="563E077C" w14:textId="77777777" w:rsidR="00C800ED" w:rsidRPr="00672019" w:rsidRDefault="00C800ED" w:rsidP="00C800ED">
      <w:pPr>
        <w:pStyle w:val="Heading2"/>
        <w:ind w:left="720" w:hanging="720"/>
        <w:rPr>
          <w:b/>
          <w:u w:val="none"/>
        </w:rPr>
      </w:pPr>
      <w:bookmarkStart w:id="51" w:name="_Toc125278824"/>
      <w:bookmarkStart w:id="52" w:name="_Toc125341747"/>
      <w:bookmarkStart w:id="53" w:name="_Toc125447305"/>
      <w:bookmarkStart w:id="54" w:name="_Toc126394133"/>
      <w:r w:rsidRPr="00672019">
        <w:rPr>
          <w:b/>
          <w:u w:val="none"/>
        </w:rPr>
        <w:t>A.12.</w:t>
      </w:r>
      <w:r w:rsidRPr="00672019">
        <w:rPr>
          <w:b/>
          <w:u w:val="none"/>
        </w:rPr>
        <w:tab/>
        <w:t>Provide estimates of the hour burden of the collection of information on the respondents.</w:t>
      </w:r>
      <w:bookmarkEnd w:id="51"/>
      <w:bookmarkEnd w:id="52"/>
      <w:bookmarkEnd w:id="53"/>
      <w:bookmarkEnd w:id="54"/>
    </w:p>
    <w:p w14:paraId="24B1F325" w14:textId="636B7BA3" w:rsidR="00185E07" w:rsidRDefault="000054CE">
      <w:pPr>
        <w:widowControl w:val="0"/>
        <w:autoSpaceDE w:val="0"/>
        <w:autoSpaceDN w:val="0"/>
        <w:adjustRightInd w:val="0"/>
        <w:ind w:firstLine="720"/>
        <w:rPr>
          <w:rFonts w:ascii="Times" w:hAnsi="Times" w:cs="Arial"/>
        </w:rPr>
      </w:pPr>
      <w:r>
        <w:rPr>
          <w:rFonts w:ascii="Times" w:hAnsi="Times" w:cs="Arial"/>
        </w:rPr>
        <w:t>The total estimated burden for th</w:t>
      </w:r>
      <w:r w:rsidR="00B8167F">
        <w:rPr>
          <w:rFonts w:ascii="Times" w:hAnsi="Times" w:cs="Arial"/>
        </w:rPr>
        <w:t xml:space="preserve">is information collection is </w:t>
      </w:r>
      <w:r w:rsidR="00F341E0">
        <w:rPr>
          <w:rFonts w:ascii="Times" w:hAnsi="Times" w:cs="Arial"/>
        </w:rPr>
        <w:t>12,542</w:t>
      </w:r>
      <w:r w:rsidR="00B8167F">
        <w:rPr>
          <w:rFonts w:ascii="Times" w:hAnsi="Times" w:cs="Arial"/>
        </w:rPr>
        <w:t xml:space="preserve"> hours</w:t>
      </w:r>
      <w:r>
        <w:rPr>
          <w:rFonts w:ascii="Times" w:hAnsi="Times" w:cs="Arial"/>
        </w:rPr>
        <w:t>. The following table summarizes the calcu</w:t>
      </w:r>
      <w:r w:rsidR="00E712D6">
        <w:rPr>
          <w:rFonts w:ascii="Times" w:hAnsi="Times" w:cs="Arial"/>
        </w:rPr>
        <w:t xml:space="preserve">lation of this estimated burden. </w:t>
      </w:r>
    </w:p>
    <w:p w14:paraId="2D730E2F" w14:textId="74A44DD7" w:rsidR="0060736E" w:rsidRDefault="0060736E">
      <w:pPr>
        <w:widowControl w:val="0"/>
        <w:autoSpaceDE w:val="0"/>
        <w:autoSpaceDN w:val="0"/>
        <w:adjustRightInd w:val="0"/>
        <w:ind w:firstLine="720"/>
        <w:rPr>
          <w:rFonts w:ascii="Times" w:hAnsi="Times" w:cs="Arial"/>
        </w:rPr>
      </w:pPr>
    </w:p>
    <w:p w14:paraId="5E4B2DA3" w14:textId="77777777" w:rsidR="000E0FDD" w:rsidRDefault="000E0FDD">
      <w:pPr>
        <w:widowControl w:val="0"/>
        <w:autoSpaceDE w:val="0"/>
        <w:autoSpaceDN w:val="0"/>
        <w:adjustRightInd w:val="0"/>
        <w:ind w:firstLine="720"/>
        <w:rPr>
          <w:rFonts w:ascii="Times" w:hAnsi="Times" w:cs="Arial"/>
        </w:rPr>
      </w:pPr>
    </w:p>
    <w:p w14:paraId="3FDED65D" w14:textId="269E6022" w:rsidR="002B2F5E" w:rsidRDefault="00185E07" w:rsidP="00C30020">
      <w:pPr>
        <w:widowControl w:val="0"/>
        <w:autoSpaceDE w:val="0"/>
        <w:autoSpaceDN w:val="0"/>
        <w:adjustRightInd w:val="0"/>
        <w:rPr>
          <w:rFonts w:ascii="Times" w:hAnsi="Times" w:cs="Arial"/>
          <w:i/>
          <w:color w:val="000000" w:themeColor="text1"/>
        </w:rPr>
      </w:pPr>
      <w:r w:rsidRPr="009B20BA">
        <w:rPr>
          <w:rFonts w:ascii="Times" w:hAnsi="Times" w:cs="Arial"/>
          <w:i/>
          <w:color w:val="000000" w:themeColor="text1"/>
        </w:rPr>
        <w:t>Table 1.</w:t>
      </w:r>
      <w:r w:rsidR="00E712D6" w:rsidRPr="009B20BA">
        <w:rPr>
          <w:rFonts w:ascii="Times" w:hAnsi="Times" w:cs="Arial"/>
          <w:i/>
          <w:color w:val="000000" w:themeColor="text1"/>
        </w:rPr>
        <w:t xml:space="preserve"> Calculation of Burden Hours</w:t>
      </w:r>
    </w:p>
    <w:tbl>
      <w:tblPr>
        <w:tblW w:w="9360" w:type="dxa"/>
        <w:tblInd w:w="2" w:type="dxa"/>
        <w:tblLayout w:type="fixed"/>
        <w:tblCellMar>
          <w:left w:w="0" w:type="dxa"/>
          <w:right w:w="0" w:type="dxa"/>
        </w:tblCellMar>
        <w:tblLook w:val="04A0" w:firstRow="1" w:lastRow="0" w:firstColumn="1" w:lastColumn="0" w:noHBand="0" w:noVBand="1"/>
      </w:tblPr>
      <w:tblGrid>
        <w:gridCol w:w="533"/>
        <w:gridCol w:w="4410"/>
        <w:gridCol w:w="1350"/>
        <w:gridCol w:w="1350"/>
        <w:gridCol w:w="1717"/>
      </w:tblGrid>
      <w:tr w:rsidR="005D4304" w:rsidRPr="009A3B13" w14:paraId="68111E30" w14:textId="77777777" w:rsidTr="00ED008C">
        <w:trPr>
          <w:trHeight w:val="288"/>
        </w:trPr>
        <w:tc>
          <w:tcPr>
            <w:tcW w:w="4943" w:type="dxa"/>
            <w:gridSpan w:val="2"/>
            <w:tcBorders>
              <w:top w:val="single" w:sz="4" w:space="0" w:color="auto"/>
              <w:left w:val="single" w:sz="4" w:space="0" w:color="auto"/>
              <w:bottom w:val="single" w:sz="4" w:space="0" w:color="auto"/>
            </w:tcBorders>
            <w:vAlign w:val="center"/>
          </w:tcPr>
          <w:p w14:paraId="3F61D1B2" w14:textId="77777777" w:rsidR="005D4304" w:rsidRPr="002775F1" w:rsidRDefault="005D4304" w:rsidP="00ED008C">
            <w:pPr>
              <w:spacing w:after="0"/>
              <w:rPr>
                <w:b/>
                <w:color w:val="000000"/>
                <w:sz w:val="20"/>
                <w:szCs w:val="20"/>
              </w:rPr>
            </w:pPr>
            <w:r>
              <w:rPr>
                <w:b/>
                <w:color w:val="000000"/>
                <w:sz w:val="20"/>
                <w:szCs w:val="20"/>
              </w:rPr>
              <w:t>Form/Activity</w:t>
            </w:r>
          </w:p>
        </w:tc>
        <w:tc>
          <w:tcPr>
            <w:tcW w:w="1350" w:type="dxa"/>
            <w:tcBorders>
              <w:top w:val="single" w:sz="4" w:space="0" w:color="auto"/>
              <w:bottom w:val="single" w:sz="4" w:space="0" w:color="auto"/>
            </w:tcBorders>
            <w:tcMar>
              <w:top w:w="0" w:type="dxa"/>
              <w:left w:w="108" w:type="dxa"/>
              <w:bottom w:w="0" w:type="dxa"/>
              <w:right w:w="108" w:type="dxa"/>
            </w:tcMar>
            <w:vAlign w:val="center"/>
            <w:hideMark/>
          </w:tcPr>
          <w:p w14:paraId="26B6651E" w14:textId="77777777" w:rsidR="005D4304" w:rsidRPr="009A3B13" w:rsidRDefault="005D4304" w:rsidP="00ED008C">
            <w:pPr>
              <w:spacing w:after="0"/>
              <w:rPr>
                <w:rFonts w:eastAsiaTheme="minorHAnsi"/>
                <w:b/>
                <w:bCs/>
                <w:color w:val="000000"/>
                <w:sz w:val="20"/>
                <w:szCs w:val="20"/>
              </w:rPr>
            </w:pPr>
            <w:r w:rsidRPr="009A3B13">
              <w:rPr>
                <w:b/>
                <w:bCs/>
                <w:color w:val="000000"/>
                <w:sz w:val="20"/>
                <w:szCs w:val="20"/>
              </w:rPr>
              <w:t>Participants</w:t>
            </w:r>
          </w:p>
        </w:tc>
        <w:tc>
          <w:tcPr>
            <w:tcW w:w="1350" w:type="dxa"/>
            <w:tcBorders>
              <w:top w:val="single" w:sz="4" w:space="0" w:color="auto"/>
              <w:bottom w:val="single" w:sz="4" w:space="0" w:color="auto"/>
            </w:tcBorders>
            <w:tcMar>
              <w:top w:w="0" w:type="dxa"/>
              <w:left w:w="108" w:type="dxa"/>
              <w:bottom w:w="0" w:type="dxa"/>
              <w:right w:w="108" w:type="dxa"/>
            </w:tcMar>
            <w:vAlign w:val="center"/>
            <w:hideMark/>
          </w:tcPr>
          <w:p w14:paraId="3E52065E" w14:textId="77777777" w:rsidR="005D4304" w:rsidRPr="009A3B13" w:rsidRDefault="005D4304" w:rsidP="00ED008C">
            <w:pPr>
              <w:spacing w:after="0"/>
              <w:rPr>
                <w:rFonts w:eastAsiaTheme="minorHAnsi"/>
                <w:b/>
                <w:bCs/>
                <w:color w:val="000000"/>
                <w:sz w:val="20"/>
                <w:szCs w:val="20"/>
              </w:rPr>
            </w:pPr>
            <w:r w:rsidRPr="009A3B13">
              <w:rPr>
                <w:b/>
                <w:bCs/>
                <w:color w:val="000000"/>
                <w:sz w:val="20"/>
                <w:szCs w:val="20"/>
              </w:rPr>
              <w:t>Minutes per Participant</w:t>
            </w:r>
          </w:p>
        </w:tc>
        <w:tc>
          <w:tcPr>
            <w:tcW w:w="1717"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6BCB0F26" w14:textId="77777777" w:rsidR="005D4304" w:rsidRPr="009A3B13" w:rsidRDefault="005D4304" w:rsidP="00ED008C">
            <w:pPr>
              <w:spacing w:after="0"/>
              <w:rPr>
                <w:rFonts w:eastAsiaTheme="minorHAnsi"/>
                <w:b/>
                <w:bCs/>
                <w:color w:val="000000"/>
                <w:sz w:val="20"/>
                <w:szCs w:val="20"/>
              </w:rPr>
            </w:pPr>
            <w:r>
              <w:rPr>
                <w:b/>
                <w:bCs/>
                <w:color w:val="000000"/>
                <w:sz w:val="20"/>
                <w:szCs w:val="20"/>
              </w:rPr>
              <w:t>Estimated Burden H</w:t>
            </w:r>
            <w:r w:rsidRPr="009A3B13">
              <w:rPr>
                <w:b/>
                <w:bCs/>
                <w:color w:val="000000"/>
                <w:sz w:val="20"/>
                <w:szCs w:val="20"/>
              </w:rPr>
              <w:t>ours</w:t>
            </w:r>
          </w:p>
        </w:tc>
      </w:tr>
      <w:tr w:rsidR="003C180B" w:rsidRPr="009A3B13" w14:paraId="05CFA44F"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77474FDC" w14:textId="1CDF3231" w:rsidR="003C180B" w:rsidRPr="002775F1" w:rsidRDefault="003C180B" w:rsidP="00ED008C">
            <w:pPr>
              <w:spacing w:after="0"/>
              <w:rPr>
                <w:b/>
                <w:color w:val="000000"/>
                <w:sz w:val="20"/>
                <w:szCs w:val="20"/>
              </w:rPr>
            </w:pPr>
            <w:r>
              <w:rPr>
                <w:b/>
                <w:color w:val="000000"/>
                <w:sz w:val="20"/>
                <w:szCs w:val="20"/>
              </w:rPr>
              <w:t>Recruitment</w:t>
            </w:r>
          </w:p>
        </w:tc>
      </w:tr>
      <w:tr w:rsidR="005D4304" w:rsidRPr="009A3B13" w14:paraId="27137165"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73BFFB2A" w14:textId="77777777" w:rsidR="005D4304" w:rsidRPr="009A3B13" w:rsidRDefault="005D4304" w:rsidP="00ED008C">
            <w:pPr>
              <w:spacing w:after="0"/>
              <w:rPr>
                <w:color w:val="000000"/>
                <w:sz w:val="20"/>
                <w:szCs w:val="20"/>
              </w:rPr>
            </w:pPr>
            <w:r w:rsidRPr="002775F1">
              <w:rPr>
                <w:b/>
                <w:color w:val="000000"/>
                <w:sz w:val="20"/>
                <w:szCs w:val="20"/>
              </w:rPr>
              <w:t>1454—Teen Recruitment Invitation</w:t>
            </w:r>
          </w:p>
        </w:tc>
      </w:tr>
      <w:tr w:rsidR="005D4304" w:rsidRPr="009A3B13" w14:paraId="49CBFAC8" w14:textId="77777777" w:rsidTr="00ED008C">
        <w:trPr>
          <w:trHeight w:val="288"/>
        </w:trPr>
        <w:tc>
          <w:tcPr>
            <w:tcW w:w="533" w:type="dxa"/>
            <w:tcBorders>
              <w:left w:val="single" w:sz="4" w:space="0" w:color="auto"/>
              <w:bottom w:val="single" w:sz="4" w:space="0" w:color="auto"/>
            </w:tcBorders>
            <w:vAlign w:val="center"/>
          </w:tcPr>
          <w:p w14:paraId="2FF20257" w14:textId="77777777" w:rsidR="005D4304" w:rsidRDefault="005D4304" w:rsidP="00ED008C">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7250847E" w14:textId="5802843E" w:rsidR="005D4304" w:rsidRPr="009A3B13" w:rsidRDefault="005D4304" w:rsidP="00ED008C">
            <w:pPr>
              <w:spacing w:after="0"/>
              <w:rPr>
                <w:color w:val="000000"/>
                <w:sz w:val="20"/>
                <w:szCs w:val="20"/>
              </w:rPr>
            </w:pPr>
            <w:r>
              <w:rPr>
                <w:color w:val="000000"/>
                <w:sz w:val="20"/>
                <w:szCs w:val="20"/>
              </w:rPr>
              <w:t>Teens</w:t>
            </w:r>
            <w:r w:rsidR="003C180B">
              <w:rPr>
                <w:color w:val="000000"/>
                <w:sz w:val="20"/>
                <w:szCs w:val="20"/>
              </w:rPr>
              <w:t xml:space="preserve"> and parents </w:t>
            </w:r>
            <w:r>
              <w:rPr>
                <w:color w:val="000000"/>
                <w:sz w:val="20"/>
                <w:szCs w:val="20"/>
              </w:rPr>
              <w:t>read recruitment invitation</w:t>
            </w:r>
          </w:p>
        </w:tc>
        <w:tc>
          <w:tcPr>
            <w:tcW w:w="1350" w:type="dxa"/>
            <w:tcBorders>
              <w:bottom w:val="single" w:sz="4" w:space="0" w:color="auto"/>
            </w:tcBorders>
            <w:tcMar>
              <w:top w:w="0" w:type="dxa"/>
              <w:left w:w="108" w:type="dxa"/>
              <w:bottom w:w="0" w:type="dxa"/>
              <w:right w:w="108" w:type="dxa"/>
            </w:tcMar>
            <w:vAlign w:val="center"/>
          </w:tcPr>
          <w:p w14:paraId="15F7BB28" w14:textId="77777777" w:rsidR="005D4304" w:rsidRPr="009A3B13" w:rsidRDefault="005D4304" w:rsidP="00ED008C">
            <w:pPr>
              <w:spacing w:after="0"/>
              <w:rPr>
                <w:color w:val="000000"/>
                <w:sz w:val="20"/>
                <w:szCs w:val="20"/>
              </w:rPr>
            </w:pPr>
            <w:r w:rsidRPr="009A3B13">
              <w:rPr>
                <w:color w:val="000000"/>
                <w:sz w:val="20"/>
                <w:szCs w:val="20"/>
              </w:rPr>
              <w:t>60,000</w:t>
            </w:r>
          </w:p>
        </w:tc>
        <w:tc>
          <w:tcPr>
            <w:tcW w:w="1350" w:type="dxa"/>
            <w:tcBorders>
              <w:bottom w:val="single" w:sz="4" w:space="0" w:color="auto"/>
            </w:tcBorders>
            <w:tcMar>
              <w:top w:w="0" w:type="dxa"/>
              <w:left w:w="108" w:type="dxa"/>
              <w:bottom w:w="0" w:type="dxa"/>
              <w:right w:w="108" w:type="dxa"/>
            </w:tcMar>
            <w:vAlign w:val="center"/>
          </w:tcPr>
          <w:p w14:paraId="5BD397DD" w14:textId="77777777" w:rsidR="005D4304" w:rsidRPr="009A3B13" w:rsidRDefault="005D4304" w:rsidP="00ED008C">
            <w:pPr>
              <w:spacing w:after="0"/>
              <w:rPr>
                <w:color w:val="000000"/>
                <w:sz w:val="20"/>
                <w:szCs w:val="20"/>
              </w:rPr>
            </w:pPr>
            <w:r w:rsidRPr="009A3B13">
              <w:rPr>
                <w:color w:val="000000"/>
                <w:sz w:val="20"/>
                <w:szCs w:val="20"/>
              </w:rPr>
              <w:t>2</w:t>
            </w: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5F75EB2D" w14:textId="77777777" w:rsidR="005D4304" w:rsidRPr="009A3B13" w:rsidRDefault="005D4304" w:rsidP="00ED008C">
            <w:pPr>
              <w:spacing w:after="0"/>
              <w:rPr>
                <w:color w:val="000000"/>
                <w:sz w:val="20"/>
                <w:szCs w:val="20"/>
              </w:rPr>
            </w:pPr>
            <w:r w:rsidRPr="009A3B13">
              <w:rPr>
                <w:color w:val="000000"/>
                <w:sz w:val="20"/>
                <w:szCs w:val="20"/>
              </w:rPr>
              <w:t>2,000</w:t>
            </w:r>
          </w:p>
        </w:tc>
      </w:tr>
      <w:tr w:rsidR="003C180B" w:rsidRPr="009A3B13" w14:paraId="3BBDC3A5"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42CC8958" w14:textId="403457E1" w:rsidR="003C180B" w:rsidRDefault="003C180B" w:rsidP="00ED008C">
            <w:pPr>
              <w:spacing w:after="0"/>
              <w:rPr>
                <w:b/>
                <w:color w:val="000000"/>
                <w:sz w:val="20"/>
                <w:szCs w:val="20"/>
              </w:rPr>
            </w:pPr>
            <w:r>
              <w:rPr>
                <w:b/>
                <w:color w:val="000000"/>
                <w:sz w:val="20"/>
                <w:szCs w:val="20"/>
              </w:rPr>
              <w:t>Consent and Training</w:t>
            </w:r>
          </w:p>
        </w:tc>
      </w:tr>
      <w:tr w:rsidR="005D4304" w:rsidRPr="009A3B13" w14:paraId="667BEC50"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3160B7E7" w14:textId="4D5525B8" w:rsidR="005D4304" w:rsidRPr="009A3B13" w:rsidRDefault="000E0FDD" w:rsidP="00ED008C">
            <w:pPr>
              <w:spacing w:after="0"/>
              <w:rPr>
                <w:color w:val="000000"/>
                <w:sz w:val="20"/>
                <w:szCs w:val="20"/>
              </w:rPr>
            </w:pPr>
            <w:r>
              <w:rPr>
                <w:b/>
                <w:color w:val="000000"/>
                <w:sz w:val="20"/>
                <w:szCs w:val="20"/>
              </w:rPr>
              <w:t>1455—Parent/Guardian Consent</w:t>
            </w:r>
          </w:p>
        </w:tc>
      </w:tr>
      <w:tr w:rsidR="005D4304" w:rsidRPr="009A3B13" w14:paraId="40FCCFE8" w14:textId="77777777" w:rsidTr="00ED008C">
        <w:trPr>
          <w:trHeight w:val="288"/>
        </w:trPr>
        <w:tc>
          <w:tcPr>
            <w:tcW w:w="533" w:type="dxa"/>
            <w:tcBorders>
              <w:left w:val="single" w:sz="4" w:space="0" w:color="auto"/>
              <w:bottom w:val="single" w:sz="4" w:space="0" w:color="auto"/>
            </w:tcBorders>
            <w:vAlign w:val="center"/>
          </w:tcPr>
          <w:p w14:paraId="3B259945" w14:textId="77777777" w:rsidR="005D4304" w:rsidRDefault="005D4304" w:rsidP="00ED008C">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2C75CE99" w14:textId="111EBAA3" w:rsidR="005D4304" w:rsidRDefault="005D4304" w:rsidP="00ED008C">
            <w:pPr>
              <w:spacing w:after="0"/>
              <w:rPr>
                <w:color w:val="000000"/>
                <w:sz w:val="20"/>
                <w:szCs w:val="20"/>
              </w:rPr>
            </w:pPr>
            <w:r>
              <w:rPr>
                <w:color w:val="000000"/>
                <w:sz w:val="20"/>
                <w:szCs w:val="20"/>
              </w:rPr>
              <w:t xml:space="preserve">Parents read and </w:t>
            </w:r>
            <w:r w:rsidR="000E0FDD">
              <w:rPr>
                <w:color w:val="000000"/>
                <w:sz w:val="20"/>
                <w:szCs w:val="20"/>
              </w:rPr>
              <w:t xml:space="preserve">agree to </w:t>
            </w:r>
            <w:r>
              <w:rPr>
                <w:color w:val="000000"/>
                <w:sz w:val="20"/>
                <w:szCs w:val="20"/>
              </w:rPr>
              <w:t>consent form</w:t>
            </w:r>
          </w:p>
        </w:tc>
        <w:tc>
          <w:tcPr>
            <w:tcW w:w="1350" w:type="dxa"/>
            <w:tcBorders>
              <w:bottom w:val="single" w:sz="4" w:space="0" w:color="auto"/>
            </w:tcBorders>
            <w:tcMar>
              <w:top w:w="0" w:type="dxa"/>
              <w:left w:w="108" w:type="dxa"/>
              <w:bottom w:w="0" w:type="dxa"/>
              <w:right w:w="108" w:type="dxa"/>
            </w:tcMar>
            <w:vAlign w:val="center"/>
          </w:tcPr>
          <w:p w14:paraId="3E8397F4" w14:textId="77777777" w:rsidR="005D4304" w:rsidRDefault="005D4304" w:rsidP="00ED008C">
            <w:pPr>
              <w:spacing w:after="0"/>
              <w:rPr>
                <w:color w:val="000000"/>
                <w:sz w:val="20"/>
                <w:szCs w:val="20"/>
              </w:rPr>
            </w:pPr>
            <w:r>
              <w:rPr>
                <w:color w:val="000000"/>
                <w:sz w:val="20"/>
                <w:szCs w:val="20"/>
              </w:rPr>
              <w:t>10,000</w:t>
            </w:r>
          </w:p>
        </w:tc>
        <w:tc>
          <w:tcPr>
            <w:tcW w:w="1350" w:type="dxa"/>
            <w:tcBorders>
              <w:bottom w:val="single" w:sz="4" w:space="0" w:color="auto"/>
            </w:tcBorders>
            <w:tcMar>
              <w:top w:w="0" w:type="dxa"/>
              <w:left w:w="108" w:type="dxa"/>
              <w:bottom w:w="0" w:type="dxa"/>
              <w:right w:w="108" w:type="dxa"/>
            </w:tcMar>
            <w:vAlign w:val="center"/>
          </w:tcPr>
          <w:p w14:paraId="59693359" w14:textId="77777777" w:rsidR="005D4304" w:rsidRDefault="005D4304" w:rsidP="00ED008C">
            <w:pPr>
              <w:spacing w:after="0"/>
              <w:rPr>
                <w:color w:val="000000"/>
                <w:sz w:val="20"/>
                <w:szCs w:val="20"/>
              </w:rPr>
            </w:pPr>
            <w:r>
              <w:rPr>
                <w:color w:val="000000"/>
                <w:sz w:val="20"/>
                <w:szCs w:val="20"/>
              </w:rPr>
              <w:t>3</w:t>
            </w: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33E3B0A7" w14:textId="77777777" w:rsidR="005D4304" w:rsidRDefault="005D4304" w:rsidP="00ED008C">
            <w:pPr>
              <w:spacing w:after="0"/>
              <w:rPr>
                <w:color w:val="000000"/>
                <w:sz w:val="20"/>
                <w:szCs w:val="20"/>
              </w:rPr>
            </w:pPr>
            <w:r>
              <w:rPr>
                <w:color w:val="000000"/>
                <w:sz w:val="20"/>
                <w:szCs w:val="20"/>
              </w:rPr>
              <w:t>500</w:t>
            </w:r>
          </w:p>
        </w:tc>
      </w:tr>
      <w:tr w:rsidR="005D4304" w:rsidRPr="009A3B13" w14:paraId="2B0EEDD2"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3DC0DDEF" w14:textId="77777777" w:rsidR="005D4304" w:rsidRDefault="005D4304" w:rsidP="00ED008C">
            <w:pPr>
              <w:spacing w:after="0"/>
              <w:rPr>
                <w:color w:val="000000"/>
                <w:sz w:val="20"/>
                <w:szCs w:val="20"/>
              </w:rPr>
            </w:pPr>
            <w:r w:rsidRPr="00E13F0F">
              <w:rPr>
                <w:b/>
                <w:color w:val="000000"/>
                <w:sz w:val="20"/>
                <w:szCs w:val="20"/>
              </w:rPr>
              <w:t>1456—Teen Agreement to Participate</w:t>
            </w:r>
          </w:p>
        </w:tc>
      </w:tr>
      <w:tr w:rsidR="005D4304" w:rsidRPr="009A3B13" w14:paraId="188EB802" w14:textId="77777777" w:rsidTr="00ED008C">
        <w:trPr>
          <w:trHeight w:val="288"/>
        </w:trPr>
        <w:tc>
          <w:tcPr>
            <w:tcW w:w="533" w:type="dxa"/>
            <w:tcBorders>
              <w:left w:val="single" w:sz="4" w:space="0" w:color="auto"/>
            </w:tcBorders>
            <w:vAlign w:val="center"/>
          </w:tcPr>
          <w:p w14:paraId="76C65C84" w14:textId="77777777" w:rsidR="005D4304" w:rsidRPr="009A3B13" w:rsidRDefault="005D4304" w:rsidP="00ED008C">
            <w:pPr>
              <w:spacing w:after="0"/>
              <w:rPr>
                <w:color w:val="000000"/>
                <w:sz w:val="20"/>
                <w:szCs w:val="20"/>
              </w:rPr>
            </w:pPr>
          </w:p>
        </w:tc>
        <w:tc>
          <w:tcPr>
            <w:tcW w:w="4410" w:type="dxa"/>
            <w:tcMar>
              <w:top w:w="0" w:type="dxa"/>
              <w:left w:w="108" w:type="dxa"/>
              <w:bottom w:w="0" w:type="dxa"/>
              <w:right w:w="108" w:type="dxa"/>
            </w:tcMar>
            <w:vAlign w:val="center"/>
          </w:tcPr>
          <w:p w14:paraId="32D81BE1" w14:textId="791272CC" w:rsidR="005D4304" w:rsidRPr="009A3B13" w:rsidRDefault="000E0FDD" w:rsidP="00ED008C">
            <w:pPr>
              <w:spacing w:after="0"/>
              <w:rPr>
                <w:color w:val="000000"/>
                <w:sz w:val="20"/>
                <w:szCs w:val="20"/>
              </w:rPr>
            </w:pPr>
            <w:r>
              <w:rPr>
                <w:color w:val="000000"/>
                <w:sz w:val="20"/>
                <w:szCs w:val="20"/>
              </w:rPr>
              <w:t xml:space="preserve">Teens read and agree to </w:t>
            </w:r>
            <w:r w:rsidR="005D4304">
              <w:rPr>
                <w:color w:val="000000"/>
                <w:sz w:val="20"/>
                <w:szCs w:val="20"/>
              </w:rPr>
              <w:t>consent form</w:t>
            </w:r>
          </w:p>
        </w:tc>
        <w:tc>
          <w:tcPr>
            <w:tcW w:w="1350" w:type="dxa"/>
            <w:tcMar>
              <w:top w:w="0" w:type="dxa"/>
              <w:left w:w="108" w:type="dxa"/>
              <w:bottom w:w="0" w:type="dxa"/>
              <w:right w:w="108" w:type="dxa"/>
            </w:tcMar>
            <w:vAlign w:val="center"/>
          </w:tcPr>
          <w:p w14:paraId="27B25E2E" w14:textId="77777777" w:rsidR="005D4304" w:rsidRPr="009A3B13" w:rsidRDefault="005D4304" w:rsidP="00ED008C">
            <w:pPr>
              <w:spacing w:after="0"/>
              <w:rPr>
                <w:color w:val="000000"/>
                <w:sz w:val="20"/>
                <w:szCs w:val="20"/>
              </w:rPr>
            </w:pPr>
            <w:r>
              <w:rPr>
                <w:color w:val="000000"/>
                <w:sz w:val="20"/>
                <w:szCs w:val="20"/>
              </w:rPr>
              <w:t>10,000</w:t>
            </w:r>
          </w:p>
        </w:tc>
        <w:tc>
          <w:tcPr>
            <w:tcW w:w="1350" w:type="dxa"/>
            <w:tcMar>
              <w:top w:w="0" w:type="dxa"/>
              <w:left w:w="108" w:type="dxa"/>
              <w:bottom w:w="0" w:type="dxa"/>
              <w:right w:w="108" w:type="dxa"/>
            </w:tcMar>
            <w:vAlign w:val="center"/>
          </w:tcPr>
          <w:p w14:paraId="00D3E394" w14:textId="77777777" w:rsidR="005D4304" w:rsidRPr="009A3B13" w:rsidRDefault="005D4304" w:rsidP="00ED008C">
            <w:pPr>
              <w:spacing w:after="0"/>
              <w:rPr>
                <w:color w:val="000000"/>
                <w:sz w:val="20"/>
                <w:szCs w:val="20"/>
              </w:rPr>
            </w:pPr>
            <w:r>
              <w:rPr>
                <w:color w:val="000000"/>
                <w:sz w:val="20"/>
                <w:szCs w:val="20"/>
              </w:rPr>
              <w:t>3</w:t>
            </w:r>
          </w:p>
        </w:tc>
        <w:tc>
          <w:tcPr>
            <w:tcW w:w="1717" w:type="dxa"/>
            <w:tcBorders>
              <w:right w:val="single" w:sz="4" w:space="0" w:color="auto"/>
            </w:tcBorders>
            <w:tcMar>
              <w:top w:w="0" w:type="dxa"/>
              <w:left w:w="108" w:type="dxa"/>
              <w:bottom w:w="0" w:type="dxa"/>
              <w:right w:w="108" w:type="dxa"/>
            </w:tcMar>
            <w:vAlign w:val="center"/>
          </w:tcPr>
          <w:p w14:paraId="5BCE6893" w14:textId="77777777" w:rsidR="005D4304" w:rsidRPr="009A3B13" w:rsidRDefault="005D4304" w:rsidP="00ED008C">
            <w:pPr>
              <w:spacing w:after="0"/>
              <w:rPr>
                <w:color w:val="000000"/>
                <w:sz w:val="20"/>
                <w:szCs w:val="20"/>
              </w:rPr>
            </w:pPr>
            <w:r>
              <w:rPr>
                <w:color w:val="000000"/>
                <w:sz w:val="20"/>
                <w:szCs w:val="20"/>
              </w:rPr>
              <w:t>500</w:t>
            </w:r>
          </w:p>
        </w:tc>
      </w:tr>
      <w:tr w:rsidR="005D4304" w:rsidRPr="009A3B13" w14:paraId="4C8FCA6A" w14:textId="77777777" w:rsidTr="00ED008C">
        <w:trPr>
          <w:trHeight w:val="288"/>
        </w:trPr>
        <w:tc>
          <w:tcPr>
            <w:tcW w:w="533" w:type="dxa"/>
            <w:tcBorders>
              <w:left w:val="single" w:sz="4" w:space="0" w:color="auto"/>
            </w:tcBorders>
            <w:vAlign w:val="center"/>
          </w:tcPr>
          <w:p w14:paraId="3635D32F" w14:textId="77777777" w:rsidR="005D4304" w:rsidRDefault="005D4304" w:rsidP="00ED008C">
            <w:pPr>
              <w:spacing w:after="0"/>
              <w:rPr>
                <w:color w:val="000000"/>
                <w:sz w:val="20"/>
                <w:szCs w:val="20"/>
              </w:rPr>
            </w:pPr>
          </w:p>
        </w:tc>
        <w:tc>
          <w:tcPr>
            <w:tcW w:w="4410" w:type="dxa"/>
            <w:tcMar>
              <w:top w:w="0" w:type="dxa"/>
              <w:left w:w="108" w:type="dxa"/>
              <w:bottom w:w="0" w:type="dxa"/>
              <w:right w:w="108" w:type="dxa"/>
            </w:tcMar>
            <w:vAlign w:val="center"/>
          </w:tcPr>
          <w:p w14:paraId="49F37D3A" w14:textId="586D1E5A" w:rsidR="005D4304" w:rsidRDefault="008B18B4" w:rsidP="00ED008C">
            <w:pPr>
              <w:spacing w:after="0"/>
              <w:rPr>
                <w:color w:val="000000"/>
                <w:sz w:val="20"/>
                <w:szCs w:val="20"/>
              </w:rPr>
            </w:pPr>
            <w:r>
              <w:rPr>
                <w:color w:val="000000"/>
                <w:sz w:val="20"/>
                <w:szCs w:val="20"/>
              </w:rPr>
              <w:t>Teens complete RAPT</w:t>
            </w:r>
            <w:r w:rsidR="005D4304">
              <w:rPr>
                <w:color w:val="000000"/>
                <w:sz w:val="20"/>
                <w:szCs w:val="20"/>
              </w:rPr>
              <w:t xml:space="preserve"> or placebo training/testing protocol</w:t>
            </w:r>
          </w:p>
        </w:tc>
        <w:tc>
          <w:tcPr>
            <w:tcW w:w="1350" w:type="dxa"/>
            <w:tcMar>
              <w:top w:w="0" w:type="dxa"/>
              <w:left w:w="108" w:type="dxa"/>
              <w:bottom w:w="0" w:type="dxa"/>
              <w:right w:w="108" w:type="dxa"/>
            </w:tcMar>
            <w:vAlign w:val="center"/>
          </w:tcPr>
          <w:p w14:paraId="1D17FB08" w14:textId="77777777" w:rsidR="005D4304" w:rsidRDefault="005D4304" w:rsidP="00ED008C">
            <w:pPr>
              <w:spacing w:after="0"/>
              <w:rPr>
                <w:color w:val="000000"/>
                <w:sz w:val="20"/>
                <w:szCs w:val="20"/>
              </w:rPr>
            </w:pPr>
            <w:r>
              <w:rPr>
                <w:color w:val="000000"/>
                <w:sz w:val="20"/>
                <w:szCs w:val="20"/>
              </w:rPr>
              <w:t>10,000</w:t>
            </w:r>
          </w:p>
        </w:tc>
        <w:tc>
          <w:tcPr>
            <w:tcW w:w="1350" w:type="dxa"/>
            <w:tcMar>
              <w:top w:w="0" w:type="dxa"/>
              <w:left w:w="108" w:type="dxa"/>
              <w:bottom w:w="0" w:type="dxa"/>
              <w:right w:w="108" w:type="dxa"/>
            </w:tcMar>
            <w:vAlign w:val="center"/>
          </w:tcPr>
          <w:p w14:paraId="3C061708" w14:textId="77777777" w:rsidR="005D4304" w:rsidRDefault="005D4304" w:rsidP="00ED008C">
            <w:pPr>
              <w:spacing w:after="0"/>
              <w:rPr>
                <w:color w:val="000000"/>
                <w:sz w:val="20"/>
                <w:szCs w:val="20"/>
              </w:rPr>
            </w:pPr>
            <w:r>
              <w:rPr>
                <w:color w:val="000000"/>
                <w:sz w:val="20"/>
                <w:szCs w:val="20"/>
              </w:rPr>
              <w:t>35</w:t>
            </w:r>
          </w:p>
        </w:tc>
        <w:tc>
          <w:tcPr>
            <w:tcW w:w="1717" w:type="dxa"/>
            <w:tcBorders>
              <w:right w:val="single" w:sz="4" w:space="0" w:color="auto"/>
            </w:tcBorders>
            <w:tcMar>
              <w:top w:w="0" w:type="dxa"/>
              <w:left w:w="108" w:type="dxa"/>
              <w:bottom w:w="0" w:type="dxa"/>
              <w:right w:w="108" w:type="dxa"/>
            </w:tcMar>
            <w:vAlign w:val="center"/>
          </w:tcPr>
          <w:p w14:paraId="50AE5F6D" w14:textId="77777777" w:rsidR="005D4304" w:rsidRDefault="005D4304" w:rsidP="00ED008C">
            <w:pPr>
              <w:spacing w:after="0"/>
              <w:rPr>
                <w:color w:val="000000"/>
                <w:sz w:val="20"/>
                <w:szCs w:val="20"/>
              </w:rPr>
            </w:pPr>
            <w:r>
              <w:rPr>
                <w:color w:val="000000"/>
                <w:sz w:val="20"/>
                <w:szCs w:val="20"/>
              </w:rPr>
              <w:t>5833</w:t>
            </w:r>
          </w:p>
        </w:tc>
      </w:tr>
      <w:tr w:rsidR="005D4304" w:rsidRPr="009A3B13" w14:paraId="34F6A69C" w14:textId="77777777" w:rsidTr="00ED008C">
        <w:trPr>
          <w:trHeight w:val="288"/>
        </w:trPr>
        <w:tc>
          <w:tcPr>
            <w:tcW w:w="533" w:type="dxa"/>
            <w:tcBorders>
              <w:left w:val="single" w:sz="4" w:space="0" w:color="auto"/>
              <w:bottom w:val="single" w:sz="4" w:space="0" w:color="auto"/>
            </w:tcBorders>
            <w:vAlign w:val="center"/>
          </w:tcPr>
          <w:p w14:paraId="43551AFA" w14:textId="77777777" w:rsidR="005D4304" w:rsidRDefault="005D4304" w:rsidP="00ED008C">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32F8B3D3" w14:textId="77777777" w:rsidR="005D4304" w:rsidRPr="00524872" w:rsidRDefault="005D4304" w:rsidP="00ED008C">
            <w:pPr>
              <w:spacing w:after="0"/>
              <w:rPr>
                <w:i/>
                <w:color w:val="000000"/>
                <w:sz w:val="20"/>
                <w:szCs w:val="20"/>
              </w:rPr>
            </w:pPr>
            <w:r w:rsidRPr="00524872">
              <w:rPr>
                <w:i/>
                <w:color w:val="000000"/>
                <w:sz w:val="20"/>
                <w:szCs w:val="20"/>
              </w:rPr>
              <w:t>Total (Form 1456)</w:t>
            </w:r>
          </w:p>
        </w:tc>
        <w:tc>
          <w:tcPr>
            <w:tcW w:w="1350" w:type="dxa"/>
            <w:tcBorders>
              <w:bottom w:val="single" w:sz="4" w:space="0" w:color="auto"/>
            </w:tcBorders>
            <w:tcMar>
              <w:top w:w="0" w:type="dxa"/>
              <w:left w:w="108" w:type="dxa"/>
              <w:bottom w:w="0" w:type="dxa"/>
              <w:right w:w="108" w:type="dxa"/>
            </w:tcMar>
            <w:vAlign w:val="center"/>
          </w:tcPr>
          <w:p w14:paraId="0A1778AD" w14:textId="77777777" w:rsidR="005D4304" w:rsidRPr="00524872" w:rsidRDefault="005D4304" w:rsidP="00ED008C">
            <w:pPr>
              <w:spacing w:after="0"/>
              <w:rPr>
                <w:i/>
                <w:color w:val="000000"/>
                <w:sz w:val="20"/>
                <w:szCs w:val="20"/>
              </w:rPr>
            </w:pPr>
          </w:p>
        </w:tc>
        <w:tc>
          <w:tcPr>
            <w:tcW w:w="1350" w:type="dxa"/>
            <w:tcBorders>
              <w:bottom w:val="single" w:sz="4" w:space="0" w:color="auto"/>
            </w:tcBorders>
            <w:tcMar>
              <w:top w:w="0" w:type="dxa"/>
              <w:left w:w="108" w:type="dxa"/>
              <w:bottom w:w="0" w:type="dxa"/>
              <w:right w:w="108" w:type="dxa"/>
            </w:tcMar>
            <w:vAlign w:val="center"/>
          </w:tcPr>
          <w:p w14:paraId="417D4237" w14:textId="77777777" w:rsidR="005D4304" w:rsidRPr="00524872" w:rsidRDefault="005D4304" w:rsidP="00ED008C">
            <w:pPr>
              <w:spacing w:after="0"/>
              <w:rPr>
                <w:i/>
                <w:color w:val="000000"/>
                <w:sz w:val="20"/>
                <w:szCs w:val="20"/>
              </w:rPr>
            </w:pP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7D6208C0" w14:textId="77777777" w:rsidR="005D4304" w:rsidRPr="00524872" w:rsidRDefault="005D4304" w:rsidP="00ED008C">
            <w:pPr>
              <w:spacing w:after="0"/>
              <w:rPr>
                <w:i/>
                <w:color w:val="000000"/>
                <w:sz w:val="20"/>
                <w:szCs w:val="20"/>
              </w:rPr>
            </w:pPr>
            <w:r w:rsidRPr="00524872">
              <w:rPr>
                <w:i/>
                <w:color w:val="000000"/>
                <w:sz w:val="20"/>
                <w:szCs w:val="20"/>
              </w:rPr>
              <w:t>6333</w:t>
            </w:r>
          </w:p>
        </w:tc>
      </w:tr>
      <w:tr w:rsidR="005D4304" w:rsidRPr="009A3B13" w14:paraId="600A9C09"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7562880F" w14:textId="77777777" w:rsidR="005D4304" w:rsidRPr="009A3B13" w:rsidRDefault="005D4304" w:rsidP="00ED008C">
            <w:pPr>
              <w:spacing w:after="0"/>
              <w:rPr>
                <w:color w:val="000000"/>
                <w:sz w:val="20"/>
                <w:szCs w:val="20"/>
              </w:rPr>
            </w:pPr>
            <w:r w:rsidRPr="0079263B">
              <w:rPr>
                <w:b/>
                <w:color w:val="000000"/>
                <w:sz w:val="20"/>
                <w:szCs w:val="20"/>
              </w:rPr>
              <w:t>1457—</w:t>
            </w:r>
            <w:r>
              <w:rPr>
                <w:b/>
                <w:color w:val="000000"/>
                <w:sz w:val="20"/>
                <w:szCs w:val="20"/>
              </w:rPr>
              <w:t>Teen Data Collection Prior to T</w:t>
            </w:r>
            <w:r w:rsidRPr="0079263B">
              <w:rPr>
                <w:b/>
                <w:color w:val="000000"/>
                <w:sz w:val="20"/>
                <w:szCs w:val="20"/>
              </w:rPr>
              <w:t>raining</w:t>
            </w:r>
          </w:p>
        </w:tc>
      </w:tr>
      <w:tr w:rsidR="005D4304" w:rsidRPr="009A3B13" w14:paraId="5D47BF9D" w14:textId="77777777" w:rsidTr="00ED008C">
        <w:trPr>
          <w:trHeight w:val="288"/>
        </w:trPr>
        <w:tc>
          <w:tcPr>
            <w:tcW w:w="533" w:type="dxa"/>
            <w:tcBorders>
              <w:left w:val="single" w:sz="4" w:space="0" w:color="auto"/>
              <w:bottom w:val="single" w:sz="4" w:space="0" w:color="auto"/>
            </w:tcBorders>
            <w:vAlign w:val="center"/>
          </w:tcPr>
          <w:p w14:paraId="1210F763" w14:textId="77777777" w:rsidR="005D4304" w:rsidRDefault="005D4304" w:rsidP="00ED008C">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2FEF5CF2" w14:textId="77777777" w:rsidR="005D4304" w:rsidRDefault="005D4304" w:rsidP="00ED008C">
            <w:pPr>
              <w:spacing w:after="0"/>
              <w:rPr>
                <w:color w:val="000000"/>
                <w:sz w:val="20"/>
                <w:szCs w:val="20"/>
              </w:rPr>
            </w:pPr>
            <w:r>
              <w:rPr>
                <w:color w:val="000000"/>
                <w:sz w:val="20"/>
                <w:szCs w:val="20"/>
              </w:rPr>
              <w:t>Teens answer demographic and eligibility questions</w:t>
            </w:r>
          </w:p>
        </w:tc>
        <w:tc>
          <w:tcPr>
            <w:tcW w:w="1350" w:type="dxa"/>
            <w:tcBorders>
              <w:bottom w:val="single" w:sz="4" w:space="0" w:color="auto"/>
            </w:tcBorders>
            <w:tcMar>
              <w:top w:w="0" w:type="dxa"/>
              <w:left w:w="108" w:type="dxa"/>
              <w:bottom w:w="0" w:type="dxa"/>
              <w:right w:w="108" w:type="dxa"/>
            </w:tcMar>
            <w:vAlign w:val="center"/>
          </w:tcPr>
          <w:p w14:paraId="0CCD6A70" w14:textId="77777777" w:rsidR="005D4304" w:rsidRDefault="005D4304" w:rsidP="00ED008C">
            <w:pPr>
              <w:spacing w:after="0"/>
              <w:rPr>
                <w:color w:val="000000"/>
                <w:sz w:val="20"/>
                <w:szCs w:val="20"/>
              </w:rPr>
            </w:pPr>
            <w:r>
              <w:rPr>
                <w:color w:val="000000"/>
                <w:sz w:val="20"/>
                <w:szCs w:val="20"/>
              </w:rPr>
              <w:t>10,000</w:t>
            </w:r>
          </w:p>
        </w:tc>
        <w:tc>
          <w:tcPr>
            <w:tcW w:w="1350" w:type="dxa"/>
            <w:tcBorders>
              <w:bottom w:val="single" w:sz="4" w:space="0" w:color="auto"/>
            </w:tcBorders>
            <w:tcMar>
              <w:top w:w="0" w:type="dxa"/>
              <w:left w:w="108" w:type="dxa"/>
              <w:bottom w:w="0" w:type="dxa"/>
              <w:right w:w="108" w:type="dxa"/>
            </w:tcMar>
            <w:vAlign w:val="center"/>
          </w:tcPr>
          <w:p w14:paraId="3F78F8D8" w14:textId="77777777" w:rsidR="005D4304" w:rsidRDefault="005D4304" w:rsidP="00ED008C">
            <w:pPr>
              <w:spacing w:after="0"/>
              <w:rPr>
                <w:color w:val="000000"/>
                <w:sz w:val="20"/>
                <w:szCs w:val="20"/>
              </w:rPr>
            </w:pPr>
            <w:r>
              <w:rPr>
                <w:color w:val="000000"/>
                <w:sz w:val="20"/>
                <w:szCs w:val="20"/>
              </w:rPr>
              <w:t>3</w:t>
            </w: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1EEF4C1D" w14:textId="77777777" w:rsidR="005D4304" w:rsidRDefault="005D4304" w:rsidP="00ED008C">
            <w:pPr>
              <w:spacing w:after="0"/>
              <w:rPr>
                <w:color w:val="000000"/>
                <w:sz w:val="20"/>
                <w:szCs w:val="20"/>
              </w:rPr>
            </w:pPr>
            <w:r>
              <w:rPr>
                <w:color w:val="000000"/>
                <w:sz w:val="20"/>
                <w:szCs w:val="20"/>
              </w:rPr>
              <w:t>500</w:t>
            </w:r>
          </w:p>
        </w:tc>
      </w:tr>
      <w:tr w:rsidR="005D4304" w:rsidRPr="009A3B13" w14:paraId="1402F9CB"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248EC407" w14:textId="77777777" w:rsidR="005D4304" w:rsidRPr="009A3B13" w:rsidRDefault="005D4304" w:rsidP="00ED008C">
            <w:pPr>
              <w:spacing w:after="0"/>
              <w:rPr>
                <w:color w:val="000000"/>
                <w:sz w:val="20"/>
                <w:szCs w:val="20"/>
              </w:rPr>
            </w:pPr>
            <w:r w:rsidRPr="00C34866">
              <w:rPr>
                <w:b/>
                <w:color w:val="000000"/>
                <w:sz w:val="20"/>
                <w:szCs w:val="20"/>
              </w:rPr>
              <w:t>1471—Teen Reminder Card</w:t>
            </w:r>
          </w:p>
        </w:tc>
      </w:tr>
      <w:tr w:rsidR="005D4304" w:rsidRPr="009A3B13" w14:paraId="4E37B8A0" w14:textId="77777777" w:rsidTr="00ED008C">
        <w:trPr>
          <w:trHeight w:val="288"/>
        </w:trPr>
        <w:tc>
          <w:tcPr>
            <w:tcW w:w="533" w:type="dxa"/>
            <w:tcBorders>
              <w:left w:val="single" w:sz="4" w:space="0" w:color="auto"/>
              <w:bottom w:val="single" w:sz="4" w:space="0" w:color="auto"/>
            </w:tcBorders>
            <w:vAlign w:val="center"/>
          </w:tcPr>
          <w:p w14:paraId="51358B88" w14:textId="77777777" w:rsidR="005D4304" w:rsidRDefault="005D4304" w:rsidP="00ED008C">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0E36AF62" w14:textId="31E610E4" w:rsidR="005D4304" w:rsidRDefault="008F24DF" w:rsidP="00ED008C">
            <w:pPr>
              <w:spacing w:after="0"/>
              <w:rPr>
                <w:color w:val="000000"/>
                <w:sz w:val="20"/>
                <w:szCs w:val="20"/>
              </w:rPr>
            </w:pPr>
            <w:r>
              <w:rPr>
                <w:color w:val="000000"/>
                <w:sz w:val="20"/>
                <w:szCs w:val="20"/>
              </w:rPr>
              <w:t xml:space="preserve">Teens read </w:t>
            </w:r>
            <w:r w:rsidR="00C42289">
              <w:rPr>
                <w:color w:val="000000"/>
                <w:sz w:val="20"/>
                <w:szCs w:val="20"/>
              </w:rPr>
              <w:t xml:space="preserve">recruitment </w:t>
            </w:r>
            <w:r w:rsidR="005D4304">
              <w:rPr>
                <w:color w:val="000000"/>
                <w:sz w:val="20"/>
                <w:szCs w:val="20"/>
              </w:rPr>
              <w:t>invitation reminder</w:t>
            </w:r>
          </w:p>
        </w:tc>
        <w:tc>
          <w:tcPr>
            <w:tcW w:w="1350" w:type="dxa"/>
            <w:tcBorders>
              <w:bottom w:val="single" w:sz="4" w:space="0" w:color="auto"/>
            </w:tcBorders>
            <w:tcMar>
              <w:top w:w="0" w:type="dxa"/>
              <w:left w:w="108" w:type="dxa"/>
              <w:bottom w:w="0" w:type="dxa"/>
              <w:right w:w="108" w:type="dxa"/>
            </w:tcMar>
            <w:vAlign w:val="center"/>
          </w:tcPr>
          <w:p w14:paraId="62F3074F" w14:textId="77777777" w:rsidR="005D4304" w:rsidRPr="009A3B13" w:rsidRDefault="005D4304" w:rsidP="00ED008C">
            <w:pPr>
              <w:spacing w:after="0"/>
              <w:rPr>
                <w:color w:val="000000"/>
                <w:sz w:val="20"/>
                <w:szCs w:val="20"/>
              </w:rPr>
            </w:pPr>
            <w:r>
              <w:rPr>
                <w:color w:val="000000"/>
                <w:sz w:val="20"/>
                <w:szCs w:val="20"/>
              </w:rPr>
              <w:t>10,000</w:t>
            </w:r>
          </w:p>
        </w:tc>
        <w:tc>
          <w:tcPr>
            <w:tcW w:w="1350" w:type="dxa"/>
            <w:tcBorders>
              <w:bottom w:val="single" w:sz="4" w:space="0" w:color="auto"/>
            </w:tcBorders>
            <w:tcMar>
              <w:top w:w="0" w:type="dxa"/>
              <w:left w:w="108" w:type="dxa"/>
              <w:bottom w:w="0" w:type="dxa"/>
              <w:right w:w="108" w:type="dxa"/>
            </w:tcMar>
            <w:vAlign w:val="center"/>
          </w:tcPr>
          <w:p w14:paraId="206C5132" w14:textId="77777777" w:rsidR="005D4304" w:rsidRDefault="005D4304" w:rsidP="00ED008C">
            <w:pPr>
              <w:spacing w:after="0"/>
              <w:rPr>
                <w:color w:val="000000"/>
                <w:sz w:val="20"/>
                <w:szCs w:val="20"/>
              </w:rPr>
            </w:pPr>
            <w:r>
              <w:rPr>
                <w:color w:val="000000"/>
                <w:sz w:val="20"/>
                <w:szCs w:val="20"/>
              </w:rPr>
              <w:t>1</w:t>
            </w: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7673A96D" w14:textId="77777777" w:rsidR="005D4304" w:rsidRDefault="005D4304" w:rsidP="00ED008C">
            <w:pPr>
              <w:spacing w:after="0"/>
              <w:rPr>
                <w:color w:val="000000"/>
                <w:sz w:val="20"/>
                <w:szCs w:val="20"/>
              </w:rPr>
            </w:pPr>
            <w:r>
              <w:rPr>
                <w:color w:val="000000"/>
                <w:sz w:val="20"/>
                <w:szCs w:val="20"/>
              </w:rPr>
              <w:t>167</w:t>
            </w:r>
          </w:p>
        </w:tc>
      </w:tr>
      <w:tr w:rsidR="003C180B" w:rsidRPr="009A3B13" w14:paraId="1C1D44B8"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3F64E11F" w14:textId="77584EC2" w:rsidR="003C180B" w:rsidRPr="005B0EDA" w:rsidRDefault="003C180B" w:rsidP="00ED008C">
            <w:pPr>
              <w:spacing w:after="0"/>
              <w:rPr>
                <w:b/>
                <w:color w:val="000000"/>
                <w:sz w:val="20"/>
                <w:szCs w:val="20"/>
              </w:rPr>
            </w:pPr>
            <w:r>
              <w:rPr>
                <w:b/>
                <w:color w:val="000000"/>
                <w:sz w:val="20"/>
                <w:szCs w:val="20"/>
              </w:rPr>
              <w:t>Six-Month Follow-up</w:t>
            </w:r>
          </w:p>
        </w:tc>
      </w:tr>
      <w:tr w:rsidR="005D4304" w:rsidRPr="009A3B13" w14:paraId="236E03B1"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5CA0E495" w14:textId="77777777" w:rsidR="005D4304" w:rsidRPr="005B0EDA" w:rsidRDefault="005D4304" w:rsidP="00ED008C">
            <w:pPr>
              <w:spacing w:after="0"/>
              <w:rPr>
                <w:b/>
                <w:color w:val="000000"/>
                <w:sz w:val="20"/>
                <w:szCs w:val="20"/>
              </w:rPr>
            </w:pPr>
            <w:r w:rsidRPr="005B0EDA">
              <w:rPr>
                <w:b/>
                <w:color w:val="000000"/>
                <w:sz w:val="20"/>
                <w:szCs w:val="20"/>
              </w:rPr>
              <w:t>1458—Six-Month Follow-Up Teen Contact</w:t>
            </w:r>
          </w:p>
        </w:tc>
      </w:tr>
      <w:tr w:rsidR="005D4304" w:rsidRPr="009A3B13" w14:paraId="37DFFD05" w14:textId="77777777" w:rsidTr="00ED008C">
        <w:trPr>
          <w:trHeight w:val="288"/>
        </w:trPr>
        <w:tc>
          <w:tcPr>
            <w:tcW w:w="533" w:type="dxa"/>
            <w:tcBorders>
              <w:left w:val="single" w:sz="4" w:space="0" w:color="auto"/>
              <w:bottom w:val="single" w:sz="4" w:space="0" w:color="auto"/>
            </w:tcBorders>
            <w:vAlign w:val="center"/>
          </w:tcPr>
          <w:p w14:paraId="4E9075CA" w14:textId="77777777" w:rsidR="005D4304" w:rsidRDefault="005D4304" w:rsidP="00ED008C">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1703B415" w14:textId="77777777" w:rsidR="005D4304" w:rsidRPr="009A3B13" w:rsidRDefault="005D4304" w:rsidP="00ED008C">
            <w:pPr>
              <w:spacing w:after="0"/>
              <w:rPr>
                <w:color w:val="000000"/>
                <w:sz w:val="20"/>
                <w:szCs w:val="20"/>
              </w:rPr>
            </w:pPr>
            <w:r>
              <w:rPr>
                <w:color w:val="000000"/>
                <w:sz w:val="20"/>
                <w:szCs w:val="20"/>
              </w:rPr>
              <w:t>Teens read six-month follow-up invitation</w:t>
            </w:r>
          </w:p>
        </w:tc>
        <w:tc>
          <w:tcPr>
            <w:tcW w:w="1350" w:type="dxa"/>
            <w:tcBorders>
              <w:bottom w:val="single" w:sz="4" w:space="0" w:color="auto"/>
            </w:tcBorders>
            <w:tcMar>
              <w:top w:w="0" w:type="dxa"/>
              <w:left w:w="108" w:type="dxa"/>
              <w:bottom w:w="0" w:type="dxa"/>
              <w:right w:w="108" w:type="dxa"/>
            </w:tcMar>
            <w:vAlign w:val="center"/>
          </w:tcPr>
          <w:p w14:paraId="04203A1D" w14:textId="77777777" w:rsidR="005D4304" w:rsidRPr="009A3B13" w:rsidRDefault="005D4304" w:rsidP="00ED008C">
            <w:pPr>
              <w:spacing w:after="0"/>
              <w:rPr>
                <w:color w:val="000000"/>
                <w:sz w:val="20"/>
                <w:szCs w:val="20"/>
              </w:rPr>
            </w:pPr>
            <w:r>
              <w:rPr>
                <w:color w:val="000000"/>
                <w:sz w:val="20"/>
                <w:szCs w:val="20"/>
              </w:rPr>
              <w:t>7,500</w:t>
            </w:r>
          </w:p>
        </w:tc>
        <w:tc>
          <w:tcPr>
            <w:tcW w:w="1350" w:type="dxa"/>
            <w:tcBorders>
              <w:bottom w:val="single" w:sz="4" w:space="0" w:color="auto"/>
            </w:tcBorders>
            <w:tcMar>
              <w:top w:w="0" w:type="dxa"/>
              <w:left w:w="108" w:type="dxa"/>
              <w:bottom w:w="0" w:type="dxa"/>
              <w:right w:w="108" w:type="dxa"/>
            </w:tcMar>
            <w:vAlign w:val="center"/>
          </w:tcPr>
          <w:p w14:paraId="63620BA7" w14:textId="77777777" w:rsidR="005D4304" w:rsidRPr="009A3B13" w:rsidRDefault="005D4304" w:rsidP="00ED008C">
            <w:pPr>
              <w:spacing w:after="0"/>
              <w:rPr>
                <w:color w:val="000000"/>
                <w:sz w:val="20"/>
                <w:szCs w:val="20"/>
              </w:rPr>
            </w:pPr>
            <w:r>
              <w:rPr>
                <w:color w:val="000000"/>
                <w:sz w:val="20"/>
                <w:szCs w:val="20"/>
              </w:rPr>
              <w:t>1</w:t>
            </w: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4365EA72" w14:textId="77777777" w:rsidR="005D4304" w:rsidRPr="009A3B13" w:rsidRDefault="005D4304" w:rsidP="00ED008C">
            <w:pPr>
              <w:spacing w:after="0"/>
              <w:rPr>
                <w:color w:val="000000"/>
                <w:sz w:val="20"/>
                <w:szCs w:val="20"/>
              </w:rPr>
            </w:pPr>
            <w:r>
              <w:rPr>
                <w:color w:val="000000"/>
                <w:sz w:val="20"/>
                <w:szCs w:val="20"/>
              </w:rPr>
              <w:t>125</w:t>
            </w:r>
          </w:p>
        </w:tc>
      </w:tr>
      <w:tr w:rsidR="005D4304" w:rsidRPr="009A3B13" w14:paraId="6F73E6BE" w14:textId="77777777" w:rsidTr="00ED008C">
        <w:trPr>
          <w:trHeight w:val="288"/>
        </w:trPr>
        <w:tc>
          <w:tcPr>
            <w:tcW w:w="9360" w:type="dxa"/>
            <w:gridSpan w:val="5"/>
            <w:tcBorders>
              <w:top w:val="single" w:sz="4" w:space="0" w:color="auto"/>
              <w:left w:val="single" w:sz="4" w:space="0" w:color="auto"/>
              <w:right w:val="single" w:sz="4" w:space="0" w:color="auto"/>
            </w:tcBorders>
            <w:vAlign w:val="center"/>
          </w:tcPr>
          <w:p w14:paraId="26FA67FC" w14:textId="77777777" w:rsidR="005D4304" w:rsidRPr="001B16FE" w:rsidRDefault="005D4304" w:rsidP="00ED008C">
            <w:pPr>
              <w:spacing w:after="0"/>
              <w:rPr>
                <w:rFonts w:eastAsiaTheme="minorHAnsi"/>
                <w:b/>
                <w:color w:val="000000"/>
                <w:sz w:val="20"/>
                <w:szCs w:val="20"/>
              </w:rPr>
            </w:pPr>
            <w:r w:rsidRPr="001B16FE">
              <w:rPr>
                <w:b/>
                <w:color w:val="000000"/>
                <w:sz w:val="20"/>
                <w:szCs w:val="20"/>
              </w:rPr>
              <w:t>1459—Six-Month Follow-Up Teen Data Collection</w:t>
            </w:r>
          </w:p>
        </w:tc>
      </w:tr>
      <w:tr w:rsidR="005D4304" w:rsidRPr="009A3B13" w14:paraId="3BA5FBCD" w14:textId="77777777" w:rsidTr="00ED008C">
        <w:trPr>
          <w:trHeight w:val="288"/>
        </w:trPr>
        <w:tc>
          <w:tcPr>
            <w:tcW w:w="533" w:type="dxa"/>
            <w:tcBorders>
              <w:left w:val="single" w:sz="4" w:space="0" w:color="auto"/>
            </w:tcBorders>
            <w:vAlign w:val="center"/>
          </w:tcPr>
          <w:p w14:paraId="4C67E9B4" w14:textId="77777777" w:rsidR="005D4304" w:rsidRDefault="005D4304" w:rsidP="00ED008C">
            <w:pPr>
              <w:spacing w:after="0"/>
              <w:rPr>
                <w:color w:val="000000"/>
                <w:sz w:val="20"/>
                <w:szCs w:val="20"/>
              </w:rPr>
            </w:pPr>
          </w:p>
        </w:tc>
        <w:tc>
          <w:tcPr>
            <w:tcW w:w="4410" w:type="dxa"/>
            <w:tcMar>
              <w:top w:w="0" w:type="dxa"/>
              <w:left w:w="108" w:type="dxa"/>
              <w:bottom w:w="0" w:type="dxa"/>
              <w:right w:w="108" w:type="dxa"/>
            </w:tcMar>
            <w:vAlign w:val="center"/>
          </w:tcPr>
          <w:p w14:paraId="497D80C5" w14:textId="77777777" w:rsidR="005D4304" w:rsidRPr="009A3B13" w:rsidRDefault="005D4304" w:rsidP="00ED008C">
            <w:pPr>
              <w:spacing w:after="0"/>
              <w:rPr>
                <w:color w:val="000000"/>
                <w:sz w:val="20"/>
                <w:szCs w:val="20"/>
              </w:rPr>
            </w:pPr>
            <w:r>
              <w:rPr>
                <w:color w:val="000000"/>
                <w:sz w:val="20"/>
                <w:szCs w:val="20"/>
              </w:rPr>
              <w:t>Teens answer questions about crashes and citations</w:t>
            </w:r>
          </w:p>
        </w:tc>
        <w:tc>
          <w:tcPr>
            <w:tcW w:w="1350" w:type="dxa"/>
            <w:tcMar>
              <w:top w:w="0" w:type="dxa"/>
              <w:left w:w="108" w:type="dxa"/>
              <w:bottom w:w="0" w:type="dxa"/>
              <w:right w:w="108" w:type="dxa"/>
            </w:tcMar>
            <w:vAlign w:val="center"/>
          </w:tcPr>
          <w:p w14:paraId="6EC1F25C" w14:textId="77777777" w:rsidR="005D4304" w:rsidRPr="009A3B13" w:rsidRDefault="005D4304" w:rsidP="00ED008C">
            <w:pPr>
              <w:spacing w:after="0"/>
              <w:rPr>
                <w:rFonts w:eastAsiaTheme="minorHAnsi"/>
                <w:color w:val="000000"/>
                <w:sz w:val="20"/>
                <w:szCs w:val="20"/>
              </w:rPr>
            </w:pPr>
            <w:r w:rsidRPr="009A3B13">
              <w:rPr>
                <w:color w:val="000000"/>
                <w:sz w:val="20"/>
                <w:szCs w:val="20"/>
              </w:rPr>
              <w:t>7,500</w:t>
            </w:r>
          </w:p>
        </w:tc>
        <w:tc>
          <w:tcPr>
            <w:tcW w:w="1350" w:type="dxa"/>
            <w:tcMar>
              <w:top w:w="0" w:type="dxa"/>
              <w:left w:w="108" w:type="dxa"/>
              <w:bottom w:w="0" w:type="dxa"/>
              <w:right w:w="108" w:type="dxa"/>
            </w:tcMar>
            <w:vAlign w:val="center"/>
          </w:tcPr>
          <w:p w14:paraId="217BA9BC" w14:textId="77777777" w:rsidR="005D4304" w:rsidRPr="009A3B13" w:rsidRDefault="005D4304" w:rsidP="00ED008C">
            <w:pPr>
              <w:spacing w:after="0"/>
              <w:rPr>
                <w:rFonts w:eastAsiaTheme="minorHAnsi"/>
                <w:color w:val="000000"/>
                <w:sz w:val="20"/>
                <w:szCs w:val="20"/>
              </w:rPr>
            </w:pPr>
            <w:r>
              <w:rPr>
                <w:color w:val="000000"/>
                <w:sz w:val="20"/>
                <w:szCs w:val="20"/>
              </w:rPr>
              <w:t>4</w:t>
            </w:r>
          </w:p>
        </w:tc>
        <w:tc>
          <w:tcPr>
            <w:tcW w:w="1717" w:type="dxa"/>
            <w:tcBorders>
              <w:right w:val="single" w:sz="4" w:space="0" w:color="auto"/>
            </w:tcBorders>
            <w:tcMar>
              <w:top w:w="0" w:type="dxa"/>
              <w:left w:w="108" w:type="dxa"/>
              <w:bottom w:w="0" w:type="dxa"/>
              <w:right w:w="108" w:type="dxa"/>
            </w:tcMar>
            <w:vAlign w:val="center"/>
          </w:tcPr>
          <w:p w14:paraId="202B63F2" w14:textId="77777777" w:rsidR="005D4304" w:rsidRPr="009A3B13" w:rsidRDefault="005D4304" w:rsidP="00ED008C">
            <w:pPr>
              <w:spacing w:after="0"/>
              <w:rPr>
                <w:rFonts w:eastAsiaTheme="minorHAnsi"/>
                <w:color w:val="000000"/>
                <w:sz w:val="20"/>
                <w:szCs w:val="20"/>
              </w:rPr>
            </w:pPr>
            <w:r>
              <w:rPr>
                <w:color w:val="000000"/>
                <w:sz w:val="20"/>
                <w:szCs w:val="20"/>
              </w:rPr>
              <w:t>500</w:t>
            </w:r>
          </w:p>
        </w:tc>
      </w:tr>
      <w:tr w:rsidR="005D4304" w:rsidRPr="009A3B13" w14:paraId="6A2EEBA8" w14:textId="77777777" w:rsidTr="00ED008C">
        <w:trPr>
          <w:trHeight w:val="288"/>
        </w:trPr>
        <w:tc>
          <w:tcPr>
            <w:tcW w:w="533" w:type="dxa"/>
            <w:tcBorders>
              <w:left w:val="single" w:sz="4" w:space="0" w:color="auto"/>
            </w:tcBorders>
            <w:vAlign w:val="center"/>
          </w:tcPr>
          <w:p w14:paraId="69B9CCD9" w14:textId="77777777" w:rsidR="005D4304" w:rsidRDefault="005D4304" w:rsidP="00ED008C">
            <w:pPr>
              <w:spacing w:after="0"/>
              <w:rPr>
                <w:color w:val="000000"/>
                <w:sz w:val="20"/>
                <w:szCs w:val="20"/>
              </w:rPr>
            </w:pPr>
          </w:p>
        </w:tc>
        <w:tc>
          <w:tcPr>
            <w:tcW w:w="4410" w:type="dxa"/>
            <w:tcMar>
              <w:top w:w="0" w:type="dxa"/>
              <w:left w:w="108" w:type="dxa"/>
              <w:bottom w:w="0" w:type="dxa"/>
              <w:right w:w="108" w:type="dxa"/>
            </w:tcMar>
            <w:vAlign w:val="center"/>
          </w:tcPr>
          <w:p w14:paraId="17F497D2" w14:textId="77777777" w:rsidR="005D4304" w:rsidRPr="009A3B13" w:rsidRDefault="005D4304" w:rsidP="00ED008C">
            <w:pPr>
              <w:spacing w:after="0"/>
              <w:rPr>
                <w:color w:val="000000"/>
                <w:sz w:val="20"/>
                <w:szCs w:val="20"/>
              </w:rPr>
            </w:pPr>
            <w:r>
              <w:rPr>
                <w:color w:val="000000"/>
                <w:sz w:val="20"/>
                <w:szCs w:val="20"/>
              </w:rPr>
              <w:t>Teens complete follow-up hazard recognition test</w:t>
            </w:r>
          </w:p>
        </w:tc>
        <w:tc>
          <w:tcPr>
            <w:tcW w:w="1350" w:type="dxa"/>
            <w:tcMar>
              <w:top w:w="0" w:type="dxa"/>
              <w:left w:w="108" w:type="dxa"/>
              <w:bottom w:w="0" w:type="dxa"/>
              <w:right w:w="108" w:type="dxa"/>
            </w:tcMar>
            <w:vAlign w:val="center"/>
          </w:tcPr>
          <w:p w14:paraId="1D7117DA" w14:textId="77777777" w:rsidR="005D4304" w:rsidRPr="009A3B13" w:rsidRDefault="005D4304" w:rsidP="00ED008C">
            <w:pPr>
              <w:spacing w:after="0"/>
              <w:rPr>
                <w:color w:val="000000"/>
                <w:sz w:val="20"/>
                <w:szCs w:val="20"/>
              </w:rPr>
            </w:pPr>
            <w:r>
              <w:rPr>
                <w:color w:val="000000"/>
                <w:sz w:val="20"/>
                <w:szCs w:val="20"/>
              </w:rPr>
              <w:t>7,500</w:t>
            </w:r>
          </w:p>
        </w:tc>
        <w:tc>
          <w:tcPr>
            <w:tcW w:w="1350" w:type="dxa"/>
            <w:tcMar>
              <w:top w:w="0" w:type="dxa"/>
              <w:left w:w="108" w:type="dxa"/>
              <w:bottom w:w="0" w:type="dxa"/>
              <w:right w:w="108" w:type="dxa"/>
            </w:tcMar>
            <w:vAlign w:val="center"/>
          </w:tcPr>
          <w:p w14:paraId="16ACC164" w14:textId="77777777" w:rsidR="005D4304" w:rsidRDefault="005D4304" w:rsidP="00ED008C">
            <w:pPr>
              <w:spacing w:after="0"/>
              <w:rPr>
                <w:color w:val="000000"/>
                <w:sz w:val="20"/>
                <w:szCs w:val="20"/>
              </w:rPr>
            </w:pPr>
            <w:r>
              <w:rPr>
                <w:color w:val="000000"/>
                <w:sz w:val="20"/>
                <w:szCs w:val="20"/>
              </w:rPr>
              <w:t>10</w:t>
            </w:r>
          </w:p>
        </w:tc>
        <w:tc>
          <w:tcPr>
            <w:tcW w:w="1717" w:type="dxa"/>
            <w:tcBorders>
              <w:right w:val="single" w:sz="4" w:space="0" w:color="auto"/>
            </w:tcBorders>
            <w:tcMar>
              <w:top w:w="0" w:type="dxa"/>
              <w:left w:w="108" w:type="dxa"/>
              <w:bottom w:w="0" w:type="dxa"/>
              <w:right w:w="108" w:type="dxa"/>
            </w:tcMar>
            <w:vAlign w:val="center"/>
          </w:tcPr>
          <w:p w14:paraId="7C83DFD5" w14:textId="77777777" w:rsidR="005D4304" w:rsidRDefault="005D4304" w:rsidP="00ED008C">
            <w:pPr>
              <w:spacing w:after="0"/>
              <w:rPr>
                <w:color w:val="000000"/>
                <w:sz w:val="20"/>
                <w:szCs w:val="20"/>
              </w:rPr>
            </w:pPr>
            <w:r>
              <w:rPr>
                <w:color w:val="000000"/>
                <w:sz w:val="20"/>
                <w:szCs w:val="20"/>
              </w:rPr>
              <w:t>1,250</w:t>
            </w:r>
          </w:p>
        </w:tc>
      </w:tr>
      <w:tr w:rsidR="005D4304" w:rsidRPr="009A3B13" w14:paraId="09C788AB" w14:textId="77777777" w:rsidTr="00ED008C">
        <w:trPr>
          <w:trHeight w:val="288"/>
        </w:trPr>
        <w:tc>
          <w:tcPr>
            <w:tcW w:w="533" w:type="dxa"/>
            <w:tcBorders>
              <w:left w:val="single" w:sz="4" w:space="0" w:color="auto"/>
              <w:bottom w:val="single" w:sz="4" w:space="0" w:color="auto"/>
            </w:tcBorders>
            <w:vAlign w:val="center"/>
          </w:tcPr>
          <w:p w14:paraId="251380D9" w14:textId="77777777" w:rsidR="005D4304" w:rsidRDefault="005D4304" w:rsidP="00ED008C">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7842BF20" w14:textId="77777777" w:rsidR="005D4304" w:rsidRPr="00DD3078" w:rsidRDefault="005D4304" w:rsidP="00ED008C">
            <w:pPr>
              <w:spacing w:after="0"/>
              <w:rPr>
                <w:i/>
                <w:color w:val="000000"/>
                <w:sz w:val="20"/>
                <w:szCs w:val="20"/>
              </w:rPr>
            </w:pPr>
            <w:r>
              <w:rPr>
                <w:i/>
                <w:color w:val="000000"/>
                <w:sz w:val="20"/>
                <w:szCs w:val="20"/>
              </w:rPr>
              <w:t>Total (Form 1459)</w:t>
            </w:r>
          </w:p>
        </w:tc>
        <w:tc>
          <w:tcPr>
            <w:tcW w:w="1350" w:type="dxa"/>
            <w:tcBorders>
              <w:bottom w:val="single" w:sz="4" w:space="0" w:color="auto"/>
            </w:tcBorders>
            <w:tcMar>
              <w:top w:w="0" w:type="dxa"/>
              <w:left w:w="108" w:type="dxa"/>
              <w:bottom w:w="0" w:type="dxa"/>
              <w:right w:w="108" w:type="dxa"/>
            </w:tcMar>
            <w:vAlign w:val="center"/>
          </w:tcPr>
          <w:p w14:paraId="33AB149A" w14:textId="77777777" w:rsidR="005D4304" w:rsidRPr="0051302C" w:rsidRDefault="005D4304" w:rsidP="00ED008C">
            <w:pPr>
              <w:spacing w:after="0"/>
              <w:rPr>
                <w:i/>
                <w:color w:val="000000"/>
                <w:sz w:val="20"/>
                <w:szCs w:val="20"/>
              </w:rPr>
            </w:pPr>
          </w:p>
        </w:tc>
        <w:tc>
          <w:tcPr>
            <w:tcW w:w="1350" w:type="dxa"/>
            <w:tcBorders>
              <w:bottom w:val="single" w:sz="4" w:space="0" w:color="auto"/>
            </w:tcBorders>
            <w:tcMar>
              <w:top w:w="0" w:type="dxa"/>
              <w:left w:w="108" w:type="dxa"/>
              <w:bottom w:w="0" w:type="dxa"/>
              <w:right w:w="108" w:type="dxa"/>
            </w:tcMar>
            <w:vAlign w:val="center"/>
          </w:tcPr>
          <w:p w14:paraId="45423A07" w14:textId="77777777" w:rsidR="005D4304" w:rsidRPr="0051302C" w:rsidRDefault="005D4304" w:rsidP="00ED008C">
            <w:pPr>
              <w:spacing w:after="0"/>
              <w:rPr>
                <w:i/>
                <w:color w:val="000000"/>
                <w:sz w:val="20"/>
                <w:szCs w:val="20"/>
              </w:rPr>
            </w:pP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18B8EF78" w14:textId="77777777" w:rsidR="005D4304" w:rsidRPr="0051302C" w:rsidRDefault="005D4304" w:rsidP="00ED008C">
            <w:pPr>
              <w:spacing w:after="0"/>
              <w:rPr>
                <w:i/>
                <w:color w:val="000000"/>
                <w:sz w:val="20"/>
                <w:szCs w:val="20"/>
              </w:rPr>
            </w:pPr>
            <w:r w:rsidRPr="0051302C">
              <w:rPr>
                <w:i/>
                <w:color w:val="000000"/>
                <w:sz w:val="20"/>
                <w:szCs w:val="20"/>
              </w:rPr>
              <w:t>1,750</w:t>
            </w:r>
          </w:p>
        </w:tc>
      </w:tr>
      <w:tr w:rsidR="0023116C" w:rsidRPr="00B30DA0" w14:paraId="5553522A" w14:textId="77777777" w:rsidTr="00D90AA6">
        <w:trPr>
          <w:trHeight w:val="288"/>
        </w:trPr>
        <w:tc>
          <w:tcPr>
            <w:tcW w:w="9360" w:type="dxa"/>
            <w:gridSpan w:val="5"/>
            <w:tcBorders>
              <w:top w:val="single" w:sz="4" w:space="0" w:color="auto"/>
              <w:left w:val="single" w:sz="4" w:space="0" w:color="auto"/>
              <w:right w:val="single" w:sz="4" w:space="0" w:color="auto"/>
            </w:tcBorders>
            <w:vAlign w:val="center"/>
          </w:tcPr>
          <w:p w14:paraId="0B22E90D" w14:textId="77777777" w:rsidR="0023116C" w:rsidRPr="00B30DA0" w:rsidRDefault="0023116C" w:rsidP="00D90AA6">
            <w:pPr>
              <w:spacing w:after="0"/>
              <w:rPr>
                <w:b/>
                <w:color w:val="000000"/>
                <w:sz w:val="20"/>
                <w:szCs w:val="20"/>
              </w:rPr>
            </w:pPr>
            <w:r>
              <w:rPr>
                <w:b/>
                <w:color w:val="000000"/>
                <w:sz w:val="20"/>
                <w:szCs w:val="20"/>
              </w:rPr>
              <w:t>Seven-Day Trip Log</w:t>
            </w:r>
          </w:p>
        </w:tc>
      </w:tr>
      <w:tr w:rsidR="0023116C" w:rsidRPr="00B30DA0" w14:paraId="7C60B6BF" w14:textId="77777777" w:rsidTr="00D90AA6">
        <w:trPr>
          <w:trHeight w:val="288"/>
        </w:trPr>
        <w:tc>
          <w:tcPr>
            <w:tcW w:w="9360" w:type="dxa"/>
            <w:gridSpan w:val="5"/>
            <w:tcBorders>
              <w:top w:val="single" w:sz="4" w:space="0" w:color="auto"/>
              <w:left w:val="single" w:sz="4" w:space="0" w:color="auto"/>
              <w:right w:val="single" w:sz="4" w:space="0" w:color="auto"/>
            </w:tcBorders>
            <w:vAlign w:val="center"/>
          </w:tcPr>
          <w:p w14:paraId="7884092B" w14:textId="77777777" w:rsidR="0023116C" w:rsidRPr="00B30DA0" w:rsidRDefault="0023116C" w:rsidP="00D90AA6">
            <w:pPr>
              <w:spacing w:after="0"/>
              <w:rPr>
                <w:b/>
                <w:color w:val="000000"/>
                <w:sz w:val="20"/>
                <w:szCs w:val="20"/>
              </w:rPr>
            </w:pPr>
            <w:r w:rsidRPr="00B30DA0">
              <w:rPr>
                <w:b/>
                <w:color w:val="000000"/>
                <w:sz w:val="20"/>
                <w:szCs w:val="20"/>
              </w:rPr>
              <w:t>1470—Seven-Day Trip Log</w:t>
            </w:r>
          </w:p>
        </w:tc>
      </w:tr>
      <w:tr w:rsidR="0023116C" w:rsidRPr="009A3B13" w14:paraId="7E54C3A8" w14:textId="77777777" w:rsidTr="00D90AA6">
        <w:trPr>
          <w:trHeight w:val="288"/>
        </w:trPr>
        <w:tc>
          <w:tcPr>
            <w:tcW w:w="533" w:type="dxa"/>
            <w:tcBorders>
              <w:left w:val="single" w:sz="4" w:space="0" w:color="auto"/>
              <w:bottom w:val="single" w:sz="4" w:space="0" w:color="auto"/>
            </w:tcBorders>
            <w:vAlign w:val="center"/>
          </w:tcPr>
          <w:p w14:paraId="254FAE9B" w14:textId="77777777" w:rsidR="0023116C" w:rsidRDefault="0023116C" w:rsidP="00D90AA6">
            <w:pPr>
              <w:spacing w:after="0"/>
              <w:rPr>
                <w:color w:val="000000"/>
                <w:sz w:val="20"/>
                <w:szCs w:val="20"/>
              </w:rPr>
            </w:pPr>
          </w:p>
        </w:tc>
        <w:tc>
          <w:tcPr>
            <w:tcW w:w="4410" w:type="dxa"/>
            <w:tcBorders>
              <w:bottom w:val="single" w:sz="4" w:space="0" w:color="auto"/>
            </w:tcBorders>
            <w:tcMar>
              <w:top w:w="0" w:type="dxa"/>
              <w:left w:w="108" w:type="dxa"/>
              <w:bottom w:w="0" w:type="dxa"/>
              <w:right w:w="108" w:type="dxa"/>
            </w:tcMar>
            <w:vAlign w:val="center"/>
          </w:tcPr>
          <w:p w14:paraId="7CEA3577" w14:textId="77777777" w:rsidR="0023116C" w:rsidRDefault="0023116C" w:rsidP="00D90AA6">
            <w:pPr>
              <w:spacing w:after="0"/>
              <w:rPr>
                <w:color w:val="000000"/>
                <w:sz w:val="20"/>
                <w:szCs w:val="20"/>
              </w:rPr>
            </w:pPr>
            <w:r>
              <w:rPr>
                <w:color w:val="000000"/>
                <w:sz w:val="20"/>
                <w:szCs w:val="20"/>
              </w:rPr>
              <w:t>Teens complete daily trip log for one week</w:t>
            </w:r>
          </w:p>
        </w:tc>
        <w:tc>
          <w:tcPr>
            <w:tcW w:w="1350" w:type="dxa"/>
            <w:tcBorders>
              <w:bottom w:val="single" w:sz="4" w:space="0" w:color="auto"/>
            </w:tcBorders>
            <w:tcMar>
              <w:top w:w="0" w:type="dxa"/>
              <w:left w:w="108" w:type="dxa"/>
              <w:bottom w:w="0" w:type="dxa"/>
              <w:right w:w="108" w:type="dxa"/>
            </w:tcMar>
            <w:vAlign w:val="center"/>
          </w:tcPr>
          <w:p w14:paraId="4012092C" w14:textId="77777777" w:rsidR="0023116C" w:rsidRPr="009A3B13" w:rsidRDefault="0023116C" w:rsidP="00D90AA6">
            <w:pPr>
              <w:spacing w:after="0"/>
              <w:rPr>
                <w:rFonts w:eastAsiaTheme="minorHAnsi"/>
                <w:color w:val="000000"/>
                <w:sz w:val="20"/>
                <w:szCs w:val="20"/>
              </w:rPr>
            </w:pPr>
            <w:r w:rsidRPr="009A3B13">
              <w:rPr>
                <w:color w:val="000000"/>
                <w:sz w:val="20"/>
                <w:szCs w:val="20"/>
              </w:rPr>
              <w:t>2,000</w:t>
            </w:r>
          </w:p>
        </w:tc>
        <w:tc>
          <w:tcPr>
            <w:tcW w:w="1350" w:type="dxa"/>
            <w:tcBorders>
              <w:bottom w:val="single" w:sz="4" w:space="0" w:color="auto"/>
            </w:tcBorders>
            <w:tcMar>
              <w:top w:w="0" w:type="dxa"/>
              <w:left w:w="108" w:type="dxa"/>
              <w:bottom w:w="0" w:type="dxa"/>
              <w:right w:w="108" w:type="dxa"/>
            </w:tcMar>
            <w:vAlign w:val="center"/>
          </w:tcPr>
          <w:p w14:paraId="0EF6A90A" w14:textId="77777777" w:rsidR="0023116C" w:rsidRPr="009A3B13" w:rsidRDefault="0023116C" w:rsidP="00D90AA6">
            <w:pPr>
              <w:spacing w:after="0"/>
              <w:rPr>
                <w:rFonts w:eastAsiaTheme="minorHAnsi"/>
                <w:color w:val="000000"/>
                <w:sz w:val="20"/>
                <w:szCs w:val="20"/>
              </w:rPr>
            </w:pPr>
            <w:r w:rsidRPr="009A3B13">
              <w:rPr>
                <w:color w:val="000000"/>
                <w:sz w:val="20"/>
                <w:szCs w:val="20"/>
              </w:rPr>
              <w:t>35</w:t>
            </w:r>
          </w:p>
        </w:tc>
        <w:tc>
          <w:tcPr>
            <w:tcW w:w="1717" w:type="dxa"/>
            <w:tcBorders>
              <w:bottom w:val="single" w:sz="4" w:space="0" w:color="auto"/>
              <w:right w:val="single" w:sz="4" w:space="0" w:color="auto"/>
            </w:tcBorders>
            <w:tcMar>
              <w:top w:w="0" w:type="dxa"/>
              <w:left w:w="108" w:type="dxa"/>
              <w:bottom w:w="0" w:type="dxa"/>
              <w:right w:w="108" w:type="dxa"/>
            </w:tcMar>
            <w:vAlign w:val="center"/>
          </w:tcPr>
          <w:p w14:paraId="27BFA61F" w14:textId="77777777" w:rsidR="0023116C" w:rsidRPr="009A3B13" w:rsidRDefault="0023116C" w:rsidP="00D90AA6">
            <w:pPr>
              <w:spacing w:after="0"/>
              <w:rPr>
                <w:rFonts w:eastAsiaTheme="minorHAnsi"/>
                <w:color w:val="000000"/>
                <w:sz w:val="20"/>
                <w:szCs w:val="20"/>
              </w:rPr>
            </w:pPr>
            <w:r w:rsidRPr="009A3B13">
              <w:rPr>
                <w:color w:val="000000"/>
                <w:sz w:val="20"/>
                <w:szCs w:val="20"/>
              </w:rPr>
              <w:t>1,167</w:t>
            </w:r>
          </w:p>
        </w:tc>
      </w:tr>
      <w:tr w:rsidR="0023116C" w:rsidRPr="00A5175E" w14:paraId="0D5C5964" w14:textId="77777777" w:rsidTr="00D90AA6">
        <w:trPr>
          <w:trHeight w:val="288"/>
        </w:trPr>
        <w:tc>
          <w:tcPr>
            <w:tcW w:w="7643" w:type="dxa"/>
            <w:gridSpan w:val="4"/>
            <w:tcBorders>
              <w:top w:val="single" w:sz="4" w:space="0" w:color="auto"/>
              <w:left w:val="single" w:sz="4" w:space="0" w:color="auto"/>
              <w:bottom w:val="single" w:sz="4" w:space="0" w:color="auto"/>
            </w:tcBorders>
            <w:vAlign w:val="center"/>
          </w:tcPr>
          <w:p w14:paraId="15F84C9A" w14:textId="77777777" w:rsidR="0023116C" w:rsidRPr="00A5175E" w:rsidRDefault="0023116C" w:rsidP="00D90AA6">
            <w:pPr>
              <w:spacing w:after="0"/>
              <w:rPr>
                <w:b/>
                <w:i/>
                <w:color w:val="000000"/>
                <w:sz w:val="20"/>
                <w:szCs w:val="20"/>
              </w:rPr>
            </w:pPr>
            <w:r w:rsidRPr="00A5175E">
              <w:rPr>
                <w:b/>
                <w:i/>
                <w:color w:val="000000"/>
                <w:sz w:val="20"/>
                <w:szCs w:val="20"/>
              </w:rPr>
              <w:t>Total Estimated Burden</w:t>
            </w:r>
          </w:p>
        </w:tc>
        <w:tc>
          <w:tcPr>
            <w:tcW w:w="1717"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19F751A" w14:textId="77777777" w:rsidR="0023116C" w:rsidRPr="00A5175E" w:rsidRDefault="0023116C" w:rsidP="00D90AA6">
            <w:pPr>
              <w:spacing w:after="0"/>
              <w:rPr>
                <w:b/>
                <w:i/>
                <w:color w:val="000000"/>
                <w:sz w:val="20"/>
                <w:szCs w:val="20"/>
              </w:rPr>
            </w:pPr>
            <w:r w:rsidRPr="00A5175E">
              <w:rPr>
                <w:b/>
                <w:i/>
                <w:color w:val="000000"/>
                <w:sz w:val="20"/>
                <w:szCs w:val="20"/>
              </w:rPr>
              <w:t>12,542</w:t>
            </w:r>
          </w:p>
        </w:tc>
      </w:tr>
    </w:tbl>
    <w:p w14:paraId="24DAB1C0" w14:textId="77777777" w:rsidR="005D4304" w:rsidRDefault="005D4304" w:rsidP="00C30020">
      <w:pPr>
        <w:widowControl w:val="0"/>
        <w:autoSpaceDE w:val="0"/>
        <w:autoSpaceDN w:val="0"/>
        <w:adjustRightInd w:val="0"/>
        <w:rPr>
          <w:rFonts w:ascii="Times" w:hAnsi="Times" w:cs="Arial"/>
        </w:rPr>
      </w:pPr>
    </w:p>
    <w:p w14:paraId="5731A011" w14:textId="7D1241FA" w:rsidR="006F3C6F" w:rsidRPr="00097B6A" w:rsidRDefault="006F3C6F" w:rsidP="003B36EB">
      <w:pPr>
        <w:widowControl w:val="0"/>
        <w:autoSpaceDE w:val="0"/>
        <w:autoSpaceDN w:val="0"/>
        <w:adjustRightInd w:val="0"/>
        <w:ind w:firstLine="720"/>
        <w:rPr>
          <w:rFonts w:ascii="Times" w:hAnsi="Times" w:cs="Arial"/>
        </w:rPr>
      </w:pPr>
      <w:r>
        <w:rPr>
          <w:rFonts w:ascii="Times" w:hAnsi="Times" w:cs="Arial"/>
        </w:rPr>
        <w:t xml:space="preserve">The initial </w:t>
      </w:r>
      <w:r w:rsidR="00323301">
        <w:rPr>
          <w:rFonts w:ascii="Times" w:hAnsi="Times" w:cs="Arial"/>
        </w:rPr>
        <w:t xml:space="preserve">invitation </w:t>
      </w:r>
      <w:r>
        <w:rPr>
          <w:rFonts w:ascii="Times" w:hAnsi="Times" w:cs="Arial"/>
        </w:rPr>
        <w:t>ensures that potential respondents understand the intention of this study. We expect that we will need to invite 15,000</w:t>
      </w:r>
      <w:r w:rsidR="00632071">
        <w:rPr>
          <w:rFonts w:ascii="Times" w:hAnsi="Times" w:cs="Arial"/>
        </w:rPr>
        <w:t xml:space="preserve"> teens</w:t>
      </w:r>
      <w:r>
        <w:rPr>
          <w:rFonts w:ascii="Times" w:hAnsi="Times" w:cs="Arial"/>
        </w:rPr>
        <w:t xml:space="preserve"> in </w:t>
      </w:r>
      <w:r w:rsidR="00301321">
        <w:rPr>
          <w:rFonts w:ascii="Times" w:hAnsi="Times" w:cs="Arial"/>
        </w:rPr>
        <w:t xml:space="preserve">the primary </w:t>
      </w:r>
      <w:r>
        <w:rPr>
          <w:rFonts w:ascii="Times" w:hAnsi="Times" w:cs="Arial"/>
        </w:rPr>
        <w:t xml:space="preserve">jurisdiction to successfully recruit </w:t>
      </w:r>
      <w:r w:rsidRPr="00097B6A">
        <w:rPr>
          <w:rFonts w:ascii="Times" w:hAnsi="Times" w:cs="Arial"/>
        </w:rPr>
        <w:t>7,500</w:t>
      </w:r>
      <w:r w:rsidR="00632071" w:rsidRPr="00097B6A">
        <w:rPr>
          <w:rFonts w:ascii="Times" w:hAnsi="Times" w:cs="Arial"/>
        </w:rPr>
        <w:t xml:space="preserve"> teens</w:t>
      </w:r>
      <w:r w:rsidRPr="00097B6A">
        <w:rPr>
          <w:rFonts w:ascii="Times" w:hAnsi="Times" w:cs="Arial"/>
        </w:rPr>
        <w:t xml:space="preserve">, and 5,000 in </w:t>
      </w:r>
      <w:r w:rsidR="00301321">
        <w:rPr>
          <w:rFonts w:ascii="Times" w:hAnsi="Times" w:cs="Arial"/>
        </w:rPr>
        <w:t xml:space="preserve">the secondary </w:t>
      </w:r>
      <w:r w:rsidRPr="00097B6A">
        <w:rPr>
          <w:rFonts w:ascii="Times" w:hAnsi="Times" w:cs="Arial"/>
        </w:rPr>
        <w:t>jurisdiction to successfully recruit 2,500.</w:t>
      </w:r>
      <w:r w:rsidR="003C180B">
        <w:rPr>
          <w:rFonts w:ascii="Times" w:hAnsi="Times" w:cs="Arial"/>
        </w:rPr>
        <w:t xml:space="preserve"> By inviting 20,000 teens, we expect that as many as 60,000 respondents will read the letter since it will likely be read by the teen and up to two parent</w:t>
      </w:r>
      <w:r w:rsidR="0023116C">
        <w:rPr>
          <w:rFonts w:ascii="Times" w:hAnsi="Times" w:cs="Arial"/>
        </w:rPr>
        <w:t>s</w:t>
      </w:r>
      <w:r w:rsidR="003C180B">
        <w:rPr>
          <w:rFonts w:ascii="Times" w:hAnsi="Times" w:cs="Arial"/>
        </w:rPr>
        <w:t xml:space="preserve"> or caregivers.</w:t>
      </w:r>
    </w:p>
    <w:p w14:paraId="25D67F33" w14:textId="363C01EE" w:rsidR="006F3C6F" w:rsidRDefault="006F3C6F" w:rsidP="003B36EB">
      <w:pPr>
        <w:widowControl w:val="0"/>
        <w:autoSpaceDE w:val="0"/>
        <w:autoSpaceDN w:val="0"/>
        <w:adjustRightInd w:val="0"/>
        <w:ind w:firstLine="720"/>
        <w:rPr>
          <w:rFonts w:ascii="Times" w:hAnsi="Times" w:cs="Arial"/>
        </w:rPr>
      </w:pPr>
      <w:r w:rsidRPr="00097B6A">
        <w:rPr>
          <w:rFonts w:ascii="Times" w:hAnsi="Times" w:cs="Arial"/>
        </w:rPr>
        <w:t>The RAPT training protocol will be used with half of the recruited</w:t>
      </w:r>
      <w:r>
        <w:rPr>
          <w:rFonts w:ascii="Times" w:hAnsi="Times" w:cs="Arial"/>
        </w:rPr>
        <w:t xml:space="preserve"> participants in</w:t>
      </w:r>
      <w:r w:rsidR="00C915FB">
        <w:rPr>
          <w:rFonts w:ascii="Times" w:hAnsi="Times" w:cs="Arial"/>
        </w:rPr>
        <w:t xml:space="preserve"> both</w:t>
      </w:r>
      <w:r>
        <w:rPr>
          <w:rFonts w:ascii="Times" w:hAnsi="Times" w:cs="Arial"/>
        </w:rPr>
        <w:t xml:space="preserve"> jurisdiction</w:t>
      </w:r>
      <w:r w:rsidR="00C915FB">
        <w:rPr>
          <w:rFonts w:ascii="Times" w:hAnsi="Times" w:cs="Arial"/>
        </w:rPr>
        <w:t>s</w:t>
      </w:r>
      <w:r>
        <w:rPr>
          <w:rFonts w:ascii="Times" w:hAnsi="Times" w:cs="Arial"/>
        </w:rPr>
        <w:t xml:space="preserve">. </w:t>
      </w:r>
      <w:r w:rsidR="00CF6F54">
        <w:rPr>
          <w:rFonts w:ascii="Times" w:hAnsi="Times" w:cs="Arial"/>
        </w:rPr>
        <w:t>The training</w:t>
      </w:r>
      <w:r>
        <w:rPr>
          <w:rFonts w:ascii="Times" w:hAnsi="Times" w:cs="Arial"/>
        </w:rPr>
        <w:t xml:space="preserve"> will take</w:t>
      </w:r>
      <w:r w:rsidR="00CF6F54">
        <w:rPr>
          <w:rFonts w:ascii="Times" w:hAnsi="Times" w:cs="Arial"/>
        </w:rPr>
        <w:t xml:space="preserve"> a</w:t>
      </w:r>
      <w:r w:rsidR="00D62262">
        <w:rPr>
          <w:rFonts w:ascii="Times" w:hAnsi="Times" w:cs="Arial"/>
        </w:rPr>
        <w:t>n</w:t>
      </w:r>
      <w:r w:rsidR="00CF6F54">
        <w:rPr>
          <w:rFonts w:ascii="Times" w:hAnsi="Times" w:cs="Arial"/>
        </w:rPr>
        <w:t xml:space="preserve"> estimated</w:t>
      </w:r>
      <w:r>
        <w:rPr>
          <w:rFonts w:ascii="Times" w:hAnsi="Times" w:cs="Arial"/>
        </w:rPr>
        <w:t xml:space="preserve"> 4</w:t>
      </w:r>
      <w:r w:rsidR="00D62262">
        <w:rPr>
          <w:rFonts w:ascii="Times" w:hAnsi="Times" w:cs="Arial"/>
        </w:rPr>
        <w:t>5</w:t>
      </w:r>
      <w:r>
        <w:rPr>
          <w:rFonts w:ascii="Times" w:hAnsi="Times" w:cs="Arial"/>
        </w:rPr>
        <w:t xml:space="preserve"> minutes, </w:t>
      </w:r>
      <w:r w:rsidR="00CF6F54">
        <w:rPr>
          <w:rFonts w:ascii="Times" w:hAnsi="Times" w:cs="Arial"/>
        </w:rPr>
        <w:t>including</w:t>
      </w:r>
      <w:r w:rsidR="00D62262">
        <w:rPr>
          <w:rFonts w:ascii="Times" w:hAnsi="Times" w:cs="Arial"/>
        </w:rPr>
        <w:t xml:space="preserve"> consent</w:t>
      </w:r>
      <w:r>
        <w:rPr>
          <w:rFonts w:ascii="Times" w:hAnsi="Times" w:cs="Arial"/>
        </w:rPr>
        <w:t xml:space="preserve"> </w:t>
      </w:r>
      <w:r w:rsidR="00E14025">
        <w:rPr>
          <w:rFonts w:ascii="Times" w:hAnsi="Times" w:cs="Arial"/>
        </w:rPr>
        <w:t xml:space="preserve">and </w:t>
      </w:r>
      <w:r>
        <w:rPr>
          <w:rFonts w:ascii="Times" w:hAnsi="Times" w:cs="Arial"/>
        </w:rPr>
        <w:t>all the data collection needs, training</w:t>
      </w:r>
      <w:r w:rsidR="002B2F5E">
        <w:rPr>
          <w:rFonts w:ascii="Times" w:hAnsi="Times" w:cs="Arial"/>
        </w:rPr>
        <w:t>,</w:t>
      </w:r>
      <w:r>
        <w:rPr>
          <w:rFonts w:ascii="Times" w:hAnsi="Times" w:cs="Arial"/>
        </w:rPr>
        <w:t xml:space="preserve"> and pre- and post-testing. The other half </w:t>
      </w:r>
      <w:r w:rsidR="00177FD9">
        <w:rPr>
          <w:rFonts w:ascii="Times" w:hAnsi="Times" w:cs="Arial"/>
        </w:rPr>
        <w:t xml:space="preserve">of the recruited participants </w:t>
      </w:r>
      <w:r>
        <w:rPr>
          <w:rFonts w:ascii="Times" w:hAnsi="Times" w:cs="Arial"/>
        </w:rPr>
        <w:t>in</w:t>
      </w:r>
      <w:r w:rsidR="00FD3AE7">
        <w:rPr>
          <w:rFonts w:ascii="Times" w:hAnsi="Times" w:cs="Arial"/>
        </w:rPr>
        <w:t xml:space="preserve"> both</w:t>
      </w:r>
      <w:r>
        <w:rPr>
          <w:rFonts w:ascii="Times" w:hAnsi="Times" w:cs="Arial"/>
        </w:rPr>
        <w:t xml:space="preserve"> jurisdiction</w:t>
      </w:r>
      <w:r w:rsidR="00FD3AE7">
        <w:rPr>
          <w:rFonts w:ascii="Times" w:hAnsi="Times" w:cs="Arial"/>
        </w:rPr>
        <w:t>s</w:t>
      </w:r>
      <w:r>
        <w:rPr>
          <w:rFonts w:ascii="Times" w:hAnsi="Times" w:cs="Arial"/>
        </w:rPr>
        <w:t xml:space="preserve"> will </w:t>
      </w:r>
      <w:r w:rsidR="00CF6F54">
        <w:rPr>
          <w:rFonts w:ascii="Times" w:hAnsi="Times" w:cs="Arial"/>
        </w:rPr>
        <w:t>complete</w:t>
      </w:r>
      <w:r>
        <w:rPr>
          <w:rFonts w:ascii="Times" w:hAnsi="Times" w:cs="Arial"/>
        </w:rPr>
        <w:t xml:space="preserve"> the placebo training, also including </w:t>
      </w:r>
      <w:r w:rsidR="00E14025">
        <w:rPr>
          <w:rFonts w:ascii="Times" w:hAnsi="Times" w:cs="Arial"/>
        </w:rPr>
        <w:t xml:space="preserve">consent and </w:t>
      </w:r>
      <w:r>
        <w:rPr>
          <w:rFonts w:ascii="Times" w:hAnsi="Times" w:cs="Arial"/>
        </w:rPr>
        <w:t xml:space="preserve">all the data collection, </w:t>
      </w:r>
      <w:r w:rsidR="00E14025">
        <w:rPr>
          <w:rFonts w:ascii="Times" w:hAnsi="Times" w:cs="Arial"/>
        </w:rPr>
        <w:t xml:space="preserve">placebo training, </w:t>
      </w:r>
      <w:r>
        <w:rPr>
          <w:rFonts w:ascii="Times" w:hAnsi="Times" w:cs="Arial"/>
        </w:rPr>
        <w:t>and pre- and post-test</w:t>
      </w:r>
      <w:r w:rsidR="002B2F5E">
        <w:rPr>
          <w:rFonts w:ascii="Times" w:hAnsi="Times" w:cs="Arial"/>
        </w:rPr>
        <w:t>ing</w:t>
      </w:r>
      <w:r>
        <w:rPr>
          <w:rFonts w:ascii="Times" w:hAnsi="Times" w:cs="Arial"/>
        </w:rPr>
        <w:t xml:space="preserve">. This </w:t>
      </w:r>
      <w:r w:rsidR="00632071">
        <w:rPr>
          <w:rFonts w:ascii="Times" w:hAnsi="Times" w:cs="Arial"/>
        </w:rPr>
        <w:t xml:space="preserve">placebo </w:t>
      </w:r>
      <w:r>
        <w:rPr>
          <w:rFonts w:ascii="Times" w:hAnsi="Times" w:cs="Arial"/>
        </w:rPr>
        <w:t xml:space="preserve">protocol is expected to take </w:t>
      </w:r>
      <w:r w:rsidR="00D62262">
        <w:rPr>
          <w:rFonts w:ascii="Times" w:hAnsi="Times" w:cs="Arial"/>
        </w:rPr>
        <w:t>45</w:t>
      </w:r>
      <w:r>
        <w:rPr>
          <w:rFonts w:ascii="Times" w:hAnsi="Times" w:cs="Arial"/>
        </w:rPr>
        <w:t xml:space="preserve"> minutes per participant.</w:t>
      </w:r>
    </w:p>
    <w:p w14:paraId="4A2915F7" w14:textId="70E9EFDF" w:rsidR="00D62262" w:rsidRDefault="00D62262" w:rsidP="00632071">
      <w:pPr>
        <w:widowControl w:val="0"/>
        <w:autoSpaceDE w:val="0"/>
        <w:autoSpaceDN w:val="0"/>
        <w:adjustRightInd w:val="0"/>
        <w:ind w:firstLine="720"/>
        <w:rPr>
          <w:rFonts w:ascii="Times" w:hAnsi="Times" w:cs="Arial"/>
        </w:rPr>
      </w:pPr>
      <w:r>
        <w:rPr>
          <w:rFonts w:ascii="Times" w:hAnsi="Times" w:cs="Arial"/>
        </w:rPr>
        <w:t>W</w:t>
      </w:r>
      <w:r w:rsidR="006F3C6F">
        <w:rPr>
          <w:rFonts w:ascii="Times" w:hAnsi="Times" w:cs="Arial"/>
        </w:rPr>
        <w:t xml:space="preserve">e expect that </w:t>
      </w:r>
      <w:r w:rsidR="00394CA8">
        <w:rPr>
          <w:rFonts w:ascii="Times" w:hAnsi="Times" w:cs="Arial"/>
        </w:rPr>
        <w:t xml:space="preserve">up to </w:t>
      </w:r>
      <w:r w:rsidR="006F3C6F">
        <w:rPr>
          <w:rFonts w:ascii="Times" w:hAnsi="Times" w:cs="Arial"/>
        </w:rPr>
        <w:t>7,500 teens who participated in the original RAPT and placebo training</w:t>
      </w:r>
      <w:r w:rsidR="00CE4742">
        <w:rPr>
          <w:rFonts w:ascii="Times" w:hAnsi="Times" w:cs="Arial"/>
        </w:rPr>
        <w:t xml:space="preserve"> in the primary jurisdiction</w:t>
      </w:r>
      <w:r w:rsidR="006F3C6F">
        <w:rPr>
          <w:rFonts w:ascii="Times" w:hAnsi="Times" w:cs="Arial"/>
        </w:rPr>
        <w:t xml:space="preserve"> will participate in th</w:t>
      </w:r>
      <w:r w:rsidR="007B57B0">
        <w:rPr>
          <w:rFonts w:ascii="Times" w:hAnsi="Times" w:cs="Arial"/>
        </w:rPr>
        <w:t>e six-month</w:t>
      </w:r>
      <w:r w:rsidR="006F3C6F">
        <w:rPr>
          <w:rFonts w:ascii="Times" w:hAnsi="Times" w:cs="Arial"/>
        </w:rPr>
        <w:t xml:space="preserve"> follow</w:t>
      </w:r>
      <w:r w:rsidR="00684223">
        <w:rPr>
          <w:rFonts w:ascii="Times" w:hAnsi="Times" w:cs="Arial"/>
        </w:rPr>
        <w:t>-</w:t>
      </w:r>
      <w:r w:rsidR="006F3C6F">
        <w:rPr>
          <w:rFonts w:ascii="Times" w:hAnsi="Times" w:cs="Arial"/>
        </w:rPr>
        <w:t xml:space="preserve">up test. At this time, only the testing portions of the protocol will be used rather than the entire training protocol. As such, these </w:t>
      </w:r>
      <w:r w:rsidR="00CF6F54">
        <w:rPr>
          <w:rFonts w:ascii="Times" w:hAnsi="Times" w:cs="Arial"/>
        </w:rPr>
        <w:t>7</w:t>
      </w:r>
      <w:r w:rsidR="006F3C6F">
        <w:rPr>
          <w:rFonts w:ascii="Times" w:hAnsi="Times" w:cs="Arial"/>
        </w:rPr>
        <w:t>,</w:t>
      </w:r>
      <w:r w:rsidR="00CF6F54">
        <w:rPr>
          <w:rFonts w:ascii="Times" w:hAnsi="Times" w:cs="Arial"/>
        </w:rPr>
        <w:t xml:space="preserve">500 </w:t>
      </w:r>
      <w:r w:rsidR="006F3C6F">
        <w:rPr>
          <w:rFonts w:ascii="Times" w:hAnsi="Times" w:cs="Arial"/>
        </w:rPr>
        <w:t>teens will each have to spend 1</w:t>
      </w:r>
      <w:r w:rsidR="00322E0C">
        <w:rPr>
          <w:rFonts w:ascii="Times" w:hAnsi="Times" w:cs="Arial"/>
        </w:rPr>
        <w:t>5</w:t>
      </w:r>
      <w:r w:rsidR="002B2F5E">
        <w:rPr>
          <w:rFonts w:ascii="Times" w:hAnsi="Times" w:cs="Arial"/>
        </w:rPr>
        <w:t xml:space="preserve"> minutes to complete the post-</w:t>
      </w:r>
      <w:r w:rsidR="006F3C6F">
        <w:rPr>
          <w:rFonts w:ascii="Times" w:hAnsi="Times" w:cs="Arial"/>
        </w:rPr>
        <w:t>test</w:t>
      </w:r>
      <w:r w:rsidR="009F5923">
        <w:rPr>
          <w:rFonts w:ascii="Times" w:hAnsi="Times" w:cs="Arial"/>
        </w:rPr>
        <w:t xml:space="preserve"> and answer questions about crashes and citations within the past six month</w:t>
      </w:r>
      <w:r w:rsidR="00CB5225">
        <w:rPr>
          <w:rFonts w:ascii="Times" w:hAnsi="Times" w:cs="Arial"/>
        </w:rPr>
        <w:t>s</w:t>
      </w:r>
      <w:r w:rsidR="006F3C6F">
        <w:rPr>
          <w:rFonts w:ascii="Times" w:hAnsi="Times" w:cs="Arial"/>
        </w:rPr>
        <w:t>.</w:t>
      </w:r>
    </w:p>
    <w:p w14:paraId="253C773A" w14:textId="5D2737CA" w:rsidR="00970BEA" w:rsidRDefault="00D62262" w:rsidP="00D62262">
      <w:pPr>
        <w:widowControl w:val="0"/>
        <w:autoSpaceDE w:val="0"/>
        <w:autoSpaceDN w:val="0"/>
        <w:adjustRightInd w:val="0"/>
        <w:ind w:firstLine="720"/>
        <w:rPr>
          <w:rFonts w:ascii="Times" w:hAnsi="Times" w:cs="Arial"/>
        </w:rPr>
      </w:pPr>
      <w:r>
        <w:rPr>
          <w:rFonts w:ascii="Times" w:hAnsi="Times" w:cs="Arial"/>
        </w:rPr>
        <w:t xml:space="preserve">Finally, a subsample of 2,000 teens </w:t>
      </w:r>
      <w:r w:rsidR="00D94529">
        <w:rPr>
          <w:rFonts w:ascii="Times" w:hAnsi="Times" w:cs="Arial"/>
        </w:rPr>
        <w:t xml:space="preserve">from the primary jurisdiction </w:t>
      </w:r>
      <w:r>
        <w:rPr>
          <w:rFonts w:ascii="Times" w:hAnsi="Times" w:cs="Arial"/>
        </w:rPr>
        <w:t xml:space="preserve">will be invited to complete a drive log </w:t>
      </w:r>
      <w:r w:rsidR="00995BBE">
        <w:rPr>
          <w:rFonts w:ascii="Times" w:hAnsi="Times" w:cs="Arial"/>
        </w:rPr>
        <w:t xml:space="preserve">on </w:t>
      </w:r>
      <w:r w:rsidR="00995BBE">
        <w:rPr>
          <w:rFonts w:eastAsia="Calibri"/>
        </w:rPr>
        <w:t>each day of</w:t>
      </w:r>
      <w:r w:rsidR="00995BBE" w:rsidRPr="00A90C73">
        <w:rPr>
          <w:rFonts w:eastAsia="Calibri"/>
        </w:rPr>
        <w:t xml:space="preserve"> the past week</w:t>
      </w:r>
      <w:r w:rsidR="00995BBE">
        <w:rPr>
          <w:rFonts w:ascii="Times" w:hAnsi="Times" w:cs="Arial"/>
        </w:rPr>
        <w:t xml:space="preserve"> </w:t>
      </w:r>
      <w:r>
        <w:rPr>
          <w:rFonts w:ascii="Times" w:hAnsi="Times" w:cs="Arial"/>
        </w:rPr>
        <w:t xml:space="preserve">to measure exposure during each month of the </w:t>
      </w:r>
      <w:r w:rsidR="002B2F5E">
        <w:rPr>
          <w:rFonts w:ascii="Times" w:hAnsi="Times" w:cs="Arial"/>
        </w:rPr>
        <w:t>six-month</w:t>
      </w:r>
      <w:r>
        <w:rPr>
          <w:rFonts w:ascii="Times" w:hAnsi="Times" w:cs="Arial"/>
        </w:rPr>
        <w:t xml:space="preserve"> follow</w:t>
      </w:r>
      <w:r w:rsidR="00684223">
        <w:rPr>
          <w:rFonts w:ascii="Times" w:hAnsi="Times" w:cs="Arial"/>
        </w:rPr>
        <w:t>-</w:t>
      </w:r>
      <w:r>
        <w:rPr>
          <w:rFonts w:ascii="Times" w:hAnsi="Times" w:cs="Arial"/>
        </w:rPr>
        <w:t xml:space="preserve">up period. </w:t>
      </w:r>
      <w:r w:rsidR="00995BBE">
        <w:rPr>
          <w:rFonts w:eastAsia="Calibri"/>
        </w:rPr>
        <w:t xml:space="preserve">This subsample of teens will be distributed across each of the six months during the follow-up period. </w:t>
      </w:r>
      <w:r w:rsidR="002B2F5E">
        <w:rPr>
          <w:rFonts w:ascii="Times" w:hAnsi="Times" w:cs="Arial"/>
        </w:rPr>
        <w:t>The time needed to complete the drive log</w:t>
      </w:r>
      <w:r>
        <w:rPr>
          <w:rFonts w:ascii="Times" w:hAnsi="Times" w:cs="Arial"/>
        </w:rPr>
        <w:t xml:space="preserve"> is 5 minutes per day</w:t>
      </w:r>
      <w:r w:rsidR="00FA57EE">
        <w:rPr>
          <w:rFonts w:ascii="Times" w:hAnsi="Times" w:cs="Arial"/>
        </w:rPr>
        <w:t xml:space="preserve"> for one week,</w:t>
      </w:r>
      <w:r>
        <w:rPr>
          <w:rFonts w:ascii="Times" w:hAnsi="Times" w:cs="Arial"/>
        </w:rPr>
        <w:t xml:space="preserve"> for a total of 35 minutes</w:t>
      </w:r>
      <w:r w:rsidR="002B2F5E">
        <w:rPr>
          <w:rFonts w:ascii="Times" w:hAnsi="Times" w:cs="Arial"/>
        </w:rPr>
        <w:t xml:space="preserve"> per participant</w:t>
      </w:r>
      <w:r>
        <w:rPr>
          <w:rFonts w:ascii="Times" w:hAnsi="Times" w:cs="Arial"/>
        </w:rPr>
        <w:t>.</w:t>
      </w:r>
      <w:bookmarkStart w:id="55" w:name="_Toc125278825"/>
      <w:bookmarkStart w:id="56" w:name="_Toc125341748"/>
      <w:bookmarkStart w:id="57" w:name="_Toc125447306"/>
      <w:bookmarkStart w:id="58" w:name="_Toc126394134"/>
    </w:p>
    <w:p w14:paraId="521D290B" w14:textId="7BC3E9D0" w:rsidR="001B7935" w:rsidRPr="00FB5E02" w:rsidRDefault="001B7935" w:rsidP="001B7935">
      <w:pPr>
        <w:pStyle w:val="HTMLPreformatted"/>
        <w:tabs>
          <w:tab w:val="clear" w:pos="916"/>
          <w:tab w:val="left" w:pos="720"/>
        </w:tabs>
        <w:rPr>
          <w:rFonts w:ascii="Times New Roman" w:hAnsi="Times New Roman"/>
          <w:sz w:val="24"/>
          <w:szCs w:val="24"/>
        </w:rPr>
      </w:pPr>
      <w:r>
        <w:rPr>
          <w:rFonts w:ascii="Times New Roman" w:hAnsi="Times New Roman" w:cs="Times New Roman"/>
          <w:sz w:val="24"/>
          <w:szCs w:val="24"/>
        </w:rPr>
        <w:tab/>
        <w:t>We</w:t>
      </w:r>
      <w:r w:rsidRPr="001E31BD">
        <w:rPr>
          <w:rFonts w:ascii="Times New Roman" w:hAnsi="Times New Roman" w:cs="Times New Roman"/>
          <w:sz w:val="24"/>
          <w:szCs w:val="24"/>
        </w:rPr>
        <w:t xml:space="preserve"> expect that most respondents</w:t>
      </w:r>
      <w:r>
        <w:rPr>
          <w:rFonts w:ascii="Times New Roman" w:hAnsi="Times New Roman" w:cs="Times New Roman"/>
          <w:sz w:val="24"/>
          <w:szCs w:val="24"/>
        </w:rPr>
        <w:t xml:space="preserve"> will not be employed full-time</w:t>
      </w:r>
      <w:r w:rsidRPr="001E31BD">
        <w:rPr>
          <w:rFonts w:ascii="Times New Roman" w:hAnsi="Times New Roman" w:cs="Times New Roman"/>
          <w:sz w:val="24"/>
          <w:szCs w:val="24"/>
        </w:rPr>
        <w:t xml:space="preserve">. If employed, </w:t>
      </w:r>
      <w:r>
        <w:rPr>
          <w:rFonts w:ascii="Times New Roman" w:hAnsi="Times New Roman" w:cs="Times New Roman"/>
          <w:sz w:val="24"/>
          <w:szCs w:val="24"/>
        </w:rPr>
        <w:t xml:space="preserve">opportunity </w:t>
      </w:r>
      <w:r w:rsidRPr="001E31BD">
        <w:rPr>
          <w:rFonts w:ascii="Times New Roman" w:hAnsi="Times New Roman" w:cs="Times New Roman"/>
          <w:sz w:val="24"/>
          <w:szCs w:val="24"/>
        </w:rPr>
        <w:t xml:space="preserve">costs to respondents for </w:t>
      </w:r>
      <w:r>
        <w:rPr>
          <w:rFonts w:ascii="Times New Roman" w:hAnsi="Times New Roman" w:cs="Times New Roman"/>
          <w:sz w:val="24"/>
          <w:szCs w:val="24"/>
        </w:rPr>
        <w:t xml:space="preserve">participation in all study activities </w:t>
      </w:r>
      <w:r w:rsidRPr="001E31BD">
        <w:rPr>
          <w:rFonts w:ascii="Times New Roman" w:hAnsi="Times New Roman" w:cs="Times New Roman"/>
          <w:sz w:val="24"/>
          <w:szCs w:val="24"/>
        </w:rPr>
        <w:t>can be calculated based on m</w:t>
      </w:r>
      <w:r w:rsidRPr="001E31BD">
        <w:rPr>
          <w:rFonts w:ascii="Times New Roman" w:hAnsi="Times New Roman"/>
          <w:sz w:val="24"/>
          <w:szCs w:val="24"/>
        </w:rPr>
        <w:t>ean hourly wages provided by the Bureau of Labor Statistics for All Occupations (</w:t>
      </w:r>
      <w:hyperlink r:id="rId9" w:anchor="00-0000" w:history="1">
        <w:r w:rsidRPr="001B7935">
          <w:rPr>
            <w:rFonts w:ascii="Times New Roman" w:hAnsi="Times New Roman" w:cs="Times New Roman"/>
            <w:color w:val="0000FF"/>
            <w:sz w:val="24"/>
            <w:szCs w:val="24"/>
            <w:u w:val="single"/>
          </w:rPr>
          <w:t>https://www.bls.gov/oes/2018/may/oes_nat.htm#00-0000</w:t>
        </w:r>
      </w:hyperlink>
      <w:r w:rsidRPr="001E31BD">
        <w:rPr>
          <w:rFonts w:ascii="Times New Roman" w:hAnsi="Times New Roman"/>
          <w:sz w:val="24"/>
          <w:szCs w:val="24"/>
        </w:rPr>
        <w:t>).</w:t>
      </w:r>
      <w:r>
        <w:rPr>
          <w:rFonts w:ascii="Times New Roman" w:hAnsi="Times New Roman"/>
          <w:sz w:val="24"/>
          <w:szCs w:val="24"/>
        </w:rPr>
        <w:t xml:space="preserve"> </w:t>
      </w:r>
      <w:r w:rsidRPr="00FB5E02">
        <w:rPr>
          <w:rFonts w:ascii="Times New Roman" w:hAnsi="Times New Roman"/>
          <w:sz w:val="24"/>
          <w:szCs w:val="24"/>
        </w:rPr>
        <w:t xml:space="preserve">If all respondents are employed, the total annual cost to respondents would be </w:t>
      </w:r>
      <w:r>
        <w:rPr>
          <w:rFonts w:ascii="Times New Roman" w:hAnsi="Times New Roman"/>
          <w:sz w:val="24"/>
          <w:szCs w:val="24"/>
        </w:rPr>
        <w:t>about $</w:t>
      </w:r>
      <w:r w:rsidR="00D07B60">
        <w:rPr>
          <w:rFonts w:ascii="Times New Roman" w:hAnsi="Times New Roman"/>
          <w:sz w:val="24"/>
          <w:szCs w:val="24"/>
        </w:rPr>
        <w:t>313</w:t>
      </w:r>
      <w:r>
        <w:rPr>
          <w:rFonts w:ascii="Times New Roman" w:hAnsi="Times New Roman"/>
          <w:sz w:val="24"/>
          <w:szCs w:val="24"/>
        </w:rPr>
        <w:t xml:space="preserve">,000 (12,542 hours X $24.98/hour). </w:t>
      </w:r>
    </w:p>
    <w:p w14:paraId="4494369F" w14:textId="77777777" w:rsidR="001B7935" w:rsidRPr="00D62262" w:rsidRDefault="001B7935" w:rsidP="00D62262">
      <w:pPr>
        <w:widowControl w:val="0"/>
        <w:autoSpaceDE w:val="0"/>
        <w:autoSpaceDN w:val="0"/>
        <w:adjustRightInd w:val="0"/>
        <w:ind w:firstLine="720"/>
        <w:rPr>
          <w:rFonts w:ascii="Times" w:hAnsi="Times" w:cs="Arial"/>
        </w:rPr>
      </w:pPr>
    </w:p>
    <w:p w14:paraId="1BB6C563" w14:textId="77777777" w:rsidR="00C800ED" w:rsidRPr="001E31BD" w:rsidRDefault="00C800ED" w:rsidP="00C800ED">
      <w:pPr>
        <w:pStyle w:val="Heading2"/>
        <w:ind w:left="720" w:hanging="720"/>
        <w:rPr>
          <w:b/>
          <w:u w:val="none"/>
        </w:rPr>
      </w:pPr>
      <w:r w:rsidRPr="001E31BD">
        <w:rPr>
          <w:b/>
          <w:u w:val="none"/>
        </w:rPr>
        <w:t>A.13.</w:t>
      </w:r>
      <w:r w:rsidRPr="001E31BD">
        <w:rPr>
          <w:b/>
          <w:u w:val="none"/>
        </w:rPr>
        <w:tab/>
        <w:t>Provide an estimate of the total annual cost to the respondents or record keepers resulting from the collection of information.</w:t>
      </w:r>
      <w:bookmarkEnd w:id="55"/>
      <w:bookmarkEnd w:id="56"/>
      <w:bookmarkEnd w:id="57"/>
      <w:bookmarkEnd w:id="58"/>
      <w:r w:rsidRPr="001E31BD">
        <w:rPr>
          <w:b/>
          <w:u w:val="none"/>
        </w:rPr>
        <w:t xml:space="preserve"> </w:t>
      </w:r>
    </w:p>
    <w:p w14:paraId="4DBF2E39" w14:textId="2C14D72D" w:rsidR="00CE2EA9" w:rsidRPr="00FB5E02" w:rsidRDefault="00DF4D00" w:rsidP="00FB5945">
      <w:pPr>
        <w:pStyle w:val="HTMLPreformatted"/>
        <w:tabs>
          <w:tab w:val="clear" w:pos="916"/>
          <w:tab w:val="left" w:pos="720"/>
        </w:tabs>
        <w:rPr>
          <w:rFonts w:ascii="Times New Roman" w:hAnsi="Times New Roman"/>
          <w:sz w:val="24"/>
          <w:szCs w:val="24"/>
        </w:rPr>
      </w:pPr>
      <w:r w:rsidRPr="001E31BD">
        <w:rPr>
          <w:rFonts w:ascii="Times New Roman" w:hAnsi="Times New Roman"/>
          <w:color w:val="4F81BD" w:themeColor="accent1"/>
          <w:sz w:val="24"/>
          <w:szCs w:val="24"/>
        </w:rPr>
        <w:tab/>
      </w:r>
      <w:r w:rsidR="00C04008" w:rsidRPr="001E31BD">
        <w:rPr>
          <w:rFonts w:ascii="Times New Roman" w:hAnsi="Times New Roman"/>
          <w:color w:val="000000" w:themeColor="text1"/>
          <w:sz w:val="24"/>
          <w:szCs w:val="24"/>
        </w:rPr>
        <w:t>P</w:t>
      </w:r>
      <w:r w:rsidRPr="001E31BD">
        <w:rPr>
          <w:rFonts w:ascii="Times New Roman" w:hAnsi="Times New Roman"/>
          <w:color w:val="000000" w:themeColor="text1"/>
          <w:sz w:val="24"/>
          <w:szCs w:val="24"/>
        </w:rPr>
        <w:t xml:space="preserve">articipants </w:t>
      </w:r>
      <w:r w:rsidR="00D42CD6" w:rsidRPr="001E31BD">
        <w:rPr>
          <w:rFonts w:ascii="Times New Roman" w:hAnsi="Times New Roman"/>
          <w:color w:val="000000" w:themeColor="text1"/>
          <w:sz w:val="24"/>
          <w:szCs w:val="24"/>
        </w:rPr>
        <w:t>do not incur</w:t>
      </w:r>
      <w:r w:rsidR="00F100B4">
        <w:rPr>
          <w:rFonts w:ascii="Times New Roman" w:hAnsi="Times New Roman"/>
          <w:color w:val="000000" w:themeColor="text1"/>
          <w:sz w:val="24"/>
          <w:szCs w:val="24"/>
        </w:rPr>
        <w:t xml:space="preserve"> either</w:t>
      </w:r>
      <w:r w:rsidR="00D42CD6" w:rsidRPr="001E31BD">
        <w:rPr>
          <w:rFonts w:ascii="Times New Roman" w:hAnsi="Times New Roman"/>
          <w:color w:val="000000" w:themeColor="text1"/>
          <w:sz w:val="24"/>
          <w:szCs w:val="24"/>
        </w:rPr>
        <w:t xml:space="preserve"> (a) capital and start</w:t>
      </w:r>
      <w:r w:rsidR="00FB5E02">
        <w:rPr>
          <w:rFonts w:ascii="Times New Roman" w:hAnsi="Times New Roman"/>
          <w:color w:val="000000" w:themeColor="text1"/>
          <w:sz w:val="24"/>
          <w:szCs w:val="24"/>
        </w:rPr>
        <w:t>-</w:t>
      </w:r>
      <w:r w:rsidR="00A30E1A">
        <w:rPr>
          <w:rFonts w:ascii="Times New Roman" w:hAnsi="Times New Roman"/>
          <w:color w:val="000000" w:themeColor="text1"/>
          <w:sz w:val="24"/>
          <w:szCs w:val="24"/>
        </w:rPr>
        <w:t>up costs</w:t>
      </w:r>
      <w:r w:rsidR="00D42CD6" w:rsidRPr="00FB5E02">
        <w:rPr>
          <w:rFonts w:ascii="Times New Roman" w:hAnsi="Times New Roman"/>
          <w:color w:val="000000" w:themeColor="text1"/>
          <w:sz w:val="24"/>
          <w:szCs w:val="24"/>
        </w:rPr>
        <w:t xml:space="preserve"> or (b) operation, maintenance, and purchase costs as a result of participating in the </w:t>
      </w:r>
      <w:r w:rsidRPr="001E31BD">
        <w:rPr>
          <w:rFonts w:ascii="Times New Roman" w:hAnsi="Times New Roman"/>
          <w:color w:val="000000" w:themeColor="text1"/>
          <w:sz w:val="24"/>
          <w:szCs w:val="24"/>
        </w:rPr>
        <w:t>study</w:t>
      </w:r>
      <w:r w:rsidR="00D42CD6" w:rsidRPr="001E31BD">
        <w:rPr>
          <w:rFonts w:ascii="Times New Roman" w:hAnsi="Times New Roman"/>
          <w:color w:val="000000" w:themeColor="text1"/>
          <w:sz w:val="24"/>
          <w:szCs w:val="24"/>
        </w:rPr>
        <w:t>.</w:t>
      </w:r>
      <w:r w:rsidR="00F100B4">
        <w:rPr>
          <w:rFonts w:ascii="Times New Roman" w:hAnsi="Times New Roman" w:cs="Times New Roman"/>
          <w:sz w:val="24"/>
          <w:szCs w:val="24"/>
        </w:rPr>
        <w:t xml:space="preserve"> </w:t>
      </w:r>
    </w:p>
    <w:p w14:paraId="3A5D1095" w14:textId="77777777" w:rsidR="00CE2EA9" w:rsidRPr="00660A1A" w:rsidRDefault="00CE2EA9" w:rsidP="00CE2EA9">
      <w:pPr>
        <w:pStyle w:val="HTMLPreformatted"/>
        <w:rPr>
          <w:rFonts w:ascii="Times New Roman" w:hAnsi="Times New Roman"/>
          <w:sz w:val="24"/>
          <w:szCs w:val="24"/>
        </w:rPr>
      </w:pPr>
    </w:p>
    <w:p w14:paraId="1F51EFBC" w14:textId="77777777" w:rsidR="00C800ED" w:rsidRPr="00660A1A" w:rsidRDefault="00C800ED" w:rsidP="00C800ED">
      <w:pPr>
        <w:pStyle w:val="Heading2"/>
        <w:rPr>
          <w:b/>
          <w:u w:val="none"/>
        </w:rPr>
      </w:pPr>
      <w:bookmarkStart w:id="59" w:name="_Toc125278826"/>
      <w:bookmarkStart w:id="60" w:name="_Toc125341749"/>
      <w:bookmarkStart w:id="61" w:name="_Toc125447307"/>
      <w:bookmarkStart w:id="62" w:name="_Toc126394135"/>
      <w:r w:rsidRPr="00660A1A">
        <w:rPr>
          <w:b/>
          <w:u w:val="none"/>
        </w:rPr>
        <w:t>A.14.</w:t>
      </w:r>
      <w:r w:rsidRPr="00660A1A">
        <w:rPr>
          <w:b/>
          <w:u w:val="none"/>
        </w:rPr>
        <w:tab/>
        <w:t>Provide estimates of the annualized cost to the Federal Government.</w:t>
      </w:r>
      <w:bookmarkEnd w:id="59"/>
      <w:bookmarkEnd w:id="60"/>
      <w:bookmarkEnd w:id="61"/>
      <w:bookmarkEnd w:id="62"/>
    </w:p>
    <w:p w14:paraId="2566BD57" w14:textId="5659FE70" w:rsidR="005F740F" w:rsidRPr="00660A1A" w:rsidRDefault="005F740F" w:rsidP="005F740F">
      <w:pPr>
        <w:widowControl w:val="0"/>
        <w:autoSpaceDE w:val="0"/>
        <w:autoSpaceDN w:val="0"/>
        <w:adjustRightInd w:val="0"/>
        <w:rPr>
          <w:rFonts w:ascii="Times" w:hAnsi="Times" w:cs="Arial"/>
          <w:color w:val="000000" w:themeColor="text1"/>
        </w:rPr>
      </w:pPr>
      <w:r w:rsidRPr="00660A1A">
        <w:tab/>
        <w:t>Tot</w:t>
      </w:r>
      <w:r w:rsidRPr="009539A4">
        <w:t xml:space="preserve">al estimated cost to the Government for </w:t>
      </w:r>
      <w:r w:rsidR="001F748C" w:rsidRPr="009539A4">
        <w:t xml:space="preserve">this one-time </w:t>
      </w:r>
      <w:r w:rsidR="00212A80" w:rsidRPr="009539A4">
        <w:t>information</w:t>
      </w:r>
      <w:r w:rsidR="00C4253E" w:rsidRPr="009539A4">
        <w:t xml:space="preserve"> collection </w:t>
      </w:r>
      <w:r w:rsidR="00AB56B2" w:rsidRPr="009539A4">
        <w:t xml:space="preserve">is </w:t>
      </w:r>
      <w:r w:rsidR="009539A4">
        <w:t>$347,049</w:t>
      </w:r>
      <w:r w:rsidR="00D62262" w:rsidRPr="009539A4">
        <w:t>.</w:t>
      </w:r>
      <w:r w:rsidR="00212A80">
        <w:t xml:space="preserve"> Since </w:t>
      </w:r>
      <w:r w:rsidR="001F748C">
        <w:t xml:space="preserve">data collection </w:t>
      </w:r>
      <w:r w:rsidR="007E7CA4">
        <w:t>is expected to take</w:t>
      </w:r>
      <w:r w:rsidR="001F748C">
        <w:t xml:space="preserve"> less than a year, the annualized cost is the same.</w:t>
      </w:r>
      <w:r w:rsidR="00212A80">
        <w:t xml:space="preserve"> </w:t>
      </w:r>
      <w:r w:rsidR="007B4A53">
        <w:t>The estimated cost in terms of government time is approximately 120 hours for the Contracting Officer’s Representative (COR) and 20 hours for the supervisor for about $9,000 in wages.</w:t>
      </w:r>
    </w:p>
    <w:p w14:paraId="717A755D" w14:textId="77777777" w:rsidR="00CE2EA9" w:rsidRPr="00D63B4F" w:rsidRDefault="00CE2EA9" w:rsidP="00B92F73">
      <w:pPr>
        <w:widowControl w:val="0"/>
        <w:tabs>
          <w:tab w:val="left" w:pos="720"/>
        </w:tabs>
        <w:autoSpaceDE w:val="0"/>
        <w:autoSpaceDN w:val="0"/>
        <w:adjustRightInd w:val="0"/>
        <w:ind w:left="720" w:hanging="720"/>
        <w:jc w:val="both"/>
        <w:rPr>
          <w:rFonts w:ascii="Times" w:hAnsi="Times" w:cs="Arial"/>
          <w:b/>
          <w:bCs/>
          <w:highlight w:val="yellow"/>
        </w:rPr>
      </w:pPr>
    </w:p>
    <w:p w14:paraId="01F56AEC" w14:textId="77777777" w:rsidR="00C800ED" w:rsidRPr="00923A9A" w:rsidRDefault="00D4188C" w:rsidP="00C800ED">
      <w:pPr>
        <w:pStyle w:val="Heading2"/>
        <w:ind w:left="720" w:hanging="720"/>
        <w:rPr>
          <w:b/>
          <w:u w:val="none"/>
        </w:rPr>
      </w:pPr>
      <w:bookmarkStart w:id="63" w:name="_Toc125278827"/>
      <w:bookmarkStart w:id="64" w:name="_Toc125341750"/>
      <w:bookmarkStart w:id="65" w:name="_Toc125447308"/>
      <w:bookmarkStart w:id="66" w:name="_Toc126394136"/>
      <w:r w:rsidRPr="00923A9A">
        <w:rPr>
          <w:b/>
          <w:u w:val="none"/>
        </w:rPr>
        <w:t>A.</w:t>
      </w:r>
      <w:r w:rsidR="00C800ED" w:rsidRPr="00923A9A">
        <w:rPr>
          <w:b/>
          <w:u w:val="none"/>
        </w:rPr>
        <w:t>15.</w:t>
      </w:r>
      <w:r w:rsidR="00C800ED" w:rsidRPr="00923A9A">
        <w:rPr>
          <w:b/>
          <w:u w:val="none"/>
        </w:rPr>
        <w:tab/>
        <w:t>Explain the reasons for any program changes or adjustments in Items 13 or 14 of the OMB 83-I.</w:t>
      </w:r>
      <w:bookmarkEnd w:id="63"/>
      <w:bookmarkEnd w:id="64"/>
      <w:bookmarkEnd w:id="65"/>
      <w:bookmarkEnd w:id="66"/>
    </w:p>
    <w:p w14:paraId="3F139635" w14:textId="62C54FDA" w:rsidR="003707E1" w:rsidRPr="009B20BA" w:rsidRDefault="007E1DAA" w:rsidP="00212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923A9A">
        <w:rPr>
          <w:color w:val="4F81BD" w:themeColor="accent1"/>
          <w:sz w:val="22"/>
        </w:rPr>
        <w:tab/>
      </w:r>
      <w:r w:rsidR="00B92F73" w:rsidRPr="009B20BA">
        <w:t>This is a new information collection. As such, it requires a prog</w:t>
      </w:r>
      <w:r w:rsidR="005C54E6">
        <w:t xml:space="preserve">ram change to add the estimated </w:t>
      </w:r>
      <w:r w:rsidR="00D62262">
        <w:t>12,542 hours</w:t>
      </w:r>
      <w:r w:rsidR="00212A80" w:rsidRPr="00440F1A" w:rsidDel="00212A80">
        <w:t xml:space="preserve"> </w:t>
      </w:r>
      <w:r w:rsidR="00B92F73" w:rsidRPr="009B20BA">
        <w:t xml:space="preserve">for the new collection to </w:t>
      </w:r>
      <w:r w:rsidR="00212A80">
        <w:t xml:space="preserve">NHTSA’s </w:t>
      </w:r>
      <w:r w:rsidR="00B92F73" w:rsidRPr="009B20BA">
        <w:t>existing burden.</w:t>
      </w:r>
    </w:p>
    <w:p w14:paraId="6D764B1E" w14:textId="77777777" w:rsidR="007E1DAA" w:rsidRPr="00D63B4F" w:rsidRDefault="007E1DAA" w:rsidP="00B9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22"/>
          <w:highlight w:val="yellow"/>
        </w:rPr>
      </w:pPr>
    </w:p>
    <w:p w14:paraId="6E2CA2E6" w14:textId="77777777" w:rsidR="00C800ED" w:rsidRPr="00307DFD" w:rsidRDefault="00C800ED" w:rsidP="00C800ED">
      <w:pPr>
        <w:pStyle w:val="Heading2"/>
        <w:ind w:left="720" w:hanging="720"/>
        <w:rPr>
          <w:b/>
          <w:u w:val="none"/>
        </w:rPr>
      </w:pPr>
      <w:bookmarkStart w:id="67" w:name="_Toc125278828"/>
      <w:bookmarkStart w:id="68" w:name="_Toc125341751"/>
      <w:bookmarkStart w:id="69" w:name="_Toc125447309"/>
      <w:bookmarkStart w:id="70" w:name="_Toc126394137"/>
      <w:r w:rsidRPr="00307DFD">
        <w:rPr>
          <w:b/>
          <w:u w:val="none"/>
        </w:rPr>
        <w:t>A.16.</w:t>
      </w:r>
      <w:r w:rsidRPr="00307DFD">
        <w:rPr>
          <w:b/>
          <w:u w:val="none"/>
        </w:rPr>
        <w:tab/>
        <w:t>For collection of information whose results will be published, outline plans for tabulation and publication.</w:t>
      </w:r>
      <w:bookmarkEnd w:id="67"/>
      <w:bookmarkEnd w:id="68"/>
      <w:bookmarkEnd w:id="69"/>
      <w:bookmarkEnd w:id="70"/>
      <w:r w:rsidRPr="00307DFD">
        <w:rPr>
          <w:b/>
          <w:u w:val="none"/>
        </w:rPr>
        <w:t xml:space="preserve"> </w:t>
      </w:r>
    </w:p>
    <w:p w14:paraId="41724C10" w14:textId="56E40CB2" w:rsidR="00DE3D1E" w:rsidRPr="00307DFD" w:rsidRDefault="00212A80" w:rsidP="00DE3D1E">
      <w:pPr>
        <w:autoSpaceDE w:val="0"/>
        <w:autoSpaceDN w:val="0"/>
        <w:adjustRightInd w:val="0"/>
        <w:ind w:firstLine="720"/>
      </w:pPr>
      <w:r>
        <w:t xml:space="preserve">The current plan is for the final technical report </w:t>
      </w:r>
      <w:r w:rsidR="00A30E1A">
        <w:t xml:space="preserve">to be published </w:t>
      </w:r>
      <w:r>
        <w:t xml:space="preserve">in </w:t>
      </w:r>
      <w:r w:rsidR="00A30E1A">
        <w:t xml:space="preserve">late </w:t>
      </w:r>
      <w:r>
        <w:t>202</w:t>
      </w:r>
      <w:r w:rsidR="00A30E1A">
        <w:t>1</w:t>
      </w:r>
      <w:r>
        <w:t>. The technical report will provide summary statistics and tables</w:t>
      </w:r>
      <w:r w:rsidR="002B2F5E">
        <w:t>,</w:t>
      </w:r>
      <w:r>
        <w:t xml:space="preserve"> as well as the results of statistical analysis of the information, but it</w:t>
      </w:r>
      <w:r w:rsidR="00DE3D1E" w:rsidRPr="00307DFD">
        <w:t xml:space="preserve"> will not include </w:t>
      </w:r>
      <w:r w:rsidR="003A5F72">
        <w:t xml:space="preserve">any </w:t>
      </w:r>
      <w:r w:rsidR="00DE3D1E" w:rsidRPr="00307DFD">
        <w:t>personal information.</w:t>
      </w:r>
      <w:r w:rsidR="007B4A53">
        <w:t xml:space="preserve"> These plans are based upon data collection starting in September 2019. Delays in approval of this ICR could delay publication of the final technical report and </w:t>
      </w:r>
      <w:r w:rsidR="007B4A53" w:rsidRPr="007F43F5">
        <w:t>will likely result in contract modifications and additional costs to the government.</w:t>
      </w:r>
    </w:p>
    <w:p w14:paraId="58DCDB0D" w14:textId="77777777" w:rsidR="00C800ED" w:rsidRPr="00307DFD" w:rsidRDefault="00C800ED" w:rsidP="00C800ED">
      <w:pPr>
        <w:ind w:left="720" w:hanging="720"/>
      </w:pPr>
    </w:p>
    <w:p w14:paraId="2BCC6860" w14:textId="77777777" w:rsidR="00C800ED" w:rsidRPr="00307DFD" w:rsidRDefault="00C800ED" w:rsidP="00C800ED">
      <w:pPr>
        <w:pStyle w:val="Heading2"/>
        <w:ind w:left="720" w:hanging="720"/>
        <w:rPr>
          <w:b/>
          <w:u w:val="none"/>
        </w:rPr>
      </w:pPr>
      <w:bookmarkStart w:id="71" w:name="_Toc125278829"/>
      <w:bookmarkStart w:id="72" w:name="_Toc125341752"/>
      <w:bookmarkStart w:id="73" w:name="_Toc125447310"/>
      <w:bookmarkStart w:id="74" w:name="_Toc126394138"/>
      <w:r w:rsidRPr="00307DFD">
        <w:rPr>
          <w:b/>
          <w:u w:val="none"/>
        </w:rPr>
        <w:t xml:space="preserve">A.17. </w:t>
      </w:r>
      <w:r w:rsidRPr="00307DFD">
        <w:rPr>
          <w:b/>
          <w:u w:val="none"/>
        </w:rPr>
        <w:tab/>
        <w:t>If seeking approval to not display the expiration date for OMB approval of the information collection, explain the reasons that display would be inappropriate.</w:t>
      </w:r>
      <w:bookmarkEnd w:id="71"/>
      <w:bookmarkEnd w:id="72"/>
      <w:bookmarkEnd w:id="73"/>
      <w:bookmarkEnd w:id="74"/>
    </w:p>
    <w:p w14:paraId="5BCCFEDE" w14:textId="77777777" w:rsidR="00C800ED" w:rsidRPr="00307DFD" w:rsidRDefault="00C800ED" w:rsidP="007E1DAA">
      <w:pPr>
        <w:ind w:firstLine="720"/>
      </w:pPr>
      <w:r w:rsidRPr="00307DFD">
        <w:t>NHTSA will display the expiration date for OMB approval.</w:t>
      </w:r>
    </w:p>
    <w:p w14:paraId="625A7C3D" w14:textId="77777777" w:rsidR="00C800ED" w:rsidRPr="00307DFD" w:rsidRDefault="00C800ED" w:rsidP="00C800ED">
      <w:pPr>
        <w:ind w:left="720" w:hanging="720"/>
      </w:pPr>
    </w:p>
    <w:p w14:paraId="445D1816" w14:textId="77777777" w:rsidR="00C800ED" w:rsidRPr="00307DFD" w:rsidRDefault="00C800ED" w:rsidP="00C800ED">
      <w:pPr>
        <w:pStyle w:val="Heading2"/>
        <w:ind w:left="720" w:hanging="720"/>
        <w:rPr>
          <w:b/>
          <w:u w:val="none"/>
        </w:rPr>
      </w:pPr>
      <w:bookmarkStart w:id="75" w:name="_Toc125278830"/>
      <w:bookmarkStart w:id="76" w:name="_Toc125341753"/>
      <w:bookmarkStart w:id="77" w:name="_Toc125447311"/>
      <w:bookmarkStart w:id="78" w:name="_Toc126394139"/>
      <w:r w:rsidRPr="00307DFD">
        <w:rPr>
          <w:b/>
          <w:u w:val="none"/>
        </w:rPr>
        <w:t xml:space="preserve">A.18. </w:t>
      </w:r>
      <w:r w:rsidRPr="00307DFD">
        <w:rPr>
          <w:b/>
          <w:u w:val="none"/>
        </w:rPr>
        <w:tab/>
        <w:t>Explain each exception to the certification statement identified in Item 19, “Certification for Paperwork Reduction Act Submissions” of the OMB Form 83-I.</w:t>
      </w:r>
      <w:bookmarkEnd w:id="75"/>
      <w:bookmarkEnd w:id="76"/>
      <w:bookmarkEnd w:id="77"/>
      <w:bookmarkEnd w:id="78"/>
    </w:p>
    <w:p w14:paraId="4271DB5C" w14:textId="77777777" w:rsidR="00F321F5" w:rsidRDefault="00C800ED" w:rsidP="009B20BA">
      <w:pPr>
        <w:ind w:left="720"/>
      </w:pPr>
      <w:r w:rsidRPr="00307DFD">
        <w:t>No exceptions to the certification are made.</w:t>
      </w:r>
    </w:p>
    <w:sectPr w:rsidR="00F321F5" w:rsidSect="004B447F">
      <w:headerReference w:type="default" r:id="rId10"/>
      <w:footerReference w:type="even" r:id="rId11"/>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DC0F0" w14:textId="77777777" w:rsidR="0057130F" w:rsidRDefault="0057130F">
      <w:r>
        <w:separator/>
      </w:r>
    </w:p>
  </w:endnote>
  <w:endnote w:type="continuationSeparator" w:id="0">
    <w:p w14:paraId="51A369E2" w14:textId="77777777" w:rsidR="0057130F" w:rsidRDefault="0057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C2854" w14:textId="77777777" w:rsidR="00B25DE3" w:rsidRDefault="00B25DE3" w:rsidP="00EC0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63C4F4" w14:textId="77777777" w:rsidR="00B25DE3" w:rsidRDefault="00B25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61F70" w14:textId="77777777" w:rsidR="0057130F" w:rsidRDefault="0057130F">
      <w:r>
        <w:separator/>
      </w:r>
    </w:p>
  </w:footnote>
  <w:footnote w:type="continuationSeparator" w:id="0">
    <w:p w14:paraId="27C68412" w14:textId="77777777" w:rsidR="0057130F" w:rsidRDefault="0057130F">
      <w:r>
        <w:continuationSeparator/>
      </w:r>
    </w:p>
  </w:footnote>
  <w:footnote w:id="1">
    <w:p w14:paraId="52AA4247" w14:textId="77777777" w:rsidR="00D12CEB" w:rsidRDefault="00D12CEB" w:rsidP="000E0FDD">
      <w:pPr>
        <w:pStyle w:val="FootnoteText"/>
        <w:spacing w:after="0"/>
        <w:contextualSpacing/>
      </w:pPr>
      <w:r>
        <w:rPr>
          <w:rStyle w:val="FootnoteReference"/>
        </w:rPr>
        <w:footnoteRef/>
      </w:r>
      <w:r>
        <w:t xml:space="preserve"> </w:t>
      </w:r>
      <w:r w:rsidRPr="00D12CEB">
        <w:t xml:space="preserve">Dillman, D. (2007). </w:t>
      </w:r>
      <w:r w:rsidRPr="007A1772">
        <w:rPr>
          <w:i/>
        </w:rPr>
        <w:t xml:space="preserve">Mail and </w:t>
      </w:r>
      <w:r w:rsidR="007A1772">
        <w:rPr>
          <w:i/>
        </w:rPr>
        <w:t>i</w:t>
      </w:r>
      <w:r w:rsidRPr="007A1772">
        <w:rPr>
          <w:i/>
        </w:rPr>
        <w:t xml:space="preserve">nternet </w:t>
      </w:r>
      <w:r w:rsidR="007A1772">
        <w:rPr>
          <w:i/>
        </w:rPr>
        <w:t>s</w:t>
      </w:r>
      <w:r w:rsidRPr="007A1772">
        <w:rPr>
          <w:i/>
        </w:rPr>
        <w:t xml:space="preserve">urveys: The </w:t>
      </w:r>
      <w:r w:rsidR="007A1772">
        <w:rPr>
          <w:i/>
        </w:rPr>
        <w:t>t</w:t>
      </w:r>
      <w:r w:rsidRPr="007A1772">
        <w:rPr>
          <w:i/>
        </w:rPr>
        <w:t xml:space="preserve">ailored </w:t>
      </w:r>
      <w:r w:rsidR="007A1772">
        <w:rPr>
          <w:i/>
        </w:rPr>
        <w:t>d</w:t>
      </w:r>
      <w:r w:rsidRPr="007A1772">
        <w:rPr>
          <w:i/>
        </w:rPr>
        <w:t xml:space="preserve">esign </w:t>
      </w:r>
      <w:r w:rsidR="007A1772">
        <w:rPr>
          <w:i/>
        </w:rPr>
        <w:t>m</w:t>
      </w:r>
      <w:r w:rsidRPr="007A1772">
        <w:rPr>
          <w:i/>
        </w:rPr>
        <w:t>ethod</w:t>
      </w:r>
      <w:r w:rsidRPr="00D12CEB">
        <w:t xml:space="preserve">. </w:t>
      </w:r>
      <w:r w:rsidR="000D3DA9">
        <w:t>Hoboken: John Wiley</w:t>
      </w:r>
      <w:r w:rsidRPr="00D12CEB">
        <w:t xml:space="preserve"> and Sons.</w:t>
      </w:r>
    </w:p>
  </w:footnote>
  <w:footnote w:id="2">
    <w:p w14:paraId="1EDF62AF" w14:textId="637DD074" w:rsidR="00684223" w:rsidRDefault="00684223" w:rsidP="000E0FDD">
      <w:pPr>
        <w:pStyle w:val="FootnoteText"/>
        <w:spacing w:after="0"/>
        <w:contextualSpacing/>
      </w:pPr>
      <w:r>
        <w:rPr>
          <w:rStyle w:val="FootnoteReference"/>
        </w:rPr>
        <w:footnoteRef/>
      </w:r>
      <w:r>
        <w:t xml:space="preserve"> </w:t>
      </w:r>
      <w:r w:rsidR="00E326C4" w:rsidRPr="002C6C94">
        <w:t xml:space="preserve">Mayhew, D.R., Marcoux, K., Wood K., Simpson, </w:t>
      </w:r>
      <w:r w:rsidR="00E326C4">
        <w:t>H., Vanlaar, W., Lonero, L., &amp; Clinton, C.  (2014</w:t>
      </w:r>
      <w:r w:rsidR="00E326C4" w:rsidRPr="002C6C94">
        <w:t>)</w:t>
      </w:r>
      <w:r w:rsidR="00E326C4">
        <w:t xml:space="preserve">. </w:t>
      </w:r>
      <w:r w:rsidR="00E326C4">
        <w:rPr>
          <w:i/>
        </w:rPr>
        <w:t>Evaluation of driver e</w:t>
      </w:r>
      <w:r w:rsidR="00E326C4" w:rsidRPr="00B341A3">
        <w:rPr>
          <w:i/>
        </w:rPr>
        <w:t>ducation in Manitoba and Oregon</w:t>
      </w:r>
      <w:r w:rsidR="00E326C4">
        <w:t xml:space="preserve">. </w:t>
      </w:r>
      <w:r w:rsidR="00E326C4" w:rsidRPr="002C6C94">
        <w:t>Washington, D.C.: American Automobile Association for Traffic Safety</w:t>
      </w:r>
      <w:r w:rsidR="00E326C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69B2E" w14:textId="77777777" w:rsidR="006825F9" w:rsidRDefault="006825F9" w:rsidP="006825F9">
    <w:pPr>
      <w:spacing w:after="0"/>
      <w:ind w:left="720" w:hanging="720"/>
      <w:jc w:val="right"/>
      <w:rPr>
        <w:b/>
      </w:rPr>
    </w:pPr>
    <w:r w:rsidRPr="006345B9">
      <w:rPr>
        <w:b/>
      </w:rPr>
      <w:t>Hazard Perception and Distracted Driving Training Intervention for Teens Evaluation</w:t>
    </w:r>
  </w:p>
  <w:p w14:paraId="7EB00085" w14:textId="0521F642" w:rsidR="00B25DE3" w:rsidRDefault="00B25DE3" w:rsidP="00B25DE3">
    <w:pPr>
      <w:pStyle w:val="Header"/>
      <w:jc w:val="right"/>
    </w:pPr>
    <w:r>
      <w:rPr>
        <w:b/>
      </w:rPr>
      <w:t xml:space="preserve">ICR Section A, page </w:t>
    </w:r>
    <w:r w:rsidRPr="000E0AF2">
      <w:rPr>
        <w:b/>
      </w:rPr>
      <w:fldChar w:fldCharType="begin"/>
    </w:r>
    <w:r w:rsidRPr="000E0AF2">
      <w:rPr>
        <w:b/>
      </w:rPr>
      <w:instrText xml:space="preserve"> PAGE   \* MERGEFORMAT </w:instrText>
    </w:r>
    <w:r w:rsidRPr="000E0AF2">
      <w:rPr>
        <w:b/>
      </w:rPr>
      <w:fldChar w:fldCharType="separate"/>
    </w:r>
    <w:r w:rsidR="00023CA3">
      <w:rPr>
        <w:b/>
        <w:noProof/>
      </w:rPr>
      <w:t>2</w:t>
    </w:r>
    <w:r w:rsidRPr="000E0AF2">
      <w:rPr>
        <w:b/>
        <w:noProof/>
      </w:rPr>
      <w:fldChar w:fldCharType="end"/>
    </w:r>
  </w:p>
  <w:p w14:paraId="4110FD94" w14:textId="77777777" w:rsidR="00B25DE3" w:rsidRDefault="00B25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E45"/>
    <w:multiLevelType w:val="hybridMultilevel"/>
    <w:tmpl w:val="CFC687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DB0BB5"/>
    <w:multiLevelType w:val="hybridMultilevel"/>
    <w:tmpl w:val="8C22612A"/>
    <w:lvl w:ilvl="0" w:tplc="0ACA26F2">
      <w:start w:val="1"/>
      <w:numFmt w:val="upperLetter"/>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2E4A8F"/>
    <w:multiLevelType w:val="hybridMultilevel"/>
    <w:tmpl w:val="4802D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817070"/>
    <w:multiLevelType w:val="hybridMultilevel"/>
    <w:tmpl w:val="860ABCF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3FF00CED"/>
    <w:multiLevelType w:val="hybridMultilevel"/>
    <w:tmpl w:val="326A65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4273F56"/>
    <w:multiLevelType w:val="hybridMultilevel"/>
    <w:tmpl w:val="52924042"/>
    <w:lvl w:ilvl="0" w:tplc="CFA43F50">
      <w:start w:val="1"/>
      <w:numFmt w:val="decimal"/>
      <w:lvlText w:val="%1."/>
      <w:lvlJc w:val="left"/>
      <w:pPr>
        <w:ind w:left="960" w:hanging="9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C4343C"/>
    <w:multiLevelType w:val="hybridMultilevel"/>
    <w:tmpl w:val="3D22A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A73002"/>
    <w:multiLevelType w:val="hybridMultilevel"/>
    <w:tmpl w:val="D2D261A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11744"/>
    <w:multiLevelType w:val="hybridMultilevel"/>
    <w:tmpl w:val="3FA641E6"/>
    <w:lvl w:ilvl="0" w:tplc="25268E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AC615F"/>
    <w:multiLevelType w:val="hybridMultilevel"/>
    <w:tmpl w:val="72AA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10CCF"/>
    <w:multiLevelType w:val="hybridMultilevel"/>
    <w:tmpl w:val="10200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1033A4"/>
    <w:multiLevelType w:val="hybridMultilevel"/>
    <w:tmpl w:val="B16AB11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4"/>
  </w:num>
  <w:num w:numId="4">
    <w:abstractNumId w:val="20"/>
  </w:num>
  <w:num w:numId="5">
    <w:abstractNumId w:val="8"/>
  </w:num>
  <w:num w:numId="6">
    <w:abstractNumId w:val="5"/>
  </w:num>
  <w:num w:numId="7">
    <w:abstractNumId w:val="3"/>
  </w:num>
  <w:num w:numId="8">
    <w:abstractNumId w:val="16"/>
  </w:num>
  <w:num w:numId="9">
    <w:abstractNumId w:val="9"/>
  </w:num>
  <w:num w:numId="10">
    <w:abstractNumId w:val="7"/>
  </w:num>
  <w:num w:numId="11">
    <w:abstractNumId w:val="6"/>
  </w:num>
  <w:num w:numId="12">
    <w:abstractNumId w:val="1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19"/>
  </w:num>
  <w:num w:numId="17">
    <w:abstractNumId w:val="0"/>
  </w:num>
  <w:num w:numId="18">
    <w:abstractNumId w:val="12"/>
  </w:num>
  <w:num w:numId="19">
    <w:abstractNumId w:val="11"/>
  </w:num>
  <w:num w:numId="20">
    <w:abstractNumId w:val="2"/>
  </w:num>
  <w:num w:numId="21">
    <w:abstractNumId w:val="13"/>
  </w:num>
  <w:num w:numId="22">
    <w:abstractNumId w:val="22"/>
  </w:num>
  <w:num w:numId="23">
    <w:abstractNumId w:val="17"/>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08A3"/>
    <w:rsid w:val="000019C6"/>
    <w:rsid w:val="0000277E"/>
    <w:rsid w:val="00004DEE"/>
    <w:rsid w:val="000054CE"/>
    <w:rsid w:val="000058C2"/>
    <w:rsid w:val="00005E5B"/>
    <w:rsid w:val="000064B7"/>
    <w:rsid w:val="000067A7"/>
    <w:rsid w:val="00006BD3"/>
    <w:rsid w:val="000076DB"/>
    <w:rsid w:val="00007F10"/>
    <w:rsid w:val="00011D15"/>
    <w:rsid w:val="00020BE5"/>
    <w:rsid w:val="00023CA3"/>
    <w:rsid w:val="0002438C"/>
    <w:rsid w:val="000246D3"/>
    <w:rsid w:val="00025F1A"/>
    <w:rsid w:val="00026764"/>
    <w:rsid w:val="0003100D"/>
    <w:rsid w:val="000327D2"/>
    <w:rsid w:val="00032FBC"/>
    <w:rsid w:val="000334C8"/>
    <w:rsid w:val="00034010"/>
    <w:rsid w:val="0003484A"/>
    <w:rsid w:val="00034ED0"/>
    <w:rsid w:val="00040830"/>
    <w:rsid w:val="00045EDB"/>
    <w:rsid w:val="00047E15"/>
    <w:rsid w:val="000509FA"/>
    <w:rsid w:val="000545AB"/>
    <w:rsid w:val="00055C16"/>
    <w:rsid w:val="00060174"/>
    <w:rsid w:val="00060E35"/>
    <w:rsid w:val="00063B1D"/>
    <w:rsid w:val="000665A4"/>
    <w:rsid w:val="00066EA1"/>
    <w:rsid w:val="000671E1"/>
    <w:rsid w:val="00071A51"/>
    <w:rsid w:val="00073A9B"/>
    <w:rsid w:val="00074D91"/>
    <w:rsid w:val="00077D1B"/>
    <w:rsid w:val="00077EA6"/>
    <w:rsid w:val="00077FB1"/>
    <w:rsid w:val="00082DE5"/>
    <w:rsid w:val="0008408B"/>
    <w:rsid w:val="0009103A"/>
    <w:rsid w:val="000942EC"/>
    <w:rsid w:val="00097B6A"/>
    <w:rsid w:val="000A082D"/>
    <w:rsid w:val="000A2406"/>
    <w:rsid w:val="000A7447"/>
    <w:rsid w:val="000B1A88"/>
    <w:rsid w:val="000B3E51"/>
    <w:rsid w:val="000B7949"/>
    <w:rsid w:val="000C019C"/>
    <w:rsid w:val="000C1E0F"/>
    <w:rsid w:val="000C3A05"/>
    <w:rsid w:val="000C3A5D"/>
    <w:rsid w:val="000C3F24"/>
    <w:rsid w:val="000C43F0"/>
    <w:rsid w:val="000C44E5"/>
    <w:rsid w:val="000C57D3"/>
    <w:rsid w:val="000D1D93"/>
    <w:rsid w:val="000D3DA9"/>
    <w:rsid w:val="000D5F16"/>
    <w:rsid w:val="000E0AF2"/>
    <w:rsid w:val="000E0FDD"/>
    <w:rsid w:val="000E682C"/>
    <w:rsid w:val="000E6F8B"/>
    <w:rsid w:val="000F0B8B"/>
    <w:rsid w:val="000F1DE9"/>
    <w:rsid w:val="000F2082"/>
    <w:rsid w:val="000F2288"/>
    <w:rsid w:val="000F341A"/>
    <w:rsid w:val="000F55D9"/>
    <w:rsid w:val="000F5E6F"/>
    <w:rsid w:val="000F6CBC"/>
    <w:rsid w:val="000F7689"/>
    <w:rsid w:val="00101671"/>
    <w:rsid w:val="00102877"/>
    <w:rsid w:val="00102A61"/>
    <w:rsid w:val="00106960"/>
    <w:rsid w:val="00113C3B"/>
    <w:rsid w:val="00113DEE"/>
    <w:rsid w:val="00114258"/>
    <w:rsid w:val="001171C5"/>
    <w:rsid w:val="00117AB9"/>
    <w:rsid w:val="001236D4"/>
    <w:rsid w:val="00131C35"/>
    <w:rsid w:val="0013230A"/>
    <w:rsid w:val="00133783"/>
    <w:rsid w:val="00141A79"/>
    <w:rsid w:val="00145771"/>
    <w:rsid w:val="00146204"/>
    <w:rsid w:val="001475AC"/>
    <w:rsid w:val="00147987"/>
    <w:rsid w:val="0015213D"/>
    <w:rsid w:val="00152CE0"/>
    <w:rsid w:val="00152E5C"/>
    <w:rsid w:val="0015482E"/>
    <w:rsid w:val="00155DDD"/>
    <w:rsid w:val="00156FFF"/>
    <w:rsid w:val="00157428"/>
    <w:rsid w:val="00157439"/>
    <w:rsid w:val="0015762B"/>
    <w:rsid w:val="00164ADA"/>
    <w:rsid w:val="00170157"/>
    <w:rsid w:val="0017221C"/>
    <w:rsid w:val="00175AB7"/>
    <w:rsid w:val="001774F2"/>
    <w:rsid w:val="00177FD9"/>
    <w:rsid w:val="0018231C"/>
    <w:rsid w:val="00183A60"/>
    <w:rsid w:val="0018515D"/>
    <w:rsid w:val="00185E07"/>
    <w:rsid w:val="00196690"/>
    <w:rsid w:val="001A2560"/>
    <w:rsid w:val="001A3C31"/>
    <w:rsid w:val="001A5040"/>
    <w:rsid w:val="001A51FA"/>
    <w:rsid w:val="001A5CDA"/>
    <w:rsid w:val="001B0E42"/>
    <w:rsid w:val="001B368A"/>
    <w:rsid w:val="001B3CFA"/>
    <w:rsid w:val="001B7935"/>
    <w:rsid w:val="001C0617"/>
    <w:rsid w:val="001C4C9C"/>
    <w:rsid w:val="001C5232"/>
    <w:rsid w:val="001D4221"/>
    <w:rsid w:val="001D44F3"/>
    <w:rsid w:val="001D632D"/>
    <w:rsid w:val="001E1D1E"/>
    <w:rsid w:val="001E31BD"/>
    <w:rsid w:val="001E3C28"/>
    <w:rsid w:val="001E4FF4"/>
    <w:rsid w:val="001F0391"/>
    <w:rsid w:val="001F33AC"/>
    <w:rsid w:val="001F748C"/>
    <w:rsid w:val="00200630"/>
    <w:rsid w:val="002026D4"/>
    <w:rsid w:val="00207029"/>
    <w:rsid w:val="00212A80"/>
    <w:rsid w:val="00213F24"/>
    <w:rsid w:val="0021479F"/>
    <w:rsid w:val="0021689E"/>
    <w:rsid w:val="00216C2A"/>
    <w:rsid w:val="00217B34"/>
    <w:rsid w:val="00221BDA"/>
    <w:rsid w:val="00224EC8"/>
    <w:rsid w:val="00226B8C"/>
    <w:rsid w:val="0022783E"/>
    <w:rsid w:val="00227A04"/>
    <w:rsid w:val="00227C89"/>
    <w:rsid w:val="00230727"/>
    <w:rsid w:val="0023116C"/>
    <w:rsid w:val="002313C1"/>
    <w:rsid w:val="00232B40"/>
    <w:rsid w:val="0023411A"/>
    <w:rsid w:val="002412EF"/>
    <w:rsid w:val="002457BF"/>
    <w:rsid w:val="002467C5"/>
    <w:rsid w:val="00246DEC"/>
    <w:rsid w:val="002518F8"/>
    <w:rsid w:val="00253135"/>
    <w:rsid w:val="00253C30"/>
    <w:rsid w:val="00254F80"/>
    <w:rsid w:val="00265837"/>
    <w:rsid w:val="002679B7"/>
    <w:rsid w:val="00273246"/>
    <w:rsid w:val="00273815"/>
    <w:rsid w:val="00274FF5"/>
    <w:rsid w:val="00280951"/>
    <w:rsid w:val="0028097E"/>
    <w:rsid w:val="00282AC1"/>
    <w:rsid w:val="002842B6"/>
    <w:rsid w:val="00285E20"/>
    <w:rsid w:val="00287970"/>
    <w:rsid w:val="00290B32"/>
    <w:rsid w:val="00290FD4"/>
    <w:rsid w:val="00292BA7"/>
    <w:rsid w:val="00293426"/>
    <w:rsid w:val="002936D3"/>
    <w:rsid w:val="00293945"/>
    <w:rsid w:val="0029554E"/>
    <w:rsid w:val="002963BC"/>
    <w:rsid w:val="002975C4"/>
    <w:rsid w:val="00297BB9"/>
    <w:rsid w:val="002A2446"/>
    <w:rsid w:val="002A273D"/>
    <w:rsid w:val="002A2F35"/>
    <w:rsid w:val="002A4213"/>
    <w:rsid w:val="002B0E4F"/>
    <w:rsid w:val="002B1696"/>
    <w:rsid w:val="002B2F5E"/>
    <w:rsid w:val="002B3807"/>
    <w:rsid w:val="002B3E6A"/>
    <w:rsid w:val="002B4D90"/>
    <w:rsid w:val="002B51C8"/>
    <w:rsid w:val="002B7375"/>
    <w:rsid w:val="002B741E"/>
    <w:rsid w:val="002B7BC3"/>
    <w:rsid w:val="002C2035"/>
    <w:rsid w:val="002C44DD"/>
    <w:rsid w:val="002C5FE5"/>
    <w:rsid w:val="002D2F31"/>
    <w:rsid w:val="002D33B5"/>
    <w:rsid w:val="002D3A27"/>
    <w:rsid w:val="002D4B80"/>
    <w:rsid w:val="002D5C47"/>
    <w:rsid w:val="002D5D0C"/>
    <w:rsid w:val="002D797E"/>
    <w:rsid w:val="002E00C9"/>
    <w:rsid w:val="002E363C"/>
    <w:rsid w:val="002E4FDB"/>
    <w:rsid w:val="002F054C"/>
    <w:rsid w:val="002F0C93"/>
    <w:rsid w:val="002F3AAB"/>
    <w:rsid w:val="002F4163"/>
    <w:rsid w:val="002F5B97"/>
    <w:rsid w:val="002F69FF"/>
    <w:rsid w:val="00301321"/>
    <w:rsid w:val="003017EB"/>
    <w:rsid w:val="00301EC1"/>
    <w:rsid w:val="00307DFD"/>
    <w:rsid w:val="00310160"/>
    <w:rsid w:val="00310DE6"/>
    <w:rsid w:val="00311913"/>
    <w:rsid w:val="0031228D"/>
    <w:rsid w:val="00313D5A"/>
    <w:rsid w:val="0031476A"/>
    <w:rsid w:val="00316A2D"/>
    <w:rsid w:val="00316AD9"/>
    <w:rsid w:val="0032154A"/>
    <w:rsid w:val="0032284A"/>
    <w:rsid w:val="00322B9F"/>
    <w:rsid w:val="00322E0C"/>
    <w:rsid w:val="00323301"/>
    <w:rsid w:val="0032507B"/>
    <w:rsid w:val="00325318"/>
    <w:rsid w:val="00325E1E"/>
    <w:rsid w:val="00325EFA"/>
    <w:rsid w:val="003274A9"/>
    <w:rsid w:val="00332F05"/>
    <w:rsid w:val="00337F9C"/>
    <w:rsid w:val="00341CC4"/>
    <w:rsid w:val="00346854"/>
    <w:rsid w:val="00347306"/>
    <w:rsid w:val="003502A1"/>
    <w:rsid w:val="0035363C"/>
    <w:rsid w:val="00354232"/>
    <w:rsid w:val="003542E4"/>
    <w:rsid w:val="00364C3C"/>
    <w:rsid w:val="00364CEE"/>
    <w:rsid w:val="00365542"/>
    <w:rsid w:val="0036588B"/>
    <w:rsid w:val="003707E1"/>
    <w:rsid w:val="003757B8"/>
    <w:rsid w:val="003773D1"/>
    <w:rsid w:val="00380D9E"/>
    <w:rsid w:val="0038183B"/>
    <w:rsid w:val="00383055"/>
    <w:rsid w:val="00387F7C"/>
    <w:rsid w:val="00391D79"/>
    <w:rsid w:val="0039367E"/>
    <w:rsid w:val="00394AD5"/>
    <w:rsid w:val="00394CA8"/>
    <w:rsid w:val="00395E04"/>
    <w:rsid w:val="00396674"/>
    <w:rsid w:val="003967DE"/>
    <w:rsid w:val="003975EA"/>
    <w:rsid w:val="00397FB3"/>
    <w:rsid w:val="003A3C05"/>
    <w:rsid w:val="003A4C4F"/>
    <w:rsid w:val="003A5B73"/>
    <w:rsid w:val="003A5F72"/>
    <w:rsid w:val="003A670F"/>
    <w:rsid w:val="003A710E"/>
    <w:rsid w:val="003B0D74"/>
    <w:rsid w:val="003B36EB"/>
    <w:rsid w:val="003B4213"/>
    <w:rsid w:val="003B5864"/>
    <w:rsid w:val="003B6302"/>
    <w:rsid w:val="003B6432"/>
    <w:rsid w:val="003B67D2"/>
    <w:rsid w:val="003B6833"/>
    <w:rsid w:val="003B6A9D"/>
    <w:rsid w:val="003C180B"/>
    <w:rsid w:val="003C343C"/>
    <w:rsid w:val="003C3B68"/>
    <w:rsid w:val="003C4E57"/>
    <w:rsid w:val="003C5893"/>
    <w:rsid w:val="003C5C32"/>
    <w:rsid w:val="003C605A"/>
    <w:rsid w:val="003C6D62"/>
    <w:rsid w:val="003C7782"/>
    <w:rsid w:val="003D50A2"/>
    <w:rsid w:val="003D55DC"/>
    <w:rsid w:val="003D5608"/>
    <w:rsid w:val="003E027A"/>
    <w:rsid w:val="003E482C"/>
    <w:rsid w:val="003E48A9"/>
    <w:rsid w:val="003E4A45"/>
    <w:rsid w:val="003E5EEE"/>
    <w:rsid w:val="003E678D"/>
    <w:rsid w:val="003F3196"/>
    <w:rsid w:val="003F7079"/>
    <w:rsid w:val="00401328"/>
    <w:rsid w:val="004014D4"/>
    <w:rsid w:val="0040160C"/>
    <w:rsid w:val="00402525"/>
    <w:rsid w:val="00403256"/>
    <w:rsid w:val="004058C8"/>
    <w:rsid w:val="004065DA"/>
    <w:rsid w:val="00410962"/>
    <w:rsid w:val="0041421C"/>
    <w:rsid w:val="004256DA"/>
    <w:rsid w:val="00425ECF"/>
    <w:rsid w:val="00430BAD"/>
    <w:rsid w:val="0043130B"/>
    <w:rsid w:val="004314A7"/>
    <w:rsid w:val="00432BBC"/>
    <w:rsid w:val="00433AA6"/>
    <w:rsid w:val="00433D4F"/>
    <w:rsid w:val="00440893"/>
    <w:rsid w:val="00440CDD"/>
    <w:rsid w:val="00440F1A"/>
    <w:rsid w:val="00441F89"/>
    <w:rsid w:val="00442201"/>
    <w:rsid w:val="00442964"/>
    <w:rsid w:val="00442E5D"/>
    <w:rsid w:val="00443243"/>
    <w:rsid w:val="00444524"/>
    <w:rsid w:val="0044480D"/>
    <w:rsid w:val="00444AF2"/>
    <w:rsid w:val="00445602"/>
    <w:rsid w:val="004458FA"/>
    <w:rsid w:val="00446834"/>
    <w:rsid w:val="004509B1"/>
    <w:rsid w:val="00450E0D"/>
    <w:rsid w:val="0045357D"/>
    <w:rsid w:val="0045394F"/>
    <w:rsid w:val="00453F6D"/>
    <w:rsid w:val="00465D3C"/>
    <w:rsid w:val="00466361"/>
    <w:rsid w:val="00467AE0"/>
    <w:rsid w:val="00467D4E"/>
    <w:rsid w:val="00472092"/>
    <w:rsid w:val="00477134"/>
    <w:rsid w:val="004805D8"/>
    <w:rsid w:val="004812A4"/>
    <w:rsid w:val="004838AD"/>
    <w:rsid w:val="004904FC"/>
    <w:rsid w:val="0049494E"/>
    <w:rsid w:val="004A07F5"/>
    <w:rsid w:val="004A3903"/>
    <w:rsid w:val="004A6877"/>
    <w:rsid w:val="004B093E"/>
    <w:rsid w:val="004B2260"/>
    <w:rsid w:val="004B25AE"/>
    <w:rsid w:val="004B3839"/>
    <w:rsid w:val="004B447F"/>
    <w:rsid w:val="004C29D8"/>
    <w:rsid w:val="004C3F63"/>
    <w:rsid w:val="004C68DB"/>
    <w:rsid w:val="004C6E93"/>
    <w:rsid w:val="004D16D1"/>
    <w:rsid w:val="004D2988"/>
    <w:rsid w:val="004D5593"/>
    <w:rsid w:val="004D58B2"/>
    <w:rsid w:val="004D66C4"/>
    <w:rsid w:val="004D6A75"/>
    <w:rsid w:val="004D7F24"/>
    <w:rsid w:val="004E0CF3"/>
    <w:rsid w:val="004E0DDD"/>
    <w:rsid w:val="004E1B6E"/>
    <w:rsid w:val="004E2662"/>
    <w:rsid w:val="004E27B9"/>
    <w:rsid w:val="004E285E"/>
    <w:rsid w:val="004E58AE"/>
    <w:rsid w:val="004E6775"/>
    <w:rsid w:val="004F003B"/>
    <w:rsid w:val="004F1D59"/>
    <w:rsid w:val="004F29DA"/>
    <w:rsid w:val="004F2CE5"/>
    <w:rsid w:val="004F3B1A"/>
    <w:rsid w:val="004F54C1"/>
    <w:rsid w:val="004F79B8"/>
    <w:rsid w:val="0050410D"/>
    <w:rsid w:val="005042B5"/>
    <w:rsid w:val="00504CE0"/>
    <w:rsid w:val="005058FE"/>
    <w:rsid w:val="005066F3"/>
    <w:rsid w:val="0051038B"/>
    <w:rsid w:val="00510B32"/>
    <w:rsid w:val="00516198"/>
    <w:rsid w:val="00522751"/>
    <w:rsid w:val="00522EED"/>
    <w:rsid w:val="00524026"/>
    <w:rsid w:val="005256C0"/>
    <w:rsid w:val="005271C5"/>
    <w:rsid w:val="005306E1"/>
    <w:rsid w:val="005333A1"/>
    <w:rsid w:val="005337D9"/>
    <w:rsid w:val="00533F00"/>
    <w:rsid w:val="00533FB6"/>
    <w:rsid w:val="00536D5C"/>
    <w:rsid w:val="00537A82"/>
    <w:rsid w:val="00542A19"/>
    <w:rsid w:val="00543F15"/>
    <w:rsid w:val="00545F0D"/>
    <w:rsid w:val="005516C7"/>
    <w:rsid w:val="00552084"/>
    <w:rsid w:val="00553B68"/>
    <w:rsid w:val="00557A13"/>
    <w:rsid w:val="00561933"/>
    <w:rsid w:val="00561FCC"/>
    <w:rsid w:val="00562097"/>
    <w:rsid w:val="00564172"/>
    <w:rsid w:val="00565419"/>
    <w:rsid w:val="005710D9"/>
    <w:rsid w:val="0057130F"/>
    <w:rsid w:val="005720E8"/>
    <w:rsid w:val="00576E6D"/>
    <w:rsid w:val="00581F2F"/>
    <w:rsid w:val="0058299E"/>
    <w:rsid w:val="00585848"/>
    <w:rsid w:val="00585C58"/>
    <w:rsid w:val="00586E68"/>
    <w:rsid w:val="0058710E"/>
    <w:rsid w:val="00590C77"/>
    <w:rsid w:val="00592848"/>
    <w:rsid w:val="00592DA5"/>
    <w:rsid w:val="00593529"/>
    <w:rsid w:val="00593E41"/>
    <w:rsid w:val="00596CB2"/>
    <w:rsid w:val="005A1FD8"/>
    <w:rsid w:val="005A4767"/>
    <w:rsid w:val="005A6CE1"/>
    <w:rsid w:val="005A70F6"/>
    <w:rsid w:val="005B21D7"/>
    <w:rsid w:val="005B3FB4"/>
    <w:rsid w:val="005B48CF"/>
    <w:rsid w:val="005B5190"/>
    <w:rsid w:val="005B5760"/>
    <w:rsid w:val="005C051C"/>
    <w:rsid w:val="005C1771"/>
    <w:rsid w:val="005C320C"/>
    <w:rsid w:val="005C54E6"/>
    <w:rsid w:val="005C5FDF"/>
    <w:rsid w:val="005C7E99"/>
    <w:rsid w:val="005D1564"/>
    <w:rsid w:val="005D4304"/>
    <w:rsid w:val="005D48A2"/>
    <w:rsid w:val="005D7694"/>
    <w:rsid w:val="005E59DD"/>
    <w:rsid w:val="005E77F3"/>
    <w:rsid w:val="005F3372"/>
    <w:rsid w:val="005F530B"/>
    <w:rsid w:val="005F55E6"/>
    <w:rsid w:val="005F7212"/>
    <w:rsid w:val="005F740F"/>
    <w:rsid w:val="00601194"/>
    <w:rsid w:val="006042B3"/>
    <w:rsid w:val="0060560F"/>
    <w:rsid w:val="0060736E"/>
    <w:rsid w:val="0061000B"/>
    <w:rsid w:val="0061122E"/>
    <w:rsid w:val="0061299B"/>
    <w:rsid w:val="006150B3"/>
    <w:rsid w:val="006162DF"/>
    <w:rsid w:val="006224FE"/>
    <w:rsid w:val="00626C75"/>
    <w:rsid w:val="00626D90"/>
    <w:rsid w:val="00632071"/>
    <w:rsid w:val="006322F0"/>
    <w:rsid w:val="006324CA"/>
    <w:rsid w:val="006325CE"/>
    <w:rsid w:val="00632B3C"/>
    <w:rsid w:val="006345B9"/>
    <w:rsid w:val="006360F2"/>
    <w:rsid w:val="00641716"/>
    <w:rsid w:val="00645532"/>
    <w:rsid w:val="00645AC8"/>
    <w:rsid w:val="00645E58"/>
    <w:rsid w:val="00647F0C"/>
    <w:rsid w:val="006504D5"/>
    <w:rsid w:val="0065151D"/>
    <w:rsid w:val="00651877"/>
    <w:rsid w:val="00654CCC"/>
    <w:rsid w:val="006607E3"/>
    <w:rsid w:val="00660A1A"/>
    <w:rsid w:val="00661B93"/>
    <w:rsid w:val="006636F6"/>
    <w:rsid w:val="00663DE1"/>
    <w:rsid w:val="00666BAA"/>
    <w:rsid w:val="006678A6"/>
    <w:rsid w:val="0066798F"/>
    <w:rsid w:val="00670097"/>
    <w:rsid w:val="006700EC"/>
    <w:rsid w:val="00674BAD"/>
    <w:rsid w:val="00676440"/>
    <w:rsid w:val="0067668C"/>
    <w:rsid w:val="00680362"/>
    <w:rsid w:val="006825F9"/>
    <w:rsid w:val="00682869"/>
    <w:rsid w:val="00684223"/>
    <w:rsid w:val="006849BA"/>
    <w:rsid w:val="00684DE1"/>
    <w:rsid w:val="00686C42"/>
    <w:rsid w:val="006911D7"/>
    <w:rsid w:val="00691782"/>
    <w:rsid w:val="00693061"/>
    <w:rsid w:val="00695A2F"/>
    <w:rsid w:val="00696160"/>
    <w:rsid w:val="00696AAE"/>
    <w:rsid w:val="006979AF"/>
    <w:rsid w:val="006A5657"/>
    <w:rsid w:val="006B0D3B"/>
    <w:rsid w:val="006B57CA"/>
    <w:rsid w:val="006B5DDC"/>
    <w:rsid w:val="006C2B48"/>
    <w:rsid w:val="006C6370"/>
    <w:rsid w:val="006C7E19"/>
    <w:rsid w:val="006C7F3B"/>
    <w:rsid w:val="006D2CEF"/>
    <w:rsid w:val="006D34CD"/>
    <w:rsid w:val="006D732D"/>
    <w:rsid w:val="006E0108"/>
    <w:rsid w:val="006E597C"/>
    <w:rsid w:val="006E6D99"/>
    <w:rsid w:val="006E75A2"/>
    <w:rsid w:val="006F138A"/>
    <w:rsid w:val="006F3C6F"/>
    <w:rsid w:val="006F5B5A"/>
    <w:rsid w:val="006F5EB8"/>
    <w:rsid w:val="006F736C"/>
    <w:rsid w:val="00702307"/>
    <w:rsid w:val="00702770"/>
    <w:rsid w:val="00706737"/>
    <w:rsid w:val="007105F0"/>
    <w:rsid w:val="007128F3"/>
    <w:rsid w:val="0071537E"/>
    <w:rsid w:val="007229FD"/>
    <w:rsid w:val="0072701C"/>
    <w:rsid w:val="0072716A"/>
    <w:rsid w:val="0073013B"/>
    <w:rsid w:val="0073137B"/>
    <w:rsid w:val="00734EE6"/>
    <w:rsid w:val="007416BF"/>
    <w:rsid w:val="007434E1"/>
    <w:rsid w:val="00744DEB"/>
    <w:rsid w:val="007474D1"/>
    <w:rsid w:val="00755AD8"/>
    <w:rsid w:val="00756478"/>
    <w:rsid w:val="007564E2"/>
    <w:rsid w:val="00756BF5"/>
    <w:rsid w:val="00761541"/>
    <w:rsid w:val="00762208"/>
    <w:rsid w:val="0077065E"/>
    <w:rsid w:val="007724C8"/>
    <w:rsid w:val="00777283"/>
    <w:rsid w:val="007773B9"/>
    <w:rsid w:val="0078384E"/>
    <w:rsid w:val="007868DF"/>
    <w:rsid w:val="00790956"/>
    <w:rsid w:val="00792503"/>
    <w:rsid w:val="00792BD5"/>
    <w:rsid w:val="007946D6"/>
    <w:rsid w:val="007A1772"/>
    <w:rsid w:val="007A1A1C"/>
    <w:rsid w:val="007A298B"/>
    <w:rsid w:val="007A502E"/>
    <w:rsid w:val="007A521A"/>
    <w:rsid w:val="007A6489"/>
    <w:rsid w:val="007B4A53"/>
    <w:rsid w:val="007B57B0"/>
    <w:rsid w:val="007C0C9A"/>
    <w:rsid w:val="007C1AC0"/>
    <w:rsid w:val="007C2F1A"/>
    <w:rsid w:val="007D361F"/>
    <w:rsid w:val="007D3EBC"/>
    <w:rsid w:val="007D42ED"/>
    <w:rsid w:val="007D4BA0"/>
    <w:rsid w:val="007D5003"/>
    <w:rsid w:val="007D525A"/>
    <w:rsid w:val="007D5D1B"/>
    <w:rsid w:val="007D672F"/>
    <w:rsid w:val="007D6EAF"/>
    <w:rsid w:val="007D70F6"/>
    <w:rsid w:val="007E1DAA"/>
    <w:rsid w:val="007E4E8D"/>
    <w:rsid w:val="007E5179"/>
    <w:rsid w:val="007E55D1"/>
    <w:rsid w:val="007E7CA4"/>
    <w:rsid w:val="007F0D87"/>
    <w:rsid w:val="00804CBC"/>
    <w:rsid w:val="00805367"/>
    <w:rsid w:val="008057C9"/>
    <w:rsid w:val="00805B65"/>
    <w:rsid w:val="00806124"/>
    <w:rsid w:val="00806D2B"/>
    <w:rsid w:val="008124BF"/>
    <w:rsid w:val="00812C05"/>
    <w:rsid w:val="0081392C"/>
    <w:rsid w:val="00813B77"/>
    <w:rsid w:val="008150D9"/>
    <w:rsid w:val="00815329"/>
    <w:rsid w:val="00817A5E"/>
    <w:rsid w:val="00820B74"/>
    <w:rsid w:val="00822B6C"/>
    <w:rsid w:val="008230FB"/>
    <w:rsid w:val="00823A7D"/>
    <w:rsid w:val="00830D64"/>
    <w:rsid w:val="008320BF"/>
    <w:rsid w:val="00832461"/>
    <w:rsid w:val="0083276C"/>
    <w:rsid w:val="0083466A"/>
    <w:rsid w:val="0083490E"/>
    <w:rsid w:val="00835475"/>
    <w:rsid w:val="008364C1"/>
    <w:rsid w:val="0083719D"/>
    <w:rsid w:val="00837CE4"/>
    <w:rsid w:val="00837EEF"/>
    <w:rsid w:val="00841123"/>
    <w:rsid w:val="0084169F"/>
    <w:rsid w:val="008442D2"/>
    <w:rsid w:val="00844845"/>
    <w:rsid w:val="00844F0D"/>
    <w:rsid w:val="00846653"/>
    <w:rsid w:val="00850956"/>
    <w:rsid w:val="008518F8"/>
    <w:rsid w:val="00852884"/>
    <w:rsid w:val="00852D86"/>
    <w:rsid w:val="008562AC"/>
    <w:rsid w:val="008646C3"/>
    <w:rsid w:val="00870A0D"/>
    <w:rsid w:val="008713CE"/>
    <w:rsid w:val="00871596"/>
    <w:rsid w:val="00874A0E"/>
    <w:rsid w:val="00874EA5"/>
    <w:rsid w:val="008760BA"/>
    <w:rsid w:val="008772CE"/>
    <w:rsid w:val="00877363"/>
    <w:rsid w:val="00882C5A"/>
    <w:rsid w:val="00886416"/>
    <w:rsid w:val="008903BC"/>
    <w:rsid w:val="008910DA"/>
    <w:rsid w:val="0089426B"/>
    <w:rsid w:val="008964A7"/>
    <w:rsid w:val="00896617"/>
    <w:rsid w:val="008A0A9A"/>
    <w:rsid w:val="008A2F22"/>
    <w:rsid w:val="008A4B24"/>
    <w:rsid w:val="008A4F3E"/>
    <w:rsid w:val="008A599D"/>
    <w:rsid w:val="008A5CE6"/>
    <w:rsid w:val="008A653B"/>
    <w:rsid w:val="008A6B7E"/>
    <w:rsid w:val="008B01A5"/>
    <w:rsid w:val="008B18B4"/>
    <w:rsid w:val="008B1C31"/>
    <w:rsid w:val="008B580D"/>
    <w:rsid w:val="008B5AAC"/>
    <w:rsid w:val="008B7033"/>
    <w:rsid w:val="008B7ED2"/>
    <w:rsid w:val="008B7FA9"/>
    <w:rsid w:val="008C14F4"/>
    <w:rsid w:val="008C2226"/>
    <w:rsid w:val="008C3A81"/>
    <w:rsid w:val="008C663A"/>
    <w:rsid w:val="008C6910"/>
    <w:rsid w:val="008C6B50"/>
    <w:rsid w:val="008C6DBF"/>
    <w:rsid w:val="008C744F"/>
    <w:rsid w:val="008D40C3"/>
    <w:rsid w:val="008D4B9A"/>
    <w:rsid w:val="008D5AD2"/>
    <w:rsid w:val="008D7EE9"/>
    <w:rsid w:val="008E1A84"/>
    <w:rsid w:val="008E2329"/>
    <w:rsid w:val="008E234A"/>
    <w:rsid w:val="008E7E93"/>
    <w:rsid w:val="008F1B88"/>
    <w:rsid w:val="008F21D1"/>
    <w:rsid w:val="008F24DF"/>
    <w:rsid w:val="008F67E6"/>
    <w:rsid w:val="008F6E7A"/>
    <w:rsid w:val="00900963"/>
    <w:rsid w:val="00904D80"/>
    <w:rsid w:val="00905F8F"/>
    <w:rsid w:val="00910D84"/>
    <w:rsid w:val="0091269D"/>
    <w:rsid w:val="00916905"/>
    <w:rsid w:val="009207C0"/>
    <w:rsid w:val="00920A1A"/>
    <w:rsid w:val="00922814"/>
    <w:rsid w:val="00923A9A"/>
    <w:rsid w:val="00925649"/>
    <w:rsid w:val="00926E0B"/>
    <w:rsid w:val="00927650"/>
    <w:rsid w:val="00932786"/>
    <w:rsid w:val="009377B5"/>
    <w:rsid w:val="009406A0"/>
    <w:rsid w:val="00945810"/>
    <w:rsid w:val="00946807"/>
    <w:rsid w:val="00947CD5"/>
    <w:rsid w:val="00947D21"/>
    <w:rsid w:val="009507DD"/>
    <w:rsid w:val="009528B1"/>
    <w:rsid w:val="009539A4"/>
    <w:rsid w:val="009545F2"/>
    <w:rsid w:val="00954DE8"/>
    <w:rsid w:val="00960298"/>
    <w:rsid w:val="009617FF"/>
    <w:rsid w:val="00962062"/>
    <w:rsid w:val="009626FA"/>
    <w:rsid w:val="009632CA"/>
    <w:rsid w:val="00964753"/>
    <w:rsid w:val="009656CE"/>
    <w:rsid w:val="00967C5A"/>
    <w:rsid w:val="00970BEA"/>
    <w:rsid w:val="0097165E"/>
    <w:rsid w:val="00973B52"/>
    <w:rsid w:val="009807F0"/>
    <w:rsid w:val="009830F6"/>
    <w:rsid w:val="009848F0"/>
    <w:rsid w:val="00985ABD"/>
    <w:rsid w:val="0099215D"/>
    <w:rsid w:val="009925AC"/>
    <w:rsid w:val="00995BBE"/>
    <w:rsid w:val="00997D6D"/>
    <w:rsid w:val="009A00C7"/>
    <w:rsid w:val="009A10BD"/>
    <w:rsid w:val="009A17BB"/>
    <w:rsid w:val="009A41BB"/>
    <w:rsid w:val="009A5632"/>
    <w:rsid w:val="009A600F"/>
    <w:rsid w:val="009B20BA"/>
    <w:rsid w:val="009B4BC6"/>
    <w:rsid w:val="009B5523"/>
    <w:rsid w:val="009B5D20"/>
    <w:rsid w:val="009B60A1"/>
    <w:rsid w:val="009C00E4"/>
    <w:rsid w:val="009C18F5"/>
    <w:rsid w:val="009C45F0"/>
    <w:rsid w:val="009C492A"/>
    <w:rsid w:val="009C746A"/>
    <w:rsid w:val="009C76B6"/>
    <w:rsid w:val="009D1C79"/>
    <w:rsid w:val="009D1CCC"/>
    <w:rsid w:val="009D416B"/>
    <w:rsid w:val="009D5AAB"/>
    <w:rsid w:val="009D624A"/>
    <w:rsid w:val="009D765B"/>
    <w:rsid w:val="009E1813"/>
    <w:rsid w:val="009E1E85"/>
    <w:rsid w:val="009E28E5"/>
    <w:rsid w:val="009E3A45"/>
    <w:rsid w:val="009E65D0"/>
    <w:rsid w:val="009E73CA"/>
    <w:rsid w:val="009F285E"/>
    <w:rsid w:val="009F2FAF"/>
    <w:rsid w:val="009F5788"/>
    <w:rsid w:val="009F5923"/>
    <w:rsid w:val="009F6C1A"/>
    <w:rsid w:val="00A03CA5"/>
    <w:rsid w:val="00A03D8C"/>
    <w:rsid w:val="00A03E67"/>
    <w:rsid w:val="00A042BA"/>
    <w:rsid w:val="00A05EE4"/>
    <w:rsid w:val="00A15508"/>
    <w:rsid w:val="00A16B91"/>
    <w:rsid w:val="00A1710C"/>
    <w:rsid w:val="00A20678"/>
    <w:rsid w:val="00A20AC9"/>
    <w:rsid w:val="00A214D9"/>
    <w:rsid w:val="00A30E1A"/>
    <w:rsid w:val="00A327B5"/>
    <w:rsid w:val="00A3540F"/>
    <w:rsid w:val="00A3580A"/>
    <w:rsid w:val="00A35AF3"/>
    <w:rsid w:val="00A35C67"/>
    <w:rsid w:val="00A368E8"/>
    <w:rsid w:val="00A36BB4"/>
    <w:rsid w:val="00A40806"/>
    <w:rsid w:val="00A42B7F"/>
    <w:rsid w:val="00A44913"/>
    <w:rsid w:val="00A44A43"/>
    <w:rsid w:val="00A44AAD"/>
    <w:rsid w:val="00A47FB4"/>
    <w:rsid w:val="00A52527"/>
    <w:rsid w:val="00A52887"/>
    <w:rsid w:val="00A559B1"/>
    <w:rsid w:val="00A562B9"/>
    <w:rsid w:val="00A5682B"/>
    <w:rsid w:val="00A627E9"/>
    <w:rsid w:val="00A65A03"/>
    <w:rsid w:val="00A6713D"/>
    <w:rsid w:val="00A72A66"/>
    <w:rsid w:val="00A73F1F"/>
    <w:rsid w:val="00A7407D"/>
    <w:rsid w:val="00A74760"/>
    <w:rsid w:val="00A76181"/>
    <w:rsid w:val="00A76A37"/>
    <w:rsid w:val="00A76E67"/>
    <w:rsid w:val="00A802EF"/>
    <w:rsid w:val="00A80CEF"/>
    <w:rsid w:val="00A80D85"/>
    <w:rsid w:val="00A83AFF"/>
    <w:rsid w:val="00A87383"/>
    <w:rsid w:val="00A9242C"/>
    <w:rsid w:val="00A930D9"/>
    <w:rsid w:val="00A9605E"/>
    <w:rsid w:val="00AA356E"/>
    <w:rsid w:val="00AA4889"/>
    <w:rsid w:val="00AA4B70"/>
    <w:rsid w:val="00AA50C7"/>
    <w:rsid w:val="00AA7DFB"/>
    <w:rsid w:val="00AB1B64"/>
    <w:rsid w:val="00AB1C58"/>
    <w:rsid w:val="00AB2EAD"/>
    <w:rsid w:val="00AB2EF6"/>
    <w:rsid w:val="00AB36BD"/>
    <w:rsid w:val="00AB44A3"/>
    <w:rsid w:val="00AB56B2"/>
    <w:rsid w:val="00AB79DD"/>
    <w:rsid w:val="00AC153B"/>
    <w:rsid w:val="00AC40DB"/>
    <w:rsid w:val="00AD5123"/>
    <w:rsid w:val="00AD61B5"/>
    <w:rsid w:val="00AD64EB"/>
    <w:rsid w:val="00AE12F5"/>
    <w:rsid w:val="00AE3D9C"/>
    <w:rsid w:val="00AE69CB"/>
    <w:rsid w:val="00AE7B5A"/>
    <w:rsid w:val="00AF1410"/>
    <w:rsid w:val="00AF1F29"/>
    <w:rsid w:val="00AF3239"/>
    <w:rsid w:val="00AF4C91"/>
    <w:rsid w:val="00AF4F4D"/>
    <w:rsid w:val="00AF712E"/>
    <w:rsid w:val="00B003B2"/>
    <w:rsid w:val="00B00F4D"/>
    <w:rsid w:val="00B01851"/>
    <w:rsid w:val="00B03218"/>
    <w:rsid w:val="00B03550"/>
    <w:rsid w:val="00B04325"/>
    <w:rsid w:val="00B06302"/>
    <w:rsid w:val="00B10A9D"/>
    <w:rsid w:val="00B115AB"/>
    <w:rsid w:val="00B12AF0"/>
    <w:rsid w:val="00B13633"/>
    <w:rsid w:val="00B13BD5"/>
    <w:rsid w:val="00B145C1"/>
    <w:rsid w:val="00B14E06"/>
    <w:rsid w:val="00B1556E"/>
    <w:rsid w:val="00B1659F"/>
    <w:rsid w:val="00B1665B"/>
    <w:rsid w:val="00B1677A"/>
    <w:rsid w:val="00B16B17"/>
    <w:rsid w:val="00B17B93"/>
    <w:rsid w:val="00B17EF7"/>
    <w:rsid w:val="00B22559"/>
    <w:rsid w:val="00B25DE3"/>
    <w:rsid w:val="00B273E2"/>
    <w:rsid w:val="00B30C87"/>
    <w:rsid w:val="00B31B20"/>
    <w:rsid w:val="00B36F27"/>
    <w:rsid w:val="00B377F6"/>
    <w:rsid w:val="00B407D5"/>
    <w:rsid w:val="00B41243"/>
    <w:rsid w:val="00B41B7C"/>
    <w:rsid w:val="00B426E8"/>
    <w:rsid w:val="00B4696F"/>
    <w:rsid w:val="00B52B7B"/>
    <w:rsid w:val="00B54487"/>
    <w:rsid w:val="00B551D9"/>
    <w:rsid w:val="00B555AB"/>
    <w:rsid w:val="00B570FA"/>
    <w:rsid w:val="00B573AB"/>
    <w:rsid w:val="00B6305E"/>
    <w:rsid w:val="00B65D0F"/>
    <w:rsid w:val="00B66EDA"/>
    <w:rsid w:val="00B701BF"/>
    <w:rsid w:val="00B7111D"/>
    <w:rsid w:val="00B71FEE"/>
    <w:rsid w:val="00B729CB"/>
    <w:rsid w:val="00B72AEE"/>
    <w:rsid w:val="00B72C4F"/>
    <w:rsid w:val="00B73CB7"/>
    <w:rsid w:val="00B76740"/>
    <w:rsid w:val="00B77B44"/>
    <w:rsid w:val="00B8167F"/>
    <w:rsid w:val="00B81915"/>
    <w:rsid w:val="00B823CA"/>
    <w:rsid w:val="00B85B92"/>
    <w:rsid w:val="00B90ED5"/>
    <w:rsid w:val="00B92F73"/>
    <w:rsid w:val="00B935CB"/>
    <w:rsid w:val="00B94494"/>
    <w:rsid w:val="00B947D2"/>
    <w:rsid w:val="00B957E3"/>
    <w:rsid w:val="00B95C57"/>
    <w:rsid w:val="00BA07D2"/>
    <w:rsid w:val="00BA1C41"/>
    <w:rsid w:val="00BA3274"/>
    <w:rsid w:val="00BA6B05"/>
    <w:rsid w:val="00BB02F1"/>
    <w:rsid w:val="00BB15A5"/>
    <w:rsid w:val="00BB2D27"/>
    <w:rsid w:val="00BB3A3A"/>
    <w:rsid w:val="00BC7E0F"/>
    <w:rsid w:val="00BD3A0C"/>
    <w:rsid w:val="00BD6802"/>
    <w:rsid w:val="00BD6D94"/>
    <w:rsid w:val="00BE208B"/>
    <w:rsid w:val="00BE2A7D"/>
    <w:rsid w:val="00BE72A0"/>
    <w:rsid w:val="00BF14C8"/>
    <w:rsid w:val="00BF18C0"/>
    <w:rsid w:val="00BF323A"/>
    <w:rsid w:val="00BF3B5F"/>
    <w:rsid w:val="00BF4C0C"/>
    <w:rsid w:val="00BF530E"/>
    <w:rsid w:val="00BF63EF"/>
    <w:rsid w:val="00BF774A"/>
    <w:rsid w:val="00C008A1"/>
    <w:rsid w:val="00C02721"/>
    <w:rsid w:val="00C04008"/>
    <w:rsid w:val="00C05C6D"/>
    <w:rsid w:val="00C10F2C"/>
    <w:rsid w:val="00C12C51"/>
    <w:rsid w:val="00C13E95"/>
    <w:rsid w:val="00C1477E"/>
    <w:rsid w:val="00C15D28"/>
    <w:rsid w:val="00C1664F"/>
    <w:rsid w:val="00C21F87"/>
    <w:rsid w:val="00C22983"/>
    <w:rsid w:val="00C24BA3"/>
    <w:rsid w:val="00C269B6"/>
    <w:rsid w:val="00C30020"/>
    <w:rsid w:val="00C30B4C"/>
    <w:rsid w:val="00C30BF6"/>
    <w:rsid w:val="00C408CD"/>
    <w:rsid w:val="00C42289"/>
    <w:rsid w:val="00C4253E"/>
    <w:rsid w:val="00C44B4B"/>
    <w:rsid w:val="00C4511F"/>
    <w:rsid w:val="00C466BE"/>
    <w:rsid w:val="00C578E1"/>
    <w:rsid w:val="00C61D54"/>
    <w:rsid w:val="00C635BF"/>
    <w:rsid w:val="00C63FFF"/>
    <w:rsid w:val="00C65DF5"/>
    <w:rsid w:val="00C6633D"/>
    <w:rsid w:val="00C7223E"/>
    <w:rsid w:val="00C73E40"/>
    <w:rsid w:val="00C73F91"/>
    <w:rsid w:val="00C740D1"/>
    <w:rsid w:val="00C76E67"/>
    <w:rsid w:val="00C770B4"/>
    <w:rsid w:val="00C7713D"/>
    <w:rsid w:val="00C8008B"/>
    <w:rsid w:val="00C800ED"/>
    <w:rsid w:val="00C80ECF"/>
    <w:rsid w:val="00C83F63"/>
    <w:rsid w:val="00C857FB"/>
    <w:rsid w:val="00C86082"/>
    <w:rsid w:val="00C866FE"/>
    <w:rsid w:val="00C915FB"/>
    <w:rsid w:val="00CA237F"/>
    <w:rsid w:val="00CA2C59"/>
    <w:rsid w:val="00CA37AF"/>
    <w:rsid w:val="00CA4464"/>
    <w:rsid w:val="00CA6631"/>
    <w:rsid w:val="00CA67DB"/>
    <w:rsid w:val="00CA7AC5"/>
    <w:rsid w:val="00CB147D"/>
    <w:rsid w:val="00CB3C9E"/>
    <w:rsid w:val="00CB5225"/>
    <w:rsid w:val="00CC03EA"/>
    <w:rsid w:val="00CC15DE"/>
    <w:rsid w:val="00CC3331"/>
    <w:rsid w:val="00CC456F"/>
    <w:rsid w:val="00CC51B0"/>
    <w:rsid w:val="00CC6C5D"/>
    <w:rsid w:val="00CC7BA2"/>
    <w:rsid w:val="00CD3080"/>
    <w:rsid w:val="00CD4426"/>
    <w:rsid w:val="00CE2EA9"/>
    <w:rsid w:val="00CE37CD"/>
    <w:rsid w:val="00CE3C0F"/>
    <w:rsid w:val="00CE4742"/>
    <w:rsid w:val="00CE476F"/>
    <w:rsid w:val="00CE666B"/>
    <w:rsid w:val="00CF2357"/>
    <w:rsid w:val="00CF5DC6"/>
    <w:rsid w:val="00CF6F54"/>
    <w:rsid w:val="00D05953"/>
    <w:rsid w:val="00D07B60"/>
    <w:rsid w:val="00D10051"/>
    <w:rsid w:val="00D12CEB"/>
    <w:rsid w:val="00D1444F"/>
    <w:rsid w:val="00D22147"/>
    <w:rsid w:val="00D225EA"/>
    <w:rsid w:val="00D22D96"/>
    <w:rsid w:val="00D2390D"/>
    <w:rsid w:val="00D23D42"/>
    <w:rsid w:val="00D2704E"/>
    <w:rsid w:val="00D30DDB"/>
    <w:rsid w:val="00D357EF"/>
    <w:rsid w:val="00D40743"/>
    <w:rsid w:val="00D40BA1"/>
    <w:rsid w:val="00D4188C"/>
    <w:rsid w:val="00D42CD6"/>
    <w:rsid w:val="00D46559"/>
    <w:rsid w:val="00D4661D"/>
    <w:rsid w:val="00D50F82"/>
    <w:rsid w:val="00D52275"/>
    <w:rsid w:val="00D536C8"/>
    <w:rsid w:val="00D56D09"/>
    <w:rsid w:val="00D573FC"/>
    <w:rsid w:val="00D57A43"/>
    <w:rsid w:val="00D60655"/>
    <w:rsid w:val="00D62262"/>
    <w:rsid w:val="00D63B4F"/>
    <w:rsid w:val="00D6437B"/>
    <w:rsid w:val="00D64EFD"/>
    <w:rsid w:val="00D73318"/>
    <w:rsid w:val="00D748EF"/>
    <w:rsid w:val="00D77B13"/>
    <w:rsid w:val="00D80441"/>
    <w:rsid w:val="00D80442"/>
    <w:rsid w:val="00D82D73"/>
    <w:rsid w:val="00D82DD3"/>
    <w:rsid w:val="00D868D7"/>
    <w:rsid w:val="00D9085E"/>
    <w:rsid w:val="00D913DA"/>
    <w:rsid w:val="00D915A0"/>
    <w:rsid w:val="00D9165C"/>
    <w:rsid w:val="00D93C42"/>
    <w:rsid w:val="00D94529"/>
    <w:rsid w:val="00D958AB"/>
    <w:rsid w:val="00D9786C"/>
    <w:rsid w:val="00DA06B7"/>
    <w:rsid w:val="00DA0BF7"/>
    <w:rsid w:val="00DA186A"/>
    <w:rsid w:val="00DA2A84"/>
    <w:rsid w:val="00DA2FC4"/>
    <w:rsid w:val="00DA3DD3"/>
    <w:rsid w:val="00DA4A29"/>
    <w:rsid w:val="00DB0F62"/>
    <w:rsid w:val="00DB1B30"/>
    <w:rsid w:val="00DB25DC"/>
    <w:rsid w:val="00DB6671"/>
    <w:rsid w:val="00DB71C7"/>
    <w:rsid w:val="00DC1955"/>
    <w:rsid w:val="00DC4400"/>
    <w:rsid w:val="00DD0AD5"/>
    <w:rsid w:val="00DD0C65"/>
    <w:rsid w:val="00DD1DA9"/>
    <w:rsid w:val="00DD71F8"/>
    <w:rsid w:val="00DE019F"/>
    <w:rsid w:val="00DE3D1E"/>
    <w:rsid w:val="00DE5198"/>
    <w:rsid w:val="00DE540E"/>
    <w:rsid w:val="00DF0FBC"/>
    <w:rsid w:val="00DF2809"/>
    <w:rsid w:val="00DF4D00"/>
    <w:rsid w:val="00DF7763"/>
    <w:rsid w:val="00E003E0"/>
    <w:rsid w:val="00E0136B"/>
    <w:rsid w:val="00E02220"/>
    <w:rsid w:val="00E02492"/>
    <w:rsid w:val="00E026C1"/>
    <w:rsid w:val="00E03515"/>
    <w:rsid w:val="00E05B71"/>
    <w:rsid w:val="00E13909"/>
    <w:rsid w:val="00E14025"/>
    <w:rsid w:val="00E1437D"/>
    <w:rsid w:val="00E14DAE"/>
    <w:rsid w:val="00E14F5F"/>
    <w:rsid w:val="00E15A04"/>
    <w:rsid w:val="00E168EE"/>
    <w:rsid w:val="00E17F6D"/>
    <w:rsid w:val="00E17F9A"/>
    <w:rsid w:val="00E264F6"/>
    <w:rsid w:val="00E26865"/>
    <w:rsid w:val="00E26A11"/>
    <w:rsid w:val="00E26C61"/>
    <w:rsid w:val="00E278AE"/>
    <w:rsid w:val="00E302B6"/>
    <w:rsid w:val="00E31A1E"/>
    <w:rsid w:val="00E326C4"/>
    <w:rsid w:val="00E35C58"/>
    <w:rsid w:val="00E35D20"/>
    <w:rsid w:val="00E35E69"/>
    <w:rsid w:val="00E36690"/>
    <w:rsid w:val="00E36992"/>
    <w:rsid w:val="00E43EF8"/>
    <w:rsid w:val="00E4474C"/>
    <w:rsid w:val="00E475E1"/>
    <w:rsid w:val="00E50055"/>
    <w:rsid w:val="00E5157F"/>
    <w:rsid w:val="00E621A4"/>
    <w:rsid w:val="00E63671"/>
    <w:rsid w:val="00E712D6"/>
    <w:rsid w:val="00E732FC"/>
    <w:rsid w:val="00E74CB5"/>
    <w:rsid w:val="00E759F0"/>
    <w:rsid w:val="00E81915"/>
    <w:rsid w:val="00E850E5"/>
    <w:rsid w:val="00E86BCC"/>
    <w:rsid w:val="00E9030B"/>
    <w:rsid w:val="00E90DF7"/>
    <w:rsid w:val="00E912A0"/>
    <w:rsid w:val="00E915FC"/>
    <w:rsid w:val="00E92B45"/>
    <w:rsid w:val="00E9478F"/>
    <w:rsid w:val="00EA2146"/>
    <w:rsid w:val="00EA6EBF"/>
    <w:rsid w:val="00EB1597"/>
    <w:rsid w:val="00EB524E"/>
    <w:rsid w:val="00EB70B2"/>
    <w:rsid w:val="00EB7558"/>
    <w:rsid w:val="00EC0F5E"/>
    <w:rsid w:val="00EC113A"/>
    <w:rsid w:val="00EC15A4"/>
    <w:rsid w:val="00EC1EDF"/>
    <w:rsid w:val="00EC26E2"/>
    <w:rsid w:val="00EC37FD"/>
    <w:rsid w:val="00EC4448"/>
    <w:rsid w:val="00EC49DF"/>
    <w:rsid w:val="00EC62D0"/>
    <w:rsid w:val="00ED08A0"/>
    <w:rsid w:val="00ED6784"/>
    <w:rsid w:val="00EE021B"/>
    <w:rsid w:val="00EE2278"/>
    <w:rsid w:val="00EE4378"/>
    <w:rsid w:val="00EE4B2B"/>
    <w:rsid w:val="00EE7D72"/>
    <w:rsid w:val="00EF029C"/>
    <w:rsid w:val="00EF056C"/>
    <w:rsid w:val="00EF1ABF"/>
    <w:rsid w:val="00EF1BF1"/>
    <w:rsid w:val="00EF43D3"/>
    <w:rsid w:val="00EF4C55"/>
    <w:rsid w:val="00EF6ABA"/>
    <w:rsid w:val="00F01DBB"/>
    <w:rsid w:val="00F06AE7"/>
    <w:rsid w:val="00F070DE"/>
    <w:rsid w:val="00F07354"/>
    <w:rsid w:val="00F100B4"/>
    <w:rsid w:val="00F10584"/>
    <w:rsid w:val="00F124FB"/>
    <w:rsid w:val="00F12789"/>
    <w:rsid w:val="00F15A3A"/>
    <w:rsid w:val="00F163F5"/>
    <w:rsid w:val="00F16EFD"/>
    <w:rsid w:val="00F22FFD"/>
    <w:rsid w:val="00F23762"/>
    <w:rsid w:val="00F246CC"/>
    <w:rsid w:val="00F25B9D"/>
    <w:rsid w:val="00F321F5"/>
    <w:rsid w:val="00F3340C"/>
    <w:rsid w:val="00F341E0"/>
    <w:rsid w:val="00F347A2"/>
    <w:rsid w:val="00F36E44"/>
    <w:rsid w:val="00F40DA8"/>
    <w:rsid w:val="00F41F60"/>
    <w:rsid w:val="00F4358D"/>
    <w:rsid w:val="00F447A2"/>
    <w:rsid w:val="00F45353"/>
    <w:rsid w:val="00F46807"/>
    <w:rsid w:val="00F50E63"/>
    <w:rsid w:val="00F516AE"/>
    <w:rsid w:val="00F52F55"/>
    <w:rsid w:val="00F569E9"/>
    <w:rsid w:val="00F570BF"/>
    <w:rsid w:val="00F5734C"/>
    <w:rsid w:val="00F57D00"/>
    <w:rsid w:val="00F67619"/>
    <w:rsid w:val="00F71175"/>
    <w:rsid w:val="00F7330E"/>
    <w:rsid w:val="00F7663F"/>
    <w:rsid w:val="00F7777D"/>
    <w:rsid w:val="00F7791B"/>
    <w:rsid w:val="00F77CAD"/>
    <w:rsid w:val="00F82E27"/>
    <w:rsid w:val="00F8358C"/>
    <w:rsid w:val="00F85DEE"/>
    <w:rsid w:val="00F86742"/>
    <w:rsid w:val="00F87027"/>
    <w:rsid w:val="00F87EA9"/>
    <w:rsid w:val="00F92B35"/>
    <w:rsid w:val="00F942C3"/>
    <w:rsid w:val="00F94B43"/>
    <w:rsid w:val="00F94BF4"/>
    <w:rsid w:val="00F9584D"/>
    <w:rsid w:val="00FA00DD"/>
    <w:rsid w:val="00FA0EDE"/>
    <w:rsid w:val="00FA1ABE"/>
    <w:rsid w:val="00FA3367"/>
    <w:rsid w:val="00FA3666"/>
    <w:rsid w:val="00FA4B7F"/>
    <w:rsid w:val="00FA57EE"/>
    <w:rsid w:val="00FA5B7A"/>
    <w:rsid w:val="00FB0E59"/>
    <w:rsid w:val="00FB38C2"/>
    <w:rsid w:val="00FB4E55"/>
    <w:rsid w:val="00FB5945"/>
    <w:rsid w:val="00FB5E02"/>
    <w:rsid w:val="00FC00B3"/>
    <w:rsid w:val="00FC1C23"/>
    <w:rsid w:val="00FC1D28"/>
    <w:rsid w:val="00FC1FA6"/>
    <w:rsid w:val="00FC64B6"/>
    <w:rsid w:val="00FC7818"/>
    <w:rsid w:val="00FD0630"/>
    <w:rsid w:val="00FD0FA1"/>
    <w:rsid w:val="00FD151B"/>
    <w:rsid w:val="00FD171A"/>
    <w:rsid w:val="00FD286E"/>
    <w:rsid w:val="00FD3AE7"/>
    <w:rsid w:val="00FD507D"/>
    <w:rsid w:val="00FD51C5"/>
    <w:rsid w:val="00FE24E3"/>
    <w:rsid w:val="00FE27CE"/>
    <w:rsid w:val="00FF028D"/>
    <w:rsid w:val="00FF0EA0"/>
    <w:rsid w:val="00FF24AD"/>
    <w:rsid w:val="00FF4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C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annotation text" w:uiPriority="99"/>
    <w:lsdException w:name="header" w:uiPriority="99"/>
    <w:lsdException w:name="caption" w:qFormat="1"/>
    <w:lsdException w:name="footnote reference" w:uiPriority="99"/>
    <w:lsdException w:name="annotation reference" w:uiPriority="99"/>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link w:val="FootnoteTextChar"/>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cs="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customStyle="1" w:styleId="FootnoteTextChar">
    <w:name w:val="Footnote Text Char"/>
    <w:link w:val="FootnoteText"/>
    <w:uiPriority w:val="99"/>
    <w:rsid w:val="00626D90"/>
  </w:style>
  <w:style w:type="character" w:styleId="CommentReference">
    <w:name w:val="annotation reference"/>
    <w:basedOn w:val="DefaultParagraphFont"/>
    <w:uiPriority w:val="99"/>
    <w:unhideWhenUsed/>
    <w:rsid w:val="00DD0C65"/>
    <w:rPr>
      <w:sz w:val="16"/>
      <w:szCs w:val="16"/>
    </w:rPr>
  </w:style>
  <w:style w:type="character" w:customStyle="1" w:styleId="CommentTextChar">
    <w:name w:val="Comment Text Char"/>
    <w:basedOn w:val="DefaultParagraphFont"/>
    <w:link w:val="CommentText"/>
    <w:uiPriority w:val="99"/>
    <w:semiHidden/>
    <w:rsid w:val="00DD0C65"/>
  </w:style>
  <w:style w:type="paragraph" w:styleId="CommentSubject">
    <w:name w:val="annotation subject"/>
    <w:basedOn w:val="CommentText"/>
    <w:next w:val="CommentText"/>
    <w:link w:val="CommentSubjectChar"/>
    <w:rsid w:val="00B701BF"/>
    <w:rPr>
      <w:b/>
      <w:bCs/>
    </w:rPr>
  </w:style>
  <w:style w:type="character" w:customStyle="1" w:styleId="CommentSubjectChar">
    <w:name w:val="Comment Subject Char"/>
    <w:basedOn w:val="CommentTextChar"/>
    <w:link w:val="CommentSubject"/>
    <w:rsid w:val="00B701BF"/>
    <w:rPr>
      <w:b/>
      <w:bCs/>
    </w:rPr>
  </w:style>
  <w:style w:type="paragraph" w:styleId="Revision">
    <w:name w:val="Revision"/>
    <w:hidden/>
    <w:uiPriority w:val="99"/>
    <w:semiHidden/>
    <w:rsid w:val="008C2226"/>
    <w:rPr>
      <w:sz w:val="24"/>
      <w:szCs w:val="24"/>
    </w:rPr>
  </w:style>
  <w:style w:type="character" w:customStyle="1" w:styleId="HeaderChar">
    <w:name w:val="Header Char"/>
    <w:basedOn w:val="DefaultParagraphFont"/>
    <w:link w:val="Header"/>
    <w:uiPriority w:val="99"/>
    <w:rsid w:val="000E0AF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annotation text" w:uiPriority="99"/>
    <w:lsdException w:name="header" w:uiPriority="99"/>
    <w:lsdException w:name="caption" w:qFormat="1"/>
    <w:lsdException w:name="footnote reference" w:uiPriority="99"/>
    <w:lsdException w:name="annotation reference" w:uiPriority="99"/>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link w:val="FootnoteTextChar"/>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cs="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customStyle="1" w:styleId="FootnoteTextChar">
    <w:name w:val="Footnote Text Char"/>
    <w:link w:val="FootnoteText"/>
    <w:uiPriority w:val="99"/>
    <w:rsid w:val="00626D90"/>
  </w:style>
  <w:style w:type="character" w:styleId="CommentReference">
    <w:name w:val="annotation reference"/>
    <w:basedOn w:val="DefaultParagraphFont"/>
    <w:uiPriority w:val="99"/>
    <w:unhideWhenUsed/>
    <w:rsid w:val="00DD0C65"/>
    <w:rPr>
      <w:sz w:val="16"/>
      <w:szCs w:val="16"/>
    </w:rPr>
  </w:style>
  <w:style w:type="character" w:customStyle="1" w:styleId="CommentTextChar">
    <w:name w:val="Comment Text Char"/>
    <w:basedOn w:val="DefaultParagraphFont"/>
    <w:link w:val="CommentText"/>
    <w:uiPriority w:val="99"/>
    <w:semiHidden/>
    <w:rsid w:val="00DD0C65"/>
  </w:style>
  <w:style w:type="paragraph" w:styleId="CommentSubject">
    <w:name w:val="annotation subject"/>
    <w:basedOn w:val="CommentText"/>
    <w:next w:val="CommentText"/>
    <w:link w:val="CommentSubjectChar"/>
    <w:rsid w:val="00B701BF"/>
    <w:rPr>
      <w:b/>
      <w:bCs/>
    </w:rPr>
  </w:style>
  <w:style w:type="character" w:customStyle="1" w:styleId="CommentSubjectChar">
    <w:name w:val="Comment Subject Char"/>
    <w:basedOn w:val="CommentTextChar"/>
    <w:link w:val="CommentSubject"/>
    <w:rsid w:val="00B701BF"/>
    <w:rPr>
      <w:b/>
      <w:bCs/>
    </w:rPr>
  </w:style>
  <w:style w:type="paragraph" w:styleId="Revision">
    <w:name w:val="Revision"/>
    <w:hidden/>
    <w:uiPriority w:val="99"/>
    <w:semiHidden/>
    <w:rsid w:val="008C2226"/>
    <w:rPr>
      <w:sz w:val="24"/>
      <w:szCs w:val="24"/>
    </w:rPr>
  </w:style>
  <w:style w:type="character" w:customStyle="1" w:styleId="HeaderChar">
    <w:name w:val="Header Char"/>
    <w:basedOn w:val="DefaultParagraphFont"/>
    <w:link w:val="Header"/>
    <w:uiPriority w:val="99"/>
    <w:rsid w:val="000E0A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413">
      <w:bodyDiv w:val="1"/>
      <w:marLeft w:val="0"/>
      <w:marRight w:val="0"/>
      <w:marTop w:val="0"/>
      <w:marBottom w:val="0"/>
      <w:divBdr>
        <w:top w:val="none" w:sz="0" w:space="0" w:color="auto"/>
        <w:left w:val="none" w:sz="0" w:space="0" w:color="auto"/>
        <w:bottom w:val="none" w:sz="0" w:space="0" w:color="auto"/>
        <w:right w:val="none" w:sz="0" w:space="0" w:color="auto"/>
      </w:divBdr>
    </w:div>
    <w:div w:id="36661332">
      <w:bodyDiv w:val="1"/>
      <w:marLeft w:val="0"/>
      <w:marRight w:val="0"/>
      <w:marTop w:val="0"/>
      <w:marBottom w:val="0"/>
      <w:divBdr>
        <w:top w:val="none" w:sz="0" w:space="0" w:color="auto"/>
        <w:left w:val="none" w:sz="0" w:space="0" w:color="auto"/>
        <w:bottom w:val="none" w:sz="0" w:space="0" w:color="auto"/>
        <w:right w:val="none" w:sz="0" w:space="0" w:color="auto"/>
      </w:divBdr>
    </w:div>
    <w:div w:id="668827465">
      <w:bodyDiv w:val="1"/>
      <w:marLeft w:val="0"/>
      <w:marRight w:val="0"/>
      <w:marTop w:val="0"/>
      <w:marBottom w:val="0"/>
      <w:divBdr>
        <w:top w:val="none" w:sz="0" w:space="0" w:color="auto"/>
        <w:left w:val="none" w:sz="0" w:space="0" w:color="auto"/>
        <w:bottom w:val="none" w:sz="0" w:space="0" w:color="auto"/>
        <w:right w:val="none" w:sz="0" w:space="0" w:color="auto"/>
      </w:divBdr>
      <w:divsChild>
        <w:div w:id="2011641801">
          <w:marLeft w:val="0"/>
          <w:marRight w:val="0"/>
          <w:marTop w:val="0"/>
          <w:marBottom w:val="300"/>
          <w:divBdr>
            <w:top w:val="none" w:sz="0" w:space="0" w:color="auto"/>
            <w:left w:val="single" w:sz="6" w:space="0" w:color="003300"/>
            <w:bottom w:val="single" w:sz="6" w:space="0" w:color="003300"/>
            <w:right w:val="single" w:sz="6" w:space="0" w:color="003300"/>
          </w:divBdr>
          <w:divsChild>
            <w:div w:id="484782427">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688530657">
      <w:bodyDiv w:val="1"/>
      <w:marLeft w:val="0"/>
      <w:marRight w:val="0"/>
      <w:marTop w:val="0"/>
      <w:marBottom w:val="0"/>
      <w:divBdr>
        <w:top w:val="none" w:sz="0" w:space="0" w:color="auto"/>
        <w:left w:val="none" w:sz="0" w:space="0" w:color="auto"/>
        <w:bottom w:val="none" w:sz="0" w:space="0" w:color="auto"/>
        <w:right w:val="none" w:sz="0" w:space="0" w:color="auto"/>
      </w:divBdr>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2802936">
      <w:bodyDiv w:val="1"/>
      <w:marLeft w:val="0"/>
      <w:marRight w:val="0"/>
      <w:marTop w:val="0"/>
      <w:marBottom w:val="0"/>
      <w:divBdr>
        <w:top w:val="none" w:sz="0" w:space="0" w:color="auto"/>
        <w:left w:val="none" w:sz="0" w:space="0" w:color="auto"/>
        <w:bottom w:val="none" w:sz="0" w:space="0" w:color="auto"/>
        <w:right w:val="none" w:sz="0" w:space="0" w:color="auto"/>
      </w:divBdr>
    </w:div>
    <w:div w:id="1738936809">
      <w:bodyDiv w:val="1"/>
      <w:marLeft w:val="0"/>
      <w:marRight w:val="0"/>
      <w:marTop w:val="0"/>
      <w:marBottom w:val="0"/>
      <w:divBdr>
        <w:top w:val="none" w:sz="0" w:space="0" w:color="auto"/>
        <w:left w:val="none" w:sz="0" w:space="0" w:color="auto"/>
        <w:bottom w:val="none" w:sz="0" w:space="0" w:color="auto"/>
        <w:right w:val="none" w:sz="0" w:space="0" w:color="auto"/>
      </w:divBdr>
      <w:divsChild>
        <w:div w:id="256642675">
          <w:marLeft w:val="0"/>
          <w:marRight w:val="0"/>
          <w:marTop w:val="0"/>
          <w:marBottom w:val="0"/>
          <w:divBdr>
            <w:top w:val="none" w:sz="0" w:space="0" w:color="auto"/>
            <w:left w:val="none" w:sz="0" w:space="0" w:color="auto"/>
            <w:bottom w:val="none" w:sz="0" w:space="0" w:color="auto"/>
            <w:right w:val="none" w:sz="0" w:space="0" w:color="auto"/>
          </w:divBdr>
        </w:div>
      </w:divsChild>
    </w:div>
    <w:div w:id="1873881310">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 w:id="2074696224">
      <w:bodyDiv w:val="1"/>
      <w:marLeft w:val="0"/>
      <w:marRight w:val="0"/>
      <w:marTop w:val="0"/>
      <w:marBottom w:val="0"/>
      <w:divBdr>
        <w:top w:val="none" w:sz="0" w:space="0" w:color="auto"/>
        <w:left w:val="none" w:sz="0" w:space="0" w:color="auto"/>
        <w:bottom w:val="none" w:sz="0" w:space="0" w:color="auto"/>
        <w:right w:val="none" w:sz="0" w:space="0" w:color="auto"/>
      </w:divBdr>
    </w:div>
    <w:div w:id="2090424485">
      <w:bodyDiv w:val="1"/>
      <w:marLeft w:val="0"/>
      <w:marRight w:val="0"/>
      <w:marTop w:val="0"/>
      <w:marBottom w:val="0"/>
      <w:divBdr>
        <w:top w:val="none" w:sz="0" w:space="0" w:color="auto"/>
        <w:left w:val="none" w:sz="0" w:space="0" w:color="auto"/>
        <w:bottom w:val="none" w:sz="0" w:space="0" w:color="auto"/>
        <w:right w:val="none" w:sz="0" w:space="0" w:color="auto"/>
      </w:divBdr>
    </w:div>
    <w:div w:id="2097626245">
      <w:bodyDiv w:val="1"/>
      <w:marLeft w:val="0"/>
      <w:marRight w:val="0"/>
      <w:marTop w:val="0"/>
      <w:marBottom w:val="0"/>
      <w:divBdr>
        <w:top w:val="none" w:sz="0" w:space="0" w:color="auto"/>
        <w:left w:val="none" w:sz="0" w:space="0" w:color="auto"/>
        <w:bottom w:val="none" w:sz="0" w:space="0" w:color="auto"/>
        <w:right w:val="none" w:sz="0" w:space="0" w:color="auto"/>
      </w:divBdr>
      <w:divsChild>
        <w:div w:id="114231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es/2018/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4EDB-9ED0-4E45-8B7A-DEA5ACC1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20502</CharactersWithSpaces>
  <SharedDoc>false</SharedDoc>
  <HLinks>
    <vt:vector size="24" baseType="variant">
      <vt:variant>
        <vt:i4>1900627</vt:i4>
      </vt:variant>
      <vt:variant>
        <vt:i4>3</vt:i4>
      </vt:variant>
      <vt:variant>
        <vt:i4>0</vt:i4>
      </vt:variant>
      <vt:variant>
        <vt:i4>5</vt:i4>
      </vt:variant>
      <vt:variant>
        <vt:lpwstr>http://www.bls.gov/oes/current/oes230000.htm</vt:lpwstr>
      </vt:variant>
      <vt:variant>
        <vt:lpwstr/>
      </vt:variant>
      <vt:variant>
        <vt:i4>2293871</vt:i4>
      </vt:variant>
      <vt:variant>
        <vt:i4>0</vt:i4>
      </vt:variant>
      <vt:variant>
        <vt:i4>0</vt:i4>
      </vt:variant>
      <vt:variant>
        <vt:i4>5</vt:i4>
      </vt:variant>
      <vt:variant>
        <vt:lpwstr>http://www.nij.gov/topics/courts/drug-courts/madce.htm</vt:lpwstr>
      </vt:variant>
      <vt:variant>
        <vt:lpwstr/>
      </vt:variant>
      <vt:variant>
        <vt:i4>3211272</vt:i4>
      </vt:variant>
      <vt:variant>
        <vt:i4>3</vt:i4>
      </vt:variant>
      <vt:variant>
        <vt:i4>0</vt:i4>
      </vt:variant>
      <vt:variant>
        <vt:i4>5</vt:i4>
      </vt:variant>
      <vt:variant>
        <vt:lpwstr>http://www.dwicourts.org/sites/default/files/ncdc/Guiding_Principles_of_DWI_Court_0.pdf</vt:lpwstr>
      </vt:variant>
      <vt:variant>
        <vt:lpwstr/>
      </vt:variant>
      <vt:variant>
        <vt:i4>4587598</vt:i4>
      </vt:variant>
      <vt:variant>
        <vt:i4>0</vt:i4>
      </vt:variant>
      <vt:variant>
        <vt:i4>0</vt:i4>
      </vt:variant>
      <vt:variant>
        <vt:i4>5</vt:i4>
      </vt:variant>
      <vt:variant>
        <vt:lpwstr>http://www-nrd.nhtsa.dot.gov/Pubs/811700.pdf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2019-07-17T22:38:00Z</dcterms:created>
  <dcterms:modified xsi:type="dcterms:W3CDTF">2019-07-17T22:38:00Z</dcterms:modified>
</cp:coreProperties>
</file>