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E414" w14:textId="77777777" w:rsidR="0095064A" w:rsidRPr="001E097F" w:rsidRDefault="0095064A" w:rsidP="0095064A">
      <w:pPr>
        <w:suppressAutoHyphens/>
        <w:jc w:val="center"/>
        <w:rPr>
          <w:rFonts w:ascii="Times New Roman" w:hAnsi="Times New Roman" w:cs="Times New Roman"/>
          <w:b/>
        </w:rPr>
      </w:pPr>
      <w:bookmarkStart w:id="0" w:name="_GoBack"/>
      <w:bookmarkEnd w:id="0"/>
      <w:r w:rsidRPr="001E097F">
        <w:rPr>
          <w:rFonts w:ascii="Times New Roman" w:hAnsi="Times New Roman" w:cs="Times New Roman"/>
          <w:b/>
        </w:rPr>
        <w:t xml:space="preserve">SUPPORTING STATEMENT FOR NEW AND </w:t>
      </w:r>
    </w:p>
    <w:p w14:paraId="1426E415" w14:textId="77777777" w:rsidR="0095064A" w:rsidRPr="001E097F" w:rsidRDefault="0095064A" w:rsidP="0095064A">
      <w:pPr>
        <w:suppressAutoHyphens/>
        <w:jc w:val="center"/>
        <w:rPr>
          <w:rFonts w:ascii="Times New Roman" w:hAnsi="Times New Roman" w:cs="Times New Roman"/>
          <w:b/>
        </w:rPr>
      </w:pPr>
      <w:r w:rsidRPr="001E097F">
        <w:rPr>
          <w:rFonts w:ascii="Times New Roman" w:hAnsi="Times New Roman" w:cs="Times New Roman"/>
          <w:b/>
        </w:rPr>
        <w:t>REVISED INFORMATION COLLECTIONS</w:t>
      </w:r>
    </w:p>
    <w:p w14:paraId="1426E416" w14:textId="77777777" w:rsidR="0095064A" w:rsidRPr="001E097F" w:rsidRDefault="0095064A" w:rsidP="0095064A">
      <w:pPr>
        <w:suppressAutoHyphens/>
        <w:rPr>
          <w:rFonts w:ascii="Times New Roman" w:hAnsi="Times New Roman" w:cs="Times New Roman"/>
          <w:b/>
        </w:rPr>
      </w:pPr>
    </w:p>
    <w:p w14:paraId="1426E417" w14:textId="77777777" w:rsidR="0095064A" w:rsidRPr="001E097F" w:rsidRDefault="0095064A" w:rsidP="0095064A">
      <w:pPr>
        <w:tabs>
          <w:tab w:val="center" w:pos="4680"/>
        </w:tabs>
        <w:suppressAutoHyphens/>
        <w:rPr>
          <w:rFonts w:ascii="Times New Roman" w:hAnsi="Times New Roman" w:cs="Times New Roman"/>
          <w:b/>
          <w:u w:val="single"/>
        </w:rPr>
      </w:pPr>
      <w:r w:rsidRPr="001E097F">
        <w:rPr>
          <w:rFonts w:ascii="Times New Roman" w:hAnsi="Times New Roman" w:cs="Times New Roman"/>
          <w:b/>
        </w:rPr>
        <w:tab/>
      </w:r>
      <w:r w:rsidRPr="001E097F">
        <w:rPr>
          <w:rFonts w:ascii="Times New Roman" w:hAnsi="Times New Roman" w:cs="Times New Roman"/>
          <w:b/>
          <w:u w:val="single"/>
        </w:rPr>
        <w:t>Core Principles and Other Requirements for Swap Execution Facilities</w:t>
      </w:r>
    </w:p>
    <w:p w14:paraId="1426E419" w14:textId="77777777" w:rsidR="0095064A" w:rsidRPr="001E097F" w:rsidRDefault="0095064A" w:rsidP="0095064A">
      <w:pPr>
        <w:tabs>
          <w:tab w:val="center" w:pos="4680"/>
        </w:tabs>
        <w:suppressAutoHyphens/>
        <w:jc w:val="center"/>
        <w:rPr>
          <w:rFonts w:ascii="Times New Roman" w:hAnsi="Times New Roman" w:cs="Times New Roman"/>
          <w:b/>
        </w:rPr>
      </w:pPr>
      <w:r w:rsidRPr="001E097F">
        <w:rPr>
          <w:rFonts w:ascii="Times New Roman" w:hAnsi="Times New Roman" w:cs="Times New Roman"/>
          <w:b/>
        </w:rPr>
        <w:t>OMB CONTROL NUMBER 3038-0074</w:t>
      </w:r>
    </w:p>
    <w:p w14:paraId="1426E41A" w14:textId="77777777" w:rsidR="0095064A" w:rsidRPr="001E097F" w:rsidRDefault="0095064A" w:rsidP="0095064A">
      <w:pPr>
        <w:tabs>
          <w:tab w:val="left" w:pos="-720"/>
        </w:tabs>
        <w:suppressAutoHyphens/>
        <w:rPr>
          <w:rFonts w:ascii="Times New Roman" w:hAnsi="Times New Roman" w:cs="Times New Roman"/>
        </w:rPr>
      </w:pPr>
    </w:p>
    <w:p w14:paraId="1426E41B" w14:textId="77777777" w:rsidR="0095064A" w:rsidRPr="001E097F" w:rsidRDefault="0095064A" w:rsidP="0095064A">
      <w:pPr>
        <w:tabs>
          <w:tab w:val="left" w:pos="-720"/>
        </w:tabs>
        <w:suppressAutoHyphens/>
        <w:rPr>
          <w:rFonts w:ascii="Times New Roman" w:hAnsi="Times New Roman" w:cs="Times New Roman"/>
          <w:b/>
        </w:rPr>
      </w:pPr>
      <w:r w:rsidRPr="001E097F">
        <w:rPr>
          <w:rFonts w:ascii="Times New Roman" w:hAnsi="Times New Roman" w:cs="Times New Roman"/>
          <w:b/>
        </w:rPr>
        <w:t>Justification</w:t>
      </w:r>
    </w:p>
    <w:p w14:paraId="1426E41D"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w:t>
      </w:r>
      <w:r w:rsidRPr="001E097F">
        <w:rPr>
          <w:rFonts w:ascii="Times New Roman" w:hAnsi="Times New Roman" w:cs="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426E420" w14:textId="64C8744F" w:rsidR="00CA1653" w:rsidRPr="001E097F" w:rsidRDefault="0095064A" w:rsidP="0095064A">
      <w:pPr>
        <w:tabs>
          <w:tab w:val="left" w:pos="-720"/>
        </w:tabs>
        <w:suppressAutoHyphens/>
        <w:rPr>
          <w:rFonts w:ascii="Times New Roman" w:eastAsia="Times New Roman" w:hAnsi="Times New Roman" w:cs="Times New Roman"/>
        </w:rPr>
      </w:pPr>
      <w:r w:rsidRPr="001E097F">
        <w:rPr>
          <w:rFonts w:ascii="Times New Roman" w:hAnsi="Times New Roman" w:cs="Times New Roman"/>
        </w:rPr>
        <w:t>Title VII of the Dodd-Frank Wall Street Reform and Consumer Protection Act (</w:t>
      </w:r>
      <w:r w:rsidR="00D663EA" w:rsidRPr="001E097F">
        <w:rPr>
          <w:rFonts w:ascii="Times New Roman" w:hAnsi="Times New Roman" w:cs="Times New Roman"/>
        </w:rPr>
        <w:t>“</w:t>
      </w:r>
      <w:r w:rsidRPr="001E097F">
        <w:rPr>
          <w:rFonts w:ascii="Times New Roman" w:hAnsi="Times New Roman" w:cs="Times New Roman"/>
          <w:b/>
          <w:u w:val="single"/>
        </w:rPr>
        <w:t>Dodd-Frank Act</w:t>
      </w:r>
      <w:r w:rsidR="00D663EA" w:rsidRPr="001E097F">
        <w:rPr>
          <w:rFonts w:ascii="Times New Roman" w:hAnsi="Times New Roman" w:cs="Times New Roman"/>
        </w:rPr>
        <w:t>”</w:t>
      </w:r>
      <w:r w:rsidRPr="001E097F">
        <w:rPr>
          <w:rFonts w:ascii="Times New Roman" w:hAnsi="Times New Roman" w:cs="Times New Roman"/>
        </w:rPr>
        <w:t>) added new section 5h to the Commodity Exchange Act (</w:t>
      </w:r>
      <w:r w:rsidR="00980B67" w:rsidRPr="001E097F">
        <w:rPr>
          <w:rFonts w:ascii="Times New Roman" w:hAnsi="Times New Roman" w:cs="Times New Roman"/>
        </w:rPr>
        <w:t>“</w:t>
      </w:r>
      <w:r w:rsidRPr="001E097F">
        <w:rPr>
          <w:rFonts w:ascii="Times New Roman" w:hAnsi="Times New Roman" w:cs="Times New Roman"/>
          <w:b/>
          <w:u w:val="single"/>
        </w:rPr>
        <w:t>CEA</w:t>
      </w:r>
      <w:r w:rsidR="00980B67" w:rsidRPr="001E097F">
        <w:rPr>
          <w:rFonts w:ascii="Times New Roman" w:hAnsi="Times New Roman" w:cs="Times New Roman"/>
        </w:rPr>
        <w:t>”</w:t>
      </w:r>
      <w:r w:rsidRPr="001E097F">
        <w:rPr>
          <w:rFonts w:ascii="Times New Roman" w:hAnsi="Times New Roman" w:cs="Times New Roman"/>
        </w:rPr>
        <w:t>) to impose requirements concerning the registration and operation of swap execution facilities (</w:t>
      </w:r>
      <w:r w:rsidR="00980B67" w:rsidRPr="001E097F">
        <w:rPr>
          <w:rFonts w:ascii="Times New Roman" w:hAnsi="Times New Roman" w:cs="Times New Roman"/>
        </w:rPr>
        <w:t>“</w:t>
      </w:r>
      <w:r w:rsidRPr="001E097F">
        <w:rPr>
          <w:rFonts w:ascii="Times New Roman" w:hAnsi="Times New Roman" w:cs="Times New Roman"/>
          <w:b/>
          <w:u w:val="single"/>
        </w:rPr>
        <w:t>SEFs</w:t>
      </w:r>
      <w:r w:rsidR="00980B67" w:rsidRPr="001E097F">
        <w:rPr>
          <w:rFonts w:ascii="Times New Roman" w:hAnsi="Times New Roman" w:cs="Times New Roman"/>
        </w:rPr>
        <w:t>”</w:t>
      </w:r>
      <w:r w:rsidRPr="001E097F">
        <w:rPr>
          <w:rFonts w:ascii="Times New Roman" w:hAnsi="Times New Roman" w:cs="Times New Roman"/>
        </w:rPr>
        <w:t>), which the Commodity Futures Trading Commission (“</w:t>
      </w:r>
      <w:r w:rsidRPr="001E097F">
        <w:rPr>
          <w:rFonts w:ascii="Times New Roman" w:hAnsi="Times New Roman" w:cs="Times New Roman"/>
          <w:b/>
          <w:u w:val="single"/>
        </w:rPr>
        <w:t>Commission</w:t>
      </w:r>
      <w:r w:rsidRPr="001E097F">
        <w:rPr>
          <w:rFonts w:ascii="Times New Roman" w:hAnsi="Times New Roman" w:cs="Times New Roman"/>
        </w:rPr>
        <w:t>”</w:t>
      </w:r>
      <w:r w:rsidRPr="006B6CAD">
        <w:rPr>
          <w:rFonts w:ascii="Times New Roman" w:hAnsi="Times New Roman" w:cs="Times New Roman"/>
        </w:rPr>
        <w:t>)</w:t>
      </w:r>
      <w:r w:rsidRPr="001E097F">
        <w:rPr>
          <w:rFonts w:ascii="Times New Roman" w:hAnsi="Times New Roman" w:cs="Times New Roman"/>
        </w:rPr>
        <w:t xml:space="preserve"> has incorporated in part 37 of its regulations</w:t>
      </w:r>
      <w:r w:rsidR="00C4221B" w:rsidRPr="001E097F">
        <w:rPr>
          <w:rFonts w:ascii="Times New Roman" w:hAnsi="Times New Roman" w:cs="Times New Roman"/>
        </w:rPr>
        <w:t xml:space="preserve"> as well as other parts of the Commission’s regulations</w:t>
      </w:r>
      <w:r w:rsidRPr="001E097F">
        <w:rPr>
          <w:rFonts w:ascii="Times New Roman" w:hAnsi="Times New Roman" w:cs="Times New Roman"/>
        </w:rPr>
        <w:t>.</w:t>
      </w:r>
      <w:bookmarkStart w:id="1" w:name="_Ref458433695"/>
      <w:r w:rsidRPr="001E097F">
        <w:rPr>
          <w:rFonts w:ascii="Times New Roman" w:hAnsi="Times New Roman" w:cs="Times New Roman"/>
          <w:vertAlign w:val="superscript"/>
        </w:rPr>
        <w:footnoteReference w:id="2"/>
      </w:r>
      <w:bookmarkEnd w:id="1"/>
      <w:r w:rsidRPr="001E097F">
        <w:rPr>
          <w:rFonts w:ascii="Times New Roman" w:hAnsi="Times New Roman" w:cs="Times New Roman"/>
        </w:rPr>
        <w:t xml:space="preserve">  The information collections under this Control Number are necessary for the </w:t>
      </w:r>
      <w:r w:rsidRPr="001E097F">
        <w:rPr>
          <w:rFonts w:ascii="Times New Roman" w:hAnsi="Times New Roman" w:cs="Times New Roman"/>
        </w:rPr>
        <w:lastRenderedPageBreak/>
        <w:t xml:space="preserve">Commission to evaluate whether SEFs, or entities applying to become SEFs, comply with the </w:t>
      </w:r>
      <w:r w:rsidR="00B77BBA" w:rsidRPr="001E097F">
        <w:rPr>
          <w:rFonts w:ascii="Times New Roman" w:hAnsi="Times New Roman" w:cs="Times New Roman"/>
        </w:rPr>
        <w:t xml:space="preserve">CEA’s statutory core principle requirements and </w:t>
      </w:r>
      <w:r w:rsidR="00C4221B" w:rsidRPr="001E097F">
        <w:rPr>
          <w:rFonts w:ascii="Times New Roman" w:hAnsi="Times New Roman" w:cs="Times New Roman"/>
        </w:rPr>
        <w:t>related Commission regulations in</w:t>
      </w:r>
      <w:r w:rsidR="00B77BBA" w:rsidRPr="001E097F">
        <w:rPr>
          <w:rFonts w:ascii="Times New Roman" w:hAnsi="Times New Roman" w:cs="Times New Roman"/>
        </w:rPr>
        <w:t xml:space="preserve"> </w:t>
      </w:r>
      <w:r w:rsidRPr="001E097F">
        <w:rPr>
          <w:rFonts w:ascii="Times New Roman" w:hAnsi="Times New Roman" w:cs="Times New Roman"/>
        </w:rPr>
        <w:t>part</w:t>
      </w:r>
      <w:r w:rsidR="00B77BBA" w:rsidRPr="001E097F">
        <w:rPr>
          <w:rFonts w:ascii="Times New Roman" w:hAnsi="Times New Roman" w:cs="Times New Roman"/>
        </w:rPr>
        <w:t xml:space="preserve"> 9, part 36, and part</w:t>
      </w:r>
      <w:r w:rsidRPr="001E097F">
        <w:rPr>
          <w:rFonts w:ascii="Times New Roman" w:hAnsi="Times New Roman" w:cs="Times New Roman"/>
        </w:rPr>
        <w:t xml:space="preserve"> 37</w:t>
      </w:r>
      <w:r w:rsidR="00484D7E">
        <w:rPr>
          <w:rFonts w:ascii="Times New Roman" w:hAnsi="Times New Roman" w:cs="Times New Roman"/>
        </w:rPr>
        <w:t xml:space="preserve"> of the Commission’s regulations</w:t>
      </w:r>
      <w:r w:rsidRPr="001E097F">
        <w:rPr>
          <w:rFonts w:ascii="Times New Roman" w:hAnsi="Times New Roman" w:cs="Times New Roman"/>
        </w:rPr>
        <w:t>.</w:t>
      </w:r>
      <w:r w:rsidRPr="001E097F">
        <w:rPr>
          <w:rStyle w:val="FootnoteReference"/>
          <w:rFonts w:ascii="Times New Roman" w:hAnsi="Times New Roman" w:cs="Times New Roman"/>
        </w:rPr>
        <w:footnoteReference w:id="3"/>
      </w:r>
      <w:r w:rsidR="00B85574">
        <w:rPr>
          <w:rFonts w:ascii="Times New Roman" w:hAnsi="Times New Roman" w:cs="Times New Roman"/>
        </w:rPr>
        <w:t xml:space="preserve">  </w:t>
      </w:r>
      <w:r w:rsidR="009F39E1">
        <w:rPr>
          <w:rFonts w:ascii="Times New Roman" w:eastAsia="Times New Roman" w:hAnsi="Times New Roman" w:cs="Times New Roman"/>
        </w:rPr>
        <w:t>Concurrently</w:t>
      </w:r>
      <w:r w:rsidR="00CE43BD">
        <w:rPr>
          <w:rFonts w:ascii="Times New Roman" w:eastAsia="Times New Roman" w:hAnsi="Times New Roman" w:cs="Times New Roman"/>
        </w:rPr>
        <w:t xml:space="preserve"> with the submission of this Supporting Statement, t</w:t>
      </w:r>
      <w:r w:rsidR="00C4221B" w:rsidRPr="001E097F">
        <w:rPr>
          <w:rFonts w:ascii="Times New Roman" w:eastAsia="Times New Roman" w:hAnsi="Times New Roman" w:cs="Times New Roman"/>
        </w:rPr>
        <w:t xml:space="preserve">he Commission </w:t>
      </w:r>
      <w:r w:rsidR="0024449E">
        <w:rPr>
          <w:rFonts w:ascii="Times New Roman" w:eastAsia="Times New Roman" w:hAnsi="Times New Roman" w:cs="Times New Roman"/>
        </w:rPr>
        <w:t xml:space="preserve">has </w:t>
      </w:r>
      <w:r w:rsidR="00C4221B" w:rsidRPr="001E097F">
        <w:rPr>
          <w:rFonts w:ascii="Times New Roman" w:eastAsia="Times New Roman" w:hAnsi="Times New Roman" w:cs="Times New Roman"/>
        </w:rPr>
        <w:t>published a</w:t>
      </w:r>
      <w:r w:rsidR="00FD57C6" w:rsidRPr="001E097F">
        <w:rPr>
          <w:rFonts w:ascii="Times New Roman" w:eastAsia="Times New Roman" w:hAnsi="Times New Roman" w:cs="Times New Roman"/>
        </w:rPr>
        <w:t xml:space="preserve"> notice of </w:t>
      </w:r>
      <w:r w:rsidR="00CE43BD">
        <w:rPr>
          <w:rFonts w:ascii="Times New Roman" w:eastAsia="Times New Roman" w:hAnsi="Times New Roman" w:cs="Times New Roman"/>
        </w:rPr>
        <w:t xml:space="preserve">a </w:t>
      </w:r>
      <w:r w:rsidR="00FD57C6" w:rsidRPr="001E097F">
        <w:rPr>
          <w:rFonts w:ascii="Times New Roman" w:eastAsia="Times New Roman" w:hAnsi="Times New Roman" w:cs="Times New Roman"/>
        </w:rPr>
        <w:t xml:space="preserve">proposed rulemaking </w:t>
      </w:r>
      <w:r w:rsidR="0024449E">
        <w:rPr>
          <w:rFonts w:ascii="Times New Roman" w:eastAsia="Times New Roman" w:hAnsi="Times New Roman" w:cs="Times New Roman"/>
        </w:rPr>
        <w:t>in the Federal Register</w:t>
      </w:r>
      <w:r w:rsidR="0024449E" w:rsidRPr="001E097F">
        <w:rPr>
          <w:rFonts w:ascii="Times New Roman" w:eastAsia="Times New Roman" w:hAnsi="Times New Roman" w:cs="Times New Roman"/>
        </w:rPr>
        <w:t xml:space="preserve"> </w:t>
      </w:r>
      <w:r w:rsidR="0024449E">
        <w:rPr>
          <w:rFonts w:ascii="Times New Roman" w:eastAsia="Times New Roman" w:hAnsi="Times New Roman" w:cs="Times New Roman"/>
        </w:rPr>
        <w:t xml:space="preserve">that is </w:t>
      </w:r>
      <w:r w:rsidR="00FD57C6" w:rsidRPr="001E097F">
        <w:rPr>
          <w:rFonts w:ascii="Times New Roman" w:eastAsia="Times New Roman" w:hAnsi="Times New Roman" w:cs="Times New Roman"/>
        </w:rPr>
        <w:t>related to parts 9, 36, 37, 38, 39, and 43</w:t>
      </w:r>
      <w:r w:rsidR="00085CDD" w:rsidRPr="001E097F">
        <w:rPr>
          <w:rFonts w:ascii="Times New Roman" w:eastAsia="Times New Roman" w:hAnsi="Times New Roman" w:cs="Times New Roman"/>
        </w:rPr>
        <w:t xml:space="preserve"> of the Commission’s regulations</w:t>
      </w:r>
      <w:r w:rsidR="00FD57C6" w:rsidRPr="001E097F">
        <w:rPr>
          <w:rFonts w:ascii="Times New Roman" w:eastAsia="Times New Roman" w:hAnsi="Times New Roman" w:cs="Times New Roman"/>
        </w:rPr>
        <w:t xml:space="preserve"> (“</w:t>
      </w:r>
      <w:r w:rsidR="00FD57C6" w:rsidRPr="001E097F">
        <w:rPr>
          <w:rFonts w:ascii="Times New Roman" w:eastAsia="Times New Roman" w:hAnsi="Times New Roman" w:cs="Times New Roman"/>
          <w:b/>
          <w:u w:val="single"/>
        </w:rPr>
        <w:t>Part 37 NPRM</w:t>
      </w:r>
      <w:r w:rsidR="00FD57C6" w:rsidRPr="001E097F">
        <w:rPr>
          <w:rFonts w:ascii="Times New Roman" w:eastAsia="Times New Roman" w:hAnsi="Times New Roman" w:cs="Times New Roman"/>
        </w:rPr>
        <w:t>”)</w:t>
      </w:r>
      <w:r w:rsidR="0024449E">
        <w:rPr>
          <w:rFonts w:ascii="Times New Roman" w:eastAsia="Times New Roman" w:hAnsi="Times New Roman" w:cs="Times New Roman"/>
        </w:rPr>
        <w:t>.</w:t>
      </w:r>
      <w:r w:rsidR="00FD57C6" w:rsidRPr="001E097F">
        <w:rPr>
          <w:rStyle w:val="FootnoteReference"/>
          <w:rFonts w:ascii="Times New Roman" w:eastAsia="Times New Roman" w:hAnsi="Times New Roman" w:cs="Times New Roman"/>
        </w:rPr>
        <w:footnoteReference w:id="4"/>
      </w:r>
      <w:r w:rsidR="00C4221B" w:rsidRPr="001E097F">
        <w:rPr>
          <w:rFonts w:ascii="Times New Roman" w:eastAsia="Times New Roman" w:hAnsi="Times New Roman" w:cs="Times New Roman"/>
        </w:rPr>
        <w:t xml:space="preserve"> </w:t>
      </w:r>
      <w:r w:rsidR="0024449E">
        <w:rPr>
          <w:rFonts w:ascii="Times New Roman" w:eastAsia="Times New Roman" w:hAnsi="Times New Roman" w:cs="Times New Roman"/>
        </w:rPr>
        <w:t xml:space="preserve"> In the Part 37 NPRM, </w:t>
      </w:r>
      <w:r w:rsidR="00FD57C6" w:rsidRPr="001E097F">
        <w:rPr>
          <w:rFonts w:ascii="Times New Roman" w:eastAsia="Times New Roman" w:hAnsi="Times New Roman" w:cs="Times New Roman"/>
        </w:rPr>
        <w:t>t</w:t>
      </w:r>
      <w:r w:rsidRPr="001E097F">
        <w:rPr>
          <w:rFonts w:ascii="Times New Roman" w:eastAsia="Times New Roman" w:hAnsi="Times New Roman" w:cs="Times New Roman"/>
        </w:rPr>
        <w:t xml:space="preserve">he Commission is proposing amendments to regulations relating to the trade execution requirement under the CEA and amendments to existing regulations relating to </w:t>
      </w:r>
      <w:r w:rsidR="00980B67" w:rsidRPr="001E097F">
        <w:rPr>
          <w:rFonts w:ascii="Times New Roman" w:eastAsia="Times New Roman" w:hAnsi="Times New Roman" w:cs="Times New Roman"/>
        </w:rPr>
        <w:t>SEFs</w:t>
      </w:r>
      <w:r w:rsidRPr="001E097F">
        <w:rPr>
          <w:rFonts w:ascii="Times New Roman" w:eastAsia="Times New Roman" w:hAnsi="Times New Roman" w:cs="Times New Roman"/>
        </w:rPr>
        <w:t xml:space="preserve"> and designated contract markets (“</w:t>
      </w:r>
      <w:r w:rsidRPr="006B6CAD">
        <w:rPr>
          <w:rFonts w:ascii="Times New Roman" w:eastAsia="Times New Roman" w:hAnsi="Times New Roman" w:cs="Times New Roman"/>
          <w:b/>
          <w:u w:val="single"/>
        </w:rPr>
        <w:t>DCMs</w:t>
      </w:r>
      <w:r w:rsidRPr="001E097F">
        <w:rPr>
          <w:rFonts w:ascii="Times New Roman" w:eastAsia="Times New Roman" w:hAnsi="Times New Roman" w:cs="Times New Roman"/>
        </w:rPr>
        <w:t>”).</w:t>
      </w:r>
      <w:r w:rsidR="00FD57C6" w:rsidRPr="001E097F">
        <w:rPr>
          <w:rStyle w:val="FootnoteReference"/>
          <w:rFonts w:ascii="Times New Roman" w:hAnsi="Times New Roman" w:cs="Times New Roman"/>
        </w:rPr>
        <w:footnoteReference w:id="5"/>
      </w:r>
      <w:r w:rsidRPr="001E097F">
        <w:rPr>
          <w:rFonts w:ascii="Times New Roman" w:eastAsia="Times New Roman" w:hAnsi="Times New Roman" w:cs="Times New Roman"/>
        </w:rPr>
        <w:t xml:space="preserve">  </w:t>
      </w:r>
    </w:p>
    <w:p w14:paraId="1426E421" w14:textId="620787E8" w:rsidR="0095064A" w:rsidRPr="001E097F" w:rsidRDefault="00CA1653" w:rsidP="0095064A">
      <w:pPr>
        <w:tabs>
          <w:tab w:val="left" w:pos="-720"/>
        </w:tabs>
        <w:suppressAutoHyphens/>
        <w:rPr>
          <w:rFonts w:ascii="Times New Roman" w:hAnsi="Times New Roman" w:cs="Times New Roman"/>
        </w:rPr>
      </w:pPr>
      <w:r w:rsidRPr="001E097F">
        <w:rPr>
          <w:rFonts w:ascii="Times New Roman" w:eastAsia="Times New Roman" w:hAnsi="Times New Roman" w:cs="Times New Roman"/>
        </w:rPr>
        <w:t>The Commission believes that the changes</w:t>
      </w:r>
      <w:r w:rsidR="0024449E">
        <w:rPr>
          <w:rFonts w:ascii="Times New Roman" w:eastAsia="Times New Roman" w:hAnsi="Times New Roman" w:cs="Times New Roman"/>
        </w:rPr>
        <w:t>—</w:t>
      </w:r>
      <w:r w:rsidR="001006EC" w:rsidRPr="001E097F">
        <w:rPr>
          <w:rFonts w:ascii="Times New Roman" w:eastAsia="Times New Roman" w:hAnsi="Times New Roman" w:cs="Times New Roman"/>
        </w:rPr>
        <w:t>and related information collections</w:t>
      </w:r>
      <w:r w:rsidR="0024449E">
        <w:rPr>
          <w:rFonts w:ascii="Times New Roman" w:eastAsia="Times New Roman" w:hAnsi="Times New Roman" w:cs="Times New Roman"/>
        </w:rPr>
        <w:t>—</w:t>
      </w:r>
      <w:r w:rsidR="00DB3AF2" w:rsidRPr="001E097F">
        <w:rPr>
          <w:rFonts w:ascii="Times New Roman" w:eastAsia="Times New Roman" w:hAnsi="Times New Roman" w:cs="Times New Roman"/>
        </w:rPr>
        <w:t>reflect</w:t>
      </w:r>
      <w:r w:rsidR="0095064A" w:rsidRPr="001E097F">
        <w:rPr>
          <w:rFonts w:ascii="Times New Roman" w:eastAsia="Times New Roman" w:hAnsi="Times New Roman" w:cs="Times New Roman"/>
        </w:rPr>
        <w:t xml:space="preserve"> the Commission’s enhanced knowledge and experience with swaps trading characteristics</w:t>
      </w:r>
      <w:r w:rsidR="003128DF" w:rsidRPr="001E097F">
        <w:rPr>
          <w:rFonts w:ascii="Times New Roman" w:eastAsia="Times New Roman" w:hAnsi="Times New Roman" w:cs="Times New Roman"/>
        </w:rPr>
        <w:t>, and the Commission believes these changes are needed to</w:t>
      </w:r>
      <w:r w:rsidR="0095064A" w:rsidRPr="001E097F">
        <w:rPr>
          <w:rFonts w:ascii="Times New Roman" w:eastAsia="Times New Roman" w:hAnsi="Times New Roman" w:cs="Times New Roman"/>
        </w:rPr>
        <w:t xml:space="preserve"> further the Dodd-Frank Act’s </w:t>
      </w:r>
      <w:r w:rsidR="003128DF" w:rsidRPr="001E097F">
        <w:rPr>
          <w:rFonts w:ascii="Times New Roman" w:eastAsia="Times New Roman" w:hAnsi="Times New Roman" w:cs="Times New Roman"/>
        </w:rPr>
        <w:t xml:space="preserve">twin </w:t>
      </w:r>
      <w:r w:rsidR="0095064A" w:rsidRPr="001E097F">
        <w:rPr>
          <w:rFonts w:ascii="Times New Roman" w:eastAsia="Times New Roman" w:hAnsi="Times New Roman" w:cs="Times New Roman"/>
        </w:rPr>
        <w:t>statutory goals for SEFs</w:t>
      </w:r>
      <w:r w:rsidR="003128DF" w:rsidRPr="001E097F">
        <w:rPr>
          <w:rFonts w:ascii="Times New Roman" w:eastAsia="Times New Roman" w:hAnsi="Times New Roman" w:cs="Times New Roman"/>
        </w:rPr>
        <w:t xml:space="preserve"> to </w:t>
      </w:r>
      <w:r w:rsidR="0095064A" w:rsidRPr="001E097F">
        <w:rPr>
          <w:rFonts w:ascii="Times New Roman" w:eastAsia="Times New Roman" w:hAnsi="Times New Roman" w:cs="Times New Roman"/>
        </w:rPr>
        <w:t xml:space="preserve">promote </w:t>
      </w:r>
      <w:r w:rsidR="009A5EC4" w:rsidRPr="001E097F">
        <w:rPr>
          <w:rFonts w:ascii="Times New Roman" w:eastAsia="Times New Roman" w:hAnsi="Times New Roman" w:cs="Times New Roman"/>
        </w:rPr>
        <w:t>the trading of swaps on SEFs</w:t>
      </w:r>
      <w:r w:rsidR="0095064A" w:rsidRPr="001E097F">
        <w:rPr>
          <w:rFonts w:ascii="Times New Roman" w:eastAsia="Times New Roman" w:hAnsi="Times New Roman" w:cs="Times New Roman"/>
        </w:rPr>
        <w:t xml:space="preserve"> and</w:t>
      </w:r>
      <w:r w:rsidR="003128DF" w:rsidRPr="001E097F">
        <w:rPr>
          <w:rFonts w:ascii="Times New Roman" w:eastAsia="Times New Roman" w:hAnsi="Times New Roman" w:cs="Times New Roman"/>
        </w:rPr>
        <w:t xml:space="preserve"> </w:t>
      </w:r>
      <w:r w:rsidR="009A5EC4" w:rsidRPr="001E097F">
        <w:rPr>
          <w:rFonts w:ascii="Times New Roman" w:eastAsia="Times New Roman" w:hAnsi="Times New Roman" w:cs="Times New Roman"/>
        </w:rPr>
        <w:t xml:space="preserve">to promote </w:t>
      </w:r>
      <w:r w:rsidR="0095064A" w:rsidRPr="001E097F">
        <w:rPr>
          <w:rFonts w:ascii="Times New Roman" w:eastAsia="Times New Roman" w:hAnsi="Times New Roman" w:cs="Times New Roman"/>
        </w:rPr>
        <w:t xml:space="preserve">pre-trade price transparency in the swaps market.  </w:t>
      </w:r>
    </w:p>
    <w:p w14:paraId="050036A5" w14:textId="0D7059DA" w:rsidR="001E097F" w:rsidRDefault="0095064A" w:rsidP="001E097F">
      <w:pPr>
        <w:tabs>
          <w:tab w:val="left" w:pos="-720"/>
        </w:tabs>
        <w:suppressAutoHyphens/>
        <w:rPr>
          <w:rFonts w:ascii="Times New Roman" w:hAnsi="Times New Roman" w:cs="Times New Roman"/>
        </w:rPr>
      </w:pPr>
      <w:r w:rsidRPr="001E097F">
        <w:rPr>
          <w:rFonts w:ascii="Times New Roman" w:hAnsi="Times New Roman" w:cs="Times New Roman"/>
        </w:rPr>
        <w:t xml:space="preserve">  </w:t>
      </w:r>
    </w:p>
    <w:p w14:paraId="1426E434" w14:textId="743D0D23" w:rsidR="0095064A" w:rsidRPr="001E097F" w:rsidRDefault="0095064A" w:rsidP="001E097F">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b/>
        </w:rPr>
        <w:t>2.</w:t>
      </w:r>
      <w:r w:rsidRPr="001E097F">
        <w:rPr>
          <w:rFonts w:ascii="Times New Roman" w:hAnsi="Times New Roman" w:cs="Times New Roman"/>
          <w:b/>
        </w:rPr>
        <w:tab/>
        <w:t>Indicate how, by whom, and for what purpose the data would be used.  Except for a new collection, indicate the actual use the agency has made of the information received from the current collection.</w:t>
      </w:r>
    </w:p>
    <w:p w14:paraId="1426E436" w14:textId="57B0CFAC" w:rsidR="0095064A" w:rsidRPr="001E097F" w:rsidRDefault="0095064A" w:rsidP="00B77BBA">
      <w:pPr>
        <w:tabs>
          <w:tab w:val="left" w:pos="-720"/>
        </w:tabs>
        <w:suppressAutoHyphens/>
        <w:rPr>
          <w:rFonts w:ascii="Times New Roman" w:hAnsi="Times New Roman" w:cs="Times New Roman"/>
        </w:rPr>
      </w:pPr>
      <w:r w:rsidRPr="001E097F">
        <w:rPr>
          <w:rFonts w:ascii="Times New Roman" w:hAnsi="Times New Roman" w:cs="Times New Roman"/>
        </w:rPr>
        <w:t xml:space="preserve">The information will be used and has been used by the Commission to determine whether SEFs, and applicants seeking registration as a SEF with the Commission, are in compliance with applicable </w:t>
      </w:r>
      <w:r w:rsidR="00BA659E" w:rsidRPr="001E097F">
        <w:rPr>
          <w:rFonts w:ascii="Times New Roman" w:hAnsi="Times New Roman" w:cs="Times New Roman"/>
        </w:rPr>
        <w:t xml:space="preserve">CEA </w:t>
      </w:r>
      <w:r w:rsidR="005E384D" w:rsidRPr="001E097F">
        <w:rPr>
          <w:rFonts w:ascii="Times New Roman" w:hAnsi="Times New Roman" w:cs="Times New Roman"/>
        </w:rPr>
        <w:t xml:space="preserve">statutory </w:t>
      </w:r>
      <w:r w:rsidRPr="001E097F">
        <w:rPr>
          <w:rFonts w:ascii="Times New Roman" w:hAnsi="Times New Roman" w:cs="Times New Roman"/>
        </w:rPr>
        <w:t xml:space="preserve">core principles and all other </w:t>
      </w:r>
      <w:r w:rsidR="005E384D" w:rsidRPr="001E097F">
        <w:rPr>
          <w:rFonts w:ascii="Times New Roman" w:hAnsi="Times New Roman" w:cs="Times New Roman"/>
        </w:rPr>
        <w:t xml:space="preserve">part 9, part 36, and </w:t>
      </w:r>
      <w:r w:rsidRPr="001E097F">
        <w:rPr>
          <w:rFonts w:ascii="Times New Roman" w:hAnsi="Times New Roman" w:cs="Times New Roman"/>
        </w:rPr>
        <w:t xml:space="preserve">part 37 </w:t>
      </w:r>
      <w:r w:rsidR="009C1C68" w:rsidRPr="001E097F">
        <w:rPr>
          <w:rFonts w:ascii="Times New Roman" w:hAnsi="Times New Roman" w:cs="Times New Roman"/>
        </w:rPr>
        <w:t xml:space="preserve">Commission regulatory </w:t>
      </w:r>
      <w:r w:rsidRPr="001E097F">
        <w:rPr>
          <w:rFonts w:ascii="Times New Roman" w:hAnsi="Times New Roman" w:cs="Times New Roman"/>
        </w:rPr>
        <w:t xml:space="preserve">requirements.    </w:t>
      </w:r>
    </w:p>
    <w:p w14:paraId="341053C9" w14:textId="77777777" w:rsidR="007403A3" w:rsidRPr="001E097F" w:rsidRDefault="007403A3" w:rsidP="0095064A">
      <w:pPr>
        <w:tabs>
          <w:tab w:val="left" w:pos="-720"/>
          <w:tab w:val="left" w:pos="0"/>
        </w:tabs>
        <w:suppressAutoHyphens/>
        <w:ind w:left="720" w:hanging="720"/>
        <w:rPr>
          <w:rFonts w:ascii="Times New Roman" w:hAnsi="Times New Roman" w:cs="Times New Roman"/>
          <w:b/>
        </w:rPr>
      </w:pPr>
    </w:p>
    <w:p w14:paraId="1426E438" w14:textId="59C6B92C"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3.</w:t>
      </w:r>
      <w:r w:rsidRPr="001E097F">
        <w:rPr>
          <w:rFonts w:ascii="Times New Roman" w:hAnsi="Times New Roman" w:cs="Times New Roman"/>
          <w:b/>
        </w:rPr>
        <w:tab/>
        <w:t xml:space="preserve">Describe whether, and to what extent, the collection of information involves the use of automated, electronic, mechanical, or other technological collection techniques or other forms of information technology, </w:t>
      </w:r>
      <w:r w:rsidRPr="006B6CAD">
        <w:rPr>
          <w:rFonts w:ascii="Times New Roman" w:hAnsi="Times New Roman" w:cs="Times New Roman"/>
          <w:b/>
          <w:i/>
        </w:rPr>
        <w:t>e.g.</w:t>
      </w:r>
      <w:r w:rsidR="00A02948">
        <w:rPr>
          <w:rFonts w:ascii="Times New Roman" w:hAnsi="Times New Roman" w:cs="Times New Roman"/>
          <w:b/>
        </w:rPr>
        <w:t>,</w:t>
      </w:r>
      <w:r w:rsidRPr="001E097F">
        <w:rPr>
          <w:rFonts w:ascii="Times New Roman" w:hAnsi="Times New Roman" w:cs="Times New Roman"/>
          <w:b/>
        </w:rPr>
        <w:t xml:space="preserve"> permitting electronic submission of responses, and the basis for the decision for adopting this means of collection.  Also describe any consideration of using information technology to reduce burden.</w:t>
      </w:r>
    </w:p>
    <w:p w14:paraId="1426E43A" w14:textId="351BD007" w:rsidR="0095064A" w:rsidRPr="001E097F" w:rsidRDefault="0095064A" w:rsidP="00BA659E">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All required submissions by SEFs to the Commission must be submitted electronically, </w:t>
      </w:r>
      <w:r w:rsidR="00BA659E" w:rsidRPr="001E097F">
        <w:rPr>
          <w:rFonts w:ascii="Times New Roman" w:hAnsi="Times New Roman" w:cs="Times New Roman"/>
        </w:rPr>
        <w:t>either via email or through an applicable Commission internet portal</w:t>
      </w:r>
      <w:r w:rsidRPr="001E097F">
        <w:rPr>
          <w:rFonts w:ascii="Times New Roman" w:hAnsi="Times New Roman" w:cs="Times New Roman"/>
        </w:rPr>
        <w:t>.  All required information to be provided to the public may be posted on the SEF’s website.</w:t>
      </w:r>
      <w:r w:rsidRPr="001E097F">
        <w:rPr>
          <w:rFonts w:ascii="Times New Roman" w:hAnsi="Times New Roman" w:cs="Times New Roman"/>
        </w:rPr>
        <w:tab/>
      </w:r>
    </w:p>
    <w:p w14:paraId="5A432ECA" w14:textId="77777777" w:rsidR="007403A3" w:rsidRPr="001E097F" w:rsidRDefault="007403A3" w:rsidP="0095064A">
      <w:pPr>
        <w:tabs>
          <w:tab w:val="left" w:pos="-720"/>
          <w:tab w:val="left" w:pos="0"/>
        </w:tabs>
        <w:suppressAutoHyphens/>
        <w:ind w:left="720" w:hanging="720"/>
        <w:rPr>
          <w:rFonts w:ascii="Times New Roman" w:hAnsi="Times New Roman" w:cs="Times New Roman"/>
        </w:rPr>
      </w:pPr>
    </w:p>
    <w:p w14:paraId="1426E43C"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4.</w:t>
      </w:r>
      <w:r w:rsidRPr="001E097F">
        <w:rPr>
          <w:rFonts w:ascii="Times New Roman" w:hAnsi="Times New Roman" w:cs="Times New Roman"/>
          <w:b/>
        </w:rPr>
        <w:tab/>
        <w:t>Describe efforts to identify duplication.  Show specifically why any similar information already available cannot be used or modified for use for the purposes described in Item 2 above.</w:t>
      </w:r>
    </w:p>
    <w:p w14:paraId="1426E43E" w14:textId="1D1C6B4D" w:rsidR="0095064A" w:rsidRPr="001E097F" w:rsidRDefault="0095064A" w:rsidP="00263291">
      <w:pPr>
        <w:tabs>
          <w:tab w:val="left" w:pos="-720"/>
        </w:tabs>
        <w:suppressAutoHyphens/>
        <w:rPr>
          <w:rFonts w:ascii="Times New Roman" w:hAnsi="Times New Roman" w:cs="Times New Roman"/>
        </w:rPr>
      </w:pPr>
      <w:r w:rsidRPr="001E097F">
        <w:rPr>
          <w:rFonts w:ascii="Times New Roman" w:hAnsi="Times New Roman" w:cs="Times New Roman"/>
        </w:rPr>
        <w:t>Information collected under this OMB Control Number is not already collected by the Commission for any other purpose, nor is it collected by any other agency, nor is the information available from any other source.</w:t>
      </w:r>
    </w:p>
    <w:p w14:paraId="1426E43F" w14:textId="77777777" w:rsidR="0095064A" w:rsidRPr="001E097F" w:rsidRDefault="0095064A" w:rsidP="0095064A">
      <w:pPr>
        <w:tabs>
          <w:tab w:val="left" w:pos="-720"/>
        </w:tabs>
        <w:suppressAutoHyphens/>
        <w:rPr>
          <w:rFonts w:ascii="Times New Roman" w:hAnsi="Times New Roman" w:cs="Times New Roman"/>
        </w:rPr>
      </w:pPr>
    </w:p>
    <w:p w14:paraId="1426E440"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5.</w:t>
      </w:r>
      <w:r w:rsidRPr="001E097F">
        <w:rPr>
          <w:rFonts w:ascii="Times New Roman" w:hAnsi="Times New Roman" w:cs="Times New Roman"/>
          <w:b/>
        </w:rPr>
        <w:tab/>
        <w:t>If the collection of information involves small business or other small entities (Item 5 of OMB From 83-I), describe the methods used to minimize burden.</w:t>
      </w:r>
    </w:p>
    <w:p w14:paraId="1426E442" w14:textId="77777777" w:rsidR="0095064A" w:rsidRPr="001E097F" w:rsidRDefault="0095064A" w:rsidP="00263291">
      <w:pPr>
        <w:tabs>
          <w:tab w:val="left" w:pos="-720"/>
        </w:tabs>
        <w:suppressAutoHyphens/>
        <w:rPr>
          <w:rFonts w:ascii="Times New Roman" w:hAnsi="Times New Roman" w:cs="Times New Roman"/>
        </w:rPr>
      </w:pPr>
      <w:r w:rsidRPr="001E097F">
        <w:rPr>
          <w:rFonts w:ascii="Times New Roman" w:hAnsi="Times New Roman" w:cs="Times New Roman"/>
        </w:rPr>
        <w:t xml:space="preserve">The required information collected under this OMB Control Number does not involve any small businesses or other small entities.  </w:t>
      </w:r>
      <w:r w:rsidR="00263291" w:rsidRPr="001E097F">
        <w:rPr>
          <w:rFonts w:ascii="Times New Roman" w:hAnsi="Times New Roman" w:cs="Times New Roman"/>
        </w:rPr>
        <w:t>The Commission notes that it has previously established certain definitions of ‘‘small entities’’ to be used by the Commission in evaluating the impact of its regulations on small entities in accordance with the Regulatory Flexibility Act.</w:t>
      </w:r>
      <w:r w:rsidR="00263291" w:rsidRPr="001E097F">
        <w:rPr>
          <w:rFonts w:ascii="Times New Roman" w:hAnsi="Times New Roman" w:cs="Times New Roman"/>
          <w:vertAlign w:val="superscript"/>
        </w:rPr>
        <w:footnoteReference w:id="6"/>
      </w:r>
      <w:r w:rsidR="00263291" w:rsidRPr="001E097F">
        <w:rPr>
          <w:rFonts w:ascii="Times New Roman" w:hAnsi="Times New Roman" w:cs="Times New Roman"/>
        </w:rPr>
        <w:t xml:space="preserve">  The Commission has also previously determined that </w:t>
      </w:r>
      <w:r w:rsidR="00DA0168" w:rsidRPr="001E097F">
        <w:rPr>
          <w:rFonts w:ascii="Times New Roman" w:hAnsi="Times New Roman" w:cs="Times New Roman"/>
        </w:rPr>
        <w:t>SEFs</w:t>
      </w:r>
      <w:r w:rsidR="00263291" w:rsidRPr="001E097F">
        <w:rPr>
          <w:rFonts w:ascii="Times New Roman" w:hAnsi="Times New Roman" w:cs="Times New Roman"/>
        </w:rPr>
        <w:t xml:space="preserve"> are not small entities for the purpose of the Regulatory Flexibility Act.</w:t>
      </w:r>
      <w:r w:rsidR="00D86903" w:rsidRPr="001E097F">
        <w:rPr>
          <w:rFonts w:ascii="Times New Roman" w:hAnsi="Times New Roman" w:cs="Times New Roman"/>
          <w:vertAlign w:val="superscript"/>
        </w:rPr>
        <w:footnoteReference w:id="7"/>
      </w:r>
    </w:p>
    <w:p w14:paraId="1426E443" w14:textId="77777777" w:rsidR="00466CB4" w:rsidRPr="001E097F" w:rsidRDefault="00466CB4" w:rsidP="00263291">
      <w:pPr>
        <w:tabs>
          <w:tab w:val="left" w:pos="-720"/>
        </w:tabs>
        <w:suppressAutoHyphens/>
        <w:rPr>
          <w:rFonts w:ascii="Times New Roman" w:hAnsi="Times New Roman" w:cs="Times New Roman"/>
        </w:rPr>
      </w:pPr>
    </w:p>
    <w:p w14:paraId="1426E444"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6.</w:t>
      </w:r>
      <w:r w:rsidRPr="001E097F">
        <w:rPr>
          <w:rFonts w:ascii="Times New Roman" w:hAnsi="Times New Roman" w:cs="Times New Roman"/>
          <w:b/>
        </w:rPr>
        <w:tab/>
        <w:t>Describe the consequence to the Federal Program or policy activities if the collection were conducted less frequently as well as any technical or legal obstacles to reducing burden.</w:t>
      </w:r>
    </w:p>
    <w:p w14:paraId="1426E446" w14:textId="55F5CB83" w:rsidR="0095064A" w:rsidRPr="001E097F" w:rsidRDefault="0095064A" w:rsidP="00311173">
      <w:pPr>
        <w:rPr>
          <w:rFonts w:ascii="Times New Roman" w:hAnsi="Times New Roman" w:cs="Times New Roman"/>
        </w:rPr>
      </w:pPr>
      <w:r w:rsidRPr="001E097F">
        <w:rPr>
          <w:rFonts w:ascii="Times New Roman" w:hAnsi="Times New Roman" w:cs="Times New Roman"/>
        </w:rPr>
        <w:tab/>
      </w:r>
      <w:r w:rsidR="007D3F01">
        <w:rPr>
          <w:rFonts w:ascii="Times New Roman" w:hAnsi="Times New Roman" w:cs="Times New Roman"/>
        </w:rPr>
        <w:t>Less frequent information collections would impair the Commission’s oversight ability and harm the Commission’s stated mission to foster open, transparent, competitive, and financially sound markets</w:t>
      </w:r>
      <w:r w:rsidRPr="001E097F">
        <w:rPr>
          <w:rFonts w:ascii="Times New Roman" w:hAnsi="Times New Roman" w:cs="Times New Roman"/>
        </w:rPr>
        <w:t>.</w:t>
      </w:r>
      <w:r w:rsidR="007D3F01">
        <w:rPr>
          <w:rStyle w:val="FootnoteReference"/>
          <w:rFonts w:ascii="Times New Roman" w:hAnsi="Times New Roman" w:cs="Times New Roman"/>
        </w:rPr>
        <w:footnoteReference w:id="8"/>
      </w:r>
    </w:p>
    <w:p w14:paraId="1426E447" w14:textId="77777777" w:rsidR="0095064A" w:rsidRPr="001E097F" w:rsidRDefault="0095064A" w:rsidP="0095064A">
      <w:pPr>
        <w:tabs>
          <w:tab w:val="left" w:pos="-720"/>
        </w:tabs>
        <w:suppressAutoHyphens/>
        <w:rPr>
          <w:rFonts w:ascii="Times New Roman" w:hAnsi="Times New Roman" w:cs="Times New Roman"/>
        </w:rPr>
      </w:pPr>
    </w:p>
    <w:p w14:paraId="1426E448" w14:textId="77777777" w:rsidR="0095064A" w:rsidRPr="001E097F" w:rsidRDefault="0095064A" w:rsidP="0095064A">
      <w:pPr>
        <w:tabs>
          <w:tab w:val="left" w:pos="-720"/>
        </w:tabs>
        <w:suppressAutoHyphens/>
        <w:rPr>
          <w:rFonts w:ascii="Times New Roman" w:hAnsi="Times New Roman" w:cs="Times New Roman"/>
          <w:b/>
        </w:rPr>
      </w:pPr>
      <w:r w:rsidRPr="001E097F">
        <w:rPr>
          <w:rFonts w:ascii="Times New Roman" w:hAnsi="Times New Roman" w:cs="Times New Roman"/>
          <w:b/>
        </w:rPr>
        <w:t xml:space="preserve"> 7.</w:t>
      </w:r>
      <w:r w:rsidRPr="001E097F">
        <w:rPr>
          <w:rFonts w:ascii="Times New Roman" w:hAnsi="Times New Roman" w:cs="Times New Roman"/>
          <w:b/>
        </w:rPr>
        <w:tab/>
        <w:t>Explain any special circumstances that require the collection to be conducted in a manner:</w:t>
      </w:r>
    </w:p>
    <w:p w14:paraId="1426E44A" w14:textId="184C91EF"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report information to the agency more often than quarterly;</w:t>
      </w:r>
    </w:p>
    <w:p w14:paraId="10EE6222" w14:textId="42D581FF" w:rsidR="009120FC" w:rsidRDefault="0095064A" w:rsidP="009120FC">
      <w:pPr>
        <w:rPr>
          <w:rFonts w:ascii="Times New Roman" w:hAnsi="Times New Roman"/>
          <w:szCs w:val="24"/>
        </w:rPr>
      </w:pPr>
      <w:r w:rsidRPr="001E097F">
        <w:rPr>
          <w:rFonts w:ascii="Times New Roman" w:hAnsi="Times New Roman" w:cs="Times New Roman"/>
        </w:rPr>
        <w:t xml:space="preserve">The </w:t>
      </w:r>
      <w:r w:rsidR="003128DF" w:rsidRPr="001E097F">
        <w:rPr>
          <w:rFonts w:ascii="Times New Roman" w:hAnsi="Times New Roman" w:cs="Times New Roman"/>
        </w:rPr>
        <w:t xml:space="preserve">current </w:t>
      </w:r>
      <w:r w:rsidRPr="001E097F">
        <w:rPr>
          <w:rFonts w:ascii="Times New Roman" w:hAnsi="Times New Roman" w:cs="Times New Roman"/>
        </w:rPr>
        <w:t>rules require respondents to report the disciplinary and access denial information to the N</w:t>
      </w:r>
      <w:r w:rsidR="00D077AB">
        <w:rPr>
          <w:rFonts w:ascii="Times New Roman" w:hAnsi="Times New Roman" w:cs="Times New Roman"/>
        </w:rPr>
        <w:t xml:space="preserve">ational </w:t>
      </w:r>
      <w:r w:rsidRPr="001E097F">
        <w:rPr>
          <w:rFonts w:ascii="Times New Roman" w:hAnsi="Times New Roman" w:cs="Times New Roman"/>
        </w:rPr>
        <w:t>F</w:t>
      </w:r>
      <w:r w:rsidR="00D077AB">
        <w:rPr>
          <w:rFonts w:ascii="Times New Roman" w:hAnsi="Times New Roman" w:cs="Times New Roman"/>
        </w:rPr>
        <w:t xml:space="preserve">utures </w:t>
      </w:r>
      <w:r w:rsidRPr="001E097F">
        <w:rPr>
          <w:rFonts w:ascii="Times New Roman" w:hAnsi="Times New Roman" w:cs="Times New Roman"/>
        </w:rPr>
        <w:t>A</w:t>
      </w:r>
      <w:r w:rsidR="00D077AB">
        <w:rPr>
          <w:rFonts w:ascii="Times New Roman" w:hAnsi="Times New Roman" w:cs="Times New Roman"/>
        </w:rPr>
        <w:t>ssociation</w:t>
      </w:r>
      <w:r w:rsidRPr="001E097F">
        <w:rPr>
          <w:rFonts w:ascii="Times New Roman" w:hAnsi="Times New Roman" w:cs="Times New Roman"/>
        </w:rPr>
        <w:t xml:space="preserve"> within 30 days of the adverse action. </w:t>
      </w:r>
      <w:r w:rsidR="00777E0C">
        <w:rPr>
          <w:rFonts w:ascii="Times New Roman" w:hAnsi="Times New Roman" w:cs="Times New Roman"/>
        </w:rPr>
        <w:t>The proposed Part 37 NPRM would not change this</w:t>
      </w:r>
      <w:r w:rsidR="005D4FC4">
        <w:rPr>
          <w:rFonts w:ascii="Times New Roman" w:hAnsi="Times New Roman" w:cs="Times New Roman"/>
        </w:rPr>
        <w:t xml:space="preserve"> requirement</w:t>
      </w:r>
      <w:r w:rsidR="00777E0C">
        <w:rPr>
          <w:rFonts w:ascii="Times New Roman" w:hAnsi="Times New Roman" w:cs="Times New Roman"/>
        </w:rPr>
        <w:t>.</w:t>
      </w:r>
      <w:r w:rsidR="009120FC">
        <w:rPr>
          <w:rStyle w:val="FootnoteReference"/>
          <w:rFonts w:ascii="Times New Roman" w:hAnsi="Times New Roman"/>
        </w:rPr>
        <w:footnoteReference w:id="9"/>
      </w:r>
      <w:r w:rsidR="009120FC">
        <w:rPr>
          <w:rFonts w:ascii="Times New Roman" w:hAnsi="Times New Roman"/>
        </w:rPr>
        <w:t xml:space="preserve"> </w:t>
      </w:r>
    </w:p>
    <w:p w14:paraId="1426E44C" w14:textId="2548DEF0" w:rsidR="0095064A" w:rsidRDefault="0095064A" w:rsidP="001E097F">
      <w:pPr>
        <w:tabs>
          <w:tab w:val="left" w:pos="-720"/>
        </w:tabs>
        <w:suppressAutoHyphens/>
        <w:spacing w:after="0"/>
        <w:rPr>
          <w:rFonts w:ascii="Times New Roman" w:hAnsi="Times New Roman" w:cs="Times New Roman"/>
        </w:rPr>
      </w:pPr>
    </w:p>
    <w:p w14:paraId="1426E44E" w14:textId="408721E6"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prepare a written response to a collection of information in fewer than 30 days after receipt of it:</w:t>
      </w:r>
    </w:p>
    <w:p w14:paraId="1426E450" w14:textId="5BA2213A" w:rsidR="0095064A" w:rsidRDefault="0095064A" w:rsidP="001E097F">
      <w:pPr>
        <w:tabs>
          <w:tab w:val="left" w:pos="-720"/>
        </w:tabs>
        <w:suppressAutoHyphens/>
        <w:spacing w:after="0"/>
        <w:rPr>
          <w:rFonts w:ascii="Times New Roman" w:hAnsi="Times New Roman" w:cs="Times New Roman"/>
        </w:rPr>
      </w:pPr>
      <w:r w:rsidRPr="001E097F">
        <w:rPr>
          <w:rFonts w:ascii="Times New Roman" w:hAnsi="Times New Roman" w:cs="Times New Roman"/>
        </w:rPr>
        <w:t>In order for the Commission to adequately perform its statutory responsibility to determine whether SEFs, and applicants to become SEFs, are in compliance with the applicable core principles</w:t>
      </w:r>
      <w:r w:rsidR="00E779EA" w:rsidRPr="001E097F">
        <w:rPr>
          <w:rFonts w:ascii="Times New Roman" w:hAnsi="Times New Roman" w:cs="Times New Roman"/>
        </w:rPr>
        <w:t xml:space="preserve"> and implementing regulations</w:t>
      </w:r>
      <w:r w:rsidRPr="001E097F">
        <w:rPr>
          <w:rFonts w:ascii="Times New Roman" w:hAnsi="Times New Roman" w:cs="Times New Roman"/>
        </w:rPr>
        <w:t>, a request for information may require the collection and presentation of information in fewer than 30 days</w:t>
      </w:r>
      <w:r w:rsidR="00665CB8">
        <w:rPr>
          <w:rFonts w:ascii="Times New Roman" w:hAnsi="Times New Roman" w:cs="Times New Roman"/>
        </w:rPr>
        <w:t>,</w:t>
      </w:r>
      <w:r w:rsidRPr="001E097F">
        <w:rPr>
          <w:rFonts w:ascii="Times New Roman" w:hAnsi="Times New Roman" w:cs="Times New Roman"/>
        </w:rPr>
        <w:t xml:space="preserve"> depending on the exigency of the situation.</w:t>
      </w:r>
    </w:p>
    <w:p w14:paraId="25DC5FF2" w14:textId="77777777" w:rsidR="001E097F" w:rsidRPr="001E097F" w:rsidRDefault="001E097F" w:rsidP="001E097F">
      <w:pPr>
        <w:tabs>
          <w:tab w:val="left" w:pos="-720"/>
        </w:tabs>
        <w:suppressAutoHyphens/>
        <w:spacing w:after="0"/>
        <w:rPr>
          <w:rFonts w:ascii="Times New Roman" w:hAnsi="Times New Roman" w:cs="Times New Roman"/>
        </w:rPr>
      </w:pPr>
    </w:p>
    <w:p w14:paraId="1426E452" w14:textId="1D9945D9"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submit more that an original and two copies of any document</w:t>
      </w:r>
      <w:r w:rsidR="00E779EA" w:rsidRPr="001E097F">
        <w:rPr>
          <w:rFonts w:ascii="Times New Roman" w:hAnsi="Times New Roman" w:cs="Times New Roman"/>
          <w:b/>
        </w:rPr>
        <w:t>:</w:t>
      </w:r>
    </w:p>
    <w:p w14:paraId="1426E454" w14:textId="2250C578" w:rsidR="0095064A" w:rsidRDefault="0095064A" w:rsidP="001E097F">
      <w:pPr>
        <w:tabs>
          <w:tab w:val="left" w:pos="-720"/>
        </w:tabs>
        <w:suppressAutoHyphens/>
        <w:spacing w:after="0"/>
        <w:rPr>
          <w:rFonts w:ascii="Times New Roman" w:hAnsi="Times New Roman" w:cs="Times New Roman"/>
        </w:rPr>
      </w:pPr>
      <w:r w:rsidRPr="001E097F">
        <w:rPr>
          <w:rFonts w:ascii="Times New Roman" w:hAnsi="Times New Roman" w:cs="Times New Roman"/>
        </w:rPr>
        <w:t>Respondents are not required to submit more than an original and two copies of any documents.</w:t>
      </w:r>
    </w:p>
    <w:p w14:paraId="059183AF" w14:textId="77777777" w:rsidR="001E097F" w:rsidRPr="001E097F" w:rsidRDefault="001E097F" w:rsidP="001E097F">
      <w:pPr>
        <w:tabs>
          <w:tab w:val="left" w:pos="-720"/>
        </w:tabs>
        <w:suppressAutoHyphens/>
        <w:spacing w:after="0"/>
        <w:rPr>
          <w:rFonts w:ascii="Times New Roman" w:hAnsi="Times New Roman" w:cs="Times New Roman"/>
        </w:rPr>
      </w:pPr>
    </w:p>
    <w:p w14:paraId="45A31D13" w14:textId="77777777" w:rsidR="00311173" w:rsidRDefault="00311173" w:rsidP="00311173">
      <w:pPr>
        <w:pStyle w:val="ListParagraph"/>
        <w:tabs>
          <w:tab w:val="left" w:pos="-720"/>
          <w:tab w:val="left" w:pos="0"/>
          <w:tab w:val="left" w:pos="720"/>
        </w:tabs>
        <w:suppressAutoHyphens/>
        <w:ind w:left="1080"/>
        <w:rPr>
          <w:rFonts w:ascii="Times New Roman" w:hAnsi="Times New Roman" w:cs="Times New Roman"/>
          <w:b/>
        </w:rPr>
      </w:pPr>
    </w:p>
    <w:p w14:paraId="1426E456" w14:textId="77258186"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retain records other than health, medical, government contract, grant-in-aid, or tax records, for more than three years</w:t>
      </w:r>
      <w:r w:rsidR="00E779EA" w:rsidRPr="001E097F">
        <w:rPr>
          <w:rFonts w:ascii="Times New Roman" w:hAnsi="Times New Roman" w:cs="Times New Roman"/>
          <w:b/>
        </w:rPr>
        <w:t>:</w:t>
      </w:r>
    </w:p>
    <w:p w14:paraId="1426E458" w14:textId="77777777" w:rsidR="0095064A" w:rsidRPr="001E097F" w:rsidRDefault="0095064A" w:rsidP="00495284">
      <w:pPr>
        <w:tabs>
          <w:tab w:val="left" w:pos="-720"/>
        </w:tabs>
        <w:suppressAutoHyphens/>
        <w:rPr>
          <w:rFonts w:ascii="Times New Roman" w:hAnsi="Times New Roman" w:cs="Times New Roman"/>
        </w:rPr>
      </w:pPr>
      <w:r w:rsidRPr="001E097F">
        <w:rPr>
          <w:rFonts w:ascii="Times New Roman" w:hAnsi="Times New Roman" w:cs="Times New Roman"/>
        </w:rPr>
        <w:t xml:space="preserve">Commission Regulation 1.31 and Core Principle 10 (Recordkeeping) require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  </w:t>
      </w:r>
    </w:p>
    <w:p w14:paraId="2092E101" w14:textId="77777777" w:rsidR="00311173" w:rsidRDefault="00311173" w:rsidP="00311173">
      <w:pPr>
        <w:pStyle w:val="ListParagraph"/>
        <w:tabs>
          <w:tab w:val="left" w:pos="-720"/>
          <w:tab w:val="left" w:pos="0"/>
          <w:tab w:val="left" w:pos="720"/>
        </w:tabs>
        <w:suppressAutoHyphens/>
        <w:ind w:left="1080"/>
        <w:rPr>
          <w:rFonts w:ascii="Times New Roman" w:hAnsi="Times New Roman" w:cs="Times New Roman"/>
          <w:b/>
        </w:rPr>
      </w:pPr>
    </w:p>
    <w:p w14:paraId="1426E45A" w14:textId="0BB69177"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in connection with a statistical survey, that is not designed to produce valid and reliable results that can be generalized to the universe of study</w:t>
      </w:r>
      <w:r w:rsidR="00E779EA" w:rsidRPr="001E097F">
        <w:rPr>
          <w:rFonts w:ascii="Times New Roman" w:hAnsi="Times New Roman" w:cs="Times New Roman"/>
          <w:b/>
        </w:rPr>
        <w:t>:</w:t>
      </w:r>
      <w:r w:rsidRPr="001E097F">
        <w:rPr>
          <w:rFonts w:ascii="Times New Roman" w:hAnsi="Times New Roman" w:cs="Times New Roman"/>
          <w:b/>
        </w:rPr>
        <w:t xml:space="preserve"> </w:t>
      </w:r>
    </w:p>
    <w:p w14:paraId="1426E45C" w14:textId="77777777" w:rsidR="0095064A" w:rsidRPr="001E097F" w:rsidRDefault="0095064A" w:rsidP="00495284">
      <w:pPr>
        <w:tabs>
          <w:tab w:val="left" w:pos="-720"/>
        </w:tabs>
        <w:suppressAutoHyphens/>
        <w:rPr>
          <w:rFonts w:ascii="Times New Roman" w:hAnsi="Times New Roman" w:cs="Times New Roman"/>
        </w:rPr>
      </w:pPr>
      <w:r w:rsidRPr="001E097F">
        <w:rPr>
          <w:rFonts w:ascii="Times New Roman" w:hAnsi="Times New Roman" w:cs="Times New Roman"/>
        </w:rPr>
        <w:t>The collection does not involve a statistical survey.</w:t>
      </w:r>
    </w:p>
    <w:p w14:paraId="28A10F81" w14:textId="77777777" w:rsidR="00311173" w:rsidRDefault="00311173" w:rsidP="00311173">
      <w:pPr>
        <w:pStyle w:val="ListParagraph"/>
        <w:tabs>
          <w:tab w:val="left" w:pos="-720"/>
          <w:tab w:val="left" w:pos="0"/>
          <w:tab w:val="left" w:pos="720"/>
        </w:tabs>
        <w:suppressAutoHyphens/>
        <w:ind w:left="1080"/>
        <w:rPr>
          <w:rFonts w:ascii="Times New Roman" w:hAnsi="Times New Roman" w:cs="Times New Roman"/>
          <w:b/>
        </w:rPr>
      </w:pPr>
    </w:p>
    <w:p w14:paraId="1426E45E" w14:textId="37DA4C3D"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the use of a statistical data classification that has not been reviewed and approved by OMB</w:t>
      </w:r>
      <w:r w:rsidR="00E779EA" w:rsidRPr="001E097F">
        <w:rPr>
          <w:rFonts w:ascii="Times New Roman" w:hAnsi="Times New Roman" w:cs="Times New Roman"/>
          <w:b/>
        </w:rPr>
        <w:t>:</w:t>
      </w:r>
    </w:p>
    <w:p w14:paraId="1426E460" w14:textId="77777777" w:rsidR="0095064A" w:rsidRPr="001E097F" w:rsidRDefault="0095064A" w:rsidP="0095064A">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The collection does not involve the use of any statistical data.</w:t>
      </w:r>
    </w:p>
    <w:p w14:paraId="6A2D864E" w14:textId="77777777" w:rsidR="00311173" w:rsidRDefault="00311173" w:rsidP="00311173">
      <w:pPr>
        <w:pStyle w:val="ListParagraph"/>
        <w:tabs>
          <w:tab w:val="left" w:pos="-720"/>
          <w:tab w:val="left" w:pos="0"/>
          <w:tab w:val="left" w:pos="720"/>
        </w:tabs>
        <w:suppressAutoHyphens/>
        <w:ind w:left="1080"/>
        <w:rPr>
          <w:rFonts w:ascii="Times New Roman" w:hAnsi="Times New Roman" w:cs="Times New Roman"/>
          <w:b/>
        </w:rPr>
      </w:pPr>
    </w:p>
    <w:p w14:paraId="1426E462" w14:textId="37BF6AE2"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1426E464" w14:textId="77777777" w:rsidR="0095064A" w:rsidRPr="001E097F" w:rsidRDefault="0095064A" w:rsidP="0095064A">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The collection does not involve any pledge of confidentiality.</w:t>
      </w:r>
    </w:p>
    <w:p w14:paraId="58DD5B23" w14:textId="77777777" w:rsidR="00311173" w:rsidRDefault="00311173" w:rsidP="00311173">
      <w:pPr>
        <w:pStyle w:val="ListParagraph"/>
        <w:tabs>
          <w:tab w:val="left" w:pos="-720"/>
          <w:tab w:val="left" w:pos="0"/>
          <w:tab w:val="left" w:pos="720"/>
        </w:tabs>
        <w:suppressAutoHyphens/>
        <w:ind w:left="1080"/>
        <w:rPr>
          <w:rFonts w:ascii="Times New Roman" w:hAnsi="Times New Roman" w:cs="Times New Roman"/>
          <w:b/>
        </w:rPr>
      </w:pPr>
    </w:p>
    <w:p w14:paraId="1426E466" w14:textId="6D8D88EA" w:rsidR="0095064A" w:rsidRPr="001E097F" w:rsidRDefault="0095064A" w:rsidP="00E779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submit proprietary trade secrets, or other confidential information unless the agency can demonstrate that it has instituted procedures to protect the information's confidentiality to the extent permitted by law.</w:t>
      </w:r>
    </w:p>
    <w:p w14:paraId="1426E468" w14:textId="77777777" w:rsidR="0095064A" w:rsidRPr="001E097F" w:rsidRDefault="0095064A" w:rsidP="0095064A">
      <w:pPr>
        <w:tabs>
          <w:tab w:val="left" w:pos="-720"/>
        </w:tabs>
        <w:suppressAutoHyphens/>
        <w:rPr>
          <w:rFonts w:ascii="Times New Roman" w:hAnsi="Times New Roman" w:cs="Times New Roman"/>
        </w:rPr>
      </w:pPr>
      <w:r w:rsidRPr="001E097F">
        <w:rPr>
          <w:rFonts w:ascii="Times New Roman" w:hAnsi="Times New Roman" w:cs="Times New Roman"/>
        </w:rPr>
        <w:t>The Commission has procedures to protect the confidentiality of an applicant’s or registrant’s data.  These are set forth in the Commission’s regulations at parts 145 and 147 of title 17 of the Code of Federal Regulations.</w:t>
      </w:r>
    </w:p>
    <w:p w14:paraId="1426E469" w14:textId="77777777" w:rsidR="0095064A" w:rsidRPr="001E097F" w:rsidRDefault="0095064A" w:rsidP="0095064A">
      <w:pPr>
        <w:tabs>
          <w:tab w:val="left" w:pos="-720"/>
        </w:tabs>
        <w:suppressAutoHyphens/>
        <w:rPr>
          <w:rFonts w:ascii="Times New Roman" w:hAnsi="Times New Roman" w:cs="Times New Roman"/>
        </w:rPr>
      </w:pPr>
    </w:p>
    <w:p w14:paraId="1426E46A"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8.</w:t>
      </w:r>
      <w:r w:rsidRPr="001E097F">
        <w:rPr>
          <w:rFonts w:ascii="Times New Roman" w:hAnsi="Times New Roman" w:cs="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DC0FEB4" w14:textId="7AE3E707" w:rsidR="00A61584" w:rsidRDefault="00A61584" w:rsidP="00A61584">
      <w:pPr>
        <w:tabs>
          <w:tab w:val="left" w:pos="-720"/>
          <w:tab w:val="left" w:pos="0"/>
        </w:tabs>
        <w:suppressAutoHyphens/>
        <w:rPr>
          <w:rFonts w:ascii="Times New Roman" w:hAnsi="Times New Roman" w:cs="Times New Roman"/>
        </w:rPr>
      </w:pPr>
      <w:r w:rsidRPr="00A61584">
        <w:rPr>
          <w:rFonts w:ascii="Times New Roman" w:hAnsi="Times New Roman" w:cs="Times New Roman"/>
        </w:rPr>
        <w:t xml:space="preserve">The Commission is providing this supporting statement </w:t>
      </w:r>
      <w:r w:rsidR="009F39E1">
        <w:rPr>
          <w:rFonts w:ascii="Times New Roman" w:hAnsi="Times New Roman" w:cs="Times New Roman"/>
        </w:rPr>
        <w:t>concurrently</w:t>
      </w:r>
      <w:r w:rsidRPr="00A61584">
        <w:rPr>
          <w:rFonts w:ascii="Times New Roman" w:hAnsi="Times New Roman" w:cs="Times New Roman"/>
        </w:rPr>
        <w:t xml:space="preserve"> with publication</w:t>
      </w:r>
      <w:r>
        <w:rPr>
          <w:rFonts w:ascii="Times New Roman" w:hAnsi="Times New Roman" w:cs="Times New Roman"/>
        </w:rPr>
        <w:t xml:space="preserve"> of the Part 37 NPRM</w:t>
      </w:r>
      <w:r w:rsidRPr="00A61584">
        <w:rPr>
          <w:rFonts w:ascii="Times New Roman" w:hAnsi="Times New Roman" w:cs="Times New Roman"/>
        </w:rPr>
        <w:t xml:space="preserve"> in the Federal Register.</w:t>
      </w:r>
      <w:r>
        <w:rPr>
          <w:rFonts w:ascii="Times New Roman" w:hAnsi="Times New Roman" w:cs="Times New Roman"/>
        </w:rPr>
        <w:t xml:space="preserve">  The link to the Part 37 NPRM may be found on the Commission’s website at: </w:t>
      </w:r>
      <w:hyperlink r:id="rId12" w:history="1">
        <w:r w:rsidRPr="00232984">
          <w:rPr>
            <w:rStyle w:val="Hyperlink"/>
            <w:rFonts w:ascii="Times New Roman" w:hAnsi="Times New Roman" w:cs="Times New Roman"/>
          </w:rPr>
          <w:t>https://www.cftc.gov/sites/default/files/2018-11/federalregister110518b.pdf</w:t>
        </w:r>
      </w:hyperlink>
    </w:p>
    <w:p w14:paraId="110703AC" w14:textId="4F2B9B12" w:rsidR="00311173" w:rsidRDefault="00311173" w:rsidP="00311173">
      <w:pPr>
        <w:tabs>
          <w:tab w:val="left" w:pos="-720"/>
          <w:tab w:val="left" w:pos="0"/>
        </w:tabs>
        <w:suppressAutoHyphens/>
        <w:ind w:left="720" w:hanging="720"/>
        <w:rPr>
          <w:rFonts w:ascii="Times New Roman" w:hAnsi="Times New Roman" w:cs="Times New Roman"/>
        </w:rPr>
      </w:pPr>
    </w:p>
    <w:p w14:paraId="1426E46D" w14:textId="55248951" w:rsidR="0095064A" w:rsidRPr="001E097F" w:rsidRDefault="0095064A" w:rsidP="00311173">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ab/>
      </w:r>
    </w:p>
    <w:p w14:paraId="1426E46E" w14:textId="0733D39D" w:rsidR="0095064A" w:rsidRPr="001E097F" w:rsidRDefault="0095064A" w:rsidP="001E097F">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426E471" w14:textId="3CDA57B0" w:rsidR="0095064A" w:rsidRDefault="00C84E65" w:rsidP="00BB0637">
      <w:pPr>
        <w:tabs>
          <w:tab w:val="left" w:pos="-720"/>
          <w:tab w:val="left" w:pos="0"/>
        </w:tabs>
        <w:suppressAutoHyphens/>
        <w:rPr>
          <w:rFonts w:ascii="Times New Roman" w:hAnsi="Times New Roman" w:cs="Times New Roman"/>
          <w:lang w:val="en"/>
        </w:rPr>
      </w:pPr>
      <w:r w:rsidRPr="001E097F">
        <w:rPr>
          <w:rFonts w:ascii="Times New Roman" w:hAnsi="Times New Roman" w:cs="Times New Roman"/>
        </w:rPr>
        <w:t xml:space="preserve">With respect to the Part 37 NPRM, </w:t>
      </w:r>
      <w:r w:rsidR="00081863" w:rsidRPr="001E097F">
        <w:rPr>
          <w:rFonts w:ascii="Times New Roman" w:hAnsi="Times New Roman" w:cs="Times New Roman"/>
        </w:rPr>
        <w:t xml:space="preserve">the </w:t>
      </w:r>
      <w:r w:rsidRPr="001E097F">
        <w:rPr>
          <w:rFonts w:ascii="Times New Roman" w:hAnsi="Times New Roman" w:cs="Times New Roman"/>
        </w:rPr>
        <w:t xml:space="preserve">Commission </w:t>
      </w:r>
      <w:r w:rsidR="00081863" w:rsidRPr="001E097F">
        <w:rPr>
          <w:rFonts w:ascii="Times New Roman" w:hAnsi="Times New Roman" w:cs="Times New Roman"/>
        </w:rPr>
        <w:t xml:space="preserve">and </w:t>
      </w:r>
      <w:r w:rsidRPr="001E097F">
        <w:rPr>
          <w:rFonts w:ascii="Times New Roman" w:hAnsi="Times New Roman" w:cs="Times New Roman"/>
        </w:rPr>
        <w:t xml:space="preserve">staff </w:t>
      </w:r>
      <w:r w:rsidR="00081863" w:rsidRPr="001E097F">
        <w:rPr>
          <w:rFonts w:ascii="Times New Roman" w:hAnsi="Times New Roman" w:cs="Times New Roman"/>
        </w:rPr>
        <w:t>have</w:t>
      </w:r>
      <w:r w:rsidRPr="001E097F">
        <w:rPr>
          <w:rFonts w:ascii="Times New Roman" w:hAnsi="Times New Roman" w:cs="Times New Roman"/>
        </w:rPr>
        <w:t xml:space="preserve"> spent the past two years informally discussing various aspects of the proposed changes as well as learning more about SEFs’ business models and the swaps markets.</w:t>
      </w:r>
      <w:r w:rsidR="00DE3805" w:rsidRPr="001E097F">
        <w:rPr>
          <w:rFonts w:ascii="Times New Roman" w:hAnsi="Times New Roman" w:cs="Times New Roman"/>
        </w:rPr>
        <w:t xml:space="preserve">  In addition, the Commission received additional </w:t>
      </w:r>
      <w:r w:rsidR="00731600">
        <w:rPr>
          <w:rFonts w:ascii="Times New Roman" w:hAnsi="Times New Roman" w:cs="Times New Roman"/>
        </w:rPr>
        <w:t>public comments</w:t>
      </w:r>
      <w:r w:rsidR="00731600" w:rsidRPr="001E097F">
        <w:rPr>
          <w:rFonts w:ascii="Times New Roman" w:hAnsi="Times New Roman" w:cs="Times New Roman"/>
        </w:rPr>
        <w:t xml:space="preserve"> </w:t>
      </w:r>
      <w:r w:rsidR="00DE3805" w:rsidRPr="001E097F">
        <w:rPr>
          <w:rFonts w:ascii="Times New Roman" w:hAnsi="Times New Roman" w:cs="Times New Roman"/>
        </w:rPr>
        <w:t>– many either directly or indirectly related to PRA obligations in part 37</w:t>
      </w:r>
      <w:r w:rsidR="008A1538">
        <w:rPr>
          <w:rFonts w:ascii="Times New Roman" w:hAnsi="Times New Roman" w:cs="Times New Roman"/>
        </w:rPr>
        <w:t xml:space="preserve"> under this OMB Control Number 3038-0074</w:t>
      </w:r>
      <w:r w:rsidR="00DE3805" w:rsidRPr="001E097F">
        <w:rPr>
          <w:rFonts w:ascii="Times New Roman" w:hAnsi="Times New Roman" w:cs="Times New Roman"/>
        </w:rPr>
        <w:t xml:space="preserve"> – as part of the Commission’s </w:t>
      </w:r>
      <w:r w:rsidR="00731600">
        <w:rPr>
          <w:rFonts w:ascii="Times New Roman" w:hAnsi="Times New Roman" w:cs="Times New Roman"/>
        </w:rPr>
        <w:t xml:space="preserve">formal </w:t>
      </w:r>
      <w:r w:rsidR="00DE3805" w:rsidRPr="001E097F">
        <w:rPr>
          <w:rFonts w:ascii="Times New Roman" w:hAnsi="Times New Roman" w:cs="Times New Roman"/>
        </w:rPr>
        <w:t>“Project KISS” ini</w:t>
      </w:r>
      <w:r w:rsidR="00EF3F63" w:rsidRPr="001E097F">
        <w:rPr>
          <w:rFonts w:ascii="Times New Roman" w:hAnsi="Times New Roman" w:cs="Times New Roman"/>
        </w:rPr>
        <w:t>ti</w:t>
      </w:r>
      <w:r w:rsidR="00DE3805" w:rsidRPr="001E097F">
        <w:rPr>
          <w:rFonts w:ascii="Times New Roman" w:hAnsi="Times New Roman" w:cs="Times New Roman"/>
        </w:rPr>
        <w:t xml:space="preserve">ative to apply the Commission’s rules “in </w:t>
      </w:r>
      <w:r w:rsidR="00DE3805" w:rsidRPr="001E097F">
        <w:rPr>
          <w:rFonts w:ascii="Times New Roman" w:hAnsi="Times New Roman" w:cs="Times New Roman"/>
          <w:lang w:val="en"/>
        </w:rPr>
        <w:t>ways that are simpler, less burdensome and less of a drag on the American economy.”</w:t>
      </w:r>
      <w:r w:rsidR="00DE3805" w:rsidRPr="001E097F">
        <w:rPr>
          <w:rStyle w:val="FootnoteReference"/>
          <w:rFonts w:ascii="Times New Roman" w:hAnsi="Times New Roman" w:cs="Times New Roman"/>
          <w:lang w:val="en"/>
        </w:rPr>
        <w:footnoteReference w:id="10"/>
      </w:r>
    </w:p>
    <w:p w14:paraId="01B6915D" w14:textId="77777777" w:rsidR="00BB0637" w:rsidRPr="001E097F" w:rsidRDefault="00BB0637" w:rsidP="00BB0637">
      <w:pPr>
        <w:tabs>
          <w:tab w:val="left" w:pos="-720"/>
          <w:tab w:val="left" w:pos="0"/>
        </w:tabs>
        <w:suppressAutoHyphens/>
        <w:rPr>
          <w:rFonts w:ascii="Times New Roman" w:hAnsi="Times New Roman" w:cs="Times New Roman"/>
          <w:lang w:val="en"/>
        </w:rPr>
      </w:pPr>
    </w:p>
    <w:p w14:paraId="1426E473" w14:textId="77B617EA" w:rsidR="0095064A" w:rsidRPr="001E097F" w:rsidRDefault="0095064A" w:rsidP="001E097F">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14:paraId="1426E475" w14:textId="77777777" w:rsidR="0095064A" w:rsidRPr="001E097F" w:rsidRDefault="0095064A" w:rsidP="0095064A">
      <w:pPr>
        <w:tabs>
          <w:tab w:val="left" w:pos="-720"/>
        </w:tabs>
        <w:suppressAutoHyphens/>
        <w:rPr>
          <w:rFonts w:ascii="Times New Roman" w:hAnsi="Times New Roman" w:cs="Times New Roman"/>
        </w:rPr>
      </w:pPr>
      <w:r w:rsidRPr="001E097F">
        <w:rPr>
          <w:rFonts w:ascii="Times New Roman" w:hAnsi="Times New Roman" w:cs="Times New Roman"/>
        </w:rPr>
        <w:t>No such circumstances are anticipated.</w:t>
      </w:r>
    </w:p>
    <w:p w14:paraId="1426E476" w14:textId="77777777" w:rsidR="0095064A" w:rsidRPr="001E097F" w:rsidRDefault="0095064A" w:rsidP="0095064A">
      <w:pPr>
        <w:tabs>
          <w:tab w:val="left" w:pos="-720"/>
        </w:tabs>
        <w:suppressAutoHyphens/>
        <w:rPr>
          <w:rFonts w:ascii="Times New Roman" w:hAnsi="Times New Roman" w:cs="Times New Roman"/>
        </w:rPr>
      </w:pPr>
    </w:p>
    <w:p w14:paraId="1426E477" w14:textId="77777777" w:rsidR="0095064A" w:rsidRPr="001E097F" w:rsidRDefault="0095064A" w:rsidP="0095064A">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b/>
        </w:rPr>
        <w:t>9.</w:t>
      </w:r>
      <w:r w:rsidRPr="001E097F">
        <w:rPr>
          <w:rFonts w:ascii="Times New Roman" w:hAnsi="Times New Roman" w:cs="Times New Roman"/>
          <w:b/>
        </w:rPr>
        <w:tab/>
        <w:t>Explain any decision to provide any payment or gift to respondents, other than remuneration of contractors or grantees</w:t>
      </w:r>
      <w:r w:rsidRPr="001E097F">
        <w:rPr>
          <w:rFonts w:ascii="Times New Roman" w:hAnsi="Times New Roman" w:cs="Times New Roman"/>
        </w:rPr>
        <w:t>.</w:t>
      </w:r>
    </w:p>
    <w:p w14:paraId="1426E479" w14:textId="77777777" w:rsidR="0095064A" w:rsidRPr="001E097F" w:rsidRDefault="0095064A" w:rsidP="0095064A">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The question is not applicable.</w:t>
      </w:r>
    </w:p>
    <w:p w14:paraId="1426E47A" w14:textId="77777777" w:rsidR="0095064A" w:rsidRPr="001E097F" w:rsidRDefault="0095064A" w:rsidP="0095064A">
      <w:pPr>
        <w:tabs>
          <w:tab w:val="left" w:pos="-720"/>
        </w:tabs>
        <w:suppressAutoHyphens/>
        <w:rPr>
          <w:rFonts w:ascii="Times New Roman" w:hAnsi="Times New Roman" w:cs="Times New Roman"/>
        </w:rPr>
      </w:pPr>
      <w:r w:rsidRPr="001E097F">
        <w:rPr>
          <w:rFonts w:ascii="Times New Roman" w:hAnsi="Times New Roman" w:cs="Times New Roman"/>
        </w:rPr>
        <w:t xml:space="preserve">  </w:t>
      </w:r>
    </w:p>
    <w:p w14:paraId="1426E47B"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10.</w:t>
      </w:r>
      <w:r w:rsidRPr="001E097F">
        <w:rPr>
          <w:rFonts w:ascii="Times New Roman" w:hAnsi="Times New Roman" w:cs="Times New Roman"/>
          <w:b/>
        </w:rPr>
        <w:tab/>
        <w:t>Describe any assurance of confidentiality provided to respondents and the basis for the assurance in statute, regulations, or agency policy.</w:t>
      </w:r>
    </w:p>
    <w:p w14:paraId="1426E47D" w14:textId="74FF9C8C" w:rsidR="0095064A" w:rsidRPr="001E097F" w:rsidRDefault="0095064A" w:rsidP="00275C3E">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positions of any person and trade secrets or names of customers.” </w:t>
      </w:r>
      <w:r w:rsidR="006D026E">
        <w:rPr>
          <w:rFonts w:ascii="Times New Roman" w:hAnsi="Times New Roman" w:cs="Times New Roman"/>
        </w:rPr>
        <w:t xml:space="preserve"> </w:t>
      </w:r>
      <w:r w:rsidRPr="001E097F">
        <w:rPr>
          <w:rFonts w:ascii="Times New Roman" w:hAnsi="Times New Roman" w:cs="Times New Roman"/>
        </w:rPr>
        <w:t>The Commission has procedures to protect the confidentiality of an applicant’s or registrant’s data.  These are set forth in the Commission’s regulations at parts 145 and 147 of title 17 of the Code of Federal Regulations.</w:t>
      </w:r>
    </w:p>
    <w:p w14:paraId="1426E47E" w14:textId="77777777" w:rsidR="0095064A" w:rsidRPr="001E097F" w:rsidRDefault="0095064A" w:rsidP="0095064A">
      <w:pPr>
        <w:tabs>
          <w:tab w:val="left" w:pos="-720"/>
        </w:tabs>
        <w:suppressAutoHyphens/>
        <w:rPr>
          <w:rFonts w:ascii="Times New Roman" w:hAnsi="Times New Roman" w:cs="Times New Roman"/>
        </w:rPr>
      </w:pPr>
      <w:r w:rsidRPr="001E097F">
        <w:rPr>
          <w:rFonts w:ascii="Times New Roman" w:hAnsi="Times New Roman" w:cs="Times New Roman"/>
        </w:rPr>
        <w:tab/>
        <w:t xml:space="preserve">  </w:t>
      </w:r>
    </w:p>
    <w:p w14:paraId="1426E47F" w14:textId="77777777" w:rsidR="0095064A" w:rsidRPr="001E097F" w:rsidRDefault="0095064A" w:rsidP="0095064A">
      <w:pPr>
        <w:tabs>
          <w:tab w:val="left" w:pos="-720"/>
        </w:tabs>
        <w:suppressAutoHyphens/>
        <w:ind w:left="720" w:hanging="720"/>
        <w:rPr>
          <w:rFonts w:ascii="Times New Roman" w:hAnsi="Times New Roman" w:cs="Times New Roman"/>
          <w:b/>
        </w:rPr>
      </w:pPr>
      <w:r w:rsidRPr="001E097F">
        <w:rPr>
          <w:rFonts w:ascii="Times New Roman" w:hAnsi="Times New Roman" w:cs="Times New Roman"/>
          <w:b/>
        </w:rPr>
        <w:t>11.</w:t>
      </w:r>
      <w:r w:rsidRPr="001E097F">
        <w:rPr>
          <w:rFonts w:ascii="Times New Roman" w:hAnsi="Times New Roman" w:cs="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426E481" w14:textId="77777777" w:rsidR="0095064A" w:rsidRPr="001E097F" w:rsidRDefault="0095064A" w:rsidP="00275C3E">
      <w:pPr>
        <w:tabs>
          <w:tab w:val="left" w:pos="-720"/>
        </w:tabs>
        <w:suppressAutoHyphens/>
        <w:rPr>
          <w:rFonts w:ascii="Times New Roman" w:hAnsi="Times New Roman" w:cs="Times New Roman"/>
        </w:rPr>
      </w:pPr>
      <w:r w:rsidRPr="001E097F">
        <w:rPr>
          <w:rFonts w:ascii="Times New Roman" w:hAnsi="Times New Roman" w:cs="Times New Roman"/>
        </w:rPr>
        <w:t>The regulations covered by this collection do not require the giving of sensitive information, as that term is used in Question 11.</w:t>
      </w:r>
    </w:p>
    <w:p w14:paraId="1426E482" w14:textId="77777777" w:rsidR="0095064A" w:rsidRPr="001E097F" w:rsidRDefault="0095064A" w:rsidP="0095064A">
      <w:pPr>
        <w:tabs>
          <w:tab w:val="left" w:pos="-720"/>
        </w:tabs>
        <w:suppressAutoHyphens/>
        <w:rPr>
          <w:rFonts w:ascii="Times New Roman" w:hAnsi="Times New Roman" w:cs="Times New Roman"/>
        </w:rPr>
      </w:pPr>
    </w:p>
    <w:p w14:paraId="1426E483"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12.</w:t>
      </w:r>
      <w:r w:rsidRPr="001E097F">
        <w:rPr>
          <w:rFonts w:ascii="Times New Roman" w:hAnsi="Times New Roman" w:cs="Times New Roman"/>
          <w:b/>
        </w:rPr>
        <w:tab/>
        <w:t>Provide estimates of the hour burden of the collection of information.  The Statement should:</w:t>
      </w:r>
    </w:p>
    <w:p w14:paraId="1426E484" w14:textId="77777777" w:rsidR="0095064A" w:rsidRPr="001E097F" w:rsidRDefault="0095064A" w:rsidP="0095064A">
      <w:pPr>
        <w:tabs>
          <w:tab w:val="left" w:pos="-720"/>
        </w:tabs>
        <w:suppressAutoHyphens/>
        <w:rPr>
          <w:rFonts w:ascii="Times New Roman" w:hAnsi="Times New Roman" w:cs="Times New Roman"/>
          <w:b/>
        </w:rPr>
      </w:pPr>
    </w:p>
    <w:p w14:paraId="1426E485" w14:textId="2DE77F8D" w:rsidR="0095064A" w:rsidRPr="001E097F" w:rsidRDefault="0095064A" w:rsidP="00AA0440">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426E486" w14:textId="77777777" w:rsidR="0095064A" w:rsidRPr="001E097F" w:rsidRDefault="0095064A" w:rsidP="0095064A">
      <w:pPr>
        <w:tabs>
          <w:tab w:val="left" w:pos="-720"/>
        </w:tabs>
        <w:suppressAutoHyphens/>
        <w:rPr>
          <w:rFonts w:ascii="Times New Roman" w:hAnsi="Times New Roman" w:cs="Times New Roman"/>
          <w:b/>
        </w:rPr>
      </w:pPr>
    </w:p>
    <w:p w14:paraId="1426E487" w14:textId="7F4BC277" w:rsidR="0095064A" w:rsidRPr="001E097F" w:rsidRDefault="0095064A" w:rsidP="00AA0440">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If the request for approval covers more than one form, provide separate hour burden estimates for each form and aggregate the hour burdens in Item 13 of OMB Form 83-I.</w:t>
      </w:r>
    </w:p>
    <w:p w14:paraId="1426E488" w14:textId="77777777" w:rsidR="0095064A" w:rsidRPr="001E097F" w:rsidRDefault="0095064A" w:rsidP="0095064A">
      <w:pPr>
        <w:tabs>
          <w:tab w:val="left" w:pos="-720"/>
        </w:tabs>
        <w:suppressAutoHyphens/>
        <w:rPr>
          <w:rFonts w:ascii="Times New Roman" w:hAnsi="Times New Roman" w:cs="Times New Roman"/>
          <w:b/>
        </w:rPr>
      </w:pPr>
    </w:p>
    <w:p w14:paraId="1426E489" w14:textId="01EE1500" w:rsidR="0095064A" w:rsidRPr="001E097F" w:rsidRDefault="0095064A" w:rsidP="00AA0440">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Provide estimates of annualized cost to respondents for the hours burdens for collections of information, identifying and using appropriate wage rate categories.  The cost of contracting ou</w:t>
      </w:r>
      <w:r w:rsidR="006D026E">
        <w:rPr>
          <w:rFonts w:ascii="Times New Roman" w:hAnsi="Times New Roman" w:cs="Times New Roman"/>
          <w:b/>
        </w:rPr>
        <w:t>t</w:t>
      </w:r>
      <w:r w:rsidRPr="001E097F">
        <w:rPr>
          <w:rFonts w:ascii="Times New Roman" w:hAnsi="Times New Roman" w:cs="Times New Roman"/>
          <w:b/>
        </w:rPr>
        <w:t xml:space="preserve"> or paying outside parties for information collection activities should not be included here.  Instead, this cost should be included in Item 13.</w:t>
      </w:r>
    </w:p>
    <w:p w14:paraId="1426E48A" w14:textId="77777777" w:rsidR="0095064A" w:rsidRPr="001E097F" w:rsidRDefault="0095064A" w:rsidP="0095064A">
      <w:pPr>
        <w:tabs>
          <w:tab w:val="left" w:pos="-720"/>
          <w:tab w:val="left" w:pos="0"/>
          <w:tab w:val="left" w:pos="720"/>
        </w:tabs>
        <w:suppressAutoHyphens/>
        <w:ind w:left="1440" w:hanging="1440"/>
        <w:rPr>
          <w:rFonts w:ascii="Times New Roman" w:hAnsi="Times New Roman" w:cs="Times New Roman"/>
          <w:u w:val="single"/>
        </w:rPr>
      </w:pPr>
    </w:p>
    <w:p w14:paraId="18FC35DD" w14:textId="28A0EC84" w:rsidR="001E097F" w:rsidRDefault="00275C3E" w:rsidP="00AA0440">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See Attachment A</w:t>
      </w:r>
      <w:r w:rsidR="001E097F">
        <w:rPr>
          <w:rFonts w:ascii="Times New Roman" w:hAnsi="Times New Roman" w:cs="Times New Roman"/>
        </w:rPr>
        <w:t xml:space="preserve"> for more detailed discussion</w:t>
      </w:r>
      <w:r w:rsidRPr="001E097F">
        <w:rPr>
          <w:rFonts w:ascii="Times New Roman" w:hAnsi="Times New Roman" w:cs="Times New Roman"/>
        </w:rPr>
        <w:t xml:space="preserve">. </w:t>
      </w:r>
    </w:p>
    <w:p w14:paraId="03F9FE64" w14:textId="77777777" w:rsidR="001E097F" w:rsidRDefault="001E097F" w:rsidP="00AA0440">
      <w:pPr>
        <w:tabs>
          <w:tab w:val="left" w:pos="-720"/>
        </w:tabs>
        <w:suppressAutoHyphens/>
        <w:spacing w:after="0" w:line="240" w:lineRule="auto"/>
        <w:rPr>
          <w:rFonts w:ascii="Times New Roman" w:hAnsi="Times New Roman" w:cs="Times New Roman"/>
        </w:rPr>
      </w:pPr>
    </w:p>
    <w:p w14:paraId="3C46162D" w14:textId="4DA82F81" w:rsidR="001C1D17" w:rsidRPr="001E097F" w:rsidRDefault="00AA0440" w:rsidP="00AA0440">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As it has done previously</w:t>
      </w:r>
      <w:r w:rsidR="00275C3E" w:rsidRPr="001E097F">
        <w:rPr>
          <w:rFonts w:ascii="Times New Roman" w:hAnsi="Times New Roman" w:cs="Times New Roman"/>
        </w:rPr>
        <w:t xml:space="preserve">, the Commission </w:t>
      </w:r>
      <w:r w:rsidR="006A5F79" w:rsidRPr="001E097F">
        <w:rPr>
          <w:rFonts w:ascii="Times New Roman" w:hAnsi="Times New Roman" w:cs="Times New Roman"/>
        </w:rPr>
        <w:t>notes that certain information collection obligations are imposed</w:t>
      </w:r>
      <w:r w:rsidR="00275C3E" w:rsidRPr="001E097F">
        <w:rPr>
          <w:rFonts w:ascii="Times New Roman" w:hAnsi="Times New Roman" w:cs="Times New Roman"/>
        </w:rPr>
        <w:t xml:space="preserve"> on (1)</w:t>
      </w:r>
      <w:r w:rsidR="00311173">
        <w:rPr>
          <w:rFonts w:ascii="Times New Roman" w:hAnsi="Times New Roman" w:cs="Times New Roman"/>
        </w:rPr>
        <w:t xml:space="preserve"> respondents related to the</w:t>
      </w:r>
      <w:r w:rsidR="00275C3E" w:rsidRPr="001E097F">
        <w:rPr>
          <w:rFonts w:ascii="Times New Roman" w:hAnsi="Times New Roman" w:cs="Times New Roman"/>
        </w:rPr>
        <w:t xml:space="preserve"> SEF registration process </w:t>
      </w:r>
      <w:r w:rsidR="006A5F79" w:rsidRPr="001E097F">
        <w:rPr>
          <w:rFonts w:ascii="Times New Roman" w:hAnsi="Times New Roman" w:cs="Times New Roman"/>
        </w:rPr>
        <w:t>while other information collections are imposed on</w:t>
      </w:r>
      <w:r w:rsidR="00275C3E" w:rsidRPr="001E097F">
        <w:rPr>
          <w:rFonts w:ascii="Times New Roman" w:hAnsi="Times New Roman" w:cs="Times New Roman"/>
        </w:rPr>
        <w:t xml:space="preserve"> (2) registered SEFs </w:t>
      </w:r>
      <w:r w:rsidR="006A5F79" w:rsidRPr="001E097F">
        <w:rPr>
          <w:rFonts w:ascii="Times New Roman" w:hAnsi="Times New Roman" w:cs="Times New Roman"/>
        </w:rPr>
        <w:t>operating in compliance with statutory and regulatory obligations</w:t>
      </w:r>
      <w:r w:rsidR="00275C3E" w:rsidRPr="001E097F">
        <w:rPr>
          <w:rFonts w:ascii="Times New Roman" w:hAnsi="Times New Roman" w:cs="Times New Roman"/>
        </w:rPr>
        <w:t>.</w:t>
      </w:r>
      <w:r w:rsidR="00DA57DA" w:rsidRPr="001E097F">
        <w:rPr>
          <w:rFonts w:ascii="Times New Roman" w:hAnsi="Times New Roman" w:cs="Times New Roman"/>
        </w:rPr>
        <w:t xml:space="preserve">  </w:t>
      </w:r>
    </w:p>
    <w:p w14:paraId="74648A18" w14:textId="77777777" w:rsidR="001C1D17" w:rsidRPr="001E097F" w:rsidRDefault="001C1D17" w:rsidP="00AA0440">
      <w:pPr>
        <w:tabs>
          <w:tab w:val="left" w:pos="-720"/>
        </w:tabs>
        <w:suppressAutoHyphens/>
        <w:spacing w:after="0" w:line="240" w:lineRule="auto"/>
        <w:rPr>
          <w:rFonts w:ascii="Times New Roman" w:hAnsi="Times New Roman" w:cs="Times New Roman"/>
        </w:rPr>
      </w:pPr>
    </w:p>
    <w:p w14:paraId="1426E48B" w14:textId="525849D5" w:rsidR="00275C3E" w:rsidRPr="001E097F" w:rsidRDefault="00DA57DA" w:rsidP="00AA0440">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 xml:space="preserve">As further described in Attachment A, the Commission </w:t>
      </w:r>
      <w:r w:rsidR="005366F0" w:rsidRPr="001E097F">
        <w:rPr>
          <w:rFonts w:ascii="Times New Roman" w:hAnsi="Times New Roman" w:cs="Times New Roman"/>
        </w:rPr>
        <w:t>estimates the following</w:t>
      </w:r>
      <w:r w:rsidRPr="001E097F">
        <w:rPr>
          <w:rFonts w:ascii="Times New Roman" w:hAnsi="Times New Roman" w:cs="Times New Roman"/>
        </w:rPr>
        <w:t>:</w:t>
      </w:r>
    </w:p>
    <w:p w14:paraId="1426E48E" w14:textId="2F48F6FD" w:rsidR="00275C3E" w:rsidRPr="009F318D" w:rsidRDefault="00275C3E" w:rsidP="00275C3E">
      <w:pPr>
        <w:numPr>
          <w:ilvl w:val="0"/>
          <w:numId w:val="1"/>
        </w:numPr>
        <w:tabs>
          <w:tab w:val="left" w:pos="-720"/>
        </w:tabs>
        <w:suppressAutoHyphens/>
        <w:spacing w:after="0" w:line="240" w:lineRule="auto"/>
        <w:ind w:left="360"/>
        <w:rPr>
          <w:rFonts w:ascii="Times New Roman" w:hAnsi="Times New Roman" w:cs="Times New Roman"/>
        </w:rPr>
      </w:pPr>
      <w:r w:rsidRPr="009F318D">
        <w:rPr>
          <w:rFonts w:ascii="Times New Roman" w:hAnsi="Times New Roman" w:cs="Times New Roman"/>
          <w:b/>
        </w:rPr>
        <w:t>SEF registration process</w:t>
      </w:r>
    </w:p>
    <w:p w14:paraId="37726608" w14:textId="77777777" w:rsidR="00853A3F" w:rsidRDefault="00DA57DA" w:rsidP="00275C3E">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Number of respondents</w:t>
      </w:r>
      <w:r w:rsidRPr="001E097F">
        <w:rPr>
          <w:rFonts w:ascii="Times New Roman" w:hAnsi="Times New Roman" w:cs="Times New Roman"/>
        </w:rPr>
        <w:t xml:space="preserve">: </w:t>
      </w:r>
    </w:p>
    <w:p w14:paraId="53877114" w14:textId="21A024E5" w:rsidR="00B3491B" w:rsidRDefault="00B3491B" w:rsidP="00311173">
      <w:pPr>
        <w:numPr>
          <w:ilvl w:val="2"/>
          <w:numId w:val="1"/>
        </w:numPr>
        <w:tabs>
          <w:tab w:val="left" w:pos="-720"/>
        </w:tabs>
        <w:suppressAutoHyphens/>
        <w:spacing w:after="80" w:line="240" w:lineRule="auto"/>
        <w:ind w:left="1080"/>
        <w:rPr>
          <w:rFonts w:ascii="Times New Roman" w:hAnsi="Times New Roman" w:cs="Times New Roman"/>
        </w:rPr>
      </w:pPr>
      <w:r>
        <w:rPr>
          <w:rFonts w:ascii="Times New Roman" w:hAnsi="Times New Roman" w:cs="Times New Roman"/>
        </w:rPr>
        <w:t xml:space="preserve">The Commission currently </w:t>
      </w:r>
      <w:r w:rsidRPr="00311173">
        <w:rPr>
          <w:rFonts w:ascii="Times New Roman" w:hAnsi="Times New Roman" w:cs="Times New Roman"/>
          <w:u w:val="single"/>
        </w:rPr>
        <w:t>estimates</w:t>
      </w:r>
      <w:r>
        <w:rPr>
          <w:rFonts w:ascii="Times New Roman" w:hAnsi="Times New Roman" w:cs="Times New Roman"/>
        </w:rPr>
        <w:t xml:space="preserve"> that it receives approximately 4 respondent applicants for SEF registration each year, and the Commission does not believe that this </w:t>
      </w:r>
      <w:r w:rsidR="005D4FC4">
        <w:rPr>
          <w:rFonts w:ascii="Times New Roman" w:hAnsi="Times New Roman" w:cs="Times New Roman"/>
        </w:rPr>
        <w:t xml:space="preserve">estimate </w:t>
      </w:r>
      <w:r>
        <w:rPr>
          <w:rFonts w:ascii="Times New Roman" w:hAnsi="Times New Roman" w:cs="Times New Roman"/>
        </w:rPr>
        <w:t>will change.</w:t>
      </w:r>
    </w:p>
    <w:p w14:paraId="6F8167D0" w14:textId="66688F5C" w:rsidR="00B3491B" w:rsidRDefault="00B3491B" w:rsidP="00311173">
      <w:pPr>
        <w:numPr>
          <w:ilvl w:val="2"/>
          <w:numId w:val="1"/>
        </w:numPr>
        <w:tabs>
          <w:tab w:val="left" w:pos="-720"/>
        </w:tabs>
        <w:suppressAutoHyphens/>
        <w:spacing w:after="80" w:line="240" w:lineRule="auto"/>
        <w:ind w:left="1080"/>
        <w:rPr>
          <w:rFonts w:ascii="Times New Roman" w:hAnsi="Times New Roman" w:cs="Times New Roman"/>
        </w:rPr>
      </w:pPr>
      <w:r>
        <w:rPr>
          <w:rFonts w:ascii="Times New Roman" w:hAnsi="Times New Roman" w:cs="Times New Roman"/>
          <w:u w:val="single"/>
        </w:rPr>
        <w:t xml:space="preserve">The Commission estimates that as a result of the </w:t>
      </w:r>
      <w:r w:rsidR="00853A3F">
        <w:rPr>
          <w:rFonts w:ascii="Times New Roman" w:hAnsi="Times New Roman" w:cs="Times New Roman"/>
          <w:u w:val="single"/>
        </w:rPr>
        <w:t>Commission’s revised application and interpretation of the category of entities that must register as SEFs</w:t>
      </w:r>
      <w:r>
        <w:rPr>
          <w:rFonts w:ascii="Times New Roman" w:hAnsi="Times New Roman" w:cs="Times New Roman"/>
          <w:u w:val="single"/>
        </w:rPr>
        <w:t>, approximately 60</w:t>
      </w:r>
      <w:r w:rsidR="00853A3F">
        <w:rPr>
          <w:rFonts w:ascii="Times New Roman" w:hAnsi="Times New Roman" w:cs="Times New Roman"/>
          <w:u w:val="single"/>
        </w:rPr>
        <w:t xml:space="preserve"> total</w:t>
      </w:r>
      <w:r>
        <w:rPr>
          <w:rFonts w:ascii="Times New Roman" w:hAnsi="Times New Roman" w:cs="Times New Roman"/>
          <w:u w:val="single"/>
        </w:rPr>
        <w:t xml:space="preserve"> entities will be required to</w:t>
      </w:r>
      <w:r w:rsidR="00311173">
        <w:rPr>
          <w:rFonts w:ascii="Times New Roman" w:hAnsi="Times New Roman" w:cs="Times New Roman"/>
          <w:u w:val="single"/>
        </w:rPr>
        <w:t xml:space="preserve"> apply </w:t>
      </w:r>
      <w:r w:rsidR="005D4FC4">
        <w:rPr>
          <w:rFonts w:ascii="Times New Roman" w:hAnsi="Times New Roman" w:cs="Times New Roman"/>
          <w:u w:val="single"/>
        </w:rPr>
        <w:t>as</w:t>
      </w:r>
      <w:r>
        <w:rPr>
          <w:rFonts w:ascii="Times New Roman" w:hAnsi="Times New Roman" w:cs="Times New Roman"/>
          <w:u w:val="single"/>
        </w:rPr>
        <w:t xml:space="preserve"> SEFs</w:t>
      </w:r>
      <w:r w:rsidR="00853A3F">
        <w:rPr>
          <w:rFonts w:ascii="Times New Roman" w:hAnsi="Times New Roman" w:cs="Times New Roman"/>
          <w:u w:val="single"/>
        </w:rPr>
        <w:t xml:space="preserve"> under the Part 37 NPRM</w:t>
      </w:r>
      <w:r w:rsidR="00311173">
        <w:rPr>
          <w:rFonts w:ascii="Times New Roman" w:hAnsi="Times New Roman" w:cs="Times New Roman"/>
          <w:u w:val="single"/>
        </w:rPr>
        <w:t xml:space="preserve"> pursuant to the CEA’s </w:t>
      </w:r>
      <w:r w:rsidR="005D4FC4">
        <w:rPr>
          <w:rFonts w:ascii="Times New Roman" w:hAnsi="Times New Roman" w:cs="Times New Roman"/>
          <w:u w:val="single"/>
        </w:rPr>
        <w:t xml:space="preserve">SEF </w:t>
      </w:r>
      <w:r w:rsidR="00311173">
        <w:rPr>
          <w:rFonts w:ascii="Times New Roman" w:hAnsi="Times New Roman" w:cs="Times New Roman"/>
          <w:u w:val="single"/>
        </w:rPr>
        <w:t>registration requirement</w:t>
      </w:r>
      <w:r>
        <w:rPr>
          <w:rFonts w:ascii="Times New Roman" w:hAnsi="Times New Roman" w:cs="Times New Roman"/>
          <w:u w:val="single"/>
        </w:rPr>
        <w:t xml:space="preserve">.  </w:t>
      </w:r>
      <w:r w:rsidR="005D4FC4">
        <w:rPr>
          <w:rFonts w:ascii="Times New Roman" w:hAnsi="Times New Roman" w:cs="Times New Roman"/>
          <w:u w:val="single"/>
        </w:rPr>
        <w:t>T</w:t>
      </w:r>
      <w:r>
        <w:rPr>
          <w:rFonts w:ascii="Times New Roman" w:hAnsi="Times New Roman" w:cs="Times New Roman"/>
          <w:u w:val="single"/>
        </w:rPr>
        <w:t>he Part 37 NPRM</w:t>
      </w:r>
      <w:r w:rsidR="005D4FC4">
        <w:rPr>
          <w:rFonts w:ascii="Times New Roman" w:hAnsi="Times New Roman" w:cs="Times New Roman"/>
          <w:u w:val="single"/>
        </w:rPr>
        <w:t>, however</w:t>
      </w:r>
      <w:r>
        <w:rPr>
          <w:rFonts w:ascii="Times New Roman" w:hAnsi="Times New Roman" w:cs="Times New Roman"/>
          <w:u w:val="single"/>
        </w:rPr>
        <w:t xml:space="preserve"> would permit these entities to request a delay to the registration requirement of varying amount</w:t>
      </w:r>
      <w:r w:rsidR="00311173">
        <w:rPr>
          <w:rFonts w:ascii="Times New Roman" w:hAnsi="Times New Roman" w:cs="Times New Roman"/>
          <w:u w:val="single"/>
        </w:rPr>
        <w:t>s</w:t>
      </w:r>
      <w:r>
        <w:rPr>
          <w:rFonts w:ascii="Times New Roman" w:hAnsi="Times New Roman" w:cs="Times New Roman"/>
          <w:u w:val="single"/>
        </w:rPr>
        <w:t xml:space="preserve"> of time depending on the type of entity (</w:t>
      </w:r>
      <w:r>
        <w:rPr>
          <w:rFonts w:ascii="Times New Roman" w:hAnsi="Times New Roman" w:cs="Times New Roman"/>
          <w:i/>
          <w:u w:val="single"/>
        </w:rPr>
        <w:t>i.e.</w:t>
      </w:r>
      <w:r>
        <w:rPr>
          <w:rFonts w:ascii="Times New Roman" w:hAnsi="Times New Roman" w:cs="Times New Roman"/>
          <w:u w:val="single"/>
        </w:rPr>
        <w:t>, domestic or foreign).</w:t>
      </w:r>
      <w:r w:rsidR="00200F1A">
        <w:rPr>
          <w:rFonts w:ascii="Times New Roman" w:hAnsi="Times New Roman" w:cs="Times New Roman"/>
          <w:u w:val="single"/>
        </w:rPr>
        <w:t xml:space="preserve">  </w:t>
      </w:r>
      <w:r w:rsidR="0037794A">
        <w:rPr>
          <w:rFonts w:ascii="Times New Roman" w:hAnsi="Times New Roman" w:cs="Times New Roman"/>
          <w:u w:val="single"/>
        </w:rPr>
        <w:t>As a result</w:t>
      </w:r>
      <w:r w:rsidR="00200F1A">
        <w:rPr>
          <w:rFonts w:ascii="Times New Roman" w:hAnsi="Times New Roman" w:cs="Times New Roman"/>
          <w:u w:val="single"/>
        </w:rPr>
        <w:t xml:space="preserve">, the Commission estimates that 60 entities will apply for a delay in the registration requirement.  Eventually, the Commission believes that these 60 entities </w:t>
      </w:r>
      <w:r w:rsidR="00046283">
        <w:rPr>
          <w:rFonts w:ascii="Times New Roman" w:hAnsi="Times New Roman" w:cs="Times New Roman"/>
          <w:u w:val="single"/>
        </w:rPr>
        <w:t>will need to register as SEFs.  Accordingly,</w:t>
      </w:r>
      <w:r w:rsidR="00200F1A">
        <w:rPr>
          <w:rFonts w:ascii="Times New Roman" w:hAnsi="Times New Roman" w:cs="Times New Roman"/>
          <w:u w:val="single"/>
        </w:rPr>
        <w:t xml:space="preserve"> the purpose</w:t>
      </w:r>
      <w:r w:rsidR="00853A3F">
        <w:rPr>
          <w:rFonts w:ascii="Times New Roman" w:hAnsi="Times New Roman" w:cs="Times New Roman"/>
          <w:u w:val="single"/>
        </w:rPr>
        <w:t xml:space="preserve"> of </w:t>
      </w:r>
      <w:r w:rsidR="00993E2E">
        <w:rPr>
          <w:rFonts w:ascii="Times New Roman" w:hAnsi="Times New Roman" w:cs="Times New Roman"/>
          <w:u w:val="single"/>
        </w:rPr>
        <w:t xml:space="preserve">this Supporting Statement and the tables in </w:t>
      </w:r>
      <w:r w:rsidR="00853A3F">
        <w:rPr>
          <w:rFonts w:ascii="Times New Roman" w:hAnsi="Times New Roman" w:cs="Times New Roman"/>
          <w:u w:val="single"/>
        </w:rPr>
        <w:t>Attachment A, the Commission is accounting for these 60 entities under a new row (“Request to Delay Registration Requirement”)</w:t>
      </w:r>
      <w:r w:rsidR="00993E2E">
        <w:rPr>
          <w:rFonts w:ascii="Times New Roman" w:hAnsi="Times New Roman" w:cs="Times New Roman"/>
          <w:u w:val="single"/>
        </w:rPr>
        <w:t xml:space="preserve"> </w:t>
      </w:r>
      <w:r w:rsidR="00046283">
        <w:rPr>
          <w:rFonts w:ascii="Times New Roman" w:hAnsi="Times New Roman" w:cs="Times New Roman"/>
          <w:u w:val="single"/>
        </w:rPr>
        <w:t>that separately identifies these 60 entities from the Commission’s current estimate</w:t>
      </w:r>
      <w:r w:rsidR="00853A3F">
        <w:rPr>
          <w:rFonts w:ascii="Times New Roman" w:hAnsi="Times New Roman" w:cs="Times New Roman"/>
          <w:u w:val="single"/>
        </w:rPr>
        <w:t xml:space="preserve"> </w:t>
      </w:r>
      <w:r w:rsidR="002E0576">
        <w:rPr>
          <w:rFonts w:ascii="Times New Roman" w:hAnsi="Times New Roman" w:cs="Times New Roman"/>
          <w:u w:val="single"/>
        </w:rPr>
        <w:t>of</w:t>
      </w:r>
      <w:r w:rsidR="00311173">
        <w:rPr>
          <w:rFonts w:ascii="Times New Roman" w:hAnsi="Times New Roman" w:cs="Times New Roman"/>
          <w:u w:val="single"/>
        </w:rPr>
        <w:t xml:space="preserve"> </w:t>
      </w:r>
      <w:r w:rsidR="00853A3F">
        <w:rPr>
          <w:rFonts w:ascii="Times New Roman" w:hAnsi="Times New Roman" w:cs="Times New Roman"/>
          <w:u w:val="single"/>
        </w:rPr>
        <w:t>4 annual SEF applicants</w:t>
      </w:r>
      <w:r w:rsidR="00046283">
        <w:rPr>
          <w:rFonts w:ascii="Times New Roman" w:hAnsi="Times New Roman" w:cs="Times New Roman"/>
          <w:u w:val="single"/>
        </w:rPr>
        <w:t>.  For purposes of the table in Attachment A, this new row will list 20 respondents requesting a delay from the Commission for the registration requirement</w:t>
      </w:r>
      <w:r w:rsidR="00853A3F">
        <w:rPr>
          <w:rFonts w:ascii="Times New Roman" w:hAnsi="Times New Roman" w:cs="Times New Roman"/>
          <w:u w:val="single"/>
        </w:rPr>
        <w:t xml:space="preserve"> (60 total new respondents that will request a delay in the registration requirement annualized over 3 years = 20 such respondents per year).</w:t>
      </w:r>
      <w:r w:rsidR="00973E86">
        <w:rPr>
          <w:rFonts w:ascii="Times New Roman" w:hAnsi="Times New Roman" w:cs="Times New Roman"/>
          <w:u w:val="single"/>
        </w:rPr>
        <w:t xml:space="preserve">  </w:t>
      </w:r>
      <w:r w:rsidR="00046283">
        <w:rPr>
          <w:rFonts w:ascii="Times New Roman" w:hAnsi="Times New Roman" w:cs="Times New Roman"/>
          <w:u w:val="single"/>
        </w:rPr>
        <w:t xml:space="preserve">However, </w:t>
      </w:r>
      <w:r w:rsidR="00973E86">
        <w:rPr>
          <w:rFonts w:ascii="Times New Roman" w:hAnsi="Times New Roman" w:cs="Times New Roman"/>
          <w:u w:val="single"/>
        </w:rPr>
        <w:t xml:space="preserve">the Commission </w:t>
      </w:r>
      <w:r w:rsidR="00046283">
        <w:rPr>
          <w:rFonts w:ascii="Times New Roman" w:hAnsi="Times New Roman" w:cs="Times New Roman"/>
          <w:u w:val="single"/>
        </w:rPr>
        <w:t xml:space="preserve">eventually </w:t>
      </w:r>
      <w:r w:rsidR="00973E86">
        <w:rPr>
          <w:rFonts w:ascii="Times New Roman" w:hAnsi="Times New Roman" w:cs="Times New Roman"/>
          <w:u w:val="single"/>
        </w:rPr>
        <w:t>expect</w:t>
      </w:r>
      <w:r w:rsidR="00993E2E">
        <w:rPr>
          <w:rFonts w:ascii="Times New Roman" w:hAnsi="Times New Roman" w:cs="Times New Roman"/>
          <w:u w:val="single"/>
        </w:rPr>
        <w:t>s</w:t>
      </w:r>
      <w:r w:rsidR="00973E86">
        <w:rPr>
          <w:rFonts w:ascii="Times New Roman" w:hAnsi="Times New Roman" w:cs="Times New Roman"/>
          <w:u w:val="single"/>
        </w:rPr>
        <w:t xml:space="preserve"> all such 60 entities to apply to register as SEFs, </w:t>
      </w:r>
      <w:r w:rsidR="00993E2E">
        <w:rPr>
          <w:rFonts w:ascii="Times New Roman" w:hAnsi="Times New Roman" w:cs="Times New Roman"/>
          <w:u w:val="single"/>
        </w:rPr>
        <w:t>and the Commission will submit revised</w:t>
      </w:r>
      <w:r w:rsidR="00994E5D">
        <w:rPr>
          <w:rFonts w:ascii="Times New Roman" w:hAnsi="Times New Roman" w:cs="Times New Roman"/>
          <w:u w:val="single"/>
        </w:rPr>
        <w:t xml:space="preserve"> estimates </w:t>
      </w:r>
      <w:r w:rsidR="00A72A0C">
        <w:rPr>
          <w:rFonts w:ascii="Times New Roman" w:hAnsi="Times New Roman" w:cs="Times New Roman"/>
          <w:u w:val="single"/>
        </w:rPr>
        <w:t>if needed</w:t>
      </w:r>
      <w:r w:rsidR="00973E86">
        <w:rPr>
          <w:rFonts w:ascii="Times New Roman" w:hAnsi="Times New Roman" w:cs="Times New Roman"/>
          <w:u w:val="single"/>
        </w:rPr>
        <w:t>.</w:t>
      </w:r>
    </w:p>
    <w:p w14:paraId="1426E48F" w14:textId="20F91734" w:rsidR="00275C3E" w:rsidRPr="001E097F" w:rsidRDefault="00275C3E" w:rsidP="00B3491B">
      <w:pPr>
        <w:tabs>
          <w:tab w:val="left" w:pos="-720"/>
        </w:tabs>
        <w:suppressAutoHyphens/>
        <w:spacing w:after="0" w:line="240" w:lineRule="auto"/>
        <w:ind w:left="720"/>
        <w:rPr>
          <w:rFonts w:ascii="Times New Roman" w:hAnsi="Times New Roman" w:cs="Times New Roman"/>
        </w:rPr>
      </w:pPr>
    </w:p>
    <w:p w14:paraId="1426E490" w14:textId="77777777" w:rsidR="00275C3E" w:rsidRPr="001E097F" w:rsidRDefault="00275C3E" w:rsidP="00275C3E">
      <w:pPr>
        <w:tabs>
          <w:tab w:val="left" w:pos="-720"/>
        </w:tabs>
        <w:suppressAutoHyphens/>
        <w:spacing w:after="0" w:line="240" w:lineRule="auto"/>
        <w:ind w:left="720"/>
        <w:rPr>
          <w:rFonts w:ascii="Times New Roman" w:hAnsi="Times New Roman" w:cs="Times New Roman"/>
        </w:rPr>
      </w:pPr>
    </w:p>
    <w:p w14:paraId="04F6ED53" w14:textId="77777777" w:rsidR="00853A3F" w:rsidRDefault="00DA57DA" w:rsidP="00275C3E">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Burden hours</w:t>
      </w:r>
      <w:r w:rsidRPr="001E097F">
        <w:rPr>
          <w:rFonts w:ascii="Times New Roman" w:hAnsi="Times New Roman" w:cs="Times New Roman"/>
        </w:rPr>
        <w:t xml:space="preserve">: </w:t>
      </w:r>
    </w:p>
    <w:p w14:paraId="1426E491" w14:textId="7983BD31" w:rsidR="00275C3E" w:rsidRPr="001E097F" w:rsidRDefault="00275C3E" w:rsidP="00311173">
      <w:pPr>
        <w:numPr>
          <w:ilvl w:val="2"/>
          <w:numId w:val="1"/>
        </w:numPr>
        <w:tabs>
          <w:tab w:val="left" w:pos="-720"/>
        </w:tabs>
        <w:suppressAutoHyphens/>
        <w:spacing w:after="80" w:line="240" w:lineRule="auto"/>
        <w:ind w:left="1080"/>
        <w:rPr>
          <w:rFonts w:ascii="Times New Roman" w:hAnsi="Times New Roman" w:cs="Times New Roman"/>
        </w:rPr>
      </w:pPr>
      <w:r w:rsidRPr="001E097F">
        <w:rPr>
          <w:rFonts w:ascii="Times New Roman" w:hAnsi="Times New Roman" w:cs="Times New Roman"/>
        </w:rPr>
        <w:t xml:space="preserve">For SEF applicants in general, the burden hours would decrease from the current estimate of 300 hours to </w:t>
      </w:r>
      <w:r w:rsidR="008A1538" w:rsidRPr="001E097F">
        <w:rPr>
          <w:rFonts w:ascii="Times New Roman" w:hAnsi="Times New Roman" w:cs="Times New Roman"/>
        </w:rPr>
        <w:t xml:space="preserve">295 </w:t>
      </w:r>
      <w:r w:rsidRPr="001E097F">
        <w:rPr>
          <w:rFonts w:ascii="Times New Roman" w:hAnsi="Times New Roman" w:cs="Times New Roman"/>
        </w:rPr>
        <w:t>hours</w:t>
      </w:r>
      <w:r w:rsidR="00502621">
        <w:rPr>
          <w:rFonts w:ascii="Times New Roman" w:hAnsi="Times New Roman" w:cs="Times New Roman"/>
        </w:rPr>
        <w:t xml:space="preserve"> due to eliminating unnecessary exhibits from Form SEF, which applicants for SEF registration must file</w:t>
      </w:r>
      <w:r w:rsidR="00525187">
        <w:rPr>
          <w:rFonts w:ascii="Times New Roman" w:hAnsi="Times New Roman" w:cs="Times New Roman"/>
        </w:rPr>
        <w:t xml:space="preserve"> as part of the application process</w:t>
      </w:r>
      <w:r w:rsidR="00853A3F">
        <w:rPr>
          <w:rFonts w:ascii="Times New Roman" w:hAnsi="Times New Roman" w:cs="Times New Roman"/>
        </w:rPr>
        <w:t>.</w:t>
      </w:r>
    </w:p>
    <w:p w14:paraId="1426E492" w14:textId="6ADB12E2" w:rsidR="00275C3E" w:rsidRPr="001E097F" w:rsidRDefault="00DA57DA" w:rsidP="00311173">
      <w:pPr>
        <w:numPr>
          <w:ilvl w:val="2"/>
          <w:numId w:val="1"/>
        </w:numPr>
        <w:tabs>
          <w:tab w:val="left" w:pos="-720"/>
        </w:tabs>
        <w:suppressAutoHyphens/>
        <w:spacing w:after="80" w:line="240" w:lineRule="auto"/>
        <w:ind w:left="1080"/>
        <w:rPr>
          <w:rFonts w:ascii="Times New Roman" w:hAnsi="Times New Roman" w:cs="Times New Roman"/>
        </w:rPr>
      </w:pPr>
      <w:r w:rsidRPr="001E097F">
        <w:rPr>
          <w:rFonts w:ascii="Times New Roman" w:hAnsi="Times New Roman" w:cs="Times New Roman"/>
        </w:rPr>
        <w:t>T</w:t>
      </w:r>
      <w:r w:rsidR="00275C3E" w:rsidRPr="001E097F">
        <w:rPr>
          <w:rFonts w:ascii="Times New Roman" w:hAnsi="Times New Roman" w:cs="Times New Roman"/>
        </w:rPr>
        <w:t xml:space="preserve">he Commission </w:t>
      </w:r>
      <w:r w:rsidR="00525187">
        <w:rPr>
          <w:rFonts w:ascii="Times New Roman" w:hAnsi="Times New Roman" w:cs="Times New Roman"/>
        </w:rPr>
        <w:t>estimates that the voluntary information collection related to the 60 new entities described above to delay their registration requirement would impose a one-time reporting burden of 1 burden hour</w:t>
      </w:r>
      <w:r w:rsidR="0037794A">
        <w:rPr>
          <w:rFonts w:ascii="Times New Roman" w:hAnsi="Times New Roman" w:cs="Times New Roman"/>
        </w:rPr>
        <w:t xml:space="preserve"> per entity for a total of 60 burden hours across all such entities (60 entities x 1 burden hour = 60 total burden hours)</w:t>
      </w:r>
      <w:r w:rsidR="00064D90">
        <w:rPr>
          <w:rFonts w:ascii="Times New Roman" w:hAnsi="Times New Roman" w:cs="Times New Roman"/>
        </w:rPr>
        <w:t>.</w:t>
      </w:r>
      <w:r w:rsidR="000B2BA9">
        <w:rPr>
          <w:rFonts w:ascii="Times New Roman" w:hAnsi="Times New Roman" w:cs="Times New Roman"/>
        </w:rPr>
        <w:t xml:space="preserve">  As noted above, the Commission is annualizing these 60 entities over three years to estimate 20 entities per year (60 total new entities / 3 years = 20 entities per year).</w:t>
      </w:r>
      <w:r w:rsidR="00275C3E" w:rsidRPr="001E097F">
        <w:rPr>
          <w:rFonts w:ascii="Times New Roman" w:hAnsi="Times New Roman" w:cs="Times New Roman"/>
        </w:rPr>
        <w:t xml:space="preserve">  This voluntary information collection would not apply to the 4 annual applicants included in the Commission’s current estimate.</w:t>
      </w:r>
    </w:p>
    <w:p w14:paraId="1426E493" w14:textId="73B908FF" w:rsidR="00275C3E" w:rsidRPr="001E097F" w:rsidRDefault="00275C3E" w:rsidP="00275C3E">
      <w:pPr>
        <w:numPr>
          <w:ilvl w:val="2"/>
          <w:numId w:val="1"/>
        </w:numPr>
        <w:tabs>
          <w:tab w:val="left" w:pos="-720"/>
        </w:tabs>
        <w:suppressAutoHyphens/>
        <w:spacing w:after="0" w:line="240" w:lineRule="auto"/>
        <w:ind w:left="1080"/>
        <w:rPr>
          <w:rFonts w:ascii="Times New Roman" w:hAnsi="Times New Roman" w:cs="Times New Roman"/>
        </w:rPr>
      </w:pPr>
      <w:r w:rsidRPr="001E097F">
        <w:rPr>
          <w:rFonts w:ascii="Times New Roman" w:hAnsi="Times New Roman" w:cs="Times New Roman"/>
        </w:rPr>
        <w:t xml:space="preserve">Although the burden hours per SEF applicant will decrease, the total burden hours across all </w:t>
      </w:r>
      <w:r w:rsidR="00525187">
        <w:rPr>
          <w:rFonts w:ascii="Times New Roman" w:hAnsi="Times New Roman" w:cs="Times New Roman"/>
        </w:rPr>
        <w:t>respondents</w:t>
      </w:r>
      <w:r w:rsidR="00525187" w:rsidRPr="001E097F">
        <w:rPr>
          <w:rFonts w:ascii="Times New Roman" w:hAnsi="Times New Roman" w:cs="Times New Roman"/>
        </w:rPr>
        <w:t xml:space="preserve"> </w:t>
      </w:r>
      <w:r w:rsidRPr="001E097F">
        <w:rPr>
          <w:rFonts w:ascii="Times New Roman" w:hAnsi="Times New Roman" w:cs="Times New Roman"/>
        </w:rPr>
        <w:t xml:space="preserve">related to SEF registration will </w:t>
      </w:r>
      <w:r w:rsidR="000B2BA9">
        <w:rPr>
          <w:rFonts w:ascii="Times New Roman" w:hAnsi="Times New Roman" w:cs="Times New Roman"/>
        </w:rPr>
        <w:t>not change</w:t>
      </w:r>
      <w:r w:rsidR="00615750">
        <w:rPr>
          <w:rFonts w:ascii="Times New Roman" w:hAnsi="Times New Roman" w:cs="Times New Roman"/>
        </w:rPr>
        <w:t xml:space="preserve"> </w:t>
      </w:r>
      <w:r w:rsidR="00615750" w:rsidRPr="001E097F">
        <w:rPr>
          <w:rFonts w:ascii="Times New Roman" w:hAnsi="Times New Roman" w:cs="Times New Roman"/>
        </w:rPr>
        <w:t>from</w:t>
      </w:r>
      <w:r w:rsidR="00615750">
        <w:rPr>
          <w:rFonts w:ascii="Times New Roman" w:hAnsi="Times New Roman" w:cs="Times New Roman"/>
        </w:rPr>
        <w:t xml:space="preserve"> the current annual estimate of</w:t>
      </w:r>
      <w:r w:rsidR="00615750" w:rsidRPr="001E097F">
        <w:rPr>
          <w:rFonts w:ascii="Times New Roman" w:hAnsi="Times New Roman" w:cs="Times New Roman"/>
        </w:rPr>
        <w:t xml:space="preserve"> 1,200 burden hours</w:t>
      </w:r>
      <w:r w:rsidR="00525187">
        <w:rPr>
          <w:rFonts w:ascii="Times New Roman" w:hAnsi="Times New Roman" w:cs="Times New Roman"/>
        </w:rPr>
        <w:t xml:space="preserve"> </w:t>
      </w:r>
      <w:r w:rsidR="00BD6B35">
        <w:rPr>
          <w:rFonts w:ascii="Times New Roman" w:hAnsi="Times New Roman" w:cs="Times New Roman"/>
        </w:rPr>
        <w:t>since</w:t>
      </w:r>
      <w:r w:rsidR="00BD6B35" w:rsidRPr="001E097F">
        <w:rPr>
          <w:rFonts w:ascii="Times New Roman" w:hAnsi="Times New Roman" w:cs="Times New Roman"/>
        </w:rPr>
        <w:t xml:space="preserve"> </w:t>
      </w:r>
      <w:r w:rsidR="002366C2">
        <w:rPr>
          <w:rFonts w:ascii="Times New Roman" w:hAnsi="Times New Roman" w:cs="Times New Roman"/>
        </w:rPr>
        <w:t>the</w:t>
      </w:r>
      <w:r w:rsidR="00BD6B35">
        <w:rPr>
          <w:rFonts w:ascii="Times New Roman" w:hAnsi="Times New Roman" w:cs="Times New Roman"/>
        </w:rPr>
        <w:t xml:space="preserve"> new,</w:t>
      </w:r>
      <w:r w:rsidRPr="001E097F">
        <w:rPr>
          <w:rFonts w:ascii="Times New Roman" w:hAnsi="Times New Roman" w:cs="Times New Roman"/>
        </w:rPr>
        <w:t xml:space="preserve"> one-time </w:t>
      </w:r>
      <w:r w:rsidR="00525187">
        <w:rPr>
          <w:rFonts w:ascii="Times New Roman" w:hAnsi="Times New Roman" w:cs="Times New Roman"/>
        </w:rPr>
        <w:t>voluntary information collection related to the</w:t>
      </w:r>
      <w:r w:rsidRPr="001E097F">
        <w:rPr>
          <w:rFonts w:ascii="Times New Roman" w:hAnsi="Times New Roman" w:cs="Times New Roman"/>
        </w:rPr>
        <w:t xml:space="preserve"> additional</w:t>
      </w:r>
      <w:r w:rsidR="000B2BA9">
        <w:rPr>
          <w:rFonts w:ascii="Times New Roman" w:hAnsi="Times New Roman" w:cs="Times New Roman"/>
        </w:rPr>
        <w:t xml:space="preserve"> entities</w:t>
      </w:r>
      <w:r w:rsidRPr="001E097F">
        <w:rPr>
          <w:rFonts w:ascii="Times New Roman" w:hAnsi="Times New Roman" w:cs="Times New Roman"/>
        </w:rPr>
        <w:t xml:space="preserve"> </w:t>
      </w:r>
      <w:r w:rsidR="00860748">
        <w:rPr>
          <w:rFonts w:ascii="Times New Roman" w:hAnsi="Times New Roman" w:cs="Times New Roman"/>
        </w:rPr>
        <w:t>described above</w:t>
      </w:r>
      <w:r w:rsidR="00DA57DA" w:rsidRPr="001E097F">
        <w:rPr>
          <w:rFonts w:ascii="Times New Roman" w:hAnsi="Times New Roman" w:cs="Times New Roman"/>
        </w:rPr>
        <w:t xml:space="preserve"> </w:t>
      </w:r>
      <w:r w:rsidR="00615750">
        <w:rPr>
          <w:rFonts w:ascii="Times New Roman" w:hAnsi="Times New Roman" w:cs="Times New Roman"/>
        </w:rPr>
        <w:t xml:space="preserve">requesting a delay in the application of the registration requirement </w:t>
      </w:r>
      <w:r w:rsidR="00BD6B35">
        <w:rPr>
          <w:rFonts w:ascii="Times New Roman" w:hAnsi="Times New Roman" w:cs="Times New Roman"/>
        </w:rPr>
        <w:t>will offset this decrease</w:t>
      </w:r>
      <w:r w:rsidRPr="001E097F">
        <w:rPr>
          <w:rFonts w:ascii="Times New Roman" w:hAnsi="Times New Roman" w:cs="Times New Roman"/>
        </w:rPr>
        <w:t>.</w:t>
      </w:r>
      <w:r w:rsidR="002B5760">
        <w:rPr>
          <w:rStyle w:val="FootnoteReference"/>
          <w:rFonts w:ascii="Times New Roman" w:hAnsi="Times New Roman" w:cs="Times New Roman"/>
        </w:rPr>
        <w:footnoteReference w:id="11"/>
      </w:r>
      <w:r w:rsidR="005E4800">
        <w:rPr>
          <w:rFonts w:ascii="Times New Roman" w:hAnsi="Times New Roman" w:cs="Times New Roman"/>
        </w:rPr>
        <w:t xml:space="preserve"> </w:t>
      </w:r>
    </w:p>
    <w:p w14:paraId="1426E494" w14:textId="77777777" w:rsidR="00275C3E" w:rsidRPr="001E097F" w:rsidRDefault="00275C3E" w:rsidP="00275C3E">
      <w:pPr>
        <w:tabs>
          <w:tab w:val="left" w:pos="-720"/>
        </w:tabs>
        <w:suppressAutoHyphens/>
        <w:spacing w:after="0" w:line="240" w:lineRule="auto"/>
        <w:ind w:left="360"/>
        <w:rPr>
          <w:rFonts w:ascii="Times New Roman" w:hAnsi="Times New Roman" w:cs="Times New Roman"/>
        </w:rPr>
      </w:pPr>
    </w:p>
    <w:p w14:paraId="1426E495" w14:textId="201EE638" w:rsidR="00275C3E" w:rsidRPr="001E097F" w:rsidRDefault="00172193" w:rsidP="00275C3E">
      <w:pPr>
        <w:numPr>
          <w:ilvl w:val="0"/>
          <w:numId w:val="1"/>
        </w:numPr>
        <w:tabs>
          <w:tab w:val="left" w:pos="-720"/>
        </w:tabs>
        <w:suppressAutoHyphens/>
        <w:spacing w:after="0" w:line="240" w:lineRule="auto"/>
        <w:ind w:left="360"/>
        <w:rPr>
          <w:rFonts w:ascii="Times New Roman" w:hAnsi="Times New Roman" w:cs="Times New Roman"/>
        </w:rPr>
      </w:pPr>
      <w:r w:rsidRPr="009F318D">
        <w:rPr>
          <w:rFonts w:ascii="Times New Roman" w:hAnsi="Times New Roman" w:cs="Times New Roman"/>
          <w:b/>
        </w:rPr>
        <w:t>Registered SEFs</w:t>
      </w:r>
    </w:p>
    <w:p w14:paraId="52535110" w14:textId="77777777" w:rsidR="002379C2" w:rsidRDefault="00C2026B" w:rsidP="00275C3E">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Number of respondents</w:t>
      </w:r>
      <w:r w:rsidRPr="001E097F">
        <w:rPr>
          <w:rFonts w:ascii="Times New Roman" w:hAnsi="Times New Roman" w:cs="Times New Roman"/>
        </w:rPr>
        <w:t xml:space="preserve">: </w:t>
      </w:r>
    </w:p>
    <w:p w14:paraId="1426E496" w14:textId="15A419A7" w:rsidR="00275C3E" w:rsidRPr="001E097F" w:rsidRDefault="002379C2" w:rsidP="002379C2">
      <w:pPr>
        <w:numPr>
          <w:ilvl w:val="2"/>
          <w:numId w:val="1"/>
        </w:numPr>
        <w:tabs>
          <w:tab w:val="left" w:pos="-720"/>
        </w:tabs>
        <w:suppressAutoHyphens/>
        <w:spacing w:after="0" w:line="240" w:lineRule="auto"/>
        <w:ind w:left="1080"/>
        <w:rPr>
          <w:rFonts w:ascii="Times New Roman" w:hAnsi="Times New Roman" w:cs="Times New Roman"/>
        </w:rPr>
      </w:pPr>
      <w:r>
        <w:rPr>
          <w:rFonts w:ascii="Times New Roman" w:hAnsi="Times New Roman" w:cs="Times New Roman"/>
          <w:u w:val="single"/>
        </w:rPr>
        <w:t xml:space="preserve">The Commission notes that there are currently 25 registered SEFs.  </w:t>
      </w:r>
      <w:r w:rsidR="00172193" w:rsidRPr="001E097F">
        <w:rPr>
          <w:rFonts w:ascii="Times New Roman" w:hAnsi="Times New Roman" w:cs="Times New Roman"/>
        </w:rPr>
        <w:t xml:space="preserve">As </w:t>
      </w:r>
      <w:r w:rsidR="001C3C84">
        <w:rPr>
          <w:rFonts w:ascii="Times New Roman" w:hAnsi="Times New Roman" w:cs="Times New Roman"/>
        </w:rPr>
        <w:t xml:space="preserve">discussed </w:t>
      </w:r>
      <w:r w:rsidR="00172193" w:rsidRPr="001E097F">
        <w:rPr>
          <w:rFonts w:ascii="Times New Roman" w:hAnsi="Times New Roman" w:cs="Times New Roman"/>
        </w:rPr>
        <w:t>above</w:t>
      </w:r>
      <w:r w:rsidR="00275C3E" w:rsidRPr="001E097F">
        <w:rPr>
          <w:rFonts w:ascii="Times New Roman" w:hAnsi="Times New Roman" w:cs="Times New Roman"/>
        </w:rPr>
        <w:t>,</w:t>
      </w:r>
      <w:r w:rsidR="00172193" w:rsidRPr="001E097F">
        <w:rPr>
          <w:rFonts w:ascii="Times New Roman" w:hAnsi="Times New Roman" w:cs="Times New Roman"/>
        </w:rPr>
        <w:t xml:space="preserve"> the Commission </w:t>
      </w:r>
      <w:r>
        <w:rPr>
          <w:rFonts w:ascii="Times New Roman" w:hAnsi="Times New Roman" w:cs="Times New Roman"/>
        </w:rPr>
        <w:t xml:space="preserve">believes that eventually the number of registered SEFs </w:t>
      </w:r>
      <w:r w:rsidR="00275C3E" w:rsidRPr="001E097F">
        <w:rPr>
          <w:rFonts w:ascii="Times New Roman" w:hAnsi="Times New Roman" w:cs="Times New Roman"/>
        </w:rPr>
        <w:t>will increase from the existing 25 registered SEFs to</w:t>
      </w:r>
      <w:r w:rsidR="006B642B">
        <w:rPr>
          <w:rFonts w:ascii="Times New Roman" w:hAnsi="Times New Roman" w:cs="Times New Roman"/>
        </w:rPr>
        <w:t xml:space="preserve"> include the additional</w:t>
      </w:r>
      <w:r w:rsidR="00275C3E" w:rsidRPr="001E097F">
        <w:rPr>
          <w:rFonts w:ascii="Times New Roman" w:hAnsi="Times New Roman" w:cs="Times New Roman"/>
        </w:rPr>
        <w:t xml:space="preserve"> 85 registered SEFs as a result of the Commission’s </w:t>
      </w:r>
      <w:r w:rsidR="00C2026B" w:rsidRPr="001E097F">
        <w:rPr>
          <w:rFonts w:ascii="Times New Roman" w:hAnsi="Times New Roman" w:cs="Times New Roman"/>
        </w:rPr>
        <w:t>proposed application of the CEA’s SEF registration requirement</w:t>
      </w:r>
      <w:r w:rsidR="001E097F">
        <w:rPr>
          <w:rFonts w:ascii="Times New Roman" w:hAnsi="Times New Roman" w:cs="Times New Roman"/>
        </w:rPr>
        <w:t xml:space="preserve"> (2</w:t>
      </w:r>
      <w:r w:rsidR="001C3C84">
        <w:rPr>
          <w:rFonts w:ascii="Times New Roman" w:hAnsi="Times New Roman" w:cs="Times New Roman"/>
        </w:rPr>
        <w:t>5</w:t>
      </w:r>
      <w:r w:rsidR="001E097F">
        <w:rPr>
          <w:rFonts w:ascii="Times New Roman" w:hAnsi="Times New Roman" w:cs="Times New Roman"/>
        </w:rPr>
        <w:t xml:space="preserve"> currently </w:t>
      </w:r>
      <w:r w:rsidR="00275C3E" w:rsidRPr="001E097F">
        <w:rPr>
          <w:rFonts w:ascii="Times New Roman" w:hAnsi="Times New Roman" w:cs="Times New Roman"/>
        </w:rPr>
        <w:t xml:space="preserve">registered SEFs + 60 </w:t>
      </w:r>
      <w:r>
        <w:rPr>
          <w:rFonts w:ascii="Times New Roman" w:hAnsi="Times New Roman" w:cs="Times New Roman"/>
        </w:rPr>
        <w:t>entities identified above</w:t>
      </w:r>
      <w:r w:rsidR="00275C3E" w:rsidRPr="001E097F">
        <w:rPr>
          <w:rFonts w:ascii="Times New Roman" w:hAnsi="Times New Roman" w:cs="Times New Roman"/>
        </w:rPr>
        <w:t xml:space="preserve"> = 85 registered SEFs).</w:t>
      </w:r>
      <w:r>
        <w:rPr>
          <w:rFonts w:ascii="Times New Roman" w:hAnsi="Times New Roman" w:cs="Times New Roman"/>
        </w:rPr>
        <w:t xml:space="preserve">  </w:t>
      </w:r>
      <w:r w:rsidR="00CD0E28">
        <w:rPr>
          <w:rFonts w:ascii="Times New Roman" w:hAnsi="Times New Roman" w:cs="Times New Roman"/>
        </w:rPr>
        <w:t>A</w:t>
      </w:r>
      <w:r>
        <w:rPr>
          <w:rFonts w:ascii="Times New Roman" w:hAnsi="Times New Roman" w:cs="Times New Roman"/>
        </w:rPr>
        <w:t>s noted above,</w:t>
      </w:r>
      <w:r w:rsidR="00CD0E28">
        <w:rPr>
          <w:rFonts w:ascii="Times New Roman" w:hAnsi="Times New Roman" w:cs="Times New Roman"/>
        </w:rPr>
        <w:t xml:space="preserve"> however,</w:t>
      </w:r>
      <w:r>
        <w:rPr>
          <w:rFonts w:ascii="Times New Roman" w:hAnsi="Times New Roman" w:cs="Times New Roman"/>
        </w:rPr>
        <w:t xml:space="preserve"> the</w:t>
      </w:r>
      <w:r w:rsidR="002C1D6C">
        <w:rPr>
          <w:rFonts w:ascii="Times New Roman" w:hAnsi="Times New Roman" w:cs="Times New Roman"/>
        </w:rPr>
        <w:t xml:space="preserve"> Commission</w:t>
      </w:r>
      <w:r>
        <w:rPr>
          <w:rFonts w:ascii="Times New Roman" w:hAnsi="Times New Roman" w:cs="Times New Roman"/>
        </w:rPr>
        <w:t xml:space="preserve"> anticipates that </w:t>
      </w:r>
      <w:r w:rsidR="00576B1F">
        <w:rPr>
          <w:rFonts w:ascii="Times New Roman" w:hAnsi="Times New Roman" w:cs="Times New Roman"/>
        </w:rPr>
        <w:t>all</w:t>
      </w:r>
      <w:r>
        <w:rPr>
          <w:rFonts w:ascii="Times New Roman" w:hAnsi="Times New Roman" w:cs="Times New Roman"/>
        </w:rPr>
        <w:t xml:space="preserve"> 60 new entities </w:t>
      </w:r>
      <w:r w:rsidR="009F10CD">
        <w:rPr>
          <w:rFonts w:ascii="Times New Roman" w:hAnsi="Times New Roman" w:cs="Times New Roman"/>
        </w:rPr>
        <w:t>will request a delay under the Part 37 NPRM to becoming registered SEFs.</w:t>
      </w:r>
      <w:r w:rsidR="002C1D6C">
        <w:rPr>
          <w:rFonts w:ascii="Times New Roman" w:hAnsi="Times New Roman" w:cs="Times New Roman"/>
        </w:rPr>
        <w:t xml:space="preserve">  Accordingly</w:t>
      </w:r>
      <w:r w:rsidR="00576B1F">
        <w:rPr>
          <w:rFonts w:ascii="Times New Roman" w:hAnsi="Times New Roman" w:cs="Times New Roman"/>
        </w:rPr>
        <w:t>, for the purpose of this Supporting S</w:t>
      </w:r>
      <w:r w:rsidR="002C1D6C">
        <w:rPr>
          <w:rFonts w:ascii="Times New Roman" w:hAnsi="Times New Roman" w:cs="Times New Roman"/>
        </w:rPr>
        <w:t>tatement</w:t>
      </w:r>
      <w:r w:rsidR="00576B1F">
        <w:rPr>
          <w:rFonts w:ascii="Times New Roman" w:hAnsi="Times New Roman" w:cs="Times New Roman"/>
        </w:rPr>
        <w:t xml:space="preserve"> and the number of registered SEF respondents reflected in Attachment A</w:t>
      </w:r>
      <w:r w:rsidR="002C1D6C">
        <w:rPr>
          <w:rFonts w:ascii="Times New Roman" w:hAnsi="Times New Roman" w:cs="Times New Roman"/>
        </w:rPr>
        <w:t xml:space="preserve">, the Commission </w:t>
      </w:r>
      <w:r w:rsidR="00576B1F">
        <w:rPr>
          <w:rFonts w:ascii="Times New Roman" w:hAnsi="Times New Roman" w:cs="Times New Roman"/>
        </w:rPr>
        <w:t>estimates that</w:t>
      </w:r>
      <w:r w:rsidR="002C1D6C">
        <w:rPr>
          <w:rFonts w:ascii="Times New Roman" w:hAnsi="Times New Roman" w:cs="Times New Roman"/>
        </w:rPr>
        <w:t xml:space="preserve"> </w:t>
      </w:r>
      <w:r w:rsidR="00576B1F">
        <w:rPr>
          <w:rFonts w:ascii="Times New Roman" w:hAnsi="Times New Roman" w:cs="Times New Roman"/>
        </w:rPr>
        <w:t xml:space="preserve">there will be </w:t>
      </w:r>
      <w:r w:rsidR="002C1D6C">
        <w:rPr>
          <w:rFonts w:ascii="Times New Roman" w:hAnsi="Times New Roman" w:cs="Times New Roman"/>
        </w:rPr>
        <w:t>45 registered SEFs</w:t>
      </w:r>
      <w:r w:rsidR="00576B1F">
        <w:rPr>
          <w:rFonts w:ascii="Times New Roman" w:hAnsi="Times New Roman" w:cs="Times New Roman"/>
        </w:rPr>
        <w:t xml:space="preserve"> in the 3-year period covered</w:t>
      </w:r>
      <w:r w:rsidR="00CD0E28">
        <w:rPr>
          <w:rFonts w:ascii="Times New Roman" w:hAnsi="Times New Roman" w:cs="Times New Roman"/>
        </w:rPr>
        <w:t xml:space="preserve"> per year</w:t>
      </w:r>
      <w:r w:rsidR="00576B1F">
        <w:rPr>
          <w:rFonts w:ascii="Times New Roman" w:hAnsi="Times New Roman" w:cs="Times New Roman"/>
        </w:rPr>
        <w:t xml:space="preserve"> by this OMB Control Number 3038-0074</w:t>
      </w:r>
      <w:r w:rsidR="002C1D6C">
        <w:rPr>
          <w:rFonts w:ascii="Times New Roman" w:hAnsi="Times New Roman" w:cs="Times New Roman"/>
        </w:rPr>
        <w:t xml:space="preserve"> </w:t>
      </w:r>
      <w:r w:rsidR="005B5D72">
        <w:rPr>
          <w:rFonts w:ascii="Times New Roman" w:hAnsi="Times New Roman" w:cs="Times New Roman"/>
        </w:rPr>
        <w:t>(25 currently registered SEFs + 20 new SEFs = 45 SEFs)</w:t>
      </w:r>
      <w:r w:rsidR="002C1D6C">
        <w:rPr>
          <w:rFonts w:ascii="Times New Roman" w:hAnsi="Times New Roman" w:cs="Times New Roman"/>
        </w:rPr>
        <w:t>.</w:t>
      </w:r>
      <w:r w:rsidR="0007480F">
        <w:rPr>
          <w:rFonts w:ascii="Times New Roman" w:hAnsi="Times New Roman" w:cs="Times New Roman"/>
        </w:rPr>
        <w:t xml:space="preserve">  </w:t>
      </w:r>
      <w:r w:rsidR="0007480F">
        <w:rPr>
          <w:rFonts w:ascii="Times New Roman" w:hAnsi="Times New Roman"/>
        </w:rPr>
        <w:t xml:space="preserve">Eventually, the Commission expects the number of total registered SEFs to increase </w:t>
      </w:r>
      <w:r w:rsidR="00A72A0C">
        <w:rPr>
          <w:rFonts w:ascii="Times New Roman" w:hAnsi="Times New Roman"/>
        </w:rPr>
        <w:t>and will submit revised estimates if needed</w:t>
      </w:r>
      <w:r w:rsidR="0007480F">
        <w:rPr>
          <w:rFonts w:ascii="Times New Roman" w:hAnsi="Times New Roman"/>
        </w:rPr>
        <w:t>.</w:t>
      </w:r>
    </w:p>
    <w:p w14:paraId="07C6058C" w14:textId="77777777" w:rsidR="002C1D6C" w:rsidRPr="002C1D6C" w:rsidRDefault="002C1D6C" w:rsidP="002C1D6C">
      <w:pPr>
        <w:tabs>
          <w:tab w:val="left" w:pos="-720"/>
        </w:tabs>
        <w:suppressAutoHyphens/>
        <w:spacing w:after="0" w:line="240" w:lineRule="auto"/>
        <w:ind w:left="720"/>
        <w:rPr>
          <w:rFonts w:ascii="Times New Roman" w:hAnsi="Times New Roman" w:cs="Times New Roman"/>
        </w:rPr>
      </w:pPr>
    </w:p>
    <w:p w14:paraId="79FEB482" w14:textId="77777777" w:rsidR="002C1D6C" w:rsidRDefault="00C2026B" w:rsidP="00275C3E">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Burden hours</w:t>
      </w:r>
      <w:r w:rsidRPr="001E097F">
        <w:rPr>
          <w:rFonts w:ascii="Times New Roman" w:hAnsi="Times New Roman" w:cs="Times New Roman"/>
        </w:rPr>
        <w:t xml:space="preserve">: </w:t>
      </w:r>
    </w:p>
    <w:p w14:paraId="1426E497" w14:textId="2D0ABC57" w:rsidR="00275C3E" w:rsidRPr="001E097F" w:rsidRDefault="00216F47" w:rsidP="00311173">
      <w:pPr>
        <w:numPr>
          <w:ilvl w:val="2"/>
          <w:numId w:val="1"/>
        </w:numPr>
        <w:tabs>
          <w:tab w:val="left" w:pos="-720"/>
        </w:tabs>
        <w:suppressAutoHyphens/>
        <w:spacing w:after="80" w:line="240" w:lineRule="auto"/>
        <w:ind w:left="1080"/>
        <w:rPr>
          <w:rFonts w:ascii="Times New Roman" w:hAnsi="Times New Roman" w:cs="Times New Roman"/>
        </w:rPr>
      </w:pPr>
      <w:r w:rsidRPr="001E097F">
        <w:rPr>
          <w:rFonts w:ascii="Times New Roman" w:hAnsi="Times New Roman" w:cs="Times New Roman"/>
        </w:rPr>
        <w:t>The Commission proposes</w:t>
      </w:r>
      <w:r w:rsidR="00275C3E" w:rsidRPr="001E097F">
        <w:rPr>
          <w:rFonts w:ascii="Times New Roman" w:hAnsi="Times New Roman" w:cs="Times New Roman"/>
        </w:rPr>
        <w:t xml:space="preserve"> to</w:t>
      </w:r>
      <w:r w:rsidRPr="001E097F">
        <w:rPr>
          <w:rFonts w:ascii="Times New Roman" w:hAnsi="Times New Roman" w:cs="Times New Roman"/>
        </w:rPr>
        <w:t xml:space="preserve"> both</w:t>
      </w:r>
      <w:r w:rsidR="00275C3E" w:rsidRPr="001E097F">
        <w:rPr>
          <w:rFonts w:ascii="Times New Roman" w:hAnsi="Times New Roman" w:cs="Times New Roman"/>
        </w:rPr>
        <w:t xml:space="preserve"> add </w:t>
      </w:r>
      <w:r w:rsidRPr="001E097F">
        <w:rPr>
          <w:rFonts w:ascii="Times New Roman" w:hAnsi="Times New Roman" w:cs="Times New Roman"/>
        </w:rPr>
        <w:t xml:space="preserve">and eliminate </w:t>
      </w:r>
      <w:r w:rsidR="00275C3E" w:rsidRPr="001E097F">
        <w:rPr>
          <w:rFonts w:ascii="Times New Roman" w:hAnsi="Times New Roman" w:cs="Times New Roman"/>
        </w:rPr>
        <w:t xml:space="preserve">information collections </w:t>
      </w:r>
      <w:r w:rsidRPr="001E097F">
        <w:rPr>
          <w:rFonts w:ascii="Times New Roman" w:hAnsi="Times New Roman" w:cs="Times New Roman"/>
        </w:rPr>
        <w:t>burdens for registered SEFs.  The Commission estimates on a net basis that</w:t>
      </w:r>
      <w:r w:rsidR="00275C3E" w:rsidRPr="001E097F">
        <w:rPr>
          <w:rFonts w:ascii="Times New Roman" w:hAnsi="Times New Roman" w:cs="Times New Roman"/>
        </w:rPr>
        <w:t xml:space="preserve"> the total </w:t>
      </w:r>
      <w:r w:rsidRPr="001E097F">
        <w:rPr>
          <w:rFonts w:ascii="Times New Roman" w:hAnsi="Times New Roman" w:cs="Times New Roman"/>
        </w:rPr>
        <w:t>burden hours imposed on each</w:t>
      </w:r>
      <w:r w:rsidR="00275C3E" w:rsidRPr="001E097F">
        <w:rPr>
          <w:rFonts w:ascii="Times New Roman" w:hAnsi="Times New Roman" w:cs="Times New Roman"/>
        </w:rPr>
        <w:t xml:space="preserve"> SEF will be reduced from 1</w:t>
      </w:r>
      <w:r w:rsidR="000A2031">
        <w:rPr>
          <w:rFonts w:ascii="Times New Roman" w:hAnsi="Times New Roman" w:cs="Times New Roman"/>
        </w:rPr>
        <w:t>,</w:t>
      </w:r>
      <w:r w:rsidR="00275C3E" w:rsidRPr="001E097F">
        <w:rPr>
          <w:rFonts w:ascii="Times New Roman" w:hAnsi="Times New Roman" w:cs="Times New Roman"/>
        </w:rPr>
        <w:t xml:space="preserve">000 hours to </w:t>
      </w:r>
      <w:r w:rsidR="006B0662" w:rsidRPr="002C1D6C">
        <w:rPr>
          <w:rFonts w:ascii="Times New Roman" w:hAnsi="Times New Roman" w:cs="Times New Roman"/>
        </w:rPr>
        <w:t>407</w:t>
      </w:r>
      <w:r w:rsidR="00275C3E" w:rsidRPr="001E097F">
        <w:rPr>
          <w:rFonts w:ascii="Times New Roman" w:hAnsi="Times New Roman" w:cs="Times New Roman"/>
        </w:rPr>
        <w:t xml:space="preserve"> hours per SEF.</w:t>
      </w:r>
      <w:r w:rsidR="00E86CC0" w:rsidRPr="001E097F">
        <w:rPr>
          <w:rStyle w:val="FootnoteReference"/>
          <w:rFonts w:ascii="Times New Roman" w:hAnsi="Times New Roman" w:cs="Times New Roman"/>
        </w:rPr>
        <w:footnoteReference w:id="12"/>
      </w:r>
      <w:r w:rsidR="00275C3E" w:rsidRPr="001E097F">
        <w:rPr>
          <w:rFonts w:ascii="Times New Roman" w:hAnsi="Times New Roman" w:cs="Times New Roman"/>
        </w:rPr>
        <w:t xml:space="preserve">  </w:t>
      </w:r>
    </w:p>
    <w:p w14:paraId="7BAA32ED" w14:textId="5B3D2DA1" w:rsidR="00FB3CF4" w:rsidRPr="00BB0637" w:rsidRDefault="006A2084" w:rsidP="00275C3E">
      <w:pPr>
        <w:numPr>
          <w:ilvl w:val="2"/>
          <w:numId w:val="1"/>
        </w:numPr>
        <w:tabs>
          <w:tab w:val="left" w:pos="-720"/>
        </w:tabs>
        <w:suppressAutoHyphens/>
        <w:spacing w:after="0" w:line="240" w:lineRule="auto"/>
        <w:ind w:left="1080"/>
        <w:rPr>
          <w:rFonts w:ascii="Times New Roman" w:hAnsi="Times New Roman" w:cs="Times New Roman"/>
        </w:rPr>
      </w:pPr>
      <w:r>
        <w:rPr>
          <w:rFonts w:ascii="Times New Roman" w:hAnsi="Times New Roman" w:cs="Times New Roman"/>
        </w:rPr>
        <w:t>Even though the total number of registered SEFs will increase</w:t>
      </w:r>
      <w:r w:rsidR="00275C3E" w:rsidRPr="001E097F">
        <w:rPr>
          <w:rFonts w:ascii="Times New Roman" w:hAnsi="Times New Roman" w:cs="Times New Roman"/>
        </w:rPr>
        <w:t xml:space="preserve">, the total burden hours across all registered SEFs will </w:t>
      </w:r>
      <w:r>
        <w:rPr>
          <w:rFonts w:ascii="Times New Roman" w:hAnsi="Times New Roman" w:cs="Times New Roman"/>
        </w:rPr>
        <w:t>de</w:t>
      </w:r>
      <w:r w:rsidR="00275C3E" w:rsidRPr="001E097F">
        <w:rPr>
          <w:rFonts w:ascii="Times New Roman" w:hAnsi="Times New Roman" w:cs="Times New Roman"/>
        </w:rPr>
        <w:t>crease</w:t>
      </w:r>
      <w:r w:rsidR="00E86CC0" w:rsidRPr="001E097F">
        <w:rPr>
          <w:rFonts w:ascii="Times New Roman" w:hAnsi="Times New Roman" w:cs="Times New Roman"/>
        </w:rPr>
        <w:t xml:space="preserve"> from 25,000 hours to</w:t>
      </w:r>
      <w:r>
        <w:rPr>
          <w:rFonts w:ascii="Times New Roman" w:hAnsi="Times New Roman" w:cs="Times New Roman"/>
        </w:rPr>
        <w:t xml:space="preserve"> 18,325</w:t>
      </w:r>
      <w:r w:rsidR="00191F4F">
        <w:rPr>
          <w:rFonts w:ascii="Times New Roman" w:hAnsi="Times New Roman" w:cs="Times New Roman"/>
        </w:rPr>
        <w:t xml:space="preserve"> due to the decrease in the amount of burden hours imposed on each SEF</w:t>
      </w:r>
      <w:r w:rsidR="00275C3E" w:rsidRPr="001E097F">
        <w:rPr>
          <w:rFonts w:ascii="Times New Roman" w:hAnsi="Times New Roman" w:cs="Times New Roman"/>
        </w:rPr>
        <w:t>.</w:t>
      </w:r>
      <w:r w:rsidR="00F369D6" w:rsidRPr="001E097F">
        <w:rPr>
          <w:rStyle w:val="FootnoteReference"/>
          <w:rFonts w:ascii="Times New Roman" w:hAnsi="Times New Roman" w:cs="Times New Roman"/>
        </w:rPr>
        <w:footnoteReference w:id="13"/>
      </w:r>
      <w:r w:rsidR="00973E86">
        <w:rPr>
          <w:rFonts w:ascii="Times New Roman" w:hAnsi="Times New Roman" w:cs="Times New Roman"/>
        </w:rPr>
        <w:t xml:space="preserve">  </w:t>
      </w:r>
    </w:p>
    <w:p w14:paraId="1426E49D" w14:textId="77777777" w:rsidR="0095064A" w:rsidRPr="001E097F" w:rsidRDefault="0095064A" w:rsidP="0095064A">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ab/>
      </w:r>
    </w:p>
    <w:p w14:paraId="1426E49E"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13.</w:t>
      </w:r>
      <w:r w:rsidRPr="001E097F">
        <w:rPr>
          <w:rFonts w:ascii="Times New Roman" w:hAnsi="Times New Roman" w:cs="Times New Roman"/>
          <w:b/>
        </w:rPr>
        <w:tab/>
        <w:t>Provide an estimate of the total annual cost burden to respondents or recordkeepers resulting from the collection of information.  (Do not include the cost of any hour burden shown in Items 12 and 14).</w:t>
      </w:r>
    </w:p>
    <w:p w14:paraId="1426E49F" w14:textId="293B5636" w:rsidR="0095064A" w:rsidRPr="001E097F" w:rsidRDefault="0095064A" w:rsidP="0095064A">
      <w:pPr>
        <w:tabs>
          <w:tab w:val="left" w:pos="-720"/>
        </w:tabs>
        <w:suppressAutoHyphens/>
        <w:rPr>
          <w:rFonts w:ascii="Times New Roman" w:hAnsi="Times New Roman" w:cs="Times New Roman"/>
          <w:b/>
        </w:rPr>
      </w:pPr>
    </w:p>
    <w:p w14:paraId="1426E4A0" w14:textId="1C4BDB75" w:rsidR="0095064A" w:rsidRPr="001E097F" w:rsidRDefault="0095064A" w:rsidP="00C05161">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The cost estimate should be split into two components</w:t>
      </w:r>
      <w:r w:rsidR="001855E8">
        <w:rPr>
          <w:rFonts w:ascii="Times New Roman" w:hAnsi="Times New Roman" w:cs="Times New Roman"/>
          <w:b/>
        </w:rPr>
        <w:t>:</w:t>
      </w:r>
      <w:r w:rsidRPr="001E097F">
        <w:rPr>
          <w:rFonts w:ascii="Times New Roman" w:hAnsi="Times New Roman" w:cs="Times New Roman"/>
          <w:b/>
        </w:rPr>
        <w:t xml:space="preserve">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426E4A1" w14:textId="77777777" w:rsidR="0095064A" w:rsidRPr="001E097F" w:rsidRDefault="0095064A" w:rsidP="0095064A">
      <w:pPr>
        <w:tabs>
          <w:tab w:val="left" w:pos="-720"/>
        </w:tabs>
        <w:suppressAutoHyphens/>
        <w:rPr>
          <w:rFonts w:ascii="Times New Roman" w:hAnsi="Times New Roman" w:cs="Times New Roman"/>
          <w:b/>
        </w:rPr>
      </w:pPr>
    </w:p>
    <w:p w14:paraId="1426E4A2" w14:textId="697A692C" w:rsidR="0095064A" w:rsidRPr="001E097F" w:rsidRDefault="0095064A" w:rsidP="00C05161">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1426E4A3" w14:textId="77777777" w:rsidR="0095064A" w:rsidRPr="001E097F" w:rsidRDefault="0095064A" w:rsidP="0095064A">
      <w:pPr>
        <w:tabs>
          <w:tab w:val="left" w:pos="-720"/>
        </w:tabs>
        <w:suppressAutoHyphens/>
        <w:rPr>
          <w:rFonts w:ascii="Times New Roman" w:hAnsi="Times New Roman" w:cs="Times New Roman"/>
          <w:b/>
        </w:rPr>
      </w:pPr>
    </w:p>
    <w:p w14:paraId="1426E4A4" w14:textId="483704E6" w:rsidR="0095064A" w:rsidRPr="001E097F" w:rsidRDefault="0095064A" w:rsidP="00C05161">
      <w:pPr>
        <w:pStyle w:val="ListParagraph"/>
        <w:numPr>
          <w:ilvl w:val="2"/>
          <w:numId w:val="2"/>
        </w:numPr>
        <w:tabs>
          <w:tab w:val="left" w:pos="-720"/>
          <w:tab w:val="left" w:pos="0"/>
          <w:tab w:val="left" w:pos="720"/>
        </w:tabs>
        <w:suppressAutoHyphens/>
        <w:ind w:left="1080"/>
        <w:rPr>
          <w:rFonts w:ascii="Times New Roman" w:hAnsi="Times New Roman" w:cs="Times New Roman"/>
        </w:rPr>
      </w:pPr>
      <w:r w:rsidRPr="001E097F">
        <w:rPr>
          <w:rFonts w:ascii="Times New Roman" w:hAnsi="Times New Roman" w:cs="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426E4A7" w14:textId="550C6529" w:rsidR="0095064A" w:rsidRDefault="0095064A" w:rsidP="00BB42D2">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It is expected </w:t>
      </w:r>
      <w:r w:rsidR="008A1538">
        <w:rPr>
          <w:rFonts w:ascii="Times New Roman" w:hAnsi="Times New Roman" w:cs="Times New Roman"/>
        </w:rPr>
        <w:t>new</w:t>
      </w:r>
      <w:r w:rsidR="008A1538" w:rsidRPr="001E097F">
        <w:rPr>
          <w:rFonts w:ascii="Times New Roman" w:hAnsi="Times New Roman" w:cs="Times New Roman"/>
        </w:rPr>
        <w:t xml:space="preserve"> </w:t>
      </w:r>
      <w:r w:rsidRPr="001E097F">
        <w:rPr>
          <w:rFonts w:ascii="Times New Roman" w:hAnsi="Times New Roman" w:cs="Times New Roman"/>
        </w:rPr>
        <w:t xml:space="preserve">SEFs will utilize existing software, information technology, and systems.  Thus, the Commission believes that there will not be additional capital/startup costs or operational/maintenance costs incurred by SEFs to report the information required by the </w:t>
      </w:r>
      <w:r w:rsidR="008A1538">
        <w:rPr>
          <w:rFonts w:ascii="Times New Roman" w:hAnsi="Times New Roman" w:cs="Times New Roman"/>
        </w:rPr>
        <w:t>proposed</w:t>
      </w:r>
      <w:r w:rsidR="008A1538" w:rsidRPr="001E097F">
        <w:rPr>
          <w:rFonts w:ascii="Times New Roman" w:hAnsi="Times New Roman" w:cs="Times New Roman"/>
        </w:rPr>
        <w:t xml:space="preserve"> </w:t>
      </w:r>
      <w:r w:rsidRPr="001E097F">
        <w:rPr>
          <w:rFonts w:ascii="Times New Roman" w:hAnsi="Times New Roman" w:cs="Times New Roman"/>
        </w:rPr>
        <w:t>rule</w:t>
      </w:r>
      <w:r w:rsidR="008A1538">
        <w:rPr>
          <w:rFonts w:ascii="Times New Roman" w:hAnsi="Times New Roman" w:cs="Times New Roman"/>
        </w:rPr>
        <w:t xml:space="preserve">.  For example, all of the 60 entities </w:t>
      </w:r>
      <w:r w:rsidR="00191F4F">
        <w:rPr>
          <w:rFonts w:ascii="Times New Roman" w:hAnsi="Times New Roman" w:cs="Times New Roman"/>
        </w:rPr>
        <w:t>subject to the Commission’s proposed interpretation and application of the SEF registration requirement</w:t>
      </w:r>
      <w:r w:rsidR="008A1538">
        <w:rPr>
          <w:rFonts w:ascii="Times New Roman" w:hAnsi="Times New Roman" w:cs="Times New Roman"/>
        </w:rPr>
        <w:t xml:space="preserve"> are already operational platforms that are registered either as interdealer brokers with the National Futures Association or registered in some corresponding capacity with an international regulator.</w:t>
      </w:r>
    </w:p>
    <w:p w14:paraId="51D9318B" w14:textId="77777777" w:rsidR="00BB42D2" w:rsidRPr="001E097F" w:rsidRDefault="00BB42D2" w:rsidP="00BB42D2">
      <w:pPr>
        <w:tabs>
          <w:tab w:val="left" w:pos="-720"/>
          <w:tab w:val="left" w:pos="0"/>
        </w:tabs>
        <w:suppressAutoHyphens/>
        <w:rPr>
          <w:rFonts w:ascii="Times New Roman" w:hAnsi="Times New Roman" w:cs="Times New Roman"/>
        </w:rPr>
      </w:pPr>
    </w:p>
    <w:p w14:paraId="1426E4A8" w14:textId="77777777" w:rsidR="0095064A" w:rsidRPr="001E097F" w:rsidRDefault="0095064A" w:rsidP="0095064A">
      <w:pPr>
        <w:tabs>
          <w:tab w:val="left" w:pos="-720"/>
        </w:tabs>
        <w:suppressAutoHyphens/>
        <w:ind w:left="720" w:hanging="720"/>
        <w:rPr>
          <w:rFonts w:ascii="Times New Roman" w:hAnsi="Times New Roman" w:cs="Times New Roman"/>
          <w:b/>
        </w:rPr>
      </w:pPr>
      <w:r w:rsidRPr="001E097F">
        <w:rPr>
          <w:rFonts w:ascii="Times New Roman" w:hAnsi="Times New Roman" w:cs="Times New Roman"/>
          <w:b/>
        </w:rPr>
        <w:t>14.</w:t>
      </w:r>
      <w:r w:rsidRPr="001E097F">
        <w:rPr>
          <w:rFonts w:ascii="Times New Roman" w:hAnsi="Times New Roman" w:cs="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202C02F2" w14:textId="452CBEE3" w:rsidR="00564C8C" w:rsidRPr="00564C8C" w:rsidRDefault="00564C8C" w:rsidP="00564C8C">
      <w:pPr>
        <w:pStyle w:val="NoSpacing"/>
        <w:rPr>
          <w:rFonts w:ascii="Times New Roman" w:hAnsi="Times New Roman" w:cs="Times New Roman"/>
        </w:rPr>
      </w:pPr>
      <w:r w:rsidRPr="00564C8C">
        <w:rPr>
          <w:rFonts w:ascii="Times New Roman" w:hAnsi="Times New Roman" w:cs="Times New Roman"/>
        </w:rPr>
        <w:t>While the number of registered SEFs is expected to increase under the Commission’s proposed interpretation</w:t>
      </w:r>
      <w:r w:rsidR="00191F4F">
        <w:rPr>
          <w:rFonts w:ascii="Times New Roman" w:hAnsi="Times New Roman" w:cs="Times New Roman"/>
        </w:rPr>
        <w:t xml:space="preserve"> and application</w:t>
      </w:r>
      <w:r w:rsidRPr="00564C8C">
        <w:rPr>
          <w:rFonts w:ascii="Times New Roman" w:hAnsi="Times New Roman" w:cs="Times New Roman"/>
        </w:rPr>
        <w:t xml:space="preserve"> of the SEF registration requirement, the Commission does not anticipate</w:t>
      </w:r>
      <w:r w:rsidR="00BB42D2">
        <w:rPr>
          <w:rFonts w:ascii="Times New Roman" w:hAnsi="Times New Roman" w:cs="Times New Roman"/>
        </w:rPr>
        <w:t xml:space="preserve"> that</w:t>
      </w:r>
      <w:r w:rsidRPr="00564C8C">
        <w:rPr>
          <w:rFonts w:ascii="Times New Roman" w:hAnsi="Times New Roman" w:cs="Times New Roman"/>
        </w:rPr>
        <w:t xml:space="preserve"> it will require additional government employees to review the additional SEFs due to the increased experience and efficiency of the relevant Commission staff. </w:t>
      </w:r>
      <w:r w:rsidR="006576BE">
        <w:rPr>
          <w:rFonts w:ascii="Times New Roman" w:hAnsi="Times New Roman" w:cs="Times New Roman"/>
        </w:rPr>
        <w:t xml:space="preserve"> </w:t>
      </w:r>
      <w:r w:rsidR="00955540">
        <w:rPr>
          <w:rFonts w:ascii="Times New Roman" w:hAnsi="Times New Roman" w:cs="Times New Roman"/>
        </w:rPr>
        <w:t>T</w:t>
      </w:r>
      <w:r w:rsidRPr="00564C8C">
        <w:rPr>
          <w:rFonts w:ascii="Times New Roman" w:hAnsi="Times New Roman" w:cs="Times New Roman"/>
        </w:rPr>
        <w:t xml:space="preserve">he Commission </w:t>
      </w:r>
      <w:r w:rsidR="006576BE">
        <w:rPr>
          <w:rFonts w:ascii="Times New Roman" w:hAnsi="Times New Roman" w:cs="Times New Roman"/>
        </w:rPr>
        <w:t>notes</w:t>
      </w:r>
      <w:r w:rsidR="00955540">
        <w:rPr>
          <w:rFonts w:ascii="Times New Roman" w:hAnsi="Times New Roman" w:cs="Times New Roman"/>
        </w:rPr>
        <w:t>, however,</w:t>
      </w:r>
      <w:r w:rsidRPr="00564C8C">
        <w:rPr>
          <w:rFonts w:ascii="Times New Roman" w:hAnsi="Times New Roman" w:cs="Times New Roman"/>
        </w:rPr>
        <w:t xml:space="preserve"> an increase in the</w:t>
      </w:r>
      <w:r w:rsidR="00510646">
        <w:rPr>
          <w:rFonts w:ascii="Times New Roman" w:hAnsi="Times New Roman" w:cs="Times New Roman"/>
        </w:rPr>
        <w:t xml:space="preserve"> average</w:t>
      </w:r>
      <w:r w:rsidRPr="00564C8C">
        <w:rPr>
          <w:rFonts w:ascii="Times New Roman" w:hAnsi="Times New Roman" w:cs="Times New Roman"/>
        </w:rPr>
        <w:t xml:space="preserve"> wage rate of those employees from $97.50</w:t>
      </w:r>
      <w:r w:rsidR="006576BE">
        <w:rPr>
          <w:rFonts w:ascii="Times New Roman" w:hAnsi="Times New Roman" w:cs="Times New Roman"/>
        </w:rPr>
        <w:t xml:space="preserve">, as estimated under the 2016 </w:t>
      </w:r>
      <w:r w:rsidR="008B146A">
        <w:rPr>
          <w:rFonts w:ascii="Times New Roman" w:hAnsi="Times New Roman" w:cs="Times New Roman"/>
        </w:rPr>
        <w:t xml:space="preserve">Part 37 </w:t>
      </w:r>
      <w:r w:rsidR="006576BE">
        <w:rPr>
          <w:rFonts w:ascii="Times New Roman" w:hAnsi="Times New Roman" w:cs="Times New Roman"/>
        </w:rPr>
        <w:t>PRA Renewal,</w:t>
      </w:r>
      <w:r w:rsidRPr="00564C8C">
        <w:rPr>
          <w:rFonts w:ascii="Times New Roman" w:hAnsi="Times New Roman" w:cs="Times New Roman"/>
        </w:rPr>
        <w:t xml:space="preserve"> to $148.16 per hour.</w:t>
      </w:r>
      <w:r w:rsidR="00510646" w:rsidRPr="00564C8C">
        <w:rPr>
          <w:rStyle w:val="FootnoteReference"/>
          <w:rFonts w:ascii="Times New Roman" w:hAnsi="Times New Roman" w:cs="Times New Roman"/>
        </w:rPr>
        <w:footnoteReference w:id="14"/>
      </w:r>
      <w:r w:rsidR="0065691B">
        <w:rPr>
          <w:rFonts w:ascii="Times New Roman" w:hAnsi="Times New Roman" w:cs="Times New Roman"/>
        </w:rPr>
        <w:t xml:space="preserve">  Accordingly, the total cost to the government will be $237</w:t>
      </w:r>
      <w:r w:rsidR="00952E7B">
        <w:rPr>
          <w:rFonts w:ascii="Times New Roman" w:hAnsi="Times New Roman" w:cs="Times New Roman"/>
        </w:rPr>
        <w:t>,</w:t>
      </w:r>
      <w:r w:rsidR="0065691B">
        <w:rPr>
          <w:rFonts w:ascii="Times New Roman" w:hAnsi="Times New Roman" w:cs="Times New Roman"/>
        </w:rPr>
        <w:t>056.</w:t>
      </w:r>
      <w:r w:rsidR="0065691B">
        <w:rPr>
          <w:rStyle w:val="FootnoteReference"/>
          <w:rFonts w:ascii="Times New Roman" w:hAnsi="Times New Roman" w:cs="Times New Roman"/>
        </w:rPr>
        <w:footnoteReference w:id="15"/>
      </w:r>
    </w:p>
    <w:p w14:paraId="1426E4AA" w14:textId="448FC7D9" w:rsidR="0095064A" w:rsidRPr="001E097F" w:rsidRDefault="002366C2" w:rsidP="00EC6E27">
      <w:pPr>
        <w:tabs>
          <w:tab w:val="left" w:pos="-720"/>
        </w:tabs>
        <w:suppressAutoHyphens/>
        <w:rPr>
          <w:rFonts w:ascii="Times New Roman" w:hAnsi="Times New Roman" w:cs="Times New Roman"/>
        </w:rPr>
      </w:pPr>
      <w:r>
        <w:rPr>
          <w:rFonts w:ascii="Times New Roman" w:hAnsi="Times New Roman" w:cs="Times New Roman"/>
        </w:rPr>
        <w:t xml:space="preserve"> </w:t>
      </w:r>
    </w:p>
    <w:p w14:paraId="1426E4AB" w14:textId="77777777" w:rsidR="0095064A" w:rsidRPr="001E097F" w:rsidRDefault="0095064A" w:rsidP="0095064A">
      <w:pPr>
        <w:tabs>
          <w:tab w:val="left" w:pos="-720"/>
        </w:tabs>
        <w:suppressAutoHyphens/>
        <w:ind w:left="720" w:hanging="720"/>
        <w:rPr>
          <w:rFonts w:ascii="Times New Roman" w:hAnsi="Times New Roman" w:cs="Times New Roman"/>
        </w:rPr>
      </w:pPr>
    </w:p>
    <w:p w14:paraId="1426E4AC"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15.</w:t>
      </w:r>
      <w:r w:rsidRPr="001E097F">
        <w:rPr>
          <w:rFonts w:ascii="Times New Roman" w:hAnsi="Times New Roman" w:cs="Times New Roman"/>
          <w:b/>
        </w:rPr>
        <w:tab/>
        <w:t>Explain the reasons for any program changes or adjustments reported in Items 13 or 14 of the OMB Form 83-I.</w:t>
      </w:r>
    </w:p>
    <w:p w14:paraId="1426E4AE" w14:textId="2B5E11E8" w:rsidR="00527CB4" w:rsidRPr="001E097F" w:rsidRDefault="0067504B" w:rsidP="00E2342C">
      <w:pPr>
        <w:tabs>
          <w:tab w:val="left" w:pos="-720"/>
          <w:tab w:val="left" w:pos="0"/>
        </w:tabs>
        <w:suppressAutoHyphens/>
        <w:rPr>
          <w:rFonts w:ascii="Times New Roman" w:hAnsi="Times New Roman" w:cs="Times New Roman"/>
        </w:rPr>
      </w:pPr>
      <w:r>
        <w:rPr>
          <w:rFonts w:ascii="Times New Roman" w:hAnsi="Times New Roman" w:cs="Times New Roman"/>
        </w:rPr>
        <w:t>The costs to the government will increase</w:t>
      </w:r>
      <w:r w:rsidR="00CC0C01">
        <w:rPr>
          <w:rFonts w:ascii="Times New Roman" w:hAnsi="Times New Roman" w:cs="Times New Roman"/>
        </w:rPr>
        <w:t xml:space="preserve"> since,</w:t>
      </w:r>
      <w:r>
        <w:rPr>
          <w:rFonts w:ascii="Times New Roman" w:hAnsi="Times New Roman" w:cs="Times New Roman"/>
        </w:rPr>
        <w:t xml:space="preserve"> based on an updated 2017 Commission pay</w:t>
      </w:r>
      <w:r w:rsidR="006100EB">
        <w:rPr>
          <w:rFonts w:ascii="Times New Roman" w:hAnsi="Times New Roman" w:cs="Times New Roman"/>
        </w:rPr>
        <w:t xml:space="preserve"> </w:t>
      </w:r>
      <w:r w:rsidR="00631544">
        <w:rPr>
          <w:rFonts w:ascii="Times New Roman" w:hAnsi="Times New Roman" w:cs="Times New Roman"/>
        </w:rPr>
        <w:t xml:space="preserve">scale, </w:t>
      </w:r>
      <w:r>
        <w:rPr>
          <w:rFonts w:ascii="Times New Roman" w:hAnsi="Times New Roman" w:cs="Times New Roman"/>
        </w:rPr>
        <w:t>Commission staff</w:t>
      </w:r>
      <w:r w:rsidR="00631544">
        <w:rPr>
          <w:rFonts w:ascii="Times New Roman" w:hAnsi="Times New Roman" w:cs="Times New Roman"/>
        </w:rPr>
        <w:t>’s salaries and benefits</w:t>
      </w:r>
      <w:r>
        <w:rPr>
          <w:rFonts w:ascii="Times New Roman" w:hAnsi="Times New Roman" w:cs="Times New Roman"/>
        </w:rPr>
        <w:t xml:space="preserve"> ha</w:t>
      </w:r>
      <w:r w:rsidR="00631544">
        <w:rPr>
          <w:rFonts w:ascii="Times New Roman" w:hAnsi="Times New Roman" w:cs="Times New Roman"/>
        </w:rPr>
        <w:t>ve</w:t>
      </w:r>
      <w:r>
        <w:rPr>
          <w:rFonts w:ascii="Times New Roman" w:hAnsi="Times New Roman" w:cs="Times New Roman"/>
        </w:rPr>
        <w:t xml:space="preserve"> increased</w:t>
      </w:r>
      <w:r w:rsidR="00631544">
        <w:rPr>
          <w:rFonts w:ascii="Times New Roman" w:hAnsi="Times New Roman" w:cs="Times New Roman"/>
        </w:rPr>
        <w:t xml:space="preserve"> across the board</w:t>
      </w:r>
      <w:r>
        <w:rPr>
          <w:rFonts w:ascii="Times New Roman" w:hAnsi="Times New Roman" w:cs="Times New Roman"/>
        </w:rPr>
        <w:t>.</w:t>
      </w:r>
    </w:p>
    <w:p w14:paraId="1426E4B0" w14:textId="77777777" w:rsidR="0095064A" w:rsidRPr="001E097F" w:rsidRDefault="0095064A" w:rsidP="0095064A">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ab/>
      </w:r>
      <w:r w:rsidRPr="001E097F">
        <w:rPr>
          <w:rFonts w:ascii="Times New Roman" w:hAnsi="Times New Roman" w:cs="Times New Roman"/>
        </w:rPr>
        <w:tab/>
      </w:r>
    </w:p>
    <w:p w14:paraId="1426E4B1"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16.</w:t>
      </w:r>
      <w:r w:rsidRPr="001E097F">
        <w:rPr>
          <w:rFonts w:ascii="Times New Roman" w:hAnsi="Times New Roman" w:cs="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1426E4B3" w14:textId="77777777" w:rsidR="0095064A" w:rsidRPr="001E097F" w:rsidRDefault="0095064A" w:rsidP="0095064A">
      <w:pPr>
        <w:tabs>
          <w:tab w:val="left" w:pos="-720"/>
        </w:tabs>
        <w:suppressAutoHyphens/>
        <w:rPr>
          <w:rFonts w:ascii="Times New Roman" w:hAnsi="Times New Roman" w:cs="Times New Roman"/>
        </w:rPr>
      </w:pPr>
      <w:r w:rsidRPr="001E097F">
        <w:rPr>
          <w:rFonts w:ascii="Times New Roman" w:hAnsi="Times New Roman" w:cs="Times New Roman"/>
        </w:rPr>
        <w:t>This question does not apply.</w:t>
      </w:r>
    </w:p>
    <w:p w14:paraId="1426E4B4" w14:textId="77777777" w:rsidR="0095064A" w:rsidRPr="001E097F" w:rsidRDefault="0095064A" w:rsidP="0095064A">
      <w:pPr>
        <w:tabs>
          <w:tab w:val="left" w:pos="-720"/>
        </w:tabs>
        <w:suppressAutoHyphens/>
        <w:rPr>
          <w:rFonts w:ascii="Times New Roman" w:hAnsi="Times New Roman" w:cs="Times New Roman"/>
        </w:rPr>
      </w:pPr>
    </w:p>
    <w:p w14:paraId="1426E4B5"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17.</w:t>
      </w:r>
      <w:r w:rsidRPr="001E097F">
        <w:rPr>
          <w:rFonts w:ascii="Times New Roman" w:hAnsi="Times New Roman" w:cs="Times New Roman"/>
          <w:b/>
        </w:rPr>
        <w:tab/>
        <w:t>If seeking approval to not display the expiration date for OMB approval of the information collection, explain the reasons that display would be inappropriate.</w:t>
      </w:r>
    </w:p>
    <w:p w14:paraId="1426E4B7" w14:textId="77777777" w:rsidR="0095064A" w:rsidRPr="001E097F" w:rsidRDefault="0095064A" w:rsidP="0095064A">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This question does not apply.</w:t>
      </w:r>
    </w:p>
    <w:p w14:paraId="1426E4B8" w14:textId="77777777" w:rsidR="0095064A" w:rsidRPr="001E097F" w:rsidRDefault="0095064A" w:rsidP="0095064A">
      <w:pPr>
        <w:tabs>
          <w:tab w:val="left" w:pos="-720"/>
        </w:tabs>
        <w:suppressAutoHyphens/>
        <w:rPr>
          <w:rFonts w:ascii="Times New Roman" w:hAnsi="Times New Roman" w:cs="Times New Roman"/>
        </w:rPr>
      </w:pPr>
    </w:p>
    <w:p w14:paraId="1426E4B9" w14:textId="77777777" w:rsidR="0095064A" w:rsidRPr="001E097F" w:rsidRDefault="0095064A" w:rsidP="0095064A">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18.</w:t>
      </w:r>
      <w:r w:rsidRPr="001E097F">
        <w:rPr>
          <w:rFonts w:ascii="Times New Roman" w:hAnsi="Times New Roman" w:cs="Times New Roman"/>
          <w:b/>
        </w:rPr>
        <w:tab/>
        <w:t>Explain each exception to the certification statement identified in Item 19, "Certification for Paperwork Reduction Act Submissions," of OMB Form 83-I.</w:t>
      </w:r>
    </w:p>
    <w:p w14:paraId="1426E4BB" w14:textId="77777777" w:rsidR="0095064A" w:rsidRPr="001E097F" w:rsidRDefault="0095064A" w:rsidP="0095064A">
      <w:pPr>
        <w:tabs>
          <w:tab w:val="left" w:pos="-720"/>
          <w:tab w:val="left" w:pos="0"/>
        </w:tabs>
        <w:suppressAutoHyphens/>
        <w:ind w:left="720" w:hanging="720"/>
        <w:rPr>
          <w:rFonts w:ascii="Times New Roman" w:hAnsi="Times New Roman" w:cs="Times New Roman"/>
        </w:rPr>
        <w:sectPr w:rsidR="0095064A" w:rsidRPr="001E097F" w:rsidSect="0095064A">
          <w:headerReference w:type="default" r:id="rId13"/>
          <w:footerReference w:type="default" r:id="rId14"/>
          <w:endnotePr>
            <w:numFmt w:val="decimal"/>
          </w:endnotePr>
          <w:pgSz w:w="12240" w:h="15840"/>
          <w:pgMar w:top="1440" w:right="1440" w:bottom="1440" w:left="1440" w:header="1350" w:footer="1440" w:gutter="0"/>
          <w:pgNumType w:start="1"/>
          <w:cols w:space="720"/>
          <w:noEndnote/>
        </w:sectPr>
      </w:pPr>
      <w:r w:rsidRPr="001E097F">
        <w:rPr>
          <w:rFonts w:ascii="Times New Roman" w:hAnsi="Times New Roman" w:cs="Times New Roman"/>
        </w:rPr>
        <w:t>No exceptions exist.</w:t>
      </w:r>
    </w:p>
    <w:p w14:paraId="70C4AE4F" w14:textId="6EDE3938" w:rsidR="001E097F" w:rsidRDefault="001E097F" w:rsidP="001E097F">
      <w:pPr>
        <w:tabs>
          <w:tab w:val="left" w:pos="-720"/>
        </w:tabs>
        <w:suppressAutoHyphens/>
        <w:jc w:val="center"/>
        <w:rPr>
          <w:rFonts w:ascii="Times New Roman" w:hAnsi="Times New Roman" w:cs="Times New Roman"/>
          <w:u w:val="single"/>
        </w:rPr>
      </w:pPr>
      <w:r>
        <w:rPr>
          <w:rFonts w:ascii="Times New Roman" w:hAnsi="Times New Roman" w:cs="Times New Roman"/>
          <w:u w:val="single"/>
        </w:rPr>
        <w:t>OMB Control Number 3038-007</w:t>
      </w:r>
      <w:r w:rsidR="00BA4E8D">
        <w:rPr>
          <w:rFonts w:ascii="Times New Roman" w:hAnsi="Times New Roman" w:cs="Times New Roman"/>
          <w:u w:val="single"/>
        </w:rPr>
        <w:t>4</w:t>
      </w:r>
    </w:p>
    <w:p w14:paraId="2FD999C3" w14:textId="6986FB26" w:rsidR="001E097F" w:rsidRPr="001E097F" w:rsidRDefault="001E097F" w:rsidP="001E097F">
      <w:pPr>
        <w:tabs>
          <w:tab w:val="left" w:pos="-720"/>
        </w:tabs>
        <w:suppressAutoHyphens/>
        <w:rPr>
          <w:rFonts w:ascii="Times New Roman" w:hAnsi="Times New Roman" w:cs="Times New Roman"/>
        </w:rPr>
      </w:pPr>
      <w:r>
        <w:rPr>
          <w:rFonts w:ascii="Times New Roman" w:hAnsi="Times New Roman" w:cs="Times New Roman"/>
        </w:rPr>
        <w:tab/>
        <w:t>Attachment A includes both (1) a discussion of the Commission’s general assumption and methodology in determining its information collection estimates and (2) tables listing the individual information collection estimates and related burdens for both respondent SEFs and applicants for SEF registration.</w:t>
      </w:r>
    </w:p>
    <w:p w14:paraId="0CA64E80" w14:textId="445FF227" w:rsidR="001E097F" w:rsidRPr="001E097F" w:rsidRDefault="001E097F" w:rsidP="001E097F">
      <w:pPr>
        <w:tabs>
          <w:tab w:val="left" w:pos="-720"/>
        </w:tabs>
        <w:suppressAutoHyphens/>
        <w:jc w:val="center"/>
        <w:rPr>
          <w:rFonts w:ascii="Times New Roman" w:hAnsi="Times New Roman" w:cs="Times New Roman"/>
          <w:b/>
          <w:u w:val="single"/>
        </w:rPr>
      </w:pPr>
      <w:r w:rsidRPr="001E097F">
        <w:rPr>
          <w:rFonts w:ascii="Times New Roman" w:hAnsi="Times New Roman" w:cs="Times New Roman"/>
          <w:b/>
          <w:u w:val="single"/>
        </w:rPr>
        <w:t>General Assumptions and Methodology</w:t>
      </w:r>
    </w:p>
    <w:p w14:paraId="1AE5D185" w14:textId="77777777" w:rsidR="001E097F" w:rsidRPr="001E097F" w:rsidRDefault="001E097F" w:rsidP="001E097F">
      <w:pPr>
        <w:rPr>
          <w:rFonts w:ascii="Times New Roman" w:hAnsi="Times New Roman" w:cs="Times New Roman"/>
        </w:rPr>
      </w:pPr>
      <w:r w:rsidRPr="001E097F">
        <w:rPr>
          <w:rFonts w:ascii="Times New Roman" w:hAnsi="Times New Roman" w:cs="Times New Roman"/>
          <w:b/>
        </w:rPr>
        <w:t>Scope and Applicability of Information Collections</w:t>
      </w:r>
      <w:r w:rsidRPr="001E097F">
        <w:rPr>
          <w:rFonts w:ascii="Times New Roman" w:hAnsi="Times New Roman" w:cs="Times New Roman"/>
        </w:rPr>
        <w:t xml:space="preserve"> </w:t>
      </w:r>
    </w:p>
    <w:p w14:paraId="7DA390F6" w14:textId="168AD0B3" w:rsidR="001E097F" w:rsidRPr="001E097F" w:rsidRDefault="001E097F" w:rsidP="001E097F">
      <w:pPr>
        <w:rPr>
          <w:rFonts w:ascii="Times New Roman" w:hAnsi="Times New Roman" w:cs="Times New Roman"/>
        </w:rPr>
      </w:pPr>
      <w:r w:rsidRPr="001E097F">
        <w:rPr>
          <w:rFonts w:ascii="Times New Roman" w:hAnsi="Times New Roman" w:cs="Times New Roman"/>
        </w:rPr>
        <w:t>As discussed in footnote 1 above, OMB Control Number 3038-0074 covers all information collections in part 37, including Subpart A and the SEF core principles (</w:t>
      </w:r>
      <w:r w:rsidRPr="001E097F">
        <w:rPr>
          <w:rFonts w:ascii="Times New Roman" w:hAnsi="Times New Roman" w:cs="Times New Roman"/>
          <w:i/>
        </w:rPr>
        <w:t>i.e.</w:t>
      </w:r>
      <w:r w:rsidRPr="001E097F">
        <w:rPr>
          <w:rFonts w:ascii="Times New Roman" w:hAnsi="Times New Roman" w:cs="Times New Roman"/>
        </w:rPr>
        <w:t>, Subparts B through P) as well as the related appendices thereto (</w:t>
      </w:r>
      <w:r w:rsidRPr="001E097F">
        <w:rPr>
          <w:rFonts w:ascii="Times New Roman" w:hAnsi="Times New Roman" w:cs="Times New Roman"/>
          <w:i/>
        </w:rPr>
        <w:t>i.e.</w:t>
      </w:r>
      <w:r w:rsidRPr="001E097F">
        <w:rPr>
          <w:rFonts w:ascii="Times New Roman" w:hAnsi="Times New Roman" w:cs="Times New Roman"/>
        </w:rPr>
        <w:t>, Appendix A—Form SEF, Appendix B—Guidance and Acceptable Practices, and proposed Appendix C—Guidance to Core Principle 3).</w:t>
      </w:r>
      <w:r w:rsidRPr="001E097F">
        <w:rPr>
          <w:rStyle w:val="FootnoteReference"/>
          <w:rFonts w:ascii="Times New Roman" w:hAnsi="Times New Roman" w:cs="Times New Roman"/>
        </w:rPr>
        <w:footnoteReference w:id="16"/>
      </w:r>
      <w:r w:rsidRPr="001E097F">
        <w:rPr>
          <w:rFonts w:ascii="Times New Roman" w:hAnsi="Times New Roman" w:cs="Times New Roman"/>
        </w:rPr>
        <w:t xml:space="preserve">  The OMB control number also includes all information collections related to part 9 and proposed part 36 to the extent applicable to SEFs.  </w:t>
      </w:r>
    </w:p>
    <w:p w14:paraId="3A1A882A" w14:textId="33A17DD3" w:rsidR="001E097F" w:rsidRPr="001E097F" w:rsidRDefault="001E097F" w:rsidP="00C53A83">
      <w:pPr>
        <w:rPr>
          <w:rFonts w:ascii="Times New Roman" w:hAnsi="Times New Roman" w:cs="Times New Roman"/>
        </w:rPr>
      </w:pPr>
      <w:r w:rsidRPr="001E097F">
        <w:rPr>
          <w:rFonts w:ascii="Times New Roman" w:hAnsi="Times New Roman" w:cs="Times New Roman"/>
        </w:rPr>
        <w:t>For clarity, existing § 37.10(a), which covers the information collections related to the “made available to trade” process (“</w:t>
      </w:r>
      <w:r w:rsidRPr="001E097F">
        <w:rPr>
          <w:rFonts w:ascii="Times New Roman" w:hAnsi="Times New Roman" w:cs="Times New Roman"/>
          <w:b/>
          <w:u w:val="single"/>
        </w:rPr>
        <w:t>MAT process</w:t>
      </w:r>
      <w:r w:rsidRPr="001E097F">
        <w:rPr>
          <w:rFonts w:ascii="Times New Roman" w:hAnsi="Times New Roman" w:cs="Times New Roman"/>
        </w:rPr>
        <w:t>”), is not covered under this OMB control number, but rather is subject to a separate information collection under OMB control number 3038-0099.</w:t>
      </w:r>
      <w:r w:rsidRPr="001E097F">
        <w:rPr>
          <w:rStyle w:val="FootnoteReference"/>
          <w:rFonts w:ascii="Times New Roman" w:hAnsi="Times New Roman" w:cs="Times New Roman"/>
        </w:rPr>
        <w:footnoteReference w:id="17"/>
      </w:r>
      <w:r w:rsidRPr="001E097F">
        <w:rPr>
          <w:rFonts w:ascii="Times New Roman" w:hAnsi="Times New Roman" w:cs="Times New Roman"/>
        </w:rPr>
        <w:t xml:space="preserve">  Upon the Part 37 NPRM becoming a final rule, the Commission would eliminate OMB control number 3038-0099 and move the information collections related to SEFs to revised part 36 of the Commission’s regulations and create new information collections related to the MAT process under this OMB Control Number</w:t>
      </w:r>
      <w:r w:rsidR="0067504B">
        <w:rPr>
          <w:rFonts w:ascii="Times New Roman" w:hAnsi="Times New Roman" w:cs="Times New Roman"/>
        </w:rPr>
        <w:t xml:space="preserve"> 3038-0074</w:t>
      </w:r>
      <w:r w:rsidRPr="001E097F">
        <w:rPr>
          <w:rFonts w:ascii="Times New Roman" w:hAnsi="Times New Roman" w:cs="Times New Roman"/>
        </w:rPr>
        <w:t>.</w:t>
      </w:r>
      <w:r w:rsidRPr="001E097F">
        <w:rPr>
          <w:rStyle w:val="FootnoteReference"/>
          <w:rFonts w:ascii="Times New Roman" w:hAnsi="Times New Roman" w:cs="Times New Roman"/>
        </w:rPr>
        <w:footnoteReference w:id="18"/>
      </w:r>
      <w:r w:rsidRPr="001E097F">
        <w:rPr>
          <w:rFonts w:ascii="Times New Roman" w:hAnsi="Times New Roman" w:cs="Times New Roman"/>
        </w:rPr>
        <w:t xml:space="preserve">  This new MAT process information collection is reflected under the “Part 36 (MAT Process)” line item in the reporting table below for registered SEFs.</w:t>
      </w:r>
      <w:r w:rsidR="002A792D">
        <w:rPr>
          <w:rFonts w:ascii="Times New Roman" w:hAnsi="Times New Roman" w:cs="Times New Roman"/>
        </w:rPr>
        <w:t xml:space="preserve"> </w:t>
      </w:r>
      <w:r w:rsidR="00C53A83">
        <w:rPr>
          <w:rFonts w:ascii="Times New Roman" w:hAnsi="Times New Roman" w:cs="Times New Roman"/>
        </w:rPr>
        <w:t xml:space="preserve"> The Part 37 NPRM </w:t>
      </w:r>
      <w:r w:rsidR="00C53A83" w:rsidRPr="00C53A83">
        <w:rPr>
          <w:rFonts w:ascii="Times New Roman" w:hAnsi="Times New Roman" w:cs="Times New Roman"/>
        </w:rPr>
        <w:t>would eliminate the</w:t>
      </w:r>
      <w:r w:rsidR="00FC67D8">
        <w:rPr>
          <w:rFonts w:ascii="Times New Roman" w:hAnsi="Times New Roman" w:cs="Times New Roman"/>
        </w:rPr>
        <w:t xml:space="preserve"> </w:t>
      </w:r>
      <w:r w:rsidR="00C53A83" w:rsidRPr="00C53A83">
        <w:rPr>
          <w:rFonts w:ascii="Times New Roman" w:hAnsi="Times New Roman" w:cs="Times New Roman"/>
        </w:rPr>
        <w:t xml:space="preserve">MAT process for SEFs and DCMs and establish a new approach based on a revised interpretation of the trade execution requirement in CEA section 2(h)(8). </w:t>
      </w:r>
      <w:r w:rsidR="00483B45">
        <w:rPr>
          <w:rFonts w:ascii="Times New Roman" w:hAnsi="Times New Roman" w:cs="Times New Roman"/>
        </w:rPr>
        <w:t xml:space="preserve"> </w:t>
      </w:r>
      <w:r w:rsidR="00C53A83" w:rsidRPr="00C53A83">
        <w:rPr>
          <w:rFonts w:ascii="Times New Roman" w:hAnsi="Times New Roman" w:cs="Times New Roman"/>
        </w:rPr>
        <w:t>The trade execution requirement would apply to swaps that are both (i) subject to the clearing requirement and (ii) listed by a SEF or DCM for trading.</w:t>
      </w:r>
      <w:r w:rsidR="00483B45">
        <w:rPr>
          <w:rFonts w:ascii="Times New Roman" w:hAnsi="Times New Roman" w:cs="Times New Roman"/>
        </w:rPr>
        <w:t xml:space="preserve"> </w:t>
      </w:r>
      <w:r w:rsidR="00C53A83" w:rsidRPr="00C53A83">
        <w:rPr>
          <w:rFonts w:ascii="Times New Roman" w:hAnsi="Times New Roman" w:cs="Times New Roman"/>
        </w:rPr>
        <w:t xml:space="preserve"> Based on this approach, a number of new interest rate swaps and credit default swaps would be subject to the trade execution requirement.</w:t>
      </w:r>
      <w:r w:rsidR="00C53A83">
        <w:rPr>
          <w:rFonts w:ascii="Times New Roman" w:hAnsi="Times New Roman" w:cs="Times New Roman"/>
        </w:rPr>
        <w:t xml:space="preserve">  The proposed MAT process under </w:t>
      </w:r>
      <w:r w:rsidR="00636CC2">
        <w:rPr>
          <w:rFonts w:ascii="Times New Roman" w:hAnsi="Times New Roman" w:cs="Times New Roman"/>
        </w:rPr>
        <w:t xml:space="preserve">proposed </w:t>
      </w:r>
      <w:r w:rsidR="00C53A83">
        <w:rPr>
          <w:rFonts w:ascii="Times New Roman" w:hAnsi="Times New Roman" w:cs="Times New Roman"/>
        </w:rPr>
        <w:t xml:space="preserve">part 36 of the Commission’s regulations would impose a reporting information collection since each </w:t>
      </w:r>
      <w:r w:rsidR="00214FAC">
        <w:rPr>
          <w:rFonts w:ascii="Times New Roman" w:hAnsi="Times New Roman" w:cs="Times New Roman"/>
        </w:rPr>
        <w:t>SEF</w:t>
      </w:r>
      <w:r w:rsidR="00C53A83">
        <w:rPr>
          <w:rFonts w:ascii="Times New Roman" w:hAnsi="Times New Roman" w:cs="Times New Roman"/>
        </w:rPr>
        <w:t xml:space="preserve"> would be require</w:t>
      </w:r>
      <w:r w:rsidR="00214FAC">
        <w:rPr>
          <w:rFonts w:ascii="Times New Roman" w:hAnsi="Times New Roman" w:cs="Times New Roman"/>
        </w:rPr>
        <w:t>d to submit to the Commission new Form TER that identifies any swap that the SEF lists for trading that also is, or becomes, subject to the CEA’s clearing requirement under section 2(h)(1) of the CEA.</w:t>
      </w:r>
    </w:p>
    <w:p w14:paraId="2D82F197" w14:textId="77777777" w:rsidR="001E097F" w:rsidRDefault="001E097F" w:rsidP="001E097F">
      <w:pPr>
        <w:rPr>
          <w:rFonts w:ascii="Times New Roman" w:hAnsi="Times New Roman" w:cs="Times New Roman"/>
          <w:b/>
        </w:rPr>
      </w:pPr>
    </w:p>
    <w:p w14:paraId="76AE5F04" w14:textId="76E39D2E" w:rsidR="001E097F" w:rsidRPr="001E097F" w:rsidRDefault="001E097F" w:rsidP="001E097F">
      <w:pPr>
        <w:rPr>
          <w:rFonts w:ascii="Times New Roman" w:hAnsi="Times New Roman" w:cs="Times New Roman"/>
        </w:rPr>
      </w:pPr>
      <w:r w:rsidRPr="001E097F">
        <w:rPr>
          <w:rFonts w:ascii="Times New Roman" w:hAnsi="Times New Roman" w:cs="Times New Roman"/>
          <w:b/>
        </w:rPr>
        <w:t>Estimated Number of Respondents</w:t>
      </w:r>
      <w:r w:rsidRPr="001E097F">
        <w:rPr>
          <w:rFonts w:ascii="Times New Roman" w:hAnsi="Times New Roman" w:cs="Times New Roman"/>
        </w:rPr>
        <w:t xml:space="preserve"> </w:t>
      </w:r>
    </w:p>
    <w:p w14:paraId="1A801F6E" w14:textId="66019725" w:rsidR="001E097F" w:rsidRPr="001E097F" w:rsidRDefault="001E097F" w:rsidP="001E097F">
      <w:pPr>
        <w:ind w:firstLine="720"/>
        <w:rPr>
          <w:rFonts w:ascii="Times New Roman" w:hAnsi="Times New Roman" w:cs="Times New Roman"/>
        </w:rPr>
      </w:pPr>
      <w:r w:rsidRPr="001E097F">
        <w:rPr>
          <w:rFonts w:ascii="Times New Roman" w:hAnsi="Times New Roman" w:cs="Times New Roman"/>
        </w:rPr>
        <w:t xml:space="preserve">1.  </w:t>
      </w:r>
      <w:r w:rsidRPr="001E097F">
        <w:rPr>
          <w:rFonts w:ascii="Times New Roman" w:hAnsi="Times New Roman" w:cs="Times New Roman"/>
          <w:u w:val="single"/>
        </w:rPr>
        <w:t>SEF registration</w:t>
      </w:r>
      <w:r w:rsidR="008C5EE8">
        <w:rPr>
          <w:rFonts w:ascii="Times New Roman" w:hAnsi="Times New Roman" w:cs="Times New Roman"/>
          <w:u w:val="single"/>
        </w:rPr>
        <w:t xml:space="preserve"> process</w:t>
      </w:r>
      <w:r w:rsidRPr="001E097F">
        <w:rPr>
          <w:rFonts w:ascii="Times New Roman" w:hAnsi="Times New Roman" w:cs="Times New Roman"/>
        </w:rPr>
        <w:t xml:space="preserve">: The Commission estimates that </w:t>
      </w:r>
      <w:r w:rsidR="00647309">
        <w:rPr>
          <w:rFonts w:ascii="Times New Roman" w:hAnsi="Times New Roman" w:cs="Times New Roman"/>
        </w:rPr>
        <w:t>it will continue to receive</w:t>
      </w:r>
      <w:r w:rsidRPr="001E097F">
        <w:rPr>
          <w:rFonts w:ascii="Times New Roman" w:hAnsi="Times New Roman" w:cs="Times New Roman"/>
        </w:rPr>
        <w:t xml:space="preserve"> 4 applicants per year</w:t>
      </w:r>
      <w:r w:rsidR="008C5EE8">
        <w:rPr>
          <w:rFonts w:ascii="Times New Roman" w:hAnsi="Times New Roman" w:cs="Times New Roman"/>
        </w:rPr>
        <w:t xml:space="preserve"> for SEF registration</w:t>
      </w:r>
      <w:r w:rsidR="00647309">
        <w:rPr>
          <w:rFonts w:ascii="Times New Roman" w:hAnsi="Times New Roman" w:cs="Times New Roman"/>
        </w:rPr>
        <w:t xml:space="preserve">.  </w:t>
      </w:r>
      <w:r w:rsidR="008C5EE8">
        <w:rPr>
          <w:rFonts w:ascii="Times New Roman" w:hAnsi="Times New Roman" w:cs="Times New Roman"/>
        </w:rPr>
        <w:t>Additionally, a</w:t>
      </w:r>
      <w:r w:rsidR="00647309">
        <w:rPr>
          <w:rFonts w:ascii="Times New Roman" w:hAnsi="Times New Roman" w:cs="Times New Roman"/>
        </w:rPr>
        <w:t xml:space="preserve">s discussed above, the Commission also expects to receive requests to delay the registration requirement from </w:t>
      </w:r>
      <w:r w:rsidRPr="001E097F">
        <w:rPr>
          <w:rFonts w:ascii="Times New Roman" w:hAnsi="Times New Roman" w:cs="Times New Roman"/>
        </w:rPr>
        <w:t>an additional 60</w:t>
      </w:r>
      <w:r w:rsidR="00EF693D">
        <w:rPr>
          <w:rFonts w:ascii="Times New Roman" w:hAnsi="Times New Roman" w:cs="Times New Roman"/>
        </w:rPr>
        <w:t xml:space="preserve"> total</w:t>
      </w:r>
      <w:r w:rsidRPr="001E097F">
        <w:rPr>
          <w:rFonts w:ascii="Times New Roman" w:hAnsi="Times New Roman" w:cs="Times New Roman"/>
        </w:rPr>
        <w:t xml:space="preserve"> new </w:t>
      </w:r>
      <w:r w:rsidR="00647309">
        <w:rPr>
          <w:rFonts w:ascii="Times New Roman" w:hAnsi="Times New Roman" w:cs="Times New Roman"/>
        </w:rPr>
        <w:t>entities</w:t>
      </w:r>
      <w:r w:rsidR="00647309" w:rsidRPr="001E097F">
        <w:rPr>
          <w:rFonts w:ascii="Times New Roman" w:hAnsi="Times New Roman" w:cs="Times New Roman"/>
        </w:rPr>
        <w:t xml:space="preserve"> </w:t>
      </w:r>
      <w:r w:rsidRPr="001E097F">
        <w:rPr>
          <w:rFonts w:ascii="Times New Roman" w:hAnsi="Times New Roman" w:cs="Times New Roman"/>
        </w:rPr>
        <w:t xml:space="preserve">as a result of the Commission’s proposed application and </w:t>
      </w:r>
      <w:r w:rsidR="00636CC2">
        <w:rPr>
          <w:rFonts w:ascii="Times New Roman" w:hAnsi="Times New Roman" w:cs="Times New Roman"/>
        </w:rPr>
        <w:t>interpretation</w:t>
      </w:r>
      <w:r w:rsidR="00636CC2" w:rsidRPr="001E097F">
        <w:rPr>
          <w:rFonts w:ascii="Times New Roman" w:hAnsi="Times New Roman" w:cs="Times New Roman"/>
        </w:rPr>
        <w:t xml:space="preserve"> </w:t>
      </w:r>
      <w:r w:rsidRPr="001E097F">
        <w:rPr>
          <w:rFonts w:ascii="Times New Roman" w:hAnsi="Times New Roman" w:cs="Times New Roman"/>
        </w:rPr>
        <w:t>of the CEA’s SEF registration requirement, as promulgated in § 37.3 of the Commission’s regulations.</w:t>
      </w:r>
      <w:r w:rsidRPr="001E097F">
        <w:rPr>
          <w:rStyle w:val="FootnoteReference"/>
          <w:rFonts w:ascii="Times New Roman" w:hAnsi="Times New Roman" w:cs="Times New Roman"/>
        </w:rPr>
        <w:footnoteReference w:id="19"/>
      </w:r>
      <w:r w:rsidRPr="001E097F">
        <w:rPr>
          <w:rFonts w:ascii="Times New Roman" w:hAnsi="Times New Roman" w:cs="Times New Roman"/>
        </w:rPr>
        <w:t xml:space="preserve">  </w:t>
      </w:r>
      <w:r w:rsidR="00955540">
        <w:rPr>
          <w:rFonts w:ascii="Times New Roman" w:hAnsi="Times New Roman" w:cs="Times New Roman"/>
        </w:rPr>
        <w:t>T</w:t>
      </w:r>
      <w:r w:rsidRPr="001E097F">
        <w:rPr>
          <w:rFonts w:ascii="Times New Roman" w:hAnsi="Times New Roman" w:cs="Times New Roman"/>
        </w:rPr>
        <w:t>h</w:t>
      </w:r>
      <w:r w:rsidR="008C5EE8">
        <w:rPr>
          <w:rFonts w:ascii="Times New Roman" w:hAnsi="Times New Roman" w:cs="Times New Roman"/>
        </w:rPr>
        <w:t>e</w:t>
      </w:r>
      <w:r w:rsidR="00647309">
        <w:rPr>
          <w:rFonts w:ascii="Times New Roman" w:hAnsi="Times New Roman" w:cs="Times New Roman"/>
        </w:rPr>
        <w:t xml:space="preserve"> Commission notes that the 60 new entities and their related requests for a delay of the registration requirement</w:t>
      </w:r>
      <w:r w:rsidRPr="001E097F">
        <w:rPr>
          <w:rFonts w:ascii="Times New Roman" w:hAnsi="Times New Roman" w:cs="Times New Roman"/>
        </w:rPr>
        <w:t xml:space="preserve"> would be on a one-time basis due to the Part 37 NPRM’s proposed changes related to the Commission’s interpretation of the CEA’s registration requirement</w:t>
      </w:r>
      <w:r w:rsidR="00647309">
        <w:rPr>
          <w:rFonts w:ascii="Times New Roman" w:hAnsi="Times New Roman" w:cs="Times New Roman"/>
        </w:rPr>
        <w:t xml:space="preserve"> (although the Commission expects that these 60 entities will eventually</w:t>
      </w:r>
      <w:r w:rsidR="00636CC2">
        <w:rPr>
          <w:rFonts w:ascii="Times New Roman" w:hAnsi="Times New Roman" w:cs="Times New Roman"/>
        </w:rPr>
        <w:t xml:space="preserve"> in the future</w:t>
      </w:r>
      <w:r w:rsidR="00647309">
        <w:rPr>
          <w:rFonts w:ascii="Times New Roman" w:hAnsi="Times New Roman" w:cs="Times New Roman"/>
        </w:rPr>
        <w:t xml:space="preserve"> </w:t>
      </w:r>
      <w:r w:rsidR="00636CC2">
        <w:rPr>
          <w:rFonts w:ascii="Times New Roman" w:hAnsi="Times New Roman" w:cs="Times New Roman"/>
        </w:rPr>
        <w:t>apply for SEF registration</w:t>
      </w:r>
      <w:r w:rsidR="00647309">
        <w:rPr>
          <w:rFonts w:ascii="Times New Roman" w:hAnsi="Times New Roman" w:cs="Times New Roman"/>
        </w:rPr>
        <w:t xml:space="preserve"> and become registered SEFs)</w:t>
      </w:r>
      <w:r w:rsidRPr="001E097F">
        <w:rPr>
          <w:rFonts w:ascii="Times New Roman" w:hAnsi="Times New Roman" w:cs="Times New Roman"/>
        </w:rPr>
        <w:t>.</w:t>
      </w:r>
      <w:r w:rsidR="0061222A">
        <w:rPr>
          <w:rFonts w:ascii="Times New Roman" w:hAnsi="Times New Roman" w:cs="Times New Roman"/>
        </w:rPr>
        <w:t xml:space="preserve">  The Commission is annualizing these 60 new entities across the three years covered by this OMB Control Number </w:t>
      </w:r>
      <w:r w:rsidR="00854FE4">
        <w:rPr>
          <w:rFonts w:ascii="Times New Roman" w:hAnsi="Times New Roman" w:cs="Times New Roman"/>
        </w:rPr>
        <w:t xml:space="preserve">3038-00074 </w:t>
      </w:r>
      <w:r w:rsidR="0061222A">
        <w:rPr>
          <w:rFonts w:ascii="Times New Roman" w:hAnsi="Times New Roman" w:cs="Times New Roman"/>
        </w:rPr>
        <w:t>so that the table below</w:t>
      </w:r>
      <w:r w:rsidR="00EF693D">
        <w:rPr>
          <w:rFonts w:ascii="Times New Roman" w:hAnsi="Times New Roman" w:cs="Times New Roman"/>
        </w:rPr>
        <w:t xml:space="preserve"> (“Burdens: SEF Registration”)</w:t>
      </w:r>
      <w:r w:rsidR="0061222A">
        <w:rPr>
          <w:rFonts w:ascii="Times New Roman" w:hAnsi="Times New Roman" w:cs="Times New Roman"/>
        </w:rPr>
        <w:t xml:space="preserve"> will list 20 entities per year (60 entities / 3 years = 20 entities per year), although the Commission notes that it expects all 60 entities to request a delay in the </w:t>
      </w:r>
      <w:r w:rsidR="00EF693D">
        <w:rPr>
          <w:rFonts w:ascii="Times New Roman" w:hAnsi="Times New Roman" w:cs="Times New Roman"/>
        </w:rPr>
        <w:t>registration</w:t>
      </w:r>
      <w:r w:rsidR="0061222A">
        <w:rPr>
          <w:rFonts w:ascii="Times New Roman" w:hAnsi="Times New Roman" w:cs="Times New Roman"/>
        </w:rPr>
        <w:t xml:space="preserve"> requirement within the first year.</w:t>
      </w:r>
    </w:p>
    <w:p w14:paraId="531862BC" w14:textId="6C24F6D6" w:rsidR="001E097F" w:rsidRPr="001E097F" w:rsidRDefault="001E097F" w:rsidP="001E097F">
      <w:pPr>
        <w:ind w:firstLine="720"/>
        <w:rPr>
          <w:rFonts w:ascii="Times New Roman" w:hAnsi="Times New Roman" w:cs="Times New Roman"/>
        </w:rPr>
      </w:pPr>
      <w:r w:rsidRPr="001E097F">
        <w:rPr>
          <w:rFonts w:ascii="Times New Roman" w:hAnsi="Times New Roman" w:cs="Times New Roman"/>
        </w:rPr>
        <w:t xml:space="preserve">2.  </w:t>
      </w:r>
      <w:r w:rsidRPr="001E097F">
        <w:rPr>
          <w:rFonts w:ascii="Times New Roman" w:hAnsi="Times New Roman" w:cs="Times New Roman"/>
          <w:u w:val="single"/>
        </w:rPr>
        <w:t>Registered SEFs</w:t>
      </w:r>
      <w:r w:rsidRPr="001E097F">
        <w:rPr>
          <w:rFonts w:ascii="Times New Roman" w:hAnsi="Times New Roman" w:cs="Times New Roman"/>
        </w:rPr>
        <w:t xml:space="preserve">: The Commission notes that there are currently 25 registered SEFs.  As discussed above, the Commission expects </w:t>
      </w:r>
      <w:r w:rsidR="002E5E1E">
        <w:rPr>
          <w:rFonts w:ascii="Times New Roman" w:hAnsi="Times New Roman" w:cs="Times New Roman"/>
        </w:rPr>
        <w:t xml:space="preserve">that </w:t>
      </w:r>
      <w:r w:rsidRPr="001E097F">
        <w:rPr>
          <w:rFonts w:ascii="Times New Roman" w:hAnsi="Times New Roman" w:cs="Times New Roman"/>
        </w:rPr>
        <w:t xml:space="preserve">an additional 60 entities will </w:t>
      </w:r>
      <w:r w:rsidR="001F2E6E">
        <w:rPr>
          <w:rFonts w:ascii="Times New Roman" w:hAnsi="Times New Roman" w:cs="Times New Roman"/>
        </w:rPr>
        <w:t xml:space="preserve">eventually </w:t>
      </w:r>
      <w:r w:rsidRPr="001E097F">
        <w:rPr>
          <w:rFonts w:ascii="Times New Roman" w:hAnsi="Times New Roman" w:cs="Times New Roman"/>
        </w:rPr>
        <w:t>register as SEFs based on the Commission’s proposed interpretation and application of the CEA’s SEF registration requirement, as promulgate</w:t>
      </w:r>
      <w:r w:rsidR="001E090F">
        <w:rPr>
          <w:rFonts w:ascii="Times New Roman" w:hAnsi="Times New Roman" w:cs="Times New Roman"/>
        </w:rPr>
        <w:t>d</w:t>
      </w:r>
      <w:r w:rsidRPr="001E097F">
        <w:rPr>
          <w:rFonts w:ascii="Times New Roman" w:hAnsi="Times New Roman" w:cs="Times New Roman"/>
        </w:rPr>
        <w:t xml:space="preserve"> in § 37.3 of the Commission’s regulations.</w:t>
      </w:r>
      <w:r w:rsidR="001F7DF1">
        <w:rPr>
          <w:rFonts w:ascii="Times New Roman" w:hAnsi="Times New Roman" w:cs="Times New Roman"/>
        </w:rPr>
        <w:t xml:space="preserve">  </w:t>
      </w:r>
      <w:r w:rsidR="001F2E6E">
        <w:rPr>
          <w:rFonts w:ascii="Times New Roman" w:hAnsi="Times New Roman" w:cs="Times New Roman"/>
        </w:rPr>
        <w:t>T</w:t>
      </w:r>
      <w:r w:rsidR="001F7DF1">
        <w:rPr>
          <w:rFonts w:ascii="Times New Roman" w:hAnsi="Times New Roman" w:cs="Times New Roman"/>
        </w:rPr>
        <w:t>he Commission also estimates</w:t>
      </w:r>
      <w:r w:rsidR="001F2E6E">
        <w:rPr>
          <w:rFonts w:ascii="Times New Roman" w:hAnsi="Times New Roman" w:cs="Times New Roman"/>
        </w:rPr>
        <w:t>, however,</w:t>
      </w:r>
      <w:r w:rsidR="001F7DF1">
        <w:rPr>
          <w:rFonts w:ascii="Times New Roman" w:hAnsi="Times New Roman" w:cs="Times New Roman"/>
        </w:rPr>
        <w:t xml:space="preserve"> that these 60 entities will request a delay in the application to the revised SEF registration requirement and will be eligible for such a delay for a varying amount of time depending on the type of entity (</w:t>
      </w:r>
      <w:r w:rsidR="001F7DF1">
        <w:rPr>
          <w:rFonts w:ascii="Times New Roman" w:hAnsi="Times New Roman" w:cs="Times New Roman"/>
          <w:i/>
        </w:rPr>
        <w:t>i.e.</w:t>
      </w:r>
      <w:r w:rsidR="001F7DF1">
        <w:rPr>
          <w:rFonts w:ascii="Times New Roman" w:hAnsi="Times New Roman" w:cs="Times New Roman"/>
        </w:rPr>
        <w:t>, domestic vs. foreign).</w:t>
      </w:r>
      <w:r w:rsidRPr="001E097F">
        <w:rPr>
          <w:rFonts w:ascii="Times New Roman" w:hAnsi="Times New Roman" w:cs="Times New Roman"/>
        </w:rPr>
        <w:t xml:space="preserve">  Accordingly, the Commission generally expects that the number of respondents for information collections associated with registered SEFs will generally increase by </w:t>
      </w:r>
      <w:r w:rsidR="00FC38DF">
        <w:rPr>
          <w:rFonts w:ascii="Times New Roman" w:hAnsi="Times New Roman" w:cs="Times New Roman"/>
        </w:rPr>
        <w:t>2</w:t>
      </w:r>
      <w:r w:rsidRPr="001E097F">
        <w:rPr>
          <w:rFonts w:ascii="Times New Roman" w:hAnsi="Times New Roman" w:cs="Times New Roman"/>
        </w:rPr>
        <w:t xml:space="preserve">0 entities, for a total of </w:t>
      </w:r>
      <w:r w:rsidR="00FC38DF">
        <w:rPr>
          <w:rFonts w:ascii="Times New Roman" w:hAnsi="Times New Roman" w:cs="Times New Roman"/>
        </w:rPr>
        <w:t>4</w:t>
      </w:r>
      <w:r w:rsidRPr="001E097F">
        <w:rPr>
          <w:rFonts w:ascii="Times New Roman" w:hAnsi="Times New Roman" w:cs="Times New Roman"/>
        </w:rPr>
        <w:t>5 total respondents</w:t>
      </w:r>
      <w:r w:rsidR="00FC38DF">
        <w:rPr>
          <w:rFonts w:ascii="Times New Roman" w:hAnsi="Times New Roman" w:cs="Times New Roman"/>
        </w:rPr>
        <w:t xml:space="preserve"> </w:t>
      </w:r>
      <w:r w:rsidR="001F2E6E">
        <w:rPr>
          <w:rFonts w:ascii="Times New Roman" w:hAnsi="Times New Roman" w:cs="Times New Roman"/>
        </w:rPr>
        <w:t xml:space="preserve">per year </w:t>
      </w:r>
      <w:r w:rsidR="00FC38DF">
        <w:rPr>
          <w:rFonts w:ascii="Times New Roman" w:hAnsi="Times New Roman" w:cs="Times New Roman"/>
        </w:rPr>
        <w:t>during the 3-year period covered by this OMB Control Number 3038-0074</w:t>
      </w:r>
      <w:r w:rsidRPr="001E097F">
        <w:rPr>
          <w:rFonts w:ascii="Times New Roman" w:hAnsi="Times New Roman" w:cs="Times New Roman"/>
        </w:rPr>
        <w:t xml:space="preserve"> (25 currently-registered SEFs + </w:t>
      </w:r>
      <w:r w:rsidR="00FC38DF">
        <w:rPr>
          <w:rFonts w:ascii="Times New Roman" w:hAnsi="Times New Roman" w:cs="Times New Roman"/>
        </w:rPr>
        <w:t>2</w:t>
      </w:r>
      <w:r w:rsidRPr="001E097F">
        <w:rPr>
          <w:rFonts w:ascii="Times New Roman" w:hAnsi="Times New Roman" w:cs="Times New Roman"/>
        </w:rPr>
        <w:t xml:space="preserve">0 newly-registered SEFs = </w:t>
      </w:r>
      <w:r w:rsidR="00FC38DF">
        <w:rPr>
          <w:rFonts w:ascii="Times New Roman" w:hAnsi="Times New Roman" w:cs="Times New Roman"/>
        </w:rPr>
        <w:t>4</w:t>
      </w:r>
      <w:r w:rsidRPr="001E097F">
        <w:rPr>
          <w:rFonts w:ascii="Times New Roman" w:hAnsi="Times New Roman" w:cs="Times New Roman"/>
        </w:rPr>
        <w:t>5 total SEFs)</w:t>
      </w:r>
      <w:r w:rsidR="00483B45">
        <w:rPr>
          <w:rFonts w:ascii="Times New Roman" w:hAnsi="Times New Roman" w:cs="Times New Roman"/>
        </w:rPr>
        <w:t>,</w:t>
      </w:r>
      <w:r w:rsidRPr="001E097F">
        <w:rPr>
          <w:rFonts w:ascii="Times New Roman" w:hAnsi="Times New Roman" w:cs="Times New Roman"/>
        </w:rPr>
        <w:t xml:space="preserve"> unless otherwise noted.</w:t>
      </w:r>
      <w:r w:rsidR="0019100E">
        <w:rPr>
          <w:rFonts w:ascii="Times New Roman" w:hAnsi="Times New Roman" w:cs="Times New Roman"/>
        </w:rPr>
        <w:t xml:space="preserve"> </w:t>
      </w:r>
    </w:p>
    <w:p w14:paraId="7A5DCC66" w14:textId="77777777" w:rsidR="001E097F" w:rsidRDefault="001E097F" w:rsidP="001E097F">
      <w:pPr>
        <w:rPr>
          <w:rFonts w:ascii="Times New Roman" w:hAnsi="Times New Roman" w:cs="Times New Roman"/>
          <w:b/>
        </w:rPr>
      </w:pPr>
    </w:p>
    <w:p w14:paraId="6CB26C81" w14:textId="77777777" w:rsidR="001E097F" w:rsidRPr="001E097F" w:rsidRDefault="001E097F" w:rsidP="001E097F">
      <w:pPr>
        <w:rPr>
          <w:rFonts w:ascii="Times New Roman" w:hAnsi="Times New Roman" w:cs="Times New Roman"/>
          <w:b/>
        </w:rPr>
      </w:pPr>
      <w:r w:rsidRPr="001E097F">
        <w:rPr>
          <w:rFonts w:ascii="Times New Roman" w:hAnsi="Times New Roman" w:cs="Times New Roman"/>
          <w:b/>
        </w:rPr>
        <w:t>Average Burden Hour Cost</w:t>
      </w:r>
    </w:p>
    <w:p w14:paraId="13F98814" w14:textId="61C36BE4" w:rsidR="001E097F" w:rsidRPr="001E097F" w:rsidRDefault="001E097F" w:rsidP="001E097F">
      <w:pPr>
        <w:rPr>
          <w:rFonts w:ascii="Times New Roman" w:hAnsi="Times New Roman" w:cs="Times New Roman"/>
        </w:rPr>
      </w:pPr>
      <w:r w:rsidRPr="001E097F">
        <w:rPr>
          <w:rFonts w:ascii="Times New Roman" w:hAnsi="Times New Roman" w:cs="Times New Roman"/>
        </w:rPr>
        <w:t xml:space="preserve">The Commission calculates the average burden hour cost based on a blended hourly rate of $59 (rounded up) that consists of ¼ Financial Specialist’s wage, ¼  Lawyer’s wage, ¼ Paralegal’s wage, and ¼ Accountant’s wage provided by the Department of Labor’s Bureau of Labor Statistics, </w:t>
      </w:r>
      <w:r w:rsidRPr="001E097F">
        <w:rPr>
          <w:rFonts w:ascii="Times New Roman" w:hAnsi="Times New Roman" w:cs="Times New Roman"/>
          <w:i/>
        </w:rPr>
        <w:t>available at</w:t>
      </w:r>
      <w:r w:rsidRPr="001E097F">
        <w:rPr>
          <w:rFonts w:ascii="Times New Roman" w:hAnsi="Times New Roman" w:cs="Times New Roman"/>
        </w:rPr>
        <w:t xml:space="preserve"> </w:t>
      </w:r>
      <w:hyperlink r:id="rId15" w:history="1">
        <w:r w:rsidRPr="001E097F">
          <w:rPr>
            <w:rStyle w:val="Hyperlink"/>
            <w:rFonts w:ascii="Times New Roman" w:hAnsi="Times New Roman" w:cs="Times New Roman"/>
          </w:rPr>
          <w:t>https://www.bls.gov/oes/current/naics4_523000.htm</w:t>
        </w:r>
      </w:hyperlink>
      <w:r w:rsidRPr="001E097F">
        <w:rPr>
          <w:rFonts w:ascii="Times New Roman" w:hAnsi="Times New Roman" w:cs="Times New Roman"/>
        </w:rPr>
        <w:t xml:space="preserve">.  </w:t>
      </w:r>
    </w:p>
    <w:p w14:paraId="7B775EF6" w14:textId="77777777" w:rsidR="001E097F" w:rsidRDefault="001E097F" w:rsidP="001E097F">
      <w:pPr>
        <w:rPr>
          <w:rFonts w:ascii="Times New Roman" w:hAnsi="Times New Roman" w:cs="Times New Roman"/>
          <w:b/>
        </w:rPr>
      </w:pPr>
    </w:p>
    <w:p w14:paraId="24913D37" w14:textId="77777777" w:rsidR="001E097F" w:rsidRPr="001E097F" w:rsidRDefault="001E097F" w:rsidP="001E097F">
      <w:pPr>
        <w:rPr>
          <w:rFonts w:ascii="Times New Roman" w:hAnsi="Times New Roman" w:cs="Times New Roman"/>
        </w:rPr>
      </w:pPr>
      <w:r w:rsidRPr="001E097F">
        <w:rPr>
          <w:rFonts w:ascii="Times New Roman" w:hAnsi="Times New Roman" w:cs="Times New Roman"/>
          <w:b/>
        </w:rPr>
        <w:t>Baseline for Burden Hour Estimates</w:t>
      </w:r>
      <w:r w:rsidRPr="001E097F">
        <w:rPr>
          <w:rFonts w:ascii="Times New Roman" w:hAnsi="Times New Roman" w:cs="Times New Roman"/>
        </w:rPr>
        <w:t xml:space="preserve"> </w:t>
      </w:r>
    </w:p>
    <w:p w14:paraId="72E62A7D" w14:textId="3EFBB37D" w:rsidR="001E097F" w:rsidRPr="001E097F" w:rsidRDefault="001E097F" w:rsidP="001E097F">
      <w:pPr>
        <w:ind w:firstLine="720"/>
        <w:rPr>
          <w:rFonts w:ascii="Times New Roman" w:hAnsi="Times New Roman" w:cs="Times New Roman"/>
        </w:rPr>
      </w:pPr>
      <w:r w:rsidRPr="001E097F">
        <w:rPr>
          <w:rFonts w:ascii="Times New Roman" w:hAnsi="Times New Roman" w:cs="Times New Roman"/>
        </w:rPr>
        <w:t xml:space="preserve">1.  </w:t>
      </w:r>
      <w:r w:rsidRPr="001E097F">
        <w:rPr>
          <w:rFonts w:ascii="Times New Roman" w:hAnsi="Times New Roman" w:cs="Times New Roman"/>
          <w:u w:val="single"/>
        </w:rPr>
        <w:t>Distinguishing between respondents and information collection categories</w:t>
      </w:r>
      <w:r w:rsidRPr="001E097F">
        <w:rPr>
          <w:rFonts w:ascii="Times New Roman" w:hAnsi="Times New Roman" w:cs="Times New Roman"/>
        </w:rPr>
        <w:t>.  The Commission explicitly distinguished between those information collections associated with SEF registration from those associated with the operation of registered SEFs when it renewed this OMB control number in 2016 (“</w:t>
      </w:r>
      <w:r w:rsidRPr="001E097F">
        <w:rPr>
          <w:rFonts w:ascii="Times New Roman" w:hAnsi="Times New Roman" w:cs="Times New Roman"/>
          <w:b/>
          <w:u w:val="single"/>
        </w:rPr>
        <w:t>2016 Part 37 PRA Renewal</w:t>
      </w:r>
      <w:r w:rsidRPr="001E097F">
        <w:rPr>
          <w:rFonts w:ascii="Times New Roman" w:hAnsi="Times New Roman" w:cs="Times New Roman"/>
        </w:rPr>
        <w:t xml:space="preserve">”).  Accordingly, the tables below also will distinguish between information collections related to SEF registration </w:t>
      </w:r>
      <w:r w:rsidR="00187422">
        <w:rPr>
          <w:rFonts w:ascii="Times New Roman" w:hAnsi="Times New Roman" w:cs="Times New Roman"/>
        </w:rPr>
        <w:t>and</w:t>
      </w:r>
      <w:r w:rsidR="006100EB">
        <w:rPr>
          <w:rFonts w:ascii="Times New Roman" w:hAnsi="Times New Roman" w:cs="Times New Roman"/>
        </w:rPr>
        <w:t xml:space="preserve"> </w:t>
      </w:r>
      <w:r w:rsidRPr="001E097F">
        <w:rPr>
          <w:rFonts w:ascii="Times New Roman" w:hAnsi="Times New Roman" w:cs="Times New Roman"/>
        </w:rPr>
        <w:t xml:space="preserve">those related to the operations of registered SEFs.  In this submission, the Commission will also explicitly distinguish between recordkeeping, reporting, and third-party disclosure information collections in separate tables.  </w:t>
      </w:r>
    </w:p>
    <w:p w14:paraId="6F3B1383" w14:textId="3E96B521" w:rsidR="00D71B0C" w:rsidRDefault="001E097F" w:rsidP="001E097F">
      <w:pPr>
        <w:pStyle w:val="ListParagraph"/>
        <w:ind w:left="0" w:firstLine="720"/>
        <w:rPr>
          <w:rFonts w:ascii="Times New Roman" w:hAnsi="Times New Roman" w:cs="Times New Roman"/>
        </w:rPr>
      </w:pPr>
      <w:r w:rsidRPr="001E097F">
        <w:rPr>
          <w:rFonts w:ascii="Times New Roman" w:hAnsi="Times New Roman" w:cs="Times New Roman"/>
        </w:rPr>
        <w:t xml:space="preserve">2. </w:t>
      </w:r>
      <w:r w:rsidRPr="001E097F">
        <w:rPr>
          <w:rFonts w:ascii="Times New Roman" w:hAnsi="Times New Roman" w:cs="Times New Roman"/>
          <w:u w:val="single"/>
        </w:rPr>
        <w:t>Burden hour estimates for SEF registration</w:t>
      </w:r>
      <w:r w:rsidRPr="001E097F">
        <w:rPr>
          <w:rFonts w:ascii="Times New Roman" w:hAnsi="Times New Roman" w:cs="Times New Roman"/>
        </w:rPr>
        <w:t xml:space="preserve">: </w:t>
      </w:r>
      <w:r w:rsidR="00D71B0C">
        <w:rPr>
          <w:rFonts w:ascii="Times New Roman" w:hAnsi="Times New Roman" w:cs="Times New Roman"/>
        </w:rPr>
        <w:t xml:space="preserve">As discussed above, the Commission would create a voluntary information collection that would be applicable to only the 60 new entities (and not the 4 annual SEF applicants included in the Commission’s current estimate) in which these entities provide the Commission with their respective requests to delay the registration requirement.  </w:t>
      </w:r>
      <w:r w:rsidR="00D71B0C" w:rsidRPr="001E097F">
        <w:rPr>
          <w:rFonts w:ascii="Times New Roman" w:hAnsi="Times New Roman" w:cs="Times New Roman"/>
        </w:rPr>
        <w:t xml:space="preserve">This would impose </w:t>
      </w:r>
      <w:r w:rsidR="00D95C75">
        <w:rPr>
          <w:rFonts w:ascii="Times New Roman" w:hAnsi="Times New Roman" w:cs="Times New Roman"/>
        </w:rPr>
        <w:t>an additional 1 burden hour per</w:t>
      </w:r>
      <w:r w:rsidR="00D71B0C">
        <w:rPr>
          <w:rFonts w:ascii="Times New Roman" w:hAnsi="Times New Roman" w:cs="Times New Roman"/>
        </w:rPr>
        <w:t xml:space="preserve"> new entity; t</w:t>
      </w:r>
      <w:r w:rsidR="00D71B0C" w:rsidRPr="00AA79F5">
        <w:rPr>
          <w:rFonts w:ascii="Times New Roman" w:hAnsi="Times New Roman" w:cs="Times New Roman"/>
        </w:rPr>
        <w:t>he Commission notes that it expects 60 total one-time SEF applicants across the entire three-year period for this OMB Control Number rather than 60 such applicants each year</w:t>
      </w:r>
      <w:r w:rsidR="00D71B0C">
        <w:rPr>
          <w:rFonts w:ascii="Times New Roman" w:hAnsi="Times New Roman" w:cs="Times New Roman"/>
        </w:rPr>
        <w:t>, which is annualized to 20 entities per year (60 total entities / 3 years = 20 entities per year)</w:t>
      </w:r>
      <w:r w:rsidR="00D71B0C" w:rsidRPr="00AA79F5">
        <w:rPr>
          <w:rFonts w:ascii="Times New Roman" w:hAnsi="Times New Roman" w:cs="Times New Roman"/>
        </w:rPr>
        <w:t xml:space="preserve">.  </w:t>
      </w:r>
      <w:r w:rsidR="00D71B0C">
        <w:rPr>
          <w:rFonts w:ascii="Times New Roman" w:hAnsi="Times New Roman" w:cs="Times New Roman"/>
        </w:rPr>
        <w:t xml:space="preserve">  </w:t>
      </w:r>
    </w:p>
    <w:p w14:paraId="232F3857" w14:textId="2610F6DB" w:rsidR="001E097F" w:rsidRPr="001E097F" w:rsidRDefault="00D71B0C" w:rsidP="001E097F">
      <w:pPr>
        <w:pStyle w:val="ListParagraph"/>
        <w:ind w:left="0" w:firstLine="720"/>
        <w:rPr>
          <w:rFonts w:ascii="Times New Roman" w:hAnsi="Times New Roman" w:cs="Times New Roman"/>
        </w:rPr>
      </w:pPr>
      <w:r>
        <w:rPr>
          <w:rFonts w:ascii="Times New Roman" w:hAnsi="Times New Roman" w:cs="Times New Roman"/>
        </w:rPr>
        <w:t>T</w:t>
      </w:r>
      <w:r w:rsidR="001E097F" w:rsidRPr="001E097F">
        <w:rPr>
          <w:rFonts w:ascii="Times New Roman" w:hAnsi="Times New Roman" w:cs="Times New Roman"/>
        </w:rPr>
        <w:t xml:space="preserve">he Commission </w:t>
      </w:r>
      <w:r>
        <w:rPr>
          <w:rFonts w:ascii="Times New Roman" w:hAnsi="Times New Roman" w:cs="Times New Roman"/>
        </w:rPr>
        <w:t xml:space="preserve">also </w:t>
      </w:r>
      <w:r w:rsidR="001E097F" w:rsidRPr="001E097F">
        <w:rPr>
          <w:rFonts w:ascii="Times New Roman" w:hAnsi="Times New Roman" w:cs="Times New Roman"/>
        </w:rPr>
        <w:t xml:space="preserve">estimates that the Part 37 NPRM would decrease the one-time burden hours imposed on each </w:t>
      </w:r>
      <w:r w:rsidR="00E93222">
        <w:rPr>
          <w:rFonts w:ascii="Times New Roman" w:hAnsi="Times New Roman" w:cs="Times New Roman"/>
        </w:rPr>
        <w:t>respondent related to the</w:t>
      </w:r>
      <w:r w:rsidR="001E097F" w:rsidRPr="001E097F">
        <w:rPr>
          <w:rFonts w:ascii="Times New Roman" w:hAnsi="Times New Roman" w:cs="Times New Roman"/>
        </w:rPr>
        <w:t xml:space="preserve"> SEF registration </w:t>
      </w:r>
      <w:r w:rsidR="00E93222">
        <w:rPr>
          <w:rFonts w:ascii="Times New Roman" w:hAnsi="Times New Roman" w:cs="Times New Roman"/>
        </w:rPr>
        <w:t xml:space="preserve">process </w:t>
      </w:r>
      <w:r w:rsidR="001E097F" w:rsidRPr="001E097F">
        <w:rPr>
          <w:rFonts w:ascii="Times New Roman" w:hAnsi="Times New Roman" w:cs="Times New Roman"/>
        </w:rPr>
        <w:t xml:space="preserve">from 300 to 295 burden hours, although the aggregate burden hours across all </w:t>
      </w:r>
      <w:r w:rsidR="00E93222">
        <w:rPr>
          <w:rFonts w:ascii="Times New Roman" w:hAnsi="Times New Roman" w:cs="Times New Roman"/>
        </w:rPr>
        <w:t>respondents related to the</w:t>
      </w:r>
      <w:r w:rsidR="001E097F" w:rsidRPr="001E097F">
        <w:rPr>
          <w:rFonts w:ascii="Times New Roman" w:hAnsi="Times New Roman" w:cs="Times New Roman"/>
        </w:rPr>
        <w:t xml:space="preserve"> SEF registration </w:t>
      </w:r>
      <w:r w:rsidR="00E93222">
        <w:rPr>
          <w:rFonts w:ascii="Times New Roman" w:hAnsi="Times New Roman" w:cs="Times New Roman"/>
        </w:rPr>
        <w:t xml:space="preserve">process </w:t>
      </w:r>
      <w:r w:rsidR="001E097F" w:rsidRPr="001E097F">
        <w:rPr>
          <w:rFonts w:ascii="Times New Roman" w:hAnsi="Times New Roman" w:cs="Times New Roman"/>
        </w:rPr>
        <w:t xml:space="preserve">would </w:t>
      </w:r>
      <w:r w:rsidR="0061222A">
        <w:rPr>
          <w:rFonts w:ascii="Times New Roman" w:hAnsi="Times New Roman" w:cs="Times New Roman"/>
        </w:rPr>
        <w:t>not change</w:t>
      </w:r>
      <w:r w:rsidR="001E097F" w:rsidRPr="001E097F">
        <w:rPr>
          <w:rFonts w:ascii="Times New Roman" w:hAnsi="Times New Roman" w:cs="Times New Roman"/>
        </w:rPr>
        <w:t xml:space="preserve"> </w:t>
      </w:r>
      <w:r w:rsidR="001E097F" w:rsidRPr="00D71B0C">
        <w:rPr>
          <w:rFonts w:ascii="Times New Roman" w:hAnsi="Times New Roman" w:cs="Times New Roman"/>
        </w:rPr>
        <w:t>from</w:t>
      </w:r>
      <w:r w:rsidR="00E93222">
        <w:rPr>
          <w:rFonts w:ascii="Times New Roman" w:hAnsi="Times New Roman" w:cs="Times New Roman"/>
        </w:rPr>
        <w:t xml:space="preserve"> the current estimate</w:t>
      </w:r>
      <w:r w:rsidR="001E097F" w:rsidRPr="00D71B0C">
        <w:rPr>
          <w:rFonts w:ascii="Times New Roman" w:hAnsi="Times New Roman" w:cs="Times New Roman"/>
        </w:rPr>
        <w:t xml:space="preserve"> 1,200 </w:t>
      </w:r>
      <w:r w:rsidR="0061222A" w:rsidRPr="00D71B0C">
        <w:rPr>
          <w:rFonts w:ascii="Times New Roman" w:hAnsi="Times New Roman" w:cs="Times New Roman"/>
        </w:rPr>
        <w:t xml:space="preserve">annual </w:t>
      </w:r>
      <w:r w:rsidR="001E097F" w:rsidRPr="00D71B0C">
        <w:rPr>
          <w:rFonts w:ascii="Times New Roman" w:hAnsi="Times New Roman" w:cs="Times New Roman"/>
        </w:rPr>
        <w:t>burden hours</w:t>
      </w:r>
      <w:r w:rsidR="001E097F" w:rsidRPr="001E097F">
        <w:rPr>
          <w:rFonts w:ascii="Times New Roman" w:hAnsi="Times New Roman" w:cs="Times New Roman"/>
        </w:rPr>
        <w:t xml:space="preserve"> </w:t>
      </w:r>
      <w:r>
        <w:rPr>
          <w:rFonts w:ascii="Times New Roman" w:hAnsi="Times New Roman" w:cs="Times New Roman"/>
        </w:rPr>
        <w:t>since the new entities would incur offsetting</w:t>
      </w:r>
      <w:r w:rsidR="00285ADB">
        <w:rPr>
          <w:rFonts w:ascii="Times New Roman" w:hAnsi="Times New Roman" w:cs="Times New Roman"/>
        </w:rPr>
        <w:t xml:space="preserve"> burden hours</w:t>
      </w:r>
      <w:r w:rsidR="00FD0594">
        <w:rPr>
          <w:rFonts w:ascii="Times New Roman" w:hAnsi="Times New Roman" w:cs="Times New Roman"/>
        </w:rPr>
        <w:t xml:space="preserve"> related to their requesting a delay </w:t>
      </w:r>
      <w:r w:rsidR="002D3A2B">
        <w:rPr>
          <w:rFonts w:ascii="Times New Roman" w:hAnsi="Times New Roman" w:cs="Times New Roman"/>
        </w:rPr>
        <w:t>to the registration requirement</w:t>
      </w:r>
      <w:r w:rsidR="001E097F" w:rsidRPr="001E097F">
        <w:rPr>
          <w:rFonts w:ascii="Times New Roman" w:hAnsi="Times New Roman" w:cs="Times New Roman"/>
        </w:rPr>
        <w:t>.</w:t>
      </w:r>
      <w:r w:rsidR="00586482">
        <w:rPr>
          <w:rStyle w:val="FootnoteReference"/>
          <w:rFonts w:ascii="Times New Roman" w:hAnsi="Times New Roman" w:cs="Times New Roman"/>
        </w:rPr>
        <w:footnoteReference w:id="20"/>
      </w:r>
      <w:r w:rsidR="001E097F" w:rsidRPr="001E097F">
        <w:rPr>
          <w:rFonts w:ascii="Times New Roman" w:hAnsi="Times New Roman" w:cs="Times New Roman"/>
        </w:rPr>
        <w:t xml:space="preserve"> </w:t>
      </w:r>
      <w:r w:rsidR="00B02BF4">
        <w:rPr>
          <w:rFonts w:ascii="Times New Roman" w:hAnsi="Times New Roman" w:cs="Times New Roman"/>
        </w:rPr>
        <w:t xml:space="preserve"> </w:t>
      </w:r>
    </w:p>
    <w:p w14:paraId="65913347" w14:textId="77777777" w:rsidR="001E097F" w:rsidRPr="001E097F" w:rsidRDefault="001E097F" w:rsidP="001E097F">
      <w:pPr>
        <w:pStyle w:val="ListParagraph"/>
        <w:ind w:left="1080"/>
        <w:rPr>
          <w:rFonts w:ascii="Times New Roman" w:hAnsi="Times New Roman" w:cs="Times New Roman"/>
        </w:rPr>
      </w:pPr>
    </w:p>
    <w:p w14:paraId="0E691B30" w14:textId="47B94300" w:rsidR="001E097F" w:rsidRPr="001E097F" w:rsidRDefault="001E097F" w:rsidP="001E097F">
      <w:pPr>
        <w:pStyle w:val="ListParagraph"/>
        <w:ind w:left="0" w:firstLine="720"/>
        <w:rPr>
          <w:rFonts w:ascii="Times New Roman" w:hAnsi="Times New Roman" w:cs="Times New Roman"/>
          <w:u w:val="single"/>
        </w:rPr>
      </w:pPr>
      <w:r w:rsidRPr="001E097F">
        <w:rPr>
          <w:rFonts w:ascii="Times New Roman" w:hAnsi="Times New Roman" w:cs="Times New Roman"/>
        </w:rPr>
        <w:t xml:space="preserve">3.  </w:t>
      </w:r>
      <w:r w:rsidRPr="001E097F">
        <w:rPr>
          <w:rFonts w:ascii="Times New Roman" w:hAnsi="Times New Roman" w:cs="Times New Roman"/>
          <w:u w:val="single"/>
        </w:rPr>
        <w:t>Burden hours estimates for registered SEFs</w:t>
      </w:r>
      <w:r w:rsidRPr="001E097F">
        <w:rPr>
          <w:rFonts w:ascii="Times New Roman" w:hAnsi="Times New Roman" w:cs="Times New Roman"/>
        </w:rPr>
        <w:t xml:space="preserve">:  The Commission estimates that the Part 37 NPRM would decrease the annual burden hours imposed on each </w:t>
      </w:r>
      <w:r w:rsidR="00334CEE">
        <w:rPr>
          <w:rFonts w:ascii="Times New Roman" w:hAnsi="Times New Roman" w:cs="Times New Roman"/>
        </w:rPr>
        <w:t xml:space="preserve">registered </w:t>
      </w:r>
      <w:r w:rsidRPr="001E097F">
        <w:rPr>
          <w:rFonts w:ascii="Times New Roman" w:hAnsi="Times New Roman" w:cs="Times New Roman"/>
        </w:rPr>
        <w:t>SEF from 1</w:t>
      </w:r>
      <w:r w:rsidR="000A2031">
        <w:rPr>
          <w:rFonts w:ascii="Times New Roman" w:hAnsi="Times New Roman" w:cs="Times New Roman"/>
        </w:rPr>
        <w:t>,</w:t>
      </w:r>
      <w:r w:rsidRPr="001E097F">
        <w:rPr>
          <w:rFonts w:ascii="Times New Roman" w:hAnsi="Times New Roman" w:cs="Times New Roman"/>
        </w:rPr>
        <w:t>000</w:t>
      </w:r>
      <w:r w:rsidRPr="001E097F">
        <w:rPr>
          <w:rStyle w:val="FootnoteReference"/>
          <w:rFonts w:ascii="Times New Roman" w:hAnsi="Times New Roman" w:cs="Times New Roman"/>
        </w:rPr>
        <w:footnoteReference w:id="21"/>
      </w:r>
      <w:r w:rsidRPr="001E097F">
        <w:rPr>
          <w:rFonts w:ascii="Times New Roman" w:hAnsi="Times New Roman" w:cs="Times New Roman"/>
        </w:rPr>
        <w:t xml:space="preserve"> to 407</w:t>
      </w:r>
      <w:r w:rsidRPr="001E097F">
        <w:rPr>
          <w:rStyle w:val="FootnoteReference"/>
          <w:rFonts w:ascii="Times New Roman" w:hAnsi="Times New Roman" w:cs="Times New Roman"/>
        </w:rPr>
        <w:footnoteReference w:id="22"/>
      </w:r>
      <w:r w:rsidRPr="001E097F">
        <w:rPr>
          <w:rFonts w:ascii="Times New Roman" w:hAnsi="Times New Roman" w:cs="Times New Roman"/>
        </w:rPr>
        <w:t xml:space="preserve"> burden hours</w:t>
      </w:r>
      <w:r w:rsidR="00334CEE">
        <w:rPr>
          <w:rFonts w:ascii="Times New Roman" w:hAnsi="Times New Roman" w:cs="Times New Roman"/>
        </w:rPr>
        <w:t>.</w:t>
      </w:r>
    </w:p>
    <w:p w14:paraId="7144C598" w14:textId="77777777" w:rsidR="001E097F" w:rsidRPr="001E097F" w:rsidRDefault="001E097F" w:rsidP="001E097F">
      <w:pPr>
        <w:pStyle w:val="ListParagraph"/>
        <w:ind w:left="1080"/>
        <w:rPr>
          <w:rFonts w:ascii="Times New Roman" w:hAnsi="Times New Roman" w:cs="Times New Roman"/>
          <w:u w:val="single"/>
        </w:rPr>
      </w:pPr>
    </w:p>
    <w:p w14:paraId="765D4B28" w14:textId="7AFDB6B8" w:rsidR="001E097F" w:rsidRPr="001E097F" w:rsidRDefault="001E097F" w:rsidP="001E097F">
      <w:pPr>
        <w:pStyle w:val="ListParagraph"/>
        <w:ind w:left="0"/>
        <w:rPr>
          <w:rFonts w:ascii="Times New Roman" w:hAnsi="Times New Roman" w:cs="Times New Roman"/>
          <w:u w:val="single"/>
        </w:rPr>
      </w:pPr>
      <w:r w:rsidRPr="001E097F">
        <w:rPr>
          <w:rFonts w:ascii="Times New Roman" w:hAnsi="Times New Roman" w:cs="Times New Roman"/>
        </w:rPr>
        <w:t xml:space="preserve">In the 2016 Part 37 PRA Renewal, the Commission increased its estimate for the general compliance-related obligations of SEFs from its original estimate of 308 to 437 hours per year.  In its previous supporting statements to OMB, the Commission also separately listed SEFs’ annual compliance reports and quarterly financial reports as separate line items but included the burden hours associated with these information collections in its aggregate burden hour estimate under the “Designation and Compliance” line item (the Commission is relabeling this line item as “Regulatory and Core Principle Compliance”).  For this supporting statement, the Commission will instead move these hours from the general </w:t>
      </w:r>
      <w:r w:rsidR="002D3A2B">
        <w:rPr>
          <w:rFonts w:ascii="Times New Roman" w:hAnsi="Times New Roman" w:cs="Times New Roman"/>
        </w:rPr>
        <w:t>“</w:t>
      </w:r>
      <w:r w:rsidRPr="001E097F">
        <w:rPr>
          <w:rFonts w:ascii="Times New Roman" w:hAnsi="Times New Roman" w:cs="Times New Roman"/>
        </w:rPr>
        <w:t>Regulatory and Core Principle Compliance</w:t>
      </w:r>
      <w:r w:rsidR="002D3A2B">
        <w:rPr>
          <w:rFonts w:ascii="Times New Roman" w:hAnsi="Times New Roman" w:cs="Times New Roman"/>
        </w:rPr>
        <w:t>”</w:t>
      </w:r>
      <w:r w:rsidRPr="001E097F">
        <w:rPr>
          <w:rFonts w:ascii="Times New Roman" w:hAnsi="Times New Roman" w:cs="Times New Roman"/>
        </w:rPr>
        <w:t xml:space="preserve"> line item and include them in separate </w:t>
      </w:r>
      <w:r w:rsidR="002D3A2B">
        <w:rPr>
          <w:rFonts w:ascii="Times New Roman" w:hAnsi="Times New Roman" w:cs="Times New Roman"/>
        </w:rPr>
        <w:t>“A</w:t>
      </w:r>
      <w:r w:rsidRPr="001E097F">
        <w:rPr>
          <w:rFonts w:ascii="Times New Roman" w:hAnsi="Times New Roman" w:cs="Times New Roman"/>
        </w:rPr>
        <w:t xml:space="preserve">nnual </w:t>
      </w:r>
      <w:r w:rsidR="002D3A2B">
        <w:rPr>
          <w:rFonts w:ascii="Times New Roman" w:hAnsi="Times New Roman" w:cs="Times New Roman"/>
        </w:rPr>
        <w:t>C</w:t>
      </w:r>
      <w:r w:rsidRPr="001E097F">
        <w:rPr>
          <w:rFonts w:ascii="Times New Roman" w:hAnsi="Times New Roman" w:cs="Times New Roman"/>
        </w:rPr>
        <w:t xml:space="preserve">ompliance </w:t>
      </w:r>
      <w:r w:rsidR="002D3A2B">
        <w:rPr>
          <w:rFonts w:ascii="Times New Roman" w:hAnsi="Times New Roman" w:cs="Times New Roman"/>
        </w:rPr>
        <w:t>R</w:t>
      </w:r>
      <w:r w:rsidRPr="001E097F">
        <w:rPr>
          <w:rFonts w:ascii="Times New Roman" w:hAnsi="Times New Roman" w:cs="Times New Roman"/>
        </w:rPr>
        <w:t>eports</w:t>
      </w:r>
      <w:r w:rsidR="002D3A2B">
        <w:rPr>
          <w:rFonts w:ascii="Times New Roman" w:hAnsi="Times New Roman" w:cs="Times New Roman"/>
        </w:rPr>
        <w:t>”</w:t>
      </w:r>
      <w:r w:rsidRPr="001E097F">
        <w:rPr>
          <w:rFonts w:ascii="Times New Roman" w:hAnsi="Times New Roman" w:cs="Times New Roman"/>
        </w:rPr>
        <w:t xml:space="preserve"> and </w:t>
      </w:r>
      <w:r w:rsidR="002D3A2B">
        <w:rPr>
          <w:rFonts w:ascii="Times New Roman" w:hAnsi="Times New Roman" w:cs="Times New Roman"/>
        </w:rPr>
        <w:t>“Q</w:t>
      </w:r>
      <w:r w:rsidRPr="001E097F">
        <w:rPr>
          <w:rFonts w:ascii="Times New Roman" w:hAnsi="Times New Roman" w:cs="Times New Roman"/>
        </w:rPr>
        <w:t xml:space="preserve">uarterly </w:t>
      </w:r>
      <w:r w:rsidR="002D3A2B">
        <w:rPr>
          <w:rFonts w:ascii="Times New Roman" w:hAnsi="Times New Roman" w:cs="Times New Roman"/>
        </w:rPr>
        <w:t>F</w:t>
      </w:r>
      <w:r w:rsidRPr="001E097F">
        <w:rPr>
          <w:rFonts w:ascii="Times New Roman" w:hAnsi="Times New Roman" w:cs="Times New Roman"/>
        </w:rPr>
        <w:t xml:space="preserve">inancial </w:t>
      </w:r>
      <w:r w:rsidR="00EB1278">
        <w:rPr>
          <w:rFonts w:ascii="Times New Roman" w:hAnsi="Times New Roman" w:cs="Times New Roman"/>
        </w:rPr>
        <w:t>Statements</w:t>
      </w:r>
      <w:r w:rsidR="002D3A2B">
        <w:rPr>
          <w:rFonts w:ascii="Times New Roman" w:hAnsi="Times New Roman" w:cs="Times New Roman"/>
        </w:rPr>
        <w:t>”</w:t>
      </w:r>
      <w:r w:rsidRPr="001E097F">
        <w:rPr>
          <w:rFonts w:ascii="Times New Roman" w:hAnsi="Times New Roman" w:cs="Times New Roman"/>
        </w:rPr>
        <w:t xml:space="preserve"> line items. </w:t>
      </w:r>
    </w:p>
    <w:p w14:paraId="74192FCB" w14:textId="77777777" w:rsidR="001E097F" w:rsidRPr="001E097F" w:rsidRDefault="001E097F" w:rsidP="001E097F">
      <w:pPr>
        <w:pStyle w:val="ListParagraph"/>
        <w:ind w:left="1080"/>
        <w:rPr>
          <w:rFonts w:ascii="Times New Roman" w:hAnsi="Times New Roman" w:cs="Times New Roman"/>
          <w:u w:val="single"/>
        </w:rPr>
      </w:pPr>
      <w:r w:rsidRPr="001E097F">
        <w:rPr>
          <w:rFonts w:ascii="Times New Roman" w:hAnsi="Times New Roman" w:cs="Times New Roman"/>
          <w:u w:val="single"/>
        </w:rPr>
        <w:t xml:space="preserve"> </w:t>
      </w:r>
    </w:p>
    <w:p w14:paraId="054B7F1A" w14:textId="3FA23A49" w:rsidR="001E097F" w:rsidRPr="001E097F" w:rsidRDefault="001E097F" w:rsidP="001E097F">
      <w:pPr>
        <w:pStyle w:val="ListParagraph"/>
        <w:ind w:left="0"/>
        <w:rPr>
          <w:rFonts w:ascii="Times New Roman" w:hAnsi="Times New Roman" w:cs="Times New Roman"/>
        </w:rPr>
      </w:pPr>
      <w:r w:rsidRPr="001E097F">
        <w:rPr>
          <w:rFonts w:ascii="Times New Roman" w:hAnsi="Times New Roman" w:cs="Times New Roman"/>
        </w:rPr>
        <w:t xml:space="preserve">Additionally, the Commission also identified in the 2016 Part 37 PRA Renewal a specific compliance-related recordkeeping obligation that required </w:t>
      </w:r>
      <w:r w:rsidR="00135171">
        <w:rPr>
          <w:rFonts w:ascii="Times New Roman" w:hAnsi="Times New Roman" w:cs="Times New Roman"/>
        </w:rPr>
        <w:t xml:space="preserve">a </w:t>
      </w:r>
      <w:r w:rsidRPr="001E097F">
        <w:rPr>
          <w:rFonts w:ascii="Times New Roman" w:hAnsi="Times New Roman" w:cs="Times New Roman"/>
        </w:rPr>
        <w:t>SEF to collect and maintain certain information related to a</w:t>
      </w:r>
      <w:r w:rsidR="00135171">
        <w:rPr>
          <w:rFonts w:ascii="Times New Roman" w:hAnsi="Times New Roman" w:cs="Times New Roman"/>
        </w:rPr>
        <w:t xml:space="preserve"> certain category of swap transactions, </w:t>
      </w:r>
      <w:r w:rsidR="00135171">
        <w:rPr>
          <w:rFonts w:ascii="Times New Roman" w:hAnsi="Times New Roman" w:cs="Times New Roman"/>
          <w:i/>
        </w:rPr>
        <w:t>i.e.</w:t>
      </w:r>
      <w:r w:rsidR="00135171">
        <w:rPr>
          <w:rFonts w:ascii="Times New Roman" w:hAnsi="Times New Roman" w:cs="Times New Roman"/>
        </w:rPr>
        <w:t>, uncleared swaps, pursuant to the</w:t>
      </w:r>
      <w:r w:rsidRPr="001E097F">
        <w:rPr>
          <w:rFonts w:ascii="Times New Roman" w:hAnsi="Times New Roman" w:cs="Times New Roman"/>
        </w:rPr>
        <w:t xml:space="preserve"> SEF’s obligation under § 37.6(b) to provide transaction confirmations to counterparties containing </w:t>
      </w:r>
      <w:r w:rsidR="00135171">
        <w:rPr>
          <w:rFonts w:ascii="Times New Roman" w:hAnsi="Times New Roman" w:cs="Times New Roman"/>
        </w:rPr>
        <w:t>all transaction terms</w:t>
      </w:r>
      <w:r w:rsidRPr="001E097F">
        <w:rPr>
          <w:rFonts w:ascii="Times New Roman" w:hAnsi="Times New Roman" w:cs="Times New Roman"/>
        </w:rPr>
        <w:t xml:space="preserve"> (“</w:t>
      </w:r>
      <w:r w:rsidRPr="001E097F">
        <w:rPr>
          <w:rFonts w:ascii="Times New Roman" w:hAnsi="Times New Roman" w:cs="Times New Roman"/>
          <w:b/>
          <w:u w:val="single"/>
        </w:rPr>
        <w:t>§ 3</w:t>
      </w:r>
      <w:r w:rsidR="00ED65DA">
        <w:rPr>
          <w:rFonts w:ascii="Times New Roman" w:hAnsi="Times New Roman" w:cs="Times New Roman"/>
          <w:b/>
          <w:u w:val="single"/>
        </w:rPr>
        <w:t>7</w:t>
      </w:r>
      <w:r w:rsidRPr="001E097F">
        <w:rPr>
          <w:rFonts w:ascii="Times New Roman" w:hAnsi="Times New Roman" w:cs="Times New Roman"/>
          <w:b/>
          <w:u w:val="single"/>
        </w:rPr>
        <w:t>.6(b) Confirmation Requirement</w:t>
      </w:r>
      <w:r w:rsidRPr="001E097F">
        <w:rPr>
          <w:rFonts w:ascii="Times New Roman" w:hAnsi="Times New Roman" w:cs="Times New Roman"/>
        </w:rPr>
        <w:t>”).  After feedback from certain SEFs, the Commission recognized that the § 3</w:t>
      </w:r>
      <w:r w:rsidR="00ED65DA">
        <w:rPr>
          <w:rFonts w:ascii="Times New Roman" w:hAnsi="Times New Roman" w:cs="Times New Roman"/>
        </w:rPr>
        <w:t>7</w:t>
      </w:r>
      <w:r w:rsidRPr="001E097F">
        <w:rPr>
          <w:rFonts w:ascii="Times New Roman" w:hAnsi="Times New Roman" w:cs="Times New Roman"/>
        </w:rPr>
        <w:t>.6(b) Confirmation Requirement imposed an information collection obligation of 563 annual burden hours per SEF, which was significantly greater than initially anticipated</w:t>
      </w:r>
      <w:r w:rsidR="00D3186A">
        <w:rPr>
          <w:rFonts w:ascii="Times New Roman" w:hAnsi="Times New Roman" w:cs="Times New Roman"/>
        </w:rPr>
        <w:t>, as well as effected over 35,000 information collection responses</w:t>
      </w:r>
      <w:r w:rsidR="00960767">
        <w:rPr>
          <w:rFonts w:ascii="Times New Roman" w:hAnsi="Times New Roman" w:cs="Times New Roman"/>
        </w:rPr>
        <w:t>.</w:t>
      </w:r>
      <w:r w:rsidR="00D3186A">
        <w:rPr>
          <w:rStyle w:val="FootnoteReference"/>
          <w:rFonts w:ascii="Times New Roman" w:hAnsi="Times New Roman" w:cs="Times New Roman"/>
        </w:rPr>
        <w:footnoteReference w:id="23"/>
      </w:r>
      <w:r w:rsidRPr="001E097F">
        <w:rPr>
          <w:rFonts w:ascii="Times New Roman" w:hAnsi="Times New Roman" w:cs="Times New Roman"/>
        </w:rPr>
        <w:t xml:space="preserve">  Accordingly, the Commission increased its burden hour estimate</w:t>
      </w:r>
      <w:r w:rsidR="007C45C9">
        <w:rPr>
          <w:rFonts w:ascii="Times New Roman" w:hAnsi="Times New Roman" w:cs="Times New Roman"/>
        </w:rPr>
        <w:t xml:space="preserve"> further</w:t>
      </w:r>
      <w:r w:rsidRPr="001E097F">
        <w:rPr>
          <w:rFonts w:ascii="Times New Roman" w:hAnsi="Times New Roman" w:cs="Times New Roman"/>
        </w:rPr>
        <w:t xml:space="preserve"> from 437 to 1,000 annual burden hours.  However, the Part 37 NPRM would eliminate this information collection and its associated burden hours</w:t>
      </w:r>
      <w:r w:rsidR="00A9710D">
        <w:rPr>
          <w:rFonts w:ascii="Times New Roman" w:hAnsi="Times New Roman" w:cs="Times New Roman"/>
        </w:rPr>
        <w:t xml:space="preserve"> and information collection responses</w:t>
      </w:r>
      <w:r w:rsidR="00DC2583">
        <w:rPr>
          <w:rFonts w:ascii="Times New Roman" w:hAnsi="Times New Roman" w:cs="Times New Roman"/>
        </w:rPr>
        <w:t xml:space="preserve"> for this category of swaps</w:t>
      </w:r>
      <w:r w:rsidRPr="001E097F">
        <w:rPr>
          <w:rFonts w:ascii="Times New Roman" w:hAnsi="Times New Roman" w:cs="Times New Roman"/>
        </w:rPr>
        <w:t>, which constitutes the majority of the decrease in the Commission’s estimate of annual burden hours</w:t>
      </w:r>
      <w:r w:rsidR="000E525D">
        <w:rPr>
          <w:rFonts w:ascii="Times New Roman" w:hAnsi="Times New Roman" w:cs="Times New Roman"/>
        </w:rPr>
        <w:t xml:space="preserve"> and responses</w:t>
      </w:r>
      <w:r w:rsidRPr="001E097F">
        <w:rPr>
          <w:rFonts w:ascii="Times New Roman" w:hAnsi="Times New Roman" w:cs="Times New Roman"/>
        </w:rPr>
        <w:t xml:space="preserve"> per SEF.</w:t>
      </w:r>
    </w:p>
    <w:p w14:paraId="137AE8D4" w14:textId="77777777" w:rsidR="001E097F" w:rsidRDefault="001E097F" w:rsidP="001E097F">
      <w:pPr>
        <w:keepNext/>
        <w:keepLines/>
        <w:jc w:val="center"/>
        <w:rPr>
          <w:rFonts w:ascii="Times New Roman" w:hAnsi="Times New Roman" w:cs="Times New Roman"/>
          <w:b/>
          <w:u w:val="single"/>
        </w:rPr>
      </w:pPr>
    </w:p>
    <w:p w14:paraId="0DB15452" w14:textId="77777777" w:rsidR="001E097F" w:rsidRPr="001E097F" w:rsidRDefault="001E097F" w:rsidP="001E097F">
      <w:pPr>
        <w:keepNext/>
        <w:keepLines/>
        <w:jc w:val="center"/>
        <w:rPr>
          <w:rFonts w:ascii="Times New Roman" w:hAnsi="Times New Roman" w:cs="Times New Roman"/>
          <w:b/>
          <w:u w:val="single"/>
        </w:rPr>
      </w:pPr>
      <w:r w:rsidRPr="001E097F">
        <w:rPr>
          <w:rFonts w:ascii="Times New Roman" w:hAnsi="Times New Roman" w:cs="Times New Roman"/>
          <w:b/>
          <w:u w:val="single"/>
        </w:rPr>
        <w:t>Burdens: Registered SEFs</w:t>
      </w:r>
    </w:p>
    <w:p w14:paraId="0378B708"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 xml:space="preserve">Recordkeeping Burden Hours and Costs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697"/>
        <w:gridCol w:w="1581"/>
        <w:gridCol w:w="1578"/>
        <w:gridCol w:w="1578"/>
        <w:gridCol w:w="1335"/>
        <w:gridCol w:w="1578"/>
        <w:gridCol w:w="1458"/>
        <w:gridCol w:w="1202"/>
        <w:gridCol w:w="1577"/>
      </w:tblGrid>
      <w:tr w:rsidR="008F44C2" w:rsidRPr="001E097F" w14:paraId="6EB911C7" w14:textId="77777777" w:rsidTr="00DF1208">
        <w:trPr>
          <w:trHeight w:val="1427"/>
        </w:trPr>
        <w:tc>
          <w:tcPr>
            <w:tcW w:w="571" w:type="pct"/>
            <w:tcBorders>
              <w:top w:val="single" w:sz="4" w:space="0" w:color="000000"/>
              <w:left w:val="single" w:sz="4" w:space="0" w:color="000000"/>
              <w:bottom w:val="single" w:sz="4" w:space="0" w:color="000000"/>
              <w:right w:val="single" w:sz="4" w:space="0" w:color="000000"/>
            </w:tcBorders>
            <w:hideMark/>
          </w:tcPr>
          <w:p w14:paraId="49124D27"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14:paraId="5E26A131"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3" w:type="pct"/>
            <w:tcBorders>
              <w:top w:val="single" w:sz="4" w:space="0" w:color="000000"/>
              <w:left w:val="single" w:sz="4" w:space="0" w:color="000000"/>
              <w:bottom w:val="single" w:sz="4" w:space="0" w:color="000000"/>
              <w:right w:val="single" w:sz="4" w:space="0" w:color="000000"/>
            </w:tcBorders>
          </w:tcPr>
          <w:p w14:paraId="0B02AE58"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14:paraId="00E71BC5"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14:paraId="3D211814" w14:textId="77777777" w:rsidR="001E097F" w:rsidRPr="001E097F" w:rsidRDefault="001E097F" w:rsidP="00DF1208">
            <w:pPr>
              <w:tabs>
                <w:tab w:val="left" w:pos="-720"/>
                <w:tab w:val="left" w:pos="0"/>
              </w:tabs>
              <w:suppressAutoHyphens/>
              <w:jc w:val="center"/>
              <w:rPr>
                <w:rFonts w:ascii="Times New Roman" w:hAnsi="Times New Roman" w:cs="Times New Roman"/>
                <w:b/>
              </w:rPr>
            </w:pPr>
          </w:p>
        </w:tc>
        <w:tc>
          <w:tcPr>
            <w:tcW w:w="515" w:type="pct"/>
            <w:tcBorders>
              <w:top w:val="single" w:sz="4" w:space="0" w:color="000000"/>
              <w:left w:val="single" w:sz="4" w:space="0" w:color="000000"/>
              <w:bottom w:val="single" w:sz="4" w:space="0" w:color="000000"/>
              <w:right w:val="single" w:sz="4" w:space="0" w:color="000000"/>
            </w:tcBorders>
            <w:hideMark/>
          </w:tcPr>
          <w:p w14:paraId="39A583FE"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14:paraId="1DC58C94"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14:paraId="3EAED36C"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14" w:type="pct"/>
            <w:tcBorders>
              <w:top w:val="single" w:sz="4" w:space="0" w:color="000000"/>
              <w:left w:val="single" w:sz="4" w:space="0" w:color="000000"/>
              <w:bottom w:val="single" w:sz="4" w:space="0" w:color="000000"/>
              <w:right w:val="single" w:sz="4" w:space="0" w:color="000000"/>
            </w:tcBorders>
            <w:hideMark/>
          </w:tcPr>
          <w:p w14:paraId="53F19EEA"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14:paraId="776A5830"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4" w:type="pct"/>
            <w:tcBorders>
              <w:top w:val="single" w:sz="4" w:space="0" w:color="000000"/>
              <w:left w:val="single" w:sz="4" w:space="0" w:color="000000"/>
              <w:bottom w:val="single" w:sz="4" w:space="0" w:color="000000"/>
              <w:right w:val="single" w:sz="4" w:space="0" w:color="000000"/>
            </w:tcBorders>
            <w:hideMark/>
          </w:tcPr>
          <w:p w14:paraId="45C619D4"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14:paraId="5BD9C589"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14:paraId="4C7C0BB6" w14:textId="0188E19A" w:rsidR="001E097F" w:rsidRPr="001E097F" w:rsidRDefault="001E097F" w:rsidP="00DF1208">
            <w:pPr>
              <w:tabs>
                <w:tab w:val="left" w:pos="-720"/>
                <w:tab w:val="left" w:pos="0"/>
              </w:tabs>
              <w:suppressAutoHyphens/>
              <w:jc w:val="center"/>
              <w:rPr>
                <w:rFonts w:ascii="Times New Roman" w:hAnsi="Times New Roman" w:cs="Times New Roman"/>
                <w:b/>
              </w:rPr>
            </w:pPr>
          </w:p>
        </w:tc>
        <w:tc>
          <w:tcPr>
            <w:tcW w:w="435" w:type="pct"/>
            <w:tcBorders>
              <w:top w:val="single" w:sz="4" w:space="0" w:color="000000"/>
              <w:left w:val="single" w:sz="4" w:space="0" w:color="000000"/>
              <w:bottom w:val="single" w:sz="4" w:space="0" w:color="000000"/>
              <w:right w:val="single" w:sz="4" w:space="0" w:color="000000"/>
            </w:tcBorders>
          </w:tcPr>
          <w:p w14:paraId="4DDA1105"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14:paraId="41CBC6BB"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14:paraId="4193CC93" w14:textId="77777777" w:rsidR="001E097F" w:rsidRPr="001E097F" w:rsidRDefault="001E097F" w:rsidP="00DF1208">
            <w:pPr>
              <w:tabs>
                <w:tab w:val="left" w:pos="-720"/>
                <w:tab w:val="left" w:pos="0"/>
              </w:tabs>
              <w:suppressAutoHyphens/>
              <w:jc w:val="center"/>
              <w:rPr>
                <w:rFonts w:ascii="Times New Roman" w:hAnsi="Times New Roman" w:cs="Times New Roman"/>
                <w:b/>
              </w:rPr>
            </w:pPr>
          </w:p>
        </w:tc>
        <w:tc>
          <w:tcPr>
            <w:tcW w:w="514" w:type="pct"/>
            <w:tcBorders>
              <w:top w:val="single" w:sz="4" w:space="0" w:color="000000"/>
              <w:left w:val="single" w:sz="4" w:space="0" w:color="000000"/>
              <w:bottom w:val="single" w:sz="4" w:space="0" w:color="000000"/>
              <w:right w:val="single" w:sz="4" w:space="0" w:color="000000"/>
            </w:tcBorders>
            <w:hideMark/>
          </w:tcPr>
          <w:p w14:paraId="5E1BF8AB"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7.</w:t>
            </w:r>
          </w:p>
          <w:p w14:paraId="721FAD15"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Total Average Hour Burden Cost Per Respondent</w:t>
            </w:r>
          </w:p>
          <w:p w14:paraId="443FED39"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(5 x 6)</w:t>
            </w:r>
          </w:p>
        </w:tc>
        <w:tc>
          <w:tcPr>
            <w:tcW w:w="475" w:type="pct"/>
            <w:tcBorders>
              <w:top w:val="single" w:sz="4" w:space="0" w:color="000000"/>
              <w:left w:val="single" w:sz="4" w:space="0" w:color="000000"/>
              <w:bottom w:val="single" w:sz="4" w:space="0" w:color="000000"/>
              <w:right w:val="single" w:sz="4" w:space="0" w:color="000000"/>
            </w:tcBorders>
            <w:hideMark/>
          </w:tcPr>
          <w:p w14:paraId="637C8171"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14:paraId="3A7EAECF"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14:paraId="2904FE1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14:paraId="3F9559E1"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2" w:type="pct"/>
            <w:tcBorders>
              <w:top w:val="single" w:sz="4" w:space="0" w:color="000000"/>
              <w:left w:val="single" w:sz="4" w:space="0" w:color="000000"/>
              <w:bottom w:val="single" w:sz="4" w:space="0" w:color="000000"/>
              <w:right w:val="single" w:sz="4" w:space="0" w:color="000000"/>
            </w:tcBorders>
            <w:hideMark/>
          </w:tcPr>
          <w:p w14:paraId="5FA5E12E"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14:paraId="79BC96BF"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14:paraId="52F012F3"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4" w:type="pct"/>
            <w:tcBorders>
              <w:top w:val="single" w:sz="4" w:space="0" w:color="000000"/>
              <w:left w:val="single" w:sz="4" w:space="0" w:color="000000"/>
              <w:bottom w:val="single" w:sz="4" w:space="0" w:color="000000"/>
              <w:right w:val="single" w:sz="4" w:space="0" w:color="000000"/>
            </w:tcBorders>
            <w:hideMark/>
          </w:tcPr>
          <w:p w14:paraId="5F13CDF7"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14:paraId="15D166D5"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14:paraId="1D62B4A6"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008F44C2" w:rsidRPr="001E097F" w14:paraId="22E45CD5" w14:textId="77777777" w:rsidTr="001E097F">
        <w:trPr>
          <w:trHeight w:val="1592"/>
        </w:trPr>
        <w:tc>
          <w:tcPr>
            <w:tcW w:w="571" w:type="pct"/>
            <w:tcBorders>
              <w:top w:val="single" w:sz="4" w:space="0" w:color="000000"/>
              <w:left w:val="single" w:sz="4" w:space="0" w:color="000000"/>
              <w:bottom w:val="single" w:sz="4" w:space="0" w:color="000000"/>
              <w:right w:val="single" w:sz="4" w:space="0" w:color="000000"/>
            </w:tcBorders>
          </w:tcPr>
          <w:p w14:paraId="4CEBF874" w14:textId="77777777" w:rsidR="001E097F" w:rsidRPr="001E097F" w:rsidRDefault="001E097F" w:rsidP="001E097F">
            <w:pPr>
              <w:tabs>
                <w:tab w:val="left" w:pos="-720"/>
              </w:tabs>
              <w:suppressAutoHyphens/>
              <w:spacing w:after="0"/>
              <w:jc w:val="center"/>
              <w:rPr>
                <w:rFonts w:ascii="Times New Roman" w:hAnsi="Times New Roman" w:cs="Times New Roman"/>
                <w:b/>
                <w:sz w:val="20"/>
                <w:szCs w:val="20"/>
              </w:rPr>
            </w:pPr>
            <w:r w:rsidRPr="001E097F">
              <w:rPr>
                <w:rFonts w:ascii="Times New Roman" w:hAnsi="Times New Roman" w:cs="Times New Roman"/>
                <w:b/>
                <w:sz w:val="20"/>
                <w:szCs w:val="20"/>
              </w:rPr>
              <w:t>Regulatory &amp; Core Principle Compliance</w:t>
            </w:r>
          </w:p>
          <w:p w14:paraId="13A7490B" w14:textId="77777777" w:rsidR="001E097F" w:rsidRPr="001E097F" w:rsidRDefault="001E097F" w:rsidP="001E097F">
            <w:pPr>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20"/>
                <w:szCs w:val="20"/>
              </w:rPr>
              <w:t>Part 37 (Subparts A-P) and related Appendices</w:t>
            </w:r>
            <w:r w:rsidRPr="001E097F">
              <w:rPr>
                <w:rStyle w:val="FootnoteReference"/>
                <w:rFonts w:ascii="Times New Roman" w:hAnsi="Times New Roman" w:cs="Times New Roman"/>
                <w:b/>
              </w:rPr>
              <w:footnoteReference w:id="24"/>
            </w:r>
          </w:p>
        </w:tc>
        <w:tc>
          <w:tcPr>
            <w:tcW w:w="553" w:type="pct"/>
            <w:tcBorders>
              <w:top w:val="single" w:sz="4" w:space="0" w:color="000000"/>
              <w:left w:val="single" w:sz="4" w:space="0" w:color="000000"/>
              <w:bottom w:val="single" w:sz="4" w:space="0" w:color="000000"/>
              <w:right w:val="single" w:sz="4" w:space="0" w:color="000000"/>
            </w:tcBorders>
          </w:tcPr>
          <w:p w14:paraId="13A9E8BD"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85267E8" w14:textId="49D42DFC" w:rsidR="001E097F" w:rsidRPr="001E097F" w:rsidRDefault="00D82A9E"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5" w:type="pct"/>
            <w:tcBorders>
              <w:top w:val="single" w:sz="4" w:space="0" w:color="000000"/>
              <w:left w:val="single" w:sz="4" w:space="0" w:color="000000"/>
              <w:bottom w:val="single" w:sz="4" w:space="0" w:color="000000"/>
              <w:right w:val="single" w:sz="4" w:space="0" w:color="000000"/>
            </w:tcBorders>
          </w:tcPr>
          <w:p w14:paraId="3EB4D326" w14:textId="77777777" w:rsidR="001E097F" w:rsidRDefault="001E097F" w:rsidP="001E097F">
            <w:pPr>
              <w:tabs>
                <w:tab w:val="left" w:pos="-720"/>
              </w:tabs>
              <w:suppressAutoHyphens/>
              <w:spacing w:after="0"/>
              <w:jc w:val="center"/>
              <w:rPr>
                <w:rFonts w:ascii="Times New Roman" w:hAnsi="Times New Roman" w:cs="Times New Roman"/>
                <w:b/>
                <w:sz w:val="20"/>
                <w:szCs w:val="20"/>
              </w:rPr>
            </w:pPr>
          </w:p>
          <w:p w14:paraId="54FD47C2" w14:textId="77777777" w:rsidR="007D1E60" w:rsidRDefault="007D1E60" w:rsidP="001E097F">
            <w:pPr>
              <w:tabs>
                <w:tab w:val="left" w:pos="-720"/>
              </w:tabs>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 xml:space="preserve">251 </w:t>
            </w:r>
          </w:p>
          <w:p w14:paraId="0C6939E7" w14:textId="1E46BDA9" w:rsidR="001E097F" w:rsidRPr="001E097F" w:rsidRDefault="007D1E60" w:rsidP="001E097F">
            <w:pPr>
              <w:tabs>
                <w:tab w:val="left" w:pos="-720"/>
              </w:tabs>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w:t>
            </w:r>
            <w:r>
              <w:rPr>
                <w:rFonts w:ascii="Times New Roman" w:hAnsi="Times New Roman" w:cs="Times New Roman"/>
                <w:b/>
                <w:i/>
                <w:sz w:val="20"/>
                <w:szCs w:val="20"/>
              </w:rPr>
              <w:t>i.e.</w:t>
            </w:r>
            <w:r>
              <w:rPr>
                <w:rFonts w:ascii="Times New Roman" w:hAnsi="Times New Roman" w:cs="Times New Roman"/>
                <w:b/>
                <w:sz w:val="20"/>
                <w:szCs w:val="20"/>
              </w:rPr>
              <w:t>, e</w:t>
            </w:r>
            <w:r w:rsidR="001E097F" w:rsidRPr="001E097F">
              <w:rPr>
                <w:rFonts w:ascii="Times New Roman" w:hAnsi="Times New Roman" w:cs="Times New Roman"/>
                <w:b/>
                <w:sz w:val="20"/>
                <w:szCs w:val="20"/>
              </w:rPr>
              <w:t>ach trade day</w:t>
            </w:r>
            <w:r>
              <w:rPr>
                <w:rFonts w:ascii="Times New Roman" w:hAnsi="Times New Roman" w:cs="Times New Roman"/>
                <w:b/>
                <w:sz w:val="20"/>
                <w:szCs w:val="20"/>
              </w:rPr>
              <w:t>)</w:t>
            </w:r>
          </w:p>
          <w:p w14:paraId="3BDF07BE" w14:textId="1AE6CB72" w:rsidR="001E097F" w:rsidRPr="001E097F" w:rsidRDefault="001E097F" w:rsidP="001E097F">
            <w:pPr>
              <w:tabs>
                <w:tab w:val="left" w:pos="-720"/>
              </w:tabs>
              <w:suppressAutoHyphens/>
              <w:spacing w:after="0"/>
              <w:jc w:val="center"/>
              <w:rPr>
                <w:rFonts w:ascii="Times New Roman" w:hAnsi="Times New Roman" w:cs="Times New Roman"/>
                <w:b/>
              </w:rPr>
            </w:pPr>
            <w:r w:rsidRPr="001E097F">
              <w:rPr>
                <w:rStyle w:val="FootnoteReference"/>
                <w:rFonts w:ascii="Times New Roman" w:hAnsi="Times New Roman" w:cs="Times New Roman"/>
                <w:b/>
              </w:rPr>
              <w:footnoteReference w:id="25"/>
            </w:r>
          </w:p>
        </w:tc>
        <w:tc>
          <w:tcPr>
            <w:tcW w:w="514" w:type="pct"/>
            <w:tcBorders>
              <w:top w:val="single" w:sz="4" w:space="0" w:color="000000"/>
              <w:left w:val="single" w:sz="4" w:space="0" w:color="000000"/>
              <w:bottom w:val="single" w:sz="4" w:space="0" w:color="000000"/>
              <w:right w:val="single" w:sz="4" w:space="0" w:color="000000"/>
            </w:tcBorders>
          </w:tcPr>
          <w:p w14:paraId="7638E008"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EF79534"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1.143</w:t>
            </w:r>
            <w:r w:rsidRPr="001E097F">
              <w:rPr>
                <w:rStyle w:val="FootnoteReference"/>
                <w:rFonts w:ascii="Times New Roman" w:hAnsi="Times New Roman" w:cs="Times New Roman"/>
                <w:b/>
              </w:rPr>
              <w:footnoteReference w:id="26"/>
            </w:r>
          </w:p>
        </w:tc>
        <w:tc>
          <w:tcPr>
            <w:tcW w:w="514" w:type="pct"/>
            <w:tcBorders>
              <w:top w:val="single" w:sz="4" w:space="0" w:color="000000"/>
              <w:left w:val="single" w:sz="4" w:space="0" w:color="000000"/>
              <w:bottom w:val="single" w:sz="4" w:space="0" w:color="000000"/>
              <w:right w:val="single" w:sz="4" w:space="0" w:color="000000"/>
            </w:tcBorders>
          </w:tcPr>
          <w:p w14:paraId="7B23E74B"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B6D2EBE"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287</w:t>
            </w:r>
            <w:bookmarkStart w:id="2" w:name="_Ref528254405"/>
            <w:r w:rsidRPr="001E097F">
              <w:rPr>
                <w:rStyle w:val="FootnoteReference"/>
                <w:rFonts w:ascii="Times New Roman" w:hAnsi="Times New Roman" w:cs="Times New Roman"/>
                <w:b/>
              </w:rPr>
              <w:footnoteReference w:id="27"/>
            </w:r>
            <w:bookmarkEnd w:id="2"/>
          </w:p>
        </w:tc>
        <w:tc>
          <w:tcPr>
            <w:tcW w:w="435" w:type="pct"/>
            <w:tcBorders>
              <w:top w:val="single" w:sz="4" w:space="0" w:color="000000"/>
              <w:left w:val="single" w:sz="4" w:space="0" w:color="000000"/>
              <w:bottom w:val="single" w:sz="4" w:space="0" w:color="000000"/>
              <w:right w:val="single" w:sz="4" w:space="0" w:color="000000"/>
            </w:tcBorders>
          </w:tcPr>
          <w:p w14:paraId="16A70AA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150D4DB"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4" w:type="pct"/>
            <w:tcBorders>
              <w:top w:val="single" w:sz="4" w:space="0" w:color="000000"/>
              <w:left w:val="single" w:sz="4" w:space="0" w:color="000000"/>
              <w:bottom w:val="single" w:sz="4" w:space="0" w:color="000000"/>
              <w:right w:val="single" w:sz="4" w:space="0" w:color="000000"/>
            </w:tcBorders>
          </w:tcPr>
          <w:p w14:paraId="350298C5" w14:textId="77777777" w:rsidR="001E097F" w:rsidRPr="001E097F" w:rsidRDefault="001E097F" w:rsidP="00DF1208">
            <w:pPr>
              <w:jc w:val="center"/>
              <w:rPr>
                <w:rFonts w:ascii="Times New Roman" w:hAnsi="Times New Roman" w:cs="Times New Roman"/>
                <w:b/>
              </w:rPr>
            </w:pPr>
          </w:p>
          <w:p w14:paraId="3FAB94C9"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$16,933</w:t>
            </w:r>
          </w:p>
        </w:tc>
        <w:tc>
          <w:tcPr>
            <w:tcW w:w="475" w:type="pct"/>
            <w:tcBorders>
              <w:top w:val="single" w:sz="4" w:space="0" w:color="000000"/>
              <w:left w:val="single" w:sz="4" w:space="0" w:color="000000"/>
              <w:bottom w:val="single" w:sz="4" w:space="0" w:color="000000"/>
              <w:right w:val="single" w:sz="4" w:space="0" w:color="000000"/>
            </w:tcBorders>
          </w:tcPr>
          <w:p w14:paraId="3477A6FB"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D4DBB5B" w14:textId="2491D8D1" w:rsidR="001E097F" w:rsidRPr="001E097F" w:rsidRDefault="008F44C2"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11,295</w:t>
            </w:r>
          </w:p>
        </w:tc>
        <w:tc>
          <w:tcPr>
            <w:tcW w:w="392" w:type="pct"/>
            <w:tcBorders>
              <w:top w:val="single" w:sz="4" w:space="0" w:color="000000"/>
              <w:left w:val="single" w:sz="4" w:space="0" w:color="000000"/>
              <w:bottom w:val="single" w:sz="4" w:space="0" w:color="000000"/>
              <w:right w:val="single" w:sz="4" w:space="0" w:color="000000"/>
            </w:tcBorders>
          </w:tcPr>
          <w:p w14:paraId="5A197989"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E5850C4" w14:textId="70E00ECE" w:rsidR="001E097F" w:rsidRPr="001E097F" w:rsidRDefault="008F44C2"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12,915</w:t>
            </w:r>
          </w:p>
        </w:tc>
        <w:tc>
          <w:tcPr>
            <w:tcW w:w="514" w:type="pct"/>
            <w:tcBorders>
              <w:top w:val="single" w:sz="4" w:space="0" w:color="000000"/>
              <w:left w:val="single" w:sz="4" w:space="0" w:color="000000"/>
              <w:bottom w:val="single" w:sz="4" w:space="0" w:color="000000"/>
              <w:right w:val="single" w:sz="4" w:space="0" w:color="000000"/>
            </w:tcBorders>
          </w:tcPr>
          <w:p w14:paraId="3D1F3A6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21175E2" w14:textId="3204FBC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D82A9E">
              <w:rPr>
                <w:rFonts w:ascii="Times New Roman" w:hAnsi="Times New Roman" w:cs="Times New Roman"/>
                <w:b/>
              </w:rPr>
              <w:t>761,985</w:t>
            </w:r>
          </w:p>
        </w:tc>
      </w:tr>
    </w:tbl>
    <w:p w14:paraId="2DCA2947" w14:textId="13B6BB4A" w:rsidR="001E097F" w:rsidRPr="001E097F" w:rsidRDefault="001E097F" w:rsidP="001E097F">
      <w:pPr>
        <w:jc w:val="center"/>
        <w:rPr>
          <w:rFonts w:ascii="Times New Roman" w:hAnsi="Times New Roman" w:cs="Times New Roman"/>
        </w:rPr>
      </w:pPr>
    </w:p>
    <w:p w14:paraId="0522BC34"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Reporting Burden Hours and Costs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691"/>
        <w:gridCol w:w="1575"/>
        <w:gridCol w:w="1614"/>
        <w:gridCol w:w="1572"/>
        <w:gridCol w:w="1330"/>
        <w:gridCol w:w="1572"/>
        <w:gridCol w:w="1453"/>
        <w:gridCol w:w="1198"/>
        <w:gridCol w:w="1569"/>
      </w:tblGrid>
      <w:tr w:rsidR="001E097F" w:rsidRPr="001E097F" w14:paraId="6E51E2C5" w14:textId="77777777" w:rsidTr="001E097F">
        <w:trPr>
          <w:trHeight w:val="2456"/>
        </w:trPr>
        <w:tc>
          <w:tcPr>
            <w:tcW w:w="570" w:type="pct"/>
            <w:tcBorders>
              <w:top w:val="single" w:sz="4" w:space="0" w:color="000000"/>
              <w:left w:val="single" w:sz="4" w:space="0" w:color="000000"/>
              <w:bottom w:val="single" w:sz="4" w:space="0" w:color="000000"/>
              <w:right w:val="single" w:sz="4" w:space="0" w:color="000000"/>
            </w:tcBorders>
            <w:hideMark/>
          </w:tcPr>
          <w:p w14:paraId="209AD84E"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14:paraId="6F68F1C3"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2" w:type="pct"/>
            <w:tcBorders>
              <w:top w:val="single" w:sz="4" w:space="0" w:color="000000"/>
              <w:left w:val="single" w:sz="4" w:space="0" w:color="000000"/>
              <w:bottom w:val="single" w:sz="4" w:space="0" w:color="000000"/>
              <w:right w:val="single" w:sz="4" w:space="0" w:color="000000"/>
            </w:tcBorders>
          </w:tcPr>
          <w:p w14:paraId="280FC658"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14:paraId="0038E53B"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14:paraId="21BEB1F2"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p>
        </w:tc>
        <w:tc>
          <w:tcPr>
            <w:tcW w:w="514" w:type="pct"/>
            <w:tcBorders>
              <w:top w:val="single" w:sz="4" w:space="0" w:color="000000"/>
              <w:left w:val="single" w:sz="4" w:space="0" w:color="000000"/>
              <w:bottom w:val="single" w:sz="4" w:space="0" w:color="000000"/>
              <w:right w:val="single" w:sz="4" w:space="0" w:color="000000"/>
            </w:tcBorders>
            <w:hideMark/>
          </w:tcPr>
          <w:p w14:paraId="2BBD5C85"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14:paraId="1A9326BF"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14:paraId="1A422B5B"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27" w:type="pct"/>
            <w:tcBorders>
              <w:top w:val="single" w:sz="4" w:space="0" w:color="000000"/>
              <w:left w:val="single" w:sz="4" w:space="0" w:color="000000"/>
              <w:bottom w:val="single" w:sz="4" w:space="0" w:color="000000"/>
              <w:right w:val="single" w:sz="4" w:space="0" w:color="000000"/>
            </w:tcBorders>
            <w:hideMark/>
          </w:tcPr>
          <w:p w14:paraId="7785FDD9"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14:paraId="6A686C15"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3" w:type="pct"/>
            <w:tcBorders>
              <w:top w:val="single" w:sz="4" w:space="0" w:color="000000"/>
              <w:left w:val="single" w:sz="4" w:space="0" w:color="000000"/>
              <w:bottom w:val="single" w:sz="4" w:space="0" w:color="000000"/>
              <w:right w:val="single" w:sz="4" w:space="0" w:color="000000"/>
            </w:tcBorders>
            <w:hideMark/>
          </w:tcPr>
          <w:p w14:paraId="43076461"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14:paraId="0DA2B5A8"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14:paraId="361FAE65"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 x 4)</w:t>
            </w:r>
          </w:p>
        </w:tc>
        <w:tc>
          <w:tcPr>
            <w:tcW w:w="434" w:type="pct"/>
            <w:tcBorders>
              <w:top w:val="single" w:sz="4" w:space="0" w:color="000000"/>
              <w:left w:val="single" w:sz="4" w:space="0" w:color="000000"/>
              <w:bottom w:val="single" w:sz="4" w:space="0" w:color="000000"/>
              <w:right w:val="single" w:sz="4" w:space="0" w:color="000000"/>
            </w:tcBorders>
          </w:tcPr>
          <w:p w14:paraId="787233A7"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14:paraId="50347B23"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14:paraId="0864D618"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p>
        </w:tc>
        <w:tc>
          <w:tcPr>
            <w:tcW w:w="513" w:type="pct"/>
            <w:tcBorders>
              <w:top w:val="single" w:sz="4" w:space="0" w:color="000000"/>
              <w:left w:val="single" w:sz="4" w:space="0" w:color="000000"/>
              <w:bottom w:val="single" w:sz="4" w:space="0" w:color="000000"/>
              <w:right w:val="single" w:sz="4" w:space="0" w:color="000000"/>
            </w:tcBorders>
            <w:hideMark/>
          </w:tcPr>
          <w:p w14:paraId="1F760B2C"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7.</w:t>
            </w:r>
          </w:p>
          <w:p w14:paraId="0E975028"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Total Average Hour Burden Cost Per Respondent</w:t>
            </w:r>
          </w:p>
          <w:p w14:paraId="5DEAD8B5"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(5 x 6)</w:t>
            </w:r>
          </w:p>
        </w:tc>
        <w:tc>
          <w:tcPr>
            <w:tcW w:w="474" w:type="pct"/>
            <w:tcBorders>
              <w:top w:val="single" w:sz="4" w:space="0" w:color="000000"/>
              <w:left w:val="single" w:sz="4" w:space="0" w:color="000000"/>
              <w:bottom w:val="single" w:sz="4" w:space="0" w:color="000000"/>
              <w:right w:val="single" w:sz="4" w:space="0" w:color="000000"/>
            </w:tcBorders>
            <w:hideMark/>
          </w:tcPr>
          <w:p w14:paraId="15889137"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14:paraId="3337AF51"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14:paraId="7A4D8313"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14:paraId="0AAA6924"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1" w:type="pct"/>
            <w:tcBorders>
              <w:top w:val="single" w:sz="4" w:space="0" w:color="000000"/>
              <w:left w:val="single" w:sz="4" w:space="0" w:color="000000"/>
              <w:bottom w:val="single" w:sz="4" w:space="0" w:color="000000"/>
              <w:right w:val="single" w:sz="4" w:space="0" w:color="000000"/>
            </w:tcBorders>
            <w:hideMark/>
          </w:tcPr>
          <w:p w14:paraId="46903982"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14:paraId="25FB093E"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14:paraId="2A9E6146"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2" w:type="pct"/>
            <w:tcBorders>
              <w:top w:val="single" w:sz="4" w:space="0" w:color="000000"/>
              <w:left w:val="single" w:sz="4" w:space="0" w:color="000000"/>
              <w:bottom w:val="single" w:sz="4" w:space="0" w:color="000000"/>
              <w:right w:val="single" w:sz="4" w:space="0" w:color="000000"/>
            </w:tcBorders>
            <w:hideMark/>
          </w:tcPr>
          <w:p w14:paraId="1906746D"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14:paraId="27AD43B4"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14:paraId="3D0B1C85" w14:textId="77777777" w:rsidR="001E097F" w:rsidRPr="001E097F" w:rsidRDefault="001E097F" w:rsidP="001E097F">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001E097F" w:rsidRPr="001E097F" w14:paraId="503D331D" w14:textId="77777777" w:rsidTr="00DF1208">
        <w:trPr>
          <w:trHeight w:val="980"/>
        </w:trPr>
        <w:tc>
          <w:tcPr>
            <w:tcW w:w="570" w:type="pct"/>
            <w:tcBorders>
              <w:top w:val="single" w:sz="4" w:space="0" w:color="000000"/>
              <w:left w:val="single" w:sz="4" w:space="0" w:color="000000"/>
              <w:bottom w:val="single" w:sz="4" w:space="0" w:color="000000"/>
              <w:right w:val="single" w:sz="4" w:space="0" w:color="000000"/>
            </w:tcBorders>
          </w:tcPr>
          <w:p w14:paraId="5CE1A95E" w14:textId="77777777" w:rsid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37.5(c)</w:t>
            </w:r>
          </w:p>
          <w:p w14:paraId="7776D1A5" w14:textId="582B568F"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(Provision of Information Relating to a SEF)</w:t>
            </w:r>
            <w:r w:rsidRPr="001E097F">
              <w:rPr>
                <w:rStyle w:val="FootnoteReference"/>
                <w:rFonts w:ascii="Times New Roman" w:hAnsi="Times New Roman" w:cs="Times New Roman"/>
                <w:b/>
              </w:rPr>
              <w:footnoteReference w:id="28"/>
            </w:r>
          </w:p>
        </w:tc>
        <w:tc>
          <w:tcPr>
            <w:tcW w:w="552" w:type="pct"/>
            <w:tcBorders>
              <w:top w:val="single" w:sz="4" w:space="0" w:color="000000"/>
              <w:left w:val="single" w:sz="4" w:space="0" w:color="000000"/>
              <w:bottom w:val="single" w:sz="4" w:space="0" w:color="000000"/>
              <w:right w:val="single" w:sz="4" w:space="0" w:color="000000"/>
            </w:tcBorders>
          </w:tcPr>
          <w:p w14:paraId="24559157"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1B58DC0"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14" w:type="pct"/>
            <w:tcBorders>
              <w:top w:val="single" w:sz="4" w:space="0" w:color="000000"/>
              <w:left w:val="single" w:sz="4" w:space="0" w:color="000000"/>
              <w:bottom w:val="single" w:sz="4" w:space="0" w:color="000000"/>
              <w:right w:val="single" w:sz="4" w:space="0" w:color="000000"/>
            </w:tcBorders>
          </w:tcPr>
          <w:p w14:paraId="2D0BBBB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62E3C52"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7" w:type="pct"/>
            <w:tcBorders>
              <w:top w:val="single" w:sz="4" w:space="0" w:color="000000"/>
              <w:left w:val="single" w:sz="4" w:space="0" w:color="000000"/>
              <w:bottom w:val="single" w:sz="4" w:space="0" w:color="000000"/>
              <w:right w:val="single" w:sz="4" w:space="0" w:color="000000"/>
            </w:tcBorders>
          </w:tcPr>
          <w:p w14:paraId="26CCED88"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EC148C9"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tc>
        <w:tc>
          <w:tcPr>
            <w:tcW w:w="513" w:type="pct"/>
            <w:tcBorders>
              <w:top w:val="single" w:sz="4" w:space="0" w:color="000000"/>
              <w:left w:val="single" w:sz="4" w:space="0" w:color="000000"/>
              <w:bottom w:val="single" w:sz="4" w:space="0" w:color="000000"/>
              <w:right w:val="single" w:sz="4" w:space="0" w:color="000000"/>
            </w:tcBorders>
          </w:tcPr>
          <w:p w14:paraId="7811FA58"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4BDEC11"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tc>
        <w:tc>
          <w:tcPr>
            <w:tcW w:w="434" w:type="pct"/>
            <w:tcBorders>
              <w:top w:val="single" w:sz="4" w:space="0" w:color="000000"/>
              <w:left w:val="single" w:sz="4" w:space="0" w:color="000000"/>
              <w:bottom w:val="single" w:sz="4" w:space="0" w:color="000000"/>
              <w:right w:val="single" w:sz="4" w:space="0" w:color="000000"/>
            </w:tcBorders>
          </w:tcPr>
          <w:p w14:paraId="651629C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E4EB7A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3" w:type="pct"/>
            <w:tcBorders>
              <w:top w:val="single" w:sz="4" w:space="0" w:color="000000"/>
              <w:left w:val="single" w:sz="4" w:space="0" w:color="000000"/>
              <w:bottom w:val="single" w:sz="4" w:space="0" w:color="000000"/>
              <w:right w:val="single" w:sz="4" w:space="0" w:color="000000"/>
            </w:tcBorders>
          </w:tcPr>
          <w:p w14:paraId="4CE93AA5" w14:textId="77777777" w:rsidR="001E097F" w:rsidRPr="001E097F" w:rsidRDefault="001E097F" w:rsidP="00DF1208">
            <w:pPr>
              <w:jc w:val="center"/>
              <w:rPr>
                <w:rFonts w:ascii="Times New Roman" w:hAnsi="Times New Roman" w:cs="Times New Roman"/>
                <w:b/>
              </w:rPr>
            </w:pPr>
          </w:p>
          <w:p w14:paraId="2A7B9AC5"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$590</w:t>
            </w:r>
          </w:p>
        </w:tc>
        <w:tc>
          <w:tcPr>
            <w:tcW w:w="474" w:type="pct"/>
            <w:tcBorders>
              <w:top w:val="single" w:sz="4" w:space="0" w:color="000000"/>
              <w:left w:val="single" w:sz="4" w:space="0" w:color="000000"/>
              <w:bottom w:val="single" w:sz="4" w:space="0" w:color="000000"/>
              <w:right w:val="single" w:sz="4" w:space="0" w:color="000000"/>
            </w:tcBorders>
          </w:tcPr>
          <w:p w14:paraId="62ED2E56"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401790FA"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391" w:type="pct"/>
            <w:tcBorders>
              <w:top w:val="single" w:sz="4" w:space="0" w:color="000000"/>
              <w:left w:val="single" w:sz="4" w:space="0" w:color="000000"/>
              <w:bottom w:val="single" w:sz="4" w:space="0" w:color="000000"/>
              <w:right w:val="single" w:sz="4" w:space="0" w:color="000000"/>
            </w:tcBorders>
          </w:tcPr>
          <w:p w14:paraId="6321AAB3"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D9E73B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tc>
        <w:tc>
          <w:tcPr>
            <w:tcW w:w="512" w:type="pct"/>
            <w:tcBorders>
              <w:top w:val="single" w:sz="4" w:space="0" w:color="000000"/>
              <w:left w:val="single" w:sz="4" w:space="0" w:color="000000"/>
              <w:bottom w:val="single" w:sz="4" w:space="0" w:color="000000"/>
              <w:right w:val="single" w:sz="4" w:space="0" w:color="000000"/>
            </w:tcBorders>
          </w:tcPr>
          <w:p w14:paraId="62CAE3E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C966213"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$590</w:t>
            </w:r>
          </w:p>
        </w:tc>
      </w:tr>
      <w:tr w:rsidR="001E097F" w:rsidRPr="001E097F" w14:paraId="5DBAE27C" w14:textId="77777777" w:rsidTr="001E097F">
        <w:trPr>
          <w:trHeight w:val="332"/>
        </w:trPr>
        <w:tc>
          <w:tcPr>
            <w:tcW w:w="570" w:type="pct"/>
            <w:tcBorders>
              <w:top w:val="single" w:sz="4" w:space="0" w:color="000000"/>
              <w:left w:val="single" w:sz="4" w:space="0" w:color="000000"/>
              <w:bottom w:val="single" w:sz="4" w:space="0" w:color="000000"/>
              <w:right w:val="single" w:sz="4" w:space="0" w:color="000000"/>
            </w:tcBorders>
          </w:tcPr>
          <w:p w14:paraId="56DED2EC"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§§37.1300 et al</w:t>
            </w:r>
          </w:p>
          <w:p w14:paraId="0BFB05F8" w14:textId="4F374310"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xml:space="preserve">(Quarterly Financial </w:t>
            </w:r>
            <w:r>
              <w:rPr>
                <w:rFonts w:ascii="Times New Roman" w:hAnsi="Times New Roman" w:cs="Times New Roman"/>
                <w:b/>
              </w:rPr>
              <w:t>Statements)</w:t>
            </w:r>
          </w:p>
        </w:tc>
        <w:tc>
          <w:tcPr>
            <w:tcW w:w="552" w:type="pct"/>
            <w:tcBorders>
              <w:top w:val="single" w:sz="4" w:space="0" w:color="000000"/>
              <w:left w:val="single" w:sz="4" w:space="0" w:color="000000"/>
              <w:bottom w:val="single" w:sz="4" w:space="0" w:color="000000"/>
              <w:right w:val="single" w:sz="4" w:space="0" w:color="000000"/>
            </w:tcBorders>
          </w:tcPr>
          <w:p w14:paraId="3820AF9F"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8FE26E6" w14:textId="6254507A" w:rsidR="001E097F" w:rsidRPr="001E097F" w:rsidRDefault="00054C2D"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4" w:type="pct"/>
            <w:tcBorders>
              <w:top w:val="single" w:sz="4" w:space="0" w:color="000000"/>
              <w:left w:val="single" w:sz="4" w:space="0" w:color="000000"/>
              <w:bottom w:val="single" w:sz="4" w:space="0" w:color="000000"/>
              <w:right w:val="single" w:sz="4" w:space="0" w:color="000000"/>
            </w:tcBorders>
          </w:tcPr>
          <w:p w14:paraId="292731F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FB5174A"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tc>
        <w:tc>
          <w:tcPr>
            <w:tcW w:w="527" w:type="pct"/>
            <w:tcBorders>
              <w:top w:val="single" w:sz="4" w:space="0" w:color="000000"/>
              <w:left w:val="single" w:sz="4" w:space="0" w:color="000000"/>
              <w:bottom w:val="single" w:sz="4" w:space="0" w:color="000000"/>
              <w:right w:val="single" w:sz="4" w:space="0" w:color="000000"/>
            </w:tcBorders>
          </w:tcPr>
          <w:p w14:paraId="414B590F"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2A472D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r w:rsidRPr="001E097F">
              <w:rPr>
                <w:rFonts w:ascii="Times New Roman" w:hAnsi="Times New Roman" w:cs="Times New Roman"/>
                <w:b/>
                <w:vertAlign w:val="superscript"/>
              </w:rPr>
              <w:footnoteReference w:id="29"/>
            </w:r>
          </w:p>
        </w:tc>
        <w:tc>
          <w:tcPr>
            <w:tcW w:w="513" w:type="pct"/>
            <w:tcBorders>
              <w:top w:val="single" w:sz="4" w:space="0" w:color="000000"/>
              <w:left w:val="single" w:sz="4" w:space="0" w:color="000000"/>
              <w:bottom w:val="single" w:sz="4" w:space="0" w:color="000000"/>
              <w:right w:val="single" w:sz="4" w:space="0" w:color="000000"/>
            </w:tcBorders>
          </w:tcPr>
          <w:p w14:paraId="79D736A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059024F"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40</w:t>
            </w:r>
          </w:p>
        </w:tc>
        <w:tc>
          <w:tcPr>
            <w:tcW w:w="434" w:type="pct"/>
            <w:tcBorders>
              <w:top w:val="single" w:sz="4" w:space="0" w:color="000000"/>
              <w:left w:val="single" w:sz="4" w:space="0" w:color="000000"/>
              <w:bottom w:val="single" w:sz="4" w:space="0" w:color="000000"/>
              <w:right w:val="single" w:sz="4" w:space="0" w:color="000000"/>
            </w:tcBorders>
          </w:tcPr>
          <w:p w14:paraId="01BA6659"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6F5090B"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3" w:type="pct"/>
            <w:tcBorders>
              <w:top w:val="single" w:sz="4" w:space="0" w:color="000000"/>
              <w:left w:val="single" w:sz="4" w:space="0" w:color="000000"/>
              <w:bottom w:val="single" w:sz="4" w:space="0" w:color="000000"/>
              <w:right w:val="single" w:sz="4" w:space="0" w:color="000000"/>
            </w:tcBorders>
          </w:tcPr>
          <w:p w14:paraId="6168EB59" w14:textId="77777777" w:rsidR="001E097F" w:rsidRPr="001E097F" w:rsidRDefault="001E097F" w:rsidP="00DF1208">
            <w:pPr>
              <w:jc w:val="center"/>
              <w:rPr>
                <w:rFonts w:ascii="Times New Roman" w:hAnsi="Times New Roman" w:cs="Times New Roman"/>
                <w:b/>
              </w:rPr>
            </w:pPr>
          </w:p>
          <w:p w14:paraId="1119ABF2"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$2,360</w:t>
            </w:r>
          </w:p>
        </w:tc>
        <w:tc>
          <w:tcPr>
            <w:tcW w:w="474" w:type="pct"/>
            <w:tcBorders>
              <w:top w:val="single" w:sz="4" w:space="0" w:color="000000"/>
              <w:left w:val="single" w:sz="4" w:space="0" w:color="000000"/>
              <w:bottom w:val="single" w:sz="4" w:space="0" w:color="000000"/>
              <w:right w:val="single" w:sz="4" w:space="0" w:color="000000"/>
            </w:tcBorders>
          </w:tcPr>
          <w:p w14:paraId="20E62AFF"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90C4870" w14:textId="3E5E228F" w:rsidR="001E097F" w:rsidRPr="001E097F" w:rsidRDefault="00054C2D"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180</w:t>
            </w:r>
          </w:p>
        </w:tc>
        <w:tc>
          <w:tcPr>
            <w:tcW w:w="391" w:type="pct"/>
            <w:tcBorders>
              <w:top w:val="single" w:sz="4" w:space="0" w:color="000000"/>
              <w:left w:val="single" w:sz="4" w:space="0" w:color="000000"/>
              <w:bottom w:val="single" w:sz="4" w:space="0" w:color="000000"/>
              <w:right w:val="single" w:sz="4" w:space="0" w:color="000000"/>
            </w:tcBorders>
          </w:tcPr>
          <w:p w14:paraId="2743B553"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B8FF350" w14:textId="7040B1D8" w:rsidR="001E097F" w:rsidRPr="001E097F" w:rsidRDefault="00054C2D"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1,800</w:t>
            </w:r>
            <w:r w:rsidR="001E097F" w:rsidRPr="001E097F">
              <w:rPr>
                <w:rStyle w:val="FootnoteReference"/>
                <w:rFonts w:ascii="Times New Roman" w:hAnsi="Times New Roman" w:cs="Times New Roman"/>
                <w:b/>
              </w:rPr>
              <w:footnoteReference w:id="30"/>
            </w:r>
          </w:p>
        </w:tc>
        <w:tc>
          <w:tcPr>
            <w:tcW w:w="512" w:type="pct"/>
            <w:tcBorders>
              <w:top w:val="single" w:sz="4" w:space="0" w:color="000000"/>
              <w:left w:val="single" w:sz="4" w:space="0" w:color="000000"/>
              <w:bottom w:val="single" w:sz="4" w:space="0" w:color="000000"/>
              <w:right w:val="single" w:sz="4" w:space="0" w:color="000000"/>
            </w:tcBorders>
          </w:tcPr>
          <w:p w14:paraId="0C762CD1"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CA1FEDB" w14:textId="1162E6D2"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3E6D89">
              <w:rPr>
                <w:rFonts w:ascii="Times New Roman" w:hAnsi="Times New Roman" w:cs="Times New Roman"/>
                <w:b/>
              </w:rPr>
              <w:t>106,200</w:t>
            </w:r>
          </w:p>
        </w:tc>
      </w:tr>
      <w:tr w:rsidR="001E097F" w:rsidRPr="001E097F" w14:paraId="0E7E850D" w14:textId="77777777" w:rsidTr="001E097F">
        <w:trPr>
          <w:trHeight w:val="692"/>
        </w:trPr>
        <w:tc>
          <w:tcPr>
            <w:tcW w:w="570" w:type="pct"/>
            <w:tcBorders>
              <w:top w:val="single" w:sz="4" w:space="0" w:color="000000"/>
              <w:left w:val="single" w:sz="4" w:space="0" w:color="000000"/>
              <w:bottom w:val="single" w:sz="4" w:space="0" w:color="000000"/>
              <w:right w:val="single" w:sz="4" w:space="0" w:color="000000"/>
            </w:tcBorders>
          </w:tcPr>
          <w:p w14:paraId="658FA176"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37.1401(g)</w:t>
            </w:r>
          </w:p>
          <w:p w14:paraId="523213B8"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(Program of Risk Analysis and Oversight Technology Questionnaire)</w:t>
            </w:r>
            <w:r w:rsidRPr="001E097F">
              <w:rPr>
                <w:rStyle w:val="FootnoteReference"/>
                <w:rFonts w:ascii="Times New Roman" w:hAnsi="Times New Roman" w:cs="Times New Roman"/>
                <w:b/>
              </w:rPr>
              <w:footnoteReference w:id="31"/>
            </w:r>
          </w:p>
        </w:tc>
        <w:tc>
          <w:tcPr>
            <w:tcW w:w="552" w:type="pct"/>
            <w:tcBorders>
              <w:top w:val="single" w:sz="4" w:space="0" w:color="000000"/>
              <w:left w:val="single" w:sz="4" w:space="0" w:color="000000"/>
              <w:bottom w:val="single" w:sz="4" w:space="0" w:color="000000"/>
              <w:right w:val="single" w:sz="4" w:space="0" w:color="000000"/>
            </w:tcBorders>
          </w:tcPr>
          <w:p w14:paraId="662B4A3D"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5CC028B" w14:textId="421BE9B1" w:rsidR="001E097F" w:rsidRPr="001E097F" w:rsidRDefault="003E6D89"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4" w:type="pct"/>
            <w:tcBorders>
              <w:top w:val="single" w:sz="4" w:space="0" w:color="000000"/>
              <w:left w:val="single" w:sz="4" w:space="0" w:color="000000"/>
              <w:bottom w:val="single" w:sz="4" w:space="0" w:color="000000"/>
              <w:right w:val="single" w:sz="4" w:space="0" w:color="000000"/>
            </w:tcBorders>
          </w:tcPr>
          <w:p w14:paraId="1E8A560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C141C78"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7" w:type="pct"/>
            <w:tcBorders>
              <w:top w:val="single" w:sz="4" w:space="0" w:color="000000"/>
              <w:left w:val="single" w:sz="4" w:space="0" w:color="000000"/>
              <w:bottom w:val="single" w:sz="4" w:space="0" w:color="000000"/>
              <w:right w:val="single" w:sz="4" w:space="0" w:color="000000"/>
            </w:tcBorders>
          </w:tcPr>
          <w:p w14:paraId="6A950913"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28A03C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tc>
        <w:tc>
          <w:tcPr>
            <w:tcW w:w="513" w:type="pct"/>
            <w:tcBorders>
              <w:top w:val="single" w:sz="4" w:space="0" w:color="000000"/>
              <w:left w:val="single" w:sz="4" w:space="0" w:color="000000"/>
              <w:bottom w:val="single" w:sz="4" w:space="0" w:color="000000"/>
              <w:right w:val="single" w:sz="4" w:space="0" w:color="000000"/>
            </w:tcBorders>
          </w:tcPr>
          <w:p w14:paraId="33C0D0E0"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719EF87"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tc>
        <w:tc>
          <w:tcPr>
            <w:tcW w:w="434" w:type="pct"/>
            <w:tcBorders>
              <w:top w:val="single" w:sz="4" w:space="0" w:color="000000"/>
              <w:left w:val="single" w:sz="4" w:space="0" w:color="000000"/>
              <w:bottom w:val="single" w:sz="4" w:space="0" w:color="000000"/>
              <w:right w:val="single" w:sz="4" w:space="0" w:color="000000"/>
            </w:tcBorders>
          </w:tcPr>
          <w:p w14:paraId="0906D2D5" w14:textId="77777777" w:rsidR="001E097F" w:rsidRPr="001E097F" w:rsidRDefault="001E097F" w:rsidP="00DF1208">
            <w:pPr>
              <w:jc w:val="center"/>
              <w:rPr>
                <w:rFonts w:ascii="Times New Roman" w:hAnsi="Times New Roman" w:cs="Times New Roman"/>
                <w:b/>
              </w:rPr>
            </w:pPr>
          </w:p>
          <w:p w14:paraId="65D2DF1D" w14:textId="77777777" w:rsidR="001E097F" w:rsidRPr="001E097F" w:rsidRDefault="001E097F" w:rsidP="00DF1208">
            <w:pPr>
              <w:jc w:val="center"/>
              <w:rPr>
                <w:rFonts w:ascii="Times New Roman" w:hAnsi="Times New Roman" w:cs="Times New Roman"/>
              </w:rPr>
            </w:pPr>
            <w:r w:rsidRPr="001E097F">
              <w:rPr>
                <w:rFonts w:ascii="Times New Roman" w:hAnsi="Times New Roman" w:cs="Times New Roman"/>
                <w:b/>
              </w:rPr>
              <w:t>$59</w:t>
            </w:r>
          </w:p>
        </w:tc>
        <w:tc>
          <w:tcPr>
            <w:tcW w:w="513" w:type="pct"/>
            <w:tcBorders>
              <w:top w:val="single" w:sz="4" w:space="0" w:color="000000"/>
              <w:left w:val="single" w:sz="4" w:space="0" w:color="000000"/>
              <w:bottom w:val="single" w:sz="4" w:space="0" w:color="000000"/>
              <w:right w:val="single" w:sz="4" w:space="0" w:color="000000"/>
            </w:tcBorders>
          </w:tcPr>
          <w:p w14:paraId="65C63C0A" w14:textId="77777777" w:rsidR="001E097F" w:rsidRPr="001E097F" w:rsidRDefault="001E097F" w:rsidP="00DF1208">
            <w:pPr>
              <w:jc w:val="center"/>
              <w:rPr>
                <w:rFonts w:ascii="Times New Roman" w:hAnsi="Times New Roman" w:cs="Times New Roman"/>
                <w:b/>
              </w:rPr>
            </w:pPr>
          </w:p>
          <w:p w14:paraId="00FA4A0A"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$472</w:t>
            </w:r>
          </w:p>
        </w:tc>
        <w:tc>
          <w:tcPr>
            <w:tcW w:w="474" w:type="pct"/>
            <w:tcBorders>
              <w:top w:val="single" w:sz="4" w:space="0" w:color="000000"/>
              <w:left w:val="single" w:sz="4" w:space="0" w:color="000000"/>
              <w:bottom w:val="single" w:sz="4" w:space="0" w:color="000000"/>
              <w:right w:val="single" w:sz="4" w:space="0" w:color="000000"/>
            </w:tcBorders>
          </w:tcPr>
          <w:p w14:paraId="1CF7258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0672886" w14:textId="16DD4AB5" w:rsidR="001E097F" w:rsidRPr="001E097F" w:rsidRDefault="003E6D89"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391" w:type="pct"/>
            <w:tcBorders>
              <w:top w:val="single" w:sz="4" w:space="0" w:color="000000"/>
              <w:left w:val="single" w:sz="4" w:space="0" w:color="000000"/>
              <w:bottom w:val="single" w:sz="4" w:space="0" w:color="000000"/>
              <w:right w:val="single" w:sz="4" w:space="0" w:color="000000"/>
            </w:tcBorders>
          </w:tcPr>
          <w:p w14:paraId="208A6D6B"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9945DBC" w14:textId="5215ECF8" w:rsidR="001E097F" w:rsidRPr="001E097F" w:rsidRDefault="003E6D89" w:rsidP="003E6D89">
            <w:pPr>
              <w:tabs>
                <w:tab w:val="left" w:pos="-720"/>
                <w:tab w:val="left" w:pos="0"/>
              </w:tabs>
              <w:suppressAutoHyphens/>
              <w:rPr>
                <w:rFonts w:ascii="Times New Roman" w:hAnsi="Times New Roman" w:cs="Times New Roman"/>
                <w:b/>
              </w:rPr>
            </w:pPr>
            <w:r>
              <w:rPr>
                <w:rFonts w:ascii="Times New Roman" w:hAnsi="Times New Roman" w:cs="Times New Roman"/>
                <w:b/>
              </w:rPr>
              <w:t>360</w:t>
            </w:r>
          </w:p>
        </w:tc>
        <w:tc>
          <w:tcPr>
            <w:tcW w:w="512" w:type="pct"/>
            <w:tcBorders>
              <w:top w:val="single" w:sz="4" w:space="0" w:color="000000"/>
              <w:left w:val="single" w:sz="4" w:space="0" w:color="000000"/>
              <w:bottom w:val="single" w:sz="4" w:space="0" w:color="000000"/>
              <w:right w:val="single" w:sz="4" w:space="0" w:color="000000"/>
            </w:tcBorders>
          </w:tcPr>
          <w:p w14:paraId="4BDCFA8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7839881" w14:textId="19166A52"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8F44C2">
              <w:rPr>
                <w:rFonts w:ascii="Times New Roman" w:hAnsi="Times New Roman" w:cs="Times New Roman"/>
                <w:b/>
              </w:rPr>
              <w:t>21,240</w:t>
            </w:r>
          </w:p>
        </w:tc>
      </w:tr>
      <w:tr w:rsidR="001E097F" w:rsidRPr="001E097F" w14:paraId="70981B98" w14:textId="77777777" w:rsidTr="001E097F">
        <w:trPr>
          <w:trHeight w:val="1214"/>
        </w:trPr>
        <w:tc>
          <w:tcPr>
            <w:tcW w:w="570" w:type="pct"/>
            <w:tcBorders>
              <w:top w:val="single" w:sz="4" w:space="0" w:color="000000"/>
              <w:left w:val="single" w:sz="4" w:space="0" w:color="000000"/>
              <w:bottom w:val="single" w:sz="4" w:space="0" w:color="000000"/>
              <w:right w:val="single" w:sz="4" w:space="0" w:color="000000"/>
            </w:tcBorders>
          </w:tcPr>
          <w:p w14:paraId="26C304B0"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37.1501(d)</w:t>
            </w:r>
          </w:p>
          <w:p w14:paraId="2CF8BF3D" w14:textId="75C22E16" w:rsidR="001E097F" w:rsidRPr="001E097F" w:rsidRDefault="001E097F" w:rsidP="001E097F">
            <w:pPr>
              <w:tabs>
                <w:tab w:val="left" w:pos="-720"/>
              </w:tabs>
              <w:suppressAutoHyphens/>
              <w:jc w:val="center"/>
              <w:rPr>
                <w:rFonts w:ascii="Times New Roman" w:hAnsi="Times New Roman" w:cs="Times New Roman"/>
                <w:b/>
              </w:rPr>
            </w:pPr>
            <w:r w:rsidRPr="001E097F">
              <w:rPr>
                <w:rFonts w:ascii="Times New Roman" w:hAnsi="Times New Roman" w:cs="Times New Roman"/>
                <w:b/>
              </w:rPr>
              <w:t>(Annual Compliance Report)</w:t>
            </w:r>
            <w:r w:rsidRPr="001E097F">
              <w:rPr>
                <w:rStyle w:val="FootnoteReference"/>
                <w:rFonts w:ascii="Times New Roman" w:hAnsi="Times New Roman" w:cs="Times New Roman"/>
                <w:b/>
              </w:rPr>
              <w:footnoteReference w:id="32"/>
            </w:r>
          </w:p>
        </w:tc>
        <w:tc>
          <w:tcPr>
            <w:tcW w:w="552" w:type="pct"/>
            <w:tcBorders>
              <w:top w:val="single" w:sz="4" w:space="0" w:color="000000"/>
              <w:left w:val="single" w:sz="4" w:space="0" w:color="000000"/>
              <w:bottom w:val="single" w:sz="4" w:space="0" w:color="000000"/>
              <w:right w:val="single" w:sz="4" w:space="0" w:color="000000"/>
            </w:tcBorders>
          </w:tcPr>
          <w:p w14:paraId="5DCD4C18"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7ED12C1" w14:textId="07F29722" w:rsidR="001E097F" w:rsidRPr="001E097F" w:rsidRDefault="008F44C2"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4" w:type="pct"/>
            <w:tcBorders>
              <w:top w:val="single" w:sz="4" w:space="0" w:color="000000"/>
              <w:left w:val="single" w:sz="4" w:space="0" w:color="000000"/>
              <w:bottom w:val="single" w:sz="4" w:space="0" w:color="000000"/>
              <w:right w:val="single" w:sz="4" w:space="0" w:color="000000"/>
            </w:tcBorders>
          </w:tcPr>
          <w:p w14:paraId="4CF54E61"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9CCB806"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7" w:type="pct"/>
            <w:tcBorders>
              <w:top w:val="single" w:sz="4" w:space="0" w:color="000000"/>
              <w:left w:val="single" w:sz="4" w:space="0" w:color="000000"/>
              <w:bottom w:val="single" w:sz="4" w:space="0" w:color="000000"/>
              <w:right w:val="single" w:sz="4" w:space="0" w:color="000000"/>
            </w:tcBorders>
          </w:tcPr>
          <w:p w14:paraId="3DBCC7C0"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E47D71C"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52</w:t>
            </w:r>
          </w:p>
        </w:tc>
        <w:tc>
          <w:tcPr>
            <w:tcW w:w="513" w:type="pct"/>
            <w:tcBorders>
              <w:top w:val="single" w:sz="4" w:space="0" w:color="000000"/>
              <w:left w:val="single" w:sz="4" w:space="0" w:color="000000"/>
              <w:bottom w:val="single" w:sz="4" w:space="0" w:color="000000"/>
              <w:right w:val="single" w:sz="4" w:space="0" w:color="000000"/>
            </w:tcBorders>
          </w:tcPr>
          <w:p w14:paraId="75141626"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EA2ACD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52</w:t>
            </w:r>
          </w:p>
        </w:tc>
        <w:tc>
          <w:tcPr>
            <w:tcW w:w="434" w:type="pct"/>
            <w:tcBorders>
              <w:top w:val="single" w:sz="4" w:space="0" w:color="000000"/>
              <w:left w:val="single" w:sz="4" w:space="0" w:color="000000"/>
              <w:bottom w:val="single" w:sz="4" w:space="0" w:color="000000"/>
              <w:right w:val="single" w:sz="4" w:space="0" w:color="000000"/>
            </w:tcBorders>
          </w:tcPr>
          <w:p w14:paraId="61CE53E7" w14:textId="77777777" w:rsidR="001E097F" w:rsidRPr="001E097F" w:rsidRDefault="001E097F" w:rsidP="00DF1208">
            <w:pPr>
              <w:jc w:val="center"/>
              <w:rPr>
                <w:rFonts w:ascii="Times New Roman" w:hAnsi="Times New Roman" w:cs="Times New Roman"/>
                <w:b/>
              </w:rPr>
            </w:pPr>
          </w:p>
          <w:p w14:paraId="4375B8E8" w14:textId="77777777" w:rsidR="001E097F" w:rsidRPr="001E097F" w:rsidRDefault="001E097F" w:rsidP="00DF1208">
            <w:pPr>
              <w:jc w:val="center"/>
              <w:rPr>
                <w:rFonts w:ascii="Times New Roman" w:hAnsi="Times New Roman" w:cs="Times New Roman"/>
              </w:rPr>
            </w:pPr>
            <w:r w:rsidRPr="001E097F">
              <w:rPr>
                <w:rFonts w:ascii="Times New Roman" w:hAnsi="Times New Roman" w:cs="Times New Roman"/>
                <w:b/>
              </w:rPr>
              <w:t>$59</w:t>
            </w:r>
          </w:p>
        </w:tc>
        <w:tc>
          <w:tcPr>
            <w:tcW w:w="513" w:type="pct"/>
            <w:tcBorders>
              <w:top w:val="single" w:sz="4" w:space="0" w:color="000000"/>
              <w:left w:val="single" w:sz="4" w:space="0" w:color="000000"/>
              <w:bottom w:val="single" w:sz="4" w:space="0" w:color="000000"/>
              <w:right w:val="single" w:sz="4" w:space="0" w:color="000000"/>
            </w:tcBorders>
          </w:tcPr>
          <w:p w14:paraId="16437D04" w14:textId="77777777" w:rsidR="001E097F" w:rsidRPr="001E097F" w:rsidRDefault="001E097F" w:rsidP="00DF1208">
            <w:pPr>
              <w:jc w:val="center"/>
              <w:rPr>
                <w:rFonts w:ascii="Times New Roman" w:hAnsi="Times New Roman" w:cs="Times New Roman"/>
                <w:b/>
              </w:rPr>
            </w:pPr>
          </w:p>
          <w:p w14:paraId="361FC909"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$3,068</w:t>
            </w:r>
          </w:p>
        </w:tc>
        <w:tc>
          <w:tcPr>
            <w:tcW w:w="474" w:type="pct"/>
            <w:tcBorders>
              <w:top w:val="single" w:sz="4" w:space="0" w:color="000000"/>
              <w:left w:val="single" w:sz="4" w:space="0" w:color="000000"/>
              <w:bottom w:val="single" w:sz="4" w:space="0" w:color="000000"/>
              <w:right w:val="single" w:sz="4" w:space="0" w:color="000000"/>
            </w:tcBorders>
          </w:tcPr>
          <w:p w14:paraId="7C703C27"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8C094DB" w14:textId="555BB993" w:rsidR="001E097F" w:rsidRPr="001E097F" w:rsidRDefault="00A83E2C"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45</w:t>
            </w:r>
          </w:p>
        </w:tc>
        <w:tc>
          <w:tcPr>
            <w:tcW w:w="391" w:type="pct"/>
            <w:tcBorders>
              <w:top w:val="single" w:sz="4" w:space="0" w:color="000000"/>
              <w:left w:val="single" w:sz="4" w:space="0" w:color="000000"/>
              <w:bottom w:val="single" w:sz="4" w:space="0" w:color="000000"/>
              <w:right w:val="single" w:sz="4" w:space="0" w:color="000000"/>
            </w:tcBorders>
          </w:tcPr>
          <w:p w14:paraId="0F1B9CF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1611F2C" w14:textId="237ABFE7" w:rsidR="001E097F" w:rsidRPr="001E097F" w:rsidRDefault="00A83E2C"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2,340</w:t>
            </w:r>
          </w:p>
        </w:tc>
        <w:tc>
          <w:tcPr>
            <w:tcW w:w="512" w:type="pct"/>
            <w:tcBorders>
              <w:top w:val="single" w:sz="4" w:space="0" w:color="000000"/>
              <w:left w:val="single" w:sz="4" w:space="0" w:color="000000"/>
              <w:bottom w:val="single" w:sz="4" w:space="0" w:color="000000"/>
              <w:right w:val="single" w:sz="4" w:space="0" w:color="000000"/>
            </w:tcBorders>
          </w:tcPr>
          <w:p w14:paraId="75F5AF5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D54FDC3" w14:textId="6D03903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A83E2C">
              <w:rPr>
                <w:rFonts w:ascii="Times New Roman" w:hAnsi="Times New Roman" w:cs="Times New Roman"/>
                <w:b/>
              </w:rPr>
              <w:t>138,060</w:t>
            </w:r>
          </w:p>
        </w:tc>
      </w:tr>
      <w:tr w:rsidR="001E097F" w:rsidRPr="001E097F" w14:paraId="46BE8E65" w14:textId="77777777" w:rsidTr="001E097F">
        <w:trPr>
          <w:trHeight w:val="782"/>
        </w:trPr>
        <w:tc>
          <w:tcPr>
            <w:tcW w:w="570" w:type="pct"/>
            <w:tcBorders>
              <w:top w:val="single" w:sz="4" w:space="0" w:color="000000"/>
              <w:left w:val="single" w:sz="4" w:space="0" w:color="000000"/>
              <w:bottom w:val="single" w:sz="4" w:space="0" w:color="000000"/>
              <w:right w:val="single" w:sz="4" w:space="0" w:color="000000"/>
            </w:tcBorders>
          </w:tcPr>
          <w:p w14:paraId="16679CDE"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Part 36</w:t>
            </w:r>
          </w:p>
          <w:p w14:paraId="1FF9B3DD"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(MAT Process)</w:t>
            </w:r>
            <w:r w:rsidRPr="001E097F">
              <w:rPr>
                <w:rStyle w:val="FootnoteReference"/>
                <w:rFonts w:ascii="Times New Roman" w:hAnsi="Times New Roman" w:cs="Times New Roman"/>
                <w:b/>
              </w:rPr>
              <w:footnoteReference w:id="33"/>
            </w:r>
          </w:p>
        </w:tc>
        <w:tc>
          <w:tcPr>
            <w:tcW w:w="552" w:type="pct"/>
            <w:tcBorders>
              <w:top w:val="single" w:sz="4" w:space="0" w:color="000000"/>
              <w:left w:val="single" w:sz="4" w:space="0" w:color="000000"/>
              <w:bottom w:val="single" w:sz="4" w:space="0" w:color="000000"/>
              <w:right w:val="single" w:sz="4" w:space="0" w:color="000000"/>
            </w:tcBorders>
          </w:tcPr>
          <w:p w14:paraId="4975D623"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48A4E70A" w14:textId="3CC08E1C" w:rsidR="001E097F" w:rsidRPr="001E097F" w:rsidRDefault="00A83E2C"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4" w:type="pct"/>
            <w:tcBorders>
              <w:top w:val="single" w:sz="4" w:space="0" w:color="000000"/>
              <w:left w:val="single" w:sz="4" w:space="0" w:color="000000"/>
              <w:bottom w:val="single" w:sz="4" w:space="0" w:color="000000"/>
              <w:right w:val="single" w:sz="4" w:space="0" w:color="000000"/>
            </w:tcBorders>
          </w:tcPr>
          <w:p w14:paraId="79403AC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01CD850"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7" w:type="pct"/>
            <w:tcBorders>
              <w:top w:val="single" w:sz="4" w:space="0" w:color="000000"/>
              <w:left w:val="single" w:sz="4" w:space="0" w:color="000000"/>
              <w:bottom w:val="single" w:sz="4" w:space="0" w:color="000000"/>
              <w:right w:val="single" w:sz="4" w:space="0" w:color="000000"/>
            </w:tcBorders>
          </w:tcPr>
          <w:p w14:paraId="5DA3490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C368FA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tc>
        <w:tc>
          <w:tcPr>
            <w:tcW w:w="513" w:type="pct"/>
            <w:tcBorders>
              <w:top w:val="single" w:sz="4" w:space="0" w:color="000000"/>
              <w:left w:val="single" w:sz="4" w:space="0" w:color="000000"/>
              <w:bottom w:val="single" w:sz="4" w:space="0" w:color="000000"/>
              <w:right w:val="single" w:sz="4" w:space="0" w:color="000000"/>
            </w:tcBorders>
          </w:tcPr>
          <w:p w14:paraId="3432C7C6"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B26CE4C"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tc>
        <w:tc>
          <w:tcPr>
            <w:tcW w:w="434" w:type="pct"/>
            <w:tcBorders>
              <w:top w:val="single" w:sz="4" w:space="0" w:color="000000"/>
              <w:left w:val="single" w:sz="4" w:space="0" w:color="000000"/>
              <w:bottom w:val="single" w:sz="4" w:space="0" w:color="000000"/>
              <w:right w:val="single" w:sz="4" w:space="0" w:color="000000"/>
            </w:tcBorders>
          </w:tcPr>
          <w:p w14:paraId="3AC50B82" w14:textId="77777777" w:rsidR="001E097F" w:rsidRPr="001E097F" w:rsidRDefault="001E097F" w:rsidP="00DF1208">
            <w:pPr>
              <w:jc w:val="center"/>
              <w:rPr>
                <w:rFonts w:ascii="Times New Roman" w:hAnsi="Times New Roman" w:cs="Times New Roman"/>
                <w:b/>
              </w:rPr>
            </w:pPr>
          </w:p>
          <w:p w14:paraId="34574229" w14:textId="77777777" w:rsidR="001E097F" w:rsidRPr="001E097F" w:rsidRDefault="001E097F" w:rsidP="00DF1208">
            <w:pPr>
              <w:jc w:val="center"/>
              <w:rPr>
                <w:rFonts w:ascii="Times New Roman" w:hAnsi="Times New Roman" w:cs="Times New Roman"/>
              </w:rPr>
            </w:pPr>
            <w:r w:rsidRPr="001E097F">
              <w:rPr>
                <w:rFonts w:ascii="Times New Roman" w:hAnsi="Times New Roman" w:cs="Times New Roman"/>
                <w:b/>
              </w:rPr>
              <w:t>$59</w:t>
            </w:r>
          </w:p>
        </w:tc>
        <w:tc>
          <w:tcPr>
            <w:tcW w:w="513" w:type="pct"/>
            <w:tcBorders>
              <w:top w:val="single" w:sz="4" w:space="0" w:color="000000"/>
              <w:left w:val="single" w:sz="4" w:space="0" w:color="000000"/>
              <w:bottom w:val="single" w:sz="4" w:space="0" w:color="000000"/>
              <w:right w:val="single" w:sz="4" w:space="0" w:color="000000"/>
            </w:tcBorders>
          </w:tcPr>
          <w:p w14:paraId="1291E0C2" w14:textId="77777777" w:rsidR="001E097F" w:rsidRPr="001E097F" w:rsidRDefault="001E097F" w:rsidP="00DF1208">
            <w:pPr>
              <w:jc w:val="center"/>
              <w:rPr>
                <w:rFonts w:ascii="Times New Roman" w:hAnsi="Times New Roman" w:cs="Times New Roman"/>
                <w:b/>
              </w:rPr>
            </w:pPr>
          </w:p>
          <w:p w14:paraId="01683F5B"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$295</w:t>
            </w:r>
          </w:p>
        </w:tc>
        <w:tc>
          <w:tcPr>
            <w:tcW w:w="474" w:type="pct"/>
            <w:tcBorders>
              <w:top w:val="single" w:sz="4" w:space="0" w:color="000000"/>
              <w:left w:val="single" w:sz="4" w:space="0" w:color="000000"/>
              <w:bottom w:val="single" w:sz="4" w:space="0" w:color="000000"/>
              <w:right w:val="single" w:sz="4" w:space="0" w:color="000000"/>
            </w:tcBorders>
          </w:tcPr>
          <w:p w14:paraId="17534779"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0E9B663" w14:textId="4B57666F" w:rsidR="001E097F" w:rsidRPr="001E097F" w:rsidRDefault="00A83E2C"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391" w:type="pct"/>
            <w:tcBorders>
              <w:top w:val="single" w:sz="4" w:space="0" w:color="000000"/>
              <w:left w:val="single" w:sz="4" w:space="0" w:color="000000"/>
              <w:bottom w:val="single" w:sz="4" w:space="0" w:color="000000"/>
              <w:right w:val="single" w:sz="4" w:space="0" w:color="000000"/>
            </w:tcBorders>
          </w:tcPr>
          <w:p w14:paraId="5106D99B"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ED6E51B" w14:textId="37CA623C" w:rsidR="001E097F" w:rsidRPr="001E097F" w:rsidRDefault="00A83E2C"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225</w:t>
            </w:r>
          </w:p>
        </w:tc>
        <w:tc>
          <w:tcPr>
            <w:tcW w:w="512" w:type="pct"/>
            <w:tcBorders>
              <w:top w:val="single" w:sz="4" w:space="0" w:color="000000"/>
              <w:left w:val="single" w:sz="4" w:space="0" w:color="000000"/>
              <w:bottom w:val="single" w:sz="4" w:space="0" w:color="000000"/>
              <w:right w:val="single" w:sz="4" w:space="0" w:color="000000"/>
            </w:tcBorders>
          </w:tcPr>
          <w:p w14:paraId="651FEF7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532539E" w14:textId="201429AE"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A83E2C">
              <w:rPr>
                <w:rFonts w:ascii="Times New Roman" w:hAnsi="Times New Roman" w:cs="Times New Roman"/>
                <w:b/>
              </w:rPr>
              <w:t>13,275</w:t>
            </w:r>
          </w:p>
        </w:tc>
      </w:tr>
    </w:tbl>
    <w:p w14:paraId="5398D499" w14:textId="77777777" w:rsidR="001E097F" w:rsidRDefault="001E097F" w:rsidP="001E097F">
      <w:pPr>
        <w:keepNext/>
        <w:keepLines/>
        <w:jc w:val="center"/>
        <w:rPr>
          <w:rFonts w:ascii="Times New Roman" w:hAnsi="Times New Roman" w:cs="Times New Roman"/>
          <w:b/>
        </w:rPr>
      </w:pPr>
    </w:p>
    <w:p w14:paraId="37358DAD" w14:textId="77777777" w:rsidR="001E097F" w:rsidRPr="001E097F" w:rsidRDefault="001E097F" w:rsidP="001E097F">
      <w:pPr>
        <w:keepNext/>
        <w:keepLines/>
        <w:jc w:val="center"/>
        <w:rPr>
          <w:rFonts w:ascii="Times New Roman" w:hAnsi="Times New Roman" w:cs="Times New Roman"/>
          <w:b/>
        </w:rPr>
      </w:pPr>
      <w:r w:rsidRPr="001E097F">
        <w:rPr>
          <w:rFonts w:ascii="Times New Roman" w:hAnsi="Times New Roman" w:cs="Times New Roman"/>
          <w:b/>
        </w:rPr>
        <w:t>Third-Party Disclosure Burden Hours and Costs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697"/>
        <w:gridCol w:w="1581"/>
        <w:gridCol w:w="1578"/>
        <w:gridCol w:w="1578"/>
        <w:gridCol w:w="1335"/>
        <w:gridCol w:w="1578"/>
        <w:gridCol w:w="1458"/>
        <w:gridCol w:w="1202"/>
        <w:gridCol w:w="1577"/>
      </w:tblGrid>
      <w:tr w:rsidR="001E097F" w:rsidRPr="001E097F" w14:paraId="0B1A452E" w14:textId="77777777" w:rsidTr="00DF1208">
        <w:trPr>
          <w:trHeight w:val="1427"/>
        </w:trPr>
        <w:tc>
          <w:tcPr>
            <w:tcW w:w="571" w:type="pct"/>
            <w:tcBorders>
              <w:top w:val="single" w:sz="4" w:space="0" w:color="000000"/>
              <w:left w:val="single" w:sz="4" w:space="0" w:color="000000"/>
              <w:bottom w:val="single" w:sz="4" w:space="0" w:color="000000"/>
              <w:right w:val="single" w:sz="4" w:space="0" w:color="000000"/>
            </w:tcBorders>
            <w:hideMark/>
          </w:tcPr>
          <w:p w14:paraId="1C88FC3E"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14:paraId="4E419A8F"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3" w:type="pct"/>
            <w:tcBorders>
              <w:top w:val="single" w:sz="4" w:space="0" w:color="000000"/>
              <w:left w:val="single" w:sz="4" w:space="0" w:color="000000"/>
              <w:bottom w:val="single" w:sz="4" w:space="0" w:color="000000"/>
              <w:right w:val="single" w:sz="4" w:space="0" w:color="000000"/>
            </w:tcBorders>
          </w:tcPr>
          <w:p w14:paraId="45D33717"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14:paraId="52F550B6"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14:paraId="28262A6A"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p>
        </w:tc>
        <w:tc>
          <w:tcPr>
            <w:tcW w:w="515" w:type="pct"/>
            <w:tcBorders>
              <w:top w:val="single" w:sz="4" w:space="0" w:color="000000"/>
              <w:left w:val="single" w:sz="4" w:space="0" w:color="000000"/>
              <w:bottom w:val="single" w:sz="4" w:space="0" w:color="000000"/>
              <w:right w:val="single" w:sz="4" w:space="0" w:color="000000"/>
            </w:tcBorders>
            <w:hideMark/>
          </w:tcPr>
          <w:p w14:paraId="5B35E53F"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14:paraId="3DA87954"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14:paraId="03436462"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14" w:type="pct"/>
            <w:tcBorders>
              <w:top w:val="single" w:sz="4" w:space="0" w:color="000000"/>
              <w:left w:val="single" w:sz="4" w:space="0" w:color="000000"/>
              <w:bottom w:val="single" w:sz="4" w:space="0" w:color="000000"/>
              <w:right w:val="single" w:sz="4" w:space="0" w:color="000000"/>
            </w:tcBorders>
            <w:hideMark/>
          </w:tcPr>
          <w:p w14:paraId="4B6EC769"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14:paraId="73E4EFBE"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4" w:type="pct"/>
            <w:tcBorders>
              <w:top w:val="single" w:sz="4" w:space="0" w:color="000000"/>
              <w:left w:val="single" w:sz="4" w:space="0" w:color="000000"/>
              <w:bottom w:val="single" w:sz="4" w:space="0" w:color="000000"/>
              <w:right w:val="single" w:sz="4" w:space="0" w:color="000000"/>
            </w:tcBorders>
            <w:hideMark/>
          </w:tcPr>
          <w:p w14:paraId="30CE52BF"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14:paraId="7649337D"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14:paraId="714934E6"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 x 4)</w:t>
            </w:r>
          </w:p>
        </w:tc>
        <w:tc>
          <w:tcPr>
            <w:tcW w:w="435" w:type="pct"/>
            <w:tcBorders>
              <w:top w:val="single" w:sz="4" w:space="0" w:color="000000"/>
              <w:left w:val="single" w:sz="4" w:space="0" w:color="000000"/>
              <w:bottom w:val="single" w:sz="4" w:space="0" w:color="000000"/>
              <w:right w:val="single" w:sz="4" w:space="0" w:color="000000"/>
            </w:tcBorders>
          </w:tcPr>
          <w:p w14:paraId="207F4A60"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14:paraId="4E55113A"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14:paraId="3082BB6F"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p>
        </w:tc>
        <w:tc>
          <w:tcPr>
            <w:tcW w:w="514" w:type="pct"/>
            <w:tcBorders>
              <w:top w:val="single" w:sz="4" w:space="0" w:color="000000"/>
              <w:left w:val="single" w:sz="4" w:space="0" w:color="000000"/>
              <w:bottom w:val="single" w:sz="4" w:space="0" w:color="000000"/>
              <w:right w:val="single" w:sz="4" w:space="0" w:color="000000"/>
            </w:tcBorders>
            <w:hideMark/>
          </w:tcPr>
          <w:p w14:paraId="225D513D" w14:textId="77777777" w:rsidR="001E097F" w:rsidRPr="001E097F" w:rsidRDefault="001E097F" w:rsidP="00DF1208">
            <w:pPr>
              <w:keepNext/>
              <w:keepLines/>
              <w:jc w:val="center"/>
              <w:rPr>
                <w:rFonts w:ascii="Times New Roman" w:hAnsi="Times New Roman" w:cs="Times New Roman"/>
                <w:b/>
              </w:rPr>
            </w:pPr>
            <w:r w:rsidRPr="001E097F">
              <w:rPr>
                <w:rFonts w:ascii="Times New Roman" w:hAnsi="Times New Roman" w:cs="Times New Roman"/>
                <w:b/>
              </w:rPr>
              <w:t>7.</w:t>
            </w:r>
          </w:p>
          <w:p w14:paraId="710268AC" w14:textId="77777777" w:rsidR="001E097F" w:rsidRPr="001E097F" w:rsidRDefault="001E097F" w:rsidP="00DF1208">
            <w:pPr>
              <w:keepNext/>
              <w:keepLines/>
              <w:jc w:val="center"/>
              <w:rPr>
                <w:rFonts w:ascii="Times New Roman" w:hAnsi="Times New Roman" w:cs="Times New Roman"/>
                <w:b/>
              </w:rPr>
            </w:pPr>
            <w:r w:rsidRPr="001E097F">
              <w:rPr>
                <w:rFonts w:ascii="Times New Roman" w:hAnsi="Times New Roman" w:cs="Times New Roman"/>
                <w:b/>
              </w:rPr>
              <w:t>Total Average Hour Burden Cost Per Respondent</w:t>
            </w:r>
          </w:p>
          <w:p w14:paraId="047694AF" w14:textId="77777777" w:rsidR="001E097F" w:rsidRPr="001E097F" w:rsidRDefault="001E097F" w:rsidP="00DF1208">
            <w:pPr>
              <w:keepNext/>
              <w:keepLines/>
              <w:jc w:val="center"/>
              <w:rPr>
                <w:rFonts w:ascii="Times New Roman" w:hAnsi="Times New Roman" w:cs="Times New Roman"/>
                <w:b/>
              </w:rPr>
            </w:pPr>
            <w:r w:rsidRPr="001E097F">
              <w:rPr>
                <w:rFonts w:ascii="Times New Roman" w:hAnsi="Times New Roman" w:cs="Times New Roman"/>
                <w:b/>
              </w:rPr>
              <w:t>(5 x 6)</w:t>
            </w:r>
          </w:p>
        </w:tc>
        <w:tc>
          <w:tcPr>
            <w:tcW w:w="475" w:type="pct"/>
            <w:tcBorders>
              <w:top w:val="single" w:sz="4" w:space="0" w:color="000000"/>
              <w:left w:val="single" w:sz="4" w:space="0" w:color="000000"/>
              <w:bottom w:val="single" w:sz="4" w:space="0" w:color="000000"/>
              <w:right w:val="single" w:sz="4" w:space="0" w:color="000000"/>
            </w:tcBorders>
            <w:hideMark/>
          </w:tcPr>
          <w:p w14:paraId="5432BD56"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14:paraId="39967C30"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14:paraId="5D26FF26"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14:paraId="3C173A1C"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2" w:type="pct"/>
            <w:tcBorders>
              <w:top w:val="single" w:sz="4" w:space="0" w:color="000000"/>
              <w:left w:val="single" w:sz="4" w:space="0" w:color="000000"/>
              <w:bottom w:val="single" w:sz="4" w:space="0" w:color="000000"/>
              <w:right w:val="single" w:sz="4" w:space="0" w:color="000000"/>
            </w:tcBorders>
            <w:hideMark/>
          </w:tcPr>
          <w:p w14:paraId="621D0DD3"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14:paraId="0FA846B3"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14:paraId="45ACFBD9"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4" w:type="pct"/>
            <w:tcBorders>
              <w:top w:val="single" w:sz="4" w:space="0" w:color="000000"/>
              <w:left w:val="single" w:sz="4" w:space="0" w:color="000000"/>
              <w:bottom w:val="single" w:sz="4" w:space="0" w:color="000000"/>
              <w:right w:val="single" w:sz="4" w:space="0" w:color="000000"/>
            </w:tcBorders>
            <w:hideMark/>
          </w:tcPr>
          <w:p w14:paraId="18467DDD"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14:paraId="63574C71"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14:paraId="271C7DFE" w14:textId="77777777" w:rsidR="001E097F" w:rsidRPr="001E097F" w:rsidRDefault="001E097F" w:rsidP="00DF1208">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001E097F" w:rsidRPr="001E097F" w14:paraId="0B30F6F0" w14:textId="77777777" w:rsidTr="001E097F">
        <w:trPr>
          <w:trHeight w:val="980"/>
        </w:trPr>
        <w:tc>
          <w:tcPr>
            <w:tcW w:w="571" w:type="pct"/>
            <w:tcBorders>
              <w:top w:val="single" w:sz="4" w:space="0" w:color="000000"/>
              <w:left w:val="single" w:sz="4" w:space="0" w:color="000000"/>
              <w:bottom w:val="single" w:sz="4" w:space="0" w:color="000000"/>
              <w:right w:val="single" w:sz="4" w:space="0" w:color="000000"/>
            </w:tcBorders>
          </w:tcPr>
          <w:p w14:paraId="715647FA"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37.203(e)</w:t>
            </w:r>
          </w:p>
          <w:p w14:paraId="16143D74" w14:textId="77777777" w:rsidR="001E097F" w:rsidRPr="001E097F" w:rsidRDefault="001E097F" w:rsidP="001E097F">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(Error Trade Policy)</w:t>
            </w:r>
          </w:p>
        </w:tc>
        <w:tc>
          <w:tcPr>
            <w:tcW w:w="553" w:type="pct"/>
            <w:tcBorders>
              <w:top w:val="single" w:sz="4" w:space="0" w:color="000000"/>
              <w:left w:val="single" w:sz="4" w:space="0" w:color="000000"/>
              <w:bottom w:val="single" w:sz="4" w:space="0" w:color="000000"/>
              <w:right w:val="single" w:sz="4" w:space="0" w:color="000000"/>
            </w:tcBorders>
          </w:tcPr>
          <w:p w14:paraId="218659B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A2D9641" w14:textId="3B91FD2C" w:rsidR="001E097F" w:rsidRPr="001E097F" w:rsidRDefault="00A12D54"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4</w:t>
            </w:r>
            <w:r w:rsidR="001E097F" w:rsidRPr="001E097F">
              <w:rPr>
                <w:rFonts w:ascii="Times New Roman" w:hAnsi="Times New Roman" w:cs="Times New Roman"/>
                <w:b/>
              </w:rPr>
              <w:t>5</w:t>
            </w:r>
          </w:p>
        </w:tc>
        <w:tc>
          <w:tcPr>
            <w:tcW w:w="515" w:type="pct"/>
            <w:tcBorders>
              <w:top w:val="single" w:sz="4" w:space="0" w:color="000000"/>
              <w:left w:val="single" w:sz="4" w:space="0" w:color="000000"/>
              <w:bottom w:val="single" w:sz="4" w:space="0" w:color="000000"/>
              <w:right w:val="single" w:sz="4" w:space="0" w:color="000000"/>
            </w:tcBorders>
          </w:tcPr>
          <w:p w14:paraId="01EA195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CDB4E17"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45</w:t>
            </w:r>
          </w:p>
        </w:tc>
        <w:tc>
          <w:tcPr>
            <w:tcW w:w="514" w:type="pct"/>
            <w:tcBorders>
              <w:top w:val="single" w:sz="4" w:space="0" w:color="000000"/>
              <w:left w:val="single" w:sz="4" w:space="0" w:color="000000"/>
              <w:bottom w:val="single" w:sz="4" w:space="0" w:color="000000"/>
              <w:right w:val="single" w:sz="4" w:space="0" w:color="000000"/>
            </w:tcBorders>
          </w:tcPr>
          <w:p w14:paraId="544F8B4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A9EA868"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0.333</w:t>
            </w:r>
            <w:r w:rsidRPr="001E097F">
              <w:rPr>
                <w:rStyle w:val="FootnoteReference"/>
                <w:rFonts w:ascii="Times New Roman" w:hAnsi="Times New Roman" w:cs="Times New Roman"/>
                <w:b/>
              </w:rPr>
              <w:footnoteReference w:id="34"/>
            </w:r>
          </w:p>
        </w:tc>
        <w:tc>
          <w:tcPr>
            <w:tcW w:w="514" w:type="pct"/>
            <w:tcBorders>
              <w:top w:val="single" w:sz="4" w:space="0" w:color="000000"/>
              <w:left w:val="single" w:sz="4" w:space="0" w:color="000000"/>
              <w:bottom w:val="single" w:sz="4" w:space="0" w:color="000000"/>
              <w:right w:val="single" w:sz="4" w:space="0" w:color="000000"/>
            </w:tcBorders>
          </w:tcPr>
          <w:p w14:paraId="03AF59E1"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917B3C6"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15</w:t>
            </w:r>
          </w:p>
        </w:tc>
        <w:tc>
          <w:tcPr>
            <w:tcW w:w="435" w:type="pct"/>
            <w:tcBorders>
              <w:top w:val="single" w:sz="4" w:space="0" w:color="000000"/>
              <w:left w:val="single" w:sz="4" w:space="0" w:color="000000"/>
              <w:bottom w:val="single" w:sz="4" w:space="0" w:color="000000"/>
              <w:right w:val="single" w:sz="4" w:space="0" w:color="000000"/>
            </w:tcBorders>
          </w:tcPr>
          <w:p w14:paraId="1D58A51F"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CC36934"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4" w:type="pct"/>
            <w:tcBorders>
              <w:top w:val="single" w:sz="4" w:space="0" w:color="000000"/>
              <w:left w:val="single" w:sz="4" w:space="0" w:color="000000"/>
              <w:bottom w:val="single" w:sz="4" w:space="0" w:color="000000"/>
              <w:right w:val="single" w:sz="4" w:space="0" w:color="000000"/>
            </w:tcBorders>
          </w:tcPr>
          <w:p w14:paraId="1FA7F304" w14:textId="77777777" w:rsidR="001E097F" w:rsidRPr="001E097F" w:rsidRDefault="001E097F" w:rsidP="00DF1208">
            <w:pPr>
              <w:jc w:val="center"/>
              <w:rPr>
                <w:rFonts w:ascii="Times New Roman" w:hAnsi="Times New Roman" w:cs="Times New Roman"/>
                <w:b/>
              </w:rPr>
            </w:pPr>
          </w:p>
          <w:p w14:paraId="0922B55A" w14:textId="77777777" w:rsidR="001E097F" w:rsidRPr="001E097F" w:rsidRDefault="001E097F" w:rsidP="00DF1208">
            <w:pPr>
              <w:jc w:val="center"/>
              <w:rPr>
                <w:rFonts w:ascii="Times New Roman" w:hAnsi="Times New Roman" w:cs="Times New Roman"/>
                <w:b/>
              </w:rPr>
            </w:pPr>
            <w:r w:rsidRPr="001E097F">
              <w:rPr>
                <w:rFonts w:ascii="Times New Roman" w:hAnsi="Times New Roman" w:cs="Times New Roman"/>
                <w:b/>
              </w:rPr>
              <w:t>$885</w:t>
            </w:r>
          </w:p>
        </w:tc>
        <w:tc>
          <w:tcPr>
            <w:tcW w:w="475" w:type="pct"/>
            <w:tcBorders>
              <w:top w:val="single" w:sz="4" w:space="0" w:color="000000"/>
              <w:left w:val="single" w:sz="4" w:space="0" w:color="000000"/>
              <w:bottom w:val="single" w:sz="4" w:space="0" w:color="000000"/>
              <w:right w:val="single" w:sz="4" w:space="0" w:color="000000"/>
            </w:tcBorders>
          </w:tcPr>
          <w:p w14:paraId="1393E975"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C6FE3FA" w14:textId="2C9B3416" w:rsidR="001E097F" w:rsidRPr="001E097F" w:rsidRDefault="00A12D54"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2,025</w:t>
            </w:r>
          </w:p>
        </w:tc>
        <w:tc>
          <w:tcPr>
            <w:tcW w:w="392" w:type="pct"/>
            <w:tcBorders>
              <w:top w:val="single" w:sz="4" w:space="0" w:color="000000"/>
              <w:left w:val="single" w:sz="4" w:space="0" w:color="000000"/>
              <w:bottom w:val="single" w:sz="4" w:space="0" w:color="000000"/>
              <w:right w:val="single" w:sz="4" w:space="0" w:color="000000"/>
            </w:tcBorders>
          </w:tcPr>
          <w:p w14:paraId="5B89C9AE"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00B0C93" w14:textId="29419D55" w:rsidR="001E097F" w:rsidRPr="001E097F" w:rsidRDefault="00A12D54"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675</w:t>
            </w:r>
          </w:p>
        </w:tc>
        <w:tc>
          <w:tcPr>
            <w:tcW w:w="514" w:type="pct"/>
            <w:tcBorders>
              <w:top w:val="single" w:sz="4" w:space="0" w:color="000000"/>
              <w:left w:val="single" w:sz="4" w:space="0" w:color="000000"/>
              <w:bottom w:val="single" w:sz="4" w:space="0" w:color="000000"/>
              <w:right w:val="single" w:sz="4" w:space="0" w:color="000000"/>
            </w:tcBorders>
          </w:tcPr>
          <w:p w14:paraId="52EE409D"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FBC05A3" w14:textId="4A23EF5B" w:rsidR="001E097F" w:rsidRPr="001E097F" w:rsidRDefault="001E097F" w:rsidP="001E097F">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A12D54">
              <w:rPr>
                <w:rFonts w:ascii="Times New Roman" w:hAnsi="Times New Roman" w:cs="Times New Roman"/>
                <w:b/>
              </w:rPr>
              <w:t>39,825</w:t>
            </w:r>
          </w:p>
        </w:tc>
      </w:tr>
    </w:tbl>
    <w:p w14:paraId="707E1BEB" w14:textId="77777777" w:rsidR="001E097F" w:rsidRPr="001E097F" w:rsidRDefault="001E097F" w:rsidP="001E097F">
      <w:pPr>
        <w:jc w:val="center"/>
        <w:rPr>
          <w:rFonts w:ascii="Times New Roman" w:hAnsi="Times New Roman" w:cs="Times New Roman"/>
        </w:rPr>
      </w:pPr>
    </w:p>
    <w:p w14:paraId="3101F232" w14:textId="77777777" w:rsidR="001E097F" w:rsidRPr="001E097F" w:rsidRDefault="001E097F" w:rsidP="001E097F">
      <w:pPr>
        <w:jc w:val="center"/>
        <w:rPr>
          <w:rFonts w:ascii="Times New Roman" w:hAnsi="Times New Roman" w:cs="Times New Roman"/>
          <w:b/>
        </w:rPr>
      </w:pPr>
    </w:p>
    <w:p w14:paraId="32B52A54" w14:textId="622AD63C" w:rsidR="001E097F" w:rsidRPr="001E097F" w:rsidRDefault="001E097F" w:rsidP="001E097F">
      <w:pPr>
        <w:keepNext/>
        <w:jc w:val="center"/>
        <w:rPr>
          <w:rFonts w:ascii="Times New Roman" w:hAnsi="Times New Roman" w:cs="Times New Roman"/>
          <w:b/>
          <w:u w:val="single"/>
        </w:rPr>
      </w:pPr>
      <w:r w:rsidRPr="001E097F">
        <w:rPr>
          <w:rFonts w:ascii="Times New Roman" w:hAnsi="Times New Roman" w:cs="Times New Roman"/>
          <w:b/>
          <w:u w:val="single"/>
        </w:rPr>
        <w:t>Burdens: SEF Registration</w:t>
      </w:r>
    </w:p>
    <w:p w14:paraId="1CB46736" w14:textId="77777777" w:rsidR="001E097F" w:rsidRPr="001E097F" w:rsidRDefault="001E097F" w:rsidP="001E097F">
      <w:pPr>
        <w:keepNext/>
        <w:jc w:val="center"/>
        <w:rPr>
          <w:rFonts w:ascii="Times New Roman" w:hAnsi="Times New Roman" w:cs="Times New Roman"/>
          <w:b/>
        </w:rPr>
      </w:pPr>
      <w:r w:rsidRPr="001E097F">
        <w:rPr>
          <w:rFonts w:ascii="Times New Roman" w:hAnsi="Times New Roman" w:cs="Times New Roman"/>
          <w:b/>
        </w:rPr>
        <w:t>Reporting Burden Hours and Costs</w:t>
      </w:r>
      <w:r w:rsidRPr="001E097F">
        <w:rPr>
          <w:rStyle w:val="FootnoteReference"/>
          <w:rFonts w:ascii="Times New Roman" w:hAnsi="Times New Roman" w:cs="Times New Roman"/>
          <w:b/>
        </w:rPr>
        <w:footnoteReference w:id="35"/>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697"/>
        <w:gridCol w:w="1581"/>
        <w:gridCol w:w="1578"/>
        <w:gridCol w:w="1578"/>
        <w:gridCol w:w="1334"/>
        <w:gridCol w:w="1577"/>
        <w:gridCol w:w="1457"/>
        <w:gridCol w:w="1205"/>
        <w:gridCol w:w="1577"/>
      </w:tblGrid>
      <w:tr w:rsidR="001E097F" w:rsidRPr="001E097F" w14:paraId="0ADB78C3" w14:textId="77777777" w:rsidTr="00DF1208">
        <w:trPr>
          <w:trHeight w:val="1427"/>
        </w:trPr>
        <w:tc>
          <w:tcPr>
            <w:tcW w:w="571" w:type="pct"/>
            <w:tcBorders>
              <w:top w:val="single" w:sz="4" w:space="0" w:color="000000"/>
              <w:left w:val="single" w:sz="4" w:space="0" w:color="000000"/>
              <w:bottom w:val="single" w:sz="4" w:space="0" w:color="000000"/>
              <w:right w:val="single" w:sz="4" w:space="0" w:color="000000"/>
            </w:tcBorders>
            <w:hideMark/>
          </w:tcPr>
          <w:p w14:paraId="4FE84D9F"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14:paraId="1DF69FC9"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3" w:type="pct"/>
            <w:tcBorders>
              <w:top w:val="single" w:sz="4" w:space="0" w:color="000000"/>
              <w:left w:val="single" w:sz="4" w:space="0" w:color="000000"/>
              <w:bottom w:val="single" w:sz="4" w:space="0" w:color="000000"/>
              <w:right w:val="single" w:sz="4" w:space="0" w:color="000000"/>
            </w:tcBorders>
          </w:tcPr>
          <w:p w14:paraId="195C9F63"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14:paraId="115B69BE"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14:paraId="7AF44A27"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p>
        </w:tc>
        <w:tc>
          <w:tcPr>
            <w:tcW w:w="515" w:type="pct"/>
            <w:tcBorders>
              <w:top w:val="single" w:sz="4" w:space="0" w:color="000000"/>
              <w:left w:val="single" w:sz="4" w:space="0" w:color="000000"/>
              <w:bottom w:val="single" w:sz="4" w:space="0" w:color="000000"/>
              <w:right w:val="single" w:sz="4" w:space="0" w:color="000000"/>
            </w:tcBorders>
            <w:hideMark/>
          </w:tcPr>
          <w:p w14:paraId="08CDB9D9"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14:paraId="575F8116"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14:paraId="05E81F3C"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14" w:type="pct"/>
            <w:tcBorders>
              <w:top w:val="single" w:sz="4" w:space="0" w:color="000000"/>
              <w:left w:val="single" w:sz="4" w:space="0" w:color="000000"/>
              <w:bottom w:val="single" w:sz="4" w:space="0" w:color="000000"/>
              <w:right w:val="single" w:sz="4" w:space="0" w:color="000000"/>
            </w:tcBorders>
            <w:hideMark/>
          </w:tcPr>
          <w:p w14:paraId="3502E60A"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14:paraId="4B3FCBAC"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4" w:type="pct"/>
            <w:tcBorders>
              <w:top w:val="single" w:sz="4" w:space="0" w:color="000000"/>
              <w:left w:val="single" w:sz="4" w:space="0" w:color="000000"/>
              <w:bottom w:val="single" w:sz="4" w:space="0" w:color="000000"/>
              <w:right w:val="single" w:sz="4" w:space="0" w:color="000000"/>
            </w:tcBorders>
            <w:hideMark/>
          </w:tcPr>
          <w:p w14:paraId="69756E9B"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14:paraId="59212A71"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14:paraId="68660DBC"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 x 4)</w:t>
            </w:r>
          </w:p>
        </w:tc>
        <w:tc>
          <w:tcPr>
            <w:tcW w:w="435" w:type="pct"/>
            <w:tcBorders>
              <w:top w:val="single" w:sz="4" w:space="0" w:color="000000"/>
              <w:left w:val="single" w:sz="4" w:space="0" w:color="000000"/>
              <w:bottom w:val="single" w:sz="4" w:space="0" w:color="000000"/>
              <w:right w:val="single" w:sz="4" w:space="0" w:color="000000"/>
            </w:tcBorders>
          </w:tcPr>
          <w:p w14:paraId="2E29D996"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14:paraId="168D25BD"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14:paraId="3FED79C2"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p>
        </w:tc>
        <w:tc>
          <w:tcPr>
            <w:tcW w:w="514" w:type="pct"/>
            <w:tcBorders>
              <w:top w:val="single" w:sz="4" w:space="0" w:color="000000"/>
              <w:left w:val="single" w:sz="4" w:space="0" w:color="000000"/>
              <w:bottom w:val="single" w:sz="4" w:space="0" w:color="000000"/>
              <w:right w:val="single" w:sz="4" w:space="0" w:color="000000"/>
            </w:tcBorders>
            <w:hideMark/>
          </w:tcPr>
          <w:p w14:paraId="1464E6DD" w14:textId="77777777" w:rsidR="001E097F" w:rsidRPr="001E097F" w:rsidRDefault="001E097F" w:rsidP="00DF1208">
            <w:pPr>
              <w:keepNext/>
              <w:jc w:val="center"/>
              <w:rPr>
                <w:rFonts w:ascii="Times New Roman" w:hAnsi="Times New Roman" w:cs="Times New Roman"/>
                <w:b/>
              </w:rPr>
            </w:pPr>
            <w:r w:rsidRPr="001E097F">
              <w:rPr>
                <w:rFonts w:ascii="Times New Roman" w:hAnsi="Times New Roman" w:cs="Times New Roman"/>
                <w:b/>
              </w:rPr>
              <w:t>7.</w:t>
            </w:r>
          </w:p>
          <w:p w14:paraId="7DF96886" w14:textId="77777777" w:rsidR="001E097F" w:rsidRPr="001E097F" w:rsidRDefault="001E097F" w:rsidP="00DF1208">
            <w:pPr>
              <w:keepNext/>
              <w:jc w:val="center"/>
              <w:rPr>
                <w:rFonts w:ascii="Times New Roman" w:hAnsi="Times New Roman" w:cs="Times New Roman"/>
                <w:b/>
              </w:rPr>
            </w:pPr>
            <w:r w:rsidRPr="001E097F">
              <w:rPr>
                <w:rFonts w:ascii="Times New Roman" w:hAnsi="Times New Roman" w:cs="Times New Roman"/>
                <w:b/>
              </w:rPr>
              <w:t>Total Average Hour Burden Cost Per Respondent</w:t>
            </w:r>
          </w:p>
          <w:p w14:paraId="642BDE61" w14:textId="77777777" w:rsidR="001E097F" w:rsidRPr="001E097F" w:rsidRDefault="001E097F" w:rsidP="00DF1208">
            <w:pPr>
              <w:keepNext/>
              <w:jc w:val="center"/>
              <w:rPr>
                <w:rFonts w:ascii="Times New Roman" w:hAnsi="Times New Roman" w:cs="Times New Roman"/>
                <w:b/>
              </w:rPr>
            </w:pPr>
            <w:r w:rsidRPr="001E097F">
              <w:rPr>
                <w:rFonts w:ascii="Times New Roman" w:hAnsi="Times New Roman" w:cs="Times New Roman"/>
                <w:b/>
              </w:rPr>
              <w:t>(5 x 6)</w:t>
            </w:r>
          </w:p>
        </w:tc>
        <w:tc>
          <w:tcPr>
            <w:tcW w:w="475" w:type="pct"/>
            <w:tcBorders>
              <w:top w:val="single" w:sz="4" w:space="0" w:color="000000"/>
              <w:left w:val="single" w:sz="4" w:space="0" w:color="000000"/>
              <w:bottom w:val="single" w:sz="4" w:space="0" w:color="000000"/>
              <w:right w:val="single" w:sz="4" w:space="0" w:color="000000"/>
            </w:tcBorders>
            <w:hideMark/>
          </w:tcPr>
          <w:p w14:paraId="01FF1944"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14:paraId="3278FA01"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14:paraId="661BC9F6"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14:paraId="531FCBCA"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3" w:type="pct"/>
            <w:tcBorders>
              <w:top w:val="single" w:sz="4" w:space="0" w:color="000000"/>
              <w:left w:val="single" w:sz="4" w:space="0" w:color="000000"/>
              <w:bottom w:val="single" w:sz="4" w:space="0" w:color="000000"/>
              <w:right w:val="single" w:sz="4" w:space="0" w:color="000000"/>
            </w:tcBorders>
            <w:hideMark/>
          </w:tcPr>
          <w:p w14:paraId="05D9F408"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14:paraId="15737CBF"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14:paraId="0A857AD0"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4" w:type="pct"/>
            <w:tcBorders>
              <w:top w:val="single" w:sz="4" w:space="0" w:color="000000"/>
              <w:left w:val="single" w:sz="4" w:space="0" w:color="000000"/>
              <w:bottom w:val="single" w:sz="4" w:space="0" w:color="000000"/>
              <w:right w:val="single" w:sz="4" w:space="0" w:color="000000"/>
            </w:tcBorders>
            <w:hideMark/>
          </w:tcPr>
          <w:p w14:paraId="3DC545B8"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14:paraId="54107A9C"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14:paraId="173C998D"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001E097F" w:rsidRPr="001E097F" w14:paraId="01394E09" w14:textId="77777777" w:rsidTr="001E097F">
        <w:trPr>
          <w:trHeight w:val="899"/>
        </w:trPr>
        <w:tc>
          <w:tcPr>
            <w:tcW w:w="571" w:type="pct"/>
            <w:tcBorders>
              <w:top w:val="single" w:sz="4" w:space="0" w:color="000000"/>
              <w:left w:val="single" w:sz="4" w:space="0" w:color="000000"/>
              <w:bottom w:val="single" w:sz="4" w:space="0" w:color="000000"/>
              <w:right w:val="single" w:sz="4" w:space="0" w:color="000000"/>
            </w:tcBorders>
          </w:tcPr>
          <w:p w14:paraId="20B48FB5" w14:textId="77777777" w:rsidR="001E097F" w:rsidRPr="001E097F" w:rsidRDefault="001E097F" w:rsidP="001E097F">
            <w:pPr>
              <w:keepNext/>
              <w:tabs>
                <w:tab w:val="left" w:pos="-720"/>
                <w:tab w:val="left" w:pos="0"/>
              </w:tabs>
              <w:suppressAutoHyphens/>
              <w:spacing w:after="0"/>
              <w:jc w:val="center"/>
              <w:rPr>
                <w:rFonts w:ascii="Times New Roman" w:hAnsi="Times New Roman" w:cs="Times New Roman"/>
                <w:b/>
                <w:sz w:val="18"/>
                <w:szCs w:val="18"/>
              </w:rPr>
            </w:pPr>
            <w:r w:rsidRPr="001E097F">
              <w:rPr>
                <w:rFonts w:ascii="Times New Roman" w:hAnsi="Times New Roman" w:cs="Times New Roman"/>
                <w:b/>
                <w:sz w:val="18"/>
                <w:szCs w:val="18"/>
              </w:rPr>
              <w:t>§ 37.3 and Form SEF</w:t>
            </w:r>
          </w:p>
          <w:p w14:paraId="49F9D571" w14:textId="77777777" w:rsidR="001E097F" w:rsidRPr="001E097F" w:rsidRDefault="001E097F" w:rsidP="001E097F">
            <w:pPr>
              <w:keepNext/>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18"/>
                <w:szCs w:val="18"/>
              </w:rPr>
              <w:t>(SEF Registration)</w:t>
            </w:r>
          </w:p>
        </w:tc>
        <w:tc>
          <w:tcPr>
            <w:tcW w:w="553" w:type="pct"/>
            <w:tcBorders>
              <w:top w:val="single" w:sz="4" w:space="0" w:color="000000"/>
              <w:left w:val="single" w:sz="4" w:space="0" w:color="000000"/>
              <w:bottom w:val="single" w:sz="4" w:space="0" w:color="000000"/>
              <w:right w:val="single" w:sz="4" w:space="0" w:color="000000"/>
            </w:tcBorders>
          </w:tcPr>
          <w:p w14:paraId="107E1CDB"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5125B800" w14:textId="5FA26301"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4</w:t>
            </w:r>
            <w:r w:rsidRPr="00150856">
              <w:rPr>
                <w:rStyle w:val="FootnoteReference"/>
                <w:rFonts w:ascii="Times New Roman" w:hAnsi="Times New Roman" w:cs="Times New Roman"/>
                <w:b/>
              </w:rPr>
              <w:footnoteReference w:id="36"/>
            </w:r>
          </w:p>
        </w:tc>
        <w:tc>
          <w:tcPr>
            <w:tcW w:w="515" w:type="pct"/>
            <w:tcBorders>
              <w:top w:val="single" w:sz="4" w:space="0" w:color="000000"/>
              <w:left w:val="single" w:sz="4" w:space="0" w:color="000000"/>
              <w:bottom w:val="single" w:sz="4" w:space="0" w:color="000000"/>
              <w:right w:val="single" w:sz="4" w:space="0" w:color="000000"/>
            </w:tcBorders>
          </w:tcPr>
          <w:p w14:paraId="2F10CBEA"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326BA9C6"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1</w:t>
            </w:r>
            <w:r w:rsidRPr="00150856">
              <w:rPr>
                <w:rStyle w:val="FootnoteReference"/>
                <w:rFonts w:ascii="Times New Roman" w:hAnsi="Times New Roman" w:cs="Times New Roman"/>
                <w:b/>
              </w:rPr>
              <w:footnoteReference w:id="37"/>
            </w:r>
          </w:p>
        </w:tc>
        <w:tc>
          <w:tcPr>
            <w:tcW w:w="514" w:type="pct"/>
            <w:tcBorders>
              <w:top w:val="single" w:sz="4" w:space="0" w:color="000000"/>
              <w:left w:val="single" w:sz="4" w:space="0" w:color="000000"/>
              <w:bottom w:val="single" w:sz="4" w:space="0" w:color="000000"/>
              <w:right w:val="single" w:sz="4" w:space="0" w:color="000000"/>
            </w:tcBorders>
          </w:tcPr>
          <w:p w14:paraId="675CDBA2"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7062B35C"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295</w:t>
            </w:r>
            <w:r w:rsidRPr="00150856">
              <w:rPr>
                <w:rStyle w:val="FootnoteReference"/>
                <w:rFonts w:ascii="Times New Roman" w:hAnsi="Times New Roman" w:cs="Times New Roman"/>
                <w:b/>
              </w:rPr>
              <w:footnoteReference w:id="38"/>
            </w:r>
          </w:p>
        </w:tc>
        <w:tc>
          <w:tcPr>
            <w:tcW w:w="514" w:type="pct"/>
            <w:tcBorders>
              <w:top w:val="single" w:sz="4" w:space="0" w:color="000000"/>
              <w:left w:val="single" w:sz="4" w:space="0" w:color="000000"/>
              <w:bottom w:val="single" w:sz="4" w:space="0" w:color="000000"/>
              <w:right w:val="single" w:sz="4" w:space="0" w:color="000000"/>
            </w:tcBorders>
          </w:tcPr>
          <w:p w14:paraId="1587C4A3"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148F7091"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295</w:t>
            </w:r>
          </w:p>
        </w:tc>
        <w:tc>
          <w:tcPr>
            <w:tcW w:w="435" w:type="pct"/>
            <w:tcBorders>
              <w:top w:val="single" w:sz="4" w:space="0" w:color="000000"/>
              <w:left w:val="single" w:sz="4" w:space="0" w:color="000000"/>
              <w:bottom w:val="single" w:sz="4" w:space="0" w:color="000000"/>
              <w:right w:val="single" w:sz="4" w:space="0" w:color="000000"/>
            </w:tcBorders>
          </w:tcPr>
          <w:p w14:paraId="5DDE2BDD"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2F45982D"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$59</w:t>
            </w:r>
          </w:p>
        </w:tc>
        <w:tc>
          <w:tcPr>
            <w:tcW w:w="514" w:type="pct"/>
            <w:tcBorders>
              <w:top w:val="single" w:sz="4" w:space="0" w:color="000000"/>
              <w:left w:val="single" w:sz="4" w:space="0" w:color="000000"/>
              <w:bottom w:val="single" w:sz="4" w:space="0" w:color="000000"/>
              <w:right w:val="single" w:sz="4" w:space="0" w:color="000000"/>
            </w:tcBorders>
          </w:tcPr>
          <w:p w14:paraId="1BEBB67D" w14:textId="77777777" w:rsidR="001E097F" w:rsidRPr="00150856" w:rsidRDefault="001E097F" w:rsidP="00DF1208">
            <w:pPr>
              <w:keepNext/>
              <w:jc w:val="center"/>
              <w:rPr>
                <w:rFonts w:ascii="Times New Roman" w:hAnsi="Times New Roman" w:cs="Times New Roman"/>
                <w:b/>
              </w:rPr>
            </w:pPr>
          </w:p>
          <w:p w14:paraId="3CC49F78" w14:textId="77777777" w:rsidR="001E097F" w:rsidRPr="00150856" w:rsidRDefault="001E097F" w:rsidP="00DF1208">
            <w:pPr>
              <w:keepNext/>
              <w:jc w:val="center"/>
              <w:rPr>
                <w:rFonts w:ascii="Times New Roman" w:hAnsi="Times New Roman" w:cs="Times New Roman"/>
                <w:b/>
              </w:rPr>
            </w:pPr>
            <w:r w:rsidRPr="00150856">
              <w:rPr>
                <w:rFonts w:ascii="Times New Roman" w:hAnsi="Times New Roman" w:cs="Times New Roman"/>
                <w:b/>
              </w:rPr>
              <w:t>$17,405</w:t>
            </w:r>
          </w:p>
        </w:tc>
        <w:tc>
          <w:tcPr>
            <w:tcW w:w="475" w:type="pct"/>
            <w:tcBorders>
              <w:top w:val="single" w:sz="4" w:space="0" w:color="000000"/>
              <w:left w:val="single" w:sz="4" w:space="0" w:color="000000"/>
              <w:bottom w:val="single" w:sz="4" w:space="0" w:color="000000"/>
              <w:right w:val="single" w:sz="4" w:space="0" w:color="000000"/>
            </w:tcBorders>
          </w:tcPr>
          <w:p w14:paraId="5E269210" w14:textId="77777777" w:rsidR="001E097F" w:rsidRPr="00150856" w:rsidRDefault="001E097F" w:rsidP="00DF1208">
            <w:pPr>
              <w:keepNext/>
              <w:tabs>
                <w:tab w:val="left" w:pos="-720"/>
                <w:tab w:val="left" w:pos="0"/>
              </w:tabs>
              <w:suppressAutoHyphens/>
              <w:jc w:val="center"/>
              <w:rPr>
                <w:rFonts w:ascii="Times New Roman" w:hAnsi="Times New Roman" w:cs="Times New Roman"/>
                <w:b/>
              </w:rPr>
            </w:pPr>
          </w:p>
          <w:p w14:paraId="08BE56FE" w14:textId="6E5A5ECC" w:rsidR="001E097F" w:rsidRPr="00150856" w:rsidRDefault="001E097F" w:rsidP="00DF1208">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4</w:t>
            </w:r>
          </w:p>
        </w:tc>
        <w:tc>
          <w:tcPr>
            <w:tcW w:w="393" w:type="pct"/>
            <w:tcBorders>
              <w:top w:val="single" w:sz="4" w:space="0" w:color="000000"/>
              <w:left w:val="single" w:sz="4" w:space="0" w:color="000000"/>
              <w:bottom w:val="single" w:sz="4" w:space="0" w:color="000000"/>
              <w:right w:val="single" w:sz="4" w:space="0" w:color="000000"/>
            </w:tcBorders>
          </w:tcPr>
          <w:p w14:paraId="091C0653"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p>
          <w:p w14:paraId="132B4C89" w14:textId="6C07FA84"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r w:rsidR="00150856">
              <w:rPr>
                <w:rFonts w:ascii="Times New Roman" w:hAnsi="Times New Roman" w:cs="Times New Roman"/>
                <w:b/>
              </w:rPr>
              <w:t>,180</w:t>
            </w:r>
            <w:r w:rsidRPr="001E097F">
              <w:rPr>
                <w:rStyle w:val="FootnoteReference"/>
                <w:rFonts w:ascii="Times New Roman" w:hAnsi="Times New Roman" w:cs="Times New Roman"/>
                <w:b/>
              </w:rPr>
              <w:footnoteReference w:id="39"/>
            </w:r>
          </w:p>
        </w:tc>
        <w:tc>
          <w:tcPr>
            <w:tcW w:w="514" w:type="pct"/>
            <w:tcBorders>
              <w:top w:val="single" w:sz="4" w:space="0" w:color="000000"/>
              <w:left w:val="single" w:sz="4" w:space="0" w:color="000000"/>
              <w:bottom w:val="single" w:sz="4" w:space="0" w:color="000000"/>
              <w:right w:val="single" w:sz="4" w:space="0" w:color="000000"/>
            </w:tcBorders>
          </w:tcPr>
          <w:p w14:paraId="7F23E7F3" w14:textId="77777777" w:rsidR="001E097F" w:rsidRPr="001E097F" w:rsidRDefault="001E097F" w:rsidP="00DF1208">
            <w:pPr>
              <w:keepNext/>
              <w:tabs>
                <w:tab w:val="left" w:pos="-720"/>
                <w:tab w:val="left" w:pos="0"/>
              </w:tabs>
              <w:suppressAutoHyphens/>
              <w:jc w:val="center"/>
              <w:rPr>
                <w:rFonts w:ascii="Times New Roman" w:hAnsi="Times New Roman" w:cs="Times New Roman"/>
                <w:b/>
              </w:rPr>
            </w:pPr>
          </w:p>
          <w:p w14:paraId="1F8660B9" w14:textId="6B82B15D" w:rsidR="001E097F" w:rsidRPr="001E097F" w:rsidRDefault="001E097F" w:rsidP="00DF1208">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150856">
              <w:rPr>
                <w:rFonts w:ascii="Times New Roman" w:hAnsi="Times New Roman" w:cs="Times New Roman"/>
                <w:b/>
              </w:rPr>
              <w:t>69,620</w:t>
            </w:r>
          </w:p>
        </w:tc>
      </w:tr>
      <w:tr w:rsidR="001E097F" w:rsidRPr="001E097F" w14:paraId="5DBB7F82" w14:textId="77777777" w:rsidTr="001E097F">
        <w:trPr>
          <w:trHeight w:val="1142"/>
        </w:trPr>
        <w:tc>
          <w:tcPr>
            <w:tcW w:w="571" w:type="pct"/>
            <w:tcBorders>
              <w:top w:val="single" w:sz="4" w:space="0" w:color="000000"/>
              <w:left w:val="single" w:sz="4" w:space="0" w:color="000000"/>
              <w:bottom w:val="single" w:sz="4" w:space="0" w:color="000000"/>
              <w:right w:val="single" w:sz="4" w:space="0" w:color="000000"/>
            </w:tcBorders>
          </w:tcPr>
          <w:p w14:paraId="0E7364EC" w14:textId="77777777" w:rsidR="001E097F" w:rsidRPr="001E097F" w:rsidRDefault="001E097F" w:rsidP="001E097F">
            <w:pPr>
              <w:tabs>
                <w:tab w:val="left" w:pos="-720"/>
                <w:tab w:val="left" w:pos="0"/>
              </w:tabs>
              <w:suppressAutoHyphens/>
              <w:spacing w:after="0"/>
              <w:jc w:val="center"/>
              <w:rPr>
                <w:rFonts w:ascii="Times New Roman" w:hAnsi="Times New Roman" w:cs="Times New Roman"/>
                <w:b/>
                <w:sz w:val="20"/>
                <w:szCs w:val="20"/>
              </w:rPr>
            </w:pPr>
            <w:r w:rsidRPr="001E097F">
              <w:rPr>
                <w:rFonts w:ascii="Times New Roman" w:hAnsi="Times New Roman" w:cs="Times New Roman"/>
                <w:b/>
                <w:sz w:val="20"/>
                <w:szCs w:val="20"/>
              </w:rPr>
              <w:t>§ 37.3(a)</w:t>
            </w:r>
          </w:p>
          <w:p w14:paraId="7BF3674E" w14:textId="77777777" w:rsidR="001E097F" w:rsidRPr="001E097F" w:rsidRDefault="001E097F" w:rsidP="001E097F">
            <w:pPr>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20"/>
                <w:szCs w:val="20"/>
              </w:rPr>
              <w:t>(Request to Delay Registration Requirement)</w:t>
            </w:r>
          </w:p>
        </w:tc>
        <w:tc>
          <w:tcPr>
            <w:tcW w:w="553" w:type="pct"/>
            <w:tcBorders>
              <w:top w:val="single" w:sz="4" w:space="0" w:color="000000"/>
              <w:left w:val="single" w:sz="4" w:space="0" w:color="000000"/>
              <w:bottom w:val="single" w:sz="4" w:space="0" w:color="000000"/>
              <w:right w:val="single" w:sz="4" w:space="0" w:color="000000"/>
            </w:tcBorders>
          </w:tcPr>
          <w:p w14:paraId="43CF222B"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7C5EB365" w14:textId="07108374" w:rsidR="001E097F" w:rsidRPr="001E097F" w:rsidRDefault="00F631A5"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5" w:type="pct"/>
            <w:tcBorders>
              <w:top w:val="single" w:sz="4" w:space="0" w:color="000000"/>
              <w:left w:val="single" w:sz="4" w:space="0" w:color="000000"/>
              <w:bottom w:val="single" w:sz="4" w:space="0" w:color="000000"/>
              <w:right w:val="single" w:sz="4" w:space="0" w:color="000000"/>
            </w:tcBorders>
          </w:tcPr>
          <w:p w14:paraId="5815197C"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C7F8430"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14" w:type="pct"/>
            <w:tcBorders>
              <w:top w:val="single" w:sz="4" w:space="0" w:color="000000"/>
              <w:left w:val="single" w:sz="4" w:space="0" w:color="000000"/>
              <w:bottom w:val="single" w:sz="4" w:space="0" w:color="000000"/>
              <w:right w:val="single" w:sz="4" w:space="0" w:color="000000"/>
            </w:tcBorders>
          </w:tcPr>
          <w:p w14:paraId="02FEECA0"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8C858AC"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14" w:type="pct"/>
            <w:tcBorders>
              <w:top w:val="single" w:sz="4" w:space="0" w:color="000000"/>
              <w:left w:val="single" w:sz="4" w:space="0" w:color="000000"/>
              <w:bottom w:val="single" w:sz="4" w:space="0" w:color="000000"/>
              <w:right w:val="single" w:sz="4" w:space="0" w:color="000000"/>
            </w:tcBorders>
          </w:tcPr>
          <w:p w14:paraId="08FE67DA"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22E2C47E"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435" w:type="pct"/>
            <w:tcBorders>
              <w:top w:val="single" w:sz="4" w:space="0" w:color="000000"/>
              <w:left w:val="single" w:sz="4" w:space="0" w:color="000000"/>
              <w:bottom w:val="single" w:sz="4" w:space="0" w:color="000000"/>
              <w:right w:val="single" w:sz="4" w:space="0" w:color="000000"/>
            </w:tcBorders>
          </w:tcPr>
          <w:p w14:paraId="7098EA18"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3559893D"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4" w:type="pct"/>
            <w:tcBorders>
              <w:top w:val="single" w:sz="4" w:space="0" w:color="000000"/>
              <w:left w:val="single" w:sz="4" w:space="0" w:color="000000"/>
              <w:bottom w:val="single" w:sz="4" w:space="0" w:color="000000"/>
              <w:right w:val="single" w:sz="4" w:space="0" w:color="000000"/>
            </w:tcBorders>
          </w:tcPr>
          <w:p w14:paraId="46F2C000"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69BCADD8" w14:textId="77777777"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475" w:type="pct"/>
            <w:tcBorders>
              <w:top w:val="single" w:sz="4" w:space="0" w:color="000000"/>
              <w:left w:val="single" w:sz="4" w:space="0" w:color="000000"/>
              <w:bottom w:val="single" w:sz="4" w:space="0" w:color="000000"/>
              <w:right w:val="single" w:sz="4" w:space="0" w:color="000000"/>
            </w:tcBorders>
          </w:tcPr>
          <w:p w14:paraId="06661C40"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1656827E" w14:textId="5884BD37" w:rsidR="001E097F" w:rsidRPr="001E097F" w:rsidRDefault="00CD2ABF"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w:t>
            </w:r>
            <w:r w:rsidR="001E097F" w:rsidRPr="001E097F">
              <w:rPr>
                <w:rFonts w:ascii="Times New Roman" w:hAnsi="Times New Roman" w:cs="Times New Roman"/>
                <w:b/>
              </w:rPr>
              <w:t>0</w:t>
            </w:r>
          </w:p>
        </w:tc>
        <w:tc>
          <w:tcPr>
            <w:tcW w:w="393" w:type="pct"/>
            <w:tcBorders>
              <w:top w:val="single" w:sz="4" w:space="0" w:color="000000"/>
              <w:left w:val="single" w:sz="4" w:space="0" w:color="000000"/>
              <w:bottom w:val="single" w:sz="4" w:space="0" w:color="000000"/>
              <w:right w:val="single" w:sz="4" w:space="0" w:color="000000"/>
            </w:tcBorders>
          </w:tcPr>
          <w:p w14:paraId="0FD8DAF1"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0D5407C0" w14:textId="5A3D2232" w:rsidR="001E097F" w:rsidRPr="001E097F" w:rsidRDefault="00CD2ABF" w:rsidP="00DF1208">
            <w:pPr>
              <w:tabs>
                <w:tab w:val="left" w:pos="-720"/>
                <w:tab w:val="left" w:pos="0"/>
              </w:tabs>
              <w:suppressAutoHyphens/>
              <w:jc w:val="center"/>
              <w:rPr>
                <w:rFonts w:ascii="Times New Roman" w:hAnsi="Times New Roman" w:cs="Times New Roman"/>
                <w:b/>
              </w:rPr>
            </w:pPr>
            <w:r>
              <w:rPr>
                <w:rFonts w:ascii="Times New Roman" w:hAnsi="Times New Roman" w:cs="Times New Roman"/>
                <w:b/>
              </w:rPr>
              <w:t>2</w:t>
            </w:r>
            <w:r w:rsidR="001E097F" w:rsidRPr="001E097F">
              <w:rPr>
                <w:rFonts w:ascii="Times New Roman" w:hAnsi="Times New Roman" w:cs="Times New Roman"/>
                <w:b/>
              </w:rPr>
              <w:t>0</w:t>
            </w:r>
          </w:p>
        </w:tc>
        <w:tc>
          <w:tcPr>
            <w:tcW w:w="514" w:type="pct"/>
            <w:tcBorders>
              <w:top w:val="single" w:sz="4" w:space="0" w:color="000000"/>
              <w:left w:val="single" w:sz="4" w:space="0" w:color="000000"/>
              <w:bottom w:val="single" w:sz="4" w:space="0" w:color="000000"/>
              <w:right w:val="single" w:sz="4" w:space="0" w:color="000000"/>
            </w:tcBorders>
          </w:tcPr>
          <w:p w14:paraId="6BBA0D11" w14:textId="77777777" w:rsidR="001E097F" w:rsidRPr="001E097F" w:rsidRDefault="001E097F" w:rsidP="00DF1208">
            <w:pPr>
              <w:tabs>
                <w:tab w:val="left" w:pos="-720"/>
                <w:tab w:val="left" w:pos="0"/>
              </w:tabs>
              <w:suppressAutoHyphens/>
              <w:jc w:val="center"/>
              <w:rPr>
                <w:rFonts w:ascii="Times New Roman" w:hAnsi="Times New Roman" w:cs="Times New Roman"/>
                <w:b/>
              </w:rPr>
            </w:pPr>
          </w:p>
          <w:p w14:paraId="5B94277B" w14:textId="140F5F52" w:rsidR="001E097F" w:rsidRPr="001E097F" w:rsidRDefault="001E097F" w:rsidP="00DF120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CD2ABF">
              <w:rPr>
                <w:rFonts w:ascii="Times New Roman" w:hAnsi="Times New Roman" w:cs="Times New Roman"/>
                <w:b/>
              </w:rPr>
              <w:t>1,180</w:t>
            </w:r>
          </w:p>
        </w:tc>
      </w:tr>
    </w:tbl>
    <w:p w14:paraId="7D1798A8" w14:textId="77777777" w:rsidR="001E097F" w:rsidRPr="001E097F" w:rsidRDefault="001E097F" w:rsidP="001E097F">
      <w:pPr>
        <w:jc w:val="center"/>
        <w:rPr>
          <w:rFonts w:ascii="Times New Roman" w:hAnsi="Times New Roman" w:cs="Times New Roman"/>
        </w:rPr>
      </w:pPr>
    </w:p>
    <w:p w14:paraId="1426E4BD" w14:textId="77777777" w:rsidR="0095064A" w:rsidRPr="001E097F" w:rsidRDefault="0095064A" w:rsidP="0095064A">
      <w:pPr>
        <w:tabs>
          <w:tab w:val="left" w:pos="-720"/>
        </w:tabs>
        <w:suppressAutoHyphens/>
        <w:jc w:val="center"/>
        <w:rPr>
          <w:rFonts w:ascii="Times New Roman" w:hAnsi="Times New Roman" w:cs="Times New Roman"/>
          <w:b/>
        </w:rPr>
      </w:pPr>
    </w:p>
    <w:p w14:paraId="18A09A41" w14:textId="77777777" w:rsidR="001E097F" w:rsidRPr="001E097F" w:rsidRDefault="001E097F" w:rsidP="0095064A">
      <w:pPr>
        <w:tabs>
          <w:tab w:val="left" w:pos="-720"/>
        </w:tabs>
        <w:suppressAutoHyphens/>
        <w:jc w:val="center"/>
        <w:rPr>
          <w:rFonts w:ascii="Times New Roman" w:hAnsi="Times New Roman" w:cs="Times New Roman"/>
          <w:b/>
        </w:rPr>
      </w:pPr>
    </w:p>
    <w:p w14:paraId="40A9B6A1" w14:textId="77777777" w:rsidR="001E097F" w:rsidRPr="001E097F" w:rsidRDefault="001E097F" w:rsidP="0095064A">
      <w:pPr>
        <w:tabs>
          <w:tab w:val="left" w:pos="-720"/>
        </w:tabs>
        <w:suppressAutoHyphens/>
        <w:jc w:val="center"/>
        <w:rPr>
          <w:rFonts w:ascii="Times New Roman" w:hAnsi="Times New Roman" w:cs="Times New Roman"/>
          <w:b/>
        </w:rPr>
      </w:pPr>
    </w:p>
    <w:p w14:paraId="1426E625" w14:textId="77777777" w:rsidR="007D059A" w:rsidRPr="001E097F" w:rsidRDefault="007D059A">
      <w:pPr>
        <w:rPr>
          <w:rFonts w:ascii="Times New Roman" w:hAnsi="Times New Roman" w:cs="Times New Roman"/>
        </w:rPr>
      </w:pPr>
    </w:p>
    <w:sectPr w:rsidR="007D059A" w:rsidRPr="001E097F" w:rsidSect="007D059A">
      <w:headerReference w:type="default" r:id="rId16"/>
      <w:endnotePr>
        <w:numFmt w:val="decimal"/>
      </w:endnotePr>
      <w:pgSz w:w="15840" w:h="12240" w:orient="landscape"/>
      <w:pgMar w:top="720" w:right="360" w:bottom="720" w:left="36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03DA6" w14:textId="77777777" w:rsidR="00CF5F4B" w:rsidRDefault="00CF5F4B" w:rsidP="0095064A">
      <w:pPr>
        <w:spacing w:after="0" w:line="240" w:lineRule="auto"/>
      </w:pPr>
      <w:r>
        <w:separator/>
      </w:r>
    </w:p>
  </w:endnote>
  <w:endnote w:type="continuationSeparator" w:id="0">
    <w:p w14:paraId="3A70ABA7" w14:textId="77777777" w:rsidR="00CF5F4B" w:rsidRDefault="00CF5F4B" w:rsidP="0095064A">
      <w:pPr>
        <w:spacing w:after="0" w:line="240" w:lineRule="auto"/>
      </w:pPr>
      <w:r>
        <w:continuationSeparator/>
      </w:r>
    </w:p>
  </w:endnote>
  <w:endnote w:type="continuationNotice" w:id="1">
    <w:p w14:paraId="3A318E6C" w14:textId="77777777" w:rsidR="00CF5F4B" w:rsidRDefault="00CF5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3A3A" w14:textId="77777777" w:rsidR="00CF5F4B" w:rsidRDefault="00CF5F4B">
    <w:pPr>
      <w:pStyle w:val="Footer"/>
      <w:jc w:val="center"/>
      <w:rPr>
        <w:rFonts w:ascii="Times New Roman" w:hAnsi="Times New Roman"/>
      </w:rPr>
    </w:pPr>
  </w:p>
  <w:p w14:paraId="1426E634" w14:textId="77777777" w:rsidR="00CF5F4B" w:rsidRPr="00A37EDC" w:rsidRDefault="00CF5F4B">
    <w:pPr>
      <w:pStyle w:val="Footer"/>
      <w:jc w:val="center"/>
      <w:rPr>
        <w:rFonts w:ascii="Times New Roman" w:hAnsi="Times New Roman"/>
      </w:rPr>
    </w:pPr>
    <w:r w:rsidRPr="00A37EDC">
      <w:rPr>
        <w:rFonts w:ascii="Times New Roman" w:hAnsi="Times New Roman"/>
      </w:rPr>
      <w:fldChar w:fldCharType="begin"/>
    </w:r>
    <w:r w:rsidRPr="00A37EDC">
      <w:rPr>
        <w:rFonts w:ascii="Times New Roman" w:hAnsi="Times New Roman"/>
      </w:rPr>
      <w:instrText xml:space="preserve"> PAGE   \* MERGEFORMAT </w:instrText>
    </w:r>
    <w:r w:rsidRPr="00A37EDC">
      <w:rPr>
        <w:rFonts w:ascii="Times New Roman" w:hAnsi="Times New Roman"/>
      </w:rPr>
      <w:fldChar w:fldCharType="separate"/>
    </w:r>
    <w:r w:rsidR="004C4C1B">
      <w:rPr>
        <w:rFonts w:ascii="Times New Roman" w:hAnsi="Times New Roman"/>
        <w:noProof/>
      </w:rPr>
      <w:t>1</w:t>
    </w:r>
    <w:r w:rsidRPr="00A37EDC">
      <w:rPr>
        <w:rFonts w:ascii="Times New Roman" w:hAnsi="Times New Roman"/>
        <w:noProof/>
      </w:rPr>
      <w:fldChar w:fldCharType="end"/>
    </w:r>
  </w:p>
  <w:p w14:paraId="1426E635" w14:textId="77777777" w:rsidR="00CF5F4B" w:rsidRDefault="00CF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F951C" w14:textId="77777777" w:rsidR="00CF5F4B" w:rsidRDefault="00CF5F4B" w:rsidP="0095064A">
      <w:pPr>
        <w:spacing w:after="0" w:line="240" w:lineRule="auto"/>
      </w:pPr>
      <w:r>
        <w:separator/>
      </w:r>
    </w:p>
  </w:footnote>
  <w:footnote w:type="continuationSeparator" w:id="0">
    <w:p w14:paraId="69BE247C" w14:textId="77777777" w:rsidR="00CF5F4B" w:rsidRDefault="00CF5F4B" w:rsidP="0095064A">
      <w:pPr>
        <w:spacing w:after="0" w:line="240" w:lineRule="auto"/>
      </w:pPr>
      <w:r>
        <w:continuationSeparator/>
      </w:r>
    </w:p>
  </w:footnote>
  <w:footnote w:type="continuationNotice" w:id="1">
    <w:p w14:paraId="66192A1D" w14:textId="77777777" w:rsidR="00CF5F4B" w:rsidRDefault="00CF5F4B">
      <w:pPr>
        <w:spacing w:after="0" w:line="240" w:lineRule="auto"/>
      </w:pPr>
    </w:p>
  </w:footnote>
  <w:footnote w:id="2">
    <w:p w14:paraId="1426E638" w14:textId="1A9A1270" w:rsidR="00CF5F4B" w:rsidRPr="00AA79F5" w:rsidRDefault="00CF5F4B" w:rsidP="00F369D6">
      <w:pPr>
        <w:pStyle w:val="FootnoteText"/>
        <w:spacing w:before="120"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In general, OMB Control Number 3038-0074 covers all information collections in part 37, including Subpart A and the SEF core principles (</w:t>
      </w:r>
      <w:r w:rsidRPr="00AA79F5">
        <w:rPr>
          <w:rFonts w:ascii="Times New Roman" w:hAnsi="Times New Roman"/>
          <w:i/>
          <w:sz w:val="22"/>
          <w:szCs w:val="22"/>
        </w:rPr>
        <w:t>i.e.</w:t>
      </w:r>
      <w:r w:rsidRPr="00AA79F5">
        <w:rPr>
          <w:rFonts w:ascii="Times New Roman" w:hAnsi="Times New Roman"/>
          <w:sz w:val="22"/>
          <w:szCs w:val="22"/>
        </w:rPr>
        <w:t>, Subparts B through P) as well as the related appendices thereto (</w:t>
      </w:r>
      <w:r w:rsidRPr="00AA79F5">
        <w:rPr>
          <w:rFonts w:ascii="Times New Roman" w:hAnsi="Times New Roman"/>
          <w:i/>
          <w:sz w:val="22"/>
          <w:szCs w:val="22"/>
        </w:rPr>
        <w:t>i.e.</w:t>
      </w:r>
      <w:r w:rsidRPr="00AA79F5">
        <w:rPr>
          <w:rFonts w:ascii="Times New Roman" w:hAnsi="Times New Roman"/>
          <w:sz w:val="22"/>
          <w:szCs w:val="22"/>
        </w:rPr>
        <w:t>, Appendix A—Form SEF, Appendix B—Guidance and Acceptable Practices, and proposed Appendix C—Guidance to Core Principle 3).  The OMB control number also includes all information collections related to part 9 and proposed part 36, to the extent applicable to SEFs.  Any information collections related to § 37.10 of the Commission’s regulations, however, are subject to a separate information collection with OMB control number 3038-0099 (</w:t>
      </w:r>
      <w:r>
        <w:rPr>
          <w:rFonts w:ascii="Times New Roman" w:hAnsi="Times New Roman"/>
          <w:sz w:val="22"/>
          <w:szCs w:val="22"/>
        </w:rPr>
        <w:t>“</w:t>
      </w:r>
      <w:r w:rsidRPr="00AA79F5">
        <w:rPr>
          <w:rFonts w:ascii="Times New Roman" w:hAnsi="Times New Roman"/>
          <w:sz w:val="22"/>
          <w:szCs w:val="22"/>
        </w:rPr>
        <w:t>Process for a Swap Execution Facility or Designated Contract Market to Make a Swap Available to Trade</w:t>
      </w:r>
      <w:r>
        <w:rPr>
          <w:rFonts w:ascii="Times New Roman" w:hAnsi="Times New Roman"/>
          <w:sz w:val="22"/>
          <w:szCs w:val="22"/>
        </w:rPr>
        <w:t>”</w:t>
      </w:r>
      <w:r w:rsidRPr="00AA79F5">
        <w:rPr>
          <w:rFonts w:ascii="Times New Roman" w:hAnsi="Times New Roman"/>
          <w:sz w:val="22"/>
          <w:szCs w:val="22"/>
        </w:rPr>
        <w:t>), which covers the information collections related to the “made available to trade” process for determining which swaps must be traded on a SEF (“</w:t>
      </w:r>
      <w:r w:rsidRPr="00AA79F5">
        <w:rPr>
          <w:rFonts w:ascii="Times New Roman" w:hAnsi="Times New Roman"/>
          <w:b/>
          <w:sz w:val="22"/>
          <w:szCs w:val="22"/>
          <w:u w:val="single"/>
        </w:rPr>
        <w:t>MAT process</w:t>
      </w:r>
      <w:r w:rsidRPr="00AA79F5">
        <w:rPr>
          <w:rFonts w:ascii="Times New Roman" w:hAnsi="Times New Roman"/>
          <w:sz w:val="22"/>
          <w:szCs w:val="22"/>
        </w:rPr>
        <w:t>”).  Upon the Part 37 NPRM becoming a final rule, the Commission would eliminate OMB control number 3038-0099 and move the information collections related to</w:t>
      </w:r>
      <w:r>
        <w:rPr>
          <w:rFonts w:ascii="Times New Roman" w:hAnsi="Times New Roman"/>
          <w:sz w:val="22"/>
          <w:szCs w:val="22"/>
        </w:rPr>
        <w:t xml:space="preserve"> </w:t>
      </w:r>
      <w:r w:rsidRPr="00AA79F5">
        <w:rPr>
          <w:rFonts w:ascii="Times New Roman" w:hAnsi="Times New Roman"/>
          <w:sz w:val="22"/>
          <w:szCs w:val="22"/>
        </w:rPr>
        <w:t xml:space="preserve">SEFs </w:t>
      </w:r>
      <w:r>
        <w:rPr>
          <w:rFonts w:ascii="Times New Roman" w:hAnsi="Times New Roman"/>
          <w:sz w:val="22"/>
          <w:szCs w:val="22"/>
        </w:rPr>
        <w:t>in</w:t>
      </w:r>
      <w:r w:rsidRPr="00AA79F5">
        <w:rPr>
          <w:rFonts w:ascii="Times New Roman" w:hAnsi="Times New Roman"/>
          <w:sz w:val="22"/>
          <w:szCs w:val="22"/>
        </w:rPr>
        <w:t>to revised part 36 of the Commission’s regulations and create new information collections related to the MAT process under this OMB Control Number 3038-0074.  This new MAT process information collection is reflected under the “Part 36 (MAT Process)” line item in Attachment A.</w:t>
      </w:r>
    </w:p>
    <w:p w14:paraId="1426E639" w14:textId="182BC848" w:rsidR="00CF5F4B" w:rsidRPr="00AA79F5" w:rsidRDefault="00CF5F4B" w:rsidP="00F369D6">
      <w:pPr>
        <w:pStyle w:val="FootnoteText"/>
        <w:spacing w:before="120" w:after="120"/>
        <w:rPr>
          <w:rFonts w:ascii="Times New Roman" w:hAnsi="Times New Roman"/>
          <w:sz w:val="22"/>
          <w:szCs w:val="22"/>
        </w:rPr>
      </w:pPr>
      <w:r w:rsidRPr="00AA79F5">
        <w:rPr>
          <w:rFonts w:ascii="Times New Roman" w:hAnsi="Times New Roman"/>
          <w:sz w:val="22"/>
          <w:szCs w:val="22"/>
        </w:rPr>
        <w:t>The Commission notes that its previous request for an extension of OMB control number 3038-0074 in 2016, the Commission stated in the renewal notice that OMB control number 3038-0074 “covers all information collections in part 37 of the Commission’s regulations, including Subpart A and the SEF core principles (</w:t>
      </w:r>
      <w:r w:rsidRPr="00AA79F5">
        <w:rPr>
          <w:rFonts w:ascii="Times New Roman" w:hAnsi="Times New Roman"/>
          <w:i/>
          <w:sz w:val="22"/>
          <w:szCs w:val="22"/>
        </w:rPr>
        <w:t>i.e.</w:t>
      </w:r>
      <w:r w:rsidRPr="00AA79F5">
        <w:rPr>
          <w:rFonts w:ascii="Times New Roman" w:hAnsi="Times New Roman"/>
          <w:sz w:val="22"/>
          <w:szCs w:val="22"/>
        </w:rPr>
        <w:t>, Subparts B and C) . . . . [other than] any information collections related to § 37.10 . . . .”  The Commission notes that the reference to “Subparts B and C” should specify “Subparts B through P” instead.  Agency Information Collection Activities Under OMB Review, 81 FR 65630, n.1 (Sep. 23, 2016) (“</w:t>
      </w:r>
      <w:r w:rsidRPr="00AA79F5">
        <w:rPr>
          <w:rFonts w:ascii="Times New Roman" w:hAnsi="Times New Roman"/>
          <w:b/>
          <w:sz w:val="22"/>
          <w:szCs w:val="22"/>
          <w:u w:val="single"/>
        </w:rPr>
        <w:t>2016 Part 37 PRA Renewal</w:t>
      </w:r>
      <w:r w:rsidRPr="00AA79F5">
        <w:rPr>
          <w:rFonts w:ascii="Times New Roman" w:hAnsi="Times New Roman"/>
          <w:sz w:val="22"/>
          <w:szCs w:val="22"/>
        </w:rPr>
        <w:t>”).</w:t>
      </w:r>
    </w:p>
  </w:footnote>
  <w:footnote w:id="3">
    <w:p w14:paraId="1426E63A" w14:textId="05225263" w:rsidR="00CF5F4B" w:rsidRPr="00AA79F5" w:rsidRDefault="00CF5F4B" w:rsidP="00F369D6">
      <w:pPr>
        <w:pStyle w:val="FootnoteText"/>
        <w:spacing w:before="120"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Among other requirements, part 37 of the Commission’s regulations imposes SEF registration requirements for a trading platform or system, obligates SEFs to provide transaction confirmations to swap counterparties, and requires SEFs to continually be in compliance with 15 enumerated core principles.  The 15 core principles establish additional requirements with respect to SEFs: enforcing rules; listing contracts for trading that are not readily susceptible to manipulation; monitoring trading to prevent market manipulation; obtaining information; adopting position limits or position accountability levels; adopting rules to enforce financial integrity of swaps transactions entered on or through the SEF; adopting rules to provide for the exercise of emergency authority, in consultation with the Commission; making public information regarding prices and volume on a timely basis; maintaining records of all activities of the business of the contract market in a form and manner acceptable to the Commission for five years; avoiding rules that result in unreasonable restraints of trade or anticompetitive burden on trading; enforcing rules to minimize conflicts of interest in its decision-making process;  maintaining adequate financial resources; establishing system safeguards; and designating a chief compliance officer.</w:t>
      </w:r>
    </w:p>
  </w:footnote>
  <w:footnote w:id="4">
    <w:p w14:paraId="1426E63B" w14:textId="14DC1CD5" w:rsidR="00CF5F4B" w:rsidRPr="00AA79F5" w:rsidRDefault="00CF5F4B" w:rsidP="00F369D6">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rPr>
        <w:t xml:space="preserve"> The Commission is referring to these amendments as the “Part 37 NPRM” since the majority of the changes related to this OMB control number 3038-0074 will result from changes to part 37 of the Commission’s regulations compared to the number of proposed changes to the other parts.</w:t>
      </w:r>
    </w:p>
  </w:footnote>
  <w:footnote w:id="5">
    <w:p w14:paraId="1426E63C" w14:textId="42B0AAEB" w:rsidR="00CF5F4B" w:rsidRPr="00AA79F5" w:rsidRDefault="00CF5F4B"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would also make analogous changes to part 38 with respect to the MAT process for DCMs under OMB control number 3038-0052 and will submit a revised PRA estimate related thereto.</w:t>
      </w:r>
    </w:p>
  </w:footnote>
  <w:footnote w:id="6">
    <w:p w14:paraId="1426E63D" w14:textId="4D03ED6C" w:rsidR="00CF5F4B" w:rsidRPr="00AA79F5" w:rsidRDefault="00CF5F4B"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Policy Statement and Establishment of Definitions of “Small Entities” for Purposes of the Regulatory Flexibility Act, 47 FR 18618 (Apr. 30, 1982).</w:t>
      </w:r>
    </w:p>
  </w:footnote>
  <w:footnote w:id="7">
    <w:p w14:paraId="1426E63E" w14:textId="77777777" w:rsidR="00CF5F4B" w:rsidRPr="00AA79F5" w:rsidRDefault="00CF5F4B" w:rsidP="00F369D6">
      <w:pPr>
        <w:autoSpaceDE w:val="0"/>
        <w:autoSpaceDN w:val="0"/>
        <w:adjustRightInd w:val="0"/>
        <w:spacing w:after="120"/>
        <w:rPr>
          <w:rFonts w:ascii="Times New Roman" w:hAnsi="Times New Roman" w:cs="Times New Roman"/>
        </w:rPr>
      </w:pPr>
      <w:r w:rsidRPr="00AA79F5">
        <w:rPr>
          <w:rStyle w:val="FootnoteReference"/>
          <w:rFonts w:ascii="Times New Roman" w:hAnsi="Times New Roman" w:cs="Times New Roman"/>
        </w:rPr>
        <w:footnoteRef/>
      </w:r>
      <w:r w:rsidRPr="00AA79F5">
        <w:rPr>
          <w:rFonts w:ascii="Times New Roman" w:hAnsi="Times New Roman" w:cs="Times New Roman"/>
        </w:rPr>
        <w:t xml:space="preserve"> </w:t>
      </w:r>
      <w:r w:rsidRPr="00AA79F5">
        <w:rPr>
          <w:rFonts w:ascii="Times New Roman" w:eastAsia="Calibri" w:hAnsi="Times New Roman" w:cs="Times New Roman"/>
        </w:rPr>
        <w:t>Core Principles and Other Requirements for Swap Execution Facilities, 78 FR 33476, 33548 (Jun. 4, 2013).</w:t>
      </w:r>
    </w:p>
  </w:footnote>
  <w:footnote w:id="8">
    <w:p w14:paraId="357E2300" w14:textId="45A56C7F" w:rsidR="00CF5F4B" w:rsidRPr="00AA79F5" w:rsidRDefault="00CF5F4B" w:rsidP="001930F1">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w:t>
      </w:r>
      <w:r w:rsidRPr="00AA79F5">
        <w:rPr>
          <w:rFonts w:ascii="Times New Roman" w:hAnsi="Times New Roman"/>
          <w:i/>
          <w:sz w:val="22"/>
          <w:szCs w:val="22"/>
        </w:rPr>
        <w:t>See</w:t>
      </w:r>
      <w:r w:rsidRPr="00AA79F5">
        <w:rPr>
          <w:rFonts w:ascii="Times New Roman" w:hAnsi="Times New Roman"/>
          <w:sz w:val="22"/>
          <w:szCs w:val="22"/>
        </w:rPr>
        <w:t xml:space="preserve"> CFTC Mission Statements, </w:t>
      </w:r>
      <w:r w:rsidRPr="00AA79F5">
        <w:rPr>
          <w:rFonts w:ascii="Times New Roman" w:hAnsi="Times New Roman"/>
          <w:i/>
          <w:sz w:val="22"/>
          <w:szCs w:val="22"/>
        </w:rPr>
        <w:t>available at</w:t>
      </w:r>
      <w:r w:rsidRPr="00AA79F5">
        <w:rPr>
          <w:rFonts w:ascii="Times New Roman" w:hAnsi="Times New Roman"/>
          <w:sz w:val="22"/>
          <w:szCs w:val="22"/>
        </w:rPr>
        <w:t xml:space="preserve"> https://www.cftc.gov/About/MissionResponsibilities/index.htm</w:t>
      </w:r>
    </w:p>
  </w:footnote>
  <w:footnote w:id="9">
    <w:p w14:paraId="24377710" w14:textId="13E8EF6D" w:rsidR="00CF5F4B" w:rsidRPr="00AA79F5" w:rsidRDefault="00CF5F4B" w:rsidP="009120FC">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in exigent situations</w:t>
      </w:r>
      <w:r>
        <w:rPr>
          <w:rFonts w:ascii="Times New Roman" w:hAnsi="Times New Roman"/>
          <w:sz w:val="22"/>
          <w:szCs w:val="22"/>
        </w:rPr>
        <w:t>,</w:t>
      </w:r>
      <w:r w:rsidRPr="00AA79F5">
        <w:rPr>
          <w:rFonts w:ascii="Times New Roman" w:hAnsi="Times New Roman"/>
          <w:sz w:val="22"/>
          <w:szCs w:val="22"/>
        </w:rPr>
        <w:t xml:space="preserve"> the Commission may request information from SEFs more often than quarterly as the Commission deems appropriate for the circumstances.</w:t>
      </w:r>
    </w:p>
  </w:footnote>
  <w:footnote w:id="10">
    <w:p w14:paraId="1426E63F" w14:textId="77777777" w:rsidR="00CF5F4B" w:rsidRPr="00AA79F5" w:rsidRDefault="00CF5F4B"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CFTC Requests Public Input on Simplifying Rules, CFTC Release No. 7555-17 (May 3, 2017), </w:t>
      </w:r>
      <w:r w:rsidRPr="00AA79F5">
        <w:rPr>
          <w:rFonts w:ascii="Times New Roman" w:hAnsi="Times New Roman"/>
          <w:i/>
          <w:sz w:val="22"/>
          <w:szCs w:val="22"/>
        </w:rPr>
        <w:t>available at</w:t>
      </w:r>
      <w:r w:rsidRPr="00AA79F5">
        <w:rPr>
          <w:rFonts w:ascii="Times New Roman" w:hAnsi="Times New Roman"/>
          <w:sz w:val="22"/>
          <w:szCs w:val="22"/>
        </w:rPr>
        <w:t xml:space="preserve"> https://www.cftc.gov/PressRoom/PressReleases/pr7555-17.</w:t>
      </w:r>
    </w:p>
  </w:footnote>
  <w:footnote w:id="11">
    <w:p w14:paraId="6267CFF9" w14:textId="1505708B" w:rsidR="00CF5F4B" w:rsidRPr="00AA79F5" w:rsidRDefault="00CF5F4B" w:rsidP="00393344">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4 applicants</w:t>
      </w:r>
      <w:r>
        <w:rPr>
          <w:rFonts w:ascii="Times New Roman" w:hAnsi="Times New Roman"/>
          <w:sz w:val="22"/>
          <w:szCs w:val="22"/>
        </w:rPr>
        <w:t xml:space="preserve"> per year applying</w:t>
      </w:r>
      <w:r w:rsidRPr="00AA79F5">
        <w:rPr>
          <w:rFonts w:ascii="Times New Roman" w:hAnsi="Times New Roman"/>
          <w:sz w:val="22"/>
          <w:szCs w:val="22"/>
        </w:rPr>
        <w:t xml:space="preserve"> for SEF registration x 295 burden hours = 1,180 burden hou</w:t>
      </w:r>
      <w:r>
        <w:rPr>
          <w:rFonts w:ascii="Times New Roman" w:hAnsi="Times New Roman"/>
          <w:sz w:val="22"/>
          <w:szCs w:val="22"/>
        </w:rPr>
        <w:t>rs.  The additional 2</w:t>
      </w:r>
      <w:r w:rsidRPr="00AA79F5">
        <w:rPr>
          <w:rFonts w:ascii="Times New Roman" w:hAnsi="Times New Roman"/>
          <w:sz w:val="22"/>
          <w:szCs w:val="22"/>
        </w:rPr>
        <w:t xml:space="preserve">0 burden hours </w:t>
      </w:r>
      <w:r>
        <w:rPr>
          <w:rFonts w:ascii="Times New Roman" w:hAnsi="Times New Roman"/>
          <w:sz w:val="22"/>
          <w:szCs w:val="22"/>
        </w:rPr>
        <w:t xml:space="preserve">per year </w:t>
      </w:r>
      <w:r w:rsidRPr="00AA79F5">
        <w:rPr>
          <w:rFonts w:ascii="Times New Roman" w:hAnsi="Times New Roman"/>
          <w:sz w:val="22"/>
          <w:szCs w:val="22"/>
        </w:rPr>
        <w:t>related to the one-time request for a delay in the r</w:t>
      </w:r>
      <w:r>
        <w:rPr>
          <w:rFonts w:ascii="Times New Roman" w:hAnsi="Times New Roman"/>
          <w:sz w:val="22"/>
          <w:szCs w:val="22"/>
        </w:rPr>
        <w:t>egistration process equals 1,200 total burden hours (1,180 + 20 = 1,20</w:t>
      </w:r>
      <w:r w:rsidRPr="00AA79F5">
        <w:rPr>
          <w:rFonts w:ascii="Times New Roman" w:hAnsi="Times New Roman"/>
          <w:sz w:val="22"/>
          <w:szCs w:val="22"/>
        </w:rPr>
        <w:t xml:space="preserve">0 total </w:t>
      </w:r>
      <w:r>
        <w:rPr>
          <w:rFonts w:ascii="Times New Roman" w:hAnsi="Times New Roman"/>
          <w:sz w:val="22"/>
          <w:szCs w:val="22"/>
        </w:rPr>
        <w:t xml:space="preserve">annual </w:t>
      </w:r>
      <w:r w:rsidRPr="00AA79F5">
        <w:rPr>
          <w:rFonts w:ascii="Times New Roman" w:hAnsi="Times New Roman"/>
          <w:sz w:val="22"/>
          <w:szCs w:val="22"/>
        </w:rPr>
        <w:t xml:space="preserve">burden hours). </w:t>
      </w:r>
    </w:p>
  </w:footnote>
  <w:footnote w:id="12">
    <w:p w14:paraId="66316039" w14:textId="0CBB532D" w:rsidR="00CF5F4B" w:rsidRPr="00AA79F5" w:rsidRDefault="00CF5F4B"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it would create a new information collection that would require a SEF to file a notification with the Commission involving the direct </w:t>
      </w:r>
      <w:r w:rsidRPr="00AA79F5">
        <w:rPr>
          <w:rFonts w:ascii="Times New Roman" w:hAnsi="Times New Roman"/>
          <w:i/>
          <w:sz w:val="22"/>
          <w:szCs w:val="22"/>
        </w:rPr>
        <w:t>or indirect</w:t>
      </w:r>
      <w:r w:rsidRPr="00AA79F5">
        <w:rPr>
          <w:rFonts w:ascii="Times New Roman" w:hAnsi="Times New Roman"/>
          <w:sz w:val="22"/>
          <w:szCs w:val="22"/>
        </w:rPr>
        <w:t xml:space="preserve"> transfer of 50% or more equity interest of the SEF (</w:t>
      </w:r>
      <w:r w:rsidRPr="00AA79F5">
        <w:rPr>
          <w:rFonts w:ascii="Times New Roman" w:hAnsi="Times New Roman"/>
          <w:i/>
          <w:sz w:val="22"/>
          <w:szCs w:val="22"/>
        </w:rPr>
        <w:t>e.g.</w:t>
      </w:r>
      <w:r w:rsidRPr="00AA79F5">
        <w:rPr>
          <w:rFonts w:ascii="Times New Roman" w:hAnsi="Times New Roman"/>
          <w:sz w:val="22"/>
          <w:szCs w:val="22"/>
        </w:rPr>
        <w:t xml:space="preserve">, the 50% acquisition of the SEF’s holding company) under proposed § 37.5(c) and would impose 10 additional burden hours.  Unlike most of the information collections that apply to all respondent SEFs, the Commission estimates that this proposed new information collection would apply to only a single SEF.  Based on its experience, the Commission estimates that this change will affect 1 SEF.  As a result, while the Commission estimates that </w:t>
      </w:r>
      <w:r>
        <w:rPr>
          <w:rFonts w:ascii="Times New Roman" w:hAnsi="Times New Roman"/>
          <w:sz w:val="22"/>
          <w:szCs w:val="22"/>
        </w:rPr>
        <w:t>most</w:t>
      </w:r>
      <w:r w:rsidRPr="00AA79F5">
        <w:rPr>
          <w:rFonts w:ascii="Times New Roman" w:hAnsi="Times New Roman"/>
          <w:sz w:val="22"/>
          <w:szCs w:val="22"/>
        </w:rPr>
        <w:t xml:space="preserve"> SEFs will incur 407 burden hours, 1 SEF will incur an additional 10 burden hours for a total of 417 burden hours (407 + 10 = 417).</w:t>
      </w:r>
    </w:p>
  </w:footnote>
  <w:footnote w:id="13">
    <w:p w14:paraId="6E049A2E" w14:textId="126392EE" w:rsidR="00CF5F4B" w:rsidRPr="00AA79F5" w:rsidRDefault="00CF5F4B"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45 SEFs x 407 burden hours = 18,315 burden hours.  As noted in the above footnote, one SEF will incur an additional 10 burden hours.  Accordingly, 18,315 burden hours + 10 burden hours = 18,325 total burden hours across all registered SEFs.  </w:t>
      </w:r>
    </w:p>
  </w:footnote>
  <w:footnote w:id="14">
    <w:p w14:paraId="46B14EEC" w14:textId="0E5F47A2" w:rsidR="00CF5F4B" w:rsidRPr="00AA79F5" w:rsidRDefault="00CF5F4B" w:rsidP="00A11603">
      <w:pPr>
        <w:pStyle w:val="FootnoteText"/>
        <w:spacing w:after="120"/>
        <w:rPr>
          <w:rFonts w:ascii="Times New Roman" w:eastAsiaTheme="minorHAnsi"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estimated in its supporting statement for the 2016 Part 37 PRA Renewal a cost to the government of “$156,000 annually based on ten full time equivalents reviewing for 20 days at 8 hours per day (1,600 hours) at an average total compensation of about $97.50 per hour.”  </w:t>
      </w:r>
      <w:r w:rsidRPr="00AA79F5">
        <w:rPr>
          <w:rFonts w:ascii="Times New Roman" w:eastAsiaTheme="minorHAnsi" w:hAnsi="Times New Roman"/>
          <w:sz w:val="22"/>
          <w:szCs w:val="22"/>
        </w:rPr>
        <w:t xml:space="preserve">In arriving at a wage rate for the 2016 hourly costs imposed in the 2016 Part 37 PRA Renewal, Commission staff used a composite (blended) rate of Commission salaries (in the Washington, D.C. locality) for economists (Grade 11-13) and attorneys (Grade 11-14) in the Division of Market Oversight and divided that figure by 2000 annual working hours to arrive at the hourly rate of $60, multiplied by 1.625 to account for overhead and benefits.  </w:t>
      </w:r>
    </w:p>
    <w:p w14:paraId="752B4DBE" w14:textId="5133DE86" w:rsidR="00CF5F4B" w:rsidRPr="00AA79F5" w:rsidRDefault="00CF5F4B" w:rsidP="00AB39F1">
      <w:pPr>
        <w:pStyle w:val="NoSpacing"/>
        <w:spacing w:after="120"/>
        <w:rPr>
          <w:rFonts w:ascii="Times New Roman" w:hAnsi="Times New Roman" w:cs="Times New Roman"/>
        </w:rPr>
      </w:pPr>
      <w:r w:rsidRPr="00AA79F5">
        <w:rPr>
          <w:rFonts w:ascii="Times New Roman" w:hAnsi="Times New Roman" w:cs="Times New Roman"/>
        </w:rPr>
        <w:t xml:space="preserve">For the purposes of this revision, the Commission will use updated wage rates for 2017 and apply a more simplified approach by taking the blended rate of salaries for (i) non-managerial lawyers and economists at Grade 14 and (ii) managerial lawyers and economists at Grade 15, multiplied by 1.625 to account for overhead and benefits.  </w:t>
      </w:r>
    </w:p>
  </w:footnote>
  <w:footnote w:id="15">
    <w:p w14:paraId="285B6ABD" w14:textId="17A9C5DF" w:rsidR="00CF5F4B" w:rsidRPr="00AA79F5" w:rsidRDefault="00CF5F4B" w:rsidP="00A11603">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described in the footnote immediately above, $148.16 (revised wages and associated benefits) x 1,600 hours = $237,056.</w:t>
      </w:r>
    </w:p>
  </w:footnote>
  <w:footnote w:id="16">
    <w:p w14:paraId="5870D2A4" w14:textId="72E02F4D" w:rsidR="00CF5F4B" w:rsidRPr="00AA79F5" w:rsidRDefault="00CF5F4B" w:rsidP="00015DE3">
      <w:pPr>
        <w:spacing w:after="120" w:line="240" w:lineRule="auto"/>
        <w:rPr>
          <w:rFonts w:ascii="Times New Roman" w:hAnsi="Times New Roman" w:cs="Times New Roman"/>
        </w:rPr>
      </w:pPr>
      <w:r w:rsidRPr="00AA79F5">
        <w:rPr>
          <w:rStyle w:val="FootnoteReference"/>
          <w:rFonts w:ascii="Times New Roman" w:hAnsi="Times New Roman" w:cs="Times New Roman"/>
        </w:rPr>
        <w:footnoteRef/>
      </w:r>
      <w:r w:rsidRPr="00AA79F5">
        <w:rPr>
          <w:rFonts w:ascii="Times New Roman" w:hAnsi="Times New Roman" w:cs="Times New Roman"/>
        </w:rPr>
        <w:t xml:space="preserve"> The Commission notes that in its previous request for an extension of OMB control number 3038-0074 in 2016, the Commission stated in the renewal notice that OMB control number 3038-0074 “covers all information collections in part 37 of the Commission’s regulations, including Subpart A and the SEF core principles (</w:t>
      </w:r>
      <w:r w:rsidRPr="00AA79F5">
        <w:rPr>
          <w:rFonts w:ascii="Times New Roman" w:hAnsi="Times New Roman" w:cs="Times New Roman"/>
          <w:i/>
        </w:rPr>
        <w:t>i.e.</w:t>
      </w:r>
      <w:r w:rsidRPr="00AA79F5">
        <w:rPr>
          <w:rFonts w:ascii="Times New Roman" w:hAnsi="Times New Roman" w:cs="Times New Roman"/>
        </w:rPr>
        <w:t>, Subparts B and C) . . . . [other than] any information collections related to § 37.10 . . . .”  The Commission notes that the reference to “Subparts B and C” should specify “Subparts B through P” instead.  Agency Information Collection Activities Under OMB Review, 81 FR 65630, n.1 (Sep. 23, 2016).</w:t>
      </w:r>
    </w:p>
  </w:footnote>
  <w:footnote w:id="17">
    <w:p w14:paraId="7B4DC640" w14:textId="322BBE25"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78 FR 33606 (Jun. 4, 2013) (</w:t>
      </w:r>
      <w:r>
        <w:rPr>
          <w:rFonts w:ascii="Times New Roman" w:hAnsi="Times New Roman"/>
          <w:sz w:val="22"/>
          <w:szCs w:val="22"/>
        </w:rPr>
        <w:t>“</w:t>
      </w:r>
      <w:r w:rsidRPr="00AA79F5">
        <w:rPr>
          <w:rFonts w:ascii="Times New Roman" w:hAnsi="Times New Roman"/>
          <w:sz w:val="22"/>
          <w:szCs w:val="22"/>
        </w:rPr>
        <w:t>Process for a Swap Execution Facility or Designated Contract Market to Make a Swap Available to Trade</w:t>
      </w:r>
      <w:r>
        <w:rPr>
          <w:rFonts w:ascii="Times New Roman" w:hAnsi="Times New Roman"/>
          <w:sz w:val="22"/>
          <w:szCs w:val="22"/>
        </w:rPr>
        <w:t>”</w:t>
      </w:r>
      <w:r w:rsidRPr="00AA79F5">
        <w:rPr>
          <w:rFonts w:ascii="Times New Roman" w:hAnsi="Times New Roman"/>
          <w:sz w:val="22"/>
          <w:szCs w:val="22"/>
        </w:rPr>
        <w:t>).</w:t>
      </w:r>
    </w:p>
  </w:footnote>
  <w:footnote w:id="18">
    <w:p w14:paraId="71BB7BEF" w14:textId="77777777"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Part 37 NPRM would be a “notice of proposed rulemaking” rather than a final rule. </w:t>
      </w:r>
    </w:p>
  </w:footnote>
  <w:footnote w:id="19">
    <w:p w14:paraId="408E753D" w14:textId="1C35D033"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CEA section 5h(a)(1) states that “[n]o person may operate a facility for the trading or processing of swaps unless the facility is registered as a swap execution facility or as a designated contract market . . . .”  7 U.S.C. 7b–3(a)(1).  The Commission’s proposed interpretation of this statutory provision would apply the CEA’s registration requirement to additional entities that are not currently registered with the Commission as SEFs.  As noted above, the commission estimates that 60 additional entities will be required to register as SEFs.</w:t>
      </w:r>
    </w:p>
  </w:footnote>
  <w:footnote w:id="20">
    <w:p w14:paraId="45CBA699" w14:textId="6F927713" w:rsidR="00CF5F4B" w:rsidRPr="00AA79F5" w:rsidRDefault="00CF5F4B" w:rsidP="00586482">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rPr>
        <w:t xml:space="preserve"> 295 burden hours x 4 applicants for SEF registration = </w:t>
      </w:r>
      <w:r>
        <w:rPr>
          <w:rFonts w:ascii="Times New Roman" w:hAnsi="Times New Roman"/>
          <w:sz w:val="22"/>
          <w:szCs w:val="22"/>
        </w:rPr>
        <w:t>1,180</w:t>
      </w:r>
      <w:r w:rsidRPr="00AA79F5">
        <w:rPr>
          <w:rFonts w:ascii="Times New Roman" w:hAnsi="Times New Roman"/>
          <w:sz w:val="22"/>
          <w:szCs w:val="22"/>
        </w:rPr>
        <w:t xml:space="preserve"> total hours.</w:t>
      </w:r>
      <w:r>
        <w:rPr>
          <w:rFonts w:ascii="Times New Roman" w:hAnsi="Times New Roman"/>
          <w:sz w:val="22"/>
          <w:szCs w:val="22"/>
        </w:rPr>
        <w:t xml:space="preserve">  Additionally, 20 hours from the new entities requesting a delay + 1,180 = 1,200 total annual burden hours related to the SEF registration process.</w:t>
      </w:r>
      <w:r w:rsidRPr="00AA79F5">
        <w:rPr>
          <w:rFonts w:ascii="Times New Roman" w:hAnsi="Times New Roman"/>
          <w:sz w:val="22"/>
          <w:szCs w:val="22"/>
        </w:rPr>
        <w:t xml:space="preserve"> </w:t>
      </w:r>
      <w:r>
        <w:rPr>
          <w:rFonts w:ascii="Times New Roman" w:hAnsi="Times New Roman"/>
          <w:sz w:val="22"/>
          <w:szCs w:val="22"/>
        </w:rPr>
        <w:t xml:space="preserve"> </w:t>
      </w:r>
    </w:p>
  </w:footnote>
  <w:footnote w:id="21">
    <w:p w14:paraId="03E65236" w14:textId="267B525C"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vertAlign w:val="superscript"/>
        </w:rPr>
        <w:t xml:space="preserve"> </w:t>
      </w:r>
      <w:r w:rsidRPr="00AA79F5">
        <w:rPr>
          <w:rFonts w:ascii="Times New Roman" w:hAnsi="Times New Roman"/>
          <w:sz w:val="22"/>
          <w:szCs w:val="22"/>
        </w:rPr>
        <w:t>In the 2016 Part 37 PRA Renewal, the Commission estimated that registered SEFs annually incur about 1,000 burden hours.  The Commission increased its PRA burden hour estimate for registered SEFs from 308 annual hours to 1,000 annual hours after noting that certain information collections were significantly greater than the Commission had originally estimated, specifically the “§ 37.6(b) Confirmation Requirement” information collection discussed below.</w:t>
      </w:r>
    </w:p>
  </w:footnote>
  <w:footnote w:id="22">
    <w:p w14:paraId="35EC9ADD" w14:textId="4B70A92F"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rPr>
        <w:t xml:space="preserve"> See the table below for a specific break down of a SEF’s information collection obligations.  As discussed below, the Commission’s elimination of the “§ 37.6(b) Confirmation Requirement” represents the majority of the decrease in the Commission’s estimated annual burden hours per SEF.</w:t>
      </w:r>
    </w:p>
  </w:footnote>
  <w:footnote w:id="23">
    <w:p w14:paraId="1AED7F37" w14:textId="644A89E0" w:rsidR="00CF5F4B" w:rsidRPr="00AA79F5" w:rsidRDefault="00CF5F4B" w:rsidP="00D95C75">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this number is based on the estimated number of confirmations that a SEF would be required to provide its customers since the § 37.6(b) Confirmation Requirement required each SEF to include certain information required by the Commission on each confirmation the SEF provided to a transaction counterparty.  As noted above, the Commission is eliminating the § 37.6(b) Confirmation Requirement and its corresponding burden hours and responses.</w:t>
      </w:r>
    </w:p>
  </w:footnote>
  <w:footnote w:id="24">
    <w:p w14:paraId="36BE2E4D" w14:textId="6A9DF7E8"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vertAlign w:val="superscript"/>
        </w:rPr>
        <w:t xml:space="preserve"> </w:t>
      </w:r>
      <w:r w:rsidRPr="00AA79F5">
        <w:rPr>
          <w:rFonts w:ascii="Times New Roman" w:hAnsi="Times New Roman"/>
          <w:sz w:val="22"/>
          <w:szCs w:val="22"/>
        </w:rPr>
        <w:t xml:space="preserve">This category was previously labeled as “Designation and Compliance (for registered SEFs).”  The Commission is changing the name for the sake of clarity.  The </w:t>
      </w:r>
      <w:r>
        <w:rPr>
          <w:rFonts w:ascii="Times New Roman" w:hAnsi="Times New Roman"/>
          <w:sz w:val="22"/>
          <w:szCs w:val="22"/>
        </w:rPr>
        <w:t>4</w:t>
      </w:r>
      <w:r w:rsidRPr="00AA79F5">
        <w:rPr>
          <w:rFonts w:ascii="Times New Roman" w:hAnsi="Times New Roman"/>
          <w:sz w:val="22"/>
          <w:szCs w:val="22"/>
        </w:rPr>
        <w:t xml:space="preserve">5 respondents reflect the currently-registered 25 SEFs plus the </w:t>
      </w:r>
      <w:r>
        <w:rPr>
          <w:rFonts w:ascii="Times New Roman" w:hAnsi="Times New Roman"/>
          <w:sz w:val="22"/>
          <w:szCs w:val="22"/>
        </w:rPr>
        <w:t>2</w:t>
      </w:r>
      <w:r w:rsidRPr="00AA79F5">
        <w:rPr>
          <w:rFonts w:ascii="Times New Roman" w:hAnsi="Times New Roman"/>
          <w:sz w:val="22"/>
          <w:szCs w:val="22"/>
        </w:rPr>
        <w:t xml:space="preserve">0 new entities expected to register as a result of the Commission’s proposed interpretation and application of the SEF registration requirement (25 + </w:t>
      </w:r>
      <w:r>
        <w:rPr>
          <w:rFonts w:ascii="Times New Roman" w:hAnsi="Times New Roman"/>
          <w:sz w:val="22"/>
          <w:szCs w:val="22"/>
        </w:rPr>
        <w:t>2</w:t>
      </w:r>
      <w:r w:rsidRPr="00AA79F5">
        <w:rPr>
          <w:rFonts w:ascii="Times New Roman" w:hAnsi="Times New Roman"/>
          <w:sz w:val="22"/>
          <w:szCs w:val="22"/>
        </w:rPr>
        <w:t xml:space="preserve">0 = </w:t>
      </w:r>
      <w:r>
        <w:rPr>
          <w:rFonts w:ascii="Times New Roman" w:hAnsi="Times New Roman"/>
          <w:sz w:val="22"/>
          <w:szCs w:val="22"/>
        </w:rPr>
        <w:t>4</w:t>
      </w:r>
      <w:r w:rsidRPr="00AA79F5">
        <w:rPr>
          <w:rFonts w:ascii="Times New Roman" w:hAnsi="Times New Roman"/>
          <w:sz w:val="22"/>
          <w:szCs w:val="22"/>
        </w:rPr>
        <w:t>5).</w:t>
      </w:r>
      <w:r>
        <w:rPr>
          <w:rFonts w:ascii="Times New Roman" w:hAnsi="Times New Roman"/>
          <w:sz w:val="22"/>
          <w:szCs w:val="22"/>
        </w:rPr>
        <w:t xml:space="preserve">  Eventually, the Commission expects all 60 new entities to register, but for the purpose of the 3-year period covered by this submission, is estimating that 20 such entities will become fully registered SEFs.</w:t>
      </w:r>
    </w:p>
  </w:footnote>
  <w:footnote w:id="25">
    <w:p w14:paraId="0AB57401" w14:textId="761BDA88"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reached an estimate of approximately 251 trading days by assuming a year of [365.25 days] x [5 weekdays] ÷ [7 days in a week] = 260.89 weekdays.  The Commission then subtracted 10 public holidays (based on the Office of Personnel Management’s calendar of public holidays): 260.89 days – 10 public holidays = 250.89 trading days, which the Commission rounds to 251.  The Commission notes that not all SEFs may take all public holidays (</w:t>
      </w:r>
      <w:r w:rsidRPr="00AA79F5">
        <w:rPr>
          <w:rFonts w:ascii="Times New Roman" w:hAnsi="Times New Roman"/>
          <w:i/>
          <w:sz w:val="22"/>
          <w:szCs w:val="22"/>
        </w:rPr>
        <w:t>e.g.</w:t>
      </w:r>
      <w:r w:rsidRPr="00AA79F5">
        <w:rPr>
          <w:rFonts w:ascii="Times New Roman" w:hAnsi="Times New Roman"/>
          <w:sz w:val="22"/>
          <w:szCs w:val="22"/>
        </w:rPr>
        <w:t>, Veteran’s Day), but a SEF may also offer a non-Federal holiday (</w:t>
      </w:r>
      <w:r w:rsidRPr="00AA79F5">
        <w:rPr>
          <w:rFonts w:ascii="Times New Roman" w:hAnsi="Times New Roman"/>
          <w:i/>
          <w:sz w:val="22"/>
          <w:szCs w:val="22"/>
        </w:rPr>
        <w:t>e.g.</w:t>
      </w:r>
      <w:r w:rsidRPr="00AA79F5">
        <w:rPr>
          <w:rFonts w:ascii="Times New Roman" w:hAnsi="Times New Roman"/>
          <w:sz w:val="22"/>
          <w:szCs w:val="22"/>
        </w:rPr>
        <w:t xml:space="preserve">, Good Friday).  </w:t>
      </w:r>
      <w:r w:rsidRPr="00AA79F5">
        <w:rPr>
          <w:rFonts w:ascii="Times New Roman" w:hAnsi="Times New Roman"/>
          <w:i/>
          <w:sz w:val="22"/>
          <w:szCs w:val="22"/>
        </w:rPr>
        <w:t>See, e.g.</w:t>
      </w:r>
      <w:r w:rsidRPr="00AA79F5">
        <w:rPr>
          <w:rFonts w:ascii="Times New Roman" w:hAnsi="Times New Roman"/>
          <w:sz w:val="22"/>
          <w:szCs w:val="22"/>
        </w:rPr>
        <w:t xml:space="preserve">, ICE Swap Trade, </w:t>
      </w:r>
      <w:r w:rsidRPr="00AA79F5">
        <w:rPr>
          <w:rFonts w:ascii="Times New Roman" w:hAnsi="Times New Roman"/>
          <w:i/>
          <w:sz w:val="22"/>
          <w:szCs w:val="22"/>
        </w:rPr>
        <w:t>available at</w:t>
      </w:r>
      <w:r w:rsidRPr="00AA79F5">
        <w:rPr>
          <w:rFonts w:ascii="Times New Roman" w:hAnsi="Times New Roman"/>
          <w:sz w:val="22"/>
          <w:szCs w:val="22"/>
        </w:rPr>
        <w:t xml:space="preserve"> </w:t>
      </w:r>
      <w:hyperlink r:id="rId1" w:history="1">
        <w:r w:rsidRPr="00AA79F5">
          <w:rPr>
            <w:rStyle w:val="Hyperlink"/>
            <w:rFonts w:ascii="Times New Roman" w:hAnsi="Times New Roman"/>
            <w:sz w:val="22"/>
            <w:szCs w:val="22"/>
          </w:rPr>
          <w:t>https://www.cftc.gov/sites/default/files/filings/ptc/17/12/</w:t>
        </w:r>
      </w:hyperlink>
    </w:p>
    <w:p w14:paraId="390304AF" w14:textId="6E2FF897" w:rsidR="00CF5F4B" w:rsidRPr="00AA79F5" w:rsidRDefault="00CF5F4B" w:rsidP="001E097F">
      <w:pPr>
        <w:pStyle w:val="FootnoteText"/>
        <w:spacing w:after="120"/>
        <w:rPr>
          <w:rFonts w:ascii="Times New Roman" w:hAnsi="Times New Roman"/>
          <w:sz w:val="22"/>
          <w:szCs w:val="22"/>
        </w:rPr>
      </w:pPr>
      <w:r w:rsidRPr="00A17E3F">
        <w:rPr>
          <w:rStyle w:val="Hyperlink"/>
          <w:rFonts w:ascii="Times New Roman" w:hAnsi="Times New Roman"/>
          <w:sz w:val="22"/>
          <w:szCs w:val="22"/>
        </w:rPr>
        <w:t>ptc121417icesefsef005.pdf</w:t>
      </w:r>
      <w:r w:rsidRPr="00AA79F5">
        <w:rPr>
          <w:rFonts w:ascii="Times New Roman" w:hAnsi="Times New Roman"/>
          <w:sz w:val="22"/>
          <w:szCs w:val="22"/>
        </w:rPr>
        <w:t>.</w:t>
      </w:r>
    </w:p>
  </w:footnote>
  <w:footnote w:id="26">
    <w:p w14:paraId="43D776B4" w14:textId="071F41F6" w:rsidR="00CF5F4B" w:rsidRPr="00AA79F5" w:rsidRDefault="00CF5F4B" w:rsidP="001E097F">
      <w:pPr>
        <w:pStyle w:val="FootnoteText"/>
        <w:spacing w:after="120"/>
        <w:rPr>
          <w:rFonts w:ascii="Times New Roman" w:hAnsi="Times New Roman"/>
          <w:sz w:val="22"/>
          <w:szCs w:val="22"/>
        </w:rPr>
      </w:pPr>
      <w:r w:rsidRPr="00DF066B">
        <w:rPr>
          <w:rFonts w:ascii="Times New Roman" w:hAnsi="Times New Roman"/>
          <w:sz w:val="22"/>
          <w:szCs w:val="22"/>
          <w:vertAlign w:val="superscript"/>
        </w:rPr>
        <w:footnoteRef/>
      </w:r>
      <w:r w:rsidRPr="00DF066B">
        <w:rPr>
          <w:rFonts w:ascii="Times New Roman" w:hAnsi="Times New Roman"/>
          <w:sz w:val="22"/>
          <w:szCs w:val="22"/>
          <w:vertAlign w:val="superscript"/>
        </w:rPr>
        <w:t xml:space="preserve"> </w:t>
      </w:r>
      <w:r w:rsidRPr="00DF066B">
        <w:rPr>
          <w:rFonts w:ascii="Times New Roman" w:hAnsi="Times New Roman"/>
          <w:sz w:val="22"/>
          <w:szCs w:val="22"/>
        </w:rPr>
        <w:t xml:space="preserve">For the sake of consistency, the Commission reached this estimate by first starting with its previous total annual estimate in the 2016 Part 37 PRA Renewal of 437 burden hours in the corresponding “Designation and Compliance (for registered SEFs)” line item in the corresponding table in the previously-submitted Supporting Statement for this OMB Control Number 3038-0074 and creating a revised total annual burden hour estimate of 287 (see footnote </w:t>
      </w:r>
      <w:r w:rsidRPr="00DF066B">
        <w:rPr>
          <w:rFonts w:ascii="Times New Roman" w:hAnsi="Times New Roman"/>
          <w:sz w:val="22"/>
          <w:szCs w:val="22"/>
        </w:rPr>
        <w:fldChar w:fldCharType="begin"/>
      </w:r>
      <w:r w:rsidRPr="00DF066B">
        <w:rPr>
          <w:rFonts w:ascii="Times New Roman" w:hAnsi="Times New Roman"/>
          <w:sz w:val="22"/>
          <w:szCs w:val="22"/>
        </w:rPr>
        <w:instrText xml:space="preserve"> NOTEREF _Ref528254405 \h  \* MERGEFORMAT </w:instrText>
      </w:r>
      <w:r w:rsidRPr="00DF066B">
        <w:rPr>
          <w:rFonts w:ascii="Times New Roman" w:hAnsi="Times New Roman"/>
          <w:sz w:val="22"/>
          <w:szCs w:val="22"/>
        </w:rPr>
      </w:r>
      <w:r w:rsidRPr="00DF066B">
        <w:rPr>
          <w:rFonts w:ascii="Times New Roman" w:hAnsi="Times New Roman"/>
          <w:sz w:val="22"/>
          <w:szCs w:val="22"/>
        </w:rPr>
        <w:fldChar w:fldCharType="separate"/>
      </w:r>
      <w:r w:rsidR="00694663">
        <w:rPr>
          <w:rFonts w:ascii="Times New Roman" w:hAnsi="Times New Roman"/>
          <w:sz w:val="22"/>
          <w:szCs w:val="22"/>
        </w:rPr>
        <w:t>26</w:t>
      </w:r>
      <w:r w:rsidRPr="00DF066B">
        <w:rPr>
          <w:rFonts w:ascii="Times New Roman" w:hAnsi="Times New Roman"/>
          <w:sz w:val="22"/>
          <w:szCs w:val="22"/>
        </w:rPr>
        <w:fldChar w:fldCharType="end"/>
      </w:r>
      <w:r w:rsidRPr="00DF066B">
        <w:rPr>
          <w:rFonts w:ascii="Times New Roman" w:hAnsi="Times New Roman"/>
          <w:sz w:val="22"/>
          <w:szCs w:val="22"/>
        </w:rPr>
        <w:t xml:space="preserve"> below).  Based on the Commission’s revised estimate of 287 total annual burden hours per SEF, the Commission then divides 287 burden hours by 251 trade days to reach 1.143 burden hours per trade day per SEF.</w:t>
      </w:r>
    </w:p>
  </w:footnote>
  <w:footnote w:id="27">
    <w:p w14:paraId="3BF1BC05" w14:textId="677899A7"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noted above, the Commission previously estimated 437 associated burden hours</w:t>
      </w:r>
      <w:r>
        <w:rPr>
          <w:rFonts w:ascii="Times New Roman" w:hAnsi="Times New Roman"/>
          <w:sz w:val="22"/>
          <w:szCs w:val="22"/>
        </w:rPr>
        <w:t xml:space="preserve"> for this line item</w:t>
      </w:r>
      <w:r w:rsidRPr="00AA79F5">
        <w:rPr>
          <w:rFonts w:ascii="Times New Roman" w:hAnsi="Times New Roman"/>
          <w:sz w:val="22"/>
          <w:szCs w:val="22"/>
        </w:rPr>
        <w:t xml:space="preserve">.  The Commission is subtracting from this total and moving the burden hours attributable to the information collections in §§ 37.1300 et al. (Quarterly Financial Statements) and § 37.1501(d) (Annual Compliance Report) to the table for reporting burden hours below.  Prior to the Part 37 NPRM’s proposed changes, the Commission estimated that the information collections attributable to §§ 37.1300 et al. and § 37.1501(d) imposed 20 and 80 annual burden hours, respectively.  </w:t>
      </w:r>
    </w:p>
    <w:p w14:paraId="43C6E37C" w14:textId="77777777"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rPr>
        <w:t>Additionally, the Commission is further reducing this estimate by an additional 50 annual burden hours as a result of the Part 37 NPRM’s proposed changes to § 37.401.  Under the Part 37 NPRM, p</w:t>
      </w:r>
      <w:r w:rsidRPr="00AA79F5" w:rsidDel="002D1E94">
        <w:rPr>
          <w:rFonts w:ascii="Times New Roman" w:hAnsi="Times New Roman"/>
          <w:sz w:val="22"/>
          <w:szCs w:val="22"/>
        </w:rPr>
        <w:t>roposed § 37.401(</w:t>
      </w:r>
      <w:r w:rsidRPr="00AA79F5">
        <w:rPr>
          <w:rFonts w:ascii="Times New Roman" w:hAnsi="Times New Roman"/>
          <w:sz w:val="22"/>
          <w:szCs w:val="22"/>
        </w:rPr>
        <w:t xml:space="preserve">b) would require that a SEF collect and evaluate data on its market participants’ trading activity outside of the SEF “as necessary” rather than “on an ongoing basis” as currently required.  Similarly, proposed § 37.401(c) would require a SEF to monitor and evaluate general market data to detect and prevent manipulative activity “as necessary.”  Together, the Commission estimates these changes will reduce annually recurring information collection burdens by approximately 50 burden hours per SEF. </w:t>
      </w:r>
      <w:r w:rsidRPr="00AA79F5" w:rsidDel="002D1E94">
        <w:rPr>
          <w:rFonts w:ascii="Times New Roman" w:hAnsi="Times New Roman"/>
          <w:sz w:val="22"/>
          <w:szCs w:val="22"/>
        </w:rPr>
        <w:t xml:space="preserve"> </w:t>
      </w:r>
      <w:r w:rsidRPr="00AA79F5">
        <w:rPr>
          <w:rFonts w:ascii="Times New Roman" w:hAnsi="Times New Roman"/>
          <w:sz w:val="22"/>
          <w:szCs w:val="22"/>
        </w:rPr>
        <w:t>Accordingly, 437 (initial estimate) – 20 (moving §§ 37.1300 et al.) – 80 (moving § 37.1501(d)) – 50 (changes to § 37.401(c)) = 287 annual burden hours.</w:t>
      </w:r>
    </w:p>
    <w:p w14:paraId="4011D374" w14:textId="77777777" w:rsidR="00CF5F4B" w:rsidRPr="00AA79F5" w:rsidRDefault="00CF5F4B" w:rsidP="001E097F">
      <w:pPr>
        <w:pStyle w:val="FootnoteText"/>
        <w:spacing w:after="120"/>
        <w:rPr>
          <w:rFonts w:ascii="Times New Roman" w:hAnsi="Times New Roman"/>
          <w:sz w:val="22"/>
          <w:szCs w:val="22"/>
        </w:rPr>
      </w:pPr>
    </w:p>
  </w:footnote>
  <w:footnote w:id="28">
    <w:p w14:paraId="06E9E6F4" w14:textId="2267762E"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Section 37.5(c) would be revised to create a new information collection that would require a SEF to file a notification with the Commission involving a direct </w:t>
      </w:r>
      <w:r w:rsidRPr="00AA79F5">
        <w:rPr>
          <w:rFonts w:ascii="Times New Roman" w:hAnsi="Times New Roman"/>
          <w:i/>
          <w:sz w:val="22"/>
          <w:szCs w:val="22"/>
        </w:rPr>
        <w:t>or indirect</w:t>
      </w:r>
      <w:r w:rsidRPr="00AA79F5">
        <w:rPr>
          <w:rFonts w:ascii="Times New Roman" w:hAnsi="Times New Roman"/>
          <w:sz w:val="22"/>
          <w:szCs w:val="22"/>
        </w:rPr>
        <w:t xml:space="preserve"> transfer of 50% or more equity interest of the SEF (</w:t>
      </w:r>
      <w:r w:rsidRPr="00AA79F5">
        <w:rPr>
          <w:rFonts w:ascii="Times New Roman" w:hAnsi="Times New Roman"/>
          <w:i/>
          <w:sz w:val="22"/>
          <w:szCs w:val="22"/>
        </w:rPr>
        <w:t>e.g.</w:t>
      </w:r>
      <w:r w:rsidRPr="00AA79F5">
        <w:rPr>
          <w:rFonts w:ascii="Times New Roman" w:hAnsi="Times New Roman"/>
          <w:sz w:val="22"/>
          <w:szCs w:val="22"/>
        </w:rPr>
        <w:t>, the 50% acquisition of the SEF’s holding company).  The Commission estimates that this new information collection would affect only one respondent SEF.  The Commission notes that the 10 burden hours related to this information collection is not included in the revised total of 407 burden hours per SEF since this information collection is estimated to only apply to a single SEF.  Accordingly, for the SEF that incurs this information collection, the total estimated burden hours would be 417 hours (407 burden hours that apply to all SEFs + this 10 burden hour collection = 417 burden hours).</w:t>
      </w:r>
    </w:p>
  </w:footnote>
  <w:footnote w:id="29">
    <w:p w14:paraId="564DE200" w14:textId="214C6088"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obtained this result by estimating that current §§ 37.1300 et al imposes 20 total annual burden hours per SEF to provide the Commission with 4 quarterly financial reports.  The Commission estimates that proposed § 37.1306(a)(2)(i) (requiring quarterly financial statements to be GAAP-compliant) would impose an additional 10 annual burden hours.  Additionally, proposed § 37.1306(c)(2)(iv) (requiring a SEF to calculate and explain its wind-down costs) would impose an initial burden of 20 burden hours for the first year and 5 annual burden hours each subsequent year (</w:t>
      </w:r>
      <w:r w:rsidRPr="00AA79F5">
        <w:rPr>
          <w:rFonts w:ascii="Times New Roman" w:hAnsi="Times New Roman"/>
          <w:i/>
          <w:sz w:val="22"/>
          <w:szCs w:val="22"/>
        </w:rPr>
        <w:t>i.e.</w:t>
      </w:r>
      <w:r w:rsidRPr="00AA79F5">
        <w:rPr>
          <w:rFonts w:ascii="Times New Roman" w:hAnsi="Times New Roman"/>
          <w:sz w:val="22"/>
          <w:szCs w:val="22"/>
        </w:rPr>
        <w:t>, the Commission believes that it will impose additional burden hours for a SEF’s initial estimate and corresponding explanation but will require fewer burden hours for a SEF to update its estimate and explanation for subsequent years); as a result, proposed § 37.1306(c) will impose a pro-rated burden of 10 hours per year on each SEF (20 burden hours for the initial year + 5 burden hours in year two + 5 burden hours in year three = 30 total burden hours for the next three years.  Therefore, 30 total burden hours / 3 years = 10 extra burden hours per year).  Accordingly, the Commission estimates that proposed §§ 37.1300 et al would require 40 annual burden hours per SEF (20 burden hours currently required + 10 additional annual burden hours for proposed § 37.1306(a) + 10 additional annual burden hours (pro-rated) for proposed § 37.1306(c) = 40 annual burden hours).  Per report, each SEF would incur 10 burden hours (40 total annual burden hours / 4 quarterly reports = 10 burden hours per report).</w:t>
      </w:r>
    </w:p>
    <w:p w14:paraId="04E3FF28" w14:textId="69A0B027"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rPr>
        <w:t>The Commission acknowledges that a SEF may require more than 20 hours annually to collect the necessary financial information and create its financial reports and operating cost projections.  The Commission, however, expects that SEFs, as part of their usual and customary business practice, prepare at least some form of financial statements and operating cost projections.  In several cases, the Commission is aware that a SEF may be required to create such financial reports. Therefore, the Commission is not necessarily including in its PRA estimate all of the time it may take a SEF to create its financial reports; the Commission believes that 20 total burden hours for the current requirement is a reasonable estimate for the additional burdens, over and above what a SEF would already undertake as a usual and customary business practice (or as may otherwise be required by applicable law), to comply with its information collection obligations under §§ 37.1300 et al.</w:t>
      </w:r>
    </w:p>
  </w:footnote>
  <w:footnote w:id="30">
    <w:p w14:paraId="39C05D40" w14:textId="099C660D"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the Part 37 NPRM would revise § 37.1301(b) to permit a SEF that also operates as a derivatives clearing organization (“</w:t>
      </w:r>
      <w:r w:rsidRPr="00AA79F5">
        <w:rPr>
          <w:rFonts w:ascii="Times New Roman" w:hAnsi="Times New Roman"/>
          <w:b/>
          <w:sz w:val="22"/>
          <w:szCs w:val="22"/>
          <w:u w:val="single"/>
        </w:rPr>
        <w:t>DCO</w:t>
      </w:r>
      <w:r w:rsidRPr="00AA79F5">
        <w:rPr>
          <w:rFonts w:ascii="Times New Roman" w:hAnsi="Times New Roman"/>
          <w:sz w:val="22"/>
          <w:szCs w:val="22"/>
        </w:rPr>
        <w:t xml:space="preserve">”) to file a single report under § 39.11 for DCOs.  The Commission believes that this will affect 1 SEF and would save that SEF approximately 5 annual burden hours due to being able to submit its information in a consolidated report to the Commission.  Because this result would be </w:t>
      </w:r>
      <w:r w:rsidRPr="00AA79F5">
        <w:rPr>
          <w:rFonts w:ascii="Times New Roman" w:hAnsi="Times New Roman"/>
          <w:i/>
          <w:sz w:val="22"/>
          <w:szCs w:val="22"/>
        </w:rPr>
        <w:t>de minimis</w:t>
      </w:r>
      <w:r w:rsidRPr="00AA79F5">
        <w:rPr>
          <w:rFonts w:ascii="Times New Roman" w:hAnsi="Times New Roman"/>
          <w:sz w:val="22"/>
          <w:szCs w:val="22"/>
        </w:rPr>
        <w:t xml:space="preserve"> and could cause confusion if subtracted in the above total annual burden hours in column 9, the Commission has excluded it.  If included, however, the total burden hours in column 9 would be </w:t>
      </w:r>
      <w:r>
        <w:rPr>
          <w:rFonts w:ascii="Times New Roman" w:hAnsi="Times New Roman"/>
          <w:sz w:val="22"/>
          <w:szCs w:val="22"/>
        </w:rPr>
        <w:t>1,800</w:t>
      </w:r>
      <w:r w:rsidRPr="00AA79F5">
        <w:rPr>
          <w:rFonts w:ascii="Times New Roman" w:hAnsi="Times New Roman"/>
          <w:sz w:val="22"/>
          <w:szCs w:val="22"/>
        </w:rPr>
        <w:t xml:space="preserve"> total annual burden hours (</w:t>
      </w:r>
      <w:r>
        <w:rPr>
          <w:rFonts w:ascii="Times New Roman" w:hAnsi="Times New Roman"/>
          <w:sz w:val="22"/>
          <w:szCs w:val="22"/>
        </w:rPr>
        <w:t>1,800</w:t>
      </w:r>
      <w:r w:rsidRPr="00AA79F5">
        <w:rPr>
          <w:rFonts w:ascii="Times New Roman" w:hAnsi="Times New Roman"/>
          <w:sz w:val="22"/>
          <w:szCs w:val="22"/>
        </w:rPr>
        <w:t xml:space="preserve"> – 5 = </w:t>
      </w:r>
      <w:r>
        <w:rPr>
          <w:rFonts w:ascii="Times New Roman" w:hAnsi="Times New Roman"/>
          <w:sz w:val="22"/>
          <w:szCs w:val="22"/>
        </w:rPr>
        <w:t>1,795</w:t>
      </w:r>
      <w:r w:rsidRPr="00AA79F5">
        <w:rPr>
          <w:rFonts w:ascii="Times New Roman" w:hAnsi="Times New Roman"/>
          <w:sz w:val="22"/>
          <w:szCs w:val="22"/>
        </w:rPr>
        <w:t>).</w:t>
      </w:r>
    </w:p>
  </w:footnote>
  <w:footnote w:id="31">
    <w:p w14:paraId="23C6312D" w14:textId="10C9265E"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Proposed § 37.1401(g) would create a new information collection by requiring a SEF to annually submit an up-to-date questionnaire based on an existing questionnaire located in existing Exhibit V to Form SEF in Appendix A to part 37.  A SEF would only need to submit new changes to the questionnaire and would not need to resubmit any information that has not changed.</w:t>
      </w:r>
    </w:p>
  </w:footnote>
  <w:footnote w:id="32">
    <w:p w14:paraId="0559456C" w14:textId="1CE7BC1B"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noted above, the Commission estimates that the existing information collection associated with a SEF’s annual compliance report imposed about 80 annual burden hours per SEF.  The Part 37 NPRM would reduce this information collection by 28 burden hours. (80 burden hours – 28 burden hours = 52 burden hours).  </w:t>
      </w:r>
    </w:p>
    <w:p w14:paraId="4CC8EAF1" w14:textId="62A7B9F1" w:rsidR="00CF5F4B" w:rsidRPr="00AA79F5" w:rsidRDefault="00CF5F4B" w:rsidP="001E097F">
      <w:pPr>
        <w:pStyle w:val="FootnoteText"/>
        <w:spacing w:after="120"/>
        <w:rPr>
          <w:rFonts w:ascii="Times New Roman" w:hAnsi="Times New Roman"/>
          <w:sz w:val="22"/>
          <w:szCs w:val="22"/>
        </w:rPr>
      </w:pPr>
      <w:r w:rsidRPr="00AA79F5">
        <w:rPr>
          <w:rFonts w:ascii="Times New Roman" w:hAnsi="Times New Roman"/>
          <w:sz w:val="22"/>
          <w:szCs w:val="22"/>
        </w:rPr>
        <w:t>First, under proposed § 37.1501(d), a SEF would no longer need to include in its annual compliance report (“</w:t>
      </w:r>
      <w:r w:rsidRPr="00AA79F5">
        <w:rPr>
          <w:rFonts w:ascii="Times New Roman" w:hAnsi="Times New Roman"/>
          <w:b/>
          <w:sz w:val="22"/>
          <w:szCs w:val="22"/>
          <w:u w:val="single"/>
        </w:rPr>
        <w:t>ACR</w:t>
      </w:r>
      <w:r w:rsidRPr="00AA79F5">
        <w:rPr>
          <w:rFonts w:ascii="Times New Roman" w:hAnsi="Times New Roman"/>
          <w:sz w:val="22"/>
          <w:szCs w:val="22"/>
        </w:rPr>
        <w:t xml:space="preserve">”) either a review of all the Commission regulations applicable to a SEF or identify the written policies and procedures designed to ensure compliance with the Act and Commission regulations.  The Commission estimates this will save a SEF approximately 10 annual burden hours.  Second, proposed § 37.1501(d)(3) would maintain the current requirement that an ACR describe the “financial, managerial, and operational resources” set aside for compliance with the Act and Commission regulations, but would eliminate the requirement that a SEF specifically discuss its compliance staffing and structure; a catalogue of investigations and disciplinary actions taken over the last year; and a review of disciplinary committee and panel performance.  The Commission estimates that proposed § 37.1501(d)(3) would reduce annual recurring information collection burden hours by approximately 5 burden hours per SEF.  Third, to facilitate the Commission’s ability to assess a SEF’s written policies and procedures regarding compliance matters, proposed § 37.1501(d)(4) would require a SEF to discuss only material noncompliance matters and explain the corresponding actions taken to resolve such matters rather than explaining all compliance matters.  The Commission estimates that this change would reduce annual recurring information collection burden hours per SEF by 3 burden hours.  </w:t>
      </w:r>
      <w:r w:rsidRPr="00AA79F5">
        <w:rPr>
          <w:rFonts w:ascii="Times New Roman" w:eastAsia="Calibri" w:hAnsi="Times New Roman"/>
          <w:sz w:val="22"/>
          <w:szCs w:val="22"/>
        </w:rPr>
        <w:t>Fourth, proposed § 37.1501(d)(5) would limit a SEF CCO’s certification of an ACR’s accuracy and completeness to “all material respects” of the report rather than to all aspects (including immaterial aspects) as currently required.  The Commission estimates that this change would reduce annually recurring information collection burden hours per SEF/CCO by 10 burden hours.  Accordingly, 10 + 5 + 3 + 10 = 28 annual burden hours saved.</w:t>
      </w:r>
    </w:p>
  </w:footnote>
  <w:footnote w:id="33">
    <w:p w14:paraId="52EA0DEB" w14:textId="757FCC09"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discussed above, the Part 37 NPRM would create a new reporting information collection related to the MAT process that would apply to all SEFs.</w:t>
      </w:r>
    </w:p>
  </w:footnote>
  <w:footnote w:id="34">
    <w:p w14:paraId="7824DF90" w14:textId="7733CF86"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Proposed § 37.203(e) would require a SEF to provide market participants with 3 information collections per error trade: (1) the first notice upon the SEF’s initiation of a review of an alleged error trade, (2) a second notice upon any determination by the SEF as to whether the swap under review is or is not an error trade, and (3) a third notice upon the resolution of the SEF’s review.  The Commission estimates that each notice requires about 1/3 burden hours, for a total of 1 burden hour per error trade (1/3 burden hours x 3 notices = 1 burden hour per error trade).  Further, the Commission estimates that each SEF on average will have approximately 15 error trade reviews per year.  Accordingly, 1 burden hour x 15 error trade reviews per year = 15 burden hours per year. </w:t>
      </w:r>
    </w:p>
  </w:footnote>
  <w:footnote w:id="35">
    <w:p w14:paraId="39A1866F" w14:textId="77777777" w:rsidR="00CF5F4B" w:rsidRPr="00AA79F5" w:rsidRDefault="00CF5F4B" w:rsidP="00180CB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has not identified any recordkeeping or third-party disclosure information collections related to SEF registration.</w:t>
      </w:r>
    </w:p>
  </w:footnote>
  <w:footnote w:id="36">
    <w:p w14:paraId="04AF1231" w14:textId="648E3393"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Based on the number of applicants that have applied for permanent SEF registration since the Commission first granted permanent registration status to SEFs on January 22, 2016, the Commission expects to receive 4 applications per year for permanent SEF registration as part of the normal course of business.  As discussed above, as a result of the Part 37 NPRM, the Commission also expects that 60 additional entities on a one-time basis will </w:t>
      </w:r>
      <w:r>
        <w:rPr>
          <w:rFonts w:ascii="Times New Roman" w:hAnsi="Times New Roman"/>
          <w:sz w:val="22"/>
          <w:szCs w:val="22"/>
        </w:rPr>
        <w:t xml:space="preserve">eventually </w:t>
      </w:r>
      <w:r w:rsidRPr="00AA79F5">
        <w:rPr>
          <w:rFonts w:ascii="Times New Roman" w:hAnsi="Times New Roman"/>
          <w:sz w:val="22"/>
          <w:szCs w:val="22"/>
        </w:rPr>
        <w:t>need to register as SEFs.</w:t>
      </w:r>
      <w:r>
        <w:rPr>
          <w:rFonts w:ascii="Times New Roman" w:hAnsi="Times New Roman"/>
          <w:sz w:val="22"/>
          <w:szCs w:val="22"/>
        </w:rPr>
        <w:t xml:space="preserve">  In this table, however, the Commission is not including such 60 one-time applicants because the Commission is noting that they will be requesting a delay in the application of the registration requirement and accounting for such respondents in the row immediately below (“§ 37.3(a) (Request to Delay the Registration Requirement)”).</w:t>
      </w:r>
    </w:p>
  </w:footnote>
  <w:footnote w:id="37">
    <w:p w14:paraId="4B598850" w14:textId="77777777"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For this purpose, the commission considers the entire SEF application process to constitute a single information collection.</w:t>
      </w:r>
    </w:p>
  </w:footnote>
  <w:footnote w:id="38">
    <w:p w14:paraId="44CF4CD7" w14:textId="77777777"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In the 2016 Part 37 PRA Renewal, the Commission estimated that the SEF application process (including applicants’ submission of Form SEF) imposed about 300 one-time burden hours. The Commission estimates that the Part 37 NPRM will decrease this estimate by approximately 5 burden hours per SEF since the Part 37 NPRM would streamline Form SEF by consolidating, amending, and eliminating several of the Form SEF exhibits.</w:t>
      </w:r>
    </w:p>
  </w:footnote>
  <w:footnote w:id="39">
    <w:p w14:paraId="5FC39D89" w14:textId="34C31ABA" w:rsidR="00CF5F4B" w:rsidRPr="00AA79F5" w:rsidRDefault="00CF5F4B"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the Part 37 NPRM would revise § 37.3(c) to eliminate the requirement that a SEF amend Form SEF when requesting an amended registration order from the Commission, which the Commission estimates would apply to 1 entity every 3 years and would save such entity 2 burden hours on a one-time basis.  Because this result would be </w:t>
      </w:r>
      <w:r w:rsidRPr="00AA79F5">
        <w:rPr>
          <w:rFonts w:ascii="Times New Roman" w:hAnsi="Times New Roman"/>
          <w:i/>
          <w:sz w:val="22"/>
          <w:szCs w:val="22"/>
        </w:rPr>
        <w:t>de minimis</w:t>
      </w:r>
      <w:r w:rsidRPr="00AA79F5">
        <w:rPr>
          <w:rFonts w:ascii="Times New Roman" w:hAnsi="Times New Roman"/>
          <w:sz w:val="22"/>
          <w:szCs w:val="22"/>
        </w:rPr>
        <w:t xml:space="preserve"> and could cause confusion if subtracted in the above total annual burden hours in column 9, the Commission has excluded it.  If included, however, the total burden hours in column 9 would be 1</w:t>
      </w:r>
      <w:r>
        <w:rPr>
          <w:rFonts w:ascii="Times New Roman" w:hAnsi="Times New Roman"/>
          <w:sz w:val="22"/>
          <w:szCs w:val="22"/>
        </w:rPr>
        <w:t>,1</w:t>
      </w:r>
      <w:r w:rsidRPr="00AA79F5">
        <w:rPr>
          <w:rFonts w:ascii="Times New Roman" w:hAnsi="Times New Roman"/>
          <w:sz w:val="22"/>
          <w:szCs w:val="22"/>
        </w:rPr>
        <w:t xml:space="preserve">79.34 burden hours (2 burden hours every 3 years = 0.66 pro-rated burden hours per year.  Accordingly, </w:t>
      </w:r>
      <w:r>
        <w:rPr>
          <w:rFonts w:ascii="Times New Roman" w:hAnsi="Times New Roman"/>
          <w:sz w:val="22"/>
          <w:szCs w:val="22"/>
        </w:rPr>
        <w:t>1,180</w:t>
      </w:r>
      <w:r w:rsidRPr="00AA79F5">
        <w:rPr>
          <w:rFonts w:ascii="Times New Roman" w:hAnsi="Times New Roman"/>
          <w:sz w:val="22"/>
          <w:szCs w:val="22"/>
        </w:rPr>
        <w:t xml:space="preserve"> total annual burden hours – 0.66 burden hours =</w:t>
      </w:r>
      <w:r>
        <w:rPr>
          <w:rFonts w:ascii="Times New Roman" w:hAnsi="Times New Roman"/>
          <w:sz w:val="22"/>
          <w:szCs w:val="22"/>
        </w:rPr>
        <w:t>1,179.34</w:t>
      </w:r>
      <w:r w:rsidRPr="00AA79F5">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D4B4" w14:textId="77777777" w:rsidR="00CF5F4B" w:rsidRPr="001E097F" w:rsidRDefault="00CF5F4B" w:rsidP="002B4A29">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E636" w14:textId="77777777" w:rsidR="00CF5F4B" w:rsidRPr="00DC1F75" w:rsidRDefault="00CF5F4B" w:rsidP="007D059A">
    <w:pPr>
      <w:tabs>
        <w:tab w:val="left" w:pos="-720"/>
      </w:tabs>
      <w:suppressAutoHyphens/>
      <w:jc w:val="center"/>
      <w:rPr>
        <w:rFonts w:ascii="Times New Roman" w:hAnsi="Times New Roman"/>
        <w:b/>
      </w:rPr>
    </w:pPr>
    <w:r w:rsidRPr="00F84484">
      <w:rPr>
        <w:rFonts w:ascii="Times New Roman" w:hAnsi="Times New Roman"/>
        <w:b/>
      </w:rPr>
      <w:t>Attachment 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C1F75">
      <w:rPr>
        <w:rFonts w:ascii="Times New Roman" w:hAnsi="Times New Roman"/>
        <w:b/>
      </w:rPr>
      <w:t>Collection 3038-0074</w:t>
    </w:r>
  </w:p>
  <w:p w14:paraId="1426E637" w14:textId="77777777" w:rsidR="00CF5F4B" w:rsidRPr="00DC1F75" w:rsidRDefault="00CF5F4B" w:rsidP="007D059A">
    <w:pPr>
      <w:tabs>
        <w:tab w:val="left" w:pos="-720"/>
      </w:tabs>
      <w:suppressAutoHyphen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866"/>
    <w:multiLevelType w:val="hybridMultilevel"/>
    <w:tmpl w:val="380A6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EB3ACE"/>
    <w:multiLevelType w:val="hybridMultilevel"/>
    <w:tmpl w:val="2A7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77928"/>
    <w:multiLevelType w:val="hybridMultilevel"/>
    <w:tmpl w:val="F1389D58"/>
    <w:lvl w:ilvl="0" w:tplc="8E3C3C20">
      <w:start w:val="2"/>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4A"/>
    <w:rsid w:val="0000121B"/>
    <w:rsid w:val="000158AB"/>
    <w:rsid w:val="00015DE3"/>
    <w:rsid w:val="00020226"/>
    <w:rsid w:val="00046283"/>
    <w:rsid w:val="00047148"/>
    <w:rsid w:val="00050852"/>
    <w:rsid w:val="00054C2D"/>
    <w:rsid w:val="00064D90"/>
    <w:rsid w:val="00067F44"/>
    <w:rsid w:val="000731AA"/>
    <w:rsid w:val="0007480F"/>
    <w:rsid w:val="00081863"/>
    <w:rsid w:val="00085CDD"/>
    <w:rsid w:val="000A10F4"/>
    <w:rsid w:val="000A2031"/>
    <w:rsid w:val="000A4869"/>
    <w:rsid w:val="000B2BA9"/>
    <w:rsid w:val="000E525D"/>
    <w:rsid w:val="001006EC"/>
    <w:rsid w:val="001033BC"/>
    <w:rsid w:val="00105ECA"/>
    <w:rsid w:val="00127C30"/>
    <w:rsid w:val="00135171"/>
    <w:rsid w:val="00142225"/>
    <w:rsid w:val="00146FDA"/>
    <w:rsid w:val="00150856"/>
    <w:rsid w:val="00152AED"/>
    <w:rsid w:val="0016013C"/>
    <w:rsid w:val="00172193"/>
    <w:rsid w:val="00180CB6"/>
    <w:rsid w:val="00181C01"/>
    <w:rsid w:val="001855E8"/>
    <w:rsid w:val="00187422"/>
    <w:rsid w:val="0019100E"/>
    <w:rsid w:val="00191F4F"/>
    <w:rsid w:val="001930F1"/>
    <w:rsid w:val="00194988"/>
    <w:rsid w:val="001A13D8"/>
    <w:rsid w:val="001B3913"/>
    <w:rsid w:val="001B3E7A"/>
    <w:rsid w:val="001B3EF4"/>
    <w:rsid w:val="001B72CC"/>
    <w:rsid w:val="001C1D17"/>
    <w:rsid w:val="001C3C84"/>
    <w:rsid w:val="001D3CC9"/>
    <w:rsid w:val="001E090F"/>
    <w:rsid w:val="001E097F"/>
    <w:rsid w:val="001E10CB"/>
    <w:rsid w:val="001F188C"/>
    <w:rsid w:val="001F1C4D"/>
    <w:rsid w:val="001F2E6E"/>
    <w:rsid w:val="001F585E"/>
    <w:rsid w:val="001F7DF1"/>
    <w:rsid w:val="00200F1A"/>
    <w:rsid w:val="00214FAC"/>
    <w:rsid w:val="002158A7"/>
    <w:rsid w:val="00216F47"/>
    <w:rsid w:val="00221D0A"/>
    <w:rsid w:val="00222498"/>
    <w:rsid w:val="0022503D"/>
    <w:rsid w:val="00233C3F"/>
    <w:rsid w:val="002366C2"/>
    <w:rsid w:val="002379C2"/>
    <w:rsid w:val="00243E08"/>
    <w:rsid w:val="0024449E"/>
    <w:rsid w:val="002503D3"/>
    <w:rsid w:val="00251241"/>
    <w:rsid w:val="00252407"/>
    <w:rsid w:val="00263291"/>
    <w:rsid w:val="0026572E"/>
    <w:rsid w:val="00275C3E"/>
    <w:rsid w:val="00285ADB"/>
    <w:rsid w:val="00290916"/>
    <w:rsid w:val="00292DF2"/>
    <w:rsid w:val="002A72F7"/>
    <w:rsid w:val="002A792D"/>
    <w:rsid w:val="002B2FEE"/>
    <w:rsid w:val="002B4A29"/>
    <w:rsid w:val="002B5760"/>
    <w:rsid w:val="002C1D6C"/>
    <w:rsid w:val="002D3A2B"/>
    <w:rsid w:val="002D646A"/>
    <w:rsid w:val="002E0576"/>
    <w:rsid w:val="002E5E1E"/>
    <w:rsid w:val="003031DD"/>
    <w:rsid w:val="00304FDB"/>
    <w:rsid w:val="00311173"/>
    <w:rsid w:val="003128DF"/>
    <w:rsid w:val="00316308"/>
    <w:rsid w:val="003233C1"/>
    <w:rsid w:val="00326046"/>
    <w:rsid w:val="00330A28"/>
    <w:rsid w:val="00334CEE"/>
    <w:rsid w:val="00347D57"/>
    <w:rsid w:val="00351059"/>
    <w:rsid w:val="00372DC5"/>
    <w:rsid w:val="0037794A"/>
    <w:rsid w:val="00380B51"/>
    <w:rsid w:val="00383C58"/>
    <w:rsid w:val="00391DD9"/>
    <w:rsid w:val="00391F22"/>
    <w:rsid w:val="00393344"/>
    <w:rsid w:val="00393D8F"/>
    <w:rsid w:val="00394D6E"/>
    <w:rsid w:val="003B44C9"/>
    <w:rsid w:val="003C219D"/>
    <w:rsid w:val="003C3479"/>
    <w:rsid w:val="003C5A7C"/>
    <w:rsid w:val="003E043B"/>
    <w:rsid w:val="003E5480"/>
    <w:rsid w:val="003E6D89"/>
    <w:rsid w:val="004017F2"/>
    <w:rsid w:val="00401866"/>
    <w:rsid w:val="0041609E"/>
    <w:rsid w:val="00423BAB"/>
    <w:rsid w:val="00432B9C"/>
    <w:rsid w:val="0044065A"/>
    <w:rsid w:val="0045653B"/>
    <w:rsid w:val="00466CB4"/>
    <w:rsid w:val="004676A3"/>
    <w:rsid w:val="004759BC"/>
    <w:rsid w:val="00483B45"/>
    <w:rsid w:val="00484D7E"/>
    <w:rsid w:val="00485F22"/>
    <w:rsid w:val="00487F0C"/>
    <w:rsid w:val="00495284"/>
    <w:rsid w:val="004A2DD3"/>
    <w:rsid w:val="004B08C8"/>
    <w:rsid w:val="004C4C1B"/>
    <w:rsid w:val="004D3C21"/>
    <w:rsid w:val="004D5ABE"/>
    <w:rsid w:val="004E37EA"/>
    <w:rsid w:val="005001B3"/>
    <w:rsid w:val="00502621"/>
    <w:rsid w:val="00510646"/>
    <w:rsid w:val="0051488B"/>
    <w:rsid w:val="00516451"/>
    <w:rsid w:val="00523A6C"/>
    <w:rsid w:val="00525187"/>
    <w:rsid w:val="00526D5D"/>
    <w:rsid w:val="00527CB4"/>
    <w:rsid w:val="00530754"/>
    <w:rsid w:val="005366F0"/>
    <w:rsid w:val="005432D9"/>
    <w:rsid w:val="005603AE"/>
    <w:rsid w:val="00564C8C"/>
    <w:rsid w:val="00576B1F"/>
    <w:rsid w:val="005807AF"/>
    <w:rsid w:val="00586482"/>
    <w:rsid w:val="005948AB"/>
    <w:rsid w:val="005A6BD6"/>
    <w:rsid w:val="005B2BCB"/>
    <w:rsid w:val="005B5D72"/>
    <w:rsid w:val="005C03DC"/>
    <w:rsid w:val="005D3D4B"/>
    <w:rsid w:val="005D4B21"/>
    <w:rsid w:val="005D4FC4"/>
    <w:rsid w:val="005D6FE9"/>
    <w:rsid w:val="005E271A"/>
    <w:rsid w:val="005E31D4"/>
    <w:rsid w:val="005E384D"/>
    <w:rsid w:val="005E4800"/>
    <w:rsid w:val="00604923"/>
    <w:rsid w:val="006100EB"/>
    <w:rsid w:val="0061197D"/>
    <w:rsid w:val="0061222A"/>
    <w:rsid w:val="00612A77"/>
    <w:rsid w:val="00615750"/>
    <w:rsid w:val="00622AA0"/>
    <w:rsid w:val="00630FAC"/>
    <w:rsid w:val="00631544"/>
    <w:rsid w:val="0063221B"/>
    <w:rsid w:val="00633AC2"/>
    <w:rsid w:val="00636CC2"/>
    <w:rsid w:val="00647309"/>
    <w:rsid w:val="0065691B"/>
    <w:rsid w:val="006576BE"/>
    <w:rsid w:val="006639D4"/>
    <w:rsid w:val="00665CB8"/>
    <w:rsid w:val="006724A1"/>
    <w:rsid w:val="00674377"/>
    <w:rsid w:val="0067504B"/>
    <w:rsid w:val="00675665"/>
    <w:rsid w:val="006813BD"/>
    <w:rsid w:val="0068261E"/>
    <w:rsid w:val="00694663"/>
    <w:rsid w:val="00695773"/>
    <w:rsid w:val="006A177E"/>
    <w:rsid w:val="006A2084"/>
    <w:rsid w:val="006A5A77"/>
    <w:rsid w:val="006A5F79"/>
    <w:rsid w:val="006B0662"/>
    <w:rsid w:val="006B227D"/>
    <w:rsid w:val="006B4EC6"/>
    <w:rsid w:val="006B642B"/>
    <w:rsid w:val="006B6CAD"/>
    <w:rsid w:val="006D026E"/>
    <w:rsid w:val="006D7E87"/>
    <w:rsid w:val="006F7ED9"/>
    <w:rsid w:val="00713609"/>
    <w:rsid w:val="00721D83"/>
    <w:rsid w:val="00723923"/>
    <w:rsid w:val="007253C5"/>
    <w:rsid w:val="00725A7B"/>
    <w:rsid w:val="00731600"/>
    <w:rsid w:val="0073272D"/>
    <w:rsid w:val="0073310D"/>
    <w:rsid w:val="007349F9"/>
    <w:rsid w:val="007403A3"/>
    <w:rsid w:val="00742860"/>
    <w:rsid w:val="00777E0C"/>
    <w:rsid w:val="007B6FD9"/>
    <w:rsid w:val="007C45C9"/>
    <w:rsid w:val="007D059A"/>
    <w:rsid w:val="007D1653"/>
    <w:rsid w:val="007D1E60"/>
    <w:rsid w:val="007D3F01"/>
    <w:rsid w:val="007E1149"/>
    <w:rsid w:val="007E151A"/>
    <w:rsid w:val="00801DAF"/>
    <w:rsid w:val="008177D0"/>
    <w:rsid w:val="00824DDE"/>
    <w:rsid w:val="00826D8A"/>
    <w:rsid w:val="00847822"/>
    <w:rsid w:val="00853A3F"/>
    <w:rsid w:val="00854FE4"/>
    <w:rsid w:val="00860748"/>
    <w:rsid w:val="0088768C"/>
    <w:rsid w:val="008A1538"/>
    <w:rsid w:val="008B146A"/>
    <w:rsid w:val="008B6C96"/>
    <w:rsid w:val="008B7226"/>
    <w:rsid w:val="008C5EE8"/>
    <w:rsid w:val="008D477B"/>
    <w:rsid w:val="008F1B32"/>
    <w:rsid w:val="008F1FA8"/>
    <w:rsid w:val="008F44C2"/>
    <w:rsid w:val="009009C5"/>
    <w:rsid w:val="00902575"/>
    <w:rsid w:val="00905A94"/>
    <w:rsid w:val="0090779B"/>
    <w:rsid w:val="009120FC"/>
    <w:rsid w:val="009136B2"/>
    <w:rsid w:val="009136B4"/>
    <w:rsid w:val="0092266A"/>
    <w:rsid w:val="00926049"/>
    <w:rsid w:val="009264ED"/>
    <w:rsid w:val="009427FB"/>
    <w:rsid w:val="00950520"/>
    <w:rsid w:val="0095064A"/>
    <w:rsid w:val="00952E7B"/>
    <w:rsid w:val="00955540"/>
    <w:rsid w:val="009578FC"/>
    <w:rsid w:val="00960767"/>
    <w:rsid w:val="00973E86"/>
    <w:rsid w:val="00980B67"/>
    <w:rsid w:val="00993E2E"/>
    <w:rsid w:val="00994E5D"/>
    <w:rsid w:val="009A5563"/>
    <w:rsid w:val="009A5EC4"/>
    <w:rsid w:val="009C1C68"/>
    <w:rsid w:val="009E2164"/>
    <w:rsid w:val="009E3905"/>
    <w:rsid w:val="009F10CD"/>
    <w:rsid w:val="009F318D"/>
    <w:rsid w:val="009F39E1"/>
    <w:rsid w:val="009F4A57"/>
    <w:rsid w:val="00A02948"/>
    <w:rsid w:val="00A11603"/>
    <w:rsid w:val="00A12D54"/>
    <w:rsid w:val="00A136F5"/>
    <w:rsid w:val="00A17E3F"/>
    <w:rsid w:val="00A26CD6"/>
    <w:rsid w:val="00A36D34"/>
    <w:rsid w:val="00A37EDC"/>
    <w:rsid w:val="00A40643"/>
    <w:rsid w:val="00A413AA"/>
    <w:rsid w:val="00A51314"/>
    <w:rsid w:val="00A61584"/>
    <w:rsid w:val="00A70262"/>
    <w:rsid w:val="00A72A0C"/>
    <w:rsid w:val="00A832D1"/>
    <w:rsid w:val="00A83E2C"/>
    <w:rsid w:val="00A84B61"/>
    <w:rsid w:val="00A933A2"/>
    <w:rsid w:val="00A9710D"/>
    <w:rsid w:val="00AA0440"/>
    <w:rsid w:val="00AA0BC0"/>
    <w:rsid w:val="00AA7334"/>
    <w:rsid w:val="00AA79F5"/>
    <w:rsid w:val="00AB39F1"/>
    <w:rsid w:val="00AB4D30"/>
    <w:rsid w:val="00AC7B67"/>
    <w:rsid w:val="00AE1BF2"/>
    <w:rsid w:val="00AE1CCD"/>
    <w:rsid w:val="00B02BF4"/>
    <w:rsid w:val="00B03070"/>
    <w:rsid w:val="00B31113"/>
    <w:rsid w:val="00B33BB6"/>
    <w:rsid w:val="00B33CA5"/>
    <w:rsid w:val="00B3491B"/>
    <w:rsid w:val="00B46538"/>
    <w:rsid w:val="00B502E0"/>
    <w:rsid w:val="00B573B9"/>
    <w:rsid w:val="00B57A74"/>
    <w:rsid w:val="00B66AAD"/>
    <w:rsid w:val="00B66B3E"/>
    <w:rsid w:val="00B713BA"/>
    <w:rsid w:val="00B76AAA"/>
    <w:rsid w:val="00B77BBA"/>
    <w:rsid w:val="00B85574"/>
    <w:rsid w:val="00B9562D"/>
    <w:rsid w:val="00BA4E8D"/>
    <w:rsid w:val="00BA5BFB"/>
    <w:rsid w:val="00BA659E"/>
    <w:rsid w:val="00BB0637"/>
    <w:rsid w:val="00BB278A"/>
    <w:rsid w:val="00BB42D2"/>
    <w:rsid w:val="00BB7F13"/>
    <w:rsid w:val="00BC23B2"/>
    <w:rsid w:val="00BD6B35"/>
    <w:rsid w:val="00BD7F54"/>
    <w:rsid w:val="00C0479F"/>
    <w:rsid w:val="00C05161"/>
    <w:rsid w:val="00C11BFA"/>
    <w:rsid w:val="00C2026B"/>
    <w:rsid w:val="00C34736"/>
    <w:rsid w:val="00C4221B"/>
    <w:rsid w:val="00C4515B"/>
    <w:rsid w:val="00C50E50"/>
    <w:rsid w:val="00C53A83"/>
    <w:rsid w:val="00C53BF3"/>
    <w:rsid w:val="00C60036"/>
    <w:rsid w:val="00C62201"/>
    <w:rsid w:val="00C6324A"/>
    <w:rsid w:val="00C65634"/>
    <w:rsid w:val="00C7109F"/>
    <w:rsid w:val="00C827B2"/>
    <w:rsid w:val="00C84E65"/>
    <w:rsid w:val="00C92B00"/>
    <w:rsid w:val="00CA13E7"/>
    <w:rsid w:val="00CA1653"/>
    <w:rsid w:val="00CB4366"/>
    <w:rsid w:val="00CC0C01"/>
    <w:rsid w:val="00CD0E28"/>
    <w:rsid w:val="00CD2ABF"/>
    <w:rsid w:val="00CE43BD"/>
    <w:rsid w:val="00CE5A7E"/>
    <w:rsid w:val="00CF2391"/>
    <w:rsid w:val="00CF5F4B"/>
    <w:rsid w:val="00CF6402"/>
    <w:rsid w:val="00CF67B4"/>
    <w:rsid w:val="00D0583F"/>
    <w:rsid w:val="00D05FB2"/>
    <w:rsid w:val="00D077AB"/>
    <w:rsid w:val="00D1201D"/>
    <w:rsid w:val="00D17112"/>
    <w:rsid w:val="00D3186A"/>
    <w:rsid w:val="00D34E8A"/>
    <w:rsid w:val="00D45CC9"/>
    <w:rsid w:val="00D53EE7"/>
    <w:rsid w:val="00D663EA"/>
    <w:rsid w:val="00D71B0C"/>
    <w:rsid w:val="00D82A9E"/>
    <w:rsid w:val="00D86903"/>
    <w:rsid w:val="00D90C26"/>
    <w:rsid w:val="00D90F70"/>
    <w:rsid w:val="00D95C75"/>
    <w:rsid w:val="00D974A3"/>
    <w:rsid w:val="00DA0168"/>
    <w:rsid w:val="00DA22F2"/>
    <w:rsid w:val="00DA3BE1"/>
    <w:rsid w:val="00DA57DA"/>
    <w:rsid w:val="00DB3AF2"/>
    <w:rsid w:val="00DC2583"/>
    <w:rsid w:val="00DC74E4"/>
    <w:rsid w:val="00DD20CF"/>
    <w:rsid w:val="00DE3805"/>
    <w:rsid w:val="00DF066B"/>
    <w:rsid w:val="00DF1208"/>
    <w:rsid w:val="00DF7ACF"/>
    <w:rsid w:val="00DF7AF1"/>
    <w:rsid w:val="00E11B9D"/>
    <w:rsid w:val="00E2342C"/>
    <w:rsid w:val="00E3681A"/>
    <w:rsid w:val="00E6596D"/>
    <w:rsid w:val="00E779EA"/>
    <w:rsid w:val="00E86CC0"/>
    <w:rsid w:val="00E93222"/>
    <w:rsid w:val="00E96CCE"/>
    <w:rsid w:val="00EA74B5"/>
    <w:rsid w:val="00EB0187"/>
    <w:rsid w:val="00EB0CEF"/>
    <w:rsid w:val="00EB1278"/>
    <w:rsid w:val="00EB33D5"/>
    <w:rsid w:val="00EC004F"/>
    <w:rsid w:val="00EC6E27"/>
    <w:rsid w:val="00ED65DA"/>
    <w:rsid w:val="00EF3F63"/>
    <w:rsid w:val="00EF6229"/>
    <w:rsid w:val="00EF693D"/>
    <w:rsid w:val="00F35368"/>
    <w:rsid w:val="00F369D6"/>
    <w:rsid w:val="00F52526"/>
    <w:rsid w:val="00F631A5"/>
    <w:rsid w:val="00F64504"/>
    <w:rsid w:val="00F658FC"/>
    <w:rsid w:val="00F72CA7"/>
    <w:rsid w:val="00F95ECB"/>
    <w:rsid w:val="00FB3CF4"/>
    <w:rsid w:val="00FC38DF"/>
    <w:rsid w:val="00FC67D8"/>
    <w:rsid w:val="00FD0594"/>
    <w:rsid w:val="00FD4B7B"/>
    <w:rsid w:val="00FD57C6"/>
    <w:rsid w:val="00FE0C76"/>
    <w:rsid w:val="00FE3027"/>
    <w:rsid w:val="00FE601E"/>
    <w:rsid w:val="00FF6836"/>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95064A"/>
    <w:pPr>
      <w:spacing w:after="0" w:line="240" w:lineRule="auto"/>
    </w:pPr>
    <w:rPr>
      <w:rFonts w:ascii="Courier" w:eastAsia="Times New Roman" w:hAnsi="Courier" w:cs="Times New Roman"/>
      <w:sz w:val="24"/>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5064A"/>
    <w:rPr>
      <w:rFonts w:ascii="Courier" w:eastAsia="Times New Roman" w:hAnsi="Courier" w:cs="Times New Roman"/>
      <w:sz w:val="24"/>
      <w:szCs w:val="20"/>
    </w:rPr>
  </w:style>
  <w:style w:type="character" w:styleId="FootnoteReference">
    <w:name w:val="footnote reference"/>
    <w:aliases w:val="fr,Style 35,Style 19,Style 16"/>
    <w:rsid w:val="0095064A"/>
    <w:rPr>
      <w:vertAlign w:val="superscript"/>
    </w:rPr>
  </w:style>
  <w:style w:type="character" w:styleId="CommentReference">
    <w:name w:val="annotation reference"/>
    <w:uiPriority w:val="99"/>
    <w:semiHidden/>
    <w:unhideWhenUsed/>
    <w:rsid w:val="0095064A"/>
    <w:rPr>
      <w:sz w:val="16"/>
      <w:szCs w:val="16"/>
    </w:rPr>
  </w:style>
  <w:style w:type="paragraph" w:styleId="CommentText">
    <w:name w:val="annotation text"/>
    <w:basedOn w:val="Normal"/>
    <w:link w:val="CommentTextChar"/>
    <w:uiPriority w:val="99"/>
    <w:unhideWhenUsed/>
    <w:rsid w:val="0095064A"/>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95064A"/>
    <w:rPr>
      <w:rFonts w:ascii="Courier" w:eastAsia="Times New Roman" w:hAnsi="Courier" w:cs="Times New Roman"/>
      <w:sz w:val="20"/>
      <w:szCs w:val="20"/>
    </w:rPr>
  </w:style>
  <w:style w:type="paragraph" w:styleId="Footer">
    <w:name w:val="footer"/>
    <w:basedOn w:val="Normal"/>
    <w:link w:val="FooterChar"/>
    <w:uiPriority w:val="99"/>
    <w:unhideWhenUsed/>
    <w:rsid w:val="0095064A"/>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95064A"/>
    <w:rPr>
      <w:rFonts w:ascii="Courier" w:eastAsia="Times New Roman" w:hAnsi="Courier" w:cs="Times New Roman"/>
      <w:sz w:val="24"/>
      <w:szCs w:val="20"/>
    </w:rPr>
  </w:style>
  <w:style w:type="character" w:styleId="Hyperlink">
    <w:name w:val="Hyperlink"/>
    <w:uiPriority w:val="99"/>
    <w:unhideWhenUsed/>
    <w:rsid w:val="0095064A"/>
    <w:rPr>
      <w:color w:val="0000FF"/>
      <w:u w:val="single"/>
    </w:rPr>
  </w:style>
  <w:style w:type="paragraph" w:styleId="BalloonText">
    <w:name w:val="Balloon Text"/>
    <w:basedOn w:val="Normal"/>
    <w:link w:val="BalloonTextChar"/>
    <w:uiPriority w:val="99"/>
    <w:semiHidden/>
    <w:unhideWhenUsed/>
    <w:rsid w:val="0095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4A"/>
    <w:rPr>
      <w:rFonts w:ascii="Tahoma" w:hAnsi="Tahoma" w:cs="Tahoma"/>
      <w:sz w:val="16"/>
      <w:szCs w:val="16"/>
    </w:rPr>
  </w:style>
  <w:style w:type="paragraph" w:styleId="ListParagraph">
    <w:name w:val="List Paragraph"/>
    <w:basedOn w:val="Normal"/>
    <w:uiPriority w:val="34"/>
    <w:qFormat/>
    <w:rsid w:val="004D3C21"/>
    <w:pPr>
      <w:ind w:left="720"/>
      <w:contextualSpacing/>
    </w:pPr>
  </w:style>
  <w:style w:type="paragraph" w:styleId="CommentSubject">
    <w:name w:val="annotation subject"/>
    <w:basedOn w:val="CommentText"/>
    <w:next w:val="CommentText"/>
    <w:link w:val="CommentSubjectChar"/>
    <w:uiPriority w:val="99"/>
    <w:semiHidden/>
    <w:unhideWhenUsed/>
    <w:rsid w:val="002A72F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72F7"/>
    <w:rPr>
      <w:rFonts w:ascii="Courier" w:eastAsia="Times New Roman" w:hAnsi="Courier" w:cs="Times New Roman"/>
      <w:b/>
      <w:bCs/>
      <w:sz w:val="20"/>
      <w:szCs w:val="20"/>
    </w:rPr>
  </w:style>
  <w:style w:type="paragraph" w:styleId="Header">
    <w:name w:val="header"/>
    <w:basedOn w:val="Normal"/>
    <w:link w:val="HeaderChar"/>
    <w:uiPriority w:val="99"/>
    <w:unhideWhenUsed/>
    <w:rsid w:val="002B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29"/>
  </w:style>
  <w:style w:type="paragraph" w:styleId="NoSpacing">
    <w:name w:val="No Spacing"/>
    <w:uiPriority w:val="1"/>
    <w:qFormat/>
    <w:rsid w:val="00564C8C"/>
    <w:pPr>
      <w:spacing w:after="0" w:line="240" w:lineRule="auto"/>
    </w:pPr>
  </w:style>
  <w:style w:type="paragraph" w:styleId="Revision">
    <w:name w:val="Revision"/>
    <w:hidden/>
    <w:uiPriority w:val="99"/>
    <w:semiHidden/>
    <w:rsid w:val="004565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95064A"/>
    <w:pPr>
      <w:spacing w:after="0" w:line="240" w:lineRule="auto"/>
    </w:pPr>
    <w:rPr>
      <w:rFonts w:ascii="Courier" w:eastAsia="Times New Roman" w:hAnsi="Courier" w:cs="Times New Roman"/>
      <w:sz w:val="24"/>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5064A"/>
    <w:rPr>
      <w:rFonts w:ascii="Courier" w:eastAsia="Times New Roman" w:hAnsi="Courier" w:cs="Times New Roman"/>
      <w:sz w:val="24"/>
      <w:szCs w:val="20"/>
    </w:rPr>
  </w:style>
  <w:style w:type="character" w:styleId="FootnoteReference">
    <w:name w:val="footnote reference"/>
    <w:aliases w:val="fr,Style 35,Style 19,Style 16"/>
    <w:rsid w:val="0095064A"/>
    <w:rPr>
      <w:vertAlign w:val="superscript"/>
    </w:rPr>
  </w:style>
  <w:style w:type="character" w:styleId="CommentReference">
    <w:name w:val="annotation reference"/>
    <w:uiPriority w:val="99"/>
    <w:semiHidden/>
    <w:unhideWhenUsed/>
    <w:rsid w:val="0095064A"/>
    <w:rPr>
      <w:sz w:val="16"/>
      <w:szCs w:val="16"/>
    </w:rPr>
  </w:style>
  <w:style w:type="paragraph" w:styleId="CommentText">
    <w:name w:val="annotation text"/>
    <w:basedOn w:val="Normal"/>
    <w:link w:val="CommentTextChar"/>
    <w:uiPriority w:val="99"/>
    <w:unhideWhenUsed/>
    <w:rsid w:val="0095064A"/>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95064A"/>
    <w:rPr>
      <w:rFonts w:ascii="Courier" w:eastAsia="Times New Roman" w:hAnsi="Courier" w:cs="Times New Roman"/>
      <w:sz w:val="20"/>
      <w:szCs w:val="20"/>
    </w:rPr>
  </w:style>
  <w:style w:type="paragraph" w:styleId="Footer">
    <w:name w:val="footer"/>
    <w:basedOn w:val="Normal"/>
    <w:link w:val="FooterChar"/>
    <w:uiPriority w:val="99"/>
    <w:unhideWhenUsed/>
    <w:rsid w:val="0095064A"/>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95064A"/>
    <w:rPr>
      <w:rFonts w:ascii="Courier" w:eastAsia="Times New Roman" w:hAnsi="Courier" w:cs="Times New Roman"/>
      <w:sz w:val="24"/>
      <w:szCs w:val="20"/>
    </w:rPr>
  </w:style>
  <w:style w:type="character" w:styleId="Hyperlink">
    <w:name w:val="Hyperlink"/>
    <w:uiPriority w:val="99"/>
    <w:unhideWhenUsed/>
    <w:rsid w:val="0095064A"/>
    <w:rPr>
      <w:color w:val="0000FF"/>
      <w:u w:val="single"/>
    </w:rPr>
  </w:style>
  <w:style w:type="paragraph" w:styleId="BalloonText">
    <w:name w:val="Balloon Text"/>
    <w:basedOn w:val="Normal"/>
    <w:link w:val="BalloonTextChar"/>
    <w:uiPriority w:val="99"/>
    <w:semiHidden/>
    <w:unhideWhenUsed/>
    <w:rsid w:val="0095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4A"/>
    <w:rPr>
      <w:rFonts w:ascii="Tahoma" w:hAnsi="Tahoma" w:cs="Tahoma"/>
      <w:sz w:val="16"/>
      <w:szCs w:val="16"/>
    </w:rPr>
  </w:style>
  <w:style w:type="paragraph" w:styleId="ListParagraph">
    <w:name w:val="List Paragraph"/>
    <w:basedOn w:val="Normal"/>
    <w:uiPriority w:val="34"/>
    <w:qFormat/>
    <w:rsid w:val="004D3C21"/>
    <w:pPr>
      <w:ind w:left="720"/>
      <w:contextualSpacing/>
    </w:pPr>
  </w:style>
  <w:style w:type="paragraph" w:styleId="CommentSubject">
    <w:name w:val="annotation subject"/>
    <w:basedOn w:val="CommentText"/>
    <w:next w:val="CommentText"/>
    <w:link w:val="CommentSubjectChar"/>
    <w:uiPriority w:val="99"/>
    <w:semiHidden/>
    <w:unhideWhenUsed/>
    <w:rsid w:val="002A72F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72F7"/>
    <w:rPr>
      <w:rFonts w:ascii="Courier" w:eastAsia="Times New Roman" w:hAnsi="Courier" w:cs="Times New Roman"/>
      <w:b/>
      <w:bCs/>
      <w:sz w:val="20"/>
      <w:szCs w:val="20"/>
    </w:rPr>
  </w:style>
  <w:style w:type="paragraph" w:styleId="Header">
    <w:name w:val="header"/>
    <w:basedOn w:val="Normal"/>
    <w:link w:val="HeaderChar"/>
    <w:uiPriority w:val="99"/>
    <w:unhideWhenUsed/>
    <w:rsid w:val="002B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29"/>
  </w:style>
  <w:style w:type="paragraph" w:styleId="NoSpacing">
    <w:name w:val="No Spacing"/>
    <w:uiPriority w:val="1"/>
    <w:qFormat/>
    <w:rsid w:val="00564C8C"/>
    <w:pPr>
      <w:spacing w:after="0" w:line="240" w:lineRule="auto"/>
    </w:pPr>
  </w:style>
  <w:style w:type="paragraph" w:styleId="Revision">
    <w:name w:val="Revision"/>
    <w:hidden/>
    <w:uiPriority w:val="99"/>
    <w:semiHidden/>
    <w:rsid w:val="00456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ftc.gov/sites/default/files/2018-11/federalregister110518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s.gov/oes/current/naics4_523000.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ftc.gov/sites/default/files/filings/ptc/1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4B030B4F61904CA190E5A8FEF038DA" ma:contentTypeVersion="" ma:contentTypeDescription="Create a new document." ma:contentTypeScope="" ma:versionID="dd04c81211391ba05fda2323b6c561e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68C5-5930-4CF9-B2A2-7452AF3B35DC}">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028D52E-AD99-4408-B31B-B2551848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4A2408-D5EC-45BB-B53D-F0C43B869CD0}">
  <ds:schemaRefs>
    <ds:schemaRef ds:uri="http://schemas.microsoft.com/sharepoint/v3/contenttype/forms"/>
  </ds:schemaRefs>
</ds:datastoreItem>
</file>

<file path=customXml/itemProps4.xml><?xml version="1.0" encoding="utf-8"?>
<ds:datastoreItem xmlns:ds="http://schemas.openxmlformats.org/officeDocument/2006/customXml" ds:itemID="{79DBBB76-EEEB-44E2-99F2-A6F53D6B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 Steven</dc:creator>
  <cp:lastModifiedBy>SYSTEM</cp:lastModifiedBy>
  <cp:revision>2</cp:revision>
  <cp:lastPrinted>2018-11-27T22:08:00Z</cp:lastPrinted>
  <dcterms:created xsi:type="dcterms:W3CDTF">2018-11-29T18:05:00Z</dcterms:created>
  <dcterms:modified xsi:type="dcterms:W3CDTF">2018-11-29T18:05:00Z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0x010100254B030B4F61904CA190E5A8FEF038DA</vt:lpwstr>
  </property>
</Properties>
</file>