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90" w:rsidRDefault="00731A90">
      <w:pPr>
        <w:pStyle w:val="Footer"/>
        <w:tabs>
          <w:tab w:val="clear" w:pos="4320"/>
          <w:tab w:val="clear" w:pos="8640"/>
          <w:tab w:val="center" w:pos="4680"/>
        </w:tabs>
        <w:jc w:val="center"/>
        <w:rPr>
          <w:rFonts w:ascii="Times New Roman" w:hAnsi="Times New Roman"/>
        </w:rPr>
      </w:pPr>
      <w:bookmarkStart w:id="0" w:name="_GoBack"/>
      <w:bookmarkEnd w:id="0"/>
      <w:r>
        <w:rPr>
          <w:rFonts w:ascii="Times New Roman" w:hAnsi="Times New Roman"/>
        </w:rPr>
        <w:t>SUPPORTING STATEMENT</w:t>
      </w:r>
    </w:p>
    <w:p w:rsidR="00731A90" w:rsidRDefault="00516674">
      <w:pPr>
        <w:tabs>
          <w:tab w:val="center" w:pos="4680"/>
        </w:tabs>
        <w:jc w:val="center"/>
        <w:rPr>
          <w:rFonts w:ascii="Times New Roman" w:hAnsi="Times New Roman"/>
        </w:rPr>
      </w:pPr>
      <w:r>
        <w:rPr>
          <w:rFonts w:ascii="Times New Roman" w:hAnsi="Times New Roman"/>
        </w:rPr>
        <w:t>PROCEDURES FOR MONITORING BANK PROTECTION ACT COMPLIANCE</w:t>
      </w:r>
    </w:p>
    <w:p w:rsidR="00731A90" w:rsidRDefault="00731A90">
      <w:pPr>
        <w:tabs>
          <w:tab w:val="center" w:pos="4680"/>
        </w:tabs>
        <w:jc w:val="center"/>
        <w:rPr>
          <w:rFonts w:ascii="Times New Roman" w:hAnsi="Times New Roman"/>
        </w:rPr>
      </w:pPr>
      <w:r>
        <w:rPr>
          <w:rFonts w:ascii="Times New Roman" w:hAnsi="Times New Roman"/>
        </w:rPr>
        <w:t>(3064-0</w:t>
      </w:r>
      <w:r w:rsidR="00516674">
        <w:rPr>
          <w:rFonts w:ascii="Times New Roman" w:hAnsi="Times New Roman"/>
        </w:rPr>
        <w:t>095</w:t>
      </w:r>
      <w:r>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1B4291" w:rsidRDefault="001B4291">
      <w:pPr>
        <w:rPr>
          <w:rFonts w:ascii="Times New Roman" w:hAnsi="Times New Roman"/>
        </w:rPr>
      </w:pPr>
      <w:r w:rsidRPr="001B4291">
        <w:rPr>
          <w:rFonts w:ascii="Times New Roman" w:hAnsi="Times New Roman"/>
          <w:bCs/>
        </w:rPr>
        <w:t xml:space="preserve">The FDIC is requesting </w:t>
      </w:r>
      <w:r>
        <w:rPr>
          <w:rFonts w:ascii="Times New Roman" w:hAnsi="Times New Roman"/>
          <w:bCs/>
        </w:rPr>
        <w:t xml:space="preserve">OMB </w:t>
      </w:r>
      <w:r w:rsidRPr="001B4291">
        <w:rPr>
          <w:rFonts w:ascii="Times New Roman" w:hAnsi="Times New Roman"/>
          <w:bCs/>
        </w:rPr>
        <w:t>approval to extend, without change, a currently approved information collection (OMB Control No. 3064-</w:t>
      </w:r>
      <w:r w:rsidR="00516674">
        <w:rPr>
          <w:rFonts w:ascii="Times New Roman" w:hAnsi="Times New Roman"/>
          <w:bCs/>
        </w:rPr>
        <w:t>0095</w:t>
      </w:r>
      <w:r w:rsidRPr="001B4291">
        <w:rPr>
          <w:rFonts w:ascii="Times New Roman" w:hAnsi="Times New Roman"/>
          <w:bCs/>
        </w:rPr>
        <w:t>)</w:t>
      </w:r>
      <w:r w:rsidRPr="001B4291">
        <w:rPr>
          <w:rFonts w:ascii="Times New Roman" w:hAnsi="Times New Roman"/>
        </w:rPr>
        <w:t xml:space="preserve">.  </w:t>
      </w:r>
      <w:r w:rsidR="00516674">
        <w:rPr>
          <w:rFonts w:ascii="Times New Roman" w:hAnsi="Times New Roman"/>
        </w:rPr>
        <w:t>The Bank Protection Act of 1968 (12 USC 1881</w:t>
      </w:r>
      <w:r w:rsidR="00516674">
        <w:rPr>
          <w:rFonts w:ascii="Times New Roman" w:hAnsi="Times New Roman"/>
        </w:rPr>
        <w:noBreakHyphen/>
        <w:t>1884) requires each Federal supervisory agency to promulgate rules establishing minimum standards for security devices and procedures to discourage financial crime and to assist in the identification of persons who commit such crimes.</w:t>
      </w:r>
      <w:r w:rsidR="007C1599">
        <w:rPr>
          <w:rFonts w:ascii="Times New Roman" w:hAnsi="Times New Roman"/>
        </w:rPr>
        <w:t xml:space="preserve">  </w:t>
      </w:r>
      <w:r w:rsidRPr="001B4291">
        <w:rPr>
          <w:rFonts w:ascii="Times New Roman" w:hAnsi="Times New Roman"/>
        </w:rPr>
        <w:t xml:space="preserve">The information collection expires on </w:t>
      </w:r>
      <w:r w:rsidR="00516674">
        <w:rPr>
          <w:rFonts w:ascii="Times New Roman" w:hAnsi="Times New Roman"/>
        </w:rPr>
        <w:t>February 28</w:t>
      </w:r>
      <w:r w:rsidRPr="001B4291">
        <w:rPr>
          <w:rFonts w:ascii="Times New Roman" w:hAnsi="Times New Roman"/>
        </w:rPr>
        <w:t>, 201</w:t>
      </w:r>
      <w:r w:rsidR="007C1599">
        <w:rPr>
          <w:rFonts w:ascii="Times New Roman" w:hAnsi="Times New Roman"/>
        </w:rPr>
        <w:t>9</w:t>
      </w:r>
      <w:r w:rsidRPr="001B4291">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RDefault="00731A90">
      <w:pPr>
        <w:ind w:left="720"/>
        <w:rPr>
          <w:rFonts w:ascii="Times New Roman" w:hAnsi="Times New Roman"/>
        </w:rPr>
      </w:pPr>
      <w:r>
        <w:rPr>
          <w:rFonts w:ascii="Times New Roman" w:hAnsi="Times New Roman"/>
        </w:rPr>
        <w:t>1.</w:t>
      </w:r>
      <w:r>
        <w:rPr>
          <w:rFonts w:ascii="Times New Roman" w:hAnsi="Times New Roman"/>
        </w:rPr>
        <w:tab/>
      </w:r>
      <w:r w:rsidR="00573771" w:rsidRPr="00647F97">
        <w:rPr>
          <w:rFonts w:ascii="Times New Roman TUR" w:hAnsi="Times New Roman TUR" w:cs="Times New Roman TUR"/>
          <w:bCs/>
          <w:u w:val="single"/>
        </w:rPr>
        <w:t>Circumstances that make the collection necessary:</w:t>
      </w:r>
    </w:p>
    <w:p w:rsidR="00731A90" w:rsidRDefault="00731A90">
      <w:pPr>
        <w:ind w:firstLine="1440"/>
        <w:rPr>
          <w:rFonts w:ascii="Times New Roman" w:hAnsi="Times New Roman"/>
        </w:rPr>
      </w:pPr>
    </w:p>
    <w:p w:rsidR="00516674" w:rsidRDefault="00516674">
      <w:pPr>
        <w:ind w:left="1440"/>
        <w:rPr>
          <w:rFonts w:ascii="Times New Roman" w:hAnsi="Times New Roman"/>
        </w:rPr>
      </w:pPr>
      <w:r w:rsidRPr="00516674">
        <w:rPr>
          <w:rFonts w:ascii="Times New Roman" w:hAnsi="Times New Roman"/>
        </w:rPr>
        <w:t>The Bank Protection Act of 1968 (12 USC 1881</w:t>
      </w:r>
      <w:r w:rsidRPr="00516674">
        <w:rPr>
          <w:rFonts w:ascii="Times New Roman" w:hAnsi="Times New Roman"/>
        </w:rPr>
        <w:noBreakHyphen/>
        <w:t>1884) requires each Federal supervisory agency to promulgate rules establishing minimum standards for security devices and procedures to discourage financial crime and to assist in the identification of persons who commit such crimes.</w:t>
      </w:r>
      <w:r>
        <w:rPr>
          <w:rFonts w:ascii="Times New Roman" w:hAnsi="Times New Roman"/>
        </w:rPr>
        <w:t xml:space="preserve">  Pursuant to this mandate, the FDIC has issued a rule found at </w:t>
      </w:r>
      <w:r w:rsidRPr="00516674">
        <w:rPr>
          <w:rFonts w:ascii="Times New Roman" w:hAnsi="Times New Roman"/>
        </w:rPr>
        <w:t xml:space="preserve">12 CFR Part 326, subpart A </w:t>
      </w:r>
      <w:r>
        <w:rPr>
          <w:rFonts w:ascii="Times New Roman" w:hAnsi="Times New Roman"/>
        </w:rPr>
        <w:t>–</w:t>
      </w:r>
      <w:r w:rsidRPr="00516674">
        <w:rPr>
          <w:rFonts w:ascii="Times New Roman" w:hAnsi="Times New Roman"/>
        </w:rPr>
        <w:t xml:space="preserve"> </w:t>
      </w:r>
      <w:r>
        <w:rPr>
          <w:rFonts w:ascii="Times New Roman" w:hAnsi="Times New Roman"/>
        </w:rPr>
        <w:t>Minimum Security Devices and Procedures for State Nonmember Banks.</w:t>
      </w:r>
    </w:p>
    <w:p w:rsidR="00516674" w:rsidRDefault="00516674">
      <w:pPr>
        <w:ind w:left="1440"/>
        <w:rPr>
          <w:rFonts w:ascii="Times New Roman" w:hAnsi="Times New Roman"/>
        </w:rPr>
      </w:pPr>
    </w:p>
    <w:p w:rsidR="00731A90" w:rsidRDefault="00516674">
      <w:pPr>
        <w:ind w:left="1440"/>
        <w:rPr>
          <w:rFonts w:ascii="Times New Roman" w:hAnsi="Times New Roman"/>
        </w:rPr>
      </w:pPr>
      <w:r>
        <w:rPr>
          <w:rFonts w:ascii="Times New Roman" w:hAnsi="Times New Roman"/>
        </w:rPr>
        <w:t>To avoid the necessity of constantly updating a technology</w:t>
      </w:r>
      <w:r>
        <w:rPr>
          <w:rFonts w:ascii="Times New Roman" w:hAnsi="Times New Roman"/>
        </w:rPr>
        <w:noBreakHyphen/>
        <w:t>based regulation, the FDIC’s rule takes a flexible approach to implementing the statute.  It requires each insured nonmember bank to designate a security officer who will administer a written security program.  The security program must: (1) establish procedures for opening and closing for business and for safekeeping valuables; (2) establish procedures that will assist in identifying persons committing crimes against the bank; (3) provide for initial and periodic training of employees in their responsibilities under the security program; and (4) provide for selecting, testing, operating and maintaining security devices as prescribed in the regulation.  In addition, the FDIC requires the security officer to report at least annually to the bank's board of directors on the effectiveness of the security program.</w:t>
      </w:r>
      <w:r w:rsidR="00731A90">
        <w:rPr>
          <w:rFonts w:ascii="Times New Roman" w:hAnsi="Times New Roman"/>
        </w:rPr>
        <w:t xml:space="preserve"> </w:t>
      </w:r>
    </w:p>
    <w:p w:rsidR="00731A90" w:rsidRDefault="00731A90">
      <w:pPr>
        <w:ind w:firstLine="1440"/>
        <w:rPr>
          <w:rFonts w:ascii="Times New Roman" w:hAnsi="Times New Roman"/>
          <w:u w:val="single"/>
        </w:rPr>
      </w:pPr>
    </w:p>
    <w:p w:rsidR="00731A90" w:rsidRDefault="00731A90">
      <w:pPr>
        <w:ind w:firstLine="720"/>
        <w:rPr>
          <w:rFonts w:ascii="Times New Roman" w:hAnsi="Times New Roman"/>
        </w:rPr>
      </w:pPr>
      <w:r>
        <w:rPr>
          <w:rFonts w:ascii="Times New Roman" w:hAnsi="Times New Roman"/>
        </w:rPr>
        <w:t>2.</w:t>
      </w:r>
      <w:r>
        <w:rPr>
          <w:rFonts w:ascii="Times New Roman" w:hAnsi="Times New Roman"/>
        </w:rPr>
        <w:tab/>
      </w:r>
      <w:r w:rsidR="00573771" w:rsidRPr="00647F97">
        <w:rPr>
          <w:rFonts w:ascii="Times New Roman TUR" w:hAnsi="Times New Roman TUR" w:cs="Times New Roman TUR"/>
          <w:bCs/>
          <w:u w:val="single"/>
        </w:rPr>
        <w:t>Use of the information:</w:t>
      </w:r>
    </w:p>
    <w:p w:rsidR="00731A90" w:rsidRDefault="00731A90">
      <w:pPr>
        <w:rPr>
          <w:rFonts w:ascii="Times New Roman" w:hAnsi="Times New Roman"/>
        </w:rPr>
      </w:pPr>
    </w:p>
    <w:p w:rsidR="00731A90" w:rsidRDefault="00516674">
      <w:pPr>
        <w:ind w:left="1440"/>
        <w:rPr>
          <w:rFonts w:ascii="Times New Roman" w:hAnsi="Times New Roman"/>
        </w:rPr>
      </w:pPr>
      <w:r>
        <w:rPr>
          <w:rFonts w:ascii="Times New Roman" w:hAnsi="Times New Roman"/>
        </w:rPr>
        <w:t>The information is used by FDIC bank examiners to confirm that insured nonmember banks comply with 12 CFR 326, which implements the Bank Protection Act of 1968, and to review bank security programs.</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3.</w:t>
      </w:r>
      <w:r>
        <w:rPr>
          <w:rFonts w:ascii="Times New Roman" w:hAnsi="Times New Roman"/>
        </w:rPr>
        <w:tab/>
      </w:r>
      <w:r w:rsidR="00573771" w:rsidRPr="00647F97">
        <w:rPr>
          <w:rFonts w:ascii="Times New Roman TUR" w:hAnsi="Times New Roman TUR" w:cs="Times New Roman TUR"/>
          <w:bCs/>
          <w:u w:val="single"/>
        </w:rPr>
        <w:t>Consideration of the use of improved information technology:</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Institutions are free to use whatever methods are the least burdensome to them for </w:t>
      </w:r>
      <w:r w:rsidR="00516674">
        <w:rPr>
          <w:rFonts w:ascii="Times New Roman" w:hAnsi="Times New Roman"/>
        </w:rPr>
        <w:t xml:space="preserve">complying with the requirements of the Bank Protection Act and the FDIC’s </w:t>
      </w:r>
      <w:r w:rsidR="00516674">
        <w:rPr>
          <w:rFonts w:ascii="Times New Roman" w:hAnsi="Times New Roman"/>
        </w:rPr>
        <w:lastRenderedPageBreak/>
        <w:t>regulation.</w:t>
      </w:r>
      <w:r>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rsidRDefault="00731A90">
      <w:pPr>
        <w:rPr>
          <w:rFonts w:ascii="Times New Roman" w:hAnsi="Times New Roman"/>
        </w:rPr>
      </w:pPr>
    </w:p>
    <w:p w:rsidR="00731A90" w:rsidRDefault="00897E7D">
      <w:pPr>
        <w:ind w:left="1440"/>
        <w:rPr>
          <w:rFonts w:ascii="Times New Roman" w:hAnsi="Times New Roman"/>
        </w:rPr>
      </w:pPr>
      <w:r>
        <w:rPr>
          <w:rFonts w:ascii="Times New Roman" w:hAnsi="Times New Roman"/>
        </w:rPr>
        <w:t>There is no duplication.  This information collection imposes recordkeeping requirements that are unique to each institution.</w:t>
      </w:r>
    </w:p>
    <w:p w:rsidR="00731A90" w:rsidRDefault="00731A90">
      <w:pPr>
        <w:ind w:left="720"/>
        <w:rPr>
          <w:rFonts w:ascii="Times New Roman" w:hAnsi="Times New Roman"/>
        </w:rPr>
      </w:pPr>
    </w:p>
    <w:p w:rsidR="00731A90" w:rsidRDefault="00731A90" w:rsidP="00573771">
      <w:pPr>
        <w:ind w:left="1440" w:hanging="720"/>
        <w:rPr>
          <w:rFonts w:ascii="Times New Roman" w:hAnsi="Times New Roman"/>
          <w:u w:val="single"/>
        </w:rPr>
      </w:pPr>
      <w:r>
        <w:rPr>
          <w:rFonts w:ascii="Times New Roman" w:hAnsi="Times New Roman"/>
        </w:rPr>
        <w:t>5.</w:t>
      </w:r>
      <w:r>
        <w:rPr>
          <w:rFonts w:ascii="Times New Roman" w:hAnsi="Times New Roman"/>
        </w:rPr>
        <w:tab/>
      </w:r>
      <w:r w:rsidR="00573771" w:rsidRPr="00647F97">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00573771" w:rsidRPr="00647F97">
        <w:rPr>
          <w:rFonts w:ascii="Times New Roman TUR" w:hAnsi="Times New Roman TUR" w:cs="Times New Roman TUR"/>
          <w:bCs/>
          <w:u w:val="single"/>
        </w:rPr>
        <w:t>substantial number of small entities:</w:t>
      </w:r>
    </w:p>
    <w:p w:rsidR="00731A90" w:rsidRDefault="00731A90">
      <w:pPr>
        <w:ind w:left="1440"/>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The information required is the minimum necessary for the FDIC to determine whether </w:t>
      </w:r>
      <w:r w:rsidR="00897E7D">
        <w:rPr>
          <w:rFonts w:ascii="Times New Roman" w:hAnsi="Times New Roman"/>
        </w:rPr>
        <w:t>a financial institution is in comp0liance with the Bank Protection Act</w:t>
      </w:r>
      <w:r>
        <w:rPr>
          <w:rFonts w:ascii="Times New Roman" w:hAnsi="Times New Roman"/>
        </w:rPr>
        <w:t xml:space="preserve">. </w:t>
      </w:r>
    </w:p>
    <w:p w:rsidR="00731A90" w:rsidRDefault="00731A90">
      <w:pPr>
        <w:rPr>
          <w:rFonts w:ascii="Times New Roman" w:hAnsi="Times New Roman"/>
        </w:rPr>
      </w:pPr>
    </w:p>
    <w:p w:rsidR="00731A90" w:rsidRDefault="00731A90" w:rsidP="005E1C4C">
      <w:pPr>
        <w:ind w:left="1440" w:hanging="720"/>
        <w:rPr>
          <w:rFonts w:ascii="Times New Roman" w:hAnsi="Times New Roman"/>
        </w:rPr>
      </w:pPr>
      <w:r>
        <w:rPr>
          <w:rFonts w:ascii="Times New Roman" w:hAnsi="Times New Roman"/>
        </w:rPr>
        <w:t>6.</w:t>
      </w:r>
      <w:r>
        <w:rPr>
          <w:rFonts w:ascii="Times New Roman" w:hAnsi="Times New Roman"/>
        </w:rPr>
        <w:tab/>
      </w:r>
      <w:r w:rsidR="005E1C4C" w:rsidRPr="00647F97">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rsidRDefault="00731A90">
      <w:pPr>
        <w:rPr>
          <w:rFonts w:ascii="Times New Roman" w:hAnsi="Times New Roman"/>
        </w:rPr>
      </w:pPr>
    </w:p>
    <w:p w:rsidR="00731A90" w:rsidRDefault="00897E7D">
      <w:pPr>
        <w:ind w:left="1440"/>
        <w:rPr>
          <w:rFonts w:ascii="Times New Roman" w:hAnsi="Times New Roman"/>
        </w:rPr>
      </w:pPr>
      <w:r>
        <w:rPr>
          <w:rFonts w:ascii="Times New Roman" w:hAnsi="Times New Roman"/>
        </w:rPr>
        <w:t>The only periodic recordkeeping requirement is the security officer's annual report to the board of directors, the completion of which is in most cases a small burden.  Less frequent reporting would create a risk of inadequate security systems in insured nonmember banks.</w:t>
      </w:r>
    </w:p>
    <w:p w:rsidR="00731A90" w:rsidRDefault="00731A90">
      <w:pPr>
        <w:rPr>
          <w:rFonts w:ascii="Times New Roman" w:hAnsi="Times New Roman"/>
        </w:rPr>
      </w:pPr>
    </w:p>
    <w:p w:rsidR="00731A90" w:rsidRDefault="00731A90" w:rsidP="005E1C4C">
      <w:pPr>
        <w:ind w:left="1440" w:hanging="720"/>
        <w:rPr>
          <w:rFonts w:ascii="Times New Roman" w:hAnsi="Times New Roman"/>
        </w:rPr>
      </w:pPr>
      <w:r>
        <w:rPr>
          <w:rFonts w:ascii="Times New Roman" w:hAnsi="Times New Roman"/>
        </w:rPr>
        <w:t>7.</w:t>
      </w:r>
      <w:r>
        <w:rPr>
          <w:rFonts w:ascii="Times New Roman" w:hAnsi="Times New Roman"/>
        </w:rPr>
        <w:tab/>
      </w:r>
      <w:r w:rsidR="005E1C4C" w:rsidRPr="00647F97">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005E1C4C" w:rsidRPr="00647F97">
        <w:rPr>
          <w:rFonts w:ascii="Times New Roman TUR" w:hAnsi="Times New Roman TUR" w:cs="Times New Roman TUR"/>
          <w:bCs/>
          <w:u w:val="single"/>
        </w:rPr>
        <w:t>:</w:t>
      </w:r>
    </w:p>
    <w:p w:rsidR="00731A90" w:rsidRDefault="00731A90">
      <w:pPr>
        <w:rPr>
          <w:rFonts w:ascii="Times New Roman" w:hAnsi="Times New Roman"/>
        </w:rPr>
      </w:pPr>
    </w:p>
    <w:p w:rsidR="00731A90" w:rsidRDefault="005E1C4C">
      <w:pPr>
        <w:ind w:left="1440"/>
        <w:rPr>
          <w:rFonts w:ascii="Times New Roman" w:hAnsi="Times New Roman"/>
        </w:rPr>
      </w:pPr>
      <w:r w:rsidRPr="0078042F">
        <w:rPr>
          <w:rFonts w:ascii="Times New Roman TUR" w:hAnsi="Times New Roman TUR" w:cs="Times New Roman TUR"/>
        </w:rPr>
        <w:t>There are no special circumstances. This information collection is conducted in accordance with the guidelines in 5 CFR 1320.5(d)(2).</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8.</w:t>
      </w:r>
      <w:r>
        <w:rPr>
          <w:rFonts w:ascii="Times New Roman" w:hAnsi="Times New Roman"/>
        </w:rPr>
        <w:tab/>
      </w:r>
      <w:r w:rsidR="009E4FE6" w:rsidRPr="00647F97">
        <w:rPr>
          <w:rFonts w:ascii="Times New Roman TUR" w:hAnsi="Times New Roman TUR" w:cs="Times New Roman TUR"/>
          <w:bCs/>
          <w:u w:val="single"/>
        </w:rPr>
        <w:t>Efforts to consult with persons outside the agency:</w:t>
      </w:r>
    </w:p>
    <w:p w:rsidR="00731A90" w:rsidRDefault="00731A90">
      <w:pPr>
        <w:rPr>
          <w:rFonts w:ascii="Times New Roman" w:hAnsi="Times New Roman"/>
        </w:rPr>
      </w:pPr>
    </w:p>
    <w:p w:rsidR="00731A90" w:rsidRDefault="00F67AED">
      <w:pPr>
        <w:ind w:left="1440"/>
        <w:rPr>
          <w:rFonts w:ascii="Times New Roman" w:hAnsi="Times New Roman"/>
        </w:rPr>
      </w:pPr>
      <w:r>
        <w:rPr>
          <w:rFonts w:ascii="Times New Roman" w:hAnsi="Times New Roman"/>
        </w:rPr>
        <w:t xml:space="preserve">On </w:t>
      </w:r>
      <w:r w:rsidR="00897E7D">
        <w:rPr>
          <w:rFonts w:ascii="Times New Roman" w:hAnsi="Times New Roman"/>
        </w:rPr>
        <w:t>December</w:t>
      </w:r>
      <w:r w:rsidR="007C1599">
        <w:rPr>
          <w:rFonts w:ascii="Times New Roman" w:hAnsi="Times New Roman"/>
        </w:rPr>
        <w:t xml:space="preserve"> </w:t>
      </w:r>
      <w:r w:rsidR="00897E7D">
        <w:rPr>
          <w:rFonts w:ascii="Times New Roman" w:hAnsi="Times New Roman"/>
        </w:rPr>
        <w:t>10</w:t>
      </w:r>
      <w:r w:rsidR="007C1599">
        <w:rPr>
          <w:rFonts w:ascii="Times New Roman" w:hAnsi="Times New Roman"/>
        </w:rPr>
        <w:t>, 2018</w:t>
      </w:r>
      <w:r>
        <w:rPr>
          <w:rFonts w:ascii="Times New Roman" w:hAnsi="Times New Roman"/>
        </w:rPr>
        <w:t>, FDIC published a</w:t>
      </w:r>
      <w:r w:rsidR="00731A90">
        <w:rPr>
          <w:rFonts w:ascii="Times New Roman" w:hAnsi="Times New Roman"/>
        </w:rPr>
        <w:t xml:space="preserve"> Federal Register notice seeking public comment for a 60-day period </w:t>
      </w:r>
      <w:r>
        <w:rPr>
          <w:rFonts w:ascii="Times New Roman" w:hAnsi="Times New Roman"/>
        </w:rPr>
        <w:t>(</w:t>
      </w:r>
      <w:r w:rsidR="001D73DB">
        <w:rPr>
          <w:rFonts w:ascii="Times New Roman" w:hAnsi="Times New Roman"/>
        </w:rPr>
        <w:t>8</w:t>
      </w:r>
      <w:r w:rsidR="007C1599">
        <w:rPr>
          <w:rFonts w:ascii="Times New Roman" w:hAnsi="Times New Roman"/>
        </w:rPr>
        <w:t>3</w:t>
      </w:r>
      <w:r w:rsidR="001D73DB">
        <w:rPr>
          <w:rFonts w:ascii="Times New Roman" w:hAnsi="Times New Roman"/>
        </w:rPr>
        <w:t xml:space="preserve"> FR </w:t>
      </w:r>
      <w:r w:rsidR="00897E7D">
        <w:rPr>
          <w:rFonts w:ascii="Times New Roman" w:hAnsi="Times New Roman"/>
        </w:rPr>
        <w:t>63507</w:t>
      </w:r>
      <w:r w:rsidR="00731A90">
        <w:rPr>
          <w:rFonts w:ascii="Times New Roman" w:hAnsi="Times New Roman"/>
        </w:rPr>
        <w:t xml:space="preserve">).  No comments were received.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10.</w:t>
      </w:r>
      <w:r>
        <w:rPr>
          <w:rFonts w:ascii="Times New Roman" w:hAnsi="Times New Roman"/>
        </w:rPr>
        <w:tab/>
      </w:r>
      <w:r w:rsidR="009E4FE6" w:rsidRPr="00647F97">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00F67AED" w:rsidRPr="00F67AED" w:rsidRDefault="00F67AED" w:rsidP="00F67AED">
      <w:pPr>
        <w:ind w:left="1440"/>
        <w:rPr>
          <w:rFonts w:ascii="Times New Roman" w:hAnsi="Times New Roman"/>
        </w:rPr>
      </w:pPr>
      <w:r w:rsidRPr="00F67AED">
        <w:rPr>
          <w:rFonts w:ascii="Times New Roman" w:hAnsi="Times New Roman"/>
        </w:rPr>
        <w:t>Confidential information will be kept private to the extent allowed by law.</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11.</w:t>
      </w:r>
      <w:r>
        <w:rPr>
          <w:rFonts w:ascii="Times New Roman" w:hAnsi="Times New Roman"/>
        </w:rPr>
        <w:tab/>
      </w:r>
      <w:r w:rsidR="009E4FE6" w:rsidRPr="00647F97">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rsidRDefault="00731A90">
      <w:pPr>
        <w:rPr>
          <w:rFonts w:ascii="Times New Roman" w:hAnsi="Times New Roman"/>
        </w:rPr>
      </w:pPr>
    </w:p>
    <w:p w:rsidR="00731A90" w:rsidRDefault="009E4FE6">
      <w:pPr>
        <w:ind w:left="1440"/>
        <w:rPr>
          <w:rFonts w:ascii="Times New Roman" w:hAnsi="Times New Roman"/>
        </w:rPr>
      </w:pPr>
      <w:r w:rsidRPr="009E4FE6">
        <w:rPr>
          <w:rFonts w:ascii="Times New Roman" w:hAnsi="Times New Roman"/>
        </w:rPr>
        <w:t>The information collection does not request information of a sensitive nature.</w:t>
      </w:r>
      <w:r w:rsidR="00731A90">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12.</w:t>
      </w:r>
      <w:r>
        <w:rPr>
          <w:rFonts w:ascii="Times New Roman" w:hAnsi="Times New Roman"/>
        </w:rPr>
        <w:tab/>
      </w:r>
      <w:r w:rsidR="009E4FE6" w:rsidRPr="009E4FE6">
        <w:rPr>
          <w:rFonts w:ascii="Times New Roman" w:hAnsi="Times New Roman"/>
          <w:u w:val="single"/>
        </w:rPr>
        <w:t xml:space="preserve">Estimate of </w:t>
      </w:r>
      <w:r w:rsidR="009E4FE6">
        <w:rPr>
          <w:rFonts w:ascii="Times New Roman" w:hAnsi="Times New Roman"/>
          <w:u w:val="single"/>
        </w:rPr>
        <w:t>hour burden including annualized hourly c</w:t>
      </w:r>
      <w:r w:rsidR="009E4FE6" w:rsidRPr="009E4FE6">
        <w:rPr>
          <w:rFonts w:ascii="Times New Roman" w:hAnsi="Times New Roman"/>
          <w:u w:val="single"/>
        </w:rPr>
        <w:t>osts:</w:t>
      </w:r>
      <w:r>
        <w:rPr>
          <w:rFonts w:ascii="Times New Roman" w:hAnsi="Times New Roman"/>
        </w:rPr>
        <w:t xml:space="preserve">  </w:t>
      </w:r>
    </w:p>
    <w:tbl>
      <w:tblPr>
        <w:tblpPr w:leftFromText="180" w:rightFromText="180" w:vertAnchor="text" w:horzAnchor="margin" w:tblpXSpec="center" w:tblpY="654"/>
        <w:tblW w:w="9468" w:type="dxa"/>
        <w:tblLayout w:type="fixed"/>
        <w:tblLook w:val="04A0" w:firstRow="1" w:lastRow="0" w:firstColumn="1" w:lastColumn="0" w:noHBand="0" w:noVBand="1"/>
      </w:tblPr>
      <w:tblGrid>
        <w:gridCol w:w="2682"/>
        <w:gridCol w:w="1440"/>
        <w:gridCol w:w="990"/>
        <w:gridCol w:w="1170"/>
        <w:gridCol w:w="990"/>
        <w:gridCol w:w="990"/>
        <w:gridCol w:w="1206"/>
      </w:tblGrid>
      <w:tr w:rsidR="002105C5" w:rsidRPr="002105C5" w:rsidTr="00E55601">
        <w:trPr>
          <w:trHeight w:val="524"/>
        </w:trPr>
        <w:tc>
          <w:tcPr>
            <w:tcW w:w="946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105C5" w:rsidRPr="002105C5" w:rsidRDefault="002105C5" w:rsidP="002105C5">
            <w:pPr>
              <w:rPr>
                <w:rFonts w:ascii="Times New Roman" w:hAnsi="Times New Roman"/>
                <w:b/>
                <w:bCs/>
              </w:rPr>
            </w:pPr>
            <w:r w:rsidRPr="002105C5">
              <w:rPr>
                <w:rFonts w:ascii="Times New Roman" w:hAnsi="Times New Roman"/>
                <w:u w:val="single"/>
              </w:rPr>
              <w:br w:type="page"/>
            </w:r>
            <w:r w:rsidRPr="002105C5">
              <w:rPr>
                <w:rFonts w:ascii="Times New Roman" w:hAnsi="Times New Roman"/>
                <w:b/>
                <w:bCs/>
              </w:rPr>
              <w:t xml:space="preserve">Summary of Annual Burden </w:t>
            </w:r>
          </w:p>
        </w:tc>
      </w:tr>
      <w:tr w:rsidR="002105C5" w:rsidRPr="002105C5" w:rsidTr="00E55601">
        <w:trPr>
          <w:trHeight w:val="900"/>
        </w:trPr>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5C5" w:rsidRPr="002105C5" w:rsidRDefault="002105C5" w:rsidP="002105C5">
            <w:pPr>
              <w:rPr>
                <w:rFonts w:ascii="Times New Roman" w:hAnsi="Times New Roman"/>
                <w:b/>
                <w:bCs/>
              </w:rPr>
            </w:pPr>
            <w:r w:rsidRPr="002105C5">
              <w:rPr>
                <w:rFonts w:ascii="Times New Roman" w:hAnsi="Times New Roman"/>
                <w:b/>
                <w:bCs/>
              </w:rPr>
              <w:t>Information Collection  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Type of Burden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Obligation to Respond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Estimated Number of Respondents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Estimated Frequency of Responses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Estimated Time per Response</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b/>
              </w:rPr>
            </w:pPr>
            <w:r w:rsidRPr="002105C5">
              <w:rPr>
                <w:rFonts w:ascii="Times New Roman" w:hAnsi="Times New Roman"/>
                <w:b/>
              </w:rPr>
              <w:t>Estimated Annual Burden</w:t>
            </w:r>
          </w:p>
        </w:tc>
      </w:tr>
      <w:tr w:rsidR="002105C5" w:rsidRPr="002105C5" w:rsidTr="00E55601">
        <w:tc>
          <w:tcPr>
            <w:tcW w:w="2682" w:type="dxa"/>
            <w:tcBorders>
              <w:top w:val="nil"/>
              <w:left w:val="single" w:sz="4" w:space="0" w:color="auto"/>
              <w:bottom w:val="single" w:sz="4" w:space="0" w:color="auto"/>
              <w:right w:val="single" w:sz="4" w:space="0" w:color="auto"/>
            </w:tcBorders>
            <w:shd w:val="clear" w:color="auto" w:fill="auto"/>
            <w:vAlign w:val="center"/>
          </w:tcPr>
          <w:p w:rsidR="002105C5" w:rsidRPr="002105C5" w:rsidRDefault="002105C5" w:rsidP="002105C5">
            <w:pPr>
              <w:rPr>
                <w:rFonts w:ascii="Times New Roman" w:hAnsi="Times New Roman"/>
              </w:rPr>
            </w:pPr>
            <w:r w:rsidRPr="002105C5">
              <w:rPr>
                <w:rFonts w:ascii="Times New Roman" w:hAnsi="Times New Roman"/>
              </w:rPr>
              <w:t>Bank Protection Act Compliance Program</w:t>
            </w:r>
          </w:p>
        </w:tc>
        <w:tc>
          <w:tcPr>
            <w:tcW w:w="1440" w:type="dxa"/>
            <w:tcBorders>
              <w:top w:val="nil"/>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rPr>
            </w:pPr>
            <w:r w:rsidRPr="002105C5">
              <w:rPr>
                <w:rFonts w:ascii="Times New Roman" w:hAnsi="Times New Roman"/>
              </w:rPr>
              <w:t>Recordkeeping</w:t>
            </w:r>
          </w:p>
        </w:tc>
        <w:tc>
          <w:tcPr>
            <w:tcW w:w="990" w:type="dxa"/>
            <w:tcBorders>
              <w:top w:val="nil"/>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rPr>
            </w:pPr>
            <w:r w:rsidRPr="002105C5">
              <w:rPr>
                <w:rFonts w:ascii="Times New Roman" w:hAnsi="Times New Roman"/>
              </w:rPr>
              <w:t>Mandatory</w:t>
            </w:r>
          </w:p>
        </w:tc>
        <w:tc>
          <w:tcPr>
            <w:tcW w:w="1170" w:type="dxa"/>
            <w:tcBorders>
              <w:top w:val="nil"/>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rPr>
            </w:pPr>
            <w:r w:rsidRPr="002105C5">
              <w:rPr>
                <w:rFonts w:ascii="Times New Roman" w:hAnsi="Times New Roman"/>
              </w:rPr>
              <w:t> 3,533</w:t>
            </w:r>
          </w:p>
        </w:tc>
        <w:tc>
          <w:tcPr>
            <w:tcW w:w="990" w:type="dxa"/>
            <w:tcBorders>
              <w:top w:val="nil"/>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rPr>
            </w:pPr>
            <w:r w:rsidRPr="002105C5">
              <w:rPr>
                <w:rFonts w:ascii="Times New Roman" w:hAnsi="Times New Roman"/>
              </w:rPr>
              <w:t>Annually</w:t>
            </w:r>
          </w:p>
        </w:tc>
        <w:tc>
          <w:tcPr>
            <w:tcW w:w="990" w:type="dxa"/>
            <w:tcBorders>
              <w:top w:val="nil"/>
              <w:left w:val="nil"/>
              <w:bottom w:val="single" w:sz="4" w:space="0" w:color="auto"/>
              <w:right w:val="single" w:sz="4" w:space="0" w:color="auto"/>
            </w:tcBorders>
            <w:shd w:val="clear" w:color="auto" w:fill="auto"/>
            <w:vAlign w:val="center"/>
            <w:hideMark/>
          </w:tcPr>
          <w:p w:rsidR="002105C5" w:rsidRPr="002105C5" w:rsidRDefault="002105C5" w:rsidP="002105C5">
            <w:pPr>
              <w:rPr>
                <w:rFonts w:ascii="Times New Roman" w:hAnsi="Times New Roman"/>
              </w:rPr>
            </w:pPr>
            <w:r w:rsidRPr="002105C5">
              <w:rPr>
                <w:rFonts w:ascii="Times New Roman" w:hAnsi="Times New Roman"/>
              </w:rPr>
              <w:t>.5 hours </w:t>
            </w:r>
          </w:p>
        </w:tc>
        <w:tc>
          <w:tcPr>
            <w:tcW w:w="1206" w:type="dxa"/>
            <w:tcBorders>
              <w:top w:val="nil"/>
              <w:left w:val="nil"/>
              <w:bottom w:val="single" w:sz="4" w:space="0" w:color="auto"/>
              <w:right w:val="single" w:sz="4" w:space="0" w:color="auto"/>
            </w:tcBorders>
            <w:shd w:val="clear" w:color="auto" w:fill="auto"/>
            <w:vAlign w:val="center"/>
          </w:tcPr>
          <w:p w:rsidR="002105C5" w:rsidRPr="002105C5" w:rsidRDefault="002105C5" w:rsidP="002105C5">
            <w:pPr>
              <w:rPr>
                <w:rFonts w:ascii="Times New Roman" w:hAnsi="Times New Roman"/>
              </w:rPr>
            </w:pPr>
            <w:r w:rsidRPr="002105C5">
              <w:rPr>
                <w:rFonts w:ascii="Times New Roman" w:hAnsi="Times New Roman"/>
              </w:rPr>
              <w:t>1,766.5 hours</w:t>
            </w:r>
          </w:p>
        </w:tc>
      </w:tr>
      <w:tr w:rsidR="002105C5" w:rsidRPr="002105C5" w:rsidTr="00E55601">
        <w:tc>
          <w:tcPr>
            <w:tcW w:w="5112" w:type="dxa"/>
            <w:gridSpan w:val="3"/>
            <w:tcBorders>
              <w:top w:val="nil"/>
              <w:left w:val="single" w:sz="4" w:space="0" w:color="auto"/>
              <w:bottom w:val="single" w:sz="4" w:space="0" w:color="auto"/>
              <w:right w:val="single" w:sz="4" w:space="0" w:color="auto"/>
            </w:tcBorders>
            <w:shd w:val="clear" w:color="auto" w:fill="auto"/>
            <w:vAlign w:val="center"/>
          </w:tcPr>
          <w:p w:rsidR="002105C5" w:rsidRPr="002105C5" w:rsidRDefault="002105C5" w:rsidP="002105C5">
            <w:pPr>
              <w:rPr>
                <w:rFonts w:ascii="Times New Roman" w:hAnsi="Times New Roman"/>
                <w:b/>
              </w:rPr>
            </w:pPr>
            <w:r w:rsidRPr="002105C5">
              <w:rPr>
                <w:rFonts w:ascii="Times New Roman" w:hAnsi="Times New Roman"/>
                <w:b/>
              </w:rPr>
              <w:t>Estimated Total Annual Burden</w:t>
            </w:r>
          </w:p>
        </w:tc>
        <w:tc>
          <w:tcPr>
            <w:tcW w:w="4356" w:type="dxa"/>
            <w:gridSpan w:val="4"/>
            <w:tcBorders>
              <w:top w:val="nil"/>
              <w:left w:val="nil"/>
              <w:bottom w:val="single" w:sz="4" w:space="0" w:color="auto"/>
              <w:right w:val="single" w:sz="4" w:space="0" w:color="auto"/>
            </w:tcBorders>
            <w:shd w:val="clear" w:color="auto" w:fill="auto"/>
            <w:vAlign w:val="center"/>
          </w:tcPr>
          <w:p w:rsidR="002105C5" w:rsidRPr="002105C5" w:rsidRDefault="002105C5" w:rsidP="002105C5">
            <w:pPr>
              <w:rPr>
                <w:rFonts w:ascii="Times New Roman" w:hAnsi="Times New Roman"/>
                <w:b/>
              </w:rPr>
            </w:pPr>
            <w:r w:rsidRPr="002105C5">
              <w:rPr>
                <w:rFonts w:ascii="Times New Roman" w:hAnsi="Times New Roman"/>
                <w:b/>
              </w:rPr>
              <w:t xml:space="preserve">1,766.5 hours </w:t>
            </w:r>
          </w:p>
        </w:tc>
      </w:tr>
    </w:tbl>
    <w:p w:rsidR="00731A90" w:rsidRDefault="00731A90">
      <w:pPr>
        <w:rPr>
          <w:rFonts w:ascii="Times New Roman" w:hAnsi="Times New Roman"/>
        </w:rPr>
      </w:pPr>
    </w:p>
    <w:p w:rsidR="002105C5" w:rsidRDefault="002105C5">
      <w:pPr>
        <w:rPr>
          <w:rFonts w:ascii="Times New Roman" w:hAnsi="Times New Roman"/>
        </w:rPr>
      </w:pPr>
    </w:p>
    <w:p w:rsidR="002105C5" w:rsidRDefault="002105C5" w:rsidP="001B4291">
      <w:pPr>
        <w:rPr>
          <w:rFonts w:ascii="Times New Roman" w:hAnsi="Times New Roman"/>
          <w:b/>
        </w:rPr>
      </w:pPr>
    </w:p>
    <w:p w:rsidR="001B4291" w:rsidRDefault="001B4291" w:rsidP="001B4291">
      <w:pPr>
        <w:rPr>
          <w:rFonts w:ascii="Times New Roman" w:hAnsi="Times New Roman"/>
          <w:b/>
        </w:rPr>
      </w:pPr>
      <w:r w:rsidRPr="001B4291">
        <w:rPr>
          <w:rFonts w:ascii="Times New Roman" w:hAnsi="Times New Roman"/>
          <w:b/>
        </w:rPr>
        <w:t>Estimated Cost Burden:</w:t>
      </w:r>
    </w:p>
    <w:p w:rsidR="001B4291" w:rsidRDefault="001B4291" w:rsidP="001B4291">
      <w:pPr>
        <w:rPr>
          <w:rFonts w:ascii="Times New Roman" w:hAnsi="Times New Roman"/>
          <w:b/>
        </w:rPr>
      </w:pPr>
    </w:p>
    <w:p w:rsidR="001B4291" w:rsidRDefault="001B4291" w:rsidP="001B4291">
      <w:pPr>
        <w:rPr>
          <w:rFonts w:ascii="Times New Roman" w:hAnsi="Times New Roman"/>
        </w:rPr>
      </w:pPr>
      <w:r>
        <w:rPr>
          <w:rFonts w:ascii="Times New Roman" w:hAnsi="Times New Roman"/>
        </w:rPr>
        <w:t xml:space="preserve">FDIC </w:t>
      </w:r>
      <w:r w:rsidRPr="001B4291">
        <w:rPr>
          <w:rFonts w:ascii="Times New Roman" w:hAnsi="Times New Roman"/>
        </w:rPr>
        <w:t xml:space="preserve">utilized data gathered from the Bureau of Labor Statistics (BLS) as of June 2018 to estimate the total labor costs. </w:t>
      </w:r>
      <w:r>
        <w:rPr>
          <w:rFonts w:ascii="Times New Roman" w:hAnsi="Times New Roman"/>
        </w:rPr>
        <w:t>T</w:t>
      </w:r>
      <w:r w:rsidRPr="001B4291">
        <w:rPr>
          <w:rFonts w:ascii="Times New Roman" w:hAnsi="Times New Roman"/>
        </w:rPr>
        <w:t>he wage estimate is a weighted average of four occupations: Office and Administrative Support, Compliance Officers, Lawyers, and Executives. According to the May 2017 National Industry-Specific Occupational Employment and Wage Estimates for the Depository Credit Intermediation sector the 75</w:t>
      </w:r>
      <w:r w:rsidRPr="001B4291">
        <w:rPr>
          <w:rFonts w:ascii="Times New Roman" w:hAnsi="Times New Roman"/>
          <w:vertAlign w:val="superscript"/>
        </w:rPr>
        <w:t xml:space="preserve">th </w:t>
      </w:r>
      <w:r w:rsidRPr="001B4291">
        <w:rPr>
          <w:rFonts w:ascii="Times New Roman" w:hAnsi="Times New Roman"/>
        </w:rPr>
        <w:t>percentile wages for the four aforementioned occupations are as follows</w:t>
      </w:r>
      <w:r w:rsidRPr="001B4291">
        <w:rPr>
          <w:rFonts w:ascii="Times New Roman" w:hAnsi="Times New Roman"/>
          <w:vertAlign w:val="superscript"/>
        </w:rPr>
        <w:footnoteReference w:id="1"/>
      </w:r>
      <w:r w:rsidRPr="001B4291">
        <w:rPr>
          <w:rFonts w:ascii="Times New Roman" w:hAnsi="Times New Roman"/>
        </w:rPr>
        <w:t>:</w:t>
      </w:r>
    </w:p>
    <w:p w:rsidR="001B4291" w:rsidRDefault="001B4291" w:rsidP="001B4291">
      <w:pPr>
        <w:rPr>
          <w:rFonts w:ascii="Times New Roman" w:hAnsi="Times New Roman"/>
        </w:rPr>
      </w:pPr>
    </w:p>
    <w:p w:rsidR="00DC7A88" w:rsidRDefault="00DC7A88" w:rsidP="001B4291">
      <w:pPr>
        <w:rPr>
          <w:rFonts w:ascii="Times New Roman" w:hAnsi="Times New Roman"/>
        </w:rPr>
      </w:pPr>
    </w:p>
    <w:p w:rsidR="00DC7A88" w:rsidRDefault="00DC7A88" w:rsidP="001B4291">
      <w:pPr>
        <w:rPr>
          <w:rFonts w:ascii="Times New Roman" w:hAnsi="Times New Roman"/>
        </w:rPr>
      </w:pPr>
    </w:p>
    <w:tbl>
      <w:tblPr>
        <w:tblStyle w:val="TableGrid"/>
        <w:tblW w:w="9651" w:type="dxa"/>
        <w:tblLook w:val="04A0" w:firstRow="1" w:lastRow="0" w:firstColumn="1" w:lastColumn="0" w:noHBand="0" w:noVBand="1"/>
      </w:tblPr>
      <w:tblGrid>
        <w:gridCol w:w="4968"/>
        <w:gridCol w:w="2070"/>
        <w:gridCol w:w="1080"/>
        <w:gridCol w:w="1533"/>
      </w:tblGrid>
      <w:tr w:rsidR="00DC7A88" w:rsidRPr="00DC7A88" w:rsidTr="00DC7A88">
        <w:trPr>
          <w:trHeight w:val="512"/>
        </w:trPr>
        <w:tc>
          <w:tcPr>
            <w:tcW w:w="4968" w:type="dxa"/>
            <w:shd w:val="clear" w:color="auto" w:fill="BFBFBF" w:themeFill="background1" w:themeFillShade="BF"/>
            <w:vAlign w:val="center"/>
          </w:tcPr>
          <w:p w:rsidR="00DC7A88" w:rsidRPr="00DC7A88" w:rsidRDefault="00DC7A88" w:rsidP="00DC7A88">
            <w:pPr>
              <w:jc w:val="center"/>
              <w:rPr>
                <w:rFonts w:ascii="Times New Roman" w:hAnsi="Times New Roman"/>
                <w:sz w:val="20"/>
              </w:rPr>
            </w:pPr>
            <w:r w:rsidRPr="00DC7A88">
              <w:rPr>
                <w:rFonts w:ascii="Times New Roman" w:hAnsi="Times New Roman"/>
                <w:sz w:val="20"/>
              </w:rPr>
              <w:t>Occupation (SOC Code)</w:t>
            </w:r>
          </w:p>
        </w:tc>
        <w:tc>
          <w:tcPr>
            <w:tcW w:w="2070" w:type="dxa"/>
            <w:shd w:val="clear" w:color="auto" w:fill="BFBFBF" w:themeFill="background1" w:themeFillShade="BF"/>
            <w:vAlign w:val="center"/>
          </w:tcPr>
          <w:p w:rsidR="00DC7A88" w:rsidRPr="00DC7A88" w:rsidRDefault="00DC7A88" w:rsidP="00DC7A88">
            <w:pPr>
              <w:jc w:val="center"/>
              <w:rPr>
                <w:rFonts w:ascii="Times New Roman" w:hAnsi="Times New Roman"/>
                <w:sz w:val="20"/>
              </w:rPr>
            </w:pPr>
            <w:r>
              <w:rPr>
                <w:rFonts w:ascii="Times New Roman" w:hAnsi="Times New Roman"/>
                <w:sz w:val="20"/>
              </w:rPr>
              <w:t>Hourly 75</w:t>
            </w:r>
            <w:r w:rsidRPr="00DC7A88">
              <w:rPr>
                <w:rFonts w:ascii="Times New Roman" w:hAnsi="Times New Roman"/>
                <w:sz w:val="20"/>
                <w:vertAlign w:val="superscript"/>
              </w:rPr>
              <w:t>th</w:t>
            </w:r>
            <w:r>
              <w:rPr>
                <w:rFonts w:ascii="Times New Roman" w:hAnsi="Times New Roman"/>
                <w:sz w:val="20"/>
              </w:rPr>
              <w:t xml:space="preserve"> percentile wage</w:t>
            </w:r>
          </w:p>
        </w:tc>
        <w:tc>
          <w:tcPr>
            <w:tcW w:w="1080" w:type="dxa"/>
            <w:shd w:val="clear" w:color="auto" w:fill="BFBFBF" w:themeFill="background1" w:themeFillShade="BF"/>
            <w:vAlign w:val="center"/>
          </w:tcPr>
          <w:p w:rsidR="00DC7A88" w:rsidRPr="00DC7A88" w:rsidRDefault="00DC7A88" w:rsidP="00DC7A88">
            <w:pPr>
              <w:jc w:val="center"/>
              <w:rPr>
                <w:rFonts w:ascii="Times New Roman" w:hAnsi="Times New Roman"/>
                <w:sz w:val="20"/>
              </w:rPr>
            </w:pPr>
            <w:r>
              <w:rPr>
                <w:rFonts w:ascii="Times New Roman" w:hAnsi="Times New Roman"/>
                <w:sz w:val="20"/>
              </w:rPr>
              <w:t>Percent Weighted</w:t>
            </w:r>
          </w:p>
        </w:tc>
        <w:tc>
          <w:tcPr>
            <w:tcW w:w="1533" w:type="dxa"/>
            <w:shd w:val="clear" w:color="auto" w:fill="BFBFBF" w:themeFill="background1" w:themeFillShade="BF"/>
            <w:vAlign w:val="center"/>
          </w:tcPr>
          <w:p w:rsidR="00DC7A88" w:rsidRPr="00DC7A88" w:rsidRDefault="00DC7A88" w:rsidP="00DC7A88">
            <w:pPr>
              <w:jc w:val="center"/>
              <w:rPr>
                <w:rFonts w:ascii="Times New Roman" w:hAnsi="Times New Roman"/>
                <w:sz w:val="20"/>
              </w:rPr>
            </w:pPr>
            <w:r>
              <w:rPr>
                <w:rFonts w:ascii="Times New Roman" w:hAnsi="Times New Roman"/>
                <w:sz w:val="20"/>
              </w:rPr>
              <w:t>Dollar Value Weighted</w:t>
            </w:r>
          </w:p>
        </w:tc>
      </w:tr>
      <w:tr w:rsidR="00DC7A88" w:rsidRPr="00E91899" w:rsidTr="00E91899">
        <w:trPr>
          <w:trHeight w:val="284"/>
        </w:trPr>
        <w:tc>
          <w:tcPr>
            <w:tcW w:w="4968" w:type="dxa"/>
            <w:vAlign w:val="center"/>
          </w:tcPr>
          <w:p w:rsidR="00DC7A88" w:rsidRPr="00E91899" w:rsidRDefault="00E91899" w:rsidP="00DC7A88">
            <w:pPr>
              <w:rPr>
                <w:rFonts w:ascii="Times New Roman" w:hAnsi="Times New Roman"/>
                <w:sz w:val="20"/>
              </w:rPr>
            </w:pPr>
            <w:r w:rsidRPr="00E91899">
              <w:rPr>
                <w:rFonts w:ascii="Times New Roman" w:hAnsi="Times New Roman"/>
                <w:sz w:val="20"/>
              </w:rPr>
              <w:t>Top Executives</w:t>
            </w:r>
            <w:r>
              <w:rPr>
                <w:rFonts w:ascii="Times New Roman" w:hAnsi="Times New Roman"/>
                <w:sz w:val="20"/>
              </w:rPr>
              <w:t xml:space="preserve"> (111000)</w:t>
            </w:r>
          </w:p>
        </w:tc>
        <w:tc>
          <w:tcPr>
            <w:tcW w:w="2070" w:type="dxa"/>
            <w:vAlign w:val="center"/>
          </w:tcPr>
          <w:p w:rsidR="00DC7A88" w:rsidRPr="00E91899" w:rsidRDefault="00E91899" w:rsidP="00E91899">
            <w:pPr>
              <w:jc w:val="right"/>
              <w:rPr>
                <w:rFonts w:ascii="Times New Roman" w:hAnsi="Times New Roman"/>
                <w:sz w:val="20"/>
              </w:rPr>
            </w:pPr>
            <w:r>
              <w:rPr>
                <w:rFonts w:ascii="Times New Roman" w:hAnsi="Times New Roman"/>
                <w:sz w:val="20"/>
              </w:rPr>
              <w:t>$87.95</w:t>
            </w:r>
          </w:p>
        </w:tc>
        <w:tc>
          <w:tcPr>
            <w:tcW w:w="1080" w:type="dxa"/>
            <w:vAlign w:val="center"/>
          </w:tcPr>
          <w:p w:rsidR="00DC7A88" w:rsidRPr="00E91899" w:rsidRDefault="00E91899" w:rsidP="00E91899">
            <w:pPr>
              <w:jc w:val="right"/>
              <w:rPr>
                <w:rFonts w:ascii="Times New Roman" w:hAnsi="Times New Roman"/>
                <w:sz w:val="20"/>
              </w:rPr>
            </w:pPr>
            <w:r>
              <w:rPr>
                <w:rFonts w:ascii="Times New Roman" w:hAnsi="Times New Roman"/>
                <w:sz w:val="20"/>
              </w:rPr>
              <w:t>20%</w:t>
            </w:r>
          </w:p>
        </w:tc>
        <w:tc>
          <w:tcPr>
            <w:tcW w:w="1533" w:type="dxa"/>
            <w:vAlign w:val="center"/>
          </w:tcPr>
          <w:p w:rsidR="00DC7A88" w:rsidRPr="00E91899" w:rsidRDefault="00E91899" w:rsidP="00E91899">
            <w:pPr>
              <w:jc w:val="right"/>
              <w:rPr>
                <w:rFonts w:ascii="Times New Roman" w:hAnsi="Times New Roman"/>
                <w:sz w:val="20"/>
              </w:rPr>
            </w:pPr>
            <w:r>
              <w:rPr>
                <w:rFonts w:ascii="Times New Roman" w:hAnsi="Times New Roman"/>
                <w:sz w:val="20"/>
              </w:rPr>
              <w:t>$17.59</w:t>
            </w:r>
          </w:p>
        </w:tc>
      </w:tr>
      <w:tr w:rsidR="00E91899" w:rsidRPr="00E91899" w:rsidTr="00E91899">
        <w:trPr>
          <w:trHeight w:val="284"/>
        </w:trPr>
        <w:tc>
          <w:tcPr>
            <w:tcW w:w="4968" w:type="dxa"/>
            <w:vAlign w:val="center"/>
          </w:tcPr>
          <w:p w:rsidR="00E91899" w:rsidRPr="00E91899" w:rsidRDefault="00E91899" w:rsidP="00DC7A88">
            <w:pPr>
              <w:rPr>
                <w:rFonts w:ascii="Times New Roman" w:hAnsi="Times New Roman"/>
                <w:sz w:val="20"/>
              </w:rPr>
            </w:pPr>
            <w:r>
              <w:rPr>
                <w:rFonts w:ascii="Times New Roman" w:hAnsi="Times New Roman"/>
                <w:sz w:val="20"/>
              </w:rPr>
              <w:t>Compliance Officers (131041)</w:t>
            </w:r>
          </w:p>
        </w:tc>
        <w:tc>
          <w:tcPr>
            <w:tcW w:w="2070" w:type="dxa"/>
            <w:vAlign w:val="center"/>
          </w:tcPr>
          <w:p w:rsidR="00E91899" w:rsidRDefault="00E91899" w:rsidP="00E91899">
            <w:pPr>
              <w:jc w:val="right"/>
              <w:rPr>
                <w:rFonts w:ascii="Times New Roman" w:hAnsi="Times New Roman"/>
                <w:sz w:val="20"/>
              </w:rPr>
            </w:pPr>
            <w:r>
              <w:rPr>
                <w:rFonts w:ascii="Times New Roman" w:hAnsi="Times New Roman"/>
                <w:sz w:val="20"/>
              </w:rPr>
              <w:t>$40.55</w:t>
            </w:r>
          </w:p>
        </w:tc>
        <w:tc>
          <w:tcPr>
            <w:tcW w:w="1080" w:type="dxa"/>
            <w:vAlign w:val="center"/>
          </w:tcPr>
          <w:p w:rsidR="00E91899" w:rsidRDefault="00E91899" w:rsidP="00E91899">
            <w:pPr>
              <w:jc w:val="right"/>
              <w:rPr>
                <w:rFonts w:ascii="Times New Roman" w:hAnsi="Times New Roman"/>
                <w:sz w:val="20"/>
              </w:rPr>
            </w:pPr>
            <w:r>
              <w:rPr>
                <w:rFonts w:ascii="Times New Roman" w:hAnsi="Times New Roman"/>
                <w:sz w:val="20"/>
              </w:rPr>
              <w:t>70%</w:t>
            </w:r>
          </w:p>
        </w:tc>
        <w:tc>
          <w:tcPr>
            <w:tcW w:w="1533" w:type="dxa"/>
            <w:vAlign w:val="center"/>
          </w:tcPr>
          <w:p w:rsidR="00E91899" w:rsidRDefault="00E91899" w:rsidP="00E91899">
            <w:pPr>
              <w:jc w:val="right"/>
              <w:rPr>
                <w:rFonts w:ascii="Times New Roman" w:hAnsi="Times New Roman"/>
                <w:sz w:val="20"/>
              </w:rPr>
            </w:pPr>
            <w:r>
              <w:rPr>
                <w:rFonts w:ascii="Times New Roman" w:hAnsi="Times New Roman"/>
                <w:sz w:val="20"/>
              </w:rPr>
              <w:t>$28.35</w:t>
            </w:r>
          </w:p>
        </w:tc>
      </w:tr>
      <w:tr w:rsidR="00E91899" w:rsidRPr="00E91899" w:rsidTr="00E91899">
        <w:trPr>
          <w:trHeight w:val="284"/>
        </w:trPr>
        <w:tc>
          <w:tcPr>
            <w:tcW w:w="4968" w:type="dxa"/>
            <w:vAlign w:val="center"/>
          </w:tcPr>
          <w:p w:rsidR="00E91899" w:rsidRDefault="00E91899" w:rsidP="00DC7A88">
            <w:pPr>
              <w:rPr>
                <w:rFonts w:ascii="Times New Roman" w:hAnsi="Times New Roman"/>
                <w:sz w:val="20"/>
              </w:rPr>
            </w:pPr>
            <w:r>
              <w:rPr>
                <w:rFonts w:ascii="Times New Roman" w:hAnsi="Times New Roman"/>
                <w:sz w:val="20"/>
              </w:rPr>
              <w:t>Office and Administrative Support (430000)</w:t>
            </w:r>
          </w:p>
        </w:tc>
        <w:tc>
          <w:tcPr>
            <w:tcW w:w="2070" w:type="dxa"/>
            <w:vAlign w:val="center"/>
          </w:tcPr>
          <w:p w:rsidR="00E91899" w:rsidRDefault="00E91899" w:rsidP="00E91899">
            <w:pPr>
              <w:jc w:val="right"/>
              <w:rPr>
                <w:rFonts w:ascii="Times New Roman" w:hAnsi="Times New Roman"/>
                <w:sz w:val="20"/>
              </w:rPr>
            </w:pPr>
            <w:r>
              <w:rPr>
                <w:rFonts w:ascii="Times New Roman" w:hAnsi="Times New Roman"/>
                <w:sz w:val="20"/>
              </w:rPr>
              <w:t>$20.41</w:t>
            </w:r>
          </w:p>
        </w:tc>
        <w:tc>
          <w:tcPr>
            <w:tcW w:w="1080" w:type="dxa"/>
            <w:vAlign w:val="center"/>
          </w:tcPr>
          <w:p w:rsidR="00E91899" w:rsidRDefault="00E91899" w:rsidP="00E91899">
            <w:pPr>
              <w:jc w:val="right"/>
              <w:rPr>
                <w:rFonts w:ascii="Times New Roman" w:hAnsi="Times New Roman"/>
                <w:sz w:val="20"/>
              </w:rPr>
            </w:pPr>
            <w:r>
              <w:rPr>
                <w:rFonts w:ascii="Times New Roman" w:hAnsi="Times New Roman"/>
                <w:sz w:val="20"/>
              </w:rPr>
              <w:t>10%</w:t>
            </w:r>
          </w:p>
        </w:tc>
        <w:tc>
          <w:tcPr>
            <w:tcW w:w="1533" w:type="dxa"/>
            <w:vAlign w:val="center"/>
          </w:tcPr>
          <w:p w:rsidR="00E91899" w:rsidRDefault="00E91899" w:rsidP="00E91899">
            <w:pPr>
              <w:jc w:val="right"/>
              <w:rPr>
                <w:rFonts w:ascii="Times New Roman" w:hAnsi="Times New Roman"/>
                <w:sz w:val="20"/>
              </w:rPr>
            </w:pPr>
            <w:r>
              <w:rPr>
                <w:rFonts w:ascii="Times New Roman" w:hAnsi="Times New Roman"/>
                <w:sz w:val="20"/>
              </w:rPr>
              <w:t>$2.04</w:t>
            </w:r>
          </w:p>
        </w:tc>
      </w:tr>
      <w:tr w:rsidR="00E91899" w:rsidRPr="00E91899" w:rsidTr="00E91899">
        <w:trPr>
          <w:trHeight w:val="284"/>
        </w:trPr>
        <w:tc>
          <w:tcPr>
            <w:tcW w:w="4968" w:type="dxa"/>
            <w:vAlign w:val="center"/>
          </w:tcPr>
          <w:p w:rsidR="00E91899" w:rsidRDefault="00E91899" w:rsidP="00DC7A88">
            <w:pPr>
              <w:rPr>
                <w:rFonts w:ascii="Times New Roman" w:hAnsi="Times New Roman"/>
                <w:sz w:val="20"/>
              </w:rPr>
            </w:pPr>
            <w:r>
              <w:rPr>
                <w:rFonts w:ascii="Times New Roman" w:hAnsi="Times New Roman"/>
                <w:sz w:val="20"/>
              </w:rPr>
              <w:t>Weighted Average Wage (Unadjusted)</w:t>
            </w:r>
          </w:p>
        </w:tc>
        <w:tc>
          <w:tcPr>
            <w:tcW w:w="2070" w:type="dxa"/>
            <w:vAlign w:val="center"/>
          </w:tcPr>
          <w:p w:rsidR="00E91899" w:rsidRDefault="00E91899" w:rsidP="00E91899">
            <w:pPr>
              <w:jc w:val="right"/>
              <w:rPr>
                <w:rFonts w:ascii="Times New Roman" w:hAnsi="Times New Roman"/>
                <w:sz w:val="20"/>
              </w:rPr>
            </w:pPr>
          </w:p>
        </w:tc>
        <w:tc>
          <w:tcPr>
            <w:tcW w:w="1080" w:type="dxa"/>
            <w:vAlign w:val="center"/>
          </w:tcPr>
          <w:p w:rsidR="00E91899" w:rsidRDefault="00E91899" w:rsidP="00E91899">
            <w:pPr>
              <w:jc w:val="right"/>
              <w:rPr>
                <w:rFonts w:ascii="Times New Roman" w:hAnsi="Times New Roman"/>
                <w:sz w:val="20"/>
              </w:rPr>
            </w:pPr>
          </w:p>
        </w:tc>
        <w:tc>
          <w:tcPr>
            <w:tcW w:w="1533" w:type="dxa"/>
            <w:vAlign w:val="center"/>
          </w:tcPr>
          <w:p w:rsidR="00E91899" w:rsidRDefault="00E91899" w:rsidP="00E91899">
            <w:pPr>
              <w:jc w:val="right"/>
              <w:rPr>
                <w:rFonts w:ascii="Times New Roman" w:hAnsi="Times New Roman"/>
                <w:sz w:val="20"/>
              </w:rPr>
            </w:pPr>
            <w:r>
              <w:rPr>
                <w:rFonts w:ascii="Times New Roman" w:hAnsi="Times New Roman"/>
                <w:sz w:val="20"/>
              </w:rPr>
              <w:t>$48.08</w:t>
            </w:r>
          </w:p>
        </w:tc>
      </w:tr>
    </w:tbl>
    <w:p w:rsidR="00DC7A88" w:rsidRPr="00E91899" w:rsidRDefault="00E91899" w:rsidP="001B4291">
      <w:pPr>
        <w:rPr>
          <w:rFonts w:ascii="Times New Roman" w:hAnsi="Times New Roman"/>
          <w:sz w:val="18"/>
          <w:szCs w:val="18"/>
        </w:rPr>
      </w:pPr>
      <w:r>
        <w:rPr>
          <w:rFonts w:ascii="Times New Roman" w:hAnsi="Times New Roman"/>
          <w:sz w:val="18"/>
          <w:szCs w:val="18"/>
        </w:rPr>
        <w:t>Source:  Bureau of Labor Statistics, “National Industry-Specific Occupational Employment and Wage Estimates: Depository Credit Intermediation Sector” (May 2017).</w:t>
      </w:r>
    </w:p>
    <w:p w:rsidR="001B4291" w:rsidRPr="001B4291" w:rsidRDefault="001B4291" w:rsidP="001B4291">
      <w:pPr>
        <w:rPr>
          <w:rFonts w:ascii="Times New Roman" w:hAnsi="Times New Roman"/>
        </w:rPr>
      </w:pPr>
    </w:p>
    <w:p w:rsidR="001B4291" w:rsidRDefault="001B4291" w:rsidP="001B4291">
      <w:pPr>
        <w:rPr>
          <w:rFonts w:ascii="Times New Roman" w:hAnsi="Times New Roman"/>
        </w:rPr>
      </w:pPr>
      <w:r w:rsidRPr="001B4291">
        <w:rPr>
          <w:rFonts w:ascii="Times New Roman" w:hAnsi="Times New Roman"/>
        </w:rPr>
        <w:t xml:space="preserve">The wage information reported by the BLS in the Specific Occupational Employment and Wage Estimates does not include health benefits and other non-monetary benefits. According to the June 2018 Employer Cost of Employee Compensation data compensation rates for health and other benefits are 35.7 percent of total compensation. </w:t>
      </w:r>
      <w:r>
        <w:rPr>
          <w:rFonts w:ascii="Times New Roman" w:hAnsi="Times New Roman"/>
        </w:rPr>
        <w:t>FDIC also inflation-</w:t>
      </w:r>
      <w:r w:rsidRPr="001B4291">
        <w:rPr>
          <w:rFonts w:ascii="Times New Roman" w:hAnsi="Times New Roman"/>
        </w:rPr>
        <w:t xml:space="preserve">adjusted the wage information according to the BLS data on the Consumer Price Index for Urban Consumers (CPI-U) so that it is contemporaneous with the non-wage compensation statistic. The inflation rate was 2.85 percent between May 2017 and June 2018. Therefore, the adjusted average wage for the </w:t>
      </w:r>
      <w:r>
        <w:rPr>
          <w:rFonts w:ascii="Times New Roman" w:hAnsi="Times New Roman"/>
        </w:rPr>
        <w:t>above</w:t>
      </w:r>
      <w:r w:rsidRPr="001B4291">
        <w:rPr>
          <w:rFonts w:ascii="Times New Roman" w:hAnsi="Times New Roman"/>
        </w:rPr>
        <w:t xml:space="preserve"> occupations is $</w:t>
      </w:r>
      <w:r w:rsidR="00E91899">
        <w:rPr>
          <w:rFonts w:ascii="Times New Roman" w:hAnsi="Times New Roman"/>
        </w:rPr>
        <w:t>66.61</w:t>
      </w:r>
      <w:r w:rsidRPr="001B4291">
        <w:rPr>
          <w:rFonts w:ascii="Times New Roman" w:hAnsi="Times New Roman"/>
        </w:rPr>
        <w:t xml:space="preserve"> per hour.</w:t>
      </w:r>
    </w:p>
    <w:p w:rsidR="001B4291" w:rsidRDefault="001B4291" w:rsidP="001B4291">
      <w:pPr>
        <w:rPr>
          <w:rFonts w:ascii="Times New Roman" w:hAnsi="Times New Roman"/>
        </w:rPr>
      </w:pPr>
    </w:p>
    <w:p w:rsidR="001B4291" w:rsidRPr="001B4291" w:rsidRDefault="00731A90" w:rsidP="001B4291">
      <w:pPr>
        <w:rPr>
          <w:rFonts w:ascii="Times New Roman" w:hAnsi="Times New Roman"/>
        </w:rPr>
      </w:pPr>
      <w:r>
        <w:rPr>
          <w:rFonts w:ascii="Times New Roman" w:hAnsi="Times New Roman"/>
        </w:rPr>
        <w:t xml:space="preserve"> </w:t>
      </w:r>
      <w:r w:rsidR="001B4291" w:rsidRPr="001B4291">
        <w:rPr>
          <w:rFonts w:ascii="Times New Roman" w:hAnsi="Times New Roman"/>
        </w:rPr>
        <w:t>Using the total estimated hourly burden and the total hourly compensation estimate, the total estimated cost burden for the ICR (OMB No. 3064-</w:t>
      </w:r>
      <w:r w:rsidR="00E91899">
        <w:rPr>
          <w:rFonts w:ascii="Times New Roman" w:hAnsi="Times New Roman"/>
        </w:rPr>
        <w:t>0095</w:t>
      </w:r>
      <w:r w:rsidR="001B4291" w:rsidRPr="001B4291">
        <w:rPr>
          <w:rFonts w:ascii="Times New Roman" w:hAnsi="Times New Roman"/>
        </w:rPr>
        <w:t xml:space="preserve">) is </w:t>
      </w:r>
      <w:r w:rsidR="001B4291" w:rsidRPr="001B4291">
        <w:rPr>
          <w:rFonts w:ascii="Times New Roman" w:hAnsi="Times New Roman"/>
          <w:b/>
          <w:u w:val="single"/>
        </w:rPr>
        <w:t>$1</w:t>
      </w:r>
      <w:r w:rsidR="00F51FCB">
        <w:rPr>
          <w:rFonts w:ascii="Times New Roman" w:hAnsi="Times New Roman"/>
          <w:b/>
          <w:u w:val="single"/>
        </w:rPr>
        <w:t>17,700</w:t>
      </w:r>
      <w:r w:rsidR="001B4291" w:rsidRPr="001B4291">
        <w:rPr>
          <w:rFonts w:ascii="Times New Roman" w:hAnsi="Times New Roman"/>
          <w:b/>
          <w:u w:val="single"/>
        </w:rPr>
        <w:t xml:space="preserve"> per year</w:t>
      </w:r>
      <w:r w:rsidR="001B4291" w:rsidRPr="001B4291">
        <w:rPr>
          <w:rFonts w:ascii="Times New Roman" w:hAnsi="Times New Roman"/>
        </w:rPr>
        <w:t xml:space="preserve"> </w:t>
      </w:r>
      <w:r w:rsidR="001B4291">
        <w:rPr>
          <w:rFonts w:ascii="Times New Roman" w:hAnsi="Times New Roman"/>
        </w:rPr>
        <w:t>(</w:t>
      </w:r>
      <w:r w:rsidR="001B4291" w:rsidRPr="001B4291">
        <w:rPr>
          <w:rFonts w:ascii="Times New Roman" w:hAnsi="Times New Roman"/>
        </w:rPr>
        <w:t>1,</w:t>
      </w:r>
      <w:r w:rsidR="00F51FCB">
        <w:rPr>
          <w:rFonts w:ascii="Times New Roman" w:hAnsi="Times New Roman"/>
        </w:rPr>
        <w:t>767</w:t>
      </w:r>
      <w:r w:rsidR="001B4291" w:rsidRPr="001B4291">
        <w:rPr>
          <w:rFonts w:ascii="Times New Roman" w:hAnsi="Times New Roman"/>
        </w:rPr>
        <w:t xml:space="preserve"> hours x $</w:t>
      </w:r>
      <w:r w:rsidR="00E91899">
        <w:rPr>
          <w:rFonts w:ascii="Times New Roman" w:hAnsi="Times New Roman"/>
        </w:rPr>
        <w:t>66.61</w:t>
      </w:r>
      <w:r w:rsidR="001B4291" w:rsidRPr="001B4291">
        <w:rPr>
          <w:rFonts w:ascii="Times New Roman" w:hAnsi="Times New Roman"/>
        </w:rPr>
        <w:t>/hr</w:t>
      </w:r>
      <w:r w:rsidR="001B4291">
        <w:rPr>
          <w:rFonts w:ascii="Times New Roman" w:hAnsi="Times New Roman"/>
        </w:rPr>
        <w:t>)</w:t>
      </w:r>
      <w:r w:rsidR="001B4291" w:rsidRPr="001B4291">
        <w:rPr>
          <w:rFonts w:ascii="Times New Roman" w:hAnsi="Times New Roman"/>
        </w:rPr>
        <w:t>.</w:t>
      </w:r>
    </w:p>
    <w:p w:rsidR="00731A90" w:rsidRDefault="00731A90">
      <w:pPr>
        <w:ind w:firstLine="720"/>
        <w:rPr>
          <w:rFonts w:ascii="Times New Roman" w:hAnsi="Times New Roman"/>
        </w:rPr>
      </w:pPr>
    </w:p>
    <w:p w:rsidR="00731A90" w:rsidRDefault="00731A90">
      <w:pPr>
        <w:ind w:firstLine="720"/>
        <w:rPr>
          <w:rFonts w:ascii="Times New Roman" w:hAnsi="Times New Roman"/>
        </w:rPr>
      </w:pPr>
      <w:r>
        <w:rPr>
          <w:rFonts w:ascii="Times New Roman" w:hAnsi="Times New Roman"/>
        </w:rPr>
        <w:t>13.</w:t>
      </w:r>
      <w:r>
        <w:rPr>
          <w:rFonts w:ascii="Times New Roman" w:hAnsi="Times New Roman"/>
        </w:rPr>
        <w:tab/>
      </w:r>
      <w:r w:rsidR="009E4FE6" w:rsidRPr="009E4FE6">
        <w:rPr>
          <w:rFonts w:ascii="Times New Roman" w:hAnsi="Times New Roman"/>
          <w:bCs/>
          <w:u w:val="single"/>
        </w:rPr>
        <w:t xml:space="preserve">Estimate of </w:t>
      </w:r>
      <w:r w:rsidR="00817DAE">
        <w:rPr>
          <w:rFonts w:ascii="Times New Roman" w:hAnsi="Times New Roman"/>
          <w:bCs/>
          <w:u w:val="single"/>
        </w:rPr>
        <w:t>s</w:t>
      </w:r>
      <w:r w:rsidR="009E4FE6" w:rsidRPr="009E4FE6">
        <w:rPr>
          <w:rFonts w:ascii="Times New Roman" w:hAnsi="Times New Roman"/>
          <w:bCs/>
          <w:u w:val="single"/>
        </w:rPr>
        <w:t xml:space="preserve">tart-up </w:t>
      </w:r>
      <w:r w:rsidR="00817DAE">
        <w:rPr>
          <w:rFonts w:ascii="Times New Roman" w:hAnsi="Times New Roman"/>
          <w:bCs/>
          <w:u w:val="single"/>
        </w:rPr>
        <w:t>c</w:t>
      </w:r>
      <w:r w:rsidR="009E4FE6" w:rsidRPr="009E4FE6">
        <w:rPr>
          <w:rFonts w:ascii="Times New Roman" w:hAnsi="Times New Roman"/>
          <w:bCs/>
          <w:u w:val="single"/>
        </w:rPr>
        <w:t xml:space="preserve">osts to </w:t>
      </w:r>
      <w:r w:rsidR="00817DAE">
        <w:rPr>
          <w:rFonts w:ascii="Times New Roman" w:hAnsi="Times New Roman"/>
          <w:bCs/>
          <w:u w:val="single"/>
        </w:rPr>
        <w:t>r</w:t>
      </w:r>
      <w:r w:rsidR="009E4FE6" w:rsidRPr="009E4FE6">
        <w:rPr>
          <w:rFonts w:ascii="Times New Roman" w:hAnsi="Times New Roman"/>
          <w:bCs/>
          <w:u w:val="single"/>
        </w:rPr>
        <w:t>espondents:</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14.</w:t>
      </w:r>
      <w:r>
        <w:rPr>
          <w:rFonts w:ascii="Times New Roman" w:hAnsi="Times New Roman"/>
        </w:rPr>
        <w:tab/>
      </w:r>
      <w:r w:rsidR="00817DAE" w:rsidRPr="00817DAE">
        <w:rPr>
          <w:rFonts w:ascii="Times New Roman" w:hAnsi="Times New Roman"/>
          <w:bCs/>
          <w:u w:val="single"/>
        </w:rPr>
        <w:t>Estimate of annualized costs to the government:</w:t>
      </w:r>
    </w:p>
    <w:p w:rsidR="00731A90" w:rsidRDefault="00731A90">
      <w:pPr>
        <w:rPr>
          <w:rFonts w:ascii="Times New Roman" w:hAnsi="Times New Roman"/>
        </w:rPr>
      </w:pPr>
    </w:p>
    <w:p w:rsidR="00731A90" w:rsidRDefault="007C1599">
      <w:pPr>
        <w:rPr>
          <w:rFonts w:ascii="Times New Roman" w:hAnsi="Times New Roman"/>
        </w:rPr>
      </w:pPr>
      <w:r>
        <w:rPr>
          <w:rFonts w:ascii="Times New Roman" w:hAnsi="Times New Roman"/>
        </w:rPr>
        <w:tab/>
      </w:r>
      <w:r>
        <w:rPr>
          <w:rFonts w:ascii="Times New Roman" w:hAnsi="Times New Roman"/>
        </w:rPr>
        <w:tab/>
        <w:t>None.</w:t>
      </w:r>
    </w:p>
    <w:p w:rsidR="007C1599" w:rsidRDefault="007C1599">
      <w:pPr>
        <w:rPr>
          <w:rFonts w:ascii="Times New Roman" w:hAnsi="Times New Roman"/>
        </w:rPr>
      </w:pPr>
    </w:p>
    <w:p w:rsidR="00731A90" w:rsidRDefault="00731A90">
      <w:pPr>
        <w:ind w:firstLine="720"/>
        <w:rPr>
          <w:rFonts w:ascii="Times New Roman" w:hAnsi="Times New Roman"/>
        </w:rPr>
      </w:pPr>
      <w:r>
        <w:rPr>
          <w:rFonts w:ascii="Times New Roman" w:hAnsi="Times New Roman"/>
        </w:rPr>
        <w:t>15.</w:t>
      </w:r>
      <w:r>
        <w:rPr>
          <w:rFonts w:ascii="Times New Roman" w:hAnsi="Times New Roman"/>
        </w:rPr>
        <w:tab/>
      </w:r>
      <w:r w:rsidR="00817DAE" w:rsidRPr="00817DAE">
        <w:rPr>
          <w:rFonts w:ascii="Times New Roman" w:hAnsi="Times New Roman"/>
          <w:u w:val="single"/>
        </w:rPr>
        <w:t>Analysis of change in burden:</w:t>
      </w:r>
      <w:r>
        <w:rPr>
          <w:rFonts w:ascii="Times New Roman" w:hAnsi="Times New Roman"/>
          <w:u w:val="single"/>
        </w:rPr>
        <w:t xml:space="preserve"> </w:t>
      </w:r>
    </w:p>
    <w:p w:rsidR="00731A90" w:rsidRDefault="00731A90">
      <w:pPr>
        <w:rPr>
          <w:rFonts w:ascii="Times New Roman" w:hAnsi="Times New Roman"/>
        </w:rPr>
      </w:pPr>
    </w:p>
    <w:p w:rsidR="00731A90" w:rsidRDefault="007C1599">
      <w:pPr>
        <w:ind w:left="1440"/>
        <w:rPr>
          <w:rFonts w:ascii="Times New Roman" w:hAnsi="Times New Roman"/>
        </w:rPr>
      </w:pPr>
      <w:r w:rsidRPr="007C1599">
        <w:rPr>
          <w:rFonts w:ascii="Times New Roman" w:hAnsi="Times New Roman"/>
        </w:rPr>
        <w:t>There is no change in the method or substance of the collection.  The overall reduction in burden hours is the result of economic fluctuation.  In particular, the number of respondents has decreased while the hours per response and frequency of responses have remained the same.</w:t>
      </w:r>
      <w:r w:rsidR="00731A90">
        <w:rPr>
          <w:rFonts w:ascii="Times New Roman" w:hAnsi="Times New Roman"/>
        </w:rPr>
        <w:t xml:space="preserve">   </w:t>
      </w:r>
    </w:p>
    <w:p w:rsidR="00731A90" w:rsidRDefault="00731A90">
      <w:pPr>
        <w:rPr>
          <w:rFonts w:ascii="Times New Roman" w:hAnsi="Times New Roman"/>
        </w:rPr>
      </w:pPr>
    </w:p>
    <w:p w:rsidR="00731A90" w:rsidRDefault="00731A90" w:rsidP="00817DAE">
      <w:pPr>
        <w:ind w:left="1440" w:hanging="720"/>
        <w:rPr>
          <w:rFonts w:ascii="Times New Roman" w:hAnsi="Times New Roman"/>
        </w:rPr>
      </w:pPr>
      <w:r>
        <w:rPr>
          <w:rFonts w:ascii="Times New Roman" w:hAnsi="Times New Roman"/>
        </w:rPr>
        <w:t>16.</w:t>
      </w:r>
      <w:r>
        <w:rPr>
          <w:rFonts w:ascii="Times New Roman" w:hAnsi="Times New Roman"/>
        </w:rPr>
        <w:tab/>
      </w:r>
      <w:r w:rsidR="00817DAE" w:rsidRPr="00817DAE">
        <w:rPr>
          <w:rFonts w:ascii="Times New Roman TUR" w:hAnsi="Times New Roman TUR" w:cs="Times New Roman TUR"/>
          <w:bCs/>
          <w:u w:val="single"/>
        </w:rPr>
        <w:t>Information</w:t>
      </w:r>
      <w:r w:rsidR="00817DAE" w:rsidRP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rsidRDefault="00731A90">
      <w:pPr>
        <w:rPr>
          <w:rFonts w:ascii="Times New Roman" w:hAnsi="Times New Roman"/>
        </w:rPr>
      </w:pPr>
    </w:p>
    <w:p w:rsidR="00731A90" w:rsidRDefault="00817DAE">
      <w:pPr>
        <w:ind w:left="1440"/>
        <w:rPr>
          <w:rFonts w:ascii="Times New Roman" w:hAnsi="Times New Roman"/>
        </w:rPr>
      </w:pPr>
      <w:r w:rsidRPr="00817DAE">
        <w:rPr>
          <w:rFonts w:ascii="Times New Roman" w:hAnsi="Times New Roman"/>
        </w:rPr>
        <w:t>The results of this collection will not be published for statistical use.</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Not applicable.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numPr>
          <w:ilvl w:val="0"/>
          <w:numId w:val="3"/>
        </w:numPr>
        <w:rPr>
          <w:rFonts w:ascii="Times New Roman" w:hAnsi="Times New Roman"/>
          <w:u w:val="single"/>
        </w:rPr>
      </w:pPr>
      <w:r>
        <w:rPr>
          <w:rFonts w:ascii="Times New Roman" w:hAnsi="Times New Roman"/>
          <w:u w:val="single"/>
        </w:rPr>
        <w:t xml:space="preserve">STATISTICAL METHODS </w:t>
      </w:r>
    </w:p>
    <w:p w:rsidR="00731A90" w:rsidRDefault="00731A90">
      <w:pPr>
        <w:rPr>
          <w:rFonts w:ascii="Times New Roman" w:hAnsi="Times New Roman"/>
          <w:u w:val="single"/>
        </w:rPr>
      </w:pPr>
    </w:p>
    <w:p w:rsidR="00731A90" w:rsidRDefault="00731A90">
      <w:pPr>
        <w:ind w:left="720"/>
        <w:rPr>
          <w:rFonts w:ascii="Times New Roman" w:hAnsi="Times New Roman"/>
        </w:rPr>
      </w:pPr>
      <w:r>
        <w:rPr>
          <w:rFonts w:ascii="Times New Roman" w:hAnsi="Times New Roman"/>
        </w:rPr>
        <w:t>Not Applicable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footerReference w:type="default" r:id="rId9"/>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97" w:rsidRDefault="00E11397">
      <w:r>
        <w:separator/>
      </w:r>
    </w:p>
  </w:endnote>
  <w:endnote w:type="continuationSeparator" w:id="0">
    <w:p w:rsidR="00E11397" w:rsidRDefault="00E1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76" w:rsidRDefault="000D7176">
    <w:pPr>
      <w:spacing w:line="240" w:lineRule="exact"/>
    </w:pPr>
  </w:p>
  <w:p w:rsidR="000D7176" w:rsidRDefault="000D717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F3BBD">
      <w:rPr>
        <w:rFonts w:ascii="Times New Roman" w:hAnsi="Times New Roman"/>
        <w:noProof/>
      </w:rPr>
      <w:t>1</w:t>
    </w:r>
    <w:r>
      <w:rPr>
        <w:rFonts w:ascii="Times New Roman" w:hAnsi="Times New Roman"/>
      </w:rPr>
      <w:fldChar w:fldCharType="end"/>
    </w:r>
  </w:p>
  <w:p w:rsidR="000D7176" w:rsidRDefault="000D71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97" w:rsidRDefault="00E11397">
      <w:r>
        <w:separator/>
      </w:r>
    </w:p>
  </w:footnote>
  <w:footnote w:type="continuationSeparator" w:id="0">
    <w:p w:rsidR="00E11397" w:rsidRDefault="00E11397">
      <w:r>
        <w:continuationSeparator/>
      </w:r>
    </w:p>
  </w:footnote>
  <w:footnote w:id="1">
    <w:p w:rsidR="001B4291" w:rsidRDefault="001B4291" w:rsidP="001B4291">
      <w:pPr>
        <w:pStyle w:val="FootnoteText"/>
      </w:pPr>
      <w:r>
        <w:rPr>
          <w:rStyle w:val="FootnoteReference"/>
        </w:rPr>
        <w:footnoteRef/>
      </w:r>
      <w:r>
        <w:t xml:space="preserve"> The 75</w:t>
      </w:r>
      <w:r w:rsidRPr="0078054C">
        <w:rPr>
          <w:vertAlign w:val="superscript"/>
        </w:rPr>
        <w:t>th</w:t>
      </w:r>
      <w:r>
        <w:t xml:space="preserve"> percentile wage for </w:t>
      </w:r>
      <w:r w:rsidRPr="0078054C">
        <w:t>Lawyers</w:t>
      </w:r>
      <w:r>
        <w:t xml:space="preserve"> </w:t>
      </w:r>
      <w:r w:rsidRPr="0078054C">
        <w:t>(231011)</w:t>
      </w:r>
      <w:r>
        <w:t xml:space="preserve"> was not reported. Thus the 75</w:t>
      </w:r>
      <w:r w:rsidRPr="00274380">
        <w:rPr>
          <w:vertAlign w:val="superscript"/>
        </w:rPr>
        <w:t>th</w:t>
      </w:r>
      <w:r>
        <w:t xml:space="preserve"> percentile wage for </w:t>
      </w:r>
      <w:r w:rsidRPr="00274380">
        <w:t>Lawyers, Judges, and Related Workers</w:t>
      </w:r>
      <w:r>
        <w:t xml:space="preserve"> </w:t>
      </w:r>
      <w:r w:rsidRPr="00274380">
        <w:t>(231000)</w:t>
      </w:r>
      <w:r>
        <w:t xml:space="preserve"> was used for calculating the wage estimate.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A3"/>
    <w:rsid w:val="000D7176"/>
    <w:rsid w:val="000E495A"/>
    <w:rsid w:val="0012121F"/>
    <w:rsid w:val="001B4291"/>
    <w:rsid w:val="001D73DB"/>
    <w:rsid w:val="002105C5"/>
    <w:rsid w:val="00243D1D"/>
    <w:rsid w:val="003E2C64"/>
    <w:rsid w:val="004500F9"/>
    <w:rsid w:val="004F3BBD"/>
    <w:rsid w:val="00516674"/>
    <w:rsid w:val="00565D70"/>
    <w:rsid w:val="00573771"/>
    <w:rsid w:val="005E1C4C"/>
    <w:rsid w:val="005E2B9C"/>
    <w:rsid w:val="006769C3"/>
    <w:rsid w:val="00731A90"/>
    <w:rsid w:val="007C1599"/>
    <w:rsid w:val="00817DAE"/>
    <w:rsid w:val="00845B13"/>
    <w:rsid w:val="00897E7D"/>
    <w:rsid w:val="009E4FE6"/>
    <w:rsid w:val="00A863A8"/>
    <w:rsid w:val="00D664A3"/>
    <w:rsid w:val="00DC7A88"/>
    <w:rsid w:val="00DF3C8F"/>
    <w:rsid w:val="00E11397"/>
    <w:rsid w:val="00E91899"/>
    <w:rsid w:val="00F51FCB"/>
    <w:rsid w:val="00F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rsid w:val="00DC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rsid w:val="00DC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629C-F647-411A-9B2F-FB0AD84B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2015-12-03T00:00:00Z</cp:lastPrinted>
  <dcterms:created xsi:type="dcterms:W3CDTF">2019-02-15T19:52:00Z</dcterms:created>
  <dcterms:modified xsi:type="dcterms:W3CDTF">2019-02-15T19:52:00Z</dcterms:modified>
</cp:coreProperties>
</file>