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64F" w:rsidRPr="00D92FEB" w:rsidRDefault="00375C77" w:rsidP="006851C2">
      <w:pPr>
        <w:pStyle w:val="296"/>
        <w:jc w:val="center"/>
        <w:rPr>
          <w:b/>
        </w:rPr>
      </w:pPr>
      <w:bookmarkStart w:id="0" w:name="_GoBack"/>
      <w:bookmarkEnd w:id="0"/>
      <w:r>
        <w:rPr>
          <w:b/>
        </w:rPr>
        <w:t>SUPPORTING STATEMENT</w:t>
      </w:r>
    </w:p>
    <w:p w:rsidR="004D79C9" w:rsidRDefault="009F364F">
      <w:pPr>
        <w:pStyle w:val="296"/>
        <w:jc w:val="center"/>
        <w:rPr>
          <w:b/>
        </w:rPr>
      </w:pPr>
      <w:r w:rsidRPr="00D92FEB">
        <w:rPr>
          <w:b/>
        </w:rPr>
        <w:t xml:space="preserve">Citrus </w:t>
      </w:r>
      <w:r w:rsidR="008541F2" w:rsidRPr="00D92FEB">
        <w:rPr>
          <w:b/>
        </w:rPr>
        <w:t>Greening</w:t>
      </w:r>
      <w:r w:rsidR="004D79C9">
        <w:rPr>
          <w:b/>
        </w:rPr>
        <w:t xml:space="preserve"> and Asian Citrus Psyllid;</w:t>
      </w:r>
    </w:p>
    <w:p w:rsidR="008467C3" w:rsidRDefault="004D79C9">
      <w:pPr>
        <w:pStyle w:val="296"/>
        <w:jc w:val="center"/>
        <w:rPr>
          <w:b/>
        </w:rPr>
      </w:pPr>
      <w:r>
        <w:rPr>
          <w:b/>
        </w:rPr>
        <w:t xml:space="preserve">Quarantine </w:t>
      </w:r>
      <w:r w:rsidR="008467C3" w:rsidRPr="00D92FEB">
        <w:rPr>
          <w:b/>
        </w:rPr>
        <w:t>and Interstate Movement Regulations</w:t>
      </w:r>
    </w:p>
    <w:p w:rsidR="00D92FEB" w:rsidRDefault="00A92A8B">
      <w:pPr>
        <w:pStyle w:val="296"/>
        <w:jc w:val="center"/>
        <w:rPr>
          <w:b/>
        </w:rPr>
      </w:pPr>
      <w:r>
        <w:rPr>
          <w:b/>
        </w:rPr>
        <w:t>OMB No. 0579-0363</w:t>
      </w:r>
    </w:p>
    <w:p w:rsidR="006851C2" w:rsidRDefault="006851C2">
      <w:pPr>
        <w:pStyle w:val="296"/>
        <w:jc w:val="center"/>
        <w:rPr>
          <w:b/>
        </w:rPr>
      </w:pPr>
    </w:p>
    <w:p w:rsidR="006851C2" w:rsidRDefault="006851C2" w:rsidP="006851C2">
      <w:pPr>
        <w:pStyle w:val="296"/>
        <w:jc w:val="right"/>
        <w:rPr>
          <w:b/>
        </w:rPr>
      </w:pPr>
      <w:r>
        <w:rPr>
          <w:b/>
        </w:rPr>
        <w:t>December 2018</w:t>
      </w:r>
    </w:p>
    <w:p w:rsidR="00F15FA8" w:rsidRDefault="00F15FA8">
      <w:pPr>
        <w:pStyle w:val="296"/>
        <w:jc w:val="center"/>
        <w:rPr>
          <w:b/>
        </w:rPr>
      </w:pPr>
    </w:p>
    <w:p w:rsidR="00375C77" w:rsidRPr="00E32BE9" w:rsidRDefault="00375C77">
      <w:pPr>
        <w:pStyle w:val="296"/>
        <w:rPr>
          <w:b/>
        </w:rPr>
      </w:pPr>
      <w:r w:rsidRPr="00E32BE9">
        <w:rPr>
          <w:b/>
        </w:rPr>
        <w:t>A.  Justification</w:t>
      </w:r>
    </w:p>
    <w:p w:rsidR="00375C77" w:rsidRDefault="00375C77">
      <w:pPr>
        <w:pStyle w:val="296"/>
      </w:pPr>
    </w:p>
    <w:p w:rsidR="00375C77" w:rsidRDefault="00375C77">
      <w:pPr>
        <w:pStyle w:val="296"/>
        <w:rPr>
          <w:b/>
        </w:rPr>
      </w:pPr>
      <w:r>
        <w:rPr>
          <w:b/>
        </w:rPr>
        <w:t>1.  Explain the circumstances that make the collection of information necessary.  Identify any legal or administrative requirements that necessitate the collection.</w:t>
      </w:r>
    </w:p>
    <w:p w:rsidR="00343A7A" w:rsidRDefault="00343A7A">
      <w:pPr>
        <w:pStyle w:val="296"/>
        <w:rPr>
          <w:b/>
        </w:rPr>
      </w:pPr>
    </w:p>
    <w:p w:rsidR="00343A7A" w:rsidRDefault="00343A7A">
      <w:pPr>
        <w:pStyle w:val="296"/>
      </w:pPr>
      <w:r>
        <w:t>The United States</w:t>
      </w:r>
      <w:r w:rsidR="009D2374">
        <w:t xml:space="preserve"> Department of Agriculture</w:t>
      </w:r>
      <w:r w:rsidR="00447241">
        <w:t xml:space="preserve"> (USDA)</w:t>
      </w:r>
      <w:r w:rsidR="002516B1">
        <w:t>, Animal and Plant He</w:t>
      </w:r>
      <w:r w:rsidR="00447241">
        <w:t>alth Inspection Service (APHIS)</w:t>
      </w:r>
      <w:r w:rsidR="00D92FEB">
        <w:t>,</w:t>
      </w:r>
      <w:r w:rsidR="009D2374">
        <w:t xml:space="preserve"> </w:t>
      </w:r>
      <w:r>
        <w:t>is responsible for preventing plant disease</w:t>
      </w:r>
      <w:r w:rsidR="002516B1">
        <w:t>s</w:t>
      </w:r>
      <w:r w:rsidR="00F15FA8">
        <w:t xml:space="preserve"> and</w:t>
      </w:r>
      <w:r>
        <w:t xml:space="preserve"> insect pests from entering the United States, preventing the spread of pests and noxious weeds not widely distributed in the Unit</w:t>
      </w:r>
      <w:r w:rsidR="004D79C9">
        <w:t>ed States, and eradicating</w:t>
      </w:r>
      <w:r>
        <w:t xml:space="preserve"> imported pests when eradication is feasible</w:t>
      </w:r>
      <w:r w:rsidR="00D92FEB">
        <w:t>.</w:t>
      </w:r>
    </w:p>
    <w:p w:rsidR="009F7082" w:rsidRDefault="009F7082">
      <w:pPr>
        <w:pStyle w:val="296"/>
      </w:pPr>
    </w:p>
    <w:p w:rsidR="00D92FEB" w:rsidRDefault="009F7082">
      <w:pPr>
        <w:pStyle w:val="296"/>
      </w:pPr>
      <w:r>
        <w:t>Under the Plant Protection Act (7 U.S.C. 7701</w:t>
      </w:r>
      <w:r w:rsidR="004D79C9">
        <w:t>,</w:t>
      </w:r>
      <w:r>
        <w:t xml:space="preserve"> </w:t>
      </w:r>
      <w:r w:rsidR="001A6BE3">
        <w:rPr>
          <w:u w:val="single"/>
        </w:rPr>
        <w:t>et</w:t>
      </w:r>
      <w:r w:rsidR="001A6BE3">
        <w:t xml:space="preserve"> </w:t>
      </w:r>
      <w:r w:rsidR="001A6BE3">
        <w:rPr>
          <w:u w:val="single"/>
        </w:rPr>
        <w:t>seq</w:t>
      </w:r>
      <w:r w:rsidR="001A6BE3">
        <w:t>.</w:t>
      </w:r>
      <w:r>
        <w:t>), the Secretary of Agriculture, either independently or in cooperation with the States, is authorized to carry out operations or measures to detect, eradicate, suppress, control, prevent, or retard the spread of plant pests</w:t>
      </w:r>
      <w:r w:rsidR="00375C77">
        <w:t xml:space="preserve"> (such as citrus canker) new to or widely distributed th</w:t>
      </w:r>
      <w:r w:rsidR="002516B1">
        <w:t xml:space="preserve">roughout the </w:t>
      </w:r>
    </w:p>
    <w:p w:rsidR="00375C77" w:rsidRDefault="002516B1">
      <w:pPr>
        <w:pStyle w:val="296"/>
      </w:pPr>
      <w:r>
        <w:t>United States.  APHIS’</w:t>
      </w:r>
      <w:r w:rsidR="00375C77">
        <w:t xml:space="preserve"> Domestic Quarantines (7 CFR Part 301) are issued under this authority.</w:t>
      </w:r>
    </w:p>
    <w:p w:rsidR="00375C77" w:rsidRDefault="00375C77">
      <w:pPr>
        <w:pStyle w:val="296"/>
      </w:pPr>
    </w:p>
    <w:p w:rsidR="008541F2" w:rsidRDefault="002C1014" w:rsidP="008541F2">
      <w:pPr>
        <w:pStyle w:val="296"/>
      </w:pPr>
      <w:r>
        <w:t xml:space="preserve">In the “Domestic Quarantine Notices” in 7 CFR part 301 the subpart, “Citrus Greening and Asian Citrus Psyllid” (§§ 301.76 through 301.76-11, referred to as the regulations) provides the regulatory guidance for the presence of Citrus Greening and Asian Citrus Psyllid. </w:t>
      </w:r>
      <w:r w:rsidR="008541F2">
        <w:t>The regulations quarantine the State of Florida, two parishes in Louisiana, and one county in South Carolina due to the presence of citrus greening</w:t>
      </w:r>
      <w:r w:rsidR="00C7718B">
        <w:t>.  The regulations also</w:t>
      </w:r>
      <w:r w:rsidR="008541F2">
        <w:t xml:space="preserve"> quarantine Alabama, Florida, Georgia, Guam, Hawaii, Louisiana, Mississippi, Puerto Rico, Texas, three counties in South Carolina, and portions of three counties in California due to the </w:t>
      </w:r>
      <w:r w:rsidR="00F15FA8">
        <w:t>presence of ACP</w:t>
      </w:r>
      <w:r w:rsidR="008541F2">
        <w:t xml:space="preserve">, a vector of the bacterial pathogen that causes citrus greening. </w:t>
      </w:r>
    </w:p>
    <w:p w:rsidR="00221C5B" w:rsidRDefault="00221C5B" w:rsidP="008541F2">
      <w:pPr>
        <w:pStyle w:val="296"/>
      </w:pPr>
    </w:p>
    <w:p w:rsidR="00221C5B" w:rsidRDefault="004D79C9" w:rsidP="00687E0E">
      <w:r>
        <w:t>T</w:t>
      </w:r>
      <w:r w:rsidR="00F15FA8">
        <w:t xml:space="preserve">he </w:t>
      </w:r>
      <w:r w:rsidR="00221C5B">
        <w:t xml:space="preserve">Huanglongbing disease of citrus, </w:t>
      </w:r>
      <w:r>
        <w:t xml:space="preserve">another name for citrus greening, </w:t>
      </w:r>
      <w:r w:rsidR="00221C5B" w:rsidRPr="00A75231">
        <w:t>is considered to be one of the most seriou</w:t>
      </w:r>
      <w:r w:rsidR="00221C5B">
        <w:t xml:space="preserve">s citrus diseases in the world.  </w:t>
      </w:r>
      <w:r w:rsidR="00221C5B" w:rsidRPr="00A75231">
        <w:t>Citrus greening is a bacterial disease</w:t>
      </w:r>
      <w:r w:rsidR="00221C5B">
        <w:t xml:space="preserve"> caused by strains of the bacter</w:t>
      </w:r>
      <w:r w:rsidR="00221C5B" w:rsidRPr="005123E2">
        <w:t>i</w:t>
      </w:r>
      <w:r w:rsidR="00221C5B">
        <w:t xml:space="preserve">al pathogen </w:t>
      </w:r>
      <w:r w:rsidR="00221C5B" w:rsidRPr="00983962">
        <w:t>“</w:t>
      </w:r>
      <w:r w:rsidR="00221C5B" w:rsidRPr="007A6E07">
        <w:rPr>
          <w:u w:val="single"/>
        </w:rPr>
        <w:t>Candidatus</w:t>
      </w:r>
      <w:r w:rsidR="00221C5B">
        <w:t xml:space="preserve"> Liberibacter asiaticus,” </w:t>
      </w:r>
      <w:r w:rsidR="00221C5B" w:rsidRPr="00A75231">
        <w:t xml:space="preserve">that attacks the vascular system of </w:t>
      </w:r>
      <w:r w:rsidR="00221C5B">
        <w:t>host plants.  The pathogen is</w:t>
      </w:r>
      <w:r w:rsidR="00221C5B" w:rsidRPr="00A75231">
        <w:t xml:space="preserve"> phloem-limited</w:t>
      </w:r>
      <w:r w:rsidR="00221C5B">
        <w:t xml:space="preserve"> </w:t>
      </w:r>
      <w:r w:rsidR="00C7718B">
        <w:t>which inhabits</w:t>
      </w:r>
      <w:r w:rsidR="00221C5B">
        <w:t xml:space="preserve"> the food-condu</w:t>
      </w:r>
      <w:r w:rsidR="00C7718B">
        <w:t>cting tissue of the host plant;</w:t>
      </w:r>
      <w:r w:rsidR="00221C5B" w:rsidRPr="00A75231">
        <w:t xml:space="preserve"> cause</w:t>
      </w:r>
      <w:r w:rsidR="00221C5B">
        <w:t>s</w:t>
      </w:r>
      <w:r w:rsidR="00221C5B" w:rsidRPr="00A75231">
        <w:t xml:space="preserve"> </w:t>
      </w:r>
      <w:r w:rsidR="00221C5B">
        <w:t>yellow shoots, blotchy mottling</w:t>
      </w:r>
      <w:r w:rsidR="00C7718B">
        <w:t>, chlorosis; reduced foliage;</w:t>
      </w:r>
      <w:r w:rsidR="00221C5B" w:rsidRPr="00A75231">
        <w:t xml:space="preserve"> and tip dieback of citr</w:t>
      </w:r>
      <w:r w:rsidR="00221C5B">
        <w:t>us plants.  Citrus greening</w:t>
      </w:r>
      <w:r w:rsidR="00221C5B" w:rsidRPr="00A75231">
        <w:t xml:space="preserve"> greatly reduces production, destroys the economic value of the fruit, </w:t>
      </w:r>
      <w:r w:rsidR="00221C5B">
        <w:t xml:space="preserve">and can kill trees.  </w:t>
      </w:r>
      <w:r w:rsidR="00221C5B" w:rsidRPr="00A75231">
        <w:t xml:space="preserve">Once infected, there is no cure for a tree with </w:t>
      </w:r>
      <w:r w:rsidR="00221C5B">
        <w:t xml:space="preserve">citrus greening disease.  </w:t>
      </w:r>
      <w:r w:rsidR="00221C5B" w:rsidRPr="00A75231">
        <w:t>In areas of</w:t>
      </w:r>
      <w:r w:rsidR="00221C5B">
        <w:t xml:space="preserve"> the world where the disease</w:t>
      </w:r>
      <w:r w:rsidR="00221C5B" w:rsidRPr="00A75231">
        <w:t xml:space="preserve"> is endemic, citrus trees decline and die within a few years and </w:t>
      </w:r>
      <w:r w:rsidR="00221C5B">
        <w:t xml:space="preserve">may never produce usable fruit.  </w:t>
      </w:r>
    </w:p>
    <w:p w:rsidR="00F15FA8" w:rsidRDefault="00F15FA8">
      <w:pPr>
        <w:pStyle w:val="296"/>
      </w:pPr>
    </w:p>
    <w:p w:rsidR="000D0E7D" w:rsidRDefault="00490972">
      <w:pPr>
        <w:pStyle w:val="296"/>
      </w:pPr>
      <w:r>
        <w:t>This in</w:t>
      </w:r>
      <w:r w:rsidR="00A92A8B">
        <w:t>formation collection</w:t>
      </w:r>
      <w:r w:rsidR="00387413">
        <w:t xml:space="preserve"> is necessary to address the risk associated with the interstate movement of citrus nursery stock and other regulated articles from areas quarantined</w:t>
      </w:r>
      <w:r w:rsidR="00A02FB7">
        <w:t xml:space="preserve"> for citrus </w:t>
      </w:r>
      <w:r w:rsidR="00934B65">
        <w:t>greening</w:t>
      </w:r>
      <w:r w:rsidR="00A02FB7">
        <w:t>.</w:t>
      </w:r>
      <w:r w:rsidR="00746C92">
        <w:t xml:space="preserve">  </w:t>
      </w:r>
      <w:r w:rsidR="00117E8B">
        <w:t>APHIS is asking OMB to approve</w:t>
      </w:r>
      <w:r w:rsidR="00643808">
        <w:t xml:space="preserve">, </w:t>
      </w:r>
      <w:r w:rsidR="00082A9B">
        <w:t>for 3</w:t>
      </w:r>
      <w:r w:rsidR="00A92A8B">
        <w:t xml:space="preserve"> </w:t>
      </w:r>
      <w:r w:rsidR="00E91525">
        <w:t xml:space="preserve">additional </w:t>
      </w:r>
      <w:r w:rsidR="00A92A8B">
        <w:t>years</w:t>
      </w:r>
      <w:r w:rsidR="00447241">
        <w:t>,</w:t>
      </w:r>
      <w:r w:rsidR="00E91525">
        <w:t xml:space="preserve"> the use of these</w:t>
      </w:r>
      <w:r w:rsidR="00117E8B">
        <w:t xml:space="preserve"> inform</w:t>
      </w:r>
      <w:r w:rsidR="00E91525">
        <w:t>ation collection activities</w:t>
      </w:r>
      <w:r w:rsidR="00032001">
        <w:t xml:space="preserve"> associated </w:t>
      </w:r>
      <w:r w:rsidR="00643808">
        <w:t>with its program</w:t>
      </w:r>
      <w:r w:rsidR="00117E8B">
        <w:t xml:space="preserve"> </w:t>
      </w:r>
      <w:r w:rsidR="00823600">
        <w:t>to prevent</w:t>
      </w:r>
      <w:r w:rsidR="00032001">
        <w:t xml:space="preserve"> the inter</w:t>
      </w:r>
      <w:r w:rsidR="00447241">
        <w:t>state m</w:t>
      </w:r>
      <w:r w:rsidR="009271E7">
        <w:t xml:space="preserve">ovement of citrus greening and </w:t>
      </w:r>
      <w:r w:rsidR="00082A9B">
        <w:t>ACP</w:t>
      </w:r>
      <w:r w:rsidR="00447241">
        <w:t xml:space="preserve"> </w:t>
      </w:r>
      <w:r w:rsidR="00032001">
        <w:t>into noninfested areas of the United States.</w:t>
      </w:r>
    </w:p>
    <w:p w:rsidR="00375C77" w:rsidRDefault="0043089F">
      <w:pPr>
        <w:pStyle w:val="296"/>
        <w:rPr>
          <w:b/>
        </w:rPr>
      </w:pPr>
      <w:r>
        <w:lastRenderedPageBreak/>
        <w:t xml:space="preserve"> </w:t>
      </w:r>
      <w:r w:rsidR="00375C77">
        <w:rPr>
          <w:b/>
        </w:rPr>
        <w:t>2.  Indicate how, by whom, and for what purpose the information is to be used.  Except for a new collection, indicate the actual use the agency has made of the information received from the current collection.</w:t>
      </w:r>
    </w:p>
    <w:p w:rsidR="00375C77" w:rsidRDefault="00375C77">
      <w:pPr>
        <w:pStyle w:val="296"/>
        <w:rPr>
          <w:b/>
        </w:rPr>
      </w:pPr>
    </w:p>
    <w:p w:rsidR="00746C92" w:rsidRDefault="00746C92">
      <w:pPr>
        <w:pStyle w:val="296"/>
      </w:pPr>
      <w:r>
        <w:t>APH</w:t>
      </w:r>
      <w:r w:rsidR="005466C6">
        <w:t>IS uses the following</w:t>
      </w:r>
      <w:r>
        <w:t xml:space="preserve"> information</w:t>
      </w:r>
      <w:r w:rsidR="005466C6">
        <w:t xml:space="preserve"> collection activity for the interstate movement of citrus nursery stock and other regulated articles from citrus greening quarantined areas</w:t>
      </w:r>
      <w:r>
        <w:t>:</w:t>
      </w:r>
    </w:p>
    <w:p w:rsidR="00746C92" w:rsidRPr="00746C92" w:rsidRDefault="00746C92">
      <w:pPr>
        <w:pStyle w:val="296"/>
      </w:pPr>
    </w:p>
    <w:p w:rsidR="006851C2" w:rsidRPr="006851C2" w:rsidRDefault="00032001">
      <w:pPr>
        <w:pStyle w:val="296"/>
        <w:rPr>
          <w:b/>
          <w:u w:val="single"/>
        </w:rPr>
      </w:pPr>
      <w:r w:rsidRPr="00FD544B">
        <w:rPr>
          <w:b/>
          <w:u w:val="single"/>
        </w:rPr>
        <w:t>Limited Permit (PPQ Form 530)</w:t>
      </w:r>
      <w:r w:rsidR="002B46E2">
        <w:rPr>
          <w:b/>
          <w:u w:val="single"/>
        </w:rPr>
        <w:t xml:space="preserve">, Additional Conditions for CG and ACP, and Emergency </w:t>
      </w:r>
      <w:r w:rsidR="002B46E2" w:rsidRPr="006851C2">
        <w:rPr>
          <w:b/>
          <w:u w:val="single"/>
        </w:rPr>
        <w:t>Conditions the Administrator may Impose</w:t>
      </w:r>
      <w:r w:rsidR="00652E09" w:rsidRPr="006851C2">
        <w:rPr>
          <w:b/>
          <w:u w:val="single"/>
        </w:rPr>
        <w:t xml:space="preserve"> </w:t>
      </w:r>
      <w:r w:rsidR="002B46E2" w:rsidRPr="006851C2">
        <w:rPr>
          <w:b/>
          <w:u w:val="single"/>
        </w:rPr>
        <w:t>(Business)</w:t>
      </w:r>
      <w:r w:rsidR="006851C2" w:rsidRPr="006851C2">
        <w:rPr>
          <w:b/>
          <w:u w:val="single"/>
        </w:rPr>
        <w:t xml:space="preserve"> </w:t>
      </w:r>
      <w:r w:rsidR="006851C2">
        <w:rPr>
          <w:b/>
          <w:u w:val="single"/>
        </w:rPr>
        <w:t xml:space="preserve">- </w:t>
      </w:r>
      <w:r w:rsidR="006851C2" w:rsidRPr="006851C2">
        <w:rPr>
          <w:b/>
          <w:u w:val="single"/>
        </w:rPr>
        <w:t>7 CFR 301.76-5, 6, 7</w:t>
      </w:r>
    </w:p>
    <w:p w:rsidR="00375C77" w:rsidRDefault="00FD544B">
      <w:pPr>
        <w:pStyle w:val="296"/>
      </w:pPr>
      <w:r>
        <w:t>Limited permits are used to authorize movement of regulated articles that are not certifiable to specified des</w:t>
      </w:r>
      <w:r w:rsidR="00082A9B">
        <w:t>tinations for process treatment</w:t>
      </w:r>
      <w:r>
        <w:t xml:space="preserve"> or utilization.  A limited permit is required in accordance with </w:t>
      </w:r>
      <w:r w:rsidR="00514E7C" w:rsidRPr="00E91525">
        <w:t>§</w:t>
      </w:r>
      <w:r>
        <w:t>301.7</w:t>
      </w:r>
      <w:r w:rsidR="00514E7C">
        <w:t>6</w:t>
      </w:r>
      <w:r>
        <w:t>-</w:t>
      </w:r>
      <w:r w:rsidR="00514E7C">
        <w:t>7 (c)</w:t>
      </w:r>
      <w:r>
        <w:t xml:space="preserve"> </w:t>
      </w:r>
      <w:r w:rsidR="00823600">
        <w:t>to secure</w:t>
      </w:r>
      <w:r>
        <w:t xml:space="preserve"> the interstate mo</w:t>
      </w:r>
      <w:r w:rsidR="00746C92">
        <w:t>vement of various</w:t>
      </w:r>
      <w:r>
        <w:t xml:space="preserve"> plants.</w:t>
      </w:r>
      <w:r w:rsidR="00DC285F">
        <w:t xml:space="preserve">   Regulated articles should be moved in compliance with any additional emergency conditions the Administrator may impose</w:t>
      </w:r>
      <w:r w:rsidR="00652E09">
        <w:t>, under the Plant Protection Act,</w:t>
      </w:r>
      <w:r w:rsidR="00DC285F">
        <w:t xml:space="preserve"> to prevent the spread of citrus greening and the Asian citrus psyllid.</w:t>
      </w:r>
    </w:p>
    <w:p w:rsidR="00FD544B" w:rsidRDefault="00FD544B">
      <w:pPr>
        <w:pStyle w:val="296"/>
      </w:pPr>
    </w:p>
    <w:p w:rsidR="006851C2" w:rsidRPr="006851C2" w:rsidRDefault="00934B65" w:rsidP="00652E09">
      <w:pPr>
        <w:pStyle w:val="296"/>
        <w:rPr>
          <w:u w:val="single"/>
        </w:rPr>
      </w:pPr>
      <w:r>
        <w:rPr>
          <w:b/>
          <w:u w:val="single"/>
        </w:rPr>
        <w:t>Federal Certificate (PPQ Form 540</w:t>
      </w:r>
      <w:r w:rsidR="002B46E2">
        <w:rPr>
          <w:b/>
          <w:u w:val="single"/>
        </w:rPr>
        <w:t xml:space="preserve">), Additional Conditions for CG and ACP, and Emergency </w:t>
      </w:r>
      <w:r w:rsidR="002B46E2" w:rsidRPr="006851C2">
        <w:rPr>
          <w:b/>
          <w:u w:val="single"/>
        </w:rPr>
        <w:t>Conditions the Administrator may Impose (Business)</w:t>
      </w:r>
      <w:r w:rsidR="0000217C" w:rsidRPr="006851C2">
        <w:rPr>
          <w:u w:val="single"/>
        </w:rPr>
        <w:t xml:space="preserve"> </w:t>
      </w:r>
      <w:r w:rsidR="006851C2">
        <w:rPr>
          <w:u w:val="single"/>
        </w:rPr>
        <w:t xml:space="preserve">- </w:t>
      </w:r>
      <w:r w:rsidR="006851C2" w:rsidRPr="006851C2">
        <w:rPr>
          <w:b/>
          <w:u w:val="single"/>
        </w:rPr>
        <w:t>7 CFR 301.76-5(a), 6, 7</w:t>
      </w:r>
    </w:p>
    <w:p w:rsidR="00652E09" w:rsidRDefault="00A4417F" w:rsidP="00652E09">
      <w:pPr>
        <w:pStyle w:val="296"/>
      </w:pPr>
      <w:r>
        <w:rPr>
          <w:rFonts w:cs="Arial"/>
        </w:rPr>
        <w:t>Certificates are issued when an inspector or person operating under a compliance agreement finds that, because of certain conditions, a regulated article can be moved</w:t>
      </w:r>
      <w:r w:rsidR="006851C2">
        <w:rPr>
          <w:rFonts w:cs="Arial"/>
        </w:rPr>
        <w:t xml:space="preserve"> safely from a quarantined area </w:t>
      </w:r>
      <w:r>
        <w:rPr>
          <w:rFonts w:cs="Arial"/>
        </w:rPr>
        <w:t>without spreading the disease or pest.</w:t>
      </w:r>
      <w:r w:rsidR="00652E09">
        <w:rPr>
          <w:rFonts w:cs="Arial"/>
        </w:rPr>
        <w:t xml:space="preserve">  </w:t>
      </w:r>
      <w:r w:rsidR="00652E09">
        <w:t>Regulated articles should be moved in compliance with any additional emergency conditions the Administrator may impose, under the Plant Protection Act, to prevent the spread of citrus greening and the Asian citrus psyllid.</w:t>
      </w:r>
    </w:p>
    <w:p w:rsidR="0000217C" w:rsidRDefault="0000217C">
      <w:pPr>
        <w:pStyle w:val="296"/>
      </w:pPr>
    </w:p>
    <w:p w:rsidR="006851C2" w:rsidRPr="006851C2" w:rsidRDefault="0000217C" w:rsidP="00965D69">
      <w:pPr>
        <w:rPr>
          <w:u w:val="single"/>
        </w:rPr>
      </w:pPr>
      <w:r w:rsidRPr="006851C2">
        <w:rPr>
          <w:b/>
          <w:u w:val="single"/>
        </w:rPr>
        <w:t>Compliance Agreement (PPQ Form 519)</w:t>
      </w:r>
      <w:r w:rsidR="00652E09" w:rsidRPr="006851C2">
        <w:rPr>
          <w:b/>
          <w:u w:val="single"/>
        </w:rPr>
        <w:t xml:space="preserve"> </w:t>
      </w:r>
      <w:r w:rsidR="002B46E2" w:rsidRPr="006851C2">
        <w:rPr>
          <w:b/>
          <w:u w:val="single"/>
        </w:rPr>
        <w:t>(Business)</w:t>
      </w:r>
      <w:r w:rsidR="002B46E2" w:rsidRPr="006851C2">
        <w:rPr>
          <w:u w:val="single"/>
        </w:rPr>
        <w:t xml:space="preserve"> </w:t>
      </w:r>
      <w:r w:rsidR="006851C2">
        <w:rPr>
          <w:u w:val="single"/>
        </w:rPr>
        <w:t xml:space="preserve">- </w:t>
      </w:r>
      <w:r w:rsidR="006851C2" w:rsidRPr="006851C2">
        <w:rPr>
          <w:b/>
          <w:u w:val="single"/>
        </w:rPr>
        <w:t>7 CFR 301.76-8</w:t>
      </w:r>
    </w:p>
    <w:p w:rsidR="00965D69" w:rsidRDefault="00746C92" w:rsidP="00965D69">
      <w:r>
        <w:t xml:space="preserve">This is a </w:t>
      </w:r>
      <w:r w:rsidR="00965D69">
        <w:t xml:space="preserve">written agreement between APHIS and a person engaged in the business of </w:t>
      </w:r>
      <w:r w:rsidR="00965D69" w:rsidRPr="00D947D5">
        <w:t xml:space="preserve">growing, </w:t>
      </w:r>
      <w:r w:rsidR="00965D69">
        <w:t xml:space="preserve">maintaining, </w:t>
      </w:r>
      <w:r w:rsidR="00965D69" w:rsidRPr="00D947D5">
        <w:t>processing,</w:t>
      </w:r>
      <w:r w:rsidR="00965D69">
        <w:t xml:space="preserve"> handling, packing, </w:t>
      </w:r>
      <w:r w:rsidR="00965D69" w:rsidRPr="00D947D5">
        <w:t>or moving</w:t>
      </w:r>
      <w:r w:rsidR="00965D69">
        <w:t xml:space="preserve"> host articles for interstate movement, in which the person agrees to comply with this subpart.  For the purposes of this subpart, a memorandum of understanding is considered a compliance agreement.</w:t>
      </w:r>
    </w:p>
    <w:p w:rsidR="0000217C" w:rsidRDefault="0000217C">
      <w:pPr>
        <w:pStyle w:val="296"/>
        <w:rPr>
          <w:b/>
          <w:u w:val="single"/>
        </w:rPr>
      </w:pPr>
    </w:p>
    <w:p w:rsidR="006851C2" w:rsidRPr="006851C2" w:rsidRDefault="00FD2518" w:rsidP="002C7057">
      <w:pPr>
        <w:pStyle w:val="296"/>
        <w:rPr>
          <w:u w:val="single"/>
        </w:rPr>
      </w:pPr>
      <w:r w:rsidRPr="006851C2">
        <w:rPr>
          <w:b/>
          <w:u w:val="single"/>
        </w:rPr>
        <w:t>Label</w:t>
      </w:r>
      <w:r w:rsidR="00984BED" w:rsidRPr="006851C2">
        <w:rPr>
          <w:b/>
          <w:u w:val="single"/>
        </w:rPr>
        <w:t>ing</w:t>
      </w:r>
      <w:r w:rsidRPr="006851C2">
        <w:rPr>
          <w:b/>
          <w:u w:val="single"/>
        </w:rPr>
        <w:t xml:space="preserve"> </w:t>
      </w:r>
      <w:r w:rsidR="002B46E2" w:rsidRPr="006851C2">
        <w:rPr>
          <w:b/>
          <w:u w:val="single"/>
        </w:rPr>
        <w:t xml:space="preserve">Requirements and </w:t>
      </w:r>
      <w:r w:rsidRPr="006851C2">
        <w:rPr>
          <w:b/>
          <w:u w:val="single"/>
        </w:rPr>
        <w:t>Statement</w:t>
      </w:r>
      <w:r w:rsidR="00652E09" w:rsidRPr="006851C2">
        <w:rPr>
          <w:b/>
          <w:u w:val="single"/>
        </w:rPr>
        <w:t xml:space="preserve"> </w:t>
      </w:r>
      <w:r w:rsidR="002B46E2" w:rsidRPr="006851C2">
        <w:rPr>
          <w:b/>
          <w:u w:val="single"/>
        </w:rPr>
        <w:t>(Business)</w:t>
      </w:r>
      <w:r w:rsidR="002C7057" w:rsidRPr="006851C2">
        <w:rPr>
          <w:u w:val="single"/>
        </w:rPr>
        <w:t xml:space="preserve"> </w:t>
      </w:r>
      <w:r w:rsidR="006851C2">
        <w:rPr>
          <w:u w:val="single"/>
        </w:rPr>
        <w:t xml:space="preserve">- </w:t>
      </w:r>
      <w:r w:rsidR="006851C2" w:rsidRPr="006851C2">
        <w:rPr>
          <w:b/>
          <w:u w:val="single"/>
        </w:rPr>
        <w:t xml:space="preserve">7 CFR </w:t>
      </w:r>
      <w:r w:rsidR="006851C2">
        <w:rPr>
          <w:b/>
          <w:u w:val="single"/>
        </w:rPr>
        <w:t xml:space="preserve">301.76-4(a) and </w:t>
      </w:r>
      <w:r w:rsidR="006851C2" w:rsidRPr="006851C2">
        <w:rPr>
          <w:b/>
          <w:u w:val="single"/>
        </w:rPr>
        <w:t>76-6(b)(3)</w:t>
      </w:r>
    </w:p>
    <w:p w:rsidR="002C7057" w:rsidRDefault="002C7057" w:rsidP="002C7057">
      <w:pPr>
        <w:pStyle w:val="296"/>
      </w:pPr>
      <w:r>
        <w:t>All regulated nursery stock offered for commercial sale within an area quarantined for citrus greening must have an APHIS-a</w:t>
      </w:r>
      <w:r w:rsidR="00643808">
        <w:t xml:space="preserve">pproved plastic or metal tag with </w:t>
      </w:r>
      <w:r>
        <w:t xml:space="preserve">a statement “Limited Permit: USDA-APHIS-PPQ.  Not for distribution in American Samoa, AZ, Northern Mariana Islands, and U.S. Virgin Islands or those portions of CA and SC not quarantined due to the </w:t>
      </w:r>
      <w:r w:rsidR="00082A9B">
        <w:t>presence of Asian Citrus Psyllid</w:t>
      </w:r>
      <w:r>
        <w:t xml:space="preserve"> or citrus greening</w:t>
      </w:r>
      <w:r w:rsidR="00643808">
        <w:t>.</w:t>
      </w:r>
      <w:r>
        <w:t xml:space="preserve">” </w:t>
      </w:r>
      <w:r w:rsidR="00643808">
        <w:t>This tag will alert</w:t>
      </w:r>
      <w:r>
        <w:t xml:space="preserve"> consumer</w:t>
      </w:r>
      <w:r w:rsidR="00643808">
        <w:t>s</w:t>
      </w:r>
      <w:r>
        <w:t xml:space="preserve"> to Federal prohibitions regarding the interstate movement of the article </w:t>
      </w:r>
      <w:r w:rsidR="00643808">
        <w:t>when it is prominently and legibly</w:t>
      </w:r>
      <w:r>
        <w:t xml:space="preserve"> displayed.</w:t>
      </w:r>
    </w:p>
    <w:p w:rsidR="000C2887" w:rsidRDefault="000C2887" w:rsidP="002C7057">
      <w:pPr>
        <w:pStyle w:val="296"/>
      </w:pPr>
    </w:p>
    <w:p w:rsidR="006851C2" w:rsidRDefault="007929D3">
      <w:pPr>
        <w:pStyle w:val="296"/>
        <w:rPr>
          <w:b/>
          <w:u w:val="single"/>
        </w:rPr>
      </w:pPr>
      <w:r>
        <w:rPr>
          <w:b/>
          <w:u w:val="single"/>
        </w:rPr>
        <w:t>Recordk</w:t>
      </w:r>
      <w:r w:rsidR="0000217C">
        <w:rPr>
          <w:b/>
          <w:u w:val="single"/>
        </w:rPr>
        <w:t>eepin</w:t>
      </w:r>
      <w:r w:rsidR="00984BED">
        <w:rPr>
          <w:b/>
          <w:u w:val="single"/>
        </w:rPr>
        <w:t xml:space="preserve">g </w:t>
      </w:r>
      <w:r w:rsidR="006851C2" w:rsidRPr="006851C2">
        <w:rPr>
          <w:b/>
          <w:u w:val="single"/>
        </w:rPr>
        <w:t>(Business)</w:t>
      </w:r>
      <w:r w:rsidR="006851C2" w:rsidRPr="006851C2">
        <w:rPr>
          <w:u w:val="single"/>
        </w:rPr>
        <w:t xml:space="preserve"> </w:t>
      </w:r>
      <w:r w:rsidR="006851C2">
        <w:rPr>
          <w:u w:val="single"/>
        </w:rPr>
        <w:t xml:space="preserve">- </w:t>
      </w:r>
      <w:r w:rsidR="006851C2" w:rsidRPr="006851C2">
        <w:rPr>
          <w:b/>
          <w:u w:val="single"/>
        </w:rPr>
        <w:t xml:space="preserve">7 CFR </w:t>
      </w:r>
      <w:r w:rsidR="00984BED">
        <w:rPr>
          <w:b/>
          <w:u w:val="single"/>
        </w:rPr>
        <w:t>301.76-8</w:t>
      </w:r>
    </w:p>
    <w:p w:rsidR="0000217C" w:rsidRPr="00965D69" w:rsidRDefault="00E274F1">
      <w:pPr>
        <w:pStyle w:val="296"/>
        <w:rPr>
          <w:b/>
        </w:rPr>
      </w:pPr>
      <w:r>
        <w:rPr>
          <w:rFonts w:cs="Arial"/>
        </w:rPr>
        <w:t>Any person involved in the growing, maintaining, processing, handling, packing, treating, or moving</w:t>
      </w:r>
      <w:r w:rsidR="007929D3">
        <w:rPr>
          <w:rFonts w:cs="Arial"/>
        </w:rPr>
        <w:t xml:space="preserve"> of</w:t>
      </w:r>
      <w:r>
        <w:rPr>
          <w:rFonts w:cs="Arial"/>
        </w:rPr>
        <w:t xml:space="preserve"> regulated articles</w:t>
      </w:r>
      <w:r w:rsidR="00C43C86">
        <w:rPr>
          <w:rFonts w:cs="Arial"/>
        </w:rPr>
        <w:t xml:space="preserve"> must also agree to maintain and offer for inspection such records as are</w:t>
      </w:r>
      <w:r w:rsidR="000B7391">
        <w:rPr>
          <w:rFonts w:cs="Arial"/>
        </w:rPr>
        <w:t xml:space="preserve"> </w:t>
      </w:r>
      <w:r w:rsidR="00C43C86">
        <w:rPr>
          <w:rFonts w:cs="Arial"/>
        </w:rPr>
        <w:t xml:space="preserve">necessary to demonstrate continual adherence to the requirements of the regulations and the provisions of the compliance agreement.  </w:t>
      </w:r>
      <w:r w:rsidR="009271E7">
        <w:rPr>
          <w:rFonts w:cs="Arial"/>
        </w:rPr>
        <w:t>Records will</w:t>
      </w:r>
      <w:r w:rsidR="00994E72">
        <w:rPr>
          <w:rFonts w:cs="Arial"/>
        </w:rPr>
        <w:t xml:space="preserve"> be</w:t>
      </w:r>
      <w:r w:rsidR="007929D3">
        <w:rPr>
          <w:rFonts w:cs="Arial"/>
        </w:rPr>
        <w:t xml:space="preserve"> maintained for a minimum of 1</w:t>
      </w:r>
      <w:r w:rsidR="00994E72">
        <w:rPr>
          <w:rFonts w:cs="Arial"/>
        </w:rPr>
        <w:t xml:space="preserve"> year.</w:t>
      </w:r>
    </w:p>
    <w:p w:rsidR="0000217C" w:rsidRDefault="0000217C">
      <w:pPr>
        <w:pStyle w:val="296"/>
        <w:rPr>
          <w:b/>
          <w:u w:val="single"/>
        </w:rPr>
      </w:pPr>
    </w:p>
    <w:p w:rsidR="007C5846" w:rsidRDefault="007C5846" w:rsidP="000A7F72">
      <w:pPr>
        <w:pStyle w:val="296"/>
        <w:rPr>
          <w:b/>
          <w:u w:val="single"/>
        </w:rPr>
      </w:pPr>
    </w:p>
    <w:p w:rsidR="007C5846" w:rsidRDefault="007C5846" w:rsidP="000A7F72">
      <w:pPr>
        <w:pStyle w:val="296"/>
        <w:rPr>
          <w:b/>
          <w:u w:val="single"/>
        </w:rPr>
      </w:pPr>
    </w:p>
    <w:p w:rsidR="007C5846" w:rsidRDefault="007C5846" w:rsidP="000A7F72">
      <w:pPr>
        <w:pStyle w:val="296"/>
        <w:rPr>
          <w:b/>
          <w:u w:val="single"/>
        </w:rPr>
      </w:pPr>
    </w:p>
    <w:p w:rsidR="006851C2" w:rsidRDefault="00984BED" w:rsidP="000A7F72">
      <w:pPr>
        <w:pStyle w:val="296"/>
        <w:rPr>
          <w:u w:val="single"/>
        </w:rPr>
      </w:pPr>
      <w:r>
        <w:rPr>
          <w:b/>
          <w:u w:val="single"/>
        </w:rPr>
        <w:lastRenderedPageBreak/>
        <w:t xml:space="preserve">Tag Must be Attached to Consignee’s Copy of Accompanying Waybill </w:t>
      </w:r>
      <w:r w:rsidR="006851C2" w:rsidRPr="006851C2">
        <w:rPr>
          <w:b/>
          <w:u w:val="single"/>
        </w:rPr>
        <w:t>(Business)</w:t>
      </w:r>
      <w:r w:rsidR="006851C2" w:rsidRPr="006851C2">
        <w:rPr>
          <w:u w:val="single"/>
        </w:rPr>
        <w:t xml:space="preserve"> </w:t>
      </w:r>
    </w:p>
    <w:p w:rsidR="006851C2" w:rsidRDefault="006851C2" w:rsidP="000A7F72">
      <w:pPr>
        <w:pStyle w:val="296"/>
      </w:pPr>
      <w:r w:rsidRPr="006851C2">
        <w:rPr>
          <w:b/>
          <w:u w:val="single"/>
        </w:rPr>
        <w:t xml:space="preserve">7 CFR </w:t>
      </w:r>
      <w:r w:rsidR="00984BED">
        <w:rPr>
          <w:b/>
          <w:u w:val="single"/>
        </w:rPr>
        <w:t>301.76-</w:t>
      </w:r>
      <w:r w:rsidR="004F1829">
        <w:rPr>
          <w:b/>
          <w:u w:val="single"/>
        </w:rPr>
        <w:t>10(a)(3)</w:t>
      </w:r>
    </w:p>
    <w:p w:rsidR="000A7F72" w:rsidRPr="00EE48DC" w:rsidRDefault="009271E7" w:rsidP="000A7F72">
      <w:pPr>
        <w:pStyle w:val="296"/>
      </w:pPr>
      <w:r>
        <w:t>Citrus trees</w:t>
      </w:r>
      <w:r w:rsidR="000A7F72">
        <w:t xml:space="preserve"> must be accompanied by a copy of </w:t>
      </w:r>
      <w:r w:rsidR="00643808">
        <w:t xml:space="preserve">a </w:t>
      </w:r>
      <w:r w:rsidR="000A7F72">
        <w:t xml:space="preserve">limited permit attached to the consignee’s copy of the waybill, and must be moved </w:t>
      </w:r>
      <w:r w:rsidR="00643808">
        <w:t xml:space="preserve">in </w:t>
      </w:r>
      <w:r w:rsidR="000A7F72">
        <w:t>accordance with the conditions of the limited permit</w:t>
      </w:r>
      <w:r w:rsidR="00643808">
        <w:t xml:space="preserve"> directly to the port of export</w:t>
      </w:r>
      <w:r w:rsidR="000A7F72">
        <w:t xml:space="preserve"> in a container sealed with an agricultural seal placed</w:t>
      </w:r>
      <w:r w:rsidR="00643808">
        <w:t xml:space="preserve"> on it</w:t>
      </w:r>
      <w:r w:rsidR="000A7F72">
        <w:t xml:space="preserve"> by an inspector.  </w:t>
      </w:r>
    </w:p>
    <w:p w:rsidR="0000217C" w:rsidRDefault="0000217C">
      <w:pPr>
        <w:pStyle w:val="296"/>
        <w:rPr>
          <w:b/>
          <w:u w:val="single"/>
        </w:rPr>
      </w:pPr>
    </w:p>
    <w:p w:rsidR="006851C2" w:rsidRDefault="0000217C" w:rsidP="006851C2">
      <w:pPr>
        <w:ind w:right="-72"/>
        <w:rPr>
          <w:b/>
        </w:rPr>
      </w:pPr>
      <w:r>
        <w:rPr>
          <w:b/>
          <w:u w:val="single"/>
        </w:rPr>
        <w:t>Cancellation of Certificates</w:t>
      </w:r>
      <w:r w:rsidR="00A42786">
        <w:rPr>
          <w:b/>
          <w:u w:val="single"/>
        </w:rPr>
        <w:t xml:space="preserve">, </w:t>
      </w:r>
      <w:r>
        <w:rPr>
          <w:b/>
          <w:u w:val="single"/>
        </w:rPr>
        <w:t>Permits</w:t>
      </w:r>
      <w:r w:rsidR="007929D3">
        <w:rPr>
          <w:b/>
          <w:u w:val="single"/>
        </w:rPr>
        <w:t>,</w:t>
      </w:r>
      <w:r w:rsidR="00A42786">
        <w:rPr>
          <w:b/>
          <w:u w:val="single"/>
        </w:rPr>
        <w:t xml:space="preserve"> and Compliance Agreements</w:t>
      </w:r>
      <w:r w:rsidR="00984BED">
        <w:rPr>
          <w:b/>
          <w:u w:val="single"/>
        </w:rPr>
        <w:t xml:space="preserve"> </w:t>
      </w:r>
      <w:r w:rsidR="006851C2" w:rsidRPr="006851C2">
        <w:rPr>
          <w:b/>
          <w:u w:val="single"/>
        </w:rPr>
        <w:t>(Business)</w:t>
      </w:r>
      <w:r w:rsidR="006851C2" w:rsidRPr="006851C2">
        <w:rPr>
          <w:u w:val="single"/>
        </w:rPr>
        <w:t xml:space="preserve"> </w:t>
      </w:r>
      <w:r w:rsidR="006851C2">
        <w:rPr>
          <w:u w:val="single"/>
        </w:rPr>
        <w:t xml:space="preserve">- </w:t>
      </w:r>
      <w:r w:rsidR="006851C2" w:rsidRPr="006851C2">
        <w:rPr>
          <w:b/>
          <w:u w:val="single"/>
        </w:rPr>
        <w:t xml:space="preserve">7 CFR </w:t>
      </w:r>
      <w:r w:rsidR="00984BED">
        <w:rPr>
          <w:b/>
          <w:u w:val="single"/>
        </w:rPr>
        <w:t>301.76-8</w:t>
      </w:r>
      <w:r w:rsidR="00643808">
        <w:rPr>
          <w:b/>
        </w:rPr>
        <w:t xml:space="preserve"> </w:t>
      </w:r>
    </w:p>
    <w:p w:rsidR="009126AA" w:rsidRDefault="003D7BC4" w:rsidP="00CF502C">
      <w:pPr>
        <w:rPr>
          <w:rFonts w:cs="Arial"/>
        </w:rPr>
      </w:pPr>
      <w:r>
        <w:rPr>
          <w:rFonts w:cs="Arial"/>
        </w:rPr>
        <w:t xml:space="preserve">The </w:t>
      </w:r>
      <w:r w:rsidR="009126AA">
        <w:rPr>
          <w:rFonts w:cs="Arial"/>
        </w:rPr>
        <w:t>withdrawal of a certificate</w:t>
      </w:r>
      <w:r w:rsidR="00D84CEC">
        <w:rPr>
          <w:rFonts w:cs="Arial"/>
        </w:rPr>
        <w:t xml:space="preserve">, </w:t>
      </w:r>
      <w:r w:rsidR="009126AA">
        <w:rPr>
          <w:rFonts w:cs="Arial"/>
        </w:rPr>
        <w:t>limited permit</w:t>
      </w:r>
      <w:r w:rsidR="00643808">
        <w:rPr>
          <w:rFonts w:cs="Arial"/>
        </w:rPr>
        <w:t>,</w:t>
      </w:r>
      <w:r w:rsidR="00D84CEC">
        <w:rPr>
          <w:rFonts w:cs="Arial"/>
        </w:rPr>
        <w:t xml:space="preserve"> or compliance agreement</w:t>
      </w:r>
      <w:r w:rsidR="00643808">
        <w:rPr>
          <w:rFonts w:cs="Arial"/>
        </w:rPr>
        <w:t xml:space="preserve"> is necessary</w:t>
      </w:r>
      <w:r w:rsidR="009126AA">
        <w:rPr>
          <w:rFonts w:cs="Arial"/>
        </w:rPr>
        <w:t xml:space="preserve"> if the inspector determines that the holder of the certificate</w:t>
      </w:r>
      <w:r w:rsidR="00D84CEC">
        <w:rPr>
          <w:rFonts w:cs="Arial"/>
        </w:rPr>
        <w:t xml:space="preserve">, </w:t>
      </w:r>
      <w:r w:rsidR="009126AA">
        <w:rPr>
          <w:rFonts w:cs="Arial"/>
        </w:rPr>
        <w:t>limited permit</w:t>
      </w:r>
      <w:r w:rsidR="00643808">
        <w:rPr>
          <w:rFonts w:cs="Arial"/>
        </w:rPr>
        <w:t>,</w:t>
      </w:r>
      <w:r w:rsidR="00D84CEC">
        <w:rPr>
          <w:rFonts w:cs="Arial"/>
        </w:rPr>
        <w:t xml:space="preserve"> or compliance agreement</w:t>
      </w:r>
      <w:r w:rsidR="009126AA">
        <w:rPr>
          <w:rFonts w:cs="Arial"/>
        </w:rPr>
        <w:t xml:space="preserve"> has not complied with all of the provisions for the use of the document or with all of the conditions contained in the document.  This paragraph also contains provisions for notifying the holder of the reasons for the withdrawal and for holding a hearing if there is any conflict concerning any material fact in the event that the person wishes to appeal the cancellation.</w:t>
      </w:r>
    </w:p>
    <w:p w:rsidR="0000217C" w:rsidRPr="009126AA" w:rsidRDefault="0000217C">
      <w:pPr>
        <w:pStyle w:val="296"/>
        <w:rPr>
          <w:b/>
        </w:rPr>
      </w:pPr>
    </w:p>
    <w:p w:rsidR="006851C2" w:rsidRDefault="002B46E2">
      <w:pPr>
        <w:pStyle w:val="296"/>
        <w:rPr>
          <w:b/>
          <w:u w:val="single"/>
        </w:rPr>
      </w:pPr>
      <w:r>
        <w:rPr>
          <w:b/>
          <w:u w:val="single"/>
        </w:rPr>
        <w:t>72-</w:t>
      </w:r>
      <w:r w:rsidR="0000217C">
        <w:rPr>
          <w:b/>
          <w:u w:val="single"/>
        </w:rPr>
        <w:t>Hour Notification of Inspection</w:t>
      </w:r>
      <w:r w:rsidR="00984BED">
        <w:rPr>
          <w:b/>
          <w:u w:val="single"/>
        </w:rPr>
        <w:t xml:space="preserve"> </w:t>
      </w:r>
      <w:r w:rsidR="006851C2" w:rsidRPr="006851C2">
        <w:rPr>
          <w:b/>
          <w:u w:val="single"/>
        </w:rPr>
        <w:t>(Business)</w:t>
      </w:r>
      <w:r w:rsidR="006851C2" w:rsidRPr="006851C2">
        <w:rPr>
          <w:u w:val="single"/>
        </w:rPr>
        <w:t xml:space="preserve"> </w:t>
      </w:r>
      <w:r w:rsidR="006851C2">
        <w:rPr>
          <w:u w:val="single"/>
        </w:rPr>
        <w:t xml:space="preserve">- </w:t>
      </w:r>
      <w:r w:rsidR="006851C2" w:rsidRPr="006851C2">
        <w:rPr>
          <w:b/>
          <w:u w:val="single"/>
        </w:rPr>
        <w:t xml:space="preserve">7 CFR </w:t>
      </w:r>
      <w:r w:rsidR="00984BED">
        <w:rPr>
          <w:b/>
          <w:u w:val="single"/>
        </w:rPr>
        <w:t>301.76-9</w:t>
      </w:r>
    </w:p>
    <w:p w:rsidR="0000217C" w:rsidRDefault="005B0B81">
      <w:pPr>
        <w:pStyle w:val="296"/>
      </w:pPr>
      <w:r>
        <w:t>Al</w:t>
      </w:r>
      <w:r w:rsidR="00FE231C">
        <w:t>l regulated citrus trees</w:t>
      </w:r>
      <w:r w:rsidR="001E0AE8">
        <w:t xml:space="preserve"> treated with soil drenches or granular applications and foliar sprays prior to interstate movement from an area quarantined only for ACP but not for citrus greeni</w:t>
      </w:r>
      <w:r w:rsidR="00FE231C">
        <w:t>ng, as well as all citrus trees</w:t>
      </w:r>
      <w:r w:rsidR="001E0AE8">
        <w:t xml:space="preserve"> intended for interstate movement for immediate export from an area quarantined for citrus greening, must be inspected by an inspector no more than 72 hours prior to movement.</w:t>
      </w:r>
    </w:p>
    <w:p w:rsidR="000C2887" w:rsidRDefault="000C2887">
      <w:pPr>
        <w:pStyle w:val="296"/>
      </w:pPr>
    </w:p>
    <w:p w:rsidR="000C2887" w:rsidRPr="002C1014" w:rsidRDefault="002C1014">
      <w:pPr>
        <w:pStyle w:val="296"/>
        <w:rPr>
          <w:b/>
          <w:u w:val="single"/>
        </w:rPr>
      </w:pPr>
      <w:r w:rsidRPr="002C1014">
        <w:rPr>
          <w:b/>
          <w:u w:val="single"/>
        </w:rPr>
        <w:t>Emergency Action Notification (EAN) PPQ 523</w:t>
      </w:r>
      <w:r>
        <w:rPr>
          <w:b/>
          <w:u w:val="single"/>
        </w:rPr>
        <w:t xml:space="preserve"> (</w:t>
      </w:r>
      <w:r w:rsidR="009D19F8">
        <w:rPr>
          <w:b/>
          <w:u w:val="single"/>
        </w:rPr>
        <w:t>B</w:t>
      </w:r>
      <w:r>
        <w:rPr>
          <w:b/>
          <w:u w:val="single"/>
        </w:rPr>
        <w:t>usiness)</w:t>
      </w:r>
      <w:r w:rsidR="009D19F8">
        <w:rPr>
          <w:b/>
          <w:u w:val="single"/>
        </w:rPr>
        <w:t xml:space="preserve"> - </w:t>
      </w:r>
      <w:r w:rsidR="009D19F8">
        <w:rPr>
          <w:b/>
          <w:bCs/>
          <w:u w:val="single"/>
        </w:rPr>
        <w:t>7 CFR 319.77-5</w:t>
      </w:r>
    </w:p>
    <w:p w:rsidR="002C1014" w:rsidRDefault="002C1014" w:rsidP="006851C2">
      <w:pPr>
        <w:pStyle w:val="NormalWeb"/>
        <w:ind w:firstLine="0"/>
      </w:pPr>
      <w:r>
        <w:t xml:space="preserve">If a single live plant pest or disease in any stage of development is found, the consignment will be held until an investigation is completed and appropriate remedial actions have been implemented. Inspectors will complete the PPQ form 523 when there is an interception of a pest and will fax it to the owner/importer for signature and quarantine action. </w:t>
      </w:r>
    </w:p>
    <w:p w:rsidR="000C2887" w:rsidRDefault="000C2887">
      <w:pPr>
        <w:pStyle w:val="296"/>
      </w:pPr>
    </w:p>
    <w:p w:rsidR="007929D3" w:rsidRDefault="007929D3">
      <w:pPr>
        <w:pStyle w:val="296"/>
        <w:rPr>
          <w:b/>
          <w:u w:val="single"/>
        </w:rPr>
      </w:pPr>
    </w:p>
    <w:p w:rsidR="00375C77" w:rsidRDefault="00375C77">
      <w:pPr>
        <w:pStyle w:val="296"/>
      </w:pPr>
      <w:r>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r>
        <w:t>.</w:t>
      </w:r>
    </w:p>
    <w:p w:rsidR="006E5D02" w:rsidRDefault="006E5D02">
      <w:pPr>
        <w:pStyle w:val="296"/>
      </w:pPr>
    </w:p>
    <w:p w:rsidR="00183AF1" w:rsidRDefault="00A92A8B" w:rsidP="00183AF1">
      <w:pPr>
        <w:overflowPunct/>
        <w:textAlignment w:val="auto"/>
        <w:rPr>
          <w:color w:val="000000"/>
        </w:rPr>
      </w:pPr>
      <w:r>
        <w:t xml:space="preserve">The </w:t>
      </w:r>
      <w:r w:rsidR="0038136D">
        <w:t>Limited Permit (PPQ 530)</w:t>
      </w:r>
      <w:r w:rsidR="00183AF1">
        <w:t xml:space="preserve"> </w:t>
      </w:r>
      <w:r w:rsidR="005466C6">
        <w:t xml:space="preserve">and the Federal Certificate (PPQ 540) are not automated for several reasons.  </w:t>
      </w:r>
      <w:r w:rsidR="00694F47">
        <w:rPr>
          <w:color w:val="000000"/>
        </w:rPr>
        <w:t>They are</w:t>
      </w:r>
      <w:r w:rsidR="00040E52">
        <w:rPr>
          <w:color w:val="000000"/>
        </w:rPr>
        <w:t xml:space="preserve"> accounta</w:t>
      </w:r>
      <w:r w:rsidR="00183AF1">
        <w:rPr>
          <w:color w:val="000000"/>
        </w:rPr>
        <w:t>ble</w:t>
      </w:r>
      <w:r w:rsidR="007929D3">
        <w:rPr>
          <w:color w:val="000000"/>
        </w:rPr>
        <w:t xml:space="preserve"> form</w:t>
      </w:r>
      <w:r w:rsidR="00694F47">
        <w:rPr>
          <w:color w:val="000000"/>
        </w:rPr>
        <w:t>s with unique identifiers (serial numbers) that</w:t>
      </w:r>
      <w:r w:rsidR="00183AF1" w:rsidRPr="00183AF1">
        <w:rPr>
          <w:color w:val="000000"/>
        </w:rPr>
        <w:t xml:space="preserve"> must be issued by a PPQ employee, or a person under Co</w:t>
      </w:r>
      <w:r w:rsidR="00183AF1">
        <w:rPr>
          <w:color w:val="000000"/>
        </w:rPr>
        <w:t>m</w:t>
      </w:r>
      <w:r w:rsidR="007929D3">
        <w:rPr>
          <w:color w:val="000000"/>
        </w:rPr>
        <w:t xml:space="preserve">pliance Agreement with PPQ.  APHIS </w:t>
      </w:r>
      <w:r w:rsidR="00183AF1" w:rsidRPr="00183AF1">
        <w:rPr>
          <w:color w:val="000000"/>
        </w:rPr>
        <w:t>need</w:t>
      </w:r>
      <w:r w:rsidR="00183AF1">
        <w:rPr>
          <w:color w:val="000000"/>
        </w:rPr>
        <w:t>s</w:t>
      </w:r>
      <w:r w:rsidR="00183AF1" w:rsidRPr="00183AF1">
        <w:rPr>
          <w:color w:val="000000"/>
        </w:rPr>
        <w:t xml:space="preserve"> to have strict co</w:t>
      </w:r>
      <w:r w:rsidR="00694F47">
        <w:rPr>
          <w:color w:val="000000"/>
        </w:rPr>
        <w:t>ntrol over the issuance of these</w:t>
      </w:r>
      <w:r w:rsidR="00183AF1">
        <w:rPr>
          <w:color w:val="000000"/>
        </w:rPr>
        <w:t xml:space="preserve"> form</w:t>
      </w:r>
      <w:r w:rsidR="00694F47">
        <w:rPr>
          <w:color w:val="000000"/>
        </w:rPr>
        <w:t>s</w:t>
      </w:r>
      <w:r w:rsidR="00183AF1">
        <w:rPr>
          <w:color w:val="000000"/>
        </w:rPr>
        <w:t>, as it</w:t>
      </w:r>
      <w:r w:rsidR="00183AF1" w:rsidRPr="00183AF1">
        <w:rPr>
          <w:color w:val="000000"/>
        </w:rPr>
        <w:t xml:space="preserve"> allow</w:t>
      </w:r>
      <w:r w:rsidR="00183AF1">
        <w:rPr>
          <w:color w:val="000000"/>
        </w:rPr>
        <w:t>s for the</w:t>
      </w:r>
      <w:r w:rsidR="00183AF1" w:rsidRPr="00183AF1">
        <w:rPr>
          <w:color w:val="000000"/>
        </w:rPr>
        <w:t xml:space="preserve"> movement of regulated products that ar</w:t>
      </w:r>
      <w:r w:rsidR="007929D3">
        <w:rPr>
          <w:color w:val="000000"/>
        </w:rPr>
        <w:t>e subject to restrictions.  T</w:t>
      </w:r>
      <w:r w:rsidR="006F4B81">
        <w:rPr>
          <w:color w:val="000000"/>
        </w:rPr>
        <w:t>he form</w:t>
      </w:r>
      <w:r w:rsidR="00694F47">
        <w:rPr>
          <w:color w:val="000000"/>
        </w:rPr>
        <w:t>s</w:t>
      </w:r>
      <w:r w:rsidR="00183AF1" w:rsidRPr="00183AF1">
        <w:rPr>
          <w:color w:val="000000"/>
        </w:rPr>
        <w:t xml:space="preserve"> can only be issued after an inspection proves that the shipment meets the requirements for movement.</w:t>
      </w:r>
      <w:r w:rsidR="00183AF1">
        <w:rPr>
          <w:color w:val="000000"/>
        </w:rPr>
        <w:t xml:space="preserve">  </w:t>
      </w:r>
      <w:r w:rsidR="007929D3">
        <w:rPr>
          <w:color w:val="000000"/>
        </w:rPr>
        <w:t>In addition, m</w:t>
      </w:r>
      <w:r w:rsidR="00183AF1" w:rsidRPr="00183AF1">
        <w:rPr>
          <w:color w:val="000000"/>
        </w:rPr>
        <w:t>ovement may also require a treatment, which has to be determined by an inspector.</w:t>
      </w:r>
      <w:r w:rsidR="00183AF1">
        <w:rPr>
          <w:color w:val="000000"/>
        </w:rPr>
        <w:t xml:space="preserve">  </w:t>
      </w:r>
      <w:r w:rsidR="00183AF1" w:rsidRPr="00183AF1">
        <w:rPr>
          <w:color w:val="000000"/>
        </w:rPr>
        <w:t>Finally, the form</w:t>
      </w:r>
      <w:r w:rsidR="00694F47">
        <w:rPr>
          <w:color w:val="000000"/>
        </w:rPr>
        <w:t>s</w:t>
      </w:r>
      <w:r w:rsidR="00183AF1" w:rsidRPr="00183AF1">
        <w:rPr>
          <w:color w:val="000000"/>
        </w:rPr>
        <w:t xml:space="preserve"> must accompany the shipment throughout transport from the inspection until destination.</w:t>
      </w:r>
      <w:r w:rsidR="00FC1358">
        <w:rPr>
          <w:color w:val="000000"/>
        </w:rPr>
        <w:t xml:space="preserve">  </w:t>
      </w:r>
    </w:p>
    <w:p w:rsidR="00FC1358" w:rsidRDefault="00FC1358" w:rsidP="00183AF1">
      <w:pPr>
        <w:overflowPunct/>
        <w:textAlignment w:val="auto"/>
        <w:rPr>
          <w:color w:val="000000"/>
        </w:rPr>
      </w:pPr>
    </w:p>
    <w:p w:rsidR="00FC1358" w:rsidRPr="00183AF1" w:rsidRDefault="00FC1358" w:rsidP="00183AF1">
      <w:pPr>
        <w:overflowPunct/>
        <w:textAlignment w:val="auto"/>
        <w:rPr>
          <w:color w:val="000000"/>
        </w:rPr>
      </w:pPr>
      <w:r>
        <w:t xml:space="preserve">An information technology system called </w:t>
      </w:r>
      <w:r>
        <w:rPr>
          <w:color w:val="000000"/>
          <w:lang w:val="en"/>
        </w:rPr>
        <w:t>Certification, Accreditation, Registration, Permitting, and other Licensing (</w:t>
      </w:r>
      <w:r>
        <w:rPr>
          <w:rStyle w:val="Strong"/>
          <w:color w:val="000000"/>
          <w:lang w:val="en"/>
        </w:rPr>
        <w:t>CARPOL</w:t>
      </w:r>
      <w:r>
        <w:rPr>
          <w:color w:val="000000"/>
          <w:lang w:val="en"/>
        </w:rPr>
        <w:t>) is being developed and once it is operational, it can be used to generate APHIS’ permits and certificates.</w:t>
      </w:r>
    </w:p>
    <w:p w:rsidR="00183AF1" w:rsidRDefault="00183AF1" w:rsidP="00C00D34">
      <w:pPr>
        <w:pStyle w:val="296"/>
      </w:pPr>
    </w:p>
    <w:p w:rsidR="007C5846" w:rsidRDefault="007C5846" w:rsidP="00C00D34">
      <w:pPr>
        <w:pStyle w:val="296"/>
      </w:pPr>
    </w:p>
    <w:p w:rsidR="00C00D34" w:rsidRDefault="00A92A8B" w:rsidP="00C00D34">
      <w:pPr>
        <w:pStyle w:val="296"/>
      </w:pPr>
      <w:r>
        <w:t xml:space="preserve">The </w:t>
      </w:r>
      <w:r w:rsidR="00C00D34">
        <w:t>Compliance Agreement (PPQ Form 519</w:t>
      </w:r>
      <w:r w:rsidR="00565728">
        <w:t>)</w:t>
      </w:r>
      <w:r w:rsidR="00C00D34">
        <w:t xml:space="preserve"> is automated and posted at:</w:t>
      </w:r>
      <w:r w:rsidR="007C5846">
        <w:t xml:space="preserve"> </w:t>
      </w:r>
      <w:hyperlink r:id="rId11" w:history="1">
        <w:r w:rsidR="00C00D34" w:rsidRPr="00531404">
          <w:rPr>
            <w:rStyle w:val="Hyperlink"/>
          </w:rPr>
          <w:t>http://www.aphis.usda.gov/library/forms/pdf/ppq/519.dot</w:t>
        </w:r>
      </w:hyperlink>
    </w:p>
    <w:p w:rsidR="002C1014" w:rsidRDefault="002C1014" w:rsidP="00C00D34">
      <w:pPr>
        <w:pStyle w:val="296"/>
      </w:pPr>
    </w:p>
    <w:p w:rsidR="009D19F8" w:rsidRPr="009D19F8" w:rsidRDefault="009D19F8" w:rsidP="009D19F8">
      <w:pPr>
        <w:pStyle w:val="DefaultText"/>
        <w:rPr>
          <w:rStyle w:val="InitialStyle"/>
          <w:rFonts w:ascii="Times New Roman" w:hAnsi="Times New Roman"/>
        </w:rPr>
      </w:pPr>
      <w:r w:rsidRPr="009D19F8">
        <w:rPr>
          <w:rStyle w:val="InitialStyle"/>
          <w:rFonts w:ascii="Times New Roman" w:hAnsi="Times New Roman"/>
        </w:rPr>
        <w:t>APHIS is working with Customs and Border Protection (CBP) via the International Trade Data System (ITDS) Automated Commercial Environment (ACE) initiative to automate these certificates on our end. APHIS and CBP like receiving paper as it includes official seals, stamps, etc. to ensure legitimacy; however, APHIS intends to complete Partner Government Agencies (PGA) message sets to capture the information documented on the certificates. Collection of this data in message sets will support enhanced analysis for establishing importing policy in the future.</w:t>
      </w:r>
    </w:p>
    <w:p w:rsidR="009D19F8" w:rsidRPr="009D19F8" w:rsidRDefault="009D19F8" w:rsidP="009D19F8">
      <w:pPr>
        <w:pStyle w:val="DefaultText"/>
        <w:rPr>
          <w:rStyle w:val="InitialStyle"/>
          <w:rFonts w:ascii="Times New Roman" w:hAnsi="Times New Roman"/>
        </w:rPr>
      </w:pPr>
    </w:p>
    <w:p w:rsidR="002C1014" w:rsidRDefault="009D19F8" w:rsidP="009D19F8">
      <w:pPr>
        <w:widowControl w:val="0"/>
      </w:pPr>
      <w:r w:rsidRPr="009D19F8">
        <w:t>The Agricultural Quarantine Activity System (AQAS) records quarantine activities conducted by Department of Homeland Security (DHS), Customs and Border Protection (CBP), and</w:t>
      </w:r>
      <w:r w:rsidRPr="001241F7">
        <w:t xml:space="preserve"> APHIS PPQ employees at the ports of entry into the United States. AQAS also records trade-related activities conducted inside the US. AQAS aids the free flow of agricultural goods into the country by collecting agricultural risk data that ultimately help to minimize the impact of quarantine activities on trade. The Emergency Action Notification (EAN) PPQ Form 523 is generated by DHS and PPQ officers throughout the country when an actionable violation is detected related to prohibited pests and agricultural products found in cargo, market places, or domestic sites.</w:t>
      </w:r>
    </w:p>
    <w:p w:rsidR="009D19F8" w:rsidRPr="0091369C" w:rsidRDefault="009D19F8" w:rsidP="009D19F8">
      <w:pPr>
        <w:widowControl w:val="0"/>
      </w:pPr>
    </w:p>
    <w:p w:rsidR="002C1014" w:rsidRPr="006851C2" w:rsidRDefault="009D19F8" w:rsidP="006851C2">
      <w:pPr>
        <w:pStyle w:val="ListParagraph"/>
        <w:widowControl w:val="0"/>
        <w:numPr>
          <w:ilvl w:val="0"/>
          <w:numId w:val="10"/>
        </w:numPr>
        <w:spacing w:after="0" w:line="240" w:lineRule="auto"/>
        <w:rPr>
          <w:rFonts w:ascii="Times New Roman" w:hAnsi="Times New Roman"/>
          <w:sz w:val="24"/>
          <w:szCs w:val="24"/>
        </w:rPr>
      </w:pPr>
      <w:r>
        <w:rPr>
          <w:rFonts w:ascii="Times New Roman" w:hAnsi="Times New Roman"/>
          <w:sz w:val="24"/>
          <w:szCs w:val="24"/>
        </w:rPr>
        <w:t>T</w:t>
      </w:r>
      <w:r w:rsidR="002C1014" w:rsidRPr="006851C2">
        <w:rPr>
          <w:rFonts w:ascii="Times New Roman" w:hAnsi="Times New Roman"/>
          <w:sz w:val="24"/>
          <w:szCs w:val="24"/>
        </w:rPr>
        <w:t xml:space="preserve">he Emergency Action Notification (PPQ Form 523) </w:t>
      </w:r>
      <w:r>
        <w:rPr>
          <w:rFonts w:ascii="Times New Roman" w:hAnsi="Times New Roman"/>
          <w:sz w:val="24"/>
          <w:szCs w:val="24"/>
        </w:rPr>
        <w:t xml:space="preserve">is generated </w:t>
      </w:r>
      <w:r w:rsidR="002C1014" w:rsidRPr="006851C2">
        <w:rPr>
          <w:rFonts w:ascii="Times New Roman" w:hAnsi="Times New Roman"/>
          <w:sz w:val="24"/>
          <w:szCs w:val="24"/>
        </w:rPr>
        <w:t xml:space="preserve">for the purpose of notification of noncompliance and administrative instructions to importers/shippers/property owners at ports of entry or domestic locations regarding available options for safeguarding their shipment/property against an identified agricultural risk. </w:t>
      </w:r>
    </w:p>
    <w:p w:rsidR="00375C77" w:rsidRDefault="00375C77">
      <w:pPr>
        <w:pStyle w:val="296"/>
      </w:pPr>
    </w:p>
    <w:p w:rsidR="006851C2" w:rsidRDefault="006851C2">
      <w:pPr>
        <w:pStyle w:val="296"/>
      </w:pPr>
    </w:p>
    <w:p w:rsidR="00375C77" w:rsidRDefault="00375C77">
      <w:pPr>
        <w:pStyle w:val="296"/>
        <w:rPr>
          <w:b/>
        </w:rPr>
      </w:pPr>
      <w:r>
        <w:rPr>
          <w:b/>
        </w:rPr>
        <w:t>4.  Describe efforts to identify duplication.  Show specifically why any similar information already available cannot be used or modified for use for the purpose described in item 2 above.</w:t>
      </w:r>
    </w:p>
    <w:p w:rsidR="00375C77" w:rsidRDefault="00375C77">
      <w:pPr>
        <w:pStyle w:val="296"/>
        <w:rPr>
          <w:b/>
        </w:rPr>
      </w:pPr>
    </w:p>
    <w:p w:rsidR="00375C77" w:rsidRDefault="00BD3D82">
      <w:pPr>
        <w:pStyle w:val="296"/>
      </w:pPr>
      <w:r>
        <w:t>The information APHIS</w:t>
      </w:r>
      <w:r w:rsidR="00375C77">
        <w:t xml:space="preserve"> collect</w:t>
      </w:r>
      <w:r>
        <w:t>s is exclusive to its</w:t>
      </w:r>
      <w:r w:rsidR="00375C77">
        <w:t xml:space="preserve"> mission of preventing the incursion or interstate spread of plant pests and noxious weeds and is not available from any other source.</w:t>
      </w:r>
    </w:p>
    <w:p w:rsidR="00375C77" w:rsidRDefault="00375C77">
      <w:pPr>
        <w:pStyle w:val="296"/>
      </w:pPr>
    </w:p>
    <w:p w:rsidR="00E10747" w:rsidRDefault="00E10747">
      <w:pPr>
        <w:pStyle w:val="296"/>
      </w:pPr>
    </w:p>
    <w:p w:rsidR="00375C77" w:rsidRDefault="00375C77">
      <w:pPr>
        <w:pStyle w:val="296"/>
        <w:rPr>
          <w:b/>
        </w:rPr>
      </w:pPr>
      <w:r>
        <w:rPr>
          <w:b/>
        </w:rPr>
        <w:t>5.  If the collection of information impacts small businesses or other small entities, describe any methods used to minimize burden.</w:t>
      </w:r>
    </w:p>
    <w:p w:rsidR="00375C77" w:rsidRDefault="00375C77">
      <w:pPr>
        <w:pStyle w:val="296"/>
        <w:rPr>
          <w:b/>
        </w:rPr>
      </w:pPr>
    </w:p>
    <w:p w:rsidR="00375C77" w:rsidRPr="005F5542" w:rsidRDefault="00375C77">
      <w:pPr>
        <w:pStyle w:val="296"/>
        <w:rPr>
          <w:color w:val="000000"/>
        </w:rPr>
      </w:pPr>
      <w:r w:rsidRPr="005F5542">
        <w:rPr>
          <w:color w:val="000000"/>
        </w:rPr>
        <w:t>T</w:t>
      </w:r>
      <w:r w:rsidR="00BD3D82" w:rsidRPr="005F5542">
        <w:rPr>
          <w:color w:val="000000"/>
        </w:rPr>
        <w:t>he information APHIS collects</w:t>
      </w:r>
      <w:r w:rsidR="0016412A" w:rsidRPr="005F5542">
        <w:rPr>
          <w:color w:val="000000"/>
        </w:rPr>
        <w:t xml:space="preserve"> is the minimum needed to protect the United States from destructive plant pests and plant disease</w:t>
      </w:r>
      <w:r w:rsidR="00565728">
        <w:rPr>
          <w:color w:val="000000"/>
        </w:rPr>
        <w:t>s</w:t>
      </w:r>
      <w:r w:rsidR="0016412A" w:rsidRPr="005F5542">
        <w:rPr>
          <w:color w:val="000000"/>
        </w:rPr>
        <w:t>.  APHIS has determined that</w:t>
      </w:r>
      <w:r w:rsidR="00EA2C60">
        <w:rPr>
          <w:color w:val="000000"/>
        </w:rPr>
        <w:t xml:space="preserve"> approximately 75</w:t>
      </w:r>
      <w:r w:rsidR="00D17394">
        <w:rPr>
          <w:color w:val="000000"/>
        </w:rPr>
        <w:t xml:space="preserve"> percent of the</w:t>
      </w:r>
      <w:r w:rsidR="0016412A" w:rsidRPr="005F5542">
        <w:rPr>
          <w:color w:val="000000"/>
        </w:rPr>
        <w:t xml:space="preserve"> respondents are small entities.</w:t>
      </w:r>
    </w:p>
    <w:p w:rsidR="0038136D" w:rsidRDefault="0038136D">
      <w:pPr>
        <w:pStyle w:val="296"/>
      </w:pPr>
    </w:p>
    <w:p w:rsidR="00E10747" w:rsidRDefault="00E10747">
      <w:pPr>
        <w:pStyle w:val="296"/>
      </w:pPr>
    </w:p>
    <w:p w:rsidR="00375C77" w:rsidRDefault="00375C77">
      <w:pPr>
        <w:pStyle w:val="296"/>
        <w:rPr>
          <w:b/>
        </w:rPr>
      </w:pPr>
      <w:r>
        <w:rPr>
          <w:b/>
        </w:rPr>
        <w:t>6.  Describe the consequences o Federal program or policy activities if the collection is not conducted or is conducted less frequently, as well as any technical or legal obstacles to reducing burden.</w:t>
      </w:r>
    </w:p>
    <w:p w:rsidR="00375C77" w:rsidRDefault="00375C77">
      <w:pPr>
        <w:pStyle w:val="296"/>
        <w:rPr>
          <w:b/>
        </w:rPr>
      </w:pPr>
    </w:p>
    <w:p w:rsidR="00375C77" w:rsidRDefault="002B2915">
      <w:pPr>
        <w:pStyle w:val="296"/>
      </w:pPr>
      <w:r>
        <w:t xml:space="preserve">Failing to collect </w:t>
      </w:r>
      <w:r w:rsidR="0038136D">
        <w:t>this information</w:t>
      </w:r>
      <w:r w:rsidR="00565728">
        <w:t>,</w:t>
      </w:r>
      <w:r w:rsidR="0038136D">
        <w:t xml:space="preserve"> or if this information was c</w:t>
      </w:r>
      <w:r>
        <w:t>ollected less frequently, could cause a severe economic loss to the citrus industry.</w:t>
      </w:r>
    </w:p>
    <w:p w:rsidR="00375C77" w:rsidRDefault="00375C77">
      <w:pPr>
        <w:pStyle w:val="296"/>
        <w:rPr>
          <w:b/>
        </w:rPr>
      </w:pPr>
      <w:r>
        <w:rPr>
          <w:b/>
        </w:rPr>
        <w:t>7.  Explain any special circumstances that require the collection to be conducted in a manner inconsistent with the general information collec</w:t>
      </w:r>
      <w:r w:rsidR="00B240C4">
        <w:rPr>
          <w:b/>
        </w:rPr>
        <w:t>tion guidelines in 5 CFR 1320.5:</w:t>
      </w:r>
    </w:p>
    <w:p w:rsidR="002B69F7" w:rsidRDefault="002B69F7" w:rsidP="002B69F7">
      <w:pPr>
        <w:pStyle w:val="300"/>
        <w:rPr>
          <w:sz w:val="24"/>
          <w:szCs w:val="24"/>
        </w:rPr>
      </w:pPr>
    </w:p>
    <w:p w:rsidR="002B69F7" w:rsidRDefault="002B69F7" w:rsidP="006851C2">
      <w:pPr>
        <w:numPr>
          <w:ilvl w:val="0"/>
          <w:numId w:val="1"/>
        </w:numPr>
        <w:tabs>
          <w:tab w:val="clear" w:pos="360"/>
        </w:tabs>
        <w:overflowPunct/>
        <w:autoSpaceDE/>
        <w:autoSpaceDN/>
        <w:adjustRightInd/>
        <w:spacing w:after="120"/>
        <w:ind w:left="1166" w:hanging="446"/>
        <w:textAlignment w:val="auto"/>
        <w:rPr>
          <w:b/>
        </w:rPr>
      </w:pPr>
      <w:r>
        <w:rPr>
          <w:b/>
        </w:rPr>
        <w:t>requiring respondents to report informa</w:t>
      </w:r>
      <w:r>
        <w:rPr>
          <w:b/>
        </w:rPr>
        <w:softHyphen/>
        <w:t>tion to the agency more often than quarterly;</w:t>
      </w:r>
    </w:p>
    <w:p w:rsidR="002B69F7" w:rsidRDefault="002B69F7" w:rsidP="006851C2">
      <w:pPr>
        <w:numPr>
          <w:ilvl w:val="0"/>
          <w:numId w:val="2"/>
        </w:numPr>
        <w:tabs>
          <w:tab w:val="clear" w:pos="360"/>
        </w:tabs>
        <w:overflowPunct/>
        <w:autoSpaceDE/>
        <w:autoSpaceDN/>
        <w:adjustRightInd/>
        <w:spacing w:after="120"/>
        <w:ind w:left="1166" w:hanging="446"/>
        <w:textAlignment w:val="auto"/>
        <w:rPr>
          <w:b/>
        </w:rPr>
      </w:pPr>
      <w:r>
        <w:rPr>
          <w:b/>
        </w:rPr>
        <w:t>requirin</w:t>
      </w:r>
      <w:r w:rsidR="00E10747">
        <w:rPr>
          <w:b/>
        </w:rPr>
        <w:t>g respondents to prepare a writ</w:t>
      </w:r>
      <w:r>
        <w:rPr>
          <w:b/>
        </w:rPr>
        <w:t>ten response to a collection of infor</w:t>
      </w:r>
      <w:r>
        <w:rPr>
          <w:b/>
        </w:rPr>
        <w:softHyphen/>
        <w:t>ma</w:t>
      </w:r>
      <w:r>
        <w:rPr>
          <w:b/>
        </w:rPr>
        <w:softHyphen/>
        <w:t>tion in fewer than 30 days after receipt of it;</w:t>
      </w:r>
    </w:p>
    <w:p w:rsidR="005C04DA" w:rsidRDefault="005C04DA" w:rsidP="00E10747">
      <w:pPr>
        <w:pStyle w:val="296"/>
        <w:ind w:left="720"/>
      </w:pPr>
      <w:r>
        <w:t>All regulated citrus trees treated with soil drenches or granular applications and foliar sprays prior to interstate movement from an area quarantined only for ACP but not for citrus greening, as well as all citrus trees intended for interstate movement for immediate export from an area quarantined for citrus greening, must be inspected by an inspector no more than 72 hours prior to movement.</w:t>
      </w:r>
      <w:r w:rsidR="002D57F4">
        <w:t xml:space="preserve">  After inspectio</w:t>
      </w:r>
      <w:r w:rsidR="00B240C4">
        <w:t>n, documentation of findings must</w:t>
      </w:r>
      <w:r w:rsidR="002D57F4">
        <w:t xml:space="preserve"> be provided to APHIS.</w:t>
      </w:r>
    </w:p>
    <w:p w:rsidR="00EA2C60" w:rsidRDefault="00EA2C60" w:rsidP="00E10747">
      <w:pPr>
        <w:pStyle w:val="296"/>
        <w:ind w:left="720"/>
      </w:pPr>
    </w:p>
    <w:p w:rsidR="00EA2C60" w:rsidRDefault="00EA2C60" w:rsidP="00E10747">
      <w:pPr>
        <w:pStyle w:val="296"/>
        <w:ind w:left="720"/>
      </w:pPr>
      <w:r>
        <w:t>Any person whose compliance agreement has been canceled may appeal the decision, in writing, within 10 days after receiving written notification of the cancellation.</w:t>
      </w:r>
    </w:p>
    <w:p w:rsidR="00EA2C60" w:rsidRPr="001E0AE8" w:rsidRDefault="00EA2C60" w:rsidP="00E10747">
      <w:pPr>
        <w:pStyle w:val="296"/>
        <w:ind w:left="720"/>
        <w:rPr>
          <w:b/>
        </w:rPr>
      </w:pPr>
    </w:p>
    <w:p w:rsidR="002B69F7" w:rsidRDefault="002B69F7" w:rsidP="006851C2">
      <w:pPr>
        <w:numPr>
          <w:ilvl w:val="0"/>
          <w:numId w:val="3"/>
        </w:numPr>
        <w:tabs>
          <w:tab w:val="clear" w:pos="360"/>
        </w:tabs>
        <w:overflowPunct/>
        <w:autoSpaceDE/>
        <w:autoSpaceDN/>
        <w:adjustRightInd/>
        <w:spacing w:after="120"/>
        <w:ind w:left="1170" w:hanging="450"/>
        <w:textAlignment w:val="auto"/>
        <w:rPr>
          <w:b/>
        </w:rPr>
      </w:pPr>
      <w:r>
        <w:rPr>
          <w:b/>
        </w:rPr>
        <w:t>requiring respondents to submit more than an original and two copies of any docu</w:t>
      </w:r>
      <w:r>
        <w:rPr>
          <w:b/>
        </w:rPr>
        <w:softHyphen/>
        <w:t>ment;</w:t>
      </w:r>
    </w:p>
    <w:p w:rsidR="002B69F7" w:rsidRDefault="002B69F7" w:rsidP="006851C2">
      <w:pPr>
        <w:numPr>
          <w:ilvl w:val="0"/>
          <w:numId w:val="4"/>
        </w:numPr>
        <w:tabs>
          <w:tab w:val="clear" w:pos="360"/>
        </w:tabs>
        <w:overflowPunct/>
        <w:autoSpaceDE/>
        <w:autoSpaceDN/>
        <w:adjustRightInd/>
        <w:spacing w:after="120"/>
        <w:ind w:left="1166" w:hanging="446"/>
        <w:textAlignment w:val="auto"/>
        <w:rPr>
          <w:b/>
        </w:rPr>
      </w:pPr>
      <w:r>
        <w:rPr>
          <w:b/>
        </w:rPr>
        <w:t>requiring respondents to retain re</w:t>
      </w:r>
      <w:r>
        <w:rPr>
          <w:b/>
        </w:rPr>
        <w:softHyphen/>
        <w:t>cords, other than health, medical, governm</w:t>
      </w:r>
      <w:r>
        <w:rPr>
          <w:b/>
        </w:rPr>
        <w:softHyphen/>
        <w:t>ent contract, grant-in-aid, or tax records for more than three years;</w:t>
      </w:r>
    </w:p>
    <w:p w:rsidR="002B69F7" w:rsidRDefault="002B69F7" w:rsidP="006851C2">
      <w:pPr>
        <w:numPr>
          <w:ilvl w:val="0"/>
          <w:numId w:val="5"/>
        </w:numPr>
        <w:tabs>
          <w:tab w:val="clear" w:pos="360"/>
        </w:tabs>
        <w:overflowPunct/>
        <w:autoSpaceDE/>
        <w:autoSpaceDN/>
        <w:adjustRightInd/>
        <w:spacing w:after="120"/>
        <w:ind w:left="1170" w:hanging="450"/>
        <w:textAlignment w:val="auto"/>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2B69F7" w:rsidRDefault="002B69F7" w:rsidP="006851C2">
      <w:pPr>
        <w:numPr>
          <w:ilvl w:val="0"/>
          <w:numId w:val="6"/>
        </w:numPr>
        <w:tabs>
          <w:tab w:val="clear" w:pos="360"/>
        </w:tabs>
        <w:overflowPunct/>
        <w:autoSpaceDE/>
        <w:autoSpaceDN/>
        <w:adjustRightInd/>
        <w:spacing w:after="120"/>
        <w:ind w:left="1170" w:hanging="450"/>
        <w:textAlignment w:val="auto"/>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2B69F7" w:rsidRDefault="002B69F7" w:rsidP="006851C2">
      <w:pPr>
        <w:numPr>
          <w:ilvl w:val="0"/>
          <w:numId w:val="7"/>
        </w:numPr>
        <w:tabs>
          <w:tab w:val="clear" w:pos="360"/>
        </w:tabs>
        <w:overflowPunct/>
        <w:autoSpaceDE/>
        <w:autoSpaceDN/>
        <w:adjustRightInd/>
        <w:spacing w:after="120"/>
        <w:ind w:left="1170" w:hanging="450"/>
        <w:textAlignment w:val="auto"/>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2B69F7" w:rsidRPr="006851C2" w:rsidRDefault="002B69F7" w:rsidP="006851C2">
      <w:pPr>
        <w:numPr>
          <w:ilvl w:val="0"/>
          <w:numId w:val="8"/>
        </w:numPr>
        <w:tabs>
          <w:tab w:val="clear" w:pos="360"/>
          <w:tab w:val="num" w:pos="648"/>
        </w:tabs>
        <w:overflowPunct/>
        <w:autoSpaceDE/>
        <w:autoSpaceDN/>
        <w:adjustRightInd/>
        <w:spacing w:after="120"/>
        <w:ind w:left="1170" w:hanging="450"/>
        <w:textAlignment w:val="auto"/>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6851C2" w:rsidRPr="005C04DA" w:rsidRDefault="006851C2" w:rsidP="006851C2">
      <w:pPr>
        <w:overflowPunct/>
        <w:autoSpaceDE/>
        <w:autoSpaceDN/>
        <w:adjustRightInd/>
        <w:spacing w:after="120"/>
        <w:ind w:left="1170"/>
        <w:textAlignment w:val="auto"/>
        <w:rPr>
          <w:rFonts w:ascii="CG Times" w:hAnsi="CG Times"/>
        </w:rPr>
      </w:pPr>
    </w:p>
    <w:p w:rsidR="006851C2" w:rsidRPr="007C3E3D" w:rsidRDefault="006851C2" w:rsidP="006851C2">
      <w:pPr>
        <w:pStyle w:val="DefaultText"/>
        <w:ind w:left="360"/>
        <w:rPr>
          <w:rStyle w:val="InitialStyle"/>
          <w:rFonts w:ascii="Times New Roman" w:hAnsi="Times New Roman"/>
        </w:rPr>
      </w:pPr>
      <w:r w:rsidRPr="007C3E3D">
        <w:rPr>
          <w:rStyle w:val="InitialStyle"/>
          <w:rFonts w:ascii="Times New Roman" w:hAnsi="Times New Roman"/>
        </w:rPr>
        <w:t xml:space="preserve">No </w:t>
      </w:r>
      <w:r>
        <w:rPr>
          <w:rStyle w:val="InitialStyle"/>
          <w:rFonts w:ascii="Times New Roman" w:hAnsi="Times New Roman"/>
        </w:rPr>
        <w:t xml:space="preserve">other </w:t>
      </w:r>
      <w:r w:rsidRPr="007C3E3D">
        <w:rPr>
          <w:rStyle w:val="InitialStyle"/>
          <w:rFonts w:ascii="Times New Roman" w:hAnsi="Times New Roman"/>
        </w:rPr>
        <w:t>special circumstances exist that would require this collection to be conducted in a manner inconsistent with the general information collection guidelines in 5 CFR 1320.5.</w:t>
      </w:r>
    </w:p>
    <w:p w:rsidR="006851C2" w:rsidRDefault="006851C2" w:rsidP="006851C2">
      <w:pPr>
        <w:spacing w:after="120"/>
      </w:pPr>
    </w:p>
    <w:p w:rsidR="006851C2" w:rsidRDefault="006851C2">
      <w:pPr>
        <w:pStyle w:val="296"/>
        <w:rPr>
          <w:b/>
        </w:rPr>
      </w:pPr>
    </w:p>
    <w:p w:rsidR="007C5846" w:rsidRDefault="007C5846">
      <w:pPr>
        <w:pStyle w:val="296"/>
        <w:rPr>
          <w:b/>
        </w:rPr>
      </w:pPr>
    </w:p>
    <w:p w:rsidR="007C5846" w:rsidRDefault="007C5846">
      <w:pPr>
        <w:pStyle w:val="296"/>
        <w:rPr>
          <w:b/>
        </w:rPr>
      </w:pPr>
    </w:p>
    <w:p w:rsidR="007C5846" w:rsidRDefault="007C5846">
      <w:pPr>
        <w:pStyle w:val="296"/>
        <w:rPr>
          <w:b/>
        </w:rPr>
      </w:pPr>
    </w:p>
    <w:p w:rsidR="007C5846" w:rsidRDefault="007C5846">
      <w:pPr>
        <w:pStyle w:val="296"/>
        <w:rPr>
          <w:b/>
        </w:rPr>
      </w:pPr>
    </w:p>
    <w:p w:rsidR="00375C77" w:rsidRDefault="00375C77">
      <w:pPr>
        <w:pStyle w:val="296"/>
        <w:rPr>
          <w:b/>
        </w:rPr>
      </w:pPr>
      <w:r>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375C77" w:rsidRDefault="00375C77">
      <w:pPr>
        <w:pStyle w:val="296"/>
        <w:rPr>
          <w:b/>
        </w:rPr>
      </w:pPr>
    </w:p>
    <w:p w:rsidR="0037537B" w:rsidRDefault="007D0AB3">
      <w:pPr>
        <w:pStyle w:val="296"/>
      </w:pPr>
      <w:r>
        <w:t>AP</w:t>
      </w:r>
      <w:r w:rsidR="00416F80">
        <w:t>HIS</w:t>
      </w:r>
      <w:r w:rsidR="00375C77">
        <w:t xml:space="preserve"> held productive consultations with the following citrus producer associations concerning the information collectio</w:t>
      </w:r>
      <w:r w:rsidR="00416F80">
        <w:t xml:space="preserve">n activities associated </w:t>
      </w:r>
      <w:r w:rsidR="00565728">
        <w:t xml:space="preserve">with </w:t>
      </w:r>
      <w:r w:rsidR="0037537B">
        <w:t xml:space="preserve">citrus </w:t>
      </w:r>
      <w:r w:rsidR="0016412A">
        <w:t>g</w:t>
      </w:r>
      <w:r w:rsidR="00E10747">
        <w:t>reening and ACP:</w:t>
      </w:r>
    </w:p>
    <w:p w:rsidR="00561E8F" w:rsidRDefault="00561E8F">
      <w:pPr>
        <w:pStyle w:val="296"/>
      </w:pPr>
    </w:p>
    <w:p w:rsidR="007D0AB3" w:rsidRDefault="00C44EFB" w:rsidP="00ED4C35">
      <w:pPr>
        <w:overflowPunct/>
        <w:textAlignment w:val="auto"/>
        <w:rPr>
          <w:color w:val="000000"/>
        </w:rPr>
      </w:pPr>
      <w:r>
        <w:rPr>
          <w:color w:val="000000"/>
        </w:rPr>
        <w:t>Brazos Citrus Nursery</w:t>
      </w:r>
      <w:r>
        <w:rPr>
          <w:color w:val="000000"/>
        </w:rPr>
        <w:tab/>
      </w:r>
    </w:p>
    <w:p w:rsidR="00ED4C35" w:rsidRPr="00ED4C35" w:rsidRDefault="00322921" w:rsidP="00ED4C35">
      <w:pPr>
        <w:overflowPunct/>
        <w:textAlignment w:val="auto"/>
        <w:rPr>
          <w:color w:val="000000"/>
        </w:rPr>
      </w:pPr>
      <w:r>
        <w:rPr>
          <w:color w:val="000000"/>
        </w:rPr>
        <w:t>Heidi Thompkins</w:t>
      </w:r>
      <w:r w:rsidR="00C44EFB">
        <w:rPr>
          <w:color w:val="000000"/>
        </w:rPr>
        <w:tab/>
      </w:r>
      <w:r w:rsidR="00C44EFB">
        <w:rPr>
          <w:color w:val="000000"/>
        </w:rPr>
        <w:tab/>
      </w:r>
      <w:r w:rsidR="00C44EFB">
        <w:rPr>
          <w:color w:val="000000"/>
        </w:rPr>
        <w:tab/>
      </w:r>
      <w:r w:rsidR="00C44EFB">
        <w:rPr>
          <w:color w:val="000000"/>
        </w:rPr>
        <w:tab/>
      </w:r>
      <w:r w:rsidR="00C44EFB">
        <w:rPr>
          <w:color w:val="000000"/>
        </w:rPr>
        <w:tab/>
      </w:r>
      <w:r w:rsidR="00C44EFB">
        <w:rPr>
          <w:color w:val="000000"/>
        </w:rPr>
        <w:tab/>
      </w:r>
    </w:p>
    <w:p w:rsidR="00C44EFB" w:rsidRDefault="007D0AB3" w:rsidP="00C44EFB">
      <w:pPr>
        <w:overflowPunct/>
        <w:textAlignment w:val="auto"/>
        <w:rPr>
          <w:color w:val="000000"/>
        </w:rPr>
      </w:pPr>
      <w:r>
        <w:rPr>
          <w:color w:val="000000"/>
        </w:rPr>
        <w:t>PO Box 167</w:t>
      </w:r>
    </w:p>
    <w:p w:rsidR="00C44EFB" w:rsidRDefault="00C44EFB" w:rsidP="00C44EFB">
      <w:pPr>
        <w:overflowPunct/>
        <w:textAlignment w:val="auto"/>
        <w:rPr>
          <w:color w:val="000000"/>
        </w:rPr>
      </w:pPr>
      <w:r>
        <w:rPr>
          <w:color w:val="000000"/>
        </w:rPr>
        <w:t>West Columbia, TX  77486</w:t>
      </w:r>
    </w:p>
    <w:p w:rsidR="00C44EFB" w:rsidRDefault="00C44EFB" w:rsidP="00C44EFB">
      <w:pPr>
        <w:overflowPunct/>
        <w:textAlignment w:val="auto"/>
        <w:rPr>
          <w:color w:val="000000"/>
        </w:rPr>
      </w:pPr>
      <w:r>
        <w:rPr>
          <w:color w:val="000000"/>
        </w:rPr>
        <w:t>(979) 345-2906</w:t>
      </w:r>
    </w:p>
    <w:p w:rsidR="002405EA" w:rsidRDefault="002405EA" w:rsidP="00C44EFB">
      <w:pPr>
        <w:overflowPunct/>
        <w:textAlignment w:val="auto"/>
        <w:rPr>
          <w:color w:val="000000"/>
        </w:rPr>
      </w:pPr>
    </w:p>
    <w:p w:rsidR="00C44EFB" w:rsidRDefault="00C44EFB" w:rsidP="00C44EFB">
      <w:pPr>
        <w:overflowPunct/>
        <w:textAlignment w:val="auto"/>
        <w:rPr>
          <w:color w:val="000000"/>
        </w:rPr>
      </w:pPr>
      <w:r>
        <w:rPr>
          <w:color w:val="000000"/>
        </w:rPr>
        <w:t xml:space="preserve">Star Nursery </w:t>
      </w:r>
    </w:p>
    <w:p w:rsidR="00C44EFB" w:rsidRDefault="00322921" w:rsidP="00C44EFB">
      <w:pPr>
        <w:overflowPunct/>
        <w:textAlignment w:val="auto"/>
        <w:rPr>
          <w:color w:val="000000"/>
        </w:rPr>
      </w:pPr>
      <w:r>
        <w:rPr>
          <w:color w:val="000000"/>
        </w:rPr>
        <w:t>Delcia Arneus</w:t>
      </w:r>
    </w:p>
    <w:p w:rsidR="00C44EFB" w:rsidRDefault="00C44EFB" w:rsidP="00C44EFB">
      <w:pPr>
        <w:overflowPunct/>
        <w:textAlignment w:val="auto"/>
        <w:rPr>
          <w:color w:val="000000"/>
        </w:rPr>
      </w:pPr>
      <w:r>
        <w:rPr>
          <w:color w:val="000000"/>
        </w:rPr>
        <w:t>140</w:t>
      </w:r>
      <w:r w:rsidR="007D0AB3">
        <w:rPr>
          <w:color w:val="000000"/>
        </w:rPr>
        <w:t xml:space="preserve">39 </w:t>
      </w:r>
      <w:r>
        <w:rPr>
          <w:color w:val="000000"/>
        </w:rPr>
        <w:t>Hwy 23</w:t>
      </w:r>
    </w:p>
    <w:p w:rsidR="00C44EFB" w:rsidRDefault="00C44EFB" w:rsidP="00C44EFB">
      <w:pPr>
        <w:overflowPunct/>
        <w:textAlignment w:val="auto"/>
        <w:rPr>
          <w:color w:val="000000"/>
        </w:rPr>
      </w:pPr>
      <w:r>
        <w:rPr>
          <w:color w:val="000000"/>
        </w:rPr>
        <w:t>Belle Chase, LA  70037</w:t>
      </w:r>
    </w:p>
    <w:p w:rsidR="00C44EFB" w:rsidRDefault="00C44EFB" w:rsidP="00C44EFB">
      <w:pPr>
        <w:overflowPunct/>
        <w:textAlignment w:val="auto"/>
        <w:rPr>
          <w:color w:val="000000"/>
        </w:rPr>
      </w:pPr>
      <w:r>
        <w:rPr>
          <w:color w:val="000000"/>
        </w:rPr>
        <w:t>(504) 656-7760</w:t>
      </w:r>
    </w:p>
    <w:p w:rsidR="00C44EFB" w:rsidRDefault="00C44EFB" w:rsidP="00C44EFB">
      <w:pPr>
        <w:overflowPunct/>
        <w:textAlignment w:val="auto"/>
        <w:rPr>
          <w:color w:val="000000"/>
        </w:rPr>
      </w:pPr>
    </w:p>
    <w:p w:rsidR="00C44EFB" w:rsidRDefault="00C44EFB" w:rsidP="00C44EFB">
      <w:pPr>
        <w:overflowPunct/>
        <w:textAlignment w:val="auto"/>
        <w:rPr>
          <w:color w:val="000000"/>
        </w:rPr>
      </w:pPr>
      <w:r>
        <w:rPr>
          <w:color w:val="000000"/>
        </w:rPr>
        <w:t>Atkins Nursery</w:t>
      </w:r>
    </w:p>
    <w:p w:rsidR="00C44EFB" w:rsidRDefault="00322921" w:rsidP="00C44EFB">
      <w:pPr>
        <w:overflowPunct/>
        <w:textAlignment w:val="auto"/>
        <w:rPr>
          <w:color w:val="000000"/>
        </w:rPr>
      </w:pPr>
      <w:r>
        <w:rPr>
          <w:color w:val="000000"/>
        </w:rPr>
        <w:t>Drew Mitner</w:t>
      </w:r>
    </w:p>
    <w:p w:rsidR="00C44EFB" w:rsidRPr="007D0AB3" w:rsidRDefault="007D0AB3" w:rsidP="00C44EFB">
      <w:pPr>
        <w:overflowPunct/>
        <w:textAlignment w:val="auto"/>
        <w:rPr>
          <w:color w:val="000000"/>
        </w:rPr>
      </w:pPr>
      <w:r w:rsidRPr="007D0AB3">
        <w:rPr>
          <w:color w:val="222222"/>
          <w:lang w:val="en"/>
        </w:rPr>
        <w:t xml:space="preserve">3129 Reche Rd </w:t>
      </w:r>
    </w:p>
    <w:p w:rsidR="00C44EFB" w:rsidRDefault="00C44EFB" w:rsidP="00C44EFB">
      <w:pPr>
        <w:overflowPunct/>
        <w:textAlignment w:val="auto"/>
        <w:rPr>
          <w:color w:val="000000"/>
        </w:rPr>
      </w:pPr>
      <w:r>
        <w:rPr>
          <w:color w:val="000000"/>
        </w:rPr>
        <w:t>Fallbrook, CA  92028</w:t>
      </w:r>
    </w:p>
    <w:p w:rsidR="00C44EFB" w:rsidRDefault="00C44EFB" w:rsidP="00C44EFB">
      <w:pPr>
        <w:overflowPunct/>
        <w:textAlignment w:val="auto"/>
        <w:rPr>
          <w:color w:val="000000"/>
        </w:rPr>
      </w:pPr>
      <w:r>
        <w:rPr>
          <w:color w:val="000000"/>
        </w:rPr>
        <w:t>(760) 728-1610</w:t>
      </w:r>
      <w:r>
        <w:rPr>
          <w:color w:val="000000"/>
        </w:rPr>
        <w:tab/>
      </w:r>
    </w:p>
    <w:p w:rsidR="00E10747" w:rsidRDefault="00E10747">
      <w:pPr>
        <w:pStyle w:val="296"/>
      </w:pPr>
    </w:p>
    <w:p w:rsidR="009D19F8" w:rsidRDefault="009D19F8" w:rsidP="009D19F8">
      <w:pPr>
        <w:pStyle w:val="300"/>
        <w:rPr>
          <w:color w:val="FF00FF"/>
          <w:sz w:val="24"/>
          <w:szCs w:val="24"/>
        </w:rPr>
      </w:pPr>
      <w:r>
        <w:rPr>
          <w:sz w:val="24"/>
          <w:szCs w:val="24"/>
        </w:rPr>
        <w:t>On Friday, Oct 2</w:t>
      </w:r>
      <w:r w:rsidR="007C5846">
        <w:rPr>
          <w:sz w:val="24"/>
          <w:szCs w:val="24"/>
        </w:rPr>
        <w:t>5</w:t>
      </w:r>
      <w:r>
        <w:rPr>
          <w:sz w:val="24"/>
          <w:szCs w:val="24"/>
        </w:rPr>
        <w:t xml:space="preserve">, 2018, pages </w:t>
      </w:r>
      <w:r w:rsidR="007C5846">
        <w:rPr>
          <w:sz w:val="24"/>
          <w:szCs w:val="24"/>
        </w:rPr>
        <w:t>53847-53848</w:t>
      </w:r>
      <w:r>
        <w:rPr>
          <w:sz w:val="24"/>
          <w:szCs w:val="24"/>
        </w:rPr>
        <w:t xml:space="preserve">, APHIS published in the Federal Register, a 60-day notice seeking public comments on its plans to request a </w:t>
      </w:r>
      <w:r>
        <w:rPr>
          <w:b/>
          <w:sz w:val="24"/>
          <w:szCs w:val="24"/>
        </w:rPr>
        <w:t xml:space="preserve">3-year renewal </w:t>
      </w:r>
      <w:r>
        <w:rPr>
          <w:sz w:val="24"/>
          <w:szCs w:val="24"/>
        </w:rPr>
        <w:t xml:space="preserve">of this collection of information.  No comments from the public were received. </w:t>
      </w:r>
    </w:p>
    <w:p w:rsidR="009D19F8" w:rsidRDefault="009D19F8" w:rsidP="009D19F8">
      <w:pPr>
        <w:pStyle w:val="300"/>
        <w:rPr>
          <w:b/>
          <w:sz w:val="24"/>
          <w:szCs w:val="24"/>
        </w:rPr>
      </w:pPr>
    </w:p>
    <w:p w:rsidR="009D19F8" w:rsidRDefault="009D19F8">
      <w:pPr>
        <w:pStyle w:val="296"/>
        <w:rPr>
          <w:b/>
        </w:rPr>
      </w:pPr>
    </w:p>
    <w:p w:rsidR="00375C77" w:rsidRDefault="00375C77">
      <w:pPr>
        <w:pStyle w:val="296"/>
        <w:rPr>
          <w:b/>
        </w:rPr>
      </w:pPr>
      <w:r>
        <w:rPr>
          <w:b/>
        </w:rPr>
        <w:t>9.  Explain any decision to provide any payment or gift to respondents, other than reenumeration of contractors or grantees.</w:t>
      </w:r>
    </w:p>
    <w:p w:rsidR="00375C77" w:rsidRDefault="00375C77">
      <w:pPr>
        <w:pStyle w:val="296"/>
        <w:rPr>
          <w:b/>
        </w:rPr>
      </w:pPr>
    </w:p>
    <w:p w:rsidR="00375C77" w:rsidRDefault="00375C77">
      <w:pPr>
        <w:pStyle w:val="296"/>
      </w:pPr>
      <w:r>
        <w:t>This information collection activity involves no payments (other than appropriate, program-related payments) or gifts to respondents.</w:t>
      </w:r>
    </w:p>
    <w:p w:rsidR="00375C77" w:rsidRDefault="00375C77">
      <w:pPr>
        <w:pStyle w:val="296"/>
      </w:pPr>
    </w:p>
    <w:p w:rsidR="00C3369F" w:rsidRDefault="00C3369F">
      <w:pPr>
        <w:pStyle w:val="296"/>
      </w:pPr>
    </w:p>
    <w:p w:rsidR="00375C77" w:rsidRDefault="00375C77">
      <w:pPr>
        <w:pStyle w:val="296"/>
        <w:rPr>
          <w:b/>
        </w:rPr>
      </w:pPr>
      <w:r>
        <w:rPr>
          <w:b/>
        </w:rPr>
        <w:t>10.  Describe any assurance of confidentiality provided to respondents and the basis for the assurance in status, regulation, or agency policy.</w:t>
      </w:r>
    </w:p>
    <w:p w:rsidR="00375C77" w:rsidRDefault="00375C77">
      <w:pPr>
        <w:pStyle w:val="296"/>
        <w:rPr>
          <w:b/>
        </w:rPr>
      </w:pPr>
    </w:p>
    <w:p w:rsidR="00A81863" w:rsidRDefault="00A81863" w:rsidP="00A81863">
      <w:r>
        <w:t>(SORN) APHIS-10: APHIS Comprehensive Electronic Permitting System (ePermits)</w:t>
      </w:r>
    </w:p>
    <w:p w:rsidR="00A81863" w:rsidRDefault="00A81863" w:rsidP="00A81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FR Doc E8-9407[Federal Register: April 30, 2008 (Volume 73, Number 84)]</w:t>
      </w:r>
    </w:p>
    <w:p w:rsidR="00A81863" w:rsidRDefault="00A81863" w:rsidP="00A81863"/>
    <w:p w:rsidR="00A81863" w:rsidRDefault="00A81863" w:rsidP="00A81863">
      <w:r>
        <w:t xml:space="preserve">No additional assurance of confidentiality is provided with this information collection.  Any and all information obtained in this collection shall not be disclosed except in accordance with </w:t>
      </w:r>
    </w:p>
    <w:p w:rsidR="00A81863" w:rsidRDefault="00A81863" w:rsidP="00A81863">
      <w:r>
        <w:t>5 U.S.C. 552a.</w:t>
      </w:r>
    </w:p>
    <w:p w:rsidR="00375C77" w:rsidRDefault="00375C77">
      <w:pPr>
        <w:pStyle w:val="296"/>
      </w:pPr>
    </w:p>
    <w:p w:rsidR="00C3369F" w:rsidRDefault="00C3369F">
      <w:pPr>
        <w:pStyle w:val="296"/>
      </w:pPr>
    </w:p>
    <w:p w:rsidR="00481F96" w:rsidRDefault="00375C77">
      <w:pPr>
        <w:pStyle w:val="296"/>
        <w:rPr>
          <w:b/>
        </w:rPr>
      </w:pPr>
      <w:r>
        <w:rPr>
          <w:b/>
        </w:rPr>
        <w:t xml:space="preserve">11.  Provide additional justification for any questions of a sensitive nature, such as sexual behavior and attitudes, religious beliefs, and others that are considered private.  This justification should include the reasons why the </w:t>
      </w:r>
      <w:r w:rsidR="001C6D34">
        <w:rPr>
          <w:b/>
        </w:rPr>
        <w:t>agency considers</w:t>
      </w:r>
      <w:r>
        <w:rPr>
          <w:b/>
        </w:rPr>
        <w:t xml:space="preserve"> the </w:t>
      </w:r>
    </w:p>
    <w:p w:rsidR="00375C77" w:rsidRDefault="00375C77">
      <w:pPr>
        <w:pStyle w:val="296"/>
        <w:rPr>
          <w:b/>
        </w:rPr>
      </w:pPr>
      <w:r>
        <w:rPr>
          <w:b/>
        </w:rPr>
        <w:t>questions necessary, the specific uses to be made of the information, the explanation to be given to persons from whom the information is requested, and any steps to be taken to obtain their consent.</w:t>
      </w:r>
    </w:p>
    <w:p w:rsidR="00375C77" w:rsidRDefault="00375C77">
      <w:pPr>
        <w:pStyle w:val="296"/>
        <w:rPr>
          <w:b/>
        </w:rPr>
      </w:pPr>
    </w:p>
    <w:p w:rsidR="00375C77" w:rsidRDefault="00375C77">
      <w:pPr>
        <w:pStyle w:val="296"/>
      </w:pPr>
      <w:r>
        <w:t>This information collection activity asks no questions of a personal or sensitive nature.</w:t>
      </w:r>
    </w:p>
    <w:p w:rsidR="00565728" w:rsidRDefault="00565728">
      <w:pPr>
        <w:pStyle w:val="296"/>
      </w:pPr>
    </w:p>
    <w:p w:rsidR="00C3369F" w:rsidRDefault="00C3369F">
      <w:pPr>
        <w:pStyle w:val="296"/>
      </w:pPr>
    </w:p>
    <w:p w:rsidR="00375C77" w:rsidRDefault="00375C77">
      <w:pPr>
        <w:pStyle w:val="296"/>
        <w:rPr>
          <w:b/>
        </w:rPr>
      </w:pPr>
      <w:r>
        <w:rPr>
          <w:b/>
        </w:rPr>
        <w:t>12.  Provide estimates of the hour burden of the collection of information.  Indicate the number of respondents, frequency of response, annual hour burden, and an explanation of how the burden was estimated.</w:t>
      </w:r>
    </w:p>
    <w:p w:rsidR="00375C77" w:rsidRDefault="00375C77">
      <w:pPr>
        <w:pStyle w:val="296"/>
        <w:rPr>
          <w:b/>
        </w:rPr>
      </w:pPr>
    </w:p>
    <w:p w:rsidR="00375C77" w:rsidRDefault="008B6F15">
      <w:pPr>
        <w:pStyle w:val="296"/>
        <w:rPr>
          <w:b/>
        </w:rPr>
      </w:pPr>
      <w:r>
        <w:rPr>
          <w:b/>
        </w:rPr>
        <w:t>•</w:t>
      </w:r>
      <w:r w:rsidR="001C6D34">
        <w:rPr>
          <w:b/>
        </w:rPr>
        <w:t xml:space="preserve"> Indicate</w:t>
      </w:r>
      <w:r w:rsidR="00375C77">
        <w:rPr>
          <w:b/>
        </w:rPr>
        <w:t xml:space="preserve"> the number of respondents, frequency of response, annual hour burden, and explanation of how the burden was estimated.  If this request for approval covers more than one form, provide separate hour burden estimates for each form and aggregate the hour burdens in Item 13 of OMB Form 83-I.</w:t>
      </w:r>
    </w:p>
    <w:p w:rsidR="00375C77" w:rsidRDefault="00375C77">
      <w:pPr>
        <w:pStyle w:val="296"/>
        <w:rPr>
          <w:b/>
        </w:rPr>
      </w:pPr>
    </w:p>
    <w:p w:rsidR="00113B49" w:rsidRDefault="00375C77">
      <w:pPr>
        <w:pStyle w:val="296"/>
      </w:pPr>
      <w:r>
        <w:t>See APHIS Form 71 for hour burden estimates</w:t>
      </w:r>
    </w:p>
    <w:p w:rsidR="00113B49" w:rsidRDefault="00113B49">
      <w:pPr>
        <w:pStyle w:val="296"/>
      </w:pPr>
    </w:p>
    <w:p w:rsidR="00375C77" w:rsidRDefault="008B6F15">
      <w:pPr>
        <w:pStyle w:val="296"/>
        <w:rPr>
          <w:b/>
        </w:rPr>
      </w:pPr>
      <w:r>
        <w:rPr>
          <w:b/>
        </w:rPr>
        <w:t>•</w:t>
      </w:r>
      <w:r w:rsidR="001C6D34">
        <w:rPr>
          <w:b/>
        </w:rPr>
        <w:t xml:space="preserve"> Provide</w:t>
      </w:r>
      <w:r w:rsidR="00375C77">
        <w:rPr>
          <w:b/>
        </w:rPr>
        <w:t xml:space="preserve"> estimates of annualized cost to respondents for the hour burdens for collections of information, identifying and using appropriate wage rate categories.</w:t>
      </w:r>
    </w:p>
    <w:p w:rsidR="00072948" w:rsidRDefault="00072948">
      <w:pPr>
        <w:pStyle w:val="296"/>
        <w:rPr>
          <w:b/>
        </w:rPr>
      </w:pPr>
    </w:p>
    <w:p w:rsidR="007C5846" w:rsidRDefault="007C5846" w:rsidP="007C5846">
      <w:r w:rsidRPr="00B0744B">
        <w:t>APHIS estimates the total annualized cost to the above respondents to be $</w:t>
      </w:r>
      <w:r w:rsidRPr="007C5846">
        <w:t>106</w:t>
      </w:r>
      <w:r>
        <w:t>,</w:t>
      </w:r>
      <w:r w:rsidRPr="007C5846">
        <w:t>163.13</w:t>
      </w:r>
      <w:r w:rsidRPr="00B0744B">
        <w:t>. APHIS arrived at this figure by multiplying the total burden hours (</w:t>
      </w:r>
      <w:r>
        <w:t>2,021</w:t>
      </w:r>
      <w:r w:rsidRPr="00B0744B">
        <w:t>) by the estimated average h</w:t>
      </w:r>
      <w:r>
        <w:t xml:space="preserve">ourly wage of the respondents ($35.88 + 16.65 = 52.53). </w:t>
      </w:r>
    </w:p>
    <w:p w:rsidR="007C5846" w:rsidRDefault="007C5846" w:rsidP="007C5846"/>
    <w:p w:rsidR="007C5846" w:rsidRPr="00B0744B" w:rsidRDefault="007C5846" w:rsidP="007C5846">
      <w:r>
        <w:t>2,021 X $52.53 = $</w:t>
      </w:r>
      <w:r w:rsidRPr="007C5846">
        <w:t>106</w:t>
      </w:r>
      <w:r>
        <w:t>,</w:t>
      </w:r>
      <w:r w:rsidRPr="007C5846">
        <w:t>163.13</w:t>
      </w:r>
    </w:p>
    <w:p w:rsidR="008D59CC" w:rsidRPr="008D59CC" w:rsidRDefault="008D59CC">
      <w:pPr>
        <w:pStyle w:val="296"/>
        <w:rPr>
          <w:color w:val="000000"/>
        </w:rPr>
      </w:pPr>
    </w:p>
    <w:p w:rsidR="002A0DAC" w:rsidRDefault="0016412A" w:rsidP="002A0DAC">
      <w:pPr>
        <w:pStyle w:val="296"/>
      </w:pPr>
      <w:r w:rsidRPr="008D59CC">
        <w:rPr>
          <w:color w:val="000000"/>
        </w:rPr>
        <w:t>The hourly rate is derived from the U.S Department of Labor, Bur</w:t>
      </w:r>
      <w:r w:rsidR="00E91525">
        <w:rPr>
          <w:color w:val="000000"/>
        </w:rPr>
        <w:t>eau of Labor Statistics May</w:t>
      </w:r>
      <w:r w:rsidR="002A0DAC">
        <w:rPr>
          <w:color w:val="000000"/>
        </w:rPr>
        <w:t xml:space="preserve"> 201</w:t>
      </w:r>
      <w:r w:rsidR="009C0B23">
        <w:rPr>
          <w:color w:val="000000"/>
        </w:rPr>
        <w:t>8</w:t>
      </w:r>
      <w:r w:rsidRPr="008D59CC">
        <w:rPr>
          <w:color w:val="000000"/>
        </w:rPr>
        <w:t xml:space="preserve"> Report Occupational Employment and Wages in the United States.  See</w:t>
      </w:r>
      <w:r w:rsidRPr="00AD09B5">
        <w:rPr>
          <w:color w:val="008000"/>
        </w:rPr>
        <w:t xml:space="preserve"> </w:t>
      </w:r>
    </w:p>
    <w:p w:rsidR="002A0DAC" w:rsidRDefault="00C3759D" w:rsidP="002A0DAC">
      <w:hyperlink r:id="rId12" w:anchor="b11-0000" w:history="1">
        <w:r w:rsidR="009D19F8" w:rsidRPr="00E11563">
          <w:rPr>
            <w:rStyle w:val="Hyperlink"/>
          </w:rPr>
          <w:t>http://www.bls.gov/oes/2017/may/oes_nat.htm#b11-0000</w:t>
        </w:r>
      </w:hyperlink>
      <w:r w:rsidR="002A0DAC">
        <w:t xml:space="preserve"> </w:t>
      </w:r>
    </w:p>
    <w:p w:rsidR="002A0DAC" w:rsidRDefault="002A0DAC" w:rsidP="002A0DAC"/>
    <w:p w:rsidR="007C5846" w:rsidRPr="00807E08" w:rsidRDefault="007C5846" w:rsidP="007C5846">
      <w:r w:rsidRPr="00807E08">
        <w:t>Benefits = wages X 46.4% (3</w:t>
      </w:r>
      <w:r>
        <w:t>588</w:t>
      </w:r>
      <w:r w:rsidRPr="00807E08">
        <w:t xml:space="preserve"> X 0.464 = $1</w:t>
      </w:r>
      <w:r>
        <w:t>6</w:t>
      </w:r>
      <w:r w:rsidRPr="00807E08">
        <w:t>.</w:t>
      </w:r>
      <w:r w:rsidR="000B79AD">
        <w:t>88</w:t>
      </w:r>
      <w:r w:rsidRPr="00807E08">
        <w:t>)</w:t>
      </w:r>
    </w:p>
    <w:p w:rsidR="00540386" w:rsidRDefault="00540386">
      <w:pPr>
        <w:pStyle w:val="296"/>
      </w:pPr>
    </w:p>
    <w:p w:rsidR="00A81863" w:rsidRDefault="00A81863">
      <w:pPr>
        <w:pStyle w:val="296"/>
        <w:rPr>
          <w:b/>
        </w:rPr>
      </w:pPr>
    </w:p>
    <w:p w:rsidR="000B79AD" w:rsidRDefault="000B79AD">
      <w:pPr>
        <w:pStyle w:val="296"/>
        <w:rPr>
          <w:b/>
        </w:rPr>
      </w:pPr>
    </w:p>
    <w:p w:rsidR="000B79AD" w:rsidRDefault="000B79AD">
      <w:pPr>
        <w:pStyle w:val="296"/>
        <w:rPr>
          <w:b/>
        </w:rPr>
      </w:pPr>
    </w:p>
    <w:p w:rsidR="000B79AD" w:rsidRDefault="000B79AD">
      <w:pPr>
        <w:pStyle w:val="296"/>
        <w:rPr>
          <w:b/>
        </w:rPr>
      </w:pPr>
    </w:p>
    <w:p w:rsidR="000B79AD" w:rsidRDefault="000B79AD">
      <w:pPr>
        <w:pStyle w:val="296"/>
        <w:rPr>
          <w:b/>
        </w:rPr>
      </w:pPr>
    </w:p>
    <w:p w:rsidR="00375C77" w:rsidRDefault="00375C77">
      <w:pPr>
        <w:pStyle w:val="296"/>
        <w:rPr>
          <w:b/>
        </w:rPr>
      </w:pPr>
      <w:r>
        <w:rPr>
          <w:b/>
        </w:rPr>
        <w:t>13.  Provide estimates of the total annual cost burden to respondents or recordkeepers resulting from the collection of information, (do not include the cost of any hour burden shown in items 12 and 14).  The cost estimate should be split into two component</w:t>
      </w:r>
      <w:r w:rsidR="00ED4C35">
        <w:rPr>
          <w:b/>
        </w:rPr>
        <w:t>s</w:t>
      </w:r>
      <w:r>
        <w:rPr>
          <w:b/>
        </w:rPr>
        <w:t>:  (a) a total capital and start-up cost component annualized over its expected useful life; and (b) a total operation and maintenance and purchase of services component.</w:t>
      </w:r>
    </w:p>
    <w:p w:rsidR="00375C77" w:rsidRDefault="00375C77">
      <w:pPr>
        <w:pStyle w:val="296"/>
        <w:rPr>
          <w:b/>
        </w:rPr>
      </w:pPr>
    </w:p>
    <w:p w:rsidR="00375C77" w:rsidRDefault="00540386">
      <w:pPr>
        <w:pStyle w:val="296"/>
      </w:pPr>
      <w:r>
        <w:t>There is no annual</w:t>
      </w:r>
      <w:r w:rsidR="00375C77">
        <w:t xml:space="preserve"> cost burden associated</w:t>
      </w:r>
      <w:r w:rsidR="00902F32">
        <w:t xml:space="preserve"> with capital and start-up</w:t>
      </w:r>
      <w:r w:rsidR="00375C77">
        <w:t>, maintenance costs, and purchase of services in connection with this program.</w:t>
      </w:r>
    </w:p>
    <w:p w:rsidR="00902F32" w:rsidRDefault="00902F32">
      <w:pPr>
        <w:pStyle w:val="296"/>
      </w:pPr>
    </w:p>
    <w:p w:rsidR="00375C77" w:rsidRDefault="000F23D6">
      <w:pPr>
        <w:pStyle w:val="296"/>
        <w:rPr>
          <w:b/>
        </w:rPr>
      </w:pPr>
      <w:r>
        <w:rPr>
          <w:b/>
        </w:rPr>
        <w:t xml:space="preserve"> </w:t>
      </w:r>
      <w:r w:rsidR="00375C77">
        <w:rPr>
          <w:b/>
        </w:rPr>
        <w:t>14.  Provide estimates of annualized cost to the Federal government.  Provide a description of the method used to estimate cost and any other expense that would not have been incurred without this collection of information.</w:t>
      </w:r>
    </w:p>
    <w:p w:rsidR="00375C77" w:rsidRDefault="00375C77">
      <w:pPr>
        <w:pStyle w:val="296"/>
        <w:rPr>
          <w:b/>
        </w:rPr>
      </w:pPr>
    </w:p>
    <w:p w:rsidR="00375C77" w:rsidRDefault="00C21747">
      <w:pPr>
        <w:pStyle w:val="296"/>
      </w:pPr>
      <w:r>
        <w:t>The estimated cost to</w:t>
      </w:r>
      <w:r w:rsidR="000D5487">
        <w:t xml:space="preserve"> the Fed</w:t>
      </w:r>
      <w:r w:rsidR="00540386">
        <w:t>eral Government is $</w:t>
      </w:r>
      <w:r w:rsidR="002A2883">
        <w:t>69,326.00</w:t>
      </w:r>
      <w:r w:rsidR="00902F32">
        <w:t xml:space="preserve">.  </w:t>
      </w:r>
      <w:r w:rsidR="00375C77">
        <w:t>See APHIS Form 79</w:t>
      </w:r>
      <w:r w:rsidR="00902F32">
        <w:t xml:space="preserve"> for details.</w:t>
      </w:r>
    </w:p>
    <w:p w:rsidR="00540386" w:rsidRDefault="00540386">
      <w:pPr>
        <w:pStyle w:val="296"/>
      </w:pPr>
    </w:p>
    <w:p w:rsidR="00077C63" w:rsidRDefault="00077C63">
      <w:pPr>
        <w:pStyle w:val="296"/>
      </w:pPr>
    </w:p>
    <w:p w:rsidR="00375C77" w:rsidRDefault="00375C77">
      <w:pPr>
        <w:pStyle w:val="296"/>
        <w:rPr>
          <w:b/>
        </w:rPr>
      </w:pPr>
      <w:r>
        <w:rPr>
          <w:b/>
        </w:rPr>
        <w:t>15.  Explain the reasons for any program changes or adjustments reported in Items 13 or 14 of the OMB Form 83-1.</w:t>
      </w:r>
    </w:p>
    <w:p w:rsidR="009B6E5E" w:rsidRDefault="009B6E5E">
      <w:pPr>
        <w:pStyle w:val="296"/>
      </w:pPr>
    </w:p>
    <w:p w:rsidR="00A81863" w:rsidRDefault="00A81863" w:rsidP="00A81863">
      <w:pPr>
        <w:pStyle w:val="DefaultText"/>
        <w:tabs>
          <w:tab w:val="left" w:pos="1073"/>
        </w:tabs>
        <w:rPr>
          <w:rFonts w:ascii="Arial" w:hAnsi="Arial" w:cs="Arial"/>
          <w:color w:val="000000"/>
        </w:rPr>
      </w:pPr>
      <w:r>
        <w:rPr>
          <w:rFonts w:ascii="Arial" w:hAnsi="Arial" w:cs="Arial"/>
          <w:color w:val="000000"/>
        </w:rPr>
        <w:t>ICR Summary of Burden:</w:t>
      </w:r>
    </w:p>
    <w:tbl>
      <w:tblPr>
        <w:tblW w:w="5080" w:type="pct"/>
        <w:tblInd w:w="-75" w:type="dxa"/>
        <w:tblBorders>
          <w:top w:val="single" w:sz="6" w:space="0" w:color="C5DBEC"/>
          <w:left w:val="single" w:sz="6" w:space="0" w:color="C5DBEC"/>
          <w:bottom w:val="single" w:sz="6" w:space="0" w:color="C5DBEC"/>
          <w:right w:val="single" w:sz="6" w:space="0" w:color="C5DBEC"/>
        </w:tblBorders>
        <w:tblLook w:val="04A0" w:firstRow="1" w:lastRow="0" w:firstColumn="1" w:lastColumn="0" w:noHBand="0" w:noVBand="1"/>
      </w:tblPr>
      <w:tblGrid>
        <w:gridCol w:w="1393"/>
        <w:gridCol w:w="1392"/>
        <w:gridCol w:w="1392"/>
        <w:gridCol w:w="1392"/>
        <w:gridCol w:w="1497"/>
        <w:gridCol w:w="1349"/>
        <w:gridCol w:w="1418"/>
      </w:tblGrid>
      <w:tr w:rsidR="00A81863" w:rsidTr="00A81863">
        <w:tc>
          <w:tcPr>
            <w:tcW w:w="708"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A81863" w:rsidRDefault="00A81863" w:rsidP="00A81863">
            <w:pPr>
              <w:jc w:val="center"/>
              <w:rPr>
                <w:rFonts w:ascii="Arial" w:hAnsi="Arial" w:cs="Arial"/>
                <w:b/>
                <w:bCs/>
                <w:color w:val="FFFFFF"/>
                <w:sz w:val="18"/>
                <w:szCs w:val="18"/>
              </w:rPr>
            </w:pPr>
            <w:r>
              <w:rPr>
                <w:rFonts w:ascii="Arial" w:hAnsi="Arial" w:cs="Arial"/>
                <w:b/>
                <w:bCs/>
                <w:color w:val="FFFFFF"/>
                <w:sz w:val="18"/>
                <w:szCs w:val="18"/>
              </w:rPr>
              <w:t> </w:t>
            </w:r>
          </w:p>
        </w:tc>
        <w:tc>
          <w:tcPr>
            <w:tcW w:w="708"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A81863" w:rsidRDefault="00A81863" w:rsidP="00A81863">
            <w:pPr>
              <w:jc w:val="center"/>
              <w:rPr>
                <w:rFonts w:ascii="Arial" w:hAnsi="Arial" w:cs="Arial"/>
                <w:b/>
                <w:bCs/>
                <w:color w:val="FFFFFF"/>
                <w:sz w:val="18"/>
                <w:szCs w:val="18"/>
              </w:rPr>
            </w:pPr>
            <w:r>
              <w:rPr>
                <w:rFonts w:ascii="Arial" w:hAnsi="Arial" w:cs="Arial"/>
                <w:b/>
                <w:bCs/>
                <w:color w:val="FFFFFF"/>
                <w:sz w:val="18"/>
                <w:szCs w:val="18"/>
              </w:rPr>
              <w:t>Requested</w:t>
            </w:r>
          </w:p>
        </w:tc>
        <w:tc>
          <w:tcPr>
            <w:tcW w:w="708"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A81863" w:rsidRDefault="00A81863" w:rsidP="00A81863">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08"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A81863" w:rsidRDefault="00A81863" w:rsidP="00A81863">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61"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A81863" w:rsidRDefault="00A81863" w:rsidP="00A81863">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686"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A81863" w:rsidRDefault="00A81863" w:rsidP="00A81863">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721"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A81863" w:rsidRDefault="00A81863" w:rsidP="00A81863">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A81863" w:rsidTr="00A81863">
        <w:tc>
          <w:tcPr>
            <w:tcW w:w="708"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A81863" w:rsidRDefault="00A81863" w:rsidP="00A81863">
            <w:pPr>
              <w:rPr>
                <w:rFonts w:ascii="Arial" w:hAnsi="Arial" w:cs="Arial"/>
                <w:color w:val="000000"/>
                <w:sz w:val="18"/>
                <w:szCs w:val="18"/>
              </w:rPr>
            </w:pPr>
            <w:r>
              <w:rPr>
                <w:rFonts w:ascii="Arial" w:hAnsi="Arial" w:cs="Arial"/>
                <w:color w:val="000000"/>
                <w:sz w:val="18"/>
                <w:szCs w:val="18"/>
              </w:rPr>
              <w:t>Annual Number of Responses</w:t>
            </w:r>
          </w:p>
        </w:tc>
        <w:tc>
          <w:tcPr>
            <w:tcW w:w="708"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A81863" w:rsidRDefault="00A81863" w:rsidP="00A81863">
            <w:pPr>
              <w:rPr>
                <w:rFonts w:ascii="Arial" w:hAnsi="Arial" w:cs="Arial"/>
                <w:color w:val="000000"/>
                <w:sz w:val="18"/>
                <w:szCs w:val="18"/>
              </w:rPr>
            </w:pPr>
            <w:r>
              <w:rPr>
                <w:rFonts w:ascii="Arial" w:hAnsi="Arial" w:cs="Arial"/>
                <w:color w:val="000000"/>
                <w:sz w:val="18"/>
                <w:szCs w:val="18"/>
              </w:rPr>
              <w:t> 15,904</w:t>
            </w:r>
          </w:p>
        </w:tc>
        <w:tc>
          <w:tcPr>
            <w:tcW w:w="708"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A81863" w:rsidRDefault="00A81863" w:rsidP="00A81863">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in;height:18pt" o:ole="">
                  <v:imagedata r:id="rId13" o:title=""/>
                </v:shape>
                <w:control r:id="rId14" w:name="DefaultOcxName1" w:shapeid="_x0000_i1056"/>
              </w:object>
            </w:r>
          </w:p>
        </w:tc>
        <w:tc>
          <w:tcPr>
            <w:tcW w:w="708"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A81863" w:rsidRDefault="00A81863" w:rsidP="00A81863">
            <w:pPr>
              <w:rPr>
                <w:rFonts w:ascii="Arial" w:hAnsi="Arial" w:cs="Arial"/>
                <w:color w:val="000000"/>
                <w:sz w:val="18"/>
                <w:szCs w:val="18"/>
              </w:rPr>
            </w:pPr>
            <w:r>
              <w:rPr>
                <w:rFonts w:ascii="Arial" w:hAnsi="Arial" w:cs="Arial"/>
                <w:color w:val="000000"/>
                <w:sz w:val="18"/>
                <w:szCs w:val="18"/>
              </w:rPr>
              <w:t> 1</w:t>
            </w:r>
            <w:r>
              <w:rPr>
                <w:rFonts w:ascii="Arial" w:hAnsi="Arial" w:cs="Arial"/>
                <w:vanish/>
                <w:color w:val="000000"/>
                <w:sz w:val="18"/>
                <w:szCs w:val="18"/>
              </w:rPr>
              <w:object w:dxaOrig="225" w:dyaOrig="225">
                <v:shape id="_x0000_i1059" type="#_x0000_t75" style="width:1in;height:18pt" o:ole="">
                  <v:imagedata r:id="rId15" o:title=""/>
                </v:shape>
                <w:control r:id="rId16" w:name="DefaultOcxName2" w:shapeid="_x0000_i1059"/>
              </w:object>
            </w:r>
          </w:p>
        </w:tc>
        <w:tc>
          <w:tcPr>
            <w:tcW w:w="761"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A81863" w:rsidRDefault="00A81863" w:rsidP="00A81863">
            <w:pPr>
              <w:rPr>
                <w:rFonts w:ascii="Arial" w:hAnsi="Arial" w:cs="Arial"/>
                <w:color w:val="000000"/>
                <w:sz w:val="18"/>
                <w:szCs w:val="18"/>
              </w:rPr>
            </w:pPr>
            <w:r>
              <w:rPr>
                <w:rFonts w:ascii="Arial" w:hAnsi="Arial" w:cs="Arial"/>
                <w:color w:val="000000"/>
                <w:sz w:val="18"/>
                <w:szCs w:val="18"/>
              </w:rPr>
              <w:t>  1,466</w:t>
            </w:r>
            <w:r>
              <w:rPr>
                <w:rFonts w:ascii="Arial" w:hAnsi="Arial" w:cs="Arial"/>
                <w:vanish/>
                <w:color w:val="000000"/>
                <w:sz w:val="18"/>
                <w:szCs w:val="18"/>
              </w:rPr>
              <w:object w:dxaOrig="225" w:dyaOrig="225">
                <v:shape id="_x0000_i1062" type="#_x0000_t75" style="width:1in;height:18pt" o:ole="">
                  <v:imagedata r:id="rId17" o:title=""/>
                </v:shape>
                <w:control r:id="rId18" w:name="DefaultOcxName3" w:shapeid="_x0000_i1062"/>
              </w:object>
            </w:r>
          </w:p>
        </w:tc>
        <w:tc>
          <w:tcPr>
            <w:tcW w:w="0" w:type="auto"/>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A81863" w:rsidRDefault="00A81863" w:rsidP="00A81863">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65" type="#_x0000_t75" style="width:1in;height:18pt" o:ole="">
                  <v:imagedata r:id="rId19" o:title=""/>
                </v:shape>
                <w:control r:id="rId20" w:name="DefaultOcxName4" w:shapeid="_x0000_i1065"/>
              </w:object>
            </w:r>
          </w:p>
        </w:tc>
        <w:tc>
          <w:tcPr>
            <w:tcW w:w="721" w:type="pct"/>
            <w:tcBorders>
              <w:top w:val="outset" w:sz="8" w:space="0" w:color="FFFFFF"/>
              <w:left w:val="outset" w:sz="6" w:space="0" w:color="auto"/>
              <w:bottom w:val="outset" w:sz="6" w:space="0" w:color="auto"/>
              <w:right w:val="outset" w:sz="6" w:space="0" w:color="auto"/>
            </w:tcBorders>
            <w:hideMark/>
          </w:tcPr>
          <w:p w:rsidR="00A81863" w:rsidRDefault="00A81863" w:rsidP="00A81863">
            <w:pPr>
              <w:rPr>
                <w:rFonts w:ascii="Arial" w:hAnsi="Arial" w:cs="Arial"/>
                <w:color w:val="000000"/>
                <w:sz w:val="18"/>
                <w:szCs w:val="18"/>
              </w:rPr>
            </w:pPr>
            <w:r>
              <w:rPr>
                <w:rFonts w:ascii="Arial" w:hAnsi="Arial" w:cs="Arial"/>
                <w:color w:val="000000"/>
                <w:sz w:val="18"/>
                <w:szCs w:val="18"/>
              </w:rPr>
              <w:t>14,437</w:t>
            </w:r>
          </w:p>
        </w:tc>
      </w:tr>
      <w:tr w:rsidR="00A81863" w:rsidTr="00A81863">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81863" w:rsidRDefault="00A81863" w:rsidP="00A81863">
            <w:pPr>
              <w:rPr>
                <w:rFonts w:ascii="Arial" w:hAnsi="Arial" w:cs="Arial"/>
                <w:color w:val="000000"/>
                <w:sz w:val="18"/>
                <w:szCs w:val="18"/>
              </w:rPr>
            </w:pPr>
            <w:r>
              <w:rPr>
                <w:rFonts w:ascii="Arial" w:hAnsi="Arial" w:cs="Arial"/>
                <w:color w:val="000000"/>
                <w:sz w:val="18"/>
                <w:szCs w:val="18"/>
              </w:rPr>
              <w:t>Annual Time Burden (Hr)</w: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81863" w:rsidRDefault="00A81863" w:rsidP="00A81863">
            <w:pPr>
              <w:rPr>
                <w:rFonts w:ascii="Arial" w:hAnsi="Arial" w:cs="Arial"/>
                <w:color w:val="000000"/>
                <w:sz w:val="18"/>
                <w:szCs w:val="18"/>
              </w:rPr>
            </w:pPr>
            <w:r>
              <w:rPr>
                <w:rFonts w:ascii="Arial" w:hAnsi="Arial" w:cs="Arial"/>
                <w:color w:val="000000"/>
                <w:sz w:val="18"/>
                <w:szCs w:val="18"/>
              </w:rPr>
              <w:t xml:space="preserve"> 2,021</w:t>
            </w:r>
            <w:r>
              <w:rPr>
                <w:rFonts w:ascii="Arial" w:hAnsi="Arial" w:cs="Arial"/>
                <w:vanish/>
                <w:color w:val="000000"/>
                <w:sz w:val="18"/>
                <w:szCs w:val="18"/>
              </w:rPr>
              <w:object w:dxaOrig="225" w:dyaOrig="225">
                <v:shape id="_x0000_i1068" type="#_x0000_t75" style="width:1in;height:18pt" o:ole="">
                  <v:imagedata r:id="rId21" o:title=""/>
                </v:shape>
                <w:control r:id="rId22" w:name="DefaultOcxName6" w:shapeid="_x0000_i1068"/>
              </w:objec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81863" w:rsidRDefault="00A81863" w:rsidP="00A81863">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71" type="#_x0000_t75" style="width:1in;height:18pt" o:ole="">
                  <v:imagedata r:id="rId23" o:title=""/>
                </v:shape>
                <w:control r:id="rId24" w:name="DefaultOcxName7" w:shapeid="_x0000_i1071"/>
              </w:objec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81863" w:rsidRDefault="00A81863" w:rsidP="00A81863">
            <w:pPr>
              <w:rPr>
                <w:rFonts w:ascii="Arial" w:hAnsi="Arial" w:cs="Arial"/>
                <w:color w:val="000000"/>
                <w:sz w:val="18"/>
                <w:szCs w:val="18"/>
              </w:rPr>
            </w:pPr>
            <w:r>
              <w:rPr>
                <w:rFonts w:ascii="Arial" w:hAnsi="Arial" w:cs="Arial"/>
                <w:color w:val="000000"/>
                <w:sz w:val="18"/>
                <w:szCs w:val="18"/>
              </w:rPr>
              <w:t> 1</w:t>
            </w:r>
          </w:p>
        </w:tc>
        <w:tc>
          <w:tcPr>
            <w:tcW w:w="7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81863" w:rsidRDefault="00A81863" w:rsidP="00A81863">
            <w:pPr>
              <w:rPr>
                <w:rFonts w:ascii="Arial" w:hAnsi="Arial" w:cs="Arial"/>
                <w:color w:val="000000"/>
                <w:sz w:val="18"/>
                <w:szCs w:val="18"/>
              </w:rPr>
            </w:pPr>
            <w:r>
              <w:rPr>
                <w:rFonts w:ascii="Arial" w:hAnsi="Arial" w:cs="Arial"/>
                <w:color w:val="000000"/>
                <w:sz w:val="18"/>
                <w:szCs w:val="18"/>
              </w:rPr>
              <w:t>  230</w:t>
            </w:r>
            <w:r>
              <w:rPr>
                <w:rFonts w:ascii="Arial" w:hAnsi="Arial" w:cs="Arial"/>
                <w:vanish/>
                <w:color w:val="000000"/>
                <w:sz w:val="18"/>
                <w:szCs w:val="18"/>
              </w:rPr>
              <w:object w:dxaOrig="225" w:dyaOrig="225">
                <v:shape id="_x0000_i1074" type="#_x0000_t75" style="width:1in;height:18pt" o:ole="">
                  <v:imagedata r:id="rId25" o:title=""/>
                </v:shape>
                <w:control r:id="rId26" w:name="DefaultOcxName9" w:shapeid="_x0000_i1074"/>
              </w:objec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81863" w:rsidRDefault="00A81863" w:rsidP="00A81863">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77" type="#_x0000_t75" style="width:1in;height:18pt" o:ole="">
                  <v:imagedata r:id="rId27" o:title=""/>
                </v:shape>
                <w:control r:id="rId28" w:name="DefaultOcxName10" w:shapeid="_x0000_i1077"/>
              </w:object>
            </w:r>
          </w:p>
        </w:tc>
        <w:tc>
          <w:tcPr>
            <w:tcW w:w="721" w:type="pct"/>
            <w:tcBorders>
              <w:top w:val="outset" w:sz="6" w:space="0" w:color="auto"/>
              <w:left w:val="outset" w:sz="6" w:space="0" w:color="auto"/>
              <w:bottom w:val="outset" w:sz="6" w:space="0" w:color="auto"/>
              <w:right w:val="outset" w:sz="6" w:space="0" w:color="auto"/>
            </w:tcBorders>
            <w:hideMark/>
          </w:tcPr>
          <w:p w:rsidR="00A81863" w:rsidRDefault="00A81863" w:rsidP="00A81863">
            <w:pPr>
              <w:rPr>
                <w:rFonts w:ascii="Arial" w:hAnsi="Arial" w:cs="Arial"/>
                <w:color w:val="000000"/>
                <w:sz w:val="18"/>
                <w:szCs w:val="18"/>
              </w:rPr>
            </w:pPr>
            <w:r>
              <w:rPr>
                <w:rFonts w:ascii="Arial" w:hAnsi="Arial" w:cs="Arial"/>
                <w:color w:val="000000"/>
                <w:sz w:val="18"/>
                <w:szCs w:val="18"/>
              </w:rPr>
              <w:t>1,790</w:t>
            </w:r>
            <w:r>
              <w:rPr>
                <w:rFonts w:ascii="Arial" w:hAnsi="Arial" w:cs="Arial"/>
                <w:vanish/>
                <w:color w:val="000000"/>
                <w:sz w:val="18"/>
                <w:szCs w:val="18"/>
              </w:rPr>
              <w:object w:dxaOrig="225" w:dyaOrig="225">
                <v:shape id="_x0000_i1080" type="#_x0000_t75" style="width:1in;height:18pt" o:ole="">
                  <v:imagedata r:id="rId29" o:title=""/>
                </v:shape>
                <w:control r:id="rId30" w:name="DefaultOcxName11" w:shapeid="_x0000_i1080"/>
              </w:object>
            </w:r>
          </w:p>
        </w:tc>
      </w:tr>
      <w:tr w:rsidR="00A81863" w:rsidTr="00A81863">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81863" w:rsidRDefault="00A81863" w:rsidP="00A81863">
            <w:pPr>
              <w:rPr>
                <w:rFonts w:ascii="Arial" w:hAnsi="Arial" w:cs="Arial"/>
                <w:color w:val="000000"/>
                <w:sz w:val="18"/>
                <w:szCs w:val="18"/>
              </w:rPr>
            </w:pPr>
            <w:r>
              <w:rPr>
                <w:rFonts w:ascii="Arial" w:hAnsi="Arial" w:cs="Arial"/>
                <w:color w:val="000000"/>
                <w:sz w:val="18"/>
                <w:szCs w:val="18"/>
              </w:rPr>
              <w:t>Annual Cost Burden ($)</w: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81863" w:rsidRDefault="00A81863" w:rsidP="00A81863">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83" type="#_x0000_t75" style="width:1in;height:18pt" o:ole="">
                  <v:imagedata r:id="rId31" o:title=""/>
                </v:shape>
                <w:control r:id="rId32" w:name="DefaultOcxName12" w:shapeid="_x0000_i1083"/>
              </w:objec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81863" w:rsidRDefault="00A81863" w:rsidP="00A81863">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86" type="#_x0000_t75" style="width:1in;height:18pt" o:ole="">
                  <v:imagedata r:id="rId33" o:title=""/>
                </v:shape>
                <w:control r:id="rId34" w:name="DefaultOcxName13" w:shapeid="_x0000_i1086"/>
              </w:objec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81863" w:rsidRDefault="00A81863" w:rsidP="00A81863">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89" type="#_x0000_t75" style="width:1in;height:18pt" o:ole="">
                  <v:imagedata r:id="rId35" o:title=""/>
                </v:shape>
                <w:control r:id="rId36" w:name="DefaultOcxName14" w:shapeid="_x0000_i1089"/>
              </w:object>
            </w:r>
          </w:p>
        </w:tc>
        <w:tc>
          <w:tcPr>
            <w:tcW w:w="7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81863" w:rsidRDefault="00A81863" w:rsidP="00A81863">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92" type="#_x0000_t75" style="width:1in;height:18pt" o:ole="">
                  <v:imagedata r:id="rId37" o:title=""/>
                </v:shape>
                <w:control r:id="rId38" w:name="DefaultOcxName15" w:shapeid="_x0000_i1092"/>
              </w:objec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81863" w:rsidRDefault="00A81863" w:rsidP="00A81863">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95" type="#_x0000_t75" style="width:1in;height:18pt" o:ole="">
                  <v:imagedata r:id="rId39" o:title=""/>
                </v:shape>
                <w:control r:id="rId40" w:name="DefaultOcxName16" w:shapeid="_x0000_i1095"/>
              </w:object>
            </w:r>
          </w:p>
        </w:tc>
        <w:tc>
          <w:tcPr>
            <w:tcW w:w="721" w:type="pct"/>
            <w:tcBorders>
              <w:top w:val="outset" w:sz="6" w:space="0" w:color="auto"/>
              <w:left w:val="outset" w:sz="6" w:space="0" w:color="auto"/>
              <w:bottom w:val="outset" w:sz="6" w:space="0" w:color="auto"/>
              <w:right w:val="outset" w:sz="6" w:space="0" w:color="auto"/>
            </w:tcBorders>
            <w:hideMark/>
          </w:tcPr>
          <w:p w:rsidR="00A81863" w:rsidRDefault="00A81863" w:rsidP="00A81863">
            <w:pPr>
              <w:rPr>
                <w:rFonts w:ascii="Arial" w:hAnsi="Arial" w:cs="Arial"/>
                <w:color w:val="000000"/>
                <w:sz w:val="18"/>
                <w:szCs w:val="18"/>
              </w:rPr>
            </w:pPr>
            <w:r>
              <w:rPr>
                <w:rFonts w:ascii="Arial" w:hAnsi="Arial" w:cs="Arial"/>
                <w:color w:val="000000"/>
                <w:sz w:val="18"/>
                <w:szCs w:val="18"/>
              </w:rPr>
              <w:t>0</w:t>
            </w:r>
            <w:r>
              <w:rPr>
                <w:rFonts w:ascii="Arial" w:hAnsi="Arial" w:cs="Arial"/>
                <w:vanish/>
                <w:color w:val="000000"/>
                <w:sz w:val="18"/>
                <w:szCs w:val="18"/>
              </w:rPr>
              <w:object w:dxaOrig="225" w:dyaOrig="225">
                <v:shape id="_x0000_i1098" type="#_x0000_t75" style="width:1in;height:18pt" o:ole="">
                  <v:imagedata r:id="rId41" o:title=""/>
                </v:shape>
                <w:control r:id="rId42" w:name="DefaultOcxName17" w:shapeid="_x0000_i1098"/>
              </w:object>
            </w:r>
          </w:p>
        </w:tc>
      </w:tr>
    </w:tbl>
    <w:p w:rsidR="00A81863" w:rsidRDefault="00A81863">
      <w:pPr>
        <w:pStyle w:val="296"/>
      </w:pPr>
    </w:p>
    <w:p w:rsidR="00A81863" w:rsidRDefault="003B0D3A">
      <w:pPr>
        <w:pStyle w:val="296"/>
      </w:pPr>
      <w:r>
        <w:t xml:space="preserve">There is a program change increase of </w:t>
      </w:r>
      <w:r w:rsidR="00A81863">
        <w:t>+1</w:t>
      </w:r>
      <w:r w:rsidR="00FD7F9E">
        <w:t xml:space="preserve"> </w:t>
      </w:r>
      <w:r w:rsidR="00A81863">
        <w:t>respondent and +1 response resulting in an increase of</w:t>
      </w:r>
      <w:r>
        <w:t xml:space="preserve"> </w:t>
      </w:r>
      <w:r w:rsidR="00A81863">
        <w:t>+1 burden hour. This increase is due to APHIS now accounting for the</w:t>
      </w:r>
      <w:r>
        <w:t xml:space="preserve"> </w:t>
      </w:r>
      <w:r w:rsidR="00A81863">
        <w:t xml:space="preserve">Emergency Action </w:t>
      </w:r>
      <w:r w:rsidR="00FD7F9E">
        <w:t>N</w:t>
      </w:r>
      <w:r w:rsidR="00A81863">
        <w:t xml:space="preserve">otifications </w:t>
      </w:r>
      <w:r w:rsidR="00FD7F9E">
        <w:t>(</w:t>
      </w:r>
      <w:r w:rsidR="00A81863">
        <w:t>PPQ Form 523</w:t>
      </w:r>
      <w:r w:rsidR="00FD7F9E">
        <w:t>) which</w:t>
      </w:r>
      <w:r w:rsidR="00A81863">
        <w:t xml:space="preserve"> was erroneously left off previous collections</w:t>
      </w:r>
      <w:r w:rsidR="00FD7F9E">
        <w:t xml:space="preserve"> and is counted as a violation</w:t>
      </w:r>
      <w:r w:rsidR="00A81863">
        <w:t>.</w:t>
      </w:r>
    </w:p>
    <w:p w:rsidR="00A81863" w:rsidRDefault="00A81863">
      <w:pPr>
        <w:pStyle w:val="296"/>
      </w:pPr>
    </w:p>
    <w:p w:rsidR="003B0D3A" w:rsidRDefault="00FD7F9E">
      <w:pPr>
        <w:pStyle w:val="296"/>
      </w:pPr>
      <w:r>
        <w:t xml:space="preserve">There is an adjustment increase of +17 respondents and + 1,466 responses resulting in an </w:t>
      </w:r>
      <w:r w:rsidR="006E5417">
        <w:t>increase of + 230 burden hours.</w:t>
      </w:r>
      <w:r w:rsidR="00BC666B">
        <w:t xml:space="preserve"> </w:t>
      </w:r>
      <w:r w:rsidR="003B0D3A">
        <w:t>The increase</w:t>
      </w:r>
      <w:r w:rsidR="006E5417">
        <w:t xml:space="preserve"> is</w:t>
      </w:r>
      <w:r w:rsidR="003B0D3A">
        <w:t xml:space="preserve"> due to additional respondents who submitted permits, certificates, compliance agreements, act as recordkeepers and labeling increases.  </w:t>
      </w:r>
    </w:p>
    <w:p w:rsidR="006E5417" w:rsidRDefault="006E5417">
      <w:pPr>
        <w:pStyle w:val="296"/>
      </w:pPr>
    </w:p>
    <w:p w:rsidR="009B6E5E" w:rsidRDefault="009B6E5E">
      <w:pPr>
        <w:pStyle w:val="296"/>
      </w:pPr>
    </w:p>
    <w:p w:rsidR="00375C77" w:rsidRDefault="00375C77">
      <w:pPr>
        <w:pStyle w:val="296"/>
        <w:rPr>
          <w:b/>
        </w:rPr>
      </w:pPr>
      <w:r>
        <w:rPr>
          <w:b/>
        </w:rPr>
        <w:t>16.  For collections of information whose results are planned to be published, outline plans for tabulations and publication.</w:t>
      </w:r>
    </w:p>
    <w:p w:rsidR="00375C77" w:rsidRPr="006C59CE" w:rsidRDefault="00375C77">
      <w:pPr>
        <w:pStyle w:val="296"/>
        <w:rPr>
          <w:b/>
        </w:rPr>
      </w:pPr>
    </w:p>
    <w:p w:rsidR="00375C77" w:rsidRDefault="008B6F15">
      <w:pPr>
        <w:pStyle w:val="296"/>
      </w:pPr>
      <w:r>
        <w:t>APHIS has</w:t>
      </w:r>
      <w:r w:rsidR="00375C77">
        <w:t xml:space="preserve"> no plans to tabula</w:t>
      </w:r>
      <w:r>
        <w:t>te or publish</w:t>
      </w:r>
      <w:r w:rsidR="00902F32">
        <w:t xml:space="preserve"> the information collected</w:t>
      </w:r>
      <w:r>
        <w:t>.</w:t>
      </w:r>
    </w:p>
    <w:p w:rsidR="00375C77" w:rsidRDefault="00375C77">
      <w:pPr>
        <w:pStyle w:val="296"/>
      </w:pPr>
    </w:p>
    <w:p w:rsidR="000B79AD" w:rsidRDefault="000B79AD">
      <w:pPr>
        <w:pStyle w:val="296"/>
        <w:rPr>
          <w:b/>
        </w:rPr>
      </w:pPr>
    </w:p>
    <w:p w:rsidR="000B79AD" w:rsidRDefault="000B79AD">
      <w:pPr>
        <w:pStyle w:val="296"/>
        <w:rPr>
          <w:b/>
        </w:rPr>
      </w:pPr>
    </w:p>
    <w:p w:rsidR="000B79AD" w:rsidRDefault="000B79AD">
      <w:pPr>
        <w:pStyle w:val="296"/>
        <w:rPr>
          <w:b/>
        </w:rPr>
      </w:pPr>
    </w:p>
    <w:p w:rsidR="00375C77" w:rsidRDefault="00375C77">
      <w:pPr>
        <w:pStyle w:val="296"/>
        <w:rPr>
          <w:b/>
        </w:rPr>
      </w:pPr>
      <w:r>
        <w:rPr>
          <w:b/>
        </w:rPr>
        <w:t>17.  If seeking approval to not display the expiration date for OMB approval of the information collection, explain the reasons that display would be inappropriate.</w:t>
      </w:r>
    </w:p>
    <w:p w:rsidR="00375C77" w:rsidRDefault="00375C77">
      <w:pPr>
        <w:pStyle w:val="296"/>
      </w:pPr>
    </w:p>
    <w:p w:rsidR="006E5417" w:rsidRDefault="006E5417" w:rsidP="006E5417">
      <w:r>
        <w:t xml:space="preserve">PPQ Form 519, PPQ Form 530, </w:t>
      </w:r>
      <w:r w:rsidR="00AC7BA8">
        <w:t>PPQ Form 540</w:t>
      </w:r>
      <w:r>
        <w:t>, and PPQ Form 523</w:t>
      </w:r>
      <w:r w:rsidR="00AC7BA8">
        <w:t xml:space="preserve"> </w:t>
      </w:r>
      <w:r>
        <w:t>are</w:t>
      </w:r>
      <w:r w:rsidR="00AC7BA8">
        <w:t xml:space="preserve"> used</w:t>
      </w:r>
      <w:r w:rsidR="00077C63">
        <w:t xml:space="preserve"> in </w:t>
      </w:r>
      <w:r>
        <w:t>multiple</w:t>
      </w:r>
      <w:r w:rsidR="00540386">
        <w:t xml:space="preserve"> information collections</w:t>
      </w:r>
      <w:r>
        <w:t>; t</w:t>
      </w:r>
      <w:r w:rsidR="00902F32">
        <w:t xml:space="preserve">herefore, </w:t>
      </w:r>
      <w:r w:rsidRPr="00951B08">
        <w:t>it is not practical to include an OMB expiration date because of the various expiration dates for each information collection.  APHIS is seeking approval to not display the OMB expiration date on th</w:t>
      </w:r>
      <w:r>
        <w:t>is</w:t>
      </w:r>
      <w:r w:rsidRPr="00951B08">
        <w:t xml:space="preserve"> form; however, APHIS is considering</w:t>
      </w:r>
      <w:r w:rsidR="000B79AD">
        <w:t xml:space="preserve"> making</w:t>
      </w:r>
      <w:r w:rsidRPr="00951B08">
        <w:t xml:space="preserve"> these forms into common forms.</w:t>
      </w:r>
    </w:p>
    <w:p w:rsidR="00375C77" w:rsidRDefault="00375C77">
      <w:pPr>
        <w:pStyle w:val="296"/>
      </w:pPr>
    </w:p>
    <w:p w:rsidR="007C5846" w:rsidRDefault="007C5846">
      <w:pPr>
        <w:pStyle w:val="296"/>
        <w:rPr>
          <w:b/>
        </w:rPr>
      </w:pPr>
    </w:p>
    <w:p w:rsidR="00375C77" w:rsidRDefault="00375C77">
      <w:pPr>
        <w:pStyle w:val="296"/>
        <w:rPr>
          <w:b/>
        </w:rPr>
      </w:pPr>
      <w:r>
        <w:rPr>
          <w:b/>
        </w:rPr>
        <w:t>18.  Explain each exception to the certification statement identified in the “Certification for Paperwork Reduction Act.”</w:t>
      </w:r>
    </w:p>
    <w:p w:rsidR="00375C77" w:rsidRDefault="00375C77">
      <w:pPr>
        <w:pStyle w:val="296"/>
      </w:pPr>
    </w:p>
    <w:p w:rsidR="00375C77" w:rsidRDefault="00823600">
      <w:pPr>
        <w:pStyle w:val="296"/>
      </w:pPr>
      <w:r>
        <w:t xml:space="preserve">APHIS is able to certify compliance </w:t>
      </w:r>
      <w:r w:rsidR="00375C77">
        <w:t>with all the provisions under the Act.</w:t>
      </w:r>
    </w:p>
    <w:p w:rsidR="00375C77" w:rsidRDefault="00375C77">
      <w:pPr>
        <w:pStyle w:val="296"/>
      </w:pPr>
    </w:p>
    <w:p w:rsidR="00540386" w:rsidRDefault="00540386">
      <w:pPr>
        <w:pStyle w:val="296"/>
      </w:pPr>
    </w:p>
    <w:p w:rsidR="00375C77" w:rsidRDefault="00375C77">
      <w:pPr>
        <w:pStyle w:val="296"/>
        <w:rPr>
          <w:b/>
        </w:rPr>
      </w:pPr>
      <w:r>
        <w:rPr>
          <w:b/>
        </w:rPr>
        <w:t>B.  Collections of Information Employing Statistical Methods</w:t>
      </w:r>
    </w:p>
    <w:p w:rsidR="00375C77" w:rsidRDefault="00375C77">
      <w:pPr>
        <w:pStyle w:val="296"/>
      </w:pPr>
    </w:p>
    <w:p w:rsidR="00375C77" w:rsidRDefault="00375C77">
      <w:pPr>
        <w:pStyle w:val="296"/>
      </w:pPr>
      <w:r>
        <w:t>Statistical methods are not used</w:t>
      </w:r>
      <w:r w:rsidR="00CA6A4C">
        <w:t xml:space="preserve"> in this information collection.</w:t>
      </w:r>
    </w:p>
    <w:p w:rsidR="00375C77" w:rsidRDefault="00375C77">
      <w:pPr>
        <w:pStyle w:val="296"/>
      </w:pPr>
    </w:p>
    <w:p w:rsidR="00375C77" w:rsidRDefault="00375C77">
      <w:pPr>
        <w:pStyle w:val="296"/>
        <w:rPr>
          <w:b/>
        </w:rPr>
      </w:pPr>
    </w:p>
    <w:sectPr w:rsidR="00375C77" w:rsidSect="007C5846">
      <w:pgSz w:w="12240" w:h="15840"/>
      <w:pgMar w:top="1440" w:right="1296" w:bottom="1296" w:left="1296"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396"/>
    <w:multiLevelType w:val="hybridMultilevel"/>
    <w:tmpl w:val="6912329E"/>
    <w:lvl w:ilvl="0" w:tplc="C72469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443954"/>
    <w:multiLevelType w:val="hybridMultilevel"/>
    <w:tmpl w:val="39AE57DC"/>
    <w:lvl w:ilvl="0" w:tplc="3678E75C">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9"/>
  </w:num>
  <w:num w:numId="4">
    <w:abstractNumId w:val="8"/>
  </w:num>
  <w:num w:numId="5">
    <w:abstractNumId w:val="6"/>
  </w:num>
  <w:num w:numId="6">
    <w:abstractNumId w:val="2"/>
  </w:num>
  <w:num w:numId="7">
    <w:abstractNumId w:val="5"/>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7A"/>
    <w:rsid w:val="0000217C"/>
    <w:rsid w:val="0002580E"/>
    <w:rsid w:val="00032001"/>
    <w:rsid w:val="00040E52"/>
    <w:rsid w:val="0006580C"/>
    <w:rsid w:val="00072948"/>
    <w:rsid w:val="000747E0"/>
    <w:rsid w:val="00077C63"/>
    <w:rsid w:val="00082A9B"/>
    <w:rsid w:val="00085209"/>
    <w:rsid w:val="000A7F72"/>
    <w:rsid w:val="000B7391"/>
    <w:rsid w:val="000B79AD"/>
    <w:rsid w:val="000C2887"/>
    <w:rsid w:val="000D0540"/>
    <w:rsid w:val="000D0E7D"/>
    <w:rsid w:val="000D5487"/>
    <w:rsid w:val="000E29D8"/>
    <w:rsid w:val="000F23D6"/>
    <w:rsid w:val="0010438D"/>
    <w:rsid w:val="00113B49"/>
    <w:rsid w:val="0011705B"/>
    <w:rsid w:val="00117E8B"/>
    <w:rsid w:val="001246BD"/>
    <w:rsid w:val="00131D1B"/>
    <w:rsid w:val="00146D2A"/>
    <w:rsid w:val="00157082"/>
    <w:rsid w:val="0016412A"/>
    <w:rsid w:val="00165A2F"/>
    <w:rsid w:val="00183AF1"/>
    <w:rsid w:val="001A6BE3"/>
    <w:rsid w:val="001C6D34"/>
    <w:rsid w:val="001E0AE8"/>
    <w:rsid w:val="0021729E"/>
    <w:rsid w:val="00221C5B"/>
    <w:rsid w:val="002405EA"/>
    <w:rsid w:val="00246E62"/>
    <w:rsid w:val="002475EA"/>
    <w:rsid w:val="002516B1"/>
    <w:rsid w:val="002A0DAC"/>
    <w:rsid w:val="002A17B7"/>
    <w:rsid w:val="002A2883"/>
    <w:rsid w:val="002B2915"/>
    <w:rsid w:val="002B46E2"/>
    <w:rsid w:val="002B69F7"/>
    <w:rsid w:val="002C1014"/>
    <w:rsid w:val="002C1DBC"/>
    <w:rsid w:val="002C7057"/>
    <w:rsid w:val="002D57F4"/>
    <w:rsid w:val="002E162C"/>
    <w:rsid w:val="00302C78"/>
    <w:rsid w:val="00322921"/>
    <w:rsid w:val="00343A7A"/>
    <w:rsid w:val="003558BB"/>
    <w:rsid w:val="0037537B"/>
    <w:rsid w:val="00375C77"/>
    <w:rsid w:val="0038136D"/>
    <w:rsid w:val="00387413"/>
    <w:rsid w:val="003B0D3A"/>
    <w:rsid w:val="003C5B5B"/>
    <w:rsid w:val="003C6806"/>
    <w:rsid w:val="003D7BC4"/>
    <w:rsid w:val="003E5D51"/>
    <w:rsid w:val="004005F4"/>
    <w:rsid w:val="00412DF4"/>
    <w:rsid w:val="00416F80"/>
    <w:rsid w:val="0043089F"/>
    <w:rsid w:val="00447241"/>
    <w:rsid w:val="0046029E"/>
    <w:rsid w:val="00481F96"/>
    <w:rsid w:val="00484F5B"/>
    <w:rsid w:val="00490972"/>
    <w:rsid w:val="00495259"/>
    <w:rsid w:val="004D79C9"/>
    <w:rsid w:val="004E26BF"/>
    <w:rsid w:val="004F1829"/>
    <w:rsid w:val="004F2D3A"/>
    <w:rsid w:val="004F5844"/>
    <w:rsid w:val="005007C9"/>
    <w:rsid w:val="00501ABE"/>
    <w:rsid w:val="00503DD7"/>
    <w:rsid w:val="00504AB1"/>
    <w:rsid w:val="00514E7C"/>
    <w:rsid w:val="00540386"/>
    <w:rsid w:val="005466C6"/>
    <w:rsid w:val="00561E8F"/>
    <w:rsid w:val="00565728"/>
    <w:rsid w:val="00571C86"/>
    <w:rsid w:val="005854D5"/>
    <w:rsid w:val="005A6E72"/>
    <w:rsid w:val="005B0B81"/>
    <w:rsid w:val="005B4464"/>
    <w:rsid w:val="005C04DA"/>
    <w:rsid w:val="005C6F91"/>
    <w:rsid w:val="005D649B"/>
    <w:rsid w:val="005F5542"/>
    <w:rsid w:val="00643808"/>
    <w:rsid w:val="00652E09"/>
    <w:rsid w:val="006665B6"/>
    <w:rsid w:val="006761DC"/>
    <w:rsid w:val="0068216E"/>
    <w:rsid w:val="006851C2"/>
    <w:rsid w:val="00687E0E"/>
    <w:rsid w:val="00694F47"/>
    <w:rsid w:val="00696DB5"/>
    <w:rsid w:val="006B5A6B"/>
    <w:rsid w:val="006B70A3"/>
    <w:rsid w:val="006C29ED"/>
    <w:rsid w:val="006C59CE"/>
    <w:rsid w:val="006E5417"/>
    <w:rsid w:val="006E5D02"/>
    <w:rsid w:val="006F4B81"/>
    <w:rsid w:val="00733BD9"/>
    <w:rsid w:val="00746C92"/>
    <w:rsid w:val="007929D3"/>
    <w:rsid w:val="007A4696"/>
    <w:rsid w:val="007C5846"/>
    <w:rsid w:val="007D0AB3"/>
    <w:rsid w:val="007D12DB"/>
    <w:rsid w:val="007D17EF"/>
    <w:rsid w:val="00823600"/>
    <w:rsid w:val="00842428"/>
    <w:rsid w:val="008467C3"/>
    <w:rsid w:val="00851F44"/>
    <w:rsid w:val="008541F2"/>
    <w:rsid w:val="008B6F15"/>
    <w:rsid w:val="008C2995"/>
    <w:rsid w:val="008D0437"/>
    <w:rsid w:val="008D26A3"/>
    <w:rsid w:val="008D59CC"/>
    <w:rsid w:val="008E171D"/>
    <w:rsid w:val="008E1E7A"/>
    <w:rsid w:val="008F6C27"/>
    <w:rsid w:val="00902F32"/>
    <w:rsid w:val="009126AA"/>
    <w:rsid w:val="00920B45"/>
    <w:rsid w:val="009271E7"/>
    <w:rsid w:val="009311B6"/>
    <w:rsid w:val="00934B65"/>
    <w:rsid w:val="00965D69"/>
    <w:rsid w:val="00976D55"/>
    <w:rsid w:val="00984BED"/>
    <w:rsid w:val="00991262"/>
    <w:rsid w:val="00993925"/>
    <w:rsid w:val="00994E72"/>
    <w:rsid w:val="009B6E5E"/>
    <w:rsid w:val="009C0B23"/>
    <w:rsid w:val="009D19F8"/>
    <w:rsid w:val="009D2374"/>
    <w:rsid w:val="009F364F"/>
    <w:rsid w:val="009F7082"/>
    <w:rsid w:val="00A02FB7"/>
    <w:rsid w:val="00A11E63"/>
    <w:rsid w:val="00A3612F"/>
    <w:rsid w:val="00A42786"/>
    <w:rsid w:val="00A4417F"/>
    <w:rsid w:val="00A71E4B"/>
    <w:rsid w:val="00A80F36"/>
    <w:rsid w:val="00A81863"/>
    <w:rsid w:val="00A824F3"/>
    <w:rsid w:val="00A92A8B"/>
    <w:rsid w:val="00A960D2"/>
    <w:rsid w:val="00AA6701"/>
    <w:rsid w:val="00AB2A1D"/>
    <w:rsid w:val="00AB2C77"/>
    <w:rsid w:val="00AC7BA8"/>
    <w:rsid w:val="00AD09B5"/>
    <w:rsid w:val="00B008E4"/>
    <w:rsid w:val="00B00C68"/>
    <w:rsid w:val="00B240C4"/>
    <w:rsid w:val="00B433B8"/>
    <w:rsid w:val="00B43E34"/>
    <w:rsid w:val="00B45F01"/>
    <w:rsid w:val="00B47F3C"/>
    <w:rsid w:val="00BC666B"/>
    <w:rsid w:val="00BD1411"/>
    <w:rsid w:val="00BD2BC2"/>
    <w:rsid w:val="00BD3D82"/>
    <w:rsid w:val="00BE5948"/>
    <w:rsid w:val="00BF1288"/>
    <w:rsid w:val="00BF63D3"/>
    <w:rsid w:val="00C00D34"/>
    <w:rsid w:val="00C14382"/>
    <w:rsid w:val="00C21747"/>
    <w:rsid w:val="00C23ADF"/>
    <w:rsid w:val="00C3369F"/>
    <w:rsid w:val="00C3759D"/>
    <w:rsid w:val="00C43C86"/>
    <w:rsid w:val="00C44EFB"/>
    <w:rsid w:val="00C5198A"/>
    <w:rsid w:val="00C7718B"/>
    <w:rsid w:val="00C853CC"/>
    <w:rsid w:val="00CA6A4C"/>
    <w:rsid w:val="00CC509F"/>
    <w:rsid w:val="00CD3CA6"/>
    <w:rsid w:val="00CF502C"/>
    <w:rsid w:val="00D10324"/>
    <w:rsid w:val="00D1659D"/>
    <w:rsid w:val="00D17394"/>
    <w:rsid w:val="00D27064"/>
    <w:rsid w:val="00D27B0C"/>
    <w:rsid w:val="00D36A93"/>
    <w:rsid w:val="00D70FCE"/>
    <w:rsid w:val="00D8181D"/>
    <w:rsid w:val="00D84CEC"/>
    <w:rsid w:val="00D92FEB"/>
    <w:rsid w:val="00DC285F"/>
    <w:rsid w:val="00DD3BF0"/>
    <w:rsid w:val="00E10747"/>
    <w:rsid w:val="00E21FFE"/>
    <w:rsid w:val="00E274F1"/>
    <w:rsid w:val="00E32BE9"/>
    <w:rsid w:val="00E52101"/>
    <w:rsid w:val="00E56481"/>
    <w:rsid w:val="00E7262C"/>
    <w:rsid w:val="00E73040"/>
    <w:rsid w:val="00E91525"/>
    <w:rsid w:val="00EA2C60"/>
    <w:rsid w:val="00EB445C"/>
    <w:rsid w:val="00EB6281"/>
    <w:rsid w:val="00EC0984"/>
    <w:rsid w:val="00EC7D0B"/>
    <w:rsid w:val="00ED2032"/>
    <w:rsid w:val="00ED4C35"/>
    <w:rsid w:val="00EF725C"/>
    <w:rsid w:val="00F07B8B"/>
    <w:rsid w:val="00F12E33"/>
    <w:rsid w:val="00F15FA8"/>
    <w:rsid w:val="00F22E4D"/>
    <w:rsid w:val="00F443FC"/>
    <w:rsid w:val="00F460F8"/>
    <w:rsid w:val="00F5492C"/>
    <w:rsid w:val="00F731EA"/>
    <w:rsid w:val="00F73E4A"/>
    <w:rsid w:val="00F77A0B"/>
    <w:rsid w:val="00F80FD9"/>
    <w:rsid w:val="00F91F31"/>
    <w:rsid w:val="00FA76D5"/>
    <w:rsid w:val="00FB7C64"/>
    <w:rsid w:val="00FC1358"/>
    <w:rsid w:val="00FD2518"/>
    <w:rsid w:val="00FD544B"/>
    <w:rsid w:val="00FD7F9E"/>
    <w:rsid w:val="00FE0D4D"/>
    <w:rsid w:val="00FE231C"/>
    <w:rsid w:val="00FE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0C2887"/>
    <w:pPr>
      <w:overflowPunct/>
      <w:autoSpaceDE/>
      <w:autoSpaceDN/>
      <w:adjustRightInd/>
      <w:spacing w:before="200" w:after="100"/>
      <w:jc w:val="center"/>
      <w:textAlignment w:val="auto"/>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
    <w:name w:val="299"/>
    <w:basedOn w:val="Normal"/>
  </w:style>
  <w:style w:type="paragraph" w:customStyle="1" w:styleId="298">
    <w:name w:val="298"/>
    <w:basedOn w:val="Normal"/>
  </w:style>
  <w:style w:type="paragraph" w:customStyle="1" w:styleId="296">
    <w:name w:val="296"/>
    <w:basedOn w:val="Normal"/>
  </w:style>
  <w:style w:type="paragraph" w:customStyle="1" w:styleId="DefaultText">
    <w:name w:val="Default Text"/>
    <w:basedOn w:val="Normal"/>
  </w:style>
  <w:style w:type="character" w:customStyle="1" w:styleId="297">
    <w:name w:val="297"/>
    <w:rPr>
      <w:color w:val="auto"/>
      <w:spacing w:val="0"/>
      <w:sz w:val="24"/>
    </w:rPr>
  </w:style>
  <w:style w:type="character" w:styleId="Hyperlink">
    <w:name w:val="Hyperlink"/>
    <w:rsid w:val="0016412A"/>
    <w:rPr>
      <w:color w:val="0000FF"/>
      <w:u w:val="single"/>
    </w:rPr>
  </w:style>
  <w:style w:type="character" w:styleId="FollowedHyperlink">
    <w:name w:val="FollowedHyperlink"/>
    <w:rsid w:val="002C7057"/>
    <w:rPr>
      <w:color w:val="800080"/>
      <w:u w:val="single"/>
    </w:rPr>
  </w:style>
  <w:style w:type="paragraph" w:customStyle="1" w:styleId="300">
    <w:name w:val="300"/>
    <w:basedOn w:val="Normal"/>
    <w:rsid w:val="002B69F7"/>
    <w:rPr>
      <w:sz w:val="20"/>
      <w:szCs w:val="20"/>
    </w:rPr>
  </w:style>
  <w:style w:type="paragraph" w:styleId="BalloonText">
    <w:name w:val="Balloon Text"/>
    <w:basedOn w:val="Normal"/>
    <w:link w:val="BalloonTextChar"/>
    <w:rsid w:val="00484F5B"/>
    <w:rPr>
      <w:rFonts w:ascii="Tahoma" w:hAnsi="Tahoma" w:cs="Tahoma"/>
      <w:sz w:val="16"/>
      <w:szCs w:val="16"/>
    </w:rPr>
  </w:style>
  <w:style w:type="character" w:customStyle="1" w:styleId="BalloonTextChar">
    <w:name w:val="Balloon Text Char"/>
    <w:link w:val="BalloonText"/>
    <w:rsid w:val="00484F5B"/>
    <w:rPr>
      <w:rFonts w:ascii="Tahoma" w:hAnsi="Tahoma" w:cs="Tahoma"/>
      <w:sz w:val="16"/>
      <w:szCs w:val="16"/>
    </w:rPr>
  </w:style>
  <w:style w:type="character" w:styleId="Strong">
    <w:name w:val="Strong"/>
    <w:uiPriority w:val="22"/>
    <w:qFormat/>
    <w:rsid w:val="00FC1358"/>
    <w:rPr>
      <w:b/>
      <w:bCs/>
    </w:rPr>
  </w:style>
  <w:style w:type="character" w:customStyle="1" w:styleId="Heading2Char">
    <w:name w:val="Heading 2 Char"/>
    <w:link w:val="Heading2"/>
    <w:uiPriority w:val="9"/>
    <w:rsid w:val="000C2887"/>
    <w:rPr>
      <w:b/>
      <w:bCs/>
    </w:rPr>
  </w:style>
  <w:style w:type="paragraph" w:styleId="NormalWeb">
    <w:name w:val="Normal (Web)"/>
    <w:basedOn w:val="Normal"/>
    <w:uiPriority w:val="99"/>
    <w:unhideWhenUsed/>
    <w:rsid w:val="000C2887"/>
    <w:pPr>
      <w:overflowPunct/>
      <w:autoSpaceDE/>
      <w:autoSpaceDN/>
      <w:adjustRightInd/>
      <w:spacing w:before="100" w:beforeAutospacing="1" w:after="100" w:afterAutospacing="1"/>
      <w:ind w:firstLine="480"/>
      <w:textAlignment w:val="auto"/>
    </w:pPr>
  </w:style>
  <w:style w:type="character" w:customStyle="1" w:styleId="su1">
    <w:name w:val="su1"/>
    <w:rsid w:val="000C2887"/>
    <w:rPr>
      <w:smallCaps w:val="0"/>
      <w:sz w:val="17"/>
      <w:szCs w:val="17"/>
      <w:vertAlign w:val="superscript"/>
    </w:rPr>
  </w:style>
  <w:style w:type="paragraph" w:styleId="ListParagraph">
    <w:name w:val="List Paragraph"/>
    <w:basedOn w:val="Normal"/>
    <w:uiPriority w:val="34"/>
    <w:qFormat/>
    <w:rsid w:val="002C1014"/>
    <w:pPr>
      <w:overflowPunct/>
      <w:autoSpaceDE/>
      <w:autoSpaceDN/>
      <w:adjustRightInd/>
      <w:spacing w:after="160" w:line="259" w:lineRule="auto"/>
      <w:ind w:left="720"/>
      <w:contextualSpacing/>
      <w:textAlignment w:val="auto"/>
    </w:pPr>
    <w:rPr>
      <w:rFonts w:ascii="Calibri" w:eastAsia="Calibri" w:hAnsi="Calibri"/>
      <w:sz w:val="22"/>
      <w:szCs w:val="22"/>
    </w:rPr>
  </w:style>
  <w:style w:type="character" w:customStyle="1" w:styleId="InitialStyle">
    <w:name w:val="InitialStyle"/>
    <w:rsid w:val="006851C2"/>
    <w:rPr>
      <w:rFonts w:ascii="Courier New" w:hAnsi="Courier New"/>
      <w:color w:val="auto"/>
      <w:spacing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0C2887"/>
    <w:pPr>
      <w:overflowPunct/>
      <w:autoSpaceDE/>
      <w:autoSpaceDN/>
      <w:adjustRightInd/>
      <w:spacing w:before="200" w:after="100"/>
      <w:jc w:val="center"/>
      <w:textAlignment w:val="auto"/>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
    <w:name w:val="299"/>
    <w:basedOn w:val="Normal"/>
  </w:style>
  <w:style w:type="paragraph" w:customStyle="1" w:styleId="298">
    <w:name w:val="298"/>
    <w:basedOn w:val="Normal"/>
  </w:style>
  <w:style w:type="paragraph" w:customStyle="1" w:styleId="296">
    <w:name w:val="296"/>
    <w:basedOn w:val="Normal"/>
  </w:style>
  <w:style w:type="paragraph" w:customStyle="1" w:styleId="DefaultText">
    <w:name w:val="Default Text"/>
    <w:basedOn w:val="Normal"/>
  </w:style>
  <w:style w:type="character" w:customStyle="1" w:styleId="297">
    <w:name w:val="297"/>
    <w:rPr>
      <w:color w:val="auto"/>
      <w:spacing w:val="0"/>
      <w:sz w:val="24"/>
    </w:rPr>
  </w:style>
  <w:style w:type="character" w:styleId="Hyperlink">
    <w:name w:val="Hyperlink"/>
    <w:rsid w:val="0016412A"/>
    <w:rPr>
      <w:color w:val="0000FF"/>
      <w:u w:val="single"/>
    </w:rPr>
  </w:style>
  <w:style w:type="character" w:styleId="FollowedHyperlink">
    <w:name w:val="FollowedHyperlink"/>
    <w:rsid w:val="002C7057"/>
    <w:rPr>
      <w:color w:val="800080"/>
      <w:u w:val="single"/>
    </w:rPr>
  </w:style>
  <w:style w:type="paragraph" w:customStyle="1" w:styleId="300">
    <w:name w:val="300"/>
    <w:basedOn w:val="Normal"/>
    <w:rsid w:val="002B69F7"/>
    <w:rPr>
      <w:sz w:val="20"/>
      <w:szCs w:val="20"/>
    </w:rPr>
  </w:style>
  <w:style w:type="paragraph" w:styleId="BalloonText">
    <w:name w:val="Balloon Text"/>
    <w:basedOn w:val="Normal"/>
    <w:link w:val="BalloonTextChar"/>
    <w:rsid w:val="00484F5B"/>
    <w:rPr>
      <w:rFonts w:ascii="Tahoma" w:hAnsi="Tahoma" w:cs="Tahoma"/>
      <w:sz w:val="16"/>
      <w:szCs w:val="16"/>
    </w:rPr>
  </w:style>
  <w:style w:type="character" w:customStyle="1" w:styleId="BalloonTextChar">
    <w:name w:val="Balloon Text Char"/>
    <w:link w:val="BalloonText"/>
    <w:rsid w:val="00484F5B"/>
    <w:rPr>
      <w:rFonts w:ascii="Tahoma" w:hAnsi="Tahoma" w:cs="Tahoma"/>
      <w:sz w:val="16"/>
      <w:szCs w:val="16"/>
    </w:rPr>
  </w:style>
  <w:style w:type="character" w:styleId="Strong">
    <w:name w:val="Strong"/>
    <w:uiPriority w:val="22"/>
    <w:qFormat/>
    <w:rsid w:val="00FC1358"/>
    <w:rPr>
      <w:b/>
      <w:bCs/>
    </w:rPr>
  </w:style>
  <w:style w:type="character" w:customStyle="1" w:styleId="Heading2Char">
    <w:name w:val="Heading 2 Char"/>
    <w:link w:val="Heading2"/>
    <w:uiPriority w:val="9"/>
    <w:rsid w:val="000C2887"/>
    <w:rPr>
      <w:b/>
      <w:bCs/>
    </w:rPr>
  </w:style>
  <w:style w:type="paragraph" w:styleId="NormalWeb">
    <w:name w:val="Normal (Web)"/>
    <w:basedOn w:val="Normal"/>
    <w:uiPriority w:val="99"/>
    <w:unhideWhenUsed/>
    <w:rsid w:val="000C2887"/>
    <w:pPr>
      <w:overflowPunct/>
      <w:autoSpaceDE/>
      <w:autoSpaceDN/>
      <w:adjustRightInd/>
      <w:spacing w:before="100" w:beforeAutospacing="1" w:after="100" w:afterAutospacing="1"/>
      <w:ind w:firstLine="480"/>
      <w:textAlignment w:val="auto"/>
    </w:pPr>
  </w:style>
  <w:style w:type="character" w:customStyle="1" w:styleId="su1">
    <w:name w:val="su1"/>
    <w:rsid w:val="000C2887"/>
    <w:rPr>
      <w:smallCaps w:val="0"/>
      <w:sz w:val="17"/>
      <w:szCs w:val="17"/>
      <w:vertAlign w:val="superscript"/>
    </w:rPr>
  </w:style>
  <w:style w:type="paragraph" w:styleId="ListParagraph">
    <w:name w:val="List Paragraph"/>
    <w:basedOn w:val="Normal"/>
    <w:uiPriority w:val="34"/>
    <w:qFormat/>
    <w:rsid w:val="002C1014"/>
    <w:pPr>
      <w:overflowPunct/>
      <w:autoSpaceDE/>
      <w:autoSpaceDN/>
      <w:adjustRightInd/>
      <w:spacing w:after="160" w:line="259" w:lineRule="auto"/>
      <w:ind w:left="720"/>
      <w:contextualSpacing/>
      <w:textAlignment w:val="auto"/>
    </w:pPr>
    <w:rPr>
      <w:rFonts w:ascii="Calibri" w:eastAsia="Calibri" w:hAnsi="Calibri"/>
      <w:sz w:val="22"/>
      <w:szCs w:val="22"/>
    </w:rPr>
  </w:style>
  <w:style w:type="character" w:customStyle="1" w:styleId="InitialStyle">
    <w:name w:val="InitialStyle"/>
    <w:rsid w:val="006851C2"/>
    <w:rPr>
      <w:rFonts w:ascii="Courier New" w:hAnsi="Courier New"/>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83733">
      <w:bodyDiv w:val="1"/>
      <w:marLeft w:val="0"/>
      <w:marRight w:val="0"/>
      <w:marTop w:val="0"/>
      <w:marBottom w:val="0"/>
      <w:divBdr>
        <w:top w:val="none" w:sz="0" w:space="0" w:color="auto"/>
        <w:left w:val="none" w:sz="0" w:space="0" w:color="auto"/>
        <w:bottom w:val="none" w:sz="0" w:space="0" w:color="auto"/>
        <w:right w:val="none" w:sz="0" w:space="0" w:color="auto"/>
      </w:divBdr>
    </w:div>
    <w:div w:id="470749347">
      <w:bodyDiv w:val="1"/>
      <w:marLeft w:val="0"/>
      <w:marRight w:val="0"/>
      <w:marTop w:val="0"/>
      <w:marBottom w:val="0"/>
      <w:divBdr>
        <w:top w:val="none" w:sz="0" w:space="0" w:color="auto"/>
        <w:left w:val="none" w:sz="0" w:space="0" w:color="auto"/>
        <w:bottom w:val="none" w:sz="0" w:space="0" w:color="auto"/>
        <w:right w:val="none" w:sz="0" w:space="0" w:color="auto"/>
      </w:divBdr>
    </w:div>
    <w:div w:id="1047604595">
      <w:bodyDiv w:val="1"/>
      <w:marLeft w:val="0"/>
      <w:marRight w:val="0"/>
      <w:marTop w:val="30"/>
      <w:marBottom w:val="750"/>
      <w:divBdr>
        <w:top w:val="none" w:sz="0" w:space="0" w:color="auto"/>
        <w:left w:val="none" w:sz="0" w:space="0" w:color="auto"/>
        <w:bottom w:val="none" w:sz="0" w:space="0" w:color="auto"/>
        <w:right w:val="none" w:sz="0" w:space="0" w:color="auto"/>
      </w:divBdr>
      <w:divsChild>
        <w:div w:id="1531652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control" Target="activeX/activeX3.xml"/><Relationship Id="rId26" Type="http://schemas.openxmlformats.org/officeDocument/2006/relationships/control" Target="activeX/activeX7.xml"/><Relationship Id="rId39" Type="http://schemas.openxmlformats.org/officeDocument/2006/relationships/image" Target="media/image14.wmf"/><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control" Target="activeX/activeX11.xml"/><Relationship Id="rId42" Type="http://schemas.openxmlformats.org/officeDocument/2006/relationships/control" Target="activeX/activeX15.xml"/><Relationship Id="rId7" Type="http://schemas.openxmlformats.org/officeDocument/2006/relationships/styles" Target="styles.xml"/><Relationship Id="rId12" Type="http://schemas.openxmlformats.org/officeDocument/2006/relationships/hyperlink" Target="http://www.bls.gov/oes/2017/may/oes_nat.htm"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control" Target="activeX/activeX13.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image" Target="media/image9.wmf"/><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aphis.usda.gov/library/forms/pdf/ppq/519.dot" TargetMode="External"/><Relationship Id="rId24" Type="http://schemas.openxmlformats.org/officeDocument/2006/relationships/control" Target="activeX/activeX6.xml"/><Relationship Id="rId32" Type="http://schemas.openxmlformats.org/officeDocument/2006/relationships/control" Target="activeX/activeX10.xml"/><Relationship Id="rId37" Type="http://schemas.openxmlformats.org/officeDocument/2006/relationships/image" Target="media/image13.wmf"/><Relationship Id="rId40" Type="http://schemas.openxmlformats.org/officeDocument/2006/relationships/control" Target="activeX/activeX14.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control" Target="activeX/activeX8.xml"/><Relationship Id="rId36" Type="http://schemas.openxmlformats.org/officeDocument/2006/relationships/control" Target="activeX/activeX12.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8.wmf"/><Relationship Id="rId30" Type="http://schemas.openxmlformats.org/officeDocument/2006/relationships/control" Target="activeX/activeX9.xml"/><Relationship Id="rId35" Type="http://schemas.openxmlformats.org/officeDocument/2006/relationships/image" Target="media/image12.wmf"/><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Citrus Greening and Asian Citrus Psyllid; Quarantine and Interstate Movement Regulations  </Project_x0020_Name>
    <Content_x0020_Type xmlns="7e5b9ae7-a347-4d92-9f74-fe480936de16">Renewal</Content_x0020_Type>
    <OMB_x0020_control_x0020__x0023_ xmlns="7e5b9ae7-a347-4d92-9f74-fe480936de16">0579-0363</OMB_x0020_control_x0020__x0023_>
    <Prject_x0020_Type xmlns="7e5b9ae7-a347-4d92-9f74-fe480936de16">Domestic</Prject_x0020_Type>
    <APHIS_x0020_docket_x0020__x0023_ xmlns="7e5b9ae7-a347-4d92-9f74-fe480936de16" xsi:nil="true"/>
    <Document_x0020_type xmlns="7e5b9ae7-a347-4d92-9f74-fe480936de16">Supporting Statement</Document_x0020_type>
  </documentManagement>
</p:properties>
</file>

<file path=customXml/itemProps1.xml><?xml version="1.0" encoding="utf-8"?>
<ds:datastoreItem xmlns:ds="http://schemas.openxmlformats.org/officeDocument/2006/customXml" ds:itemID="{39CE9802-150B-4D15-A38A-6A0F00C5A057}">
  <ds:schemaRefs>
    <ds:schemaRef ds:uri="http://schemas.microsoft.com/sharepoint/v3/contenttype/forms"/>
  </ds:schemaRefs>
</ds:datastoreItem>
</file>

<file path=customXml/itemProps2.xml><?xml version="1.0" encoding="utf-8"?>
<ds:datastoreItem xmlns:ds="http://schemas.openxmlformats.org/officeDocument/2006/customXml" ds:itemID="{9053308D-BA0A-41F9-A388-C1A96DABDD3F}">
  <ds:schemaRefs>
    <ds:schemaRef ds:uri="http://schemas.microsoft.com/sharepoint/events"/>
  </ds:schemaRefs>
</ds:datastoreItem>
</file>

<file path=customXml/itemProps3.xml><?xml version="1.0" encoding="utf-8"?>
<ds:datastoreItem xmlns:ds="http://schemas.openxmlformats.org/officeDocument/2006/customXml" ds:itemID="{ACD338CC-D1F6-4029-94B9-983BC0CF9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31DFE-5DA0-42BA-9B39-352F360323FA}">
  <ds:schemaRefs>
    <ds:schemaRef ds:uri="http://schemas.microsoft.com/office/2006/metadata/longProperties"/>
  </ds:schemaRefs>
</ds:datastoreItem>
</file>

<file path=customXml/itemProps5.xml><?xml version="1.0" encoding="utf-8"?>
<ds:datastoreItem xmlns:ds="http://schemas.openxmlformats.org/officeDocument/2006/customXml" ds:itemID="{C90C9A70-8F18-464E-AFF1-92703E8AC660}">
  <ds:schemaRefs>
    <ds:schemaRef ds:uri="http://schemas.microsoft.com/office/2006/metadata/properties"/>
    <ds:schemaRef ds:uri="7e5b9ae7-a347-4d92-9f74-fe480936de16"/>
    <ds:schemaRef ds:uri="http://purl.org/dc/terms/"/>
    <ds:schemaRef ds:uri="30fd08c8-6eec-448f-b918-567415d0039b"/>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3312</Words>
  <Characters>18885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22153</CharactersWithSpaces>
  <SharedDoc>false</SharedDoc>
  <HLinks>
    <vt:vector size="12" baseType="variant">
      <vt:variant>
        <vt:i4>4718645</vt:i4>
      </vt:variant>
      <vt:variant>
        <vt:i4>3</vt:i4>
      </vt:variant>
      <vt:variant>
        <vt:i4>0</vt:i4>
      </vt:variant>
      <vt:variant>
        <vt:i4>5</vt:i4>
      </vt:variant>
      <vt:variant>
        <vt:lpwstr>http://www.bls.gov/oes/2014/may/oes_nat.htm</vt:lpwstr>
      </vt:variant>
      <vt:variant>
        <vt:lpwstr>b11-0000</vt:lpwstr>
      </vt:variant>
      <vt:variant>
        <vt:i4>2162794</vt:i4>
      </vt:variant>
      <vt:variant>
        <vt:i4>0</vt:i4>
      </vt:variant>
      <vt:variant>
        <vt:i4>0</vt:i4>
      </vt:variant>
      <vt:variant>
        <vt:i4>5</vt:i4>
      </vt:variant>
      <vt:variant>
        <vt:lpwstr>http://www.aphis.usda.gov/library/forms/pdf/ppq/519.dot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Government  User</dc:creator>
  <cp:keywords/>
  <cp:lastModifiedBy>SYSTEM</cp:lastModifiedBy>
  <cp:revision>2</cp:revision>
  <cp:lastPrinted>2015-08-20T20:48:00Z</cp:lastPrinted>
  <dcterms:created xsi:type="dcterms:W3CDTF">2018-12-12T13:17:00Z</dcterms:created>
  <dcterms:modified xsi:type="dcterms:W3CDTF">2018-12-12T13:17:00Z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23AXXXC3UW4Z-1926130773-848</vt:lpwstr>
  </property>
  <property fmtid="{D5CDD505-2E9C-101B-9397-08002B2CF9AE}" pid="3" name="_dlc_DocIdItemGuid">
    <vt:lpwstr>6596e682-320f-4950-a200-be7f7b79f393</vt:lpwstr>
  </property>
  <property fmtid="{D5CDD505-2E9C-101B-9397-08002B2CF9AE}" pid="4" name="_dlc_DocIdUrl">
    <vt:lpwstr>https://ems-team.usda.gov/sites/aphis-ppq-policy/php/PCC/Paperwork Burden/_layouts/15/DocIdRedir.aspx?ID=23AXXXC3UW4Z-1926130773-848, 23AXXXC3UW4Z-1926130773-848</vt:lpwstr>
  </property>
</Properties>
</file>