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1C" w:rsidRDefault="001372F5">
      <w:pPr>
        <w:spacing w:after="0" w:line="259" w:lineRule="auto"/>
        <w:ind w:left="0" w:right="6504" w:firstLine="0"/>
      </w:pPr>
      <w:bookmarkStart w:id="0" w:name="_GoBack"/>
      <w:bookmarkEnd w:id="0"/>
      <w:r>
        <w:rPr>
          <w:sz w:val="24"/>
        </w:rPr>
        <w:t xml:space="preserve"> </w:t>
      </w:r>
    </w:p>
    <w:p w:rsidR="00E2391C" w:rsidRDefault="001372F5" w:rsidP="001372F5">
      <w:pPr>
        <w:spacing w:after="0" w:line="259" w:lineRule="auto"/>
        <w:ind w:left="2880"/>
        <w:jc w:val="center"/>
      </w:pPr>
      <w:r>
        <w:rPr>
          <w:noProof/>
        </w:rPr>
        <w:drawing>
          <wp:anchor distT="0" distB="0" distL="114300" distR="114300" simplePos="0" relativeHeight="251658240" behindDoc="0" locked="0" layoutInCell="1" allowOverlap="0" wp14:anchorId="53C0B96B" wp14:editId="239623C7">
            <wp:simplePos x="0" y="0"/>
            <wp:positionH relativeFrom="column">
              <wp:posOffset>457200</wp:posOffset>
            </wp:positionH>
            <wp:positionV relativeFrom="paragraph">
              <wp:posOffset>-43180</wp:posOffset>
            </wp:positionV>
            <wp:extent cx="1353185" cy="1369695"/>
            <wp:effectExtent l="0" t="0" r="0" b="1905"/>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6"/>
                    <a:stretch>
                      <a:fillRect/>
                    </a:stretch>
                  </pic:blipFill>
                  <pic:spPr>
                    <a:xfrm>
                      <a:off x="0" y="0"/>
                      <a:ext cx="1353185" cy="1369695"/>
                    </a:xfrm>
                    <a:prstGeom prst="rect">
                      <a:avLst/>
                    </a:prstGeom>
                  </pic:spPr>
                </pic:pic>
              </a:graphicData>
            </a:graphic>
          </wp:anchor>
        </w:drawing>
      </w:r>
      <w:r>
        <w:rPr>
          <w:b/>
          <w:sz w:val="24"/>
        </w:rPr>
        <w:t>APPLICATION TO</w:t>
      </w:r>
    </w:p>
    <w:p w:rsidR="00E2391C" w:rsidRDefault="001372F5" w:rsidP="001372F5">
      <w:pPr>
        <w:spacing w:after="0" w:line="259" w:lineRule="auto"/>
        <w:ind w:left="2880"/>
        <w:jc w:val="center"/>
      </w:pPr>
      <w:r>
        <w:rPr>
          <w:b/>
          <w:sz w:val="24"/>
        </w:rPr>
        <w:t>PERMANENTLY TRANSFER</w:t>
      </w:r>
    </w:p>
    <w:p w:rsidR="00E53F02" w:rsidRDefault="001372F5" w:rsidP="001372F5">
      <w:pPr>
        <w:spacing w:after="0" w:line="248" w:lineRule="auto"/>
        <w:ind w:left="2880" w:firstLine="0"/>
        <w:jc w:val="center"/>
        <w:rPr>
          <w:b/>
          <w:sz w:val="24"/>
        </w:rPr>
      </w:pPr>
      <w:r>
        <w:rPr>
          <w:b/>
          <w:sz w:val="24"/>
        </w:rPr>
        <w:t xml:space="preserve">NE </w:t>
      </w:r>
      <w:r w:rsidR="00E53F02">
        <w:rPr>
          <w:b/>
          <w:sz w:val="24"/>
        </w:rPr>
        <w:t>MULTISPECIES DAYS-AT-SEA (DAS)</w:t>
      </w:r>
    </w:p>
    <w:p w:rsidR="00E2391C" w:rsidRDefault="001372F5" w:rsidP="001372F5">
      <w:pPr>
        <w:spacing w:after="0" w:line="248" w:lineRule="auto"/>
        <w:ind w:left="2880" w:firstLine="0"/>
        <w:jc w:val="center"/>
      </w:pPr>
      <w:r>
        <w:rPr>
          <w:sz w:val="22"/>
        </w:rPr>
        <w:t>Provide all information requested.</w:t>
      </w:r>
    </w:p>
    <w:p w:rsidR="00E53F02" w:rsidRDefault="00E53F02" w:rsidP="001372F5">
      <w:pPr>
        <w:tabs>
          <w:tab w:val="center" w:pos="6097"/>
        </w:tabs>
        <w:spacing w:after="0" w:line="259" w:lineRule="auto"/>
        <w:ind w:left="2880" w:firstLine="0"/>
        <w:jc w:val="center"/>
        <w:rPr>
          <w:b/>
          <w:sz w:val="16"/>
        </w:rPr>
      </w:pPr>
    </w:p>
    <w:p w:rsidR="00E2391C" w:rsidRDefault="001372F5" w:rsidP="001372F5">
      <w:pPr>
        <w:tabs>
          <w:tab w:val="center" w:pos="6097"/>
        </w:tabs>
        <w:spacing w:after="0" w:line="259" w:lineRule="auto"/>
        <w:ind w:left="2880" w:firstLine="0"/>
        <w:jc w:val="center"/>
      </w:pPr>
      <w:r>
        <w:rPr>
          <w:b/>
          <w:sz w:val="16"/>
        </w:rPr>
        <w:t>SUBMIT TO</w:t>
      </w:r>
    </w:p>
    <w:p w:rsidR="00E53F02" w:rsidRDefault="001372F5" w:rsidP="001372F5">
      <w:pPr>
        <w:spacing w:after="0" w:line="259" w:lineRule="auto"/>
        <w:ind w:left="2880"/>
        <w:jc w:val="center"/>
      </w:pPr>
      <w:r>
        <w:rPr>
          <w:b/>
          <w:sz w:val="16"/>
        </w:rPr>
        <w:t>NE MULTISPECIES DAS TRANSFER PROGRAM</w:t>
      </w:r>
    </w:p>
    <w:p w:rsidR="00E53F02" w:rsidRPr="00E53F02" w:rsidRDefault="001372F5" w:rsidP="001372F5">
      <w:pPr>
        <w:spacing w:after="0" w:line="259" w:lineRule="auto"/>
        <w:ind w:left="2880"/>
        <w:jc w:val="center"/>
      </w:pPr>
      <w:r>
        <w:rPr>
          <w:b/>
          <w:sz w:val="16"/>
        </w:rPr>
        <w:t>US DEPARTMENT OF COMMERCE, NOAA</w:t>
      </w:r>
    </w:p>
    <w:p w:rsidR="00E2391C" w:rsidRDefault="001372F5" w:rsidP="001372F5">
      <w:pPr>
        <w:spacing w:after="0" w:line="259" w:lineRule="auto"/>
        <w:ind w:left="2880"/>
        <w:jc w:val="center"/>
      </w:pPr>
      <w:r>
        <w:rPr>
          <w:b/>
          <w:sz w:val="16"/>
        </w:rPr>
        <w:t>NATIONAL MARINE FISHERIES SERVICE</w:t>
      </w:r>
    </w:p>
    <w:p w:rsidR="00E2391C" w:rsidRDefault="001372F5" w:rsidP="001372F5">
      <w:pPr>
        <w:spacing w:after="0" w:line="259" w:lineRule="auto"/>
        <w:ind w:left="2880"/>
        <w:jc w:val="center"/>
      </w:pPr>
      <w:r>
        <w:rPr>
          <w:b/>
          <w:sz w:val="16"/>
        </w:rPr>
        <w:t>55 GREAT REPUBLIC DRIVE, GLOUCESTER, MA 01930</w:t>
      </w:r>
    </w:p>
    <w:p w:rsidR="00E2391C" w:rsidRDefault="001372F5">
      <w:pPr>
        <w:spacing w:after="0" w:line="259" w:lineRule="auto"/>
        <w:ind w:left="0" w:firstLine="0"/>
      </w:pPr>
      <w:r>
        <w:rPr>
          <w:sz w:val="24"/>
        </w:rPr>
        <w:t xml:space="preserve"> </w:t>
      </w:r>
    </w:p>
    <w:p w:rsidR="00E2391C" w:rsidRDefault="001372F5" w:rsidP="00E53F02">
      <w:pPr>
        <w:spacing w:after="0" w:line="259" w:lineRule="auto"/>
        <w:ind w:left="-5"/>
      </w:pPr>
      <w:r>
        <w:rPr>
          <w:b/>
          <w:sz w:val="22"/>
        </w:rPr>
        <w:t xml:space="preserve">Transferor (Person Transferring DAS) Information: </w:t>
      </w:r>
    </w:p>
    <w:p w:rsidR="00E2391C" w:rsidRDefault="001372F5" w:rsidP="00E53F02">
      <w:pPr>
        <w:spacing w:after="0" w:line="259" w:lineRule="auto"/>
        <w:ind w:left="0" w:firstLine="0"/>
      </w:pPr>
      <w:r>
        <w:rPr>
          <w:sz w:val="22"/>
        </w:rPr>
        <w:t xml:space="preserve"> </w:t>
      </w:r>
    </w:p>
    <w:p w:rsidR="00E2391C" w:rsidRDefault="001372F5" w:rsidP="00E53F02">
      <w:pPr>
        <w:tabs>
          <w:tab w:val="center" w:pos="1398"/>
          <w:tab w:val="center" w:pos="2881"/>
          <w:tab w:val="center" w:pos="3601"/>
          <w:tab w:val="center" w:pos="4321"/>
          <w:tab w:val="center" w:pos="5041"/>
          <w:tab w:val="center" w:pos="7149"/>
        </w:tabs>
        <w:spacing w:after="0"/>
        <w:ind w:left="0" w:firstLine="0"/>
      </w:pPr>
      <w:r>
        <w:rPr>
          <w:rFonts w:ascii="Calibri" w:eastAsia="Calibri" w:hAnsi="Calibri" w:cs="Calibri"/>
          <w:sz w:val="22"/>
        </w:rPr>
        <w:tab/>
      </w:r>
      <w:r>
        <w:rPr>
          <w:sz w:val="22"/>
        </w:rPr>
        <w:t xml:space="preserve">Owner Name: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Permit #: _____________ </w:t>
      </w:r>
    </w:p>
    <w:p w:rsidR="00E2391C" w:rsidRDefault="001372F5" w:rsidP="00E53F02">
      <w:pPr>
        <w:spacing w:after="0" w:line="259" w:lineRule="auto"/>
        <w:ind w:left="0" w:firstLine="0"/>
      </w:pPr>
      <w:r>
        <w:rPr>
          <w:sz w:val="22"/>
        </w:rPr>
        <w:t xml:space="preserve">  </w:t>
      </w:r>
    </w:p>
    <w:p w:rsidR="00E2391C" w:rsidRDefault="001372F5" w:rsidP="00E53F02">
      <w:pPr>
        <w:tabs>
          <w:tab w:val="center" w:pos="1406"/>
          <w:tab w:val="center" w:pos="2881"/>
          <w:tab w:val="center" w:pos="3601"/>
          <w:tab w:val="center" w:pos="4321"/>
          <w:tab w:val="center" w:pos="5041"/>
          <w:tab w:val="center" w:pos="7137"/>
        </w:tabs>
        <w:spacing w:after="0"/>
        <w:ind w:left="0" w:firstLine="0"/>
      </w:pPr>
      <w:r>
        <w:rPr>
          <w:rFonts w:ascii="Calibri" w:eastAsia="Calibri" w:hAnsi="Calibri" w:cs="Calibri"/>
          <w:sz w:val="22"/>
        </w:rPr>
        <w:tab/>
      </w:r>
      <w:r>
        <w:rPr>
          <w:sz w:val="22"/>
        </w:rPr>
        <w:t xml:space="preserve">Vessel Name: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Official #:_____________     </w:t>
      </w:r>
    </w:p>
    <w:p w:rsidR="00E2391C" w:rsidRDefault="001372F5" w:rsidP="00E53F02">
      <w:pPr>
        <w:tabs>
          <w:tab w:val="center" w:pos="720"/>
          <w:tab w:val="center" w:pos="1440"/>
          <w:tab w:val="center" w:pos="2160"/>
          <w:tab w:val="center" w:pos="2881"/>
          <w:tab w:val="center" w:pos="3601"/>
          <w:tab w:val="center" w:pos="4321"/>
          <w:tab w:val="center" w:pos="5041"/>
          <w:tab w:val="center" w:pos="6700"/>
          <w:tab w:val="center" w:pos="7922"/>
        </w:tabs>
        <w:spacing w:after="0" w:line="259" w:lineRule="auto"/>
        <w:ind w:left="-15"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4"/>
        </w:rPr>
        <w:t xml:space="preserve">    </w:t>
      </w:r>
      <w:r>
        <w:rPr>
          <w:sz w:val="16"/>
        </w:rPr>
        <w:t>(or state registration #</w:t>
      </w:r>
      <w:r>
        <w:rPr>
          <w:sz w:val="25"/>
          <w:vertAlign w:val="subscript"/>
        </w:rPr>
        <w:t>)</w:t>
      </w:r>
      <w:r>
        <w:rPr>
          <w:sz w:val="24"/>
        </w:rPr>
        <w:t xml:space="preserve"> </w:t>
      </w:r>
      <w:r>
        <w:rPr>
          <w:sz w:val="24"/>
        </w:rPr>
        <w:tab/>
      </w:r>
      <w:r>
        <w:rPr>
          <w:sz w:val="22"/>
        </w:rPr>
        <w:t xml:space="preserve"> </w:t>
      </w:r>
    </w:p>
    <w:p w:rsidR="00E2391C" w:rsidRDefault="001372F5" w:rsidP="00E53F02">
      <w:pPr>
        <w:spacing w:after="0" w:line="259" w:lineRule="auto"/>
        <w:ind w:left="-5"/>
      </w:pPr>
      <w:r>
        <w:rPr>
          <w:b/>
          <w:sz w:val="22"/>
        </w:rPr>
        <w:t xml:space="preserve">Transferee (Person receiving DAS) Information: </w:t>
      </w:r>
    </w:p>
    <w:p w:rsidR="00E2391C" w:rsidRDefault="001372F5" w:rsidP="00E53F02">
      <w:pPr>
        <w:spacing w:after="0" w:line="259" w:lineRule="auto"/>
        <w:ind w:left="0" w:firstLine="0"/>
      </w:pPr>
      <w:r>
        <w:rPr>
          <w:sz w:val="22"/>
        </w:rPr>
        <w:t xml:space="preserve"> </w:t>
      </w:r>
    </w:p>
    <w:p w:rsidR="00E2391C" w:rsidRDefault="001372F5" w:rsidP="00E53F02">
      <w:pPr>
        <w:tabs>
          <w:tab w:val="center" w:pos="1398"/>
          <w:tab w:val="center" w:pos="2881"/>
          <w:tab w:val="center" w:pos="3601"/>
          <w:tab w:val="center" w:pos="4321"/>
          <w:tab w:val="center" w:pos="5041"/>
          <w:tab w:val="center" w:pos="7149"/>
        </w:tabs>
        <w:spacing w:after="0"/>
        <w:ind w:left="0" w:firstLine="0"/>
      </w:pPr>
      <w:r>
        <w:rPr>
          <w:rFonts w:ascii="Calibri" w:eastAsia="Calibri" w:hAnsi="Calibri" w:cs="Calibri"/>
          <w:sz w:val="22"/>
        </w:rPr>
        <w:tab/>
      </w:r>
      <w:r>
        <w:rPr>
          <w:sz w:val="22"/>
        </w:rPr>
        <w:t xml:space="preserve">Owner Name: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Permit #: _____________ </w:t>
      </w:r>
    </w:p>
    <w:p w:rsidR="00E2391C" w:rsidRDefault="001372F5" w:rsidP="00E53F02">
      <w:pPr>
        <w:spacing w:after="0" w:line="259" w:lineRule="auto"/>
        <w:ind w:left="0" w:firstLine="0"/>
      </w:pPr>
      <w:r>
        <w:rPr>
          <w:sz w:val="22"/>
        </w:rPr>
        <w:t xml:space="preserve">  </w:t>
      </w:r>
    </w:p>
    <w:p w:rsidR="00E2391C" w:rsidRDefault="001372F5" w:rsidP="00E53F02">
      <w:pPr>
        <w:tabs>
          <w:tab w:val="center" w:pos="1406"/>
          <w:tab w:val="center" w:pos="2881"/>
          <w:tab w:val="center" w:pos="3601"/>
          <w:tab w:val="center" w:pos="4321"/>
          <w:tab w:val="center" w:pos="5041"/>
          <w:tab w:val="center" w:pos="7137"/>
        </w:tabs>
        <w:spacing w:after="0"/>
        <w:ind w:left="0" w:firstLine="0"/>
      </w:pPr>
      <w:r>
        <w:rPr>
          <w:rFonts w:ascii="Calibri" w:eastAsia="Calibri" w:hAnsi="Calibri" w:cs="Calibri"/>
          <w:sz w:val="22"/>
        </w:rPr>
        <w:tab/>
      </w:r>
      <w:r>
        <w:rPr>
          <w:sz w:val="22"/>
        </w:rPr>
        <w:t xml:space="preserve">Vessel Name: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Official #:_____________ </w:t>
      </w:r>
    </w:p>
    <w:p w:rsidR="00E2391C" w:rsidRDefault="001372F5" w:rsidP="00E53F02">
      <w:pPr>
        <w:tabs>
          <w:tab w:val="center" w:pos="720"/>
          <w:tab w:val="center" w:pos="1440"/>
          <w:tab w:val="center" w:pos="2160"/>
          <w:tab w:val="center" w:pos="2881"/>
          <w:tab w:val="center" w:pos="3601"/>
          <w:tab w:val="center" w:pos="4321"/>
          <w:tab w:val="center" w:pos="5041"/>
          <w:tab w:val="center" w:pos="6700"/>
        </w:tabs>
        <w:spacing w:after="0" w:line="259" w:lineRule="auto"/>
        <w:ind w:left="-15"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4"/>
        </w:rPr>
        <w:t xml:space="preserve">    </w:t>
      </w:r>
      <w:r>
        <w:rPr>
          <w:sz w:val="16"/>
        </w:rPr>
        <w:t>(or state registration #</w:t>
      </w:r>
      <w:r>
        <w:rPr>
          <w:sz w:val="25"/>
          <w:vertAlign w:val="subscript"/>
        </w:rPr>
        <w:t>)</w:t>
      </w:r>
      <w:r>
        <w:rPr>
          <w:sz w:val="24"/>
        </w:rPr>
        <w:t xml:space="preserve"> </w:t>
      </w:r>
    </w:p>
    <w:p w:rsidR="00E2391C" w:rsidRDefault="001372F5" w:rsidP="00E53F02">
      <w:pPr>
        <w:spacing w:after="0" w:line="259" w:lineRule="auto"/>
        <w:ind w:left="0" w:firstLine="0"/>
      </w:pPr>
      <w:r>
        <w:rPr>
          <w:b/>
          <w:sz w:val="20"/>
        </w:rPr>
        <w:t xml:space="preserve"> </w:t>
      </w:r>
    </w:p>
    <w:p w:rsidR="00E2391C" w:rsidRDefault="001372F5" w:rsidP="00E53F02">
      <w:pPr>
        <w:spacing w:after="0" w:line="259" w:lineRule="auto"/>
        <w:ind w:left="-5"/>
      </w:pPr>
      <w:r>
        <w:rPr>
          <w:b/>
          <w:sz w:val="22"/>
        </w:rPr>
        <w:t xml:space="preserve">Baseline of the Transferee (i.e., receiving) Vessel (check one): </w:t>
      </w:r>
    </w:p>
    <w:p w:rsidR="00E2391C" w:rsidRDefault="001372F5" w:rsidP="00E53F02">
      <w:pPr>
        <w:tabs>
          <w:tab w:val="center" w:pos="3221"/>
        </w:tabs>
        <w:spacing w:after="0"/>
        <w:ind w:left="-15" w:firstLine="0"/>
      </w:pPr>
      <w:r>
        <w:rPr>
          <w:b/>
          <w:sz w:val="22"/>
        </w:rPr>
        <w:t xml:space="preserve"> </w:t>
      </w:r>
      <w:r>
        <w:rPr>
          <w:b/>
          <w:sz w:val="22"/>
        </w:rPr>
        <w:tab/>
      </w:r>
      <w:r>
        <w:rPr>
          <w:sz w:val="22"/>
        </w:rPr>
        <w:t xml:space="preserve">__ Use Smaller Baseline Between the Two Vessels </w:t>
      </w:r>
    </w:p>
    <w:p w:rsidR="00E2391C" w:rsidRDefault="001372F5" w:rsidP="00E53F02">
      <w:pPr>
        <w:tabs>
          <w:tab w:val="center" w:pos="3166"/>
        </w:tabs>
        <w:spacing w:after="0"/>
        <w:ind w:left="-15" w:firstLine="0"/>
      </w:pPr>
      <w:r>
        <w:rPr>
          <w:sz w:val="22"/>
        </w:rPr>
        <w:t xml:space="preserve"> </w:t>
      </w:r>
      <w:r>
        <w:rPr>
          <w:sz w:val="22"/>
        </w:rPr>
        <w:tab/>
        <w:t xml:space="preserve">__ Use Larger Baseline Between the Two Vessels  </w:t>
      </w:r>
    </w:p>
    <w:p w:rsidR="00E2391C" w:rsidRDefault="001372F5" w:rsidP="00E53F02">
      <w:pPr>
        <w:spacing w:after="0"/>
        <w:ind w:left="730"/>
      </w:pPr>
      <w:r>
        <w:rPr>
          <w:sz w:val="22"/>
        </w:rPr>
        <w:t xml:space="preserve">     (NOTE: This option will utilize the one-time allowable upgrade for this permit.)</w:t>
      </w:r>
      <w:r>
        <w:rPr>
          <w:b/>
          <w:sz w:val="22"/>
        </w:rPr>
        <w:t xml:space="preserve"> </w:t>
      </w:r>
    </w:p>
    <w:p w:rsidR="00E2391C" w:rsidRDefault="001372F5" w:rsidP="00E53F02">
      <w:pPr>
        <w:spacing w:after="0" w:line="259" w:lineRule="auto"/>
        <w:ind w:left="0" w:firstLine="0"/>
      </w:pPr>
      <w:r>
        <w:rPr>
          <w:b/>
          <w:sz w:val="20"/>
        </w:rPr>
        <w:t xml:space="preserve"> </w:t>
      </w:r>
    </w:p>
    <w:p w:rsidR="00E2391C" w:rsidRDefault="001372F5" w:rsidP="00E53F02">
      <w:pPr>
        <w:spacing w:after="0" w:line="259" w:lineRule="auto"/>
        <w:ind w:left="-5"/>
      </w:pPr>
      <w:r>
        <w:rPr>
          <w:b/>
          <w:sz w:val="22"/>
        </w:rPr>
        <w:t xml:space="preserve">Total Price Paid for Transferred DAS: </w:t>
      </w:r>
      <w:r>
        <w:rPr>
          <w:sz w:val="22"/>
        </w:rPr>
        <w:t>___________</w:t>
      </w:r>
      <w:r>
        <w:rPr>
          <w:sz w:val="24"/>
        </w:rPr>
        <w:t xml:space="preserve"> </w:t>
      </w:r>
    </w:p>
    <w:p w:rsidR="00E2391C" w:rsidRDefault="001372F5" w:rsidP="00E53F02">
      <w:pPr>
        <w:spacing w:after="0" w:line="259" w:lineRule="auto"/>
        <w:ind w:left="0" w:firstLine="0"/>
      </w:pPr>
      <w:r>
        <w:rPr>
          <w:sz w:val="20"/>
        </w:rPr>
        <w:t xml:space="preserve"> </w:t>
      </w:r>
    </w:p>
    <w:p w:rsidR="00E2391C" w:rsidRDefault="001372F5" w:rsidP="00E53F02">
      <w:pPr>
        <w:spacing w:after="0" w:line="259" w:lineRule="auto"/>
        <w:ind w:left="0" w:firstLine="0"/>
      </w:pPr>
      <w:r>
        <w:rPr>
          <w:sz w:val="20"/>
        </w:rPr>
        <w:t xml:space="preserve"> </w:t>
      </w:r>
    </w:p>
    <w:p w:rsidR="00E2391C" w:rsidRDefault="001372F5" w:rsidP="00E53F02">
      <w:pPr>
        <w:spacing w:after="0"/>
        <w:ind w:left="-15" w:firstLine="0"/>
      </w:pPr>
      <w:r>
        <w:rPr>
          <w:sz w:val="22"/>
        </w:rPr>
        <w:t xml:space="preserve">Signed:  </w:t>
      </w:r>
      <w:r w:rsidR="00E94E00">
        <w:rPr>
          <w:sz w:val="22"/>
        </w:rPr>
        <w:t>____________________________</w:t>
      </w:r>
      <w:r w:rsidR="00E94E00">
        <w:rPr>
          <w:sz w:val="22"/>
        </w:rPr>
        <w:tab/>
      </w:r>
      <w:r w:rsidR="00E94E00">
        <w:rPr>
          <w:sz w:val="22"/>
        </w:rPr>
        <w:tab/>
      </w:r>
      <w:r w:rsidR="00E53F02">
        <w:rPr>
          <w:sz w:val="22"/>
        </w:rPr>
        <w:t>Signed:</w:t>
      </w:r>
      <w:r w:rsidR="00E53F02" w:rsidRPr="00E53F02">
        <w:rPr>
          <w:sz w:val="22"/>
        </w:rPr>
        <w:t xml:space="preserve"> </w:t>
      </w:r>
      <w:r w:rsidR="00E53F02">
        <w:rPr>
          <w:sz w:val="22"/>
        </w:rPr>
        <w:t xml:space="preserve"> ____________________________</w:t>
      </w:r>
    </w:p>
    <w:p w:rsidR="00E2391C" w:rsidRDefault="001372F5" w:rsidP="00E53F02">
      <w:pPr>
        <w:spacing w:after="0" w:line="259" w:lineRule="auto"/>
        <w:ind w:left="-15" w:firstLine="0"/>
      </w:pPr>
      <w:r>
        <w:rPr>
          <w:sz w:val="24"/>
        </w:rPr>
        <w:t xml:space="preserve"> </w:t>
      </w:r>
      <w:r>
        <w:rPr>
          <w:sz w:val="24"/>
        </w:rPr>
        <w:tab/>
      </w:r>
      <w:r w:rsidR="00E94E00">
        <w:rPr>
          <w:sz w:val="24"/>
        </w:rPr>
        <w:t xml:space="preserve"> </w:t>
      </w:r>
      <w:r>
        <w:rPr>
          <w:sz w:val="24"/>
        </w:rPr>
        <w:t xml:space="preserve"> </w:t>
      </w:r>
      <w:r>
        <w:rPr>
          <w:sz w:val="16"/>
        </w:rPr>
        <w:t>(Transferor)</w:t>
      </w:r>
      <w:r w:rsidR="00E53F02">
        <w:rPr>
          <w:sz w:val="24"/>
        </w:rPr>
        <w:t xml:space="preserve"> </w:t>
      </w:r>
      <w:r w:rsidR="00E53F02">
        <w:rPr>
          <w:sz w:val="24"/>
        </w:rPr>
        <w:tab/>
        <w:t xml:space="preserve"> </w:t>
      </w:r>
      <w:r>
        <w:rPr>
          <w:sz w:val="24"/>
        </w:rPr>
        <w:t xml:space="preserve"> </w:t>
      </w:r>
      <w:r>
        <w:rPr>
          <w:sz w:val="24"/>
        </w:rPr>
        <w:tab/>
        <w:t xml:space="preserve"> </w:t>
      </w:r>
      <w:r>
        <w:rPr>
          <w:sz w:val="24"/>
        </w:rPr>
        <w:tab/>
        <w:t xml:space="preserve"> </w:t>
      </w:r>
      <w:r>
        <w:rPr>
          <w:sz w:val="24"/>
        </w:rPr>
        <w:tab/>
      </w:r>
      <w:r w:rsidR="00E94E00">
        <w:rPr>
          <w:sz w:val="24"/>
        </w:rPr>
        <w:tab/>
      </w:r>
      <w:r w:rsidR="00E94E00">
        <w:rPr>
          <w:sz w:val="24"/>
        </w:rPr>
        <w:tab/>
        <w:t xml:space="preserve"> </w:t>
      </w:r>
      <w:r>
        <w:rPr>
          <w:sz w:val="24"/>
        </w:rPr>
        <w:t xml:space="preserve"> </w:t>
      </w:r>
      <w:r>
        <w:rPr>
          <w:sz w:val="16"/>
        </w:rPr>
        <w:t xml:space="preserve">(Transferee) </w:t>
      </w:r>
    </w:p>
    <w:p w:rsidR="00E2391C" w:rsidRDefault="001372F5" w:rsidP="00E53F02">
      <w:pPr>
        <w:spacing w:after="0" w:line="259" w:lineRule="auto"/>
        <w:ind w:left="0" w:firstLine="0"/>
      </w:pPr>
      <w:r>
        <w:rPr>
          <w:sz w:val="24"/>
        </w:rPr>
        <w:t xml:space="preserve"> </w:t>
      </w:r>
    </w:p>
    <w:p w:rsidR="00E94E00" w:rsidRDefault="00E94E00" w:rsidP="00E94E00">
      <w:pPr>
        <w:spacing w:after="0"/>
        <w:ind w:left="-15" w:firstLine="0"/>
      </w:pPr>
      <w:r>
        <w:rPr>
          <w:sz w:val="22"/>
        </w:rPr>
        <w:t>Dated:  ____________________________</w:t>
      </w:r>
      <w:r>
        <w:rPr>
          <w:sz w:val="22"/>
        </w:rPr>
        <w:tab/>
      </w:r>
      <w:r>
        <w:rPr>
          <w:sz w:val="22"/>
        </w:rPr>
        <w:tab/>
        <w:t>Dated:</w:t>
      </w:r>
      <w:r w:rsidRPr="00E53F02">
        <w:rPr>
          <w:sz w:val="22"/>
        </w:rPr>
        <w:t xml:space="preserve"> </w:t>
      </w:r>
      <w:r>
        <w:rPr>
          <w:sz w:val="22"/>
        </w:rPr>
        <w:t xml:space="preserve"> ____________________________</w:t>
      </w:r>
    </w:p>
    <w:p w:rsidR="00E2391C" w:rsidRDefault="00E2391C" w:rsidP="00E53F02">
      <w:pPr>
        <w:spacing w:after="0" w:line="259" w:lineRule="auto"/>
        <w:ind w:left="0" w:firstLine="0"/>
      </w:pPr>
    </w:p>
    <w:p w:rsidR="00E2391C" w:rsidRDefault="001372F5" w:rsidP="00E53F02">
      <w:pPr>
        <w:spacing w:after="0"/>
        <w:ind w:left="-5"/>
      </w:pPr>
      <w:r>
        <w:rPr>
          <w:b/>
          <w:sz w:val="22"/>
        </w:rPr>
        <w:t xml:space="preserve">NOTE:  </w:t>
      </w:r>
      <w:r>
        <w:rPr>
          <w:sz w:val="22"/>
        </w:rPr>
        <w:t xml:space="preserve">This DAS Transfer Program application must be accompanied by a vessel replacement application, and all other required documents for a vessel replacement, in order to transfer other federal limited access permits from the transferor to the transferee. </w:t>
      </w:r>
    </w:p>
    <w:p w:rsidR="00E2391C" w:rsidRDefault="001372F5" w:rsidP="00E53F02">
      <w:pPr>
        <w:spacing w:after="0"/>
        <w:ind w:left="-5"/>
      </w:pPr>
      <w:r>
        <w:rPr>
          <w:sz w:val="22"/>
        </w:rPr>
        <w:t xml:space="preserve">Beginning with the 2010 fishing year, there will no longer be a DAS conservation tax applied to DAS Transfers.   </w:t>
      </w:r>
    </w:p>
    <w:p w:rsidR="001372F5" w:rsidRDefault="001372F5">
      <w:pPr>
        <w:spacing w:after="0" w:line="259" w:lineRule="auto"/>
        <w:ind w:left="0" w:firstLine="0"/>
      </w:pPr>
    </w:p>
    <w:p w:rsidR="001372F5" w:rsidRDefault="001372F5">
      <w:pPr>
        <w:spacing w:after="0" w:line="259" w:lineRule="auto"/>
        <w:ind w:left="0" w:firstLine="0"/>
      </w:pPr>
    </w:p>
    <w:p w:rsidR="00E2391C" w:rsidRDefault="001372F5">
      <w:pPr>
        <w:spacing w:after="0"/>
        <w:ind w:left="-5"/>
      </w:pPr>
      <w:r>
        <w:t xml:space="preserve">This form is required to obtain approval for the transfer of DAS under 50 CFR 648.82(l) and to monitor DAS allocation and usage for limited access NE multispecies permit holders.  Signature of this form certifies that permit holders comply with limited access permit requirements specified in 50 CFR 648.4, and that the information provided on this form is true, complete and correct to the best of their knowledge, and made in good faith (18 U.S.C. 1001).  Making a false statement on this form is punishable by law. </w:t>
      </w:r>
    </w:p>
    <w:p w:rsidR="00E2391C" w:rsidRDefault="001372F5">
      <w:pPr>
        <w:spacing w:after="0" w:line="259" w:lineRule="auto"/>
        <w:ind w:left="0" w:firstLine="0"/>
      </w:pPr>
      <w:r>
        <w:t xml:space="preserve"> </w:t>
      </w:r>
    </w:p>
    <w:p w:rsidR="00E2391C" w:rsidRDefault="001372F5">
      <w:pPr>
        <w:spacing w:after="0"/>
        <w:ind w:left="-5"/>
      </w:pPr>
      <w: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E2391C" w:rsidRDefault="001372F5">
      <w:pPr>
        <w:spacing w:after="0" w:line="259" w:lineRule="auto"/>
        <w:ind w:left="0" w:firstLine="0"/>
      </w:pPr>
      <w:r>
        <w:t xml:space="preserve"> </w:t>
      </w:r>
    </w:p>
    <w:p w:rsidR="00E2391C" w:rsidRDefault="001372F5">
      <w:pPr>
        <w:spacing w:after="0"/>
        <w:ind w:left="-5"/>
      </w:pPr>
      <w:r>
        <w:t xml:space="preserve">Public reporting burden for this collection of information is estimated to average 5 minutes per response, including time for reviewing instructions, searching existing data sources, gathering and maintaining the data needed, and completing and reviewing the information.  Send comments regarding this burden estimate or suggestions for reducing this burden estimate or any other aspect of this collection of information to NMFS, 55 Great Republic Drive, Gloucester MA 01930. </w:t>
      </w:r>
    </w:p>
    <w:p w:rsidR="00E2391C" w:rsidRDefault="001372F5">
      <w:pPr>
        <w:spacing w:after="0" w:line="259" w:lineRule="auto"/>
        <w:ind w:left="0" w:firstLine="0"/>
      </w:pPr>
      <w:r>
        <w:t xml:space="preserve"> </w:t>
      </w:r>
    </w:p>
    <w:p w:rsidR="001372F5" w:rsidRPr="00731352" w:rsidRDefault="001372F5" w:rsidP="001372F5">
      <w:pPr>
        <w:spacing w:after="3" w:line="259" w:lineRule="auto"/>
        <w:ind w:left="15"/>
        <w:jc w:val="center"/>
        <w:rPr>
          <w:sz w:val="16"/>
          <w:szCs w:val="16"/>
        </w:rPr>
      </w:pPr>
      <w:r w:rsidRPr="00731352">
        <w:rPr>
          <w:sz w:val="16"/>
          <w:szCs w:val="16"/>
        </w:rPr>
        <w:t xml:space="preserve">OMB Approval No. 0648-0605 </w:t>
      </w:r>
    </w:p>
    <w:p w:rsidR="00E2391C" w:rsidRPr="00731352" w:rsidRDefault="001372F5">
      <w:pPr>
        <w:spacing w:after="3" w:line="259" w:lineRule="auto"/>
        <w:ind w:left="15" w:right="1"/>
        <w:jc w:val="center"/>
        <w:rPr>
          <w:sz w:val="16"/>
          <w:szCs w:val="16"/>
        </w:rPr>
      </w:pPr>
      <w:r w:rsidRPr="00731352">
        <w:rPr>
          <w:sz w:val="16"/>
          <w:szCs w:val="16"/>
        </w:rPr>
        <w:t xml:space="preserve">Expires 4/30/2016 </w:t>
      </w:r>
    </w:p>
    <w:p w:rsidR="001372F5" w:rsidRDefault="001372F5">
      <w:pPr>
        <w:spacing w:after="3" w:line="259" w:lineRule="auto"/>
        <w:ind w:left="15" w:right="1"/>
        <w:jc w:val="center"/>
      </w:pPr>
    </w:p>
    <w:p w:rsidR="001873BE" w:rsidRPr="001372F5" w:rsidRDefault="001873BE" w:rsidP="00731352">
      <w:pPr>
        <w:spacing w:after="120" w:line="240" w:lineRule="auto"/>
        <w:jc w:val="center"/>
        <w:rPr>
          <w:b/>
          <w:noProof/>
          <w:szCs w:val="14"/>
        </w:rPr>
      </w:pPr>
      <w:r w:rsidRPr="001372F5">
        <w:rPr>
          <w:b/>
          <w:noProof/>
          <w:szCs w:val="14"/>
        </w:rPr>
        <w:t>Privacy Act Statement</w:t>
      </w:r>
    </w:p>
    <w:p w:rsidR="001873BE" w:rsidRPr="001372F5" w:rsidRDefault="001873BE" w:rsidP="00731352">
      <w:pPr>
        <w:spacing w:after="120" w:line="240" w:lineRule="auto"/>
        <w:rPr>
          <w:szCs w:val="14"/>
        </w:rPr>
      </w:pPr>
      <w:r w:rsidRPr="001372F5">
        <w:rPr>
          <w:b/>
          <w:szCs w:val="14"/>
        </w:rPr>
        <w:t>Authority:</w:t>
      </w:r>
      <w:r w:rsidRPr="001372F5">
        <w:rPr>
          <w:szCs w:val="14"/>
        </w:rPr>
        <w:t xml:space="preserve">  The collection of this information is authorized under the Magnuson-Stevens Fishery Conservation and Management Act, 16 U.S.C 1801 et seq., the High Seas Fishing Compliance Act, the Tuna Conventions Act of 1950, the Antarctic Marine Living Resources Convention Act, the Western and Central Pacific Fisheries Convention Implementation Act (WCPFCIA; 16 U.S.C. 6901 </w:t>
      </w:r>
      <w:r w:rsidRPr="001372F5">
        <w:rPr>
          <w:szCs w:val="14"/>
          <w:u w:val="single"/>
        </w:rPr>
        <w:t>et seq)</w:t>
      </w:r>
      <w:r w:rsidRPr="001372F5">
        <w:rPr>
          <w:szCs w:val="14"/>
        </w:rPr>
        <w:t xml:space="preserve">, the Marine Mammal Protection Act, the Endangered Species Act and the Fur Seal Act.  The authority for the mandatory collection of the Tax Identification Number (TIN) is 31 U.S.C. 7701. </w:t>
      </w:r>
    </w:p>
    <w:p w:rsidR="001873BE" w:rsidRPr="001372F5" w:rsidRDefault="001873BE" w:rsidP="00731352">
      <w:pPr>
        <w:pStyle w:val="ListParagraph"/>
        <w:tabs>
          <w:tab w:val="left" w:pos="0"/>
        </w:tabs>
        <w:spacing w:after="120" w:line="240" w:lineRule="auto"/>
        <w:ind w:left="0"/>
        <w:rPr>
          <w:rFonts w:ascii="Arial" w:hAnsi="Arial" w:cs="Arial"/>
          <w:sz w:val="14"/>
          <w:szCs w:val="14"/>
        </w:rPr>
      </w:pPr>
      <w:r w:rsidRPr="001372F5">
        <w:rPr>
          <w:rFonts w:ascii="Arial" w:hAnsi="Arial" w:cs="Arial"/>
          <w:b/>
          <w:sz w:val="14"/>
          <w:szCs w:val="14"/>
        </w:rPr>
        <w:t>Purpose:</w:t>
      </w:r>
      <w:r w:rsidRPr="001372F5">
        <w:rPr>
          <w:rFonts w:ascii="Arial" w:hAnsi="Arial" w:cs="Arial"/>
          <w:sz w:val="14"/>
          <w:szCs w:val="14"/>
        </w:rPr>
        <w:t xml:space="preserve"> </w:t>
      </w:r>
      <w:r w:rsidRPr="001372F5">
        <w:rPr>
          <w:rFonts w:ascii="Arial" w:eastAsia="Times New Roman" w:hAnsi="Arial" w:cs="Arial"/>
          <w:sz w:val="14"/>
          <w:szCs w:val="14"/>
        </w:rPr>
        <w:t xml:space="preserve">In order to manage U.S. fisheries, the NOAA National Marine Fisheries Service (NMFS) requires the use of permits or registrations by participants in the United States. </w:t>
      </w:r>
      <w:r w:rsidRPr="001372F5">
        <w:rPr>
          <w:rFonts w:ascii="Arial" w:hAnsi="Arial" w:cs="Arial"/>
          <w:sz w:val="14"/>
          <w:szCs w:val="14"/>
        </w:rPr>
        <w:t>Information on NOAA Fisheries permit applicants and renewing holders includes vessel owner contact information, date of birth, TIN and vessel descriptive information.  Permit holder information may be used as sampling frames for surveys, as part of Fishery Management Council (FMC) analysis to support FMC decisions.</w:t>
      </w:r>
    </w:p>
    <w:p w:rsidR="001873BE" w:rsidRPr="001372F5" w:rsidRDefault="001873BE" w:rsidP="00731352">
      <w:pPr>
        <w:spacing w:after="120" w:line="240" w:lineRule="auto"/>
        <w:rPr>
          <w:b/>
          <w:szCs w:val="14"/>
        </w:rPr>
      </w:pPr>
      <w:r w:rsidRPr="001372F5">
        <w:rPr>
          <w:b/>
          <w:szCs w:val="14"/>
        </w:rPr>
        <w:lastRenderedPageBreak/>
        <w:t xml:space="preserve">Routine Uses: </w:t>
      </w:r>
      <w:r w:rsidRPr="001372F5">
        <w:rPr>
          <w:szCs w:val="14"/>
        </w:rPr>
        <w:t xml:space="preserve"> The Department will use this information to determine permit eligibility and to identify fishery participants. </w:t>
      </w:r>
      <w:r w:rsidRPr="001372F5">
        <w:rPr>
          <w:rFonts w:eastAsia="Times New Roman"/>
          <w:szCs w:val="14"/>
        </w:rPr>
        <w:t>Disclosure of this information is permitted under the Privacy Act of 1974 (5 U.S.C. Section 552a</w:t>
      </w:r>
      <w:r w:rsidRPr="001372F5">
        <w:rPr>
          <w:rFonts w:eastAsia="Times New Roman"/>
          <w:b/>
          <w:bCs/>
          <w:szCs w:val="14"/>
        </w:rPr>
        <w:t>)</w:t>
      </w:r>
      <w:r w:rsidRPr="001372F5">
        <w:rPr>
          <w:rFonts w:eastAsia="Times New Roman"/>
          <w:szCs w:val="14"/>
        </w:rPr>
        <w:t xml:space="preserve">, to be shared </w:t>
      </w:r>
      <w:r w:rsidRPr="001372F5">
        <w:rPr>
          <w:szCs w:val="14"/>
        </w:rPr>
        <w:t xml:space="preserve">within NMFS offices, in order to coordinate monitoring and management of sustainability of fisheries and protected resources, as well as with the applicable State or Regional Marine Fisheries Commissions and International Organizations. </w:t>
      </w:r>
      <w:r w:rsidRPr="001372F5">
        <w:rPr>
          <w:rFonts w:eastAsia="Times New Roman"/>
          <w:szCs w:val="14"/>
        </w:rPr>
        <w:t xml:space="preserve">Disclosure of this information is also subject to all of the published routine uses as identified in the Privacy Act System of Records Notice </w:t>
      </w:r>
      <w:hyperlink r:id="rId7" w:history="1">
        <w:r w:rsidRPr="001372F5">
          <w:rPr>
            <w:rStyle w:val="Hyperlink"/>
            <w:rFonts w:eastAsia="Times New Roman"/>
            <w:szCs w:val="14"/>
          </w:rPr>
          <w:t>COMMERCE/NOAA-19</w:t>
        </w:r>
      </w:hyperlink>
      <w:r w:rsidRPr="001372F5">
        <w:rPr>
          <w:rFonts w:eastAsia="Times New Roman"/>
          <w:szCs w:val="14"/>
        </w:rPr>
        <w:t xml:space="preserve">, </w:t>
      </w:r>
      <w:r w:rsidRPr="001372F5">
        <w:rPr>
          <w:szCs w:val="14"/>
        </w:rPr>
        <w:t>Permits and Registrations for the United States Federally Regulated Fisheries.</w:t>
      </w:r>
    </w:p>
    <w:p w:rsidR="001372F5" w:rsidRPr="00731352" w:rsidRDefault="001873BE" w:rsidP="00731352">
      <w:pPr>
        <w:spacing w:after="120" w:line="240" w:lineRule="auto"/>
        <w:rPr>
          <w:color w:val="000000" w:themeColor="text1"/>
          <w:szCs w:val="14"/>
        </w:rPr>
      </w:pPr>
      <w:r w:rsidRPr="001372F5">
        <w:rPr>
          <w:b/>
          <w:szCs w:val="14"/>
        </w:rPr>
        <w:t xml:space="preserve">Disclosure: </w:t>
      </w:r>
      <w:r w:rsidRPr="001372F5">
        <w:rPr>
          <w:szCs w:val="14"/>
        </w:rPr>
        <w:t xml:space="preserve"> </w:t>
      </w:r>
      <w:r w:rsidRPr="001372F5">
        <w:rPr>
          <w:color w:val="000000" w:themeColor="text1"/>
          <w:szCs w:val="14"/>
        </w:rPr>
        <w:t>Furnishing this information is voluntary; however, failure to provide complete and accurate information will prevent the determination of eligibility for a permit.</w:t>
      </w:r>
    </w:p>
    <w:p w:rsidR="001372F5" w:rsidRPr="001372F5" w:rsidRDefault="001372F5" w:rsidP="001873BE">
      <w:pPr>
        <w:spacing w:after="0"/>
        <w:rPr>
          <w:rFonts w:ascii="Times New Roman" w:hAnsi="Times New Roman" w:cs="Times New Roman"/>
          <w:szCs w:val="14"/>
        </w:rPr>
      </w:pPr>
    </w:p>
    <w:p w:rsidR="001873BE" w:rsidRPr="001372F5" w:rsidRDefault="001372F5" w:rsidP="001372F5">
      <w:pPr>
        <w:spacing w:line="259" w:lineRule="auto"/>
        <w:ind w:left="15" w:right="1"/>
        <w:jc w:val="center"/>
        <w:rPr>
          <w:b/>
        </w:rPr>
      </w:pPr>
      <w:r>
        <w:rPr>
          <w:b/>
        </w:rPr>
        <w:t>Federal Regulations</w:t>
      </w:r>
    </w:p>
    <w:p w:rsidR="00E2391C" w:rsidRDefault="001372F5">
      <w:pPr>
        <w:ind w:left="-5"/>
      </w:pPr>
      <w:r>
        <w:t xml:space="preserve">648.82(k)(4)(xi)(B) </w:t>
      </w:r>
      <w:r>
        <w:rPr>
          <w:b/>
          <w:i/>
        </w:rPr>
        <w:t>Duration and applicability of one-time DAS Leasing Program baseline downgrade</w:t>
      </w:r>
      <w:r>
        <w:rPr>
          <w:i/>
        </w:rPr>
        <w:t>.</w:t>
      </w:r>
      <w:r>
        <w:t xml:space="preserve"> The downgraded DAS Leasing Program baseline remains in effect until the DAS Leasing Program expires or the permit is transferred to another vessel via a vessel replacement, or through a DAS transfer unless otherwise specified in this paragraph (k)(4)(xi)(B). Once the permit is transferred to another vessel, the DAS Leasing Program baseline reverts to the baseline horsepower and length overall specifications associated with the permit prior to the one-time downgrade, unless otherwise specified. Once the DAS Leasing Program baseline is downgraded for a particular permit, no further downgrades may be authorized for that permit. The downgraded DAS Leasing Program baseline may only be used to determine eligibility for the DAS Leasing Program and does not affect or change the baseline associated with the DAS Transfer Program specified in paragraph (l)(1)(ii) of this section, or the vessel replacement or upgrade restrictions specified at §648.4(a)(1)(i)(E) and (F), or any other provision respectively. For vessels involved in a DAS Transfer Program transaction as described in paragraph (l) of this section, if the transferee vessel baseline is adopted, consistent with the regulations under paragraph (l)(1)(ii) of this section, and the DAS Leasing Program baseline of the transferee vessel was previously downgraded, consistent with the regulations under this paragraph (k)(4)(xi), the downgraded DASLeasing Program baseline specifications remain valid. </w:t>
      </w:r>
    </w:p>
    <w:p w:rsidR="00E2391C" w:rsidRDefault="001372F5">
      <w:pPr>
        <w:spacing w:after="194"/>
        <w:ind w:left="-5"/>
      </w:pPr>
      <w:r>
        <w:t xml:space="preserve">§648.82(l) </w:t>
      </w:r>
      <w:r>
        <w:rPr>
          <w:b/>
          <w:i/>
        </w:rPr>
        <w:t>DAS Transfer Program</w:t>
      </w:r>
      <w:r>
        <w:rPr>
          <w:i/>
        </w:rPr>
        <w:t>.</w:t>
      </w:r>
      <w:r>
        <w:t xml:space="preserve"> Except for vessels fishing under a sector allocation as specified in §648.87, or a vessel that acted as a lessee or lessor in the DAS Leasing Program transaction, a vessel issued a valid limited access NE multispecies permit may transfer all of its NE multispecies DAS for an indefinite time to another vessel with a valid NE multispecies permit, in accordance with the conditions and restrictions described under this section. The Regional Administrator has final approval authority for all NE multispecies DAS transfer requests. </w:t>
      </w:r>
    </w:p>
    <w:p w:rsidR="00E2391C" w:rsidRDefault="001372F5">
      <w:pPr>
        <w:spacing w:after="196"/>
        <w:ind w:left="-5"/>
      </w:pPr>
      <w:r>
        <w:t xml:space="preserve">(1) </w:t>
      </w:r>
      <w:r>
        <w:rPr>
          <w:i/>
        </w:rPr>
        <w:t>DAS transfer conditions and restrictions.</w:t>
      </w:r>
      <w:r>
        <w:t xml:space="preserve"> (i) The transferor vessel must transfer all of its DAS. Upon approval of the DAS transfer, all history associated with the transferred NE multispecies DAS (moratorium right history, DAS use history, and catch history) shall be associated with the permit rights of the transferee. Neither the individual permit history elements, nor total history associated with the transferred DAS may be retained by the transferor. </w:t>
      </w:r>
    </w:p>
    <w:p w:rsidR="00E2391C" w:rsidRDefault="001372F5">
      <w:pPr>
        <w:numPr>
          <w:ilvl w:val="0"/>
          <w:numId w:val="1"/>
        </w:numPr>
        <w:spacing w:after="194"/>
        <w:ind w:hanging="230"/>
      </w:pPr>
      <w:r>
        <w:t xml:space="preserve">NE multispecies DAS may be transferred only to a vessel with a baseline main engine horsepower rating that is no more than 20 percent greater than the baseline engine horsepower of the transferor vessel. NE multispecies DAS may be transferred only to a vessel with a baseline length overall that is no more than 10 percent greater than the baseline length overall of the transferor vessel. For the purposes of this program, the baseline horsepower and length overall are those associated with the permit as of January 29, 2004. Upon approval of the transfer, the baseline of the transferee vessel would be the smaller baseline of the two vessels or, if the transferee vessel had not previously upgraded either its size (including LOA, GRT, and NT) or HP under the vessel replacement rules, the vessel owner could choose to adopt the larger baseline of the two vessels, which would constitute the vessel’s one-time upgrade, provided such an upgrade is consistent with provisions of this paragraph (l)(1)(ii). A subsequent upgrade to another specification through a subsequent action (either a vessel replacement or DAS transfer) is not permissible. A vessel that has executed a one-time downgrade of a DAS Leasing Program baseline in accordance with paragraph (k)(4)(xi) is subject to the restrictions of paragraph (k)(4)(xi)(C) of this section. </w:t>
      </w:r>
    </w:p>
    <w:p w:rsidR="00E2391C" w:rsidRDefault="001372F5">
      <w:pPr>
        <w:numPr>
          <w:ilvl w:val="0"/>
          <w:numId w:val="1"/>
        </w:numPr>
        <w:ind w:hanging="230"/>
      </w:pPr>
      <w:r>
        <w:t xml:space="preserve">The transferor vessel must transfer all of its Federal limited access permits for which it is eligible to the transferee vessel in accordance with the vessel replacement restrictions under §648.4, or permanently cancel such permits. When duplicate permits exist, i.e, those permits for which both the transferor and transferee vessel are eligible, one of the duplicate permits must be permanently cancelled. </w:t>
      </w:r>
    </w:p>
    <w:p w:rsidR="00E2391C" w:rsidRDefault="001372F5">
      <w:pPr>
        <w:numPr>
          <w:ilvl w:val="0"/>
          <w:numId w:val="1"/>
        </w:numPr>
        <w:ind w:hanging="230"/>
      </w:pPr>
      <w:r>
        <w:t xml:space="preserve">DAS conservation tax. Starting in fishing year 2010, any NE multispecies DAS transferred to another vessel under the DAS Transfer Program pursuant to paragraph (l) of this section are not subject to a DAS conservation tax specified in this paragraph (l)(1)(iv). Any DAS transferred under the DAS Transfer Program prior to fishing year 2010 that were reduced due to the DAS conservation tax specified in this paragraph (l)(1)(iv) may not be reinstated to the permit associated with the transferor vessel. </w:t>
      </w:r>
    </w:p>
    <w:p w:rsidR="00E2391C" w:rsidRDefault="001372F5">
      <w:pPr>
        <w:numPr>
          <w:ilvl w:val="0"/>
          <w:numId w:val="1"/>
        </w:numPr>
        <w:ind w:hanging="230"/>
      </w:pPr>
      <w:r>
        <w:t xml:space="preserve">In any particular fishing year, a vessel may not execute a DAS transfer as a transferor if it previously participated in the DAS Leasing Program as either a lessee or a lessor, as described under paragraph (k) of this section. A vessel may participate in DAS lease transaction (as a lessee or a lessor) and submit an application for a DAS transfer (as a transferor) during the same fishing year, but the transfer, if approved, would not be effective until the beginning of the following fishing year. Other combinations of activities under the DAS Leasing and DAS Transfer programs are permissible during the same fishing year (i.e., act as a transferee, or act as transferor and subsequently conduct a DAS lease). </w:t>
      </w:r>
    </w:p>
    <w:p w:rsidR="00E2391C" w:rsidRDefault="001372F5">
      <w:pPr>
        <w:numPr>
          <w:ilvl w:val="0"/>
          <w:numId w:val="1"/>
        </w:numPr>
        <w:spacing w:after="5"/>
        <w:ind w:hanging="230"/>
      </w:pPr>
      <w:r>
        <w:t xml:space="preserve">Confirmation of permit history. NE multispecies DAS associated with a Confirmation of Permit History may be transferred.  </w:t>
      </w:r>
    </w:p>
    <w:p w:rsidR="00E2391C" w:rsidRDefault="001372F5">
      <w:pPr>
        <w:spacing w:after="0" w:line="259" w:lineRule="auto"/>
        <w:ind w:left="0" w:firstLine="0"/>
      </w:pPr>
      <w:r>
        <w:t xml:space="preserve"> </w:t>
      </w:r>
    </w:p>
    <w:p w:rsidR="00E2391C" w:rsidRDefault="001372F5">
      <w:pPr>
        <w:numPr>
          <w:ilvl w:val="0"/>
          <w:numId w:val="1"/>
        </w:numPr>
        <w:ind w:hanging="230"/>
      </w:pPr>
      <w:r>
        <w:t xml:space="preserve">Transfer by sector vessels. A sector vessel may not transfer DAS to or from vessels that are fishing under the provisions of the common pool or another sector, but may transfer DAS to or from another vessel participating in that vessel’s sector during the fishing year in which the vessel is a member of a particular sector.  </w:t>
      </w:r>
    </w:p>
    <w:p w:rsidR="00E2391C" w:rsidRDefault="001372F5">
      <w:pPr>
        <w:numPr>
          <w:ilvl w:val="0"/>
          <w:numId w:val="1"/>
        </w:numPr>
        <w:spacing w:after="196"/>
        <w:ind w:hanging="230"/>
      </w:pPr>
      <w:r>
        <w:t xml:space="preserve">Unless otherwise restricted by this part, a vessel with a NE multispecies limited access Category D permit may transfer DAS only to a vessel with a NE multispecies limited access Category D permit, but may receive transferred DAS from any eligible NE multispecies vessel. </w:t>
      </w:r>
    </w:p>
    <w:p w:rsidR="00E2391C" w:rsidRDefault="001372F5">
      <w:pPr>
        <w:spacing w:after="212"/>
        <w:ind w:left="-5"/>
      </w:pPr>
      <w:r>
        <w:t xml:space="preserve">(2) </w:t>
      </w:r>
      <w:r>
        <w:rPr>
          <w:i/>
        </w:rPr>
        <w:t>Application to transfer DAS.</w:t>
      </w:r>
      <w:r>
        <w:t xml:space="preserve"> Owners of the vessels applying to transfer and receive DAS must submit a completed application form obtained from the Regional Administrator. The application must be signed by both seller/transferor and buyer/transferee of the DAS, and submitted to the Regional Office at least 45 days before the date on which the applicant desires to have the DAS effective on the buying vessel. The Regional Administrator will notify the applicants of any deficiency in the application pursuant to this section. Applications may be submitted at any time during the fishing year, up until March 1. </w:t>
      </w:r>
    </w:p>
    <w:p w:rsidR="00E2391C" w:rsidRDefault="001372F5">
      <w:pPr>
        <w:numPr>
          <w:ilvl w:val="0"/>
          <w:numId w:val="2"/>
        </w:numPr>
        <w:spacing w:after="196"/>
      </w:pPr>
      <w:r>
        <w:rPr>
          <w:i/>
        </w:rPr>
        <w:t>Application information requirements.</w:t>
      </w:r>
      <w:r>
        <w:t xml:space="preserve"> An application to transfer NE multispecies DAS must contain the following information: Seller’s/transferor’s name, vessel name, permit number and official number or state registration number;  buyer’s/transferee’s name, vessel name, permit number and official number or state registration number; total price paid for purchased DAS; signatures of seller and buyer; and date the form was completed. Information obtained from the transfer application will be held confidential, and will be used only in summarized form for management of the fishery. </w:t>
      </w:r>
    </w:p>
    <w:p w:rsidR="00E2391C" w:rsidRDefault="001372F5">
      <w:pPr>
        <w:numPr>
          <w:ilvl w:val="0"/>
          <w:numId w:val="2"/>
        </w:numPr>
        <w:spacing w:after="197"/>
      </w:pPr>
      <w:r>
        <w:rPr>
          <w:i/>
        </w:rPr>
        <w:t>Approval of transfer application.</w:t>
      </w:r>
      <w:r>
        <w:t xml:space="preserve"> Unless an application to transfer NE multispecies DAS is denied according to paragraph (l)(2)(iii) of this section, the Regional Administrator shall issue confirmation of application approval to both seller/transferor and buyer/transferee within 45 days of receipt of an application. </w:t>
      </w:r>
    </w:p>
    <w:p w:rsidR="00E2391C" w:rsidRDefault="001372F5">
      <w:pPr>
        <w:numPr>
          <w:ilvl w:val="0"/>
          <w:numId w:val="2"/>
        </w:numPr>
      </w:pPr>
      <w:r>
        <w:rPr>
          <w:i/>
        </w:rPr>
        <w:t>Denial of transfer application.</w:t>
      </w:r>
      <w:r>
        <w:t xml:space="preserve"> The Regional Administrator may reject an application to transfer NE multispecies DAS for the following reasons: The application is incomplete or submitted past the March 1 deadline; the seller/transferor or buyer/transferee does not possess a valid limited access NE multispecies permit; the seller's/transferor's or buyer's/transferee's DAS is sanctioned, pursuant to an enforcement proceeding; the seller's/transferor's or buyer/transferee's vessel is prohibited from fishing; the seller's/transferor's or buyer's/transferee's limited access NE multispecies permit is sanctioned pursuant to enforcement proceedings; or the seller/transferor has a DAS baseline of zero. Upon denial of an application to transfer NE multispecies DAS, the Regional Administrator shall send a letter to the applicants describing the reason(s) for application rejection. The decision by the Regional Administrator is the final agency decision and there is no opportunity to appeal the Regional Administrator's decision.  </w:t>
      </w:r>
    </w:p>
    <w:p w:rsidR="00E2391C" w:rsidRDefault="001372F5">
      <w:pPr>
        <w:spacing w:after="0" w:line="259" w:lineRule="auto"/>
        <w:ind w:left="0" w:firstLine="0"/>
      </w:pPr>
      <w:r>
        <w:t xml:space="preserve"> </w:t>
      </w:r>
    </w:p>
    <w:sectPr w:rsidR="00E2391C" w:rsidSect="001372F5">
      <w:pgSz w:w="12240" w:h="15840"/>
      <w:pgMar w:top="720" w:right="720" w:bottom="720" w:left="720" w:header="720" w:footer="720" w:gutter="0"/>
      <w:cols w:space="720"/>
      <w:docGrid w:linePitch="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9CC"/>
    <w:multiLevelType w:val="hybridMultilevel"/>
    <w:tmpl w:val="DD04A5CC"/>
    <w:lvl w:ilvl="0" w:tplc="1FAEA276">
      <w:start w:val="1"/>
      <w:numFmt w:val="lowerRoman"/>
      <w:lvlText w:val="(%1)"/>
      <w:lvlJc w:val="left"/>
      <w:pPr>
        <w:ind w:left="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56E2B32">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9648762">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E840CEE">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C6C5F3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5B02A92">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CFE3AB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BBE719A">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F7C08D4">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nsid w:val="6B5C7E75"/>
    <w:multiLevelType w:val="hybridMultilevel"/>
    <w:tmpl w:val="4B08F598"/>
    <w:lvl w:ilvl="0" w:tplc="6518A1AE">
      <w:start w:val="2"/>
      <w:numFmt w:val="lowerRoman"/>
      <w:lvlText w:val="(%1)"/>
      <w:lvlJc w:val="left"/>
      <w:pPr>
        <w:ind w:left="2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3AADC98">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CE6B312">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2967F54">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156BCDA">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138E5F0">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9D6830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D882920">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70AD5AA">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1C"/>
    <w:rsid w:val="001372F5"/>
    <w:rsid w:val="001873BE"/>
    <w:rsid w:val="00731352"/>
    <w:rsid w:val="00AE5F7C"/>
    <w:rsid w:val="00DD051F"/>
    <w:rsid w:val="00DF2079"/>
    <w:rsid w:val="00E2391C"/>
    <w:rsid w:val="00E53F02"/>
    <w:rsid w:val="00E9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5" w:line="250" w:lineRule="auto"/>
      <w:ind w:left="10" w:hanging="1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BE"/>
    <w:pPr>
      <w:spacing w:after="200" w:line="276" w:lineRule="auto"/>
      <w:ind w:left="720" w:firstLine="0"/>
      <w:contextualSpacing/>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1873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5" w:line="250" w:lineRule="auto"/>
      <w:ind w:left="10" w:hanging="1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BE"/>
    <w:pPr>
      <w:spacing w:after="200" w:line="276" w:lineRule="auto"/>
      <w:ind w:left="720" w:firstLine="0"/>
      <w:contextualSpacing/>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187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sec.doc.gov/opog/PrivacyAct/SORNs/noaa-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MKelly</dc:creator>
  <cp:keywords/>
  <cp:lastModifiedBy>SYSTEM</cp:lastModifiedBy>
  <cp:revision>2</cp:revision>
  <dcterms:created xsi:type="dcterms:W3CDTF">2018-12-17T16:57:00Z</dcterms:created>
  <dcterms:modified xsi:type="dcterms:W3CDTF">2018-12-17T16:57:00Z</dcterms:modified>
</cp:coreProperties>
</file>