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9E2E5" w14:textId="5726D2BA" w:rsidR="004A705F" w:rsidRPr="00781F1C" w:rsidRDefault="00D66614" w:rsidP="00781F1C">
      <w:pPr>
        <w:spacing w:after="0" w:line="240" w:lineRule="auto"/>
        <w:jc w:val="center"/>
        <w:rPr>
          <w:sz w:val="24"/>
        </w:rPr>
      </w:pPr>
      <w:bookmarkStart w:id="0" w:name="_GoBack"/>
      <w:bookmarkEnd w:id="0"/>
      <w:r w:rsidRPr="00781F1C">
        <w:rPr>
          <w:sz w:val="24"/>
        </w:rPr>
        <w:t xml:space="preserve">Promoting Interoperability Call for Measures Submission Form </w:t>
      </w:r>
    </w:p>
    <w:p w14:paraId="076F08CF" w14:textId="60A62EFA" w:rsidR="00781F1C" w:rsidRDefault="00781F1C" w:rsidP="00781F1C">
      <w:pPr>
        <w:spacing w:after="0"/>
        <w:jc w:val="center"/>
        <w:rPr>
          <w:sz w:val="24"/>
        </w:rPr>
      </w:pPr>
      <w:r w:rsidRPr="00781F1C">
        <w:rPr>
          <w:sz w:val="24"/>
        </w:rPr>
        <w:t>2018 Finalized vs</w:t>
      </w:r>
      <w:r>
        <w:rPr>
          <w:sz w:val="24"/>
        </w:rPr>
        <w:t>.</w:t>
      </w:r>
      <w:r w:rsidRPr="00781F1C">
        <w:rPr>
          <w:sz w:val="24"/>
        </w:rPr>
        <w:t xml:space="preserve"> 2019 Finalized</w:t>
      </w:r>
    </w:p>
    <w:p w14:paraId="2C5554E2" w14:textId="77777777" w:rsidR="00781F1C" w:rsidRPr="00781F1C" w:rsidRDefault="00781F1C" w:rsidP="00781F1C">
      <w:pPr>
        <w:spacing w:after="0"/>
        <w:jc w:val="center"/>
        <w:rPr>
          <w:sz w:val="24"/>
        </w:rPr>
      </w:pPr>
    </w:p>
    <w:tbl>
      <w:tblPr>
        <w:tblStyle w:val="TableGrid"/>
        <w:tblW w:w="13135" w:type="dxa"/>
        <w:tblLook w:val="04A0" w:firstRow="1" w:lastRow="0" w:firstColumn="1" w:lastColumn="0" w:noHBand="0" w:noVBand="1"/>
      </w:tblPr>
      <w:tblGrid>
        <w:gridCol w:w="700"/>
        <w:gridCol w:w="4425"/>
        <w:gridCol w:w="4590"/>
        <w:gridCol w:w="3420"/>
      </w:tblGrid>
      <w:tr w:rsidR="00DB0180" w14:paraId="5789E2EA" w14:textId="5BE07E0F" w:rsidTr="00DB0180">
        <w:trPr>
          <w:cantSplit/>
          <w:tblHeader/>
        </w:trPr>
        <w:tc>
          <w:tcPr>
            <w:tcW w:w="700" w:type="dxa"/>
          </w:tcPr>
          <w:p w14:paraId="5789E2E7" w14:textId="77777777" w:rsidR="00DB0180" w:rsidRPr="005E6C86" w:rsidRDefault="00DB0180" w:rsidP="00D66614">
            <w:pPr>
              <w:jc w:val="center"/>
              <w:rPr>
                <w:b/>
              </w:rPr>
            </w:pPr>
            <w:r w:rsidRPr="005E6C86">
              <w:rPr>
                <w:b/>
              </w:rPr>
              <w:t>Page</w:t>
            </w:r>
          </w:p>
        </w:tc>
        <w:tc>
          <w:tcPr>
            <w:tcW w:w="4425" w:type="dxa"/>
          </w:tcPr>
          <w:p w14:paraId="5789E2E8" w14:textId="1C05F677" w:rsidR="00DB0180" w:rsidRPr="005E6C86" w:rsidRDefault="00DB0180" w:rsidP="00781F1C">
            <w:pPr>
              <w:jc w:val="center"/>
              <w:rPr>
                <w:b/>
              </w:rPr>
            </w:pPr>
            <w:r>
              <w:rPr>
                <w:b/>
              </w:rPr>
              <w:t>Final Rule 2018</w:t>
            </w:r>
          </w:p>
        </w:tc>
        <w:tc>
          <w:tcPr>
            <w:tcW w:w="4590" w:type="dxa"/>
          </w:tcPr>
          <w:p w14:paraId="5789E2E9" w14:textId="4E189650" w:rsidR="00DB0180" w:rsidRPr="005E6C86" w:rsidRDefault="00DB0180" w:rsidP="00781F1C">
            <w:pPr>
              <w:jc w:val="center"/>
              <w:rPr>
                <w:b/>
              </w:rPr>
            </w:pPr>
            <w:r>
              <w:rPr>
                <w:b/>
              </w:rPr>
              <w:t>Final Rule 2019</w:t>
            </w:r>
          </w:p>
        </w:tc>
        <w:tc>
          <w:tcPr>
            <w:tcW w:w="3420" w:type="dxa"/>
          </w:tcPr>
          <w:p w14:paraId="4E50E009" w14:textId="53C3EF82" w:rsidR="00DB0180" w:rsidRDefault="00DB0180" w:rsidP="00781F1C">
            <w:pPr>
              <w:jc w:val="center"/>
              <w:rPr>
                <w:b/>
              </w:rPr>
            </w:pPr>
            <w:r>
              <w:rPr>
                <w:b/>
              </w:rPr>
              <w:t>Reason for Change</w:t>
            </w:r>
          </w:p>
        </w:tc>
      </w:tr>
      <w:tr w:rsidR="00DB0180" w14:paraId="5789E2EF" w14:textId="2F2C8A13" w:rsidTr="00DB0180">
        <w:trPr>
          <w:cantSplit/>
        </w:trPr>
        <w:tc>
          <w:tcPr>
            <w:tcW w:w="700" w:type="dxa"/>
          </w:tcPr>
          <w:p w14:paraId="5789E2EC" w14:textId="77777777" w:rsidR="00DB0180" w:rsidRDefault="00DB0180" w:rsidP="00D66614">
            <w:pPr>
              <w:jc w:val="center"/>
            </w:pPr>
            <w:r>
              <w:t>1</w:t>
            </w:r>
          </w:p>
        </w:tc>
        <w:tc>
          <w:tcPr>
            <w:tcW w:w="4425" w:type="dxa"/>
          </w:tcPr>
          <w:p w14:paraId="5789E2ED" w14:textId="77777777" w:rsidR="00DB0180" w:rsidRDefault="00DB0180" w:rsidP="00605CF1">
            <w:r>
              <w:t>“Advancing Care Information Performance Category”</w:t>
            </w:r>
          </w:p>
        </w:tc>
        <w:tc>
          <w:tcPr>
            <w:tcW w:w="4590" w:type="dxa"/>
          </w:tcPr>
          <w:p w14:paraId="5789E2EE" w14:textId="77777777" w:rsidR="00DB0180" w:rsidRDefault="00DB0180" w:rsidP="00605CF1">
            <w:r>
              <w:t>“Promoting Interoperability Performance Category”</w:t>
            </w:r>
          </w:p>
        </w:tc>
        <w:tc>
          <w:tcPr>
            <w:tcW w:w="3420" w:type="dxa"/>
          </w:tcPr>
          <w:p w14:paraId="5AB9C9CD" w14:textId="079A4D25" w:rsidR="00DB0180" w:rsidRDefault="00DB0180" w:rsidP="00605CF1">
            <w:r>
              <w:t>Change to name of performance category</w:t>
            </w:r>
          </w:p>
        </w:tc>
      </w:tr>
      <w:tr w:rsidR="00DB0180" w14:paraId="5789E2F5" w14:textId="291715B5" w:rsidTr="00DB0180">
        <w:trPr>
          <w:cantSplit/>
        </w:trPr>
        <w:tc>
          <w:tcPr>
            <w:tcW w:w="700" w:type="dxa"/>
          </w:tcPr>
          <w:p w14:paraId="5789E2F1" w14:textId="77777777" w:rsidR="00DB0180" w:rsidRDefault="00DB0180" w:rsidP="00781F1C">
            <w:pPr>
              <w:jc w:val="center"/>
            </w:pPr>
            <w:r>
              <w:t>1</w:t>
            </w:r>
          </w:p>
        </w:tc>
        <w:tc>
          <w:tcPr>
            <w:tcW w:w="4425" w:type="dxa"/>
          </w:tcPr>
          <w:p w14:paraId="5789E2F3" w14:textId="40661C73" w:rsidR="00DB0180" w:rsidRDefault="00DB0180" w:rsidP="00DB0180">
            <w:r>
              <w:t>“Submission Period January 31 through June 30, 2017 for 2019 Measures”</w:t>
            </w:r>
          </w:p>
        </w:tc>
        <w:tc>
          <w:tcPr>
            <w:tcW w:w="4590" w:type="dxa"/>
          </w:tcPr>
          <w:p w14:paraId="5789E2F4" w14:textId="77777777" w:rsidR="00DB0180" w:rsidRDefault="00DB0180" w:rsidP="00781F1C">
            <w:r>
              <w:t>“</w:t>
            </w:r>
            <w:r w:rsidRPr="00D66614">
              <w:t>Submission Period February 1 through June 28, 2019 for 2021 Measures</w:t>
            </w:r>
            <w:r>
              <w:t>”</w:t>
            </w:r>
          </w:p>
        </w:tc>
        <w:tc>
          <w:tcPr>
            <w:tcW w:w="3420" w:type="dxa"/>
          </w:tcPr>
          <w:p w14:paraId="75A89BF0" w14:textId="18BD7C42" w:rsidR="00DB0180" w:rsidRDefault="00DB0180" w:rsidP="00781F1C">
            <w:r>
              <w:t>Alignment with current year</w:t>
            </w:r>
          </w:p>
        </w:tc>
      </w:tr>
      <w:tr w:rsidR="00DB0180" w14:paraId="5789E2FA" w14:textId="21E4A439" w:rsidTr="00DB0180">
        <w:trPr>
          <w:cantSplit/>
        </w:trPr>
        <w:tc>
          <w:tcPr>
            <w:tcW w:w="700" w:type="dxa"/>
          </w:tcPr>
          <w:p w14:paraId="5789E2F7" w14:textId="77777777" w:rsidR="00DB0180" w:rsidRDefault="00DB0180" w:rsidP="00781F1C">
            <w:pPr>
              <w:jc w:val="center"/>
            </w:pPr>
            <w:r>
              <w:t>1</w:t>
            </w:r>
          </w:p>
        </w:tc>
        <w:tc>
          <w:tcPr>
            <w:tcW w:w="4425" w:type="dxa"/>
          </w:tcPr>
          <w:p w14:paraId="5789E2F8" w14:textId="77777777" w:rsidR="00DB0180" w:rsidRDefault="00DB0180" w:rsidP="00781F1C">
            <w:r>
              <w:t>“</w:t>
            </w:r>
            <w:r w:rsidRPr="00D66614">
              <w:t>Stakeholders must use this form to propose new measures under the Advancing Care Information (ACI) Performance Category for the Merit -based Incentive Payment System (MIPS) in 2019. The submission deadline is June 30, 2017.</w:t>
            </w:r>
            <w:r>
              <w:t>”</w:t>
            </w:r>
          </w:p>
        </w:tc>
        <w:tc>
          <w:tcPr>
            <w:tcW w:w="4590" w:type="dxa"/>
          </w:tcPr>
          <w:p w14:paraId="5789E2F9" w14:textId="77777777" w:rsidR="00DB0180" w:rsidRDefault="00DB0180" w:rsidP="00781F1C">
            <w:r>
              <w:t>“</w:t>
            </w:r>
            <w:r w:rsidRPr="00D66614">
              <w:t>Stakeholders must use this form to propose new measures under the Promoting Interoperability (formerly Advancing Care Information) Performance Category for the Merit-based Incentive Payment System (MIPS) in 2021. The submission deadline is June 28, 2019.</w:t>
            </w:r>
            <w:r>
              <w:t>”</w:t>
            </w:r>
          </w:p>
        </w:tc>
        <w:tc>
          <w:tcPr>
            <w:tcW w:w="3420" w:type="dxa"/>
          </w:tcPr>
          <w:p w14:paraId="5B7CD16F" w14:textId="431B5E93" w:rsidR="00DB0180" w:rsidRDefault="00DB0180" w:rsidP="00781F1C">
            <w:r>
              <w:t>Alignment with current year</w:t>
            </w:r>
          </w:p>
        </w:tc>
      </w:tr>
      <w:tr w:rsidR="00DB0180" w14:paraId="5789E2FF" w14:textId="7393EC7D" w:rsidTr="00DB0180">
        <w:trPr>
          <w:cantSplit/>
        </w:trPr>
        <w:tc>
          <w:tcPr>
            <w:tcW w:w="700" w:type="dxa"/>
          </w:tcPr>
          <w:p w14:paraId="5789E2FC" w14:textId="77777777" w:rsidR="00DB0180" w:rsidRDefault="00DB0180" w:rsidP="00781F1C">
            <w:pPr>
              <w:jc w:val="center"/>
            </w:pPr>
            <w:r>
              <w:t>1</w:t>
            </w:r>
          </w:p>
        </w:tc>
        <w:tc>
          <w:tcPr>
            <w:tcW w:w="4425" w:type="dxa"/>
          </w:tcPr>
          <w:p w14:paraId="5789E2FD" w14:textId="77777777" w:rsidR="00DB0180" w:rsidRDefault="00DB0180" w:rsidP="00781F1C">
            <w:r>
              <w:t>“</w:t>
            </w:r>
            <w:r w:rsidRPr="00D66614">
              <w:t>Proposals must be sent to CMSCallforMeasuresACI@ketchum.com.  Stakeholders will receive email confirmations for their submission.</w:t>
            </w:r>
          </w:p>
        </w:tc>
        <w:tc>
          <w:tcPr>
            <w:tcW w:w="4590" w:type="dxa"/>
          </w:tcPr>
          <w:p w14:paraId="5789E2FE" w14:textId="77777777" w:rsidR="00DB0180" w:rsidRDefault="00DB0180" w:rsidP="00781F1C">
            <w:r>
              <w:t>“</w:t>
            </w:r>
            <w:r w:rsidRPr="00D66614">
              <w:t>Proposals must be sent to CMSCallforActivities@abtassoc.com. Stakeholders will receive email confirmations for their submission.</w:t>
            </w:r>
            <w:r>
              <w:t>”</w:t>
            </w:r>
          </w:p>
        </w:tc>
        <w:tc>
          <w:tcPr>
            <w:tcW w:w="3420" w:type="dxa"/>
          </w:tcPr>
          <w:p w14:paraId="0CE46662" w14:textId="178393D2" w:rsidR="00DB0180" w:rsidRDefault="00DB0180" w:rsidP="00781F1C">
            <w:r>
              <w:t xml:space="preserve">Change in vendor </w:t>
            </w:r>
          </w:p>
        </w:tc>
      </w:tr>
      <w:tr w:rsidR="00DB0180" w14:paraId="5789E304" w14:textId="7E3394EB" w:rsidTr="00DB0180">
        <w:trPr>
          <w:cantSplit/>
        </w:trPr>
        <w:tc>
          <w:tcPr>
            <w:tcW w:w="700" w:type="dxa"/>
          </w:tcPr>
          <w:p w14:paraId="5789E301" w14:textId="77777777" w:rsidR="00DB0180" w:rsidRDefault="00DB0180" w:rsidP="00781F1C">
            <w:pPr>
              <w:jc w:val="center"/>
            </w:pPr>
            <w:r>
              <w:t>1</w:t>
            </w:r>
          </w:p>
        </w:tc>
        <w:tc>
          <w:tcPr>
            <w:tcW w:w="4425" w:type="dxa"/>
          </w:tcPr>
          <w:p w14:paraId="5789E302" w14:textId="77777777" w:rsidR="00DB0180" w:rsidRDefault="00DB0180" w:rsidP="00781F1C">
            <w:r>
              <w:t>“</w:t>
            </w:r>
            <w:r w:rsidRPr="00D66614">
              <w:t>Provide the following information for the individual, group or association proposing a new measure for the Advancing Care Information Performance Category under MIPS.</w:t>
            </w:r>
            <w:r>
              <w:t>”</w:t>
            </w:r>
          </w:p>
        </w:tc>
        <w:tc>
          <w:tcPr>
            <w:tcW w:w="4590" w:type="dxa"/>
          </w:tcPr>
          <w:p w14:paraId="5789E303" w14:textId="77777777" w:rsidR="00DB0180" w:rsidRDefault="00DB0180" w:rsidP="00781F1C">
            <w:r>
              <w:t>“</w:t>
            </w:r>
            <w:r w:rsidRPr="00D66614">
              <w:t>Provide the following information for the individual, group or association proposing a new measure for the Promoting Interoperability Performance Category under MIPS</w:t>
            </w:r>
            <w:r>
              <w:t>.”</w:t>
            </w:r>
          </w:p>
        </w:tc>
        <w:tc>
          <w:tcPr>
            <w:tcW w:w="3420" w:type="dxa"/>
          </w:tcPr>
          <w:p w14:paraId="1BE4F236" w14:textId="596E1D4D" w:rsidR="00DB0180" w:rsidRDefault="00DB0180" w:rsidP="00781F1C">
            <w:r>
              <w:t>Change to name of performance category</w:t>
            </w:r>
          </w:p>
        </w:tc>
      </w:tr>
      <w:tr w:rsidR="00DB0180" w14:paraId="5789E309" w14:textId="44A3A7E8" w:rsidTr="00DB0180">
        <w:trPr>
          <w:cantSplit/>
        </w:trPr>
        <w:tc>
          <w:tcPr>
            <w:tcW w:w="700" w:type="dxa"/>
          </w:tcPr>
          <w:p w14:paraId="5789E306" w14:textId="77777777" w:rsidR="00DB0180" w:rsidRDefault="00DB0180" w:rsidP="00781F1C">
            <w:pPr>
              <w:jc w:val="center"/>
            </w:pPr>
            <w:r>
              <w:lastRenderedPageBreak/>
              <w:t>2</w:t>
            </w:r>
          </w:p>
        </w:tc>
        <w:tc>
          <w:tcPr>
            <w:tcW w:w="4425" w:type="dxa"/>
          </w:tcPr>
          <w:p w14:paraId="5789E307" w14:textId="77777777" w:rsidR="00DB0180" w:rsidRDefault="00DB0180" w:rsidP="00781F1C">
            <w:r>
              <w:t>“</w:t>
            </w:r>
            <w:r w:rsidRPr="00D66614">
              <w:t xml:space="preserve">CMS priorities for proposals on Advancing Care Information Performance Category measures include those that: (1) build on the advanced use of certified EHR technology (CEHRT) using 2015 Edition Standards and Certification Criteria to increase health information exchange and continue improving program efficiency, effectiveness, and flexibility, (2) measure patient outcomes and emphasize patient safety and (3) support improvement activities and quality performance categories of MIPS. Proposals submitted by June 30, 2017 will be considered for inclusion in </w:t>
            </w:r>
            <w:r>
              <w:t>rulemaking effective for 2019.”</w:t>
            </w:r>
          </w:p>
        </w:tc>
        <w:tc>
          <w:tcPr>
            <w:tcW w:w="4590" w:type="dxa"/>
          </w:tcPr>
          <w:p w14:paraId="5789E308" w14:textId="77777777" w:rsidR="00DB0180" w:rsidRDefault="00DB0180" w:rsidP="00781F1C">
            <w:r>
              <w:t>“</w:t>
            </w:r>
            <w:r w:rsidRPr="00D66614">
              <w:t>CMS priorities for proposals on Promoting Interoperability Performance Category measures include those that: (1) build on the advanced use of certified EHR technology (CEHRT) using 2015 Edition Standards and Certification Criteria to increase health information exchange and interoperability, (2) continue improving program efficiency, effectiveness, and flexibility, (3) measure patient outcomes and emphasize patient safety and (4) support improvement activities and quality performance categories of MIPS. Proposals submitted by June 28, 2019 will be considered for inclusion in rulemaking effective for 2021.</w:t>
            </w:r>
            <w:r>
              <w:t>”</w:t>
            </w:r>
          </w:p>
        </w:tc>
        <w:tc>
          <w:tcPr>
            <w:tcW w:w="3420" w:type="dxa"/>
          </w:tcPr>
          <w:p w14:paraId="556D4DFD" w14:textId="65862446" w:rsidR="00DB0180" w:rsidRDefault="00DB0180" w:rsidP="00781F1C">
            <w:r>
              <w:t>Change to name of performance category; alignment with current year; alignment with finalized requirements</w:t>
            </w:r>
          </w:p>
        </w:tc>
      </w:tr>
      <w:tr w:rsidR="00DB0180" w14:paraId="5789E31D" w14:textId="715D3E62" w:rsidTr="00DB0180">
        <w:trPr>
          <w:cantSplit/>
        </w:trPr>
        <w:tc>
          <w:tcPr>
            <w:tcW w:w="700" w:type="dxa"/>
          </w:tcPr>
          <w:p w14:paraId="5789E30B" w14:textId="77777777" w:rsidR="00DB0180" w:rsidRDefault="00DB0180" w:rsidP="00781F1C">
            <w:pPr>
              <w:jc w:val="center"/>
            </w:pPr>
            <w:r>
              <w:t>2</w:t>
            </w:r>
          </w:p>
        </w:tc>
        <w:tc>
          <w:tcPr>
            <w:tcW w:w="4425" w:type="dxa"/>
          </w:tcPr>
          <w:p w14:paraId="5789E30C" w14:textId="77777777" w:rsidR="00DB0180" w:rsidRDefault="00DB0180" w:rsidP="00781F1C">
            <w:r>
              <w:t>“When preparing proposals, please consider whether the new measure:</w:t>
            </w:r>
          </w:p>
          <w:p w14:paraId="5789E30D" w14:textId="77777777" w:rsidR="00DB0180" w:rsidRDefault="00DB0180" w:rsidP="00781F1C">
            <w:r>
              <w:t>1.</w:t>
            </w:r>
            <w:r>
              <w:tab/>
              <w:t>Could highlight improved beneficiary health outcomes, patient engagement and safety;</w:t>
            </w:r>
          </w:p>
          <w:p w14:paraId="5789E30E" w14:textId="77777777" w:rsidR="00DB0180" w:rsidRDefault="00DB0180" w:rsidP="00781F1C">
            <w:r>
              <w:t>2.</w:t>
            </w:r>
            <w:r>
              <w:tab/>
              <w:t>Could improve program efficiency, effectiveness and flexibility;</w:t>
            </w:r>
          </w:p>
          <w:p w14:paraId="5789E30F" w14:textId="77777777" w:rsidR="00DB0180" w:rsidRDefault="00DB0180" w:rsidP="00781F1C">
            <w:r>
              <w:t>3.</w:t>
            </w:r>
            <w:r>
              <w:tab/>
              <w:t>Would contribute to improvement in patient care practices, reduce reporting burden, or includes an emerging certified health IT functionality or capability;</w:t>
            </w:r>
          </w:p>
          <w:p w14:paraId="5789E310" w14:textId="77777777" w:rsidR="00DB0180" w:rsidRDefault="00DB0180" w:rsidP="00781F1C">
            <w:r>
              <w:t>4.</w:t>
            </w:r>
            <w:r>
              <w:tab/>
              <w:t>Does not duplicate existing objectives and measures;</w:t>
            </w:r>
          </w:p>
          <w:p w14:paraId="5789E311" w14:textId="77777777" w:rsidR="00DB0180" w:rsidRDefault="00DB0180" w:rsidP="00781F1C">
            <w:r>
              <w:t>5.</w:t>
            </w:r>
            <w:r>
              <w:tab/>
              <w:t>Should be considered for a Base, Performance or Bonus score;</w:t>
            </w:r>
          </w:p>
          <w:p w14:paraId="5789E312" w14:textId="77777777" w:rsidR="00DB0180" w:rsidRDefault="00DB0180" w:rsidP="00781F1C">
            <w:r>
              <w:t>6.</w:t>
            </w:r>
            <w:r>
              <w:tab/>
              <w:t xml:space="preserve">Is feasible to implement; and </w:t>
            </w:r>
          </w:p>
          <w:p w14:paraId="5789E313" w14:textId="77777777" w:rsidR="00DB0180" w:rsidRDefault="00DB0180" w:rsidP="00781F1C">
            <w:r>
              <w:t>7.</w:t>
            </w:r>
            <w:r>
              <w:tab/>
              <w:t>Is able to be validated by CMS.”</w:t>
            </w:r>
          </w:p>
        </w:tc>
        <w:tc>
          <w:tcPr>
            <w:tcW w:w="4590" w:type="dxa"/>
          </w:tcPr>
          <w:p w14:paraId="5789E314" w14:textId="77777777" w:rsidR="00DB0180" w:rsidRDefault="00DB0180" w:rsidP="00781F1C">
            <w:r>
              <w:t>“When preparing proposals, please consider whether the new measure:</w:t>
            </w:r>
          </w:p>
          <w:p w14:paraId="5789E315" w14:textId="77777777" w:rsidR="00DB0180" w:rsidRDefault="00DB0180" w:rsidP="00781F1C">
            <w:r>
              <w:t>1.</w:t>
            </w:r>
            <w:r>
              <w:tab/>
              <w:t>Measures patient outcomes and are patient focused</w:t>
            </w:r>
          </w:p>
          <w:p w14:paraId="5789E316" w14:textId="77777777" w:rsidR="00DB0180" w:rsidRDefault="00DB0180" w:rsidP="00781F1C">
            <w:r>
              <w:t>2.</w:t>
            </w:r>
            <w:r>
              <w:tab/>
              <w:t>Promotes interoperability and health information exchange</w:t>
            </w:r>
          </w:p>
          <w:p w14:paraId="5789E317" w14:textId="77777777" w:rsidR="00DB0180" w:rsidRDefault="00DB0180" w:rsidP="00781F1C">
            <w:r>
              <w:t>3.</w:t>
            </w:r>
            <w:r>
              <w:tab/>
              <w:t>Emphasizes patient safety</w:t>
            </w:r>
          </w:p>
          <w:p w14:paraId="5789E318" w14:textId="77777777" w:rsidR="00DB0180" w:rsidRDefault="00DB0180" w:rsidP="00781F1C">
            <w:r>
              <w:t>4.</w:t>
            </w:r>
            <w:r>
              <w:tab/>
              <w:t>Supports improvement activities and quality performance categories of MIPS</w:t>
            </w:r>
          </w:p>
          <w:p w14:paraId="5789E319" w14:textId="77777777" w:rsidR="00DB0180" w:rsidRDefault="00DB0180" w:rsidP="00781F1C">
            <w:r>
              <w:t>5.</w:t>
            </w:r>
            <w:r>
              <w:tab/>
              <w:t xml:space="preserve">Builds on the advanced use of certified EHR technology (CEHRT) using 2015 Edition Standards and Certification Criteria </w:t>
            </w:r>
          </w:p>
          <w:p w14:paraId="5789E31A" w14:textId="77777777" w:rsidR="00DB0180" w:rsidRDefault="00DB0180" w:rsidP="00781F1C">
            <w:r>
              <w:t>6.</w:t>
            </w:r>
            <w:r>
              <w:tab/>
              <w:t>Does not duplicate existing objectives and measures;</w:t>
            </w:r>
          </w:p>
          <w:p w14:paraId="5789E31B" w14:textId="77777777" w:rsidR="00DB0180" w:rsidRDefault="00DB0180" w:rsidP="00781F1C">
            <w:r>
              <w:t>7.</w:t>
            </w:r>
            <w:r>
              <w:tab/>
              <w:t xml:space="preserve">Is feasible to implement; and </w:t>
            </w:r>
          </w:p>
          <w:p w14:paraId="5789E31C" w14:textId="77777777" w:rsidR="00DB0180" w:rsidRDefault="00DB0180" w:rsidP="00781F1C">
            <w:r>
              <w:t>8.</w:t>
            </w:r>
            <w:r>
              <w:tab/>
              <w:t>Is able to be validated by CMS.”</w:t>
            </w:r>
          </w:p>
        </w:tc>
        <w:tc>
          <w:tcPr>
            <w:tcW w:w="3420" w:type="dxa"/>
          </w:tcPr>
          <w:p w14:paraId="212F28FE" w14:textId="2D1E903A" w:rsidR="00DB0180" w:rsidRDefault="00DB0180" w:rsidP="00781F1C">
            <w:r>
              <w:t>Edited to be in alignment with current requirements</w:t>
            </w:r>
          </w:p>
        </w:tc>
      </w:tr>
      <w:tr w:rsidR="00DB0180" w14:paraId="5789E322" w14:textId="2AF2A5F4" w:rsidTr="00DB0180">
        <w:trPr>
          <w:cantSplit/>
        </w:trPr>
        <w:tc>
          <w:tcPr>
            <w:tcW w:w="700" w:type="dxa"/>
          </w:tcPr>
          <w:p w14:paraId="5789E31F" w14:textId="77777777" w:rsidR="00DB0180" w:rsidRDefault="00DB0180" w:rsidP="00781F1C">
            <w:pPr>
              <w:jc w:val="center"/>
            </w:pPr>
            <w:r>
              <w:t>3</w:t>
            </w:r>
          </w:p>
        </w:tc>
        <w:tc>
          <w:tcPr>
            <w:tcW w:w="4425" w:type="dxa"/>
          </w:tcPr>
          <w:p w14:paraId="5789E320" w14:textId="77777777" w:rsidR="00DB0180" w:rsidRDefault="00DB0180" w:rsidP="00781F1C">
            <w:r>
              <w:t xml:space="preserve">“1. </w:t>
            </w:r>
            <w:r w:rsidRPr="00D66614">
              <w:t>MEASURE DESCRIPTION (Provide a description of the measure to be considered and relevance to the Advancing Care Info</w:t>
            </w:r>
            <w:r>
              <w:t>rmation performance category):”</w:t>
            </w:r>
          </w:p>
        </w:tc>
        <w:tc>
          <w:tcPr>
            <w:tcW w:w="4590" w:type="dxa"/>
          </w:tcPr>
          <w:p w14:paraId="5789E321" w14:textId="77777777" w:rsidR="00DB0180" w:rsidRDefault="00DB0180" w:rsidP="00781F1C">
            <w:r>
              <w:t xml:space="preserve">“1. </w:t>
            </w:r>
            <w:r w:rsidRPr="00D66614">
              <w:t>MEASURE DESCRIPTION (Provide a description of the measure to be considered and relevance to the Promoting Interoperability performance category):</w:t>
            </w:r>
            <w:r>
              <w:t>”</w:t>
            </w:r>
          </w:p>
        </w:tc>
        <w:tc>
          <w:tcPr>
            <w:tcW w:w="3420" w:type="dxa"/>
          </w:tcPr>
          <w:p w14:paraId="39D541C8" w14:textId="17C7C02C" w:rsidR="00DB0180" w:rsidRDefault="00DB0180" w:rsidP="00781F1C">
            <w:r>
              <w:t>Change to name of performance category</w:t>
            </w:r>
          </w:p>
        </w:tc>
      </w:tr>
      <w:tr w:rsidR="00DB0180" w14:paraId="5789E32D" w14:textId="65F1A774" w:rsidTr="00DB0180">
        <w:trPr>
          <w:cantSplit/>
        </w:trPr>
        <w:tc>
          <w:tcPr>
            <w:tcW w:w="700" w:type="dxa"/>
          </w:tcPr>
          <w:p w14:paraId="5789E324" w14:textId="77777777" w:rsidR="00DB0180" w:rsidRDefault="00DB0180" w:rsidP="00781F1C">
            <w:pPr>
              <w:jc w:val="center"/>
            </w:pPr>
            <w:r>
              <w:t>5</w:t>
            </w:r>
          </w:p>
        </w:tc>
        <w:tc>
          <w:tcPr>
            <w:tcW w:w="4425" w:type="dxa"/>
          </w:tcPr>
          <w:p w14:paraId="5789E325" w14:textId="77777777" w:rsidR="00DB0180" w:rsidRDefault="00DB0180" w:rsidP="00781F1C">
            <w:r>
              <w:t>“5. SCORE TYPE</w:t>
            </w:r>
          </w:p>
          <w:p w14:paraId="5789E326" w14:textId="77777777" w:rsidR="00DB0180" w:rsidRDefault="00DB0180" w:rsidP="00781F1C">
            <w:r>
              <w:t>Please indicate the type of score your proposed measure should be considered for and rationale for selection.</w:t>
            </w:r>
          </w:p>
          <w:p w14:paraId="5789E327" w14:textId="77777777" w:rsidR="00DB0180" w:rsidRDefault="00DB0180" w:rsidP="00781F1C"/>
          <w:p w14:paraId="5789E328" w14:textId="77777777" w:rsidR="00DB0180" w:rsidRDefault="00DB0180" w:rsidP="00781F1C">
            <w:r>
              <w:t xml:space="preserve">Base Score </w:t>
            </w:r>
          </w:p>
          <w:p w14:paraId="5789E329" w14:textId="77777777" w:rsidR="00DB0180" w:rsidRDefault="00DB0180" w:rsidP="00781F1C">
            <w:r>
              <w:t>Performance Score</w:t>
            </w:r>
          </w:p>
          <w:p w14:paraId="5789E32A" w14:textId="77777777" w:rsidR="00DB0180" w:rsidRDefault="00DB0180" w:rsidP="00781F1C">
            <w:r>
              <w:t xml:space="preserve">Bonus Score </w:t>
            </w:r>
            <w:r>
              <w:cr/>
            </w:r>
          </w:p>
          <w:p w14:paraId="5789E32B" w14:textId="77777777" w:rsidR="00DB0180" w:rsidRDefault="00DB0180" w:rsidP="00781F1C">
            <w:r>
              <w:t>Rationale for selection:”</w:t>
            </w:r>
          </w:p>
        </w:tc>
        <w:tc>
          <w:tcPr>
            <w:tcW w:w="4590" w:type="dxa"/>
          </w:tcPr>
          <w:p w14:paraId="5789E32C" w14:textId="77777777" w:rsidR="00DB0180" w:rsidRPr="00D66614" w:rsidRDefault="00DB0180" w:rsidP="00781F1C">
            <w:pPr>
              <w:rPr>
                <w:i/>
              </w:rPr>
            </w:pPr>
            <w:r w:rsidRPr="00D66614">
              <w:rPr>
                <w:i/>
              </w:rPr>
              <w:t>Text Deleted.</w:t>
            </w:r>
          </w:p>
        </w:tc>
        <w:tc>
          <w:tcPr>
            <w:tcW w:w="3420" w:type="dxa"/>
          </w:tcPr>
          <w:p w14:paraId="02B1EB8E" w14:textId="72450C2F" w:rsidR="00DB0180" w:rsidRPr="00D66614" w:rsidRDefault="00DB0180" w:rsidP="00781F1C">
            <w:pPr>
              <w:rPr>
                <w:i/>
              </w:rPr>
            </w:pPr>
            <w:r>
              <w:t>Edited to be in alignment with current requirements</w:t>
            </w:r>
          </w:p>
        </w:tc>
      </w:tr>
    </w:tbl>
    <w:p w14:paraId="5789E32E" w14:textId="77777777" w:rsidR="00D66614" w:rsidRPr="00D66614" w:rsidRDefault="00D66614">
      <w:pPr>
        <w:rPr>
          <w:b/>
        </w:rPr>
      </w:pPr>
    </w:p>
    <w:sectPr w:rsidR="00D66614" w:rsidRPr="00D66614" w:rsidSect="00D666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14"/>
    <w:rsid w:val="002F79A6"/>
    <w:rsid w:val="00356CAA"/>
    <w:rsid w:val="003E5F07"/>
    <w:rsid w:val="00403D01"/>
    <w:rsid w:val="004A705F"/>
    <w:rsid w:val="00781F1C"/>
    <w:rsid w:val="007B68D5"/>
    <w:rsid w:val="008025FA"/>
    <w:rsid w:val="00D66614"/>
    <w:rsid w:val="00DB0180"/>
    <w:rsid w:val="00EB3280"/>
    <w:rsid w:val="00ED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c034afbcf48be533d13c476be99be867">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a3e7fc0d2d4ec0504d3eab6b6c26e2e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D09D3-4E57-41F5-975C-8EDF76F3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4F6D6-933D-4BF4-899B-B4BBDE2EF8B0}">
  <ds:schemaRefs>
    <ds:schemaRef ds:uri="http://schemas.microsoft.com/sharepoint/v3/contenttype/forms"/>
  </ds:schemaRefs>
</ds:datastoreItem>
</file>

<file path=customXml/itemProps3.xml><?xml version="1.0" encoding="utf-8"?>
<ds:datastoreItem xmlns:ds="http://schemas.openxmlformats.org/officeDocument/2006/customXml" ds:itemID="{374C3C9A-6258-4C31-9F49-03EBF3B393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Promoting Interoperability Call for Measures Submission Form: 2018 Finalized vs. 2019 Finalized</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Interoperability Call for Measures Submission Form: 2018 Finalized vs. 2019 Finalized</dc:title>
  <dc:subject/>
  <dc:creator>CMS</dc:creator>
  <cp:keywords/>
  <dc:description/>
  <cp:lastModifiedBy>SYSTEM</cp:lastModifiedBy>
  <cp:revision>2</cp:revision>
  <dcterms:created xsi:type="dcterms:W3CDTF">2018-12-19T17:16:00Z</dcterms:created>
  <dcterms:modified xsi:type="dcterms:W3CDTF">2018-12-19T17:16:00Z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ies>
</file>