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DFBC0" w14:textId="77777777" w:rsidR="001A344D" w:rsidRPr="00792D0B" w:rsidRDefault="001A344D" w:rsidP="001A344D">
      <w:pPr>
        <w:pStyle w:val="BodyText"/>
        <w:rPr>
          <w:b/>
          <w:bCs/>
          <w:u w:val="single"/>
        </w:rPr>
      </w:pPr>
      <w:bookmarkStart w:id="0" w:name="_GoBack"/>
      <w:bookmarkEnd w:id="0"/>
      <w:r w:rsidRPr="00792D0B">
        <w:rPr>
          <w:b/>
          <w:bCs/>
          <w:u w:val="single"/>
        </w:rPr>
        <w:t>Supporting Statement – Part A</w:t>
      </w:r>
    </w:p>
    <w:p w14:paraId="339FC7E2" w14:textId="77777777" w:rsidR="001A344D" w:rsidRPr="00792D0B" w:rsidRDefault="001A344D" w:rsidP="001A344D">
      <w:pPr>
        <w:pStyle w:val="BodyText"/>
        <w:rPr>
          <w:b/>
          <w:bCs/>
          <w:u w:val="single"/>
        </w:rPr>
      </w:pPr>
      <w:r w:rsidRPr="00792D0B">
        <w:rPr>
          <w:b/>
          <w:bCs/>
          <w:u w:val="single"/>
        </w:rPr>
        <w:t xml:space="preserve">Quality Measures and Procedures for </w:t>
      </w:r>
      <w:r w:rsidR="009167A6">
        <w:rPr>
          <w:b/>
          <w:bCs/>
          <w:u w:val="single"/>
        </w:rPr>
        <w:t>the Hospital Inpatient Quality Reporting Program</w:t>
      </w:r>
      <w:r w:rsidR="00A82D30">
        <w:rPr>
          <w:b/>
          <w:bCs/>
          <w:u w:val="single"/>
        </w:rPr>
        <w:t xml:space="preserve"> for the </w:t>
      </w:r>
      <w:r w:rsidR="00C714D7">
        <w:rPr>
          <w:b/>
          <w:bCs/>
          <w:u w:val="single"/>
        </w:rPr>
        <w:t>FY 202</w:t>
      </w:r>
      <w:r w:rsidR="002A0E62">
        <w:rPr>
          <w:b/>
          <w:bCs/>
          <w:u w:val="single"/>
        </w:rPr>
        <w:t>1</w:t>
      </w:r>
      <w:r w:rsidR="00C714D7">
        <w:rPr>
          <w:b/>
          <w:bCs/>
          <w:u w:val="single"/>
        </w:rPr>
        <w:t xml:space="preserve"> </w:t>
      </w:r>
      <w:r w:rsidRPr="00792D0B">
        <w:rPr>
          <w:b/>
          <w:bCs/>
          <w:u w:val="single"/>
        </w:rPr>
        <w:t>IPPS Annual Payment Update</w:t>
      </w:r>
      <w:r w:rsidR="00C714D7">
        <w:rPr>
          <w:b/>
          <w:bCs/>
          <w:u w:val="single"/>
        </w:rPr>
        <w:t>s</w:t>
      </w:r>
    </w:p>
    <w:p w14:paraId="13C40411" w14:textId="77777777" w:rsidR="001A344D" w:rsidRPr="00792D0B" w:rsidRDefault="001A344D" w:rsidP="001A344D">
      <w:pPr>
        <w:pStyle w:val="BodyText"/>
        <w:jc w:val="left"/>
        <w:rPr>
          <w:u w:val="single"/>
        </w:rPr>
      </w:pPr>
    </w:p>
    <w:p w14:paraId="61DCC748" w14:textId="77777777" w:rsidR="001A344D" w:rsidRPr="00482A3A" w:rsidRDefault="00482A3A" w:rsidP="00482A3A">
      <w:pPr>
        <w:pStyle w:val="Heading1"/>
        <w:numPr>
          <w:ilvl w:val="0"/>
          <w:numId w:val="0"/>
        </w:numPr>
        <w:rPr>
          <w:u w:val="none"/>
        </w:rPr>
      </w:pPr>
      <w:r w:rsidRPr="00482A3A">
        <w:rPr>
          <w:u w:val="none"/>
        </w:rPr>
        <w:t xml:space="preserve">A.  </w:t>
      </w:r>
      <w:r w:rsidR="001A344D" w:rsidRPr="00482A3A">
        <w:rPr>
          <w:u w:val="none"/>
        </w:rPr>
        <w:t>Background</w:t>
      </w:r>
    </w:p>
    <w:p w14:paraId="6DD5FD74" w14:textId="77777777" w:rsidR="001A344D" w:rsidRPr="00792D0B" w:rsidRDefault="001A344D" w:rsidP="001A344D"/>
    <w:p w14:paraId="45694559" w14:textId="7466353D" w:rsidR="001A344D" w:rsidRPr="00792D0B" w:rsidRDefault="00384BF9" w:rsidP="001A344D">
      <w:r>
        <w:t>The Centers for Medicare &amp; Medicaid Services (</w:t>
      </w:r>
      <w:r w:rsidR="001A344D" w:rsidRPr="00792D0B">
        <w:t>CMS</w:t>
      </w:r>
      <w:r>
        <w:t>)</w:t>
      </w:r>
      <w:r w:rsidR="001A344D" w:rsidRPr="00792D0B">
        <w:t xml:space="preserve"> seeks to empower consumers to make more informed decisions about their health care and to promote higher quality of care through its</w:t>
      </w:r>
      <w:r w:rsidR="00C52BF5">
        <w:t xml:space="preserve"> quality reporting programs.  </w:t>
      </w:r>
      <w:r w:rsidR="001A344D" w:rsidRPr="00792D0B">
        <w:t xml:space="preserve">The Hospital Inpatient Quality Reporting (IQR) </w:t>
      </w:r>
      <w:r w:rsidR="00415548">
        <w:t>P</w:t>
      </w:r>
      <w:r w:rsidR="001A344D" w:rsidRPr="00792D0B">
        <w:t xml:space="preserve">rogram was first established to implement </w:t>
      </w:r>
      <w:r>
        <w:t>S</w:t>
      </w:r>
      <w:r w:rsidR="001A344D" w:rsidRPr="00792D0B">
        <w:t>ection 501(b) of the Medicare Prescription Drug, Improvement and Modernization Act of 2003 (MMA) (Pub. L. 108-173), which authorized CMS to pay hospitals that successfully reported quality measures a higher annual u</w:t>
      </w:r>
      <w:r w:rsidR="00C52BF5">
        <w:t xml:space="preserve">pdate to their payment rates.  </w:t>
      </w:r>
      <w:r w:rsidR="001A344D" w:rsidRPr="00792D0B">
        <w:t xml:space="preserve">It builds on a voluntary Inpatient Quality Reporting </w:t>
      </w:r>
      <w:r w:rsidR="004E2F4E">
        <w:t>P</w:t>
      </w:r>
      <w:r w:rsidR="001A344D" w:rsidRPr="00792D0B">
        <w:t>rogram</w:t>
      </w:r>
      <w:r w:rsidR="00196312">
        <w:t>,</w:t>
      </w:r>
      <w:r w:rsidR="001A344D" w:rsidRPr="00792D0B">
        <w:t xml:space="preserve"> which remains in effect. </w:t>
      </w:r>
      <w:r w:rsidR="004404CD">
        <w:t xml:space="preserve"> </w:t>
      </w:r>
      <w:r w:rsidR="001A344D" w:rsidRPr="00792D0B">
        <w:t>Section 5001(a) of the Deficit Reduction Act of 2005 (DRA) (Pub. L. 109-171) revised the mechanism used to update the standardized amount for payment for hospital inpatient operatin</w:t>
      </w:r>
      <w:r w:rsidR="005C424B">
        <w:t>g costs.  This is reflected in s</w:t>
      </w:r>
      <w:r w:rsidR="001A344D" w:rsidRPr="00792D0B">
        <w:t>ections 1886(b)(3)(B)(viii)(I) and (</w:t>
      </w:r>
      <w:r w:rsidR="00266BD9">
        <w:t>II) of the Social Security Act</w:t>
      </w:r>
      <w:r w:rsidR="0043275A">
        <w:t>,</w:t>
      </w:r>
      <w:r w:rsidR="00266BD9">
        <w:t xml:space="preserve"> </w:t>
      </w:r>
      <w:r w:rsidR="001A344D" w:rsidRPr="00792D0B">
        <w:t>which provide that the annual payment update (APU) will be reduced for any “subsection (d) hospital” that does not submit certain quality data in a form and manner, and at a time</w:t>
      </w:r>
      <w:r w:rsidR="00330B6B">
        <w:t>, specified by the Secretary.</w:t>
      </w:r>
    </w:p>
    <w:p w14:paraId="72964B0F" w14:textId="77777777" w:rsidR="001A344D" w:rsidRPr="00792D0B" w:rsidRDefault="001A344D" w:rsidP="001A344D">
      <w:pPr>
        <w:shd w:val="clear" w:color="auto" w:fill="FFFFFF"/>
      </w:pPr>
    </w:p>
    <w:p w14:paraId="1D8DBADF" w14:textId="06C5A418" w:rsidR="001A344D" w:rsidRDefault="001A344D" w:rsidP="00266BD9">
      <w:pPr>
        <w:autoSpaceDE w:val="0"/>
        <w:autoSpaceDN w:val="0"/>
        <w:adjustRightInd w:val="0"/>
      </w:pPr>
      <w:r w:rsidRPr="00792D0B">
        <w:t>Section 1886(o</w:t>
      </w:r>
      <w:r w:rsidR="007D309D">
        <w:t xml:space="preserve">) of the Social Security Act </w:t>
      </w:r>
      <w:r w:rsidRPr="00792D0B">
        <w:t>mandate</w:t>
      </w:r>
      <w:r w:rsidR="007D309D">
        <w:t>s</w:t>
      </w:r>
      <w:r w:rsidRPr="00792D0B">
        <w:t xml:space="preserve"> CMS’ transition from a passive supplier of health</w:t>
      </w:r>
      <w:r w:rsidR="00196312">
        <w:t xml:space="preserve"> </w:t>
      </w:r>
      <w:r w:rsidRPr="00792D0B">
        <w:t>care to an activ</w:t>
      </w:r>
      <w:r w:rsidR="00C52BF5">
        <w:t xml:space="preserve">e purchaser of quality care.  </w:t>
      </w:r>
      <w:r w:rsidR="00C0509D">
        <w:t>Pursuant to s</w:t>
      </w:r>
      <w:r w:rsidRPr="00792D0B">
        <w:t xml:space="preserve">ection 1886(o)(2)(A) of the Social Security Act, CMS must select measures for </w:t>
      </w:r>
      <w:r w:rsidR="0032080C">
        <w:t xml:space="preserve">the Hospital </w:t>
      </w:r>
      <w:r w:rsidR="002D08E6">
        <w:t>Value-Based Purchasing (</w:t>
      </w:r>
      <w:r w:rsidRPr="00792D0B">
        <w:t>VBP</w:t>
      </w:r>
      <w:r w:rsidR="002D08E6">
        <w:t>)</w:t>
      </w:r>
      <w:r w:rsidRPr="00792D0B">
        <w:t xml:space="preserve"> </w:t>
      </w:r>
      <w:r w:rsidR="0032080C">
        <w:t xml:space="preserve">Program </w:t>
      </w:r>
      <w:r w:rsidRPr="00792D0B">
        <w:t xml:space="preserve">from </w:t>
      </w:r>
      <w:r w:rsidR="004B3D8E">
        <w:t xml:space="preserve">the </w:t>
      </w:r>
      <w:r w:rsidRPr="00792D0B">
        <w:t xml:space="preserve">measures (other than measures of </w:t>
      </w:r>
      <w:r w:rsidR="009A5FD4">
        <w:t>readmissions</w:t>
      </w:r>
      <w:r w:rsidRPr="00792D0B">
        <w:t>)</w:t>
      </w:r>
      <w:r w:rsidR="00C52BF5">
        <w:t xml:space="preserve"> </w:t>
      </w:r>
      <w:r w:rsidR="004B3D8E">
        <w:t>specified under</w:t>
      </w:r>
      <w:r w:rsidR="00C52BF5">
        <w:t xml:space="preserve"> the Hospital IQR </w:t>
      </w:r>
      <w:r w:rsidR="00415548">
        <w:t>P</w:t>
      </w:r>
      <w:r w:rsidR="00C52BF5">
        <w:t xml:space="preserve">rogram.  </w:t>
      </w:r>
      <w:r w:rsidRPr="00792D0B">
        <w:t xml:space="preserve">Consistent with this legislation, CMS established a Hospital VBP </w:t>
      </w:r>
      <w:r w:rsidR="0032080C">
        <w:t>P</w:t>
      </w:r>
      <w:r w:rsidRPr="00792D0B">
        <w:t>rogram</w:t>
      </w:r>
      <w:r w:rsidR="0043275A">
        <w:t>,</w:t>
      </w:r>
      <w:r w:rsidRPr="00792D0B">
        <w:t xml:space="preserve"> </w:t>
      </w:r>
      <w:r w:rsidR="009A5FD4">
        <w:t>beginning effective with payment</w:t>
      </w:r>
      <w:r w:rsidR="00384BF9">
        <w:t xml:space="preserve"> adjustment</w:t>
      </w:r>
      <w:r w:rsidR="009A5FD4">
        <w:t>s on FY 2013 discharges</w:t>
      </w:r>
      <w:r w:rsidR="00196312">
        <w:t>,</w:t>
      </w:r>
      <w:r w:rsidRPr="00792D0B">
        <w:t xml:space="preserve"> which qualifies hospitals for </w:t>
      </w:r>
      <w:r w:rsidR="0043275A">
        <w:t>financial</w:t>
      </w:r>
      <w:r w:rsidR="0043275A" w:rsidRPr="00792D0B">
        <w:t xml:space="preserve"> </w:t>
      </w:r>
      <w:r w:rsidRPr="00792D0B">
        <w:t xml:space="preserve">incentives based on their performance on a defined set of quality measures </w:t>
      </w:r>
      <w:r w:rsidR="009A5FD4">
        <w:t xml:space="preserve">selected for the Hospital VBP </w:t>
      </w:r>
      <w:r w:rsidR="009A5FD4" w:rsidRPr="00DF2A3B">
        <w:t>Program from th</w:t>
      </w:r>
      <w:r w:rsidR="001F65C7" w:rsidRPr="00DF2A3B">
        <w:t>e</w:t>
      </w:r>
      <w:r w:rsidR="009A5FD4" w:rsidRPr="00DF2A3B">
        <w:t xml:space="preserve"> </w:t>
      </w:r>
      <w:r w:rsidR="001F65C7" w:rsidRPr="00DF2A3B">
        <w:t>measures specified</w:t>
      </w:r>
      <w:r w:rsidRPr="00DF2A3B">
        <w:t xml:space="preserve"> under the</w:t>
      </w:r>
      <w:r w:rsidRPr="00792D0B">
        <w:t xml:space="preserve"> Hospital IQR </w:t>
      </w:r>
      <w:r w:rsidR="00415548">
        <w:t>P</w:t>
      </w:r>
      <w:r w:rsidRPr="00792D0B">
        <w:t xml:space="preserve">rogram.  </w:t>
      </w:r>
    </w:p>
    <w:p w14:paraId="6146C88A" w14:textId="77777777" w:rsidR="00266BD9" w:rsidRPr="00792D0B" w:rsidRDefault="00266BD9" w:rsidP="00266BD9">
      <w:pPr>
        <w:autoSpaceDE w:val="0"/>
        <w:autoSpaceDN w:val="0"/>
        <w:adjustRightInd w:val="0"/>
      </w:pPr>
    </w:p>
    <w:p w14:paraId="73883391" w14:textId="77777777" w:rsidR="001A344D" w:rsidRPr="000D165B" w:rsidRDefault="000D165B" w:rsidP="001A344D">
      <w:pPr>
        <w:rPr>
          <w:u w:val="single"/>
        </w:rPr>
      </w:pPr>
      <w:r w:rsidRPr="000D165B">
        <w:rPr>
          <w:u w:val="single"/>
        </w:rPr>
        <w:t xml:space="preserve">1. </w:t>
      </w:r>
      <w:r w:rsidR="003D0614">
        <w:rPr>
          <w:u w:val="single"/>
        </w:rPr>
        <w:t xml:space="preserve"> </w:t>
      </w:r>
      <w:r w:rsidR="00415548">
        <w:rPr>
          <w:u w:val="single"/>
        </w:rPr>
        <w:t xml:space="preserve">Hospital </w:t>
      </w:r>
      <w:r w:rsidR="001A344D" w:rsidRPr="000D165B">
        <w:rPr>
          <w:u w:val="single"/>
        </w:rPr>
        <w:t xml:space="preserve">IQR </w:t>
      </w:r>
      <w:r w:rsidR="00415548">
        <w:rPr>
          <w:u w:val="single"/>
        </w:rPr>
        <w:t xml:space="preserve">Program </w:t>
      </w:r>
      <w:r w:rsidR="001A344D" w:rsidRPr="000D165B">
        <w:rPr>
          <w:u w:val="single"/>
        </w:rPr>
        <w:t>Quality Measures</w:t>
      </w:r>
    </w:p>
    <w:p w14:paraId="4B2F2EEC" w14:textId="77777777" w:rsidR="001A344D" w:rsidRPr="00792D0B" w:rsidRDefault="001A344D" w:rsidP="001A344D">
      <w:pPr>
        <w:rPr>
          <w:u w:val="single"/>
        </w:rPr>
      </w:pPr>
    </w:p>
    <w:p w14:paraId="6C27E747" w14:textId="77777777" w:rsidR="001A344D" w:rsidRPr="00792D0B" w:rsidRDefault="000D165B" w:rsidP="001A344D">
      <w:r>
        <w:rPr>
          <w:u w:val="single"/>
        </w:rPr>
        <w:t>a</w:t>
      </w:r>
      <w:r w:rsidR="001A344D" w:rsidRPr="00792D0B">
        <w:rPr>
          <w:u w:val="single"/>
        </w:rPr>
        <w:t xml:space="preserve">. </w:t>
      </w:r>
      <w:r w:rsidR="007922C9">
        <w:rPr>
          <w:u w:val="single"/>
        </w:rPr>
        <w:t xml:space="preserve"> </w:t>
      </w:r>
      <w:r w:rsidR="001A344D" w:rsidRPr="00792D0B">
        <w:rPr>
          <w:u w:val="single"/>
        </w:rPr>
        <w:t>Introduction</w:t>
      </w:r>
      <w:r w:rsidR="00E05C80">
        <w:rPr>
          <w:u w:val="single"/>
        </w:rPr>
        <w:br/>
      </w:r>
    </w:p>
    <w:p w14:paraId="51E07CF0" w14:textId="00383255" w:rsidR="001A344D" w:rsidRDefault="001A344D" w:rsidP="001A344D">
      <w:r w:rsidRPr="00792D0B">
        <w:t xml:space="preserve">The </w:t>
      </w:r>
      <w:r w:rsidR="008A5359">
        <w:t xml:space="preserve">FY </w:t>
      </w:r>
      <w:r w:rsidR="00A82D30">
        <w:t>202</w:t>
      </w:r>
      <w:r w:rsidR="002A0E62">
        <w:t>1</w:t>
      </w:r>
      <w:r w:rsidRPr="00792D0B">
        <w:t xml:space="preserve"> APU determination will be based on </w:t>
      </w:r>
      <w:r w:rsidR="00415548">
        <w:t xml:space="preserve">Hospital </w:t>
      </w:r>
      <w:r w:rsidRPr="00792D0B">
        <w:t xml:space="preserve">IQR </w:t>
      </w:r>
      <w:r w:rsidR="00415548">
        <w:t xml:space="preserve">Program </w:t>
      </w:r>
      <w:r w:rsidRPr="00792D0B">
        <w:t xml:space="preserve">data reported and supporting forms submitted by hospitals </w:t>
      </w:r>
      <w:r w:rsidR="00B2630A">
        <w:t>on chart-abstracted</w:t>
      </w:r>
      <w:r w:rsidR="00DE12AB">
        <w:t>, patient survey,</w:t>
      </w:r>
      <w:r w:rsidR="00B2630A">
        <w:t xml:space="preserve"> </w:t>
      </w:r>
      <w:r w:rsidR="00384BF9">
        <w:t xml:space="preserve">and electronic clinical quality measures (eCQMs) </w:t>
      </w:r>
      <w:r w:rsidR="00DE12AB">
        <w:t>for the reporing period of</w:t>
      </w:r>
      <w:r w:rsidR="00DE12AB" w:rsidRPr="00792D0B">
        <w:t xml:space="preserve"> </w:t>
      </w:r>
      <w:r w:rsidRPr="00792D0B">
        <w:t>January 201</w:t>
      </w:r>
      <w:r w:rsidR="002A0E62">
        <w:t>9</w:t>
      </w:r>
      <w:r w:rsidRPr="00792D0B">
        <w:t xml:space="preserve"> </w:t>
      </w:r>
      <w:r w:rsidR="00DE12AB">
        <w:t>through</w:t>
      </w:r>
      <w:r w:rsidR="00DE12AB" w:rsidRPr="00792D0B">
        <w:t xml:space="preserve"> </w:t>
      </w:r>
      <w:r w:rsidR="00D03753">
        <w:t>December</w:t>
      </w:r>
      <w:r w:rsidR="00D03753" w:rsidRPr="00792D0B">
        <w:t xml:space="preserve"> </w:t>
      </w:r>
      <w:r w:rsidR="003E3A27">
        <w:t>201</w:t>
      </w:r>
      <w:r w:rsidR="002A0E62">
        <w:t>9</w:t>
      </w:r>
      <w:r w:rsidR="003E3A27">
        <w:t>.</w:t>
      </w:r>
      <w:r w:rsidRPr="00792D0B">
        <w:t xml:space="preserve"> </w:t>
      </w:r>
      <w:r w:rsidR="003E3A27">
        <w:t xml:space="preserve"> </w:t>
      </w:r>
      <w:r w:rsidRPr="00792D0B">
        <w:t>In an effort to reduce burden, a variety of different data collection mechanisms are employed, with every consideration taken to employ data and data collect</w:t>
      </w:r>
      <w:r w:rsidR="00330B6B">
        <w:t>ion systems already in place.</w:t>
      </w:r>
    </w:p>
    <w:p w14:paraId="5095B6C8" w14:textId="3D84D871" w:rsidR="008E3A34" w:rsidRDefault="008E3A34" w:rsidP="001A344D"/>
    <w:p w14:paraId="24C20CD9" w14:textId="6B4901B4" w:rsidR="008E3A34" w:rsidRDefault="008E3A34" w:rsidP="008E3A34">
      <w:r>
        <w:t>To further reduce the regulatory burden on the healthcare industry, lower health care costs, and enhance patient care, in October 2017, we launched the Meaningful Measures Initiative.</w:t>
      </w:r>
      <w:r>
        <w:rPr>
          <w:rStyle w:val="FootnoteReference"/>
        </w:rPr>
        <w:footnoteReference w:id="2"/>
      </w:r>
      <w:r>
        <w:t xml:space="preserve">  This </w:t>
      </w:r>
      <w:r>
        <w:lastRenderedPageBreak/>
        <w:t>initiative is one component of our agency-wide Patients Over Paperwork Initiative,</w:t>
      </w:r>
      <w:r>
        <w:rPr>
          <w:rStyle w:val="FootnoteReference"/>
        </w:rPr>
        <w:footnoteReference w:id="3"/>
      </w:r>
      <w:r w:rsidR="00AD0EBF" w:rsidRPr="00AD0EBF">
        <w:rPr>
          <w:vertAlign w:val="superscript"/>
        </w:rPr>
        <w:t>,</w:t>
      </w:r>
      <w:r w:rsidR="00AD0EBF">
        <w:rPr>
          <w:rStyle w:val="FootnoteReference"/>
        </w:rPr>
        <w:footnoteReference w:id="4"/>
      </w:r>
      <w:r>
        <w:t xml:space="preserve"> which is aimed at evaluating and streamlining regulations with a goal to reduce unnecessary cost and burden, increase efficiencies, and improve beneficiary experience.  The Meaningful Measures Initiative is aimed at identifying the highest priority areas for quality measurement and quality improvement in order to assess the core quality of care issues that are most vital to advancing our work to improve patient outcomes.  The Meaningful Measures Initiative represents a new approach to quality measures that will foster operational efficiencies and will reduce costs, including </w:t>
      </w:r>
      <w:r w:rsidR="00831F14">
        <w:t xml:space="preserve">data </w:t>
      </w:r>
      <w:r>
        <w:t>collection and reporting burden</w:t>
      </w:r>
      <w:r w:rsidR="00831F14">
        <w:t>,</w:t>
      </w:r>
      <w:r>
        <w:t xml:space="preserve"> while producing quality measurement that is more focused on meaningful outcomes.</w:t>
      </w:r>
    </w:p>
    <w:p w14:paraId="46BC6D76" w14:textId="77777777" w:rsidR="008E3A34" w:rsidRDefault="008E3A34" w:rsidP="008E3A34"/>
    <w:p w14:paraId="64C6D312" w14:textId="4373A637" w:rsidR="008E3A34" w:rsidRDefault="008E3A34" w:rsidP="008E3A34">
      <w:r>
        <w:t>The Meaningful Measures framework has the following objectives:</w:t>
      </w:r>
    </w:p>
    <w:p w14:paraId="3A9C50C0" w14:textId="7ED3E2E3" w:rsidR="008E3A34" w:rsidRDefault="008E3A34" w:rsidP="007A66A6">
      <w:pPr>
        <w:pStyle w:val="ListParagraph"/>
        <w:numPr>
          <w:ilvl w:val="0"/>
          <w:numId w:val="36"/>
        </w:numPr>
      </w:pPr>
      <w:r>
        <w:t>Address high-impact measure areas that safeguard public health;</w:t>
      </w:r>
    </w:p>
    <w:p w14:paraId="19D2AF38" w14:textId="0EAF1B95" w:rsidR="008E3A34" w:rsidRDefault="008E3A34" w:rsidP="007A66A6">
      <w:pPr>
        <w:pStyle w:val="ListParagraph"/>
        <w:numPr>
          <w:ilvl w:val="0"/>
          <w:numId w:val="36"/>
        </w:numPr>
      </w:pPr>
      <w:r>
        <w:t>Patient-centered and meaningful to patients;</w:t>
      </w:r>
    </w:p>
    <w:p w14:paraId="4298A62D" w14:textId="4E6636AD" w:rsidR="008E3A34" w:rsidRDefault="008E3A34" w:rsidP="007A66A6">
      <w:pPr>
        <w:pStyle w:val="ListParagraph"/>
        <w:numPr>
          <w:ilvl w:val="0"/>
          <w:numId w:val="36"/>
        </w:numPr>
      </w:pPr>
      <w:r>
        <w:t>Outcome-based where possible;</w:t>
      </w:r>
    </w:p>
    <w:p w14:paraId="752BD3FA" w14:textId="4FA931D0" w:rsidR="008E3A34" w:rsidRDefault="008E3A34" w:rsidP="007A66A6">
      <w:pPr>
        <w:pStyle w:val="ListParagraph"/>
        <w:numPr>
          <w:ilvl w:val="0"/>
          <w:numId w:val="36"/>
        </w:numPr>
      </w:pPr>
      <w:r>
        <w:t>Fulfill each program’s statutory requirements;</w:t>
      </w:r>
    </w:p>
    <w:p w14:paraId="2D701089" w14:textId="06EF8DEC" w:rsidR="008E3A34" w:rsidRDefault="008E3A34" w:rsidP="007A66A6">
      <w:pPr>
        <w:pStyle w:val="ListParagraph"/>
        <w:numPr>
          <w:ilvl w:val="0"/>
          <w:numId w:val="36"/>
        </w:numPr>
      </w:pPr>
      <w:r>
        <w:t xml:space="preserve">Minimize the level of burden for health care providers (for example, through a preference for EHR-based measures where possible, such as </w:t>
      </w:r>
      <w:r w:rsidR="00831F14">
        <w:t>eCQMs</w:t>
      </w:r>
      <w:r>
        <w:t xml:space="preserve"> ;</w:t>
      </w:r>
    </w:p>
    <w:p w14:paraId="3F373535" w14:textId="0313F6B8" w:rsidR="008E3A34" w:rsidRDefault="008E3A34" w:rsidP="007A66A6">
      <w:pPr>
        <w:pStyle w:val="ListParagraph"/>
        <w:numPr>
          <w:ilvl w:val="0"/>
          <w:numId w:val="36"/>
        </w:numPr>
      </w:pPr>
      <w:r>
        <w:t>Significant opportunity for improvement;</w:t>
      </w:r>
    </w:p>
    <w:p w14:paraId="4400F923" w14:textId="2F243C34" w:rsidR="008E3A34" w:rsidRDefault="008E3A34" w:rsidP="007A66A6">
      <w:pPr>
        <w:pStyle w:val="ListParagraph"/>
        <w:numPr>
          <w:ilvl w:val="0"/>
          <w:numId w:val="36"/>
        </w:numPr>
      </w:pPr>
      <w:r>
        <w:t>Address measure needs for population</w:t>
      </w:r>
      <w:r w:rsidR="00831F14">
        <w:t>-</w:t>
      </w:r>
      <w:r>
        <w:t>based payment through alternative payment models; and</w:t>
      </w:r>
    </w:p>
    <w:p w14:paraId="2EEFB879" w14:textId="42C269CF" w:rsidR="008E3A34" w:rsidRDefault="008E3A34" w:rsidP="007A66A6">
      <w:pPr>
        <w:pStyle w:val="ListParagraph"/>
        <w:numPr>
          <w:ilvl w:val="0"/>
          <w:numId w:val="36"/>
        </w:numPr>
      </w:pPr>
      <w:r>
        <w:t>Align across programs and/or with other payers.</w:t>
      </w:r>
    </w:p>
    <w:p w14:paraId="2C25DDA1" w14:textId="77777777" w:rsidR="008A5359" w:rsidRDefault="008A5359" w:rsidP="001A344D"/>
    <w:p w14:paraId="2E268BFE" w14:textId="07C03A77" w:rsidR="00F25716" w:rsidRDefault="00F25716" w:rsidP="00F25716">
      <w:pPr>
        <w:pStyle w:val="NoSpacing"/>
        <w:rPr>
          <w:rFonts w:eastAsia="Calibri"/>
          <w:color w:val="000000"/>
        </w:rPr>
      </w:pPr>
      <w:r w:rsidRPr="00F25716">
        <w:t>In order to achieve these objectives, we have identified 19 Meaningful Measures areas and mapped them to six overarching quality priorities as shown in the following table:</w:t>
      </w:r>
      <w:r w:rsidRPr="00F25716">
        <w:rPr>
          <w:rFonts w:eastAsia="Calibri"/>
          <w:color w:val="000000"/>
        </w:rPr>
        <w:t xml:space="preserve"> </w:t>
      </w:r>
    </w:p>
    <w:p w14:paraId="1616A275" w14:textId="77777777" w:rsidR="00F25716" w:rsidRPr="007A07FD" w:rsidRDefault="00F25716" w:rsidP="00F25716">
      <w:pPr>
        <w:pStyle w:val="NoSpacing"/>
        <w:rPr>
          <w:rFonts w:eastAsia="Calibri"/>
          <w:color w:val="000000"/>
        </w:rPr>
      </w:pPr>
    </w:p>
    <w:tbl>
      <w:tblPr>
        <w:tblStyle w:val="TableGrid"/>
        <w:tblW w:w="4698" w:type="pct"/>
        <w:jc w:val="center"/>
        <w:tblLook w:val="04A0" w:firstRow="1" w:lastRow="0" w:firstColumn="1" w:lastColumn="0" w:noHBand="0" w:noVBand="1"/>
      </w:tblPr>
      <w:tblGrid>
        <w:gridCol w:w="4672"/>
        <w:gridCol w:w="4326"/>
      </w:tblGrid>
      <w:tr w:rsidR="00F25716" w:rsidRPr="007A07FD" w14:paraId="6FB7DF72" w14:textId="77777777" w:rsidTr="00556CB8">
        <w:trPr>
          <w:tblHeader/>
          <w:jc w:val="center"/>
        </w:trPr>
        <w:tc>
          <w:tcPr>
            <w:tcW w:w="2596" w:type="pct"/>
            <w:tcBorders>
              <w:top w:val="single" w:sz="4" w:space="0" w:color="auto"/>
              <w:left w:val="single" w:sz="4" w:space="0" w:color="auto"/>
              <w:bottom w:val="single" w:sz="4" w:space="0" w:color="auto"/>
              <w:right w:val="single" w:sz="4" w:space="0" w:color="auto"/>
            </w:tcBorders>
            <w:shd w:val="clear" w:color="auto" w:fill="auto"/>
          </w:tcPr>
          <w:p w14:paraId="17D5576F" w14:textId="77777777" w:rsidR="00F25716" w:rsidRPr="00F25716" w:rsidRDefault="00F25716" w:rsidP="00556CB8">
            <w:pPr>
              <w:shd w:val="clear" w:color="auto" w:fill="FFFFFF"/>
              <w:jc w:val="center"/>
              <w:rPr>
                <w:b/>
                <w:color w:val="000000"/>
              </w:rPr>
            </w:pPr>
            <w:r w:rsidRPr="00F25716">
              <w:rPr>
                <w:b/>
                <w:color w:val="000000"/>
              </w:rPr>
              <w:t>Quality Priority</w:t>
            </w:r>
          </w:p>
        </w:tc>
        <w:tc>
          <w:tcPr>
            <w:tcW w:w="2404" w:type="pct"/>
            <w:tcBorders>
              <w:top w:val="single" w:sz="4" w:space="0" w:color="auto"/>
              <w:left w:val="single" w:sz="4" w:space="0" w:color="auto"/>
              <w:bottom w:val="single" w:sz="4" w:space="0" w:color="auto"/>
              <w:right w:val="single" w:sz="4" w:space="0" w:color="auto"/>
            </w:tcBorders>
            <w:shd w:val="clear" w:color="auto" w:fill="auto"/>
            <w:hideMark/>
          </w:tcPr>
          <w:p w14:paraId="6E87EDBA" w14:textId="77777777" w:rsidR="00F25716" w:rsidRPr="00F25716" w:rsidRDefault="00F25716" w:rsidP="00556CB8">
            <w:pPr>
              <w:shd w:val="clear" w:color="auto" w:fill="FFFFFF"/>
              <w:jc w:val="center"/>
              <w:rPr>
                <w:b/>
                <w:color w:val="000000"/>
              </w:rPr>
            </w:pPr>
            <w:r w:rsidRPr="00F25716">
              <w:rPr>
                <w:b/>
                <w:color w:val="000000"/>
              </w:rPr>
              <w:t>Meaningful Measure Area</w:t>
            </w:r>
          </w:p>
        </w:tc>
      </w:tr>
      <w:tr w:rsidR="00F25716" w:rsidRPr="007A07FD" w14:paraId="25D92CC5" w14:textId="77777777" w:rsidTr="00556CB8">
        <w:trPr>
          <w:jc w:val="center"/>
        </w:trPr>
        <w:tc>
          <w:tcPr>
            <w:tcW w:w="2596" w:type="pct"/>
            <w:vMerge w:val="restart"/>
            <w:tcBorders>
              <w:top w:val="single" w:sz="4" w:space="0" w:color="auto"/>
              <w:left w:val="single" w:sz="4" w:space="0" w:color="auto"/>
              <w:right w:val="single" w:sz="4" w:space="0" w:color="auto"/>
            </w:tcBorders>
            <w:vAlign w:val="center"/>
          </w:tcPr>
          <w:p w14:paraId="7C040163" w14:textId="77777777" w:rsidR="00F25716" w:rsidRPr="00F25716" w:rsidRDefault="00F25716" w:rsidP="00556CB8">
            <w:pPr>
              <w:shd w:val="clear" w:color="auto" w:fill="FFFFFF"/>
              <w:jc w:val="center"/>
              <w:rPr>
                <w:bCs/>
                <w:color w:val="000000"/>
              </w:rPr>
            </w:pPr>
            <w:r w:rsidRPr="00F25716">
              <w:rPr>
                <w:b/>
                <w:color w:val="000000"/>
              </w:rPr>
              <w:t>Making Care Safer by Reducing Harm Caused in the Delivery of Care</w:t>
            </w:r>
          </w:p>
        </w:tc>
        <w:tc>
          <w:tcPr>
            <w:tcW w:w="2404" w:type="pct"/>
            <w:tcBorders>
              <w:top w:val="single" w:sz="4" w:space="0" w:color="auto"/>
              <w:left w:val="single" w:sz="4" w:space="0" w:color="auto"/>
              <w:bottom w:val="single" w:sz="4" w:space="0" w:color="auto"/>
              <w:right w:val="single" w:sz="4" w:space="0" w:color="auto"/>
            </w:tcBorders>
            <w:hideMark/>
          </w:tcPr>
          <w:p w14:paraId="40B61F3D" w14:textId="77777777" w:rsidR="00F25716" w:rsidRPr="00F25716" w:rsidRDefault="00F25716" w:rsidP="00556CB8">
            <w:pPr>
              <w:shd w:val="clear" w:color="auto" w:fill="FFFFFF"/>
              <w:rPr>
                <w:color w:val="000000"/>
              </w:rPr>
            </w:pPr>
            <w:r w:rsidRPr="00F25716">
              <w:rPr>
                <w:bCs/>
                <w:color w:val="000000"/>
              </w:rPr>
              <w:t>Healthcare-Associated Infections</w:t>
            </w:r>
          </w:p>
        </w:tc>
      </w:tr>
      <w:tr w:rsidR="00F25716" w:rsidRPr="007A07FD" w14:paraId="66B6E9DA" w14:textId="77777777" w:rsidTr="00556CB8">
        <w:trPr>
          <w:jc w:val="center"/>
        </w:trPr>
        <w:tc>
          <w:tcPr>
            <w:tcW w:w="2596" w:type="pct"/>
            <w:vMerge/>
            <w:tcBorders>
              <w:left w:val="single" w:sz="4" w:space="0" w:color="auto"/>
              <w:bottom w:val="single" w:sz="4" w:space="0" w:color="auto"/>
              <w:right w:val="single" w:sz="4" w:space="0" w:color="auto"/>
            </w:tcBorders>
            <w:vAlign w:val="center"/>
          </w:tcPr>
          <w:p w14:paraId="17975198" w14:textId="77777777" w:rsidR="00F25716" w:rsidRPr="00F25716" w:rsidRDefault="00F25716" w:rsidP="00556CB8">
            <w:pPr>
              <w:shd w:val="clear" w:color="auto" w:fill="FFFFFF"/>
              <w:jc w:val="center"/>
              <w:rPr>
                <w:bCs/>
                <w:color w:val="000000"/>
              </w:rPr>
            </w:pPr>
          </w:p>
        </w:tc>
        <w:tc>
          <w:tcPr>
            <w:tcW w:w="2404" w:type="pct"/>
            <w:tcBorders>
              <w:top w:val="single" w:sz="4" w:space="0" w:color="auto"/>
              <w:left w:val="single" w:sz="4" w:space="0" w:color="auto"/>
              <w:bottom w:val="single" w:sz="4" w:space="0" w:color="auto"/>
              <w:right w:val="single" w:sz="4" w:space="0" w:color="auto"/>
            </w:tcBorders>
          </w:tcPr>
          <w:p w14:paraId="2321E766" w14:textId="77777777" w:rsidR="00F25716" w:rsidRPr="00F25716" w:rsidRDefault="00F25716" w:rsidP="00556CB8">
            <w:pPr>
              <w:shd w:val="clear" w:color="auto" w:fill="FFFFFF"/>
              <w:rPr>
                <w:color w:val="000000"/>
              </w:rPr>
            </w:pPr>
            <w:r w:rsidRPr="00F25716">
              <w:rPr>
                <w:bCs/>
                <w:color w:val="000000"/>
              </w:rPr>
              <w:t>Preventable Healthcare Harm</w:t>
            </w:r>
          </w:p>
        </w:tc>
      </w:tr>
      <w:tr w:rsidR="00F25716" w:rsidRPr="007A07FD" w14:paraId="57F7B78A" w14:textId="77777777" w:rsidTr="00556CB8">
        <w:trPr>
          <w:jc w:val="center"/>
        </w:trPr>
        <w:tc>
          <w:tcPr>
            <w:tcW w:w="2596" w:type="pct"/>
            <w:vMerge w:val="restart"/>
            <w:tcBorders>
              <w:top w:val="single" w:sz="4" w:space="0" w:color="auto"/>
              <w:left w:val="single" w:sz="4" w:space="0" w:color="auto"/>
              <w:right w:val="single" w:sz="4" w:space="0" w:color="auto"/>
            </w:tcBorders>
            <w:vAlign w:val="center"/>
          </w:tcPr>
          <w:p w14:paraId="12363A12" w14:textId="77777777" w:rsidR="00F25716" w:rsidRPr="00F25716" w:rsidRDefault="00F25716" w:rsidP="00556CB8">
            <w:pPr>
              <w:shd w:val="clear" w:color="auto" w:fill="FFFFFF"/>
              <w:jc w:val="center"/>
              <w:rPr>
                <w:bCs/>
                <w:color w:val="000000"/>
              </w:rPr>
            </w:pPr>
            <w:r w:rsidRPr="00F25716">
              <w:rPr>
                <w:b/>
                <w:bCs/>
                <w:color w:val="000000"/>
              </w:rPr>
              <w:t>Strengthen Person and Family Engagement as Partners in Their Care</w:t>
            </w:r>
          </w:p>
        </w:tc>
        <w:tc>
          <w:tcPr>
            <w:tcW w:w="2404" w:type="pct"/>
            <w:tcBorders>
              <w:top w:val="single" w:sz="4" w:space="0" w:color="auto"/>
              <w:left w:val="single" w:sz="4" w:space="0" w:color="auto"/>
              <w:bottom w:val="single" w:sz="4" w:space="0" w:color="auto"/>
              <w:right w:val="single" w:sz="4" w:space="0" w:color="auto"/>
            </w:tcBorders>
            <w:hideMark/>
          </w:tcPr>
          <w:p w14:paraId="455E9144" w14:textId="77777777" w:rsidR="00F25716" w:rsidRPr="00F25716" w:rsidRDefault="00F25716" w:rsidP="00556CB8">
            <w:pPr>
              <w:shd w:val="clear" w:color="auto" w:fill="FFFFFF"/>
              <w:rPr>
                <w:bCs/>
                <w:color w:val="000000"/>
              </w:rPr>
            </w:pPr>
            <w:r w:rsidRPr="00F25716">
              <w:rPr>
                <w:bCs/>
                <w:color w:val="000000"/>
              </w:rPr>
              <w:t>Care is Personalized and Aligned with Patient’s Goals</w:t>
            </w:r>
          </w:p>
        </w:tc>
      </w:tr>
      <w:tr w:rsidR="00F25716" w:rsidRPr="007A07FD" w14:paraId="60F96950" w14:textId="77777777" w:rsidTr="00556CB8">
        <w:trPr>
          <w:jc w:val="center"/>
        </w:trPr>
        <w:tc>
          <w:tcPr>
            <w:tcW w:w="2596" w:type="pct"/>
            <w:vMerge/>
            <w:tcBorders>
              <w:left w:val="single" w:sz="4" w:space="0" w:color="auto"/>
              <w:right w:val="single" w:sz="4" w:space="0" w:color="auto"/>
            </w:tcBorders>
          </w:tcPr>
          <w:p w14:paraId="5549212B" w14:textId="77777777" w:rsidR="00F25716" w:rsidRPr="00F25716" w:rsidRDefault="00F25716" w:rsidP="00556CB8">
            <w:pPr>
              <w:shd w:val="clear" w:color="auto" w:fill="FFFFFF"/>
              <w:rPr>
                <w:bCs/>
                <w:color w:val="000000"/>
              </w:rPr>
            </w:pPr>
          </w:p>
        </w:tc>
        <w:tc>
          <w:tcPr>
            <w:tcW w:w="2404" w:type="pct"/>
            <w:tcBorders>
              <w:top w:val="single" w:sz="4" w:space="0" w:color="auto"/>
              <w:left w:val="single" w:sz="4" w:space="0" w:color="auto"/>
              <w:bottom w:val="single" w:sz="4" w:space="0" w:color="auto"/>
              <w:right w:val="single" w:sz="4" w:space="0" w:color="auto"/>
            </w:tcBorders>
            <w:hideMark/>
          </w:tcPr>
          <w:p w14:paraId="718A4802" w14:textId="77777777" w:rsidR="00F25716" w:rsidRPr="00F25716" w:rsidRDefault="00F25716" w:rsidP="00556CB8">
            <w:pPr>
              <w:shd w:val="clear" w:color="auto" w:fill="FFFFFF"/>
              <w:rPr>
                <w:color w:val="000000"/>
              </w:rPr>
            </w:pPr>
            <w:r w:rsidRPr="00F25716">
              <w:rPr>
                <w:bCs/>
                <w:color w:val="000000"/>
              </w:rPr>
              <w:t>End of Life Care According to Preferences</w:t>
            </w:r>
          </w:p>
        </w:tc>
      </w:tr>
      <w:tr w:rsidR="00F25716" w:rsidRPr="007A07FD" w14:paraId="275BE4D2" w14:textId="77777777" w:rsidTr="00556CB8">
        <w:trPr>
          <w:jc w:val="center"/>
        </w:trPr>
        <w:tc>
          <w:tcPr>
            <w:tcW w:w="2596" w:type="pct"/>
            <w:vMerge/>
            <w:tcBorders>
              <w:left w:val="single" w:sz="4" w:space="0" w:color="auto"/>
              <w:right w:val="single" w:sz="4" w:space="0" w:color="auto"/>
            </w:tcBorders>
          </w:tcPr>
          <w:p w14:paraId="5B4A142D" w14:textId="77777777" w:rsidR="00F25716" w:rsidRPr="00F25716" w:rsidRDefault="00F25716" w:rsidP="00556CB8">
            <w:pPr>
              <w:shd w:val="clear" w:color="auto" w:fill="FFFFFF"/>
              <w:rPr>
                <w:bCs/>
                <w:color w:val="000000"/>
              </w:rPr>
            </w:pPr>
          </w:p>
        </w:tc>
        <w:tc>
          <w:tcPr>
            <w:tcW w:w="2404" w:type="pct"/>
            <w:tcBorders>
              <w:top w:val="single" w:sz="4" w:space="0" w:color="auto"/>
              <w:left w:val="single" w:sz="4" w:space="0" w:color="auto"/>
              <w:bottom w:val="single" w:sz="4" w:space="0" w:color="auto"/>
              <w:right w:val="single" w:sz="4" w:space="0" w:color="auto"/>
            </w:tcBorders>
            <w:hideMark/>
          </w:tcPr>
          <w:p w14:paraId="43F4F4B0" w14:textId="77777777" w:rsidR="00F25716" w:rsidRPr="00F25716" w:rsidRDefault="00F25716" w:rsidP="00556CB8">
            <w:pPr>
              <w:shd w:val="clear" w:color="auto" w:fill="FFFFFF"/>
              <w:rPr>
                <w:color w:val="000000"/>
              </w:rPr>
            </w:pPr>
            <w:r w:rsidRPr="00F25716">
              <w:rPr>
                <w:bCs/>
                <w:color w:val="000000"/>
              </w:rPr>
              <w:t>Patient’s Experience of Care</w:t>
            </w:r>
          </w:p>
        </w:tc>
      </w:tr>
      <w:tr w:rsidR="00F25716" w:rsidRPr="007A07FD" w14:paraId="35467B8C" w14:textId="77777777" w:rsidTr="00556CB8">
        <w:trPr>
          <w:jc w:val="center"/>
        </w:trPr>
        <w:tc>
          <w:tcPr>
            <w:tcW w:w="2596" w:type="pct"/>
            <w:vMerge/>
            <w:tcBorders>
              <w:left w:val="single" w:sz="4" w:space="0" w:color="auto"/>
              <w:bottom w:val="single" w:sz="4" w:space="0" w:color="auto"/>
              <w:right w:val="single" w:sz="4" w:space="0" w:color="auto"/>
            </w:tcBorders>
          </w:tcPr>
          <w:p w14:paraId="0B6620D0" w14:textId="77777777" w:rsidR="00F25716" w:rsidRPr="00F25716" w:rsidRDefault="00F25716" w:rsidP="00556CB8">
            <w:pPr>
              <w:shd w:val="clear" w:color="auto" w:fill="FFFFFF"/>
              <w:rPr>
                <w:bCs/>
                <w:color w:val="000000"/>
              </w:rPr>
            </w:pPr>
          </w:p>
        </w:tc>
        <w:tc>
          <w:tcPr>
            <w:tcW w:w="2404" w:type="pct"/>
            <w:tcBorders>
              <w:top w:val="single" w:sz="4" w:space="0" w:color="auto"/>
              <w:left w:val="single" w:sz="4" w:space="0" w:color="auto"/>
              <w:bottom w:val="single" w:sz="4" w:space="0" w:color="auto"/>
              <w:right w:val="single" w:sz="4" w:space="0" w:color="auto"/>
            </w:tcBorders>
            <w:hideMark/>
          </w:tcPr>
          <w:p w14:paraId="68057AD7" w14:textId="77777777" w:rsidR="00F25716" w:rsidRPr="00F25716" w:rsidRDefault="00F25716" w:rsidP="00556CB8">
            <w:pPr>
              <w:shd w:val="clear" w:color="auto" w:fill="FFFFFF"/>
              <w:rPr>
                <w:color w:val="000000"/>
              </w:rPr>
            </w:pPr>
            <w:r w:rsidRPr="00F25716">
              <w:rPr>
                <w:bCs/>
                <w:color w:val="000000"/>
              </w:rPr>
              <w:t>Patient Reported Functional Outcomes</w:t>
            </w:r>
          </w:p>
        </w:tc>
      </w:tr>
      <w:tr w:rsidR="00F25716" w:rsidRPr="007A07FD" w14:paraId="25FEEF33" w14:textId="77777777" w:rsidTr="00556CB8">
        <w:trPr>
          <w:jc w:val="center"/>
        </w:trPr>
        <w:tc>
          <w:tcPr>
            <w:tcW w:w="2596" w:type="pct"/>
            <w:vMerge w:val="restart"/>
            <w:tcBorders>
              <w:top w:val="single" w:sz="4" w:space="0" w:color="auto"/>
              <w:left w:val="single" w:sz="4" w:space="0" w:color="auto"/>
              <w:right w:val="single" w:sz="4" w:space="0" w:color="auto"/>
            </w:tcBorders>
            <w:vAlign w:val="center"/>
          </w:tcPr>
          <w:p w14:paraId="6BFE83D9" w14:textId="77777777" w:rsidR="00F25716" w:rsidRPr="00F25716" w:rsidRDefault="00F25716" w:rsidP="00556CB8">
            <w:pPr>
              <w:shd w:val="clear" w:color="auto" w:fill="FFFFFF"/>
              <w:jc w:val="center"/>
              <w:rPr>
                <w:bCs/>
                <w:color w:val="000000"/>
              </w:rPr>
            </w:pPr>
            <w:r w:rsidRPr="00F25716">
              <w:rPr>
                <w:b/>
                <w:bCs/>
                <w:color w:val="000000"/>
              </w:rPr>
              <w:t>Promote Effective Communication and Coordination of Care</w:t>
            </w:r>
          </w:p>
        </w:tc>
        <w:tc>
          <w:tcPr>
            <w:tcW w:w="2404" w:type="pct"/>
            <w:tcBorders>
              <w:top w:val="single" w:sz="4" w:space="0" w:color="auto"/>
              <w:left w:val="single" w:sz="4" w:space="0" w:color="auto"/>
              <w:bottom w:val="single" w:sz="4" w:space="0" w:color="auto"/>
              <w:right w:val="single" w:sz="4" w:space="0" w:color="auto"/>
            </w:tcBorders>
            <w:hideMark/>
          </w:tcPr>
          <w:p w14:paraId="1E14FB71" w14:textId="77777777" w:rsidR="00F25716" w:rsidRPr="00F25716" w:rsidRDefault="00F25716" w:rsidP="00556CB8">
            <w:pPr>
              <w:shd w:val="clear" w:color="auto" w:fill="FFFFFF"/>
              <w:rPr>
                <w:color w:val="000000"/>
              </w:rPr>
            </w:pPr>
            <w:r w:rsidRPr="00F25716">
              <w:rPr>
                <w:bCs/>
                <w:color w:val="000000"/>
              </w:rPr>
              <w:t>Medication Management</w:t>
            </w:r>
          </w:p>
        </w:tc>
      </w:tr>
      <w:tr w:rsidR="00F25716" w:rsidRPr="007A07FD" w14:paraId="4829DB88" w14:textId="77777777" w:rsidTr="00556CB8">
        <w:trPr>
          <w:jc w:val="center"/>
        </w:trPr>
        <w:tc>
          <w:tcPr>
            <w:tcW w:w="2596" w:type="pct"/>
            <w:vMerge/>
            <w:tcBorders>
              <w:left w:val="single" w:sz="4" w:space="0" w:color="auto"/>
              <w:right w:val="single" w:sz="4" w:space="0" w:color="auto"/>
            </w:tcBorders>
          </w:tcPr>
          <w:p w14:paraId="402B4681" w14:textId="77777777" w:rsidR="00F25716" w:rsidRPr="00F25716" w:rsidRDefault="00F25716" w:rsidP="00556CB8">
            <w:pPr>
              <w:shd w:val="clear" w:color="auto" w:fill="FFFFFF"/>
              <w:rPr>
                <w:bCs/>
                <w:color w:val="000000"/>
              </w:rPr>
            </w:pPr>
          </w:p>
        </w:tc>
        <w:tc>
          <w:tcPr>
            <w:tcW w:w="2404" w:type="pct"/>
            <w:tcBorders>
              <w:top w:val="single" w:sz="4" w:space="0" w:color="auto"/>
              <w:left w:val="single" w:sz="4" w:space="0" w:color="auto"/>
              <w:bottom w:val="single" w:sz="4" w:space="0" w:color="auto"/>
              <w:right w:val="single" w:sz="4" w:space="0" w:color="auto"/>
            </w:tcBorders>
            <w:hideMark/>
          </w:tcPr>
          <w:p w14:paraId="573C8792" w14:textId="77777777" w:rsidR="00F25716" w:rsidRPr="00F25716" w:rsidRDefault="00F25716" w:rsidP="00556CB8">
            <w:pPr>
              <w:shd w:val="clear" w:color="auto" w:fill="FFFFFF"/>
              <w:rPr>
                <w:color w:val="000000"/>
              </w:rPr>
            </w:pPr>
            <w:r w:rsidRPr="00F25716">
              <w:rPr>
                <w:bCs/>
                <w:color w:val="000000"/>
              </w:rPr>
              <w:t>Admissions and Readmissions to Hospitals</w:t>
            </w:r>
          </w:p>
        </w:tc>
      </w:tr>
      <w:tr w:rsidR="00F25716" w:rsidRPr="007A07FD" w14:paraId="3F2F6B98" w14:textId="77777777" w:rsidTr="00556CB8">
        <w:trPr>
          <w:jc w:val="center"/>
        </w:trPr>
        <w:tc>
          <w:tcPr>
            <w:tcW w:w="2596" w:type="pct"/>
            <w:vMerge/>
            <w:tcBorders>
              <w:left w:val="single" w:sz="4" w:space="0" w:color="auto"/>
              <w:bottom w:val="single" w:sz="4" w:space="0" w:color="auto"/>
              <w:right w:val="single" w:sz="4" w:space="0" w:color="auto"/>
            </w:tcBorders>
          </w:tcPr>
          <w:p w14:paraId="08D7D50A" w14:textId="77777777" w:rsidR="00F25716" w:rsidRPr="00F25716" w:rsidRDefault="00F25716" w:rsidP="00556CB8">
            <w:pPr>
              <w:shd w:val="clear" w:color="auto" w:fill="FFFFFF"/>
              <w:rPr>
                <w:bCs/>
                <w:color w:val="000000"/>
              </w:rPr>
            </w:pPr>
          </w:p>
        </w:tc>
        <w:tc>
          <w:tcPr>
            <w:tcW w:w="2404" w:type="pct"/>
            <w:tcBorders>
              <w:top w:val="single" w:sz="4" w:space="0" w:color="auto"/>
              <w:left w:val="single" w:sz="4" w:space="0" w:color="auto"/>
              <w:bottom w:val="single" w:sz="4" w:space="0" w:color="auto"/>
              <w:right w:val="single" w:sz="4" w:space="0" w:color="auto"/>
            </w:tcBorders>
            <w:hideMark/>
          </w:tcPr>
          <w:p w14:paraId="5B1491EF" w14:textId="77777777" w:rsidR="00F25716" w:rsidRPr="00F25716" w:rsidRDefault="00F25716" w:rsidP="00556CB8">
            <w:pPr>
              <w:shd w:val="clear" w:color="auto" w:fill="FFFFFF"/>
              <w:rPr>
                <w:color w:val="000000"/>
              </w:rPr>
            </w:pPr>
            <w:r w:rsidRPr="00F25716">
              <w:rPr>
                <w:bCs/>
                <w:color w:val="000000"/>
              </w:rPr>
              <w:t>Transfer of Health Information and Interoperability</w:t>
            </w:r>
          </w:p>
        </w:tc>
      </w:tr>
      <w:tr w:rsidR="00F25716" w:rsidRPr="007A07FD" w14:paraId="350017DB" w14:textId="77777777" w:rsidTr="00556CB8">
        <w:trPr>
          <w:jc w:val="center"/>
        </w:trPr>
        <w:tc>
          <w:tcPr>
            <w:tcW w:w="2596" w:type="pct"/>
            <w:vMerge w:val="restart"/>
            <w:tcBorders>
              <w:top w:val="single" w:sz="4" w:space="0" w:color="auto"/>
              <w:left w:val="single" w:sz="4" w:space="0" w:color="auto"/>
              <w:right w:val="single" w:sz="4" w:space="0" w:color="auto"/>
            </w:tcBorders>
            <w:vAlign w:val="center"/>
          </w:tcPr>
          <w:p w14:paraId="193F8408" w14:textId="77777777" w:rsidR="00F25716" w:rsidRPr="00F25716" w:rsidRDefault="00F25716" w:rsidP="00556CB8">
            <w:pPr>
              <w:shd w:val="clear" w:color="auto" w:fill="FFFFFF"/>
              <w:jc w:val="center"/>
              <w:rPr>
                <w:bCs/>
                <w:color w:val="000000"/>
              </w:rPr>
            </w:pPr>
            <w:r w:rsidRPr="00F25716">
              <w:rPr>
                <w:b/>
                <w:bCs/>
                <w:color w:val="000000"/>
              </w:rPr>
              <w:lastRenderedPageBreak/>
              <w:t>Promote Effective Prevention and Treatment of Chronic Disease</w:t>
            </w:r>
          </w:p>
        </w:tc>
        <w:tc>
          <w:tcPr>
            <w:tcW w:w="2404" w:type="pct"/>
            <w:tcBorders>
              <w:top w:val="single" w:sz="4" w:space="0" w:color="auto"/>
              <w:left w:val="single" w:sz="4" w:space="0" w:color="auto"/>
              <w:bottom w:val="single" w:sz="4" w:space="0" w:color="auto"/>
              <w:right w:val="single" w:sz="4" w:space="0" w:color="auto"/>
            </w:tcBorders>
            <w:vAlign w:val="center"/>
            <w:hideMark/>
          </w:tcPr>
          <w:p w14:paraId="34B8EA45" w14:textId="77777777" w:rsidR="00F25716" w:rsidRPr="00F25716" w:rsidRDefault="00F25716" w:rsidP="00556CB8">
            <w:pPr>
              <w:shd w:val="clear" w:color="auto" w:fill="FFFFFF"/>
              <w:rPr>
                <w:color w:val="000000"/>
              </w:rPr>
            </w:pPr>
            <w:r w:rsidRPr="00F25716">
              <w:rPr>
                <w:bCs/>
                <w:color w:val="000000"/>
              </w:rPr>
              <w:t>Preventive Care</w:t>
            </w:r>
          </w:p>
        </w:tc>
      </w:tr>
      <w:tr w:rsidR="00F25716" w:rsidRPr="007A07FD" w14:paraId="358E60EF" w14:textId="77777777" w:rsidTr="00556CB8">
        <w:trPr>
          <w:jc w:val="center"/>
        </w:trPr>
        <w:tc>
          <w:tcPr>
            <w:tcW w:w="2596" w:type="pct"/>
            <w:vMerge/>
            <w:tcBorders>
              <w:left w:val="single" w:sz="4" w:space="0" w:color="auto"/>
              <w:right w:val="single" w:sz="4" w:space="0" w:color="auto"/>
            </w:tcBorders>
          </w:tcPr>
          <w:p w14:paraId="5FA00EA3" w14:textId="77777777" w:rsidR="00F25716" w:rsidRPr="00F25716" w:rsidRDefault="00F25716" w:rsidP="00556CB8">
            <w:pPr>
              <w:shd w:val="clear" w:color="auto" w:fill="FFFFFF"/>
              <w:rPr>
                <w:bCs/>
                <w:color w:val="000000"/>
              </w:rPr>
            </w:pPr>
          </w:p>
        </w:tc>
        <w:tc>
          <w:tcPr>
            <w:tcW w:w="2404" w:type="pct"/>
            <w:tcBorders>
              <w:top w:val="single" w:sz="4" w:space="0" w:color="auto"/>
              <w:left w:val="single" w:sz="4" w:space="0" w:color="auto"/>
              <w:bottom w:val="single" w:sz="4" w:space="0" w:color="auto"/>
              <w:right w:val="single" w:sz="4" w:space="0" w:color="auto"/>
            </w:tcBorders>
            <w:hideMark/>
          </w:tcPr>
          <w:p w14:paraId="1A5E7A81" w14:textId="77777777" w:rsidR="00F25716" w:rsidRPr="00F25716" w:rsidRDefault="00F25716" w:rsidP="00556CB8">
            <w:pPr>
              <w:shd w:val="clear" w:color="auto" w:fill="FFFFFF"/>
              <w:rPr>
                <w:color w:val="000000"/>
              </w:rPr>
            </w:pPr>
            <w:r w:rsidRPr="00F25716">
              <w:rPr>
                <w:bCs/>
                <w:color w:val="000000"/>
              </w:rPr>
              <w:t>Management of Chronic Conditions</w:t>
            </w:r>
          </w:p>
        </w:tc>
      </w:tr>
      <w:tr w:rsidR="00F25716" w:rsidRPr="007A07FD" w14:paraId="44798925" w14:textId="77777777" w:rsidTr="00556CB8">
        <w:trPr>
          <w:jc w:val="center"/>
        </w:trPr>
        <w:tc>
          <w:tcPr>
            <w:tcW w:w="2596" w:type="pct"/>
            <w:vMerge/>
            <w:tcBorders>
              <w:left w:val="single" w:sz="4" w:space="0" w:color="auto"/>
              <w:right w:val="single" w:sz="4" w:space="0" w:color="auto"/>
            </w:tcBorders>
          </w:tcPr>
          <w:p w14:paraId="322981E6" w14:textId="77777777" w:rsidR="00F25716" w:rsidRPr="00F25716" w:rsidRDefault="00F25716" w:rsidP="00556CB8">
            <w:pPr>
              <w:shd w:val="clear" w:color="auto" w:fill="FFFFFF"/>
              <w:rPr>
                <w:bCs/>
                <w:color w:val="000000"/>
              </w:rPr>
            </w:pPr>
          </w:p>
        </w:tc>
        <w:tc>
          <w:tcPr>
            <w:tcW w:w="2404" w:type="pct"/>
            <w:tcBorders>
              <w:top w:val="single" w:sz="4" w:space="0" w:color="auto"/>
              <w:left w:val="single" w:sz="4" w:space="0" w:color="auto"/>
              <w:bottom w:val="single" w:sz="4" w:space="0" w:color="auto"/>
              <w:right w:val="single" w:sz="4" w:space="0" w:color="auto"/>
            </w:tcBorders>
            <w:hideMark/>
          </w:tcPr>
          <w:p w14:paraId="7D691C8F" w14:textId="77777777" w:rsidR="00F25716" w:rsidRPr="00F25716" w:rsidRDefault="00F25716" w:rsidP="00556CB8">
            <w:pPr>
              <w:shd w:val="clear" w:color="auto" w:fill="FFFFFF"/>
              <w:rPr>
                <w:bCs/>
                <w:color w:val="000000"/>
              </w:rPr>
            </w:pPr>
            <w:r w:rsidRPr="00F25716">
              <w:rPr>
                <w:bCs/>
                <w:color w:val="000000"/>
              </w:rPr>
              <w:t>Prevention, Treatment, and Management of Mental Health</w:t>
            </w:r>
          </w:p>
        </w:tc>
      </w:tr>
      <w:tr w:rsidR="00F25716" w:rsidRPr="007A07FD" w14:paraId="22759856" w14:textId="77777777" w:rsidTr="00556CB8">
        <w:trPr>
          <w:jc w:val="center"/>
        </w:trPr>
        <w:tc>
          <w:tcPr>
            <w:tcW w:w="2596" w:type="pct"/>
            <w:vMerge/>
            <w:tcBorders>
              <w:left w:val="single" w:sz="4" w:space="0" w:color="auto"/>
              <w:right w:val="single" w:sz="4" w:space="0" w:color="auto"/>
            </w:tcBorders>
          </w:tcPr>
          <w:p w14:paraId="058F1933" w14:textId="77777777" w:rsidR="00F25716" w:rsidRPr="00F25716" w:rsidRDefault="00F25716" w:rsidP="00556CB8">
            <w:pPr>
              <w:shd w:val="clear" w:color="auto" w:fill="FFFFFF"/>
              <w:rPr>
                <w:bCs/>
                <w:color w:val="000000"/>
              </w:rPr>
            </w:pPr>
          </w:p>
        </w:tc>
        <w:tc>
          <w:tcPr>
            <w:tcW w:w="2404" w:type="pct"/>
            <w:tcBorders>
              <w:top w:val="single" w:sz="4" w:space="0" w:color="auto"/>
              <w:left w:val="single" w:sz="4" w:space="0" w:color="auto"/>
              <w:bottom w:val="single" w:sz="4" w:space="0" w:color="auto"/>
              <w:right w:val="single" w:sz="4" w:space="0" w:color="auto"/>
            </w:tcBorders>
            <w:hideMark/>
          </w:tcPr>
          <w:p w14:paraId="5DC67B50" w14:textId="77777777" w:rsidR="00F25716" w:rsidRPr="00F25716" w:rsidRDefault="00F25716" w:rsidP="00556CB8">
            <w:pPr>
              <w:shd w:val="clear" w:color="auto" w:fill="FFFFFF"/>
              <w:rPr>
                <w:color w:val="000000"/>
              </w:rPr>
            </w:pPr>
            <w:r w:rsidRPr="00F25716">
              <w:rPr>
                <w:bCs/>
                <w:color w:val="000000"/>
              </w:rPr>
              <w:t>Prevention and Treatment of Opioid and Substance Use Disorders</w:t>
            </w:r>
          </w:p>
        </w:tc>
      </w:tr>
      <w:tr w:rsidR="00F25716" w:rsidRPr="007A07FD" w14:paraId="2FCF62FE" w14:textId="77777777" w:rsidTr="00556CB8">
        <w:trPr>
          <w:jc w:val="center"/>
        </w:trPr>
        <w:tc>
          <w:tcPr>
            <w:tcW w:w="2596" w:type="pct"/>
            <w:vMerge/>
            <w:tcBorders>
              <w:left w:val="single" w:sz="4" w:space="0" w:color="auto"/>
              <w:bottom w:val="single" w:sz="4" w:space="0" w:color="auto"/>
              <w:right w:val="single" w:sz="4" w:space="0" w:color="auto"/>
            </w:tcBorders>
          </w:tcPr>
          <w:p w14:paraId="1461E0C7" w14:textId="77777777" w:rsidR="00F25716" w:rsidRPr="00F25716" w:rsidRDefault="00F25716" w:rsidP="00556CB8">
            <w:pPr>
              <w:shd w:val="clear" w:color="auto" w:fill="FFFFFF"/>
              <w:rPr>
                <w:bCs/>
                <w:color w:val="000000"/>
              </w:rPr>
            </w:pPr>
          </w:p>
        </w:tc>
        <w:tc>
          <w:tcPr>
            <w:tcW w:w="2404" w:type="pct"/>
            <w:tcBorders>
              <w:top w:val="single" w:sz="4" w:space="0" w:color="auto"/>
              <w:left w:val="single" w:sz="4" w:space="0" w:color="auto"/>
              <w:bottom w:val="single" w:sz="4" w:space="0" w:color="auto"/>
              <w:right w:val="single" w:sz="4" w:space="0" w:color="auto"/>
            </w:tcBorders>
            <w:hideMark/>
          </w:tcPr>
          <w:p w14:paraId="09F8FB5A" w14:textId="77777777" w:rsidR="00F25716" w:rsidRPr="00F25716" w:rsidRDefault="00F25716" w:rsidP="00556CB8">
            <w:pPr>
              <w:shd w:val="clear" w:color="auto" w:fill="FFFFFF"/>
              <w:rPr>
                <w:color w:val="000000"/>
              </w:rPr>
            </w:pPr>
            <w:r w:rsidRPr="00F25716">
              <w:rPr>
                <w:bCs/>
                <w:color w:val="000000"/>
              </w:rPr>
              <w:t>Risk Adjusted Mortality</w:t>
            </w:r>
          </w:p>
        </w:tc>
      </w:tr>
      <w:tr w:rsidR="00F25716" w:rsidRPr="007A07FD" w14:paraId="710C71CC" w14:textId="77777777" w:rsidTr="00556CB8">
        <w:trPr>
          <w:jc w:val="center"/>
        </w:trPr>
        <w:tc>
          <w:tcPr>
            <w:tcW w:w="2596" w:type="pct"/>
            <w:vMerge w:val="restart"/>
            <w:tcBorders>
              <w:top w:val="single" w:sz="4" w:space="0" w:color="auto"/>
              <w:left w:val="single" w:sz="4" w:space="0" w:color="auto"/>
              <w:right w:val="single" w:sz="4" w:space="0" w:color="auto"/>
            </w:tcBorders>
            <w:vAlign w:val="center"/>
          </w:tcPr>
          <w:p w14:paraId="42158610" w14:textId="77777777" w:rsidR="00F25716" w:rsidRPr="00F25716" w:rsidRDefault="00F25716" w:rsidP="00556CB8">
            <w:pPr>
              <w:shd w:val="clear" w:color="auto" w:fill="FFFFFF"/>
              <w:jc w:val="center"/>
              <w:rPr>
                <w:bCs/>
                <w:color w:val="000000"/>
              </w:rPr>
            </w:pPr>
            <w:r w:rsidRPr="00F25716">
              <w:rPr>
                <w:b/>
                <w:bCs/>
                <w:color w:val="000000"/>
              </w:rPr>
              <w:t>Work with Communities to Promote Best Practices of Healthy Living</w:t>
            </w:r>
          </w:p>
        </w:tc>
        <w:tc>
          <w:tcPr>
            <w:tcW w:w="2404" w:type="pct"/>
            <w:tcBorders>
              <w:top w:val="single" w:sz="4" w:space="0" w:color="auto"/>
              <w:left w:val="single" w:sz="4" w:space="0" w:color="auto"/>
              <w:bottom w:val="single" w:sz="4" w:space="0" w:color="auto"/>
              <w:right w:val="single" w:sz="4" w:space="0" w:color="auto"/>
            </w:tcBorders>
            <w:hideMark/>
          </w:tcPr>
          <w:p w14:paraId="4EC4DAD8" w14:textId="77777777" w:rsidR="00F25716" w:rsidRPr="00F25716" w:rsidRDefault="00F25716" w:rsidP="00556CB8">
            <w:pPr>
              <w:shd w:val="clear" w:color="auto" w:fill="FFFFFF"/>
              <w:rPr>
                <w:bCs/>
                <w:color w:val="000000"/>
              </w:rPr>
            </w:pPr>
            <w:r w:rsidRPr="00F25716">
              <w:rPr>
                <w:bCs/>
                <w:color w:val="000000"/>
              </w:rPr>
              <w:t>Equity of Care</w:t>
            </w:r>
          </w:p>
        </w:tc>
      </w:tr>
      <w:tr w:rsidR="00F25716" w:rsidRPr="007A07FD" w14:paraId="5B6B1B29" w14:textId="77777777" w:rsidTr="00556CB8">
        <w:trPr>
          <w:jc w:val="center"/>
        </w:trPr>
        <w:tc>
          <w:tcPr>
            <w:tcW w:w="2596" w:type="pct"/>
            <w:vMerge/>
            <w:tcBorders>
              <w:left w:val="single" w:sz="4" w:space="0" w:color="auto"/>
              <w:bottom w:val="single" w:sz="4" w:space="0" w:color="auto"/>
              <w:right w:val="single" w:sz="4" w:space="0" w:color="auto"/>
            </w:tcBorders>
          </w:tcPr>
          <w:p w14:paraId="05769D71" w14:textId="77777777" w:rsidR="00F25716" w:rsidRPr="00F25716" w:rsidRDefault="00F25716" w:rsidP="00556CB8">
            <w:pPr>
              <w:shd w:val="clear" w:color="auto" w:fill="FFFFFF"/>
              <w:rPr>
                <w:bCs/>
                <w:color w:val="000000"/>
              </w:rPr>
            </w:pPr>
          </w:p>
        </w:tc>
        <w:tc>
          <w:tcPr>
            <w:tcW w:w="2404" w:type="pct"/>
            <w:tcBorders>
              <w:top w:val="single" w:sz="4" w:space="0" w:color="auto"/>
              <w:left w:val="single" w:sz="4" w:space="0" w:color="auto"/>
              <w:bottom w:val="single" w:sz="4" w:space="0" w:color="auto"/>
              <w:right w:val="single" w:sz="4" w:space="0" w:color="auto"/>
            </w:tcBorders>
            <w:hideMark/>
          </w:tcPr>
          <w:p w14:paraId="3282B51E" w14:textId="77777777" w:rsidR="00F25716" w:rsidRPr="00F25716" w:rsidRDefault="00F25716" w:rsidP="00556CB8">
            <w:pPr>
              <w:shd w:val="clear" w:color="auto" w:fill="FFFFFF"/>
              <w:rPr>
                <w:color w:val="000000"/>
              </w:rPr>
            </w:pPr>
            <w:r w:rsidRPr="00F25716">
              <w:rPr>
                <w:bCs/>
                <w:color w:val="000000"/>
              </w:rPr>
              <w:t>Community Engagement</w:t>
            </w:r>
          </w:p>
        </w:tc>
      </w:tr>
      <w:tr w:rsidR="00F25716" w:rsidRPr="007A07FD" w14:paraId="1CD15826" w14:textId="77777777" w:rsidTr="00556CB8">
        <w:trPr>
          <w:jc w:val="center"/>
        </w:trPr>
        <w:tc>
          <w:tcPr>
            <w:tcW w:w="2596" w:type="pct"/>
            <w:vMerge w:val="restart"/>
            <w:tcBorders>
              <w:top w:val="single" w:sz="4" w:space="0" w:color="auto"/>
              <w:left w:val="single" w:sz="4" w:space="0" w:color="auto"/>
              <w:right w:val="single" w:sz="4" w:space="0" w:color="auto"/>
            </w:tcBorders>
            <w:vAlign w:val="center"/>
          </w:tcPr>
          <w:p w14:paraId="36FDD6E0" w14:textId="77777777" w:rsidR="00F25716" w:rsidRPr="00F25716" w:rsidRDefault="00F25716" w:rsidP="00556CB8">
            <w:pPr>
              <w:shd w:val="clear" w:color="auto" w:fill="FFFFFF"/>
              <w:jc w:val="center"/>
              <w:rPr>
                <w:bCs/>
                <w:color w:val="000000"/>
              </w:rPr>
            </w:pPr>
            <w:r w:rsidRPr="00F25716">
              <w:rPr>
                <w:b/>
                <w:bCs/>
                <w:color w:val="000000"/>
              </w:rPr>
              <w:t>Make Care Affordable</w:t>
            </w:r>
          </w:p>
        </w:tc>
        <w:tc>
          <w:tcPr>
            <w:tcW w:w="2404" w:type="pct"/>
            <w:tcBorders>
              <w:top w:val="single" w:sz="4" w:space="0" w:color="auto"/>
              <w:left w:val="single" w:sz="4" w:space="0" w:color="auto"/>
              <w:bottom w:val="single" w:sz="4" w:space="0" w:color="auto"/>
              <w:right w:val="single" w:sz="4" w:space="0" w:color="auto"/>
            </w:tcBorders>
            <w:hideMark/>
          </w:tcPr>
          <w:p w14:paraId="43292731" w14:textId="77777777" w:rsidR="00F25716" w:rsidRPr="00F25716" w:rsidRDefault="00F25716" w:rsidP="00556CB8">
            <w:pPr>
              <w:shd w:val="clear" w:color="auto" w:fill="FFFFFF"/>
              <w:rPr>
                <w:color w:val="000000"/>
              </w:rPr>
            </w:pPr>
            <w:r w:rsidRPr="00F25716">
              <w:rPr>
                <w:bCs/>
                <w:color w:val="000000"/>
              </w:rPr>
              <w:t>Appropriate Use of Healthcare</w:t>
            </w:r>
          </w:p>
        </w:tc>
      </w:tr>
      <w:tr w:rsidR="00F25716" w:rsidRPr="007A07FD" w14:paraId="3BED5EA3" w14:textId="77777777" w:rsidTr="00556CB8">
        <w:trPr>
          <w:jc w:val="center"/>
        </w:trPr>
        <w:tc>
          <w:tcPr>
            <w:tcW w:w="2596" w:type="pct"/>
            <w:vMerge/>
            <w:tcBorders>
              <w:left w:val="single" w:sz="4" w:space="0" w:color="auto"/>
              <w:right w:val="single" w:sz="4" w:space="0" w:color="auto"/>
            </w:tcBorders>
          </w:tcPr>
          <w:p w14:paraId="262F5903" w14:textId="77777777" w:rsidR="00F25716" w:rsidRPr="00F25716" w:rsidRDefault="00F25716" w:rsidP="00556CB8">
            <w:pPr>
              <w:shd w:val="clear" w:color="auto" w:fill="FFFFFF"/>
              <w:rPr>
                <w:bCs/>
                <w:color w:val="000000"/>
              </w:rPr>
            </w:pPr>
          </w:p>
        </w:tc>
        <w:tc>
          <w:tcPr>
            <w:tcW w:w="2404" w:type="pct"/>
            <w:tcBorders>
              <w:top w:val="single" w:sz="4" w:space="0" w:color="auto"/>
              <w:left w:val="single" w:sz="4" w:space="0" w:color="auto"/>
              <w:bottom w:val="single" w:sz="4" w:space="0" w:color="auto"/>
              <w:right w:val="single" w:sz="4" w:space="0" w:color="auto"/>
            </w:tcBorders>
            <w:hideMark/>
          </w:tcPr>
          <w:p w14:paraId="01768C34" w14:textId="77777777" w:rsidR="00F25716" w:rsidRPr="00F25716" w:rsidRDefault="00F25716" w:rsidP="00556CB8">
            <w:pPr>
              <w:shd w:val="clear" w:color="auto" w:fill="FFFFFF"/>
              <w:rPr>
                <w:color w:val="000000"/>
              </w:rPr>
            </w:pPr>
            <w:r w:rsidRPr="00F25716">
              <w:rPr>
                <w:bCs/>
                <w:color w:val="000000"/>
              </w:rPr>
              <w:t>Patient-focused Episode of Care</w:t>
            </w:r>
          </w:p>
        </w:tc>
      </w:tr>
      <w:tr w:rsidR="00F25716" w:rsidRPr="007A07FD" w14:paraId="11991736" w14:textId="77777777" w:rsidTr="00556CB8">
        <w:trPr>
          <w:jc w:val="center"/>
        </w:trPr>
        <w:tc>
          <w:tcPr>
            <w:tcW w:w="2596" w:type="pct"/>
            <w:vMerge/>
            <w:tcBorders>
              <w:left w:val="single" w:sz="4" w:space="0" w:color="auto"/>
              <w:bottom w:val="single" w:sz="4" w:space="0" w:color="auto"/>
              <w:right w:val="single" w:sz="4" w:space="0" w:color="auto"/>
            </w:tcBorders>
          </w:tcPr>
          <w:p w14:paraId="1C547274" w14:textId="77777777" w:rsidR="00F25716" w:rsidRPr="00F25716" w:rsidRDefault="00F25716" w:rsidP="00556CB8">
            <w:pPr>
              <w:shd w:val="clear" w:color="auto" w:fill="FFFFFF"/>
              <w:rPr>
                <w:bCs/>
                <w:color w:val="000000"/>
              </w:rPr>
            </w:pPr>
          </w:p>
        </w:tc>
        <w:tc>
          <w:tcPr>
            <w:tcW w:w="2404" w:type="pct"/>
            <w:tcBorders>
              <w:top w:val="single" w:sz="4" w:space="0" w:color="auto"/>
              <w:left w:val="single" w:sz="4" w:space="0" w:color="auto"/>
              <w:bottom w:val="single" w:sz="4" w:space="0" w:color="auto"/>
              <w:right w:val="single" w:sz="4" w:space="0" w:color="auto"/>
            </w:tcBorders>
            <w:hideMark/>
          </w:tcPr>
          <w:p w14:paraId="6EB785E8" w14:textId="77777777" w:rsidR="00F25716" w:rsidRPr="00F25716" w:rsidRDefault="00F25716" w:rsidP="00556CB8">
            <w:pPr>
              <w:shd w:val="clear" w:color="auto" w:fill="FFFFFF"/>
              <w:rPr>
                <w:bCs/>
                <w:color w:val="000000"/>
              </w:rPr>
            </w:pPr>
            <w:r w:rsidRPr="00F25716">
              <w:rPr>
                <w:bCs/>
                <w:color w:val="000000"/>
              </w:rPr>
              <w:t>Risk Adjusted Total Cost of Care</w:t>
            </w:r>
          </w:p>
        </w:tc>
      </w:tr>
    </w:tbl>
    <w:p w14:paraId="391C24E5" w14:textId="77777777" w:rsidR="00F25716" w:rsidRPr="007A07FD" w:rsidRDefault="00F25716" w:rsidP="00F25716">
      <w:pPr>
        <w:shd w:val="clear" w:color="auto" w:fill="FFFFFF"/>
        <w:tabs>
          <w:tab w:val="left" w:pos="1920"/>
        </w:tabs>
        <w:rPr>
          <w:rFonts w:eastAsia="Calibri"/>
          <w:color w:val="000000"/>
        </w:rPr>
      </w:pPr>
    </w:p>
    <w:p w14:paraId="6DD3C649" w14:textId="77777777" w:rsidR="00F25716" w:rsidRDefault="00F25716" w:rsidP="00F25716">
      <w:r>
        <w:t>By including Meaningful Measures in our programs, we believe that we can also address the following cross-cutting measure criteria:</w:t>
      </w:r>
    </w:p>
    <w:p w14:paraId="706ADB92" w14:textId="46762721" w:rsidR="00F25716" w:rsidRDefault="00F25716" w:rsidP="00F25716">
      <w:pPr>
        <w:pStyle w:val="ListParagraph"/>
        <w:numPr>
          <w:ilvl w:val="0"/>
          <w:numId w:val="37"/>
        </w:numPr>
      </w:pPr>
      <w:r>
        <w:t>Eliminating disparities;</w:t>
      </w:r>
    </w:p>
    <w:p w14:paraId="4E767663" w14:textId="3DC7F6FA" w:rsidR="00F25716" w:rsidRDefault="00F25716" w:rsidP="00F25716">
      <w:pPr>
        <w:pStyle w:val="ListParagraph"/>
        <w:numPr>
          <w:ilvl w:val="0"/>
          <w:numId w:val="37"/>
        </w:numPr>
      </w:pPr>
      <w:r>
        <w:t>Tracking measurable outcomes and impact;</w:t>
      </w:r>
    </w:p>
    <w:p w14:paraId="31A881AB" w14:textId="3B5AB46E" w:rsidR="00F25716" w:rsidRDefault="00F25716" w:rsidP="00F25716">
      <w:pPr>
        <w:pStyle w:val="ListParagraph"/>
        <w:numPr>
          <w:ilvl w:val="0"/>
          <w:numId w:val="37"/>
        </w:numPr>
      </w:pPr>
      <w:r>
        <w:t>Safeguarding public health;</w:t>
      </w:r>
    </w:p>
    <w:p w14:paraId="28833E76" w14:textId="21C8B11C" w:rsidR="00F25716" w:rsidRDefault="00F25716" w:rsidP="00F25716">
      <w:pPr>
        <w:pStyle w:val="ListParagraph"/>
        <w:numPr>
          <w:ilvl w:val="0"/>
          <w:numId w:val="37"/>
        </w:numPr>
      </w:pPr>
      <w:r>
        <w:t>Achieving cost savings;</w:t>
      </w:r>
    </w:p>
    <w:p w14:paraId="4DFFF754" w14:textId="2B3F4E26" w:rsidR="00F25716" w:rsidRDefault="00F25716" w:rsidP="00F25716">
      <w:pPr>
        <w:pStyle w:val="ListParagraph"/>
        <w:numPr>
          <w:ilvl w:val="0"/>
          <w:numId w:val="37"/>
        </w:numPr>
      </w:pPr>
      <w:r>
        <w:t>Improving access for rural communities; and</w:t>
      </w:r>
    </w:p>
    <w:p w14:paraId="6FC02FC6" w14:textId="36A5CC84" w:rsidR="00F25716" w:rsidRDefault="00F25716" w:rsidP="00F25716">
      <w:pPr>
        <w:pStyle w:val="ListParagraph"/>
        <w:numPr>
          <w:ilvl w:val="0"/>
          <w:numId w:val="37"/>
        </w:numPr>
      </w:pPr>
      <w:r>
        <w:t>Reducing burden.</w:t>
      </w:r>
    </w:p>
    <w:p w14:paraId="0580C803" w14:textId="1FF0376F" w:rsidR="00F25716" w:rsidRDefault="00F25716" w:rsidP="001A344D">
      <w:r>
        <w:t>We believe that the Meaningful Measures Initiative will improve outcomes for patients, their families, and health care providers while reducing burden and costs for clinicians and providers as well as promoting operational efficiencies.</w:t>
      </w:r>
    </w:p>
    <w:p w14:paraId="5DCCBF23" w14:textId="77777777" w:rsidR="00F25716" w:rsidRPr="00792D0B" w:rsidRDefault="00F25716" w:rsidP="001A344D"/>
    <w:p w14:paraId="43B4262E" w14:textId="77777777" w:rsidR="000A5930" w:rsidRPr="003E3A27" w:rsidRDefault="000D165B" w:rsidP="003E3A27">
      <w:pPr>
        <w:rPr>
          <w:u w:val="single"/>
        </w:rPr>
      </w:pPr>
      <w:r>
        <w:rPr>
          <w:u w:val="single"/>
        </w:rPr>
        <w:t>b</w:t>
      </w:r>
      <w:r w:rsidR="00D348F6">
        <w:rPr>
          <w:u w:val="single"/>
        </w:rPr>
        <w:t xml:space="preserve">. </w:t>
      </w:r>
      <w:r w:rsidR="007922C9">
        <w:rPr>
          <w:u w:val="single"/>
        </w:rPr>
        <w:t xml:space="preserve"> </w:t>
      </w:r>
      <w:r w:rsidR="00D348F6">
        <w:rPr>
          <w:u w:val="single"/>
        </w:rPr>
        <w:t>New Measures</w:t>
      </w:r>
      <w:r w:rsidR="00E05C80">
        <w:rPr>
          <w:u w:val="single"/>
        </w:rPr>
        <w:br/>
      </w:r>
    </w:p>
    <w:p w14:paraId="7129917E" w14:textId="051EE0EB" w:rsidR="000A5930" w:rsidRPr="0041034F" w:rsidRDefault="00A82D30" w:rsidP="003E3A27">
      <w:pPr>
        <w:autoSpaceDE w:val="0"/>
        <w:autoSpaceDN w:val="0"/>
        <w:adjustRightInd w:val="0"/>
      </w:pPr>
      <w:r w:rsidRPr="00A82D30">
        <w:rPr>
          <w:bCs/>
        </w:rPr>
        <w:t>We note that in the FY 201</w:t>
      </w:r>
      <w:r w:rsidR="002A0E62">
        <w:rPr>
          <w:bCs/>
        </w:rPr>
        <w:t>9</w:t>
      </w:r>
      <w:r w:rsidRPr="00A82D30">
        <w:rPr>
          <w:bCs/>
        </w:rPr>
        <w:t xml:space="preserve"> I</w:t>
      </w:r>
      <w:r w:rsidR="007D309D">
        <w:rPr>
          <w:bCs/>
        </w:rPr>
        <w:t xml:space="preserve">npatient </w:t>
      </w:r>
      <w:r w:rsidRPr="00A82D30">
        <w:rPr>
          <w:bCs/>
        </w:rPr>
        <w:t>P</w:t>
      </w:r>
      <w:r w:rsidR="007D309D">
        <w:rPr>
          <w:bCs/>
        </w:rPr>
        <w:t xml:space="preserve">rospective </w:t>
      </w:r>
      <w:r w:rsidRPr="00A82D30">
        <w:rPr>
          <w:bCs/>
        </w:rPr>
        <w:t>P</w:t>
      </w:r>
      <w:r w:rsidR="007D309D">
        <w:rPr>
          <w:bCs/>
        </w:rPr>
        <w:t xml:space="preserve">ayment </w:t>
      </w:r>
      <w:r w:rsidRPr="00A82D30">
        <w:rPr>
          <w:bCs/>
        </w:rPr>
        <w:t>S</w:t>
      </w:r>
      <w:r w:rsidR="007D309D">
        <w:rPr>
          <w:bCs/>
        </w:rPr>
        <w:t>ystem (IPPS)</w:t>
      </w:r>
      <w:r w:rsidRPr="00A82D30">
        <w:rPr>
          <w:bCs/>
        </w:rPr>
        <w:t>/</w:t>
      </w:r>
      <w:r w:rsidR="007D309D">
        <w:rPr>
          <w:bCs/>
        </w:rPr>
        <w:t>Long-Term Care Hospital (</w:t>
      </w:r>
      <w:r w:rsidRPr="00A82D30">
        <w:rPr>
          <w:bCs/>
        </w:rPr>
        <w:t>LTCH</w:t>
      </w:r>
      <w:r w:rsidR="007D309D">
        <w:rPr>
          <w:bCs/>
        </w:rPr>
        <w:t>)</w:t>
      </w:r>
      <w:r w:rsidRPr="00A82D30">
        <w:rPr>
          <w:bCs/>
        </w:rPr>
        <w:t xml:space="preserve"> PPS proposed rule, we </w:t>
      </w:r>
      <w:r w:rsidR="004404CD">
        <w:rPr>
          <w:bCs/>
        </w:rPr>
        <w:t xml:space="preserve">did </w:t>
      </w:r>
      <w:r w:rsidRPr="00A82D30">
        <w:rPr>
          <w:bCs/>
        </w:rPr>
        <w:t>not propos</w:t>
      </w:r>
      <w:r w:rsidR="00E15F7F">
        <w:rPr>
          <w:bCs/>
        </w:rPr>
        <w:t>e</w:t>
      </w:r>
      <w:r w:rsidRPr="00A82D30">
        <w:rPr>
          <w:bCs/>
        </w:rPr>
        <w:t xml:space="preserve"> </w:t>
      </w:r>
      <w:r w:rsidR="00E15F7F">
        <w:rPr>
          <w:bCs/>
        </w:rPr>
        <w:t xml:space="preserve">to </w:t>
      </w:r>
      <w:r w:rsidR="004404CD">
        <w:rPr>
          <w:bCs/>
        </w:rPr>
        <w:t>add</w:t>
      </w:r>
      <w:r w:rsidR="004404CD" w:rsidRPr="00A82D30">
        <w:rPr>
          <w:bCs/>
        </w:rPr>
        <w:t xml:space="preserve"> </w:t>
      </w:r>
      <w:r w:rsidRPr="00A82D30">
        <w:rPr>
          <w:bCs/>
        </w:rPr>
        <w:t>any new measures for the FY 202</w:t>
      </w:r>
      <w:r w:rsidR="002A0E62">
        <w:rPr>
          <w:bCs/>
        </w:rPr>
        <w:t>1</w:t>
      </w:r>
      <w:r w:rsidR="00D2257A">
        <w:rPr>
          <w:bCs/>
        </w:rPr>
        <w:t xml:space="preserve"> </w:t>
      </w:r>
      <w:r w:rsidRPr="00A82D30">
        <w:rPr>
          <w:bCs/>
        </w:rPr>
        <w:t>payment determination</w:t>
      </w:r>
      <w:r w:rsidR="00C802E2">
        <w:rPr>
          <w:bCs/>
        </w:rPr>
        <w:t xml:space="preserve"> or subsequent payment determinations</w:t>
      </w:r>
      <w:r w:rsidRPr="00A82D30">
        <w:rPr>
          <w:bCs/>
        </w:rPr>
        <w:t xml:space="preserve">.  </w:t>
      </w:r>
    </w:p>
    <w:p w14:paraId="62BF865B" w14:textId="77777777" w:rsidR="00516B67" w:rsidRDefault="00516B67" w:rsidP="001A344D">
      <w:pPr>
        <w:autoSpaceDE w:val="0"/>
        <w:autoSpaceDN w:val="0"/>
        <w:adjustRightInd w:val="0"/>
        <w:rPr>
          <w:color w:val="000000"/>
        </w:rPr>
      </w:pPr>
    </w:p>
    <w:p w14:paraId="68924D5D" w14:textId="07AEB6ED" w:rsidR="000A5930" w:rsidRPr="000C6729" w:rsidRDefault="000D165B" w:rsidP="001A344D">
      <w:pPr>
        <w:autoSpaceDE w:val="0"/>
        <w:autoSpaceDN w:val="0"/>
        <w:adjustRightInd w:val="0"/>
        <w:rPr>
          <w:color w:val="000000"/>
          <w:u w:val="single"/>
        </w:rPr>
      </w:pPr>
      <w:r>
        <w:rPr>
          <w:color w:val="000000"/>
          <w:u w:val="single"/>
        </w:rPr>
        <w:t>c</w:t>
      </w:r>
      <w:r w:rsidR="006E5F79" w:rsidRPr="000C6729">
        <w:rPr>
          <w:color w:val="000000"/>
          <w:u w:val="single"/>
        </w:rPr>
        <w:t>.  Measures</w:t>
      </w:r>
      <w:r w:rsidR="00516B67" w:rsidRPr="000C6729">
        <w:rPr>
          <w:color w:val="000000"/>
          <w:u w:val="single"/>
        </w:rPr>
        <w:t xml:space="preserve"> </w:t>
      </w:r>
      <w:r w:rsidR="009B1CCF">
        <w:rPr>
          <w:color w:val="000000"/>
          <w:u w:val="single"/>
        </w:rPr>
        <w:t>Finalized</w:t>
      </w:r>
      <w:r w:rsidR="009B1CCF" w:rsidRPr="000C6729">
        <w:rPr>
          <w:color w:val="000000"/>
          <w:u w:val="single"/>
        </w:rPr>
        <w:t xml:space="preserve"> </w:t>
      </w:r>
      <w:r w:rsidR="00516B67" w:rsidRPr="000C6729">
        <w:rPr>
          <w:color w:val="000000"/>
          <w:u w:val="single"/>
        </w:rPr>
        <w:t>for Removal</w:t>
      </w:r>
    </w:p>
    <w:p w14:paraId="4FAECFBC" w14:textId="77777777" w:rsidR="006E5F79" w:rsidRDefault="006E5F79" w:rsidP="001A344D">
      <w:pPr>
        <w:autoSpaceDE w:val="0"/>
        <w:autoSpaceDN w:val="0"/>
        <w:adjustRightInd w:val="0"/>
        <w:rPr>
          <w:color w:val="000000"/>
        </w:rPr>
      </w:pPr>
    </w:p>
    <w:p w14:paraId="0A48E102" w14:textId="3AB0F873" w:rsidR="00F553A5" w:rsidRPr="002A2901" w:rsidRDefault="005173A1" w:rsidP="002A2901">
      <w:pPr>
        <w:pStyle w:val="NoSpacing"/>
        <w:contextualSpacing/>
      </w:pPr>
      <w:r>
        <w:rPr>
          <w:bCs/>
        </w:rPr>
        <w:t xml:space="preserve">After conducting an overall review of the Hospital IQR Program under the Meaningful Measures Initiative described above, we developed proposals </w:t>
      </w:r>
      <w:r w:rsidRPr="00556CB8">
        <w:rPr>
          <w:bCs/>
        </w:rPr>
        <w:t>to ensure that the Hospital IQR Program measure set continues to promote improved health outcomes for our beneficiaries while minimizing costs</w:t>
      </w:r>
      <w:r>
        <w:rPr>
          <w:bCs/>
        </w:rPr>
        <w:t>.</w:t>
      </w:r>
      <w:r w:rsidRPr="00556CB8">
        <w:rPr>
          <w:bCs/>
        </w:rPr>
        <w:t xml:space="preserve"> </w:t>
      </w:r>
      <w:r>
        <w:rPr>
          <w:bCs/>
        </w:rPr>
        <w:t xml:space="preserve"> Specifically, i</w:t>
      </w:r>
      <w:r w:rsidR="008F6FA4">
        <w:rPr>
          <w:bCs/>
        </w:rPr>
        <w:t>n the FY 2019</w:t>
      </w:r>
      <w:r w:rsidR="009B3743">
        <w:rPr>
          <w:bCs/>
        </w:rPr>
        <w:t xml:space="preserve"> IPPS/LTC</w:t>
      </w:r>
      <w:r w:rsidR="003D0614">
        <w:rPr>
          <w:bCs/>
        </w:rPr>
        <w:t xml:space="preserve">H PPS </w:t>
      </w:r>
      <w:r w:rsidR="004404CD">
        <w:rPr>
          <w:bCs/>
        </w:rPr>
        <w:t xml:space="preserve">final </w:t>
      </w:r>
      <w:r w:rsidR="003D0614">
        <w:rPr>
          <w:bCs/>
        </w:rPr>
        <w:t>r</w:t>
      </w:r>
      <w:r w:rsidR="009B3743">
        <w:rPr>
          <w:bCs/>
        </w:rPr>
        <w:t>ul</w:t>
      </w:r>
      <w:r w:rsidR="00EC601F">
        <w:rPr>
          <w:bCs/>
        </w:rPr>
        <w:t>e</w:t>
      </w:r>
      <w:r w:rsidR="00F553A5">
        <w:rPr>
          <w:bCs/>
        </w:rPr>
        <w:t xml:space="preserve">, we are </w:t>
      </w:r>
      <w:r w:rsidR="004404CD">
        <w:rPr>
          <w:bCs/>
        </w:rPr>
        <w:t>finaliz</w:t>
      </w:r>
      <w:r w:rsidR="00851AB2">
        <w:rPr>
          <w:bCs/>
        </w:rPr>
        <w:t>ing</w:t>
      </w:r>
      <w:r w:rsidR="004404CD">
        <w:rPr>
          <w:bCs/>
        </w:rPr>
        <w:t xml:space="preserve"> our </w:t>
      </w:r>
      <w:r w:rsidR="00F553A5">
        <w:rPr>
          <w:bCs/>
        </w:rPr>
        <w:t>propos</w:t>
      </w:r>
      <w:r w:rsidR="004404CD">
        <w:rPr>
          <w:bCs/>
        </w:rPr>
        <w:t>als</w:t>
      </w:r>
      <w:r w:rsidR="00F553A5">
        <w:rPr>
          <w:bCs/>
        </w:rPr>
        <w:t xml:space="preserve"> to remove </w:t>
      </w:r>
      <w:r w:rsidR="00F553A5" w:rsidRPr="00F553A5">
        <w:t xml:space="preserve">a total of 39 measures from the Hospital IQR Program.  </w:t>
      </w:r>
      <w:r w:rsidR="00F553A5" w:rsidRPr="008C2F81">
        <w:t xml:space="preserve">Beginning with the FY 2020 payment determination and subsequent years, we are </w:t>
      </w:r>
      <w:r w:rsidR="00667329">
        <w:t>finaliz</w:t>
      </w:r>
      <w:r w:rsidR="00614D43">
        <w:t>ing</w:t>
      </w:r>
      <w:r w:rsidR="00667329">
        <w:t xml:space="preserve"> our</w:t>
      </w:r>
      <w:r w:rsidR="00667329" w:rsidRPr="008C2F81">
        <w:t xml:space="preserve"> </w:t>
      </w:r>
      <w:r w:rsidR="00F553A5" w:rsidRPr="008C2F81">
        <w:t>propos</w:t>
      </w:r>
      <w:r w:rsidR="00875E18">
        <w:t>al</w:t>
      </w:r>
      <w:r w:rsidR="00B00CEA">
        <w:t>s</w:t>
      </w:r>
      <w:r w:rsidR="00F553A5" w:rsidRPr="008C2F81">
        <w:t xml:space="preserve"> to remove 1</w:t>
      </w:r>
      <w:r w:rsidR="00BF751B" w:rsidRPr="008C2F81">
        <w:t>9</w:t>
      </w:r>
      <w:r w:rsidR="00F553A5" w:rsidRPr="008C2F81">
        <w:t xml:space="preserve"> measures</w:t>
      </w:r>
      <w:r w:rsidR="00BF751B" w:rsidRPr="008C2F81">
        <w:t xml:space="preserve">. </w:t>
      </w:r>
      <w:r w:rsidR="00F553A5" w:rsidRPr="008C2F81">
        <w:t xml:space="preserve"> Beginning with the FY 2021 payment determination and subsequent years, we are</w:t>
      </w:r>
      <w:r w:rsidR="00EB1EB4">
        <w:t xml:space="preserve"> </w:t>
      </w:r>
      <w:r w:rsidR="00667329">
        <w:t>finaliz</w:t>
      </w:r>
      <w:r w:rsidR="00EB1EB4">
        <w:t>ing</w:t>
      </w:r>
      <w:r w:rsidR="00667329">
        <w:t xml:space="preserve"> our </w:t>
      </w:r>
      <w:r w:rsidR="00F553A5" w:rsidRPr="008C2F81">
        <w:t>propos</w:t>
      </w:r>
      <w:r w:rsidR="00667329">
        <w:t>als</w:t>
      </w:r>
      <w:r w:rsidR="00F553A5" w:rsidRPr="008C2F81">
        <w:t xml:space="preserve"> to remove </w:t>
      </w:r>
      <w:r w:rsidR="0024497D" w:rsidRPr="008C2F81">
        <w:t xml:space="preserve">five </w:t>
      </w:r>
      <w:r w:rsidR="00F553A5" w:rsidRPr="008C2F81">
        <w:t>measures</w:t>
      </w:r>
      <w:r w:rsidR="00BF751B" w:rsidRPr="008C2F81">
        <w:t>.</w:t>
      </w:r>
      <w:r w:rsidR="00511101" w:rsidRPr="008C2F81">
        <w:t xml:space="preserve">  </w:t>
      </w:r>
      <w:r w:rsidR="00F553A5" w:rsidRPr="008C2F81">
        <w:t xml:space="preserve">Beginning with the FY 2022 payment determination and subsequent years, we are </w:t>
      </w:r>
      <w:r w:rsidR="00667329">
        <w:t>finaliz</w:t>
      </w:r>
      <w:r w:rsidR="00EB1EB4">
        <w:t>ing</w:t>
      </w:r>
      <w:r w:rsidR="00667329">
        <w:t xml:space="preserve"> our </w:t>
      </w:r>
      <w:r w:rsidR="00F553A5" w:rsidRPr="008C2F81">
        <w:t>propos</w:t>
      </w:r>
      <w:r w:rsidR="00667329">
        <w:t>als</w:t>
      </w:r>
      <w:r w:rsidR="00F553A5" w:rsidRPr="008C2F81">
        <w:t xml:space="preserve"> to remove </w:t>
      </w:r>
      <w:r w:rsidR="00AD0EBF">
        <w:t xml:space="preserve">14 </w:t>
      </w:r>
      <w:r w:rsidR="00BF751B" w:rsidRPr="008C2F81">
        <w:t>measures</w:t>
      </w:r>
      <w:r w:rsidR="002A2901" w:rsidRPr="008C2F81">
        <w:t xml:space="preserve">.  </w:t>
      </w:r>
      <w:r w:rsidR="00F553A5" w:rsidRPr="008C2F81">
        <w:t xml:space="preserve">Beginning with the FY 2023 payment determination, we </w:t>
      </w:r>
      <w:r w:rsidR="00667329">
        <w:t>finaliz</w:t>
      </w:r>
      <w:r w:rsidR="00EB1EB4">
        <w:t>ing</w:t>
      </w:r>
      <w:r w:rsidR="00667329">
        <w:t xml:space="preserve"> our</w:t>
      </w:r>
      <w:r w:rsidR="00667329" w:rsidRPr="008C2F81">
        <w:t xml:space="preserve"> </w:t>
      </w:r>
      <w:r w:rsidR="00F553A5" w:rsidRPr="008C2F81">
        <w:t>propos</w:t>
      </w:r>
      <w:r w:rsidR="00667329">
        <w:t>als</w:t>
      </w:r>
      <w:r w:rsidR="00F553A5" w:rsidRPr="008C2F81">
        <w:t xml:space="preserve"> to remove one measure</w:t>
      </w:r>
      <w:r w:rsidR="00EC601F" w:rsidRPr="008C2F81">
        <w:rPr>
          <w:bCs/>
        </w:rPr>
        <w:t>.</w:t>
      </w:r>
      <w:r w:rsidR="009B3743">
        <w:rPr>
          <w:bCs/>
        </w:rPr>
        <w:t xml:space="preserve"> </w:t>
      </w:r>
      <w:r w:rsidR="00511101">
        <w:rPr>
          <w:bCs/>
        </w:rPr>
        <w:t xml:space="preserve"> For a </w:t>
      </w:r>
      <w:r w:rsidR="00D01112">
        <w:rPr>
          <w:bCs/>
        </w:rPr>
        <w:t xml:space="preserve">complete </w:t>
      </w:r>
      <w:r w:rsidR="00511101">
        <w:rPr>
          <w:bCs/>
        </w:rPr>
        <w:t xml:space="preserve">list of the measures </w:t>
      </w:r>
      <w:r w:rsidR="00110E1D">
        <w:rPr>
          <w:bCs/>
        </w:rPr>
        <w:t xml:space="preserve">finalized </w:t>
      </w:r>
      <w:r w:rsidR="00511101">
        <w:rPr>
          <w:bCs/>
        </w:rPr>
        <w:t xml:space="preserve">for removal, see </w:t>
      </w:r>
      <w:r w:rsidR="00511101" w:rsidRPr="00851AB2">
        <w:rPr>
          <w:bCs/>
        </w:rPr>
        <w:t xml:space="preserve">section </w:t>
      </w:r>
      <w:r w:rsidR="00D01112" w:rsidRPr="00851AB2">
        <w:rPr>
          <w:bCs/>
        </w:rPr>
        <w:t>B.</w:t>
      </w:r>
      <w:r w:rsidR="00511101" w:rsidRPr="00851AB2">
        <w:rPr>
          <w:bCs/>
        </w:rPr>
        <w:t>15</w:t>
      </w:r>
      <w:r w:rsidR="00511101">
        <w:rPr>
          <w:bCs/>
        </w:rPr>
        <w:t xml:space="preserve"> of this document.</w:t>
      </w:r>
    </w:p>
    <w:p w14:paraId="28ECC885" w14:textId="77777777" w:rsidR="00F553A5" w:rsidRDefault="00F553A5" w:rsidP="00F553A5">
      <w:pPr>
        <w:autoSpaceDE w:val="0"/>
        <w:autoSpaceDN w:val="0"/>
        <w:adjustRightInd w:val="0"/>
        <w:rPr>
          <w:bCs/>
        </w:rPr>
      </w:pPr>
    </w:p>
    <w:p w14:paraId="6A7CDC3B" w14:textId="3BBC86AF" w:rsidR="00BC33B5" w:rsidRPr="0032080C" w:rsidRDefault="00855446" w:rsidP="0041034F">
      <w:pPr>
        <w:keepNext/>
        <w:autoSpaceDE w:val="0"/>
        <w:autoSpaceDN w:val="0"/>
        <w:adjustRightInd w:val="0"/>
        <w:rPr>
          <w:color w:val="000000"/>
          <w:u w:val="single"/>
        </w:rPr>
      </w:pPr>
      <w:r>
        <w:rPr>
          <w:color w:val="000000"/>
          <w:u w:val="single"/>
        </w:rPr>
        <w:t xml:space="preserve">d.  </w:t>
      </w:r>
      <w:r w:rsidR="00BC33B5" w:rsidRPr="0032080C">
        <w:rPr>
          <w:color w:val="000000"/>
          <w:u w:val="single"/>
        </w:rPr>
        <w:t>Electronic Clinical Quality Measures</w:t>
      </w:r>
      <w:r w:rsidR="00507711" w:rsidRPr="0032080C">
        <w:rPr>
          <w:color w:val="000000"/>
          <w:u w:val="single"/>
        </w:rPr>
        <w:t xml:space="preserve"> (eCQMs)</w:t>
      </w:r>
    </w:p>
    <w:p w14:paraId="5319BAF2" w14:textId="77777777" w:rsidR="00BC33B5" w:rsidRDefault="00BC33B5" w:rsidP="0041034F">
      <w:pPr>
        <w:keepNext/>
        <w:autoSpaceDE w:val="0"/>
        <w:autoSpaceDN w:val="0"/>
        <w:adjustRightInd w:val="0"/>
        <w:rPr>
          <w:color w:val="000000"/>
        </w:rPr>
      </w:pPr>
    </w:p>
    <w:p w14:paraId="362391C7" w14:textId="5D1F6151" w:rsidR="003912C1" w:rsidRDefault="009B3743" w:rsidP="00087B35">
      <w:pPr>
        <w:autoSpaceDE w:val="0"/>
        <w:autoSpaceDN w:val="0"/>
        <w:adjustRightInd w:val="0"/>
        <w:rPr>
          <w:color w:val="000000"/>
        </w:rPr>
      </w:pPr>
      <w:r>
        <w:rPr>
          <w:bCs/>
        </w:rPr>
        <w:t>I</w:t>
      </w:r>
      <w:r w:rsidR="003D0614">
        <w:rPr>
          <w:bCs/>
        </w:rPr>
        <w:t>n the FY 201</w:t>
      </w:r>
      <w:r w:rsidR="002A2901">
        <w:rPr>
          <w:bCs/>
        </w:rPr>
        <w:t>8</w:t>
      </w:r>
      <w:r w:rsidR="003D0614">
        <w:rPr>
          <w:bCs/>
        </w:rPr>
        <w:t xml:space="preserve"> IPPS/LTCH PPS final r</w:t>
      </w:r>
      <w:r>
        <w:rPr>
          <w:bCs/>
        </w:rPr>
        <w:t>ule, f</w:t>
      </w:r>
      <w:r w:rsidR="00F62E9A">
        <w:rPr>
          <w:color w:val="000000"/>
        </w:rPr>
        <w:t>or the FY 2019 payment determination and</w:t>
      </w:r>
      <w:r w:rsidR="00C629A6" w:rsidRPr="00C629A6">
        <w:rPr>
          <w:rFonts w:eastAsia="Calibri"/>
        </w:rPr>
        <w:t xml:space="preserve"> </w:t>
      </w:r>
      <w:r w:rsidR="00AA75F6">
        <w:rPr>
          <w:color w:val="000000"/>
        </w:rPr>
        <w:t>the</w:t>
      </w:r>
      <w:r w:rsidR="00C629A6" w:rsidRPr="00C629A6">
        <w:rPr>
          <w:color w:val="000000"/>
        </w:rPr>
        <w:t xml:space="preserve"> FY 2020 payment determination</w:t>
      </w:r>
      <w:r w:rsidR="00AA75F6">
        <w:rPr>
          <w:color w:val="000000"/>
        </w:rPr>
        <w:t>,</w:t>
      </w:r>
      <w:r w:rsidR="00C629A6" w:rsidRPr="00C629A6">
        <w:rPr>
          <w:color w:val="000000"/>
        </w:rPr>
        <w:t xml:space="preserve"> </w:t>
      </w:r>
      <w:r w:rsidR="00F62E9A">
        <w:rPr>
          <w:color w:val="000000"/>
        </w:rPr>
        <w:t>w</w:t>
      </w:r>
      <w:r w:rsidR="00BC33B5">
        <w:rPr>
          <w:color w:val="000000"/>
        </w:rPr>
        <w:t xml:space="preserve">e </w:t>
      </w:r>
      <w:r w:rsidR="00A16C03">
        <w:rPr>
          <w:color w:val="000000"/>
        </w:rPr>
        <w:t xml:space="preserve">required </w:t>
      </w:r>
      <w:r w:rsidR="00915F85">
        <w:t xml:space="preserve">that hospitals </w:t>
      </w:r>
      <w:r w:rsidR="00A16C03">
        <w:t>must</w:t>
      </w:r>
      <w:r w:rsidR="00C629A6">
        <w:rPr>
          <w:color w:val="000000"/>
        </w:rPr>
        <w:t xml:space="preserve"> </w:t>
      </w:r>
      <w:r w:rsidR="0046674A">
        <w:rPr>
          <w:color w:val="000000"/>
        </w:rPr>
        <w:t>submit</w:t>
      </w:r>
      <w:r w:rsidR="00F62E9A">
        <w:rPr>
          <w:color w:val="000000"/>
        </w:rPr>
        <w:t xml:space="preserve"> </w:t>
      </w:r>
      <w:r w:rsidR="00162369">
        <w:rPr>
          <w:color w:val="000000"/>
        </w:rPr>
        <w:t>one</w:t>
      </w:r>
      <w:r w:rsidR="00FA742A">
        <w:rPr>
          <w:color w:val="000000"/>
        </w:rPr>
        <w:t>,</w:t>
      </w:r>
      <w:r w:rsidR="00162369">
        <w:rPr>
          <w:color w:val="000000"/>
        </w:rPr>
        <w:t xml:space="preserve"> </w:t>
      </w:r>
      <w:r w:rsidR="00131469">
        <w:rPr>
          <w:color w:val="000000"/>
        </w:rPr>
        <w:t xml:space="preserve">self-selected calendar quarter of data on four self-selected eCQMs </w:t>
      </w:r>
      <w:r w:rsidR="00FA742A">
        <w:rPr>
          <w:color w:val="000000"/>
        </w:rPr>
        <w:t xml:space="preserve">in the Hospital IQR Program measure set </w:t>
      </w:r>
      <w:r w:rsidR="00131469">
        <w:rPr>
          <w:color w:val="000000"/>
        </w:rPr>
        <w:t>(</w:t>
      </w:r>
      <w:r w:rsidR="00131469" w:rsidRPr="00A34111">
        <w:t>8</w:t>
      </w:r>
      <w:r w:rsidR="00131469">
        <w:t>2</w:t>
      </w:r>
      <w:r w:rsidR="00131469" w:rsidRPr="00A34111">
        <w:t xml:space="preserve"> FR</w:t>
      </w:r>
      <w:r w:rsidR="00131469">
        <w:t xml:space="preserve"> 38355 through 38361).</w:t>
      </w:r>
      <w:r w:rsidR="00C15226">
        <w:rPr>
          <w:color w:val="000000"/>
        </w:rPr>
        <w:t xml:space="preserve">  </w:t>
      </w:r>
      <w:r w:rsidR="00EC601F">
        <w:rPr>
          <w:color w:val="000000"/>
        </w:rPr>
        <w:t>In the FY 201</w:t>
      </w:r>
      <w:r w:rsidR="00FA742A">
        <w:rPr>
          <w:color w:val="000000"/>
        </w:rPr>
        <w:t>9</w:t>
      </w:r>
      <w:r w:rsidR="00EC601F">
        <w:rPr>
          <w:color w:val="000000"/>
        </w:rPr>
        <w:t xml:space="preserve"> IPPS/LTCH PPS </w:t>
      </w:r>
      <w:r w:rsidR="00401C2B">
        <w:rPr>
          <w:color w:val="000000"/>
        </w:rPr>
        <w:t xml:space="preserve">final </w:t>
      </w:r>
      <w:r w:rsidR="003D0614">
        <w:rPr>
          <w:color w:val="000000"/>
        </w:rPr>
        <w:t>r</w:t>
      </w:r>
      <w:r w:rsidR="00EC601F">
        <w:rPr>
          <w:color w:val="000000"/>
        </w:rPr>
        <w:t xml:space="preserve">ule, </w:t>
      </w:r>
      <w:r w:rsidR="00140CC1">
        <w:rPr>
          <w:color w:val="000000"/>
        </w:rPr>
        <w:t xml:space="preserve">we are </w:t>
      </w:r>
      <w:r w:rsidR="00E00602">
        <w:rPr>
          <w:color w:val="000000"/>
        </w:rPr>
        <w:t xml:space="preserve">finalizing our </w:t>
      </w:r>
      <w:r w:rsidR="00140CC1">
        <w:rPr>
          <w:color w:val="000000"/>
        </w:rPr>
        <w:t>propos</w:t>
      </w:r>
      <w:r w:rsidR="00E00602">
        <w:rPr>
          <w:color w:val="000000"/>
        </w:rPr>
        <w:t>al</w:t>
      </w:r>
      <w:r w:rsidR="00140CC1">
        <w:rPr>
          <w:color w:val="000000"/>
        </w:rPr>
        <w:t xml:space="preserve"> to </w:t>
      </w:r>
      <w:r w:rsidR="00FA742A">
        <w:rPr>
          <w:color w:val="000000"/>
        </w:rPr>
        <w:t xml:space="preserve">continue this requirement such that </w:t>
      </w:r>
      <w:r w:rsidR="00FA742A" w:rsidRPr="00A34111">
        <w:t xml:space="preserve">hospitals </w:t>
      </w:r>
      <w:r w:rsidR="00FA742A">
        <w:t xml:space="preserve">must </w:t>
      </w:r>
      <w:r w:rsidR="00FA742A" w:rsidRPr="00862A01">
        <w:t xml:space="preserve">submit </w:t>
      </w:r>
      <w:r w:rsidR="00FA742A">
        <w:t>one</w:t>
      </w:r>
      <w:r w:rsidR="00FA742A" w:rsidRPr="00862A01">
        <w:t>, self-selected calendar quarter of data</w:t>
      </w:r>
      <w:r w:rsidR="00FA742A">
        <w:t xml:space="preserve"> for 4 eCQMs</w:t>
      </w:r>
      <w:r w:rsidR="00FA742A" w:rsidRPr="00A34111" w:rsidDel="00C47F37">
        <w:t xml:space="preserve"> </w:t>
      </w:r>
      <w:r w:rsidR="00FA742A">
        <w:t>in the Hospital IQR Program measure set for the FY 2021 payment determination.</w:t>
      </w:r>
      <w:r w:rsidR="00FA742A" w:rsidDel="00FA742A">
        <w:rPr>
          <w:color w:val="000000"/>
        </w:rPr>
        <w:t xml:space="preserve"> </w:t>
      </w:r>
    </w:p>
    <w:p w14:paraId="7B4A0E42" w14:textId="77777777" w:rsidR="00BC33B5" w:rsidRDefault="00BC33B5" w:rsidP="00087B35">
      <w:pPr>
        <w:autoSpaceDE w:val="0"/>
        <w:autoSpaceDN w:val="0"/>
        <w:adjustRightInd w:val="0"/>
        <w:rPr>
          <w:color w:val="000000"/>
        </w:rPr>
      </w:pPr>
    </w:p>
    <w:p w14:paraId="631204F7" w14:textId="77777777" w:rsidR="00D348F6" w:rsidRPr="000C6729" w:rsidRDefault="00BC33B5" w:rsidP="00087B35">
      <w:pPr>
        <w:keepNext/>
        <w:rPr>
          <w:u w:val="single"/>
        </w:rPr>
      </w:pPr>
      <w:r>
        <w:rPr>
          <w:u w:val="single"/>
        </w:rPr>
        <w:t>e</w:t>
      </w:r>
      <w:r w:rsidR="00D348F6" w:rsidRPr="000C6729">
        <w:rPr>
          <w:u w:val="single"/>
        </w:rPr>
        <w:t xml:space="preserve">. </w:t>
      </w:r>
      <w:r w:rsidR="007922C9">
        <w:rPr>
          <w:u w:val="single"/>
        </w:rPr>
        <w:t xml:space="preserve"> </w:t>
      </w:r>
      <w:r w:rsidR="00D348F6" w:rsidRPr="000C6729">
        <w:rPr>
          <w:u w:val="single"/>
        </w:rPr>
        <w:t xml:space="preserve">Forms </w:t>
      </w:r>
      <w:r w:rsidR="00196312">
        <w:rPr>
          <w:u w:val="single"/>
        </w:rPr>
        <w:t>U</w:t>
      </w:r>
      <w:r w:rsidR="00D348F6" w:rsidRPr="000C6729">
        <w:rPr>
          <w:u w:val="single"/>
        </w:rPr>
        <w:t xml:space="preserve">sed in the </w:t>
      </w:r>
      <w:r w:rsidR="00196312">
        <w:rPr>
          <w:u w:val="single"/>
        </w:rPr>
        <w:t>D</w:t>
      </w:r>
      <w:r w:rsidR="00D348F6" w:rsidRPr="000C6729">
        <w:rPr>
          <w:u w:val="single"/>
        </w:rPr>
        <w:t xml:space="preserve">ata </w:t>
      </w:r>
      <w:r w:rsidR="00196312">
        <w:rPr>
          <w:u w:val="single"/>
        </w:rPr>
        <w:t>C</w:t>
      </w:r>
      <w:r w:rsidR="00D348F6" w:rsidRPr="000C6729">
        <w:rPr>
          <w:u w:val="single"/>
        </w:rPr>
        <w:t xml:space="preserve">ollection </w:t>
      </w:r>
      <w:r w:rsidR="00196312">
        <w:rPr>
          <w:u w:val="single"/>
        </w:rPr>
        <w:t>P</w:t>
      </w:r>
      <w:r w:rsidR="00D348F6" w:rsidRPr="000C6729">
        <w:rPr>
          <w:u w:val="single"/>
        </w:rPr>
        <w:t>rocess</w:t>
      </w:r>
    </w:p>
    <w:p w14:paraId="455575D6" w14:textId="77777777" w:rsidR="00D348F6" w:rsidRPr="00380FB9" w:rsidRDefault="00D348F6" w:rsidP="00087B35">
      <w:pPr>
        <w:keepNext/>
      </w:pPr>
    </w:p>
    <w:p w14:paraId="7A96611D" w14:textId="77777777" w:rsidR="00D348F6" w:rsidRDefault="00D348F6" w:rsidP="00087B35">
      <w:pPr>
        <w:keepNext/>
        <w:autoSpaceDE w:val="0"/>
        <w:autoSpaceDN w:val="0"/>
        <w:adjustRightInd w:val="0"/>
      </w:pPr>
      <w:r>
        <w:t xml:space="preserve">In order to facilitate the </w:t>
      </w:r>
      <w:r w:rsidR="00123704">
        <w:t>q</w:t>
      </w:r>
      <w:r>
        <w:t xml:space="preserve">uality </w:t>
      </w:r>
      <w:r w:rsidR="00123704">
        <w:t>d</w:t>
      </w:r>
      <w:r>
        <w:t xml:space="preserve">ata </w:t>
      </w:r>
      <w:r w:rsidR="00123704">
        <w:t>r</w:t>
      </w:r>
      <w:r>
        <w:t xml:space="preserve">eporting </w:t>
      </w:r>
      <w:r w:rsidR="00123704">
        <w:t>p</w:t>
      </w:r>
      <w:r>
        <w:t>rogram</w:t>
      </w:r>
      <w:r w:rsidR="00790647">
        <w:t>s</w:t>
      </w:r>
      <w:r>
        <w:t xml:space="preserve">, several forms are necessary.  These forms include:  </w:t>
      </w:r>
    </w:p>
    <w:p w14:paraId="76189596" w14:textId="77777777" w:rsidR="00D348F6" w:rsidRDefault="00D348F6" w:rsidP="00D348F6">
      <w:pPr>
        <w:autoSpaceDE w:val="0"/>
        <w:autoSpaceDN w:val="0"/>
        <w:adjustRightInd w:val="0"/>
      </w:pPr>
    </w:p>
    <w:p w14:paraId="282F85AB" w14:textId="77777777" w:rsidR="00D348F6" w:rsidRDefault="00D348F6" w:rsidP="00D348F6">
      <w:pPr>
        <w:autoSpaceDE w:val="0"/>
        <w:autoSpaceDN w:val="0"/>
        <w:adjustRightInd w:val="0"/>
      </w:pPr>
      <w:r>
        <w:t>•</w:t>
      </w:r>
      <w:r>
        <w:tab/>
      </w:r>
      <w:r w:rsidR="00C545DB">
        <w:t xml:space="preserve">Hospital Inpatient Quality Reporting </w:t>
      </w:r>
      <w:r>
        <w:t xml:space="preserve">Notice of Participation </w:t>
      </w:r>
    </w:p>
    <w:p w14:paraId="4227B36F" w14:textId="39406DCC" w:rsidR="00D348F6" w:rsidRDefault="00D348F6" w:rsidP="00C545DB">
      <w:pPr>
        <w:autoSpaceDE w:val="0"/>
        <w:autoSpaceDN w:val="0"/>
        <w:adjustRightInd w:val="0"/>
        <w:ind w:left="720" w:hanging="720"/>
      </w:pPr>
      <w:r>
        <w:t>•</w:t>
      </w:r>
      <w:r>
        <w:tab/>
      </w:r>
      <w:r w:rsidR="00C545DB" w:rsidRPr="00C545DB">
        <w:t xml:space="preserve">Hospital Quality Reporting </w:t>
      </w:r>
      <w:r>
        <w:t>Data Accuracy and Completeness Acknowledgement</w:t>
      </w:r>
      <w:r w:rsidR="00C545DB">
        <w:t xml:space="preserve"> (DACA)</w:t>
      </w:r>
    </w:p>
    <w:p w14:paraId="081B79A7" w14:textId="42F48D19" w:rsidR="00D348F6" w:rsidRDefault="00D348F6" w:rsidP="00D348F6">
      <w:pPr>
        <w:autoSpaceDE w:val="0"/>
        <w:autoSpaceDN w:val="0"/>
        <w:adjustRightInd w:val="0"/>
      </w:pPr>
      <w:r>
        <w:t>•</w:t>
      </w:r>
      <w:r>
        <w:tab/>
      </w:r>
      <w:r w:rsidR="00C545DB" w:rsidRPr="009D5651">
        <w:rPr>
          <w:i/>
        </w:rPr>
        <w:t>Hospital Compare</w:t>
      </w:r>
      <w:r w:rsidR="00C545DB">
        <w:t xml:space="preserve"> </w:t>
      </w:r>
      <w:r>
        <w:t xml:space="preserve">Request </w:t>
      </w:r>
      <w:r w:rsidR="00285274">
        <w:t xml:space="preserve">Form </w:t>
      </w:r>
      <w:r>
        <w:t>for Withholding</w:t>
      </w:r>
      <w:r w:rsidR="00285274">
        <w:t>/Footnoting</w:t>
      </w:r>
      <w:r>
        <w:t xml:space="preserve"> </w:t>
      </w:r>
      <w:r w:rsidR="00285274">
        <w:t>Data for Public Reporting</w:t>
      </w:r>
    </w:p>
    <w:p w14:paraId="2116A45B" w14:textId="77777777" w:rsidR="00D348F6" w:rsidRDefault="00D348F6" w:rsidP="00C545DB">
      <w:pPr>
        <w:autoSpaceDE w:val="0"/>
        <w:autoSpaceDN w:val="0"/>
        <w:adjustRightInd w:val="0"/>
        <w:ind w:left="720" w:hanging="720"/>
      </w:pPr>
      <w:r>
        <w:t>•</w:t>
      </w:r>
      <w:r>
        <w:tab/>
      </w:r>
      <w:r w:rsidR="00C545DB" w:rsidRPr="00C545DB">
        <w:t xml:space="preserve">Centers for Medicare &amp; Medicaid Services (CMS) Inpatient Prospective Payment System (IPPS) Quality Reporting Programs </w:t>
      </w:r>
      <w:r>
        <w:rPr>
          <w:color w:val="000000"/>
        </w:rPr>
        <w:t>Measure Exception Form</w:t>
      </w:r>
      <w:r w:rsidR="005B705A">
        <w:rPr>
          <w:color w:val="000000"/>
        </w:rPr>
        <w:t xml:space="preserve"> for PC, ED, and HAI Data Submission</w:t>
      </w:r>
    </w:p>
    <w:p w14:paraId="7CAC02BC" w14:textId="77777777" w:rsidR="00D348F6" w:rsidRDefault="00D348F6" w:rsidP="00D348F6">
      <w:pPr>
        <w:autoSpaceDE w:val="0"/>
        <w:autoSpaceDN w:val="0"/>
        <w:adjustRightInd w:val="0"/>
      </w:pPr>
      <w:r>
        <w:t>•</w:t>
      </w:r>
      <w:r>
        <w:tab/>
      </w:r>
      <w:r w:rsidR="00C545DB" w:rsidRPr="00C545DB">
        <w:t xml:space="preserve">CMS Quality Reporting Program </w:t>
      </w:r>
      <w:r w:rsidR="00BD6124">
        <w:t xml:space="preserve">APU </w:t>
      </w:r>
      <w:r>
        <w:t xml:space="preserve">Reconsideration Request </w:t>
      </w:r>
      <w:r w:rsidR="00196312">
        <w:t>Form</w:t>
      </w:r>
    </w:p>
    <w:p w14:paraId="5C15A115" w14:textId="77777777" w:rsidR="00285274" w:rsidRPr="007A23DA" w:rsidRDefault="00E02263" w:rsidP="00285274">
      <w:pPr>
        <w:autoSpaceDE w:val="0"/>
        <w:autoSpaceDN w:val="0"/>
        <w:adjustRightInd w:val="0"/>
      </w:pPr>
      <w:r>
        <w:t>•</w:t>
      </w:r>
      <w:r>
        <w:tab/>
      </w:r>
      <w:r w:rsidR="00285274">
        <w:t xml:space="preserve">CMS Hospital </w:t>
      </w:r>
      <w:r w:rsidR="00285274" w:rsidRPr="007A23DA">
        <w:t xml:space="preserve">IQR </w:t>
      </w:r>
      <w:r w:rsidR="00285274">
        <w:t>Program Validation</w:t>
      </w:r>
      <w:r w:rsidR="00285274" w:rsidRPr="007A23DA">
        <w:t xml:space="preserve"> Review for Reconsideration Request</w:t>
      </w:r>
      <w:r w:rsidR="00285274">
        <w:t xml:space="preserve"> Form</w:t>
      </w:r>
    </w:p>
    <w:p w14:paraId="6DF1D1AB" w14:textId="431610CC" w:rsidR="00E02263" w:rsidRDefault="00285274" w:rsidP="005B705A">
      <w:pPr>
        <w:autoSpaceDE w:val="0"/>
        <w:autoSpaceDN w:val="0"/>
        <w:adjustRightInd w:val="0"/>
        <w:ind w:left="720" w:hanging="720"/>
      </w:pPr>
      <w:r>
        <w:t>•</w:t>
      </w:r>
      <w:r>
        <w:tab/>
        <w:t>CMS</w:t>
      </w:r>
      <w:r w:rsidR="005B705A" w:rsidRPr="00C545DB">
        <w:t xml:space="preserve"> Quality Reporting </w:t>
      </w:r>
      <w:r w:rsidR="005B705A">
        <w:t xml:space="preserve">Validation </w:t>
      </w:r>
      <w:r w:rsidR="00E41636">
        <w:t>Educational Review Form</w:t>
      </w:r>
    </w:p>
    <w:p w14:paraId="71057232" w14:textId="77777777" w:rsidR="00D348F6" w:rsidRDefault="00D348F6" w:rsidP="00853EF7">
      <w:pPr>
        <w:autoSpaceDE w:val="0"/>
        <w:autoSpaceDN w:val="0"/>
        <w:adjustRightInd w:val="0"/>
        <w:ind w:left="720" w:hanging="720"/>
      </w:pPr>
      <w:r>
        <w:t>•</w:t>
      </w:r>
      <w:r>
        <w:tab/>
        <w:t>H</w:t>
      </w:r>
      <w:r w:rsidR="00BC07E8">
        <w:t xml:space="preserve">ospital </w:t>
      </w:r>
      <w:r>
        <w:t>V</w:t>
      </w:r>
      <w:r w:rsidR="00BC07E8">
        <w:t>alue</w:t>
      </w:r>
      <w:r w:rsidR="00F20ECA">
        <w:t>-</w:t>
      </w:r>
      <w:r>
        <w:t>B</w:t>
      </w:r>
      <w:r w:rsidR="00BC07E8">
        <w:t xml:space="preserve">ased </w:t>
      </w:r>
      <w:r>
        <w:t>P</w:t>
      </w:r>
      <w:r w:rsidR="00BC07E8">
        <w:t>urchasing</w:t>
      </w:r>
      <w:r>
        <w:t xml:space="preserve"> </w:t>
      </w:r>
      <w:r w:rsidR="00677F09">
        <w:t xml:space="preserve">(VBP) </w:t>
      </w:r>
      <w:r w:rsidR="00853EF7">
        <w:t xml:space="preserve">Program </w:t>
      </w:r>
      <w:r>
        <w:t>Review and Correction</w:t>
      </w:r>
      <w:r w:rsidR="00BB7C9A">
        <w:t>s</w:t>
      </w:r>
      <w:r>
        <w:t xml:space="preserve"> </w:t>
      </w:r>
      <w:r w:rsidR="00853EF7">
        <w:t xml:space="preserve">Request </w:t>
      </w:r>
      <w:r>
        <w:t>Form</w:t>
      </w:r>
    </w:p>
    <w:p w14:paraId="78FAE9B6" w14:textId="77777777" w:rsidR="00D348F6" w:rsidRDefault="00D348F6" w:rsidP="00D348F6">
      <w:pPr>
        <w:autoSpaceDE w:val="0"/>
        <w:autoSpaceDN w:val="0"/>
        <w:adjustRightInd w:val="0"/>
      </w:pPr>
      <w:r>
        <w:t>•</w:t>
      </w:r>
      <w:r>
        <w:tab/>
        <w:t>H</w:t>
      </w:r>
      <w:r w:rsidR="00BC07E8">
        <w:t xml:space="preserve">ospital </w:t>
      </w:r>
      <w:r>
        <w:t>V</w:t>
      </w:r>
      <w:r w:rsidR="00BC07E8">
        <w:t>alue</w:t>
      </w:r>
      <w:r w:rsidR="00F20ECA">
        <w:t>-</w:t>
      </w:r>
      <w:r>
        <w:t>B</w:t>
      </w:r>
      <w:r w:rsidR="00BC07E8">
        <w:t xml:space="preserve">ased </w:t>
      </w:r>
      <w:r>
        <w:t>P</w:t>
      </w:r>
      <w:r w:rsidR="00BC07E8">
        <w:t>urchasing</w:t>
      </w:r>
      <w:r>
        <w:t xml:space="preserve"> </w:t>
      </w:r>
      <w:r w:rsidR="00677F09">
        <w:t>(VBP)</w:t>
      </w:r>
      <w:r w:rsidR="00853EF7">
        <w:t xml:space="preserve"> Program </w:t>
      </w:r>
      <w:r>
        <w:t>Appeal</w:t>
      </w:r>
      <w:r w:rsidR="00F20ECA">
        <w:t xml:space="preserve"> Request</w:t>
      </w:r>
      <w:r>
        <w:t xml:space="preserve"> Form</w:t>
      </w:r>
    </w:p>
    <w:p w14:paraId="4CE4ED91" w14:textId="77777777" w:rsidR="00384BF9" w:rsidRDefault="00D348F6" w:rsidP="003B22EE">
      <w:pPr>
        <w:autoSpaceDE w:val="0"/>
        <w:autoSpaceDN w:val="0"/>
        <w:adjustRightInd w:val="0"/>
        <w:ind w:left="720" w:hanging="720"/>
      </w:pPr>
      <w:r>
        <w:t>•</w:t>
      </w:r>
      <w:r>
        <w:tab/>
      </w:r>
      <w:r w:rsidR="00384BF9">
        <w:t>H</w:t>
      </w:r>
      <w:r w:rsidR="00BC07E8">
        <w:t xml:space="preserve">ospital </w:t>
      </w:r>
      <w:r w:rsidR="00384BF9">
        <w:t>V</w:t>
      </w:r>
      <w:r w:rsidR="00BC07E8">
        <w:t>alue</w:t>
      </w:r>
      <w:r w:rsidR="00F20ECA">
        <w:t>-</w:t>
      </w:r>
      <w:r w:rsidR="00384BF9">
        <w:t>B</w:t>
      </w:r>
      <w:r w:rsidR="00BC07E8">
        <w:t xml:space="preserve">ased </w:t>
      </w:r>
      <w:r w:rsidR="00384BF9">
        <w:t>P</w:t>
      </w:r>
      <w:r w:rsidR="00BC07E8">
        <w:t>urchasing</w:t>
      </w:r>
      <w:r w:rsidR="00384BF9">
        <w:t xml:space="preserve"> </w:t>
      </w:r>
      <w:r w:rsidR="00677F09">
        <w:t xml:space="preserve">(VBP) </w:t>
      </w:r>
      <w:r w:rsidR="003B22EE">
        <w:t xml:space="preserve">Program </w:t>
      </w:r>
      <w:r w:rsidR="00384BF9">
        <w:t xml:space="preserve">Independent CMS Review </w:t>
      </w:r>
      <w:r w:rsidR="003B22EE">
        <w:t xml:space="preserve">Request </w:t>
      </w:r>
      <w:r w:rsidR="00384BF9">
        <w:t>Form</w:t>
      </w:r>
    </w:p>
    <w:p w14:paraId="4FBE22D9" w14:textId="0FC4C325" w:rsidR="005B296B" w:rsidRPr="007A23DA" w:rsidRDefault="00384BF9" w:rsidP="00285274">
      <w:pPr>
        <w:autoSpaceDE w:val="0"/>
        <w:autoSpaceDN w:val="0"/>
        <w:adjustRightInd w:val="0"/>
        <w:ind w:left="720" w:hanging="720"/>
      </w:pPr>
      <w:r>
        <w:t>•</w:t>
      </w:r>
      <w:r>
        <w:tab/>
      </w:r>
      <w:r w:rsidR="003B22EE" w:rsidRPr="003B22EE">
        <w:t xml:space="preserve">Centers for Medicare &amp; Medicaid Services (CMS) Quality Program </w:t>
      </w:r>
      <w:r w:rsidR="00D348F6">
        <w:t xml:space="preserve">Extraordinary Circumstances </w:t>
      </w:r>
      <w:r w:rsidR="00E23B48">
        <w:t>Exception</w:t>
      </w:r>
      <w:r w:rsidR="00F251C9">
        <w:t>s</w:t>
      </w:r>
      <w:r w:rsidR="00D348F6">
        <w:t xml:space="preserve"> </w:t>
      </w:r>
      <w:r w:rsidR="003B22EE">
        <w:t xml:space="preserve">(ECE) </w:t>
      </w:r>
      <w:r w:rsidR="00313705">
        <w:t xml:space="preserve">Request </w:t>
      </w:r>
      <w:r w:rsidR="00D348F6">
        <w:t>Form</w:t>
      </w:r>
    </w:p>
    <w:p w14:paraId="4C4BB42D" w14:textId="77777777" w:rsidR="008F720F" w:rsidRDefault="005B296B" w:rsidP="007A23DA">
      <w:pPr>
        <w:autoSpaceDE w:val="0"/>
        <w:autoSpaceDN w:val="0"/>
        <w:adjustRightInd w:val="0"/>
      </w:pPr>
      <w:r>
        <w:t>•</w:t>
      </w:r>
      <w:r>
        <w:tab/>
      </w:r>
      <w:r w:rsidRPr="007A23DA">
        <w:t xml:space="preserve">Validation </w:t>
      </w:r>
      <w:r w:rsidR="003B22EE">
        <w:t>template</w:t>
      </w:r>
      <w:r w:rsidR="008B5FC6">
        <w:t>s</w:t>
      </w:r>
      <w:r w:rsidR="00EB15EC" w:rsidRPr="007A23DA">
        <w:t xml:space="preserve"> </w:t>
      </w:r>
      <w:r w:rsidRPr="007A23DA">
        <w:t>for</w:t>
      </w:r>
      <w:r w:rsidR="003B22EE">
        <w:t xml:space="preserve"> each of</w:t>
      </w:r>
      <w:r w:rsidR="008F720F">
        <w:t xml:space="preserve"> the following measures:</w:t>
      </w:r>
    </w:p>
    <w:p w14:paraId="0F4BF7EB" w14:textId="77777777" w:rsidR="008F720F" w:rsidRDefault="008F720F" w:rsidP="008F720F">
      <w:pPr>
        <w:pStyle w:val="ListParagraph"/>
        <w:numPr>
          <w:ilvl w:val="0"/>
          <w:numId w:val="24"/>
        </w:numPr>
        <w:autoSpaceDE w:val="0"/>
        <w:autoSpaceDN w:val="0"/>
        <w:adjustRightInd w:val="0"/>
      </w:pPr>
      <w:r w:rsidRPr="008F720F">
        <w:t xml:space="preserve">Central line-associated bloodstream infection </w:t>
      </w:r>
      <w:r>
        <w:t>(</w:t>
      </w:r>
      <w:r w:rsidR="005B296B" w:rsidRPr="007A23DA">
        <w:t>CLABSI</w:t>
      </w:r>
      <w:r>
        <w:t>);</w:t>
      </w:r>
    </w:p>
    <w:p w14:paraId="7072B67A" w14:textId="77777777" w:rsidR="008F720F" w:rsidRDefault="008F720F" w:rsidP="008F720F">
      <w:pPr>
        <w:pStyle w:val="ListParagraph"/>
        <w:numPr>
          <w:ilvl w:val="0"/>
          <w:numId w:val="24"/>
        </w:numPr>
        <w:autoSpaceDE w:val="0"/>
        <w:autoSpaceDN w:val="0"/>
        <w:adjustRightInd w:val="0"/>
      </w:pPr>
      <w:r w:rsidRPr="008F720F">
        <w:t>Catheter-</w:t>
      </w:r>
      <w:r>
        <w:t>a</w:t>
      </w:r>
      <w:r w:rsidRPr="008F720F">
        <w:t xml:space="preserve">ssociated </w:t>
      </w:r>
      <w:r>
        <w:t>u</w:t>
      </w:r>
      <w:r w:rsidRPr="008F720F">
        <w:t xml:space="preserve">rinary </w:t>
      </w:r>
      <w:r>
        <w:t>t</w:t>
      </w:r>
      <w:r w:rsidRPr="008F720F">
        <w:t xml:space="preserve">ract </w:t>
      </w:r>
      <w:r>
        <w:t>i</w:t>
      </w:r>
      <w:r w:rsidRPr="008F720F">
        <w:t xml:space="preserve">nfection </w:t>
      </w:r>
      <w:r>
        <w:t>(</w:t>
      </w:r>
      <w:r w:rsidR="005B296B" w:rsidRPr="007A23DA">
        <w:t>CAUTI</w:t>
      </w:r>
      <w:r>
        <w:t>);</w:t>
      </w:r>
      <w:r w:rsidR="005B296B" w:rsidRPr="007A23DA">
        <w:t xml:space="preserve"> </w:t>
      </w:r>
    </w:p>
    <w:p w14:paraId="7BCF6ACA" w14:textId="77777777" w:rsidR="008F720F" w:rsidRDefault="003B22EE" w:rsidP="008F720F">
      <w:pPr>
        <w:pStyle w:val="ListParagraph"/>
        <w:numPr>
          <w:ilvl w:val="0"/>
          <w:numId w:val="24"/>
        </w:numPr>
        <w:autoSpaceDE w:val="0"/>
        <w:autoSpaceDN w:val="0"/>
        <w:adjustRightInd w:val="0"/>
      </w:pPr>
      <w:r w:rsidRPr="003B22EE">
        <w:t>Methicillin-</w:t>
      </w:r>
      <w:r w:rsidR="008F720F">
        <w:t>r</w:t>
      </w:r>
      <w:r w:rsidRPr="003B22EE">
        <w:t>esistant Staphylococcus Aureu</w:t>
      </w:r>
      <w:r>
        <w:t>s</w:t>
      </w:r>
      <w:r w:rsidRPr="003B22EE">
        <w:t xml:space="preserve"> </w:t>
      </w:r>
      <w:r>
        <w:t>(</w:t>
      </w:r>
      <w:r w:rsidR="005B296B" w:rsidRPr="007A23DA">
        <w:t>MRSA</w:t>
      </w:r>
      <w:r>
        <w:t>)</w:t>
      </w:r>
      <w:r w:rsidR="008F720F">
        <w:t>;</w:t>
      </w:r>
      <w:r w:rsidR="005B296B" w:rsidRPr="007A23DA">
        <w:t xml:space="preserve"> and </w:t>
      </w:r>
    </w:p>
    <w:p w14:paraId="5F40CCFA" w14:textId="77777777" w:rsidR="005B296B" w:rsidRPr="007A23DA" w:rsidRDefault="005B296B" w:rsidP="008F720F">
      <w:pPr>
        <w:pStyle w:val="ListParagraph"/>
        <w:numPr>
          <w:ilvl w:val="0"/>
          <w:numId w:val="24"/>
        </w:numPr>
        <w:autoSpaceDE w:val="0"/>
        <w:autoSpaceDN w:val="0"/>
        <w:adjustRightInd w:val="0"/>
      </w:pPr>
      <w:r w:rsidRPr="007A23DA">
        <w:t>C</w:t>
      </w:r>
      <w:r w:rsidR="003B22EE">
        <w:t xml:space="preserve">lostridium </w:t>
      </w:r>
      <w:r w:rsidRPr="007A23DA">
        <w:t>D</w:t>
      </w:r>
      <w:r w:rsidR="003B22EE">
        <w:t xml:space="preserve">ifficile </w:t>
      </w:r>
      <w:r w:rsidR="008F720F">
        <w:t xml:space="preserve">infection </w:t>
      </w:r>
      <w:r w:rsidR="003B22EE">
        <w:t>(CDI)</w:t>
      </w:r>
      <w:r w:rsidR="008F720F">
        <w:t>.</w:t>
      </w:r>
    </w:p>
    <w:p w14:paraId="54048DED" w14:textId="77777777" w:rsidR="005B296B" w:rsidRDefault="005B296B" w:rsidP="00D348F6">
      <w:pPr>
        <w:autoSpaceDE w:val="0"/>
        <w:autoSpaceDN w:val="0"/>
        <w:adjustRightInd w:val="0"/>
      </w:pPr>
    </w:p>
    <w:p w14:paraId="4DC5A7A5" w14:textId="02B37F01" w:rsidR="00D348F6" w:rsidRDefault="00D348F6" w:rsidP="00D348F6">
      <w:pPr>
        <w:autoSpaceDE w:val="0"/>
        <w:autoSpaceDN w:val="0"/>
        <w:adjustRightInd w:val="0"/>
      </w:pPr>
      <w:r>
        <w:t xml:space="preserve">Only the </w:t>
      </w:r>
      <w:r w:rsidR="00551167" w:rsidRPr="00C545DB">
        <w:t xml:space="preserve">Hospital Quality Reporting </w:t>
      </w:r>
      <w:r w:rsidR="00551167">
        <w:t>Data Accuracy and Completeness Acknowledgement (DACA)</w:t>
      </w:r>
      <w:r w:rsidR="00224AA9">
        <w:t xml:space="preserve"> </w:t>
      </w:r>
      <w:r>
        <w:t>form must be completed by all hospitals</w:t>
      </w:r>
      <w:r w:rsidR="00415548">
        <w:t xml:space="preserve"> participating in the Hospital IQR Program</w:t>
      </w:r>
      <w:r>
        <w:t xml:space="preserve"> each year.  </w:t>
      </w:r>
      <w:r w:rsidR="0045361E">
        <w:t xml:space="preserve">This form only requires a hospital to check a box affirming the accuracy and completeness of the data reported.  </w:t>
      </w:r>
      <w:r>
        <w:t xml:space="preserve">The </w:t>
      </w:r>
      <w:r w:rsidR="00196312">
        <w:t xml:space="preserve">remainder </w:t>
      </w:r>
      <w:r w:rsidR="0045361E">
        <w:t xml:space="preserve">of the forms </w:t>
      </w:r>
      <w:r w:rsidR="00D23E7A">
        <w:t xml:space="preserve">are </w:t>
      </w:r>
      <w:r>
        <w:t>exceptions or one time only forms</w:t>
      </w:r>
      <w:r w:rsidR="00196312">
        <w:t>,</w:t>
      </w:r>
      <w:r>
        <w:t xml:space="preserve"> and hospitals may not need to complete any of </w:t>
      </w:r>
      <w:r w:rsidR="00330B6B">
        <w:t>these forms in any given year.</w:t>
      </w:r>
    </w:p>
    <w:p w14:paraId="32BD4A05" w14:textId="77777777" w:rsidR="00E35AF9" w:rsidRDefault="00E35AF9" w:rsidP="00D348F6">
      <w:pPr>
        <w:autoSpaceDE w:val="0"/>
        <w:autoSpaceDN w:val="0"/>
        <w:adjustRightInd w:val="0"/>
      </w:pPr>
    </w:p>
    <w:p w14:paraId="22CD7CEE" w14:textId="78F6E00B" w:rsidR="00E35AF9" w:rsidRDefault="00E35AF9" w:rsidP="00D348F6">
      <w:pPr>
        <w:autoSpaceDE w:val="0"/>
        <w:autoSpaceDN w:val="0"/>
        <w:adjustRightInd w:val="0"/>
      </w:pPr>
      <w:r w:rsidRPr="00627885">
        <w:t xml:space="preserve">The Hospital Inpatient Quality Reporting Notice of Participation </w:t>
      </w:r>
      <w:r w:rsidRPr="00627885">
        <w:rPr>
          <w:color w:val="000000"/>
        </w:rPr>
        <w:t xml:space="preserve">is </w:t>
      </w:r>
      <w:r w:rsidRPr="002F39E8">
        <w:rPr>
          <w:color w:val="000000"/>
        </w:rPr>
        <w:t>being modified</w:t>
      </w:r>
      <w:r w:rsidRPr="00627885">
        <w:rPr>
          <w:color w:val="000000"/>
        </w:rPr>
        <w:t xml:space="preserve"> </w:t>
      </w:r>
      <w:r w:rsidR="003C4FE3" w:rsidRPr="00627885">
        <w:rPr>
          <w:color w:val="000000"/>
        </w:rPr>
        <w:t>with updated hyperlinks and to clarify that optional public reporting does not impact payment determinations under the Hospital IQR Program or other hospital quality programs.</w:t>
      </w:r>
      <w:r>
        <w:t xml:space="preserve">   </w:t>
      </w:r>
    </w:p>
    <w:p w14:paraId="403E8B81" w14:textId="77777777" w:rsidR="00624FC0" w:rsidRDefault="00624FC0" w:rsidP="00624FC0"/>
    <w:p w14:paraId="3A7AB3EC" w14:textId="30C55249" w:rsidR="00624FC0" w:rsidRDefault="00070838" w:rsidP="00070838">
      <w:r w:rsidRPr="00627885">
        <w:t xml:space="preserve">The </w:t>
      </w:r>
      <w:r w:rsidR="00624FC0" w:rsidRPr="00627885">
        <w:t>DACA</w:t>
      </w:r>
      <w:r w:rsidR="003C4FE3" w:rsidRPr="00627885">
        <w:t xml:space="preserve"> f</w:t>
      </w:r>
      <w:r w:rsidRPr="00627885">
        <w:t xml:space="preserve">orm </w:t>
      </w:r>
      <w:r w:rsidRPr="00627885">
        <w:rPr>
          <w:color w:val="000000"/>
        </w:rPr>
        <w:t xml:space="preserve">is </w:t>
      </w:r>
      <w:r w:rsidRPr="002F39E8">
        <w:rPr>
          <w:color w:val="000000"/>
        </w:rPr>
        <w:t>being modified to</w:t>
      </w:r>
      <w:r w:rsidR="003C4FE3" w:rsidRPr="002F39E8">
        <w:rPr>
          <w:color w:val="000000"/>
        </w:rPr>
        <w:t xml:space="preserve"> </w:t>
      </w:r>
      <w:r w:rsidR="003C4FE3" w:rsidRPr="002F39E8">
        <w:t xml:space="preserve">update the applicable program year and add references to the </w:t>
      </w:r>
      <w:r w:rsidR="003C4FE3" w:rsidRPr="00FA1BF5">
        <w:t>Hospital-Acquired Condition Reduction and Hospital VBP Programs</w:t>
      </w:r>
      <w:r w:rsidR="003C4FE3" w:rsidRPr="002F39E8">
        <w:t>, which would use Hospital IQR Program data collected for the FY 2020 payment determination</w:t>
      </w:r>
      <w:r w:rsidR="003C4FE3" w:rsidRPr="00627885">
        <w:t>.</w:t>
      </w:r>
      <w:r w:rsidR="00624FC0">
        <w:t> </w:t>
      </w:r>
    </w:p>
    <w:p w14:paraId="10553955" w14:textId="77777777" w:rsidR="00624FC0" w:rsidRPr="00ED085D" w:rsidRDefault="00624FC0" w:rsidP="00135BA3">
      <w:pPr>
        <w:autoSpaceDE w:val="0"/>
        <w:autoSpaceDN w:val="0"/>
        <w:adjustRightInd w:val="0"/>
        <w:rPr>
          <w:color w:val="000000" w:themeColor="text1"/>
        </w:rPr>
      </w:pPr>
    </w:p>
    <w:p w14:paraId="30852821" w14:textId="0F631A41" w:rsidR="00E02263" w:rsidRDefault="00D2257A" w:rsidP="00D2257A">
      <w:pPr>
        <w:autoSpaceDE w:val="0"/>
        <w:autoSpaceDN w:val="0"/>
        <w:adjustRightInd w:val="0"/>
        <w:rPr>
          <w:color w:val="000000"/>
        </w:rPr>
      </w:pPr>
      <w:r w:rsidRPr="00D2257A">
        <w:rPr>
          <w:color w:val="000000"/>
        </w:rPr>
        <w:t xml:space="preserve">The Hospital Compare Request </w:t>
      </w:r>
      <w:r w:rsidR="003C4FE3">
        <w:rPr>
          <w:color w:val="000000"/>
        </w:rPr>
        <w:t xml:space="preserve">Form </w:t>
      </w:r>
      <w:r w:rsidRPr="00D2257A">
        <w:rPr>
          <w:color w:val="000000"/>
        </w:rPr>
        <w:t>for Withholding</w:t>
      </w:r>
      <w:r w:rsidR="003C4FE3">
        <w:rPr>
          <w:color w:val="000000"/>
        </w:rPr>
        <w:t>/Footnoting</w:t>
      </w:r>
      <w:r w:rsidRPr="00D2257A">
        <w:rPr>
          <w:color w:val="000000"/>
        </w:rPr>
        <w:t xml:space="preserve"> Data </w:t>
      </w:r>
      <w:r w:rsidR="003C4FE3">
        <w:rPr>
          <w:color w:val="000000"/>
        </w:rPr>
        <w:t>for</w:t>
      </w:r>
      <w:r w:rsidRPr="00D2257A">
        <w:rPr>
          <w:color w:val="000000"/>
        </w:rPr>
        <w:t xml:space="preserve"> Public Rep</w:t>
      </w:r>
      <w:r w:rsidR="003C4FE3">
        <w:rPr>
          <w:color w:val="000000"/>
        </w:rPr>
        <w:t xml:space="preserve">orting is </w:t>
      </w:r>
      <w:r w:rsidR="003C4FE3" w:rsidRPr="002F39E8">
        <w:rPr>
          <w:color w:val="000000"/>
        </w:rPr>
        <w:t>being modified with a</w:t>
      </w:r>
      <w:r w:rsidR="003C4FE3">
        <w:rPr>
          <w:color w:val="000000"/>
        </w:rPr>
        <w:t xml:space="preserve"> </w:t>
      </w:r>
      <w:r w:rsidR="003C4FE3" w:rsidRPr="003C4FE3">
        <w:rPr>
          <w:color w:val="000000"/>
        </w:rPr>
        <w:t>refined title, to add/remove measures for the upcoming preview period</w:t>
      </w:r>
      <w:r w:rsidR="000317EE">
        <w:rPr>
          <w:color w:val="000000"/>
        </w:rPr>
        <w:t>s</w:t>
      </w:r>
      <w:r w:rsidR="003C4FE3" w:rsidRPr="003C4FE3">
        <w:rPr>
          <w:color w:val="000000"/>
        </w:rPr>
        <w:t xml:space="preserve"> and </w:t>
      </w:r>
      <w:r w:rsidR="003C4FE3" w:rsidRPr="003C4FE3">
        <w:rPr>
          <w:i/>
          <w:color w:val="000000"/>
        </w:rPr>
        <w:t>Hospital Compare</w:t>
      </w:r>
      <w:r w:rsidR="003C4FE3" w:rsidRPr="003C4FE3">
        <w:rPr>
          <w:color w:val="000000"/>
        </w:rPr>
        <w:t xml:space="preserve"> release</w:t>
      </w:r>
      <w:r w:rsidR="000317EE">
        <w:rPr>
          <w:color w:val="000000"/>
        </w:rPr>
        <w:t>s in 2019</w:t>
      </w:r>
      <w:r w:rsidR="003C4FE3" w:rsidRPr="003C4FE3">
        <w:rPr>
          <w:color w:val="000000"/>
        </w:rPr>
        <w:t xml:space="preserve">, including </w:t>
      </w:r>
      <w:r w:rsidR="00627885">
        <w:rPr>
          <w:color w:val="000000"/>
        </w:rPr>
        <w:t xml:space="preserve">the </w:t>
      </w:r>
      <w:r w:rsidR="003C4FE3" w:rsidRPr="003C4FE3">
        <w:rPr>
          <w:color w:val="000000"/>
        </w:rPr>
        <w:t xml:space="preserve">measure </w:t>
      </w:r>
      <w:r w:rsidR="00627885">
        <w:rPr>
          <w:color w:val="000000"/>
        </w:rPr>
        <w:t>removals as finalized</w:t>
      </w:r>
      <w:r w:rsidR="003C4FE3" w:rsidRPr="003C4FE3">
        <w:rPr>
          <w:color w:val="000000"/>
        </w:rPr>
        <w:t xml:space="preserve"> </w:t>
      </w:r>
      <w:r w:rsidR="003C4FE3">
        <w:rPr>
          <w:color w:val="000000"/>
        </w:rPr>
        <w:t xml:space="preserve">in the FY 2019 IPPS/LTCH </w:t>
      </w:r>
      <w:r w:rsidR="00627885">
        <w:rPr>
          <w:color w:val="000000"/>
        </w:rPr>
        <w:t xml:space="preserve">final </w:t>
      </w:r>
      <w:r w:rsidR="003C4FE3">
        <w:rPr>
          <w:color w:val="000000"/>
        </w:rPr>
        <w:t xml:space="preserve">rule </w:t>
      </w:r>
      <w:r w:rsidR="000317EE">
        <w:rPr>
          <w:color w:val="000000"/>
        </w:rPr>
        <w:t>that will impact 2019 public reporting</w:t>
      </w:r>
      <w:r w:rsidR="003C4FE3" w:rsidRPr="003C4FE3">
        <w:rPr>
          <w:color w:val="000000"/>
        </w:rPr>
        <w:t xml:space="preserve">, to include the names of all applicable quality reporting and pay-for-performance programs, and to add </w:t>
      </w:r>
      <w:r w:rsidR="003C4FE3">
        <w:rPr>
          <w:color w:val="000000"/>
        </w:rPr>
        <w:t xml:space="preserve">an </w:t>
      </w:r>
      <w:r w:rsidR="003C4FE3" w:rsidRPr="003C4FE3">
        <w:rPr>
          <w:color w:val="000000"/>
        </w:rPr>
        <w:t>option to request a footnote for claims-based measure data that are included in public reporting.</w:t>
      </w:r>
    </w:p>
    <w:p w14:paraId="7F6140F1" w14:textId="77777777" w:rsidR="00E02263" w:rsidRDefault="00E02263" w:rsidP="00D2257A">
      <w:pPr>
        <w:autoSpaceDE w:val="0"/>
        <w:autoSpaceDN w:val="0"/>
        <w:adjustRightInd w:val="0"/>
        <w:rPr>
          <w:color w:val="000000"/>
        </w:rPr>
      </w:pPr>
    </w:p>
    <w:p w14:paraId="51055E47" w14:textId="77777777" w:rsidR="00070838" w:rsidRDefault="00070838" w:rsidP="00070838">
      <w:pPr>
        <w:autoSpaceDE w:val="0"/>
        <w:autoSpaceDN w:val="0"/>
        <w:adjustRightInd w:val="0"/>
        <w:ind w:left="720" w:hanging="720"/>
        <w:rPr>
          <w:color w:val="000000"/>
        </w:rPr>
      </w:pPr>
      <w:r>
        <w:t xml:space="preserve">The CMS IPPS </w:t>
      </w:r>
      <w:r w:rsidRPr="00C545DB">
        <w:t xml:space="preserve">Quality Reporting Programs </w:t>
      </w:r>
      <w:r>
        <w:rPr>
          <w:color w:val="000000"/>
        </w:rPr>
        <w:t xml:space="preserve">Measure Exception Form for PC, ED, and HAI Data </w:t>
      </w:r>
    </w:p>
    <w:p w14:paraId="55FEA607" w14:textId="377FB5AD" w:rsidR="00070838" w:rsidRDefault="003D21C1" w:rsidP="003D21C1">
      <w:pPr>
        <w:autoSpaceDE w:val="0"/>
        <w:autoSpaceDN w:val="0"/>
        <w:adjustRightInd w:val="0"/>
      </w:pPr>
      <w:r>
        <w:rPr>
          <w:color w:val="000000"/>
        </w:rPr>
        <w:t xml:space="preserve">Submission </w:t>
      </w:r>
      <w:r w:rsidRPr="00D44B86">
        <w:rPr>
          <w:color w:val="000000"/>
        </w:rPr>
        <w:t>is being modified to add</w:t>
      </w:r>
      <w:r w:rsidRPr="003D21C1">
        <w:rPr>
          <w:color w:val="000000"/>
        </w:rPr>
        <w:t xml:space="preserve"> a signature line for the designated provider personnel’s signature and to remove reference to the </w:t>
      </w:r>
      <w:r w:rsidR="000317EE">
        <w:t>ED-1: Median Time from ED Arrival to ED Departure Time for Admitted ED Patients measure</w:t>
      </w:r>
      <w:r w:rsidR="00502752">
        <w:t xml:space="preserve">, </w:t>
      </w:r>
      <w:r w:rsidR="000317EE">
        <w:rPr>
          <w:color w:val="000000"/>
        </w:rPr>
        <w:t>as finalized in the FY 2019 IPPS/LTCH final rule effective</w:t>
      </w:r>
      <w:r w:rsidRPr="003D21C1">
        <w:rPr>
          <w:color w:val="000000"/>
        </w:rPr>
        <w:t xml:space="preserve"> with January 1, 2019 discharges.</w:t>
      </w:r>
    </w:p>
    <w:p w14:paraId="25344B63" w14:textId="77777777" w:rsidR="00070838" w:rsidRDefault="00070838" w:rsidP="00D2257A">
      <w:pPr>
        <w:autoSpaceDE w:val="0"/>
        <w:autoSpaceDN w:val="0"/>
        <w:adjustRightInd w:val="0"/>
        <w:rPr>
          <w:color w:val="000000"/>
        </w:rPr>
      </w:pPr>
    </w:p>
    <w:p w14:paraId="623CDD92" w14:textId="3A99157E" w:rsidR="00B5347A" w:rsidRPr="00D44B86" w:rsidRDefault="00B5347A" w:rsidP="00D2257A">
      <w:pPr>
        <w:autoSpaceDE w:val="0"/>
        <w:autoSpaceDN w:val="0"/>
        <w:adjustRightInd w:val="0"/>
      </w:pPr>
      <w:r w:rsidRPr="002D7046">
        <w:t xml:space="preserve">The </w:t>
      </w:r>
      <w:r>
        <w:t xml:space="preserve">CMS </w:t>
      </w:r>
      <w:r w:rsidRPr="00C545DB">
        <w:t xml:space="preserve">Quality Reporting Program </w:t>
      </w:r>
      <w:r>
        <w:t xml:space="preserve">APU Reconsideration </w:t>
      </w:r>
      <w:r w:rsidRPr="00D44B86">
        <w:t>Request Form</w:t>
      </w:r>
      <w:r w:rsidR="004A5745" w:rsidRPr="00D44B86">
        <w:t xml:space="preserve"> is being modified </w:t>
      </w:r>
      <w:r w:rsidR="003D21C1" w:rsidRPr="00D44B86">
        <w:t>to clarify instructions for submitting this request form.</w:t>
      </w:r>
    </w:p>
    <w:p w14:paraId="540D0440" w14:textId="77777777" w:rsidR="00B5347A" w:rsidRPr="00D44B86" w:rsidRDefault="00B5347A" w:rsidP="00D2257A">
      <w:pPr>
        <w:autoSpaceDE w:val="0"/>
        <w:autoSpaceDN w:val="0"/>
        <w:adjustRightInd w:val="0"/>
      </w:pPr>
    </w:p>
    <w:p w14:paraId="5BFCFBB3" w14:textId="6A245824" w:rsidR="003D21C1" w:rsidRPr="00D44B86" w:rsidRDefault="003D21C1" w:rsidP="00070838">
      <w:pPr>
        <w:autoSpaceDE w:val="0"/>
        <w:autoSpaceDN w:val="0"/>
        <w:adjustRightInd w:val="0"/>
        <w:rPr>
          <w:color w:val="000000"/>
        </w:rPr>
      </w:pPr>
      <w:r w:rsidRPr="00D44B86">
        <w:rPr>
          <w:color w:val="000000"/>
        </w:rPr>
        <w:t xml:space="preserve">The </w:t>
      </w:r>
      <w:r w:rsidRPr="00D44B86">
        <w:t>CMS Hospital IQR Program Validation Review for Reconsideration Request Form</w:t>
      </w:r>
      <w:r w:rsidRPr="00D44B86">
        <w:rPr>
          <w:color w:val="000000"/>
        </w:rPr>
        <w:t xml:space="preserve"> is being modified to clarify instructions for submitting this request form and to add a column for National Healthcare Safety Network Event ID number.</w:t>
      </w:r>
    </w:p>
    <w:p w14:paraId="1FE1A764" w14:textId="77777777" w:rsidR="003D21C1" w:rsidRPr="00D44B86" w:rsidRDefault="003D21C1" w:rsidP="00070838">
      <w:pPr>
        <w:autoSpaceDE w:val="0"/>
        <w:autoSpaceDN w:val="0"/>
        <w:adjustRightInd w:val="0"/>
        <w:rPr>
          <w:color w:val="000000"/>
        </w:rPr>
      </w:pPr>
    </w:p>
    <w:p w14:paraId="1268FFC4" w14:textId="42E7E75F" w:rsidR="00E23B48" w:rsidRDefault="00070838" w:rsidP="00070838">
      <w:pPr>
        <w:autoSpaceDE w:val="0"/>
        <w:autoSpaceDN w:val="0"/>
        <w:adjustRightInd w:val="0"/>
        <w:rPr>
          <w:color w:val="000000"/>
        </w:rPr>
      </w:pPr>
      <w:r w:rsidRPr="00D44B86">
        <w:rPr>
          <w:color w:val="000000"/>
        </w:rPr>
        <w:t>T</w:t>
      </w:r>
      <w:r w:rsidR="00E02263" w:rsidRPr="00D44B86">
        <w:rPr>
          <w:color w:val="000000"/>
        </w:rPr>
        <w:t xml:space="preserve">he </w:t>
      </w:r>
      <w:r w:rsidR="00551167" w:rsidRPr="00D44B86">
        <w:t xml:space="preserve">Hospital </w:t>
      </w:r>
      <w:r w:rsidR="003D21C1" w:rsidRPr="00D44B86">
        <w:t>Quality</w:t>
      </w:r>
      <w:r w:rsidR="00551167" w:rsidRPr="00D44B86">
        <w:t xml:space="preserve"> </w:t>
      </w:r>
      <w:r w:rsidR="003D21C1" w:rsidRPr="00D44B86">
        <w:t>Reporting</w:t>
      </w:r>
      <w:r w:rsidR="00551167" w:rsidRPr="00D44B86">
        <w:t xml:space="preserve"> Validation Educational Review Form</w:t>
      </w:r>
      <w:r w:rsidR="00E02263" w:rsidRPr="00D44B86">
        <w:t xml:space="preserve"> </w:t>
      </w:r>
      <w:r w:rsidR="003D21C1" w:rsidRPr="00D44B86">
        <w:t>is being modified with</w:t>
      </w:r>
      <w:r w:rsidR="003D21C1">
        <w:t xml:space="preserve"> a refined title.</w:t>
      </w:r>
    </w:p>
    <w:p w14:paraId="6128C6FC" w14:textId="77777777" w:rsidR="00E23B48" w:rsidRDefault="00E23B48" w:rsidP="00D2257A">
      <w:pPr>
        <w:autoSpaceDE w:val="0"/>
        <w:autoSpaceDN w:val="0"/>
        <w:adjustRightInd w:val="0"/>
        <w:rPr>
          <w:color w:val="000000"/>
        </w:rPr>
      </w:pPr>
    </w:p>
    <w:p w14:paraId="7466A801" w14:textId="17626B2D" w:rsidR="00E35AF9" w:rsidRDefault="00E35AF9" w:rsidP="00E35AF9">
      <w:pPr>
        <w:autoSpaceDE w:val="0"/>
        <w:autoSpaceDN w:val="0"/>
        <w:adjustRightInd w:val="0"/>
        <w:rPr>
          <w:color w:val="000000" w:themeColor="text1"/>
        </w:rPr>
      </w:pPr>
      <w:r w:rsidRPr="00D2257A">
        <w:rPr>
          <w:color w:val="000000"/>
        </w:rPr>
        <w:t xml:space="preserve">The </w:t>
      </w:r>
      <w:r w:rsidR="00657FB0" w:rsidRPr="00D44B86">
        <w:rPr>
          <w:color w:val="000000"/>
        </w:rPr>
        <w:t xml:space="preserve">CMS Quality Program </w:t>
      </w:r>
      <w:r w:rsidR="00657FB0" w:rsidRPr="00D44B86">
        <w:rPr>
          <w:bCs/>
        </w:rPr>
        <w:t>Extraordinary Circumstances Exceptions</w:t>
      </w:r>
      <w:r w:rsidR="00657FB0" w:rsidRPr="00D44B86">
        <w:rPr>
          <w:color w:val="000000"/>
        </w:rPr>
        <w:t xml:space="preserve"> Request Form</w:t>
      </w:r>
      <w:r w:rsidRPr="00D44B86">
        <w:rPr>
          <w:color w:val="000000"/>
        </w:rPr>
        <w:t xml:space="preserve"> is being modified </w:t>
      </w:r>
      <w:r w:rsidR="00570F55" w:rsidRPr="00D44B86">
        <w:rPr>
          <w:color w:val="000000"/>
        </w:rPr>
        <w:t xml:space="preserve">with a refined title and </w:t>
      </w:r>
      <w:r w:rsidRPr="00D44B86">
        <w:rPr>
          <w:color w:val="000000"/>
        </w:rPr>
        <w:t>to</w:t>
      </w:r>
      <w:r w:rsidR="003D21C1" w:rsidRPr="00D44B86">
        <w:rPr>
          <w:color w:val="000000"/>
        </w:rPr>
        <w:t xml:space="preserve"> add the Skilled Nursing Facility Value-Based Purchasing Program.</w:t>
      </w:r>
    </w:p>
    <w:p w14:paraId="2148353D" w14:textId="77777777" w:rsidR="00E35AF9" w:rsidRDefault="00E35AF9" w:rsidP="00D2257A">
      <w:pPr>
        <w:autoSpaceDE w:val="0"/>
        <w:autoSpaceDN w:val="0"/>
        <w:adjustRightInd w:val="0"/>
        <w:rPr>
          <w:color w:val="000000"/>
        </w:rPr>
      </w:pPr>
    </w:p>
    <w:p w14:paraId="6A2F16D6" w14:textId="76A577D1" w:rsidR="00851F5A" w:rsidRDefault="00851F5A" w:rsidP="00D2257A">
      <w:pPr>
        <w:autoSpaceDE w:val="0"/>
        <w:autoSpaceDN w:val="0"/>
        <w:adjustRightInd w:val="0"/>
        <w:rPr>
          <w:color w:val="000000"/>
        </w:rPr>
      </w:pPr>
      <w:r w:rsidRPr="00851F5A">
        <w:rPr>
          <w:color w:val="000000"/>
        </w:rPr>
        <w:t xml:space="preserve">The Validation templates for the CLABSI, CAUTI, MRSA, and CDI measures are updated annually </w:t>
      </w:r>
      <w:r w:rsidR="00FB39DF" w:rsidRPr="00FB39DF">
        <w:rPr>
          <w:color w:val="000000"/>
        </w:rPr>
        <w:t>to reflect the annual changes in fiscal year and beginning reporting quarter</w:t>
      </w:r>
      <w:r w:rsidR="008B65C5">
        <w:rPr>
          <w:color w:val="000000"/>
        </w:rPr>
        <w:t xml:space="preserve">, </w:t>
      </w:r>
      <w:r w:rsidR="008B65C5">
        <w:t>as well as new CDC pathogen lists,</w:t>
      </w:r>
      <w:r w:rsidR="00FB39DF" w:rsidRPr="00FB39DF">
        <w:rPr>
          <w:color w:val="000000"/>
        </w:rPr>
        <w:t xml:space="preserve"> </w:t>
      </w:r>
      <w:r w:rsidRPr="00851F5A">
        <w:rPr>
          <w:color w:val="000000"/>
        </w:rPr>
        <w:t>with each new selectio</w:t>
      </w:r>
      <w:r w:rsidR="00330B6B">
        <w:rPr>
          <w:color w:val="000000"/>
        </w:rPr>
        <w:t>n of hospitals for validation.</w:t>
      </w:r>
    </w:p>
    <w:p w14:paraId="2B8BF9FE" w14:textId="77777777" w:rsidR="00851F5A" w:rsidRDefault="00851F5A" w:rsidP="00D2257A">
      <w:pPr>
        <w:autoSpaceDE w:val="0"/>
        <w:autoSpaceDN w:val="0"/>
        <w:adjustRightInd w:val="0"/>
        <w:rPr>
          <w:color w:val="000000"/>
        </w:rPr>
      </w:pPr>
    </w:p>
    <w:p w14:paraId="34024E7B" w14:textId="25E9E382" w:rsidR="00851F5A" w:rsidRPr="00851F5A" w:rsidRDefault="00C16001" w:rsidP="00851F5A">
      <w:pPr>
        <w:autoSpaceDE w:val="0"/>
        <w:autoSpaceDN w:val="0"/>
        <w:adjustRightInd w:val="0"/>
        <w:rPr>
          <w:color w:val="000000"/>
        </w:rPr>
      </w:pPr>
      <w:r>
        <w:rPr>
          <w:color w:val="000000"/>
        </w:rPr>
        <w:t>All</w:t>
      </w:r>
      <w:r w:rsidR="00851F5A" w:rsidRPr="00851F5A">
        <w:rPr>
          <w:color w:val="000000"/>
        </w:rPr>
        <w:t xml:space="preserve"> </w:t>
      </w:r>
      <w:r w:rsidR="000834D6">
        <w:rPr>
          <w:color w:val="000000"/>
        </w:rPr>
        <w:t xml:space="preserve">of </w:t>
      </w:r>
      <w:r w:rsidR="00851F5A" w:rsidRPr="00851F5A">
        <w:rPr>
          <w:color w:val="000000"/>
        </w:rPr>
        <w:t>the</w:t>
      </w:r>
      <w:r w:rsidR="000834D6">
        <w:rPr>
          <w:color w:val="000000"/>
        </w:rPr>
        <w:t xml:space="preserve"> other</w:t>
      </w:r>
      <w:r w:rsidR="00851F5A" w:rsidRPr="00851F5A">
        <w:rPr>
          <w:color w:val="000000"/>
        </w:rPr>
        <w:t xml:space="preserve"> information collection forms listed above</w:t>
      </w:r>
      <w:r w:rsidR="00851F5A">
        <w:rPr>
          <w:color w:val="000000"/>
        </w:rPr>
        <w:t xml:space="preserve"> </w:t>
      </w:r>
      <w:r w:rsidR="00851F5A" w:rsidRPr="00851F5A">
        <w:rPr>
          <w:color w:val="000000"/>
        </w:rPr>
        <w:t xml:space="preserve">will continue to be used in the Hospital IQR </w:t>
      </w:r>
      <w:r w:rsidR="00502752">
        <w:rPr>
          <w:color w:val="000000"/>
        </w:rPr>
        <w:t xml:space="preserve">and </w:t>
      </w:r>
      <w:r w:rsidR="00502752">
        <w:t xml:space="preserve">Hospital VBP </w:t>
      </w:r>
      <w:r w:rsidR="00851F5A" w:rsidRPr="00851F5A">
        <w:rPr>
          <w:color w:val="000000"/>
        </w:rPr>
        <w:t>Program</w:t>
      </w:r>
      <w:r w:rsidR="00502752">
        <w:rPr>
          <w:color w:val="000000"/>
        </w:rPr>
        <w:t>s</w:t>
      </w:r>
      <w:r w:rsidR="000834D6">
        <w:rPr>
          <w:color w:val="000000"/>
        </w:rPr>
        <w:t xml:space="preserve"> without any modifications and</w:t>
      </w:r>
      <w:r w:rsidR="00851F5A" w:rsidRPr="00851F5A">
        <w:rPr>
          <w:color w:val="000000"/>
        </w:rPr>
        <w:t xml:space="preserve"> are not being revised with this PRA package</w:t>
      </w:r>
      <w:r w:rsidR="00B87F79">
        <w:rPr>
          <w:color w:val="000000"/>
        </w:rPr>
        <w:t>, except with respect to incorporating updated PRA disclosure statements on each form</w:t>
      </w:r>
      <w:r w:rsidR="00851F5A">
        <w:rPr>
          <w:color w:val="000000"/>
        </w:rPr>
        <w:t>.</w:t>
      </w:r>
    </w:p>
    <w:p w14:paraId="578989EB" w14:textId="77777777" w:rsidR="00851F5A" w:rsidRPr="00D2257A" w:rsidRDefault="00851F5A" w:rsidP="00D2257A">
      <w:pPr>
        <w:autoSpaceDE w:val="0"/>
        <w:autoSpaceDN w:val="0"/>
        <w:adjustRightInd w:val="0"/>
        <w:rPr>
          <w:color w:val="000000"/>
        </w:rPr>
      </w:pPr>
    </w:p>
    <w:p w14:paraId="527CCFEA" w14:textId="77777777" w:rsidR="00D348F6" w:rsidRDefault="00D348F6" w:rsidP="00D348F6">
      <w:pPr>
        <w:autoSpaceDE w:val="0"/>
        <w:autoSpaceDN w:val="0"/>
        <w:adjustRightInd w:val="0"/>
        <w:rPr>
          <w:color w:val="000000"/>
        </w:rPr>
      </w:pPr>
    </w:p>
    <w:p w14:paraId="19413228" w14:textId="77777777" w:rsidR="007236A4" w:rsidRPr="000C6729" w:rsidRDefault="000D165B" w:rsidP="007236A4">
      <w:pPr>
        <w:pStyle w:val="Heading1"/>
        <w:numPr>
          <w:ilvl w:val="0"/>
          <w:numId w:val="0"/>
        </w:numPr>
        <w:rPr>
          <w:u w:val="none"/>
        </w:rPr>
      </w:pPr>
      <w:r>
        <w:rPr>
          <w:u w:val="none"/>
        </w:rPr>
        <w:t>B</w:t>
      </w:r>
      <w:r w:rsidR="007236A4" w:rsidRPr="000C6729">
        <w:rPr>
          <w:u w:val="none"/>
        </w:rPr>
        <w:t>.  Justification</w:t>
      </w:r>
    </w:p>
    <w:p w14:paraId="752DDC74" w14:textId="77777777" w:rsidR="007236A4" w:rsidRDefault="007236A4" w:rsidP="007236A4">
      <w:pPr>
        <w:pStyle w:val="Heading1"/>
        <w:numPr>
          <w:ilvl w:val="0"/>
          <w:numId w:val="0"/>
        </w:numPr>
      </w:pPr>
    </w:p>
    <w:p w14:paraId="7B6F499F" w14:textId="77777777" w:rsidR="007236A4" w:rsidRPr="00792D0B" w:rsidRDefault="000C6729" w:rsidP="000C6729">
      <w:pPr>
        <w:pStyle w:val="Heading1"/>
        <w:numPr>
          <w:ilvl w:val="0"/>
          <w:numId w:val="0"/>
        </w:numPr>
      </w:pPr>
      <w:r>
        <w:t xml:space="preserve">1.  </w:t>
      </w:r>
      <w:r w:rsidR="0056156B">
        <w:t>Need and Legal Basis</w:t>
      </w:r>
    </w:p>
    <w:p w14:paraId="1751A67E" w14:textId="77777777" w:rsidR="007236A4" w:rsidRPr="00380FB9" w:rsidRDefault="007236A4" w:rsidP="007236A4"/>
    <w:p w14:paraId="326CF622" w14:textId="25EFC8CD" w:rsidR="007236A4" w:rsidRDefault="007236A4" w:rsidP="007236A4">
      <w:r w:rsidRPr="00380FB9">
        <w:t>To begin participation in the Hospital IQR</w:t>
      </w:r>
      <w:r w:rsidR="00720E4C">
        <w:t xml:space="preserve"> Program</w:t>
      </w:r>
      <w:r w:rsidRPr="00380FB9">
        <w:t xml:space="preserve">, all hospitals must complete a </w:t>
      </w:r>
      <w:r w:rsidR="0045361E">
        <w:t xml:space="preserve">Hospital Inpatient Quality Reporting </w:t>
      </w:r>
      <w:r w:rsidRPr="00380FB9">
        <w:t>Notice of Participation.</w:t>
      </w:r>
      <w:r>
        <w:t xml:space="preserve"> </w:t>
      </w:r>
      <w:r w:rsidRPr="00380FB9">
        <w:t xml:space="preserve"> The Notice of Participation explains the participation and reporting requirements for the program. </w:t>
      </w:r>
      <w:r>
        <w:t xml:space="preserve"> </w:t>
      </w:r>
      <w:r w:rsidRPr="00380FB9">
        <w:t xml:space="preserve">Subsection </w:t>
      </w:r>
      <w:r w:rsidR="00196312">
        <w:t>(d)</w:t>
      </w:r>
      <w:r w:rsidRPr="00380FB9">
        <w:t xml:space="preserve"> hospi</w:t>
      </w:r>
      <w:r w:rsidR="00224225">
        <w:t>tals covered under s</w:t>
      </w:r>
      <w:r w:rsidR="009C5D7D">
        <w:t>ection 5001</w:t>
      </w:r>
      <w:r w:rsidRPr="00380FB9">
        <w:t xml:space="preserve">(b) of the </w:t>
      </w:r>
      <w:r w:rsidR="00214057">
        <w:t>DRA</w:t>
      </w:r>
      <w:r w:rsidRPr="00380FB9">
        <w:t xml:space="preserve"> must complete </w:t>
      </w:r>
      <w:r w:rsidR="0045361E">
        <w:t>this</w:t>
      </w:r>
      <w:r w:rsidRPr="00380FB9">
        <w:t xml:space="preserve"> Notice of Participation.</w:t>
      </w:r>
      <w:r>
        <w:t xml:space="preserve"> </w:t>
      </w:r>
      <w:r w:rsidRPr="00380FB9">
        <w:t xml:space="preserve"> The form explains that in order to receive the full </w:t>
      </w:r>
      <w:r w:rsidR="0045361E" w:rsidRPr="00380FB9">
        <w:t>market basket update</w:t>
      </w:r>
      <w:r w:rsidR="0045361E">
        <w:t xml:space="preserve"> (or </w:t>
      </w:r>
      <w:r w:rsidR="00214057">
        <w:t>APU</w:t>
      </w:r>
      <w:r w:rsidR="0045361E">
        <w:t>)</w:t>
      </w:r>
      <w:r w:rsidRPr="00380FB9">
        <w:t>, the hospital</w:t>
      </w:r>
      <w:r w:rsidR="00196312">
        <w:t>s are</w:t>
      </w:r>
      <w:r w:rsidRPr="00380FB9">
        <w:t xml:space="preserve"> agreeing to allow CMS to publish their data f</w:t>
      </w:r>
      <w:r w:rsidR="00224225">
        <w:t>or public viewing according to s</w:t>
      </w:r>
      <w:r w:rsidRPr="00380FB9">
        <w:t>ections 1886(b)(3)(B)(viii)(I) and (II) of the Social Security Act.  Hospitals</w:t>
      </w:r>
      <w:r w:rsidR="00224225">
        <w:t xml:space="preserve"> not covered under s</w:t>
      </w:r>
      <w:r w:rsidR="009C5D7D">
        <w:t>ection 5001</w:t>
      </w:r>
      <w:r w:rsidRPr="00380FB9">
        <w:t xml:space="preserve">(b) of the </w:t>
      </w:r>
      <w:r w:rsidR="00214057">
        <w:t>DRA</w:t>
      </w:r>
      <w:r w:rsidRPr="00380FB9">
        <w:t xml:space="preserve"> may also wish to </w:t>
      </w:r>
      <w:r w:rsidR="00D47DB2">
        <w:t xml:space="preserve">voluntarily </w:t>
      </w:r>
      <w:r w:rsidRPr="00380FB9">
        <w:t xml:space="preserve">submit data and have their data published for public viewing. </w:t>
      </w:r>
      <w:r>
        <w:t xml:space="preserve"> </w:t>
      </w:r>
      <w:r w:rsidRPr="00380FB9">
        <w:t>In order to accommodate those hospitals, and to allow hospi</w:t>
      </w:r>
      <w:r w:rsidR="00224225">
        <w:t>tals covered under s</w:t>
      </w:r>
      <w:r w:rsidR="009C5D7D">
        <w:t>ection 5001</w:t>
      </w:r>
      <w:r w:rsidRPr="00380FB9">
        <w:t xml:space="preserve">(b) </w:t>
      </w:r>
      <w:r w:rsidR="00214057">
        <w:t xml:space="preserve">of the DRA </w:t>
      </w:r>
      <w:r w:rsidRPr="00380FB9">
        <w:t>to submit data on measures that may not be required under Sections 1886(b)(3)(B)(viii)(I) and (II) of the Social Security Act</w:t>
      </w:r>
      <w:r w:rsidR="009C5D7D">
        <w:t>,</w:t>
      </w:r>
      <w:r w:rsidRPr="00380FB9">
        <w:t xml:space="preserve"> a separate</w:t>
      </w:r>
      <w:r>
        <w:t xml:space="preserve"> section of the </w:t>
      </w:r>
      <w:r w:rsidR="00214057">
        <w:t>participation</w:t>
      </w:r>
      <w:r w:rsidR="00214057" w:rsidRPr="00380FB9">
        <w:t xml:space="preserve"> </w:t>
      </w:r>
      <w:r w:rsidRPr="00380FB9">
        <w:t xml:space="preserve">form </w:t>
      </w:r>
      <w:r w:rsidR="00224225">
        <w:t>w</w:t>
      </w:r>
      <w:r w:rsidRPr="00380FB9">
        <w:t xml:space="preserve">as </w:t>
      </w:r>
      <w:r w:rsidR="00224225">
        <w:t>previously</w:t>
      </w:r>
      <w:r w:rsidRPr="00380FB9">
        <w:t xml:space="preserve"> developed</w:t>
      </w:r>
      <w:r w:rsidR="00224225">
        <w:t>, referred to as the Optional Public Reporting Notice of Participation</w:t>
      </w:r>
      <w:r w:rsidRPr="00380FB9">
        <w:t xml:space="preserve">.  This </w:t>
      </w:r>
      <w:r w:rsidR="00214057">
        <w:t xml:space="preserve">participation </w:t>
      </w:r>
      <w:r>
        <w:t>portion</w:t>
      </w:r>
      <w:r w:rsidRPr="00380FB9">
        <w:t xml:space="preserve"> gives CMS permission to collect and publish data that </w:t>
      </w:r>
      <w:r w:rsidR="00D82ED7">
        <w:t>are</w:t>
      </w:r>
      <w:r w:rsidRPr="00380FB9">
        <w:t xml:space="preserve"> voluntarily submitted by </w:t>
      </w:r>
      <w:r w:rsidR="009C5D7D">
        <w:t>a</w:t>
      </w:r>
      <w:r w:rsidRPr="00380FB9">
        <w:t xml:space="preserve"> hospital.  These hospitals may choose to suppress a measure or measures prior to their posting on</w:t>
      </w:r>
      <w:r w:rsidR="00A33F3D">
        <w:t xml:space="preserve"> the CMS</w:t>
      </w:r>
      <w:r w:rsidRPr="00380FB9">
        <w:t xml:space="preserve"> </w:t>
      </w:r>
      <w:r w:rsidRPr="00B30999">
        <w:rPr>
          <w:i/>
        </w:rPr>
        <w:t>Hospital Compare</w:t>
      </w:r>
      <w:r w:rsidR="00A33F3D">
        <w:t xml:space="preserve"> website.</w:t>
      </w:r>
      <w:r w:rsidRPr="00380FB9">
        <w:t xml:space="preserve"> </w:t>
      </w:r>
      <w:r>
        <w:t xml:space="preserve"> </w:t>
      </w:r>
      <w:r w:rsidRPr="00380FB9">
        <w:t xml:space="preserve">In order to reduce burden, a hospital that indicated its intent to participate will be considered an active Hospital IQR </w:t>
      </w:r>
      <w:r w:rsidR="00720E4C">
        <w:t xml:space="preserve">Program </w:t>
      </w:r>
      <w:r w:rsidRPr="00380FB9">
        <w:t>participant until the hospital submits a withdrawal to CMS.</w:t>
      </w:r>
      <w:r>
        <w:t xml:space="preserve">  </w:t>
      </w:r>
      <w:r w:rsidRPr="00380FB9">
        <w:t xml:space="preserve">Hospitals that no longer </w:t>
      </w:r>
      <w:r>
        <w:t>wish</w:t>
      </w:r>
      <w:r w:rsidRPr="00380FB9">
        <w:t xml:space="preserve"> to participate in the Hospital IQR </w:t>
      </w:r>
      <w:r w:rsidR="00720E4C">
        <w:t>P</w:t>
      </w:r>
      <w:r w:rsidRPr="00380FB9">
        <w:t xml:space="preserve">rogram or those </w:t>
      </w:r>
      <w:r w:rsidR="00D82ED7">
        <w:t>that</w:t>
      </w:r>
      <w:r w:rsidR="00D82ED7" w:rsidRPr="00380FB9">
        <w:t xml:space="preserve"> </w:t>
      </w:r>
      <w:r w:rsidRPr="00380FB9">
        <w:t xml:space="preserve">no longer </w:t>
      </w:r>
      <w:r>
        <w:t>wish</w:t>
      </w:r>
      <w:r w:rsidRPr="00380FB9">
        <w:t xml:space="preserve"> to submit data for publishing on </w:t>
      </w:r>
      <w:r w:rsidRPr="00B30999">
        <w:rPr>
          <w:i/>
        </w:rPr>
        <w:t>Hospital Compare</w:t>
      </w:r>
      <w:r w:rsidRPr="00380FB9">
        <w:t xml:space="preserve"> can notify CMS of their decision via the </w:t>
      </w:r>
      <w:r>
        <w:t xml:space="preserve">same </w:t>
      </w:r>
      <w:r w:rsidR="00214057" w:rsidRPr="00380FB9">
        <w:t>Notice of Participation</w:t>
      </w:r>
      <w:r>
        <w:t xml:space="preserve"> form discussed above.  </w:t>
      </w:r>
    </w:p>
    <w:p w14:paraId="192B3F56" w14:textId="77777777" w:rsidR="007236A4" w:rsidRPr="00380FB9" w:rsidRDefault="007236A4" w:rsidP="007236A4"/>
    <w:p w14:paraId="2B297693" w14:textId="2A087E46" w:rsidR="007236A4" w:rsidRPr="00380FB9" w:rsidRDefault="007236A4" w:rsidP="007236A4">
      <w:r w:rsidRPr="00380FB9">
        <w:t xml:space="preserve">Annually, </w:t>
      </w:r>
      <w:r w:rsidR="00D82ED7">
        <w:t>s</w:t>
      </w:r>
      <w:r w:rsidRPr="00380FB9">
        <w:t xml:space="preserve">ubsection </w:t>
      </w:r>
      <w:r w:rsidR="00D82ED7">
        <w:t>(d)</w:t>
      </w:r>
      <w:r w:rsidRPr="00380FB9">
        <w:t xml:space="preserve"> hospita</w:t>
      </w:r>
      <w:r w:rsidR="009D5651">
        <w:t>ls covered under s</w:t>
      </w:r>
      <w:r w:rsidRPr="00380FB9">
        <w:t xml:space="preserve">ection 5001(b) of the </w:t>
      </w:r>
      <w:r w:rsidR="00214057">
        <w:t>DRA</w:t>
      </w:r>
      <w:r w:rsidRPr="00380FB9">
        <w:t xml:space="preserve"> must complete a </w:t>
      </w:r>
      <w:r w:rsidR="00145344" w:rsidRPr="00C545DB">
        <w:t xml:space="preserve">Hospital Quality Reporting </w:t>
      </w:r>
      <w:r w:rsidR="00145344">
        <w:t>Data Accuracy and Completeness Acknowledgement (DACA)</w:t>
      </w:r>
      <w:r w:rsidR="00D47DB2">
        <w:t xml:space="preserve"> </w:t>
      </w:r>
      <w:r w:rsidRPr="00380FB9">
        <w:t xml:space="preserve">form at the end of </w:t>
      </w:r>
      <w:r>
        <w:t xml:space="preserve">each </w:t>
      </w:r>
      <w:r w:rsidRPr="00380FB9">
        <w:t xml:space="preserve">reporting year. </w:t>
      </w:r>
      <w:r>
        <w:t xml:space="preserve"> </w:t>
      </w:r>
      <w:r w:rsidRPr="00380FB9">
        <w:t xml:space="preserve">This requirement was added based on a U.S. Government Accountability Office report from 2006 </w:t>
      </w:r>
      <w:r w:rsidR="00D82ED7">
        <w:t>that</w:t>
      </w:r>
      <w:r w:rsidR="00D82ED7" w:rsidRPr="00380FB9">
        <w:t xml:space="preserve"> </w:t>
      </w:r>
      <w:r w:rsidRPr="00380FB9">
        <w:t>recommended that CMS require hospitals to “formally attest to the completeness of the quality data that they submit</w:t>
      </w:r>
      <w:r w:rsidR="00D82ED7">
        <w:t>.</w:t>
      </w:r>
      <w:r w:rsidRPr="00380FB9">
        <w:t>”</w:t>
      </w:r>
      <w:r>
        <w:t xml:space="preserve"> </w:t>
      </w:r>
      <w:r w:rsidRPr="00380FB9">
        <w:t xml:space="preserve"> This form is simply </w:t>
      </w:r>
      <w:r>
        <w:t xml:space="preserve">an </w:t>
      </w:r>
      <w:r w:rsidRPr="00380FB9">
        <w:t xml:space="preserve">acknowledgement that the data a hospital has submitted </w:t>
      </w:r>
      <w:r w:rsidR="00D47DB2">
        <w:t>are</w:t>
      </w:r>
      <w:r w:rsidRPr="00380FB9">
        <w:t xml:space="preserve"> complete and accurate</w:t>
      </w:r>
      <w:r>
        <w:t xml:space="preserve"> and is completed annually</w:t>
      </w:r>
      <w:r w:rsidRPr="00380FB9">
        <w:t>.</w:t>
      </w:r>
    </w:p>
    <w:p w14:paraId="70B69EF2" w14:textId="77777777" w:rsidR="007236A4" w:rsidRPr="00380FB9" w:rsidRDefault="007236A4" w:rsidP="007236A4"/>
    <w:p w14:paraId="28FC96F0" w14:textId="4929986B" w:rsidR="007236A4" w:rsidRPr="00380FB9" w:rsidRDefault="007236A4" w:rsidP="007236A4">
      <w:r w:rsidRPr="00380FB9">
        <w:t>Hospitals th</w:t>
      </w:r>
      <w:r w:rsidR="009D5651">
        <w:t>at submit data not required by s</w:t>
      </w:r>
      <w:r w:rsidRPr="00380FB9">
        <w:t>ections 1886(b)(3)(B)(viii)(I) and (II) of the Social Security Act may elect to have th</w:t>
      </w:r>
      <w:r w:rsidR="00D82ED7">
        <w:t>ose</w:t>
      </w:r>
      <w:r w:rsidRPr="00380FB9">
        <w:t xml:space="preserve"> data withheld from public reporting by completing the </w:t>
      </w:r>
      <w:r w:rsidR="00D47DB2" w:rsidRPr="009D5651">
        <w:rPr>
          <w:i/>
        </w:rPr>
        <w:t>Hospital Compare</w:t>
      </w:r>
      <w:r w:rsidR="00D47DB2">
        <w:t xml:space="preserve"> </w:t>
      </w:r>
      <w:r w:rsidRPr="00380FB9">
        <w:rPr>
          <w:bCs/>
        </w:rPr>
        <w:t xml:space="preserve">Request </w:t>
      </w:r>
      <w:r w:rsidR="009D5651">
        <w:rPr>
          <w:bCs/>
        </w:rPr>
        <w:t xml:space="preserve">Form </w:t>
      </w:r>
      <w:r w:rsidRPr="00380FB9">
        <w:rPr>
          <w:bCs/>
        </w:rPr>
        <w:t>for Withholding</w:t>
      </w:r>
      <w:r w:rsidR="009D5651">
        <w:rPr>
          <w:bCs/>
        </w:rPr>
        <w:t>/Footnoting Data from Public Reporting</w:t>
      </w:r>
      <w:r w:rsidRPr="00380FB9">
        <w:rPr>
          <w:bCs/>
        </w:rPr>
        <w:t xml:space="preserve">.  Once the form is submitted, data can be withheld for the quarter in which the form is submitted. </w:t>
      </w:r>
      <w:r>
        <w:rPr>
          <w:bCs/>
        </w:rPr>
        <w:t xml:space="preserve"> </w:t>
      </w:r>
      <w:r w:rsidRPr="00380FB9">
        <w:rPr>
          <w:bCs/>
        </w:rPr>
        <w:t>However, t</w:t>
      </w:r>
      <w:r w:rsidRPr="00380FB9">
        <w:t xml:space="preserve">he data will be released on </w:t>
      </w:r>
      <w:r w:rsidRPr="00380FB9">
        <w:rPr>
          <w:i/>
          <w:iCs/>
        </w:rPr>
        <w:t xml:space="preserve">Hospital Compare </w:t>
      </w:r>
      <w:r w:rsidRPr="00380FB9">
        <w:t xml:space="preserve">for subsequent releases unless the hospital submits a new Request </w:t>
      </w:r>
      <w:r w:rsidR="00D01112">
        <w:t xml:space="preserve">Form </w:t>
      </w:r>
      <w:r w:rsidRPr="00380FB9">
        <w:t>for Withholding</w:t>
      </w:r>
      <w:r w:rsidR="00D01112">
        <w:t>/Footnoting</w:t>
      </w:r>
      <w:r w:rsidRPr="00380FB9">
        <w:t xml:space="preserve"> </w:t>
      </w:r>
      <w:r w:rsidR="00214057" w:rsidRPr="00380FB9">
        <w:rPr>
          <w:bCs/>
        </w:rPr>
        <w:t>Data from Public Reporting</w:t>
      </w:r>
      <w:r w:rsidRPr="00380FB9">
        <w:t xml:space="preserve"> indicating the measures the hospital would like to withhold from public reporting for the period. </w:t>
      </w:r>
      <w:r w:rsidR="009D5651">
        <w:t xml:space="preserve"> As described above, t</w:t>
      </w:r>
      <w:r w:rsidR="00145344">
        <w:t xml:space="preserve">his form is being </w:t>
      </w:r>
      <w:r w:rsidR="00145344" w:rsidRPr="00145344">
        <w:t xml:space="preserve">modified </w:t>
      </w:r>
      <w:r w:rsidR="009D5651" w:rsidRPr="003C4FE3">
        <w:rPr>
          <w:color w:val="000000"/>
        </w:rPr>
        <w:t xml:space="preserve">with </w:t>
      </w:r>
      <w:r w:rsidR="009D5651">
        <w:rPr>
          <w:color w:val="000000"/>
        </w:rPr>
        <w:t xml:space="preserve">a </w:t>
      </w:r>
      <w:r w:rsidR="009D5651" w:rsidRPr="003C4FE3">
        <w:rPr>
          <w:color w:val="000000"/>
        </w:rPr>
        <w:t>refined title, to add/remove measures for the upcoming preview period</w:t>
      </w:r>
      <w:r w:rsidR="005448C6">
        <w:rPr>
          <w:color w:val="000000"/>
        </w:rPr>
        <w:t>s</w:t>
      </w:r>
      <w:r w:rsidR="009D5651" w:rsidRPr="003C4FE3">
        <w:rPr>
          <w:color w:val="000000"/>
        </w:rPr>
        <w:t xml:space="preserve"> and </w:t>
      </w:r>
      <w:r w:rsidR="009D5651" w:rsidRPr="003C4FE3">
        <w:rPr>
          <w:i/>
          <w:color w:val="000000"/>
        </w:rPr>
        <w:t>Hospital Compare</w:t>
      </w:r>
      <w:r w:rsidR="009D5651" w:rsidRPr="003C4FE3">
        <w:rPr>
          <w:color w:val="000000"/>
        </w:rPr>
        <w:t xml:space="preserve"> release</w:t>
      </w:r>
      <w:r w:rsidR="005448C6">
        <w:rPr>
          <w:color w:val="000000"/>
        </w:rPr>
        <w:t>s in 2019</w:t>
      </w:r>
      <w:r w:rsidR="009D5651" w:rsidRPr="003C4FE3">
        <w:rPr>
          <w:color w:val="000000"/>
        </w:rPr>
        <w:t xml:space="preserve">, including </w:t>
      </w:r>
      <w:r w:rsidR="005020D1">
        <w:rPr>
          <w:color w:val="000000"/>
        </w:rPr>
        <w:t xml:space="preserve">the </w:t>
      </w:r>
      <w:r w:rsidR="009D5651" w:rsidRPr="003C4FE3">
        <w:rPr>
          <w:color w:val="000000"/>
        </w:rPr>
        <w:t xml:space="preserve">measure </w:t>
      </w:r>
      <w:r w:rsidR="005020D1">
        <w:rPr>
          <w:color w:val="000000"/>
        </w:rPr>
        <w:t xml:space="preserve">removals as finalized </w:t>
      </w:r>
      <w:r w:rsidR="009D5651">
        <w:rPr>
          <w:color w:val="000000"/>
        </w:rPr>
        <w:t xml:space="preserve">in the FY 2019 IPPS/LTCH </w:t>
      </w:r>
      <w:r w:rsidR="005020D1">
        <w:rPr>
          <w:color w:val="000000"/>
        </w:rPr>
        <w:t xml:space="preserve">final </w:t>
      </w:r>
      <w:r w:rsidR="009D5651">
        <w:rPr>
          <w:color w:val="000000"/>
        </w:rPr>
        <w:t xml:space="preserve">rule </w:t>
      </w:r>
      <w:r w:rsidR="005448C6">
        <w:rPr>
          <w:color w:val="000000"/>
        </w:rPr>
        <w:t>that will impact 2019 public reporting</w:t>
      </w:r>
      <w:r w:rsidR="009D5651" w:rsidRPr="003C4FE3">
        <w:rPr>
          <w:color w:val="000000"/>
        </w:rPr>
        <w:t xml:space="preserve">, to include the names of all applicable quality reporting and pay-for-performance programs, and to add </w:t>
      </w:r>
      <w:r w:rsidR="009D5651">
        <w:rPr>
          <w:color w:val="000000"/>
        </w:rPr>
        <w:t xml:space="preserve">an </w:t>
      </w:r>
      <w:r w:rsidR="009D5651" w:rsidRPr="003C4FE3">
        <w:rPr>
          <w:color w:val="000000"/>
        </w:rPr>
        <w:t>option to request a footnote for claims-based measure data that are included in public reporting</w:t>
      </w:r>
      <w:r w:rsidR="00330B6B">
        <w:t>.</w:t>
      </w:r>
    </w:p>
    <w:p w14:paraId="7D3733C0" w14:textId="77777777" w:rsidR="007236A4" w:rsidRDefault="007236A4" w:rsidP="007236A4">
      <w:pPr>
        <w:autoSpaceDE w:val="0"/>
        <w:autoSpaceDN w:val="0"/>
        <w:adjustRightInd w:val="0"/>
      </w:pPr>
    </w:p>
    <w:p w14:paraId="4447F4AC" w14:textId="0D64267D" w:rsidR="007236A4" w:rsidRDefault="007236A4" w:rsidP="007236A4">
      <w:r w:rsidRPr="00380FB9">
        <w:t xml:space="preserve">Hospitals that do </w:t>
      </w:r>
      <w:r w:rsidR="00676665">
        <w:t xml:space="preserve">not </w:t>
      </w:r>
      <w:r w:rsidRPr="00380FB9">
        <w:t xml:space="preserve">treat the conditions or </w:t>
      </w:r>
      <w:r w:rsidR="00676665">
        <w:t xml:space="preserve">do not </w:t>
      </w:r>
      <w:r w:rsidRPr="00380FB9">
        <w:t>have treatment locations defined for the National Healthcare Safety Network</w:t>
      </w:r>
      <w:r w:rsidR="00676665">
        <w:t xml:space="preserve">’s </w:t>
      </w:r>
      <w:r w:rsidR="00DF77E9">
        <w:t>h</w:t>
      </w:r>
      <w:r w:rsidR="00676665" w:rsidRPr="00380FB9">
        <w:t>ealthcare</w:t>
      </w:r>
      <w:r w:rsidR="00676665">
        <w:t>-</w:t>
      </w:r>
      <w:r w:rsidR="00DF77E9">
        <w:t>associated i</w:t>
      </w:r>
      <w:r w:rsidR="00676665" w:rsidRPr="00380FB9">
        <w:t>nfection</w:t>
      </w:r>
      <w:r w:rsidR="00676665">
        <w:t xml:space="preserve"> </w:t>
      </w:r>
      <w:r w:rsidR="00C315A1">
        <w:t xml:space="preserve">(HAI) </w:t>
      </w:r>
      <w:r w:rsidR="00676665">
        <w:t>measures used in the Hospital IQR Program (</w:t>
      </w:r>
      <w:r w:rsidR="00676665" w:rsidRPr="009549A8">
        <w:rPr>
          <w:color w:val="000000" w:themeColor="text1"/>
        </w:rPr>
        <w:t xml:space="preserve">CLABSI, CAUTI, </w:t>
      </w:r>
      <w:r w:rsidR="00676665">
        <w:rPr>
          <w:color w:val="000000" w:themeColor="text1"/>
        </w:rPr>
        <w:t>and S</w:t>
      </w:r>
      <w:r w:rsidR="008F720F">
        <w:rPr>
          <w:color w:val="000000" w:themeColor="text1"/>
        </w:rPr>
        <w:t xml:space="preserve">urgical </w:t>
      </w:r>
      <w:r w:rsidR="00676665">
        <w:rPr>
          <w:color w:val="000000" w:themeColor="text1"/>
        </w:rPr>
        <w:t>S</w:t>
      </w:r>
      <w:r w:rsidR="008F720F">
        <w:rPr>
          <w:color w:val="000000" w:themeColor="text1"/>
        </w:rPr>
        <w:t xml:space="preserve">ite </w:t>
      </w:r>
      <w:r w:rsidR="00676665">
        <w:rPr>
          <w:color w:val="000000" w:themeColor="text1"/>
        </w:rPr>
        <w:t>I</w:t>
      </w:r>
      <w:r w:rsidR="008F720F">
        <w:rPr>
          <w:color w:val="000000" w:themeColor="text1"/>
        </w:rPr>
        <w:t>nfection</w:t>
      </w:r>
      <w:r w:rsidR="00676665">
        <w:rPr>
          <w:color w:val="000000" w:themeColor="text1"/>
        </w:rPr>
        <w:t>)</w:t>
      </w:r>
      <w:r w:rsidRPr="00380FB9">
        <w:t xml:space="preserve"> have the option to either complete the enrollment process with </w:t>
      </w:r>
      <w:r w:rsidR="00DF77E9" w:rsidRPr="00380FB9">
        <w:t>National Healthcare Safety Network</w:t>
      </w:r>
      <w:r w:rsidRPr="00380FB9">
        <w:t xml:space="preserve"> and indicate that they do not have patients </w:t>
      </w:r>
      <w:r w:rsidR="00D82ED7">
        <w:t>who</w:t>
      </w:r>
      <w:r w:rsidR="00D82ED7" w:rsidRPr="00380FB9">
        <w:t xml:space="preserve"> </w:t>
      </w:r>
      <w:r w:rsidRPr="00380FB9">
        <w:t>meet the measures requirements or they can submit a</w:t>
      </w:r>
      <w:r w:rsidR="00676665">
        <w:t xml:space="preserve"> </w:t>
      </w:r>
      <w:r w:rsidR="00D47DB2">
        <w:t>CMS</w:t>
      </w:r>
      <w:r w:rsidR="00D47DB2" w:rsidRPr="00C545DB">
        <w:t xml:space="preserve"> Inpatient Prospective Payment System (IPPS) Quality Reporting Programs </w:t>
      </w:r>
      <w:r w:rsidR="00676665">
        <w:t>Measure</w:t>
      </w:r>
      <w:r w:rsidRPr="00380FB9">
        <w:t xml:space="preserve"> Exception</w:t>
      </w:r>
      <w:r w:rsidR="00676665">
        <w:t xml:space="preserve"> Form</w:t>
      </w:r>
      <w:r w:rsidR="008938D6">
        <w:t xml:space="preserve"> </w:t>
      </w:r>
      <w:r w:rsidR="008938D6">
        <w:rPr>
          <w:color w:val="000000"/>
        </w:rPr>
        <w:t>for PC, ED, and HAI Data Submission</w:t>
      </w:r>
      <w:r w:rsidRPr="00380FB9">
        <w:t xml:space="preserve">.  </w:t>
      </w:r>
      <w:r w:rsidR="00BD6124" w:rsidRPr="00BD6124">
        <w:t>Hospital</w:t>
      </w:r>
      <w:r w:rsidR="00BD6124">
        <w:t>s that do not have an Obstetrics Department and do</w:t>
      </w:r>
      <w:r w:rsidR="00BD6124" w:rsidRPr="00BD6124">
        <w:t xml:space="preserve"> not deliver babies</w:t>
      </w:r>
      <w:r w:rsidR="008577AF">
        <w:t xml:space="preserve"> </w:t>
      </w:r>
      <w:r w:rsidR="00BD6124">
        <w:t>may</w:t>
      </w:r>
      <w:r w:rsidR="008938D6">
        <w:t xml:space="preserve"> </w:t>
      </w:r>
      <w:r w:rsidR="00BD6124">
        <w:t xml:space="preserve">use </w:t>
      </w:r>
      <w:r w:rsidR="008938D6">
        <w:t>this form</w:t>
      </w:r>
      <w:r w:rsidR="00BD6124">
        <w:t xml:space="preserve"> for the PC-01</w:t>
      </w:r>
      <w:r w:rsidR="00D47DB2">
        <w:t>: Elective Delivery</w:t>
      </w:r>
      <w:r w:rsidR="00BD6124">
        <w:t xml:space="preserve"> measure.  In addition, h</w:t>
      </w:r>
      <w:r w:rsidR="00BD6124" w:rsidRPr="00BD6124">
        <w:t>ospital</w:t>
      </w:r>
      <w:r w:rsidR="00BD6124">
        <w:t xml:space="preserve">s that do not have an Emergency Department </w:t>
      </w:r>
      <w:r w:rsidR="001A0D1F">
        <w:t xml:space="preserve">(ED) </w:t>
      </w:r>
      <w:r w:rsidR="00BD6124">
        <w:t>and do</w:t>
      </w:r>
      <w:r w:rsidR="00BD6124" w:rsidRPr="00BD6124">
        <w:t xml:space="preserve"> not provide emergency care</w:t>
      </w:r>
      <w:r w:rsidR="00BD6124">
        <w:t xml:space="preserve"> may use </w:t>
      </w:r>
      <w:r w:rsidR="008938D6">
        <w:t>this form</w:t>
      </w:r>
      <w:r w:rsidR="00BD6124">
        <w:t xml:space="preserve"> for the ED-1</w:t>
      </w:r>
      <w:r w:rsidR="001A0D1F">
        <w:t>: Median Time from ED Arrival to ED Departure Time for Admitted ED Patients measure</w:t>
      </w:r>
      <w:r w:rsidR="00BD6124">
        <w:t xml:space="preserve"> and </w:t>
      </w:r>
      <w:r w:rsidR="001A0D1F">
        <w:t xml:space="preserve">the </w:t>
      </w:r>
      <w:r w:rsidR="00BD6124">
        <w:t>ED-2</w:t>
      </w:r>
      <w:r w:rsidR="001A0D1F">
        <w:t>: Admit Decision Time to ED Departure Time for Admitted Patients</w:t>
      </w:r>
      <w:r w:rsidR="00BD6124">
        <w:t xml:space="preserve"> measure.  </w:t>
      </w:r>
      <w:r w:rsidR="008938D6">
        <w:t>This</w:t>
      </w:r>
      <w:r w:rsidRPr="00380FB9">
        <w:t xml:space="preserve"> </w:t>
      </w:r>
      <w:r w:rsidR="00676665">
        <w:t xml:space="preserve">Measure </w:t>
      </w:r>
      <w:r w:rsidR="008132AC">
        <w:t>E</w:t>
      </w:r>
      <w:r>
        <w:t>xception</w:t>
      </w:r>
      <w:r w:rsidRPr="00380FB9">
        <w:t xml:space="preserve"> </w:t>
      </w:r>
      <w:r w:rsidR="008132AC">
        <w:t>F</w:t>
      </w:r>
      <w:r w:rsidRPr="00380FB9">
        <w:t>orm will reduce the burden of completing the entire N</w:t>
      </w:r>
      <w:r w:rsidR="00DF77E9">
        <w:t xml:space="preserve">ational </w:t>
      </w:r>
      <w:r w:rsidRPr="00380FB9">
        <w:t>H</w:t>
      </w:r>
      <w:r w:rsidR="00DF77E9">
        <w:t xml:space="preserve">ealthcare </w:t>
      </w:r>
      <w:r w:rsidRPr="00380FB9">
        <w:t>S</w:t>
      </w:r>
      <w:r w:rsidR="00DF77E9">
        <w:t xml:space="preserve">afety </w:t>
      </w:r>
      <w:r w:rsidRPr="00380FB9">
        <w:t>N</w:t>
      </w:r>
      <w:r w:rsidR="00DF77E9">
        <w:t>etwork</w:t>
      </w:r>
      <w:r w:rsidRPr="00380FB9">
        <w:t xml:space="preserve"> enrollment process </w:t>
      </w:r>
      <w:r w:rsidR="00D24028">
        <w:t xml:space="preserve">or entering zero denominator information for inapplicable measures </w:t>
      </w:r>
      <w:r w:rsidRPr="00380FB9">
        <w:t>for the hospitals that meet the exception requirement</w:t>
      </w:r>
      <w:r w:rsidR="00D24028">
        <w:t>s</w:t>
      </w:r>
      <w:r w:rsidRPr="00380FB9">
        <w:t>.</w:t>
      </w:r>
      <w:r w:rsidR="00992970">
        <w:t xml:space="preserve"> </w:t>
      </w:r>
      <w:r w:rsidR="00DF77E9">
        <w:t xml:space="preserve"> </w:t>
      </w:r>
      <w:r w:rsidR="00992970">
        <w:t>We note that</w:t>
      </w:r>
      <w:r w:rsidR="00247863">
        <w:t>, as discussed in section</w:t>
      </w:r>
      <w:r w:rsidR="00D01112">
        <w:t>s B.12 and B.15 below</w:t>
      </w:r>
      <w:r w:rsidR="00247863">
        <w:t>,</w:t>
      </w:r>
      <w:r w:rsidR="00992970">
        <w:t xml:space="preserve"> </w:t>
      </w:r>
      <w:r w:rsidR="00247863">
        <w:t xml:space="preserve">we are </w:t>
      </w:r>
      <w:r w:rsidR="00A13537">
        <w:t xml:space="preserve">finalizing our </w:t>
      </w:r>
      <w:r w:rsidR="00247863">
        <w:t>propos</w:t>
      </w:r>
      <w:r w:rsidR="00A13537">
        <w:t>als</w:t>
      </w:r>
      <w:r w:rsidR="00247863">
        <w:t xml:space="preserve"> to remove</w:t>
      </w:r>
      <w:r w:rsidR="00F76D0B">
        <w:t xml:space="preserve"> the</w:t>
      </w:r>
      <w:r w:rsidR="00247863">
        <w:t xml:space="preserve"> ED-1 and ED-2 </w:t>
      </w:r>
      <w:r w:rsidR="00F76D0B">
        <w:t xml:space="preserve">chart-abstracted measures </w:t>
      </w:r>
      <w:r w:rsidR="00247863">
        <w:t xml:space="preserve">in the FY 2019 IPPS/LTCH PPS </w:t>
      </w:r>
      <w:r w:rsidR="00971DE4">
        <w:t xml:space="preserve">final </w:t>
      </w:r>
      <w:r w:rsidR="00247863">
        <w:t xml:space="preserve">rule.  </w:t>
      </w:r>
      <w:r w:rsidR="00940BE2">
        <w:t>As such</w:t>
      </w:r>
      <w:r w:rsidR="00C86FF6">
        <w:t xml:space="preserve">, none of the ED measures </w:t>
      </w:r>
      <w:r w:rsidR="00940BE2">
        <w:t xml:space="preserve">will </w:t>
      </w:r>
      <w:r w:rsidR="00C86FF6">
        <w:t>remain in the Hospital IQR Program</w:t>
      </w:r>
      <w:r w:rsidR="00F76D0B">
        <w:t xml:space="preserve"> by the FY 2022 payment determination, and </w:t>
      </w:r>
      <w:r w:rsidR="00C86FF6">
        <w:t xml:space="preserve">hospitals that do not provide emergency care would not need to </w:t>
      </w:r>
      <w:r w:rsidR="00F76D0B">
        <w:t>use</w:t>
      </w:r>
      <w:r w:rsidR="00C86FF6">
        <w:t xml:space="preserve"> the Measure </w:t>
      </w:r>
      <w:r w:rsidR="00780368">
        <w:t>Exception</w:t>
      </w:r>
      <w:r w:rsidR="00C86FF6">
        <w:t xml:space="preserve"> Form. </w:t>
      </w:r>
    </w:p>
    <w:p w14:paraId="17823DE2" w14:textId="77777777" w:rsidR="00721428" w:rsidRPr="00E710EA" w:rsidRDefault="00721428" w:rsidP="00EC1002">
      <w:pPr>
        <w:pStyle w:val="NoSpacing"/>
      </w:pPr>
    </w:p>
    <w:p w14:paraId="58E5E7EE" w14:textId="59A4F29C" w:rsidR="00F76D0B" w:rsidRPr="00380FB9" w:rsidRDefault="00F76D0B" w:rsidP="00E2533A">
      <w:pPr>
        <w:autoSpaceDE w:val="0"/>
        <w:autoSpaceDN w:val="0"/>
        <w:adjustRightInd w:val="0"/>
      </w:pPr>
      <w:r w:rsidRPr="00380FB9">
        <w:t xml:space="preserve">CMS </w:t>
      </w:r>
      <w:r>
        <w:t>selects</w:t>
      </w:r>
      <w:r w:rsidRPr="00380FB9">
        <w:t xml:space="preserve"> </w:t>
      </w:r>
      <w:r>
        <w:t>up to 600 s</w:t>
      </w:r>
      <w:r w:rsidRPr="00380FB9">
        <w:t xml:space="preserve">ubsection </w:t>
      </w:r>
      <w:r>
        <w:t>(d)</w:t>
      </w:r>
      <w:r w:rsidRPr="00380FB9">
        <w:t xml:space="preserve"> hospitals</w:t>
      </w:r>
      <w:r>
        <w:t xml:space="preserve"> participating in the Hospital IQR Program</w:t>
      </w:r>
      <w:r w:rsidRPr="00380FB9">
        <w:t xml:space="preserve"> on an annual </w:t>
      </w:r>
      <w:r>
        <w:t xml:space="preserve">basis </w:t>
      </w:r>
      <w:r w:rsidRPr="00380FB9">
        <w:t>for validation</w:t>
      </w:r>
      <w:r>
        <w:t xml:space="preserve"> of chart-abstracted measures </w:t>
      </w:r>
      <w:r w:rsidRPr="00E46690">
        <w:t>(78 FR 50833)</w:t>
      </w:r>
      <w:r w:rsidRPr="00380FB9">
        <w:t xml:space="preserve">. </w:t>
      </w:r>
      <w:r w:rsidRPr="009549A8">
        <w:t xml:space="preserve"> </w:t>
      </w:r>
      <w:r>
        <w:t>Each hospital selected for</w:t>
      </w:r>
      <w:r w:rsidRPr="009549A8">
        <w:t xml:space="preserve"> validation is to produce a list of </w:t>
      </w:r>
      <w:r>
        <w:t>patients/lab results associated with the particular measure being validated.  This process includes the use of v</w:t>
      </w:r>
      <w:r w:rsidRPr="009549A8">
        <w:rPr>
          <w:color w:val="000000" w:themeColor="text1"/>
        </w:rPr>
        <w:t>alidation template</w:t>
      </w:r>
      <w:r>
        <w:rPr>
          <w:color w:val="000000" w:themeColor="text1"/>
        </w:rPr>
        <w:t>s for</w:t>
      </w:r>
      <w:r w:rsidRPr="009549A8">
        <w:rPr>
          <w:color w:val="000000" w:themeColor="text1"/>
        </w:rPr>
        <w:t xml:space="preserve"> </w:t>
      </w:r>
      <w:r>
        <w:rPr>
          <w:color w:val="000000" w:themeColor="text1"/>
        </w:rPr>
        <w:t xml:space="preserve">each of the </w:t>
      </w:r>
      <w:r w:rsidRPr="009549A8">
        <w:rPr>
          <w:color w:val="000000" w:themeColor="text1"/>
        </w:rPr>
        <w:t>CLABSI, CAUTI, MRSA</w:t>
      </w:r>
      <w:r>
        <w:rPr>
          <w:color w:val="000000" w:themeColor="text1"/>
        </w:rPr>
        <w:t>,</w:t>
      </w:r>
      <w:r w:rsidRPr="009549A8">
        <w:rPr>
          <w:color w:val="000000" w:themeColor="text1"/>
        </w:rPr>
        <w:t xml:space="preserve"> and C</w:t>
      </w:r>
      <w:r>
        <w:rPr>
          <w:color w:val="000000" w:themeColor="text1"/>
        </w:rPr>
        <w:t>DI measures.</w:t>
      </w:r>
      <w:r w:rsidRPr="009549A8" w:rsidDel="00002418">
        <w:rPr>
          <w:color w:val="000000" w:themeColor="text1"/>
        </w:rPr>
        <w:t xml:space="preserve"> </w:t>
      </w:r>
      <w:r>
        <w:rPr>
          <w:color w:val="000000" w:themeColor="text1"/>
        </w:rPr>
        <w:t xml:space="preserve"> </w:t>
      </w:r>
      <w:r w:rsidR="00657FB0" w:rsidRPr="008A25C0">
        <w:t xml:space="preserve">The Validation </w:t>
      </w:r>
      <w:r w:rsidR="00657FB0">
        <w:t>t</w:t>
      </w:r>
      <w:r w:rsidR="00657FB0" w:rsidRPr="008A25C0">
        <w:t>emplates for the CLABSI, CAUTI, MRSA, and CDI measures</w:t>
      </w:r>
      <w:r w:rsidR="00657FB0">
        <w:t xml:space="preserve"> </w:t>
      </w:r>
      <w:r w:rsidR="00657FB0" w:rsidRPr="008A25C0">
        <w:t xml:space="preserve">are updated annually </w:t>
      </w:r>
      <w:r w:rsidR="00657FB0" w:rsidRPr="00FB39DF">
        <w:t>to reflect the annual changes in fiscal year and beginning reporting quarter</w:t>
      </w:r>
      <w:r w:rsidR="00657FB0" w:rsidRPr="008B65C5">
        <w:t>, as well as new CDC pathogen lists</w:t>
      </w:r>
      <w:r w:rsidR="00657FB0">
        <w:t>,</w:t>
      </w:r>
      <w:r w:rsidR="00657FB0" w:rsidRPr="00FB39DF">
        <w:t xml:space="preserve"> </w:t>
      </w:r>
      <w:r w:rsidR="00657FB0" w:rsidRPr="008A25C0">
        <w:t xml:space="preserve">with each new selection of </w:t>
      </w:r>
      <w:r w:rsidR="00657FB0">
        <w:t>hospitals</w:t>
      </w:r>
      <w:r w:rsidR="00657FB0" w:rsidRPr="008A25C0">
        <w:t xml:space="preserve"> for validation</w:t>
      </w:r>
      <w:r w:rsidR="00657FB0">
        <w:t>.</w:t>
      </w:r>
      <w:r w:rsidR="00657FB0" w:rsidRPr="008A25C0">
        <w:t xml:space="preserve"> </w:t>
      </w:r>
      <w:r w:rsidR="00657FB0">
        <w:t xml:space="preserve"> </w:t>
      </w:r>
      <w:r w:rsidR="00112366">
        <w:t>We note that, as discussed in section B.12 below,</w:t>
      </w:r>
      <w:r w:rsidR="00112366" w:rsidRPr="00E2533A">
        <w:t xml:space="preserve"> </w:t>
      </w:r>
      <w:r w:rsidR="00112366">
        <w:t xml:space="preserve">because these five HAI measures are finalized for removal from the Hospital IQR Program </w:t>
      </w:r>
      <w:r w:rsidR="00E86CB2">
        <w:t xml:space="preserve">beginning with the </w:t>
      </w:r>
      <w:r w:rsidR="00F66BDB">
        <w:t>F</w:t>
      </w:r>
      <w:r w:rsidR="00E86CB2">
        <w:t xml:space="preserve">Y 2022 payment determination </w:t>
      </w:r>
      <w:r w:rsidR="00112366">
        <w:t>and retained in the Hospital-Acquired Condition Reduction Program, the HAI validation activities will be transferred to the lat</w:t>
      </w:r>
      <w:r w:rsidR="00273B3F">
        <w:t>t</w:t>
      </w:r>
      <w:r w:rsidR="00112366">
        <w:t xml:space="preserve">er program beginning with the FY 2023 payment determination.  </w:t>
      </w:r>
      <w:r>
        <w:t xml:space="preserve">In the FY 2017 IPPS/LTCH PPS final rule, </w:t>
      </w:r>
      <w:r>
        <w:rPr>
          <w:color w:val="000000"/>
        </w:rPr>
        <w:t>w</w:t>
      </w:r>
      <w:r>
        <w:t>e expanded the existing process for validation of Hospital IQR Program data to i</w:t>
      </w:r>
      <w:r w:rsidRPr="00EE4EE7">
        <w:t xml:space="preserve">nclude </w:t>
      </w:r>
      <w:r w:rsidRPr="00D4408F">
        <w:t xml:space="preserve">eCQM </w:t>
      </w:r>
      <w:r>
        <w:t xml:space="preserve">data </w:t>
      </w:r>
      <w:r w:rsidRPr="00D4408F">
        <w:t>v</w:t>
      </w:r>
      <w:r>
        <w:t>alidation for</w:t>
      </w:r>
      <w:r w:rsidRPr="00D4408F">
        <w:t xml:space="preserve"> </w:t>
      </w:r>
      <w:r>
        <w:t xml:space="preserve">up to </w:t>
      </w:r>
      <w:r w:rsidRPr="00D4408F">
        <w:t xml:space="preserve">200 </w:t>
      </w:r>
      <w:r>
        <w:t xml:space="preserve">randomly selected </w:t>
      </w:r>
      <w:r w:rsidRPr="00D4408F">
        <w:t>hospitals</w:t>
      </w:r>
      <w:r>
        <w:t>,</w:t>
      </w:r>
      <w:r w:rsidRPr="00D4408F">
        <w:t xml:space="preserve"> </w:t>
      </w:r>
      <w:r w:rsidRPr="00EE4EE7">
        <w:t xml:space="preserve">for a total of </w:t>
      </w:r>
      <w:r>
        <w:t>up to 8</w:t>
      </w:r>
      <w:r w:rsidRPr="00EE4EE7">
        <w:t>00 hospitals</w:t>
      </w:r>
      <w:r>
        <w:t xml:space="preserve"> </w:t>
      </w:r>
      <w:r w:rsidRPr="00D4408F">
        <w:t xml:space="preserve">for validation </w:t>
      </w:r>
      <w:r w:rsidRPr="00D4408F">
        <w:rPr>
          <w:rFonts w:eastAsia="Calibri"/>
        </w:rPr>
        <w:t xml:space="preserve">for the FY </w:t>
      </w:r>
      <w:r>
        <w:rPr>
          <w:rFonts w:eastAsia="Calibri"/>
        </w:rPr>
        <w:t>2020</w:t>
      </w:r>
      <w:r w:rsidRPr="00D4408F">
        <w:rPr>
          <w:rFonts w:eastAsia="Calibri"/>
        </w:rPr>
        <w:t xml:space="preserve"> payment determination and subsequent years</w:t>
      </w:r>
      <w:r>
        <w:rPr>
          <w:rFonts w:eastAsia="Calibri"/>
        </w:rPr>
        <w:t xml:space="preserve"> (81 FR 57174 through 57178)</w:t>
      </w:r>
      <w:r w:rsidRPr="00D4408F">
        <w:t>.</w:t>
      </w:r>
    </w:p>
    <w:p w14:paraId="06FF7380" w14:textId="77777777" w:rsidR="00F76D0B" w:rsidRPr="00380FB9" w:rsidRDefault="00F76D0B" w:rsidP="00F76D0B"/>
    <w:p w14:paraId="7A8CC0F1" w14:textId="77777777" w:rsidR="00BF46CD" w:rsidRDefault="007236A4" w:rsidP="007236A4">
      <w:pPr>
        <w:pStyle w:val="SCBodyText"/>
        <w:rPr>
          <w:rFonts w:ascii="Times New Roman" w:hAnsi="Times New Roman" w:cs="Times New Roman"/>
          <w:szCs w:val="24"/>
        </w:rPr>
      </w:pPr>
      <w:r w:rsidRPr="00380FB9">
        <w:rPr>
          <w:rFonts w:ascii="Times New Roman" w:hAnsi="Times New Roman" w:cs="Times New Roman"/>
          <w:szCs w:val="24"/>
        </w:rPr>
        <w:t xml:space="preserve">When CMS determines that a hospital did not meet </w:t>
      </w:r>
      <w:r w:rsidR="00BD6124">
        <w:rPr>
          <w:rFonts w:ascii="Times New Roman" w:hAnsi="Times New Roman" w:cs="Times New Roman"/>
          <w:szCs w:val="24"/>
        </w:rPr>
        <w:t>one or more</w:t>
      </w:r>
      <w:r w:rsidR="008577AF">
        <w:rPr>
          <w:rFonts w:ascii="Times New Roman" w:hAnsi="Times New Roman" w:cs="Times New Roman"/>
          <w:szCs w:val="24"/>
        </w:rPr>
        <w:t xml:space="preserve"> of </w:t>
      </w:r>
      <w:r w:rsidRPr="00380FB9">
        <w:rPr>
          <w:rFonts w:ascii="Times New Roman" w:hAnsi="Times New Roman" w:cs="Times New Roman"/>
          <w:szCs w:val="24"/>
        </w:rPr>
        <w:t xml:space="preserve">the Hospital </w:t>
      </w:r>
      <w:r w:rsidR="00B25465">
        <w:rPr>
          <w:rFonts w:ascii="Times New Roman" w:hAnsi="Times New Roman" w:cs="Times New Roman"/>
          <w:szCs w:val="24"/>
        </w:rPr>
        <w:t>IQR</w:t>
      </w:r>
      <w:r w:rsidRPr="00380FB9">
        <w:rPr>
          <w:rFonts w:ascii="Times New Roman" w:hAnsi="Times New Roman" w:cs="Times New Roman"/>
          <w:szCs w:val="24"/>
        </w:rPr>
        <w:t xml:space="preserve"> Program requirement(s), </w:t>
      </w:r>
      <w:r w:rsidRPr="005A2EEB">
        <w:rPr>
          <w:rFonts w:ascii="Times New Roman" w:hAnsi="Times New Roman" w:cs="Times New Roman"/>
          <w:szCs w:val="24"/>
        </w:rPr>
        <w:t>the hospital may submit a request for reconsideration to CMS</w:t>
      </w:r>
      <w:r w:rsidR="001A0D1F">
        <w:rPr>
          <w:rFonts w:ascii="Times New Roman" w:hAnsi="Times New Roman" w:cs="Times New Roman"/>
          <w:szCs w:val="24"/>
        </w:rPr>
        <w:t xml:space="preserve"> using the </w:t>
      </w:r>
      <w:r w:rsidR="001A0D1F" w:rsidRPr="001A0D1F">
        <w:rPr>
          <w:rFonts w:ascii="Times New Roman" w:hAnsi="Times New Roman" w:cs="Times New Roman"/>
          <w:szCs w:val="24"/>
        </w:rPr>
        <w:t>CMS Quality Reporting Program APU Reconsideration Request Form</w:t>
      </w:r>
      <w:r w:rsidRPr="005A2EEB">
        <w:rPr>
          <w:rFonts w:ascii="Times New Roman" w:hAnsi="Times New Roman" w:cs="Times New Roman"/>
          <w:szCs w:val="24"/>
        </w:rPr>
        <w:t xml:space="preserve">, by the deadline identified on the </w:t>
      </w:r>
      <w:r w:rsidR="00EC1002" w:rsidRPr="00EC1002">
        <w:rPr>
          <w:rFonts w:ascii="Times New Roman" w:hAnsi="Times New Roman" w:cs="Times New Roman"/>
          <w:szCs w:val="24"/>
        </w:rPr>
        <w:t>Hospital IQR Program Annual Payment Update Notification Letter</w:t>
      </w:r>
      <w:r w:rsidR="001A0D1F">
        <w:rPr>
          <w:rFonts w:ascii="Times New Roman" w:hAnsi="Times New Roman" w:cs="Times New Roman"/>
          <w:szCs w:val="24"/>
        </w:rPr>
        <w:t xml:space="preserve"> it received</w:t>
      </w:r>
      <w:r w:rsidR="00EC1002">
        <w:rPr>
          <w:rFonts w:ascii="Times New Roman" w:hAnsi="Times New Roman" w:cs="Times New Roman"/>
          <w:szCs w:val="24"/>
        </w:rPr>
        <w:t>.</w:t>
      </w:r>
      <w:r w:rsidR="00CE02AA">
        <w:rPr>
          <w:rFonts w:ascii="Times New Roman" w:hAnsi="Times New Roman" w:cs="Times New Roman"/>
          <w:szCs w:val="24"/>
        </w:rPr>
        <w:t xml:space="preserve"> </w:t>
      </w:r>
      <w:r w:rsidR="008F20A8">
        <w:rPr>
          <w:rFonts w:ascii="Times New Roman" w:hAnsi="Times New Roman" w:cs="Times New Roman"/>
          <w:szCs w:val="24"/>
        </w:rPr>
        <w:t xml:space="preserve"> </w:t>
      </w:r>
      <w:r w:rsidR="00D07582">
        <w:rPr>
          <w:rFonts w:ascii="Times New Roman" w:hAnsi="Times New Roman" w:cs="Times New Roman"/>
          <w:szCs w:val="24"/>
        </w:rPr>
        <w:t xml:space="preserve">For reconsideration requests related specifically to the validation requirements, hospitals may use the </w:t>
      </w:r>
      <w:r w:rsidR="00D07582" w:rsidRPr="00D07582">
        <w:rPr>
          <w:rFonts w:ascii="Times New Roman" w:hAnsi="Times New Roman" w:cs="Times New Roman"/>
          <w:szCs w:val="24"/>
        </w:rPr>
        <w:t>CMS Hospital IQR Program Validation Review for Reconsideration Request Form</w:t>
      </w:r>
      <w:r w:rsidR="00D07582">
        <w:rPr>
          <w:rFonts w:ascii="Times New Roman" w:hAnsi="Times New Roman" w:cs="Times New Roman"/>
          <w:szCs w:val="24"/>
        </w:rPr>
        <w:t>.</w:t>
      </w:r>
    </w:p>
    <w:p w14:paraId="04D2E673" w14:textId="77777777" w:rsidR="00D07582" w:rsidRDefault="00D07582" w:rsidP="00F76D0B">
      <w:pPr>
        <w:pStyle w:val="NoSpacing"/>
      </w:pPr>
    </w:p>
    <w:p w14:paraId="29DF77DC" w14:textId="62795E01" w:rsidR="007236A4" w:rsidRDefault="004C4664" w:rsidP="007236A4">
      <w:pPr>
        <w:pStyle w:val="SCBodyText"/>
        <w:rPr>
          <w:rFonts w:ascii="Times New Roman" w:hAnsi="Times New Roman" w:cs="Times New Roman"/>
          <w:szCs w:val="24"/>
        </w:rPr>
      </w:pPr>
      <w:r>
        <w:rPr>
          <w:rFonts w:ascii="Times New Roman" w:hAnsi="Times New Roman" w:cs="Times New Roman"/>
          <w:szCs w:val="24"/>
        </w:rPr>
        <w:t>H</w:t>
      </w:r>
      <w:r w:rsidR="00CE02AA">
        <w:rPr>
          <w:rFonts w:ascii="Times New Roman" w:hAnsi="Times New Roman" w:cs="Times New Roman"/>
          <w:szCs w:val="24"/>
        </w:rPr>
        <w:t>ospitals may use the educational review process to correct disputed chart-abstracted measure validation results for the firs</w:t>
      </w:r>
      <w:r w:rsidR="00330B6B">
        <w:rPr>
          <w:rFonts w:ascii="Times New Roman" w:hAnsi="Times New Roman" w:cs="Times New Roman"/>
          <w:szCs w:val="24"/>
        </w:rPr>
        <w:t>t three quarters of validation.</w:t>
      </w:r>
      <w:r w:rsidR="008B65C5">
        <w:rPr>
          <w:rFonts w:ascii="Times New Roman" w:hAnsi="Times New Roman" w:cs="Times New Roman"/>
          <w:szCs w:val="24"/>
        </w:rPr>
        <w:t xml:space="preserve">  </w:t>
      </w:r>
      <w:r w:rsidR="008B65C5" w:rsidRPr="008B65C5">
        <w:rPr>
          <w:rFonts w:ascii="Times New Roman" w:hAnsi="Times New Roman" w:cs="Times New Roman"/>
          <w:szCs w:val="24"/>
        </w:rPr>
        <w:t xml:space="preserve">To submit a formal request, hospitals can utilize the </w:t>
      </w:r>
      <w:r w:rsidR="00F76D0B" w:rsidRPr="00F76D0B">
        <w:rPr>
          <w:rFonts w:ascii="Times New Roman" w:hAnsi="Times New Roman" w:cs="Times New Roman"/>
          <w:szCs w:val="24"/>
        </w:rPr>
        <w:t xml:space="preserve">Hospital Quality Reporting Validation </w:t>
      </w:r>
      <w:r w:rsidR="008B65C5" w:rsidRPr="008B65C5">
        <w:rPr>
          <w:rFonts w:ascii="Times New Roman" w:hAnsi="Times New Roman" w:cs="Times New Roman"/>
          <w:szCs w:val="24"/>
        </w:rPr>
        <w:t xml:space="preserve">Educational Review Form listed in section A.1.e of this file. </w:t>
      </w:r>
      <w:r w:rsidR="008B65C5">
        <w:rPr>
          <w:rFonts w:ascii="Times New Roman" w:hAnsi="Times New Roman" w:cs="Times New Roman"/>
          <w:szCs w:val="24"/>
        </w:rPr>
        <w:t xml:space="preserve"> We note that</w:t>
      </w:r>
      <w:r w:rsidR="008B65C5" w:rsidRPr="008B65C5">
        <w:rPr>
          <w:rFonts w:ascii="Times New Roman" w:hAnsi="Times New Roman" w:cs="Times New Roman"/>
          <w:szCs w:val="24"/>
        </w:rPr>
        <w:t xml:space="preserve"> should the results of an educational review</w:t>
      </w:r>
      <w:r w:rsidR="008B65C5">
        <w:rPr>
          <w:rFonts w:ascii="Times New Roman" w:hAnsi="Times New Roman" w:cs="Times New Roman"/>
          <w:szCs w:val="24"/>
        </w:rPr>
        <w:t xml:space="preserve"> not be favorable to a hospital,</w:t>
      </w:r>
      <w:r w:rsidR="008B65C5" w:rsidRPr="008B65C5">
        <w:rPr>
          <w:rFonts w:ascii="Times New Roman" w:hAnsi="Times New Roman" w:cs="Times New Roman"/>
          <w:szCs w:val="24"/>
        </w:rPr>
        <w:t xml:space="preserve"> a hospital may still also request reconsideration of those results</w:t>
      </w:r>
      <w:r w:rsidR="008B65C5">
        <w:rPr>
          <w:rFonts w:ascii="Times New Roman" w:hAnsi="Times New Roman" w:cs="Times New Roman"/>
          <w:szCs w:val="24"/>
        </w:rPr>
        <w:t xml:space="preserve"> using</w:t>
      </w:r>
      <w:r w:rsidR="008B65C5" w:rsidRPr="008B65C5">
        <w:t xml:space="preserve"> </w:t>
      </w:r>
      <w:r w:rsidR="008B65C5" w:rsidRPr="008B65C5">
        <w:rPr>
          <w:rFonts w:ascii="Times New Roman" w:hAnsi="Times New Roman" w:cs="Times New Roman"/>
          <w:szCs w:val="24"/>
        </w:rPr>
        <w:t>the CMS Hospital IQR Program Validation Review for Reconsideration Request Form.</w:t>
      </w:r>
    </w:p>
    <w:p w14:paraId="7D060198" w14:textId="77777777" w:rsidR="00913B78" w:rsidRDefault="00913B78" w:rsidP="00330B6B">
      <w:pPr>
        <w:pStyle w:val="NoSpacing"/>
      </w:pPr>
    </w:p>
    <w:p w14:paraId="3E950511" w14:textId="0BC6E0FB" w:rsidR="00E46690" w:rsidRPr="00657FB0" w:rsidRDefault="004C4664" w:rsidP="00657FB0">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color w:val="000000"/>
        </w:rPr>
      </w:pPr>
      <w:r>
        <w:rPr>
          <w:color w:val="000000"/>
        </w:rPr>
        <w:t xml:space="preserve">The </w:t>
      </w:r>
      <w:r w:rsidR="00657FB0">
        <w:rPr>
          <w:color w:val="000000"/>
        </w:rPr>
        <w:t xml:space="preserve">CMS Quality Program </w:t>
      </w:r>
      <w:r w:rsidRPr="00D07582">
        <w:rPr>
          <w:bCs/>
        </w:rPr>
        <w:t>Extraordinary Circumstances Exceptions</w:t>
      </w:r>
      <w:r>
        <w:rPr>
          <w:color w:val="000000"/>
        </w:rPr>
        <w:t xml:space="preserve"> Request Form </w:t>
      </w:r>
      <w:r w:rsidRPr="006B5AB3">
        <w:rPr>
          <w:color w:val="000000"/>
        </w:rPr>
        <w:t>indicates th</w:t>
      </w:r>
      <w:r>
        <w:rPr>
          <w:color w:val="000000"/>
        </w:rPr>
        <w:t xml:space="preserve">at for </w:t>
      </w:r>
      <w:r w:rsidRPr="006B5AB3">
        <w:rPr>
          <w:color w:val="000000"/>
        </w:rPr>
        <w:t>non-eCQM</w:t>
      </w:r>
      <w:r>
        <w:rPr>
          <w:color w:val="000000"/>
        </w:rPr>
        <w:t xml:space="preserve"> circumstance</w:t>
      </w:r>
      <w:r w:rsidRPr="006B5AB3">
        <w:rPr>
          <w:color w:val="000000"/>
        </w:rPr>
        <w:t>s, the request must be submitted within 90</w:t>
      </w:r>
      <w:r>
        <w:rPr>
          <w:color w:val="000000"/>
        </w:rPr>
        <w:t xml:space="preserve"> calendar </w:t>
      </w:r>
      <w:r w:rsidRPr="006B5AB3">
        <w:rPr>
          <w:color w:val="000000"/>
        </w:rPr>
        <w:t xml:space="preserve">days of </w:t>
      </w:r>
      <w:r>
        <w:rPr>
          <w:color w:val="000000"/>
        </w:rPr>
        <w:t>an extraordinary circumstance event</w:t>
      </w:r>
      <w:r w:rsidRPr="006B5AB3">
        <w:rPr>
          <w:color w:val="000000"/>
        </w:rPr>
        <w:t xml:space="preserve"> for all programs.</w:t>
      </w:r>
      <w:r>
        <w:rPr>
          <w:color w:val="000000"/>
        </w:rPr>
        <w:t xml:space="preserve"> </w:t>
      </w:r>
      <w:r w:rsidRPr="006B5AB3">
        <w:rPr>
          <w:color w:val="000000"/>
        </w:rPr>
        <w:t xml:space="preserve"> In addition, the form indicates that for eCQM</w:t>
      </w:r>
      <w:r>
        <w:rPr>
          <w:color w:val="000000"/>
        </w:rPr>
        <w:t xml:space="preserve"> reporting circumstance</w:t>
      </w:r>
      <w:r w:rsidRPr="006B5AB3">
        <w:rPr>
          <w:color w:val="000000"/>
        </w:rPr>
        <w:t xml:space="preserve">s </w:t>
      </w:r>
      <w:r>
        <w:rPr>
          <w:color w:val="000000"/>
        </w:rPr>
        <w:t>in</w:t>
      </w:r>
      <w:r w:rsidRPr="006B5AB3">
        <w:rPr>
          <w:color w:val="000000"/>
        </w:rPr>
        <w:t xml:space="preserve"> the Hospital IQR </w:t>
      </w:r>
      <w:r>
        <w:rPr>
          <w:color w:val="000000"/>
        </w:rPr>
        <w:t xml:space="preserve">Program, </w:t>
      </w:r>
      <w:r w:rsidRPr="006B5AB3">
        <w:rPr>
          <w:color w:val="000000"/>
        </w:rPr>
        <w:t xml:space="preserve">the </w:t>
      </w:r>
      <w:r>
        <w:rPr>
          <w:color w:val="000000"/>
        </w:rPr>
        <w:t>request</w:t>
      </w:r>
      <w:r w:rsidRPr="006B5AB3">
        <w:rPr>
          <w:color w:val="000000"/>
        </w:rPr>
        <w:t xml:space="preserve"> </w:t>
      </w:r>
      <w:r>
        <w:rPr>
          <w:color w:val="000000"/>
        </w:rPr>
        <w:t>must be submitted by</w:t>
      </w:r>
      <w:r w:rsidRPr="006B5AB3">
        <w:rPr>
          <w:color w:val="000000"/>
        </w:rPr>
        <w:t xml:space="preserve"> April 1</w:t>
      </w:r>
      <w:r w:rsidRPr="006B5AB3">
        <w:rPr>
          <w:color w:val="000000"/>
          <w:vertAlign w:val="superscript"/>
        </w:rPr>
        <w:t>st</w:t>
      </w:r>
      <w:r w:rsidRPr="006B5AB3">
        <w:rPr>
          <w:color w:val="000000"/>
        </w:rPr>
        <w:t xml:space="preserve"> following the end of a reporting period </w:t>
      </w:r>
      <w:r>
        <w:rPr>
          <w:color w:val="000000"/>
        </w:rPr>
        <w:t>calendar year, which is intended to</w:t>
      </w:r>
      <w:r w:rsidRPr="006B5AB3">
        <w:rPr>
          <w:color w:val="000000"/>
        </w:rPr>
        <w:t xml:space="preserve"> align with </w:t>
      </w:r>
      <w:r>
        <w:rPr>
          <w:color w:val="000000"/>
        </w:rPr>
        <w:t xml:space="preserve">the Medicare and Medicaid </w:t>
      </w:r>
      <w:r w:rsidR="00D01112">
        <w:rPr>
          <w:color w:val="000000"/>
        </w:rPr>
        <w:t>Promoting Interoperability</w:t>
      </w:r>
      <w:r w:rsidRPr="006B5AB3">
        <w:rPr>
          <w:color w:val="000000"/>
        </w:rPr>
        <w:t xml:space="preserve"> Program</w:t>
      </w:r>
      <w:r>
        <w:rPr>
          <w:color w:val="000000"/>
        </w:rPr>
        <w:t>s’</w:t>
      </w:r>
      <w:r w:rsidRPr="006B5AB3">
        <w:rPr>
          <w:color w:val="000000"/>
        </w:rPr>
        <w:t xml:space="preserve"> </w:t>
      </w:r>
      <w:r>
        <w:rPr>
          <w:color w:val="000000"/>
        </w:rPr>
        <w:t>typical dead</w:t>
      </w:r>
      <w:r w:rsidRPr="006B5AB3">
        <w:rPr>
          <w:color w:val="000000"/>
        </w:rPr>
        <w:t>line</w:t>
      </w:r>
      <w:r>
        <w:rPr>
          <w:color w:val="000000"/>
        </w:rPr>
        <w:t xml:space="preserve"> of </w:t>
      </w:r>
      <w:r w:rsidRPr="006B5AB3">
        <w:rPr>
          <w:color w:val="000000"/>
        </w:rPr>
        <w:t>April 1</w:t>
      </w:r>
      <w:r w:rsidRPr="006B5AB3">
        <w:rPr>
          <w:color w:val="000000"/>
          <w:vertAlign w:val="superscript"/>
        </w:rPr>
        <w:t>st</w:t>
      </w:r>
      <w:r w:rsidR="00657FB0">
        <w:rPr>
          <w:color w:val="000000"/>
        </w:rPr>
        <w:t>.</w:t>
      </w:r>
    </w:p>
    <w:p w14:paraId="75F03ECE" w14:textId="77777777" w:rsidR="00D07582" w:rsidRDefault="00D07582" w:rsidP="00330B6B">
      <w:pPr>
        <w:pStyle w:val="NoSpacing"/>
      </w:pPr>
    </w:p>
    <w:p w14:paraId="1CA658AD" w14:textId="77777777" w:rsidR="00D07582" w:rsidRPr="00D07582" w:rsidRDefault="00D07582" w:rsidP="00E46690">
      <w:pPr>
        <w:pStyle w:val="SCBodyText"/>
        <w:rPr>
          <w:rFonts w:ascii="Times New Roman" w:hAnsi="Times New Roman" w:cs="Times New Roman"/>
          <w:szCs w:val="24"/>
        </w:rPr>
      </w:pPr>
      <w:r>
        <w:rPr>
          <w:rFonts w:ascii="Times New Roman" w:hAnsi="Times New Roman" w:cs="Times New Roman"/>
          <w:szCs w:val="24"/>
        </w:rPr>
        <w:t xml:space="preserve">As noted above, we </w:t>
      </w:r>
      <w:r w:rsidRPr="00D07582">
        <w:rPr>
          <w:rFonts w:ascii="Times New Roman" w:hAnsi="Times New Roman" w:cs="Times New Roman"/>
          <w:szCs w:val="24"/>
        </w:rPr>
        <w:t xml:space="preserve">must select measures for the Hospital </w:t>
      </w:r>
      <w:r>
        <w:rPr>
          <w:rFonts w:ascii="Times New Roman" w:hAnsi="Times New Roman" w:cs="Times New Roman"/>
          <w:szCs w:val="24"/>
        </w:rPr>
        <w:t>VBP</w:t>
      </w:r>
      <w:r w:rsidRPr="00D07582">
        <w:rPr>
          <w:rFonts w:ascii="Times New Roman" w:hAnsi="Times New Roman" w:cs="Times New Roman"/>
          <w:szCs w:val="24"/>
        </w:rPr>
        <w:t xml:space="preserve"> Program from </w:t>
      </w:r>
      <w:r w:rsidR="003F4C58">
        <w:rPr>
          <w:rFonts w:ascii="Times New Roman" w:hAnsi="Times New Roman" w:cs="Times New Roman"/>
          <w:szCs w:val="24"/>
        </w:rPr>
        <w:t>the</w:t>
      </w:r>
      <w:r w:rsidR="005C6E89">
        <w:rPr>
          <w:rFonts w:ascii="Times New Roman" w:hAnsi="Times New Roman" w:cs="Times New Roman"/>
          <w:szCs w:val="24"/>
        </w:rPr>
        <w:t xml:space="preserve"> </w:t>
      </w:r>
      <w:r w:rsidRPr="00D07582">
        <w:rPr>
          <w:rFonts w:ascii="Times New Roman" w:hAnsi="Times New Roman" w:cs="Times New Roman"/>
          <w:szCs w:val="24"/>
        </w:rPr>
        <w:t xml:space="preserve">measures (other than measures of readmissions) </w:t>
      </w:r>
      <w:r w:rsidR="003F4C58">
        <w:rPr>
          <w:rFonts w:ascii="Times New Roman" w:hAnsi="Times New Roman" w:cs="Times New Roman"/>
          <w:szCs w:val="24"/>
        </w:rPr>
        <w:t>specified under</w:t>
      </w:r>
      <w:r w:rsidRPr="00D07582">
        <w:rPr>
          <w:rFonts w:ascii="Times New Roman" w:hAnsi="Times New Roman" w:cs="Times New Roman"/>
          <w:szCs w:val="24"/>
        </w:rPr>
        <w:t xml:space="preserve"> the Hospital IQR Program.  </w:t>
      </w:r>
      <w:r w:rsidRPr="008559A3">
        <w:rPr>
          <w:rFonts w:ascii="Times New Roman" w:hAnsi="Times New Roman" w:cs="Times New Roman"/>
          <w:szCs w:val="24"/>
        </w:rPr>
        <w:t>Hospitals may appeal the calculation of their performance assessment with respect to the performance standards, as well as their Total Performance Score (TPS)</w:t>
      </w:r>
      <w:r>
        <w:rPr>
          <w:rFonts w:ascii="Times New Roman" w:hAnsi="Times New Roman" w:cs="Times New Roman"/>
          <w:szCs w:val="24"/>
        </w:rPr>
        <w:t>, for the Hospital VBP Program</w:t>
      </w:r>
      <w:r w:rsidRPr="008559A3">
        <w:rPr>
          <w:rFonts w:ascii="Times New Roman" w:hAnsi="Times New Roman" w:cs="Times New Roman"/>
          <w:szCs w:val="24"/>
        </w:rPr>
        <w:t xml:space="preserve">. </w:t>
      </w:r>
      <w:r>
        <w:rPr>
          <w:rFonts w:ascii="Times New Roman" w:hAnsi="Times New Roman" w:cs="Times New Roman"/>
          <w:szCs w:val="24"/>
        </w:rPr>
        <w:t xml:space="preserve"> </w:t>
      </w:r>
      <w:r w:rsidRPr="008559A3">
        <w:rPr>
          <w:rFonts w:ascii="Times New Roman" w:hAnsi="Times New Roman" w:cs="Times New Roman"/>
          <w:szCs w:val="24"/>
        </w:rPr>
        <w:t>Hospitals may review and request recalculation of their hospital’s performance scores on each condition, domain, and TPS</w:t>
      </w:r>
      <w:r>
        <w:rPr>
          <w:rFonts w:ascii="Times New Roman" w:hAnsi="Times New Roman" w:cs="Times New Roman"/>
          <w:szCs w:val="24"/>
        </w:rPr>
        <w:t xml:space="preserve"> using the </w:t>
      </w:r>
      <w:r w:rsidRPr="005A2EEB">
        <w:rPr>
          <w:rFonts w:ascii="Times New Roman" w:hAnsi="Times New Roman" w:cs="Times New Roman"/>
          <w:szCs w:val="24"/>
        </w:rPr>
        <w:t>H</w:t>
      </w:r>
      <w:r w:rsidRPr="00783D1F">
        <w:rPr>
          <w:rFonts w:ascii="Times New Roman" w:hAnsi="Times New Roman" w:cs="Times New Roman"/>
          <w:szCs w:val="24"/>
        </w:rPr>
        <w:t>ospita</w:t>
      </w:r>
      <w:r>
        <w:rPr>
          <w:rFonts w:ascii="Times New Roman" w:hAnsi="Times New Roman" w:cs="Times New Roman"/>
          <w:szCs w:val="24"/>
        </w:rPr>
        <w:t>l Value-Based Purchasing (</w:t>
      </w:r>
      <w:r w:rsidRPr="005A2EEB">
        <w:rPr>
          <w:rFonts w:ascii="Times New Roman" w:hAnsi="Times New Roman" w:cs="Times New Roman"/>
          <w:szCs w:val="24"/>
        </w:rPr>
        <w:t>VBP</w:t>
      </w:r>
      <w:r>
        <w:rPr>
          <w:rFonts w:ascii="Times New Roman" w:hAnsi="Times New Roman" w:cs="Times New Roman"/>
          <w:szCs w:val="24"/>
        </w:rPr>
        <w:t>) Program</w:t>
      </w:r>
      <w:r w:rsidRPr="005A2EEB">
        <w:rPr>
          <w:rFonts w:ascii="Times New Roman" w:hAnsi="Times New Roman" w:cs="Times New Roman"/>
          <w:szCs w:val="24"/>
        </w:rPr>
        <w:t xml:space="preserve"> Review and Correction</w:t>
      </w:r>
      <w:r>
        <w:rPr>
          <w:rFonts w:ascii="Times New Roman" w:hAnsi="Times New Roman" w:cs="Times New Roman"/>
          <w:szCs w:val="24"/>
        </w:rPr>
        <w:t>s</w:t>
      </w:r>
      <w:r w:rsidRPr="005A2EEB">
        <w:rPr>
          <w:rFonts w:ascii="Times New Roman" w:hAnsi="Times New Roman" w:cs="Times New Roman"/>
          <w:szCs w:val="24"/>
        </w:rPr>
        <w:t xml:space="preserve"> </w:t>
      </w:r>
      <w:r>
        <w:rPr>
          <w:rFonts w:ascii="Times New Roman" w:hAnsi="Times New Roman" w:cs="Times New Roman"/>
          <w:szCs w:val="24"/>
        </w:rPr>
        <w:t xml:space="preserve">Request </w:t>
      </w:r>
      <w:r w:rsidRPr="005A2EEB">
        <w:rPr>
          <w:rFonts w:ascii="Times New Roman" w:hAnsi="Times New Roman" w:cs="Times New Roman"/>
          <w:szCs w:val="24"/>
        </w:rPr>
        <w:t>Form</w:t>
      </w:r>
      <w:r w:rsidRPr="008559A3">
        <w:rPr>
          <w:rFonts w:ascii="Times New Roman" w:hAnsi="Times New Roman" w:cs="Times New Roman"/>
          <w:szCs w:val="24"/>
        </w:rPr>
        <w:t xml:space="preserve"> within 30 calendar days of the posting date of the Value-Based Percentage Payment Summary Report</w:t>
      </w:r>
      <w:r>
        <w:rPr>
          <w:rFonts w:ascii="Times New Roman" w:hAnsi="Times New Roman" w:cs="Times New Roman"/>
          <w:szCs w:val="24"/>
        </w:rPr>
        <w:t xml:space="preserve">.  </w:t>
      </w:r>
      <w:r w:rsidRPr="008559A3">
        <w:rPr>
          <w:rFonts w:ascii="Times New Roman" w:hAnsi="Times New Roman" w:cs="Times New Roman"/>
          <w:szCs w:val="24"/>
        </w:rPr>
        <w:t xml:space="preserve">Hospitals may submit an appeal </w:t>
      </w:r>
      <w:r>
        <w:rPr>
          <w:rFonts w:ascii="Times New Roman" w:hAnsi="Times New Roman" w:cs="Times New Roman"/>
          <w:szCs w:val="24"/>
        </w:rPr>
        <w:t xml:space="preserve">using the </w:t>
      </w:r>
      <w:r w:rsidRPr="005A2EEB">
        <w:rPr>
          <w:rFonts w:ascii="Times New Roman" w:hAnsi="Times New Roman" w:cs="Times New Roman"/>
          <w:szCs w:val="24"/>
        </w:rPr>
        <w:t>H</w:t>
      </w:r>
      <w:r w:rsidRPr="00783D1F">
        <w:rPr>
          <w:rFonts w:ascii="Times New Roman" w:hAnsi="Times New Roman" w:cs="Times New Roman"/>
          <w:szCs w:val="24"/>
        </w:rPr>
        <w:t>ospita</w:t>
      </w:r>
      <w:r>
        <w:rPr>
          <w:rFonts w:ascii="Times New Roman" w:hAnsi="Times New Roman" w:cs="Times New Roman"/>
          <w:szCs w:val="24"/>
        </w:rPr>
        <w:t>l Value-Based Purchasing (</w:t>
      </w:r>
      <w:r w:rsidRPr="005A2EEB">
        <w:rPr>
          <w:rFonts w:ascii="Times New Roman" w:hAnsi="Times New Roman" w:cs="Times New Roman"/>
          <w:szCs w:val="24"/>
        </w:rPr>
        <w:t>VBP</w:t>
      </w:r>
      <w:r>
        <w:rPr>
          <w:rFonts w:ascii="Times New Roman" w:hAnsi="Times New Roman" w:cs="Times New Roman"/>
          <w:szCs w:val="24"/>
        </w:rPr>
        <w:t>) Program</w:t>
      </w:r>
      <w:r w:rsidRPr="005A2EEB">
        <w:rPr>
          <w:rFonts w:ascii="Times New Roman" w:hAnsi="Times New Roman" w:cs="Times New Roman"/>
          <w:szCs w:val="24"/>
        </w:rPr>
        <w:t xml:space="preserve"> Appeal</w:t>
      </w:r>
      <w:r>
        <w:rPr>
          <w:rFonts w:ascii="Times New Roman" w:hAnsi="Times New Roman" w:cs="Times New Roman"/>
          <w:szCs w:val="24"/>
        </w:rPr>
        <w:t xml:space="preserve"> Request</w:t>
      </w:r>
      <w:r w:rsidRPr="005A2EEB">
        <w:rPr>
          <w:rFonts w:ascii="Times New Roman" w:hAnsi="Times New Roman" w:cs="Times New Roman"/>
          <w:szCs w:val="24"/>
        </w:rPr>
        <w:t xml:space="preserve"> Form</w:t>
      </w:r>
      <w:r>
        <w:rPr>
          <w:rFonts w:ascii="Times New Roman" w:hAnsi="Times New Roman" w:cs="Times New Roman"/>
          <w:szCs w:val="24"/>
        </w:rPr>
        <w:t xml:space="preserve"> </w:t>
      </w:r>
      <w:r w:rsidRPr="008559A3">
        <w:rPr>
          <w:rFonts w:ascii="Times New Roman" w:hAnsi="Times New Roman" w:cs="Times New Roman"/>
          <w:szCs w:val="24"/>
        </w:rPr>
        <w:t xml:space="preserve">within 30 calendar days of the date of </w:t>
      </w:r>
      <w:r>
        <w:rPr>
          <w:rFonts w:ascii="Times New Roman" w:hAnsi="Times New Roman" w:cs="Times New Roman"/>
          <w:szCs w:val="24"/>
        </w:rPr>
        <w:t>receiving an adverse determination from</w:t>
      </w:r>
      <w:r w:rsidRPr="008559A3">
        <w:rPr>
          <w:rFonts w:ascii="Times New Roman" w:hAnsi="Times New Roman" w:cs="Times New Roman"/>
          <w:szCs w:val="24"/>
        </w:rPr>
        <w:t xml:space="preserve"> CMS</w:t>
      </w:r>
      <w:r>
        <w:rPr>
          <w:rFonts w:ascii="Times New Roman" w:hAnsi="Times New Roman" w:cs="Times New Roman"/>
          <w:szCs w:val="24"/>
        </w:rPr>
        <w:t xml:space="preserve"> on their</w:t>
      </w:r>
      <w:r w:rsidRPr="008559A3">
        <w:rPr>
          <w:rFonts w:ascii="Times New Roman" w:hAnsi="Times New Roman" w:cs="Times New Roman"/>
          <w:szCs w:val="24"/>
        </w:rPr>
        <w:t xml:space="preserve"> review and corrections </w:t>
      </w:r>
      <w:r>
        <w:rPr>
          <w:rFonts w:ascii="Times New Roman" w:hAnsi="Times New Roman" w:cs="Times New Roman"/>
          <w:szCs w:val="24"/>
        </w:rPr>
        <w:t>request</w:t>
      </w:r>
      <w:r w:rsidRPr="008559A3">
        <w:rPr>
          <w:rFonts w:ascii="Times New Roman" w:hAnsi="Times New Roman" w:cs="Times New Roman"/>
          <w:szCs w:val="24"/>
        </w:rPr>
        <w:t>.</w:t>
      </w:r>
      <w:r>
        <w:rPr>
          <w:rFonts w:ascii="Times New Roman" w:hAnsi="Times New Roman" w:cs="Times New Roman"/>
          <w:szCs w:val="24"/>
        </w:rPr>
        <w:t xml:space="preserve">  Hospitals may submit a H</w:t>
      </w:r>
      <w:r w:rsidRPr="00783D1F">
        <w:rPr>
          <w:rFonts w:ascii="Times New Roman" w:hAnsi="Times New Roman" w:cs="Times New Roman"/>
          <w:szCs w:val="24"/>
        </w:rPr>
        <w:t>ospita</w:t>
      </w:r>
      <w:r>
        <w:rPr>
          <w:rFonts w:ascii="Times New Roman" w:hAnsi="Times New Roman" w:cs="Times New Roman"/>
          <w:szCs w:val="24"/>
        </w:rPr>
        <w:t>l Value-Based Purchasing (VBP) Program Independent CMS Review Request Form within 30 days after they receive an adverse determination from CMS on their appeal.</w:t>
      </w:r>
    </w:p>
    <w:p w14:paraId="34A4B7CB" w14:textId="77777777" w:rsidR="007236A4" w:rsidRPr="00792D0B" w:rsidRDefault="007236A4" w:rsidP="007236A4">
      <w:pPr>
        <w:autoSpaceDE w:val="0"/>
        <w:autoSpaceDN w:val="0"/>
        <w:adjustRightInd w:val="0"/>
      </w:pPr>
    </w:p>
    <w:p w14:paraId="2E2BC382" w14:textId="77777777" w:rsidR="007236A4" w:rsidRPr="000D165B" w:rsidRDefault="000D165B" w:rsidP="00D90633">
      <w:pPr>
        <w:keepNext/>
        <w:rPr>
          <w:u w:val="single"/>
        </w:rPr>
      </w:pPr>
      <w:r>
        <w:rPr>
          <w:u w:val="single"/>
        </w:rPr>
        <w:t xml:space="preserve">2.  </w:t>
      </w:r>
      <w:r w:rsidR="007236A4" w:rsidRPr="000D165B">
        <w:rPr>
          <w:u w:val="single"/>
        </w:rPr>
        <w:t>Information Users</w:t>
      </w:r>
    </w:p>
    <w:p w14:paraId="5FF8271E" w14:textId="77777777" w:rsidR="007236A4" w:rsidRPr="00B30999" w:rsidRDefault="007236A4" w:rsidP="00D90633">
      <w:pPr>
        <w:pStyle w:val="ListParagraph"/>
        <w:keepNext/>
        <w:rPr>
          <w:u w:val="single"/>
        </w:rPr>
      </w:pPr>
    </w:p>
    <w:p w14:paraId="7D0B1A9D" w14:textId="77777777" w:rsidR="004055AA" w:rsidRDefault="004055AA" w:rsidP="00D90633">
      <w:pPr>
        <w:keepNext/>
      </w:pPr>
      <w:r w:rsidRPr="004055AA">
        <w:t xml:space="preserve">The information from the Hospital IQR Program will be made available to hospitals for their use in internal quality improvement initiatives.  CMS provides confidential feedback reports that hospitals may use to assess their performance and operationalize quality improvement activities throughout the quality reporting period.  These reports include the data that CMS has collected from the hospital and the hospital’s claims, and some also include information about how the hospital’s data look relative to the performance of other hospitals.  For example, the Facility, State and National (FSN) Report allows hospitals to compare their performance related to a specific measure during a specific timeframe, to the average performance of other hospitals at the state and national levels.  </w:t>
      </w:r>
    </w:p>
    <w:p w14:paraId="292ECC42" w14:textId="77777777" w:rsidR="004055AA" w:rsidRDefault="004055AA" w:rsidP="00D90633">
      <w:pPr>
        <w:keepNext/>
      </w:pPr>
    </w:p>
    <w:p w14:paraId="14973ACF" w14:textId="5E091D30" w:rsidR="00773522" w:rsidRDefault="007236A4" w:rsidP="00D90633">
      <w:pPr>
        <w:keepNext/>
      </w:pPr>
      <w:r w:rsidRPr="00792D0B">
        <w:t xml:space="preserve">CMS will use the information collected </w:t>
      </w:r>
      <w:r w:rsidR="00D24028">
        <w:t xml:space="preserve">for the Hospital VBP Program </w:t>
      </w:r>
      <w:r w:rsidRPr="00792D0B">
        <w:t xml:space="preserve">to set payment </w:t>
      </w:r>
      <w:r w:rsidR="00D24028">
        <w:t>adjustments</w:t>
      </w:r>
      <w:r w:rsidR="00D24028" w:rsidRPr="00792D0B">
        <w:t xml:space="preserve"> </w:t>
      </w:r>
      <w:r w:rsidRPr="00792D0B">
        <w:t xml:space="preserve">for value-based purchasing.  </w:t>
      </w:r>
      <w:r w:rsidR="004055AA">
        <w:t>In addition</w:t>
      </w:r>
      <w:r w:rsidR="004055AA" w:rsidRPr="00B2282A">
        <w:t xml:space="preserve">, the Hospital VBP </w:t>
      </w:r>
      <w:r w:rsidR="004055AA">
        <w:t xml:space="preserve">Program </w:t>
      </w:r>
      <w:r w:rsidR="004055AA" w:rsidRPr="00B2282A">
        <w:t xml:space="preserve">Baseline Measures Report allows hospitals to compare their performance for each measure to the </w:t>
      </w:r>
      <w:r w:rsidR="004055AA">
        <w:t>P</w:t>
      </w:r>
      <w:r w:rsidR="004055AA" w:rsidRPr="00B2282A">
        <w:t>rogram’s benchmarks and achievement thresholds, which are obtained from the scores of all hospitals.</w:t>
      </w:r>
      <w:r w:rsidR="004055AA">
        <w:t xml:space="preserve"> </w:t>
      </w:r>
      <w:r w:rsidR="004055AA" w:rsidRPr="00B2282A">
        <w:t xml:space="preserve"> These reports allow hospitals time to assess how their current performance in each measure could be scored in the upcoming Hospital VBP payment determinations, while there is still time to target improvement activities related to specific measures so that their performance and scores can be maximized.</w:t>
      </w:r>
      <w:r w:rsidRPr="00792D0B">
        <w:t xml:space="preserve">  </w:t>
      </w:r>
      <w:r w:rsidR="00773522">
        <w:t>We refer readers to section A.1.e of this document for more details on the specific forms that are being used for the Hospital VBP Program.</w:t>
      </w:r>
    </w:p>
    <w:p w14:paraId="11ACF512" w14:textId="77777777" w:rsidR="00773522" w:rsidRDefault="00773522" w:rsidP="00D90633">
      <w:pPr>
        <w:keepNext/>
      </w:pPr>
    </w:p>
    <w:p w14:paraId="2683DFF5" w14:textId="02FC9786" w:rsidR="00773522" w:rsidRDefault="00773522" w:rsidP="00D90633">
      <w:pPr>
        <w:keepNext/>
      </w:pPr>
      <w:r>
        <w:t>Hospital measure</w:t>
      </w:r>
      <w:r w:rsidR="007236A4" w:rsidRPr="00792D0B">
        <w:t xml:space="preserve"> information is </w:t>
      </w:r>
      <w:r>
        <w:t xml:space="preserve">also </w:t>
      </w:r>
      <w:r w:rsidR="007236A4" w:rsidRPr="00792D0B">
        <w:t xml:space="preserve">used by CMS to direct its contractors to focus on particular areas of improvement and to develop quality improvement initiatives.  </w:t>
      </w:r>
      <w:r w:rsidRPr="00B2282A">
        <w:t>Medicare beneficiaries experience a high rate of preventable readmissions, which are burdensome to patients and families, as well as costly.  Quality Innovation Network-Quality Improvement Organizations (QIN-QIOs)</w:t>
      </w:r>
      <w:r>
        <w:t xml:space="preserve">, under contract with CMS, </w:t>
      </w:r>
      <w:r w:rsidRPr="00B2282A">
        <w:t xml:space="preserve">use readmissions data from CMS to assist communities to reduce avoidable readmissions.  For example, the QIN-QIO </w:t>
      </w:r>
      <w:r>
        <w:t>p</w:t>
      </w:r>
      <w:r w:rsidRPr="00B2282A">
        <w:t xml:space="preserve">rogram helps communities with high readmission rates form local coalitions, identify the factors driving avoidable hospital readmissions in their area, and find ways to better coordinate care and </w:t>
      </w:r>
      <w:r>
        <w:t>to encourage</w:t>
      </w:r>
      <w:r w:rsidRPr="00B2282A">
        <w:t xml:space="preserve"> patients to manage their health more actively.</w:t>
      </w:r>
    </w:p>
    <w:p w14:paraId="51541BCC" w14:textId="77777777" w:rsidR="00773522" w:rsidRDefault="00773522" w:rsidP="00D90633">
      <w:pPr>
        <w:keepNext/>
      </w:pPr>
    </w:p>
    <w:p w14:paraId="4E01A262" w14:textId="130AB87E" w:rsidR="007236A4" w:rsidRPr="00792D0B" w:rsidRDefault="007236A4" w:rsidP="00D90633">
      <w:pPr>
        <w:keepNext/>
      </w:pPr>
      <w:r w:rsidRPr="00792D0B">
        <w:t xml:space="preserve">Most importantly, this information is available to beneficiaries, as well as to the public, to provide hospital information to assist them in making decisions </w:t>
      </w:r>
      <w:r w:rsidR="0085650C">
        <w:t>in choosing</w:t>
      </w:r>
      <w:r w:rsidR="0085650C" w:rsidRPr="00792D0B">
        <w:t xml:space="preserve"> </w:t>
      </w:r>
      <w:r w:rsidRPr="00792D0B">
        <w:t>their health care</w:t>
      </w:r>
      <w:r w:rsidR="0085650C">
        <w:t xml:space="preserve"> providers</w:t>
      </w:r>
      <w:r w:rsidRPr="00792D0B">
        <w:t xml:space="preserve">.  CMS </w:t>
      </w:r>
      <w:r w:rsidR="0085650C">
        <w:t xml:space="preserve">sometimes </w:t>
      </w:r>
      <w:r w:rsidRPr="00792D0B">
        <w:t>conducts focus groups or market testing prior to public</w:t>
      </w:r>
      <w:r>
        <w:t>ly</w:t>
      </w:r>
      <w:r w:rsidRPr="00792D0B">
        <w:t xml:space="preserve"> reporting hospital quality data on the </w:t>
      </w:r>
      <w:r w:rsidRPr="00B30999">
        <w:rPr>
          <w:i/>
        </w:rPr>
        <w:t>Hospital Compare</w:t>
      </w:r>
      <w:r w:rsidRPr="00792D0B">
        <w:t xml:space="preserve"> website</w:t>
      </w:r>
      <w:r w:rsidR="0085650C">
        <w:t xml:space="preserve"> in order to get feedback on ways to make the website more user-friendly</w:t>
      </w:r>
      <w:r w:rsidRPr="00792D0B">
        <w:t>.</w:t>
      </w:r>
      <w:r w:rsidR="001E405B">
        <w:t xml:space="preserve"> </w:t>
      </w:r>
      <w:r w:rsidR="00873B87">
        <w:t xml:space="preserve"> </w:t>
      </w:r>
      <w:r w:rsidR="00773522">
        <w:t xml:space="preserve">Feedback from these focus groups have helped CMS understand how beneficiaries and consumers use </w:t>
      </w:r>
      <w:r w:rsidR="00773522" w:rsidRPr="004A2B9D">
        <w:rPr>
          <w:i/>
        </w:rPr>
        <w:t>Hospital Compare</w:t>
      </w:r>
      <w:r w:rsidR="00773522">
        <w:t>.  Under emergency circumstances, consumers choose hospitals based on proximity, reputation, prior experience, or their doctor’s recommendation.  For childbirth or elective hospital admissions, when patients and their family members may have the time and motivation to consider options and engage in informed decision making, they have expressed interest in emergency department wait times, information about the hospital’s (and physician’s) track record in treating their condition, staff credentials, staffing ratios, and a hospital’s recognized areas of expertise, as well as to take into consideration their doctor’s recommendation.</w:t>
      </w:r>
    </w:p>
    <w:p w14:paraId="2FBF6670" w14:textId="77777777" w:rsidR="007236A4" w:rsidRPr="00792D0B" w:rsidRDefault="007236A4" w:rsidP="007236A4"/>
    <w:p w14:paraId="5CC9B28C" w14:textId="77777777" w:rsidR="007236A4" w:rsidRPr="000D165B" w:rsidRDefault="000D165B" w:rsidP="000D165B">
      <w:pPr>
        <w:rPr>
          <w:u w:val="single"/>
        </w:rPr>
      </w:pPr>
      <w:r>
        <w:rPr>
          <w:u w:val="single"/>
        </w:rPr>
        <w:t xml:space="preserve">3.  </w:t>
      </w:r>
      <w:r w:rsidR="007236A4" w:rsidRPr="000D165B">
        <w:rPr>
          <w:u w:val="single"/>
        </w:rPr>
        <w:t>Use of Information Technology</w:t>
      </w:r>
    </w:p>
    <w:p w14:paraId="40D39939" w14:textId="77777777" w:rsidR="007236A4" w:rsidRPr="00792D0B" w:rsidRDefault="007236A4" w:rsidP="007236A4">
      <w:pPr>
        <w:pStyle w:val="ListParagraph"/>
        <w:rPr>
          <w:u w:val="single"/>
        </w:rPr>
      </w:pPr>
    </w:p>
    <w:p w14:paraId="10A9FCEC" w14:textId="00B4657F" w:rsidR="007236A4" w:rsidRPr="00792D0B" w:rsidRDefault="007236A4" w:rsidP="007236A4">
      <w:r w:rsidRPr="00792D0B">
        <w:t>To assist hospitals in standardizing data collection initiatives across the industry</w:t>
      </w:r>
      <w:r w:rsidR="00827D1F">
        <w:t>,</w:t>
      </w:r>
      <w:r w:rsidR="00827D1F" w:rsidRPr="00827D1F">
        <w:t xml:space="preserve"> CMS continues to improve data collection tools in order to make data submission easier for hospitals</w:t>
      </w:r>
      <w:r w:rsidR="00BC07E8">
        <w:t xml:space="preserve"> </w:t>
      </w:r>
      <w:r w:rsidR="00BC07E8" w:rsidRPr="00BC07E8">
        <w:t>(e.</w:t>
      </w:r>
      <w:r w:rsidR="00677F09">
        <w:t>g.,</w:t>
      </w:r>
      <w:r w:rsidR="00BC07E8" w:rsidRPr="00BC07E8">
        <w:t xml:space="preserve"> the collection of electronic patient data in EHRs for eCQMs</w:t>
      </w:r>
      <w:r w:rsidR="00677F09">
        <w:t>,</w:t>
      </w:r>
      <w:r w:rsidR="00BC07E8" w:rsidRPr="00BC07E8">
        <w:t xml:space="preserve"> </w:t>
      </w:r>
      <w:r w:rsidR="00677F09">
        <w:t xml:space="preserve">the collection of </w:t>
      </w:r>
      <w:r w:rsidR="00BC07E8" w:rsidRPr="00BC07E8">
        <w:t>data from paper medical records for chart-abstracted measures</w:t>
      </w:r>
      <w:r w:rsidR="00E63AD8">
        <w:t>,</w:t>
      </w:r>
      <w:r w:rsidR="00677F09" w:rsidRPr="00677F09">
        <w:t xml:space="preserve"> or the collection of data from </w:t>
      </w:r>
      <w:r w:rsidR="00D55542">
        <w:t>federal</w:t>
      </w:r>
      <w:r w:rsidR="00677F09" w:rsidRPr="00677F09">
        <w:t xml:space="preserve"> registries </w:t>
      </w:r>
      <w:r w:rsidR="00D55542">
        <w:t xml:space="preserve">like the National Healthcare Safety Network </w:t>
      </w:r>
      <w:r w:rsidR="00677F09" w:rsidRPr="00677F09">
        <w:t xml:space="preserve">for </w:t>
      </w:r>
      <w:r w:rsidR="00D55542">
        <w:t>HAI</w:t>
      </w:r>
      <w:r w:rsidR="00677F09" w:rsidRPr="00677F09">
        <w:t xml:space="preserve"> measures</w:t>
      </w:r>
      <w:r w:rsidR="00BC07E8" w:rsidRPr="00BC07E8">
        <w:t>)</w:t>
      </w:r>
      <w:r w:rsidRPr="00792D0B">
        <w:t xml:space="preserve">, as well as </w:t>
      </w:r>
      <w:r w:rsidR="00E975C0">
        <w:t>to</w:t>
      </w:r>
      <w:r w:rsidRPr="00792D0B">
        <w:t xml:space="preserve"> increase the utility of the data provided by the hospital</w:t>
      </w:r>
      <w:r w:rsidR="00330B6B">
        <w:t>s.</w:t>
      </w:r>
    </w:p>
    <w:p w14:paraId="64589BB6" w14:textId="77777777" w:rsidR="007236A4" w:rsidRPr="00792D0B" w:rsidRDefault="007236A4" w:rsidP="007236A4"/>
    <w:p w14:paraId="365A74E0" w14:textId="77777777" w:rsidR="007236A4" w:rsidRPr="00792D0B" w:rsidRDefault="007236A4" w:rsidP="007236A4">
      <w:r w:rsidRPr="00792D0B">
        <w:t>For the claims-based measures</w:t>
      </w:r>
      <w:r w:rsidR="00936442">
        <w:t>,</w:t>
      </w:r>
      <w:r w:rsidRPr="00792D0B">
        <w:t xml:space="preserve"> this section is not applicable, because </w:t>
      </w:r>
      <w:r>
        <w:t>claims-based measures</w:t>
      </w:r>
      <w:r w:rsidRPr="00792D0B">
        <w:t xml:space="preserve"> can be calculated based on data that are already reported to the Medicare program for payment purposes.  Therefore, no additional information technology will be required </w:t>
      </w:r>
      <w:r w:rsidR="00F023A4">
        <w:t>of</w:t>
      </w:r>
      <w:r w:rsidR="00F023A4" w:rsidRPr="00792D0B">
        <w:t xml:space="preserve"> </w:t>
      </w:r>
      <w:r w:rsidRPr="00792D0B">
        <w:t>hospitals for these measures.</w:t>
      </w:r>
    </w:p>
    <w:p w14:paraId="47429475" w14:textId="77777777" w:rsidR="007236A4" w:rsidRPr="00792D0B" w:rsidRDefault="007236A4" w:rsidP="007236A4"/>
    <w:p w14:paraId="60463999" w14:textId="77777777" w:rsidR="007236A4" w:rsidRPr="000D165B" w:rsidRDefault="000D165B" w:rsidP="00D55542">
      <w:pPr>
        <w:keepNext/>
        <w:rPr>
          <w:u w:val="single"/>
        </w:rPr>
      </w:pPr>
      <w:r>
        <w:rPr>
          <w:u w:val="single"/>
        </w:rPr>
        <w:t xml:space="preserve">4.  </w:t>
      </w:r>
      <w:r w:rsidR="007236A4" w:rsidRPr="000D165B">
        <w:rPr>
          <w:u w:val="single"/>
        </w:rPr>
        <w:t xml:space="preserve">Duplication of Similar Information </w:t>
      </w:r>
    </w:p>
    <w:p w14:paraId="011C8E68" w14:textId="77777777" w:rsidR="007236A4" w:rsidRPr="00B30999" w:rsidRDefault="007236A4" w:rsidP="00D55542">
      <w:pPr>
        <w:pStyle w:val="ListParagraph"/>
        <w:keepNext/>
        <w:rPr>
          <w:u w:val="single"/>
        </w:rPr>
      </w:pPr>
    </w:p>
    <w:p w14:paraId="3F8FEDDE" w14:textId="09895EF2" w:rsidR="007236A4" w:rsidRPr="00792D0B" w:rsidRDefault="007236A4" w:rsidP="00D55542">
      <w:pPr>
        <w:keepNext/>
      </w:pPr>
      <w:r w:rsidRPr="00792D0B">
        <w:t xml:space="preserve">The information to be collected is not duplicative of similar information collected by </w:t>
      </w:r>
      <w:r w:rsidR="0085650C">
        <w:t>CMS</w:t>
      </w:r>
      <w:r w:rsidRPr="00792D0B">
        <w:t xml:space="preserve">.  </w:t>
      </w:r>
      <w:r w:rsidR="00E63AD8">
        <w:t>T</w:t>
      </w:r>
      <w:r w:rsidRPr="00792D0B">
        <w:t xml:space="preserve">he purpose of this effort is to reduce the reporting burden for the collection of quality of care information by allowing hospitals to submit electronic data in lieu of submitting paper charts or to utilize electronic data that they currently report to </w:t>
      </w:r>
      <w:r w:rsidR="008224CC">
        <w:t xml:space="preserve">The </w:t>
      </w:r>
      <w:r w:rsidR="000321B0">
        <w:t xml:space="preserve">Joint Commission </w:t>
      </w:r>
      <w:r w:rsidRPr="00792D0B">
        <w:t>for accreditation</w:t>
      </w:r>
      <w:r w:rsidR="00F2142F">
        <w:t xml:space="preserve">.  </w:t>
      </w:r>
      <w:r w:rsidRPr="00DF2A3B">
        <w:t xml:space="preserve">Except as otherwise noted above, measures are aligned with </w:t>
      </w:r>
      <w:r w:rsidR="008224CC" w:rsidRPr="00DF2A3B">
        <w:t>T</w:t>
      </w:r>
      <w:r w:rsidR="00160E77" w:rsidRPr="00DF2A3B">
        <w:t xml:space="preserve">he </w:t>
      </w:r>
      <w:r w:rsidRPr="00DF2A3B">
        <w:t>J</w:t>
      </w:r>
      <w:r w:rsidR="000321B0" w:rsidRPr="00DF2A3B">
        <w:t>oint Commission</w:t>
      </w:r>
      <w:r w:rsidRPr="00DF2A3B">
        <w:t xml:space="preserve"> whenever possible.  </w:t>
      </w:r>
      <w:r w:rsidR="0085650C" w:rsidRPr="00DF2A3B">
        <w:t xml:space="preserve">The </w:t>
      </w:r>
      <w:r w:rsidRPr="00DF2A3B">
        <w:t>J</w:t>
      </w:r>
      <w:r w:rsidR="000321B0" w:rsidRPr="00DF2A3B">
        <w:t>oint</w:t>
      </w:r>
      <w:r w:rsidR="0085650C" w:rsidRPr="00DF2A3B">
        <w:t xml:space="preserve"> </w:t>
      </w:r>
      <w:r w:rsidR="000321B0" w:rsidRPr="00DF2A3B">
        <w:t>Commission</w:t>
      </w:r>
      <w:r w:rsidRPr="00792D0B">
        <w:t>-accredited hospitals already collect and submit data on all chart-abstracte</w:t>
      </w:r>
      <w:r w:rsidR="00330B6B">
        <w:t xml:space="preserve">d measures </w:t>
      </w:r>
      <w:r w:rsidR="00B2549B">
        <w:t xml:space="preserve">and eCQMs </w:t>
      </w:r>
      <w:r w:rsidR="00330B6B">
        <w:t xml:space="preserve">in the </w:t>
      </w:r>
      <w:r w:rsidR="001A40E1">
        <w:t xml:space="preserve">Hospital IQR measure </w:t>
      </w:r>
      <w:r w:rsidR="00330B6B">
        <w:t>set.</w:t>
      </w:r>
    </w:p>
    <w:p w14:paraId="0FA53F6F" w14:textId="77777777" w:rsidR="007236A4" w:rsidRPr="00792D0B" w:rsidRDefault="007236A4" w:rsidP="007236A4"/>
    <w:p w14:paraId="517F45D6" w14:textId="77777777" w:rsidR="007236A4" w:rsidRPr="000D165B" w:rsidRDefault="000D165B" w:rsidP="0041034F">
      <w:pPr>
        <w:keepNext/>
        <w:rPr>
          <w:u w:val="single"/>
        </w:rPr>
      </w:pPr>
      <w:r>
        <w:rPr>
          <w:u w:val="single"/>
        </w:rPr>
        <w:t xml:space="preserve">5.  </w:t>
      </w:r>
      <w:r w:rsidR="007236A4" w:rsidRPr="000D165B">
        <w:rPr>
          <w:u w:val="single"/>
        </w:rPr>
        <w:t>Small Business</w:t>
      </w:r>
    </w:p>
    <w:p w14:paraId="1AA70BA5" w14:textId="77777777" w:rsidR="007236A4" w:rsidRPr="00B30999" w:rsidRDefault="007236A4" w:rsidP="0041034F">
      <w:pPr>
        <w:pStyle w:val="ListParagraph"/>
        <w:keepNext/>
        <w:rPr>
          <w:u w:val="single"/>
        </w:rPr>
      </w:pPr>
    </w:p>
    <w:p w14:paraId="157677CF" w14:textId="005E30E3" w:rsidR="007236A4" w:rsidRPr="00792D0B" w:rsidRDefault="007236A4" w:rsidP="0041034F">
      <w:pPr>
        <w:keepNext/>
      </w:pPr>
      <w:r w:rsidRPr="00792D0B">
        <w:t>Information collection requirements were designed to allow maximum flexibility specifically to small hospitals wishing to participate in hospital reporting.  This effort will assist small hospitals in gathering information for their own quality improvement efforts.</w:t>
      </w:r>
      <w:r w:rsidR="00B64E81">
        <w:t xml:space="preserve"> </w:t>
      </w:r>
      <w:r w:rsidR="00330B6B">
        <w:t xml:space="preserve"> </w:t>
      </w:r>
      <w:r w:rsidR="003A6943">
        <w:t>W</w:t>
      </w:r>
      <w:r w:rsidR="00B64E81">
        <w:t xml:space="preserve">e define a “small hospital” as one with 1-99 </w:t>
      </w:r>
      <w:r w:rsidR="00E33EC8">
        <w:t xml:space="preserve">inpatient </w:t>
      </w:r>
      <w:r w:rsidR="00B64E81">
        <w:t>beds.</w:t>
      </w:r>
      <w:r w:rsidR="00FB79B3">
        <w:t xml:space="preserve">  The Hospital IQR Program </w:t>
      </w:r>
      <w:r w:rsidR="00E57971">
        <w:t>includes</w:t>
      </w:r>
      <w:r w:rsidR="00FB79B3">
        <w:t xml:space="preserve"> </w:t>
      </w:r>
      <w:r w:rsidR="00E33EC8">
        <w:t>9</w:t>
      </w:r>
      <w:r w:rsidR="00EE1A80">
        <w:t>8</w:t>
      </w:r>
      <w:r w:rsidR="00E33EC8">
        <w:t>0</w:t>
      </w:r>
      <w:r w:rsidR="00FB79B3">
        <w:t xml:space="preserve"> participating </w:t>
      </w:r>
      <w:r w:rsidR="008C5BB1">
        <w:t xml:space="preserve">IPPS </w:t>
      </w:r>
      <w:r w:rsidR="00FB79B3">
        <w:t xml:space="preserve">small hospitals </w:t>
      </w:r>
      <w:r w:rsidR="00E33EC8">
        <w:t>in th</w:t>
      </w:r>
      <w:r w:rsidR="00D2257A">
        <w:t>e FY 2019</w:t>
      </w:r>
      <w:r w:rsidR="00E33EC8">
        <w:t xml:space="preserve"> program</w:t>
      </w:r>
      <w:r w:rsidR="00FB79B3">
        <w:t xml:space="preserve"> year.</w:t>
      </w:r>
    </w:p>
    <w:p w14:paraId="7CDF02E2" w14:textId="77777777" w:rsidR="007236A4" w:rsidRPr="00792D0B" w:rsidRDefault="007236A4" w:rsidP="007236A4"/>
    <w:p w14:paraId="127E8B45" w14:textId="77777777" w:rsidR="007236A4" w:rsidRPr="000D165B" w:rsidRDefault="000D165B" w:rsidP="00D90633">
      <w:pPr>
        <w:keepNext/>
        <w:rPr>
          <w:u w:val="single"/>
        </w:rPr>
      </w:pPr>
      <w:r>
        <w:rPr>
          <w:u w:val="single"/>
        </w:rPr>
        <w:t xml:space="preserve">6.  </w:t>
      </w:r>
      <w:r w:rsidR="007236A4" w:rsidRPr="000D165B">
        <w:rPr>
          <w:u w:val="single"/>
        </w:rPr>
        <w:t>Less Frequent Collection</w:t>
      </w:r>
    </w:p>
    <w:p w14:paraId="1BB19097" w14:textId="77777777" w:rsidR="007236A4" w:rsidRPr="00B30999" w:rsidRDefault="007236A4" w:rsidP="00D90633">
      <w:pPr>
        <w:pStyle w:val="ListParagraph"/>
        <w:keepNext/>
        <w:rPr>
          <w:u w:val="single"/>
        </w:rPr>
      </w:pPr>
    </w:p>
    <w:p w14:paraId="685FFB5B" w14:textId="7A472523" w:rsidR="009F245D" w:rsidRDefault="007236A4" w:rsidP="00B2549B">
      <w:pPr>
        <w:keepNext/>
      </w:pPr>
      <w:r w:rsidRPr="00792D0B">
        <w:t xml:space="preserve">We have designed the collection of quality </w:t>
      </w:r>
      <w:r>
        <w:t>measure</w:t>
      </w:r>
      <w:r w:rsidRPr="00792D0B">
        <w:t xml:space="preserve"> data to be the minimum necessary for data validation and </w:t>
      </w:r>
      <w:r w:rsidR="00F023A4">
        <w:t xml:space="preserve">for </w:t>
      </w:r>
      <w:r w:rsidRPr="00792D0B">
        <w:t xml:space="preserve">calculation of summary figures to be </w:t>
      </w:r>
      <w:r>
        <w:t xml:space="preserve">used as </w:t>
      </w:r>
      <w:r w:rsidRPr="00792D0B">
        <w:t>reliable estimates of hospital performance.</w:t>
      </w:r>
      <w:r w:rsidR="00F023A4">
        <w:t xml:space="preserve"> </w:t>
      </w:r>
      <w:r w:rsidRPr="00792D0B">
        <w:t xml:space="preserve"> </w:t>
      </w:r>
      <w:r w:rsidR="0097359D">
        <w:t>Data collection may vary (monthly, quarterly, annually, etc.) based on how a quality measure is specified.</w:t>
      </w:r>
      <w:r w:rsidR="009F245D">
        <w:t xml:space="preserve">  The following table details the frequency of data </w:t>
      </w:r>
      <w:r w:rsidR="001A40E1">
        <w:t>submission to CMS</w:t>
      </w:r>
      <w:r w:rsidR="009F245D">
        <w:t xml:space="preserve"> by measure type.</w:t>
      </w:r>
    </w:p>
    <w:p w14:paraId="77CD1D9E" w14:textId="77777777" w:rsidR="009F245D" w:rsidRDefault="009F245D" w:rsidP="00B2549B">
      <w:pPr>
        <w:keepNext/>
      </w:pPr>
    </w:p>
    <w:tbl>
      <w:tblPr>
        <w:tblStyle w:val="TableGrid"/>
        <w:tblW w:w="0" w:type="auto"/>
        <w:tblLook w:val="04A0" w:firstRow="1" w:lastRow="0" w:firstColumn="1" w:lastColumn="0" w:noHBand="0" w:noVBand="1"/>
      </w:tblPr>
      <w:tblGrid>
        <w:gridCol w:w="5215"/>
        <w:gridCol w:w="3150"/>
      </w:tblGrid>
      <w:tr w:rsidR="009F245D" w14:paraId="22926077" w14:textId="77777777" w:rsidTr="009F245D">
        <w:tc>
          <w:tcPr>
            <w:tcW w:w="5215" w:type="dxa"/>
          </w:tcPr>
          <w:p w14:paraId="6A1F03AA" w14:textId="7321D877" w:rsidR="009F245D" w:rsidRPr="009F245D" w:rsidRDefault="009F245D" w:rsidP="00B2549B">
            <w:pPr>
              <w:keepNext/>
              <w:rPr>
                <w:i/>
              </w:rPr>
            </w:pPr>
            <w:r w:rsidRPr="009F245D">
              <w:rPr>
                <w:i/>
              </w:rPr>
              <w:t>Measure Type</w:t>
            </w:r>
          </w:p>
        </w:tc>
        <w:tc>
          <w:tcPr>
            <w:tcW w:w="3150" w:type="dxa"/>
          </w:tcPr>
          <w:p w14:paraId="42DC9023" w14:textId="2827E170" w:rsidR="009F245D" w:rsidRPr="009F245D" w:rsidRDefault="009F245D" w:rsidP="00B2549B">
            <w:pPr>
              <w:keepNext/>
              <w:rPr>
                <w:i/>
              </w:rPr>
            </w:pPr>
            <w:r w:rsidRPr="009F245D">
              <w:rPr>
                <w:i/>
              </w:rPr>
              <w:t>Frequency of Data Collection</w:t>
            </w:r>
          </w:p>
        </w:tc>
      </w:tr>
      <w:tr w:rsidR="009F245D" w14:paraId="0E178D6F" w14:textId="77777777" w:rsidTr="009F245D">
        <w:tc>
          <w:tcPr>
            <w:tcW w:w="5215" w:type="dxa"/>
          </w:tcPr>
          <w:p w14:paraId="1ED1F0C7" w14:textId="16C4FB4A" w:rsidR="009F245D" w:rsidRDefault="009F245D" w:rsidP="00B2549B">
            <w:pPr>
              <w:keepNext/>
            </w:pPr>
            <w:r>
              <w:t xml:space="preserve">Chart-abstracted clinical process of care </w:t>
            </w:r>
          </w:p>
        </w:tc>
        <w:tc>
          <w:tcPr>
            <w:tcW w:w="3150" w:type="dxa"/>
          </w:tcPr>
          <w:p w14:paraId="770ECE91" w14:textId="0FC9B80B" w:rsidR="009F245D" w:rsidRDefault="009F245D" w:rsidP="00B2549B">
            <w:pPr>
              <w:keepNext/>
            </w:pPr>
            <w:r>
              <w:t>quarterly</w:t>
            </w:r>
          </w:p>
        </w:tc>
      </w:tr>
      <w:tr w:rsidR="009F245D" w14:paraId="51D5D88F" w14:textId="77777777" w:rsidTr="009F245D">
        <w:tc>
          <w:tcPr>
            <w:tcW w:w="5215" w:type="dxa"/>
          </w:tcPr>
          <w:p w14:paraId="38999F6F" w14:textId="1E55C961" w:rsidR="009F245D" w:rsidRDefault="009F245D" w:rsidP="00B2549B">
            <w:pPr>
              <w:keepNext/>
            </w:pPr>
            <w:r>
              <w:t>EHR-based clinical process of care (i.e., eCQMs)</w:t>
            </w:r>
          </w:p>
        </w:tc>
        <w:tc>
          <w:tcPr>
            <w:tcW w:w="3150" w:type="dxa"/>
          </w:tcPr>
          <w:p w14:paraId="7886436E" w14:textId="5A89C6F7" w:rsidR="009F245D" w:rsidRDefault="009F245D" w:rsidP="00B2549B">
            <w:pPr>
              <w:keepNext/>
            </w:pPr>
            <w:r>
              <w:t>annual</w:t>
            </w:r>
          </w:p>
        </w:tc>
      </w:tr>
      <w:tr w:rsidR="009F245D" w14:paraId="5BAE23E9" w14:textId="77777777" w:rsidTr="009F245D">
        <w:tc>
          <w:tcPr>
            <w:tcW w:w="5215" w:type="dxa"/>
          </w:tcPr>
          <w:p w14:paraId="13E1BAB2" w14:textId="7170AAEC" w:rsidR="009F245D" w:rsidRDefault="009F245D" w:rsidP="009F245D">
            <w:pPr>
              <w:keepNext/>
            </w:pPr>
            <w:r>
              <w:t>Structural</w:t>
            </w:r>
          </w:p>
        </w:tc>
        <w:tc>
          <w:tcPr>
            <w:tcW w:w="3150" w:type="dxa"/>
          </w:tcPr>
          <w:p w14:paraId="55C402D9" w14:textId="0A5A26C2" w:rsidR="009F245D" w:rsidRDefault="009F245D" w:rsidP="009F245D">
            <w:pPr>
              <w:keepNext/>
            </w:pPr>
            <w:r>
              <w:t>annual</w:t>
            </w:r>
          </w:p>
        </w:tc>
      </w:tr>
    </w:tbl>
    <w:p w14:paraId="06049F04" w14:textId="453AB20B" w:rsidR="007236A4" w:rsidRPr="00792D0B" w:rsidRDefault="0097359D" w:rsidP="00B2549B">
      <w:pPr>
        <w:keepNext/>
      </w:pPr>
      <w:r>
        <w:t xml:space="preserve"> </w:t>
      </w:r>
    </w:p>
    <w:p w14:paraId="7A550BBB" w14:textId="77777777" w:rsidR="007236A4" w:rsidRPr="000D165B" w:rsidRDefault="00C335DB" w:rsidP="000D165B">
      <w:pPr>
        <w:rPr>
          <w:u w:val="single"/>
        </w:rPr>
      </w:pPr>
      <w:r>
        <w:rPr>
          <w:u w:val="single"/>
        </w:rPr>
        <w:br/>
      </w:r>
      <w:r w:rsidR="000D165B">
        <w:rPr>
          <w:u w:val="single"/>
        </w:rPr>
        <w:t xml:space="preserve">7.  </w:t>
      </w:r>
      <w:r w:rsidR="007236A4" w:rsidRPr="000D165B">
        <w:rPr>
          <w:u w:val="single"/>
        </w:rPr>
        <w:t>Special Circumstances</w:t>
      </w:r>
    </w:p>
    <w:p w14:paraId="2BAFF660" w14:textId="77777777" w:rsidR="007236A4" w:rsidRPr="00B30999" w:rsidRDefault="007236A4" w:rsidP="007236A4">
      <w:pPr>
        <w:pStyle w:val="ListParagraph"/>
        <w:rPr>
          <w:u w:val="single"/>
        </w:rPr>
      </w:pPr>
    </w:p>
    <w:p w14:paraId="188B9B04" w14:textId="77777777" w:rsidR="007236A4" w:rsidRPr="00792D0B" w:rsidRDefault="007236A4" w:rsidP="007236A4">
      <w:r w:rsidRPr="00792D0B">
        <w:t>Although participati</w:t>
      </w:r>
      <w:r w:rsidR="00794E08">
        <w:t>on in the Hospital IQR Program is voluntary on the part of subsection (d)</w:t>
      </w:r>
      <w:r w:rsidRPr="00792D0B">
        <w:t xml:space="preserve"> hospitals, all eligible hospitals must submit </w:t>
      </w:r>
      <w:r w:rsidR="00936442" w:rsidRPr="00792D0B">
        <w:t>th</w:t>
      </w:r>
      <w:r w:rsidR="00936442">
        <w:t>ese</w:t>
      </w:r>
      <w:r w:rsidR="00936442" w:rsidRPr="00792D0B">
        <w:t xml:space="preserve"> </w:t>
      </w:r>
      <w:r w:rsidRPr="00792D0B">
        <w:t xml:space="preserve">data </w:t>
      </w:r>
      <w:r w:rsidR="0085650C">
        <w:t xml:space="preserve">and meet all other Hospital IQR Program requirements </w:t>
      </w:r>
      <w:r w:rsidRPr="00792D0B">
        <w:t>in order to receive the</w:t>
      </w:r>
      <w:r w:rsidR="0085650C">
        <w:t>ir</w:t>
      </w:r>
      <w:r w:rsidRPr="00792D0B">
        <w:t xml:space="preserve"> full </w:t>
      </w:r>
      <w:r w:rsidR="0085650C">
        <w:t>APU</w:t>
      </w:r>
      <w:r w:rsidRPr="00792D0B">
        <w:t xml:space="preserve"> for the given fiscal year.</w:t>
      </w:r>
      <w:r w:rsidR="00F023A4">
        <w:t xml:space="preserve"> </w:t>
      </w:r>
      <w:r w:rsidRPr="00792D0B">
        <w:t xml:space="preserve"> </w:t>
      </w:r>
      <w:r w:rsidR="009733B4">
        <w:t xml:space="preserve">If a hospital does </w:t>
      </w:r>
      <w:r w:rsidR="00F41761">
        <w:t xml:space="preserve">not </w:t>
      </w:r>
      <w:r w:rsidR="009733B4">
        <w:t>submit the required data and meet all other Hospital IQR Program requirements, it would be subject to a reduc</w:t>
      </w:r>
      <w:r w:rsidR="00330B6B">
        <w:t>ed APU for a given fiscal year.</w:t>
      </w:r>
    </w:p>
    <w:p w14:paraId="3EC6AFA3" w14:textId="77777777" w:rsidR="007236A4" w:rsidRPr="00792D0B" w:rsidRDefault="007236A4" w:rsidP="007236A4"/>
    <w:p w14:paraId="674CC91E" w14:textId="77777777" w:rsidR="007236A4" w:rsidRPr="000D165B" w:rsidRDefault="000D165B" w:rsidP="000D165B">
      <w:pPr>
        <w:rPr>
          <w:u w:val="single"/>
        </w:rPr>
      </w:pPr>
      <w:r>
        <w:rPr>
          <w:u w:val="single"/>
        </w:rPr>
        <w:t xml:space="preserve">8.  </w:t>
      </w:r>
      <w:r w:rsidR="007236A4" w:rsidRPr="007A23DA">
        <w:rPr>
          <w:i/>
          <w:u w:val="single"/>
        </w:rPr>
        <w:t>Federal Register</w:t>
      </w:r>
      <w:r w:rsidR="007236A4" w:rsidRPr="000D165B">
        <w:rPr>
          <w:u w:val="single"/>
        </w:rPr>
        <w:t xml:space="preserve"> Notice/Outside Consultation </w:t>
      </w:r>
    </w:p>
    <w:p w14:paraId="07CC79FD" w14:textId="77777777" w:rsidR="007236A4" w:rsidRPr="00792D0B" w:rsidRDefault="007236A4" w:rsidP="007236A4"/>
    <w:p w14:paraId="4A709C93" w14:textId="00A7D765" w:rsidR="007236A4" w:rsidRDefault="007236A4" w:rsidP="007236A4">
      <w:r w:rsidRPr="00792D0B">
        <w:t xml:space="preserve">A </w:t>
      </w:r>
      <w:r>
        <w:t xml:space="preserve">60-day </w:t>
      </w:r>
      <w:r w:rsidRPr="007A23DA">
        <w:rPr>
          <w:i/>
        </w:rPr>
        <w:t>Federal Register</w:t>
      </w:r>
      <w:r w:rsidRPr="00792D0B">
        <w:t xml:space="preserve"> </w:t>
      </w:r>
      <w:r>
        <w:t>n</w:t>
      </w:r>
      <w:r w:rsidRPr="00792D0B">
        <w:t xml:space="preserve">otice </w:t>
      </w:r>
      <w:r w:rsidR="00625F60">
        <w:t xml:space="preserve">of the </w:t>
      </w:r>
      <w:r w:rsidR="00625F60" w:rsidRPr="00792D0B">
        <w:t>FY 201</w:t>
      </w:r>
      <w:r w:rsidR="007A0993">
        <w:t>9</w:t>
      </w:r>
      <w:r w:rsidR="00625F60" w:rsidRPr="00792D0B">
        <w:t xml:space="preserve"> IPPS</w:t>
      </w:r>
      <w:r w:rsidR="00625F60">
        <w:t>/LTCH PPS</w:t>
      </w:r>
      <w:r w:rsidR="00625F60" w:rsidRPr="00792D0B">
        <w:t xml:space="preserve"> </w:t>
      </w:r>
      <w:r w:rsidR="00330B6B">
        <w:t>p</w:t>
      </w:r>
      <w:r w:rsidR="00625F60" w:rsidRPr="00792D0B">
        <w:t xml:space="preserve">roposed </w:t>
      </w:r>
      <w:r w:rsidR="00330B6B">
        <w:t>r</w:t>
      </w:r>
      <w:r w:rsidR="00625F60" w:rsidRPr="00792D0B">
        <w:t>ule</w:t>
      </w:r>
      <w:r w:rsidR="00625F60">
        <w:t xml:space="preserve"> </w:t>
      </w:r>
      <w:r w:rsidR="00416562">
        <w:t>went</w:t>
      </w:r>
      <w:r w:rsidR="00D27CA5">
        <w:t xml:space="preserve"> on display on </w:t>
      </w:r>
      <w:r w:rsidR="00416562">
        <w:t xml:space="preserve">April </w:t>
      </w:r>
      <w:r w:rsidR="00300564">
        <w:t>2</w:t>
      </w:r>
      <w:r w:rsidR="00832170">
        <w:t>4</w:t>
      </w:r>
      <w:r w:rsidR="00D27CA5">
        <w:t>, 201</w:t>
      </w:r>
      <w:r w:rsidR="007A0993">
        <w:t>8</w:t>
      </w:r>
      <w:r w:rsidR="00832170">
        <w:t xml:space="preserve">, and was published in the </w:t>
      </w:r>
      <w:r w:rsidR="00832170" w:rsidRPr="00832170">
        <w:rPr>
          <w:i/>
        </w:rPr>
        <w:t>Federal Register</w:t>
      </w:r>
      <w:r w:rsidR="00832170">
        <w:t xml:space="preserve"> on May 7, 2018 (83 FR 20164)</w:t>
      </w:r>
      <w:r w:rsidR="008C5BB1">
        <w:t>.</w:t>
      </w:r>
      <w:r w:rsidR="00B2549B">
        <w:t xml:space="preserve">  </w:t>
      </w:r>
      <w:r w:rsidRPr="00792D0B">
        <w:t xml:space="preserve">Comments </w:t>
      </w:r>
      <w:r w:rsidR="00300564">
        <w:t xml:space="preserve">were </w:t>
      </w:r>
      <w:r w:rsidR="00D27CA5">
        <w:t xml:space="preserve">submitted on this notice, and </w:t>
      </w:r>
      <w:r w:rsidR="00B2549B">
        <w:t>we</w:t>
      </w:r>
      <w:r w:rsidR="00D27CA5">
        <w:t xml:space="preserve"> respond</w:t>
      </w:r>
      <w:r w:rsidR="00300564">
        <w:t>ed</w:t>
      </w:r>
      <w:r w:rsidR="00330B6B">
        <w:t xml:space="preserve"> to those comments accordingly</w:t>
      </w:r>
      <w:r w:rsidR="00832170">
        <w:t xml:space="preserve"> in the FY 2019 IPPS/LTCH PPS final rule</w:t>
      </w:r>
      <w:r w:rsidR="00330B6B">
        <w:t>.</w:t>
      </w:r>
    </w:p>
    <w:p w14:paraId="4060638D" w14:textId="77777777" w:rsidR="004D41F6" w:rsidRDefault="004D41F6" w:rsidP="007236A4"/>
    <w:p w14:paraId="4CD7F129" w14:textId="694CBAE9" w:rsidR="004D41F6" w:rsidRDefault="004D41F6" w:rsidP="007236A4">
      <w:r>
        <w:t xml:space="preserve">The final rule was published in the </w:t>
      </w:r>
      <w:r w:rsidRPr="004D41F6">
        <w:rPr>
          <w:i/>
        </w:rPr>
        <w:t>Federal Register</w:t>
      </w:r>
      <w:r>
        <w:t xml:space="preserve"> on August 17, 2018 (83 FR 41144).</w:t>
      </w:r>
    </w:p>
    <w:p w14:paraId="5D33A00C" w14:textId="77777777" w:rsidR="007236A4" w:rsidRPr="00792D0B" w:rsidRDefault="007236A4" w:rsidP="007236A4"/>
    <w:p w14:paraId="208FD4BD" w14:textId="77777777" w:rsidR="007236A4" w:rsidRPr="00792D0B" w:rsidRDefault="007236A4" w:rsidP="007236A4">
      <w:r w:rsidRPr="00792D0B">
        <w:t xml:space="preserve">CMS is supported in this initiative by </w:t>
      </w:r>
      <w:r w:rsidR="008224CC">
        <w:t>The Joint Commission</w:t>
      </w:r>
      <w:r w:rsidRPr="00792D0B">
        <w:t>, N</w:t>
      </w:r>
      <w:r w:rsidR="00790647">
        <w:t xml:space="preserve">ational </w:t>
      </w:r>
      <w:r w:rsidRPr="00792D0B">
        <w:t>Q</w:t>
      </w:r>
      <w:r w:rsidR="00790647">
        <w:t xml:space="preserve">uality </w:t>
      </w:r>
      <w:r w:rsidRPr="00792D0B">
        <w:t>F</w:t>
      </w:r>
      <w:r w:rsidR="00790647">
        <w:t>orum (NQF)</w:t>
      </w:r>
      <w:r w:rsidRPr="00792D0B">
        <w:t>, M</w:t>
      </w:r>
      <w:r w:rsidR="00B2549B">
        <w:t>easure</w:t>
      </w:r>
      <w:r w:rsidR="00790647">
        <w:t xml:space="preserve"> </w:t>
      </w:r>
      <w:r w:rsidRPr="00792D0B">
        <w:t>A</w:t>
      </w:r>
      <w:r w:rsidR="00790647">
        <w:t>pplication</w:t>
      </w:r>
      <w:r w:rsidR="00B2549B">
        <w:t>s</w:t>
      </w:r>
      <w:r w:rsidR="00790647">
        <w:t xml:space="preserve"> </w:t>
      </w:r>
      <w:r w:rsidRPr="00792D0B">
        <w:t>P</w:t>
      </w:r>
      <w:r w:rsidR="00790647">
        <w:t>artnership</w:t>
      </w:r>
      <w:r w:rsidRPr="00792D0B">
        <w:t>, C</w:t>
      </w:r>
      <w:r w:rsidR="00790647">
        <w:t xml:space="preserve">enters for </w:t>
      </w:r>
      <w:r w:rsidRPr="00792D0B">
        <w:t>D</w:t>
      </w:r>
      <w:r w:rsidR="00790647">
        <w:t xml:space="preserve">isease </w:t>
      </w:r>
      <w:r w:rsidRPr="00792D0B">
        <w:t>C</w:t>
      </w:r>
      <w:r w:rsidR="00790647">
        <w:t>ontrol and Prevention</w:t>
      </w:r>
      <w:r w:rsidRPr="00792D0B">
        <w:t>, and A</w:t>
      </w:r>
      <w:r w:rsidR="00790647">
        <w:t xml:space="preserve">gency for </w:t>
      </w:r>
      <w:r w:rsidRPr="00792D0B">
        <w:t>H</w:t>
      </w:r>
      <w:r w:rsidR="00790647">
        <w:t xml:space="preserve">ealthcare </w:t>
      </w:r>
      <w:r w:rsidRPr="00792D0B">
        <w:t>R</w:t>
      </w:r>
      <w:r w:rsidR="00790647">
        <w:t xml:space="preserve">esearch and </w:t>
      </w:r>
      <w:r w:rsidRPr="00792D0B">
        <w:t>Q</w:t>
      </w:r>
      <w:r w:rsidR="00790647">
        <w:t>uality</w:t>
      </w:r>
      <w:r w:rsidRPr="00792D0B">
        <w:t>.  These organizations collaborate with CMS on an ongoing basis, providing technical assistance in developing and/or identifying quality measures, and assisting in making the information accessible, understandable, and relevant to the public.</w:t>
      </w:r>
    </w:p>
    <w:p w14:paraId="48E10B1C" w14:textId="77777777" w:rsidR="007236A4" w:rsidRPr="00792D0B" w:rsidRDefault="007236A4" w:rsidP="007236A4"/>
    <w:p w14:paraId="7C7410B4" w14:textId="77777777" w:rsidR="007236A4" w:rsidRPr="000D165B" w:rsidRDefault="000D165B" w:rsidP="00734C3C">
      <w:pPr>
        <w:keepNext/>
        <w:rPr>
          <w:u w:val="single"/>
        </w:rPr>
      </w:pPr>
      <w:r>
        <w:rPr>
          <w:u w:val="single"/>
        </w:rPr>
        <w:t xml:space="preserve">9.  </w:t>
      </w:r>
      <w:r w:rsidR="007236A4" w:rsidRPr="000D165B">
        <w:rPr>
          <w:u w:val="single"/>
        </w:rPr>
        <w:t>Payment/Gift to Respondent</w:t>
      </w:r>
    </w:p>
    <w:p w14:paraId="0BB1B9F0" w14:textId="77777777" w:rsidR="007236A4" w:rsidRPr="00B30999" w:rsidRDefault="007236A4" w:rsidP="00734C3C">
      <w:pPr>
        <w:pStyle w:val="ListParagraph"/>
        <w:keepNext/>
        <w:rPr>
          <w:u w:val="single"/>
        </w:rPr>
      </w:pPr>
    </w:p>
    <w:p w14:paraId="3C36D912" w14:textId="41FEF00B" w:rsidR="007236A4" w:rsidRPr="00792D0B" w:rsidRDefault="007236A4" w:rsidP="00734C3C">
      <w:pPr>
        <w:keepNext/>
      </w:pPr>
      <w:r w:rsidRPr="00792D0B">
        <w:t>No payments or gifts will be given to respondents for participation.</w:t>
      </w:r>
      <w:r w:rsidR="004E4BD5">
        <w:t xml:space="preserve">  </w:t>
      </w:r>
      <w:r w:rsidR="004E4BD5" w:rsidRPr="004E4BD5">
        <w:t xml:space="preserve">As noted in the FY 2016 IPPS/LTCH IPPS final rule (80 FR 49762 </w:t>
      </w:r>
      <w:r w:rsidR="00832170">
        <w:t xml:space="preserve">through </w:t>
      </w:r>
      <w:r w:rsidR="004E4BD5" w:rsidRPr="004E4BD5">
        <w:t xml:space="preserve">49763), we </w:t>
      </w:r>
      <w:r w:rsidR="004E4BD5">
        <w:t>reimburse</w:t>
      </w:r>
      <w:r w:rsidR="004E4BD5" w:rsidRPr="004E4BD5">
        <w:t xml:space="preserve"> hospitals directly for expenses associated with submission of charts for clinical process </w:t>
      </w:r>
      <w:r w:rsidR="00CF72A5">
        <w:t>of care measure data validation</w:t>
      </w:r>
      <w:r w:rsidR="004E4BD5" w:rsidRPr="004E4BD5">
        <w:t xml:space="preserve"> – we reimburse hospitals at 12 cents per photocopied page; for hospitals providing charts digitally via a re-writable</w:t>
      </w:r>
      <w:r w:rsidR="00CF72A5">
        <w:t xml:space="preserve"> disc, such as encrypted CD-ROM, DVD, or flash drive</w:t>
      </w:r>
      <w:r w:rsidR="004E4BD5" w:rsidRPr="004E4BD5">
        <w:t>, we reimburse hospitals at a rate of 40 cents per disc.</w:t>
      </w:r>
    </w:p>
    <w:p w14:paraId="1F3259D0" w14:textId="77777777" w:rsidR="007236A4" w:rsidRPr="00792D0B" w:rsidRDefault="007236A4" w:rsidP="007236A4"/>
    <w:p w14:paraId="69AC44F8" w14:textId="77777777" w:rsidR="007236A4" w:rsidRPr="000D165B" w:rsidRDefault="000D165B" w:rsidP="00323750">
      <w:pPr>
        <w:keepNext/>
        <w:rPr>
          <w:u w:val="single"/>
        </w:rPr>
      </w:pPr>
      <w:r>
        <w:rPr>
          <w:u w:val="single"/>
        </w:rPr>
        <w:t xml:space="preserve">10.  </w:t>
      </w:r>
      <w:r w:rsidR="007236A4" w:rsidRPr="000D165B">
        <w:rPr>
          <w:u w:val="single"/>
        </w:rPr>
        <w:t>Confidentiality</w:t>
      </w:r>
    </w:p>
    <w:p w14:paraId="10DED815" w14:textId="77777777" w:rsidR="007236A4" w:rsidRPr="00B30999" w:rsidRDefault="007236A4" w:rsidP="00323750">
      <w:pPr>
        <w:pStyle w:val="ListParagraph"/>
        <w:keepNext/>
        <w:rPr>
          <w:u w:val="single"/>
        </w:rPr>
      </w:pPr>
    </w:p>
    <w:p w14:paraId="50144604" w14:textId="794849D0" w:rsidR="007236A4" w:rsidRPr="00792D0B" w:rsidRDefault="007236A4" w:rsidP="00323750">
      <w:pPr>
        <w:keepNext/>
      </w:pPr>
      <w:r w:rsidRPr="00792D0B">
        <w:t>All information collected under this initiative will be maintained in strict accordance with statutes and regulations governing confidentiality requirements for Quality Improvement Organizations</w:t>
      </w:r>
      <w:r w:rsidR="00936442">
        <w:t>,</w:t>
      </w:r>
      <w:r w:rsidRPr="00792D0B">
        <w:t xml:space="preserve"> which can be found at 42 CFR Part 480.  In addition, the tools used for transmission of data are considered confidential forms of communication and are H</w:t>
      </w:r>
      <w:r w:rsidR="00790647">
        <w:t xml:space="preserve">ealth </w:t>
      </w:r>
      <w:r w:rsidRPr="00792D0B">
        <w:t>I</w:t>
      </w:r>
      <w:r w:rsidR="00790647">
        <w:t xml:space="preserve">nsurance </w:t>
      </w:r>
      <w:r w:rsidRPr="00792D0B">
        <w:t>P</w:t>
      </w:r>
      <w:r w:rsidR="00790647">
        <w:t xml:space="preserve">ortability and </w:t>
      </w:r>
      <w:r w:rsidRPr="00792D0B">
        <w:t>A</w:t>
      </w:r>
      <w:r w:rsidR="00790647">
        <w:t xml:space="preserve">ccountability </w:t>
      </w:r>
      <w:r w:rsidRPr="00792D0B">
        <w:t>A</w:t>
      </w:r>
      <w:r w:rsidR="00790647">
        <w:t>ct (HIP</w:t>
      </w:r>
      <w:r w:rsidR="0080294B">
        <w:t>A</w:t>
      </w:r>
      <w:r w:rsidR="00790647">
        <w:t>A)</w:t>
      </w:r>
      <w:r w:rsidRPr="00792D0B">
        <w:t xml:space="preserve"> compliant.  The </w:t>
      </w:r>
      <w:r w:rsidR="0085650C">
        <w:t xml:space="preserve">CMS </w:t>
      </w:r>
      <w:r w:rsidRPr="00792D0B">
        <w:t xml:space="preserve">clinical </w:t>
      </w:r>
      <w:r w:rsidR="0085650C">
        <w:t xml:space="preserve">data </w:t>
      </w:r>
      <w:r w:rsidRPr="00792D0B">
        <w:t xml:space="preserve">warehouse also voluntarily meets </w:t>
      </w:r>
      <w:r w:rsidR="00330B6B">
        <w:t>or exceeds the HIPAA standards.</w:t>
      </w:r>
    </w:p>
    <w:p w14:paraId="34CEDD9F" w14:textId="77777777" w:rsidR="007236A4" w:rsidRPr="00792D0B" w:rsidRDefault="007236A4" w:rsidP="007236A4"/>
    <w:p w14:paraId="7F18F240" w14:textId="77777777" w:rsidR="007236A4" w:rsidRPr="000D165B" w:rsidRDefault="000D165B" w:rsidP="000D165B">
      <w:pPr>
        <w:rPr>
          <w:u w:val="single"/>
        </w:rPr>
      </w:pPr>
      <w:r>
        <w:rPr>
          <w:u w:val="single"/>
        </w:rPr>
        <w:t xml:space="preserve">11.  </w:t>
      </w:r>
      <w:r w:rsidR="007236A4" w:rsidRPr="000D165B">
        <w:rPr>
          <w:u w:val="single"/>
        </w:rPr>
        <w:t>Sensitive Questions</w:t>
      </w:r>
    </w:p>
    <w:p w14:paraId="7B128B1D" w14:textId="77777777" w:rsidR="007236A4" w:rsidRPr="00792D0B" w:rsidRDefault="007236A4" w:rsidP="007236A4">
      <w:pPr>
        <w:rPr>
          <w:u w:val="single"/>
        </w:rPr>
      </w:pPr>
    </w:p>
    <w:p w14:paraId="116FE022" w14:textId="7B2AC3B5" w:rsidR="007236A4" w:rsidRPr="00792D0B" w:rsidRDefault="007236A4" w:rsidP="007236A4">
      <w:r w:rsidRPr="00792D0B">
        <w:t>Case</w:t>
      </w:r>
      <w:r w:rsidR="00936442">
        <w:t>-s</w:t>
      </w:r>
      <w:r w:rsidRPr="00792D0B">
        <w:t>pecific clinical data elements will be collected and are necessary to calculate statistical measures.  These statistical measures are the basis of all subsequent improvement initiatives derived from this collection and cannot be calculated without the case</w:t>
      </w:r>
      <w:r w:rsidR="00CF72A5">
        <w:t>-</w:t>
      </w:r>
      <w:r w:rsidRPr="00792D0B">
        <w:t>specific data.  Th</w:t>
      </w:r>
      <w:r w:rsidR="00936442">
        <w:t>ese</w:t>
      </w:r>
      <w:r w:rsidRPr="00792D0B">
        <w:t xml:space="preserve"> sensitive data will not, however, be released to the public.  Only hospital</w:t>
      </w:r>
      <w:r w:rsidR="00936442">
        <w:t>-</w:t>
      </w:r>
      <w:r w:rsidRPr="00792D0B">
        <w:t>specific data will be released to the public after consent has been received from the hospital for the release.  The patient</w:t>
      </w:r>
      <w:r w:rsidR="00936442">
        <w:t>-</w:t>
      </w:r>
      <w:r w:rsidRPr="00792D0B">
        <w:t xml:space="preserve">specific data remaining in the </w:t>
      </w:r>
      <w:r w:rsidR="0085650C">
        <w:t xml:space="preserve">CMS clinical </w:t>
      </w:r>
      <w:r w:rsidRPr="00792D0B">
        <w:t xml:space="preserve">data warehouse after the data </w:t>
      </w:r>
      <w:r w:rsidR="00936442">
        <w:t>are</w:t>
      </w:r>
      <w:r w:rsidR="00936442" w:rsidRPr="00792D0B">
        <w:t xml:space="preserve"> </w:t>
      </w:r>
      <w:r w:rsidRPr="00792D0B">
        <w:t>aggregated for release for public reporting will continue to be subject to the strict confidentiality r</w:t>
      </w:r>
      <w:r w:rsidR="00330B6B">
        <w:t>egulations in 42 CFR Part 480.</w:t>
      </w:r>
    </w:p>
    <w:p w14:paraId="0BF630ED" w14:textId="77777777" w:rsidR="007236A4" w:rsidRPr="00792D0B" w:rsidRDefault="007236A4" w:rsidP="007236A4"/>
    <w:p w14:paraId="7EBFACE4" w14:textId="77777777" w:rsidR="004D6FC1" w:rsidRPr="000D165B" w:rsidRDefault="004D6FC1" w:rsidP="004D6FC1">
      <w:pPr>
        <w:rPr>
          <w:u w:val="single"/>
        </w:rPr>
      </w:pPr>
      <w:r>
        <w:rPr>
          <w:u w:val="single"/>
        </w:rPr>
        <w:t xml:space="preserve">12.  </w:t>
      </w:r>
      <w:r w:rsidRPr="000D165B">
        <w:rPr>
          <w:u w:val="single"/>
        </w:rPr>
        <w:t>Burden Estimate (Total Hours &amp; Wages)</w:t>
      </w:r>
    </w:p>
    <w:p w14:paraId="1A589AE5" w14:textId="77777777" w:rsidR="004D6FC1" w:rsidRPr="00792D0B" w:rsidRDefault="004D6FC1" w:rsidP="004D6FC1">
      <w:pPr>
        <w:rPr>
          <w:u w:val="single"/>
        </w:rPr>
      </w:pPr>
    </w:p>
    <w:p w14:paraId="543B049A" w14:textId="35401D22" w:rsidR="004D6FC1" w:rsidRPr="00E23B48" w:rsidRDefault="004D6FC1" w:rsidP="004D6FC1">
      <w:pPr>
        <w:rPr>
          <w:u w:val="single"/>
        </w:rPr>
      </w:pPr>
      <w:r w:rsidRPr="00E23B48">
        <w:rPr>
          <w:u w:val="single"/>
        </w:rPr>
        <w:t xml:space="preserve">a. </w:t>
      </w:r>
      <w:r w:rsidR="00855446">
        <w:rPr>
          <w:u w:val="single"/>
        </w:rPr>
        <w:t xml:space="preserve"> </w:t>
      </w:r>
      <w:r w:rsidRPr="00E23B48">
        <w:rPr>
          <w:u w:val="single"/>
        </w:rPr>
        <w:t>Background</w:t>
      </w:r>
    </w:p>
    <w:p w14:paraId="772C77BC" w14:textId="77777777" w:rsidR="004D6FC1" w:rsidRPr="008109BD" w:rsidRDefault="004D6FC1" w:rsidP="008A3F67">
      <w:pPr>
        <w:rPr>
          <w:u w:val="single"/>
        </w:rPr>
      </w:pPr>
    </w:p>
    <w:p w14:paraId="7FFA67CC" w14:textId="5B6FC7A7" w:rsidR="00B87776" w:rsidRDefault="008C0B61" w:rsidP="009A141E">
      <w:pPr>
        <w:pStyle w:val="NoSpacing"/>
        <w:contextualSpacing/>
      </w:pPr>
      <w:r>
        <w:t>As discussed in section A.1.b above, i</w:t>
      </w:r>
      <w:r w:rsidR="004D6FC1" w:rsidRPr="00D27CA5">
        <w:t>n t</w:t>
      </w:r>
      <w:r w:rsidR="004D6FC1">
        <w:t>he FY 201</w:t>
      </w:r>
      <w:r w:rsidR="006A1CB9">
        <w:t>9</w:t>
      </w:r>
      <w:r w:rsidR="004D6FC1" w:rsidRPr="00D27CA5">
        <w:t xml:space="preserve"> IPPS/LTCH PPS </w:t>
      </w:r>
      <w:r w:rsidR="00125576">
        <w:t>p</w:t>
      </w:r>
      <w:r w:rsidR="004D6FC1" w:rsidRPr="00D27CA5">
        <w:t xml:space="preserve">roposed </w:t>
      </w:r>
      <w:r w:rsidR="00125576">
        <w:t>r</w:t>
      </w:r>
      <w:r w:rsidR="004D6FC1" w:rsidRPr="00D27CA5">
        <w:t xml:space="preserve">ule, we </w:t>
      </w:r>
      <w:r>
        <w:t xml:space="preserve">did </w:t>
      </w:r>
      <w:r w:rsidR="00616039">
        <w:t>not propos</w:t>
      </w:r>
      <w:r>
        <w:t>e</w:t>
      </w:r>
      <w:r w:rsidR="00616039">
        <w:t xml:space="preserve"> </w:t>
      </w:r>
      <w:r w:rsidR="008E14EA">
        <w:t xml:space="preserve">to add </w:t>
      </w:r>
      <w:r w:rsidR="00616039">
        <w:t>any new measures</w:t>
      </w:r>
      <w:r w:rsidR="008C701F">
        <w:t xml:space="preserve"> for the Hospital IQR Program.  H</w:t>
      </w:r>
      <w:r w:rsidR="00616039">
        <w:t xml:space="preserve">owever, </w:t>
      </w:r>
      <w:r>
        <w:t>i</w:t>
      </w:r>
      <w:r w:rsidRPr="00D27CA5">
        <w:t>n t</w:t>
      </w:r>
      <w:r>
        <w:t>he FY 2019</w:t>
      </w:r>
      <w:r w:rsidRPr="00D27CA5">
        <w:t xml:space="preserve"> IPPS/LTCH PPS </w:t>
      </w:r>
      <w:r>
        <w:t>final r</w:t>
      </w:r>
      <w:r w:rsidRPr="00D27CA5">
        <w:t>ule</w:t>
      </w:r>
      <w:r>
        <w:t xml:space="preserve">, </w:t>
      </w:r>
      <w:r w:rsidR="00616039">
        <w:t xml:space="preserve">we are </w:t>
      </w:r>
      <w:r>
        <w:t xml:space="preserve">finalizing our proposals to </w:t>
      </w:r>
      <w:r w:rsidR="00616039">
        <w:t>modif</w:t>
      </w:r>
      <w:r>
        <w:t>y</w:t>
      </w:r>
      <w:r w:rsidR="00616039">
        <w:t xml:space="preserve"> </w:t>
      </w:r>
      <w:r>
        <w:t xml:space="preserve">other </w:t>
      </w:r>
      <w:r w:rsidR="00616039">
        <w:t>program requirements</w:t>
      </w:r>
      <w:r w:rsidR="008A3F67">
        <w:t xml:space="preserve"> </w:t>
      </w:r>
      <w:r w:rsidR="008A3F67" w:rsidRPr="00822668">
        <w:t xml:space="preserve">that we expect </w:t>
      </w:r>
      <w:r w:rsidR="00DF77E9">
        <w:t>would</w:t>
      </w:r>
      <w:r w:rsidR="008A3F67" w:rsidRPr="00822668">
        <w:t xml:space="preserve"> affect our burden estimates</w:t>
      </w:r>
      <w:r w:rsidR="008A3F67">
        <w:t>,</w:t>
      </w:r>
      <w:r w:rsidR="004D6FC1" w:rsidRPr="00D27CA5">
        <w:t xml:space="preserve"> </w:t>
      </w:r>
      <w:r w:rsidR="008A3F67">
        <w:t>including:</w:t>
      </w:r>
      <w:r w:rsidR="004D6FC1">
        <w:t> </w:t>
      </w:r>
      <w:r w:rsidR="004D6FC1" w:rsidRPr="00D27CA5">
        <w:t> </w:t>
      </w:r>
      <w:bookmarkStart w:id="1" w:name="_Hlk505178127"/>
      <w:r w:rsidR="008A3F67" w:rsidRPr="00822668">
        <w:t xml:space="preserve">(1) </w:t>
      </w:r>
      <w:r w:rsidR="008A3F67" w:rsidRPr="00DE27AF">
        <w:t>update</w:t>
      </w:r>
      <w:r w:rsidR="008A3F67">
        <w:t>s to</w:t>
      </w:r>
      <w:r w:rsidR="008A3F67" w:rsidRPr="00DE27AF">
        <w:t xml:space="preserve"> the eCQM reporting and submission requirements </w:t>
      </w:r>
      <w:r w:rsidR="008A3F67" w:rsidRPr="00DE27AF">
        <w:rPr>
          <w:rFonts w:eastAsia="Melior"/>
        </w:rPr>
        <w:t xml:space="preserve">for the FY 2021 payment determination; (2) </w:t>
      </w:r>
      <w:r w:rsidR="008A3F67" w:rsidRPr="008263F8">
        <w:t xml:space="preserve">removal of </w:t>
      </w:r>
      <w:r w:rsidR="002F7150" w:rsidRPr="008263F8">
        <w:t xml:space="preserve">three </w:t>
      </w:r>
      <w:r w:rsidR="008A3F67" w:rsidRPr="008263F8">
        <w:t xml:space="preserve">chart-abstracted measures beginning with the FY 2021 payment determination; and (3) removal of </w:t>
      </w:r>
      <w:r w:rsidR="00BE6DD5" w:rsidRPr="008263F8">
        <w:t xml:space="preserve">six </w:t>
      </w:r>
      <w:r w:rsidR="008A3F67" w:rsidRPr="008263F8">
        <w:t>chart-abstracted measure</w:t>
      </w:r>
      <w:r w:rsidR="00BE6DD5" w:rsidRPr="008263F8">
        <w:t>s</w:t>
      </w:r>
      <w:r w:rsidR="008A3F67">
        <w:t xml:space="preserve"> beginning with the </w:t>
      </w:r>
      <w:r w:rsidR="008A3F67" w:rsidRPr="008263F8">
        <w:t>FY 2022 payment determination</w:t>
      </w:r>
      <w:r w:rsidR="008A3F67" w:rsidRPr="00822668">
        <w:rPr>
          <w:rFonts w:eastAsia="Calibri"/>
        </w:rPr>
        <w:t xml:space="preserve">.  </w:t>
      </w:r>
      <w:bookmarkEnd w:id="1"/>
      <w:r w:rsidR="008A3F67" w:rsidRPr="00822668">
        <w:t xml:space="preserve">Details on these </w:t>
      </w:r>
      <w:r w:rsidR="00367203">
        <w:t>finalized policies</w:t>
      </w:r>
      <w:r w:rsidR="008A3F67" w:rsidRPr="00822668">
        <w:t xml:space="preserve">, as well as the expected </w:t>
      </w:r>
      <w:r w:rsidR="008A3F67" w:rsidRPr="007D7B69">
        <w:t>burden changes, are discussed below.</w:t>
      </w:r>
      <w:r w:rsidR="008A3F67">
        <w:t xml:space="preserve">  </w:t>
      </w:r>
    </w:p>
    <w:p w14:paraId="446CEABB" w14:textId="77777777" w:rsidR="00B87776" w:rsidRDefault="00B87776" w:rsidP="009A141E">
      <w:pPr>
        <w:pStyle w:val="NoSpacing"/>
        <w:contextualSpacing/>
      </w:pPr>
    </w:p>
    <w:p w14:paraId="2175D7E2" w14:textId="626639A9" w:rsidR="004D6FC1" w:rsidRDefault="008A3F67" w:rsidP="009A141E">
      <w:pPr>
        <w:pStyle w:val="NoSpacing"/>
        <w:contextualSpacing/>
      </w:pPr>
      <w:r>
        <w:t xml:space="preserve">In addition, we are </w:t>
      </w:r>
      <w:r w:rsidR="002F5B5C">
        <w:t xml:space="preserve">finalizing </w:t>
      </w:r>
      <w:r>
        <w:t xml:space="preserve">several modifications that we </w:t>
      </w:r>
      <w:r w:rsidRPr="00326277">
        <w:t xml:space="preserve">do not </w:t>
      </w:r>
      <w:r w:rsidRPr="007D7B69">
        <w:t>expect to affect our burden estimates</w:t>
      </w:r>
      <w:r w:rsidR="007E634A">
        <w:t xml:space="preserve">.  Specifically, we are </w:t>
      </w:r>
      <w:r w:rsidR="004A0B48">
        <w:t xml:space="preserve">finalizing our </w:t>
      </w:r>
      <w:r w:rsidR="007E634A">
        <w:t>propos</w:t>
      </w:r>
      <w:r w:rsidR="004A0B48">
        <w:t>als</w:t>
      </w:r>
      <w:r>
        <w:t xml:space="preserve"> to</w:t>
      </w:r>
      <w:r w:rsidRPr="00326277">
        <w:t xml:space="preserve">:  (1) update the </w:t>
      </w:r>
      <w:r>
        <w:t>EHR</w:t>
      </w:r>
      <w:r w:rsidRPr="00326277">
        <w:t xml:space="preserve"> certification requirements for the FY 2021 payment determination; (2) remove 1</w:t>
      </w:r>
      <w:r>
        <w:t xml:space="preserve">7 claims-based </w:t>
      </w:r>
      <w:r w:rsidRPr="00326277">
        <w:t>measures</w:t>
      </w:r>
      <w:r>
        <w:t xml:space="preserve"> </w:t>
      </w:r>
      <w:r w:rsidRPr="00326277">
        <w:t xml:space="preserve">beginning with the FY 2020 payment determination; (3) remove </w:t>
      </w:r>
      <w:r>
        <w:t>two</w:t>
      </w:r>
      <w:r w:rsidRPr="00326277">
        <w:t xml:space="preserve"> claims-based measures beginning with the FY 2021 payment determination</w:t>
      </w:r>
      <w:r>
        <w:t xml:space="preserve">; (4) remove one claims-based measure </w:t>
      </w:r>
      <w:r w:rsidRPr="00326277">
        <w:t>beginning with FY 2022 payment determination</w:t>
      </w:r>
      <w:r>
        <w:t>; (5) remove one claims-based measure beginning with the FY 2023 payment determination; (6) remove two structural measures beginning with the FY 2020 payment determination</w:t>
      </w:r>
      <w:r w:rsidRPr="00326277">
        <w:t xml:space="preserve">; </w:t>
      </w:r>
      <w:r>
        <w:t xml:space="preserve">and </w:t>
      </w:r>
      <w:r w:rsidRPr="00326277">
        <w:t>(</w:t>
      </w:r>
      <w:r>
        <w:t>7</w:t>
      </w:r>
      <w:r w:rsidRPr="00326277">
        <w:t xml:space="preserve">) remove </w:t>
      </w:r>
      <w:r>
        <w:t>seven</w:t>
      </w:r>
      <w:r w:rsidRPr="00326277">
        <w:t xml:space="preserve"> eCQMs</w:t>
      </w:r>
      <w:r w:rsidRPr="00326277" w:rsidDel="0092100D">
        <w:t xml:space="preserve"> </w:t>
      </w:r>
      <w:r w:rsidRPr="00326277">
        <w:t xml:space="preserve">beginning with </w:t>
      </w:r>
      <w:r w:rsidR="000C0747">
        <w:t xml:space="preserve">the </w:t>
      </w:r>
      <w:r w:rsidRPr="00326277">
        <w:t xml:space="preserve">FY 2022 payment determination.  </w:t>
      </w:r>
      <w:r>
        <w:t>Our burden estimate</w:t>
      </w:r>
      <w:r w:rsidR="00CD69E6">
        <w:t>s exclude</w:t>
      </w:r>
      <w:r w:rsidR="004D6FC1" w:rsidRPr="00792D0B">
        <w:t xml:space="preserve"> burden associated with the N</w:t>
      </w:r>
      <w:r w:rsidR="00CD69E6">
        <w:t xml:space="preserve">ational </w:t>
      </w:r>
      <w:r w:rsidR="004D6FC1" w:rsidRPr="00792D0B">
        <w:t>H</w:t>
      </w:r>
      <w:r w:rsidR="00CD69E6">
        <w:t xml:space="preserve">ealthcare </w:t>
      </w:r>
      <w:r w:rsidR="004D6FC1" w:rsidRPr="00792D0B">
        <w:t>S</w:t>
      </w:r>
      <w:r w:rsidR="00CD69E6">
        <w:t xml:space="preserve">afety </w:t>
      </w:r>
      <w:r w:rsidR="004D6FC1" w:rsidRPr="00792D0B">
        <w:t>N</w:t>
      </w:r>
      <w:r w:rsidR="00CD69E6">
        <w:t>etwork under OMB control number</w:t>
      </w:r>
      <w:r w:rsidR="00FA4B2D">
        <w:t xml:space="preserve"> </w:t>
      </w:r>
      <w:r w:rsidR="007D2705">
        <w:t>0920-0666</w:t>
      </w:r>
      <w:r w:rsidR="00FA4B2D">
        <w:t>,</w:t>
      </w:r>
      <w:r w:rsidR="00CD69E6">
        <w:t xml:space="preserve"> </w:t>
      </w:r>
      <w:r w:rsidR="00FA4B2D">
        <w:t>the</w:t>
      </w:r>
      <w:r w:rsidR="004D6FC1" w:rsidRPr="00792D0B">
        <w:t xml:space="preserve"> </w:t>
      </w:r>
      <w:r w:rsidR="00616039">
        <w:t>Hospital Consumer Assessment of Healthcare Providers and Systems (</w:t>
      </w:r>
      <w:r w:rsidR="004D6FC1" w:rsidRPr="00792D0B">
        <w:t>HCAHPS</w:t>
      </w:r>
      <w:r w:rsidR="00616039">
        <w:t>)</w:t>
      </w:r>
      <w:r w:rsidR="004D6FC1" w:rsidRPr="00792D0B">
        <w:t xml:space="preserve"> </w:t>
      </w:r>
      <w:r w:rsidR="00FA4B2D">
        <w:t>survey</w:t>
      </w:r>
      <w:r w:rsidR="004D6FC1" w:rsidRPr="00792D0B">
        <w:t xml:space="preserve"> under OMB </w:t>
      </w:r>
      <w:r w:rsidR="004D6FC1">
        <w:t xml:space="preserve">control </w:t>
      </w:r>
      <w:r w:rsidR="00FA4B2D">
        <w:t xml:space="preserve">number 0938-0981, </w:t>
      </w:r>
      <w:r w:rsidR="007D2705">
        <w:t>and</w:t>
      </w:r>
      <w:r w:rsidR="00FA4B2D">
        <w:t xml:space="preserve"> the Medicare </w:t>
      </w:r>
      <w:r w:rsidR="003B6D00">
        <w:t>Promoting Interoperability</w:t>
      </w:r>
      <w:r w:rsidR="00FA4B2D">
        <w:t xml:space="preserve"> Program under OMB control number 0938-1158</w:t>
      </w:r>
      <w:r w:rsidR="004D6FC1" w:rsidRPr="00792D0B">
        <w:t>.</w:t>
      </w:r>
    </w:p>
    <w:p w14:paraId="40E7CBAC" w14:textId="77777777" w:rsidR="004D6FC1" w:rsidRDefault="004D6FC1" w:rsidP="004D6FC1"/>
    <w:p w14:paraId="177D65C5" w14:textId="77777777" w:rsidR="004D6FC1" w:rsidRPr="00792D0B" w:rsidRDefault="009A283C" w:rsidP="004D6FC1">
      <w:r>
        <w:t>For the purposes of burden estimation, we assume a</w:t>
      </w:r>
      <w:r w:rsidR="004D6FC1" w:rsidRPr="00947DBD">
        <w:t>ll of the activities associated with the Hospital IQR Program for 3,300 IPPS hospitals and 1,100 non-IPPS hospital</w:t>
      </w:r>
      <w:r>
        <w:t>s</w:t>
      </w:r>
      <w:r w:rsidR="004D6FC1" w:rsidRPr="00947DBD">
        <w:t xml:space="preserve"> </w:t>
      </w:r>
      <w:r w:rsidR="004D6FC1" w:rsidRPr="00E76126">
        <w:t>will be completed by Medical Records and Health Information Technicians</w:t>
      </w:r>
      <w:r w:rsidR="004D6FC1">
        <w:t xml:space="preserve">. </w:t>
      </w:r>
      <w:r>
        <w:t xml:space="preserve"> </w:t>
      </w:r>
      <w:r w:rsidR="004D6FC1">
        <w:t xml:space="preserve">These staff are qualified to complete the tasks associated with the chart-abstraction of patient data from medical records, the submission of electronic data from EHRs, the submission of data to clinical registries, and the completion of any of the other applicable forms associated with activities related to the Hospital IQR Program.  </w:t>
      </w:r>
      <w:r w:rsidR="004D6FC1" w:rsidRPr="00E76126">
        <w:t xml:space="preserve">The labor performed can be accomplished by these staff with a mean hourly wage in general medical and surgical hospitals of </w:t>
      </w:r>
      <w:r w:rsidR="004D6FC1">
        <w:t>$</w:t>
      </w:r>
      <w:r w:rsidR="00D7008C">
        <w:t>1</w:t>
      </w:r>
      <w:r w:rsidR="00B01B07">
        <w:t>8</w:t>
      </w:r>
      <w:r w:rsidR="00D7008C">
        <w:t>.2</w:t>
      </w:r>
      <w:r w:rsidR="00B01B07">
        <w:t>9</w:t>
      </w:r>
      <w:r w:rsidR="004D6FC1" w:rsidRPr="00F25816">
        <w:t xml:space="preserve"> per hour</w:t>
      </w:r>
      <w:r w:rsidR="004D6FC1">
        <w:t>;</w:t>
      </w:r>
      <w:r w:rsidR="004D6FC1" w:rsidRPr="00F25816">
        <w:rPr>
          <w:rStyle w:val="FootnoteReference"/>
        </w:rPr>
        <w:footnoteReference w:id="5"/>
      </w:r>
      <w:r w:rsidR="004D6FC1">
        <w:t xml:space="preserve"> </w:t>
      </w:r>
      <w:r w:rsidR="004D6FC1" w:rsidRPr="00303A96">
        <w:t xml:space="preserve">however, obtaining data on other overhead costs is challenging. </w:t>
      </w:r>
      <w:r w:rsidR="004D6FC1">
        <w:t xml:space="preserve"> </w:t>
      </w:r>
      <w:r w:rsidR="004D6FC1" w:rsidRPr="00303A96">
        <w:t xml:space="preserve">Overhead costs vary greatly across industries and </w:t>
      </w:r>
      <w:r w:rsidR="004D6FC1">
        <w:t>organization</w:t>
      </w:r>
      <w:r w:rsidR="004D6FC1" w:rsidRPr="00303A96">
        <w:t xml:space="preserve"> </w:t>
      </w:r>
      <w:r w:rsidR="004D6FC1">
        <w:t>size</w:t>
      </w:r>
      <w:r w:rsidR="004D6FC1" w:rsidRPr="00303A96">
        <w:t xml:space="preserve">. </w:t>
      </w:r>
      <w:r w:rsidR="004D6FC1">
        <w:t xml:space="preserve"> </w:t>
      </w:r>
      <w:r w:rsidR="004D6FC1" w:rsidRPr="00303A96">
        <w:t>In addition, the precise cost elements assigned as “indirect” or “overhead” costs, as opposed to direct costs or employee wages, are subject to some int</w:t>
      </w:r>
      <w:r w:rsidR="004D6FC1">
        <w:t>erpretation at the organization level.</w:t>
      </w:r>
      <w:r w:rsidR="004D6FC1" w:rsidRPr="00303A96">
        <w:t xml:space="preserve"> </w:t>
      </w:r>
      <w:r w:rsidR="004D6FC1">
        <w:t xml:space="preserve"> </w:t>
      </w:r>
      <w:r w:rsidR="004D6FC1" w:rsidRPr="00303A96">
        <w:t xml:space="preserve">Therefore, we have chosen to calculate the cost of overhead at 100% of the mean hourly wage. </w:t>
      </w:r>
      <w:r w:rsidR="004D6FC1">
        <w:t xml:space="preserve"> </w:t>
      </w:r>
      <w:r w:rsidR="004D6FC1" w:rsidRPr="00303A96">
        <w:t xml:space="preserve">This is necessarily a rough adjustment, both because fringe benefits and overhead costs vary significantly from employer to employer, and because methods of estimating these costs vary widely from study to study. </w:t>
      </w:r>
      <w:r w:rsidR="004D6FC1">
        <w:t xml:space="preserve"> </w:t>
      </w:r>
      <w:r w:rsidR="004D6FC1" w:rsidRPr="00303A96">
        <w:t xml:space="preserve">Nonetheless, there is no practical alternative and we believe that doubling the hourly wage to estimate total cost is a reasonably accurate estimation method. </w:t>
      </w:r>
      <w:r w:rsidR="004D6FC1">
        <w:t xml:space="preserve"> </w:t>
      </w:r>
      <w:r w:rsidR="004D6FC1" w:rsidRPr="00112929">
        <w:t xml:space="preserve">Therefore, using these assumptions, we </w:t>
      </w:r>
      <w:r w:rsidR="004D6FC1">
        <w:t>estimate</w:t>
      </w:r>
      <w:r w:rsidR="004D6FC1" w:rsidRPr="00112929">
        <w:t xml:space="preserve"> an hourly labor cost of $</w:t>
      </w:r>
      <w:r w:rsidR="00D7008C">
        <w:t>3</w:t>
      </w:r>
      <w:r w:rsidR="00B01B07">
        <w:t>6</w:t>
      </w:r>
      <w:r w:rsidR="00D7008C">
        <w:t>.</w:t>
      </w:r>
      <w:r w:rsidR="00B01B07">
        <w:t>5</w:t>
      </w:r>
      <w:r w:rsidR="00D7008C">
        <w:t>8</w:t>
      </w:r>
      <w:r w:rsidR="004D6FC1">
        <w:t xml:space="preserve"> ($</w:t>
      </w:r>
      <w:r w:rsidR="00D7008C">
        <w:t>1</w:t>
      </w:r>
      <w:r w:rsidR="00B01B07">
        <w:t>8</w:t>
      </w:r>
      <w:r w:rsidR="00D7008C">
        <w:t>.2</w:t>
      </w:r>
      <w:r w:rsidR="00B01B07">
        <w:t>9</w:t>
      </w:r>
      <w:r w:rsidR="004D6FC1">
        <w:t xml:space="preserve"> base salary + $</w:t>
      </w:r>
      <w:r w:rsidR="00D7008C">
        <w:t>1</w:t>
      </w:r>
      <w:r w:rsidR="00B01B07">
        <w:t>8</w:t>
      </w:r>
      <w:r w:rsidR="00D7008C">
        <w:t>.2</w:t>
      </w:r>
      <w:r w:rsidR="00B01B07">
        <w:t>9</w:t>
      </w:r>
      <w:r w:rsidR="004D6FC1" w:rsidRPr="00112929">
        <w:t xml:space="preserve"> fringe)</w:t>
      </w:r>
      <w:r w:rsidR="00330B6B">
        <w:t>.</w:t>
      </w:r>
    </w:p>
    <w:p w14:paraId="40B5F9B4" w14:textId="77777777" w:rsidR="004D6FC1" w:rsidRDefault="004D6FC1" w:rsidP="004D6FC1"/>
    <w:p w14:paraId="20393EA4" w14:textId="06509088" w:rsidR="004D6FC1" w:rsidRPr="00E23B48" w:rsidRDefault="004D6FC1" w:rsidP="004D6FC1">
      <w:pPr>
        <w:rPr>
          <w:u w:val="single"/>
        </w:rPr>
      </w:pPr>
      <w:r w:rsidRPr="00E23B48">
        <w:rPr>
          <w:u w:val="single"/>
        </w:rPr>
        <w:t xml:space="preserve">b. </w:t>
      </w:r>
      <w:r w:rsidR="00855446">
        <w:rPr>
          <w:u w:val="single"/>
        </w:rPr>
        <w:t xml:space="preserve"> </w:t>
      </w:r>
      <w:r w:rsidR="00C801C7">
        <w:rPr>
          <w:u w:val="single"/>
        </w:rPr>
        <w:t>Modified</w:t>
      </w:r>
      <w:r w:rsidRPr="00E23B48">
        <w:rPr>
          <w:u w:val="single"/>
        </w:rPr>
        <w:t xml:space="preserve"> Estimates for </w:t>
      </w:r>
      <w:r w:rsidR="004E36E6">
        <w:rPr>
          <w:u w:val="single"/>
        </w:rPr>
        <w:t xml:space="preserve">the </w:t>
      </w:r>
      <w:r w:rsidRPr="00E23B48">
        <w:rPr>
          <w:u w:val="single"/>
        </w:rPr>
        <w:t>FY 20</w:t>
      </w:r>
      <w:r w:rsidR="00B01B07">
        <w:rPr>
          <w:u w:val="single"/>
        </w:rPr>
        <w:t>20</w:t>
      </w:r>
      <w:r w:rsidRPr="00E23B48">
        <w:rPr>
          <w:u w:val="single"/>
        </w:rPr>
        <w:t xml:space="preserve"> Payment Determination </w:t>
      </w:r>
      <w:r w:rsidRPr="00E23B48">
        <w:rPr>
          <w:u w:val="single"/>
        </w:rPr>
        <w:br/>
      </w:r>
    </w:p>
    <w:p w14:paraId="4F24E1A9" w14:textId="68D0D1BA" w:rsidR="008E776C" w:rsidRDefault="00C802E2" w:rsidP="004D6FC1">
      <w:r>
        <w:t>I</w:t>
      </w:r>
      <w:r w:rsidR="008E776C">
        <w:t xml:space="preserve">n the FY 2019 IPPS/LTCH PPS </w:t>
      </w:r>
      <w:r w:rsidR="00ED0D30">
        <w:t xml:space="preserve">final </w:t>
      </w:r>
      <w:r w:rsidR="008E776C">
        <w:t xml:space="preserve">rule, we are </w:t>
      </w:r>
      <w:r w:rsidR="00ED0D30">
        <w:t xml:space="preserve">finalizing our </w:t>
      </w:r>
      <w:r w:rsidR="008E776C">
        <w:t>propos</w:t>
      </w:r>
      <w:r w:rsidR="00ED0D30">
        <w:t>als</w:t>
      </w:r>
      <w:r w:rsidR="008E776C">
        <w:t xml:space="preserve"> to </w:t>
      </w:r>
      <w:r w:rsidR="008E776C" w:rsidRPr="00326277">
        <w:t>remove 1</w:t>
      </w:r>
      <w:r w:rsidR="008E776C">
        <w:t xml:space="preserve">7 claims-based </w:t>
      </w:r>
      <w:r w:rsidR="008E776C" w:rsidRPr="00326277">
        <w:t>measures</w:t>
      </w:r>
      <w:r w:rsidR="008E776C">
        <w:t xml:space="preserve"> and two structural measures </w:t>
      </w:r>
      <w:r w:rsidR="008E776C" w:rsidRPr="00326277">
        <w:t>beginning with the FY 2020 payment determination</w:t>
      </w:r>
      <w:r w:rsidR="008E776C">
        <w:t>.</w:t>
      </w:r>
    </w:p>
    <w:p w14:paraId="54F1E031" w14:textId="77777777" w:rsidR="008E776C" w:rsidRDefault="008E776C" w:rsidP="004D6FC1"/>
    <w:p w14:paraId="5E32A2CC" w14:textId="6D958E29" w:rsidR="002F671F" w:rsidRDefault="004D6FC1" w:rsidP="00375703">
      <w:r w:rsidRPr="001B46F6">
        <w:t xml:space="preserve">With regard to the Hospital IQR Program requirements </w:t>
      </w:r>
      <w:r w:rsidR="00ED0D30">
        <w:t>finalized</w:t>
      </w:r>
      <w:r w:rsidR="00ED0D30" w:rsidRPr="001B46F6">
        <w:t xml:space="preserve"> </w:t>
      </w:r>
      <w:r w:rsidRPr="001B46F6">
        <w:t xml:space="preserve">for the FY </w:t>
      </w:r>
      <w:r w:rsidR="00E22EA6" w:rsidRPr="001B46F6">
        <w:t>20</w:t>
      </w:r>
      <w:r w:rsidR="00375703">
        <w:t>20</w:t>
      </w:r>
      <w:r w:rsidR="00E22EA6" w:rsidRPr="001B46F6">
        <w:t xml:space="preserve"> </w:t>
      </w:r>
      <w:r w:rsidRPr="001B46F6">
        <w:t xml:space="preserve">payment determination, we estimate </w:t>
      </w:r>
      <w:r w:rsidR="00375703">
        <w:t>no change in</w:t>
      </w:r>
      <w:r w:rsidRPr="001B46F6">
        <w:t xml:space="preserve"> burden </w:t>
      </w:r>
      <w:r w:rsidR="00375703">
        <w:t xml:space="preserve">as a result of </w:t>
      </w:r>
      <w:r w:rsidR="00C30253">
        <w:t>these</w:t>
      </w:r>
      <w:r w:rsidR="00375703">
        <w:t xml:space="preserve"> </w:t>
      </w:r>
      <w:r w:rsidR="001365C2">
        <w:t>policy changes</w:t>
      </w:r>
      <w:r w:rsidR="00375703">
        <w:t>.  B</w:t>
      </w:r>
      <w:r w:rsidR="00375703" w:rsidRPr="00792D0B">
        <w:t xml:space="preserve">ecause </w:t>
      </w:r>
      <w:r w:rsidR="00375703">
        <w:t>claims-based measures</w:t>
      </w:r>
      <w:r w:rsidR="00375703" w:rsidRPr="00792D0B">
        <w:t xml:space="preserve"> </w:t>
      </w:r>
      <w:r w:rsidR="00C802E2">
        <w:t>are</w:t>
      </w:r>
      <w:r w:rsidR="00375703" w:rsidRPr="00792D0B">
        <w:t xml:space="preserve"> calculated based on data that are already reported to the Medicare program for payment purposes</w:t>
      </w:r>
      <w:r w:rsidR="00375703">
        <w:t>,</w:t>
      </w:r>
      <w:r w:rsidR="00375703" w:rsidRPr="00792D0B">
        <w:t xml:space="preserve"> </w:t>
      </w:r>
      <w:r w:rsidR="00375703" w:rsidRPr="00471F14">
        <w:t xml:space="preserve">we do not </w:t>
      </w:r>
      <w:r w:rsidR="00375703">
        <w:t>anticipate</w:t>
      </w:r>
      <w:r w:rsidR="00375703" w:rsidRPr="00471F14">
        <w:t xml:space="preserve"> </w:t>
      </w:r>
      <w:r w:rsidR="00375703" w:rsidRPr="00701E35">
        <w:t xml:space="preserve">removing </w:t>
      </w:r>
      <w:r w:rsidR="00375703" w:rsidRPr="00471F14">
        <w:t xml:space="preserve">these </w:t>
      </w:r>
      <w:r w:rsidR="00375703" w:rsidRPr="00701E35">
        <w:t>measures</w:t>
      </w:r>
      <w:r w:rsidR="00375703" w:rsidRPr="00471F14">
        <w:t xml:space="preserve"> </w:t>
      </w:r>
      <w:r w:rsidR="00DF77E9">
        <w:t>would</w:t>
      </w:r>
      <w:r w:rsidR="00375703" w:rsidRPr="00471F14">
        <w:t xml:space="preserve"> </w:t>
      </w:r>
      <w:r w:rsidR="00375703">
        <w:t>increase or decrease</w:t>
      </w:r>
      <w:r w:rsidR="00375703" w:rsidRPr="00471F14">
        <w:t xml:space="preserve"> reporting burden on hospitals</w:t>
      </w:r>
      <w:r w:rsidR="00375703" w:rsidRPr="00792D0B">
        <w:t>.</w:t>
      </w:r>
      <w:r w:rsidR="00375703">
        <w:t xml:space="preserve">  </w:t>
      </w:r>
    </w:p>
    <w:p w14:paraId="579C54A2" w14:textId="77777777" w:rsidR="002F671F" w:rsidRDefault="002F671F" w:rsidP="00375703"/>
    <w:p w14:paraId="2367B39A" w14:textId="2F2A1B61" w:rsidR="00C801C7" w:rsidRDefault="00375703" w:rsidP="004D6FC1">
      <w:r>
        <w:t>W</w:t>
      </w:r>
      <w:r w:rsidRPr="007561FE">
        <w:t xml:space="preserve">e </w:t>
      </w:r>
      <w:r w:rsidR="00C802E2">
        <w:t xml:space="preserve">further </w:t>
      </w:r>
      <w:r>
        <w:t>anticipate</w:t>
      </w:r>
      <w:r w:rsidRPr="007561FE">
        <w:t xml:space="preserve"> </w:t>
      </w:r>
      <w:r>
        <w:t xml:space="preserve">removing </w:t>
      </w:r>
      <w:r w:rsidR="00FE6A43">
        <w:t>two structural</w:t>
      </w:r>
      <w:r>
        <w:t xml:space="preserve"> measures </w:t>
      </w:r>
      <w:r w:rsidR="00DF77E9">
        <w:t>would</w:t>
      </w:r>
      <w:r w:rsidRPr="007561FE">
        <w:t xml:space="preserve"> </w:t>
      </w:r>
      <w:r>
        <w:t>result in</w:t>
      </w:r>
      <w:r w:rsidRPr="007561FE">
        <w:t xml:space="preserve"> a</w:t>
      </w:r>
      <w:r>
        <w:t xml:space="preserve"> </w:t>
      </w:r>
      <w:r w:rsidRPr="007561FE">
        <w:t xml:space="preserve">negligible burden reduction </w:t>
      </w:r>
      <w:r>
        <w:t>for hospitals</w:t>
      </w:r>
      <w:r w:rsidRPr="007561FE">
        <w:t>.</w:t>
      </w:r>
      <w:r>
        <w:t xml:space="preserve">  </w:t>
      </w:r>
      <w:r w:rsidR="00C217C7" w:rsidRPr="00C217C7">
        <w:t xml:space="preserve">We are </w:t>
      </w:r>
      <w:r w:rsidR="008A5CA9">
        <w:t xml:space="preserve">finalizing our </w:t>
      </w:r>
      <w:r w:rsidR="00C217C7" w:rsidRPr="00C217C7">
        <w:t>propos</w:t>
      </w:r>
      <w:r w:rsidR="008A5CA9">
        <w:t>al</w:t>
      </w:r>
      <w:r w:rsidR="00C217C7" w:rsidRPr="00C217C7">
        <w:t xml:space="preserve"> to remove the Hospital Survey on Patient Safety Culture measure because hospitals are asked only whether they administer a patient safety culture survey</w:t>
      </w:r>
      <w:r w:rsidR="00C217C7">
        <w:t>, and b</w:t>
      </w:r>
      <w:r w:rsidR="00C217C7" w:rsidRPr="00C217C7">
        <w:t xml:space="preserve">y design, this structural measure does not provide </w:t>
      </w:r>
      <w:r w:rsidR="00C217C7">
        <w:t>information on patient outcomes.</w:t>
      </w:r>
      <w:r w:rsidR="00C217C7" w:rsidRPr="00C217C7">
        <w:t xml:space="preserve"> We are </w:t>
      </w:r>
      <w:r w:rsidR="00C217C7">
        <w:t xml:space="preserve">also </w:t>
      </w:r>
      <w:r w:rsidR="008A5CA9">
        <w:t xml:space="preserve">finalizing our </w:t>
      </w:r>
      <w:r w:rsidR="00C217C7" w:rsidRPr="00C217C7">
        <w:t>propos</w:t>
      </w:r>
      <w:r w:rsidR="008A5CA9">
        <w:t>al</w:t>
      </w:r>
      <w:r w:rsidR="00C217C7" w:rsidRPr="00C217C7">
        <w:t xml:space="preserve"> to remove the Safe Surgery Checklist Use measure </w:t>
      </w:r>
      <w:r w:rsidR="00C217C7">
        <w:t>for which</w:t>
      </w:r>
      <w:r w:rsidR="00C217C7" w:rsidRPr="00C217C7">
        <w:t xml:space="preserve"> hospitals indicate by “Yes” or “No” whether or not they use a safe surgery checklist for surgical procedures</w:t>
      </w:r>
      <w:r w:rsidR="00C217C7">
        <w:t xml:space="preserve">.  </w:t>
      </w:r>
      <w:r w:rsidRPr="007561FE">
        <w:t>Consistent with previous years (80 FR</w:t>
      </w:r>
      <w:r>
        <w:t xml:space="preserve"> </w:t>
      </w:r>
      <w:r w:rsidRPr="007561FE">
        <w:t>49762), we estimate a burden of 15</w:t>
      </w:r>
      <w:r>
        <w:t xml:space="preserve"> </w:t>
      </w:r>
      <w:r w:rsidRPr="007561FE">
        <w:t>minutes per hospital to report all four</w:t>
      </w:r>
      <w:r>
        <w:t xml:space="preserve"> </w:t>
      </w:r>
      <w:r w:rsidRPr="007561FE">
        <w:t>previously finalized structural measures</w:t>
      </w:r>
      <w:r>
        <w:t xml:space="preserve"> </w:t>
      </w:r>
      <w:r w:rsidRPr="007561FE">
        <w:t>and to complete other forms (such as the</w:t>
      </w:r>
      <w:r>
        <w:t xml:space="preserve"> </w:t>
      </w:r>
      <w:r w:rsidR="00D70B33">
        <w:t xml:space="preserve">CMS Quality Program </w:t>
      </w:r>
      <w:r w:rsidRPr="007561FE">
        <w:t xml:space="preserve">Extraordinary Circumstances </w:t>
      </w:r>
      <w:r w:rsidR="00D70B33">
        <w:t>Exceptions</w:t>
      </w:r>
      <w:r w:rsidRPr="007561FE">
        <w:t xml:space="preserve"> Request Form). </w:t>
      </w:r>
      <w:r>
        <w:t xml:space="preserve"> </w:t>
      </w:r>
      <w:r w:rsidRPr="007561FE">
        <w:t>Therefore,</w:t>
      </w:r>
      <w:r>
        <w:t xml:space="preserve"> </w:t>
      </w:r>
      <w:r w:rsidRPr="007561FE">
        <w:t xml:space="preserve">our burden estimate of 15 minutes </w:t>
      </w:r>
      <w:r w:rsidRPr="003912AF">
        <w:t xml:space="preserve">per hospital remains unchanged because we believe the reduction in burden associated with removing these two structural measures is sufficiently minimal that it </w:t>
      </w:r>
      <w:r w:rsidR="00DF77E9">
        <w:t>would</w:t>
      </w:r>
      <w:r w:rsidRPr="003912AF">
        <w:t xml:space="preserve"> not substantially impact this estimate.</w:t>
      </w:r>
    </w:p>
    <w:p w14:paraId="5C61F23C" w14:textId="77777777" w:rsidR="0082117A" w:rsidRDefault="0082117A" w:rsidP="004D6FC1"/>
    <w:p w14:paraId="3496D917" w14:textId="264B50A7" w:rsidR="004D6FC1" w:rsidRDefault="004D6FC1" w:rsidP="00DF77E9">
      <w:pPr>
        <w:keepNext/>
        <w:rPr>
          <w:u w:val="single"/>
        </w:rPr>
      </w:pPr>
      <w:r w:rsidRPr="00E23B48">
        <w:rPr>
          <w:u w:val="single"/>
        </w:rPr>
        <w:t>c.</w:t>
      </w:r>
      <w:r w:rsidR="00855446">
        <w:rPr>
          <w:u w:val="single"/>
        </w:rPr>
        <w:t xml:space="preserve"> </w:t>
      </w:r>
      <w:r w:rsidRPr="00E23B48">
        <w:rPr>
          <w:u w:val="single"/>
        </w:rPr>
        <w:t xml:space="preserve"> </w:t>
      </w:r>
      <w:r w:rsidR="00375703">
        <w:rPr>
          <w:u w:val="single"/>
        </w:rPr>
        <w:t xml:space="preserve">Modified </w:t>
      </w:r>
      <w:r w:rsidRPr="00E23B48">
        <w:rPr>
          <w:u w:val="single"/>
        </w:rPr>
        <w:t xml:space="preserve">Estimates for </w:t>
      </w:r>
      <w:r w:rsidR="004E36E6">
        <w:rPr>
          <w:u w:val="single"/>
        </w:rPr>
        <w:t xml:space="preserve">the </w:t>
      </w:r>
      <w:r w:rsidRPr="00E23B48">
        <w:rPr>
          <w:u w:val="single"/>
        </w:rPr>
        <w:t>FY 202</w:t>
      </w:r>
      <w:r w:rsidR="00375703">
        <w:rPr>
          <w:u w:val="single"/>
        </w:rPr>
        <w:t>1</w:t>
      </w:r>
      <w:r w:rsidRPr="00E23B48">
        <w:rPr>
          <w:u w:val="single"/>
        </w:rPr>
        <w:t xml:space="preserve"> Payment Determination</w:t>
      </w:r>
    </w:p>
    <w:p w14:paraId="1A131369" w14:textId="77777777" w:rsidR="008E776C" w:rsidRDefault="008E776C" w:rsidP="00DF77E9">
      <w:pPr>
        <w:keepNext/>
        <w:rPr>
          <w:u w:val="single"/>
        </w:rPr>
      </w:pPr>
    </w:p>
    <w:p w14:paraId="7AE9EFF2" w14:textId="096C14ED" w:rsidR="00E37E6E" w:rsidRDefault="00C802E2" w:rsidP="00DF77E9">
      <w:pPr>
        <w:keepNext/>
        <w:autoSpaceDE w:val="0"/>
        <w:autoSpaceDN w:val="0"/>
        <w:adjustRightInd w:val="0"/>
      </w:pPr>
      <w:r>
        <w:t>I</w:t>
      </w:r>
      <w:r w:rsidR="008E776C">
        <w:t xml:space="preserve">n the FY 2019 IPPS/LTCH </w:t>
      </w:r>
      <w:r w:rsidR="009D0038">
        <w:t xml:space="preserve">final </w:t>
      </w:r>
      <w:r w:rsidR="008E776C">
        <w:t xml:space="preserve">rule, we are </w:t>
      </w:r>
      <w:r w:rsidR="009D0038">
        <w:t>finalizing our proposals to</w:t>
      </w:r>
      <w:r w:rsidR="008E776C">
        <w:t xml:space="preserve"> </w:t>
      </w:r>
      <w:r w:rsidR="007A52DC">
        <w:t xml:space="preserve">remove three clinical process of care measures </w:t>
      </w:r>
      <w:r w:rsidR="007A52DC" w:rsidRPr="000B5EFB">
        <w:t>beginning with the FY 2021 payment determination</w:t>
      </w:r>
      <w:r w:rsidR="00784F3C">
        <w:t xml:space="preserve"> and to </w:t>
      </w:r>
      <w:r w:rsidR="008E776C">
        <w:t xml:space="preserve">continue the eCQM reporting requirements previously </w:t>
      </w:r>
      <w:r w:rsidR="00F071C8">
        <w:t xml:space="preserve">adopted </w:t>
      </w:r>
      <w:r w:rsidR="008E776C">
        <w:t>for the FY 2019 payment determination</w:t>
      </w:r>
      <w:r w:rsidR="00911BCE">
        <w:t xml:space="preserve"> and FY 2020 payment determination</w:t>
      </w:r>
      <w:r w:rsidR="00C30253">
        <w:t xml:space="preserve"> of requiring one</w:t>
      </w:r>
      <w:r w:rsidR="00F071C8">
        <w:t>,</w:t>
      </w:r>
      <w:r w:rsidR="00C30253">
        <w:t xml:space="preserve"> self-sel</w:t>
      </w:r>
      <w:r w:rsidR="00F071C8">
        <w:t>ected qu</w:t>
      </w:r>
      <w:r w:rsidR="00C30253">
        <w:t>arter of data for four</w:t>
      </w:r>
      <w:r w:rsidR="00F071C8">
        <w:t>,</w:t>
      </w:r>
      <w:r w:rsidR="00C30253">
        <w:t xml:space="preserve"> self-sel</w:t>
      </w:r>
      <w:r w:rsidR="00F071C8">
        <w:t>e</w:t>
      </w:r>
      <w:r w:rsidR="00C30253">
        <w:t>cted eCQMs</w:t>
      </w:r>
      <w:r w:rsidR="00784F3C">
        <w:t xml:space="preserve">.  </w:t>
      </w:r>
    </w:p>
    <w:p w14:paraId="0DD08CBC" w14:textId="77777777" w:rsidR="00E37E6E" w:rsidRDefault="00E37E6E" w:rsidP="00DF77E9">
      <w:pPr>
        <w:keepNext/>
        <w:autoSpaceDE w:val="0"/>
        <w:autoSpaceDN w:val="0"/>
        <w:adjustRightInd w:val="0"/>
      </w:pPr>
    </w:p>
    <w:p w14:paraId="68DC64A1" w14:textId="7361BEC3" w:rsidR="00784F3C" w:rsidRDefault="000A067F" w:rsidP="00DF77E9">
      <w:pPr>
        <w:keepNext/>
        <w:autoSpaceDE w:val="0"/>
        <w:autoSpaceDN w:val="0"/>
        <w:adjustRightInd w:val="0"/>
      </w:pPr>
      <w:r>
        <w:t>As discussed below, w</w:t>
      </w:r>
      <w:r w:rsidR="00784F3C" w:rsidRPr="00E673A0">
        <w:t xml:space="preserve">e </w:t>
      </w:r>
      <w:r w:rsidR="00D175F4">
        <w:t>estimate</w:t>
      </w:r>
      <w:r w:rsidR="00D175F4" w:rsidRPr="00E673A0">
        <w:t xml:space="preserve"> </w:t>
      </w:r>
      <w:r w:rsidR="00784F3C" w:rsidRPr="00E673A0">
        <w:t>a total burden decreas</w:t>
      </w:r>
      <w:r w:rsidR="00784F3C">
        <w:t xml:space="preserve">e of </w:t>
      </w:r>
      <w:r w:rsidR="00732D50" w:rsidRPr="00C812E1">
        <w:rPr>
          <w:rFonts w:eastAsia="Calibri"/>
        </w:rPr>
        <w:t>1,117,182</w:t>
      </w:r>
      <w:r w:rsidR="00784F3C" w:rsidRPr="00D00B7E">
        <w:t xml:space="preserve"> hours</w:t>
      </w:r>
      <w:r w:rsidRPr="00FB0B6D">
        <w:t xml:space="preserve">, </w:t>
      </w:r>
      <w:r w:rsidR="00D175F4">
        <w:t>and</w:t>
      </w:r>
      <w:r w:rsidR="00D175F4" w:rsidRPr="00FB0B6D">
        <w:t xml:space="preserve"> </w:t>
      </w:r>
      <w:r w:rsidRPr="00FB0B6D">
        <w:t xml:space="preserve">a total cost decrease of </w:t>
      </w:r>
      <w:r w:rsidRPr="00C812E1">
        <w:t>approximately $</w:t>
      </w:r>
      <w:r w:rsidR="00D70B33" w:rsidRPr="00C812E1">
        <w:t>41</w:t>
      </w:r>
      <w:r w:rsidRPr="00701E35">
        <w:t xml:space="preserve"> </w:t>
      </w:r>
      <w:r>
        <w:t>million, across all participating hospitals</w:t>
      </w:r>
      <w:r w:rsidRPr="00E673A0">
        <w:t xml:space="preserve"> </w:t>
      </w:r>
      <w:r w:rsidR="00784F3C" w:rsidRPr="00E673A0">
        <w:t xml:space="preserve">associated with </w:t>
      </w:r>
      <w:r w:rsidR="00C30253">
        <w:t>the</w:t>
      </w:r>
      <w:r w:rsidR="00784F3C" w:rsidRPr="00E673A0">
        <w:t xml:space="preserve"> policy changes</w:t>
      </w:r>
      <w:r w:rsidR="00732D50">
        <w:t xml:space="preserve"> </w:t>
      </w:r>
      <w:r w:rsidR="000A4D75">
        <w:t xml:space="preserve">finalized </w:t>
      </w:r>
      <w:r w:rsidR="00732D50">
        <w:t>for the FY 2021 payment determination</w:t>
      </w:r>
      <w:r w:rsidR="00784F3C">
        <w:t>.</w:t>
      </w:r>
    </w:p>
    <w:p w14:paraId="6A0D6B3F" w14:textId="77777777" w:rsidR="00784F3C" w:rsidRDefault="00784F3C" w:rsidP="008E776C">
      <w:pPr>
        <w:autoSpaceDE w:val="0"/>
        <w:autoSpaceDN w:val="0"/>
        <w:adjustRightInd w:val="0"/>
      </w:pPr>
    </w:p>
    <w:p w14:paraId="47F2BA9F" w14:textId="4F87EA4E" w:rsidR="00784F3C" w:rsidRDefault="00FC4EC9" w:rsidP="00784F3C">
      <w:pPr>
        <w:autoSpaceDE w:val="0"/>
        <w:autoSpaceDN w:val="0"/>
        <w:adjustRightInd w:val="0"/>
      </w:pPr>
      <w:r>
        <w:rPr>
          <w:i/>
        </w:rPr>
        <w:t xml:space="preserve">Finalized </w:t>
      </w:r>
      <w:r w:rsidR="00784F3C">
        <w:rPr>
          <w:i/>
        </w:rPr>
        <w:t>Measure Removals</w:t>
      </w:r>
    </w:p>
    <w:p w14:paraId="45EE5182" w14:textId="77777777" w:rsidR="00784F3C" w:rsidRDefault="00784F3C" w:rsidP="00105F5E">
      <w:pPr>
        <w:autoSpaceDE w:val="0"/>
        <w:autoSpaceDN w:val="0"/>
        <w:adjustRightInd w:val="0"/>
      </w:pPr>
    </w:p>
    <w:p w14:paraId="62B9C9B5" w14:textId="2C349D09" w:rsidR="00784F3C" w:rsidRDefault="007E634A" w:rsidP="00784F3C">
      <w:pPr>
        <w:autoSpaceDE w:val="0"/>
        <w:autoSpaceDN w:val="0"/>
      </w:pPr>
      <w:r>
        <w:t>For IPPS hospitals, w</w:t>
      </w:r>
      <w:r w:rsidR="00784F3C">
        <w:t xml:space="preserve">e estimate removing the ED-1 and IMM-2 measures beginning with the FY 2021 payment determination </w:t>
      </w:r>
      <w:r w:rsidR="00521860">
        <w:t xml:space="preserve">will </w:t>
      </w:r>
      <w:r w:rsidR="00784F3C">
        <w:t xml:space="preserve">result in a </w:t>
      </w:r>
      <w:r w:rsidR="005B75D5">
        <w:t xml:space="preserve">total </w:t>
      </w:r>
      <w:r w:rsidR="00784F3C">
        <w:t xml:space="preserve">burden reduction of </w:t>
      </w:r>
      <w:r w:rsidR="005B75D5">
        <w:t>741,074</w:t>
      </w:r>
      <w:r w:rsidR="00784F3C">
        <w:t xml:space="preserve"> hours </w:t>
      </w:r>
      <w:r w:rsidR="005B75D5" w:rsidRPr="00592DB9">
        <w:t xml:space="preserve">across all </w:t>
      </w:r>
      <w:r w:rsidR="005B75D5">
        <w:t>IPPS</w:t>
      </w:r>
      <w:r w:rsidR="005B75D5" w:rsidRPr="00592DB9">
        <w:t xml:space="preserve"> </w:t>
      </w:r>
      <w:r w:rsidR="00784F3C">
        <w:t xml:space="preserve">for the FY 2021 payment determination.  This estimate </w:t>
      </w:r>
      <w:r w:rsidR="00B90631">
        <w:t>wa</w:t>
      </w:r>
      <w:r w:rsidR="00705B50">
        <w:t>s based on calculating</w:t>
      </w:r>
      <w:r w:rsidR="00784F3C">
        <w:t xml:space="preserve"> the burden </w:t>
      </w:r>
      <w:r w:rsidR="00705B50">
        <w:t xml:space="preserve">for </w:t>
      </w:r>
      <w:r w:rsidR="00784F3C" w:rsidRPr="00592DB9">
        <w:t>reporting only the ED-2 measure</w:t>
      </w:r>
      <w:r w:rsidR="00784F3C">
        <w:rPr>
          <w:rStyle w:val="FootnoteReference"/>
        </w:rPr>
        <w:footnoteReference w:id="6"/>
      </w:r>
      <w:r w:rsidR="00784F3C" w:rsidRPr="00592DB9">
        <w:t xml:space="preserve"> (</w:t>
      </w:r>
      <w:r w:rsidR="007C10E4">
        <w:t>[</w:t>
      </w:r>
      <w:r w:rsidR="00784F3C">
        <w:t>15</w:t>
      </w:r>
      <w:r w:rsidR="00784F3C" w:rsidRPr="00592DB9">
        <w:t xml:space="preserve"> minutes per record x 260 records per hospital per quarter x 4 quarters</w:t>
      </w:r>
      <w:r w:rsidR="007C10E4">
        <w:t>]</w:t>
      </w:r>
      <w:r w:rsidR="00784F3C" w:rsidRPr="00592DB9">
        <w:t xml:space="preserve"> / 60 minutes </w:t>
      </w:r>
      <w:r w:rsidR="00777549">
        <w:t>per hour</w:t>
      </w:r>
      <w:r w:rsidR="00784F3C" w:rsidRPr="00592DB9">
        <w:t xml:space="preserve"> </w:t>
      </w:r>
      <w:r w:rsidR="00705B50">
        <w:t>x</w:t>
      </w:r>
      <w:r w:rsidR="00784F3C" w:rsidRPr="00592DB9">
        <w:t xml:space="preserve"> </w:t>
      </w:r>
      <w:r w:rsidR="00705B50">
        <w:t>3,300 hospitals = 858,000 hours</w:t>
      </w:r>
      <w:r w:rsidR="00784F3C" w:rsidRPr="00592DB9">
        <w:t>)</w:t>
      </w:r>
      <w:r w:rsidR="00705B50">
        <w:t>, minus the previously estimated burden for reporting the combined global population set (ED-1, ED-2, and IMM-2) of 1,599,074 hours</w:t>
      </w:r>
      <w:r w:rsidR="00784F3C" w:rsidRPr="00592DB9">
        <w:t>.  Through these calculations (</w:t>
      </w:r>
      <w:r w:rsidR="00705B50">
        <w:t>858,000</w:t>
      </w:r>
      <w:r w:rsidR="00784F3C" w:rsidRPr="00592DB9">
        <w:t xml:space="preserve"> hours </w:t>
      </w:r>
      <w:r w:rsidR="00C60114">
        <w:t>-</w:t>
      </w:r>
      <w:r w:rsidR="00784F3C" w:rsidRPr="00592DB9">
        <w:t xml:space="preserve"> </w:t>
      </w:r>
      <w:r w:rsidR="00705B50">
        <w:t xml:space="preserve">1,599,074 hours), we estimate </w:t>
      </w:r>
      <w:r w:rsidR="00D93446">
        <w:t xml:space="preserve">reduction </w:t>
      </w:r>
      <w:r w:rsidR="00705B50">
        <w:t>of 741,074</w:t>
      </w:r>
      <w:r w:rsidR="00784F3C" w:rsidRPr="00592DB9">
        <w:t xml:space="preserve"> hours </w:t>
      </w:r>
      <w:r w:rsidR="00705B50">
        <w:t>across all IPPS hospitals</w:t>
      </w:r>
      <w:r w:rsidR="00784F3C" w:rsidRPr="00592DB9">
        <w:t xml:space="preserve">, </w:t>
      </w:r>
      <w:r w:rsidR="00784F3C" w:rsidRPr="00D00B7E">
        <w:t xml:space="preserve">or </w:t>
      </w:r>
      <w:r w:rsidR="00705B50">
        <w:t>approximately 225</w:t>
      </w:r>
      <w:r w:rsidR="00784F3C" w:rsidRPr="00D00B7E">
        <w:t xml:space="preserve"> hours </w:t>
      </w:r>
      <w:r w:rsidR="00705B50">
        <w:t xml:space="preserve">per hospital per year </w:t>
      </w:r>
      <w:r w:rsidR="00784F3C" w:rsidRPr="00D00B7E">
        <w:t>(</w:t>
      </w:r>
      <w:r w:rsidR="00705B50">
        <w:t>741,074</w:t>
      </w:r>
      <w:r w:rsidR="00784F3C" w:rsidRPr="00D00B7E">
        <w:t xml:space="preserve"> hours </w:t>
      </w:r>
      <w:r w:rsidR="00705B50">
        <w:t>/</w:t>
      </w:r>
      <w:r w:rsidR="00784F3C" w:rsidRPr="00D00B7E">
        <w:t xml:space="preserve"> 3,300 hospitals)</w:t>
      </w:r>
      <w:r w:rsidR="00D67BCB" w:rsidRPr="00D00B7E">
        <w:t xml:space="preserve"> and </w:t>
      </w:r>
      <w:r w:rsidR="00222CD0" w:rsidRPr="00D00B7E">
        <w:t xml:space="preserve">approximately </w:t>
      </w:r>
      <w:r w:rsidR="00D67BCB" w:rsidRPr="006D1248">
        <w:t>$</w:t>
      </w:r>
      <w:r w:rsidR="004C20F4" w:rsidRPr="006D1248">
        <w:t>27</w:t>
      </w:r>
      <w:r w:rsidR="00222CD0" w:rsidRPr="006D1248">
        <w:t>.</w:t>
      </w:r>
      <w:r w:rsidR="00705B50">
        <w:t>1</w:t>
      </w:r>
      <w:r w:rsidR="00222CD0">
        <w:t xml:space="preserve"> million</w:t>
      </w:r>
      <w:r w:rsidR="00D67BCB" w:rsidRPr="00637E44">
        <w:t xml:space="preserve"> </w:t>
      </w:r>
      <w:r w:rsidR="00D67BCB">
        <w:t>(</w:t>
      </w:r>
      <w:r w:rsidR="00705B50">
        <w:t>741,074</w:t>
      </w:r>
      <w:r w:rsidR="00D67BCB">
        <w:t xml:space="preserve"> hours x $36.58 per hour)</w:t>
      </w:r>
      <w:r w:rsidR="00784F3C" w:rsidRPr="00592DB9">
        <w:t xml:space="preserve"> across all </w:t>
      </w:r>
      <w:r w:rsidR="00784F3C">
        <w:t>IPPS</w:t>
      </w:r>
      <w:r w:rsidR="00784F3C" w:rsidRPr="00592DB9">
        <w:t xml:space="preserve"> hos</w:t>
      </w:r>
      <w:r w:rsidR="00784F3C">
        <w:t>pitals for the FY 2021 payment determination.</w:t>
      </w:r>
    </w:p>
    <w:p w14:paraId="0C7C0AA9" w14:textId="77777777" w:rsidR="007E634A" w:rsidRDefault="007E634A" w:rsidP="00784F3C">
      <w:pPr>
        <w:autoSpaceDE w:val="0"/>
        <w:autoSpaceDN w:val="0"/>
      </w:pPr>
    </w:p>
    <w:p w14:paraId="0DB1AA13" w14:textId="79792EEB" w:rsidR="007E634A" w:rsidRDefault="007E634A" w:rsidP="00784F3C">
      <w:pPr>
        <w:autoSpaceDE w:val="0"/>
        <w:autoSpaceDN w:val="0"/>
      </w:pPr>
      <w:r>
        <w:t xml:space="preserve">For non-IPPS hospitals, we estimate removing the ED-1 and IMM-2 measures beginning with the FY 2021 payment determination </w:t>
      </w:r>
      <w:r w:rsidR="00521860">
        <w:t xml:space="preserve">will </w:t>
      </w:r>
      <w:r>
        <w:t xml:space="preserve">result in a burden reduction of </w:t>
      </w:r>
      <w:r w:rsidR="00B90631">
        <w:t>65,853</w:t>
      </w:r>
      <w:r>
        <w:t xml:space="preserve"> hours </w:t>
      </w:r>
      <w:r w:rsidR="00B90631">
        <w:t xml:space="preserve">across </w:t>
      </w:r>
      <w:r w:rsidR="0007537D">
        <w:t xml:space="preserve">all </w:t>
      </w:r>
      <w:r w:rsidR="00B90631">
        <w:t>participating non-IPPS hospitals</w:t>
      </w:r>
      <w:r>
        <w:t xml:space="preserve"> for the FY 2021 payment determination.  This estimate was </w:t>
      </w:r>
      <w:r w:rsidR="00B90631">
        <w:t>based on calculating</w:t>
      </w:r>
      <w:r>
        <w:t xml:space="preserve"> </w:t>
      </w:r>
      <w:r w:rsidR="00B90631">
        <w:t>the burden for reporting</w:t>
      </w:r>
      <w:r w:rsidRPr="00592DB9">
        <w:t xml:space="preserve"> only the ED-2 measure</w:t>
      </w:r>
      <w:r>
        <w:rPr>
          <w:rStyle w:val="FootnoteReference"/>
        </w:rPr>
        <w:footnoteReference w:id="7"/>
      </w:r>
      <w:r w:rsidRPr="00592DB9">
        <w:t xml:space="preserve"> </w:t>
      </w:r>
      <w:r w:rsidRPr="0031779B">
        <w:t>(</w:t>
      </w:r>
      <w:r w:rsidR="007C10E4">
        <w:t>[</w:t>
      </w:r>
      <w:r w:rsidRPr="0031779B">
        <w:t>1</w:t>
      </w:r>
      <w:r w:rsidR="003C10E4">
        <w:t>5</w:t>
      </w:r>
      <w:r w:rsidRPr="006D1248">
        <w:t xml:space="preserve"> minutes per record </w:t>
      </w:r>
      <w:r w:rsidRPr="0031779B">
        <w:t xml:space="preserve">x </w:t>
      </w:r>
      <w:r w:rsidR="001160A1" w:rsidRPr="0031779B">
        <w:t>55</w:t>
      </w:r>
      <w:r w:rsidRPr="006D1248">
        <w:t xml:space="preserve"> records per hospital per quarter x 4 quarters</w:t>
      </w:r>
      <w:r w:rsidR="007C10E4">
        <w:t>]</w:t>
      </w:r>
      <w:r w:rsidRPr="006D1248">
        <w:t xml:space="preserve"> / 60 minutes </w:t>
      </w:r>
      <w:r w:rsidR="00D417BD" w:rsidRPr="006D1248">
        <w:t>per hour</w:t>
      </w:r>
      <w:r w:rsidRPr="0031779B">
        <w:t xml:space="preserve"> </w:t>
      </w:r>
      <w:r w:rsidR="00B90631">
        <w:t>x 898 hospitals</w:t>
      </w:r>
      <w:r w:rsidR="00B90631" w:rsidRPr="0031779B">
        <w:rPr>
          <w:rStyle w:val="FootnoteReference"/>
        </w:rPr>
        <w:footnoteReference w:id="8"/>
      </w:r>
      <w:r w:rsidR="00B90631">
        <w:t xml:space="preserve"> = 49,390 hours</w:t>
      </w:r>
      <w:r w:rsidR="00B90631" w:rsidRPr="00592DB9">
        <w:t>)</w:t>
      </w:r>
      <w:r w:rsidR="00B90631">
        <w:t>, minus the previously estimated burden for reporting the combined global population set (ED-1, ED-2, and IMM-2) of 115,243 hours</w:t>
      </w:r>
      <w:r w:rsidRPr="006D1248">
        <w:t>.  Through these calculations (</w:t>
      </w:r>
      <w:r w:rsidR="00B90631">
        <w:t>49,390</w:t>
      </w:r>
      <w:r w:rsidRPr="006D1248">
        <w:t xml:space="preserve"> hours </w:t>
      </w:r>
      <w:r w:rsidR="00C60114">
        <w:t>-</w:t>
      </w:r>
      <w:r w:rsidRPr="006D1248">
        <w:t xml:space="preserve"> </w:t>
      </w:r>
      <w:r w:rsidR="00B90631">
        <w:t>115,243</w:t>
      </w:r>
      <w:r w:rsidRPr="006D1248">
        <w:t xml:space="preserve"> hours), we estimate a reduction of </w:t>
      </w:r>
      <w:r w:rsidR="00B90631">
        <w:t>65,853</w:t>
      </w:r>
      <w:r w:rsidRPr="006D1248">
        <w:t xml:space="preserve"> hou</w:t>
      </w:r>
      <w:r w:rsidR="0053721D" w:rsidRPr="006D1248">
        <w:t>r</w:t>
      </w:r>
      <w:r w:rsidRPr="006D1248">
        <w:t xml:space="preserve">s </w:t>
      </w:r>
      <w:r w:rsidR="00B90631">
        <w:t>across all non-IPPS hospitals</w:t>
      </w:r>
      <w:r w:rsidRPr="006D1248">
        <w:t xml:space="preserve">, or </w:t>
      </w:r>
      <w:r w:rsidR="00B90631">
        <w:t>approximately 73</w:t>
      </w:r>
      <w:r w:rsidRPr="006D1248">
        <w:t xml:space="preserve"> hours </w:t>
      </w:r>
      <w:r w:rsidR="00B90631">
        <w:t xml:space="preserve">per hospital per year </w:t>
      </w:r>
      <w:r w:rsidRPr="006D1248">
        <w:t>(</w:t>
      </w:r>
      <w:r w:rsidR="00B90631">
        <w:t>65,853</w:t>
      </w:r>
      <w:r w:rsidRPr="006D1248">
        <w:t xml:space="preserve"> hours per hospital </w:t>
      </w:r>
      <w:r w:rsidR="00B90631">
        <w:t>/</w:t>
      </w:r>
      <w:r w:rsidRPr="006D1248">
        <w:t xml:space="preserve"> </w:t>
      </w:r>
      <w:r w:rsidR="00B97308" w:rsidRPr="006D1248">
        <w:t>898</w:t>
      </w:r>
      <w:r w:rsidRPr="006D1248">
        <w:t xml:space="preserve"> ho</w:t>
      </w:r>
      <w:r w:rsidR="001160A1" w:rsidRPr="006D1248">
        <w:t>spitals</w:t>
      </w:r>
      <w:r w:rsidR="001160A1" w:rsidRPr="0031779B">
        <w:t>) and approximately $</w:t>
      </w:r>
      <w:r w:rsidR="0053721D" w:rsidRPr="006D1248">
        <w:t>2</w:t>
      </w:r>
      <w:r w:rsidR="003C10E4">
        <w:t>.4</w:t>
      </w:r>
      <w:r w:rsidRPr="006D1248">
        <w:t xml:space="preserve"> million (</w:t>
      </w:r>
      <w:r w:rsidR="003C10E4">
        <w:t>65,853</w:t>
      </w:r>
      <w:r w:rsidR="001160A1" w:rsidRPr="006D1248">
        <w:t xml:space="preserve"> </w:t>
      </w:r>
      <w:r w:rsidRPr="006D1248">
        <w:t>hours x $36.58 per hour)</w:t>
      </w:r>
      <w:r w:rsidRPr="00592DB9">
        <w:t xml:space="preserve"> across all </w:t>
      </w:r>
      <w:r w:rsidR="00624195">
        <w:t xml:space="preserve">participating </w:t>
      </w:r>
      <w:r w:rsidR="001160A1">
        <w:t>non-</w:t>
      </w:r>
      <w:r>
        <w:t>IPPS</w:t>
      </w:r>
      <w:r w:rsidRPr="00592DB9">
        <w:t xml:space="preserve"> hos</w:t>
      </w:r>
      <w:r>
        <w:t>pitals for the FY 2021 payment determination.</w:t>
      </w:r>
    </w:p>
    <w:p w14:paraId="73D6429D" w14:textId="77777777" w:rsidR="00784F3C" w:rsidRDefault="00784F3C" w:rsidP="00784F3C">
      <w:pPr>
        <w:autoSpaceDE w:val="0"/>
        <w:autoSpaceDN w:val="0"/>
      </w:pPr>
    </w:p>
    <w:p w14:paraId="6E1B7296" w14:textId="0323E435" w:rsidR="00D00B7E" w:rsidRDefault="00D00B7E" w:rsidP="00D00B7E">
      <w:pPr>
        <w:autoSpaceDE w:val="0"/>
        <w:autoSpaceDN w:val="0"/>
        <w:adjustRightInd w:val="0"/>
      </w:pPr>
      <w:r w:rsidRPr="00112483">
        <w:t xml:space="preserve">We </w:t>
      </w:r>
      <w:r>
        <w:t>anticipate</w:t>
      </w:r>
      <w:r w:rsidRPr="00112483">
        <w:t xml:space="preserve"> a</w:t>
      </w:r>
      <w:r w:rsidRPr="00A22F94">
        <w:t xml:space="preserve"> </w:t>
      </w:r>
      <w:r w:rsidRPr="000B5EFB">
        <w:t>reduction in burden for hospitals as a</w:t>
      </w:r>
      <w:r w:rsidRPr="00A22F94">
        <w:t xml:space="preserve"> </w:t>
      </w:r>
      <w:r w:rsidRPr="00112483">
        <w:t>r</w:t>
      </w:r>
      <w:r w:rsidRPr="00A22F94">
        <w:t xml:space="preserve">esult </w:t>
      </w:r>
      <w:r w:rsidRPr="00112483">
        <w:t xml:space="preserve">of </w:t>
      </w:r>
      <w:r w:rsidR="00367203">
        <w:t xml:space="preserve">the finalized </w:t>
      </w:r>
      <w:r>
        <w:t>remov</w:t>
      </w:r>
      <w:r w:rsidR="00367203">
        <w:t>al</w:t>
      </w:r>
      <w:r>
        <w:t xml:space="preserve"> </w:t>
      </w:r>
      <w:r w:rsidR="00367203">
        <w:t xml:space="preserve">of </w:t>
      </w:r>
      <w:r>
        <w:t xml:space="preserve">the VTE-6 </w:t>
      </w:r>
      <w:r w:rsidRPr="00112483">
        <w:t>chart</w:t>
      </w:r>
      <w:r w:rsidRPr="00A22F94">
        <w:t>-</w:t>
      </w:r>
      <w:r w:rsidRPr="00112483">
        <w:t>abstracted</w:t>
      </w:r>
      <w:r w:rsidRPr="00A22F94">
        <w:t xml:space="preserve"> </w:t>
      </w:r>
      <w:r>
        <w:t>measure.</w:t>
      </w:r>
      <w:r w:rsidR="00784F3C">
        <w:t xml:space="preserve">  </w:t>
      </w:r>
      <w:r>
        <w:t>For IPPS hospitals, w</w:t>
      </w:r>
      <w:r w:rsidR="00784F3C">
        <w:t xml:space="preserve">e have previously estimated a </w:t>
      </w:r>
      <w:r w:rsidR="00BC3FB1">
        <w:t xml:space="preserve">total of </w:t>
      </w:r>
      <w:r w:rsidR="00784F3C" w:rsidRPr="00592DB9">
        <w:t xml:space="preserve">304,997 hours </w:t>
      </w:r>
      <w:r w:rsidR="00784F3C">
        <w:t xml:space="preserve">across all </w:t>
      </w:r>
      <w:r w:rsidR="00D611CC">
        <w:t xml:space="preserve">3,300 </w:t>
      </w:r>
      <w:r w:rsidR="00BC3FB1">
        <w:t xml:space="preserve">IPPS </w:t>
      </w:r>
      <w:r w:rsidR="00784F3C">
        <w:t xml:space="preserve">hospitals associated with reporting </w:t>
      </w:r>
      <w:r w:rsidR="00D611CC">
        <w:t xml:space="preserve">the </w:t>
      </w:r>
      <w:r w:rsidR="00784F3C">
        <w:t>VTE-6</w:t>
      </w:r>
      <w:r w:rsidR="00D611CC">
        <w:t xml:space="preserve"> measure</w:t>
      </w:r>
      <w:r w:rsidR="00784F3C">
        <w:t xml:space="preserve">, </w:t>
      </w:r>
      <w:r w:rsidR="00D611CC">
        <w:t>or approximately 92 hours per hospital per year (</w:t>
      </w:r>
      <w:r w:rsidR="00D611CC" w:rsidRPr="00592DB9">
        <w:t>304,997 hours</w:t>
      </w:r>
      <w:r w:rsidR="00D611CC">
        <w:t xml:space="preserve"> / 3,300 hospitals), </w:t>
      </w:r>
      <w:r w:rsidR="00784F3C">
        <w:t xml:space="preserve">and therefore estimate a corresponding burden decrease </w:t>
      </w:r>
      <w:r w:rsidR="00D67BCB">
        <w:t xml:space="preserve">of </w:t>
      </w:r>
      <w:r w:rsidR="00D67BCB" w:rsidRPr="00FB0B6D">
        <w:t>304,997</w:t>
      </w:r>
      <w:r w:rsidR="00D67BCB" w:rsidRPr="00D00B7E">
        <w:t xml:space="preserve"> hours and </w:t>
      </w:r>
      <w:r w:rsidR="00222CD0" w:rsidRPr="00D00B7E">
        <w:t xml:space="preserve">approximately </w:t>
      </w:r>
      <w:r w:rsidR="00D67BCB" w:rsidRPr="00FB0B6D">
        <w:t>$</w:t>
      </w:r>
      <w:r w:rsidR="004C20F4" w:rsidRPr="00FB0B6D">
        <w:t>11</w:t>
      </w:r>
      <w:r w:rsidR="00222CD0" w:rsidRPr="00FB0B6D">
        <w:t>.2</w:t>
      </w:r>
      <w:r w:rsidR="00222CD0">
        <w:t xml:space="preserve"> million </w:t>
      </w:r>
      <w:r w:rsidR="00D67BCB">
        <w:t xml:space="preserve">(304,997 hours x $36.58 per hour) </w:t>
      </w:r>
      <w:r w:rsidR="00784F3C">
        <w:t>for the FY 2021 payment determination.</w:t>
      </w:r>
      <w:r w:rsidR="00D611CC">
        <w:t xml:space="preserve">  </w:t>
      </w:r>
      <w:r>
        <w:t xml:space="preserve">For non-IPPS hospitals, we have previously estimated a reporting burden </w:t>
      </w:r>
      <w:r w:rsidRPr="00592DB9">
        <w:t xml:space="preserve">of </w:t>
      </w:r>
      <w:r w:rsidR="00D611CC" w:rsidRPr="006D1248">
        <w:t>5,191</w:t>
      </w:r>
      <w:r w:rsidRPr="00592DB9">
        <w:t xml:space="preserve"> hours </w:t>
      </w:r>
      <w:r w:rsidR="00D611CC">
        <w:t>across all participating non-IPPS hospitals</w:t>
      </w:r>
      <w:r w:rsidR="00D611CC" w:rsidRPr="00D611CC">
        <w:t xml:space="preserve"> </w:t>
      </w:r>
      <w:r w:rsidR="00D611CC">
        <w:t>associated with reporting the VTE-6 measure</w:t>
      </w:r>
      <w:r w:rsidRPr="006D1248">
        <w:t xml:space="preserve">, or </w:t>
      </w:r>
      <w:r w:rsidR="00D611CC">
        <w:t>approximately 13</w:t>
      </w:r>
      <w:r w:rsidRPr="006D1248">
        <w:t xml:space="preserve"> </w:t>
      </w:r>
      <w:r w:rsidR="00FB0B6D" w:rsidRPr="006D1248">
        <w:t xml:space="preserve">hours </w:t>
      </w:r>
      <w:r w:rsidR="00D611CC">
        <w:t xml:space="preserve">per hospital per year </w:t>
      </w:r>
      <w:r w:rsidR="00FB0B6D" w:rsidRPr="006D1248">
        <w:t>(</w:t>
      </w:r>
      <w:r w:rsidR="00D611CC">
        <w:t>5,191</w:t>
      </w:r>
      <w:r w:rsidR="00FB0B6D" w:rsidRPr="006D1248">
        <w:t xml:space="preserve"> hours </w:t>
      </w:r>
      <w:r w:rsidR="00D611CC">
        <w:t>/</w:t>
      </w:r>
      <w:r w:rsidR="00FB0B6D" w:rsidRPr="006D1248">
        <w:t xml:space="preserve"> </w:t>
      </w:r>
      <w:r w:rsidR="00664CD0" w:rsidRPr="006D1248">
        <w:t>412</w:t>
      </w:r>
      <w:r w:rsidRPr="006D1248">
        <w:t xml:space="preserve"> hospitals</w:t>
      </w:r>
      <w:r w:rsidR="00664CD0" w:rsidRPr="0031779B">
        <w:rPr>
          <w:rStyle w:val="FootnoteReference"/>
        </w:rPr>
        <w:footnoteReference w:id="9"/>
      </w:r>
      <w:r w:rsidRPr="0031779B">
        <w:t>)</w:t>
      </w:r>
      <w:r w:rsidRPr="006D1248">
        <w:t xml:space="preserve">, and therefore estimate a corresponding burden decrease of </w:t>
      </w:r>
      <w:r w:rsidR="00FB0B6D" w:rsidRPr="006D1248">
        <w:t>5,191</w:t>
      </w:r>
      <w:r w:rsidRPr="006D1248">
        <w:t xml:space="preserve"> hours and approximately $</w:t>
      </w:r>
      <w:r w:rsidR="00EB6059">
        <w:t>19</w:t>
      </w:r>
      <w:r w:rsidR="00F072E3" w:rsidRPr="006D1248">
        <w:t>0,000</w:t>
      </w:r>
      <w:r w:rsidRPr="006D1248">
        <w:t xml:space="preserve"> (</w:t>
      </w:r>
      <w:r w:rsidR="00F072E3" w:rsidRPr="006D1248">
        <w:t>5,191</w:t>
      </w:r>
      <w:r w:rsidRPr="006D1248">
        <w:t xml:space="preserve"> hours x $36.58 per hour)</w:t>
      </w:r>
      <w:r>
        <w:t xml:space="preserve"> for the FY 2021 payment determination.</w:t>
      </w:r>
    </w:p>
    <w:p w14:paraId="2E07CF0B" w14:textId="77777777" w:rsidR="00D00B7E" w:rsidRDefault="00D00B7E" w:rsidP="00784F3C">
      <w:pPr>
        <w:autoSpaceDE w:val="0"/>
        <w:autoSpaceDN w:val="0"/>
        <w:adjustRightInd w:val="0"/>
      </w:pPr>
    </w:p>
    <w:p w14:paraId="7C9E97DC" w14:textId="120FCBCE" w:rsidR="00FB0B6D" w:rsidRDefault="00FB0B6D" w:rsidP="00FB0B6D">
      <w:pPr>
        <w:autoSpaceDE w:val="0"/>
        <w:autoSpaceDN w:val="0"/>
        <w:adjustRightInd w:val="0"/>
      </w:pPr>
      <w:r>
        <w:t>In sum, w</w:t>
      </w:r>
      <w:r w:rsidRPr="00E673A0">
        <w:t xml:space="preserve">e </w:t>
      </w:r>
      <w:r>
        <w:t>anticipat</w:t>
      </w:r>
      <w:r w:rsidRPr="00E673A0">
        <w:t>e a total burden decreas</w:t>
      </w:r>
      <w:r>
        <w:t xml:space="preserve">e of </w:t>
      </w:r>
      <w:r w:rsidR="00796155" w:rsidRPr="00D40091">
        <w:t xml:space="preserve">1,117,115 </w:t>
      </w:r>
      <w:r w:rsidRPr="00D40091">
        <w:t>hours (</w:t>
      </w:r>
      <w:r w:rsidR="00796155" w:rsidRPr="00D40091">
        <w:t>806,927</w:t>
      </w:r>
      <w:r w:rsidR="00D611CC" w:rsidRPr="00D40091">
        <w:t xml:space="preserve"> hours</w:t>
      </w:r>
      <w:r w:rsidR="00533D1F" w:rsidRPr="00D40091">
        <w:t xml:space="preserve"> for removal of ED-1 and IMM-2 </w:t>
      </w:r>
      <w:r w:rsidR="00F072E3" w:rsidRPr="00D40091">
        <w:t>[</w:t>
      </w:r>
      <w:r w:rsidR="00D611CC" w:rsidRPr="00D40091">
        <w:t>741,074</w:t>
      </w:r>
      <w:r w:rsidRPr="00D40091">
        <w:t xml:space="preserve"> </w:t>
      </w:r>
      <w:r w:rsidR="00F072E3" w:rsidRPr="00D40091">
        <w:t xml:space="preserve">hours </w:t>
      </w:r>
      <w:r w:rsidRPr="00D40091">
        <w:t xml:space="preserve">IPPS hospitals + </w:t>
      </w:r>
      <w:r w:rsidR="00EB6059" w:rsidRPr="00D40091">
        <w:t>65,853</w:t>
      </w:r>
      <w:r w:rsidRPr="00D40091">
        <w:t xml:space="preserve"> hours non-IPPS hospitals</w:t>
      </w:r>
      <w:r w:rsidR="008576BF" w:rsidRPr="00D40091">
        <w:t>]</w:t>
      </w:r>
      <w:r w:rsidR="00533D1F" w:rsidRPr="00D40091">
        <w:t xml:space="preserve"> + 310,188 </w:t>
      </w:r>
      <w:r w:rsidR="00521860">
        <w:t xml:space="preserve">hours </w:t>
      </w:r>
      <w:r w:rsidR="00533D1F" w:rsidRPr="00D40091">
        <w:t xml:space="preserve">for removal of VTE-6 </w:t>
      </w:r>
      <w:r w:rsidR="00F072E3" w:rsidRPr="00D40091">
        <w:t>[</w:t>
      </w:r>
      <w:r w:rsidR="00533D1F" w:rsidRPr="00D40091">
        <w:t xml:space="preserve">304,997 </w:t>
      </w:r>
      <w:r w:rsidR="00F072E3" w:rsidRPr="00D40091">
        <w:t xml:space="preserve">hours </w:t>
      </w:r>
      <w:r w:rsidR="00533D1F" w:rsidRPr="00D40091">
        <w:t>IPPS hospitals + 5,191</w:t>
      </w:r>
      <w:r w:rsidRPr="00D40091">
        <w:t xml:space="preserve"> </w:t>
      </w:r>
      <w:r w:rsidR="00F072E3" w:rsidRPr="00D40091">
        <w:t xml:space="preserve">hours </w:t>
      </w:r>
      <w:r w:rsidR="00533D1F" w:rsidRPr="00D40091">
        <w:t>non-IPPS hospitals</w:t>
      </w:r>
      <w:r w:rsidR="008576BF" w:rsidRPr="00D40091">
        <w:t>]</w:t>
      </w:r>
      <w:r w:rsidR="00533D1F" w:rsidRPr="00D40091">
        <w:t>)</w:t>
      </w:r>
      <w:r w:rsidR="00FD4D46" w:rsidRPr="00D40091">
        <w:t>,</w:t>
      </w:r>
      <w:r w:rsidR="00533D1F" w:rsidRPr="00D40091">
        <w:t xml:space="preserve"> </w:t>
      </w:r>
      <w:r w:rsidR="00521860">
        <w:t>and</w:t>
      </w:r>
      <w:r w:rsidR="00521860" w:rsidRPr="00D40091">
        <w:t xml:space="preserve"> </w:t>
      </w:r>
      <w:r w:rsidRPr="00D40091">
        <w:t xml:space="preserve">a total cost decrease of approximately </w:t>
      </w:r>
      <w:r w:rsidR="00EB6059" w:rsidRPr="00D40091">
        <w:t>$41</w:t>
      </w:r>
      <w:r w:rsidRPr="00D40091">
        <w:t xml:space="preserve"> million</w:t>
      </w:r>
      <w:r w:rsidR="00EB6059" w:rsidRPr="00D40091">
        <w:t xml:space="preserve"> (</w:t>
      </w:r>
      <w:r w:rsidR="002E1281" w:rsidRPr="00D40091">
        <w:t>1,117,115</w:t>
      </w:r>
      <w:r w:rsidR="00EB6059" w:rsidRPr="00D40091">
        <w:t xml:space="preserve"> hours x $36.58 per hour)</w:t>
      </w:r>
      <w:r w:rsidRPr="00D40091">
        <w:t xml:space="preserve">, across all participating hospitals associated with our </w:t>
      </w:r>
      <w:r w:rsidR="009B140B">
        <w:t xml:space="preserve">finalized </w:t>
      </w:r>
      <w:r w:rsidR="00F072E3" w:rsidRPr="00D40091">
        <w:t>measure removals</w:t>
      </w:r>
      <w:r w:rsidR="00EB6059" w:rsidRPr="00D40091">
        <w:t xml:space="preserve"> for the FY 2021 payment determination</w:t>
      </w:r>
      <w:r>
        <w:t>.</w:t>
      </w:r>
    </w:p>
    <w:p w14:paraId="5F786F26" w14:textId="57024B2A" w:rsidR="00C94370" w:rsidRDefault="00C94370" w:rsidP="00FB0B6D">
      <w:pPr>
        <w:autoSpaceDE w:val="0"/>
        <w:autoSpaceDN w:val="0"/>
        <w:adjustRightInd w:val="0"/>
      </w:pPr>
    </w:p>
    <w:p w14:paraId="0E0A672C" w14:textId="27512711" w:rsidR="00C94370" w:rsidRDefault="00C94370" w:rsidP="00FB0B6D">
      <w:pPr>
        <w:autoSpaceDE w:val="0"/>
        <w:autoSpaceDN w:val="0"/>
        <w:adjustRightInd w:val="0"/>
        <w:rPr>
          <w:i/>
        </w:rPr>
      </w:pPr>
      <w:r w:rsidRPr="003E5A55">
        <w:rPr>
          <w:i/>
        </w:rPr>
        <w:t>Measure Validation Impacts</w:t>
      </w:r>
    </w:p>
    <w:p w14:paraId="0198E918" w14:textId="77777777" w:rsidR="00521860" w:rsidRPr="003E5A55" w:rsidRDefault="00521860" w:rsidP="00FB0B6D">
      <w:pPr>
        <w:autoSpaceDE w:val="0"/>
        <w:autoSpaceDN w:val="0"/>
        <w:adjustRightInd w:val="0"/>
        <w:rPr>
          <w:i/>
        </w:rPr>
      </w:pPr>
    </w:p>
    <w:p w14:paraId="6F5473CA" w14:textId="5C79B25C" w:rsidR="00C94370" w:rsidRDefault="00C94370" w:rsidP="00FB0B6D">
      <w:pPr>
        <w:autoSpaceDE w:val="0"/>
        <w:autoSpaceDN w:val="0"/>
        <w:adjustRightInd w:val="0"/>
      </w:pPr>
      <w:r>
        <w:t xml:space="preserve">As </w:t>
      </w:r>
      <w:r w:rsidRPr="007561FE">
        <w:t>note</w:t>
      </w:r>
      <w:r>
        <w:t xml:space="preserve">d in the FY 2016 IPPS/LTCH IPPS </w:t>
      </w:r>
      <w:r w:rsidRPr="007561FE">
        <w:t>final ru</w:t>
      </w:r>
      <w:r>
        <w:t xml:space="preserve">le (80 FR 49762 and 49763), we have previously reimbursed hospitals directly for expenses associated with submission of charts for clinical process of care measure data validation.  Therefore, we do not anticipate any change in burden associated with submission of validation charts as a result of </w:t>
      </w:r>
      <w:r w:rsidR="003E5A55">
        <w:t xml:space="preserve">the finalized </w:t>
      </w:r>
      <w:r>
        <w:t>remov</w:t>
      </w:r>
      <w:r w:rsidR="003E5A55">
        <w:t>al</w:t>
      </w:r>
      <w:r w:rsidR="009F3C4C">
        <w:t>s</w:t>
      </w:r>
      <w:r>
        <w:t xml:space="preserve"> </w:t>
      </w:r>
      <w:r w:rsidR="00391D77">
        <w:t xml:space="preserve">of the three </w:t>
      </w:r>
      <w:r>
        <w:t>clinical process of care measures because hospitals would no longer be required to submit, or be reimbursed for submitting, these data to CMS.</w:t>
      </w:r>
    </w:p>
    <w:p w14:paraId="0C14E09B" w14:textId="77777777" w:rsidR="00F36E78" w:rsidRPr="00C4490A" w:rsidRDefault="00F36E78" w:rsidP="008E776C">
      <w:pPr>
        <w:autoSpaceDE w:val="0"/>
        <w:autoSpaceDN w:val="0"/>
        <w:adjustRightInd w:val="0"/>
        <w:rPr>
          <w:i/>
        </w:rPr>
      </w:pPr>
    </w:p>
    <w:p w14:paraId="17F9403A" w14:textId="2BCCDF6A" w:rsidR="00784F3C" w:rsidRDefault="001268CA" w:rsidP="00105F5E">
      <w:pPr>
        <w:keepNext/>
        <w:autoSpaceDE w:val="0"/>
        <w:autoSpaceDN w:val="0"/>
        <w:adjustRightInd w:val="0"/>
        <w:rPr>
          <w:i/>
        </w:rPr>
      </w:pPr>
      <w:r>
        <w:rPr>
          <w:i/>
        </w:rPr>
        <w:t xml:space="preserve">Finalized </w:t>
      </w:r>
      <w:r w:rsidR="000A067F">
        <w:rPr>
          <w:i/>
        </w:rPr>
        <w:t>e</w:t>
      </w:r>
      <w:r w:rsidR="00784F3C">
        <w:rPr>
          <w:i/>
        </w:rPr>
        <w:t>CQM Submission Requirements</w:t>
      </w:r>
    </w:p>
    <w:p w14:paraId="0276859F" w14:textId="77777777" w:rsidR="00521860" w:rsidRPr="00C4490A" w:rsidRDefault="00521860" w:rsidP="00105F5E">
      <w:pPr>
        <w:keepNext/>
        <w:autoSpaceDE w:val="0"/>
        <w:autoSpaceDN w:val="0"/>
        <w:adjustRightInd w:val="0"/>
        <w:rPr>
          <w:i/>
        </w:rPr>
      </w:pPr>
    </w:p>
    <w:p w14:paraId="33393D50" w14:textId="4D2DA32B" w:rsidR="00EF69E2" w:rsidRDefault="00911BCE" w:rsidP="00105F5E">
      <w:pPr>
        <w:keepNext/>
        <w:autoSpaceDE w:val="0"/>
        <w:autoSpaceDN w:val="0"/>
        <w:adjustRightInd w:val="0"/>
      </w:pPr>
      <w:r>
        <w:t xml:space="preserve">In the FY 2019 IPPS/LTCH PPS </w:t>
      </w:r>
      <w:r w:rsidR="00D40091">
        <w:t xml:space="preserve">final </w:t>
      </w:r>
      <w:r>
        <w:t xml:space="preserve">rule, we are </w:t>
      </w:r>
      <w:r w:rsidR="00FC4C0B">
        <w:t xml:space="preserve">finalizing our </w:t>
      </w:r>
      <w:r>
        <w:t>propos</w:t>
      </w:r>
      <w:r w:rsidR="00FC4C0B">
        <w:t>al</w:t>
      </w:r>
      <w:r>
        <w:t xml:space="preserve"> to require that </w:t>
      </w:r>
      <w:r w:rsidRPr="00C4490A">
        <w:t xml:space="preserve">hospitals submit one, self-selected calendar quarter of data for </w:t>
      </w:r>
      <w:r w:rsidR="00F071C8">
        <w:t>four</w:t>
      </w:r>
      <w:r w:rsidRPr="00C4490A">
        <w:t xml:space="preserve"> eCQMs</w:t>
      </w:r>
      <w:r w:rsidRPr="00C4490A" w:rsidDel="00C47F37">
        <w:t xml:space="preserve"> </w:t>
      </w:r>
      <w:r w:rsidRPr="00C4490A">
        <w:t>in the Hospital IQR Program measure set for the FY 2021 payment determination</w:t>
      </w:r>
      <w:r>
        <w:t>.  Because</w:t>
      </w:r>
      <w:r w:rsidRPr="00C4490A">
        <w:t xml:space="preserve"> these are the same </w:t>
      </w:r>
      <w:r w:rsidRPr="00C4490A">
        <w:rPr>
          <w:bCs/>
        </w:rPr>
        <w:t xml:space="preserve">eCQM reporting requirements that were finalized </w:t>
      </w:r>
      <w:r w:rsidRPr="00C4490A">
        <w:t>for the FY 2020 payment determination</w:t>
      </w:r>
      <w:r w:rsidRPr="00C4490A">
        <w:rPr>
          <w:bCs/>
        </w:rPr>
        <w:t xml:space="preserve"> in the FY 2018 IPPS/LTCH PPS final rule (</w:t>
      </w:r>
      <w:r w:rsidRPr="00C4490A">
        <w:t xml:space="preserve">82 FR 38355 through 38361), we do not expect this </w:t>
      </w:r>
      <w:r w:rsidR="00D3590D">
        <w:t xml:space="preserve">finalized policy </w:t>
      </w:r>
      <w:r w:rsidRPr="00C4490A">
        <w:t xml:space="preserve">to </w:t>
      </w:r>
      <w:r w:rsidR="00DD2DC4">
        <w:t>change</w:t>
      </w:r>
      <w:r w:rsidRPr="00C4490A">
        <w:t xml:space="preserve"> our </w:t>
      </w:r>
      <w:r w:rsidR="00DD2DC4">
        <w:t xml:space="preserve">previously determined </w:t>
      </w:r>
      <w:r w:rsidRPr="00C4490A">
        <w:t xml:space="preserve">burden estimates because we are </w:t>
      </w:r>
      <w:r w:rsidR="00382C88">
        <w:t>finalizing a</w:t>
      </w:r>
      <w:r w:rsidRPr="00C4490A">
        <w:t xml:space="preserve"> continu</w:t>
      </w:r>
      <w:r w:rsidR="00382C88">
        <w:t>ation</w:t>
      </w:r>
      <w:r w:rsidRPr="00C4490A">
        <w:t xml:space="preserve"> </w:t>
      </w:r>
      <w:r w:rsidR="00382C88">
        <w:t xml:space="preserve">of </w:t>
      </w:r>
      <w:r w:rsidRPr="00C4490A">
        <w:t>existing policies</w:t>
      </w:r>
      <w:r w:rsidRPr="00C4490A">
        <w:rPr>
          <w:bCs/>
        </w:rPr>
        <w:t>.</w:t>
      </w:r>
      <w:r>
        <w:rPr>
          <w:bCs/>
        </w:rPr>
        <w:t xml:space="preserve">  </w:t>
      </w:r>
      <w:r w:rsidR="004D6FC1" w:rsidRPr="00E673A0">
        <w:t xml:space="preserve">As in previous years, we believe the total burden associated with the eCQM reporting policy will be similar to that previously outlined in the Medicare EHR Incentive Program Stage 2 final rule (77 FR 54126 through 54133).  Under that program, the burden estimate for a hospital to report </w:t>
      </w:r>
      <w:r w:rsidR="00F071C8">
        <w:t>one</w:t>
      </w:r>
      <w:r w:rsidR="004D6FC1" w:rsidRPr="00E673A0">
        <w:t xml:space="preserve"> eCQM is 10 minutes per record per quarter.  We believe this estimate is accurate and appropriate to apply to the Hospital IQR Program because we align the eCQM reporting require</w:t>
      </w:r>
      <w:r w:rsidR="00EF69E2">
        <w:t xml:space="preserve">ments between both programs.  </w:t>
      </w:r>
    </w:p>
    <w:p w14:paraId="200CF16E" w14:textId="77777777" w:rsidR="00EF69E2" w:rsidRDefault="00EF69E2" w:rsidP="00107030">
      <w:pPr>
        <w:autoSpaceDE w:val="0"/>
        <w:autoSpaceDN w:val="0"/>
        <w:adjustRightInd w:val="0"/>
      </w:pPr>
    </w:p>
    <w:p w14:paraId="5021A119" w14:textId="41EF1BFB" w:rsidR="004D6FC1" w:rsidRDefault="00014FB5" w:rsidP="00107030">
      <w:pPr>
        <w:autoSpaceDE w:val="0"/>
        <w:autoSpaceDN w:val="0"/>
        <w:adjustRightInd w:val="0"/>
      </w:pPr>
      <w:r>
        <w:t>U</w:t>
      </w:r>
      <w:r w:rsidR="004D6FC1" w:rsidRPr="00E673A0">
        <w:t xml:space="preserve">sing the estimate of 10 minutes per record per quarter, </w:t>
      </w:r>
      <w:r>
        <w:t xml:space="preserve">for IPPS hospitals, </w:t>
      </w:r>
      <w:r w:rsidR="004D6FC1" w:rsidRPr="00E673A0">
        <w:t xml:space="preserve">we anticipate our </w:t>
      </w:r>
      <w:r w:rsidR="00D3590D">
        <w:t xml:space="preserve">finalized policy </w:t>
      </w:r>
      <w:r w:rsidR="004D6FC1" w:rsidRPr="00E673A0">
        <w:t xml:space="preserve">to require: (1) reporting on </w:t>
      </w:r>
      <w:r w:rsidR="00F071C8">
        <w:t>four</w:t>
      </w:r>
      <w:r w:rsidR="004D6FC1" w:rsidRPr="00E673A0">
        <w:t xml:space="preserve"> of the available eCQMs; and (2) submission of </w:t>
      </w:r>
      <w:r w:rsidR="00BF1EFA">
        <w:t>one</w:t>
      </w:r>
      <w:r w:rsidR="004D6FC1" w:rsidRPr="00E673A0">
        <w:t xml:space="preserve"> quarter of CY 201</w:t>
      </w:r>
      <w:r w:rsidR="00BF1EFA">
        <w:t>9</w:t>
      </w:r>
      <w:r w:rsidR="004D6FC1" w:rsidRPr="00E673A0">
        <w:t xml:space="preserve"> eCQM data</w:t>
      </w:r>
      <w:r w:rsidR="002E7AB9">
        <w:t>,</w:t>
      </w:r>
      <w:r w:rsidR="004D6FC1" w:rsidRPr="00E673A0">
        <w:t xml:space="preserve"> </w:t>
      </w:r>
      <w:r w:rsidR="009A19F7">
        <w:t>will</w:t>
      </w:r>
      <w:r w:rsidR="009A19F7" w:rsidRPr="00E673A0">
        <w:t xml:space="preserve"> </w:t>
      </w:r>
      <w:r w:rsidR="004D6FC1" w:rsidRPr="00E673A0">
        <w:t xml:space="preserve">result in </w:t>
      </w:r>
      <w:r w:rsidR="00F071C8">
        <w:t>the continued</w:t>
      </w:r>
      <w:r w:rsidR="004D6FC1" w:rsidRPr="00E673A0">
        <w:t xml:space="preserve"> burden </w:t>
      </w:r>
      <w:r w:rsidR="00F071C8">
        <w:t xml:space="preserve">of 0.67 hours per hospital per year </w:t>
      </w:r>
      <w:r w:rsidR="00F071C8" w:rsidRPr="00E673A0">
        <w:t>(</w:t>
      </w:r>
      <w:r w:rsidR="00F071C8">
        <w:t>[</w:t>
      </w:r>
      <w:r w:rsidR="00F071C8" w:rsidRPr="00E673A0">
        <w:t xml:space="preserve">10 minutes per record x </w:t>
      </w:r>
      <w:r w:rsidR="00F071C8">
        <w:t>4</w:t>
      </w:r>
      <w:r w:rsidR="00F071C8" w:rsidRPr="00E673A0">
        <w:t xml:space="preserve"> eCQMs x </w:t>
      </w:r>
      <w:r w:rsidR="00F071C8">
        <w:t>1</w:t>
      </w:r>
      <w:r w:rsidR="00F071C8" w:rsidRPr="00E673A0">
        <w:t xml:space="preserve"> qua</w:t>
      </w:r>
      <w:r w:rsidR="00F071C8">
        <w:t>rter] / 60 minutes per hour</w:t>
      </w:r>
      <w:r w:rsidR="00F071C8" w:rsidRPr="00E673A0">
        <w:t xml:space="preserve"> = </w:t>
      </w:r>
      <w:r w:rsidR="00F071C8">
        <w:t>4</w:t>
      </w:r>
      <w:r w:rsidR="00F071C8" w:rsidRPr="00E673A0">
        <w:t xml:space="preserve">0 minutes for </w:t>
      </w:r>
      <w:r w:rsidR="00F071C8">
        <w:t>1</w:t>
      </w:r>
      <w:r w:rsidR="00F071C8" w:rsidRPr="00E673A0">
        <w:t xml:space="preserve"> quarter of reporting</w:t>
      </w:r>
      <w:r>
        <w:t>, or 0.67 hours</w:t>
      </w:r>
      <w:r w:rsidR="00F071C8" w:rsidRPr="00E673A0">
        <w:t>)</w:t>
      </w:r>
      <w:r w:rsidR="00763DC8" w:rsidRPr="00592DB9">
        <w:t xml:space="preserve">, or </w:t>
      </w:r>
      <w:r w:rsidR="00763DC8">
        <w:t>a total of 2,200</w:t>
      </w:r>
      <w:r w:rsidR="00763DC8" w:rsidRPr="00592DB9">
        <w:t xml:space="preserve"> hours (</w:t>
      </w:r>
      <w:r w:rsidR="00763DC8">
        <w:t>0.67</w:t>
      </w:r>
      <w:r w:rsidR="00763DC8" w:rsidRPr="00592DB9">
        <w:t xml:space="preserve"> hours per hospital x 3,300 hospitals)</w:t>
      </w:r>
      <w:r w:rsidR="00763DC8">
        <w:t xml:space="preserve"> </w:t>
      </w:r>
      <w:r w:rsidR="00763DC8" w:rsidRPr="00D00B7E">
        <w:t xml:space="preserve">and approximately </w:t>
      </w:r>
      <w:r w:rsidR="00763DC8" w:rsidRPr="00FB0B6D">
        <w:t>$</w:t>
      </w:r>
      <w:r w:rsidR="00763DC8">
        <w:t>80,500 (2,200 hours x $36.58 per hour) across all IPPS hospitals associated with eCQM reporting</w:t>
      </w:r>
      <w:r w:rsidR="004D6FC1" w:rsidRPr="00E673A0">
        <w:t xml:space="preserve">.  </w:t>
      </w:r>
      <w:r w:rsidR="00EF69E2">
        <w:t xml:space="preserve">For non-IPPS hospitals, we estimate </w:t>
      </w:r>
      <w:r>
        <w:t xml:space="preserve">our eCQM </w:t>
      </w:r>
      <w:r w:rsidR="00D27C0B">
        <w:t xml:space="preserve">policy </w:t>
      </w:r>
      <w:r w:rsidR="009A19F7">
        <w:t xml:space="preserve">will </w:t>
      </w:r>
      <w:r>
        <w:t xml:space="preserve">result in the continued burden of 0.67 hours per hospital per year </w:t>
      </w:r>
      <w:r w:rsidRPr="00E673A0">
        <w:t>(</w:t>
      </w:r>
      <w:r>
        <w:t>[</w:t>
      </w:r>
      <w:r w:rsidRPr="00E673A0">
        <w:t xml:space="preserve">10 minutes per record x </w:t>
      </w:r>
      <w:r>
        <w:t>4</w:t>
      </w:r>
      <w:r w:rsidRPr="00E673A0">
        <w:t xml:space="preserve"> eCQMs x </w:t>
      </w:r>
      <w:r>
        <w:t>1</w:t>
      </w:r>
      <w:r w:rsidRPr="00E673A0">
        <w:t xml:space="preserve"> qua</w:t>
      </w:r>
      <w:r>
        <w:t>rter] / 60 minutes per hour</w:t>
      </w:r>
      <w:r w:rsidRPr="00E673A0">
        <w:t xml:space="preserve"> = </w:t>
      </w:r>
      <w:r>
        <w:t>4</w:t>
      </w:r>
      <w:r w:rsidRPr="00E673A0">
        <w:t xml:space="preserve">0 minutes for </w:t>
      </w:r>
      <w:r>
        <w:t>1</w:t>
      </w:r>
      <w:r w:rsidRPr="00E673A0">
        <w:t xml:space="preserve"> quarter of reporting</w:t>
      </w:r>
      <w:r>
        <w:t>, or 0.67 hours</w:t>
      </w:r>
      <w:r w:rsidRPr="00E673A0">
        <w:t>)</w:t>
      </w:r>
      <w:r w:rsidRPr="00592DB9">
        <w:t xml:space="preserve">, or </w:t>
      </w:r>
      <w:r>
        <w:t>a total of 733</w:t>
      </w:r>
      <w:r w:rsidRPr="00592DB9">
        <w:t xml:space="preserve"> hours (</w:t>
      </w:r>
      <w:r>
        <w:t>0.67</w:t>
      </w:r>
      <w:r w:rsidRPr="00592DB9">
        <w:t xml:space="preserve"> hours per hospital x </w:t>
      </w:r>
      <w:r>
        <w:t>1,1</w:t>
      </w:r>
      <w:r w:rsidRPr="00592DB9">
        <w:t>00 hospitals)</w:t>
      </w:r>
      <w:r>
        <w:t xml:space="preserve"> </w:t>
      </w:r>
      <w:r w:rsidRPr="00D00B7E">
        <w:t xml:space="preserve">and approximately </w:t>
      </w:r>
      <w:r w:rsidRPr="00FB0B6D">
        <w:t>$</w:t>
      </w:r>
      <w:r>
        <w:t>26,800 (1,100 hours x $36.58 per hour) across all non-IPPS hospitals associated with eCQM reporting</w:t>
      </w:r>
      <w:r w:rsidRPr="00E673A0">
        <w:t>.</w:t>
      </w:r>
      <w:r>
        <w:t xml:space="preserve">  </w:t>
      </w:r>
      <w:r w:rsidR="000445BA">
        <w:t xml:space="preserve">As these are the same </w:t>
      </w:r>
      <w:r w:rsidR="000445BA">
        <w:rPr>
          <w:bCs/>
        </w:rPr>
        <w:t xml:space="preserve">eCQM reporting requirements that were finalized </w:t>
      </w:r>
      <w:r w:rsidR="000445BA">
        <w:t>for the FY 2020 payment determination</w:t>
      </w:r>
      <w:r w:rsidR="000445BA">
        <w:rPr>
          <w:bCs/>
        </w:rPr>
        <w:t xml:space="preserve"> in the FY 2018 IPPS/LTCH PPS final rule (</w:t>
      </w:r>
      <w:r w:rsidR="000445BA" w:rsidRPr="00A34111">
        <w:t>8</w:t>
      </w:r>
      <w:r w:rsidR="000445BA">
        <w:t>2</w:t>
      </w:r>
      <w:r w:rsidR="000445BA" w:rsidRPr="00A34111">
        <w:t xml:space="preserve"> FR</w:t>
      </w:r>
      <w:r w:rsidR="000445BA">
        <w:t xml:space="preserve"> 38355 through 38361)</w:t>
      </w:r>
      <w:r w:rsidR="00763DC8">
        <w:t xml:space="preserve"> and the same burden estimate</w:t>
      </w:r>
      <w:r>
        <w:t>s</w:t>
      </w:r>
      <w:r w:rsidR="000445BA">
        <w:t xml:space="preserve">, we do not expect </w:t>
      </w:r>
      <w:r w:rsidR="00AB38AD">
        <w:t xml:space="preserve">our </w:t>
      </w:r>
      <w:r w:rsidR="00D3590D">
        <w:t xml:space="preserve">finalized policy </w:t>
      </w:r>
      <w:r w:rsidR="000445BA">
        <w:t xml:space="preserve">to </w:t>
      </w:r>
      <w:r w:rsidR="00DD2DC4">
        <w:t>change</w:t>
      </w:r>
      <w:r w:rsidR="000445BA">
        <w:t xml:space="preserve"> our burden estimates </w:t>
      </w:r>
      <w:r w:rsidR="00763DC8">
        <w:t xml:space="preserve">for the FY 2021 payment determination </w:t>
      </w:r>
      <w:r w:rsidR="000445BA">
        <w:t xml:space="preserve">because we are </w:t>
      </w:r>
      <w:r w:rsidR="00153F3B">
        <w:t>finalizing a</w:t>
      </w:r>
      <w:r w:rsidR="000445BA">
        <w:t xml:space="preserve"> continu</w:t>
      </w:r>
      <w:r w:rsidR="00153F3B">
        <w:t>ation</w:t>
      </w:r>
      <w:r w:rsidR="000445BA">
        <w:t xml:space="preserve"> </w:t>
      </w:r>
      <w:r w:rsidR="00153F3B">
        <w:t xml:space="preserve">of </w:t>
      </w:r>
      <w:r w:rsidR="000445BA">
        <w:t>existing policies</w:t>
      </w:r>
      <w:r w:rsidR="000445BA" w:rsidRPr="00CD21DC">
        <w:rPr>
          <w:bCs/>
        </w:rPr>
        <w:t>.</w:t>
      </w:r>
    </w:p>
    <w:p w14:paraId="352E267B" w14:textId="77777777" w:rsidR="000332CF" w:rsidRDefault="000332CF" w:rsidP="00511838">
      <w:pPr>
        <w:autoSpaceDE w:val="0"/>
        <w:autoSpaceDN w:val="0"/>
        <w:adjustRightInd w:val="0"/>
      </w:pPr>
    </w:p>
    <w:p w14:paraId="03A8CE6E" w14:textId="77777777" w:rsidR="00F36E78" w:rsidRDefault="00F36E78" w:rsidP="004D6FC1"/>
    <w:p w14:paraId="7E0415C5" w14:textId="77777777" w:rsidR="004D6FC1" w:rsidRDefault="004D6FC1" w:rsidP="00217B02">
      <w:pPr>
        <w:keepNext/>
        <w:rPr>
          <w:b/>
        </w:rPr>
      </w:pPr>
      <w:r w:rsidRPr="00974F6F">
        <w:rPr>
          <w:b/>
        </w:rPr>
        <w:t xml:space="preserve">Table </w:t>
      </w:r>
      <w:r w:rsidR="00BC1E4A">
        <w:rPr>
          <w:b/>
        </w:rPr>
        <w:t>1</w:t>
      </w:r>
      <w:r w:rsidR="007614B7">
        <w:rPr>
          <w:b/>
        </w:rPr>
        <w:t xml:space="preserve">. Burden Calculations for the </w:t>
      </w:r>
      <w:r w:rsidR="00F72141">
        <w:rPr>
          <w:b/>
        </w:rPr>
        <w:t xml:space="preserve">Hospital </w:t>
      </w:r>
      <w:r w:rsidR="007614B7">
        <w:rPr>
          <w:b/>
        </w:rPr>
        <w:t xml:space="preserve">IQR </w:t>
      </w:r>
      <w:r w:rsidR="00F72141">
        <w:rPr>
          <w:b/>
        </w:rPr>
        <w:t xml:space="preserve">Program </w:t>
      </w:r>
      <w:r w:rsidR="007614B7">
        <w:rPr>
          <w:b/>
        </w:rPr>
        <w:t>Measure Set</w:t>
      </w:r>
      <w:r w:rsidRPr="00E85724">
        <w:rPr>
          <w:b/>
        </w:rPr>
        <w:t xml:space="preserve"> and Other Activities for </w:t>
      </w:r>
      <w:r w:rsidR="00D50E27">
        <w:rPr>
          <w:b/>
        </w:rPr>
        <w:t xml:space="preserve">the </w:t>
      </w:r>
      <w:r w:rsidRPr="00E85724">
        <w:rPr>
          <w:b/>
        </w:rPr>
        <w:t>FY 202</w:t>
      </w:r>
      <w:r w:rsidR="00BC1E4A">
        <w:rPr>
          <w:b/>
        </w:rPr>
        <w:t>1</w:t>
      </w:r>
      <w:r w:rsidRPr="00E85724">
        <w:rPr>
          <w:b/>
        </w:rPr>
        <w:t xml:space="preserve"> Payment Determination</w:t>
      </w:r>
    </w:p>
    <w:p w14:paraId="7DC40F2A" w14:textId="77777777" w:rsidR="004D6FC1" w:rsidRDefault="004D6FC1" w:rsidP="00217B02">
      <w:pPr>
        <w:keepNext/>
        <w:rPr>
          <w:b/>
        </w:rPr>
      </w:pPr>
    </w:p>
    <w:tbl>
      <w:tblPr>
        <w:tblStyle w:val="TableGrid"/>
        <w:tblW w:w="5248" w:type="pct"/>
        <w:tblLayout w:type="fixed"/>
        <w:tblLook w:val="04A0" w:firstRow="1" w:lastRow="0" w:firstColumn="1" w:lastColumn="0" w:noHBand="0" w:noVBand="1"/>
      </w:tblPr>
      <w:tblGrid>
        <w:gridCol w:w="2022"/>
        <w:gridCol w:w="1660"/>
        <w:gridCol w:w="1391"/>
        <w:gridCol w:w="1214"/>
        <w:gridCol w:w="1128"/>
        <w:gridCol w:w="1146"/>
        <w:gridCol w:w="1490"/>
      </w:tblGrid>
      <w:tr w:rsidR="004D6FC1" w:rsidRPr="00C761FF" w14:paraId="6AA20AE5" w14:textId="77777777" w:rsidTr="004D6FC1">
        <w:trPr>
          <w:trHeight w:val="765"/>
        </w:trPr>
        <w:tc>
          <w:tcPr>
            <w:tcW w:w="1006" w:type="pct"/>
            <w:vMerge w:val="restart"/>
            <w:hideMark/>
          </w:tcPr>
          <w:p w14:paraId="6586ADF9" w14:textId="77777777" w:rsidR="004D6FC1" w:rsidRPr="0041034F" w:rsidRDefault="004D6FC1" w:rsidP="00217B02">
            <w:pPr>
              <w:keepNext/>
              <w:rPr>
                <w:b/>
                <w:i/>
              </w:rPr>
            </w:pPr>
            <w:r w:rsidRPr="0041034F">
              <w:rPr>
                <w:b/>
                <w:i/>
              </w:rPr>
              <w:t>Measure Set</w:t>
            </w:r>
          </w:p>
        </w:tc>
        <w:tc>
          <w:tcPr>
            <w:tcW w:w="826" w:type="pct"/>
            <w:vMerge w:val="restart"/>
            <w:hideMark/>
          </w:tcPr>
          <w:p w14:paraId="7ACD2310" w14:textId="77777777" w:rsidR="004D6FC1" w:rsidRPr="0041034F" w:rsidRDefault="004D6FC1" w:rsidP="00217B02">
            <w:pPr>
              <w:keepNext/>
              <w:rPr>
                <w:b/>
                <w:i/>
              </w:rPr>
            </w:pPr>
            <w:r w:rsidRPr="0041034F">
              <w:rPr>
                <w:b/>
                <w:i/>
              </w:rPr>
              <w:t>Estimated ti</w:t>
            </w:r>
            <w:r>
              <w:rPr>
                <w:b/>
                <w:i/>
              </w:rPr>
              <w:t xml:space="preserve">me per record (minutes) </w:t>
            </w:r>
            <w:r w:rsidR="004844A7">
              <w:rPr>
                <w:b/>
                <w:i/>
              </w:rPr>
              <w:t>-</w:t>
            </w:r>
            <w:r>
              <w:rPr>
                <w:b/>
                <w:i/>
              </w:rPr>
              <w:br/>
              <w:t>FY 202</w:t>
            </w:r>
            <w:r w:rsidR="00BC1E4A">
              <w:rPr>
                <w:b/>
                <w:i/>
              </w:rPr>
              <w:t>1</w:t>
            </w:r>
            <w:r w:rsidRPr="0041034F">
              <w:rPr>
                <w:b/>
                <w:i/>
              </w:rPr>
              <w:t xml:space="preserve"> payment determination</w:t>
            </w:r>
          </w:p>
        </w:tc>
        <w:tc>
          <w:tcPr>
            <w:tcW w:w="692" w:type="pct"/>
            <w:vMerge w:val="restart"/>
            <w:hideMark/>
          </w:tcPr>
          <w:p w14:paraId="2AC71573" w14:textId="77777777" w:rsidR="004D6FC1" w:rsidRPr="0041034F" w:rsidRDefault="004D6FC1" w:rsidP="00217B02">
            <w:pPr>
              <w:keepNext/>
              <w:rPr>
                <w:b/>
                <w:i/>
              </w:rPr>
            </w:pPr>
            <w:r w:rsidRPr="0041034F">
              <w:rPr>
                <w:b/>
                <w:i/>
              </w:rPr>
              <w:t>Number rep</w:t>
            </w:r>
            <w:r>
              <w:rPr>
                <w:b/>
                <w:i/>
              </w:rPr>
              <w:t>orting quarters per year</w:t>
            </w:r>
            <w:r w:rsidR="004844A7">
              <w:rPr>
                <w:b/>
                <w:i/>
              </w:rPr>
              <w:t xml:space="preserve"> -</w:t>
            </w:r>
            <w:r>
              <w:rPr>
                <w:b/>
                <w:i/>
              </w:rPr>
              <w:br/>
              <w:t>FY 202</w:t>
            </w:r>
            <w:r w:rsidR="00BC1E4A">
              <w:rPr>
                <w:b/>
                <w:i/>
              </w:rPr>
              <w:t>1</w:t>
            </w:r>
            <w:r w:rsidRPr="0041034F">
              <w:rPr>
                <w:b/>
                <w:i/>
              </w:rPr>
              <w:t xml:space="preserve"> payment determination</w:t>
            </w:r>
          </w:p>
        </w:tc>
        <w:tc>
          <w:tcPr>
            <w:tcW w:w="604" w:type="pct"/>
            <w:vMerge w:val="restart"/>
            <w:hideMark/>
          </w:tcPr>
          <w:p w14:paraId="328EA156" w14:textId="77777777" w:rsidR="004D6FC1" w:rsidRPr="0041034F" w:rsidRDefault="004D6FC1" w:rsidP="00217B02">
            <w:pPr>
              <w:keepNext/>
              <w:rPr>
                <w:b/>
                <w:i/>
              </w:rPr>
            </w:pPr>
            <w:r w:rsidRPr="0041034F">
              <w:rPr>
                <w:b/>
                <w:i/>
              </w:rPr>
              <w:t>Number of hospitals reporting</w:t>
            </w:r>
          </w:p>
        </w:tc>
        <w:tc>
          <w:tcPr>
            <w:tcW w:w="561" w:type="pct"/>
            <w:vMerge w:val="restart"/>
            <w:hideMark/>
          </w:tcPr>
          <w:p w14:paraId="24D041CD" w14:textId="77777777" w:rsidR="004D6FC1" w:rsidRPr="0041034F" w:rsidRDefault="004D6FC1" w:rsidP="00217B02">
            <w:pPr>
              <w:keepNext/>
              <w:rPr>
                <w:b/>
                <w:i/>
              </w:rPr>
            </w:pPr>
            <w:r w:rsidRPr="0041034F">
              <w:rPr>
                <w:b/>
                <w:i/>
              </w:rPr>
              <w:t>Average number records per hospital per quarter</w:t>
            </w:r>
          </w:p>
        </w:tc>
        <w:tc>
          <w:tcPr>
            <w:tcW w:w="570" w:type="pct"/>
            <w:vMerge w:val="restart"/>
            <w:hideMark/>
          </w:tcPr>
          <w:p w14:paraId="64791BFA" w14:textId="77777777" w:rsidR="004D6FC1" w:rsidRPr="0041034F" w:rsidRDefault="004D6FC1" w:rsidP="00217B02">
            <w:pPr>
              <w:keepNext/>
              <w:rPr>
                <w:b/>
                <w:i/>
              </w:rPr>
            </w:pPr>
            <w:r w:rsidRPr="0041034F">
              <w:rPr>
                <w:b/>
                <w:i/>
              </w:rPr>
              <w:t xml:space="preserve">Annual burden (hours) per </w:t>
            </w:r>
            <w:r w:rsidR="004844A7">
              <w:rPr>
                <w:b/>
                <w:i/>
              </w:rPr>
              <w:t>h</w:t>
            </w:r>
            <w:r w:rsidRPr="0041034F">
              <w:rPr>
                <w:b/>
                <w:i/>
              </w:rPr>
              <w:t>ospital</w:t>
            </w:r>
          </w:p>
        </w:tc>
        <w:tc>
          <w:tcPr>
            <w:tcW w:w="741" w:type="pct"/>
            <w:vMerge w:val="restart"/>
            <w:hideMark/>
          </w:tcPr>
          <w:p w14:paraId="1533431A" w14:textId="77777777" w:rsidR="004D6FC1" w:rsidRPr="0041034F" w:rsidRDefault="004D6FC1" w:rsidP="00217B02">
            <w:pPr>
              <w:keepNext/>
              <w:rPr>
                <w:b/>
                <w:i/>
              </w:rPr>
            </w:pPr>
            <w:r w:rsidRPr="0041034F">
              <w:rPr>
                <w:b/>
                <w:i/>
              </w:rPr>
              <w:t>Calculation for FY 20</w:t>
            </w:r>
            <w:r>
              <w:rPr>
                <w:b/>
                <w:i/>
              </w:rPr>
              <w:t>2</w:t>
            </w:r>
            <w:r w:rsidR="00BC1E4A">
              <w:rPr>
                <w:b/>
                <w:i/>
              </w:rPr>
              <w:t>1</w:t>
            </w:r>
            <w:r w:rsidRPr="0041034F">
              <w:rPr>
                <w:b/>
                <w:i/>
              </w:rPr>
              <w:t xml:space="preserve"> payment determination</w:t>
            </w:r>
          </w:p>
        </w:tc>
      </w:tr>
      <w:tr w:rsidR="004D6FC1" w:rsidRPr="00C761FF" w14:paraId="6000EF10" w14:textId="77777777" w:rsidTr="004D6FC1">
        <w:trPr>
          <w:trHeight w:val="517"/>
        </w:trPr>
        <w:tc>
          <w:tcPr>
            <w:tcW w:w="1006" w:type="pct"/>
            <w:vMerge/>
            <w:hideMark/>
          </w:tcPr>
          <w:p w14:paraId="6588D3D9" w14:textId="77777777" w:rsidR="004D6FC1" w:rsidRPr="00C761FF" w:rsidRDefault="004D6FC1" w:rsidP="004D6FC1"/>
        </w:tc>
        <w:tc>
          <w:tcPr>
            <w:tcW w:w="826" w:type="pct"/>
            <w:vMerge/>
            <w:hideMark/>
          </w:tcPr>
          <w:p w14:paraId="4D3411CF" w14:textId="77777777" w:rsidR="004D6FC1" w:rsidRPr="00C761FF" w:rsidRDefault="004D6FC1" w:rsidP="004D6FC1"/>
        </w:tc>
        <w:tc>
          <w:tcPr>
            <w:tcW w:w="692" w:type="pct"/>
            <w:vMerge/>
            <w:hideMark/>
          </w:tcPr>
          <w:p w14:paraId="619C1434" w14:textId="77777777" w:rsidR="004D6FC1" w:rsidRPr="00C761FF" w:rsidRDefault="004D6FC1" w:rsidP="004D6FC1"/>
        </w:tc>
        <w:tc>
          <w:tcPr>
            <w:tcW w:w="604" w:type="pct"/>
            <w:vMerge/>
            <w:hideMark/>
          </w:tcPr>
          <w:p w14:paraId="3BBFFF35" w14:textId="77777777" w:rsidR="004D6FC1" w:rsidRPr="00C761FF" w:rsidRDefault="004D6FC1" w:rsidP="004D6FC1"/>
        </w:tc>
        <w:tc>
          <w:tcPr>
            <w:tcW w:w="561" w:type="pct"/>
            <w:vMerge/>
            <w:hideMark/>
          </w:tcPr>
          <w:p w14:paraId="4FAE78CF" w14:textId="77777777" w:rsidR="004D6FC1" w:rsidRPr="00C761FF" w:rsidRDefault="004D6FC1" w:rsidP="004D6FC1"/>
        </w:tc>
        <w:tc>
          <w:tcPr>
            <w:tcW w:w="570" w:type="pct"/>
            <w:vMerge/>
            <w:hideMark/>
          </w:tcPr>
          <w:p w14:paraId="735D6DE5" w14:textId="77777777" w:rsidR="004D6FC1" w:rsidRPr="00C761FF" w:rsidRDefault="004D6FC1" w:rsidP="004D6FC1"/>
        </w:tc>
        <w:tc>
          <w:tcPr>
            <w:tcW w:w="741" w:type="pct"/>
            <w:vMerge/>
            <w:hideMark/>
          </w:tcPr>
          <w:p w14:paraId="624DDC15" w14:textId="77777777" w:rsidR="004D6FC1" w:rsidRPr="00C761FF" w:rsidRDefault="004D6FC1" w:rsidP="004D6FC1"/>
        </w:tc>
      </w:tr>
      <w:tr w:rsidR="004D6FC1" w:rsidRPr="00C761FF" w14:paraId="0B6F4832" w14:textId="77777777" w:rsidTr="004D6FC1">
        <w:trPr>
          <w:trHeight w:val="915"/>
        </w:trPr>
        <w:tc>
          <w:tcPr>
            <w:tcW w:w="1006" w:type="pct"/>
            <w:vMerge/>
            <w:hideMark/>
          </w:tcPr>
          <w:p w14:paraId="1EE0260F" w14:textId="77777777" w:rsidR="004D6FC1" w:rsidRPr="00C761FF" w:rsidRDefault="004D6FC1" w:rsidP="004D6FC1"/>
        </w:tc>
        <w:tc>
          <w:tcPr>
            <w:tcW w:w="826" w:type="pct"/>
            <w:vMerge/>
            <w:hideMark/>
          </w:tcPr>
          <w:p w14:paraId="1820E0D9" w14:textId="77777777" w:rsidR="004D6FC1" w:rsidRPr="00C761FF" w:rsidRDefault="004D6FC1" w:rsidP="004D6FC1"/>
        </w:tc>
        <w:tc>
          <w:tcPr>
            <w:tcW w:w="692" w:type="pct"/>
            <w:vMerge/>
            <w:hideMark/>
          </w:tcPr>
          <w:p w14:paraId="405E9EAD" w14:textId="77777777" w:rsidR="004D6FC1" w:rsidRPr="00C761FF" w:rsidRDefault="004D6FC1" w:rsidP="004D6FC1"/>
        </w:tc>
        <w:tc>
          <w:tcPr>
            <w:tcW w:w="604" w:type="pct"/>
            <w:vMerge/>
            <w:hideMark/>
          </w:tcPr>
          <w:p w14:paraId="08FA3562" w14:textId="77777777" w:rsidR="004D6FC1" w:rsidRPr="00C761FF" w:rsidRDefault="004D6FC1" w:rsidP="004D6FC1"/>
        </w:tc>
        <w:tc>
          <w:tcPr>
            <w:tcW w:w="561" w:type="pct"/>
            <w:vMerge/>
            <w:hideMark/>
          </w:tcPr>
          <w:p w14:paraId="01DE9E9D" w14:textId="77777777" w:rsidR="004D6FC1" w:rsidRPr="00C761FF" w:rsidRDefault="004D6FC1" w:rsidP="004D6FC1"/>
        </w:tc>
        <w:tc>
          <w:tcPr>
            <w:tcW w:w="570" w:type="pct"/>
            <w:vMerge/>
            <w:hideMark/>
          </w:tcPr>
          <w:p w14:paraId="54778E61" w14:textId="77777777" w:rsidR="004D6FC1" w:rsidRPr="00C761FF" w:rsidRDefault="004D6FC1" w:rsidP="004D6FC1"/>
        </w:tc>
        <w:tc>
          <w:tcPr>
            <w:tcW w:w="741" w:type="pct"/>
            <w:vMerge/>
            <w:hideMark/>
          </w:tcPr>
          <w:p w14:paraId="099DF291" w14:textId="77777777" w:rsidR="004D6FC1" w:rsidRPr="00C761FF" w:rsidRDefault="004D6FC1" w:rsidP="004D6FC1"/>
        </w:tc>
      </w:tr>
      <w:tr w:rsidR="004D6FC1" w:rsidRPr="00C761FF" w14:paraId="18FC53E8" w14:textId="77777777" w:rsidTr="004D6FC1">
        <w:trPr>
          <w:trHeight w:val="517"/>
        </w:trPr>
        <w:tc>
          <w:tcPr>
            <w:tcW w:w="1006" w:type="pct"/>
            <w:vMerge/>
            <w:hideMark/>
          </w:tcPr>
          <w:p w14:paraId="47315D63" w14:textId="77777777" w:rsidR="004D6FC1" w:rsidRPr="00C761FF" w:rsidRDefault="004D6FC1" w:rsidP="004D6FC1"/>
        </w:tc>
        <w:tc>
          <w:tcPr>
            <w:tcW w:w="826" w:type="pct"/>
            <w:vMerge/>
            <w:hideMark/>
          </w:tcPr>
          <w:p w14:paraId="4BD873C9" w14:textId="77777777" w:rsidR="004D6FC1" w:rsidRPr="00C761FF" w:rsidRDefault="004D6FC1" w:rsidP="004D6FC1"/>
        </w:tc>
        <w:tc>
          <w:tcPr>
            <w:tcW w:w="692" w:type="pct"/>
            <w:vMerge/>
            <w:hideMark/>
          </w:tcPr>
          <w:p w14:paraId="49DEB12C" w14:textId="77777777" w:rsidR="004D6FC1" w:rsidRPr="00C761FF" w:rsidRDefault="004D6FC1" w:rsidP="004D6FC1"/>
        </w:tc>
        <w:tc>
          <w:tcPr>
            <w:tcW w:w="604" w:type="pct"/>
            <w:vMerge/>
            <w:hideMark/>
          </w:tcPr>
          <w:p w14:paraId="7F3FC5F0" w14:textId="77777777" w:rsidR="004D6FC1" w:rsidRPr="00C761FF" w:rsidRDefault="004D6FC1" w:rsidP="004D6FC1"/>
        </w:tc>
        <w:tc>
          <w:tcPr>
            <w:tcW w:w="561" w:type="pct"/>
            <w:vMerge/>
            <w:hideMark/>
          </w:tcPr>
          <w:p w14:paraId="4C998A0A" w14:textId="77777777" w:rsidR="004D6FC1" w:rsidRPr="00C761FF" w:rsidRDefault="004D6FC1" w:rsidP="004D6FC1"/>
        </w:tc>
        <w:tc>
          <w:tcPr>
            <w:tcW w:w="570" w:type="pct"/>
            <w:vMerge/>
            <w:hideMark/>
          </w:tcPr>
          <w:p w14:paraId="3951733B" w14:textId="77777777" w:rsidR="004D6FC1" w:rsidRPr="00C761FF" w:rsidRDefault="004D6FC1" w:rsidP="004D6FC1"/>
        </w:tc>
        <w:tc>
          <w:tcPr>
            <w:tcW w:w="741" w:type="pct"/>
            <w:vMerge/>
            <w:hideMark/>
          </w:tcPr>
          <w:p w14:paraId="04BE70DC" w14:textId="77777777" w:rsidR="004D6FC1" w:rsidRPr="00C761FF" w:rsidRDefault="004D6FC1" w:rsidP="004D6FC1"/>
        </w:tc>
      </w:tr>
      <w:tr w:rsidR="004D6FC1" w:rsidRPr="00C761FF" w14:paraId="5F0B40E4" w14:textId="77777777" w:rsidTr="004D6FC1">
        <w:trPr>
          <w:trHeight w:val="458"/>
        </w:trPr>
        <w:tc>
          <w:tcPr>
            <w:tcW w:w="5000" w:type="pct"/>
            <w:gridSpan w:val="7"/>
            <w:hideMark/>
          </w:tcPr>
          <w:p w14:paraId="232BB6A9" w14:textId="77777777" w:rsidR="004D6FC1" w:rsidRPr="00C761FF" w:rsidRDefault="004D6FC1" w:rsidP="004D6FC1">
            <w:pPr>
              <w:rPr>
                <w:b/>
                <w:bCs/>
              </w:rPr>
            </w:pPr>
            <w:r w:rsidRPr="00C761FF">
              <w:rPr>
                <w:b/>
                <w:bCs/>
              </w:rPr>
              <w:t>CHART ABSTRACTION</w:t>
            </w:r>
          </w:p>
        </w:tc>
      </w:tr>
      <w:tr w:rsidR="004D6FC1" w:rsidRPr="00C761FF" w14:paraId="280CD613" w14:textId="77777777" w:rsidTr="004D6FC1">
        <w:trPr>
          <w:trHeight w:val="476"/>
        </w:trPr>
        <w:tc>
          <w:tcPr>
            <w:tcW w:w="5000" w:type="pct"/>
            <w:gridSpan w:val="7"/>
            <w:noWrap/>
            <w:hideMark/>
          </w:tcPr>
          <w:p w14:paraId="4DC56051" w14:textId="77777777" w:rsidR="004D6FC1" w:rsidRPr="00C761FF" w:rsidRDefault="004D6FC1" w:rsidP="004D6FC1">
            <w:pPr>
              <w:rPr>
                <w:b/>
                <w:bCs/>
              </w:rPr>
            </w:pPr>
            <w:r w:rsidRPr="00C761FF">
              <w:rPr>
                <w:b/>
                <w:bCs/>
              </w:rPr>
              <w:t>IPPS Hospitals (3,300)</w:t>
            </w:r>
          </w:p>
        </w:tc>
      </w:tr>
      <w:tr w:rsidR="004D6FC1" w:rsidRPr="00C761FF" w14:paraId="11767A0D" w14:textId="77777777" w:rsidTr="004D6FC1">
        <w:trPr>
          <w:trHeight w:val="780"/>
        </w:trPr>
        <w:tc>
          <w:tcPr>
            <w:tcW w:w="1006" w:type="pct"/>
            <w:hideMark/>
          </w:tcPr>
          <w:p w14:paraId="0F7D57CB" w14:textId="77777777" w:rsidR="004D6FC1" w:rsidRPr="00C761FF" w:rsidRDefault="004D6FC1" w:rsidP="004D6FC1">
            <w:r w:rsidRPr="00C761FF">
              <w:t>Emergency department (ED) throughput</w:t>
            </w:r>
          </w:p>
        </w:tc>
        <w:tc>
          <w:tcPr>
            <w:tcW w:w="826" w:type="pct"/>
            <w:noWrap/>
            <w:hideMark/>
          </w:tcPr>
          <w:p w14:paraId="569DC5C2" w14:textId="77777777" w:rsidR="004D6FC1" w:rsidRPr="00415548" w:rsidRDefault="00056F3A" w:rsidP="004D6FC1">
            <w:pPr>
              <w:rPr>
                <w:bCs/>
              </w:rPr>
            </w:pPr>
            <w:r>
              <w:rPr>
                <w:bCs/>
              </w:rPr>
              <w:t>1</w:t>
            </w:r>
            <w:r w:rsidR="003D357A">
              <w:rPr>
                <w:bCs/>
              </w:rPr>
              <w:t>5</w:t>
            </w:r>
          </w:p>
        </w:tc>
        <w:tc>
          <w:tcPr>
            <w:tcW w:w="692" w:type="pct"/>
            <w:hideMark/>
          </w:tcPr>
          <w:p w14:paraId="7DB89A76" w14:textId="77777777" w:rsidR="004D6FC1" w:rsidRPr="00C761FF" w:rsidRDefault="004D6FC1" w:rsidP="004D6FC1">
            <w:r w:rsidRPr="00C761FF">
              <w:t>4</w:t>
            </w:r>
          </w:p>
        </w:tc>
        <w:tc>
          <w:tcPr>
            <w:tcW w:w="604" w:type="pct"/>
            <w:hideMark/>
          </w:tcPr>
          <w:p w14:paraId="2E0A8BCB" w14:textId="77777777" w:rsidR="004D6FC1" w:rsidRPr="00C761FF" w:rsidRDefault="004D6FC1" w:rsidP="004D6FC1">
            <w:r w:rsidRPr="00C761FF">
              <w:t>3,300</w:t>
            </w:r>
          </w:p>
        </w:tc>
        <w:tc>
          <w:tcPr>
            <w:tcW w:w="561" w:type="pct"/>
            <w:noWrap/>
            <w:hideMark/>
          </w:tcPr>
          <w:p w14:paraId="65A1A603" w14:textId="77777777" w:rsidR="004D6FC1" w:rsidRPr="00C761FF" w:rsidRDefault="004D6FC1" w:rsidP="004D6FC1">
            <w:r w:rsidRPr="00C761FF">
              <w:t>260</w:t>
            </w:r>
          </w:p>
        </w:tc>
        <w:tc>
          <w:tcPr>
            <w:tcW w:w="570" w:type="pct"/>
            <w:noWrap/>
            <w:hideMark/>
          </w:tcPr>
          <w:p w14:paraId="056AB4EF" w14:textId="77777777" w:rsidR="00056F3A" w:rsidRDefault="003D357A" w:rsidP="00056F3A">
            <w:pPr>
              <w:rPr>
                <w:color w:val="000000"/>
              </w:rPr>
            </w:pPr>
            <w:r>
              <w:rPr>
                <w:color w:val="000000"/>
              </w:rPr>
              <w:t>260</w:t>
            </w:r>
          </w:p>
          <w:p w14:paraId="69ABE141" w14:textId="77777777" w:rsidR="004D6FC1" w:rsidRPr="00C761FF" w:rsidRDefault="004D6FC1" w:rsidP="004D6FC1"/>
        </w:tc>
        <w:tc>
          <w:tcPr>
            <w:tcW w:w="741" w:type="pct"/>
            <w:noWrap/>
            <w:hideMark/>
          </w:tcPr>
          <w:p w14:paraId="01ED6FCE" w14:textId="77777777" w:rsidR="00056F3A" w:rsidRDefault="003927BB" w:rsidP="00056F3A">
            <w:pPr>
              <w:rPr>
                <w:color w:val="000000"/>
              </w:rPr>
            </w:pPr>
            <w:r>
              <w:rPr>
                <w:color w:val="000000"/>
              </w:rPr>
              <w:t>858,000</w:t>
            </w:r>
          </w:p>
          <w:p w14:paraId="0CE6E89D" w14:textId="77777777" w:rsidR="004D6FC1" w:rsidRPr="00C761FF" w:rsidRDefault="004D6FC1" w:rsidP="004D6FC1"/>
        </w:tc>
      </w:tr>
      <w:tr w:rsidR="004D6FC1" w:rsidRPr="00C761FF" w14:paraId="40585F23" w14:textId="77777777" w:rsidTr="004D6FC1">
        <w:trPr>
          <w:trHeight w:val="290"/>
        </w:trPr>
        <w:tc>
          <w:tcPr>
            <w:tcW w:w="1006" w:type="pct"/>
            <w:hideMark/>
          </w:tcPr>
          <w:p w14:paraId="0934F2DF" w14:textId="77777777" w:rsidR="004D6FC1" w:rsidRPr="00C761FF" w:rsidRDefault="004D6FC1" w:rsidP="004D6FC1">
            <w:r w:rsidRPr="00C761FF">
              <w:t>Sepsis Measure</w:t>
            </w:r>
          </w:p>
        </w:tc>
        <w:tc>
          <w:tcPr>
            <w:tcW w:w="826" w:type="pct"/>
            <w:noWrap/>
            <w:hideMark/>
          </w:tcPr>
          <w:p w14:paraId="4F561B68" w14:textId="77777777" w:rsidR="004D6FC1" w:rsidRPr="00C761FF" w:rsidRDefault="004D6FC1" w:rsidP="004D6FC1">
            <w:r w:rsidRPr="00C761FF">
              <w:t>60</w:t>
            </w:r>
          </w:p>
        </w:tc>
        <w:tc>
          <w:tcPr>
            <w:tcW w:w="692" w:type="pct"/>
            <w:hideMark/>
          </w:tcPr>
          <w:p w14:paraId="3566446E" w14:textId="77777777" w:rsidR="004D6FC1" w:rsidRPr="00C761FF" w:rsidRDefault="004D6FC1" w:rsidP="004D6FC1">
            <w:r w:rsidRPr="00C761FF">
              <w:t>4</w:t>
            </w:r>
          </w:p>
        </w:tc>
        <w:tc>
          <w:tcPr>
            <w:tcW w:w="604" w:type="pct"/>
            <w:hideMark/>
          </w:tcPr>
          <w:p w14:paraId="2F5BF173" w14:textId="77777777" w:rsidR="004D6FC1" w:rsidRPr="00C761FF" w:rsidRDefault="004D6FC1" w:rsidP="004D6FC1">
            <w:r w:rsidRPr="00C761FF">
              <w:t>3,300</w:t>
            </w:r>
          </w:p>
        </w:tc>
        <w:tc>
          <w:tcPr>
            <w:tcW w:w="561" w:type="pct"/>
            <w:noWrap/>
            <w:hideMark/>
          </w:tcPr>
          <w:p w14:paraId="754A992C" w14:textId="77777777" w:rsidR="004D6FC1" w:rsidRPr="00C761FF" w:rsidRDefault="004D6FC1" w:rsidP="004D6FC1">
            <w:r w:rsidRPr="00C761FF">
              <w:t>100</w:t>
            </w:r>
          </w:p>
        </w:tc>
        <w:tc>
          <w:tcPr>
            <w:tcW w:w="570" w:type="pct"/>
            <w:noWrap/>
            <w:hideMark/>
          </w:tcPr>
          <w:p w14:paraId="49E3295D" w14:textId="77777777" w:rsidR="004D6FC1" w:rsidRPr="00C761FF" w:rsidRDefault="004D6FC1" w:rsidP="004D6FC1">
            <w:r w:rsidRPr="00C761FF">
              <w:t>400</w:t>
            </w:r>
          </w:p>
        </w:tc>
        <w:tc>
          <w:tcPr>
            <w:tcW w:w="741" w:type="pct"/>
            <w:noWrap/>
            <w:hideMark/>
          </w:tcPr>
          <w:p w14:paraId="2AB6C2B5" w14:textId="77777777" w:rsidR="004D6FC1" w:rsidRPr="00C761FF" w:rsidRDefault="004D6FC1" w:rsidP="004D6FC1">
            <w:r w:rsidRPr="00C761FF">
              <w:t>1,320,000</w:t>
            </w:r>
          </w:p>
        </w:tc>
      </w:tr>
      <w:tr w:rsidR="004D6FC1" w:rsidRPr="00C761FF" w14:paraId="23FAA836" w14:textId="77777777" w:rsidTr="004D6FC1">
        <w:trPr>
          <w:trHeight w:val="300"/>
        </w:trPr>
        <w:tc>
          <w:tcPr>
            <w:tcW w:w="1006" w:type="pct"/>
            <w:hideMark/>
          </w:tcPr>
          <w:p w14:paraId="1946A333" w14:textId="77777777" w:rsidR="004D6FC1" w:rsidRPr="00C761FF" w:rsidRDefault="004D6FC1" w:rsidP="004D6FC1">
            <w:r w:rsidRPr="00C761FF">
              <w:t>Perinatal care (PC)</w:t>
            </w:r>
          </w:p>
        </w:tc>
        <w:tc>
          <w:tcPr>
            <w:tcW w:w="826" w:type="pct"/>
            <w:noWrap/>
            <w:hideMark/>
          </w:tcPr>
          <w:p w14:paraId="45EF9B11" w14:textId="77777777" w:rsidR="004D6FC1" w:rsidRPr="00C761FF" w:rsidRDefault="004D6FC1" w:rsidP="004D6FC1">
            <w:r w:rsidRPr="00C761FF">
              <w:t>10</w:t>
            </w:r>
          </w:p>
        </w:tc>
        <w:tc>
          <w:tcPr>
            <w:tcW w:w="692" w:type="pct"/>
            <w:hideMark/>
          </w:tcPr>
          <w:p w14:paraId="141CB637" w14:textId="77777777" w:rsidR="004D6FC1" w:rsidRPr="00C761FF" w:rsidRDefault="004D6FC1" w:rsidP="004D6FC1">
            <w:r w:rsidRPr="00C761FF">
              <w:t>4</w:t>
            </w:r>
          </w:p>
        </w:tc>
        <w:tc>
          <w:tcPr>
            <w:tcW w:w="604" w:type="pct"/>
            <w:hideMark/>
          </w:tcPr>
          <w:p w14:paraId="2C872A0F" w14:textId="77777777" w:rsidR="004D6FC1" w:rsidRPr="00C761FF" w:rsidRDefault="004D6FC1" w:rsidP="004D6FC1">
            <w:r w:rsidRPr="00C761FF">
              <w:t>3,300</w:t>
            </w:r>
          </w:p>
        </w:tc>
        <w:tc>
          <w:tcPr>
            <w:tcW w:w="561" w:type="pct"/>
            <w:noWrap/>
            <w:hideMark/>
          </w:tcPr>
          <w:p w14:paraId="58653F44" w14:textId="77777777" w:rsidR="004D6FC1" w:rsidRPr="00C761FF" w:rsidRDefault="004D6FC1" w:rsidP="004D6FC1">
            <w:r w:rsidRPr="00C761FF">
              <w:t>76</w:t>
            </w:r>
          </w:p>
        </w:tc>
        <w:tc>
          <w:tcPr>
            <w:tcW w:w="570" w:type="pct"/>
            <w:noWrap/>
            <w:hideMark/>
          </w:tcPr>
          <w:p w14:paraId="3F38E7EC" w14:textId="77777777" w:rsidR="004D6FC1" w:rsidRPr="00C761FF" w:rsidRDefault="004D6FC1" w:rsidP="004D6FC1">
            <w:r w:rsidRPr="00C761FF">
              <w:t>51</w:t>
            </w:r>
          </w:p>
        </w:tc>
        <w:tc>
          <w:tcPr>
            <w:tcW w:w="741" w:type="pct"/>
            <w:noWrap/>
            <w:hideMark/>
          </w:tcPr>
          <w:p w14:paraId="052628DF" w14:textId="77777777" w:rsidR="004D6FC1" w:rsidRPr="00C761FF" w:rsidRDefault="004D6FC1" w:rsidP="004D6FC1">
            <w:r w:rsidRPr="00C761FF">
              <w:t>167,200</w:t>
            </w:r>
          </w:p>
        </w:tc>
      </w:tr>
      <w:tr w:rsidR="004D6FC1" w:rsidRPr="00C761FF" w14:paraId="253A4509" w14:textId="77777777" w:rsidTr="004D6FC1">
        <w:trPr>
          <w:trHeight w:val="300"/>
        </w:trPr>
        <w:tc>
          <w:tcPr>
            <w:tcW w:w="1006" w:type="pct"/>
            <w:hideMark/>
          </w:tcPr>
          <w:p w14:paraId="6213F81B" w14:textId="77777777" w:rsidR="004D6FC1" w:rsidRPr="0041034F" w:rsidRDefault="004D6FC1" w:rsidP="004D6FC1">
            <w:pPr>
              <w:rPr>
                <w:b/>
              </w:rPr>
            </w:pPr>
            <w:r w:rsidRPr="0041034F">
              <w:rPr>
                <w:b/>
              </w:rPr>
              <w:t>Subtotal IPPS chart-based</w:t>
            </w:r>
          </w:p>
        </w:tc>
        <w:tc>
          <w:tcPr>
            <w:tcW w:w="826" w:type="pct"/>
            <w:noWrap/>
            <w:hideMark/>
          </w:tcPr>
          <w:p w14:paraId="33221181" w14:textId="77777777" w:rsidR="004D6FC1" w:rsidRPr="00C761FF" w:rsidRDefault="004D6FC1" w:rsidP="004D6FC1">
            <w:r w:rsidRPr="00C761FF">
              <w:t> </w:t>
            </w:r>
          </w:p>
        </w:tc>
        <w:tc>
          <w:tcPr>
            <w:tcW w:w="692" w:type="pct"/>
            <w:noWrap/>
            <w:hideMark/>
          </w:tcPr>
          <w:p w14:paraId="3D0658B5" w14:textId="77777777" w:rsidR="004D6FC1" w:rsidRPr="00C761FF" w:rsidRDefault="004D6FC1" w:rsidP="004D6FC1">
            <w:r w:rsidRPr="00C761FF">
              <w:t> </w:t>
            </w:r>
          </w:p>
        </w:tc>
        <w:tc>
          <w:tcPr>
            <w:tcW w:w="604" w:type="pct"/>
            <w:noWrap/>
            <w:hideMark/>
          </w:tcPr>
          <w:p w14:paraId="3785DF3D" w14:textId="77777777" w:rsidR="004D6FC1" w:rsidRPr="00C761FF" w:rsidRDefault="004D6FC1" w:rsidP="004D6FC1">
            <w:r w:rsidRPr="00C761FF">
              <w:t> </w:t>
            </w:r>
          </w:p>
        </w:tc>
        <w:tc>
          <w:tcPr>
            <w:tcW w:w="561" w:type="pct"/>
            <w:noWrap/>
            <w:hideMark/>
          </w:tcPr>
          <w:p w14:paraId="25D1E594" w14:textId="77777777" w:rsidR="004D6FC1" w:rsidRPr="00C761FF" w:rsidRDefault="004D6FC1" w:rsidP="004D6FC1">
            <w:r w:rsidRPr="00C761FF">
              <w:t> </w:t>
            </w:r>
          </w:p>
        </w:tc>
        <w:tc>
          <w:tcPr>
            <w:tcW w:w="570" w:type="pct"/>
            <w:noWrap/>
            <w:hideMark/>
          </w:tcPr>
          <w:p w14:paraId="00611E02" w14:textId="77777777" w:rsidR="004D6FC1" w:rsidRPr="006D1248" w:rsidRDefault="00C42911" w:rsidP="004D6FC1">
            <w:pPr>
              <w:rPr>
                <w:b/>
              </w:rPr>
            </w:pPr>
            <w:r w:rsidRPr="006D1248">
              <w:rPr>
                <w:b/>
              </w:rPr>
              <w:t>711</w:t>
            </w:r>
            <w:r w:rsidR="004D6FC1" w:rsidRPr="006D1248">
              <w:rPr>
                <w:b/>
              </w:rPr>
              <w:t xml:space="preserve"> </w:t>
            </w:r>
          </w:p>
        </w:tc>
        <w:tc>
          <w:tcPr>
            <w:tcW w:w="741" w:type="pct"/>
            <w:noWrap/>
            <w:hideMark/>
          </w:tcPr>
          <w:p w14:paraId="28C8F1E5" w14:textId="77777777" w:rsidR="00D32C81" w:rsidRPr="006D1248" w:rsidRDefault="00C42911" w:rsidP="00D32C81">
            <w:pPr>
              <w:rPr>
                <w:b/>
                <w:color w:val="000000"/>
              </w:rPr>
            </w:pPr>
            <w:r w:rsidRPr="006D1248">
              <w:rPr>
                <w:b/>
                <w:bCs/>
                <w:color w:val="000000"/>
              </w:rPr>
              <w:t>2,345,200</w:t>
            </w:r>
          </w:p>
          <w:p w14:paraId="3FF49664" w14:textId="77777777" w:rsidR="004D6FC1" w:rsidRPr="006D1248" w:rsidRDefault="004D6FC1" w:rsidP="004D6FC1">
            <w:pPr>
              <w:rPr>
                <w:b/>
              </w:rPr>
            </w:pPr>
          </w:p>
        </w:tc>
      </w:tr>
      <w:tr w:rsidR="004D6FC1" w:rsidRPr="00C761FF" w14:paraId="4049D3B9" w14:textId="77777777" w:rsidTr="004D6FC1">
        <w:trPr>
          <w:trHeight w:val="300"/>
        </w:trPr>
        <w:tc>
          <w:tcPr>
            <w:tcW w:w="5000" w:type="pct"/>
            <w:gridSpan w:val="7"/>
            <w:noWrap/>
            <w:hideMark/>
          </w:tcPr>
          <w:p w14:paraId="4777216B" w14:textId="77777777" w:rsidR="004D6FC1" w:rsidRPr="00C761FF" w:rsidRDefault="004D6FC1" w:rsidP="004D6FC1">
            <w:pPr>
              <w:rPr>
                <w:b/>
                <w:bCs/>
              </w:rPr>
            </w:pPr>
            <w:r w:rsidRPr="00C761FF">
              <w:rPr>
                <w:b/>
                <w:bCs/>
              </w:rPr>
              <w:t>Non-IPPS Hospitals (1,100)</w:t>
            </w:r>
          </w:p>
        </w:tc>
      </w:tr>
      <w:tr w:rsidR="004D6FC1" w:rsidRPr="00C761FF" w14:paraId="6C0B94A1" w14:textId="77777777" w:rsidTr="004D6FC1">
        <w:trPr>
          <w:trHeight w:val="1065"/>
        </w:trPr>
        <w:tc>
          <w:tcPr>
            <w:tcW w:w="1006" w:type="pct"/>
            <w:hideMark/>
          </w:tcPr>
          <w:p w14:paraId="6B4C2F7B" w14:textId="77777777" w:rsidR="004D6FC1" w:rsidRPr="00C761FF" w:rsidRDefault="004D6FC1" w:rsidP="004D6FC1">
            <w:r w:rsidRPr="00C761FF">
              <w:t>Emergency department (ED) throughput</w:t>
            </w:r>
          </w:p>
        </w:tc>
        <w:tc>
          <w:tcPr>
            <w:tcW w:w="826" w:type="pct"/>
            <w:noWrap/>
            <w:hideMark/>
          </w:tcPr>
          <w:p w14:paraId="64C66244" w14:textId="3E10C056" w:rsidR="004D6FC1" w:rsidRPr="00C761FF" w:rsidRDefault="00217B02" w:rsidP="004D6FC1">
            <w:r>
              <w:t>15</w:t>
            </w:r>
          </w:p>
        </w:tc>
        <w:tc>
          <w:tcPr>
            <w:tcW w:w="692" w:type="pct"/>
            <w:hideMark/>
          </w:tcPr>
          <w:p w14:paraId="29B4A9CA" w14:textId="77777777" w:rsidR="004D6FC1" w:rsidRPr="00C761FF" w:rsidRDefault="004D6FC1" w:rsidP="004D6FC1">
            <w:r w:rsidRPr="00C761FF">
              <w:t>4</w:t>
            </w:r>
          </w:p>
        </w:tc>
        <w:tc>
          <w:tcPr>
            <w:tcW w:w="604" w:type="pct"/>
            <w:hideMark/>
          </w:tcPr>
          <w:p w14:paraId="12E2711E" w14:textId="77777777" w:rsidR="004D6FC1" w:rsidRPr="00C761FF" w:rsidRDefault="00EE2A82" w:rsidP="004D6FC1">
            <w:r>
              <w:t>898</w:t>
            </w:r>
          </w:p>
        </w:tc>
        <w:tc>
          <w:tcPr>
            <w:tcW w:w="561" w:type="pct"/>
            <w:noWrap/>
            <w:hideMark/>
          </w:tcPr>
          <w:p w14:paraId="141A515C" w14:textId="77777777" w:rsidR="004D6FC1" w:rsidRPr="00C761FF" w:rsidRDefault="004D6FC1" w:rsidP="004D6FC1">
            <w:r w:rsidRPr="00C761FF">
              <w:t>55</w:t>
            </w:r>
          </w:p>
        </w:tc>
        <w:tc>
          <w:tcPr>
            <w:tcW w:w="570" w:type="pct"/>
            <w:noWrap/>
            <w:hideMark/>
          </w:tcPr>
          <w:p w14:paraId="50AFF882" w14:textId="0F5651B1" w:rsidR="004D6FC1" w:rsidRPr="00C761FF" w:rsidRDefault="00DB6D28" w:rsidP="004D6FC1">
            <w:r>
              <w:t>55</w:t>
            </w:r>
          </w:p>
        </w:tc>
        <w:tc>
          <w:tcPr>
            <w:tcW w:w="741" w:type="pct"/>
            <w:noWrap/>
            <w:hideMark/>
          </w:tcPr>
          <w:p w14:paraId="09DD7503" w14:textId="6D28A150" w:rsidR="00056F3A" w:rsidRDefault="00DB6D28" w:rsidP="00056F3A">
            <w:pPr>
              <w:rPr>
                <w:color w:val="000000"/>
              </w:rPr>
            </w:pPr>
            <w:r>
              <w:rPr>
                <w:color w:val="000000"/>
              </w:rPr>
              <w:t>49,390</w:t>
            </w:r>
          </w:p>
          <w:p w14:paraId="0FDEA924" w14:textId="77777777" w:rsidR="004D6FC1" w:rsidRPr="00C761FF" w:rsidRDefault="004D6FC1" w:rsidP="004D6FC1"/>
        </w:tc>
      </w:tr>
      <w:tr w:rsidR="00B5347A" w:rsidRPr="00C761FF" w14:paraId="318084C5" w14:textId="77777777" w:rsidTr="004D6FC1">
        <w:trPr>
          <w:trHeight w:val="300"/>
        </w:trPr>
        <w:tc>
          <w:tcPr>
            <w:tcW w:w="1006" w:type="pct"/>
          </w:tcPr>
          <w:p w14:paraId="1351DA6E" w14:textId="77777777" w:rsidR="00B5347A" w:rsidRPr="00C761FF" w:rsidRDefault="00B5347A" w:rsidP="00B5347A">
            <w:r>
              <w:t>Sepsis measure</w:t>
            </w:r>
          </w:p>
        </w:tc>
        <w:tc>
          <w:tcPr>
            <w:tcW w:w="826" w:type="pct"/>
            <w:noWrap/>
          </w:tcPr>
          <w:p w14:paraId="46355DD7" w14:textId="77777777" w:rsidR="00B5347A" w:rsidRPr="00C761FF" w:rsidRDefault="00B5347A" w:rsidP="00B5347A">
            <w:r>
              <w:t>60</w:t>
            </w:r>
          </w:p>
        </w:tc>
        <w:tc>
          <w:tcPr>
            <w:tcW w:w="692" w:type="pct"/>
          </w:tcPr>
          <w:p w14:paraId="085DDD92" w14:textId="77777777" w:rsidR="00B5347A" w:rsidRPr="00C761FF" w:rsidRDefault="00B5347A" w:rsidP="00B5347A">
            <w:r>
              <w:t>4</w:t>
            </w:r>
          </w:p>
        </w:tc>
        <w:tc>
          <w:tcPr>
            <w:tcW w:w="604" w:type="pct"/>
          </w:tcPr>
          <w:p w14:paraId="1409E310" w14:textId="77777777" w:rsidR="00B5347A" w:rsidRPr="00236867" w:rsidRDefault="00B5347A" w:rsidP="00B5347A">
            <w:pPr>
              <w:rPr>
                <w:highlight w:val="yellow"/>
              </w:rPr>
            </w:pPr>
            <w:r w:rsidRPr="00B5347A">
              <w:t>362</w:t>
            </w:r>
          </w:p>
        </w:tc>
        <w:tc>
          <w:tcPr>
            <w:tcW w:w="561" w:type="pct"/>
            <w:noWrap/>
          </w:tcPr>
          <w:p w14:paraId="5A58990E" w14:textId="77777777" w:rsidR="00B5347A" w:rsidRPr="00C761FF" w:rsidRDefault="00B5347A" w:rsidP="00B5347A">
            <w:r>
              <w:t>25</w:t>
            </w:r>
          </w:p>
        </w:tc>
        <w:tc>
          <w:tcPr>
            <w:tcW w:w="570" w:type="pct"/>
            <w:noWrap/>
          </w:tcPr>
          <w:p w14:paraId="13F4896D" w14:textId="77777777" w:rsidR="00B5347A" w:rsidRPr="00C761FF" w:rsidRDefault="00B5347A" w:rsidP="00B5347A">
            <w:r>
              <w:t>100</w:t>
            </w:r>
          </w:p>
        </w:tc>
        <w:tc>
          <w:tcPr>
            <w:tcW w:w="741" w:type="pct"/>
            <w:noWrap/>
          </w:tcPr>
          <w:p w14:paraId="2748DE2F" w14:textId="77777777" w:rsidR="00B5347A" w:rsidRPr="00C761FF" w:rsidRDefault="00B5347A" w:rsidP="00B5347A">
            <w:r>
              <w:t>36,200</w:t>
            </w:r>
          </w:p>
        </w:tc>
      </w:tr>
      <w:tr w:rsidR="004D6FC1" w:rsidRPr="00C761FF" w14:paraId="65F1A4E7" w14:textId="77777777" w:rsidTr="004D6FC1">
        <w:trPr>
          <w:trHeight w:val="300"/>
        </w:trPr>
        <w:tc>
          <w:tcPr>
            <w:tcW w:w="1006" w:type="pct"/>
            <w:hideMark/>
          </w:tcPr>
          <w:p w14:paraId="2A724F49" w14:textId="77777777" w:rsidR="004D6FC1" w:rsidRPr="00C761FF" w:rsidRDefault="004D6FC1" w:rsidP="004D6FC1">
            <w:r w:rsidRPr="00C761FF">
              <w:t>Perinatal care (PC)</w:t>
            </w:r>
          </w:p>
        </w:tc>
        <w:tc>
          <w:tcPr>
            <w:tcW w:w="826" w:type="pct"/>
            <w:noWrap/>
            <w:hideMark/>
          </w:tcPr>
          <w:p w14:paraId="7E587590" w14:textId="77777777" w:rsidR="004D6FC1" w:rsidRPr="00C761FF" w:rsidRDefault="004D6FC1" w:rsidP="004D6FC1">
            <w:r w:rsidRPr="00C761FF">
              <w:t>10</w:t>
            </w:r>
          </w:p>
        </w:tc>
        <w:tc>
          <w:tcPr>
            <w:tcW w:w="692" w:type="pct"/>
            <w:hideMark/>
          </w:tcPr>
          <w:p w14:paraId="22A3118C" w14:textId="77777777" w:rsidR="004D6FC1" w:rsidRPr="00C761FF" w:rsidRDefault="004D6FC1" w:rsidP="004D6FC1">
            <w:r w:rsidRPr="00C761FF">
              <w:t>4</w:t>
            </w:r>
          </w:p>
        </w:tc>
        <w:tc>
          <w:tcPr>
            <w:tcW w:w="604" w:type="pct"/>
            <w:hideMark/>
          </w:tcPr>
          <w:p w14:paraId="64E4E1A1" w14:textId="77777777" w:rsidR="004D6FC1" w:rsidRPr="00C761FF" w:rsidRDefault="00B5347A" w:rsidP="004D6FC1">
            <w:r>
              <w:t>334</w:t>
            </w:r>
          </w:p>
        </w:tc>
        <w:tc>
          <w:tcPr>
            <w:tcW w:w="561" w:type="pct"/>
            <w:noWrap/>
            <w:hideMark/>
          </w:tcPr>
          <w:p w14:paraId="3BB0B90D" w14:textId="77777777" w:rsidR="004D6FC1" w:rsidRPr="00C761FF" w:rsidRDefault="004D6FC1" w:rsidP="004D6FC1">
            <w:r w:rsidRPr="00C761FF">
              <w:t>21</w:t>
            </w:r>
          </w:p>
        </w:tc>
        <w:tc>
          <w:tcPr>
            <w:tcW w:w="570" w:type="pct"/>
            <w:noWrap/>
            <w:hideMark/>
          </w:tcPr>
          <w:p w14:paraId="05B80038" w14:textId="77777777" w:rsidR="004D6FC1" w:rsidRPr="00C761FF" w:rsidRDefault="004D6FC1" w:rsidP="004D6FC1">
            <w:r w:rsidRPr="00C761FF">
              <w:t>14</w:t>
            </w:r>
          </w:p>
        </w:tc>
        <w:tc>
          <w:tcPr>
            <w:tcW w:w="741" w:type="pct"/>
            <w:noWrap/>
            <w:hideMark/>
          </w:tcPr>
          <w:p w14:paraId="7EED054F" w14:textId="77777777" w:rsidR="004D6FC1" w:rsidRPr="00C761FF" w:rsidRDefault="00B5347A" w:rsidP="004D6FC1">
            <w:r>
              <w:t>4,676</w:t>
            </w:r>
          </w:p>
        </w:tc>
      </w:tr>
      <w:tr w:rsidR="004D6FC1" w:rsidRPr="00C761FF" w14:paraId="386D4FFE" w14:textId="77777777" w:rsidTr="004D6FC1">
        <w:trPr>
          <w:trHeight w:val="530"/>
        </w:trPr>
        <w:tc>
          <w:tcPr>
            <w:tcW w:w="1006" w:type="pct"/>
            <w:hideMark/>
          </w:tcPr>
          <w:p w14:paraId="02501FD8" w14:textId="77777777" w:rsidR="004D6FC1" w:rsidRPr="0041034F" w:rsidRDefault="004D6FC1" w:rsidP="004D6FC1">
            <w:pPr>
              <w:rPr>
                <w:b/>
              </w:rPr>
            </w:pPr>
            <w:r w:rsidRPr="0041034F">
              <w:rPr>
                <w:b/>
              </w:rPr>
              <w:t>Subtotal Non-IPPS chart-based</w:t>
            </w:r>
          </w:p>
        </w:tc>
        <w:tc>
          <w:tcPr>
            <w:tcW w:w="826" w:type="pct"/>
            <w:noWrap/>
            <w:hideMark/>
          </w:tcPr>
          <w:p w14:paraId="56E2407D" w14:textId="77777777" w:rsidR="004D6FC1" w:rsidRPr="00C761FF" w:rsidRDefault="004D6FC1" w:rsidP="004D6FC1">
            <w:r w:rsidRPr="00C761FF">
              <w:t> </w:t>
            </w:r>
          </w:p>
        </w:tc>
        <w:tc>
          <w:tcPr>
            <w:tcW w:w="692" w:type="pct"/>
            <w:noWrap/>
            <w:hideMark/>
          </w:tcPr>
          <w:p w14:paraId="40D0DCE5" w14:textId="77777777" w:rsidR="004D6FC1" w:rsidRPr="00C761FF" w:rsidRDefault="004D6FC1" w:rsidP="004D6FC1">
            <w:r w:rsidRPr="00C761FF">
              <w:t> </w:t>
            </w:r>
          </w:p>
        </w:tc>
        <w:tc>
          <w:tcPr>
            <w:tcW w:w="604" w:type="pct"/>
            <w:noWrap/>
            <w:hideMark/>
          </w:tcPr>
          <w:p w14:paraId="27B713BC" w14:textId="77777777" w:rsidR="004D6FC1" w:rsidRPr="00C761FF" w:rsidRDefault="004D6FC1" w:rsidP="004D6FC1">
            <w:r w:rsidRPr="00C761FF">
              <w:t> </w:t>
            </w:r>
          </w:p>
        </w:tc>
        <w:tc>
          <w:tcPr>
            <w:tcW w:w="561" w:type="pct"/>
            <w:noWrap/>
            <w:hideMark/>
          </w:tcPr>
          <w:p w14:paraId="357CE545" w14:textId="77777777" w:rsidR="004D6FC1" w:rsidRPr="00C761FF" w:rsidRDefault="004D6FC1" w:rsidP="004D6FC1">
            <w:r w:rsidRPr="00C761FF">
              <w:t> </w:t>
            </w:r>
          </w:p>
        </w:tc>
        <w:tc>
          <w:tcPr>
            <w:tcW w:w="570" w:type="pct"/>
            <w:noWrap/>
            <w:hideMark/>
          </w:tcPr>
          <w:p w14:paraId="137456F8" w14:textId="6B9D8F67" w:rsidR="004D6FC1" w:rsidRPr="00DB6D28" w:rsidRDefault="004D6FC1" w:rsidP="004D6FC1">
            <w:pPr>
              <w:rPr>
                <w:b/>
              </w:rPr>
            </w:pPr>
            <w:r w:rsidRPr="00C761FF">
              <w:t> </w:t>
            </w:r>
            <w:r w:rsidR="00DB6D28" w:rsidRPr="00DB6D28">
              <w:rPr>
                <w:b/>
              </w:rPr>
              <w:t>169</w:t>
            </w:r>
          </w:p>
        </w:tc>
        <w:tc>
          <w:tcPr>
            <w:tcW w:w="741" w:type="pct"/>
            <w:noWrap/>
            <w:hideMark/>
          </w:tcPr>
          <w:p w14:paraId="713925D5" w14:textId="1657FB4E" w:rsidR="004D6FC1" w:rsidRPr="00415548" w:rsidRDefault="00DB6D28" w:rsidP="004D6FC1">
            <w:pPr>
              <w:rPr>
                <w:b/>
              </w:rPr>
            </w:pPr>
            <w:r>
              <w:rPr>
                <w:b/>
              </w:rPr>
              <w:t>90,266</w:t>
            </w:r>
          </w:p>
        </w:tc>
      </w:tr>
      <w:tr w:rsidR="004D6FC1" w:rsidRPr="00C761FF" w14:paraId="20C9D1A3" w14:textId="77777777" w:rsidTr="004D6FC1">
        <w:trPr>
          <w:trHeight w:val="910"/>
        </w:trPr>
        <w:tc>
          <w:tcPr>
            <w:tcW w:w="1006" w:type="pct"/>
            <w:hideMark/>
          </w:tcPr>
          <w:p w14:paraId="54A2A79A" w14:textId="77777777" w:rsidR="004D6FC1" w:rsidRPr="00C761FF" w:rsidRDefault="004D6FC1" w:rsidP="004D6FC1">
            <w:pPr>
              <w:rPr>
                <w:b/>
                <w:bCs/>
              </w:rPr>
            </w:pPr>
            <w:r w:rsidRPr="00C761FF">
              <w:rPr>
                <w:b/>
                <w:bCs/>
              </w:rPr>
              <w:t>Subtotal IPPS and Non-IPPS chart-based</w:t>
            </w:r>
          </w:p>
        </w:tc>
        <w:tc>
          <w:tcPr>
            <w:tcW w:w="826" w:type="pct"/>
            <w:noWrap/>
            <w:hideMark/>
          </w:tcPr>
          <w:p w14:paraId="7F04A119" w14:textId="77777777" w:rsidR="004D6FC1" w:rsidRPr="00C761FF" w:rsidRDefault="004D6FC1" w:rsidP="004D6FC1">
            <w:r w:rsidRPr="00C761FF">
              <w:t> </w:t>
            </w:r>
          </w:p>
        </w:tc>
        <w:tc>
          <w:tcPr>
            <w:tcW w:w="692" w:type="pct"/>
            <w:noWrap/>
            <w:hideMark/>
          </w:tcPr>
          <w:p w14:paraId="6FA53A55" w14:textId="77777777" w:rsidR="004D6FC1" w:rsidRPr="00C761FF" w:rsidRDefault="004D6FC1" w:rsidP="004D6FC1">
            <w:r w:rsidRPr="00C761FF">
              <w:t> </w:t>
            </w:r>
          </w:p>
        </w:tc>
        <w:tc>
          <w:tcPr>
            <w:tcW w:w="604" w:type="pct"/>
            <w:noWrap/>
            <w:hideMark/>
          </w:tcPr>
          <w:p w14:paraId="30BBD1A1" w14:textId="77777777" w:rsidR="004D6FC1" w:rsidRPr="00C761FF" w:rsidRDefault="004D6FC1" w:rsidP="004D6FC1">
            <w:r w:rsidRPr="00C761FF">
              <w:t> </w:t>
            </w:r>
          </w:p>
        </w:tc>
        <w:tc>
          <w:tcPr>
            <w:tcW w:w="561" w:type="pct"/>
            <w:noWrap/>
            <w:hideMark/>
          </w:tcPr>
          <w:p w14:paraId="3065E5FB" w14:textId="77777777" w:rsidR="004D6FC1" w:rsidRPr="00C761FF" w:rsidRDefault="004D6FC1" w:rsidP="004D6FC1">
            <w:r w:rsidRPr="00C761FF">
              <w:t> </w:t>
            </w:r>
          </w:p>
        </w:tc>
        <w:tc>
          <w:tcPr>
            <w:tcW w:w="570" w:type="pct"/>
            <w:noWrap/>
            <w:hideMark/>
          </w:tcPr>
          <w:p w14:paraId="50349584" w14:textId="77777777" w:rsidR="004D6FC1" w:rsidRPr="00C761FF" w:rsidRDefault="004D6FC1" w:rsidP="004D6FC1">
            <w:r w:rsidRPr="00C761FF">
              <w:t> </w:t>
            </w:r>
          </w:p>
        </w:tc>
        <w:tc>
          <w:tcPr>
            <w:tcW w:w="741" w:type="pct"/>
            <w:noWrap/>
            <w:hideMark/>
          </w:tcPr>
          <w:p w14:paraId="43C2BC97" w14:textId="3D8F781F" w:rsidR="004D6FC1" w:rsidRPr="00DB6D28" w:rsidRDefault="00DB6D28" w:rsidP="004F78A0">
            <w:pPr>
              <w:rPr>
                <w:b/>
                <w:bCs/>
                <w:color w:val="000000"/>
              </w:rPr>
            </w:pPr>
            <w:r>
              <w:rPr>
                <w:b/>
                <w:bCs/>
                <w:color w:val="000000"/>
              </w:rPr>
              <w:t>2,435,466</w:t>
            </w:r>
          </w:p>
        </w:tc>
      </w:tr>
      <w:tr w:rsidR="004D6FC1" w:rsidRPr="00C761FF" w14:paraId="28E95CAC" w14:textId="77777777" w:rsidTr="004D6FC1">
        <w:trPr>
          <w:trHeight w:val="179"/>
        </w:trPr>
        <w:tc>
          <w:tcPr>
            <w:tcW w:w="5000" w:type="pct"/>
            <w:gridSpan w:val="7"/>
            <w:noWrap/>
            <w:hideMark/>
          </w:tcPr>
          <w:p w14:paraId="797C1973" w14:textId="77777777" w:rsidR="004D6FC1" w:rsidRPr="00C761FF" w:rsidRDefault="004D6FC1" w:rsidP="004D6FC1"/>
        </w:tc>
      </w:tr>
      <w:tr w:rsidR="004D6FC1" w:rsidRPr="00C761FF" w14:paraId="3AFED7C3" w14:textId="77777777" w:rsidTr="004D6FC1">
        <w:trPr>
          <w:trHeight w:val="310"/>
        </w:trPr>
        <w:tc>
          <w:tcPr>
            <w:tcW w:w="5000" w:type="pct"/>
            <w:gridSpan w:val="7"/>
            <w:hideMark/>
          </w:tcPr>
          <w:p w14:paraId="1B94EAC2" w14:textId="77777777" w:rsidR="004D6FC1" w:rsidRPr="00C761FF" w:rsidRDefault="004D6FC1" w:rsidP="004D6FC1">
            <w:pPr>
              <w:rPr>
                <w:b/>
                <w:bCs/>
              </w:rPr>
            </w:pPr>
            <w:r w:rsidRPr="00C761FF">
              <w:rPr>
                <w:b/>
                <w:bCs/>
              </w:rPr>
              <w:t>OTHER ACTIVITIES</w:t>
            </w:r>
            <w:r w:rsidRPr="00C761FF">
              <w:rPr>
                <w:b/>
                <w:bCs/>
              </w:rPr>
              <w:br/>
              <w:t>All Hospitals (3,300 IPPS + 1,100 non-IPPS)</w:t>
            </w:r>
          </w:p>
        </w:tc>
      </w:tr>
      <w:tr w:rsidR="004D6FC1" w:rsidRPr="00C761FF" w14:paraId="2BFA6CA0" w14:textId="77777777" w:rsidTr="004D6FC1">
        <w:trPr>
          <w:trHeight w:val="930"/>
        </w:trPr>
        <w:tc>
          <w:tcPr>
            <w:tcW w:w="1006" w:type="pct"/>
            <w:hideMark/>
          </w:tcPr>
          <w:p w14:paraId="5DA83206" w14:textId="0D113E15" w:rsidR="004D6FC1" w:rsidRPr="00C761FF" w:rsidRDefault="004D6FC1" w:rsidP="00734C85">
            <w:r w:rsidRPr="00C761FF">
              <w:t xml:space="preserve">Population and sampling for </w:t>
            </w:r>
            <w:r w:rsidR="00D175F4">
              <w:t xml:space="preserve">the </w:t>
            </w:r>
            <w:r w:rsidRPr="00C761FF">
              <w:t>ongoing measure sets</w:t>
            </w:r>
          </w:p>
        </w:tc>
        <w:tc>
          <w:tcPr>
            <w:tcW w:w="826" w:type="pct"/>
            <w:noWrap/>
            <w:hideMark/>
          </w:tcPr>
          <w:p w14:paraId="1893F662" w14:textId="77777777" w:rsidR="004D6FC1" w:rsidRPr="00C761FF" w:rsidRDefault="004D6FC1" w:rsidP="004D6FC1">
            <w:r w:rsidRPr="00C761FF">
              <w:t>15</w:t>
            </w:r>
          </w:p>
        </w:tc>
        <w:tc>
          <w:tcPr>
            <w:tcW w:w="692" w:type="pct"/>
            <w:hideMark/>
          </w:tcPr>
          <w:p w14:paraId="7F5FDE25" w14:textId="77777777" w:rsidR="004D6FC1" w:rsidRPr="00C761FF" w:rsidRDefault="004D6FC1" w:rsidP="004D6FC1">
            <w:r w:rsidRPr="00C761FF">
              <w:t>4</w:t>
            </w:r>
          </w:p>
        </w:tc>
        <w:tc>
          <w:tcPr>
            <w:tcW w:w="604" w:type="pct"/>
            <w:hideMark/>
          </w:tcPr>
          <w:p w14:paraId="1BDA3BC3" w14:textId="77777777" w:rsidR="004D6FC1" w:rsidRPr="00C761FF" w:rsidRDefault="004D6FC1" w:rsidP="004D6FC1">
            <w:r w:rsidRPr="00C761FF">
              <w:t>4,400</w:t>
            </w:r>
          </w:p>
        </w:tc>
        <w:tc>
          <w:tcPr>
            <w:tcW w:w="561" w:type="pct"/>
            <w:noWrap/>
            <w:hideMark/>
          </w:tcPr>
          <w:p w14:paraId="1E33674E" w14:textId="77777777" w:rsidR="004D6FC1" w:rsidRPr="00C761FF" w:rsidRDefault="00433246" w:rsidP="004D6FC1">
            <w:r>
              <w:t>4</w:t>
            </w:r>
          </w:p>
        </w:tc>
        <w:tc>
          <w:tcPr>
            <w:tcW w:w="570" w:type="pct"/>
            <w:noWrap/>
            <w:hideMark/>
          </w:tcPr>
          <w:p w14:paraId="350EEF68" w14:textId="77777777" w:rsidR="004D6FC1" w:rsidRPr="00C761FF" w:rsidRDefault="00B42328" w:rsidP="004D6FC1">
            <w:r>
              <w:t>4</w:t>
            </w:r>
          </w:p>
        </w:tc>
        <w:tc>
          <w:tcPr>
            <w:tcW w:w="741" w:type="pct"/>
            <w:noWrap/>
            <w:hideMark/>
          </w:tcPr>
          <w:p w14:paraId="19033AFB" w14:textId="77777777" w:rsidR="004D6FC1" w:rsidRPr="00C761FF" w:rsidRDefault="00A705CA" w:rsidP="004D6FC1">
            <w:r>
              <w:t xml:space="preserve">17,600 </w:t>
            </w:r>
          </w:p>
        </w:tc>
      </w:tr>
      <w:tr w:rsidR="004D6FC1" w:rsidRPr="00C761FF" w14:paraId="4C66A330" w14:textId="77777777" w:rsidTr="004D6FC1">
        <w:trPr>
          <w:trHeight w:val="520"/>
        </w:trPr>
        <w:tc>
          <w:tcPr>
            <w:tcW w:w="1006" w:type="pct"/>
            <w:hideMark/>
          </w:tcPr>
          <w:p w14:paraId="41260DDE" w14:textId="77777777" w:rsidR="004D6FC1" w:rsidRPr="00C761FF" w:rsidRDefault="004D6FC1" w:rsidP="004D6FC1">
            <w:r w:rsidRPr="00C761FF">
              <w:t xml:space="preserve">Review reports for claims-based measure sets </w:t>
            </w:r>
          </w:p>
        </w:tc>
        <w:tc>
          <w:tcPr>
            <w:tcW w:w="826" w:type="pct"/>
            <w:noWrap/>
            <w:hideMark/>
          </w:tcPr>
          <w:p w14:paraId="6BEECC05" w14:textId="77777777" w:rsidR="004D6FC1" w:rsidRPr="00C761FF" w:rsidRDefault="004D6FC1" w:rsidP="004D6FC1">
            <w:r w:rsidRPr="00C761FF">
              <w:t>60</w:t>
            </w:r>
          </w:p>
        </w:tc>
        <w:tc>
          <w:tcPr>
            <w:tcW w:w="692" w:type="pct"/>
            <w:hideMark/>
          </w:tcPr>
          <w:p w14:paraId="4315DBDE" w14:textId="77777777" w:rsidR="004D6FC1" w:rsidRPr="00C761FF" w:rsidRDefault="004D6FC1" w:rsidP="004D6FC1">
            <w:r w:rsidRPr="00C761FF">
              <w:t>4</w:t>
            </w:r>
          </w:p>
        </w:tc>
        <w:tc>
          <w:tcPr>
            <w:tcW w:w="604" w:type="pct"/>
            <w:hideMark/>
          </w:tcPr>
          <w:p w14:paraId="38A0BDD3" w14:textId="77777777" w:rsidR="004D6FC1" w:rsidRPr="00C761FF" w:rsidRDefault="004D6FC1" w:rsidP="004D6FC1">
            <w:r w:rsidRPr="00C761FF">
              <w:t>4,400</w:t>
            </w:r>
          </w:p>
        </w:tc>
        <w:tc>
          <w:tcPr>
            <w:tcW w:w="561" w:type="pct"/>
            <w:noWrap/>
            <w:hideMark/>
          </w:tcPr>
          <w:p w14:paraId="099F09E5" w14:textId="77777777" w:rsidR="004D6FC1" w:rsidRPr="00C761FF" w:rsidRDefault="004D6FC1" w:rsidP="004D6FC1">
            <w:r w:rsidRPr="00C761FF">
              <w:t>1</w:t>
            </w:r>
          </w:p>
        </w:tc>
        <w:tc>
          <w:tcPr>
            <w:tcW w:w="570" w:type="pct"/>
            <w:noWrap/>
            <w:hideMark/>
          </w:tcPr>
          <w:p w14:paraId="354B392F" w14:textId="77777777" w:rsidR="004D6FC1" w:rsidRPr="00C761FF" w:rsidRDefault="004D6FC1" w:rsidP="004D6FC1">
            <w:r w:rsidRPr="00C761FF">
              <w:t>4</w:t>
            </w:r>
          </w:p>
        </w:tc>
        <w:tc>
          <w:tcPr>
            <w:tcW w:w="741" w:type="pct"/>
            <w:noWrap/>
            <w:hideMark/>
          </w:tcPr>
          <w:p w14:paraId="21DD933F" w14:textId="77777777" w:rsidR="004D6FC1" w:rsidRPr="00C761FF" w:rsidRDefault="006F3B30" w:rsidP="004D6FC1">
            <w:r>
              <w:t xml:space="preserve">17,600 </w:t>
            </w:r>
          </w:p>
        </w:tc>
      </w:tr>
      <w:tr w:rsidR="004D6FC1" w:rsidRPr="00C761FF" w14:paraId="79D9559E" w14:textId="77777777" w:rsidTr="004D6FC1">
        <w:trPr>
          <w:trHeight w:val="520"/>
        </w:trPr>
        <w:tc>
          <w:tcPr>
            <w:tcW w:w="1006" w:type="pct"/>
            <w:hideMark/>
          </w:tcPr>
          <w:p w14:paraId="188F5756" w14:textId="77777777" w:rsidR="004D6FC1" w:rsidRPr="00C761FF" w:rsidRDefault="004D6FC1" w:rsidP="004D6FC1">
            <w:r w:rsidRPr="00C761FF">
              <w:t>HAI Validation Templates (CLABSI, CAUTI)</w:t>
            </w:r>
          </w:p>
        </w:tc>
        <w:tc>
          <w:tcPr>
            <w:tcW w:w="826" w:type="pct"/>
            <w:noWrap/>
            <w:hideMark/>
          </w:tcPr>
          <w:p w14:paraId="4E162B20" w14:textId="77777777" w:rsidR="004D6FC1" w:rsidRPr="00C761FF" w:rsidRDefault="004D6FC1" w:rsidP="004D6FC1">
            <w:r w:rsidRPr="00C761FF">
              <w:t>1,200</w:t>
            </w:r>
          </w:p>
        </w:tc>
        <w:tc>
          <w:tcPr>
            <w:tcW w:w="692" w:type="pct"/>
            <w:hideMark/>
          </w:tcPr>
          <w:p w14:paraId="43813CE5" w14:textId="77777777" w:rsidR="004D6FC1" w:rsidRPr="00C761FF" w:rsidRDefault="006F5DE3" w:rsidP="004D6FC1">
            <w:r>
              <w:t>4</w:t>
            </w:r>
          </w:p>
        </w:tc>
        <w:tc>
          <w:tcPr>
            <w:tcW w:w="604" w:type="pct"/>
            <w:hideMark/>
          </w:tcPr>
          <w:p w14:paraId="500A07F7" w14:textId="77777777" w:rsidR="004D6FC1" w:rsidRPr="00C761FF" w:rsidRDefault="004D6FC1" w:rsidP="004D6FC1">
            <w:r w:rsidRPr="00C761FF">
              <w:t>300</w:t>
            </w:r>
          </w:p>
        </w:tc>
        <w:tc>
          <w:tcPr>
            <w:tcW w:w="561" w:type="pct"/>
            <w:noWrap/>
            <w:hideMark/>
          </w:tcPr>
          <w:p w14:paraId="2BE0625A" w14:textId="77777777" w:rsidR="004D6FC1" w:rsidRPr="00C761FF" w:rsidRDefault="004D6FC1" w:rsidP="004D6FC1">
            <w:r w:rsidRPr="00C761FF">
              <w:t>1</w:t>
            </w:r>
          </w:p>
        </w:tc>
        <w:tc>
          <w:tcPr>
            <w:tcW w:w="570" w:type="pct"/>
            <w:noWrap/>
            <w:hideMark/>
          </w:tcPr>
          <w:p w14:paraId="5A29E572" w14:textId="77777777" w:rsidR="004D6FC1" w:rsidRPr="00C761FF" w:rsidRDefault="00A705CA" w:rsidP="004D6FC1">
            <w:r>
              <w:t xml:space="preserve">80 </w:t>
            </w:r>
          </w:p>
        </w:tc>
        <w:tc>
          <w:tcPr>
            <w:tcW w:w="741" w:type="pct"/>
            <w:noWrap/>
            <w:hideMark/>
          </w:tcPr>
          <w:p w14:paraId="14541C96" w14:textId="77777777" w:rsidR="004D6FC1" w:rsidRPr="00C761FF" w:rsidRDefault="00A705CA" w:rsidP="004D6FC1">
            <w:r>
              <w:t xml:space="preserve">24,000 </w:t>
            </w:r>
          </w:p>
        </w:tc>
      </w:tr>
      <w:tr w:rsidR="004D6FC1" w:rsidRPr="00C761FF" w14:paraId="4B13435B" w14:textId="77777777" w:rsidTr="004D6FC1">
        <w:trPr>
          <w:trHeight w:val="520"/>
        </w:trPr>
        <w:tc>
          <w:tcPr>
            <w:tcW w:w="1006" w:type="pct"/>
            <w:hideMark/>
          </w:tcPr>
          <w:p w14:paraId="21B69845" w14:textId="77777777" w:rsidR="004D6FC1" w:rsidRPr="00C761FF" w:rsidRDefault="004D6FC1" w:rsidP="004D6FC1">
            <w:r w:rsidRPr="00C761FF">
              <w:t>HAI Validation Templates (MRSA, CDI)</w:t>
            </w:r>
          </w:p>
        </w:tc>
        <w:tc>
          <w:tcPr>
            <w:tcW w:w="826" w:type="pct"/>
            <w:noWrap/>
            <w:hideMark/>
          </w:tcPr>
          <w:p w14:paraId="74FC4AEE" w14:textId="77777777" w:rsidR="004D6FC1" w:rsidRPr="00C761FF" w:rsidRDefault="004D6FC1" w:rsidP="004D6FC1">
            <w:r w:rsidRPr="00C761FF">
              <w:t>960</w:t>
            </w:r>
          </w:p>
        </w:tc>
        <w:tc>
          <w:tcPr>
            <w:tcW w:w="692" w:type="pct"/>
            <w:hideMark/>
          </w:tcPr>
          <w:p w14:paraId="0DD391B0" w14:textId="77777777" w:rsidR="004D6FC1" w:rsidRPr="00C761FF" w:rsidRDefault="006F5DE3" w:rsidP="004D6FC1">
            <w:r>
              <w:t>4</w:t>
            </w:r>
          </w:p>
        </w:tc>
        <w:tc>
          <w:tcPr>
            <w:tcW w:w="604" w:type="pct"/>
            <w:hideMark/>
          </w:tcPr>
          <w:p w14:paraId="0888BEEB" w14:textId="77777777" w:rsidR="004D6FC1" w:rsidRPr="00C761FF" w:rsidRDefault="004D6FC1" w:rsidP="004D6FC1">
            <w:r w:rsidRPr="00C761FF">
              <w:t>300</w:t>
            </w:r>
          </w:p>
        </w:tc>
        <w:tc>
          <w:tcPr>
            <w:tcW w:w="561" w:type="pct"/>
            <w:noWrap/>
            <w:hideMark/>
          </w:tcPr>
          <w:p w14:paraId="0110F6C5" w14:textId="77777777" w:rsidR="004D6FC1" w:rsidRPr="00C761FF" w:rsidRDefault="004D6FC1" w:rsidP="004D6FC1">
            <w:r w:rsidRPr="00C761FF">
              <w:t>1</w:t>
            </w:r>
          </w:p>
        </w:tc>
        <w:tc>
          <w:tcPr>
            <w:tcW w:w="570" w:type="pct"/>
            <w:noWrap/>
            <w:hideMark/>
          </w:tcPr>
          <w:p w14:paraId="02D79C4B" w14:textId="77777777" w:rsidR="004D6FC1" w:rsidRPr="00C761FF" w:rsidRDefault="00A705CA" w:rsidP="004D6FC1">
            <w:r>
              <w:t xml:space="preserve">64 </w:t>
            </w:r>
          </w:p>
        </w:tc>
        <w:tc>
          <w:tcPr>
            <w:tcW w:w="741" w:type="pct"/>
            <w:noWrap/>
            <w:hideMark/>
          </w:tcPr>
          <w:p w14:paraId="2493899E" w14:textId="77777777" w:rsidR="004D6FC1" w:rsidRPr="00C761FF" w:rsidRDefault="00E41B11" w:rsidP="004D6FC1">
            <w:r>
              <w:t xml:space="preserve">19,200 </w:t>
            </w:r>
          </w:p>
        </w:tc>
      </w:tr>
      <w:tr w:rsidR="004D6FC1" w:rsidRPr="00C761FF" w14:paraId="4473D06E" w14:textId="77777777" w:rsidTr="004D6FC1">
        <w:trPr>
          <w:trHeight w:val="780"/>
        </w:trPr>
        <w:tc>
          <w:tcPr>
            <w:tcW w:w="1006" w:type="pct"/>
            <w:hideMark/>
          </w:tcPr>
          <w:p w14:paraId="3D0BDA28" w14:textId="77777777" w:rsidR="004D6FC1" w:rsidRPr="00C761FF" w:rsidRDefault="004D6FC1" w:rsidP="00124FCE">
            <w:r w:rsidRPr="00C761FF">
              <w:t xml:space="preserve">Reporting </w:t>
            </w:r>
            <w:r w:rsidR="00BC1E4A">
              <w:t>four</w:t>
            </w:r>
            <w:r w:rsidRPr="00C761FF">
              <w:t xml:space="preserve"> electronic Clinical Quality Measures (IPPS)</w:t>
            </w:r>
          </w:p>
        </w:tc>
        <w:tc>
          <w:tcPr>
            <w:tcW w:w="826" w:type="pct"/>
            <w:noWrap/>
            <w:hideMark/>
          </w:tcPr>
          <w:p w14:paraId="0ABCF578" w14:textId="77777777" w:rsidR="004D6FC1" w:rsidRPr="00415548" w:rsidRDefault="00BC1E4A" w:rsidP="004D6FC1">
            <w:pPr>
              <w:rPr>
                <w:bCs/>
              </w:rPr>
            </w:pPr>
            <w:r>
              <w:rPr>
                <w:bCs/>
              </w:rPr>
              <w:t>4</w:t>
            </w:r>
            <w:r w:rsidR="004D6FC1">
              <w:rPr>
                <w:bCs/>
              </w:rPr>
              <w:t>0</w:t>
            </w:r>
          </w:p>
        </w:tc>
        <w:tc>
          <w:tcPr>
            <w:tcW w:w="692" w:type="pct"/>
            <w:hideMark/>
          </w:tcPr>
          <w:p w14:paraId="0E21B445" w14:textId="77777777" w:rsidR="004D6FC1" w:rsidRPr="00415548" w:rsidRDefault="00BC1E4A" w:rsidP="004D6FC1">
            <w:pPr>
              <w:rPr>
                <w:bCs/>
              </w:rPr>
            </w:pPr>
            <w:r>
              <w:rPr>
                <w:bCs/>
              </w:rPr>
              <w:t>1</w:t>
            </w:r>
          </w:p>
        </w:tc>
        <w:tc>
          <w:tcPr>
            <w:tcW w:w="604" w:type="pct"/>
            <w:hideMark/>
          </w:tcPr>
          <w:p w14:paraId="3E0D6CF8" w14:textId="77777777" w:rsidR="004D6FC1" w:rsidRPr="00415548" w:rsidRDefault="004D6FC1" w:rsidP="004D6FC1">
            <w:pPr>
              <w:rPr>
                <w:bCs/>
              </w:rPr>
            </w:pPr>
            <w:r w:rsidRPr="00415548">
              <w:rPr>
                <w:bCs/>
              </w:rPr>
              <w:t>3</w:t>
            </w:r>
            <w:r>
              <w:rPr>
                <w:bCs/>
              </w:rPr>
              <w:t>,</w:t>
            </w:r>
            <w:r w:rsidRPr="00415548">
              <w:rPr>
                <w:bCs/>
              </w:rPr>
              <w:t>300</w:t>
            </w:r>
          </w:p>
        </w:tc>
        <w:tc>
          <w:tcPr>
            <w:tcW w:w="561" w:type="pct"/>
            <w:noWrap/>
            <w:hideMark/>
          </w:tcPr>
          <w:p w14:paraId="241A3EE3" w14:textId="77777777" w:rsidR="004D6FC1" w:rsidRPr="00C761FF" w:rsidRDefault="004D6FC1" w:rsidP="004D6FC1">
            <w:r w:rsidRPr="00C761FF">
              <w:t>1</w:t>
            </w:r>
          </w:p>
        </w:tc>
        <w:tc>
          <w:tcPr>
            <w:tcW w:w="570" w:type="pct"/>
            <w:noWrap/>
            <w:hideMark/>
          </w:tcPr>
          <w:p w14:paraId="1DEB474F" w14:textId="770202ED" w:rsidR="004D6FC1" w:rsidRPr="00C761FF" w:rsidRDefault="00E6137F" w:rsidP="004D6FC1">
            <w:r>
              <w:t>0.67</w:t>
            </w:r>
          </w:p>
        </w:tc>
        <w:tc>
          <w:tcPr>
            <w:tcW w:w="741" w:type="pct"/>
            <w:noWrap/>
            <w:hideMark/>
          </w:tcPr>
          <w:p w14:paraId="661B680E" w14:textId="77777777" w:rsidR="004D6FC1" w:rsidRPr="00C761FF" w:rsidRDefault="00BC1E4A" w:rsidP="004D6FC1">
            <w:r>
              <w:t>2</w:t>
            </w:r>
            <w:r w:rsidR="004D6FC1">
              <w:t>,</w:t>
            </w:r>
            <w:r>
              <w:t>2</w:t>
            </w:r>
            <w:r w:rsidR="004D6FC1">
              <w:t>00</w:t>
            </w:r>
          </w:p>
        </w:tc>
      </w:tr>
      <w:tr w:rsidR="004D6FC1" w:rsidRPr="00C761FF" w14:paraId="26AE8BDC" w14:textId="77777777" w:rsidTr="004D6FC1">
        <w:trPr>
          <w:trHeight w:val="1050"/>
        </w:trPr>
        <w:tc>
          <w:tcPr>
            <w:tcW w:w="1006" w:type="pct"/>
            <w:hideMark/>
          </w:tcPr>
          <w:p w14:paraId="2A0FE2A8" w14:textId="77777777" w:rsidR="004D6FC1" w:rsidRPr="00C761FF" w:rsidRDefault="004D6FC1" w:rsidP="00124FCE">
            <w:r w:rsidRPr="00C761FF">
              <w:t xml:space="preserve">Reporting </w:t>
            </w:r>
            <w:r w:rsidR="00BC1E4A">
              <w:t>four</w:t>
            </w:r>
            <w:r w:rsidR="00BC1E4A" w:rsidRPr="00C761FF">
              <w:t xml:space="preserve"> </w:t>
            </w:r>
            <w:r w:rsidRPr="00C761FF">
              <w:t>electronic Clinical Quality Measures (non-IPPS)</w:t>
            </w:r>
          </w:p>
        </w:tc>
        <w:tc>
          <w:tcPr>
            <w:tcW w:w="826" w:type="pct"/>
            <w:noWrap/>
            <w:hideMark/>
          </w:tcPr>
          <w:p w14:paraId="3E770094" w14:textId="77777777" w:rsidR="004D6FC1" w:rsidRPr="00415548" w:rsidRDefault="00BC1E4A" w:rsidP="004D6FC1">
            <w:pPr>
              <w:rPr>
                <w:bCs/>
              </w:rPr>
            </w:pPr>
            <w:r>
              <w:rPr>
                <w:bCs/>
              </w:rPr>
              <w:t>4</w:t>
            </w:r>
            <w:r w:rsidR="004D6FC1">
              <w:rPr>
                <w:bCs/>
              </w:rPr>
              <w:t>0</w:t>
            </w:r>
          </w:p>
        </w:tc>
        <w:tc>
          <w:tcPr>
            <w:tcW w:w="692" w:type="pct"/>
            <w:hideMark/>
          </w:tcPr>
          <w:p w14:paraId="765DF46C" w14:textId="77777777" w:rsidR="004D6FC1" w:rsidRPr="00415548" w:rsidRDefault="00BC1E4A" w:rsidP="004D6FC1">
            <w:pPr>
              <w:rPr>
                <w:bCs/>
              </w:rPr>
            </w:pPr>
            <w:r>
              <w:rPr>
                <w:bCs/>
              </w:rPr>
              <w:t>1</w:t>
            </w:r>
          </w:p>
        </w:tc>
        <w:tc>
          <w:tcPr>
            <w:tcW w:w="604" w:type="pct"/>
            <w:hideMark/>
          </w:tcPr>
          <w:p w14:paraId="0D76B817" w14:textId="77777777" w:rsidR="004D6FC1" w:rsidRPr="00415548" w:rsidRDefault="004D6FC1" w:rsidP="004D6FC1">
            <w:pPr>
              <w:rPr>
                <w:bCs/>
              </w:rPr>
            </w:pPr>
            <w:r w:rsidRPr="00415548">
              <w:rPr>
                <w:bCs/>
              </w:rPr>
              <w:t>1</w:t>
            </w:r>
            <w:r>
              <w:rPr>
                <w:bCs/>
              </w:rPr>
              <w:t>,</w:t>
            </w:r>
            <w:r w:rsidRPr="00415548">
              <w:rPr>
                <w:bCs/>
              </w:rPr>
              <w:t>100</w:t>
            </w:r>
          </w:p>
        </w:tc>
        <w:tc>
          <w:tcPr>
            <w:tcW w:w="561" w:type="pct"/>
            <w:noWrap/>
            <w:hideMark/>
          </w:tcPr>
          <w:p w14:paraId="1E8110B7" w14:textId="77777777" w:rsidR="004D6FC1" w:rsidRPr="00C761FF" w:rsidRDefault="004D6FC1" w:rsidP="004D6FC1">
            <w:r w:rsidRPr="00C761FF">
              <w:t>1</w:t>
            </w:r>
          </w:p>
        </w:tc>
        <w:tc>
          <w:tcPr>
            <w:tcW w:w="570" w:type="pct"/>
            <w:noWrap/>
            <w:hideMark/>
          </w:tcPr>
          <w:p w14:paraId="586B0576" w14:textId="711E1D92" w:rsidR="004D6FC1" w:rsidRPr="00C761FF" w:rsidRDefault="00E6137F" w:rsidP="004D6FC1">
            <w:r>
              <w:t>0.67</w:t>
            </w:r>
          </w:p>
        </w:tc>
        <w:tc>
          <w:tcPr>
            <w:tcW w:w="741" w:type="pct"/>
            <w:noWrap/>
            <w:hideMark/>
          </w:tcPr>
          <w:p w14:paraId="1CBD5690" w14:textId="77777777" w:rsidR="004D6FC1" w:rsidRPr="00C761FF" w:rsidRDefault="00BC1E4A" w:rsidP="004D6FC1">
            <w:r>
              <w:t>7</w:t>
            </w:r>
            <w:r w:rsidR="004D6FC1">
              <w:t>33</w:t>
            </w:r>
          </w:p>
        </w:tc>
      </w:tr>
      <w:tr w:rsidR="004D6FC1" w:rsidRPr="00C761FF" w14:paraId="3153CDD4" w14:textId="77777777" w:rsidTr="000365C8">
        <w:trPr>
          <w:trHeight w:val="615"/>
        </w:trPr>
        <w:tc>
          <w:tcPr>
            <w:tcW w:w="1006" w:type="pct"/>
          </w:tcPr>
          <w:p w14:paraId="11383D95" w14:textId="77777777" w:rsidR="004D6FC1" w:rsidRPr="00DE4A46" w:rsidRDefault="004D6FC1" w:rsidP="004D6FC1">
            <w:r w:rsidRPr="00DE4A46">
              <w:t>eCQM Validation</w:t>
            </w:r>
          </w:p>
        </w:tc>
        <w:tc>
          <w:tcPr>
            <w:tcW w:w="826" w:type="pct"/>
            <w:noWrap/>
          </w:tcPr>
          <w:p w14:paraId="359F3B9F" w14:textId="77777777" w:rsidR="004D6FC1" w:rsidRPr="00DE4A46" w:rsidRDefault="004D6FC1" w:rsidP="004D6FC1">
            <w:pPr>
              <w:rPr>
                <w:bCs/>
              </w:rPr>
            </w:pPr>
            <w:r w:rsidRPr="00DE4A46">
              <w:rPr>
                <w:bCs/>
              </w:rPr>
              <w:t>80</w:t>
            </w:r>
          </w:p>
        </w:tc>
        <w:tc>
          <w:tcPr>
            <w:tcW w:w="692" w:type="pct"/>
          </w:tcPr>
          <w:p w14:paraId="38BF08F8" w14:textId="77777777" w:rsidR="004D6FC1" w:rsidRPr="00DE4A46" w:rsidRDefault="00BC1E4A" w:rsidP="004D6FC1">
            <w:r>
              <w:t>1</w:t>
            </w:r>
          </w:p>
        </w:tc>
        <w:tc>
          <w:tcPr>
            <w:tcW w:w="604" w:type="pct"/>
          </w:tcPr>
          <w:p w14:paraId="13C7F381" w14:textId="77777777" w:rsidR="004D6FC1" w:rsidRPr="00DE4A46" w:rsidRDefault="004D6FC1" w:rsidP="004D6FC1">
            <w:r w:rsidRPr="00DE4A46">
              <w:t>200</w:t>
            </w:r>
          </w:p>
        </w:tc>
        <w:tc>
          <w:tcPr>
            <w:tcW w:w="561" w:type="pct"/>
            <w:noWrap/>
          </w:tcPr>
          <w:p w14:paraId="78D5546E" w14:textId="77777777" w:rsidR="004D6FC1" w:rsidRPr="00DE4A46" w:rsidRDefault="004D6FC1" w:rsidP="004D6FC1">
            <w:r w:rsidRPr="00DE4A46">
              <w:t>8</w:t>
            </w:r>
          </w:p>
        </w:tc>
        <w:tc>
          <w:tcPr>
            <w:tcW w:w="570" w:type="pct"/>
            <w:noWrap/>
          </w:tcPr>
          <w:p w14:paraId="2B15057C" w14:textId="77777777" w:rsidR="004D6FC1" w:rsidRPr="00DE4A46" w:rsidRDefault="00BC1E4A" w:rsidP="004D6FC1">
            <w:r>
              <w:t>1</w:t>
            </w:r>
            <w:r w:rsidR="00F85FBF">
              <w:t>1</w:t>
            </w:r>
          </w:p>
        </w:tc>
        <w:tc>
          <w:tcPr>
            <w:tcW w:w="741" w:type="pct"/>
            <w:noWrap/>
          </w:tcPr>
          <w:p w14:paraId="608033E5" w14:textId="77777777" w:rsidR="004D6FC1" w:rsidRPr="00DE4A46" w:rsidRDefault="00BC1E4A" w:rsidP="004D6FC1">
            <w:r>
              <w:t>2</w:t>
            </w:r>
            <w:r w:rsidR="00C36967" w:rsidRPr="00DE4A46">
              <w:t>,2</w:t>
            </w:r>
            <w:r w:rsidR="000365C8">
              <w:t>00</w:t>
            </w:r>
          </w:p>
        </w:tc>
      </w:tr>
      <w:tr w:rsidR="004D6FC1" w:rsidRPr="00C761FF" w14:paraId="3D4D8273" w14:textId="77777777" w:rsidTr="004D6FC1">
        <w:trPr>
          <w:trHeight w:val="1160"/>
        </w:trPr>
        <w:tc>
          <w:tcPr>
            <w:tcW w:w="1006" w:type="pct"/>
            <w:hideMark/>
          </w:tcPr>
          <w:p w14:paraId="770C1E98" w14:textId="7C90EA34" w:rsidR="004D6FC1" w:rsidRPr="00C761FF" w:rsidRDefault="004D6FC1" w:rsidP="00DB6D28">
            <w:r w:rsidRPr="00C761FF">
              <w:t xml:space="preserve">All other forms </w:t>
            </w:r>
            <w:r>
              <w:t>used</w:t>
            </w:r>
            <w:r w:rsidR="00DB6D28">
              <w:t xml:space="preserve"> in the data collection process</w:t>
            </w:r>
          </w:p>
        </w:tc>
        <w:tc>
          <w:tcPr>
            <w:tcW w:w="826" w:type="pct"/>
            <w:noWrap/>
            <w:hideMark/>
          </w:tcPr>
          <w:p w14:paraId="26FEB298" w14:textId="77777777" w:rsidR="004D6FC1" w:rsidRPr="00C761FF" w:rsidRDefault="004D6FC1" w:rsidP="004D6FC1">
            <w:r w:rsidRPr="00C761FF">
              <w:t>15</w:t>
            </w:r>
          </w:p>
        </w:tc>
        <w:tc>
          <w:tcPr>
            <w:tcW w:w="692" w:type="pct"/>
            <w:hideMark/>
          </w:tcPr>
          <w:p w14:paraId="141630FC" w14:textId="77777777" w:rsidR="004D6FC1" w:rsidRPr="00C761FF" w:rsidRDefault="004D6FC1" w:rsidP="004D6FC1">
            <w:r w:rsidRPr="00C761FF">
              <w:t>1</w:t>
            </w:r>
          </w:p>
        </w:tc>
        <w:tc>
          <w:tcPr>
            <w:tcW w:w="604" w:type="pct"/>
            <w:hideMark/>
          </w:tcPr>
          <w:p w14:paraId="3261FD21" w14:textId="77777777" w:rsidR="004D6FC1" w:rsidRPr="00C761FF" w:rsidRDefault="004D6FC1" w:rsidP="004D6FC1">
            <w:r w:rsidRPr="00C761FF">
              <w:t>4,400</w:t>
            </w:r>
          </w:p>
        </w:tc>
        <w:tc>
          <w:tcPr>
            <w:tcW w:w="561" w:type="pct"/>
            <w:noWrap/>
            <w:hideMark/>
          </w:tcPr>
          <w:p w14:paraId="74389CB3" w14:textId="77777777" w:rsidR="004D6FC1" w:rsidRPr="00C761FF" w:rsidRDefault="004D6FC1" w:rsidP="004D6FC1">
            <w:r w:rsidRPr="00C761FF">
              <w:t>1</w:t>
            </w:r>
          </w:p>
        </w:tc>
        <w:tc>
          <w:tcPr>
            <w:tcW w:w="570" w:type="pct"/>
            <w:noWrap/>
            <w:hideMark/>
          </w:tcPr>
          <w:p w14:paraId="3AE06455" w14:textId="77777777" w:rsidR="004D6FC1" w:rsidRPr="00C761FF" w:rsidRDefault="004D6FC1" w:rsidP="004D6FC1">
            <w:r w:rsidRPr="00C761FF">
              <w:t>0.25</w:t>
            </w:r>
          </w:p>
        </w:tc>
        <w:tc>
          <w:tcPr>
            <w:tcW w:w="741" w:type="pct"/>
            <w:noWrap/>
            <w:hideMark/>
          </w:tcPr>
          <w:p w14:paraId="4D75DA88" w14:textId="77777777" w:rsidR="004D6FC1" w:rsidRPr="00C761FF" w:rsidRDefault="004D6FC1" w:rsidP="004D6FC1">
            <w:r w:rsidRPr="00C761FF">
              <w:t>1,</w:t>
            </w:r>
            <w:r>
              <w:t>1</w:t>
            </w:r>
            <w:r w:rsidRPr="00C761FF">
              <w:t>00</w:t>
            </w:r>
          </w:p>
        </w:tc>
      </w:tr>
      <w:tr w:rsidR="00056F3A" w:rsidRPr="00C761FF" w14:paraId="5A82A9D4" w14:textId="77777777" w:rsidTr="00056F3A">
        <w:trPr>
          <w:trHeight w:val="610"/>
        </w:trPr>
        <w:tc>
          <w:tcPr>
            <w:tcW w:w="1006" w:type="pct"/>
            <w:hideMark/>
          </w:tcPr>
          <w:p w14:paraId="619256F5" w14:textId="77777777" w:rsidR="00056F3A" w:rsidRPr="00C761FF" w:rsidRDefault="00056F3A" w:rsidP="00056F3A">
            <w:pPr>
              <w:rPr>
                <w:b/>
                <w:bCs/>
              </w:rPr>
            </w:pPr>
            <w:r w:rsidRPr="00C761FF">
              <w:rPr>
                <w:b/>
                <w:bCs/>
              </w:rPr>
              <w:t>Subtotal other activities</w:t>
            </w:r>
          </w:p>
        </w:tc>
        <w:tc>
          <w:tcPr>
            <w:tcW w:w="826" w:type="pct"/>
            <w:noWrap/>
            <w:hideMark/>
          </w:tcPr>
          <w:p w14:paraId="461EE565" w14:textId="77777777" w:rsidR="00056F3A" w:rsidRPr="00C761FF" w:rsidRDefault="00056F3A" w:rsidP="00056F3A">
            <w:pPr>
              <w:rPr>
                <w:b/>
                <w:bCs/>
              </w:rPr>
            </w:pPr>
            <w:r w:rsidRPr="00C761FF">
              <w:rPr>
                <w:b/>
                <w:bCs/>
              </w:rPr>
              <w:t> </w:t>
            </w:r>
          </w:p>
        </w:tc>
        <w:tc>
          <w:tcPr>
            <w:tcW w:w="692" w:type="pct"/>
            <w:hideMark/>
          </w:tcPr>
          <w:p w14:paraId="2A533F37" w14:textId="77777777" w:rsidR="00056F3A" w:rsidRPr="00C761FF" w:rsidRDefault="00056F3A" w:rsidP="00056F3A">
            <w:pPr>
              <w:rPr>
                <w:b/>
                <w:bCs/>
              </w:rPr>
            </w:pPr>
            <w:r w:rsidRPr="00C761FF">
              <w:rPr>
                <w:b/>
                <w:bCs/>
              </w:rPr>
              <w:t> </w:t>
            </w:r>
          </w:p>
        </w:tc>
        <w:tc>
          <w:tcPr>
            <w:tcW w:w="604" w:type="pct"/>
            <w:hideMark/>
          </w:tcPr>
          <w:p w14:paraId="56ACED8E" w14:textId="77777777" w:rsidR="00056F3A" w:rsidRPr="00C761FF" w:rsidRDefault="00056F3A" w:rsidP="00056F3A">
            <w:pPr>
              <w:rPr>
                <w:b/>
                <w:bCs/>
              </w:rPr>
            </w:pPr>
            <w:r w:rsidRPr="00C761FF">
              <w:rPr>
                <w:b/>
                <w:bCs/>
              </w:rPr>
              <w:t> </w:t>
            </w:r>
          </w:p>
        </w:tc>
        <w:tc>
          <w:tcPr>
            <w:tcW w:w="561" w:type="pct"/>
            <w:noWrap/>
            <w:hideMark/>
          </w:tcPr>
          <w:p w14:paraId="432252DA" w14:textId="77777777" w:rsidR="00056F3A" w:rsidRPr="00C761FF" w:rsidRDefault="00056F3A" w:rsidP="00056F3A">
            <w:pPr>
              <w:rPr>
                <w:b/>
                <w:bCs/>
              </w:rPr>
            </w:pPr>
            <w:r w:rsidRPr="00C761FF">
              <w:rPr>
                <w:b/>
                <w:bCs/>
              </w:rPr>
              <w:t> </w:t>
            </w:r>
          </w:p>
        </w:tc>
        <w:tc>
          <w:tcPr>
            <w:tcW w:w="570" w:type="pct"/>
            <w:noWrap/>
            <w:hideMark/>
          </w:tcPr>
          <w:p w14:paraId="16D14F1D" w14:textId="77777777" w:rsidR="00056F3A" w:rsidRPr="00C761FF" w:rsidRDefault="00056F3A" w:rsidP="00056F3A">
            <w:r w:rsidRPr="00C761FF">
              <w:t> </w:t>
            </w:r>
          </w:p>
        </w:tc>
        <w:tc>
          <w:tcPr>
            <w:tcW w:w="741" w:type="pct"/>
            <w:noWrap/>
            <w:vAlign w:val="center"/>
            <w:hideMark/>
          </w:tcPr>
          <w:p w14:paraId="76D4BDCF" w14:textId="77777777" w:rsidR="00056F3A" w:rsidRPr="00415548" w:rsidRDefault="00056F3A" w:rsidP="00056F3A">
            <w:pPr>
              <w:rPr>
                <w:b/>
              </w:rPr>
            </w:pPr>
            <w:r>
              <w:rPr>
                <w:b/>
                <w:bCs/>
                <w:color w:val="000000"/>
              </w:rPr>
              <w:t>84,633</w:t>
            </w:r>
          </w:p>
        </w:tc>
      </w:tr>
      <w:tr w:rsidR="00056F3A" w:rsidRPr="00C761FF" w14:paraId="002CF362" w14:textId="77777777" w:rsidTr="00056F3A">
        <w:trPr>
          <w:trHeight w:val="430"/>
        </w:trPr>
        <w:tc>
          <w:tcPr>
            <w:tcW w:w="1006" w:type="pct"/>
            <w:hideMark/>
          </w:tcPr>
          <w:p w14:paraId="61BA1F20" w14:textId="77777777" w:rsidR="00056F3A" w:rsidRPr="00C761FF" w:rsidRDefault="00056F3A" w:rsidP="00056F3A">
            <w:pPr>
              <w:rPr>
                <w:b/>
                <w:bCs/>
                <w:u w:val="single"/>
              </w:rPr>
            </w:pPr>
            <w:r w:rsidRPr="00C761FF">
              <w:rPr>
                <w:b/>
                <w:bCs/>
                <w:u w:val="single"/>
              </w:rPr>
              <w:t>Total</w:t>
            </w:r>
          </w:p>
        </w:tc>
        <w:tc>
          <w:tcPr>
            <w:tcW w:w="826" w:type="pct"/>
            <w:noWrap/>
            <w:hideMark/>
          </w:tcPr>
          <w:p w14:paraId="3C490B28" w14:textId="77777777" w:rsidR="00056F3A" w:rsidRPr="00C761FF" w:rsidRDefault="00056F3A" w:rsidP="00056F3A">
            <w:r w:rsidRPr="00C761FF">
              <w:t> </w:t>
            </w:r>
          </w:p>
        </w:tc>
        <w:tc>
          <w:tcPr>
            <w:tcW w:w="692" w:type="pct"/>
            <w:hideMark/>
          </w:tcPr>
          <w:p w14:paraId="593DD306" w14:textId="77777777" w:rsidR="00056F3A" w:rsidRPr="00C761FF" w:rsidRDefault="00056F3A" w:rsidP="00056F3A">
            <w:pPr>
              <w:rPr>
                <w:b/>
                <w:bCs/>
              </w:rPr>
            </w:pPr>
            <w:r w:rsidRPr="00C761FF">
              <w:rPr>
                <w:b/>
                <w:bCs/>
              </w:rPr>
              <w:t> </w:t>
            </w:r>
          </w:p>
        </w:tc>
        <w:tc>
          <w:tcPr>
            <w:tcW w:w="604" w:type="pct"/>
            <w:hideMark/>
          </w:tcPr>
          <w:p w14:paraId="33D570AF" w14:textId="77777777" w:rsidR="00056F3A" w:rsidRPr="00C761FF" w:rsidRDefault="00056F3A" w:rsidP="00056F3A">
            <w:pPr>
              <w:rPr>
                <w:b/>
                <w:bCs/>
              </w:rPr>
            </w:pPr>
            <w:r w:rsidRPr="00C761FF">
              <w:rPr>
                <w:b/>
                <w:bCs/>
              </w:rPr>
              <w:t> </w:t>
            </w:r>
          </w:p>
        </w:tc>
        <w:tc>
          <w:tcPr>
            <w:tcW w:w="561" w:type="pct"/>
            <w:noWrap/>
            <w:hideMark/>
          </w:tcPr>
          <w:p w14:paraId="1E50CBCF" w14:textId="77777777" w:rsidR="00056F3A" w:rsidRPr="00C761FF" w:rsidRDefault="00056F3A" w:rsidP="00056F3A">
            <w:r w:rsidRPr="00C761FF">
              <w:t> </w:t>
            </w:r>
          </w:p>
        </w:tc>
        <w:tc>
          <w:tcPr>
            <w:tcW w:w="570" w:type="pct"/>
            <w:noWrap/>
            <w:hideMark/>
          </w:tcPr>
          <w:p w14:paraId="1CA77CB3" w14:textId="77777777" w:rsidR="00056F3A" w:rsidRPr="00C761FF" w:rsidRDefault="00056F3A" w:rsidP="00056F3A">
            <w:r w:rsidRPr="00C761FF">
              <w:t> </w:t>
            </w:r>
          </w:p>
        </w:tc>
        <w:tc>
          <w:tcPr>
            <w:tcW w:w="741" w:type="pct"/>
            <w:noWrap/>
            <w:vAlign w:val="center"/>
            <w:hideMark/>
          </w:tcPr>
          <w:p w14:paraId="606790DA" w14:textId="4AB8FFBA" w:rsidR="00056F3A" w:rsidRPr="00C761FF" w:rsidRDefault="0066057E" w:rsidP="00056F3A">
            <w:pPr>
              <w:rPr>
                <w:b/>
                <w:bCs/>
                <w:u w:val="single"/>
              </w:rPr>
            </w:pPr>
            <w:r>
              <w:rPr>
                <w:b/>
                <w:bCs/>
                <w:color w:val="000000"/>
                <w:u w:val="single"/>
              </w:rPr>
              <w:t>2,520,100</w:t>
            </w:r>
          </w:p>
        </w:tc>
      </w:tr>
    </w:tbl>
    <w:p w14:paraId="5781B790" w14:textId="77777777" w:rsidR="00BC1E4A" w:rsidRDefault="00BC1E4A" w:rsidP="00BC1E4A"/>
    <w:p w14:paraId="499898DA" w14:textId="77777777" w:rsidR="00217B02" w:rsidRDefault="00217B02" w:rsidP="00217B02">
      <w:pPr>
        <w:autoSpaceDE w:val="0"/>
        <w:autoSpaceDN w:val="0"/>
        <w:adjustRightInd w:val="0"/>
      </w:pPr>
      <w:r>
        <w:rPr>
          <w:i/>
        </w:rPr>
        <w:t>Summary</w:t>
      </w:r>
      <w:r w:rsidRPr="007D6564">
        <w:t xml:space="preserve"> </w:t>
      </w:r>
    </w:p>
    <w:p w14:paraId="1A7C4E0D" w14:textId="77777777" w:rsidR="00F14ACA" w:rsidRDefault="00F14ACA" w:rsidP="00217B02">
      <w:pPr>
        <w:autoSpaceDE w:val="0"/>
        <w:autoSpaceDN w:val="0"/>
        <w:adjustRightInd w:val="0"/>
      </w:pPr>
    </w:p>
    <w:p w14:paraId="7E2CC69F" w14:textId="2DEE2E76" w:rsidR="00217B02" w:rsidRPr="00637E44" w:rsidRDefault="00217B02" w:rsidP="00217B02">
      <w:r w:rsidRPr="00637E44">
        <w:t xml:space="preserve">In total, we estimate: (1) a decrease of </w:t>
      </w:r>
      <w:r w:rsidR="00DD2DC4">
        <w:t>1,046,071</w:t>
      </w:r>
      <w:r w:rsidRPr="0031779B">
        <w:t xml:space="preserve"> </w:t>
      </w:r>
      <w:r w:rsidRPr="006D1248">
        <w:t>hours (-</w:t>
      </w:r>
      <w:r w:rsidR="00DD2DC4">
        <w:t>741,074</w:t>
      </w:r>
      <w:r w:rsidRPr="006D1248">
        <w:t xml:space="preserve"> hours for ED-1 and IMM-2 removal + -304,997 hours for VTE-6 </w:t>
      </w:r>
      <w:r w:rsidR="00DD2DC4">
        <w:t>removal) and approximately $38.3</w:t>
      </w:r>
      <w:r w:rsidRPr="0031779B">
        <w:t xml:space="preserve"> million (</w:t>
      </w:r>
      <w:r w:rsidR="00DD2DC4">
        <w:t>1,046,071</w:t>
      </w:r>
      <w:r w:rsidRPr="006D1248">
        <w:t xml:space="preserve"> hours x $36.58 per hour</w:t>
      </w:r>
      <w:r w:rsidRPr="0031779B">
        <w:t xml:space="preserve">) </w:t>
      </w:r>
      <w:r w:rsidRPr="006D1248">
        <w:t xml:space="preserve">across all 3,300 IPPS hospitals due to </w:t>
      </w:r>
      <w:r>
        <w:t xml:space="preserve">the </w:t>
      </w:r>
      <w:r w:rsidR="00CA5821">
        <w:t>finalized</w:t>
      </w:r>
      <w:r w:rsidR="00CA5821" w:rsidRPr="006D1248">
        <w:t xml:space="preserve"> </w:t>
      </w:r>
      <w:r w:rsidRPr="006D1248">
        <w:t xml:space="preserve">removal of three </w:t>
      </w:r>
      <w:r w:rsidRPr="002F2200">
        <w:t xml:space="preserve">chart-abstracted measures; (2) a decrease of </w:t>
      </w:r>
      <w:r>
        <w:t>71,044</w:t>
      </w:r>
      <w:r w:rsidRPr="006D1248">
        <w:t xml:space="preserve"> hours (-</w:t>
      </w:r>
      <w:r>
        <w:t>65,853</w:t>
      </w:r>
      <w:r w:rsidRPr="006D1248">
        <w:t xml:space="preserve"> hours for ED-1 and IMM-2 removal + -5,191 hours for VTE-6 remov</w:t>
      </w:r>
      <w:r>
        <w:t>al) and approximately $2.6</w:t>
      </w:r>
      <w:r w:rsidRPr="0031779B">
        <w:t xml:space="preserve"> million (</w:t>
      </w:r>
      <w:r>
        <w:t>71,044</w:t>
      </w:r>
      <w:r w:rsidRPr="0031779B">
        <w:t xml:space="preserve"> hours x $36.58 per hour)</w:t>
      </w:r>
      <w:r w:rsidRPr="006D1248">
        <w:t xml:space="preserve"> </w:t>
      </w:r>
      <w:r>
        <w:t>across participating</w:t>
      </w:r>
      <w:r w:rsidRPr="006D1248">
        <w:t xml:space="preserve"> non-IPPS hospitals due to </w:t>
      </w:r>
      <w:r w:rsidR="009A19F7">
        <w:t xml:space="preserve">the </w:t>
      </w:r>
      <w:r w:rsidR="00CF5C82">
        <w:t>finalized</w:t>
      </w:r>
      <w:r w:rsidR="00CF5C82" w:rsidRPr="006D1248">
        <w:t xml:space="preserve"> </w:t>
      </w:r>
      <w:r w:rsidRPr="006D1248">
        <w:t xml:space="preserve">removal of </w:t>
      </w:r>
      <w:r>
        <w:t xml:space="preserve">three </w:t>
      </w:r>
      <w:r w:rsidRPr="006D1248">
        <w:t>chart-abstracted measures; and (3</w:t>
      </w:r>
      <w:r w:rsidRPr="002F2200">
        <w:t xml:space="preserve">) a decrease </w:t>
      </w:r>
      <w:r w:rsidRPr="00132A2F">
        <w:t xml:space="preserve">of </w:t>
      </w:r>
      <w:r w:rsidRPr="006D1248">
        <w:t>67</w:t>
      </w:r>
      <w:r w:rsidRPr="0031779B">
        <w:t xml:space="preserve"> hours and approximately </w:t>
      </w:r>
      <w:r w:rsidRPr="006D1248">
        <w:t>$2,400</w:t>
      </w:r>
      <w:r>
        <w:t xml:space="preserve"> </w:t>
      </w:r>
      <w:r w:rsidRPr="00637E44">
        <w:t xml:space="preserve">due to the discontinuation of voluntary data collection of </w:t>
      </w:r>
      <w:r>
        <w:t>the</w:t>
      </w:r>
      <w:r w:rsidRPr="00637E44">
        <w:t xml:space="preserve"> </w:t>
      </w:r>
      <w:r>
        <w:t>H</w:t>
      </w:r>
      <w:r w:rsidRPr="00637E44">
        <w:t>ybrid</w:t>
      </w:r>
      <w:r>
        <w:t xml:space="preserve"> Hospital-Wide Readmission</w:t>
      </w:r>
      <w:r w:rsidRPr="00637E44">
        <w:t xml:space="preserve"> measure</w:t>
      </w:r>
      <w:r w:rsidR="0082704F">
        <w:t>.</w:t>
      </w:r>
      <w:r w:rsidRPr="00637E44">
        <w:rPr>
          <w:rStyle w:val="FootnoteReference"/>
        </w:rPr>
        <w:footnoteReference w:id="10"/>
      </w:r>
      <w:r w:rsidRPr="00637E44">
        <w:t xml:space="preserve">  In total for the FY 2021 payment determination, we estimate a </w:t>
      </w:r>
      <w:r w:rsidR="008C3D7F">
        <w:t xml:space="preserve">burden </w:t>
      </w:r>
      <w:r w:rsidRPr="00637E44">
        <w:t xml:space="preserve">decrease of approximately </w:t>
      </w:r>
      <w:r w:rsidR="00393532">
        <w:rPr>
          <w:rFonts w:eastAsia="Calibri"/>
        </w:rPr>
        <w:t>1,117,182</w:t>
      </w:r>
      <w:r w:rsidRPr="00637E44">
        <w:rPr>
          <w:rFonts w:eastAsia="Calibri"/>
          <w:b/>
        </w:rPr>
        <w:t xml:space="preserve"> </w:t>
      </w:r>
      <w:r w:rsidRPr="00637E44">
        <w:t xml:space="preserve">hours </w:t>
      </w:r>
      <w:r w:rsidR="00D670F7">
        <w:t>(-</w:t>
      </w:r>
      <w:r w:rsidR="00393532">
        <w:t>1,046,071</w:t>
      </w:r>
      <w:r w:rsidR="00D670F7" w:rsidRPr="0031779B">
        <w:t xml:space="preserve"> </w:t>
      </w:r>
      <w:r w:rsidR="00D670F7" w:rsidRPr="006D1248">
        <w:t>hours</w:t>
      </w:r>
      <w:r w:rsidR="00D670F7">
        <w:t xml:space="preserve"> + -71,044</w:t>
      </w:r>
      <w:r w:rsidR="00D670F7" w:rsidRPr="006D1248">
        <w:t xml:space="preserve"> hours</w:t>
      </w:r>
      <w:r w:rsidR="00D670F7">
        <w:t xml:space="preserve"> + -67 hours) </w:t>
      </w:r>
      <w:r>
        <w:t xml:space="preserve">and </w:t>
      </w:r>
      <w:r w:rsidR="00393532">
        <w:t xml:space="preserve">approximately </w:t>
      </w:r>
      <w:r>
        <w:t xml:space="preserve">$41 million </w:t>
      </w:r>
      <w:r w:rsidR="00D670F7">
        <w:t>(</w:t>
      </w:r>
      <w:r w:rsidR="005F5447">
        <w:t>-</w:t>
      </w:r>
      <w:r w:rsidR="00393532">
        <w:rPr>
          <w:rFonts w:eastAsia="Calibri"/>
        </w:rPr>
        <w:t>1,117,182</w:t>
      </w:r>
      <w:r w:rsidR="00D670F7" w:rsidRPr="00637E44">
        <w:rPr>
          <w:rFonts w:eastAsia="Calibri"/>
          <w:b/>
        </w:rPr>
        <w:t xml:space="preserve"> </w:t>
      </w:r>
      <w:r w:rsidR="00D670F7" w:rsidRPr="00637E44">
        <w:t xml:space="preserve">hours </w:t>
      </w:r>
      <w:r w:rsidR="00D670F7" w:rsidRPr="0031779B">
        <w:t>x $36.58 per hour)</w:t>
      </w:r>
      <w:r w:rsidR="00D670F7" w:rsidRPr="006D1248">
        <w:t xml:space="preserve"> </w:t>
      </w:r>
      <w:r w:rsidRPr="00637E44">
        <w:t xml:space="preserve">across </w:t>
      </w:r>
      <w:r>
        <w:t>all participating</w:t>
      </w:r>
      <w:r w:rsidRPr="00637E44">
        <w:t xml:space="preserve"> IPPS and non-IPPS hospitals due to </w:t>
      </w:r>
      <w:r w:rsidR="00515BDB">
        <w:t xml:space="preserve">the finalized </w:t>
      </w:r>
      <w:r w:rsidRPr="00637E44">
        <w:t xml:space="preserve">changes set forth in the FY 2019 IPPS/LTCH PPS </w:t>
      </w:r>
      <w:r w:rsidR="00515BDB">
        <w:t>final</w:t>
      </w:r>
      <w:r w:rsidR="00515BDB" w:rsidRPr="00637E44">
        <w:t xml:space="preserve"> </w:t>
      </w:r>
      <w:r w:rsidRPr="00637E44">
        <w:t xml:space="preserve">rule.  </w:t>
      </w:r>
    </w:p>
    <w:p w14:paraId="16CCC364" w14:textId="77777777" w:rsidR="00217B02" w:rsidRDefault="00217B02" w:rsidP="00217B02"/>
    <w:p w14:paraId="266BFBAA" w14:textId="25792C0D" w:rsidR="00BC1E4A" w:rsidRDefault="0031779B" w:rsidP="00BC1E4A">
      <w:r>
        <w:t xml:space="preserve">Given the </w:t>
      </w:r>
      <w:r w:rsidR="008C3D7F">
        <w:t>estimated burden reduction summarized above</w:t>
      </w:r>
      <w:r>
        <w:t xml:space="preserve">, </w:t>
      </w:r>
      <w:r w:rsidRPr="00947DBD">
        <w:t xml:space="preserve">we estimate a total </w:t>
      </w:r>
      <w:r w:rsidRPr="007867C8">
        <w:t xml:space="preserve">burden of </w:t>
      </w:r>
      <w:r w:rsidR="008C3D7F">
        <w:rPr>
          <w:color w:val="000000"/>
        </w:rPr>
        <w:t>2,520,</w:t>
      </w:r>
      <w:r w:rsidR="0066057E">
        <w:rPr>
          <w:color w:val="000000"/>
        </w:rPr>
        <w:t>100</w:t>
      </w:r>
      <w:r w:rsidRPr="00592DB9">
        <w:rPr>
          <w:rFonts w:eastAsia="Calibri"/>
          <w:b/>
        </w:rPr>
        <w:t xml:space="preserve"> </w:t>
      </w:r>
      <w:r w:rsidRPr="007867C8">
        <w:t>hours for the FY 202</w:t>
      </w:r>
      <w:r>
        <w:t>1</w:t>
      </w:r>
      <w:r w:rsidRPr="007867C8">
        <w:t xml:space="preserve"> payment determination.  </w:t>
      </w:r>
      <w:r w:rsidR="008C3D7F">
        <w:t>W</w:t>
      </w:r>
      <w:r w:rsidRPr="007867C8">
        <w:t>ith our estimate</w:t>
      </w:r>
      <w:r>
        <w:t>d wage rate</w:t>
      </w:r>
      <w:r w:rsidRPr="007867C8">
        <w:t xml:space="preserve"> of $</w:t>
      </w:r>
      <w:r>
        <w:t>36.58 per hour</w:t>
      </w:r>
      <w:r w:rsidRPr="007867C8">
        <w:t xml:space="preserve">, we estimate a </w:t>
      </w:r>
      <w:r>
        <w:t xml:space="preserve">total </w:t>
      </w:r>
      <w:r w:rsidRPr="007867C8">
        <w:t xml:space="preserve">cost of approximately </w:t>
      </w:r>
      <w:r w:rsidRPr="004F78A0">
        <w:t>$</w:t>
      </w:r>
      <w:r w:rsidR="008C3D7F">
        <w:t>92.2</w:t>
      </w:r>
      <w:r>
        <w:t xml:space="preserve"> million.  </w:t>
      </w:r>
      <w:r w:rsidR="00BC1E4A" w:rsidRPr="001B46F6">
        <w:t>We reiterate that we are amending our approved estimates for the FY 20</w:t>
      </w:r>
      <w:r w:rsidR="00BC1E4A">
        <w:t>21</w:t>
      </w:r>
      <w:r w:rsidR="00BC1E4A" w:rsidRPr="001B46F6">
        <w:t xml:space="preserve"> payment determination, and our </w:t>
      </w:r>
      <w:r w:rsidR="00073ACB">
        <w:t xml:space="preserve">finalized </w:t>
      </w:r>
      <w:r w:rsidR="00BC1E4A" w:rsidRPr="001B46F6">
        <w:t xml:space="preserve">policy changes </w:t>
      </w:r>
      <w:r w:rsidR="00BC1E4A">
        <w:t>would result</w:t>
      </w:r>
      <w:r w:rsidR="00BC1E4A" w:rsidRPr="001B46F6">
        <w:t xml:space="preserve"> in a burden reduction </w:t>
      </w:r>
      <w:r w:rsidR="00BC1E4A">
        <w:t>compared to</w:t>
      </w:r>
      <w:r w:rsidR="00BC1E4A" w:rsidRPr="001B46F6">
        <w:t xml:space="preserve"> the previously approved </w:t>
      </w:r>
      <w:r w:rsidR="008C3D7F">
        <w:t>total burden estimate</w:t>
      </w:r>
      <w:r w:rsidR="00BC1E4A" w:rsidRPr="001B46F6">
        <w:t xml:space="preserve"> under this OMB </w:t>
      </w:r>
      <w:r w:rsidR="00BC1E4A">
        <w:t xml:space="preserve">control </w:t>
      </w:r>
      <w:r w:rsidR="00BC1E4A" w:rsidRPr="001B46F6">
        <w:t xml:space="preserve">number.  </w:t>
      </w:r>
      <w:r w:rsidR="00BC1E4A">
        <w:t>W</w:t>
      </w:r>
      <w:r w:rsidR="00BC1E4A" w:rsidRPr="001B46F6">
        <w:t xml:space="preserve">e are requesting </w:t>
      </w:r>
      <w:r w:rsidR="00BC1E4A">
        <w:t>approval of this modified burden estimate for the FY 2021 payment determination</w:t>
      </w:r>
      <w:r w:rsidR="00BC1E4A" w:rsidRPr="001B46F6">
        <w:t>.</w:t>
      </w:r>
    </w:p>
    <w:p w14:paraId="17A25D49" w14:textId="77777777" w:rsidR="004D6FC1" w:rsidRDefault="004D6FC1" w:rsidP="004D6FC1"/>
    <w:p w14:paraId="4AE179A8" w14:textId="16BAFD8A" w:rsidR="004D6FC1" w:rsidRPr="00E23B48" w:rsidRDefault="004D6FC1" w:rsidP="006D1248">
      <w:pPr>
        <w:keepNext/>
        <w:tabs>
          <w:tab w:val="left" w:pos="5850"/>
        </w:tabs>
        <w:rPr>
          <w:u w:val="single"/>
        </w:rPr>
      </w:pPr>
      <w:r w:rsidRPr="000E455D">
        <w:rPr>
          <w:u w:val="single"/>
        </w:rPr>
        <w:t>d.</w:t>
      </w:r>
      <w:r w:rsidR="00855446">
        <w:rPr>
          <w:u w:val="single"/>
        </w:rPr>
        <w:t xml:space="preserve"> </w:t>
      </w:r>
      <w:r w:rsidRPr="000E455D">
        <w:rPr>
          <w:u w:val="single"/>
        </w:rPr>
        <w:t xml:space="preserve"> </w:t>
      </w:r>
      <w:r w:rsidR="00855446">
        <w:rPr>
          <w:u w:val="single"/>
        </w:rPr>
        <w:t xml:space="preserve">Modified </w:t>
      </w:r>
      <w:r w:rsidRPr="00E23B48">
        <w:rPr>
          <w:u w:val="single"/>
        </w:rPr>
        <w:t xml:space="preserve">Estimates for </w:t>
      </w:r>
      <w:r w:rsidR="00B05FDF">
        <w:rPr>
          <w:u w:val="single"/>
        </w:rPr>
        <w:t xml:space="preserve">the </w:t>
      </w:r>
      <w:r w:rsidRPr="00E23B48">
        <w:rPr>
          <w:u w:val="single"/>
        </w:rPr>
        <w:t>FY 202</w:t>
      </w:r>
      <w:r w:rsidR="00375703">
        <w:rPr>
          <w:u w:val="single"/>
        </w:rPr>
        <w:t>2</w:t>
      </w:r>
      <w:r w:rsidRPr="00E23B48">
        <w:rPr>
          <w:u w:val="single"/>
        </w:rPr>
        <w:t xml:space="preserve"> Payment Determination</w:t>
      </w:r>
    </w:p>
    <w:p w14:paraId="47050E74" w14:textId="77777777" w:rsidR="004D6FC1" w:rsidRDefault="004D6FC1" w:rsidP="00B05FDF">
      <w:pPr>
        <w:keepNext/>
        <w:rPr>
          <w:u w:val="single"/>
        </w:rPr>
      </w:pPr>
    </w:p>
    <w:p w14:paraId="7DFD953A" w14:textId="51C568AC" w:rsidR="00600423" w:rsidRDefault="00243D75" w:rsidP="00243D75">
      <w:pPr>
        <w:autoSpaceDE w:val="0"/>
        <w:autoSpaceDN w:val="0"/>
        <w:adjustRightInd w:val="0"/>
      </w:pPr>
      <w:r>
        <w:t xml:space="preserve">In the </w:t>
      </w:r>
      <w:r w:rsidR="00972F04">
        <w:t xml:space="preserve">FY </w:t>
      </w:r>
      <w:r>
        <w:t xml:space="preserve">2019 IPPS/LTCH PPS </w:t>
      </w:r>
      <w:r w:rsidR="00D30DA7">
        <w:t xml:space="preserve">final </w:t>
      </w:r>
      <w:r>
        <w:t xml:space="preserve">rule, we are </w:t>
      </w:r>
      <w:r w:rsidR="00D30DA7">
        <w:t xml:space="preserve">finalizing our </w:t>
      </w:r>
      <w:r>
        <w:t>propos</w:t>
      </w:r>
      <w:r w:rsidR="00D30DA7">
        <w:t>als</w:t>
      </w:r>
      <w:r>
        <w:t xml:space="preserve"> to remove </w:t>
      </w:r>
      <w:r w:rsidR="00FF75F8">
        <w:t xml:space="preserve">six </w:t>
      </w:r>
      <w:r>
        <w:t>chart-abstracted measure</w:t>
      </w:r>
      <w:r w:rsidR="00FF75F8">
        <w:t>s</w:t>
      </w:r>
      <w:r w:rsidRPr="00A22F94">
        <w:t xml:space="preserve"> </w:t>
      </w:r>
      <w:r>
        <w:t>(</w:t>
      </w:r>
      <w:r w:rsidR="00F04020">
        <w:t>ED-2, a</w:t>
      </w:r>
      <w:r>
        <w:t xml:space="preserve"> clinical process of care measure</w:t>
      </w:r>
      <w:r w:rsidR="00FF75F8">
        <w:t>, and five HAI measures</w:t>
      </w:r>
      <w:r>
        <w:t xml:space="preserve">) </w:t>
      </w:r>
      <w:r w:rsidRPr="000B5EFB">
        <w:t>beginn</w:t>
      </w:r>
      <w:r>
        <w:t>ing with the FY 2022</w:t>
      </w:r>
      <w:r w:rsidRPr="000B5EFB">
        <w:t xml:space="preserve"> payment determination</w:t>
      </w:r>
      <w:r>
        <w:t>.</w:t>
      </w:r>
      <w:r w:rsidR="00852C76">
        <w:t xml:space="preserve"> </w:t>
      </w:r>
      <w:r>
        <w:t xml:space="preserve"> </w:t>
      </w:r>
      <w:r w:rsidR="00852C76" w:rsidRPr="00112483">
        <w:t xml:space="preserve">We </w:t>
      </w:r>
      <w:r w:rsidR="00852C76">
        <w:t>anticipate</w:t>
      </w:r>
      <w:r w:rsidR="00852C76" w:rsidRPr="00112483">
        <w:t xml:space="preserve"> </w:t>
      </w:r>
      <w:r w:rsidR="00852C76">
        <w:t xml:space="preserve">removing </w:t>
      </w:r>
      <w:r w:rsidR="00FF75F8">
        <w:t xml:space="preserve">the </w:t>
      </w:r>
      <w:r w:rsidR="00600423">
        <w:t>one clinical process of care</w:t>
      </w:r>
      <w:r w:rsidR="00852C76">
        <w:t xml:space="preserve"> measure </w:t>
      </w:r>
      <w:r w:rsidR="00600423">
        <w:t>will</w:t>
      </w:r>
      <w:r w:rsidR="00600423" w:rsidRPr="00112483">
        <w:t xml:space="preserve"> </w:t>
      </w:r>
      <w:r w:rsidR="00852C76">
        <w:t xml:space="preserve">reduce the reporting burden for </w:t>
      </w:r>
      <w:r w:rsidR="00852C76" w:rsidRPr="00592DB9">
        <w:t>hospitals</w:t>
      </w:r>
      <w:r w:rsidR="00852C76">
        <w:t xml:space="preserve">.  </w:t>
      </w:r>
      <w:r w:rsidR="00600423">
        <w:t>Because the burden associated with submitting the HAI measure data (specifically, CLABSI, CAUTI, MRSA, CDI, and SSI measures) to the Centers for Disease Control and Prevention’s National Healthcare Safety Network is captured under a separate OMB control number,</w:t>
      </w:r>
      <w:r w:rsidR="00600423">
        <w:rPr>
          <w:rStyle w:val="FootnoteReference"/>
        </w:rPr>
        <w:t xml:space="preserve"> </w:t>
      </w:r>
      <w:r w:rsidR="00600423" w:rsidRPr="00105F5E">
        <w:rPr>
          <w:rStyle w:val="FootnoteReference"/>
          <w:vertAlign w:val="baseline"/>
        </w:rPr>
        <w:t>0920-0666</w:t>
      </w:r>
      <w:r w:rsidR="00600423">
        <w:t>, we do not provide an independent estimate of the burden associated with these measures for the Hospital IQR Program.  For this reason, we do not anticipate a reduction in data collection and reporting burden associated with the removals of the HAI measures from the program.  We note that we anticipate a reduction in burden associated with validation activities for the HAI measures, as discussed further in section B.12.e below (</w:t>
      </w:r>
      <w:r w:rsidR="00600423">
        <w:rPr>
          <w:i/>
        </w:rPr>
        <w:t>Modified Estimates for the FY 2023 Payment Determination</w:t>
      </w:r>
      <w:r w:rsidR="00600423">
        <w:t>).</w:t>
      </w:r>
    </w:p>
    <w:p w14:paraId="7811BC7B" w14:textId="77777777" w:rsidR="00600423" w:rsidRDefault="00600423" w:rsidP="00243D75">
      <w:pPr>
        <w:autoSpaceDE w:val="0"/>
        <w:autoSpaceDN w:val="0"/>
        <w:adjustRightInd w:val="0"/>
      </w:pPr>
    </w:p>
    <w:p w14:paraId="794C9604" w14:textId="096442F6" w:rsidR="00986CF4" w:rsidRDefault="00911BCE" w:rsidP="00243D75">
      <w:pPr>
        <w:autoSpaceDE w:val="0"/>
        <w:autoSpaceDN w:val="0"/>
        <w:adjustRightInd w:val="0"/>
      </w:pPr>
      <w:r>
        <w:t>As discussed below, w</w:t>
      </w:r>
      <w:r w:rsidRPr="00E673A0">
        <w:t xml:space="preserve">e </w:t>
      </w:r>
      <w:r w:rsidR="00F14ACA">
        <w:t>estimate</w:t>
      </w:r>
      <w:r w:rsidR="00F14ACA" w:rsidRPr="00E673A0">
        <w:t xml:space="preserve"> </w:t>
      </w:r>
      <w:r w:rsidRPr="00E673A0">
        <w:t>a total burden decreas</w:t>
      </w:r>
      <w:r>
        <w:t xml:space="preserve">e of </w:t>
      </w:r>
      <w:r w:rsidR="001B3415" w:rsidRPr="00105F5E">
        <w:rPr>
          <w:color w:val="000000"/>
        </w:rPr>
        <w:t>907,390</w:t>
      </w:r>
      <w:r w:rsidRPr="00592DB9">
        <w:rPr>
          <w:rFonts w:eastAsia="Calibri"/>
          <w:b/>
        </w:rPr>
        <w:t xml:space="preserve"> </w:t>
      </w:r>
      <w:r w:rsidR="009377CB">
        <w:t>hours</w:t>
      </w:r>
      <w:r w:rsidR="00D175F4">
        <w:t>,</w:t>
      </w:r>
      <w:r w:rsidR="009377CB">
        <w:t xml:space="preserve"> and</w:t>
      </w:r>
      <w:r>
        <w:t xml:space="preserve"> </w:t>
      </w:r>
      <w:r w:rsidRPr="00E673A0">
        <w:t>a</w:t>
      </w:r>
      <w:r>
        <w:t xml:space="preserve"> total</w:t>
      </w:r>
      <w:r w:rsidRPr="00E673A0">
        <w:t xml:space="preserve"> </w:t>
      </w:r>
      <w:r>
        <w:t xml:space="preserve">cost </w:t>
      </w:r>
      <w:r w:rsidRPr="00E673A0">
        <w:t xml:space="preserve">decrease of approximately </w:t>
      </w:r>
      <w:r w:rsidRPr="00105F5E">
        <w:t>$</w:t>
      </w:r>
      <w:r w:rsidR="001B274F" w:rsidRPr="00105F5E">
        <w:t>33.2</w:t>
      </w:r>
      <w:r w:rsidRPr="00701E35">
        <w:t xml:space="preserve"> </w:t>
      </w:r>
      <w:r w:rsidR="009377CB">
        <w:t>million</w:t>
      </w:r>
      <w:r w:rsidR="00D175F4">
        <w:t>,</w:t>
      </w:r>
      <w:r>
        <w:t xml:space="preserve"> across all participating hospitals</w:t>
      </w:r>
      <w:r w:rsidRPr="00E673A0">
        <w:t xml:space="preserve"> associated with </w:t>
      </w:r>
      <w:r w:rsidR="008205B8">
        <w:t xml:space="preserve">the </w:t>
      </w:r>
      <w:r w:rsidRPr="00E673A0">
        <w:t>policy changes</w:t>
      </w:r>
      <w:r w:rsidR="008205B8">
        <w:t xml:space="preserve"> as finalized for the FY 2022 payment determination</w:t>
      </w:r>
      <w:r>
        <w:t>.</w:t>
      </w:r>
    </w:p>
    <w:p w14:paraId="614986D9" w14:textId="77777777" w:rsidR="00243D75" w:rsidRDefault="00243D75" w:rsidP="006D1248">
      <w:pPr>
        <w:autoSpaceDE w:val="0"/>
        <w:autoSpaceDN w:val="0"/>
        <w:adjustRightInd w:val="0"/>
      </w:pPr>
    </w:p>
    <w:p w14:paraId="5CC7113E" w14:textId="66698EAA" w:rsidR="00F04020" w:rsidRDefault="005D5AE6" w:rsidP="00087B35">
      <w:pPr>
        <w:keepNext/>
        <w:autoSpaceDE w:val="0"/>
        <w:autoSpaceDN w:val="0"/>
        <w:adjustRightInd w:val="0"/>
        <w:rPr>
          <w:i/>
        </w:rPr>
      </w:pPr>
      <w:r>
        <w:rPr>
          <w:i/>
        </w:rPr>
        <w:t xml:space="preserve">Finalized </w:t>
      </w:r>
      <w:r w:rsidR="00F04020">
        <w:rPr>
          <w:i/>
        </w:rPr>
        <w:t>Measure Removal</w:t>
      </w:r>
      <w:r>
        <w:rPr>
          <w:i/>
        </w:rPr>
        <w:t>s</w:t>
      </w:r>
    </w:p>
    <w:p w14:paraId="59733341" w14:textId="77777777" w:rsidR="00600423" w:rsidRPr="006D1248" w:rsidRDefault="00600423" w:rsidP="00087B35">
      <w:pPr>
        <w:keepNext/>
        <w:autoSpaceDE w:val="0"/>
        <w:autoSpaceDN w:val="0"/>
        <w:adjustRightInd w:val="0"/>
        <w:rPr>
          <w:i/>
        </w:rPr>
      </w:pPr>
    </w:p>
    <w:p w14:paraId="5BED4C44" w14:textId="70437EDC" w:rsidR="009F1E61" w:rsidRDefault="00243D75" w:rsidP="00087B35">
      <w:pPr>
        <w:keepNext/>
        <w:autoSpaceDE w:val="0"/>
        <w:autoSpaceDN w:val="0"/>
      </w:pPr>
      <w:r w:rsidRPr="00112483">
        <w:t xml:space="preserve">We </w:t>
      </w:r>
      <w:r>
        <w:t>anticipate</w:t>
      </w:r>
      <w:r w:rsidRPr="00112483">
        <w:t xml:space="preserve"> a</w:t>
      </w:r>
      <w:r w:rsidRPr="00A22F94">
        <w:t xml:space="preserve"> </w:t>
      </w:r>
      <w:r w:rsidRPr="000B5EFB">
        <w:t>reduction in burden for hospitals as a</w:t>
      </w:r>
      <w:r w:rsidRPr="00A22F94">
        <w:t xml:space="preserve"> </w:t>
      </w:r>
      <w:r w:rsidRPr="00112483">
        <w:t>r</w:t>
      </w:r>
      <w:r w:rsidRPr="00A22F94">
        <w:t xml:space="preserve">esult </w:t>
      </w:r>
      <w:r w:rsidRPr="00112483">
        <w:t xml:space="preserve">of </w:t>
      </w:r>
      <w:r w:rsidR="00764142">
        <w:t xml:space="preserve">the finalized </w:t>
      </w:r>
      <w:r>
        <w:t>remov</w:t>
      </w:r>
      <w:r w:rsidR="00764142">
        <w:t>al</w:t>
      </w:r>
      <w:r>
        <w:t xml:space="preserve"> </w:t>
      </w:r>
      <w:r w:rsidR="00764142">
        <w:t xml:space="preserve">of </w:t>
      </w:r>
      <w:r w:rsidRPr="00112483">
        <w:t xml:space="preserve">the </w:t>
      </w:r>
      <w:r>
        <w:t xml:space="preserve">ED-2 </w:t>
      </w:r>
      <w:r w:rsidRPr="00112483">
        <w:t>chart</w:t>
      </w:r>
      <w:r w:rsidRPr="00A22F94">
        <w:t>-</w:t>
      </w:r>
      <w:r w:rsidRPr="00112483">
        <w:t>abstracted</w:t>
      </w:r>
      <w:r w:rsidRPr="00A22F94">
        <w:t xml:space="preserve"> </w:t>
      </w:r>
      <w:r>
        <w:t>measure</w:t>
      </w:r>
      <w:r w:rsidR="009377CB">
        <w:t>, which</w:t>
      </w:r>
      <w:r w:rsidR="009377CB" w:rsidRPr="001358D9">
        <w:t xml:space="preserve"> </w:t>
      </w:r>
      <w:r w:rsidR="009377CB">
        <w:t>would be</w:t>
      </w:r>
      <w:r w:rsidR="009377CB" w:rsidRPr="001358D9">
        <w:t xml:space="preserve"> the</w:t>
      </w:r>
      <w:r w:rsidR="009377CB">
        <w:t xml:space="preserve"> </w:t>
      </w:r>
      <w:r w:rsidR="009377CB" w:rsidRPr="001358D9">
        <w:t xml:space="preserve">only </w:t>
      </w:r>
      <w:r w:rsidR="009377CB">
        <w:t>ED</w:t>
      </w:r>
      <w:r w:rsidR="009377CB" w:rsidRPr="001358D9">
        <w:t xml:space="preserve"> measure left in the Hospital</w:t>
      </w:r>
      <w:r w:rsidR="009377CB">
        <w:t xml:space="preserve"> </w:t>
      </w:r>
      <w:r w:rsidR="009377CB" w:rsidRPr="001358D9">
        <w:t>IQR Program</w:t>
      </w:r>
      <w:r w:rsidR="009377CB">
        <w:t xml:space="preserve">; as a result, removing this measure would also remove all remaining burden associated with reporting this measure data.  </w:t>
      </w:r>
      <w:r w:rsidR="00A04E72" w:rsidRPr="00592DB9">
        <w:t>As discussed above</w:t>
      </w:r>
      <w:r w:rsidR="00A04E72">
        <w:t>, w</w:t>
      </w:r>
      <w:r>
        <w:t xml:space="preserve">e </w:t>
      </w:r>
      <w:r w:rsidR="00A04E72" w:rsidRPr="00592DB9">
        <w:t xml:space="preserve">estimate reporting the ED-2 measure takes approximately </w:t>
      </w:r>
      <w:r w:rsidR="00A04E72">
        <w:t>260</w:t>
      </w:r>
      <w:r w:rsidR="00A04E72" w:rsidRPr="00592DB9">
        <w:t xml:space="preserve"> hours </w:t>
      </w:r>
      <w:r w:rsidR="00602D2F" w:rsidRPr="00592DB9">
        <w:t xml:space="preserve">per hospital per year </w:t>
      </w:r>
      <w:r w:rsidR="00A04E72" w:rsidRPr="00592DB9">
        <w:t>(</w:t>
      </w:r>
      <w:r w:rsidR="00602D2F">
        <w:t>[</w:t>
      </w:r>
      <w:r w:rsidR="00A04E72">
        <w:t>15</w:t>
      </w:r>
      <w:r w:rsidR="00A04E72" w:rsidRPr="00592DB9">
        <w:t xml:space="preserve"> minutes per record x 260 records per hospital per quarter x 4 quarters</w:t>
      </w:r>
      <w:r w:rsidR="00602D2F">
        <w:t>]</w:t>
      </w:r>
      <w:r w:rsidR="00A04E72" w:rsidRPr="00592DB9">
        <w:t xml:space="preserve"> / 60 minutes </w:t>
      </w:r>
      <w:r w:rsidR="00777549">
        <w:t>per hour</w:t>
      </w:r>
      <w:r w:rsidR="00A04E72" w:rsidRPr="00592DB9">
        <w:t xml:space="preserve">), </w:t>
      </w:r>
      <w:r w:rsidR="00A04E72" w:rsidRPr="006D1248">
        <w:t xml:space="preserve">or </w:t>
      </w:r>
      <w:r w:rsidR="00602D2F">
        <w:t xml:space="preserve">a total of </w:t>
      </w:r>
      <w:r w:rsidR="00A04E72" w:rsidRPr="006D1248">
        <w:t xml:space="preserve">858,000 hours (260 hours x 3,300 hospitals) across all IPPS hospitals.  We therefore estimate a corresponding burden decrease </w:t>
      </w:r>
      <w:r w:rsidR="00F04020" w:rsidRPr="006D1248">
        <w:t xml:space="preserve">of 858,000 hours and approximately </w:t>
      </w:r>
      <w:r w:rsidR="00F04020" w:rsidRPr="002F2200">
        <w:t>$31.4 million (858</w:t>
      </w:r>
      <w:r w:rsidR="00F04020">
        <w:t xml:space="preserve">,000 hours x $36.58 per hour) </w:t>
      </w:r>
      <w:r w:rsidR="00A04E72">
        <w:t xml:space="preserve">for the FY 2022 payment determination as a result of </w:t>
      </w:r>
      <w:r w:rsidR="008A02F1">
        <w:t xml:space="preserve">the finalized </w:t>
      </w:r>
      <w:r w:rsidR="00A04E72">
        <w:t>remov</w:t>
      </w:r>
      <w:r w:rsidR="008A02F1">
        <w:t>al</w:t>
      </w:r>
      <w:r w:rsidR="00A04E72">
        <w:t xml:space="preserve"> </w:t>
      </w:r>
      <w:r w:rsidR="008A02F1">
        <w:t xml:space="preserve">of </w:t>
      </w:r>
      <w:r w:rsidR="00A04E72">
        <w:t>th</w:t>
      </w:r>
      <w:r w:rsidR="00F04020">
        <w:t>e ED-2</w:t>
      </w:r>
      <w:r w:rsidR="00A04E72">
        <w:t xml:space="preserve"> measure from the Hospital IQR Program.</w:t>
      </w:r>
    </w:p>
    <w:p w14:paraId="3993B740" w14:textId="77777777" w:rsidR="009F1E61" w:rsidRDefault="009F1E61" w:rsidP="00A04E72">
      <w:pPr>
        <w:autoSpaceDE w:val="0"/>
        <w:autoSpaceDN w:val="0"/>
      </w:pPr>
    </w:p>
    <w:p w14:paraId="72E9F753" w14:textId="44F82D12" w:rsidR="009F1E61" w:rsidRDefault="009F1E61" w:rsidP="009F1E61">
      <w:pPr>
        <w:autoSpaceDE w:val="0"/>
        <w:autoSpaceDN w:val="0"/>
      </w:pPr>
      <w:r w:rsidRPr="00132A2F">
        <w:t xml:space="preserve">For non-IPPS hospitals, </w:t>
      </w:r>
      <w:r w:rsidR="00F57F5D">
        <w:t xml:space="preserve">as discussed above, </w:t>
      </w:r>
      <w:r w:rsidRPr="00132A2F">
        <w:t xml:space="preserve">we estimate reporting the ED-2 measure takes approximately </w:t>
      </w:r>
      <w:r w:rsidR="00F57F5D">
        <w:t>55</w:t>
      </w:r>
      <w:r w:rsidRPr="00132A2F">
        <w:t xml:space="preserve"> hours</w:t>
      </w:r>
      <w:r w:rsidR="00F57F5D">
        <w:t xml:space="preserve"> </w:t>
      </w:r>
      <w:r w:rsidR="00F57F5D" w:rsidRPr="00132A2F">
        <w:t>per hospital per year</w:t>
      </w:r>
      <w:r w:rsidR="00F57F5D">
        <w:t xml:space="preserve"> ([15</w:t>
      </w:r>
      <w:r w:rsidRPr="00132A2F">
        <w:t xml:space="preserve"> minutes per record x 55 records per hospital per quarter x 4 quarters</w:t>
      </w:r>
      <w:r w:rsidR="00F57F5D">
        <w:t>]</w:t>
      </w:r>
      <w:r w:rsidRPr="00132A2F">
        <w:t xml:space="preserve"> / 60 minutes), or </w:t>
      </w:r>
      <w:r w:rsidR="00F57F5D">
        <w:t xml:space="preserve">a total of </w:t>
      </w:r>
      <w:r w:rsidR="00F57F5D">
        <w:rPr>
          <w:color w:val="000000"/>
        </w:rPr>
        <w:t>49,390</w:t>
      </w:r>
      <w:r w:rsidRPr="00132A2F">
        <w:t xml:space="preserve"> hours (</w:t>
      </w:r>
      <w:r w:rsidR="00F57F5D">
        <w:t>55</w:t>
      </w:r>
      <w:r w:rsidRPr="00132A2F">
        <w:t xml:space="preserve"> hours x 898 hospitals</w:t>
      </w:r>
      <w:r w:rsidR="00B80484" w:rsidRPr="00132A2F">
        <w:rPr>
          <w:rStyle w:val="FootnoteReference"/>
        </w:rPr>
        <w:footnoteReference w:id="11"/>
      </w:r>
      <w:r w:rsidR="00F57F5D">
        <w:t xml:space="preserve">) across participating </w:t>
      </w:r>
      <w:r w:rsidR="002F2200" w:rsidRPr="00132A2F">
        <w:t>non-</w:t>
      </w:r>
      <w:r w:rsidRPr="00132A2F">
        <w:t xml:space="preserve">IPPS hospitals.  We therefore estimate a corresponding burden decrease of </w:t>
      </w:r>
      <w:r w:rsidR="00F57F5D">
        <w:rPr>
          <w:color w:val="000000"/>
        </w:rPr>
        <w:t>49,390</w:t>
      </w:r>
      <w:r w:rsidR="002F2200" w:rsidRPr="00132A2F">
        <w:t xml:space="preserve"> </w:t>
      </w:r>
      <w:r w:rsidRPr="00132A2F">
        <w:t>hours and approximately $</w:t>
      </w:r>
      <w:r w:rsidR="00F57F5D">
        <w:t>1.8</w:t>
      </w:r>
      <w:r w:rsidRPr="00132A2F">
        <w:t xml:space="preserve"> million (</w:t>
      </w:r>
      <w:r w:rsidR="00F57F5D">
        <w:rPr>
          <w:color w:val="000000"/>
        </w:rPr>
        <w:t>49,390</w:t>
      </w:r>
      <w:r w:rsidRPr="00132A2F">
        <w:t xml:space="preserve"> hours x $36.58 per hour) for the FY 2022 payment determination as a result of </w:t>
      </w:r>
      <w:r w:rsidR="009D034A">
        <w:t xml:space="preserve">the finalized </w:t>
      </w:r>
      <w:r w:rsidRPr="00132A2F">
        <w:t>remov</w:t>
      </w:r>
      <w:r w:rsidR="009D034A">
        <w:t>al</w:t>
      </w:r>
      <w:r w:rsidRPr="00132A2F">
        <w:t xml:space="preserve"> </w:t>
      </w:r>
      <w:r w:rsidR="009D034A">
        <w:t xml:space="preserve">of </w:t>
      </w:r>
      <w:r w:rsidRPr="00132A2F">
        <w:t>the ED-2 measure from the Hospital IQR Program.</w:t>
      </w:r>
    </w:p>
    <w:p w14:paraId="14C22CA2" w14:textId="77777777" w:rsidR="006D1248" w:rsidRDefault="006D1248" w:rsidP="009F1E61">
      <w:pPr>
        <w:autoSpaceDE w:val="0"/>
        <w:autoSpaceDN w:val="0"/>
      </w:pPr>
    </w:p>
    <w:p w14:paraId="7836F187" w14:textId="2FCEC0BC" w:rsidR="006D1248" w:rsidRDefault="006D1248" w:rsidP="00132A2F">
      <w:pPr>
        <w:autoSpaceDE w:val="0"/>
        <w:autoSpaceDN w:val="0"/>
        <w:adjustRightInd w:val="0"/>
      </w:pPr>
      <w:r>
        <w:t>In sum, w</w:t>
      </w:r>
      <w:r w:rsidRPr="00E673A0">
        <w:t xml:space="preserve">e </w:t>
      </w:r>
      <w:r>
        <w:t>anticipat</w:t>
      </w:r>
      <w:r w:rsidRPr="00E673A0">
        <w:t>e a total burden decreas</w:t>
      </w:r>
      <w:r>
        <w:t xml:space="preserve">e of </w:t>
      </w:r>
      <w:r w:rsidR="00DB7E4F" w:rsidRPr="00105F5E">
        <w:rPr>
          <w:rFonts w:eastAsia="Calibri"/>
        </w:rPr>
        <w:t>907,390</w:t>
      </w:r>
      <w:r w:rsidRPr="006D1248">
        <w:t xml:space="preserve"> hours</w:t>
      </w:r>
      <w:r w:rsidRPr="00B72F47">
        <w:t>,</w:t>
      </w:r>
      <w:r>
        <w:t xml:space="preserve"> </w:t>
      </w:r>
      <w:r w:rsidRPr="00FB0B6D">
        <w:t xml:space="preserve">or a total cost decrease of approximately </w:t>
      </w:r>
      <w:r w:rsidRPr="00105F5E">
        <w:t>$</w:t>
      </w:r>
      <w:r w:rsidR="002F2200" w:rsidRPr="00105F5E">
        <w:t>33.</w:t>
      </w:r>
      <w:r w:rsidR="00DB7E4F" w:rsidRPr="00105F5E">
        <w:t>2</w:t>
      </w:r>
      <w:r w:rsidRPr="00701E35">
        <w:t xml:space="preserve"> </w:t>
      </w:r>
      <w:r>
        <w:t>million, across all participating hospitals</w:t>
      </w:r>
      <w:r w:rsidRPr="00E673A0">
        <w:t xml:space="preserve"> associated with </w:t>
      </w:r>
      <w:r w:rsidR="008C2611">
        <w:t>the finali</w:t>
      </w:r>
      <w:r w:rsidR="00F41441">
        <w:t>z</w:t>
      </w:r>
      <w:r w:rsidR="008C2611">
        <w:t>ed</w:t>
      </w:r>
      <w:r w:rsidRPr="00E673A0">
        <w:t xml:space="preserve"> </w:t>
      </w:r>
      <w:r w:rsidR="002F2200" w:rsidRPr="006D1248">
        <w:t xml:space="preserve">removal </w:t>
      </w:r>
      <w:r w:rsidR="002F2200" w:rsidRPr="00B72F47">
        <w:t>of ED-</w:t>
      </w:r>
      <w:r w:rsidR="002F2200">
        <w:t xml:space="preserve">2 for the </w:t>
      </w:r>
      <w:r w:rsidR="002F2200" w:rsidRPr="00B72F47">
        <w:t>FY 2022 payment determination</w:t>
      </w:r>
      <w:r>
        <w:t>.</w:t>
      </w:r>
    </w:p>
    <w:p w14:paraId="6EDCCE76" w14:textId="77777777" w:rsidR="00F04020" w:rsidRDefault="00F04020" w:rsidP="00132A2F">
      <w:pPr>
        <w:autoSpaceDE w:val="0"/>
        <w:autoSpaceDN w:val="0"/>
      </w:pPr>
    </w:p>
    <w:p w14:paraId="43DF5E15" w14:textId="41AA06BC" w:rsidR="00A04E72" w:rsidRDefault="00A0041C" w:rsidP="00A04E72">
      <w:pPr>
        <w:autoSpaceDE w:val="0"/>
        <w:autoSpaceDN w:val="0"/>
        <w:adjustRightInd w:val="0"/>
      </w:pPr>
      <w:r>
        <w:rPr>
          <w:i/>
        </w:rPr>
        <w:t xml:space="preserve">Measure </w:t>
      </w:r>
      <w:r w:rsidR="00F04020">
        <w:rPr>
          <w:i/>
        </w:rPr>
        <w:t>Validation Impacts</w:t>
      </w:r>
      <w:r w:rsidR="00A04E72">
        <w:t xml:space="preserve"> </w:t>
      </w:r>
    </w:p>
    <w:p w14:paraId="0A92E0A7" w14:textId="77777777" w:rsidR="00F14ACA" w:rsidRDefault="00F14ACA" w:rsidP="00A04E72">
      <w:pPr>
        <w:autoSpaceDE w:val="0"/>
        <w:autoSpaceDN w:val="0"/>
        <w:adjustRightInd w:val="0"/>
      </w:pPr>
    </w:p>
    <w:p w14:paraId="4D43494C" w14:textId="73A7898F" w:rsidR="00243D75" w:rsidRDefault="00A04E72" w:rsidP="00FB1F22">
      <w:pPr>
        <w:autoSpaceDE w:val="0"/>
        <w:autoSpaceDN w:val="0"/>
        <w:adjustRightInd w:val="0"/>
      </w:pPr>
      <w:r>
        <w:t xml:space="preserve">As </w:t>
      </w:r>
      <w:r w:rsidRPr="007561FE">
        <w:t>note</w:t>
      </w:r>
      <w:r>
        <w:t xml:space="preserve">d in the FY 2016 IPPS/LTCH IPPS </w:t>
      </w:r>
      <w:r w:rsidRPr="007561FE">
        <w:t>final ru</w:t>
      </w:r>
      <w:r>
        <w:t xml:space="preserve">le (80 FR 49762 and 49763), we have previously reimbursed hospitals directly for expenses associated with submission of charts for clinical process of care measure data validation.  Therefore, we do not anticipate any change in burden associated with submission of validation charts as a result of </w:t>
      </w:r>
      <w:r w:rsidR="0009243D">
        <w:t xml:space="preserve">the finalized </w:t>
      </w:r>
      <w:r>
        <w:t>remov</w:t>
      </w:r>
      <w:r w:rsidR="0009243D">
        <w:t>al</w:t>
      </w:r>
      <w:r>
        <w:t xml:space="preserve"> </w:t>
      </w:r>
      <w:r w:rsidR="0009243D">
        <w:t xml:space="preserve">of </w:t>
      </w:r>
      <w:r w:rsidR="00C45134">
        <w:t xml:space="preserve">the </w:t>
      </w:r>
      <w:r w:rsidR="0009243D">
        <w:t>ED-2</w:t>
      </w:r>
      <w:r>
        <w:t xml:space="preserve"> measure because hospitals </w:t>
      </w:r>
      <w:r w:rsidR="00837F0A">
        <w:t>would</w:t>
      </w:r>
      <w:r>
        <w:t xml:space="preserve"> no longer be required to submit, or be reimbursed for submitting, these data to CMS. </w:t>
      </w:r>
    </w:p>
    <w:p w14:paraId="17FC6BD5" w14:textId="77777777" w:rsidR="00CA405D" w:rsidRDefault="00CA405D" w:rsidP="00243D75"/>
    <w:p w14:paraId="4B453F5A" w14:textId="77777777" w:rsidR="00F14ACA" w:rsidRDefault="00F14ACA" w:rsidP="00243D75"/>
    <w:p w14:paraId="7AB6B14E" w14:textId="77777777" w:rsidR="00243D75" w:rsidRDefault="00243D75" w:rsidP="00243D75">
      <w:pPr>
        <w:rPr>
          <w:b/>
        </w:rPr>
      </w:pPr>
      <w:r w:rsidRPr="00974F6F">
        <w:rPr>
          <w:b/>
        </w:rPr>
        <w:t xml:space="preserve">Table </w:t>
      </w:r>
      <w:r w:rsidR="00D32C81">
        <w:rPr>
          <w:b/>
        </w:rPr>
        <w:t>2</w:t>
      </w:r>
      <w:r>
        <w:rPr>
          <w:b/>
        </w:rPr>
        <w:t>. Burden Calculations for the Hospital IQR Program Measure Set</w:t>
      </w:r>
      <w:r w:rsidRPr="00E85724">
        <w:rPr>
          <w:b/>
        </w:rPr>
        <w:t xml:space="preserve"> and Other Activities for </w:t>
      </w:r>
      <w:r>
        <w:rPr>
          <w:b/>
        </w:rPr>
        <w:t>the FY 2022</w:t>
      </w:r>
      <w:r w:rsidRPr="00E85724">
        <w:rPr>
          <w:b/>
        </w:rPr>
        <w:t xml:space="preserve"> Payment Determination</w:t>
      </w:r>
    </w:p>
    <w:p w14:paraId="4DBCF05A" w14:textId="77777777" w:rsidR="00243D75" w:rsidRDefault="00243D75" w:rsidP="00243D75">
      <w:pPr>
        <w:rPr>
          <w:b/>
        </w:rPr>
      </w:pPr>
    </w:p>
    <w:tbl>
      <w:tblPr>
        <w:tblStyle w:val="TableGrid"/>
        <w:tblW w:w="5248" w:type="pct"/>
        <w:tblLayout w:type="fixed"/>
        <w:tblLook w:val="04A0" w:firstRow="1" w:lastRow="0" w:firstColumn="1" w:lastColumn="0" w:noHBand="0" w:noVBand="1"/>
      </w:tblPr>
      <w:tblGrid>
        <w:gridCol w:w="2022"/>
        <w:gridCol w:w="1660"/>
        <w:gridCol w:w="1391"/>
        <w:gridCol w:w="1214"/>
        <w:gridCol w:w="1128"/>
        <w:gridCol w:w="1146"/>
        <w:gridCol w:w="1490"/>
      </w:tblGrid>
      <w:tr w:rsidR="00243D75" w:rsidRPr="00C761FF" w14:paraId="349F3017" w14:textId="77777777" w:rsidTr="00B343C4">
        <w:trPr>
          <w:trHeight w:val="765"/>
        </w:trPr>
        <w:tc>
          <w:tcPr>
            <w:tcW w:w="1006" w:type="pct"/>
            <w:vMerge w:val="restart"/>
            <w:hideMark/>
          </w:tcPr>
          <w:p w14:paraId="645D7FA4" w14:textId="77777777" w:rsidR="00243D75" w:rsidRPr="0041034F" w:rsidRDefault="00243D75" w:rsidP="00B343C4">
            <w:pPr>
              <w:rPr>
                <w:b/>
                <w:i/>
              </w:rPr>
            </w:pPr>
            <w:r w:rsidRPr="0041034F">
              <w:rPr>
                <w:b/>
                <w:i/>
              </w:rPr>
              <w:t>Measure Set</w:t>
            </w:r>
          </w:p>
        </w:tc>
        <w:tc>
          <w:tcPr>
            <w:tcW w:w="826" w:type="pct"/>
            <w:vMerge w:val="restart"/>
            <w:hideMark/>
          </w:tcPr>
          <w:p w14:paraId="71F69356" w14:textId="77777777" w:rsidR="00243D75" w:rsidRPr="0041034F" w:rsidRDefault="00243D75" w:rsidP="00B343C4">
            <w:pPr>
              <w:rPr>
                <w:b/>
                <w:i/>
              </w:rPr>
            </w:pPr>
            <w:r w:rsidRPr="0041034F">
              <w:rPr>
                <w:b/>
                <w:i/>
              </w:rPr>
              <w:t>Estimated ti</w:t>
            </w:r>
            <w:r>
              <w:rPr>
                <w:b/>
                <w:i/>
              </w:rPr>
              <w:t>me per record (minutes) -</w:t>
            </w:r>
            <w:r>
              <w:rPr>
                <w:b/>
                <w:i/>
              </w:rPr>
              <w:br/>
              <w:t>FY 202</w:t>
            </w:r>
            <w:r w:rsidR="00D32C81">
              <w:rPr>
                <w:b/>
                <w:i/>
              </w:rPr>
              <w:t>2</w:t>
            </w:r>
            <w:r w:rsidRPr="0041034F">
              <w:rPr>
                <w:b/>
                <w:i/>
              </w:rPr>
              <w:t xml:space="preserve"> payment determination</w:t>
            </w:r>
          </w:p>
        </w:tc>
        <w:tc>
          <w:tcPr>
            <w:tcW w:w="692" w:type="pct"/>
            <w:vMerge w:val="restart"/>
            <w:hideMark/>
          </w:tcPr>
          <w:p w14:paraId="1B7F4580" w14:textId="77777777" w:rsidR="00243D75" w:rsidRPr="0041034F" w:rsidRDefault="00243D75" w:rsidP="00B343C4">
            <w:pPr>
              <w:rPr>
                <w:b/>
                <w:i/>
              </w:rPr>
            </w:pPr>
            <w:r w:rsidRPr="0041034F">
              <w:rPr>
                <w:b/>
                <w:i/>
              </w:rPr>
              <w:t>Number rep</w:t>
            </w:r>
            <w:r>
              <w:rPr>
                <w:b/>
                <w:i/>
              </w:rPr>
              <w:t>orting quarters per year -</w:t>
            </w:r>
            <w:r>
              <w:rPr>
                <w:b/>
                <w:i/>
              </w:rPr>
              <w:br/>
              <w:t>FY 202</w:t>
            </w:r>
            <w:r w:rsidR="00D32C81">
              <w:rPr>
                <w:b/>
                <w:i/>
              </w:rPr>
              <w:t>2</w:t>
            </w:r>
            <w:r w:rsidRPr="0041034F">
              <w:rPr>
                <w:b/>
                <w:i/>
              </w:rPr>
              <w:t xml:space="preserve"> payment determination</w:t>
            </w:r>
          </w:p>
        </w:tc>
        <w:tc>
          <w:tcPr>
            <w:tcW w:w="604" w:type="pct"/>
            <w:vMerge w:val="restart"/>
            <w:hideMark/>
          </w:tcPr>
          <w:p w14:paraId="7C9A11B1" w14:textId="77777777" w:rsidR="00243D75" w:rsidRPr="0041034F" w:rsidRDefault="00243D75" w:rsidP="00B343C4">
            <w:pPr>
              <w:rPr>
                <w:b/>
                <w:i/>
              </w:rPr>
            </w:pPr>
            <w:r w:rsidRPr="0041034F">
              <w:rPr>
                <w:b/>
                <w:i/>
              </w:rPr>
              <w:t>Number of hospitals reporting</w:t>
            </w:r>
          </w:p>
        </w:tc>
        <w:tc>
          <w:tcPr>
            <w:tcW w:w="561" w:type="pct"/>
            <w:vMerge w:val="restart"/>
            <w:hideMark/>
          </w:tcPr>
          <w:p w14:paraId="3DA5BD78" w14:textId="77777777" w:rsidR="00243D75" w:rsidRPr="0041034F" w:rsidRDefault="00243D75" w:rsidP="00B343C4">
            <w:pPr>
              <w:rPr>
                <w:b/>
                <w:i/>
              </w:rPr>
            </w:pPr>
            <w:r w:rsidRPr="0041034F">
              <w:rPr>
                <w:b/>
                <w:i/>
              </w:rPr>
              <w:t>Average number records per hospital per quarter</w:t>
            </w:r>
          </w:p>
        </w:tc>
        <w:tc>
          <w:tcPr>
            <w:tcW w:w="570" w:type="pct"/>
            <w:vMerge w:val="restart"/>
            <w:hideMark/>
          </w:tcPr>
          <w:p w14:paraId="1A627C56" w14:textId="77777777" w:rsidR="00243D75" w:rsidRPr="0041034F" w:rsidRDefault="00243D75" w:rsidP="00B343C4">
            <w:pPr>
              <w:rPr>
                <w:b/>
                <w:i/>
              </w:rPr>
            </w:pPr>
            <w:r w:rsidRPr="0041034F">
              <w:rPr>
                <w:b/>
                <w:i/>
              </w:rPr>
              <w:t xml:space="preserve">Annual burden (hours) per </w:t>
            </w:r>
            <w:r>
              <w:rPr>
                <w:b/>
                <w:i/>
              </w:rPr>
              <w:t>h</w:t>
            </w:r>
            <w:r w:rsidRPr="0041034F">
              <w:rPr>
                <w:b/>
                <w:i/>
              </w:rPr>
              <w:t>ospital</w:t>
            </w:r>
          </w:p>
        </w:tc>
        <w:tc>
          <w:tcPr>
            <w:tcW w:w="741" w:type="pct"/>
            <w:vMerge w:val="restart"/>
            <w:hideMark/>
          </w:tcPr>
          <w:p w14:paraId="4F48BD9E" w14:textId="77777777" w:rsidR="00243D75" w:rsidRPr="0041034F" w:rsidRDefault="00243D75" w:rsidP="00B343C4">
            <w:pPr>
              <w:rPr>
                <w:b/>
                <w:i/>
              </w:rPr>
            </w:pPr>
            <w:r w:rsidRPr="0041034F">
              <w:rPr>
                <w:b/>
                <w:i/>
              </w:rPr>
              <w:t>Calculation for FY 20</w:t>
            </w:r>
            <w:r>
              <w:rPr>
                <w:b/>
                <w:i/>
              </w:rPr>
              <w:t>2</w:t>
            </w:r>
            <w:r w:rsidR="00D32C81">
              <w:rPr>
                <w:b/>
                <w:i/>
              </w:rPr>
              <w:t>2</w:t>
            </w:r>
            <w:r w:rsidRPr="0041034F">
              <w:rPr>
                <w:b/>
                <w:i/>
              </w:rPr>
              <w:t xml:space="preserve"> payment determination</w:t>
            </w:r>
          </w:p>
        </w:tc>
      </w:tr>
      <w:tr w:rsidR="00243D75" w:rsidRPr="00C761FF" w14:paraId="382549B6" w14:textId="77777777" w:rsidTr="00B343C4">
        <w:trPr>
          <w:trHeight w:val="517"/>
        </w:trPr>
        <w:tc>
          <w:tcPr>
            <w:tcW w:w="1006" w:type="pct"/>
            <w:vMerge/>
            <w:hideMark/>
          </w:tcPr>
          <w:p w14:paraId="5A04A617" w14:textId="77777777" w:rsidR="00243D75" w:rsidRPr="00C761FF" w:rsidRDefault="00243D75" w:rsidP="00B343C4"/>
        </w:tc>
        <w:tc>
          <w:tcPr>
            <w:tcW w:w="826" w:type="pct"/>
            <w:vMerge/>
            <w:hideMark/>
          </w:tcPr>
          <w:p w14:paraId="7F64A1FC" w14:textId="77777777" w:rsidR="00243D75" w:rsidRPr="00C761FF" w:rsidRDefault="00243D75" w:rsidP="00B343C4"/>
        </w:tc>
        <w:tc>
          <w:tcPr>
            <w:tcW w:w="692" w:type="pct"/>
            <w:vMerge/>
            <w:hideMark/>
          </w:tcPr>
          <w:p w14:paraId="52A73463" w14:textId="77777777" w:rsidR="00243D75" w:rsidRPr="00C761FF" w:rsidRDefault="00243D75" w:rsidP="00B343C4"/>
        </w:tc>
        <w:tc>
          <w:tcPr>
            <w:tcW w:w="604" w:type="pct"/>
            <w:vMerge/>
            <w:hideMark/>
          </w:tcPr>
          <w:p w14:paraId="73918CE8" w14:textId="77777777" w:rsidR="00243D75" w:rsidRPr="00C761FF" w:rsidRDefault="00243D75" w:rsidP="00B343C4"/>
        </w:tc>
        <w:tc>
          <w:tcPr>
            <w:tcW w:w="561" w:type="pct"/>
            <w:vMerge/>
            <w:hideMark/>
          </w:tcPr>
          <w:p w14:paraId="31D7A368" w14:textId="77777777" w:rsidR="00243D75" w:rsidRPr="00C761FF" w:rsidRDefault="00243D75" w:rsidP="00B343C4"/>
        </w:tc>
        <w:tc>
          <w:tcPr>
            <w:tcW w:w="570" w:type="pct"/>
            <w:vMerge/>
            <w:hideMark/>
          </w:tcPr>
          <w:p w14:paraId="38A4A1D3" w14:textId="77777777" w:rsidR="00243D75" w:rsidRPr="00C761FF" w:rsidRDefault="00243D75" w:rsidP="00B343C4"/>
        </w:tc>
        <w:tc>
          <w:tcPr>
            <w:tcW w:w="741" w:type="pct"/>
            <w:vMerge/>
            <w:hideMark/>
          </w:tcPr>
          <w:p w14:paraId="1EE0FBB6" w14:textId="77777777" w:rsidR="00243D75" w:rsidRPr="00C761FF" w:rsidRDefault="00243D75" w:rsidP="00B343C4"/>
        </w:tc>
      </w:tr>
      <w:tr w:rsidR="00243D75" w:rsidRPr="00C761FF" w14:paraId="13C8A793" w14:textId="77777777" w:rsidTr="00B343C4">
        <w:trPr>
          <w:trHeight w:val="915"/>
        </w:trPr>
        <w:tc>
          <w:tcPr>
            <w:tcW w:w="1006" w:type="pct"/>
            <w:vMerge/>
            <w:hideMark/>
          </w:tcPr>
          <w:p w14:paraId="0989A7BB" w14:textId="77777777" w:rsidR="00243D75" w:rsidRPr="00C761FF" w:rsidRDefault="00243D75" w:rsidP="00B343C4"/>
        </w:tc>
        <w:tc>
          <w:tcPr>
            <w:tcW w:w="826" w:type="pct"/>
            <w:vMerge/>
            <w:hideMark/>
          </w:tcPr>
          <w:p w14:paraId="00F477E5" w14:textId="77777777" w:rsidR="00243D75" w:rsidRPr="00C761FF" w:rsidRDefault="00243D75" w:rsidP="00B343C4"/>
        </w:tc>
        <w:tc>
          <w:tcPr>
            <w:tcW w:w="692" w:type="pct"/>
            <w:vMerge/>
            <w:hideMark/>
          </w:tcPr>
          <w:p w14:paraId="3DA84031" w14:textId="77777777" w:rsidR="00243D75" w:rsidRPr="00C761FF" w:rsidRDefault="00243D75" w:rsidP="00B343C4"/>
        </w:tc>
        <w:tc>
          <w:tcPr>
            <w:tcW w:w="604" w:type="pct"/>
            <w:vMerge/>
            <w:hideMark/>
          </w:tcPr>
          <w:p w14:paraId="7AB373E3" w14:textId="77777777" w:rsidR="00243D75" w:rsidRPr="00C761FF" w:rsidRDefault="00243D75" w:rsidP="00B343C4"/>
        </w:tc>
        <w:tc>
          <w:tcPr>
            <w:tcW w:w="561" w:type="pct"/>
            <w:vMerge/>
            <w:hideMark/>
          </w:tcPr>
          <w:p w14:paraId="5171B9D5" w14:textId="77777777" w:rsidR="00243D75" w:rsidRPr="00C761FF" w:rsidRDefault="00243D75" w:rsidP="00B343C4"/>
        </w:tc>
        <w:tc>
          <w:tcPr>
            <w:tcW w:w="570" w:type="pct"/>
            <w:vMerge/>
            <w:hideMark/>
          </w:tcPr>
          <w:p w14:paraId="12F30FA7" w14:textId="77777777" w:rsidR="00243D75" w:rsidRPr="00C761FF" w:rsidRDefault="00243D75" w:rsidP="00B343C4"/>
        </w:tc>
        <w:tc>
          <w:tcPr>
            <w:tcW w:w="741" w:type="pct"/>
            <w:vMerge/>
            <w:hideMark/>
          </w:tcPr>
          <w:p w14:paraId="11AC2308" w14:textId="77777777" w:rsidR="00243D75" w:rsidRPr="00C761FF" w:rsidRDefault="00243D75" w:rsidP="00B343C4"/>
        </w:tc>
      </w:tr>
      <w:tr w:rsidR="00243D75" w:rsidRPr="00C761FF" w14:paraId="2A6C8390" w14:textId="77777777" w:rsidTr="00B343C4">
        <w:trPr>
          <w:trHeight w:val="517"/>
        </w:trPr>
        <w:tc>
          <w:tcPr>
            <w:tcW w:w="1006" w:type="pct"/>
            <w:vMerge/>
            <w:hideMark/>
          </w:tcPr>
          <w:p w14:paraId="13D178B0" w14:textId="77777777" w:rsidR="00243D75" w:rsidRPr="00C761FF" w:rsidRDefault="00243D75" w:rsidP="00B343C4"/>
        </w:tc>
        <w:tc>
          <w:tcPr>
            <w:tcW w:w="826" w:type="pct"/>
            <w:vMerge/>
            <w:hideMark/>
          </w:tcPr>
          <w:p w14:paraId="660FB9F3" w14:textId="77777777" w:rsidR="00243D75" w:rsidRPr="00C761FF" w:rsidRDefault="00243D75" w:rsidP="00B343C4"/>
        </w:tc>
        <w:tc>
          <w:tcPr>
            <w:tcW w:w="692" w:type="pct"/>
            <w:vMerge/>
            <w:hideMark/>
          </w:tcPr>
          <w:p w14:paraId="045D7A18" w14:textId="77777777" w:rsidR="00243D75" w:rsidRPr="00C761FF" w:rsidRDefault="00243D75" w:rsidP="00B343C4"/>
        </w:tc>
        <w:tc>
          <w:tcPr>
            <w:tcW w:w="604" w:type="pct"/>
            <w:vMerge/>
            <w:hideMark/>
          </w:tcPr>
          <w:p w14:paraId="1121A3E4" w14:textId="77777777" w:rsidR="00243D75" w:rsidRPr="00C761FF" w:rsidRDefault="00243D75" w:rsidP="00B343C4"/>
        </w:tc>
        <w:tc>
          <w:tcPr>
            <w:tcW w:w="561" w:type="pct"/>
            <w:vMerge/>
            <w:hideMark/>
          </w:tcPr>
          <w:p w14:paraId="52992C02" w14:textId="77777777" w:rsidR="00243D75" w:rsidRPr="00C761FF" w:rsidRDefault="00243D75" w:rsidP="00B343C4"/>
        </w:tc>
        <w:tc>
          <w:tcPr>
            <w:tcW w:w="570" w:type="pct"/>
            <w:vMerge/>
            <w:hideMark/>
          </w:tcPr>
          <w:p w14:paraId="593A1BD2" w14:textId="77777777" w:rsidR="00243D75" w:rsidRPr="00C761FF" w:rsidRDefault="00243D75" w:rsidP="00B343C4"/>
        </w:tc>
        <w:tc>
          <w:tcPr>
            <w:tcW w:w="741" w:type="pct"/>
            <w:vMerge/>
            <w:hideMark/>
          </w:tcPr>
          <w:p w14:paraId="254A31FD" w14:textId="77777777" w:rsidR="00243D75" w:rsidRPr="00C761FF" w:rsidRDefault="00243D75" w:rsidP="00B343C4"/>
        </w:tc>
      </w:tr>
      <w:tr w:rsidR="00243D75" w:rsidRPr="00C761FF" w14:paraId="3AC726DE" w14:textId="77777777" w:rsidTr="00B343C4">
        <w:trPr>
          <w:trHeight w:val="458"/>
        </w:trPr>
        <w:tc>
          <w:tcPr>
            <w:tcW w:w="5000" w:type="pct"/>
            <w:gridSpan w:val="7"/>
            <w:hideMark/>
          </w:tcPr>
          <w:p w14:paraId="1FFFFE2F" w14:textId="77777777" w:rsidR="00243D75" w:rsidRPr="00C761FF" w:rsidRDefault="00243D75" w:rsidP="00B343C4">
            <w:pPr>
              <w:rPr>
                <w:b/>
                <w:bCs/>
              </w:rPr>
            </w:pPr>
            <w:r w:rsidRPr="00C761FF">
              <w:rPr>
                <w:b/>
                <w:bCs/>
              </w:rPr>
              <w:t>CHART ABSTRACTION</w:t>
            </w:r>
          </w:p>
        </w:tc>
      </w:tr>
      <w:tr w:rsidR="00243D75" w:rsidRPr="00C761FF" w14:paraId="5A9FAA81" w14:textId="77777777" w:rsidTr="00B343C4">
        <w:trPr>
          <w:trHeight w:val="476"/>
        </w:trPr>
        <w:tc>
          <w:tcPr>
            <w:tcW w:w="5000" w:type="pct"/>
            <w:gridSpan w:val="7"/>
            <w:noWrap/>
            <w:hideMark/>
          </w:tcPr>
          <w:p w14:paraId="052AEBAB" w14:textId="77777777" w:rsidR="00243D75" w:rsidRPr="00C761FF" w:rsidRDefault="00243D75" w:rsidP="00B343C4">
            <w:pPr>
              <w:rPr>
                <w:b/>
                <w:bCs/>
              </w:rPr>
            </w:pPr>
            <w:r w:rsidRPr="00C761FF">
              <w:rPr>
                <w:b/>
                <w:bCs/>
              </w:rPr>
              <w:t>IPPS Hospitals (3,300)</w:t>
            </w:r>
          </w:p>
        </w:tc>
      </w:tr>
      <w:tr w:rsidR="00243D75" w:rsidRPr="00C761FF" w14:paraId="022B3C7C" w14:textId="77777777" w:rsidTr="00B343C4">
        <w:trPr>
          <w:trHeight w:val="290"/>
        </w:trPr>
        <w:tc>
          <w:tcPr>
            <w:tcW w:w="1006" w:type="pct"/>
            <w:hideMark/>
          </w:tcPr>
          <w:p w14:paraId="3A5CF739" w14:textId="77777777" w:rsidR="00243D75" w:rsidRPr="00C761FF" w:rsidRDefault="00243D75" w:rsidP="00B343C4">
            <w:r w:rsidRPr="00C761FF">
              <w:t>Sepsis Measure</w:t>
            </w:r>
          </w:p>
        </w:tc>
        <w:tc>
          <w:tcPr>
            <w:tcW w:w="826" w:type="pct"/>
            <w:noWrap/>
            <w:hideMark/>
          </w:tcPr>
          <w:p w14:paraId="1B850FD0" w14:textId="77777777" w:rsidR="00243D75" w:rsidRPr="00C761FF" w:rsidRDefault="00243D75" w:rsidP="00B343C4">
            <w:r w:rsidRPr="00C761FF">
              <w:t>60</w:t>
            </w:r>
          </w:p>
        </w:tc>
        <w:tc>
          <w:tcPr>
            <w:tcW w:w="692" w:type="pct"/>
            <w:hideMark/>
          </w:tcPr>
          <w:p w14:paraId="5ABC6AB0" w14:textId="77777777" w:rsidR="00243D75" w:rsidRPr="00C761FF" w:rsidRDefault="00243D75" w:rsidP="00B343C4">
            <w:r w:rsidRPr="00C761FF">
              <w:t>4</w:t>
            </w:r>
          </w:p>
        </w:tc>
        <w:tc>
          <w:tcPr>
            <w:tcW w:w="604" w:type="pct"/>
            <w:hideMark/>
          </w:tcPr>
          <w:p w14:paraId="0955D0C3" w14:textId="77777777" w:rsidR="00243D75" w:rsidRPr="00C761FF" w:rsidRDefault="00243D75" w:rsidP="00B343C4">
            <w:r w:rsidRPr="00C761FF">
              <w:t>3,300</w:t>
            </w:r>
          </w:p>
        </w:tc>
        <w:tc>
          <w:tcPr>
            <w:tcW w:w="561" w:type="pct"/>
            <w:noWrap/>
            <w:hideMark/>
          </w:tcPr>
          <w:p w14:paraId="3C366EC1" w14:textId="77777777" w:rsidR="00243D75" w:rsidRPr="00C761FF" w:rsidRDefault="00243D75" w:rsidP="00B343C4">
            <w:r w:rsidRPr="00C761FF">
              <w:t>100</w:t>
            </w:r>
          </w:p>
        </w:tc>
        <w:tc>
          <w:tcPr>
            <w:tcW w:w="570" w:type="pct"/>
            <w:noWrap/>
            <w:hideMark/>
          </w:tcPr>
          <w:p w14:paraId="0F43B882" w14:textId="77777777" w:rsidR="00243D75" w:rsidRPr="00C761FF" w:rsidRDefault="00243D75" w:rsidP="00B343C4">
            <w:r w:rsidRPr="00C761FF">
              <w:t>400</w:t>
            </w:r>
          </w:p>
        </w:tc>
        <w:tc>
          <w:tcPr>
            <w:tcW w:w="741" w:type="pct"/>
            <w:noWrap/>
            <w:hideMark/>
          </w:tcPr>
          <w:p w14:paraId="340A1743" w14:textId="77777777" w:rsidR="00243D75" w:rsidRPr="00C761FF" w:rsidRDefault="00243D75" w:rsidP="00B343C4">
            <w:r w:rsidRPr="00C761FF">
              <w:t>1,320,000</w:t>
            </w:r>
          </w:p>
        </w:tc>
      </w:tr>
      <w:tr w:rsidR="00243D75" w:rsidRPr="00C761FF" w14:paraId="4109637B" w14:textId="77777777" w:rsidTr="00B343C4">
        <w:trPr>
          <w:trHeight w:val="300"/>
        </w:trPr>
        <w:tc>
          <w:tcPr>
            <w:tcW w:w="1006" w:type="pct"/>
            <w:hideMark/>
          </w:tcPr>
          <w:p w14:paraId="4FBC1E0A" w14:textId="77777777" w:rsidR="00243D75" w:rsidRPr="00C761FF" w:rsidRDefault="00243D75" w:rsidP="00B343C4">
            <w:r w:rsidRPr="00C761FF">
              <w:t>Perinatal care (PC)</w:t>
            </w:r>
          </w:p>
        </w:tc>
        <w:tc>
          <w:tcPr>
            <w:tcW w:w="826" w:type="pct"/>
            <w:noWrap/>
            <w:hideMark/>
          </w:tcPr>
          <w:p w14:paraId="7ED939ED" w14:textId="77777777" w:rsidR="00243D75" w:rsidRPr="00C761FF" w:rsidRDefault="00243D75" w:rsidP="00B343C4">
            <w:r w:rsidRPr="00C761FF">
              <w:t>10</w:t>
            </w:r>
          </w:p>
        </w:tc>
        <w:tc>
          <w:tcPr>
            <w:tcW w:w="692" w:type="pct"/>
            <w:hideMark/>
          </w:tcPr>
          <w:p w14:paraId="6E903733" w14:textId="77777777" w:rsidR="00243D75" w:rsidRPr="00C761FF" w:rsidRDefault="00243D75" w:rsidP="00B343C4">
            <w:r w:rsidRPr="00C761FF">
              <w:t>4</w:t>
            </w:r>
          </w:p>
        </w:tc>
        <w:tc>
          <w:tcPr>
            <w:tcW w:w="604" w:type="pct"/>
            <w:hideMark/>
          </w:tcPr>
          <w:p w14:paraId="2DA29458" w14:textId="77777777" w:rsidR="00243D75" w:rsidRPr="00C761FF" w:rsidRDefault="00243D75" w:rsidP="00B343C4">
            <w:r w:rsidRPr="00C761FF">
              <w:t>3,300</w:t>
            </w:r>
          </w:p>
        </w:tc>
        <w:tc>
          <w:tcPr>
            <w:tcW w:w="561" w:type="pct"/>
            <w:noWrap/>
            <w:hideMark/>
          </w:tcPr>
          <w:p w14:paraId="5121AE56" w14:textId="77777777" w:rsidR="00243D75" w:rsidRPr="00C761FF" w:rsidRDefault="00243D75" w:rsidP="00B343C4">
            <w:r w:rsidRPr="00C761FF">
              <w:t>76</w:t>
            </w:r>
          </w:p>
        </w:tc>
        <w:tc>
          <w:tcPr>
            <w:tcW w:w="570" w:type="pct"/>
            <w:noWrap/>
            <w:hideMark/>
          </w:tcPr>
          <w:p w14:paraId="142A0631" w14:textId="77777777" w:rsidR="00243D75" w:rsidRPr="00C761FF" w:rsidRDefault="00243D75" w:rsidP="00B343C4">
            <w:r w:rsidRPr="00C761FF">
              <w:t>51</w:t>
            </w:r>
          </w:p>
        </w:tc>
        <w:tc>
          <w:tcPr>
            <w:tcW w:w="741" w:type="pct"/>
            <w:noWrap/>
            <w:hideMark/>
          </w:tcPr>
          <w:p w14:paraId="2B3C3D53" w14:textId="77777777" w:rsidR="00243D75" w:rsidRPr="00C761FF" w:rsidRDefault="00243D75" w:rsidP="00B343C4">
            <w:r w:rsidRPr="00C761FF">
              <w:t>167,200</w:t>
            </w:r>
          </w:p>
        </w:tc>
      </w:tr>
      <w:tr w:rsidR="00243D75" w:rsidRPr="00C761FF" w14:paraId="079C6573" w14:textId="77777777" w:rsidTr="00B343C4">
        <w:trPr>
          <w:trHeight w:val="300"/>
        </w:trPr>
        <w:tc>
          <w:tcPr>
            <w:tcW w:w="1006" w:type="pct"/>
            <w:hideMark/>
          </w:tcPr>
          <w:p w14:paraId="203A46B8" w14:textId="77777777" w:rsidR="00243D75" w:rsidRPr="0041034F" w:rsidRDefault="00243D75" w:rsidP="00B343C4">
            <w:pPr>
              <w:rPr>
                <w:b/>
              </w:rPr>
            </w:pPr>
            <w:r w:rsidRPr="0041034F">
              <w:rPr>
                <w:b/>
              </w:rPr>
              <w:t>Subtotal IPPS chart-based</w:t>
            </w:r>
          </w:p>
        </w:tc>
        <w:tc>
          <w:tcPr>
            <w:tcW w:w="826" w:type="pct"/>
            <w:noWrap/>
            <w:hideMark/>
          </w:tcPr>
          <w:p w14:paraId="76B7BCEF" w14:textId="77777777" w:rsidR="00243D75" w:rsidRPr="00C761FF" w:rsidRDefault="00243D75" w:rsidP="00B343C4">
            <w:r w:rsidRPr="00C761FF">
              <w:t> </w:t>
            </w:r>
          </w:p>
        </w:tc>
        <w:tc>
          <w:tcPr>
            <w:tcW w:w="692" w:type="pct"/>
            <w:noWrap/>
            <w:hideMark/>
          </w:tcPr>
          <w:p w14:paraId="01D81098" w14:textId="77777777" w:rsidR="00243D75" w:rsidRPr="00C761FF" w:rsidRDefault="00243D75" w:rsidP="00B343C4">
            <w:r w:rsidRPr="00C761FF">
              <w:t> </w:t>
            </w:r>
          </w:p>
        </w:tc>
        <w:tc>
          <w:tcPr>
            <w:tcW w:w="604" w:type="pct"/>
            <w:noWrap/>
            <w:hideMark/>
          </w:tcPr>
          <w:p w14:paraId="59013CC2" w14:textId="77777777" w:rsidR="00243D75" w:rsidRPr="00C761FF" w:rsidRDefault="00243D75" w:rsidP="00B343C4">
            <w:r w:rsidRPr="00C761FF">
              <w:t> </w:t>
            </w:r>
          </w:p>
        </w:tc>
        <w:tc>
          <w:tcPr>
            <w:tcW w:w="561" w:type="pct"/>
            <w:noWrap/>
            <w:hideMark/>
          </w:tcPr>
          <w:p w14:paraId="1F84B865" w14:textId="77777777" w:rsidR="00243D75" w:rsidRPr="00C761FF" w:rsidRDefault="00243D75" w:rsidP="00B343C4">
            <w:r w:rsidRPr="00C761FF">
              <w:t> </w:t>
            </w:r>
          </w:p>
        </w:tc>
        <w:tc>
          <w:tcPr>
            <w:tcW w:w="570" w:type="pct"/>
            <w:noWrap/>
            <w:hideMark/>
          </w:tcPr>
          <w:p w14:paraId="41A2C3F9" w14:textId="77777777" w:rsidR="00243D75" w:rsidRPr="0041034F" w:rsidRDefault="00D32C81" w:rsidP="00B343C4">
            <w:pPr>
              <w:rPr>
                <w:b/>
              </w:rPr>
            </w:pPr>
            <w:r>
              <w:rPr>
                <w:b/>
              </w:rPr>
              <w:t>451</w:t>
            </w:r>
            <w:r w:rsidR="00243D75">
              <w:rPr>
                <w:b/>
              </w:rPr>
              <w:t xml:space="preserve"> </w:t>
            </w:r>
          </w:p>
        </w:tc>
        <w:tc>
          <w:tcPr>
            <w:tcW w:w="741" w:type="pct"/>
            <w:noWrap/>
            <w:hideMark/>
          </w:tcPr>
          <w:p w14:paraId="1C44F3A9" w14:textId="77777777" w:rsidR="00D32C81" w:rsidRDefault="00D32C81" w:rsidP="00D32C81">
            <w:pPr>
              <w:rPr>
                <w:b/>
                <w:bCs/>
                <w:color w:val="000000"/>
              </w:rPr>
            </w:pPr>
            <w:r>
              <w:rPr>
                <w:b/>
                <w:bCs/>
                <w:color w:val="000000"/>
              </w:rPr>
              <w:t>1,487,200</w:t>
            </w:r>
          </w:p>
          <w:p w14:paraId="1C4469D2" w14:textId="77777777" w:rsidR="00243D75" w:rsidRPr="0041034F" w:rsidRDefault="00243D75" w:rsidP="00B343C4">
            <w:pPr>
              <w:rPr>
                <w:b/>
              </w:rPr>
            </w:pPr>
          </w:p>
        </w:tc>
      </w:tr>
      <w:tr w:rsidR="00243D75" w:rsidRPr="00C761FF" w14:paraId="3156D497" w14:textId="77777777" w:rsidTr="00B343C4">
        <w:trPr>
          <w:trHeight w:val="300"/>
        </w:trPr>
        <w:tc>
          <w:tcPr>
            <w:tcW w:w="5000" w:type="pct"/>
            <w:gridSpan w:val="7"/>
            <w:noWrap/>
            <w:hideMark/>
          </w:tcPr>
          <w:p w14:paraId="15EC9D2F" w14:textId="77777777" w:rsidR="00243D75" w:rsidRPr="00C761FF" w:rsidRDefault="00243D75" w:rsidP="00B343C4">
            <w:pPr>
              <w:rPr>
                <w:b/>
                <w:bCs/>
              </w:rPr>
            </w:pPr>
            <w:r w:rsidRPr="00C761FF">
              <w:rPr>
                <w:b/>
                <w:bCs/>
              </w:rPr>
              <w:t>Non-IPPS Hospitals (1,100)</w:t>
            </w:r>
          </w:p>
        </w:tc>
      </w:tr>
      <w:tr w:rsidR="00243D75" w:rsidRPr="00C761FF" w14:paraId="7F25503B" w14:textId="77777777" w:rsidTr="00B343C4">
        <w:trPr>
          <w:trHeight w:val="300"/>
        </w:trPr>
        <w:tc>
          <w:tcPr>
            <w:tcW w:w="1006" w:type="pct"/>
          </w:tcPr>
          <w:p w14:paraId="6B266764" w14:textId="77777777" w:rsidR="00243D75" w:rsidRPr="00C761FF" w:rsidRDefault="00243D75" w:rsidP="00B343C4">
            <w:r>
              <w:t>Sepsis measure</w:t>
            </w:r>
          </w:p>
        </w:tc>
        <w:tc>
          <w:tcPr>
            <w:tcW w:w="826" w:type="pct"/>
            <w:noWrap/>
          </w:tcPr>
          <w:p w14:paraId="3B594C8F" w14:textId="77777777" w:rsidR="00243D75" w:rsidRPr="00C761FF" w:rsidRDefault="00243D75" w:rsidP="00B343C4">
            <w:r>
              <w:t>60</w:t>
            </w:r>
          </w:p>
        </w:tc>
        <w:tc>
          <w:tcPr>
            <w:tcW w:w="692" w:type="pct"/>
          </w:tcPr>
          <w:p w14:paraId="6BDACCB5" w14:textId="77777777" w:rsidR="00243D75" w:rsidRPr="00C761FF" w:rsidRDefault="00243D75" w:rsidP="00B343C4">
            <w:r>
              <w:t>4</w:t>
            </w:r>
          </w:p>
        </w:tc>
        <w:tc>
          <w:tcPr>
            <w:tcW w:w="604" w:type="pct"/>
          </w:tcPr>
          <w:p w14:paraId="43EC35E3" w14:textId="77777777" w:rsidR="00243D75" w:rsidRPr="00236867" w:rsidRDefault="00243D75" w:rsidP="00B343C4">
            <w:pPr>
              <w:rPr>
                <w:highlight w:val="yellow"/>
              </w:rPr>
            </w:pPr>
            <w:r w:rsidRPr="00B5347A">
              <w:t>362</w:t>
            </w:r>
          </w:p>
        </w:tc>
        <w:tc>
          <w:tcPr>
            <w:tcW w:w="561" w:type="pct"/>
            <w:noWrap/>
          </w:tcPr>
          <w:p w14:paraId="57DC224D" w14:textId="77777777" w:rsidR="00243D75" w:rsidRPr="00C761FF" w:rsidRDefault="00243D75" w:rsidP="00B343C4">
            <w:r>
              <w:t>25</w:t>
            </w:r>
          </w:p>
        </w:tc>
        <w:tc>
          <w:tcPr>
            <w:tcW w:w="570" w:type="pct"/>
            <w:noWrap/>
          </w:tcPr>
          <w:p w14:paraId="331CBFD6" w14:textId="77777777" w:rsidR="00243D75" w:rsidRPr="00C761FF" w:rsidRDefault="00243D75" w:rsidP="00B343C4">
            <w:r>
              <w:t>100</w:t>
            </w:r>
          </w:p>
        </w:tc>
        <w:tc>
          <w:tcPr>
            <w:tcW w:w="741" w:type="pct"/>
            <w:noWrap/>
          </w:tcPr>
          <w:p w14:paraId="70F842BD" w14:textId="77777777" w:rsidR="00243D75" w:rsidRPr="00C761FF" w:rsidRDefault="00243D75" w:rsidP="00B343C4">
            <w:r>
              <w:t>36,200</w:t>
            </w:r>
          </w:p>
        </w:tc>
      </w:tr>
      <w:tr w:rsidR="00243D75" w:rsidRPr="00C761FF" w14:paraId="1C98B879" w14:textId="77777777" w:rsidTr="00B343C4">
        <w:trPr>
          <w:trHeight w:val="300"/>
        </w:trPr>
        <w:tc>
          <w:tcPr>
            <w:tcW w:w="1006" w:type="pct"/>
            <w:hideMark/>
          </w:tcPr>
          <w:p w14:paraId="5583E623" w14:textId="77777777" w:rsidR="00243D75" w:rsidRPr="00C761FF" w:rsidRDefault="00243D75" w:rsidP="00B343C4">
            <w:r w:rsidRPr="00C761FF">
              <w:t>Perinatal care (PC)</w:t>
            </w:r>
          </w:p>
        </w:tc>
        <w:tc>
          <w:tcPr>
            <w:tcW w:w="826" w:type="pct"/>
            <w:noWrap/>
            <w:hideMark/>
          </w:tcPr>
          <w:p w14:paraId="4020AC8C" w14:textId="77777777" w:rsidR="00243D75" w:rsidRPr="00C761FF" w:rsidRDefault="00243D75" w:rsidP="00B343C4">
            <w:r w:rsidRPr="00C761FF">
              <w:t>10</w:t>
            </w:r>
          </w:p>
        </w:tc>
        <w:tc>
          <w:tcPr>
            <w:tcW w:w="692" w:type="pct"/>
            <w:hideMark/>
          </w:tcPr>
          <w:p w14:paraId="40885CE9" w14:textId="77777777" w:rsidR="00243D75" w:rsidRPr="00C761FF" w:rsidRDefault="00243D75" w:rsidP="00B343C4">
            <w:r w:rsidRPr="00C761FF">
              <w:t>4</w:t>
            </w:r>
          </w:p>
        </w:tc>
        <w:tc>
          <w:tcPr>
            <w:tcW w:w="604" w:type="pct"/>
            <w:hideMark/>
          </w:tcPr>
          <w:p w14:paraId="4A613F9E" w14:textId="77777777" w:rsidR="00243D75" w:rsidRPr="00C761FF" w:rsidRDefault="00243D75" w:rsidP="00B343C4">
            <w:r>
              <w:t>334</w:t>
            </w:r>
          </w:p>
        </w:tc>
        <w:tc>
          <w:tcPr>
            <w:tcW w:w="561" w:type="pct"/>
            <w:noWrap/>
            <w:hideMark/>
          </w:tcPr>
          <w:p w14:paraId="0FD27C99" w14:textId="77777777" w:rsidR="00243D75" w:rsidRPr="00C761FF" w:rsidRDefault="00243D75" w:rsidP="00B343C4">
            <w:r w:rsidRPr="00C761FF">
              <w:t>21</w:t>
            </w:r>
          </w:p>
        </w:tc>
        <w:tc>
          <w:tcPr>
            <w:tcW w:w="570" w:type="pct"/>
            <w:noWrap/>
            <w:hideMark/>
          </w:tcPr>
          <w:p w14:paraId="1902B826" w14:textId="77777777" w:rsidR="00243D75" w:rsidRPr="00C761FF" w:rsidRDefault="00243D75" w:rsidP="00B343C4">
            <w:r w:rsidRPr="00C761FF">
              <w:t>14</w:t>
            </w:r>
          </w:p>
        </w:tc>
        <w:tc>
          <w:tcPr>
            <w:tcW w:w="741" w:type="pct"/>
            <w:noWrap/>
            <w:hideMark/>
          </w:tcPr>
          <w:p w14:paraId="185F56FC" w14:textId="77777777" w:rsidR="00243D75" w:rsidRPr="00C761FF" w:rsidRDefault="00243D75" w:rsidP="00B343C4">
            <w:r>
              <w:t>4,676</w:t>
            </w:r>
          </w:p>
        </w:tc>
      </w:tr>
      <w:tr w:rsidR="00243D75" w:rsidRPr="00C761FF" w14:paraId="2370C638" w14:textId="77777777" w:rsidTr="00B343C4">
        <w:trPr>
          <w:trHeight w:val="530"/>
        </w:trPr>
        <w:tc>
          <w:tcPr>
            <w:tcW w:w="1006" w:type="pct"/>
            <w:hideMark/>
          </w:tcPr>
          <w:p w14:paraId="29E9B2E7" w14:textId="77777777" w:rsidR="00243D75" w:rsidRPr="0041034F" w:rsidRDefault="00243D75" w:rsidP="00B343C4">
            <w:pPr>
              <w:rPr>
                <w:b/>
              </w:rPr>
            </w:pPr>
            <w:r w:rsidRPr="0041034F">
              <w:rPr>
                <w:b/>
              </w:rPr>
              <w:t>Subtotal Non-IPPS chart-based</w:t>
            </w:r>
          </w:p>
        </w:tc>
        <w:tc>
          <w:tcPr>
            <w:tcW w:w="826" w:type="pct"/>
            <w:noWrap/>
            <w:hideMark/>
          </w:tcPr>
          <w:p w14:paraId="0581238F" w14:textId="77777777" w:rsidR="00243D75" w:rsidRPr="00C761FF" w:rsidRDefault="00243D75" w:rsidP="00B343C4">
            <w:r w:rsidRPr="00C761FF">
              <w:t> </w:t>
            </w:r>
          </w:p>
        </w:tc>
        <w:tc>
          <w:tcPr>
            <w:tcW w:w="692" w:type="pct"/>
            <w:noWrap/>
            <w:hideMark/>
          </w:tcPr>
          <w:p w14:paraId="463DDE0B" w14:textId="77777777" w:rsidR="00243D75" w:rsidRPr="00C761FF" w:rsidRDefault="00243D75" w:rsidP="00B343C4">
            <w:r w:rsidRPr="00C761FF">
              <w:t> </w:t>
            </w:r>
          </w:p>
        </w:tc>
        <w:tc>
          <w:tcPr>
            <w:tcW w:w="604" w:type="pct"/>
            <w:noWrap/>
            <w:hideMark/>
          </w:tcPr>
          <w:p w14:paraId="4E7C3592" w14:textId="77777777" w:rsidR="00243D75" w:rsidRPr="00C761FF" w:rsidRDefault="00243D75" w:rsidP="00B343C4">
            <w:r w:rsidRPr="00C761FF">
              <w:t> </w:t>
            </w:r>
          </w:p>
        </w:tc>
        <w:tc>
          <w:tcPr>
            <w:tcW w:w="561" w:type="pct"/>
            <w:noWrap/>
            <w:hideMark/>
          </w:tcPr>
          <w:p w14:paraId="0E1FF942" w14:textId="77777777" w:rsidR="00243D75" w:rsidRPr="00C761FF" w:rsidRDefault="00243D75" w:rsidP="00B343C4">
            <w:r w:rsidRPr="00C761FF">
              <w:t> </w:t>
            </w:r>
          </w:p>
        </w:tc>
        <w:tc>
          <w:tcPr>
            <w:tcW w:w="570" w:type="pct"/>
            <w:noWrap/>
            <w:hideMark/>
          </w:tcPr>
          <w:p w14:paraId="7BAA1CEF" w14:textId="4DA432D6" w:rsidR="00243D75" w:rsidRPr="00CA405D" w:rsidRDefault="00243D75" w:rsidP="00B343C4">
            <w:pPr>
              <w:rPr>
                <w:b/>
              </w:rPr>
            </w:pPr>
            <w:r w:rsidRPr="00C761FF">
              <w:t> </w:t>
            </w:r>
            <w:r w:rsidR="00CA405D" w:rsidRPr="00CA405D">
              <w:rPr>
                <w:b/>
              </w:rPr>
              <w:t>114</w:t>
            </w:r>
          </w:p>
        </w:tc>
        <w:tc>
          <w:tcPr>
            <w:tcW w:w="741" w:type="pct"/>
            <w:noWrap/>
            <w:hideMark/>
          </w:tcPr>
          <w:p w14:paraId="4824F35C" w14:textId="77777777" w:rsidR="00D32C81" w:rsidRDefault="00D32C81" w:rsidP="00D32C81">
            <w:pPr>
              <w:rPr>
                <w:b/>
                <w:bCs/>
                <w:color w:val="000000"/>
              </w:rPr>
            </w:pPr>
            <w:r>
              <w:rPr>
                <w:b/>
                <w:bCs/>
                <w:color w:val="000000"/>
              </w:rPr>
              <w:t>40,876</w:t>
            </w:r>
          </w:p>
          <w:p w14:paraId="4C98F80C" w14:textId="77777777" w:rsidR="00243D75" w:rsidRPr="00415548" w:rsidRDefault="00243D75" w:rsidP="00B343C4">
            <w:pPr>
              <w:rPr>
                <w:b/>
              </w:rPr>
            </w:pPr>
          </w:p>
        </w:tc>
      </w:tr>
      <w:tr w:rsidR="00243D75" w:rsidRPr="00C761FF" w14:paraId="1768F273" w14:textId="77777777" w:rsidTr="00B343C4">
        <w:trPr>
          <w:trHeight w:val="910"/>
        </w:trPr>
        <w:tc>
          <w:tcPr>
            <w:tcW w:w="1006" w:type="pct"/>
            <w:hideMark/>
          </w:tcPr>
          <w:p w14:paraId="38710E5D" w14:textId="77777777" w:rsidR="00243D75" w:rsidRPr="00C761FF" w:rsidRDefault="00243D75" w:rsidP="00B343C4">
            <w:pPr>
              <w:rPr>
                <w:b/>
                <w:bCs/>
              </w:rPr>
            </w:pPr>
            <w:r w:rsidRPr="00C761FF">
              <w:rPr>
                <w:b/>
                <w:bCs/>
              </w:rPr>
              <w:t>Subtotal IPPS and Non-IPPS chart-based</w:t>
            </w:r>
          </w:p>
        </w:tc>
        <w:tc>
          <w:tcPr>
            <w:tcW w:w="826" w:type="pct"/>
            <w:noWrap/>
            <w:hideMark/>
          </w:tcPr>
          <w:p w14:paraId="6440CC37" w14:textId="77777777" w:rsidR="00243D75" w:rsidRPr="00C761FF" w:rsidRDefault="00243D75" w:rsidP="00B343C4">
            <w:r w:rsidRPr="00C761FF">
              <w:t> </w:t>
            </w:r>
          </w:p>
        </w:tc>
        <w:tc>
          <w:tcPr>
            <w:tcW w:w="692" w:type="pct"/>
            <w:noWrap/>
            <w:hideMark/>
          </w:tcPr>
          <w:p w14:paraId="24E7504B" w14:textId="77777777" w:rsidR="00243D75" w:rsidRPr="00C761FF" w:rsidRDefault="00243D75" w:rsidP="00B343C4">
            <w:r w:rsidRPr="00C761FF">
              <w:t> </w:t>
            </w:r>
          </w:p>
        </w:tc>
        <w:tc>
          <w:tcPr>
            <w:tcW w:w="604" w:type="pct"/>
            <w:noWrap/>
            <w:hideMark/>
          </w:tcPr>
          <w:p w14:paraId="59001FD1" w14:textId="77777777" w:rsidR="00243D75" w:rsidRPr="00C761FF" w:rsidRDefault="00243D75" w:rsidP="00B343C4">
            <w:r w:rsidRPr="00C761FF">
              <w:t> </w:t>
            </w:r>
          </w:p>
        </w:tc>
        <w:tc>
          <w:tcPr>
            <w:tcW w:w="561" w:type="pct"/>
            <w:noWrap/>
            <w:hideMark/>
          </w:tcPr>
          <w:p w14:paraId="74D17535" w14:textId="77777777" w:rsidR="00243D75" w:rsidRPr="00C761FF" w:rsidRDefault="00243D75" w:rsidP="00B343C4">
            <w:r w:rsidRPr="00C761FF">
              <w:t> </w:t>
            </w:r>
          </w:p>
        </w:tc>
        <w:tc>
          <w:tcPr>
            <w:tcW w:w="570" w:type="pct"/>
            <w:noWrap/>
            <w:hideMark/>
          </w:tcPr>
          <w:p w14:paraId="228A5BC1" w14:textId="77777777" w:rsidR="00243D75" w:rsidRPr="00C761FF" w:rsidRDefault="00243D75" w:rsidP="00B343C4">
            <w:r w:rsidRPr="00C761FF">
              <w:t> </w:t>
            </w:r>
          </w:p>
        </w:tc>
        <w:tc>
          <w:tcPr>
            <w:tcW w:w="741" w:type="pct"/>
            <w:noWrap/>
            <w:hideMark/>
          </w:tcPr>
          <w:p w14:paraId="30EECB5D" w14:textId="77777777" w:rsidR="00D32C81" w:rsidRDefault="00D32C81" w:rsidP="00D32C81">
            <w:pPr>
              <w:rPr>
                <w:b/>
                <w:bCs/>
                <w:color w:val="000000"/>
              </w:rPr>
            </w:pPr>
            <w:r>
              <w:rPr>
                <w:b/>
                <w:bCs/>
                <w:color w:val="000000"/>
              </w:rPr>
              <w:t>1,528,076</w:t>
            </w:r>
          </w:p>
          <w:p w14:paraId="53FC76DE" w14:textId="77777777" w:rsidR="00243D75" w:rsidRPr="00C761FF" w:rsidRDefault="00243D75" w:rsidP="00B343C4">
            <w:pPr>
              <w:rPr>
                <w:b/>
                <w:bCs/>
              </w:rPr>
            </w:pPr>
          </w:p>
        </w:tc>
      </w:tr>
      <w:tr w:rsidR="00243D75" w:rsidRPr="00C761FF" w14:paraId="5312A6AB" w14:textId="77777777" w:rsidTr="00B343C4">
        <w:trPr>
          <w:trHeight w:val="179"/>
        </w:trPr>
        <w:tc>
          <w:tcPr>
            <w:tcW w:w="5000" w:type="pct"/>
            <w:gridSpan w:val="7"/>
            <w:noWrap/>
            <w:hideMark/>
          </w:tcPr>
          <w:p w14:paraId="3029EA6A" w14:textId="77777777" w:rsidR="00243D75" w:rsidRPr="00C761FF" w:rsidRDefault="00243D75" w:rsidP="00B343C4"/>
        </w:tc>
      </w:tr>
      <w:tr w:rsidR="00243D75" w:rsidRPr="00C761FF" w14:paraId="0890004F" w14:textId="77777777" w:rsidTr="00B343C4">
        <w:trPr>
          <w:trHeight w:val="310"/>
        </w:trPr>
        <w:tc>
          <w:tcPr>
            <w:tcW w:w="5000" w:type="pct"/>
            <w:gridSpan w:val="7"/>
            <w:hideMark/>
          </w:tcPr>
          <w:p w14:paraId="0D90D6E0" w14:textId="77777777" w:rsidR="00243D75" w:rsidRPr="00C761FF" w:rsidRDefault="00243D75" w:rsidP="00B343C4">
            <w:pPr>
              <w:rPr>
                <w:b/>
                <w:bCs/>
              </w:rPr>
            </w:pPr>
            <w:r w:rsidRPr="00C761FF">
              <w:rPr>
                <w:b/>
                <w:bCs/>
              </w:rPr>
              <w:t>OTHER ACTIVITIES</w:t>
            </w:r>
            <w:r w:rsidRPr="00C761FF">
              <w:rPr>
                <w:b/>
                <w:bCs/>
              </w:rPr>
              <w:br/>
              <w:t>All Hospitals (3,300 IPPS + 1,100 non-IPPS)</w:t>
            </w:r>
          </w:p>
        </w:tc>
      </w:tr>
      <w:tr w:rsidR="00243D75" w:rsidRPr="00C761FF" w14:paraId="7A77FA65" w14:textId="77777777" w:rsidTr="00B343C4">
        <w:trPr>
          <w:trHeight w:val="930"/>
        </w:trPr>
        <w:tc>
          <w:tcPr>
            <w:tcW w:w="1006" w:type="pct"/>
            <w:hideMark/>
          </w:tcPr>
          <w:p w14:paraId="17687B44" w14:textId="7D552A28" w:rsidR="00243D75" w:rsidRPr="00C761FF" w:rsidRDefault="00243D75" w:rsidP="00734C85">
            <w:r w:rsidRPr="00C761FF">
              <w:t xml:space="preserve">Population and sampling for </w:t>
            </w:r>
            <w:r w:rsidR="00D175F4">
              <w:t xml:space="preserve">the </w:t>
            </w:r>
            <w:r w:rsidRPr="00C761FF">
              <w:t>ongoing measure sets</w:t>
            </w:r>
          </w:p>
        </w:tc>
        <w:tc>
          <w:tcPr>
            <w:tcW w:w="826" w:type="pct"/>
            <w:noWrap/>
            <w:hideMark/>
          </w:tcPr>
          <w:p w14:paraId="1E4DABC2" w14:textId="77777777" w:rsidR="00243D75" w:rsidRPr="00C761FF" w:rsidRDefault="00243D75" w:rsidP="00B343C4">
            <w:r w:rsidRPr="00C761FF">
              <w:t>15</w:t>
            </w:r>
          </w:p>
        </w:tc>
        <w:tc>
          <w:tcPr>
            <w:tcW w:w="692" w:type="pct"/>
            <w:hideMark/>
          </w:tcPr>
          <w:p w14:paraId="24C2F2F7" w14:textId="77777777" w:rsidR="00243D75" w:rsidRPr="00C761FF" w:rsidRDefault="00243D75" w:rsidP="00B343C4">
            <w:r w:rsidRPr="00C761FF">
              <w:t>4</w:t>
            </w:r>
          </w:p>
        </w:tc>
        <w:tc>
          <w:tcPr>
            <w:tcW w:w="604" w:type="pct"/>
            <w:hideMark/>
          </w:tcPr>
          <w:p w14:paraId="65EFBE20" w14:textId="77777777" w:rsidR="00243D75" w:rsidRPr="00C761FF" w:rsidRDefault="00243D75" w:rsidP="00B343C4">
            <w:r w:rsidRPr="00C761FF">
              <w:t>4,400</w:t>
            </w:r>
          </w:p>
        </w:tc>
        <w:tc>
          <w:tcPr>
            <w:tcW w:w="561" w:type="pct"/>
            <w:noWrap/>
            <w:hideMark/>
          </w:tcPr>
          <w:p w14:paraId="395DCE02" w14:textId="77777777" w:rsidR="00243D75" w:rsidRPr="00C761FF" w:rsidRDefault="00243D75" w:rsidP="00B343C4">
            <w:r>
              <w:t>4</w:t>
            </w:r>
          </w:p>
        </w:tc>
        <w:tc>
          <w:tcPr>
            <w:tcW w:w="570" w:type="pct"/>
            <w:noWrap/>
            <w:hideMark/>
          </w:tcPr>
          <w:p w14:paraId="5EB4EA48" w14:textId="77777777" w:rsidR="00243D75" w:rsidRPr="00C761FF" w:rsidRDefault="00243D75" w:rsidP="00B343C4">
            <w:r>
              <w:t>4</w:t>
            </w:r>
          </w:p>
        </w:tc>
        <w:tc>
          <w:tcPr>
            <w:tcW w:w="741" w:type="pct"/>
            <w:noWrap/>
            <w:hideMark/>
          </w:tcPr>
          <w:p w14:paraId="5D8CB7E7" w14:textId="77777777" w:rsidR="00243D75" w:rsidRPr="00C761FF" w:rsidRDefault="00243D75" w:rsidP="00B343C4">
            <w:r>
              <w:t xml:space="preserve">17,600 </w:t>
            </w:r>
          </w:p>
        </w:tc>
      </w:tr>
      <w:tr w:rsidR="00243D75" w:rsidRPr="00C761FF" w14:paraId="325949C7" w14:textId="77777777" w:rsidTr="00B343C4">
        <w:trPr>
          <w:trHeight w:val="520"/>
        </w:trPr>
        <w:tc>
          <w:tcPr>
            <w:tcW w:w="1006" w:type="pct"/>
            <w:hideMark/>
          </w:tcPr>
          <w:p w14:paraId="67CE00F4" w14:textId="77777777" w:rsidR="00243D75" w:rsidRPr="00C761FF" w:rsidRDefault="00243D75" w:rsidP="00B343C4">
            <w:r w:rsidRPr="00C761FF">
              <w:t xml:space="preserve">Review reports for claims-based measure sets </w:t>
            </w:r>
          </w:p>
        </w:tc>
        <w:tc>
          <w:tcPr>
            <w:tcW w:w="826" w:type="pct"/>
            <w:noWrap/>
            <w:hideMark/>
          </w:tcPr>
          <w:p w14:paraId="6507920A" w14:textId="77777777" w:rsidR="00243D75" w:rsidRPr="00C761FF" w:rsidRDefault="00243D75" w:rsidP="00B343C4">
            <w:r w:rsidRPr="00C761FF">
              <w:t>60</w:t>
            </w:r>
          </w:p>
        </w:tc>
        <w:tc>
          <w:tcPr>
            <w:tcW w:w="692" w:type="pct"/>
            <w:hideMark/>
          </w:tcPr>
          <w:p w14:paraId="6E7A7E12" w14:textId="77777777" w:rsidR="00243D75" w:rsidRPr="00C761FF" w:rsidRDefault="00243D75" w:rsidP="00B343C4">
            <w:r w:rsidRPr="00C761FF">
              <w:t>4</w:t>
            </w:r>
          </w:p>
        </w:tc>
        <w:tc>
          <w:tcPr>
            <w:tcW w:w="604" w:type="pct"/>
            <w:hideMark/>
          </w:tcPr>
          <w:p w14:paraId="6C435CB7" w14:textId="77777777" w:rsidR="00243D75" w:rsidRPr="00C761FF" w:rsidRDefault="00243D75" w:rsidP="00B343C4">
            <w:r w:rsidRPr="00C761FF">
              <w:t>4,400</w:t>
            </w:r>
          </w:p>
        </w:tc>
        <w:tc>
          <w:tcPr>
            <w:tcW w:w="561" w:type="pct"/>
            <w:noWrap/>
            <w:hideMark/>
          </w:tcPr>
          <w:p w14:paraId="6F48D323" w14:textId="77777777" w:rsidR="00243D75" w:rsidRPr="00C761FF" w:rsidRDefault="00243D75" w:rsidP="00B343C4">
            <w:r w:rsidRPr="00C761FF">
              <w:t>1</w:t>
            </w:r>
          </w:p>
        </w:tc>
        <w:tc>
          <w:tcPr>
            <w:tcW w:w="570" w:type="pct"/>
            <w:noWrap/>
            <w:hideMark/>
          </w:tcPr>
          <w:p w14:paraId="57D8CCE4" w14:textId="77777777" w:rsidR="00243D75" w:rsidRPr="00C761FF" w:rsidRDefault="00243D75" w:rsidP="00B343C4">
            <w:r w:rsidRPr="00C761FF">
              <w:t>4</w:t>
            </w:r>
          </w:p>
        </w:tc>
        <w:tc>
          <w:tcPr>
            <w:tcW w:w="741" w:type="pct"/>
            <w:noWrap/>
            <w:hideMark/>
          </w:tcPr>
          <w:p w14:paraId="33392550" w14:textId="77777777" w:rsidR="00243D75" w:rsidRPr="00C761FF" w:rsidRDefault="00243D75" w:rsidP="00B343C4">
            <w:r>
              <w:t xml:space="preserve">17,600 </w:t>
            </w:r>
          </w:p>
        </w:tc>
      </w:tr>
      <w:tr w:rsidR="006862A1" w:rsidRPr="00C761FF" w14:paraId="4F19F7A0" w14:textId="77777777" w:rsidTr="00B343C4">
        <w:trPr>
          <w:trHeight w:val="780"/>
        </w:trPr>
        <w:tc>
          <w:tcPr>
            <w:tcW w:w="1006" w:type="pct"/>
          </w:tcPr>
          <w:p w14:paraId="2DB93939" w14:textId="12C82684" w:rsidR="006862A1" w:rsidRPr="00C761FF" w:rsidRDefault="006862A1" w:rsidP="006862A1">
            <w:r w:rsidRPr="00C761FF">
              <w:t>HAI Validation Templates (CLABSI, CAUTI)</w:t>
            </w:r>
          </w:p>
        </w:tc>
        <w:tc>
          <w:tcPr>
            <w:tcW w:w="826" w:type="pct"/>
            <w:noWrap/>
          </w:tcPr>
          <w:p w14:paraId="35D51221" w14:textId="237A5485" w:rsidR="006862A1" w:rsidRDefault="006862A1" w:rsidP="006862A1">
            <w:pPr>
              <w:rPr>
                <w:bCs/>
              </w:rPr>
            </w:pPr>
            <w:r w:rsidRPr="00C761FF">
              <w:t>1,200</w:t>
            </w:r>
          </w:p>
        </w:tc>
        <w:tc>
          <w:tcPr>
            <w:tcW w:w="692" w:type="pct"/>
          </w:tcPr>
          <w:p w14:paraId="4A254E56" w14:textId="27093F7F" w:rsidR="006862A1" w:rsidRDefault="006862A1" w:rsidP="006862A1">
            <w:pPr>
              <w:rPr>
                <w:bCs/>
              </w:rPr>
            </w:pPr>
            <w:r>
              <w:t>4</w:t>
            </w:r>
          </w:p>
        </w:tc>
        <w:tc>
          <w:tcPr>
            <w:tcW w:w="604" w:type="pct"/>
          </w:tcPr>
          <w:p w14:paraId="143B04A0" w14:textId="28D5A210" w:rsidR="006862A1" w:rsidRPr="00415548" w:rsidRDefault="006862A1" w:rsidP="006862A1">
            <w:pPr>
              <w:rPr>
                <w:bCs/>
              </w:rPr>
            </w:pPr>
            <w:r w:rsidRPr="00C761FF">
              <w:t>300</w:t>
            </w:r>
          </w:p>
        </w:tc>
        <w:tc>
          <w:tcPr>
            <w:tcW w:w="561" w:type="pct"/>
            <w:noWrap/>
          </w:tcPr>
          <w:p w14:paraId="372D1743" w14:textId="26B6F8C3" w:rsidR="006862A1" w:rsidRPr="00C761FF" w:rsidRDefault="006862A1" w:rsidP="006862A1">
            <w:r w:rsidRPr="00C761FF">
              <w:t>1</w:t>
            </w:r>
          </w:p>
        </w:tc>
        <w:tc>
          <w:tcPr>
            <w:tcW w:w="570" w:type="pct"/>
            <w:noWrap/>
          </w:tcPr>
          <w:p w14:paraId="57E23477" w14:textId="5472061D" w:rsidR="006862A1" w:rsidRDefault="006862A1" w:rsidP="006862A1">
            <w:r>
              <w:t xml:space="preserve">80 </w:t>
            </w:r>
          </w:p>
        </w:tc>
        <w:tc>
          <w:tcPr>
            <w:tcW w:w="741" w:type="pct"/>
            <w:noWrap/>
          </w:tcPr>
          <w:p w14:paraId="1C038BE1" w14:textId="356165FF" w:rsidR="006862A1" w:rsidRDefault="006862A1" w:rsidP="006862A1">
            <w:r>
              <w:t xml:space="preserve">24,000 </w:t>
            </w:r>
          </w:p>
        </w:tc>
      </w:tr>
      <w:tr w:rsidR="006862A1" w:rsidRPr="00C761FF" w14:paraId="72A2B667" w14:textId="77777777" w:rsidTr="00B343C4">
        <w:trPr>
          <w:trHeight w:val="780"/>
        </w:trPr>
        <w:tc>
          <w:tcPr>
            <w:tcW w:w="1006" w:type="pct"/>
          </w:tcPr>
          <w:p w14:paraId="2F01CB29" w14:textId="7492AAD8" w:rsidR="006862A1" w:rsidRPr="00C761FF" w:rsidRDefault="006862A1" w:rsidP="006862A1">
            <w:r w:rsidRPr="00C761FF">
              <w:t>HAI Validation Templates (MRSA, CDI)</w:t>
            </w:r>
          </w:p>
        </w:tc>
        <w:tc>
          <w:tcPr>
            <w:tcW w:w="826" w:type="pct"/>
            <w:noWrap/>
          </w:tcPr>
          <w:p w14:paraId="72DBBD5B" w14:textId="39B11E0D" w:rsidR="006862A1" w:rsidRDefault="006862A1" w:rsidP="006862A1">
            <w:pPr>
              <w:rPr>
                <w:bCs/>
              </w:rPr>
            </w:pPr>
            <w:r w:rsidRPr="00C761FF">
              <w:t>960</w:t>
            </w:r>
          </w:p>
        </w:tc>
        <w:tc>
          <w:tcPr>
            <w:tcW w:w="692" w:type="pct"/>
          </w:tcPr>
          <w:p w14:paraId="72FC479D" w14:textId="5ADA9CAE" w:rsidR="006862A1" w:rsidRDefault="006862A1" w:rsidP="006862A1">
            <w:pPr>
              <w:rPr>
                <w:bCs/>
              </w:rPr>
            </w:pPr>
            <w:r>
              <w:t>4</w:t>
            </w:r>
          </w:p>
        </w:tc>
        <w:tc>
          <w:tcPr>
            <w:tcW w:w="604" w:type="pct"/>
          </w:tcPr>
          <w:p w14:paraId="5354401B" w14:textId="0FB9B5C0" w:rsidR="006862A1" w:rsidRPr="00415548" w:rsidRDefault="006862A1" w:rsidP="006862A1">
            <w:pPr>
              <w:rPr>
                <w:bCs/>
              </w:rPr>
            </w:pPr>
            <w:r w:rsidRPr="00C761FF">
              <w:t>300</w:t>
            </w:r>
          </w:p>
        </w:tc>
        <w:tc>
          <w:tcPr>
            <w:tcW w:w="561" w:type="pct"/>
            <w:noWrap/>
          </w:tcPr>
          <w:p w14:paraId="622C1F34" w14:textId="627E47DC" w:rsidR="006862A1" w:rsidRPr="00C761FF" w:rsidRDefault="006862A1" w:rsidP="006862A1">
            <w:r w:rsidRPr="00C761FF">
              <w:t>1</w:t>
            </w:r>
          </w:p>
        </w:tc>
        <w:tc>
          <w:tcPr>
            <w:tcW w:w="570" w:type="pct"/>
            <w:noWrap/>
          </w:tcPr>
          <w:p w14:paraId="51B5EE19" w14:textId="2197BD35" w:rsidR="006862A1" w:rsidRDefault="006862A1" w:rsidP="006862A1">
            <w:r>
              <w:t xml:space="preserve">64 </w:t>
            </w:r>
          </w:p>
        </w:tc>
        <w:tc>
          <w:tcPr>
            <w:tcW w:w="741" w:type="pct"/>
            <w:noWrap/>
          </w:tcPr>
          <w:p w14:paraId="4B7C179D" w14:textId="55425E83" w:rsidR="006862A1" w:rsidRDefault="006862A1" w:rsidP="006862A1">
            <w:r>
              <w:t xml:space="preserve">19,200 </w:t>
            </w:r>
          </w:p>
        </w:tc>
      </w:tr>
      <w:tr w:rsidR="006862A1" w:rsidRPr="00C761FF" w14:paraId="463D55A6" w14:textId="77777777" w:rsidTr="00B343C4">
        <w:trPr>
          <w:trHeight w:val="780"/>
        </w:trPr>
        <w:tc>
          <w:tcPr>
            <w:tcW w:w="1006" w:type="pct"/>
            <w:hideMark/>
          </w:tcPr>
          <w:p w14:paraId="2670175C" w14:textId="77777777" w:rsidR="006862A1" w:rsidRPr="00C761FF" w:rsidRDefault="006862A1" w:rsidP="006862A1">
            <w:r w:rsidRPr="00C761FF">
              <w:t xml:space="preserve">Reporting </w:t>
            </w:r>
            <w:r>
              <w:t>four</w:t>
            </w:r>
            <w:r w:rsidRPr="00C761FF">
              <w:t xml:space="preserve"> electronic Clinical Quality Measures (IPPS)</w:t>
            </w:r>
          </w:p>
        </w:tc>
        <w:tc>
          <w:tcPr>
            <w:tcW w:w="826" w:type="pct"/>
            <w:noWrap/>
            <w:hideMark/>
          </w:tcPr>
          <w:p w14:paraId="353CE383" w14:textId="77777777" w:rsidR="006862A1" w:rsidRPr="00415548" w:rsidRDefault="006862A1" w:rsidP="006862A1">
            <w:pPr>
              <w:rPr>
                <w:bCs/>
              </w:rPr>
            </w:pPr>
            <w:r>
              <w:rPr>
                <w:bCs/>
              </w:rPr>
              <w:t>40</w:t>
            </w:r>
          </w:p>
        </w:tc>
        <w:tc>
          <w:tcPr>
            <w:tcW w:w="692" w:type="pct"/>
            <w:hideMark/>
          </w:tcPr>
          <w:p w14:paraId="7BF0F02D" w14:textId="77777777" w:rsidR="006862A1" w:rsidRPr="00415548" w:rsidRDefault="006862A1" w:rsidP="006862A1">
            <w:pPr>
              <w:rPr>
                <w:bCs/>
              </w:rPr>
            </w:pPr>
            <w:r>
              <w:rPr>
                <w:bCs/>
              </w:rPr>
              <w:t>1</w:t>
            </w:r>
          </w:p>
        </w:tc>
        <w:tc>
          <w:tcPr>
            <w:tcW w:w="604" w:type="pct"/>
            <w:hideMark/>
          </w:tcPr>
          <w:p w14:paraId="653AFB83" w14:textId="77777777" w:rsidR="006862A1" w:rsidRPr="00415548" w:rsidRDefault="006862A1" w:rsidP="006862A1">
            <w:pPr>
              <w:rPr>
                <w:bCs/>
              </w:rPr>
            </w:pPr>
            <w:r w:rsidRPr="00415548">
              <w:rPr>
                <w:bCs/>
              </w:rPr>
              <w:t>3</w:t>
            </w:r>
            <w:r>
              <w:rPr>
                <w:bCs/>
              </w:rPr>
              <w:t>,</w:t>
            </w:r>
            <w:r w:rsidRPr="00415548">
              <w:rPr>
                <w:bCs/>
              </w:rPr>
              <w:t>300</w:t>
            </w:r>
          </w:p>
        </w:tc>
        <w:tc>
          <w:tcPr>
            <w:tcW w:w="561" w:type="pct"/>
            <w:noWrap/>
            <w:hideMark/>
          </w:tcPr>
          <w:p w14:paraId="22CFB286" w14:textId="77777777" w:rsidR="006862A1" w:rsidRPr="00C761FF" w:rsidRDefault="006862A1" w:rsidP="006862A1">
            <w:r w:rsidRPr="00C761FF">
              <w:t>1</w:t>
            </w:r>
          </w:p>
        </w:tc>
        <w:tc>
          <w:tcPr>
            <w:tcW w:w="570" w:type="pct"/>
            <w:noWrap/>
            <w:hideMark/>
          </w:tcPr>
          <w:p w14:paraId="150081AB" w14:textId="79DF39EA" w:rsidR="006862A1" w:rsidRPr="00C761FF" w:rsidRDefault="006862A1" w:rsidP="006862A1">
            <w:r>
              <w:t>0.67</w:t>
            </w:r>
          </w:p>
        </w:tc>
        <w:tc>
          <w:tcPr>
            <w:tcW w:w="741" w:type="pct"/>
            <w:noWrap/>
            <w:hideMark/>
          </w:tcPr>
          <w:p w14:paraId="4F7B3F6F" w14:textId="77777777" w:rsidR="006862A1" w:rsidRPr="00C761FF" w:rsidRDefault="006862A1" w:rsidP="006862A1">
            <w:r>
              <w:t>2,200</w:t>
            </w:r>
          </w:p>
        </w:tc>
      </w:tr>
      <w:tr w:rsidR="006862A1" w:rsidRPr="00C761FF" w14:paraId="78730D83" w14:textId="77777777" w:rsidTr="00B343C4">
        <w:trPr>
          <w:trHeight w:val="1050"/>
        </w:trPr>
        <w:tc>
          <w:tcPr>
            <w:tcW w:w="1006" w:type="pct"/>
            <w:hideMark/>
          </w:tcPr>
          <w:p w14:paraId="3A0B905B" w14:textId="77777777" w:rsidR="006862A1" w:rsidRPr="00C761FF" w:rsidRDefault="006862A1" w:rsidP="006862A1">
            <w:r w:rsidRPr="00C761FF">
              <w:t xml:space="preserve">Reporting </w:t>
            </w:r>
            <w:r>
              <w:t>four</w:t>
            </w:r>
            <w:r w:rsidRPr="00C761FF">
              <w:t xml:space="preserve"> electronic Clinical Quality Measures (non-IPPS)</w:t>
            </w:r>
          </w:p>
        </w:tc>
        <w:tc>
          <w:tcPr>
            <w:tcW w:w="826" w:type="pct"/>
            <w:noWrap/>
            <w:hideMark/>
          </w:tcPr>
          <w:p w14:paraId="68ADBEBC" w14:textId="77777777" w:rsidR="006862A1" w:rsidRPr="00415548" w:rsidRDefault="006862A1" w:rsidP="006862A1">
            <w:pPr>
              <w:rPr>
                <w:bCs/>
              </w:rPr>
            </w:pPr>
            <w:r>
              <w:rPr>
                <w:bCs/>
              </w:rPr>
              <w:t>40</w:t>
            </w:r>
          </w:p>
        </w:tc>
        <w:tc>
          <w:tcPr>
            <w:tcW w:w="692" w:type="pct"/>
            <w:hideMark/>
          </w:tcPr>
          <w:p w14:paraId="6C7B1DAB" w14:textId="77777777" w:rsidR="006862A1" w:rsidRPr="00415548" w:rsidRDefault="006862A1" w:rsidP="006862A1">
            <w:pPr>
              <w:rPr>
                <w:bCs/>
              </w:rPr>
            </w:pPr>
            <w:r>
              <w:rPr>
                <w:bCs/>
              </w:rPr>
              <w:t>1</w:t>
            </w:r>
          </w:p>
        </w:tc>
        <w:tc>
          <w:tcPr>
            <w:tcW w:w="604" w:type="pct"/>
            <w:hideMark/>
          </w:tcPr>
          <w:p w14:paraId="4A2E0E20" w14:textId="77777777" w:rsidR="006862A1" w:rsidRPr="00415548" w:rsidRDefault="006862A1" w:rsidP="006862A1">
            <w:pPr>
              <w:rPr>
                <w:bCs/>
              </w:rPr>
            </w:pPr>
            <w:r w:rsidRPr="00415548">
              <w:rPr>
                <w:bCs/>
              </w:rPr>
              <w:t>1</w:t>
            </w:r>
            <w:r>
              <w:rPr>
                <w:bCs/>
              </w:rPr>
              <w:t>,</w:t>
            </w:r>
            <w:r w:rsidRPr="00415548">
              <w:rPr>
                <w:bCs/>
              </w:rPr>
              <w:t>100</w:t>
            </w:r>
          </w:p>
        </w:tc>
        <w:tc>
          <w:tcPr>
            <w:tcW w:w="561" w:type="pct"/>
            <w:noWrap/>
            <w:hideMark/>
          </w:tcPr>
          <w:p w14:paraId="63E0B5C5" w14:textId="77777777" w:rsidR="006862A1" w:rsidRPr="00C761FF" w:rsidRDefault="006862A1" w:rsidP="006862A1">
            <w:r w:rsidRPr="00C761FF">
              <w:t>1</w:t>
            </w:r>
          </w:p>
        </w:tc>
        <w:tc>
          <w:tcPr>
            <w:tcW w:w="570" w:type="pct"/>
            <w:noWrap/>
            <w:hideMark/>
          </w:tcPr>
          <w:p w14:paraId="3EAA1FBB" w14:textId="735373BB" w:rsidR="006862A1" w:rsidRPr="00C761FF" w:rsidRDefault="006862A1" w:rsidP="006862A1">
            <w:r>
              <w:t>0.67</w:t>
            </w:r>
          </w:p>
        </w:tc>
        <w:tc>
          <w:tcPr>
            <w:tcW w:w="741" w:type="pct"/>
            <w:noWrap/>
            <w:hideMark/>
          </w:tcPr>
          <w:p w14:paraId="1F90289F" w14:textId="77777777" w:rsidR="006862A1" w:rsidRPr="00C761FF" w:rsidRDefault="006862A1" w:rsidP="006862A1">
            <w:r>
              <w:t>733</w:t>
            </w:r>
          </w:p>
        </w:tc>
      </w:tr>
      <w:tr w:rsidR="006862A1" w:rsidRPr="00C761FF" w14:paraId="76FF7BA4" w14:textId="77777777" w:rsidTr="00B343C4">
        <w:trPr>
          <w:trHeight w:val="615"/>
        </w:trPr>
        <w:tc>
          <w:tcPr>
            <w:tcW w:w="1006" w:type="pct"/>
          </w:tcPr>
          <w:p w14:paraId="70DA4BCE" w14:textId="77777777" w:rsidR="006862A1" w:rsidRPr="00DE4A46" w:rsidRDefault="006862A1" w:rsidP="006862A1">
            <w:r w:rsidRPr="00DE4A46">
              <w:t>eCQM Validation</w:t>
            </w:r>
          </w:p>
        </w:tc>
        <w:tc>
          <w:tcPr>
            <w:tcW w:w="826" w:type="pct"/>
            <w:noWrap/>
          </w:tcPr>
          <w:p w14:paraId="019B095D" w14:textId="77777777" w:rsidR="006862A1" w:rsidRPr="00DE4A46" w:rsidRDefault="006862A1" w:rsidP="006862A1">
            <w:pPr>
              <w:rPr>
                <w:bCs/>
              </w:rPr>
            </w:pPr>
            <w:r w:rsidRPr="00DE4A46">
              <w:rPr>
                <w:bCs/>
              </w:rPr>
              <w:t>80</w:t>
            </w:r>
          </w:p>
        </w:tc>
        <w:tc>
          <w:tcPr>
            <w:tcW w:w="692" w:type="pct"/>
          </w:tcPr>
          <w:p w14:paraId="33C2DB13" w14:textId="77777777" w:rsidR="006862A1" w:rsidRPr="00DE4A46" w:rsidRDefault="006862A1" w:rsidP="006862A1">
            <w:r>
              <w:t>2</w:t>
            </w:r>
          </w:p>
        </w:tc>
        <w:tc>
          <w:tcPr>
            <w:tcW w:w="604" w:type="pct"/>
          </w:tcPr>
          <w:p w14:paraId="555B3AC6" w14:textId="77777777" w:rsidR="006862A1" w:rsidRPr="00DE4A46" w:rsidRDefault="006862A1" w:rsidP="006862A1">
            <w:r w:rsidRPr="00DE4A46">
              <w:t>200</w:t>
            </w:r>
          </w:p>
        </w:tc>
        <w:tc>
          <w:tcPr>
            <w:tcW w:w="561" w:type="pct"/>
            <w:noWrap/>
          </w:tcPr>
          <w:p w14:paraId="27EA9F3A" w14:textId="77777777" w:rsidR="006862A1" w:rsidRPr="00DE4A46" w:rsidRDefault="006862A1" w:rsidP="006862A1">
            <w:r w:rsidRPr="00DE4A46">
              <w:t>8</w:t>
            </w:r>
          </w:p>
        </w:tc>
        <w:tc>
          <w:tcPr>
            <w:tcW w:w="570" w:type="pct"/>
            <w:noWrap/>
          </w:tcPr>
          <w:p w14:paraId="6EEB3568" w14:textId="77777777" w:rsidR="006862A1" w:rsidRPr="00DE4A46" w:rsidRDefault="006862A1" w:rsidP="006862A1">
            <w:r>
              <w:t>21</w:t>
            </w:r>
          </w:p>
        </w:tc>
        <w:tc>
          <w:tcPr>
            <w:tcW w:w="741" w:type="pct"/>
            <w:noWrap/>
          </w:tcPr>
          <w:p w14:paraId="506CBF9B" w14:textId="77777777" w:rsidR="006862A1" w:rsidRPr="00DE4A46" w:rsidRDefault="006862A1" w:rsidP="006862A1">
            <w:r>
              <w:t>2</w:t>
            </w:r>
            <w:r w:rsidRPr="00DE4A46">
              <w:t>,2</w:t>
            </w:r>
            <w:r>
              <w:t>00</w:t>
            </w:r>
          </w:p>
        </w:tc>
      </w:tr>
      <w:tr w:rsidR="006862A1" w:rsidRPr="00C761FF" w14:paraId="1F29956F" w14:textId="77777777" w:rsidTr="00B343C4">
        <w:trPr>
          <w:trHeight w:val="1160"/>
        </w:trPr>
        <w:tc>
          <w:tcPr>
            <w:tcW w:w="1006" w:type="pct"/>
            <w:hideMark/>
          </w:tcPr>
          <w:p w14:paraId="423736B8" w14:textId="77777777" w:rsidR="006862A1" w:rsidRPr="00C761FF" w:rsidRDefault="006862A1" w:rsidP="006862A1">
            <w:r w:rsidRPr="00C761FF">
              <w:t xml:space="preserve">All other forms </w:t>
            </w:r>
            <w:r>
              <w:t xml:space="preserve">used in the data collection process </w:t>
            </w:r>
            <w:r w:rsidRPr="00C761FF">
              <w:t>and structural measures</w:t>
            </w:r>
          </w:p>
        </w:tc>
        <w:tc>
          <w:tcPr>
            <w:tcW w:w="826" w:type="pct"/>
            <w:noWrap/>
            <w:hideMark/>
          </w:tcPr>
          <w:p w14:paraId="5B3AF94C" w14:textId="77777777" w:rsidR="006862A1" w:rsidRPr="00C761FF" w:rsidRDefault="006862A1" w:rsidP="006862A1">
            <w:r w:rsidRPr="00C761FF">
              <w:t>15</w:t>
            </w:r>
          </w:p>
        </w:tc>
        <w:tc>
          <w:tcPr>
            <w:tcW w:w="692" w:type="pct"/>
            <w:hideMark/>
          </w:tcPr>
          <w:p w14:paraId="007ACB41" w14:textId="77777777" w:rsidR="006862A1" w:rsidRPr="00C761FF" w:rsidRDefault="006862A1" w:rsidP="006862A1">
            <w:r w:rsidRPr="00C761FF">
              <w:t>1</w:t>
            </w:r>
          </w:p>
        </w:tc>
        <w:tc>
          <w:tcPr>
            <w:tcW w:w="604" w:type="pct"/>
            <w:hideMark/>
          </w:tcPr>
          <w:p w14:paraId="01D42CA5" w14:textId="77777777" w:rsidR="006862A1" w:rsidRPr="00C761FF" w:rsidRDefault="006862A1" w:rsidP="006862A1">
            <w:r w:rsidRPr="00C761FF">
              <w:t>4,400</w:t>
            </w:r>
          </w:p>
        </w:tc>
        <w:tc>
          <w:tcPr>
            <w:tcW w:w="561" w:type="pct"/>
            <w:noWrap/>
            <w:hideMark/>
          </w:tcPr>
          <w:p w14:paraId="43C179FA" w14:textId="77777777" w:rsidR="006862A1" w:rsidRPr="00C761FF" w:rsidRDefault="006862A1" w:rsidP="006862A1">
            <w:r w:rsidRPr="00C761FF">
              <w:t>1</w:t>
            </w:r>
          </w:p>
        </w:tc>
        <w:tc>
          <w:tcPr>
            <w:tcW w:w="570" w:type="pct"/>
            <w:noWrap/>
            <w:hideMark/>
          </w:tcPr>
          <w:p w14:paraId="70714E75" w14:textId="77777777" w:rsidR="006862A1" w:rsidRPr="00C761FF" w:rsidRDefault="006862A1" w:rsidP="006862A1">
            <w:r w:rsidRPr="00C761FF">
              <w:t>0.25</w:t>
            </w:r>
          </w:p>
        </w:tc>
        <w:tc>
          <w:tcPr>
            <w:tcW w:w="741" w:type="pct"/>
            <w:noWrap/>
            <w:hideMark/>
          </w:tcPr>
          <w:p w14:paraId="45DBDFE8" w14:textId="77777777" w:rsidR="006862A1" w:rsidRPr="00C761FF" w:rsidRDefault="006862A1" w:rsidP="006862A1">
            <w:r w:rsidRPr="00C761FF">
              <w:t>1,</w:t>
            </w:r>
            <w:r>
              <w:t>1</w:t>
            </w:r>
            <w:r w:rsidRPr="00C761FF">
              <w:t>00</w:t>
            </w:r>
          </w:p>
        </w:tc>
      </w:tr>
      <w:tr w:rsidR="006862A1" w:rsidRPr="00C761FF" w14:paraId="13563876" w14:textId="77777777" w:rsidTr="00D32C81">
        <w:trPr>
          <w:trHeight w:val="610"/>
        </w:trPr>
        <w:tc>
          <w:tcPr>
            <w:tcW w:w="1006" w:type="pct"/>
            <w:hideMark/>
          </w:tcPr>
          <w:p w14:paraId="1956881C" w14:textId="77777777" w:rsidR="006862A1" w:rsidRPr="00C761FF" w:rsidRDefault="006862A1" w:rsidP="006862A1">
            <w:pPr>
              <w:rPr>
                <w:b/>
                <w:bCs/>
              </w:rPr>
            </w:pPr>
            <w:r w:rsidRPr="00C761FF">
              <w:rPr>
                <w:b/>
                <w:bCs/>
              </w:rPr>
              <w:t>Subtotal other activities</w:t>
            </w:r>
          </w:p>
        </w:tc>
        <w:tc>
          <w:tcPr>
            <w:tcW w:w="826" w:type="pct"/>
            <w:noWrap/>
            <w:hideMark/>
          </w:tcPr>
          <w:p w14:paraId="27B06A46" w14:textId="77777777" w:rsidR="006862A1" w:rsidRPr="00C761FF" w:rsidRDefault="006862A1" w:rsidP="006862A1">
            <w:pPr>
              <w:rPr>
                <w:b/>
                <w:bCs/>
              </w:rPr>
            </w:pPr>
            <w:r w:rsidRPr="00C761FF">
              <w:rPr>
                <w:b/>
                <w:bCs/>
              </w:rPr>
              <w:t> </w:t>
            </w:r>
          </w:p>
        </w:tc>
        <w:tc>
          <w:tcPr>
            <w:tcW w:w="692" w:type="pct"/>
            <w:hideMark/>
          </w:tcPr>
          <w:p w14:paraId="35E9B993" w14:textId="77777777" w:rsidR="006862A1" w:rsidRPr="00C761FF" w:rsidRDefault="006862A1" w:rsidP="006862A1">
            <w:pPr>
              <w:rPr>
                <w:b/>
                <w:bCs/>
              </w:rPr>
            </w:pPr>
            <w:r w:rsidRPr="00C761FF">
              <w:rPr>
                <w:b/>
                <w:bCs/>
              </w:rPr>
              <w:t> </w:t>
            </w:r>
          </w:p>
        </w:tc>
        <w:tc>
          <w:tcPr>
            <w:tcW w:w="604" w:type="pct"/>
            <w:hideMark/>
          </w:tcPr>
          <w:p w14:paraId="62811471" w14:textId="77777777" w:rsidR="006862A1" w:rsidRPr="00C761FF" w:rsidRDefault="006862A1" w:rsidP="006862A1">
            <w:pPr>
              <w:rPr>
                <w:b/>
                <w:bCs/>
              </w:rPr>
            </w:pPr>
            <w:r w:rsidRPr="00C761FF">
              <w:rPr>
                <w:b/>
                <w:bCs/>
              </w:rPr>
              <w:t> </w:t>
            </w:r>
          </w:p>
        </w:tc>
        <w:tc>
          <w:tcPr>
            <w:tcW w:w="561" w:type="pct"/>
            <w:noWrap/>
            <w:hideMark/>
          </w:tcPr>
          <w:p w14:paraId="0CFA1D4D" w14:textId="77777777" w:rsidR="006862A1" w:rsidRPr="00C761FF" w:rsidRDefault="006862A1" w:rsidP="006862A1">
            <w:pPr>
              <w:rPr>
                <w:b/>
                <w:bCs/>
              </w:rPr>
            </w:pPr>
            <w:r w:rsidRPr="00C761FF">
              <w:rPr>
                <w:b/>
                <w:bCs/>
              </w:rPr>
              <w:t> </w:t>
            </w:r>
          </w:p>
        </w:tc>
        <w:tc>
          <w:tcPr>
            <w:tcW w:w="570" w:type="pct"/>
            <w:noWrap/>
            <w:hideMark/>
          </w:tcPr>
          <w:p w14:paraId="7242DC2D" w14:textId="77777777" w:rsidR="006862A1" w:rsidRPr="00C761FF" w:rsidRDefault="006862A1" w:rsidP="006862A1">
            <w:r w:rsidRPr="00C761FF">
              <w:t> </w:t>
            </w:r>
          </w:p>
        </w:tc>
        <w:tc>
          <w:tcPr>
            <w:tcW w:w="741" w:type="pct"/>
            <w:noWrap/>
            <w:vAlign w:val="center"/>
            <w:hideMark/>
          </w:tcPr>
          <w:p w14:paraId="0A0595F3" w14:textId="473F406F" w:rsidR="006862A1" w:rsidRPr="00415548" w:rsidRDefault="002748A2" w:rsidP="006862A1">
            <w:pPr>
              <w:rPr>
                <w:b/>
              </w:rPr>
            </w:pPr>
            <w:r>
              <w:rPr>
                <w:b/>
                <w:bCs/>
                <w:color w:val="000000"/>
              </w:rPr>
              <w:t>84,633</w:t>
            </w:r>
          </w:p>
        </w:tc>
      </w:tr>
      <w:tr w:rsidR="006862A1" w:rsidRPr="00C761FF" w14:paraId="5644AF6F" w14:textId="77777777" w:rsidTr="00D32C81">
        <w:trPr>
          <w:trHeight w:val="430"/>
        </w:trPr>
        <w:tc>
          <w:tcPr>
            <w:tcW w:w="1006" w:type="pct"/>
            <w:hideMark/>
          </w:tcPr>
          <w:p w14:paraId="6DC0CEA5" w14:textId="77777777" w:rsidR="006862A1" w:rsidRPr="00C761FF" w:rsidRDefault="006862A1" w:rsidP="006862A1">
            <w:pPr>
              <w:rPr>
                <w:b/>
                <w:bCs/>
                <w:u w:val="single"/>
              </w:rPr>
            </w:pPr>
            <w:r w:rsidRPr="00C761FF">
              <w:rPr>
                <w:b/>
                <w:bCs/>
                <w:u w:val="single"/>
              </w:rPr>
              <w:t>Total</w:t>
            </w:r>
          </w:p>
        </w:tc>
        <w:tc>
          <w:tcPr>
            <w:tcW w:w="826" w:type="pct"/>
            <w:noWrap/>
            <w:hideMark/>
          </w:tcPr>
          <w:p w14:paraId="18C49099" w14:textId="77777777" w:rsidR="006862A1" w:rsidRPr="00C761FF" w:rsidRDefault="006862A1" w:rsidP="006862A1">
            <w:r w:rsidRPr="00C761FF">
              <w:t> </w:t>
            </w:r>
          </w:p>
        </w:tc>
        <w:tc>
          <w:tcPr>
            <w:tcW w:w="692" w:type="pct"/>
            <w:hideMark/>
          </w:tcPr>
          <w:p w14:paraId="47EBEC69" w14:textId="77777777" w:rsidR="006862A1" w:rsidRPr="00C761FF" w:rsidRDefault="006862A1" w:rsidP="006862A1">
            <w:pPr>
              <w:rPr>
                <w:b/>
                <w:bCs/>
              </w:rPr>
            </w:pPr>
            <w:r w:rsidRPr="00C761FF">
              <w:rPr>
                <w:b/>
                <w:bCs/>
              </w:rPr>
              <w:t> </w:t>
            </w:r>
          </w:p>
        </w:tc>
        <w:tc>
          <w:tcPr>
            <w:tcW w:w="604" w:type="pct"/>
            <w:hideMark/>
          </w:tcPr>
          <w:p w14:paraId="40D96624" w14:textId="77777777" w:rsidR="006862A1" w:rsidRPr="00C761FF" w:rsidRDefault="006862A1" w:rsidP="006862A1">
            <w:pPr>
              <w:rPr>
                <w:b/>
                <w:bCs/>
              </w:rPr>
            </w:pPr>
            <w:r w:rsidRPr="00C761FF">
              <w:rPr>
                <w:b/>
                <w:bCs/>
              </w:rPr>
              <w:t> </w:t>
            </w:r>
          </w:p>
        </w:tc>
        <w:tc>
          <w:tcPr>
            <w:tcW w:w="561" w:type="pct"/>
            <w:noWrap/>
            <w:hideMark/>
          </w:tcPr>
          <w:p w14:paraId="6F303F6D" w14:textId="77777777" w:rsidR="006862A1" w:rsidRPr="00C761FF" w:rsidRDefault="006862A1" w:rsidP="006862A1">
            <w:r w:rsidRPr="00C761FF">
              <w:t> </w:t>
            </w:r>
          </w:p>
        </w:tc>
        <w:tc>
          <w:tcPr>
            <w:tcW w:w="570" w:type="pct"/>
            <w:noWrap/>
            <w:hideMark/>
          </w:tcPr>
          <w:p w14:paraId="28FE3C53" w14:textId="77777777" w:rsidR="006862A1" w:rsidRPr="00C761FF" w:rsidRDefault="006862A1" w:rsidP="006862A1">
            <w:r w:rsidRPr="00C761FF">
              <w:t> </w:t>
            </w:r>
          </w:p>
        </w:tc>
        <w:tc>
          <w:tcPr>
            <w:tcW w:w="741" w:type="pct"/>
            <w:noWrap/>
            <w:vAlign w:val="center"/>
            <w:hideMark/>
          </w:tcPr>
          <w:p w14:paraId="3C5CFC37" w14:textId="6097BE8F" w:rsidR="006862A1" w:rsidRPr="00C761FF" w:rsidRDefault="002748A2" w:rsidP="006862A1">
            <w:pPr>
              <w:rPr>
                <w:b/>
                <w:bCs/>
                <w:u w:val="single"/>
              </w:rPr>
            </w:pPr>
            <w:r>
              <w:rPr>
                <w:b/>
                <w:bCs/>
                <w:color w:val="000000"/>
                <w:u w:val="single"/>
              </w:rPr>
              <w:t>1,612,710</w:t>
            </w:r>
          </w:p>
        </w:tc>
      </w:tr>
    </w:tbl>
    <w:p w14:paraId="240B0CEB" w14:textId="77777777" w:rsidR="00243D75" w:rsidRDefault="00243D75" w:rsidP="00243D75"/>
    <w:p w14:paraId="084ED163" w14:textId="77777777" w:rsidR="00CA405D" w:rsidRDefault="00CA405D" w:rsidP="00CA405D">
      <w:pPr>
        <w:rPr>
          <w:i/>
        </w:rPr>
      </w:pPr>
      <w:r>
        <w:rPr>
          <w:i/>
        </w:rPr>
        <w:t>Summary</w:t>
      </w:r>
    </w:p>
    <w:p w14:paraId="676D6171" w14:textId="77777777" w:rsidR="00F14ACA" w:rsidRPr="00132A2F" w:rsidRDefault="00F14ACA" w:rsidP="00CA405D">
      <w:pPr>
        <w:rPr>
          <w:i/>
        </w:rPr>
      </w:pPr>
    </w:p>
    <w:p w14:paraId="52C385BA" w14:textId="52F787EA" w:rsidR="00CA405D" w:rsidRDefault="00CA405D" w:rsidP="00CA405D">
      <w:r>
        <w:t xml:space="preserve">In total, we estimate: (1) a decrease of </w:t>
      </w:r>
      <w:r w:rsidRPr="00132A2F">
        <w:rPr>
          <w:rFonts w:eastAsia="Calibri"/>
        </w:rPr>
        <w:t>858,000</w:t>
      </w:r>
      <w:r w:rsidRPr="00132A2F">
        <w:t xml:space="preserve"> hours and approximately $31.4 million </w:t>
      </w:r>
      <w:r w:rsidR="00C620B0">
        <w:t>across all 3,300</w:t>
      </w:r>
      <w:r w:rsidRPr="00132A2F">
        <w:t xml:space="preserve"> IPPS hospitals due to </w:t>
      </w:r>
      <w:r w:rsidR="00C620B0">
        <w:t xml:space="preserve">the </w:t>
      </w:r>
      <w:r w:rsidR="00811D58">
        <w:t>finalized</w:t>
      </w:r>
      <w:r w:rsidR="00811D58" w:rsidRPr="00132A2F">
        <w:t xml:space="preserve"> </w:t>
      </w:r>
      <w:r w:rsidRPr="00132A2F">
        <w:t xml:space="preserve">removal of </w:t>
      </w:r>
      <w:r w:rsidR="00C620B0">
        <w:t xml:space="preserve">the </w:t>
      </w:r>
      <w:r w:rsidRPr="00132A2F">
        <w:t xml:space="preserve">ED-2 chart-abstracted measure; </w:t>
      </w:r>
      <w:r w:rsidR="00515BDB">
        <w:t xml:space="preserve">and </w:t>
      </w:r>
      <w:r w:rsidRPr="00132A2F">
        <w:t xml:space="preserve">(2) a decrease of </w:t>
      </w:r>
      <w:r w:rsidR="00C620B0">
        <w:rPr>
          <w:color w:val="000000"/>
        </w:rPr>
        <w:t>49,390</w:t>
      </w:r>
      <w:r w:rsidRPr="00132A2F">
        <w:t xml:space="preserve"> hours and approximately $</w:t>
      </w:r>
      <w:r w:rsidR="00C620B0">
        <w:t>1.8</w:t>
      </w:r>
      <w:r w:rsidRPr="00132A2F">
        <w:t xml:space="preserve"> million </w:t>
      </w:r>
      <w:r w:rsidR="00C620B0">
        <w:t>across participating</w:t>
      </w:r>
      <w:r w:rsidRPr="00132A2F">
        <w:t xml:space="preserve"> non-IPPS hospitals due to </w:t>
      </w:r>
      <w:r w:rsidR="00C620B0">
        <w:t xml:space="preserve">the </w:t>
      </w:r>
      <w:r w:rsidR="00F0454E">
        <w:t>finalized</w:t>
      </w:r>
      <w:r w:rsidR="00F0454E" w:rsidRPr="00132A2F">
        <w:t xml:space="preserve"> </w:t>
      </w:r>
      <w:r w:rsidRPr="00132A2F">
        <w:t xml:space="preserve">removal of </w:t>
      </w:r>
      <w:r w:rsidR="00C620B0">
        <w:t xml:space="preserve">the </w:t>
      </w:r>
      <w:r w:rsidRPr="00132A2F">
        <w:t>ED-2 chart-abstracted measure</w:t>
      </w:r>
      <w:r w:rsidR="00C620B0">
        <w:t>, as discussed above</w:t>
      </w:r>
      <w:r w:rsidRPr="00132A2F">
        <w:t xml:space="preserve">.  In total for the FY 2022 payment determination, we estimate a decrease of approximately </w:t>
      </w:r>
      <w:r w:rsidR="00C40809" w:rsidRPr="00105F5E">
        <w:rPr>
          <w:color w:val="000000"/>
        </w:rPr>
        <w:t>907,390</w:t>
      </w:r>
      <w:r w:rsidRPr="00132A2F">
        <w:rPr>
          <w:rFonts w:eastAsia="Calibri"/>
          <w:b/>
        </w:rPr>
        <w:t xml:space="preserve"> </w:t>
      </w:r>
      <w:r w:rsidRPr="00132A2F">
        <w:t xml:space="preserve">hours </w:t>
      </w:r>
      <w:r w:rsidR="005F5447">
        <w:t xml:space="preserve">(-858,000 hours + -49,390 hours) </w:t>
      </w:r>
      <w:r w:rsidRPr="00132A2F">
        <w:t xml:space="preserve">and </w:t>
      </w:r>
      <w:r w:rsidRPr="00105F5E">
        <w:t>$</w:t>
      </w:r>
      <w:r w:rsidR="00E31EAB" w:rsidRPr="00105F5E">
        <w:t>33.2</w:t>
      </w:r>
      <w:r>
        <w:t xml:space="preserve"> million </w:t>
      </w:r>
      <w:r w:rsidR="005F5447" w:rsidRPr="00F14ACA">
        <w:t>(</w:t>
      </w:r>
      <w:r w:rsidR="005F5447" w:rsidRPr="00105F5E">
        <w:t>-</w:t>
      </w:r>
      <w:r w:rsidR="00C40809" w:rsidRPr="00105F5E">
        <w:t>907,390</w:t>
      </w:r>
      <w:r w:rsidR="005F5447">
        <w:t xml:space="preserve"> hours </w:t>
      </w:r>
      <w:r w:rsidR="005F5447" w:rsidRPr="00592DB9">
        <w:t xml:space="preserve">x $36.58 per hour) </w:t>
      </w:r>
      <w:r>
        <w:t xml:space="preserve">across all participating </w:t>
      </w:r>
      <w:r w:rsidR="005F5447" w:rsidRPr="00637E44">
        <w:t>IPPS and non-IPPS hospitals</w:t>
      </w:r>
      <w:r>
        <w:t xml:space="preserve"> due to </w:t>
      </w:r>
      <w:r w:rsidR="00515BDB">
        <w:t xml:space="preserve">the finalized </w:t>
      </w:r>
      <w:r>
        <w:t xml:space="preserve">changes set forth in the FY 2019 IPPS/LTCH PPS </w:t>
      </w:r>
      <w:r w:rsidR="00515BDB">
        <w:t xml:space="preserve">final </w:t>
      </w:r>
      <w:r>
        <w:t xml:space="preserve">rule.  </w:t>
      </w:r>
    </w:p>
    <w:p w14:paraId="13295A4B" w14:textId="77777777" w:rsidR="00CA405D" w:rsidRDefault="00CA405D" w:rsidP="00CA405D"/>
    <w:p w14:paraId="56FB53CF" w14:textId="5A010C35" w:rsidR="00243D75" w:rsidRPr="0022675F" w:rsidRDefault="00132A2F" w:rsidP="00243D75">
      <w:r>
        <w:t xml:space="preserve">Given </w:t>
      </w:r>
      <w:r w:rsidR="00C620B0">
        <w:t>the estimated burden reduction summarized above</w:t>
      </w:r>
      <w:r>
        <w:t xml:space="preserve">, </w:t>
      </w:r>
      <w:r w:rsidRPr="00947DBD">
        <w:t xml:space="preserve">we estimate a total </w:t>
      </w:r>
      <w:r w:rsidRPr="007867C8">
        <w:t xml:space="preserve">burden of </w:t>
      </w:r>
      <w:r w:rsidR="0065252A" w:rsidRPr="00105F5E">
        <w:rPr>
          <w:color w:val="000000"/>
        </w:rPr>
        <w:t>1,612,710</w:t>
      </w:r>
      <w:r w:rsidRPr="00592DB9">
        <w:rPr>
          <w:rFonts w:eastAsia="Calibri"/>
          <w:b/>
        </w:rPr>
        <w:t xml:space="preserve"> </w:t>
      </w:r>
      <w:r w:rsidRPr="007867C8">
        <w:t xml:space="preserve">hours </w:t>
      </w:r>
      <w:r w:rsidR="00C60114">
        <w:t xml:space="preserve">(2,520,100 hours - </w:t>
      </w:r>
      <w:r w:rsidR="00C40809" w:rsidRPr="00105F5E">
        <w:rPr>
          <w:color w:val="000000"/>
        </w:rPr>
        <w:t>907,390</w:t>
      </w:r>
      <w:r w:rsidR="00C60114" w:rsidRPr="00132A2F">
        <w:rPr>
          <w:rFonts w:eastAsia="Calibri"/>
          <w:b/>
        </w:rPr>
        <w:t xml:space="preserve"> </w:t>
      </w:r>
      <w:r w:rsidR="00C60114" w:rsidRPr="00132A2F">
        <w:t>hours</w:t>
      </w:r>
      <w:r w:rsidR="00C60114">
        <w:t>)</w:t>
      </w:r>
      <w:r w:rsidR="00C60114" w:rsidRPr="007867C8">
        <w:t xml:space="preserve"> </w:t>
      </w:r>
      <w:r w:rsidRPr="007867C8">
        <w:t>for the FY 202</w:t>
      </w:r>
      <w:r>
        <w:t>2</w:t>
      </w:r>
      <w:r w:rsidRPr="007867C8">
        <w:t xml:space="preserve"> payment determination.  </w:t>
      </w:r>
      <w:r w:rsidR="00C620B0">
        <w:t>W</w:t>
      </w:r>
      <w:r w:rsidRPr="007867C8">
        <w:t>ith our estimate</w:t>
      </w:r>
      <w:r>
        <w:t>d wage rate</w:t>
      </w:r>
      <w:r w:rsidRPr="007867C8">
        <w:t xml:space="preserve"> of $</w:t>
      </w:r>
      <w:r>
        <w:t>36.58 per hour</w:t>
      </w:r>
      <w:r w:rsidRPr="007867C8">
        <w:t xml:space="preserve">, we estimate a </w:t>
      </w:r>
      <w:r>
        <w:t xml:space="preserve">total </w:t>
      </w:r>
      <w:r w:rsidRPr="007867C8">
        <w:t xml:space="preserve">cost of approximately </w:t>
      </w:r>
      <w:r w:rsidRPr="00105F5E">
        <w:t>$</w:t>
      </w:r>
      <w:r w:rsidR="00E31EAB" w:rsidRPr="00105F5E">
        <w:t>59.0</w:t>
      </w:r>
      <w:r>
        <w:t xml:space="preserve"> million.  </w:t>
      </w:r>
      <w:r w:rsidR="00C620B0" w:rsidRPr="001B46F6">
        <w:t xml:space="preserve">We </w:t>
      </w:r>
      <w:r w:rsidR="00B85590">
        <w:t xml:space="preserve">note </w:t>
      </w:r>
      <w:r w:rsidR="00C620B0" w:rsidRPr="001B46F6">
        <w:t xml:space="preserve">that our </w:t>
      </w:r>
      <w:r w:rsidR="000E147E">
        <w:t xml:space="preserve">finalized </w:t>
      </w:r>
      <w:r w:rsidR="00C620B0" w:rsidRPr="001B46F6">
        <w:t xml:space="preserve">policy changes </w:t>
      </w:r>
      <w:r w:rsidR="00C620B0">
        <w:t xml:space="preserve">in the FY 2019 IPPS/LTCH PPS </w:t>
      </w:r>
      <w:r w:rsidR="0065252A">
        <w:t xml:space="preserve">final </w:t>
      </w:r>
      <w:r w:rsidR="00C620B0">
        <w:t xml:space="preserve">rule </w:t>
      </w:r>
      <w:r w:rsidR="00F14ACA">
        <w:t xml:space="preserve">will </w:t>
      </w:r>
      <w:r w:rsidR="00C620B0">
        <w:t>result</w:t>
      </w:r>
      <w:r w:rsidR="00C620B0" w:rsidRPr="001B46F6">
        <w:t xml:space="preserve"> in a burden reduction </w:t>
      </w:r>
      <w:r w:rsidR="00C620B0">
        <w:t>compared to the</w:t>
      </w:r>
      <w:r w:rsidR="00C620B0" w:rsidRPr="001B46F6">
        <w:t xml:space="preserve"> </w:t>
      </w:r>
      <w:r w:rsidR="00C620B0">
        <w:t>total burden estimated for the FY 2021 payment determination described above</w:t>
      </w:r>
      <w:r w:rsidR="00C620B0" w:rsidRPr="001B46F6">
        <w:t xml:space="preserve">.  </w:t>
      </w:r>
      <w:r>
        <w:t>W</w:t>
      </w:r>
      <w:r w:rsidRPr="001B46F6">
        <w:t xml:space="preserve">e are requesting </w:t>
      </w:r>
      <w:r>
        <w:t>approval of this burden estimate for the FY 2022 payment determination</w:t>
      </w:r>
      <w:r w:rsidR="00243D75" w:rsidRPr="001B46F6">
        <w:t>.</w:t>
      </w:r>
    </w:p>
    <w:p w14:paraId="02CB0E22" w14:textId="77777777" w:rsidR="0006535F" w:rsidRDefault="0006535F" w:rsidP="004D6FC1">
      <w:pPr>
        <w:rPr>
          <w:u w:val="single"/>
        </w:rPr>
      </w:pPr>
    </w:p>
    <w:p w14:paraId="42E9F156" w14:textId="3364CE2F" w:rsidR="00FE6A43" w:rsidRDefault="004D6FC1" w:rsidP="00D12DD1">
      <w:pPr>
        <w:keepNext/>
        <w:rPr>
          <w:u w:val="single"/>
        </w:rPr>
      </w:pPr>
      <w:r>
        <w:rPr>
          <w:u w:val="single"/>
        </w:rPr>
        <w:t xml:space="preserve">e. </w:t>
      </w:r>
      <w:r w:rsidR="00855446">
        <w:rPr>
          <w:u w:val="single"/>
        </w:rPr>
        <w:t xml:space="preserve"> </w:t>
      </w:r>
      <w:r w:rsidR="00FE6A43" w:rsidRPr="00E23B48">
        <w:rPr>
          <w:u w:val="single"/>
        </w:rPr>
        <w:t xml:space="preserve">Estimates for </w:t>
      </w:r>
      <w:r w:rsidR="00FE6A43">
        <w:rPr>
          <w:u w:val="single"/>
        </w:rPr>
        <w:t xml:space="preserve">the </w:t>
      </w:r>
      <w:r w:rsidR="00FE6A43" w:rsidRPr="00E23B48">
        <w:rPr>
          <w:u w:val="single"/>
        </w:rPr>
        <w:t>FY 202</w:t>
      </w:r>
      <w:r w:rsidR="00FE6A43">
        <w:rPr>
          <w:u w:val="single"/>
        </w:rPr>
        <w:t>3</w:t>
      </w:r>
      <w:r w:rsidR="00FE6A43" w:rsidRPr="00E23B48">
        <w:rPr>
          <w:u w:val="single"/>
        </w:rPr>
        <w:t xml:space="preserve"> Payment Determination</w:t>
      </w:r>
      <w:r w:rsidR="00FE6A43" w:rsidRPr="000E455D">
        <w:rPr>
          <w:u w:val="single"/>
        </w:rPr>
        <w:t xml:space="preserve"> </w:t>
      </w:r>
    </w:p>
    <w:p w14:paraId="23DC58EC" w14:textId="70567E8F" w:rsidR="00FE6A43" w:rsidRDefault="00FE6A43" w:rsidP="00D12DD1">
      <w:pPr>
        <w:keepNext/>
        <w:rPr>
          <w:u w:val="single"/>
        </w:rPr>
      </w:pPr>
    </w:p>
    <w:p w14:paraId="65717809" w14:textId="06F2585E" w:rsidR="00053CE5" w:rsidRDefault="004161D8" w:rsidP="00A9335D">
      <w:pPr>
        <w:autoSpaceDE w:val="0"/>
        <w:autoSpaceDN w:val="0"/>
        <w:adjustRightInd w:val="0"/>
      </w:pPr>
      <w:r>
        <w:t>In the FY 2019 IPPS/LTCH PPS final rule</w:t>
      </w:r>
      <w:r w:rsidR="002915DE">
        <w:t xml:space="preserve">, we are finalizing our proposal to remove one claims-based </w:t>
      </w:r>
      <w:r w:rsidR="002915DE" w:rsidRPr="00326277">
        <w:t>measure</w:t>
      </w:r>
      <w:r w:rsidR="002915DE">
        <w:t xml:space="preserve"> beginning with the FY 2023</w:t>
      </w:r>
      <w:r w:rsidR="002915DE" w:rsidRPr="00326277">
        <w:t xml:space="preserve"> payment determination</w:t>
      </w:r>
      <w:r w:rsidR="002915DE">
        <w:t xml:space="preserve">.  </w:t>
      </w:r>
      <w:r w:rsidR="00AA051B">
        <w:t xml:space="preserve">We do not </w:t>
      </w:r>
      <w:r w:rsidR="00993E00">
        <w:t>anticipate that removal of this claims-based measure will result in a change in burden.</w:t>
      </w:r>
      <w:r w:rsidR="001B3171">
        <w:t xml:space="preserve">  </w:t>
      </w:r>
      <w:r w:rsidR="00AA5668">
        <w:t xml:space="preserve">We </w:t>
      </w:r>
      <w:r w:rsidR="00F14ACA">
        <w:t>do</w:t>
      </w:r>
      <w:r w:rsidR="00F15D04">
        <w:t xml:space="preserve"> </w:t>
      </w:r>
      <w:r w:rsidR="00AA5668">
        <w:t xml:space="preserve">anticipate a </w:t>
      </w:r>
      <w:r w:rsidR="00C17D25">
        <w:t>change</w:t>
      </w:r>
      <w:r w:rsidR="00AA5668">
        <w:t xml:space="preserve"> in burden associated with Hospital IQR Program validation activities for the HAI measures beginning with the FY 202</w:t>
      </w:r>
      <w:r w:rsidR="00EA03E3">
        <w:t>3</w:t>
      </w:r>
      <w:r w:rsidR="00AA5668">
        <w:t xml:space="preserve"> payment determination.  As the HAI measures are </w:t>
      </w:r>
      <w:r w:rsidR="00C17D25">
        <w:t xml:space="preserve">being </w:t>
      </w:r>
      <w:r w:rsidR="00953C04">
        <w:t xml:space="preserve">finalized </w:t>
      </w:r>
      <w:r w:rsidR="00AA5668">
        <w:t>for removal from the Hospital IQR Program beginning with the FY 202</w:t>
      </w:r>
      <w:r w:rsidR="00EA03E3">
        <w:t>2</w:t>
      </w:r>
      <w:r w:rsidR="00AA5668">
        <w:t xml:space="preserve"> payment determination, the last year of HAI validation under the Hospital IQR Program </w:t>
      </w:r>
      <w:r w:rsidR="005B582D">
        <w:t>will</w:t>
      </w:r>
      <w:r w:rsidR="00AA5668">
        <w:t xml:space="preserve"> be conducted for the FY 202</w:t>
      </w:r>
      <w:r w:rsidR="00EA03E3">
        <w:t>2</w:t>
      </w:r>
      <w:r w:rsidR="00AA5668">
        <w:t xml:space="preserve"> payment determination.  As discussed in the FY 2019 IPPS/LTCH PPS </w:t>
      </w:r>
      <w:r w:rsidR="00EA03E3">
        <w:t>final</w:t>
      </w:r>
      <w:r w:rsidR="00AA5668">
        <w:t xml:space="preserve"> rule, because the HAI measures will be retained in the Hospital-Acquired Condition Reduction Program, the HAI validation activities </w:t>
      </w:r>
      <w:r w:rsidR="00EA03E3">
        <w:t xml:space="preserve">will </w:t>
      </w:r>
      <w:r w:rsidR="00AA5668">
        <w:t>be transferred to the latter program beginning with the FY 202</w:t>
      </w:r>
      <w:r w:rsidR="00293674">
        <w:t>3</w:t>
      </w:r>
      <w:r w:rsidR="00AA5668">
        <w:t xml:space="preserve"> payment determination.</w:t>
      </w:r>
      <w:r w:rsidR="00AA5668" w:rsidRPr="00A22F94">
        <w:t xml:space="preserve"> </w:t>
      </w:r>
      <w:r w:rsidR="00AA5668">
        <w:t xml:space="preserve"> </w:t>
      </w:r>
    </w:p>
    <w:p w14:paraId="28963BFB" w14:textId="2687E6B3" w:rsidR="003F107D" w:rsidRDefault="003F107D" w:rsidP="00A9335D">
      <w:pPr>
        <w:autoSpaceDE w:val="0"/>
        <w:autoSpaceDN w:val="0"/>
        <w:adjustRightInd w:val="0"/>
      </w:pPr>
    </w:p>
    <w:p w14:paraId="46AA24B0" w14:textId="4CDC4BE5" w:rsidR="003F107D" w:rsidRDefault="003F107D" w:rsidP="00A9335D">
      <w:pPr>
        <w:autoSpaceDE w:val="0"/>
        <w:autoSpaceDN w:val="0"/>
        <w:adjustRightInd w:val="0"/>
      </w:pPr>
      <w:r>
        <w:t xml:space="preserve">As discussed below, we anticipate a total burden decrease of </w:t>
      </w:r>
      <w:r w:rsidR="00D175F4">
        <w:t>43,200</w:t>
      </w:r>
      <w:r>
        <w:t xml:space="preserve"> hours, </w:t>
      </w:r>
      <w:r w:rsidR="00D175F4">
        <w:t>and</w:t>
      </w:r>
      <w:r>
        <w:t xml:space="preserve"> a total cost decrease of approximately </w:t>
      </w:r>
      <w:r w:rsidRPr="00105F5E">
        <w:t>$</w:t>
      </w:r>
      <w:r w:rsidR="00D175F4">
        <w:t>1.6</w:t>
      </w:r>
      <w:r>
        <w:t xml:space="preserve"> million, across all participating hospitals associated with the policy changes as finalized for the FY 2023 payment determination.</w:t>
      </w:r>
    </w:p>
    <w:p w14:paraId="6D0232BE" w14:textId="77777777" w:rsidR="00053CE5" w:rsidRDefault="00053CE5" w:rsidP="00A9335D">
      <w:pPr>
        <w:autoSpaceDE w:val="0"/>
        <w:autoSpaceDN w:val="0"/>
        <w:adjustRightInd w:val="0"/>
      </w:pPr>
    </w:p>
    <w:p w14:paraId="0E7D1E8A" w14:textId="77777777" w:rsidR="00053CE5" w:rsidRDefault="00053CE5" w:rsidP="00053CE5">
      <w:pPr>
        <w:keepNext/>
        <w:rPr>
          <w:i/>
        </w:rPr>
      </w:pPr>
      <w:r w:rsidRPr="004161D8">
        <w:rPr>
          <w:i/>
        </w:rPr>
        <w:t>Finalized Measure Removal</w:t>
      </w:r>
    </w:p>
    <w:p w14:paraId="74A3715B" w14:textId="77777777" w:rsidR="00C17D25" w:rsidRPr="004161D8" w:rsidRDefault="00C17D25" w:rsidP="00053CE5">
      <w:pPr>
        <w:keepNext/>
        <w:rPr>
          <w:i/>
        </w:rPr>
      </w:pPr>
    </w:p>
    <w:p w14:paraId="4D5B1FFC" w14:textId="607C4257" w:rsidR="00A9335D" w:rsidRDefault="00053CE5" w:rsidP="00F15D04">
      <w:pPr>
        <w:keepNext/>
      </w:pPr>
      <w:r>
        <w:t xml:space="preserve">As discussed above, we are finalizing our proposal to </w:t>
      </w:r>
      <w:r w:rsidRPr="00326277">
        <w:t xml:space="preserve">remove </w:t>
      </w:r>
      <w:r>
        <w:t xml:space="preserve">one claims-based </w:t>
      </w:r>
      <w:r w:rsidRPr="00326277">
        <w:t>measure</w:t>
      </w:r>
      <w:r>
        <w:t xml:space="preserve"> beginning with the FY 2023</w:t>
      </w:r>
      <w:r w:rsidRPr="00326277">
        <w:t xml:space="preserve"> payment determination</w:t>
      </w:r>
      <w:r>
        <w:t xml:space="preserve">, </w:t>
      </w:r>
      <w:r w:rsidRPr="001358D9">
        <w:t>Hospital-Level Risk-Standardized Complication Rate Following Elective Primary Total Hip Arthroplasty and/or Total Knee Arthroplasty</w:t>
      </w:r>
      <w:r>
        <w:t xml:space="preserve">.  </w:t>
      </w:r>
      <w:r w:rsidRPr="001B46F6">
        <w:t xml:space="preserve">We estimate </w:t>
      </w:r>
      <w:r>
        <w:t>no change in</w:t>
      </w:r>
      <w:r w:rsidRPr="001B46F6">
        <w:t xml:space="preserve"> burden </w:t>
      </w:r>
      <w:r>
        <w:t xml:space="preserve">as a result of this </w:t>
      </w:r>
      <w:r w:rsidR="004B1843">
        <w:t>finalized policy</w:t>
      </w:r>
      <w:r>
        <w:t>.  B</w:t>
      </w:r>
      <w:r w:rsidRPr="00792D0B">
        <w:t xml:space="preserve">ecause </w:t>
      </w:r>
      <w:r>
        <w:t>claims-based measures</w:t>
      </w:r>
      <w:r w:rsidRPr="00792D0B">
        <w:t xml:space="preserve"> </w:t>
      </w:r>
      <w:r>
        <w:t>are</w:t>
      </w:r>
      <w:r w:rsidRPr="00792D0B">
        <w:t xml:space="preserve"> calculated based on data that are already reported to the Medicare program for payment purposes</w:t>
      </w:r>
      <w:r>
        <w:t>,</w:t>
      </w:r>
      <w:r w:rsidRPr="00792D0B">
        <w:t xml:space="preserve"> </w:t>
      </w:r>
      <w:r w:rsidRPr="00471F14">
        <w:t xml:space="preserve">we do not </w:t>
      </w:r>
      <w:r>
        <w:t>anticipate</w:t>
      </w:r>
      <w:r w:rsidRPr="00471F14">
        <w:t xml:space="preserve"> </w:t>
      </w:r>
      <w:r w:rsidRPr="00701E35">
        <w:t xml:space="preserve">removing </w:t>
      </w:r>
      <w:r>
        <w:t>this</w:t>
      </w:r>
      <w:r w:rsidRPr="00471F14">
        <w:t xml:space="preserve"> </w:t>
      </w:r>
      <w:r>
        <w:t>measure</w:t>
      </w:r>
      <w:r w:rsidRPr="00471F14">
        <w:t xml:space="preserve"> </w:t>
      </w:r>
      <w:r>
        <w:t>would</w:t>
      </w:r>
      <w:r w:rsidRPr="00471F14">
        <w:t xml:space="preserve"> </w:t>
      </w:r>
      <w:r>
        <w:t>increase or decrease</w:t>
      </w:r>
      <w:r w:rsidRPr="00471F14">
        <w:t xml:space="preserve"> reporting burden on hospitals</w:t>
      </w:r>
      <w:r w:rsidRPr="00792D0B">
        <w:t>.</w:t>
      </w:r>
      <w:r>
        <w:t xml:space="preserve">  </w:t>
      </w:r>
      <w:r w:rsidR="001D495C">
        <w:br/>
      </w:r>
    </w:p>
    <w:p w14:paraId="31DC646F" w14:textId="0F93EE6E" w:rsidR="001D495C" w:rsidRDefault="001D495C" w:rsidP="00A9335D">
      <w:pPr>
        <w:autoSpaceDE w:val="0"/>
        <w:autoSpaceDN w:val="0"/>
        <w:adjustRightInd w:val="0"/>
        <w:rPr>
          <w:i/>
        </w:rPr>
      </w:pPr>
      <w:r w:rsidRPr="00693E15">
        <w:rPr>
          <w:i/>
        </w:rPr>
        <w:t>Measure Validation Impacts</w:t>
      </w:r>
    </w:p>
    <w:p w14:paraId="1F2A5B90" w14:textId="77777777" w:rsidR="00F14ACA" w:rsidRPr="00693E15" w:rsidRDefault="00F14ACA" w:rsidP="00A9335D">
      <w:pPr>
        <w:autoSpaceDE w:val="0"/>
        <w:autoSpaceDN w:val="0"/>
        <w:adjustRightInd w:val="0"/>
        <w:rPr>
          <w:i/>
        </w:rPr>
      </w:pPr>
    </w:p>
    <w:p w14:paraId="5F0EE889" w14:textId="1F116A39" w:rsidR="001D495C" w:rsidRDefault="001D495C" w:rsidP="00A9335D">
      <w:pPr>
        <w:autoSpaceDE w:val="0"/>
        <w:autoSpaceDN w:val="0"/>
        <w:adjustRightInd w:val="0"/>
      </w:pPr>
      <w:r>
        <w:t>While w</w:t>
      </w:r>
      <w:r w:rsidRPr="007561FE">
        <w:t>e</w:t>
      </w:r>
      <w:r>
        <w:t xml:space="preserve"> did not propose </w:t>
      </w:r>
      <w:r w:rsidR="0020228C">
        <w:t xml:space="preserve">to make </w:t>
      </w:r>
      <w:r>
        <w:t xml:space="preserve">any changes to </w:t>
      </w:r>
      <w:r w:rsidRPr="007561FE">
        <w:t>our vali</w:t>
      </w:r>
      <w:r>
        <w:t xml:space="preserve">dation requirements related to </w:t>
      </w:r>
      <w:r w:rsidRPr="007561FE">
        <w:t xml:space="preserve">chart-abstracted measures, we believe that hospitals </w:t>
      </w:r>
      <w:r>
        <w:t>would</w:t>
      </w:r>
      <w:r w:rsidRPr="007561FE">
        <w:t xml:space="preserve"> experience an overall reduction in burden </w:t>
      </w:r>
      <w:r>
        <w:t xml:space="preserve">under the Hospital IQR Program (OMB control number 0938-1022) </w:t>
      </w:r>
      <w:r w:rsidRPr="007561FE">
        <w:t xml:space="preserve">associated with </w:t>
      </w:r>
      <w:r w:rsidR="00D175F4">
        <w:t>HAI</w:t>
      </w:r>
      <w:r w:rsidRPr="007561FE">
        <w:t xml:space="preserve"> measure validation beginning with the FY 202</w:t>
      </w:r>
      <w:r w:rsidR="00AE6DB4">
        <w:t>3</w:t>
      </w:r>
      <w:r w:rsidRPr="007561FE">
        <w:t xml:space="preserve"> payment determination</w:t>
      </w:r>
      <w:r>
        <w:t xml:space="preserve"> as a result of the</w:t>
      </w:r>
      <w:r w:rsidRPr="007561FE">
        <w:t xml:space="preserve"> </w:t>
      </w:r>
      <w:r w:rsidR="00AE6DB4">
        <w:t xml:space="preserve">finalized </w:t>
      </w:r>
      <w:r>
        <w:t>removal</w:t>
      </w:r>
      <w:r w:rsidRPr="007561FE">
        <w:t xml:space="preserve"> </w:t>
      </w:r>
      <w:r>
        <w:t>of five</w:t>
      </w:r>
      <w:r w:rsidRPr="007561FE">
        <w:t xml:space="preserve"> HAI</w:t>
      </w:r>
      <w:r>
        <w:t xml:space="preserve"> measure</w:t>
      </w:r>
      <w:r w:rsidRPr="007561FE">
        <w:t>s</w:t>
      </w:r>
      <w:r>
        <w:t xml:space="preserve"> beginning with the FY 202</w:t>
      </w:r>
      <w:r w:rsidR="00AE6DB4">
        <w:t>2</w:t>
      </w:r>
      <w:r>
        <w:t xml:space="preserve"> payment determination.</w:t>
      </w:r>
    </w:p>
    <w:p w14:paraId="139484D0" w14:textId="54F332A2" w:rsidR="00CE22ED" w:rsidRDefault="00CE22ED" w:rsidP="00A9335D">
      <w:pPr>
        <w:autoSpaceDE w:val="0"/>
        <w:autoSpaceDN w:val="0"/>
        <w:adjustRightInd w:val="0"/>
      </w:pPr>
    </w:p>
    <w:p w14:paraId="10EA52C9" w14:textId="6BAFB2BE" w:rsidR="00CE22ED" w:rsidRDefault="00237C11" w:rsidP="00A9335D">
      <w:pPr>
        <w:autoSpaceDE w:val="0"/>
        <w:autoSpaceDN w:val="0"/>
        <w:adjustRightInd w:val="0"/>
        <w:rPr>
          <w:u w:val="single"/>
        </w:rPr>
      </w:pPr>
      <w:r>
        <w:t>B</w:t>
      </w:r>
      <w:r w:rsidRPr="001358D9">
        <w:t xml:space="preserve">ecause </w:t>
      </w:r>
      <w:r>
        <w:t xml:space="preserve">we are </w:t>
      </w:r>
      <w:r w:rsidR="00CC67B2">
        <w:t xml:space="preserve">finalizing our </w:t>
      </w:r>
      <w:r>
        <w:t>propos</w:t>
      </w:r>
      <w:r w:rsidR="00CC67B2">
        <w:t>als</w:t>
      </w:r>
      <w:r>
        <w:t xml:space="preserve"> to remove all five of the</w:t>
      </w:r>
      <w:r w:rsidRPr="001358D9">
        <w:t xml:space="preserve"> HAI</w:t>
      </w:r>
      <w:r>
        <w:t xml:space="preserve"> </w:t>
      </w:r>
      <w:r w:rsidRPr="001358D9">
        <w:t>measure</w:t>
      </w:r>
      <w:r>
        <w:t>s from</w:t>
      </w:r>
      <w:r w:rsidRPr="001358D9">
        <w:t xml:space="preserve"> the Hospital</w:t>
      </w:r>
      <w:r>
        <w:t xml:space="preserve"> </w:t>
      </w:r>
      <w:r w:rsidRPr="001358D9">
        <w:t xml:space="preserve">IQR Program </w:t>
      </w:r>
      <w:r>
        <w:t xml:space="preserve">and transfer HAI data validation to the Hospital-Acquired Condition Reduction Program, where the HAI measures will be retained, and because hospitals selected for validation currently are required to submit validation templates for the HAI measures, </w:t>
      </w:r>
      <w:r w:rsidRPr="001358D9">
        <w:t xml:space="preserve">we </w:t>
      </w:r>
      <w:r>
        <w:t>anticipate a reduction in burden under the Hospital IQR Program associated with the HAI data validation effort beginning with the FY 202</w:t>
      </w:r>
      <w:r w:rsidR="003A4B8E">
        <w:t>3</w:t>
      </w:r>
      <w:r>
        <w:t xml:space="preserve"> payment determination.  We have previously estimated a reporting burden of </w:t>
      </w:r>
      <w:r w:rsidRPr="00592DB9">
        <w:t xml:space="preserve">80 hours per hospital selected for </w:t>
      </w:r>
      <w:r>
        <w:t xml:space="preserve">chart-abstracted measure </w:t>
      </w:r>
      <w:r w:rsidRPr="00592DB9">
        <w:t>validation per year (</w:t>
      </w:r>
      <w:r>
        <w:t>[</w:t>
      </w:r>
      <w:r w:rsidRPr="00592DB9">
        <w:t>1,200 minutes per record x 1 record per hospital per quarter x 4 quarters</w:t>
      </w:r>
      <w:r>
        <w:t>]</w:t>
      </w:r>
      <w:r w:rsidRPr="00592DB9">
        <w:t xml:space="preserve"> / 60 minutes</w:t>
      </w:r>
      <w:r>
        <w:t xml:space="preserve"> per hour</w:t>
      </w:r>
      <w:r w:rsidRPr="00592DB9">
        <w:t xml:space="preserve">) to submit the CLABSI and CAUTI </w:t>
      </w:r>
      <w:r>
        <w:t xml:space="preserve">validation </w:t>
      </w:r>
      <w:r w:rsidRPr="00592DB9">
        <w:t xml:space="preserve">templates, and 64 hours per hospital selected for </w:t>
      </w:r>
      <w:r>
        <w:t xml:space="preserve">chart-abstracted measure </w:t>
      </w:r>
      <w:r w:rsidRPr="00592DB9">
        <w:t>validation per year (</w:t>
      </w:r>
      <w:r>
        <w:t>[</w:t>
      </w:r>
      <w:r w:rsidRPr="00592DB9">
        <w:t>960 minutes per record x 1 record per hospital per quarter x 4 quarters</w:t>
      </w:r>
      <w:r>
        <w:t>]</w:t>
      </w:r>
      <w:r w:rsidRPr="00592DB9">
        <w:t xml:space="preserve"> / 60 minutes</w:t>
      </w:r>
      <w:r>
        <w:t xml:space="preserve"> per hour</w:t>
      </w:r>
      <w:r w:rsidRPr="00592DB9">
        <w:t>) to submit the MRSA and CDI</w:t>
      </w:r>
      <w:r>
        <w:t xml:space="preserve"> validation</w:t>
      </w:r>
      <w:r w:rsidRPr="00592DB9">
        <w:t xml:space="preserve"> templates.  We therefore estimate a total burden decrease of </w:t>
      </w:r>
      <w:r w:rsidRPr="00105F5E">
        <w:t>43,200</w:t>
      </w:r>
      <w:r w:rsidRPr="006D1248">
        <w:t xml:space="preserve"> hours ([-80 hours per hospital to submit CLABSI and CAUTI templates + -64 hours per hospital to submit MRSA and CDI templates] x 300 hospitals selected for validation) and approximately </w:t>
      </w:r>
      <w:r w:rsidRPr="00105F5E">
        <w:t>$1.6</w:t>
      </w:r>
      <w:r w:rsidRPr="00592DB9">
        <w:t xml:space="preserve"> million (</w:t>
      </w:r>
      <w:r w:rsidRPr="00105F5E">
        <w:t>43,200</w:t>
      </w:r>
      <w:r w:rsidRPr="00592DB9">
        <w:t xml:space="preserve"> hours x $36.58 per hour) as a</w:t>
      </w:r>
      <w:r>
        <w:t xml:space="preserve"> result of discontinuing HAI validation under the Hospital IQR Program beginning with the FY 202</w:t>
      </w:r>
      <w:r w:rsidR="003A4B8E">
        <w:t>3</w:t>
      </w:r>
      <w:r>
        <w:t xml:space="preserve"> payment determination.</w:t>
      </w:r>
    </w:p>
    <w:p w14:paraId="6305FE27" w14:textId="54C98FC5" w:rsidR="00FE6A43" w:rsidRDefault="00FE6A43" w:rsidP="00D12DD1">
      <w:pPr>
        <w:keepNext/>
        <w:rPr>
          <w:u w:val="single"/>
        </w:rPr>
      </w:pPr>
    </w:p>
    <w:p w14:paraId="6EE4FCF2" w14:textId="5CF19A78" w:rsidR="00E5633C" w:rsidRPr="00FB1F22" w:rsidRDefault="00E5633C" w:rsidP="00D12DD1">
      <w:pPr>
        <w:keepNext/>
        <w:rPr>
          <w:u w:val="single"/>
        </w:rPr>
      </w:pPr>
      <w:r w:rsidRPr="00974F6F">
        <w:rPr>
          <w:b/>
        </w:rPr>
        <w:t xml:space="preserve">Table </w:t>
      </w:r>
      <w:r>
        <w:rPr>
          <w:b/>
        </w:rPr>
        <w:t>3. Burden Calculations for the Hospital IQR Program Measure Set</w:t>
      </w:r>
      <w:r w:rsidRPr="00E85724">
        <w:rPr>
          <w:b/>
        </w:rPr>
        <w:t xml:space="preserve"> and Other Activities for </w:t>
      </w:r>
      <w:r>
        <w:rPr>
          <w:b/>
        </w:rPr>
        <w:t>the FY 2023</w:t>
      </w:r>
      <w:r w:rsidRPr="00E85724">
        <w:rPr>
          <w:b/>
        </w:rPr>
        <w:t xml:space="preserve"> Payment Determination</w:t>
      </w:r>
    </w:p>
    <w:p w14:paraId="6D1EE083" w14:textId="3BBFD7EB" w:rsidR="00E5633C" w:rsidRDefault="00E5633C" w:rsidP="00D12DD1">
      <w:pPr>
        <w:keepNext/>
        <w:rPr>
          <w:u w:val="single"/>
        </w:rPr>
      </w:pPr>
    </w:p>
    <w:tbl>
      <w:tblPr>
        <w:tblStyle w:val="TableGrid"/>
        <w:tblW w:w="5248" w:type="pct"/>
        <w:tblLayout w:type="fixed"/>
        <w:tblLook w:val="04A0" w:firstRow="1" w:lastRow="0" w:firstColumn="1" w:lastColumn="0" w:noHBand="0" w:noVBand="1"/>
      </w:tblPr>
      <w:tblGrid>
        <w:gridCol w:w="2022"/>
        <w:gridCol w:w="1660"/>
        <w:gridCol w:w="1391"/>
        <w:gridCol w:w="1214"/>
        <w:gridCol w:w="1128"/>
        <w:gridCol w:w="1146"/>
        <w:gridCol w:w="1490"/>
      </w:tblGrid>
      <w:tr w:rsidR="00EE1BC0" w:rsidRPr="00C761FF" w14:paraId="32740FB0" w14:textId="77777777" w:rsidTr="00C15226">
        <w:trPr>
          <w:trHeight w:val="765"/>
        </w:trPr>
        <w:tc>
          <w:tcPr>
            <w:tcW w:w="1006" w:type="pct"/>
            <w:vMerge w:val="restart"/>
            <w:hideMark/>
          </w:tcPr>
          <w:p w14:paraId="7D9F5869" w14:textId="77777777" w:rsidR="00EE1BC0" w:rsidRPr="0041034F" w:rsidRDefault="00EE1BC0" w:rsidP="00C15226">
            <w:pPr>
              <w:rPr>
                <w:b/>
                <w:i/>
              </w:rPr>
            </w:pPr>
            <w:r w:rsidRPr="0041034F">
              <w:rPr>
                <w:b/>
                <w:i/>
              </w:rPr>
              <w:t>Measure Set</w:t>
            </w:r>
          </w:p>
        </w:tc>
        <w:tc>
          <w:tcPr>
            <w:tcW w:w="826" w:type="pct"/>
            <w:vMerge w:val="restart"/>
            <w:hideMark/>
          </w:tcPr>
          <w:p w14:paraId="650FA0DD" w14:textId="2104802C" w:rsidR="00EE1BC0" w:rsidRPr="0041034F" w:rsidRDefault="00EE1BC0" w:rsidP="00C15226">
            <w:pPr>
              <w:rPr>
                <w:b/>
                <w:i/>
              </w:rPr>
            </w:pPr>
            <w:r w:rsidRPr="0041034F">
              <w:rPr>
                <w:b/>
                <w:i/>
              </w:rPr>
              <w:t>Estimated ti</w:t>
            </w:r>
            <w:r>
              <w:rPr>
                <w:b/>
                <w:i/>
              </w:rPr>
              <w:t>me per record (minutes) -</w:t>
            </w:r>
            <w:r>
              <w:rPr>
                <w:b/>
                <w:i/>
              </w:rPr>
              <w:br/>
              <w:t>FY 2023</w:t>
            </w:r>
            <w:r w:rsidRPr="0041034F">
              <w:rPr>
                <w:b/>
                <w:i/>
              </w:rPr>
              <w:t xml:space="preserve"> payment determination</w:t>
            </w:r>
          </w:p>
        </w:tc>
        <w:tc>
          <w:tcPr>
            <w:tcW w:w="692" w:type="pct"/>
            <w:vMerge w:val="restart"/>
            <w:hideMark/>
          </w:tcPr>
          <w:p w14:paraId="239B2DB5" w14:textId="02835341" w:rsidR="00EE1BC0" w:rsidRPr="0041034F" w:rsidRDefault="00EE1BC0" w:rsidP="00C15226">
            <w:pPr>
              <w:rPr>
                <w:b/>
                <w:i/>
              </w:rPr>
            </w:pPr>
            <w:r w:rsidRPr="0041034F">
              <w:rPr>
                <w:b/>
                <w:i/>
              </w:rPr>
              <w:t>Number rep</w:t>
            </w:r>
            <w:r>
              <w:rPr>
                <w:b/>
                <w:i/>
              </w:rPr>
              <w:t>orting quarters per year -</w:t>
            </w:r>
            <w:r>
              <w:rPr>
                <w:b/>
                <w:i/>
              </w:rPr>
              <w:br/>
              <w:t>FY 2023</w:t>
            </w:r>
            <w:r w:rsidRPr="0041034F">
              <w:rPr>
                <w:b/>
                <w:i/>
              </w:rPr>
              <w:t xml:space="preserve"> payment determination</w:t>
            </w:r>
          </w:p>
        </w:tc>
        <w:tc>
          <w:tcPr>
            <w:tcW w:w="604" w:type="pct"/>
            <w:vMerge w:val="restart"/>
            <w:hideMark/>
          </w:tcPr>
          <w:p w14:paraId="1335300E" w14:textId="77777777" w:rsidR="00EE1BC0" w:rsidRPr="0041034F" w:rsidRDefault="00EE1BC0" w:rsidP="00C15226">
            <w:pPr>
              <w:rPr>
                <w:b/>
                <w:i/>
              </w:rPr>
            </w:pPr>
            <w:r w:rsidRPr="0041034F">
              <w:rPr>
                <w:b/>
                <w:i/>
              </w:rPr>
              <w:t>Number of hospitals reporting</w:t>
            </w:r>
          </w:p>
        </w:tc>
        <w:tc>
          <w:tcPr>
            <w:tcW w:w="561" w:type="pct"/>
            <w:vMerge w:val="restart"/>
            <w:hideMark/>
          </w:tcPr>
          <w:p w14:paraId="7A813E82" w14:textId="77777777" w:rsidR="00EE1BC0" w:rsidRPr="0041034F" w:rsidRDefault="00EE1BC0" w:rsidP="00C15226">
            <w:pPr>
              <w:rPr>
                <w:b/>
                <w:i/>
              </w:rPr>
            </w:pPr>
            <w:r w:rsidRPr="0041034F">
              <w:rPr>
                <w:b/>
                <w:i/>
              </w:rPr>
              <w:t>Average number records per hospital per quarter</w:t>
            </w:r>
          </w:p>
        </w:tc>
        <w:tc>
          <w:tcPr>
            <w:tcW w:w="570" w:type="pct"/>
            <w:vMerge w:val="restart"/>
            <w:hideMark/>
          </w:tcPr>
          <w:p w14:paraId="4B47EE9F" w14:textId="77777777" w:rsidR="00EE1BC0" w:rsidRPr="0041034F" w:rsidRDefault="00EE1BC0" w:rsidP="00C15226">
            <w:pPr>
              <w:rPr>
                <w:b/>
                <w:i/>
              </w:rPr>
            </w:pPr>
            <w:r w:rsidRPr="0041034F">
              <w:rPr>
                <w:b/>
                <w:i/>
              </w:rPr>
              <w:t xml:space="preserve">Annual burden (hours) per </w:t>
            </w:r>
            <w:r>
              <w:rPr>
                <w:b/>
                <w:i/>
              </w:rPr>
              <w:t>h</w:t>
            </w:r>
            <w:r w:rsidRPr="0041034F">
              <w:rPr>
                <w:b/>
                <w:i/>
              </w:rPr>
              <w:t>ospital</w:t>
            </w:r>
          </w:p>
        </w:tc>
        <w:tc>
          <w:tcPr>
            <w:tcW w:w="741" w:type="pct"/>
            <w:vMerge w:val="restart"/>
            <w:hideMark/>
          </w:tcPr>
          <w:p w14:paraId="219A2B19" w14:textId="7F83BCC9" w:rsidR="00EE1BC0" w:rsidRPr="0041034F" w:rsidRDefault="00EE1BC0" w:rsidP="00C15226">
            <w:pPr>
              <w:rPr>
                <w:b/>
                <w:i/>
              </w:rPr>
            </w:pPr>
            <w:r w:rsidRPr="0041034F">
              <w:rPr>
                <w:b/>
                <w:i/>
              </w:rPr>
              <w:t>Calculation for FY 20</w:t>
            </w:r>
            <w:r>
              <w:rPr>
                <w:b/>
                <w:i/>
              </w:rPr>
              <w:t>23</w:t>
            </w:r>
            <w:r w:rsidRPr="0041034F">
              <w:rPr>
                <w:b/>
                <w:i/>
              </w:rPr>
              <w:t xml:space="preserve"> payment determination</w:t>
            </w:r>
          </w:p>
        </w:tc>
      </w:tr>
      <w:tr w:rsidR="00EE1BC0" w:rsidRPr="00C761FF" w14:paraId="227F067D" w14:textId="77777777" w:rsidTr="00C15226">
        <w:trPr>
          <w:trHeight w:val="517"/>
        </w:trPr>
        <w:tc>
          <w:tcPr>
            <w:tcW w:w="1006" w:type="pct"/>
            <w:vMerge/>
            <w:hideMark/>
          </w:tcPr>
          <w:p w14:paraId="298A8FDB" w14:textId="77777777" w:rsidR="00EE1BC0" w:rsidRPr="00C761FF" w:rsidRDefault="00EE1BC0" w:rsidP="00C15226"/>
        </w:tc>
        <w:tc>
          <w:tcPr>
            <w:tcW w:w="826" w:type="pct"/>
            <w:vMerge/>
            <w:hideMark/>
          </w:tcPr>
          <w:p w14:paraId="43BD91E2" w14:textId="77777777" w:rsidR="00EE1BC0" w:rsidRPr="00C761FF" w:rsidRDefault="00EE1BC0" w:rsidP="00C15226"/>
        </w:tc>
        <w:tc>
          <w:tcPr>
            <w:tcW w:w="692" w:type="pct"/>
            <w:vMerge/>
            <w:hideMark/>
          </w:tcPr>
          <w:p w14:paraId="5A927653" w14:textId="77777777" w:rsidR="00EE1BC0" w:rsidRPr="00C761FF" w:rsidRDefault="00EE1BC0" w:rsidP="00C15226"/>
        </w:tc>
        <w:tc>
          <w:tcPr>
            <w:tcW w:w="604" w:type="pct"/>
            <w:vMerge/>
            <w:hideMark/>
          </w:tcPr>
          <w:p w14:paraId="3FD22538" w14:textId="77777777" w:rsidR="00EE1BC0" w:rsidRPr="00C761FF" w:rsidRDefault="00EE1BC0" w:rsidP="00C15226"/>
        </w:tc>
        <w:tc>
          <w:tcPr>
            <w:tcW w:w="561" w:type="pct"/>
            <w:vMerge/>
            <w:hideMark/>
          </w:tcPr>
          <w:p w14:paraId="7BEAB1BA" w14:textId="77777777" w:rsidR="00EE1BC0" w:rsidRPr="00C761FF" w:rsidRDefault="00EE1BC0" w:rsidP="00C15226"/>
        </w:tc>
        <w:tc>
          <w:tcPr>
            <w:tcW w:w="570" w:type="pct"/>
            <w:vMerge/>
            <w:hideMark/>
          </w:tcPr>
          <w:p w14:paraId="75B12B59" w14:textId="77777777" w:rsidR="00EE1BC0" w:rsidRPr="00C761FF" w:rsidRDefault="00EE1BC0" w:rsidP="00C15226"/>
        </w:tc>
        <w:tc>
          <w:tcPr>
            <w:tcW w:w="741" w:type="pct"/>
            <w:vMerge/>
            <w:hideMark/>
          </w:tcPr>
          <w:p w14:paraId="28D8DC0F" w14:textId="77777777" w:rsidR="00EE1BC0" w:rsidRPr="00C761FF" w:rsidRDefault="00EE1BC0" w:rsidP="00C15226"/>
        </w:tc>
      </w:tr>
      <w:tr w:rsidR="00EE1BC0" w:rsidRPr="00C761FF" w14:paraId="6DF5DEDF" w14:textId="77777777" w:rsidTr="00C15226">
        <w:trPr>
          <w:trHeight w:val="915"/>
        </w:trPr>
        <w:tc>
          <w:tcPr>
            <w:tcW w:w="1006" w:type="pct"/>
            <w:vMerge/>
            <w:hideMark/>
          </w:tcPr>
          <w:p w14:paraId="7E28B77B" w14:textId="77777777" w:rsidR="00EE1BC0" w:rsidRPr="00C761FF" w:rsidRDefault="00EE1BC0" w:rsidP="00C15226"/>
        </w:tc>
        <w:tc>
          <w:tcPr>
            <w:tcW w:w="826" w:type="pct"/>
            <w:vMerge/>
            <w:hideMark/>
          </w:tcPr>
          <w:p w14:paraId="7B13F439" w14:textId="77777777" w:rsidR="00EE1BC0" w:rsidRPr="00C761FF" w:rsidRDefault="00EE1BC0" w:rsidP="00C15226"/>
        </w:tc>
        <w:tc>
          <w:tcPr>
            <w:tcW w:w="692" w:type="pct"/>
            <w:vMerge/>
            <w:hideMark/>
          </w:tcPr>
          <w:p w14:paraId="478D295D" w14:textId="77777777" w:rsidR="00EE1BC0" w:rsidRPr="00C761FF" w:rsidRDefault="00EE1BC0" w:rsidP="00C15226"/>
        </w:tc>
        <w:tc>
          <w:tcPr>
            <w:tcW w:w="604" w:type="pct"/>
            <w:vMerge/>
            <w:hideMark/>
          </w:tcPr>
          <w:p w14:paraId="0D78BBF7" w14:textId="77777777" w:rsidR="00EE1BC0" w:rsidRPr="00C761FF" w:rsidRDefault="00EE1BC0" w:rsidP="00C15226"/>
        </w:tc>
        <w:tc>
          <w:tcPr>
            <w:tcW w:w="561" w:type="pct"/>
            <w:vMerge/>
            <w:hideMark/>
          </w:tcPr>
          <w:p w14:paraId="6BCFAAC6" w14:textId="77777777" w:rsidR="00EE1BC0" w:rsidRPr="00C761FF" w:rsidRDefault="00EE1BC0" w:rsidP="00C15226"/>
        </w:tc>
        <w:tc>
          <w:tcPr>
            <w:tcW w:w="570" w:type="pct"/>
            <w:vMerge/>
            <w:hideMark/>
          </w:tcPr>
          <w:p w14:paraId="18D7690A" w14:textId="77777777" w:rsidR="00EE1BC0" w:rsidRPr="00C761FF" w:rsidRDefault="00EE1BC0" w:rsidP="00C15226"/>
        </w:tc>
        <w:tc>
          <w:tcPr>
            <w:tcW w:w="741" w:type="pct"/>
            <w:vMerge/>
            <w:hideMark/>
          </w:tcPr>
          <w:p w14:paraId="1AE568E5" w14:textId="77777777" w:rsidR="00EE1BC0" w:rsidRPr="00C761FF" w:rsidRDefault="00EE1BC0" w:rsidP="00C15226"/>
        </w:tc>
      </w:tr>
      <w:tr w:rsidR="00EE1BC0" w:rsidRPr="00C761FF" w14:paraId="4E9658A5" w14:textId="77777777" w:rsidTr="00C15226">
        <w:trPr>
          <w:trHeight w:val="517"/>
        </w:trPr>
        <w:tc>
          <w:tcPr>
            <w:tcW w:w="1006" w:type="pct"/>
            <w:vMerge/>
            <w:hideMark/>
          </w:tcPr>
          <w:p w14:paraId="0C740E5F" w14:textId="77777777" w:rsidR="00EE1BC0" w:rsidRPr="00C761FF" w:rsidRDefault="00EE1BC0" w:rsidP="00C15226"/>
        </w:tc>
        <w:tc>
          <w:tcPr>
            <w:tcW w:w="826" w:type="pct"/>
            <w:vMerge/>
            <w:hideMark/>
          </w:tcPr>
          <w:p w14:paraId="5B5801A4" w14:textId="77777777" w:rsidR="00EE1BC0" w:rsidRPr="00C761FF" w:rsidRDefault="00EE1BC0" w:rsidP="00C15226"/>
        </w:tc>
        <w:tc>
          <w:tcPr>
            <w:tcW w:w="692" w:type="pct"/>
            <w:vMerge/>
            <w:hideMark/>
          </w:tcPr>
          <w:p w14:paraId="5A43D415" w14:textId="77777777" w:rsidR="00EE1BC0" w:rsidRPr="00C761FF" w:rsidRDefault="00EE1BC0" w:rsidP="00C15226"/>
        </w:tc>
        <w:tc>
          <w:tcPr>
            <w:tcW w:w="604" w:type="pct"/>
            <w:vMerge/>
            <w:hideMark/>
          </w:tcPr>
          <w:p w14:paraId="772C0BDB" w14:textId="77777777" w:rsidR="00EE1BC0" w:rsidRPr="00C761FF" w:rsidRDefault="00EE1BC0" w:rsidP="00C15226"/>
        </w:tc>
        <w:tc>
          <w:tcPr>
            <w:tcW w:w="561" w:type="pct"/>
            <w:vMerge/>
            <w:hideMark/>
          </w:tcPr>
          <w:p w14:paraId="6FCFD5C7" w14:textId="77777777" w:rsidR="00EE1BC0" w:rsidRPr="00C761FF" w:rsidRDefault="00EE1BC0" w:rsidP="00C15226"/>
        </w:tc>
        <w:tc>
          <w:tcPr>
            <w:tcW w:w="570" w:type="pct"/>
            <w:vMerge/>
            <w:hideMark/>
          </w:tcPr>
          <w:p w14:paraId="13493200" w14:textId="77777777" w:rsidR="00EE1BC0" w:rsidRPr="00C761FF" w:rsidRDefault="00EE1BC0" w:rsidP="00C15226"/>
        </w:tc>
        <w:tc>
          <w:tcPr>
            <w:tcW w:w="741" w:type="pct"/>
            <w:vMerge/>
            <w:hideMark/>
          </w:tcPr>
          <w:p w14:paraId="7A0FE377" w14:textId="77777777" w:rsidR="00EE1BC0" w:rsidRPr="00C761FF" w:rsidRDefault="00EE1BC0" w:rsidP="00C15226"/>
        </w:tc>
      </w:tr>
      <w:tr w:rsidR="00EE1BC0" w:rsidRPr="00C761FF" w14:paraId="68F0AEF2" w14:textId="77777777" w:rsidTr="00C15226">
        <w:trPr>
          <w:trHeight w:val="458"/>
        </w:trPr>
        <w:tc>
          <w:tcPr>
            <w:tcW w:w="5000" w:type="pct"/>
            <w:gridSpan w:val="7"/>
            <w:hideMark/>
          </w:tcPr>
          <w:p w14:paraId="78D39B10" w14:textId="77777777" w:rsidR="00EE1BC0" w:rsidRPr="00C761FF" w:rsidRDefault="00EE1BC0" w:rsidP="00C15226">
            <w:pPr>
              <w:rPr>
                <w:b/>
                <w:bCs/>
              </w:rPr>
            </w:pPr>
            <w:r w:rsidRPr="00C761FF">
              <w:rPr>
                <w:b/>
                <w:bCs/>
              </w:rPr>
              <w:t>CHART ABSTRACTION</w:t>
            </w:r>
          </w:p>
        </w:tc>
      </w:tr>
      <w:tr w:rsidR="00EE1BC0" w:rsidRPr="00C761FF" w14:paraId="2E30DF9D" w14:textId="77777777" w:rsidTr="00C15226">
        <w:trPr>
          <w:trHeight w:val="476"/>
        </w:trPr>
        <w:tc>
          <w:tcPr>
            <w:tcW w:w="5000" w:type="pct"/>
            <w:gridSpan w:val="7"/>
            <w:noWrap/>
            <w:hideMark/>
          </w:tcPr>
          <w:p w14:paraId="747456BF" w14:textId="77777777" w:rsidR="00EE1BC0" w:rsidRPr="00C761FF" w:rsidRDefault="00EE1BC0" w:rsidP="00C15226">
            <w:pPr>
              <w:rPr>
                <w:b/>
                <w:bCs/>
              </w:rPr>
            </w:pPr>
            <w:r w:rsidRPr="00C761FF">
              <w:rPr>
                <w:b/>
                <w:bCs/>
              </w:rPr>
              <w:t>IPPS Hospitals (3,300)</w:t>
            </w:r>
          </w:p>
        </w:tc>
      </w:tr>
      <w:tr w:rsidR="00EE1BC0" w:rsidRPr="00C761FF" w14:paraId="30281EC7" w14:textId="77777777" w:rsidTr="00C15226">
        <w:trPr>
          <w:trHeight w:val="290"/>
        </w:trPr>
        <w:tc>
          <w:tcPr>
            <w:tcW w:w="1006" w:type="pct"/>
            <w:hideMark/>
          </w:tcPr>
          <w:p w14:paraId="23FF5830" w14:textId="77777777" w:rsidR="00EE1BC0" w:rsidRPr="00C761FF" w:rsidRDefault="00EE1BC0" w:rsidP="00C15226">
            <w:r w:rsidRPr="00C761FF">
              <w:t>Sepsis Measure</w:t>
            </w:r>
          </w:p>
        </w:tc>
        <w:tc>
          <w:tcPr>
            <w:tcW w:w="826" w:type="pct"/>
            <w:noWrap/>
            <w:hideMark/>
          </w:tcPr>
          <w:p w14:paraId="15E6EE39" w14:textId="77777777" w:rsidR="00EE1BC0" w:rsidRPr="00C761FF" w:rsidRDefault="00EE1BC0" w:rsidP="00C15226">
            <w:r w:rsidRPr="00C761FF">
              <w:t>60</w:t>
            </w:r>
          </w:p>
        </w:tc>
        <w:tc>
          <w:tcPr>
            <w:tcW w:w="692" w:type="pct"/>
            <w:hideMark/>
          </w:tcPr>
          <w:p w14:paraId="574DD0CE" w14:textId="77777777" w:rsidR="00EE1BC0" w:rsidRPr="00C761FF" w:rsidRDefault="00EE1BC0" w:rsidP="00C15226">
            <w:r w:rsidRPr="00C761FF">
              <w:t>4</w:t>
            </w:r>
          </w:p>
        </w:tc>
        <w:tc>
          <w:tcPr>
            <w:tcW w:w="604" w:type="pct"/>
            <w:hideMark/>
          </w:tcPr>
          <w:p w14:paraId="5F504F58" w14:textId="77777777" w:rsidR="00EE1BC0" w:rsidRPr="00C761FF" w:rsidRDefault="00EE1BC0" w:rsidP="00C15226">
            <w:r w:rsidRPr="00C761FF">
              <w:t>3,300</w:t>
            </w:r>
          </w:p>
        </w:tc>
        <w:tc>
          <w:tcPr>
            <w:tcW w:w="561" w:type="pct"/>
            <w:noWrap/>
            <w:hideMark/>
          </w:tcPr>
          <w:p w14:paraId="2700BB03" w14:textId="77777777" w:rsidR="00EE1BC0" w:rsidRPr="00C761FF" w:rsidRDefault="00EE1BC0" w:rsidP="00C15226">
            <w:r w:rsidRPr="00C761FF">
              <w:t>100</w:t>
            </w:r>
          </w:p>
        </w:tc>
        <w:tc>
          <w:tcPr>
            <w:tcW w:w="570" w:type="pct"/>
            <w:noWrap/>
            <w:hideMark/>
          </w:tcPr>
          <w:p w14:paraId="621325F9" w14:textId="77777777" w:rsidR="00EE1BC0" w:rsidRPr="00C761FF" w:rsidRDefault="00EE1BC0" w:rsidP="00C15226">
            <w:r w:rsidRPr="00C761FF">
              <w:t>400</w:t>
            </w:r>
          </w:p>
        </w:tc>
        <w:tc>
          <w:tcPr>
            <w:tcW w:w="741" w:type="pct"/>
            <w:noWrap/>
            <w:hideMark/>
          </w:tcPr>
          <w:p w14:paraId="13A4B107" w14:textId="77777777" w:rsidR="00EE1BC0" w:rsidRPr="00C761FF" w:rsidRDefault="00EE1BC0" w:rsidP="00C15226">
            <w:r w:rsidRPr="00C761FF">
              <w:t>1,320,000</w:t>
            </w:r>
          </w:p>
        </w:tc>
      </w:tr>
      <w:tr w:rsidR="00EE1BC0" w:rsidRPr="00C761FF" w14:paraId="31F4F628" w14:textId="77777777" w:rsidTr="00C15226">
        <w:trPr>
          <w:trHeight w:val="300"/>
        </w:trPr>
        <w:tc>
          <w:tcPr>
            <w:tcW w:w="1006" w:type="pct"/>
            <w:hideMark/>
          </w:tcPr>
          <w:p w14:paraId="0E318BD7" w14:textId="77777777" w:rsidR="00EE1BC0" w:rsidRPr="00C761FF" w:rsidRDefault="00EE1BC0" w:rsidP="00C15226">
            <w:r w:rsidRPr="00C761FF">
              <w:t>Perinatal care (PC)</w:t>
            </w:r>
          </w:p>
        </w:tc>
        <w:tc>
          <w:tcPr>
            <w:tcW w:w="826" w:type="pct"/>
            <w:noWrap/>
            <w:hideMark/>
          </w:tcPr>
          <w:p w14:paraId="1DCE7EE4" w14:textId="77777777" w:rsidR="00EE1BC0" w:rsidRPr="00C761FF" w:rsidRDefault="00EE1BC0" w:rsidP="00C15226">
            <w:r w:rsidRPr="00C761FF">
              <w:t>10</w:t>
            </w:r>
          </w:p>
        </w:tc>
        <w:tc>
          <w:tcPr>
            <w:tcW w:w="692" w:type="pct"/>
            <w:hideMark/>
          </w:tcPr>
          <w:p w14:paraId="15E6A4C2" w14:textId="77777777" w:rsidR="00EE1BC0" w:rsidRPr="00C761FF" w:rsidRDefault="00EE1BC0" w:rsidP="00C15226">
            <w:r w:rsidRPr="00C761FF">
              <w:t>4</w:t>
            </w:r>
          </w:p>
        </w:tc>
        <w:tc>
          <w:tcPr>
            <w:tcW w:w="604" w:type="pct"/>
            <w:hideMark/>
          </w:tcPr>
          <w:p w14:paraId="4C4B553B" w14:textId="77777777" w:rsidR="00EE1BC0" w:rsidRPr="00C761FF" w:rsidRDefault="00EE1BC0" w:rsidP="00C15226">
            <w:r w:rsidRPr="00C761FF">
              <w:t>3,300</w:t>
            </w:r>
          </w:p>
        </w:tc>
        <w:tc>
          <w:tcPr>
            <w:tcW w:w="561" w:type="pct"/>
            <w:noWrap/>
            <w:hideMark/>
          </w:tcPr>
          <w:p w14:paraId="01119F77" w14:textId="77777777" w:rsidR="00EE1BC0" w:rsidRPr="00C761FF" w:rsidRDefault="00EE1BC0" w:rsidP="00C15226">
            <w:r w:rsidRPr="00C761FF">
              <w:t>76</w:t>
            </w:r>
          </w:p>
        </w:tc>
        <w:tc>
          <w:tcPr>
            <w:tcW w:w="570" w:type="pct"/>
            <w:noWrap/>
            <w:hideMark/>
          </w:tcPr>
          <w:p w14:paraId="1C1F4258" w14:textId="77777777" w:rsidR="00EE1BC0" w:rsidRPr="00C761FF" w:rsidRDefault="00EE1BC0" w:rsidP="00C15226">
            <w:r w:rsidRPr="00C761FF">
              <w:t>51</w:t>
            </w:r>
          </w:p>
        </w:tc>
        <w:tc>
          <w:tcPr>
            <w:tcW w:w="741" w:type="pct"/>
            <w:noWrap/>
            <w:hideMark/>
          </w:tcPr>
          <w:p w14:paraId="7640E097" w14:textId="77777777" w:rsidR="00EE1BC0" w:rsidRPr="00C761FF" w:rsidRDefault="00EE1BC0" w:rsidP="00C15226">
            <w:r w:rsidRPr="00C761FF">
              <w:t>167,200</w:t>
            </w:r>
          </w:p>
        </w:tc>
      </w:tr>
      <w:tr w:rsidR="00EE1BC0" w:rsidRPr="00C761FF" w14:paraId="00945083" w14:textId="77777777" w:rsidTr="00C15226">
        <w:trPr>
          <w:trHeight w:val="300"/>
        </w:trPr>
        <w:tc>
          <w:tcPr>
            <w:tcW w:w="1006" w:type="pct"/>
            <w:hideMark/>
          </w:tcPr>
          <w:p w14:paraId="1D9430FA" w14:textId="77777777" w:rsidR="00EE1BC0" w:rsidRPr="0041034F" w:rsidRDefault="00EE1BC0" w:rsidP="00C15226">
            <w:pPr>
              <w:rPr>
                <w:b/>
              </w:rPr>
            </w:pPr>
            <w:r w:rsidRPr="0041034F">
              <w:rPr>
                <w:b/>
              </w:rPr>
              <w:t>Subtotal IPPS chart-based</w:t>
            </w:r>
          </w:p>
        </w:tc>
        <w:tc>
          <w:tcPr>
            <w:tcW w:w="826" w:type="pct"/>
            <w:noWrap/>
            <w:hideMark/>
          </w:tcPr>
          <w:p w14:paraId="5927B57E" w14:textId="77777777" w:rsidR="00EE1BC0" w:rsidRPr="00C761FF" w:rsidRDefault="00EE1BC0" w:rsidP="00C15226">
            <w:r w:rsidRPr="00C761FF">
              <w:t> </w:t>
            </w:r>
          </w:p>
        </w:tc>
        <w:tc>
          <w:tcPr>
            <w:tcW w:w="692" w:type="pct"/>
            <w:noWrap/>
            <w:hideMark/>
          </w:tcPr>
          <w:p w14:paraId="636A9856" w14:textId="77777777" w:rsidR="00EE1BC0" w:rsidRPr="00C761FF" w:rsidRDefault="00EE1BC0" w:rsidP="00C15226">
            <w:r w:rsidRPr="00C761FF">
              <w:t> </w:t>
            </w:r>
          </w:p>
        </w:tc>
        <w:tc>
          <w:tcPr>
            <w:tcW w:w="604" w:type="pct"/>
            <w:noWrap/>
            <w:hideMark/>
          </w:tcPr>
          <w:p w14:paraId="0B62F4DC" w14:textId="77777777" w:rsidR="00EE1BC0" w:rsidRPr="00C761FF" w:rsidRDefault="00EE1BC0" w:rsidP="00C15226">
            <w:r w:rsidRPr="00C761FF">
              <w:t> </w:t>
            </w:r>
          </w:p>
        </w:tc>
        <w:tc>
          <w:tcPr>
            <w:tcW w:w="561" w:type="pct"/>
            <w:noWrap/>
            <w:hideMark/>
          </w:tcPr>
          <w:p w14:paraId="6E5858B0" w14:textId="77777777" w:rsidR="00EE1BC0" w:rsidRPr="00C761FF" w:rsidRDefault="00EE1BC0" w:rsidP="00C15226">
            <w:r w:rsidRPr="00C761FF">
              <w:t> </w:t>
            </w:r>
          </w:p>
        </w:tc>
        <w:tc>
          <w:tcPr>
            <w:tcW w:w="570" w:type="pct"/>
            <w:noWrap/>
            <w:hideMark/>
          </w:tcPr>
          <w:p w14:paraId="4E4F3DB1" w14:textId="77777777" w:rsidR="00EE1BC0" w:rsidRPr="0041034F" w:rsidRDefault="00EE1BC0" w:rsidP="00C15226">
            <w:pPr>
              <w:rPr>
                <w:b/>
              </w:rPr>
            </w:pPr>
            <w:r>
              <w:rPr>
                <w:b/>
              </w:rPr>
              <w:t xml:space="preserve">451 </w:t>
            </w:r>
          </w:p>
        </w:tc>
        <w:tc>
          <w:tcPr>
            <w:tcW w:w="741" w:type="pct"/>
            <w:noWrap/>
            <w:hideMark/>
          </w:tcPr>
          <w:p w14:paraId="50FE7C8D" w14:textId="77777777" w:rsidR="00EE1BC0" w:rsidRDefault="00EE1BC0" w:rsidP="00C15226">
            <w:pPr>
              <w:rPr>
                <w:b/>
                <w:bCs/>
                <w:color w:val="000000"/>
              </w:rPr>
            </w:pPr>
            <w:r>
              <w:rPr>
                <w:b/>
                <w:bCs/>
                <w:color w:val="000000"/>
              </w:rPr>
              <w:t>1,487,200</w:t>
            </w:r>
          </w:p>
          <w:p w14:paraId="4DFD117A" w14:textId="77777777" w:rsidR="00EE1BC0" w:rsidRPr="0041034F" w:rsidRDefault="00EE1BC0" w:rsidP="00C15226">
            <w:pPr>
              <w:rPr>
                <w:b/>
              </w:rPr>
            </w:pPr>
          </w:p>
        </w:tc>
      </w:tr>
      <w:tr w:rsidR="00EE1BC0" w:rsidRPr="00C761FF" w14:paraId="66426B19" w14:textId="77777777" w:rsidTr="00C15226">
        <w:trPr>
          <w:trHeight w:val="300"/>
        </w:trPr>
        <w:tc>
          <w:tcPr>
            <w:tcW w:w="5000" w:type="pct"/>
            <w:gridSpan w:val="7"/>
            <w:noWrap/>
            <w:hideMark/>
          </w:tcPr>
          <w:p w14:paraId="54E1673D" w14:textId="77777777" w:rsidR="00EE1BC0" w:rsidRPr="00C761FF" w:rsidRDefault="00EE1BC0" w:rsidP="00C15226">
            <w:pPr>
              <w:rPr>
                <w:b/>
                <w:bCs/>
              </w:rPr>
            </w:pPr>
            <w:r w:rsidRPr="00C761FF">
              <w:rPr>
                <w:b/>
                <w:bCs/>
              </w:rPr>
              <w:t>Non-IPPS Hospitals (1,100)</w:t>
            </w:r>
          </w:p>
        </w:tc>
      </w:tr>
      <w:tr w:rsidR="00EE1BC0" w:rsidRPr="00C761FF" w14:paraId="4DEE48FF" w14:textId="77777777" w:rsidTr="00C15226">
        <w:trPr>
          <w:trHeight w:val="300"/>
        </w:trPr>
        <w:tc>
          <w:tcPr>
            <w:tcW w:w="1006" w:type="pct"/>
          </w:tcPr>
          <w:p w14:paraId="1D137E84" w14:textId="77777777" w:rsidR="00EE1BC0" w:rsidRPr="00C761FF" w:rsidRDefault="00EE1BC0" w:rsidP="00C15226">
            <w:r>
              <w:t>Sepsis measure</w:t>
            </w:r>
          </w:p>
        </w:tc>
        <w:tc>
          <w:tcPr>
            <w:tcW w:w="826" w:type="pct"/>
            <w:noWrap/>
          </w:tcPr>
          <w:p w14:paraId="0FE95F07" w14:textId="77777777" w:rsidR="00EE1BC0" w:rsidRPr="00C761FF" w:rsidRDefault="00EE1BC0" w:rsidP="00C15226">
            <w:r>
              <w:t>60</w:t>
            </w:r>
          </w:p>
        </w:tc>
        <w:tc>
          <w:tcPr>
            <w:tcW w:w="692" w:type="pct"/>
          </w:tcPr>
          <w:p w14:paraId="06EF578E" w14:textId="77777777" w:rsidR="00EE1BC0" w:rsidRPr="00C761FF" w:rsidRDefault="00EE1BC0" w:rsidP="00C15226">
            <w:r>
              <w:t>4</w:t>
            </w:r>
          </w:p>
        </w:tc>
        <w:tc>
          <w:tcPr>
            <w:tcW w:w="604" w:type="pct"/>
          </w:tcPr>
          <w:p w14:paraId="26FE850E" w14:textId="77777777" w:rsidR="00EE1BC0" w:rsidRPr="00236867" w:rsidRDefault="00EE1BC0" w:rsidP="00C15226">
            <w:pPr>
              <w:rPr>
                <w:highlight w:val="yellow"/>
              </w:rPr>
            </w:pPr>
            <w:r w:rsidRPr="00B5347A">
              <w:t>362</w:t>
            </w:r>
          </w:p>
        </w:tc>
        <w:tc>
          <w:tcPr>
            <w:tcW w:w="561" w:type="pct"/>
            <w:noWrap/>
          </w:tcPr>
          <w:p w14:paraId="0D4332D8" w14:textId="77777777" w:rsidR="00EE1BC0" w:rsidRPr="00C761FF" w:rsidRDefault="00EE1BC0" w:rsidP="00C15226">
            <w:r>
              <w:t>25</w:t>
            </w:r>
          </w:p>
        </w:tc>
        <w:tc>
          <w:tcPr>
            <w:tcW w:w="570" w:type="pct"/>
            <w:noWrap/>
          </w:tcPr>
          <w:p w14:paraId="66024A41" w14:textId="77777777" w:rsidR="00EE1BC0" w:rsidRPr="00C761FF" w:rsidRDefault="00EE1BC0" w:rsidP="00C15226">
            <w:r>
              <w:t>100</w:t>
            </w:r>
          </w:p>
        </w:tc>
        <w:tc>
          <w:tcPr>
            <w:tcW w:w="741" w:type="pct"/>
            <w:noWrap/>
          </w:tcPr>
          <w:p w14:paraId="00E78BE4" w14:textId="77777777" w:rsidR="00EE1BC0" w:rsidRPr="00C761FF" w:rsidRDefault="00EE1BC0" w:rsidP="00C15226">
            <w:r>
              <w:t>36,200</w:t>
            </w:r>
          </w:p>
        </w:tc>
      </w:tr>
      <w:tr w:rsidR="00EE1BC0" w:rsidRPr="00C761FF" w14:paraId="36DAD6E6" w14:textId="77777777" w:rsidTr="00C15226">
        <w:trPr>
          <w:trHeight w:val="300"/>
        </w:trPr>
        <w:tc>
          <w:tcPr>
            <w:tcW w:w="1006" w:type="pct"/>
            <w:hideMark/>
          </w:tcPr>
          <w:p w14:paraId="49734E0E" w14:textId="77777777" w:rsidR="00EE1BC0" w:rsidRPr="00C761FF" w:rsidRDefault="00EE1BC0" w:rsidP="00C15226">
            <w:r w:rsidRPr="00C761FF">
              <w:t>Perinatal care (PC)</w:t>
            </w:r>
          </w:p>
        </w:tc>
        <w:tc>
          <w:tcPr>
            <w:tcW w:w="826" w:type="pct"/>
            <w:noWrap/>
            <w:hideMark/>
          </w:tcPr>
          <w:p w14:paraId="67865835" w14:textId="77777777" w:rsidR="00EE1BC0" w:rsidRPr="00C761FF" w:rsidRDefault="00EE1BC0" w:rsidP="00C15226">
            <w:r w:rsidRPr="00C761FF">
              <w:t>10</w:t>
            </w:r>
          </w:p>
        </w:tc>
        <w:tc>
          <w:tcPr>
            <w:tcW w:w="692" w:type="pct"/>
            <w:hideMark/>
          </w:tcPr>
          <w:p w14:paraId="27F2E364" w14:textId="77777777" w:rsidR="00EE1BC0" w:rsidRPr="00C761FF" w:rsidRDefault="00EE1BC0" w:rsidP="00C15226">
            <w:r w:rsidRPr="00C761FF">
              <w:t>4</w:t>
            </w:r>
          </w:p>
        </w:tc>
        <w:tc>
          <w:tcPr>
            <w:tcW w:w="604" w:type="pct"/>
            <w:hideMark/>
          </w:tcPr>
          <w:p w14:paraId="2C0A29A7" w14:textId="77777777" w:rsidR="00EE1BC0" w:rsidRPr="00C761FF" w:rsidRDefault="00EE1BC0" w:rsidP="00C15226">
            <w:r>
              <w:t>334</w:t>
            </w:r>
          </w:p>
        </w:tc>
        <w:tc>
          <w:tcPr>
            <w:tcW w:w="561" w:type="pct"/>
            <w:noWrap/>
            <w:hideMark/>
          </w:tcPr>
          <w:p w14:paraId="1CECB999" w14:textId="77777777" w:rsidR="00EE1BC0" w:rsidRPr="00C761FF" w:rsidRDefault="00EE1BC0" w:rsidP="00C15226">
            <w:r w:rsidRPr="00C761FF">
              <w:t>21</w:t>
            </w:r>
          </w:p>
        </w:tc>
        <w:tc>
          <w:tcPr>
            <w:tcW w:w="570" w:type="pct"/>
            <w:noWrap/>
            <w:hideMark/>
          </w:tcPr>
          <w:p w14:paraId="4098D276" w14:textId="77777777" w:rsidR="00EE1BC0" w:rsidRPr="00C761FF" w:rsidRDefault="00EE1BC0" w:rsidP="00C15226">
            <w:r w:rsidRPr="00C761FF">
              <w:t>14</w:t>
            </w:r>
          </w:p>
        </w:tc>
        <w:tc>
          <w:tcPr>
            <w:tcW w:w="741" w:type="pct"/>
            <w:noWrap/>
            <w:hideMark/>
          </w:tcPr>
          <w:p w14:paraId="41CED554" w14:textId="77777777" w:rsidR="00EE1BC0" w:rsidRPr="00C761FF" w:rsidRDefault="00EE1BC0" w:rsidP="00C15226">
            <w:r>
              <w:t>4,676</w:t>
            </w:r>
          </w:p>
        </w:tc>
      </w:tr>
      <w:tr w:rsidR="00EE1BC0" w:rsidRPr="00C761FF" w14:paraId="06F6B14B" w14:textId="77777777" w:rsidTr="00C15226">
        <w:trPr>
          <w:trHeight w:val="530"/>
        </w:trPr>
        <w:tc>
          <w:tcPr>
            <w:tcW w:w="1006" w:type="pct"/>
            <w:hideMark/>
          </w:tcPr>
          <w:p w14:paraId="0473182A" w14:textId="77777777" w:rsidR="00EE1BC0" w:rsidRPr="0041034F" w:rsidRDefault="00EE1BC0" w:rsidP="00C15226">
            <w:pPr>
              <w:rPr>
                <w:b/>
              </w:rPr>
            </w:pPr>
            <w:r w:rsidRPr="0041034F">
              <w:rPr>
                <w:b/>
              </w:rPr>
              <w:t>Subtotal Non-IPPS chart-based</w:t>
            </w:r>
          </w:p>
        </w:tc>
        <w:tc>
          <w:tcPr>
            <w:tcW w:w="826" w:type="pct"/>
            <w:noWrap/>
            <w:hideMark/>
          </w:tcPr>
          <w:p w14:paraId="4E72B83B" w14:textId="77777777" w:rsidR="00EE1BC0" w:rsidRPr="00C761FF" w:rsidRDefault="00EE1BC0" w:rsidP="00C15226">
            <w:r w:rsidRPr="00C761FF">
              <w:t> </w:t>
            </w:r>
          </w:p>
        </w:tc>
        <w:tc>
          <w:tcPr>
            <w:tcW w:w="692" w:type="pct"/>
            <w:noWrap/>
            <w:hideMark/>
          </w:tcPr>
          <w:p w14:paraId="22129962" w14:textId="77777777" w:rsidR="00EE1BC0" w:rsidRPr="00C761FF" w:rsidRDefault="00EE1BC0" w:rsidP="00C15226">
            <w:r w:rsidRPr="00C761FF">
              <w:t> </w:t>
            </w:r>
          </w:p>
        </w:tc>
        <w:tc>
          <w:tcPr>
            <w:tcW w:w="604" w:type="pct"/>
            <w:noWrap/>
            <w:hideMark/>
          </w:tcPr>
          <w:p w14:paraId="3E93184C" w14:textId="77777777" w:rsidR="00EE1BC0" w:rsidRPr="00C761FF" w:rsidRDefault="00EE1BC0" w:rsidP="00C15226">
            <w:r w:rsidRPr="00C761FF">
              <w:t> </w:t>
            </w:r>
          </w:p>
        </w:tc>
        <w:tc>
          <w:tcPr>
            <w:tcW w:w="561" w:type="pct"/>
            <w:noWrap/>
            <w:hideMark/>
          </w:tcPr>
          <w:p w14:paraId="2C17F154" w14:textId="77777777" w:rsidR="00EE1BC0" w:rsidRPr="00C761FF" w:rsidRDefault="00EE1BC0" w:rsidP="00C15226">
            <w:r w:rsidRPr="00C761FF">
              <w:t> </w:t>
            </w:r>
          </w:p>
        </w:tc>
        <w:tc>
          <w:tcPr>
            <w:tcW w:w="570" w:type="pct"/>
            <w:noWrap/>
            <w:hideMark/>
          </w:tcPr>
          <w:p w14:paraId="2D91F590" w14:textId="77777777" w:rsidR="00EE1BC0" w:rsidRPr="00CA405D" w:rsidRDefault="00EE1BC0" w:rsidP="00C15226">
            <w:pPr>
              <w:rPr>
                <w:b/>
              </w:rPr>
            </w:pPr>
            <w:r w:rsidRPr="00C761FF">
              <w:t> </w:t>
            </w:r>
            <w:r w:rsidRPr="00CA405D">
              <w:rPr>
                <w:b/>
              </w:rPr>
              <w:t>114</w:t>
            </w:r>
          </w:p>
        </w:tc>
        <w:tc>
          <w:tcPr>
            <w:tcW w:w="741" w:type="pct"/>
            <w:noWrap/>
            <w:hideMark/>
          </w:tcPr>
          <w:p w14:paraId="53866B2E" w14:textId="77777777" w:rsidR="00EE1BC0" w:rsidRDefault="00EE1BC0" w:rsidP="00C15226">
            <w:pPr>
              <w:rPr>
                <w:b/>
                <w:bCs/>
                <w:color w:val="000000"/>
              </w:rPr>
            </w:pPr>
            <w:r>
              <w:rPr>
                <w:b/>
                <w:bCs/>
                <w:color w:val="000000"/>
              </w:rPr>
              <w:t>40,876</w:t>
            </w:r>
          </w:p>
          <w:p w14:paraId="66CAA3B1" w14:textId="77777777" w:rsidR="00EE1BC0" w:rsidRPr="00415548" w:rsidRDefault="00EE1BC0" w:rsidP="00C15226">
            <w:pPr>
              <w:rPr>
                <w:b/>
              </w:rPr>
            </w:pPr>
          </w:p>
        </w:tc>
      </w:tr>
      <w:tr w:rsidR="00EE1BC0" w:rsidRPr="00C761FF" w14:paraId="1B0216F5" w14:textId="77777777" w:rsidTr="00C15226">
        <w:trPr>
          <w:trHeight w:val="910"/>
        </w:trPr>
        <w:tc>
          <w:tcPr>
            <w:tcW w:w="1006" w:type="pct"/>
            <w:hideMark/>
          </w:tcPr>
          <w:p w14:paraId="40FC449E" w14:textId="77777777" w:rsidR="00EE1BC0" w:rsidRPr="00C761FF" w:rsidRDefault="00EE1BC0" w:rsidP="00C15226">
            <w:pPr>
              <w:rPr>
                <w:b/>
                <w:bCs/>
              </w:rPr>
            </w:pPr>
            <w:r w:rsidRPr="00C761FF">
              <w:rPr>
                <w:b/>
                <w:bCs/>
              </w:rPr>
              <w:t>Subtotal IPPS and Non-IPPS chart-based</w:t>
            </w:r>
          </w:p>
        </w:tc>
        <w:tc>
          <w:tcPr>
            <w:tcW w:w="826" w:type="pct"/>
            <w:noWrap/>
            <w:hideMark/>
          </w:tcPr>
          <w:p w14:paraId="28E127FC" w14:textId="77777777" w:rsidR="00EE1BC0" w:rsidRPr="00C761FF" w:rsidRDefault="00EE1BC0" w:rsidP="00C15226">
            <w:r w:rsidRPr="00C761FF">
              <w:t> </w:t>
            </w:r>
          </w:p>
        </w:tc>
        <w:tc>
          <w:tcPr>
            <w:tcW w:w="692" w:type="pct"/>
            <w:noWrap/>
            <w:hideMark/>
          </w:tcPr>
          <w:p w14:paraId="60C7A611" w14:textId="77777777" w:rsidR="00EE1BC0" w:rsidRPr="00C761FF" w:rsidRDefault="00EE1BC0" w:rsidP="00C15226">
            <w:r w:rsidRPr="00C761FF">
              <w:t> </w:t>
            </w:r>
          </w:p>
        </w:tc>
        <w:tc>
          <w:tcPr>
            <w:tcW w:w="604" w:type="pct"/>
            <w:noWrap/>
            <w:hideMark/>
          </w:tcPr>
          <w:p w14:paraId="663ACADE" w14:textId="77777777" w:rsidR="00EE1BC0" w:rsidRPr="00C761FF" w:rsidRDefault="00EE1BC0" w:rsidP="00C15226">
            <w:r w:rsidRPr="00C761FF">
              <w:t> </w:t>
            </w:r>
          </w:p>
        </w:tc>
        <w:tc>
          <w:tcPr>
            <w:tcW w:w="561" w:type="pct"/>
            <w:noWrap/>
            <w:hideMark/>
          </w:tcPr>
          <w:p w14:paraId="788587AD" w14:textId="77777777" w:rsidR="00EE1BC0" w:rsidRPr="00C761FF" w:rsidRDefault="00EE1BC0" w:rsidP="00C15226">
            <w:r w:rsidRPr="00C761FF">
              <w:t> </w:t>
            </w:r>
          </w:p>
        </w:tc>
        <w:tc>
          <w:tcPr>
            <w:tcW w:w="570" w:type="pct"/>
            <w:noWrap/>
            <w:hideMark/>
          </w:tcPr>
          <w:p w14:paraId="35B300AB" w14:textId="77777777" w:rsidR="00EE1BC0" w:rsidRPr="00C761FF" w:rsidRDefault="00EE1BC0" w:rsidP="00C15226">
            <w:r w:rsidRPr="00C761FF">
              <w:t> </w:t>
            </w:r>
          </w:p>
        </w:tc>
        <w:tc>
          <w:tcPr>
            <w:tcW w:w="741" w:type="pct"/>
            <w:noWrap/>
            <w:hideMark/>
          </w:tcPr>
          <w:p w14:paraId="2F2D6DAC" w14:textId="77777777" w:rsidR="00EE1BC0" w:rsidRDefault="00EE1BC0" w:rsidP="00C15226">
            <w:pPr>
              <w:rPr>
                <w:b/>
                <w:bCs/>
                <w:color w:val="000000"/>
              </w:rPr>
            </w:pPr>
            <w:r>
              <w:rPr>
                <w:b/>
                <w:bCs/>
                <w:color w:val="000000"/>
              </w:rPr>
              <w:t>1,528,076</w:t>
            </w:r>
          </w:p>
          <w:p w14:paraId="7CD5393F" w14:textId="77777777" w:rsidR="00EE1BC0" w:rsidRPr="00C761FF" w:rsidRDefault="00EE1BC0" w:rsidP="00C15226">
            <w:pPr>
              <w:rPr>
                <w:b/>
                <w:bCs/>
              </w:rPr>
            </w:pPr>
          </w:p>
        </w:tc>
      </w:tr>
      <w:tr w:rsidR="00EE1BC0" w:rsidRPr="00C761FF" w14:paraId="7B3FC1E3" w14:textId="77777777" w:rsidTr="00C15226">
        <w:trPr>
          <w:trHeight w:val="179"/>
        </w:trPr>
        <w:tc>
          <w:tcPr>
            <w:tcW w:w="5000" w:type="pct"/>
            <w:gridSpan w:val="7"/>
            <w:noWrap/>
            <w:hideMark/>
          </w:tcPr>
          <w:p w14:paraId="3A376C3A" w14:textId="77777777" w:rsidR="00EE1BC0" w:rsidRPr="00C761FF" w:rsidRDefault="00EE1BC0" w:rsidP="00C15226"/>
        </w:tc>
      </w:tr>
      <w:tr w:rsidR="00EE1BC0" w:rsidRPr="00C761FF" w14:paraId="492B0837" w14:textId="77777777" w:rsidTr="00C15226">
        <w:trPr>
          <w:trHeight w:val="310"/>
        </w:trPr>
        <w:tc>
          <w:tcPr>
            <w:tcW w:w="5000" w:type="pct"/>
            <w:gridSpan w:val="7"/>
            <w:hideMark/>
          </w:tcPr>
          <w:p w14:paraId="57FE12FB" w14:textId="77777777" w:rsidR="00EE1BC0" w:rsidRPr="00C761FF" w:rsidRDefault="00EE1BC0" w:rsidP="00C15226">
            <w:pPr>
              <w:rPr>
                <w:b/>
                <w:bCs/>
              </w:rPr>
            </w:pPr>
            <w:r w:rsidRPr="00C761FF">
              <w:rPr>
                <w:b/>
                <w:bCs/>
              </w:rPr>
              <w:t>OTHER ACTIVITIES</w:t>
            </w:r>
            <w:r w:rsidRPr="00C761FF">
              <w:rPr>
                <w:b/>
                <w:bCs/>
              </w:rPr>
              <w:br/>
              <w:t>All Hospitals (3,300 IPPS + 1,100 non-IPPS)</w:t>
            </w:r>
          </w:p>
        </w:tc>
      </w:tr>
      <w:tr w:rsidR="00EE1BC0" w:rsidRPr="00C761FF" w14:paraId="72DFA5C9" w14:textId="77777777" w:rsidTr="00C15226">
        <w:trPr>
          <w:trHeight w:val="930"/>
        </w:trPr>
        <w:tc>
          <w:tcPr>
            <w:tcW w:w="1006" w:type="pct"/>
            <w:hideMark/>
          </w:tcPr>
          <w:p w14:paraId="12E70870" w14:textId="35153CB3" w:rsidR="00EE1BC0" w:rsidRPr="00C761FF" w:rsidRDefault="00EE1BC0" w:rsidP="00734C85">
            <w:r w:rsidRPr="00C761FF">
              <w:t xml:space="preserve">Population and sampling for </w:t>
            </w:r>
            <w:r w:rsidR="00D175F4">
              <w:t>the</w:t>
            </w:r>
            <w:r>
              <w:t xml:space="preserve"> </w:t>
            </w:r>
            <w:r w:rsidRPr="00C761FF">
              <w:t>ongoing measure sets</w:t>
            </w:r>
          </w:p>
        </w:tc>
        <w:tc>
          <w:tcPr>
            <w:tcW w:w="826" w:type="pct"/>
            <w:noWrap/>
            <w:hideMark/>
          </w:tcPr>
          <w:p w14:paraId="443B7E17" w14:textId="77777777" w:rsidR="00EE1BC0" w:rsidRPr="00C761FF" w:rsidRDefault="00EE1BC0" w:rsidP="00C15226">
            <w:r w:rsidRPr="00C761FF">
              <w:t>15</w:t>
            </w:r>
          </w:p>
        </w:tc>
        <w:tc>
          <w:tcPr>
            <w:tcW w:w="692" w:type="pct"/>
            <w:hideMark/>
          </w:tcPr>
          <w:p w14:paraId="3961042F" w14:textId="77777777" w:rsidR="00EE1BC0" w:rsidRPr="00C761FF" w:rsidRDefault="00EE1BC0" w:rsidP="00C15226">
            <w:r w:rsidRPr="00C761FF">
              <w:t>4</w:t>
            </w:r>
          </w:p>
        </w:tc>
        <w:tc>
          <w:tcPr>
            <w:tcW w:w="604" w:type="pct"/>
            <w:hideMark/>
          </w:tcPr>
          <w:p w14:paraId="59EA5205" w14:textId="77777777" w:rsidR="00EE1BC0" w:rsidRPr="00C761FF" w:rsidRDefault="00EE1BC0" w:rsidP="00C15226">
            <w:r w:rsidRPr="00C761FF">
              <w:t>4,400</w:t>
            </w:r>
          </w:p>
        </w:tc>
        <w:tc>
          <w:tcPr>
            <w:tcW w:w="561" w:type="pct"/>
            <w:noWrap/>
            <w:hideMark/>
          </w:tcPr>
          <w:p w14:paraId="0D596695" w14:textId="77777777" w:rsidR="00EE1BC0" w:rsidRPr="00C761FF" w:rsidRDefault="00EE1BC0" w:rsidP="00C15226">
            <w:r>
              <w:t>4</w:t>
            </w:r>
          </w:p>
        </w:tc>
        <w:tc>
          <w:tcPr>
            <w:tcW w:w="570" w:type="pct"/>
            <w:noWrap/>
            <w:hideMark/>
          </w:tcPr>
          <w:p w14:paraId="39C110A9" w14:textId="77777777" w:rsidR="00EE1BC0" w:rsidRPr="00C761FF" w:rsidRDefault="00EE1BC0" w:rsidP="00C15226">
            <w:r>
              <w:t>4</w:t>
            </w:r>
          </w:p>
        </w:tc>
        <w:tc>
          <w:tcPr>
            <w:tcW w:w="741" w:type="pct"/>
            <w:noWrap/>
            <w:hideMark/>
          </w:tcPr>
          <w:p w14:paraId="3EA8F584" w14:textId="77777777" w:rsidR="00EE1BC0" w:rsidRPr="00C761FF" w:rsidRDefault="00EE1BC0" w:rsidP="00C15226">
            <w:r>
              <w:t xml:space="preserve">17,600 </w:t>
            </w:r>
          </w:p>
        </w:tc>
      </w:tr>
      <w:tr w:rsidR="00EE1BC0" w:rsidRPr="00C761FF" w14:paraId="6F88A456" w14:textId="77777777" w:rsidTr="00C15226">
        <w:trPr>
          <w:trHeight w:val="520"/>
        </w:trPr>
        <w:tc>
          <w:tcPr>
            <w:tcW w:w="1006" w:type="pct"/>
            <w:hideMark/>
          </w:tcPr>
          <w:p w14:paraId="08E81240" w14:textId="77777777" w:rsidR="00EE1BC0" w:rsidRPr="00C761FF" w:rsidRDefault="00EE1BC0" w:rsidP="00C15226">
            <w:r w:rsidRPr="00C761FF">
              <w:t xml:space="preserve">Review reports for claims-based measure sets </w:t>
            </w:r>
          </w:p>
        </w:tc>
        <w:tc>
          <w:tcPr>
            <w:tcW w:w="826" w:type="pct"/>
            <w:noWrap/>
            <w:hideMark/>
          </w:tcPr>
          <w:p w14:paraId="4A10C909" w14:textId="77777777" w:rsidR="00EE1BC0" w:rsidRPr="00C761FF" w:rsidRDefault="00EE1BC0" w:rsidP="00C15226">
            <w:r w:rsidRPr="00C761FF">
              <w:t>60</w:t>
            </w:r>
          </w:p>
        </w:tc>
        <w:tc>
          <w:tcPr>
            <w:tcW w:w="692" w:type="pct"/>
            <w:hideMark/>
          </w:tcPr>
          <w:p w14:paraId="00FD496C" w14:textId="77777777" w:rsidR="00EE1BC0" w:rsidRPr="00C761FF" w:rsidRDefault="00EE1BC0" w:rsidP="00C15226">
            <w:r w:rsidRPr="00C761FF">
              <w:t>4</w:t>
            </w:r>
          </w:p>
        </w:tc>
        <w:tc>
          <w:tcPr>
            <w:tcW w:w="604" w:type="pct"/>
            <w:hideMark/>
          </w:tcPr>
          <w:p w14:paraId="0FF65DF9" w14:textId="77777777" w:rsidR="00EE1BC0" w:rsidRPr="00C761FF" w:rsidRDefault="00EE1BC0" w:rsidP="00C15226">
            <w:r w:rsidRPr="00C761FF">
              <w:t>4,400</w:t>
            </w:r>
          </w:p>
        </w:tc>
        <w:tc>
          <w:tcPr>
            <w:tcW w:w="561" w:type="pct"/>
            <w:noWrap/>
            <w:hideMark/>
          </w:tcPr>
          <w:p w14:paraId="797FD399" w14:textId="77777777" w:rsidR="00EE1BC0" w:rsidRPr="00C761FF" w:rsidRDefault="00EE1BC0" w:rsidP="00C15226">
            <w:r w:rsidRPr="00C761FF">
              <w:t>1</w:t>
            </w:r>
          </w:p>
        </w:tc>
        <w:tc>
          <w:tcPr>
            <w:tcW w:w="570" w:type="pct"/>
            <w:noWrap/>
            <w:hideMark/>
          </w:tcPr>
          <w:p w14:paraId="37E59E7D" w14:textId="77777777" w:rsidR="00EE1BC0" w:rsidRPr="00C761FF" w:rsidRDefault="00EE1BC0" w:rsidP="00C15226">
            <w:r w:rsidRPr="00C761FF">
              <w:t>4</w:t>
            </w:r>
          </w:p>
        </w:tc>
        <w:tc>
          <w:tcPr>
            <w:tcW w:w="741" w:type="pct"/>
            <w:noWrap/>
            <w:hideMark/>
          </w:tcPr>
          <w:p w14:paraId="7EFDF40D" w14:textId="77777777" w:rsidR="00EE1BC0" w:rsidRPr="00C761FF" w:rsidRDefault="00EE1BC0" w:rsidP="00C15226">
            <w:r>
              <w:t xml:space="preserve">17,600 </w:t>
            </w:r>
          </w:p>
        </w:tc>
      </w:tr>
      <w:tr w:rsidR="00EE1BC0" w:rsidRPr="00C761FF" w14:paraId="1EF701E7" w14:textId="77777777" w:rsidTr="00C15226">
        <w:trPr>
          <w:trHeight w:val="780"/>
        </w:trPr>
        <w:tc>
          <w:tcPr>
            <w:tcW w:w="1006" w:type="pct"/>
            <w:hideMark/>
          </w:tcPr>
          <w:p w14:paraId="1C87CF44" w14:textId="77777777" w:rsidR="00EE1BC0" w:rsidRPr="00C761FF" w:rsidRDefault="00EE1BC0" w:rsidP="00C15226">
            <w:r w:rsidRPr="00C761FF">
              <w:t xml:space="preserve">Reporting </w:t>
            </w:r>
            <w:r>
              <w:t>four</w:t>
            </w:r>
            <w:r w:rsidRPr="00C761FF">
              <w:t xml:space="preserve"> electronic Clinical Quality Measures (IPPS)</w:t>
            </w:r>
          </w:p>
        </w:tc>
        <w:tc>
          <w:tcPr>
            <w:tcW w:w="826" w:type="pct"/>
            <w:noWrap/>
            <w:hideMark/>
          </w:tcPr>
          <w:p w14:paraId="212721E5" w14:textId="77777777" w:rsidR="00EE1BC0" w:rsidRPr="00415548" w:rsidRDefault="00EE1BC0" w:rsidP="00C15226">
            <w:pPr>
              <w:rPr>
                <w:bCs/>
              </w:rPr>
            </w:pPr>
            <w:r>
              <w:rPr>
                <w:bCs/>
              </w:rPr>
              <w:t>40</w:t>
            </w:r>
          </w:p>
        </w:tc>
        <w:tc>
          <w:tcPr>
            <w:tcW w:w="692" w:type="pct"/>
            <w:hideMark/>
          </w:tcPr>
          <w:p w14:paraId="754C1EE3" w14:textId="77777777" w:rsidR="00EE1BC0" w:rsidRPr="00415548" w:rsidRDefault="00EE1BC0" w:rsidP="00C15226">
            <w:pPr>
              <w:rPr>
                <w:bCs/>
              </w:rPr>
            </w:pPr>
            <w:r>
              <w:rPr>
                <w:bCs/>
              </w:rPr>
              <w:t>1</w:t>
            </w:r>
          </w:p>
        </w:tc>
        <w:tc>
          <w:tcPr>
            <w:tcW w:w="604" w:type="pct"/>
            <w:hideMark/>
          </w:tcPr>
          <w:p w14:paraId="0449DC5C" w14:textId="77777777" w:rsidR="00EE1BC0" w:rsidRPr="00415548" w:rsidRDefault="00EE1BC0" w:rsidP="00C15226">
            <w:pPr>
              <w:rPr>
                <w:bCs/>
              </w:rPr>
            </w:pPr>
            <w:r w:rsidRPr="00415548">
              <w:rPr>
                <w:bCs/>
              </w:rPr>
              <w:t>3</w:t>
            </w:r>
            <w:r>
              <w:rPr>
                <w:bCs/>
              </w:rPr>
              <w:t>,</w:t>
            </w:r>
            <w:r w:rsidRPr="00415548">
              <w:rPr>
                <w:bCs/>
              </w:rPr>
              <w:t>300</w:t>
            </w:r>
          </w:p>
        </w:tc>
        <w:tc>
          <w:tcPr>
            <w:tcW w:w="561" w:type="pct"/>
            <w:noWrap/>
            <w:hideMark/>
          </w:tcPr>
          <w:p w14:paraId="20976C7F" w14:textId="77777777" w:rsidR="00EE1BC0" w:rsidRPr="00C761FF" w:rsidRDefault="00EE1BC0" w:rsidP="00C15226">
            <w:r w:rsidRPr="00C761FF">
              <w:t>1</w:t>
            </w:r>
          </w:p>
        </w:tc>
        <w:tc>
          <w:tcPr>
            <w:tcW w:w="570" w:type="pct"/>
            <w:noWrap/>
            <w:hideMark/>
          </w:tcPr>
          <w:p w14:paraId="6C2A0B04" w14:textId="77777777" w:rsidR="00EE1BC0" w:rsidRPr="00C761FF" w:rsidRDefault="00EE1BC0" w:rsidP="00C15226">
            <w:r>
              <w:t>0.67</w:t>
            </w:r>
          </w:p>
        </w:tc>
        <w:tc>
          <w:tcPr>
            <w:tcW w:w="741" w:type="pct"/>
            <w:noWrap/>
            <w:hideMark/>
          </w:tcPr>
          <w:p w14:paraId="23F59237" w14:textId="77777777" w:rsidR="00EE1BC0" w:rsidRPr="00C761FF" w:rsidRDefault="00EE1BC0" w:rsidP="00C15226">
            <w:r>
              <w:t>2,200</w:t>
            </w:r>
          </w:p>
        </w:tc>
      </w:tr>
      <w:tr w:rsidR="00EE1BC0" w:rsidRPr="00C761FF" w14:paraId="1EAD825C" w14:textId="77777777" w:rsidTr="00C15226">
        <w:trPr>
          <w:trHeight w:val="1050"/>
        </w:trPr>
        <w:tc>
          <w:tcPr>
            <w:tcW w:w="1006" w:type="pct"/>
            <w:hideMark/>
          </w:tcPr>
          <w:p w14:paraId="0510BE0F" w14:textId="77777777" w:rsidR="00EE1BC0" w:rsidRPr="00C761FF" w:rsidRDefault="00EE1BC0" w:rsidP="00C15226">
            <w:r w:rsidRPr="00C761FF">
              <w:t xml:space="preserve">Reporting </w:t>
            </w:r>
            <w:r>
              <w:t>four</w:t>
            </w:r>
            <w:r w:rsidRPr="00C761FF">
              <w:t xml:space="preserve"> electronic Clinical Quality Measures (non-IPPS)</w:t>
            </w:r>
          </w:p>
        </w:tc>
        <w:tc>
          <w:tcPr>
            <w:tcW w:w="826" w:type="pct"/>
            <w:noWrap/>
            <w:hideMark/>
          </w:tcPr>
          <w:p w14:paraId="6E57EF55" w14:textId="77777777" w:rsidR="00EE1BC0" w:rsidRPr="00415548" w:rsidRDefault="00EE1BC0" w:rsidP="00C15226">
            <w:pPr>
              <w:rPr>
                <w:bCs/>
              </w:rPr>
            </w:pPr>
            <w:r>
              <w:rPr>
                <w:bCs/>
              </w:rPr>
              <w:t>40</w:t>
            </w:r>
          </w:p>
        </w:tc>
        <w:tc>
          <w:tcPr>
            <w:tcW w:w="692" w:type="pct"/>
            <w:hideMark/>
          </w:tcPr>
          <w:p w14:paraId="3E857E53" w14:textId="77777777" w:rsidR="00EE1BC0" w:rsidRPr="00415548" w:rsidRDefault="00EE1BC0" w:rsidP="00C15226">
            <w:pPr>
              <w:rPr>
                <w:bCs/>
              </w:rPr>
            </w:pPr>
            <w:r>
              <w:rPr>
                <w:bCs/>
              </w:rPr>
              <w:t>1</w:t>
            </w:r>
          </w:p>
        </w:tc>
        <w:tc>
          <w:tcPr>
            <w:tcW w:w="604" w:type="pct"/>
            <w:hideMark/>
          </w:tcPr>
          <w:p w14:paraId="224C061A" w14:textId="77777777" w:rsidR="00EE1BC0" w:rsidRPr="00415548" w:rsidRDefault="00EE1BC0" w:rsidP="00C15226">
            <w:pPr>
              <w:rPr>
                <w:bCs/>
              </w:rPr>
            </w:pPr>
            <w:r w:rsidRPr="00415548">
              <w:rPr>
                <w:bCs/>
              </w:rPr>
              <w:t>1</w:t>
            </w:r>
            <w:r>
              <w:rPr>
                <w:bCs/>
              </w:rPr>
              <w:t>,</w:t>
            </w:r>
            <w:r w:rsidRPr="00415548">
              <w:rPr>
                <w:bCs/>
              </w:rPr>
              <w:t>100</w:t>
            </w:r>
          </w:p>
        </w:tc>
        <w:tc>
          <w:tcPr>
            <w:tcW w:w="561" w:type="pct"/>
            <w:noWrap/>
            <w:hideMark/>
          </w:tcPr>
          <w:p w14:paraId="5992E604" w14:textId="77777777" w:rsidR="00EE1BC0" w:rsidRPr="00C761FF" w:rsidRDefault="00EE1BC0" w:rsidP="00C15226">
            <w:r w:rsidRPr="00C761FF">
              <w:t>1</w:t>
            </w:r>
          </w:p>
        </w:tc>
        <w:tc>
          <w:tcPr>
            <w:tcW w:w="570" w:type="pct"/>
            <w:noWrap/>
            <w:hideMark/>
          </w:tcPr>
          <w:p w14:paraId="738F07BC" w14:textId="77777777" w:rsidR="00EE1BC0" w:rsidRPr="00C761FF" w:rsidRDefault="00EE1BC0" w:rsidP="00C15226">
            <w:r>
              <w:t>0.67</w:t>
            </w:r>
          </w:p>
        </w:tc>
        <w:tc>
          <w:tcPr>
            <w:tcW w:w="741" w:type="pct"/>
            <w:noWrap/>
            <w:hideMark/>
          </w:tcPr>
          <w:p w14:paraId="5128A0CC" w14:textId="77777777" w:rsidR="00EE1BC0" w:rsidRPr="00C761FF" w:rsidRDefault="00EE1BC0" w:rsidP="00C15226">
            <w:r>
              <w:t>733</w:t>
            </w:r>
          </w:p>
        </w:tc>
      </w:tr>
      <w:tr w:rsidR="00EE1BC0" w:rsidRPr="00C761FF" w14:paraId="3DE14237" w14:textId="77777777" w:rsidTr="00C15226">
        <w:trPr>
          <w:trHeight w:val="615"/>
        </w:trPr>
        <w:tc>
          <w:tcPr>
            <w:tcW w:w="1006" w:type="pct"/>
          </w:tcPr>
          <w:p w14:paraId="016ECB82" w14:textId="77777777" w:rsidR="00EE1BC0" w:rsidRPr="00DE4A46" w:rsidRDefault="00EE1BC0" w:rsidP="00C15226">
            <w:r w:rsidRPr="00DE4A46">
              <w:t>eCQM Validation</w:t>
            </w:r>
          </w:p>
        </w:tc>
        <w:tc>
          <w:tcPr>
            <w:tcW w:w="826" w:type="pct"/>
            <w:noWrap/>
          </w:tcPr>
          <w:p w14:paraId="1281E3AA" w14:textId="77777777" w:rsidR="00EE1BC0" w:rsidRPr="00DE4A46" w:rsidRDefault="00EE1BC0" w:rsidP="00C15226">
            <w:pPr>
              <w:rPr>
                <w:bCs/>
              </w:rPr>
            </w:pPr>
            <w:r w:rsidRPr="00DE4A46">
              <w:rPr>
                <w:bCs/>
              </w:rPr>
              <w:t>80</w:t>
            </w:r>
          </w:p>
        </w:tc>
        <w:tc>
          <w:tcPr>
            <w:tcW w:w="692" w:type="pct"/>
          </w:tcPr>
          <w:p w14:paraId="1C07B565" w14:textId="77777777" w:rsidR="00EE1BC0" w:rsidRPr="00DE4A46" w:rsidRDefault="00EE1BC0" w:rsidP="00C15226">
            <w:r>
              <w:t>2</w:t>
            </w:r>
          </w:p>
        </w:tc>
        <w:tc>
          <w:tcPr>
            <w:tcW w:w="604" w:type="pct"/>
          </w:tcPr>
          <w:p w14:paraId="6EC6B15A" w14:textId="77777777" w:rsidR="00EE1BC0" w:rsidRPr="00DE4A46" w:rsidRDefault="00EE1BC0" w:rsidP="00C15226">
            <w:r w:rsidRPr="00DE4A46">
              <w:t>200</w:t>
            </w:r>
          </w:p>
        </w:tc>
        <w:tc>
          <w:tcPr>
            <w:tcW w:w="561" w:type="pct"/>
            <w:noWrap/>
          </w:tcPr>
          <w:p w14:paraId="578EC118" w14:textId="77777777" w:rsidR="00EE1BC0" w:rsidRPr="00DE4A46" w:rsidRDefault="00EE1BC0" w:rsidP="00C15226">
            <w:r w:rsidRPr="00DE4A46">
              <w:t>8</w:t>
            </w:r>
          </w:p>
        </w:tc>
        <w:tc>
          <w:tcPr>
            <w:tcW w:w="570" w:type="pct"/>
            <w:noWrap/>
          </w:tcPr>
          <w:p w14:paraId="1A928D76" w14:textId="77777777" w:rsidR="00EE1BC0" w:rsidRPr="00DE4A46" w:rsidRDefault="00EE1BC0" w:rsidP="00C15226">
            <w:r>
              <w:t>21</w:t>
            </w:r>
          </w:p>
        </w:tc>
        <w:tc>
          <w:tcPr>
            <w:tcW w:w="741" w:type="pct"/>
            <w:noWrap/>
          </w:tcPr>
          <w:p w14:paraId="0349B63F" w14:textId="77777777" w:rsidR="00EE1BC0" w:rsidRPr="00DE4A46" w:rsidRDefault="00EE1BC0" w:rsidP="00C15226">
            <w:r>
              <w:t>2</w:t>
            </w:r>
            <w:r w:rsidRPr="00DE4A46">
              <w:t>,2</w:t>
            </w:r>
            <w:r>
              <w:t>00</w:t>
            </w:r>
          </w:p>
        </w:tc>
      </w:tr>
      <w:tr w:rsidR="00EE1BC0" w:rsidRPr="00C761FF" w14:paraId="27319CBD" w14:textId="77777777" w:rsidTr="00C15226">
        <w:trPr>
          <w:trHeight w:val="1160"/>
        </w:trPr>
        <w:tc>
          <w:tcPr>
            <w:tcW w:w="1006" w:type="pct"/>
            <w:hideMark/>
          </w:tcPr>
          <w:p w14:paraId="05B5FBB9" w14:textId="77777777" w:rsidR="00EE1BC0" w:rsidRPr="00C761FF" w:rsidRDefault="00EE1BC0" w:rsidP="00C15226">
            <w:r w:rsidRPr="00C761FF">
              <w:t xml:space="preserve">All other forms </w:t>
            </w:r>
            <w:r>
              <w:t xml:space="preserve">used in the data collection process </w:t>
            </w:r>
            <w:r w:rsidRPr="00C761FF">
              <w:t>and structural measures</w:t>
            </w:r>
          </w:p>
        </w:tc>
        <w:tc>
          <w:tcPr>
            <w:tcW w:w="826" w:type="pct"/>
            <w:noWrap/>
            <w:hideMark/>
          </w:tcPr>
          <w:p w14:paraId="3186941E" w14:textId="77777777" w:rsidR="00EE1BC0" w:rsidRPr="00C761FF" w:rsidRDefault="00EE1BC0" w:rsidP="00C15226">
            <w:r w:rsidRPr="00C761FF">
              <w:t>15</w:t>
            </w:r>
          </w:p>
        </w:tc>
        <w:tc>
          <w:tcPr>
            <w:tcW w:w="692" w:type="pct"/>
            <w:hideMark/>
          </w:tcPr>
          <w:p w14:paraId="12ED0750" w14:textId="77777777" w:rsidR="00EE1BC0" w:rsidRPr="00C761FF" w:rsidRDefault="00EE1BC0" w:rsidP="00C15226">
            <w:r w:rsidRPr="00C761FF">
              <w:t>1</w:t>
            </w:r>
          </w:p>
        </w:tc>
        <w:tc>
          <w:tcPr>
            <w:tcW w:w="604" w:type="pct"/>
            <w:hideMark/>
          </w:tcPr>
          <w:p w14:paraId="2A3E3552" w14:textId="77777777" w:rsidR="00EE1BC0" w:rsidRPr="00C761FF" w:rsidRDefault="00EE1BC0" w:rsidP="00C15226">
            <w:r w:rsidRPr="00C761FF">
              <w:t>4,400</w:t>
            </w:r>
          </w:p>
        </w:tc>
        <w:tc>
          <w:tcPr>
            <w:tcW w:w="561" w:type="pct"/>
            <w:noWrap/>
            <w:hideMark/>
          </w:tcPr>
          <w:p w14:paraId="2F90598A" w14:textId="77777777" w:rsidR="00EE1BC0" w:rsidRPr="00C761FF" w:rsidRDefault="00EE1BC0" w:rsidP="00C15226">
            <w:r w:rsidRPr="00C761FF">
              <w:t>1</w:t>
            </w:r>
          </w:p>
        </w:tc>
        <w:tc>
          <w:tcPr>
            <w:tcW w:w="570" w:type="pct"/>
            <w:noWrap/>
            <w:hideMark/>
          </w:tcPr>
          <w:p w14:paraId="4FC7D94D" w14:textId="77777777" w:rsidR="00EE1BC0" w:rsidRPr="00C761FF" w:rsidRDefault="00EE1BC0" w:rsidP="00C15226">
            <w:r w:rsidRPr="00C761FF">
              <w:t>0.25</w:t>
            </w:r>
          </w:p>
        </w:tc>
        <w:tc>
          <w:tcPr>
            <w:tcW w:w="741" w:type="pct"/>
            <w:noWrap/>
            <w:hideMark/>
          </w:tcPr>
          <w:p w14:paraId="40E83477" w14:textId="77777777" w:rsidR="00EE1BC0" w:rsidRPr="00C761FF" w:rsidRDefault="00EE1BC0" w:rsidP="00C15226">
            <w:r w:rsidRPr="00C761FF">
              <w:t>1,</w:t>
            </w:r>
            <w:r>
              <w:t>1</w:t>
            </w:r>
            <w:r w:rsidRPr="00C761FF">
              <w:t>00</w:t>
            </w:r>
          </w:p>
        </w:tc>
      </w:tr>
      <w:tr w:rsidR="00EE1BC0" w:rsidRPr="00C761FF" w14:paraId="7E613EA9" w14:textId="77777777" w:rsidTr="00C15226">
        <w:trPr>
          <w:trHeight w:val="610"/>
        </w:trPr>
        <w:tc>
          <w:tcPr>
            <w:tcW w:w="1006" w:type="pct"/>
            <w:hideMark/>
          </w:tcPr>
          <w:p w14:paraId="3556BA87" w14:textId="77777777" w:rsidR="00EE1BC0" w:rsidRPr="00C761FF" w:rsidRDefault="00EE1BC0" w:rsidP="00C15226">
            <w:pPr>
              <w:rPr>
                <w:b/>
                <w:bCs/>
              </w:rPr>
            </w:pPr>
            <w:r w:rsidRPr="00C761FF">
              <w:rPr>
                <w:b/>
                <w:bCs/>
              </w:rPr>
              <w:t>Subtotal other activities</w:t>
            </w:r>
          </w:p>
        </w:tc>
        <w:tc>
          <w:tcPr>
            <w:tcW w:w="826" w:type="pct"/>
            <w:noWrap/>
            <w:hideMark/>
          </w:tcPr>
          <w:p w14:paraId="5B3EABE7" w14:textId="77777777" w:rsidR="00EE1BC0" w:rsidRPr="00C761FF" w:rsidRDefault="00EE1BC0" w:rsidP="00C15226">
            <w:pPr>
              <w:rPr>
                <w:b/>
                <w:bCs/>
              </w:rPr>
            </w:pPr>
            <w:r w:rsidRPr="00C761FF">
              <w:rPr>
                <w:b/>
                <w:bCs/>
              </w:rPr>
              <w:t> </w:t>
            </w:r>
          </w:p>
        </w:tc>
        <w:tc>
          <w:tcPr>
            <w:tcW w:w="692" w:type="pct"/>
            <w:hideMark/>
          </w:tcPr>
          <w:p w14:paraId="0E55951D" w14:textId="77777777" w:rsidR="00EE1BC0" w:rsidRPr="00C761FF" w:rsidRDefault="00EE1BC0" w:rsidP="00C15226">
            <w:pPr>
              <w:rPr>
                <w:b/>
                <w:bCs/>
              </w:rPr>
            </w:pPr>
            <w:r w:rsidRPr="00C761FF">
              <w:rPr>
                <w:b/>
                <w:bCs/>
              </w:rPr>
              <w:t> </w:t>
            </w:r>
          </w:p>
        </w:tc>
        <w:tc>
          <w:tcPr>
            <w:tcW w:w="604" w:type="pct"/>
            <w:hideMark/>
          </w:tcPr>
          <w:p w14:paraId="044624FF" w14:textId="77777777" w:rsidR="00EE1BC0" w:rsidRPr="00C761FF" w:rsidRDefault="00EE1BC0" w:rsidP="00C15226">
            <w:pPr>
              <w:rPr>
                <w:b/>
                <w:bCs/>
              </w:rPr>
            </w:pPr>
            <w:r w:rsidRPr="00C761FF">
              <w:rPr>
                <w:b/>
                <w:bCs/>
              </w:rPr>
              <w:t> </w:t>
            </w:r>
          </w:p>
        </w:tc>
        <w:tc>
          <w:tcPr>
            <w:tcW w:w="561" w:type="pct"/>
            <w:noWrap/>
            <w:hideMark/>
          </w:tcPr>
          <w:p w14:paraId="12060B9A" w14:textId="77777777" w:rsidR="00EE1BC0" w:rsidRPr="00C761FF" w:rsidRDefault="00EE1BC0" w:rsidP="00C15226">
            <w:pPr>
              <w:rPr>
                <w:b/>
                <w:bCs/>
              </w:rPr>
            </w:pPr>
            <w:r w:rsidRPr="00C761FF">
              <w:rPr>
                <w:b/>
                <w:bCs/>
              </w:rPr>
              <w:t> </w:t>
            </w:r>
          </w:p>
        </w:tc>
        <w:tc>
          <w:tcPr>
            <w:tcW w:w="570" w:type="pct"/>
            <w:noWrap/>
            <w:hideMark/>
          </w:tcPr>
          <w:p w14:paraId="0CF7D8EF" w14:textId="77777777" w:rsidR="00EE1BC0" w:rsidRPr="00C761FF" w:rsidRDefault="00EE1BC0" w:rsidP="00C15226">
            <w:r w:rsidRPr="00C761FF">
              <w:t> </w:t>
            </w:r>
          </w:p>
        </w:tc>
        <w:tc>
          <w:tcPr>
            <w:tcW w:w="741" w:type="pct"/>
            <w:noWrap/>
            <w:vAlign w:val="center"/>
            <w:hideMark/>
          </w:tcPr>
          <w:p w14:paraId="1B49EEF7" w14:textId="519EE120" w:rsidR="00EE1BC0" w:rsidRPr="00415548" w:rsidRDefault="00EE1BC0" w:rsidP="00C15226">
            <w:pPr>
              <w:rPr>
                <w:b/>
              </w:rPr>
            </w:pPr>
            <w:r w:rsidRPr="00105F5E">
              <w:rPr>
                <w:b/>
                <w:bCs/>
                <w:color w:val="000000"/>
              </w:rPr>
              <w:t>41,433</w:t>
            </w:r>
          </w:p>
        </w:tc>
      </w:tr>
      <w:tr w:rsidR="00EE1BC0" w:rsidRPr="00C761FF" w14:paraId="03AF3C49" w14:textId="77777777" w:rsidTr="00C15226">
        <w:trPr>
          <w:trHeight w:val="430"/>
        </w:trPr>
        <w:tc>
          <w:tcPr>
            <w:tcW w:w="1006" w:type="pct"/>
            <w:hideMark/>
          </w:tcPr>
          <w:p w14:paraId="73ADDDCA" w14:textId="77777777" w:rsidR="00EE1BC0" w:rsidRPr="00C761FF" w:rsidRDefault="00EE1BC0" w:rsidP="00C15226">
            <w:pPr>
              <w:rPr>
                <w:b/>
                <w:bCs/>
                <w:u w:val="single"/>
              </w:rPr>
            </w:pPr>
            <w:r w:rsidRPr="00C761FF">
              <w:rPr>
                <w:b/>
                <w:bCs/>
                <w:u w:val="single"/>
              </w:rPr>
              <w:t>Total</w:t>
            </w:r>
          </w:p>
        </w:tc>
        <w:tc>
          <w:tcPr>
            <w:tcW w:w="826" w:type="pct"/>
            <w:noWrap/>
            <w:hideMark/>
          </w:tcPr>
          <w:p w14:paraId="70228D15" w14:textId="77777777" w:rsidR="00EE1BC0" w:rsidRPr="00C761FF" w:rsidRDefault="00EE1BC0" w:rsidP="00C15226">
            <w:r w:rsidRPr="00C761FF">
              <w:t> </w:t>
            </w:r>
          </w:p>
        </w:tc>
        <w:tc>
          <w:tcPr>
            <w:tcW w:w="692" w:type="pct"/>
            <w:hideMark/>
          </w:tcPr>
          <w:p w14:paraId="788B64D3" w14:textId="77777777" w:rsidR="00EE1BC0" w:rsidRPr="00C761FF" w:rsidRDefault="00EE1BC0" w:rsidP="00C15226">
            <w:pPr>
              <w:rPr>
                <w:b/>
                <w:bCs/>
              </w:rPr>
            </w:pPr>
            <w:r w:rsidRPr="00C761FF">
              <w:rPr>
                <w:b/>
                <w:bCs/>
              </w:rPr>
              <w:t> </w:t>
            </w:r>
          </w:p>
        </w:tc>
        <w:tc>
          <w:tcPr>
            <w:tcW w:w="604" w:type="pct"/>
            <w:hideMark/>
          </w:tcPr>
          <w:p w14:paraId="16A7D8C8" w14:textId="77777777" w:rsidR="00EE1BC0" w:rsidRPr="00C761FF" w:rsidRDefault="00EE1BC0" w:rsidP="00C15226">
            <w:pPr>
              <w:rPr>
                <w:b/>
                <w:bCs/>
              </w:rPr>
            </w:pPr>
            <w:r w:rsidRPr="00C761FF">
              <w:rPr>
                <w:b/>
                <w:bCs/>
              </w:rPr>
              <w:t> </w:t>
            </w:r>
          </w:p>
        </w:tc>
        <w:tc>
          <w:tcPr>
            <w:tcW w:w="561" w:type="pct"/>
            <w:noWrap/>
            <w:hideMark/>
          </w:tcPr>
          <w:p w14:paraId="40343A50" w14:textId="77777777" w:rsidR="00EE1BC0" w:rsidRPr="00C761FF" w:rsidRDefault="00EE1BC0" w:rsidP="00C15226">
            <w:r w:rsidRPr="00C761FF">
              <w:t> </w:t>
            </w:r>
          </w:p>
        </w:tc>
        <w:tc>
          <w:tcPr>
            <w:tcW w:w="570" w:type="pct"/>
            <w:noWrap/>
            <w:hideMark/>
          </w:tcPr>
          <w:p w14:paraId="2EADD7BF" w14:textId="77777777" w:rsidR="00EE1BC0" w:rsidRPr="00C761FF" w:rsidRDefault="00EE1BC0" w:rsidP="00C15226">
            <w:r w:rsidRPr="00C761FF">
              <w:t> </w:t>
            </w:r>
          </w:p>
        </w:tc>
        <w:tc>
          <w:tcPr>
            <w:tcW w:w="741" w:type="pct"/>
            <w:noWrap/>
            <w:vAlign w:val="center"/>
            <w:hideMark/>
          </w:tcPr>
          <w:p w14:paraId="5E3A7534" w14:textId="0CD482C9" w:rsidR="00EE1BC0" w:rsidRPr="00C761FF" w:rsidRDefault="00EE1BC0" w:rsidP="00C15226">
            <w:pPr>
              <w:rPr>
                <w:b/>
                <w:bCs/>
                <w:u w:val="single"/>
              </w:rPr>
            </w:pPr>
            <w:r w:rsidRPr="00105F5E">
              <w:rPr>
                <w:b/>
                <w:bCs/>
                <w:color w:val="000000"/>
                <w:u w:val="single"/>
              </w:rPr>
              <w:t>1,569,510</w:t>
            </w:r>
          </w:p>
        </w:tc>
      </w:tr>
    </w:tbl>
    <w:p w14:paraId="63C95A40" w14:textId="77777777" w:rsidR="00E5633C" w:rsidRDefault="00E5633C" w:rsidP="00D12DD1">
      <w:pPr>
        <w:keepNext/>
        <w:rPr>
          <w:i/>
          <w:u w:val="single"/>
        </w:rPr>
      </w:pPr>
    </w:p>
    <w:p w14:paraId="539D5088" w14:textId="5497EF6F" w:rsidR="008C2755" w:rsidRDefault="008C2755" w:rsidP="00D12DD1">
      <w:pPr>
        <w:keepNext/>
        <w:rPr>
          <w:i/>
        </w:rPr>
      </w:pPr>
      <w:r w:rsidRPr="00105F5E">
        <w:rPr>
          <w:i/>
        </w:rPr>
        <w:t>Summary</w:t>
      </w:r>
    </w:p>
    <w:p w14:paraId="1938795D" w14:textId="77777777" w:rsidR="00F14ACA" w:rsidRPr="00105F5E" w:rsidRDefault="00F14ACA" w:rsidP="00D12DD1">
      <w:pPr>
        <w:keepNext/>
        <w:rPr>
          <w:i/>
        </w:rPr>
      </w:pPr>
    </w:p>
    <w:p w14:paraId="79435FBC" w14:textId="73E881E2" w:rsidR="008C2755" w:rsidRDefault="0062283E" w:rsidP="006D0151">
      <w:pPr>
        <w:keepNext/>
      </w:pPr>
      <w:r w:rsidRPr="00132A2F">
        <w:t>In total</w:t>
      </w:r>
      <w:r w:rsidR="00811D58">
        <w:t>,</w:t>
      </w:r>
      <w:r w:rsidRPr="00132A2F">
        <w:t xml:space="preserve"> we estimate</w:t>
      </w:r>
      <w:r w:rsidR="00811D58">
        <w:t xml:space="preserve">: (1) no change in burden </w:t>
      </w:r>
      <w:r w:rsidR="00C40850">
        <w:t xml:space="preserve">across all participating </w:t>
      </w:r>
      <w:r w:rsidR="005911D1">
        <w:t xml:space="preserve">hospitals </w:t>
      </w:r>
      <w:r w:rsidR="00C40850">
        <w:t>due to the finalized removal of the one claims-based measure; and (2)</w:t>
      </w:r>
      <w:r w:rsidRPr="00132A2F">
        <w:t xml:space="preserve"> a decrease of </w:t>
      </w:r>
      <w:r w:rsidR="00CD1342" w:rsidRPr="00105F5E">
        <w:t>43,200</w:t>
      </w:r>
      <w:r w:rsidRPr="00132A2F">
        <w:rPr>
          <w:rFonts w:eastAsia="Calibri"/>
          <w:b/>
        </w:rPr>
        <w:t xml:space="preserve"> </w:t>
      </w:r>
      <w:r w:rsidRPr="00132A2F">
        <w:t xml:space="preserve">hours and </w:t>
      </w:r>
      <w:r w:rsidR="003C55AA" w:rsidRPr="00BF46CD">
        <w:t xml:space="preserve">approximately </w:t>
      </w:r>
      <w:r w:rsidR="003C55AA" w:rsidRPr="00105F5E">
        <w:t>$1.6</w:t>
      </w:r>
      <w:r w:rsidR="003C55AA" w:rsidRPr="00132A2F">
        <w:t xml:space="preserve"> million </w:t>
      </w:r>
      <w:r w:rsidR="00127956">
        <w:t xml:space="preserve">associated with </w:t>
      </w:r>
      <w:r>
        <w:t xml:space="preserve">the </w:t>
      </w:r>
      <w:r w:rsidR="00E81800">
        <w:t xml:space="preserve">discontinuation of HAI </w:t>
      </w:r>
      <w:r w:rsidR="00127956">
        <w:t xml:space="preserve">data </w:t>
      </w:r>
      <w:r w:rsidR="00E81800">
        <w:t>validation under the Hospital IQR Program</w:t>
      </w:r>
      <w:r w:rsidR="000171E7">
        <w:t>, as discussed above.</w:t>
      </w:r>
    </w:p>
    <w:p w14:paraId="3C19CE93" w14:textId="3A0D08A3" w:rsidR="00801B41" w:rsidRDefault="00801B41" w:rsidP="006D0151">
      <w:pPr>
        <w:keepNext/>
      </w:pPr>
    </w:p>
    <w:p w14:paraId="0E3D83BC" w14:textId="6DAD5EE9" w:rsidR="00216666" w:rsidRDefault="00801B41" w:rsidP="006D0151">
      <w:pPr>
        <w:keepNext/>
      </w:pPr>
      <w:r>
        <w:t>Given the estimated burden reduction summarized above,</w:t>
      </w:r>
      <w:r w:rsidR="00DC42D0">
        <w:t xml:space="preserve"> we estimate a total burden of </w:t>
      </w:r>
      <w:r w:rsidR="00DC099F" w:rsidRPr="00105F5E">
        <w:t>1,569,510</w:t>
      </w:r>
      <w:r w:rsidR="00DC099F">
        <w:t xml:space="preserve"> hours</w:t>
      </w:r>
      <w:r w:rsidR="0071684D">
        <w:t xml:space="preserve"> (</w:t>
      </w:r>
      <w:r w:rsidR="0071684D" w:rsidRPr="00105F5E">
        <w:t>1,612,710</w:t>
      </w:r>
      <w:r w:rsidR="0071684D">
        <w:t xml:space="preserve"> hours - </w:t>
      </w:r>
      <w:r w:rsidR="0071684D" w:rsidRPr="00105F5E">
        <w:t>43,200</w:t>
      </w:r>
      <w:r w:rsidR="0071684D">
        <w:t xml:space="preserve"> hours) for the FY 2023 payment determination.  With our estimated wage rate of $36.58 per hour, we estimate a total cost of approximately $</w:t>
      </w:r>
      <w:r w:rsidR="00571BDE" w:rsidRPr="00105F5E">
        <w:t>57.4</w:t>
      </w:r>
      <w:r w:rsidR="0071684D">
        <w:t xml:space="preserve"> million.  </w:t>
      </w:r>
      <w:r w:rsidR="00216666" w:rsidRPr="001B46F6">
        <w:t xml:space="preserve">We </w:t>
      </w:r>
      <w:r w:rsidR="005C524D">
        <w:t xml:space="preserve">note </w:t>
      </w:r>
      <w:r w:rsidR="00216666" w:rsidRPr="001B46F6">
        <w:t xml:space="preserve">that our </w:t>
      </w:r>
      <w:r w:rsidR="00216666">
        <w:t xml:space="preserve">finalized </w:t>
      </w:r>
      <w:r w:rsidR="00216666" w:rsidRPr="001B46F6">
        <w:t xml:space="preserve">policy changes </w:t>
      </w:r>
      <w:r w:rsidR="00216666">
        <w:t xml:space="preserve">in the FY 2019 IPPS/LTCH PPS final rule </w:t>
      </w:r>
      <w:r w:rsidR="00F20800">
        <w:t>will</w:t>
      </w:r>
      <w:r w:rsidR="00216666">
        <w:t xml:space="preserve"> result</w:t>
      </w:r>
      <w:r w:rsidR="00216666" w:rsidRPr="001B46F6">
        <w:t xml:space="preserve"> in a burden reduction </w:t>
      </w:r>
      <w:r w:rsidR="00216666">
        <w:t>compared to the</w:t>
      </w:r>
      <w:r w:rsidR="00216666" w:rsidRPr="001B46F6">
        <w:t xml:space="preserve"> </w:t>
      </w:r>
      <w:r w:rsidR="00216666">
        <w:t>total burden estimated for the FY 202</w:t>
      </w:r>
      <w:r w:rsidR="00940A35">
        <w:t>2</w:t>
      </w:r>
      <w:r w:rsidR="00216666">
        <w:t xml:space="preserve"> payment determination described above</w:t>
      </w:r>
      <w:r w:rsidR="00216666" w:rsidRPr="001B46F6">
        <w:t xml:space="preserve">.  </w:t>
      </w:r>
      <w:r w:rsidR="00216666">
        <w:t>W</w:t>
      </w:r>
      <w:r w:rsidR="00216666" w:rsidRPr="001B46F6">
        <w:t xml:space="preserve">e are requesting </w:t>
      </w:r>
      <w:r w:rsidR="00216666">
        <w:t>approval of this burden estimate for the FY 202</w:t>
      </w:r>
      <w:r w:rsidR="000B191D">
        <w:t>3</w:t>
      </w:r>
      <w:r w:rsidR="00216666">
        <w:t xml:space="preserve"> payment determination</w:t>
      </w:r>
      <w:r w:rsidR="00216666" w:rsidRPr="001B46F6">
        <w:t>.</w:t>
      </w:r>
    </w:p>
    <w:p w14:paraId="7CB2121A" w14:textId="77777777" w:rsidR="00934017" w:rsidRDefault="00934017" w:rsidP="006D0151">
      <w:pPr>
        <w:keepNext/>
        <w:rPr>
          <w:u w:val="single"/>
        </w:rPr>
      </w:pPr>
    </w:p>
    <w:p w14:paraId="77F3FC33" w14:textId="5F678A03" w:rsidR="004D6FC1" w:rsidRPr="000E455D" w:rsidRDefault="00FE6A43" w:rsidP="00D12DD1">
      <w:pPr>
        <w:keepNext/>
        <w:rPr>
          <w:u w:val="single"/>
        </w:rPr>
      </w:pPr>
      <w:r>
        <w:rPr>
          <w:u w:val="single"/>
        </w:rPr>
        <w:t xml:space="preserve">f. </w:t>
      </w:r>
      <w:r w:rsidR="00855446">
        <w:rPr>
          <w:u w:val="single"/>
        </w:rPr>
        <w:t xml:space="preserve"> </w:t>
      </w:r>
      <w:r w:rsidR="004D6FC1" w:rsidRPr="000E455D">
        <w:rPr>
          <w:u w:val="single"/>
        </w:rPr>
        <w:t>Additional Information on Burden Estimates</w:t>
      </w:r>
    </w:p>
    <w:p w14:paraId="661F2F27" w14:textId="77777777" w:rsidR="004D6FC1" w:rsidRDefault="004D6FC1" w:rsidP="00D12DD1">
      <w:pPr>
        <w:keepNext/>
      </w:pPr>
    </w:p>
    <w:p w14:paraId="046D658F" w14:textId="7538E876" w:rsidR="004A54D0" w:rsidRDefault="004D6FC1" w:rsidP="004A54D0">
      <w:pPr>
        <w:keepNext/>
      </w:pPr>
      <w:r>
        <w:t xml:space="preserve">Time estimates for activities other than abstracting charts, including completion of web-based forms for structural measures, </w:t>
      </w:r>
      <w:r w:rsidRPr="00563459">
        <w:t xml:space="preserve">completion of the forms </w:t>
      </w:r>
      <w:r>
        <w:t>listed in section A.1.e above other than the HAI Validation Templates</w:t>
      </w:r>
      <w:r w:rsidRPr="00563459">
        <w:t xml:space="preserve">, </w:t>
      </w:r>
      <w:r>
        <w:t xml:space="preserve">routine reporting of population and sampling numbers for ongoing </w:t>
      </w:r>
      <w:r w:rsidR="00945E38">
        <w:t xml:space="preserve">chart-abstracted </w:t>
      </w:r>
      <w:r>
        <w:t xml:space="preserve">measures, set up and reporting of population and sampling for new measures, </w:t>
      </w:r>
      <w:r w:rsidR="00945E38">
        <w:t xml:space="preserve">if any, </w:t>
      </w:r>
      <w:r>
        <w:t xml:space="preserve">and review of reports were made in consultation with our Hospital IQR Program support contractor, which is responsible for routine interface with hospitals and Quality Improvement Organizations regarding Hospital IQR Program requirements.  We define </w:t>
      </w:r>
      <w:r w:rsidRPr="00006D46">
        <w:rPr>
          <w:i/>
        </w:rPr>
        <w:t>“all other forms used in the data collection process”</w:t>
      </w:r>
      <w:r>
        <w:t xml:space="preserve"> as the forms listed in section A.1.e above other than</w:t>
      </w:r>
      <w:r w:rsidRPr="009E20FD">
        <w:t xml:space="preserve"> </w:t>
      </w:r>
      <w:r>
        <w:t xml:space="preserve">the HAI Validation Templates, which are </w:t>
      </w:r>
      <w:r w:rsidR="00945E38">
        <w:t xml:space="preserve">separately </w:t>
      </w:r>
      <w:r>
        <w:t xml:space="preserve">included in the burden estimate for validation.  Consistent with estimates in the FY 2016 IPPS/LTCH PPS </w:t>
      </w:r>
      <w:r w:rsidR="007614B7">
        <w:t>f</w:t>
      </w:r>
      <w:r>
        <w:t xml:space="preserve">inal </w:t>
      </w:r>
      <w:r w:rsidR="007614B7">
        <w:t>r</w:t>
      </w:r>
      <w:r>
        <w:t>ule, we estimate a burden of 15 minutes per hospital to complete all applicable forms and also to report structural measure data (80 FR 49762)</w:t>
      </w:r>
      <w:r w:rsidRPr="00E85829">
        <w:t>.</w:t>
      </w:r>
      <w:r w:rsidR="00945E38">
        <w:t xml:space="preserve">  </w:t>
      </w:r>
    </w:p>
    <w:p w14:paraId="1DB3AA3B" w14:textId="77777777" w:rsidR="004A54D0" w:rsidRDefault="004A54D0" w:rsidP="004A54D0">
      <w:pPr>
        <w:keepNext/>
      </w:pPr>
    </w:p>
    <w:p w14:paraId="384686C7" w14:textId="2F1EF3ED" w:rsidR="004D6FC1" w:rsidRDefault="00945E38" w:rsidP="004A54D0">
      <w:pPr>
        <w:keepNext/>
      </w:pPr>
      <w:r>
        <w:t>As discussed in section B.12.b above, we anticipate</w:t>
      </w:r>
      <w:r w:rsidRPr="007561FE">
        <w:t xml:space="preserve"> </w:t>
      </w:r>
      <w:r>
        <w:t xml:space="preserve">removing </w:t>
      </w:r>
      <w:r w:rsidR="004A54D0">
        <w:t xml:space="preserve">the </w:t>
      </w:r>
      <w:r>
        <w:t>two structural measures would</w:t>
      </w:r>
      <w:r w:rsidRPr="007561FE">
        <w:t xml:space="preserve"> </w:t>
      </w:r>
      <w:r>
        <w:t>result in</w:t>
      </w:r>
      <w:r w:rsidRPr="007561FE">
        <w:t xml:space="preserve"> a</w:t>
      </w:r>
      <w:r>
        <w:t xml:space="preserve"> </w:t>
      </w:r>
      <w:r w:rsidRPr="007561FE">
        <w:t xml:space="preserve">negligible burden reduction </w:t>
      </w:r>
      <w:r>
        <w:t>for hospitals</w:t>
      </w:r>
      <w:r w:rsidRPr="003912AF">
        <w:t xml:space="preserve"> </w:t>
      </w:r>
      <w:r>
        <w:t>and continue to estimate 15 minutes per hospital</w:t>
      </w:r>
      <w:r w:rsidR="004A54D0">
        <w:t xml:space="preserve"> for t</w:t>
      </w:r>
      <w:r w:rsidR="004D6FC1">
        <w:t xml:space="preserve">he burden associated with </w:t>
      </w:r>
      <w:r w:rsidR="004D6FC1" w:rsidRPr="00E85829">
        <w:rPr>
          <w:i/>
        </w:rPr>
        <w:t>“all other forms used in the data collection process”</w:t>
      </w:r>
      <w:r w:rsidR="004D6FC1" w:rsidRPr="00E85829">
        <w:t xml:space="preserve">, as </w:t>
      </w:r>
      <w:r w:rsidR="004A54D0">
        <w:t>the forms listed in section A.1.e would</w:t>
      </w:r>
      <w:r w:rsidR="004D6FC1" w:rsidRPr="00E85829">
        <w:t xml:space="preserve"> not be filled out by hospitals on a regular basis.  </w:t>
      </w:r>
      <w:r w:rsidR="004D6FC1">
        <w:t xml:space="preserve">Because the </w:t>
      </w:r>
      <w:r w:rsidR="004D6FC1">
        <w:rPr>
          <w:color w:val="000000"/>
        </w:rPr>
        <w:t>CMS Quality Reporting Program</w:t>
      </w:r>
      <w:r w:rsidR="004D6FC1">
        <w:t xml:space="preserve"> Extraordinary Circumstances Exception</w:t>
      </w:r>
      <w:r w:rsidR="00251D97">
        <w:t>s</w:t>
      </w:r>
      <w:r w:rsidR="004D6FC1">
        <w:t xml:space="preserve"> (ECE) Request Form </w:t>
      </w:r>
      <w:r w:rsidR="004A54D0">
        <w:t>would</w:t>
      </w:r>
      <w:r w:rsidR="004D6FC1">
        <w:t xml:space="preserve"> be used across </w:t>
      </w:r>
      <w:r w:rsidR="004A54D0">
        <w:t>ten</w:t>
      </w:r>
      <w:r w:rsidR="004D6FC1">
        <w:t xml:space="preserve"> quality </w:t>
      </w:r>
      <w:r w:rsidR="004A54D0">
        <w:t>programs (Hospital IQR Program</w:t>
      </w:r>
      <w:r w:rsidR="004D6FC1">
        <w:t xml:space="preserve">, </w:t>
      </w:r>
      <w:r w:rsidR="004A54D0">
        <w:t xml:space="preserve">Hospital Outpatient Reporting Program, </w:t>
      </w:r>
      <w:r w:rsidR="004D6FC1">
        <w:t>Inpatient Psychiatric Facility</w:t>
      </w:r>
      <w:r w:rsidR="004A54D0">
        <w:t xml:space="preserve"> Quality Reporting Program</w:t>
      </w:r>
      <w:r w:rsidR="004D6FC1">
        <w:t>, PPS-Exempt Cancer Hospital</w:t>
      </w:r>
      <w:r w:rsidR="004A54D0">
        <w:t xml:space="preserve"> Quality Reporting Program</w:t>
      </w:r>
      <w:r w:rsidR="004D6FC1">
        <w:t xml:space="preserve">, </w:t>
      </w:r>
      <w:r w:rsidR="004A54D0">
        <w:t>Ambulatory Surgical Center Quality Reporting Program, Hospital VBP Program</w:t>
      </w:r>
      <w:r w:rsidR="004D6FC1">
        <w:t>, Hospital-Acquired Condition Reduction</w:t>
      </w:r>
      <w:r w:rsidR="004A54D0">
        <w:t xml:space="preserve"> Program</w:t>
      </w:r>
      <w:r w:rsidR="004D6FC1">
        <w:t>, Hospital Readmissions Reduction</w:t>
      </w:r>
      <w:r w:rsidR="004A54D0">
        <w:t xml:space="preserve"> Program</w:t>
      </w:r>
      <w:r w:rsidR="004D6FC1">
        <w:t>, E</w:t>
      </w:r>
      <w:r w:rsidR="00CF572D">
        <w:t xml:space="preserve">nd </w:t>
      </w:r>
      <w:r w:rsidR="004D6FC1">
        <w:t>S</w:t>
      </w:r>
      <w:r w:rsidR="00CF572D">
        <w:t xml:space="preserve">tage </w:t>
      </w:r>
      <w:r w:rsidR="004D6FC1">
        <w:t>R</w:t>
      </w:r>
      <w:r w:rsidR="00CF572D">
        <w:t xml:space="preserve">enal </w:t>
      </w:r>
      <w:r w:rsidR="004D6FC1">
        <w:t>D</w:t>
      </w:r>
      <w:r w:rsidR="00CF572D">
        <w:t>isease</w:t>
      </w:r>
      <w:r w:rsidR="004D6FC1">
        <w:t xml:space="preserve"> Quality Incentive Program</w:t>
      </w:r>
      <w:r w:rsidR="004A54D0">
        <w:t>, and Skilled Nursing Facility Value-Based Purchasing Program</w:t>
      </w:r>
      <w:r w:rsidR="004D6FC1">
        <w:t>), we included a burden calculation using this form as an example of “all other forms” within this PRA package.  This form is intended to be submitted by participants only in the event of an extraordinary circumstance or disaster</w:t>
      </w:r>
      <w:r w:rsidR="004D6FC1" w:rsidRPr="00D2644A">
        <w:t xml:space="preserve"> </w:t>
      </w:r>
      <w:r w:rsidR="004D6FC1">
        <w:t xml:space="preserve">if they seek an extension or </w:t>
      </w:r>
      <w:r w:rsidR="004A54D0">
        <w:t>exception</w:t>
      </w:r>
      <w:r w:rsidR="004D6FC1">
        <w:t xml:space="preserve"> from data reporting requirements due to such extraordinary circumstance.  </w:t>
      </w:r>
      <w:r w:rsidR="004D6FC1" w:rsidRPr="00CF4D38">
        <w:t xml:space="preserve">In </w:t>
      </w:r>
      <w:r w:rsidR="002F15AF">
        <w:t>CY 2016</w:t>
      </w:r>
      <w:r w:rsidR="004D6FC1">
        <w:t xml:space="preserve">, </w:t>
      </w:r>
      <w:r w:rsidR="00D2348A">
        <w:t>8</w:t>
      </w:r>
      <w:r w:rsidR="00251D97">
        <w:t>6</w:t>
      </w:r>
      <w:r w:rsidR="004D6FC1" w:rsidRPr="00CF4D38">
        <w:t xml:space="preserve"> ECE requests were submitted by hospitals for an extension or e</w:t>
      </w:r>
      <w:r w:rsidR="00D2348A">
        <w:t>xception</w:t>
      </w:r>
      <w:r w:rsidR="004D6FC1" w:rsidRPr="00CF4D38">
        <w:t xml:space="preserve"> from reporting requirements in the </w:t>
      </w:r>
      <w:r w:rsidR="004D6FC1">
        <w:t>Hospital IQR P</w:t>
      </w:r>
      <w:r w:rsidR="004D6FC1" w:rsidRPr="00CF4D38">
        <w:t>rogram</w:t>
      </w:r>
      <w:r w:rsidR="00251D97">
        <w:t xml:space="preserve">, of which 69 ECE requests were for an exception from the first year of </w:t>
      </w:r>
      <w:r w:rsidR="00BF5FB7">
        <w:t>required</w:t>
      </w:r>
      <w:r w:rsidR="00251D97">
        <w:t xml:space="preserve"> eCQM reporting</w:t>
      </w:r>
      <w:r w:rsidR="00BF5FB7">
        <w:t xml:space="preserve"> of CY 2016 discharge data</w:t>
      </w:r>
      <w:r w:rsidR="004D6FC1" w:rsidRPr="00CF4D38">
        <w:t xml:space="preserve">. </w:t>
      </w:r>
      <w:r w:rsidR="004D6FC1">
        <w:t xml:space="preserve"> </w:t>
      </w:r>
      <w:r w:rsidR="004D6FC1" w:rsidRPr="00CF4D38">
        <w:t>B</w:t>
      </w:r>
      <w:r w:rsidR="004D6FC1">
        <w:t>ased on our estimation of 15 minutes</w:t>
      </w:r>
      <w:r w:rsidR="004D6FC1" w:rsidRPr="00CF4D38">
        <w:t>/</w:t>
      </w:r>
      <w:r w:rsidR="004D6FC1">
        <w:t>record</w:t>
      </w:r>
      <w:r w:rsidR="004D6FC1" w:rsidRPr="00CF4D38">
        <w:t xml:space="preserve"> to submit the </w:t>
      </w:r>
      <w:r w:rsidR="004D6FC1">
        <w:t>ECE Request Form</w:t>
      </w:r>
      <w:r w:rsidR="004D6FC1" w:rsidRPr="00CF4D38">
        <w:t>, the total burden calculation for the su</w:t>
      </w:r>
      <w:r w:rsidR="004D6FC1">
        <w:t xml:space="preserve">bmission of </w:t>
      </w:r>
      <w:r w:rsidR="00251D97">
        <w:t>86</w:t>
      </w:r>
      <w:r w:rsidR="004D6FC1">
        <w:t xml:space="preserve"> ECE requests was </w:t>
      </w:r>
      <w:r w:rsidR="00251D97">
        <w:t>1,290</w:t>
      </w:r>
      <w:r w:rsidR="004D6FC1" w:rsidRPr="00CF4D38">
        <w:t xml:space="preserve"> minutes</w:t>
      </w:r>
      <w:r w:rsidR="004D6FC1">
        <w:t xml:space="preserve"> (or </w:t>
      </w:r>
      <w:r w:rsidR="00251D97">
        <w:t>21.5</w:t>
      </w:r>
      <w:r w:rsidR="004D6FC1">
        <w:t xml:space="preserve"> hours) across 3,300 IPPS hospitals.  Note that non-IPPS hospitals have no need for this form because they participate in quality data reporting on a voluntary basis</w:t>
      </w:r>
      <w:r w:rsidR="004D6FC1" w:rsidRPr="00CF4D38">
        <w:t xml:space="preserve">. </w:t>
      </w:r>
      <w:r w:rsidR="004D6FC1">
        <w:t xml:space="preserve"> </w:t>
      </w:r>
      <w:r w:rsidR="004D6FC1" w:rsidRPr="00CF4D38">
        <w:t>We were conservative i</w:t>
      </w:r>
      <w:r w:rsidR="004D6FC1">
        <w:t>n our estimate (provided in T</w:t>
      </w:r>
      <w:r w:rsidR="004D6FC1" w:rsidRPr="00CF4D38">
        <w:t>able</w:t>
      </w:r>
      <w:r w:rsidR="004A54D0">
        <w:t>s 1</w:t>
      </w:r>
      <w:r w:rsidR="00734C85">
        <w:t>,</w:t>
      </w:r>
      <w:r w:rsidR="004D6FC1">
        <w:t xml:space="preserve"> </w:t>
      </w:r>
      <w:r w:rsidR="00251D97">
        <w:t>2</w:t>
      </w:r>
      <w:r w:rsidR="00734C85">
        <w:t>, and 3</w:t>
      </w:r>
      <w:r w:rsidR="004D6FC1" w:rsidRPr="00CF4D38">
        <w:t xml:space="preserve"> above) </w:t>
      </w:r>
      <w:r w:rsidR="004D6FC1">
        <w:t xml:space="preserve">of </w:t>
      </w:r>
      <w:r w:rsidR="00251D97">
        <w:t>1,100</w:t>
      </w:r>
      <w:r w:rsidR="004D6FC1" w:rsidRPr="00CF4D38">
        <w:t xml:space="preserve"> hours across </w:t>
      </w:r>
      <w:r w:rsidR="004A54D0">
        <w:t xml:space="preserve">all </w:t>
      </w:r>
      <w:r w:rsidR="004D6FC1" w:rsidRPr="00CF4D38">
        <w:t>IPPS and n</w:t>
      </w:r>
      <w:r w:rsidR="004D6FC1">
        <w:t xml:space="preserve">on-IPPS hospitals, thus this </w:t>
      </w:r>
      <w:r w:rsidR="00251D97">
        <w:t>21.5 hours</w:t>
      </w:r>
      <w:r w:rsidR="004D6FC1" w:rsidRPr="00CF4D38">
        <w:t xml:space="preserve"> </w:t>
      </w:r>
      <w:r w:rsidR="004D6FC1">
        <w:t xml:space="preserve">ECE Request </w:t>
      </w:r>
      <w:r w:rsidR="00CF572D">
        <w:t>F</w:t>
      </w:r>
      <w:r w:rsidR="004D6FC1">
        <w:t xml:space="preserve">orm </w:t>
      </w:r>
      <w:r w:rsidR="004D6FC1" w:rsidRPr="00CF4D38">
        <w:t xml:space="preserve">burden estimation is accounted for in that </w:t>
      </w:r>
      <w:r w:rsidR="00330B6B">
        <w:t>figure.</w:t>
      </w:r>
    </w:p>
    <w:p w14:paraId="04AD4A07" w14:textId="77777777" w:rsidR="007236A4" w:rsidRDefault="007236A4" w:rsidP="007236A4"/>
    <w:p w14:paraId="06FDAED6" w14:textId="77777777" w:rsidR="007236A4" w:rsidRPr="000D165B" w:rsidRDefault="000D165B" w:rsidP="0041034F">
      <w:pPr>
        <w:keepNext/>
        <w:rPr>
          <w:u w:val="single"/>
        </w:rPr>
      </w:pPr>
      <w:r>
        <w:rPr>
          <w:u w:val="single"/>
        </w:rPr>
        <w:t xml:space="preserve">13.  </w:t>
      </w:r>
      <w:r w:rsidR="007236A4" w:rsidRPr="000D165B">
        <w:rPr>
          <w:u w:val="single"/>
        </w:rPr>
        <w:t>Capital Costs (Maintenance of Capital Costs)</w:t>
      </w:r>
    </w:p>
    <w:p w14:paraId="4D28F55F" w14:textId="77777777" w:rsidR="007236A4" w:rsidRPr="00B30999" w:rsidRDefault="007236A4" w:rsidP="0041034F">
      <w:pPr>
        <w:pStyle w:val="ListParagraph"/>
        <w:keepNext/>
        <w:rPr>
          <w:u w:val="single"/>
        </w:rPr>
      </w:pPr>
    </w:p>
    <w:p w14:paraId="375A2F1B" w14:textId="77777777" w:rsidR="007236A4" w:rsidRPr="00792D0B" w:rsidRDefault="007236A4" w:rsidP="0041034F">
      <w:pPr>
        <w:keepNext/>
      </w:pPr>
      <w:r w:rsidRPr="00792D0B">
        <w:t>There are no capital costs</w:t>
      </w:r>
      <w:r>
        <w:t>.</w:t>
      </w:r>
    </w:p>
    <w:p w14:paraId="19CDE060" w14:textId="77777777" w:rsidR="007236A4" w:rsidRPr="00792D0B" w:rsidRDefault="007236A4" w:rsidP="007236A4"/>
    <w:p w14:paraId="0A2573E2" w14:textId="77777777" w:rsidR="007236A4" w:rsidRPr="000D165B" w:rsidRDefault="000D165B" w:rsidP="000D165B">
      <w:pPr>
        <w:rPr>
          <w:u w:val="single"/>
        </w:rPr>
      </w:pPr>
      <w:r>
        <w:rPr>
          <w:u w:val="single"/>
        </w:rPr>
        <w:t xml:space="preserve">14.  </w:t>
      </w:r>
      <w:r w:rsidR="007236A4" w:rsidRPr="000D165B">
        <w:rPr>
          <w:u w:val="single"/>
        </w:rPr>
        <w:t>Cost to Federal Government</w:t>
      </w:r>
    </w:p>
    <w:p w14:paraId="59DB50A2" w14:textId="77777777" w:rsidR="007236A4" w:rsidRPr="00B30999" w:rsidRDefault="007236A4" w:rsidP="007236A4">
      <w:pPr>
        <w:pStyle w:val="ListParagraph"/>
        <w:rPr>
          <w:u w:val="single"/>
        </w:rPr>
      </w:pPr>
    </w:p>
    <w:p w14:paraId="4DB14525" w14:textId="5346EBC4" w:rsidR="007236A4" w:rsidRPr="00792D0B" w:rsidRDefault="007236A4" w:rsidP="007236A4">
      <w:r w:rsidRPr="00BF5EB3">
        <w:t>The cost to the Federal Government includes costs associated with the collection and validation of the data.  These costs are estimated at</w:t>
      </w:r>
      <w:r>
        <w:t xml:space="preserve"> $10,050</w:t>
      </w:r>
      <w:r w:rsidRPr="00BF5EB3">
        <w:t xml:space="preserve">,000 annually for the validation and quality reporting contracts. </w:t>
      </w:r>
      <w:r w:rsidRPr="00B30999">
        <w:t xml:space="preserve"> </w:t>
      </w:r>
      <w:r w:rsidRPr="00BF5EB3">
        <w:t xml:space="preserve">Additionally, this program takes </w:t>
      </w:r>
      <w:r w:rsidR="00313705">
        <w:t>three</w:t>
      </w:r>
      <w:r w:rsidR="00313705" w:rsidRPr="00BF5EB3">
        <w:t xml:space="preserve"> </w:t>
      </w:r>
      <w:r w:rsidRPr="00BF5EB3">
        <w:t>CMS staff at a GS-13 level to operate.  GS-13 approx</w:t>
      </w:r>
      <w:r w:rsidR="006250B4">
        <w:t>imate annual</w:t>
      </w:r>
      <w:r w:rsidR="008A580A">
        <w:t xml:space="preserve"> salary is $96,97</w:t>
      </w:r>
      <w:r>
        <w:t>0</w:t>
      </w:r>
      <w:r w:rsidRPr="00BF5EB3">
        <w:t xml:space="preserve"> for an additional cost of $</w:t>
      </w:r>
      <w:r w:rsidR="008A580A">
        <w:t>290,910</w:t>
      </w:r>
      <w:r w:rsidRPr="00BF5EB3">
        <w:t xml:space="preserve">. </w:t>
      </w:r>
      <w:r w:rsidRPr="00B30999">
        <w:t xml:space="preserve"> </w:t>
      </w:r>
    </w:p>
    <w:p w14:paraId="24B684AB" w14:textId="77777777" w:rsidR="007236A4" w:rsidRPr="00792D0B" w:rsidRDefault="007236A4" w:rsidP="007236A4"/>
    <w:p w14:paraId="090C6100" w14:textId="77777777" w:rsidR="007236A4" w:rsidRPr="00792D0B" w:rsidRDefault="007236A4" w:rsidP="007236A4">
      <w:r w:rsidRPr="00792D0B">
        <w:t>For the claims-based measures, the cost to the Federal Government is minimal.  CMS use</w:t>
      </w:r>
      <w:r w:rsidR="00C82C83">
        <w:t>s</w:t>
      </w:r>
      <w:r w:rsidRPr="00792D0B">
        <w:t xml:space="preserve"> data from the </w:t>
      </w:r>
      <w:r w:rsidR="00014426">
        <w:t>CMS National Claims History system</w:t>
      </w:r>
      <w:r w:rsidRPr="00792D0B">
        <w:t xml:space="preserve"> that </w:t>
      </w:r>
      <w:r w:rsidR="00313705">
        <w:t>are</w:t>
      </w:r>
      <w:r w:rsidRPr="00792D0B">
        <w:t xml:space="preserve"> already being collected for </w:t>
      </w:r>
      <w:r w:rsidR="003F0BA9">
        <w:t>provider reimbursement</w:t>
      </w:r>
      <w:r w:rsidR="00313705">
        <w:t>;</w:t>
      </w:r>
      <w:r w:rsidRPr="00792D0B">
        <w:t xml:space="preserve"> therefore, no additional data will need to be submitted by hospitals</w:t>
      </w:r>
      <w:r w:rsidR="003F0BA9">
        <w:t xml:space="preserve"> for claims-based measures</w:t>
      </w:r>
      <w:r w:rsidRPr="00792D0B">
        <w:t xml:space="preserve">. </w:t>
      </w:r>
    </w:p>
    <w:p w14:paraId="3AF1FE6A" w14:textId="77777777" w:rsidR="007236A4" w:rsidRPr="00792D0B" w:rsidRDefault="007236A4" w:rsidP="007236A4"/>
    <w:p w14:paraId="70B9F1EF" w14:textId="77777777" w:rsidR="007236A4" w:rsidRPr="000D165B" w:rsidRDefault="000D165B" w:rsidP="00D90633">
      <w:pPr>
        <w:keepNext/>
        <w:rPr>
          <w:u w:val="single"/>
        </w:rPr>
      </w:pPr>
      <w:r>
        <w:rPr>
          <w:u w:val="single"/>
        </w:rPr>
        <w:t xml:space="preserve">15.  </w:t>
      </w:r>
      <w:r w:rsidR="007236A4" w:rsidRPr="000D165B">
        <w:rPr>
          <w:u w:val="single"/>
        </w:rPr>
        <w:t>Program or Burden Changes</w:t>
      </w:r>
    </w:p>
    <w:p w14:paraId="28835E54" w14:textId="77777777" w:rsidR="007236A4" w:rsidRPr="00B30999" w:rsidRDefault="007236A4" w:rsidP="00D90633">
      <w:pPr>
        <w:pStyle w:val="ListParagraph"/>
        <w:keepNext/>
        <w:rPr>
          <w:u w:val="single"/>
        </w:rPr>
      </w:pPr>
    </w:p>
    <w:p w14:paraId="49D5CCF5" w14:textId="66800DBF" w:rsidR="00B242F5" w:rsidRDefault="0064607A" w:rsidP="00D90633">
      <w:pPr>
        <w:keepNext/>
      </w:pPr>
      <w:r>
        <w:t>A</w:t>
      </w:r>
      <w:r w:rsidRPr="00540F28">
        <w:t xml:space="preserve">s described above, </w:t>
      </w:r>
      <w:r w:rsidR="008342E4">
        <w:t>in the FY 201</w:t>
      </w:r>
      <w:r w:rsidR="00B343C4">
        <w:t>9</w:t>
      </w:r>
      <w:r w:rsidR="008342E4">
        <w:t xml:space="preserve"> IPPS/LTCH PPS </w:t>
      </w:r>
      <w:r w:rsidR="0087329E">
        <w:t xml:space="preserve">final </w:t>
      </w:r>
      <w:r w:rsidR="00C11B00">
        <w:t>r</w:t>
      </w:r>
      <w:r w:rsidR="001F23CC">
        <w:t>ule</w:t>
      </w:r>
      <w:r w:rsidR="00CF572D">
        <w:t>,</w:t>
      </w:r>
      <w:r w:rsidR="001F23CC">
        <w:t xml:space="preserve"> </w:t>
      </w:r>
      <w:r w:rsidR="00540F28" w:rsidRPr="00540F28">
        <w:t>we a</w:t>
      </w:r>
      <w:r w:rsidR="00C82C83">
        <w:t>r</w:t>
      </w:r>
      <w:r w:rsidR="00540F28" w:rsidRPr="00540F28">
        <w:t xml:space="preserve">e </w:t>
      </w:r>
      <w:r w:rsidR="005E112E">
        <w:t xml:space="preserve">finalizing our </w:t>
      </w:r>
      <w:r w:rsidR="00734C85">
        <w:t>policy</w:t>
      </w:r>
      <w:r w:rsidR="009B3743">
        <w:t xml:space="preserve"> </w:t>
      </w:r>
      <w:r w:rsidR="00B343C4">
        <w:t xml:space="preserve">to continue the eCQM reporting requirements previously </w:t>
      </w:r>
      <w:r w:rsidR="00824464">
        <w:t>adopted</w:t>
      </w:r>
      <w:r w:rsidR="00B343C4">
        <w:t xml:space="preserve"> for the FY 2019 payment determination and FY 2020 payment determination, </w:t>
      </w:r>
      <w:r w:rsidR="00B343C4" w:rsidRPr="00F221B2">
        <w:t xml:space="preserve">such that </w:t>
      </w:r>
      <w:r w:rsidR="00B343C4" w:rsidRPr="00A34111">
        <w:t xml:space="preserve">hospitals </w:t>
      </w:r>
      <w:r w:rsidR="005E112E">
        <w:t xml:space="preserve">must </w:t>
      </w:r>
      <w:r w:rsidR="00B343C4" w:rsidRPr="00862A01">
        <w:t xml:space="preserve">submit </w:t>
      </w:r>
      <w:r w:rsidR="00B343C4">
        <w:t>one</w:t>
      </w:r>
      <w:r w:rsidR="00B343C4" w:rsidRPr="00862A01">
        <w:t>, self-selected calendar quarter of data</w:t>
      </w:r>
      <w:r w:rsidR="00B343C4">
        <w:t xml:space="preserve"> for </w:t>
      </w:r>
      <w:r w:rsidR="00824464">
        <w:t>four</w:t>
      </w:r>
      <w:r w:rsidR="00B343C4">
        <w:t xml:space="preserve"> eCQMs</w:t>
      </w:r>
      <w:r w:rsidR="00B343C4" w:rsidRPr="00A34111" w:rsidDel="00C47F37">
        <w:t xml:space="preserve"> </w:t>
      </w:r>
      <w:r w:rsidR="00B343C4">
        <w:t>in the Hospital IQR Program measure set for the FY 2021 payment determination.</w:t>
      </w:r>
      <w:r w:rsidR="00B343C4" w:rsidRPr="00F221B2" w:rsidDel="008E776C">
        <w:t xml:space="preserve"> </w:t>
      </w:r>
      <w:r w:rsidR="00CF572D">
        <w:t xml:space="preserve"> Th</w:t>
      </w:r>
      <w:r w:rsidR="00807760">
        <w:t>i</w:t>
      </w:r>
      <w:r w:rsidR="00CF572D">
        <w:t xml:space="preserve">s </w:t>
      </w:r>
      <w:r w:rsidR="00177597">
        <w:t xml:space="preserve">finalized </w:t>
      </w:r>
      <w:r w:rsidR="005517DF">
        <w:t xml:space="preserve">policy </w:t>
      </w:r>
      <w:r w:rsidR="00CF572D">
        <w:t>represent</w:t>
      </w:r>
      <w:r w:rsidR="00807760">
        <w:t>s</w:t>
      </w:r>
      <w:r>
        <w:t xml:space="preserve"> </w:t>
      </w:r>
      <w:r w:rsidR="00B343C4">
        <w:t>no change</w:t>
      </w:r>
      <w:r>
        <w:t xml:space="preserve"> in burden</w:t>
      </w:r>
      <w:r w:rsidR="00540F28">
        <w:t xml:space="preserve"> from</w:t>
      </w:r>
      <w:r w:rsidR="00B22617">
        <w:t xml:space="preserve"> the </w:t>
      </w:r>
      <w:r>
        <w:t>eCQM reporting requirements finalized in the FY 201</w:t>
      </w:r>
      <w:r w:rsidR="00B343C4">
        <w:t>8</w:t>
      </w:r>
      <w:r>
        <w:t xml:space="preserve"> IPPS/LTCH PPS final rule for the FY 2019</w:t>
      </w:r>
      <w:r w:rsidR="00B22617">
        <w:t xml:space="preserve"> payment d</w:t>
      </w:r>
      <w:r w:rsidR="00540F28">
        <w:t xml:space="preserve">etermination </w:t>
      </w:r>
      <w:r>
        <w:t>and the FY 2020 payment determination</w:t>
      </w:r>
      <w:r w:rsidR="00540F28">
        <w:t>.</w:t>
      </w:r>
      <w:r w:rsidR="00540F28" w:rsidRPr="00540F28">
        <w:t xml:space="preserve"> </w:t>
      </w:r>
      <w:r w:rsidR="00540F28">
        <w:t xml:space="preserve"> </w:t>
      </w:r>
    </w:p>
    <w:p w14:paraId="5B8AA1BA" w14:textId="77777777" w:rsidR="00B242F5" w:rsidRDefault="00B242F5" w:rsidP="00D90633">
      <w:pPr>
        <w:keepNext/>
      </w:pPr>
    </w:p>
    <w:p w14:paraId="706B4C49" w14:textId="3F1E875C" w:rsidR="00B242F5" w:rsidRDefault="00B242F5" w:rsidP="00B242F5">
      <w:pPr>
        <w:pStyle w:val="NoSpacing"/>
        <w:contextualSpacing/>
      </w:pPr>
      <w:r w:rsidRPr="00F553A5">
        <w:t xml:space="preserve">Beginning with the FY 2020 payment determination and subsequent years, we are </w:t>
      </w:r>
      <w:r w:rsidR="005517DF">
        <w:t xml:space="preserve">finalizing </w:t>
      </w:r>
      <w:r w:rsidRPr="00F553A5">
        <w:t>re</w:t>
      </w:r>
      <w:r>
        <w:t>mov</w:t>
      </w:r>
      <w:r w:rsidR="00734C85">
        <w:t>al of</w:t>
      </w:r>
      <w:r>
        <w:t xml:space="preserve"> 19</w:t>
      </w:r>
      <w:r w:rsidRPr="00F553A5">
        <w:t xml:space="preserve"> measures</w:t>
      </w:r>
      <w:r>
        <w:t xml:space="preserve">: (1) </w:t>
      </w:r>
      <w:r w:rsidRPr="000D0195">
        <w:t xml:space="preserve">Patient Safety and Adverse Events </w:t>
      </w:r>
      <w:r w:rsidRPr="009739A9">
        <w:rPr>
          <w:color w:val="000000"/>
        </w:rPr>
        <w:t>Composite Measure (PSI 90);</w:t>
      </w:r>
      <w:r w:rsidRPr="00B609C1">
        <w:t xml:space="preserve"> </w:t>
      </w:r>
      <w:r>
        <w:t xml:space="preserve">(2) </w:t>
      </w:r>
      <w:r w:rsidRPr="00B609C1">
        <w:t>Hospital 30-day, All-Cause, Risk-Standardized Mortality Rate Following Acute Myo</w:t>
      </w:r>
      <w:r w:rsidRPr="0035669F">
        <w:t xml:space="preserve">cardial Infarction (AMI) Hospitalization; </w:t>
      </w:r>
      <w:r>
        <w:t xml:space="preserve">(3) </w:t>
      </w:r>
      <w:r w:rsidRPr="0035669F">
        <w:t xml:space="preserve">Hospital 30-Day, All-Cause, Risk-Standardized Mortality Rate Following Heart Failure Hospitalization; </w:t>
      </w:r>
      <w:r>
        <w:t xml:space="preserve">(4) </w:t>
      </w:r>
      <w:r w:rsidRPr="0035669F">
        <w:t xml:space="preserve">Hospital 30-Day All-Cause Risk-Standardized Readmission Rate Following Acute Myocardial Infarction (AMI) Hospitalization; </w:t>
      </w:r>
      <w:r>
        <w:t xml:space="preserve">(5) </w:t>
      </w:r>
      <w:r w:rsidRPr="0035669F">
        <w:t xml:space="preserve">Hospital 30-Day, All-Cause, Risk-Standardized Readmission Rate Following Chronic Obstructive Pulmonary Disease (COPD) Hospitalization; </w:t>
      </w:r>
      <w:r>
        <w:t xml:space="preserve">(6) </w:t>
      </w:r>
      <w:r w:rsidRPr="0035669F">
        <w:t xml:space="preserve">Hospital 30-Day, All-Cause, Unplanned, Risk-Standardized Readmission </w:t>
      </w:r>
      <w:r w:rsidRPr="00AC15B6">
        <w:t xml:space="preserve">Rate Following Coronary Artery Bypass Graft (CABG) Surgery; </w:t>
      </w:r>
      <w:r>
        <w:t xml:space="preserve">(7) </w:t>
      </w:r>
      <w:r w:rsidRPr="00AC15B6">
        <w:t xml:space="preserve">Hospital 30-Day, All-Cause, Risk-Standardized Readmission Rate Following Heart Failure Hospitalization; </w:t>
      </w:r>
      <w:r>
        <w:t xml:space="preserve">(8) </w:t>
      </w:r>
      <w:r w:rsidRPr="00AC15B6">
        <w:t>Hospital 30-Day, All-Cause, Risk-Standardized Readmission Rate Following Pneumonia H</w:t>
      </w:r>
      <w:r w:rsidRPr="000B5EFB">
        <w:t xml:space="preserve">ospitalization; </w:t>
      </w:r>
      <w:r>
        <w:t xml:space="preserve">(9) </w:t>
      </w:r>
      <w:r w:rsidRPr="000B5EFB">
        <w:t xml:space="preserve">30-day Risk-Standardized Readmission Rate Following Stroke Hospitalization; </w:t>
      </w:r>
      <w:r>
        <w:t xml:space="preserve">(10) </w:t>
      </w:r>
      <w:r w:rsidRPr="000B5EFB">
        <w:t xml:space="preserve">Hospital-Level 30-Day, All-Cause Risk-Standardized Readmission Rate Following Elective Primary Total Hip Arthroplasty and/or Total Knee Arthroplasty; </w:t>
      </w:r>
      <w:r>
        <w:t xml:space="preserve">(11) </w:t>
      </w:r>
      <w:r w:rsidRPr="000B5EFB">
        <w:t>Payment Standardized Medi</w:t>
      </w:r>
      <w:r w:rsidRPr="007561FE">
        <w:t xml:space="preserve">care Spending Per Beneficiary (MSPB); </w:t>
      </w:r>
      <w:r>
        <w:t xml:space="preserve">(12) </w:t>
      </w:r>
      <w:r w:rsidRPr="007561FE">
        <w:t xml:space="preserve">Cellulitis Clinical Episode-Based Payment Measure; </w:t>
      </w:r>
      <w:r>
        <w:t xml:space="preserve">(13) </w:t>
      </w:r>
      <w:r w:rsidRPr="007561FE">
        <w:t xml:space="preserve">Gastrointestinal Hemorrhage Clinical Episode-Based Payment Measure; </w:t>
      </w:r>
      <w:r>
        <w:t xml:space="preserve">(14) </w:t>
      </w:r>
      <w:r w:rsidRPr="007561FE">
        <w:t xml:space="preserve">Kidney/Urinary Tract Infection Clinical Episode-Based Payment Measure; </w:t>
      </w:r>
      <w:r>
        <w:t xml:space="preserve">(15) </w:t>
      </w:r>
      <w:r w:rsidRPr="007561FE">
        <w:t xml:space="preserve">Aortic Aneurysm Procedure Clinical Episode-Based Payment Measure; </w:t>
      </w:r>
      <w:r>
        <w:t xml:space="preserve">(16) </w:t>
      </w:r>
      <w:r w:rsidRPr="007561FE">
        <w:t xml:space="preserve">Cholecystectomy and Common Duct Exploration Clinical Episode-Based Payment Measure; </w:t>
      </w:r>
      <w:r>
        <w:t xml:space="preserve">(17) </w:t>
      </w:r>
      <w:r w:rsidRPr="007561FE">
        <w:t>Spinal Fusion Clinical Episode-Based Payment Measure</w:t>
      </w:r>
      <w:r>
        <w:t xml:space="preserve">; (18) </w:t>
      </w:r>
      <w:r w:rsidRPr="00026BAF">
        <w:rPr>
          <w:color w:val="000000"/>
        </w:rPr>
        <w:t>Safe Surgery Checklist Use</w:t>
      </w:r>
      <w:r>
        <w:rPr>
          <w:color w:val="000000"/>
        </w:rPr>
        <w:t>;</w:t>
      </w:r>
      <w:r>
        <w:t xml:space="preserve"> and (19) </w:t>
      </w:r>
      <w:r w:rsidRPr="00026BAF">
        <w:t>Hospital Survey on Patient Safety Culture</w:t>
      </w:r>
      <w:r w:rsidRPr="007561FE">
        <w:t>.</w:t>
      </w:r>
      <w:r>
        <w:t xml:space="preserve"> </w:t>
      </w:r>
      <w:r w:rsidRPr="00F553A5">
        <w:t xml:space="preserve"> </w:t>
      </w:r>
    </w:p>
    <w:p w14:paraId="5F5A860D" w14:textId="77777777" w:rsidR="00B242F5" w:rsidRDefault="00B242F5" w:rsidP="00B242F5">
      <w:pPr>
        <w:pStyle w:val="NoSpacing"/>
        <w:contextualSpacing/>
      </w:pPr>
    </w:p>
    <w:p w14:paraId="2ED5928A" w14:textId="783F6BCE" w:rsidR="00B242F5" w:rsidRPr="00FC350A" w:rsidRDefault="00B242F5" w:rsidP="00B242F5">
      <w:pPr>
        <w:pStyle w:val="NormalWeb"/>
        <w:spacing w:before="0" w:beforeAutospacing="0" w:after="0" w:afterAutospacing="0"/>
        <w:rPr>
          <w:color w:val="000000"/>
        </w:rPr>
      </w:pPr>
      <w:r w:rsidRPr="00F553A5">
        <w:t xml:space="preserve">Beginning with the FY 2021 payment determination and subsequent years, we are </w:t>
      </w:r>
      <w:r w:rsidR="005517DF">
        <w:t xml:space="preserve">finalizing </w:t>
      </w:r>
      <w:r w:rsidRPr="00F553A5">
        <w:t>remov</w:t>
      </w:r>
      <w:r w:rsidR="00734C85">
        <w:t>al of</w:t>
      </w:r>
      <w:r w:rsidRPr="00F553A5">
        <w:t xml:space="preserve"> </w:t>
      </w:r>
      <w:r w:rsidR="004B3AD8">
        <w:t>five</w:t>
      </w:r>
      <w:r w:rsidR="004B3AD8" w:rsidRPr="00F553A5">
        <w:t xml:space="preserve"> </w:t>
      </w:r>
      <w:r w:rsidRPr="00F553A5">
        <w:t>measures</w:t>
      </w:r>
      <w:r>
        <w:t xml:space="preserve">: </w:t>
      </w:r>
      <w:r w:rsidRPr="00FC350A">
        <w:rPr>
          <w:color w:val="000000"/>
        </w:rPr>
        <w:t>(</w:t>
      </w:r>
      <w:r w:rsidR="004B3AD8">
        <w:rPr>
          <w:color w:val="000000"/>
        </w:rPr>
        <w:t>1</w:t>
      </w:r>
      <w:r w:rsidRPr="00FC350A">
        <w:rPr>
          <w:color w:val="000000"/>
        </w:rPr>
        <w:t xml:space="preserve">) </w:t>
      </w:r>
      <w:r>
        <w:t>Median Time from ED Arrival to ED Departure for Admitted ED Patients (ED-1) chart-abstracted measure; (</w:t>
      </w:r>
      <w:r w:rsidR="004B3AD8">
        <w:t>2</w:t>
      </w:r>
      <w:r>
        <w:t>) Influenza Immunization (IMM-2); (</w:t>
      </w:r>
      <w:r w:rsidR="004B3AD8">
        <w:t>3</w:t>
      </w:r>
      <w:r>
        <w:t>) Incidence of Potentially Preventable VTE (VTE-6); (</w:t>
      </w:r>
      <w:r w:rsidR="004B3AD8">
        <w:t>4</w:t>
      </w:r>
      <w:r>
        <w:t xml:space="preserve">) </w:t>
      </w:r>
      <w:r w:rsidRPr="001358D9">
        <w:t xml:space="preserve">Hospital </w:t>
      </w:r>
      <w:r w:rsidRPr="001358D9">
        <w:rPr>
          <w:color w:val="000000"/>
        </w:rPr>
        <w:t>30</w:t>
      </w:r>
      <w:r w:rsidRPr="001358D9">
        <w:t>-Day, All-Cause, Risk-Standardized Mortality Rate Following Chronic Obstructive Pulmonary Disease (COPD)</w:t>
      </w:r>
      <w:r>
        <w:t>; and (</w:t>
      </w:r>
      <w:r w:rsidR="004B3AD8">
        <w:t>5</w:t>
      </w:r>
      <w:r>
        <w:t>)</w:t>
      </w:r>
      <w:r w:rsidRPr="001358D9">
        <w:t xml:space="preserve"> Hospitalization and Hospital 30-Day, All-Cause, Risk-Standardized Mortality Rate Following Pneumonia Hospitalization</w:t>
      </w:r>
      <w:r>
        <w:t>.</w:t>
      </w:r>
    </w:p>
    <w:p w14:paraId="52638E99" w14:textId="77777777" w:rsidR="00B242F5" w:rsidRDefault="00B242F5" w:rsidP="00B242F5">
      <w:pPr>
        <w:pStyle w:val="NoSpacing"/>
        <w:contextualSpacing/>
      </w:pPr>
    </w:p>
    <w:p w14:paraId="506274F3" w14:textId="6B416B63" w:rsidR="00B242F5" w:rsidRDefault="00B242F5" w:rsidP="00B242F5">
      <w:pPr>
        <w:autoSpaceDE w:val="0"/>
        <w:autoSpaceDN w:val="0"/>
        <w:adjustRightInd w:val="0"/>
      </w:pPr>
      <w:r w:rsidRPr="00F553A5">
        <w:t xml:space="preserve">Beginning with the FY 2022 payment determination and subsequent years, we are </w:t>
      </w:r>
      <w:r w:rsidR="005517DF">
        <w:t xml:space="preserve">finalizing </w:t>
      </w:r>
      <w:r w:rsidRPr="00F553A5">
        <w:t>remov</w:t>
      </w:r>
      <w:r w:rsidR="00734C85">
        <w:t>al of</w:t>
      </w:r>
      <w:r w:rsidRPr="00F553A5">
        <w:t xml:space="preserve"> </w:t>
      </w:r>
      <w:r w:rsidR="00744BB5">
        <w:t xml:space="preserve">fourteen </w:t>
      </w:r>
      <w:r>
        <w:t xml:space="preserve">measures: </w:t>
      </w:r>
      <w:r w:rsidR="00744BB5">
        <w:t xml:space="preserve">(1) </w:t>
      </w:r>
      <w:r w:rsidR="00744BB5" w:rsidRPr="00FC350A">
        <w:rPr>
          <w:color w:val="000000"/>
        </w:rPr>
        <w:t xml:space="preserve">Facility-Wide Inpatient Hospital-Onset Clostridium difficile Infection Outcome (CDI); (2) Catheter-Associated Urinary Tract Infection Outcome (CAUTI); (3) Central Line-Associated Bloodstream Infection Outcome (CLABSI); (4) Facility-Wide Inpatient Hospital-Onset Methicillin-Resistant Staphylococcus Aureus Bacteremia Outcome (MRSA); (5) American College of Surgeons – Centers for Disease Control and Prevention Harmonized Procedure-Specific Surgical Site </w:t>
      </w:r>
      <w:r w:rsidR="00744BB5">
        <w:rPr>
          <w:color w:val="000000"/>
        </w:rPr>
        <w:t>Infection (SSI) Outcome Measure for Colon Procedures and</w:t>
      </w:r>
      <w:r w:rsidR="00744BB5" w:rsidRPr="00FC350A">
        <w:rPr>
          <w:color w:val="000000"/>
        </w:rPr>
        <w:t xml:space="preserve"> Hysterectomy Procedures (Colon and Abdominal Hysterectomy); </w:t>
      </w:r>
      <w:r>
        <w:t>(</w:t>
      </w:r>
      <w:r w:rsidR="00744BB5">
        <w:t>6</w:t>
      </w:r>
      <w:r>
        <w:t xml:space="preserve">) </w:t>
      </w:r>
      <w:r w:rsidRPr="005A6E72">
        <w:t>Admit Decision Time to ED Departure Time for Admitted Patients</w:t>
      </w:r>
      <w:r>
        <w:t xml:space="preserve"> (ED-2) chart-abstracted measure;</w:t>
      </w:r>
      <w:r w:rsidRPr="005A6E72">
        <w:t xml:space="preserve"> </w:t>
      </w:r>
      <w:r>
        <w:t>(</w:t>
      </w:r>
      <w:r w:rsidR="00744BB5">
        <w:t>7</w:t>
      </w:r>
      <w:r>
        <w:t xml:space="preserve">) </w:t>
      </w:r>
      <w:r w:rsidRPr="001358D9">
        <w:t xml:space="preserve">Hospital </w:t>
      </w:r>
      <w:r w:rsidRPr="002A2901">
        <w:rPr>
          <w:color w:val="000000"/>
        </w:rPr>
        <w:t>30</w:t>
      </w:r>
      <w:r w:rsidRPr="001358D9">
        <w:t>-Day, All-Cause, Risk-Standardized Mortality Rate Following Coronary Artery Bypass Graft (CABG) Surgery</w:t>
      </w:r>
      <w:r w:rsidRPr="002A2901">
        <w:rPr>
          <w:color w:val="000000"/>
        </w:rPr>
        <w:t xml:space="preserve"> </w:t>
      </w:r>
      <w:r w:rsidRPr="001358D9">
        <w:t>measure</w:t>
      </w:r>
      <w:r>
        <w:t>; (</w:t>
      </w:r>
      <w:r w:rsidR="00744BB5">
        <w:t>8</w:t>
      </w:r>
      <w:r>
        <w:t xml:space="preserve">) </w:t>
      </w:r>
      <w:r w:rsidRPr="00701E35">
        <w:t>Primary Percutaneous Coronary Intervention Received within 90 Minutes of Hospital Arrival</w:t>
      </w:r>
      <w:r>
        <w:t xml:space="preserve"> eCQM</w:t>
      </w:r>
      <w:r w:rsidRPr="00701E35">
        <w:t xml:space="preserve">; </w:t>
      </w:r>
      <w:r>
        <w:t>(</w:t>
      </w:r>
      <w:r w:rsidR="00744BB5">
        <w:t>9</w:t>
      </w:r>
      <w:r>
        <w:t xml:space="preserve">) </w:t>
      </w:r>
      <w:r w:rsidRPr="00701E35">
        <w:t>Home Management and Plan of Care Document Given to Patient/Caregiver</w:t>
      </w:r>
      <w:r>
        <w:t xml:space="preserve"> eCQM</w:t>
      </w:r>
      <w:r w:rsidRPr="00701E35">
        <w:t xml:space="preserve">; </w:t>
      </w:r>
      <w:r>
        <w:t>(</w:t>
      </w:r>
      <w:r w:rsidR="00744BB5">
        <w:t>10</w:t>
      </w:r>
      <w:r>
        <w:t xml:space="preserve">) </w:t>
      </w:r>
      <w:r w:rsidRPr="00701E35">
        <w:t>Median Time from ED Arrival to ED Departure for Admitted ED Patients</w:t>
      </w:r>
      <w:r>
        <w:t xml:space="preserve"> eCQM</w:t>
      </w:r>
      <w:r w:rsidRPr="007561FE">
        <w:rPr>
          <w:rStyle w:val="FootnoteReference"/>
        </w:rPr>
        <w:footnoteReference w:id="12"/>
      </w:r>
      <w:r w:rsidRPr="00701E35">
        <w:t xml:space="preserve">; </w:t>
      </w:r>
      <w:r>
        <w:t>(</w:t>
      </w:r>
      <w:r w:rsidR="00744BB5">
        <w:t>11</w:t>
      </w:r>
      <w:r>
        <w:t xml:space="preserve">) </w:t>
      </w:r>
      <w:r w:rsidRPr="00701E35">
        <w:t>Hearing Screening P</w:t>
      </w:r>
      <w:r>
        <w:t>rior to Hospital Discharge eCQM; (</w:t>
      </w:r>
      <w:r w:rsidR="00744BB5">
        <w:t>12</w:t>
      </w:r>
      <w:r>
        <w:t xml:space="preserve">) </w:t>
      </w:r>
      <w:r w:rsidRPr="00701E35">
        <w:t>Elective Delivery Prior to 39 Completed Weeks Gestation</w:t>
      </w:r>
      <w:r>
        <w:t xml:space="preserve"> eCQM</w:t>
      </w:r>
      <w:r w:rsidRPr="00701E35">
        <w:t xml:space="preserve">; </w:t>
      </w:r>
      <w:r>
        <w:t>(</w:t>
      </w:r>
      <w:r w:rsidR="00744BB5">
        <w:t>13</w:t>
      </w:r>
      <w:r>
        <w:t xml:space="preserve">) </w:t>
      </w:r>
      <w:r w:rsidRPr="00701E35">
        <w:t>Stroke Education</w:t>
      </w:r>
      <w:r>
        <w:t xml:space="preserve"> eCQM</w:t>
      </w:r>
      <w:r w:rsidRPr="00701E35">
        <w:t xml:space="preserve">; and </w:t>
      </w:r>
      <w:r>
        <w:t>(</w:t>
      </w:r>
      <w:r w:rsidR="00744BB5">
        <w:t>14</w:t>
      </w:r>
      <w:r>
        <w:t xml:space="preserve">) </w:t>
      </w:r>
      <w:r w:rsidRPr="00701E35">
        <w:t>Assessed for Rehabilitation</w:t>
      </w:r>
      <w:r>
        <w:t xml:space="preserve"> eCQM</w:t>
      </w:r>
      <w:r w:rsidRPr="00701E35">
        <w:t xml:space="preserve">.  </w:t>
      </w:r>
      <w:r w:rsidRPr="00F553A5">
        <w:t xml:space="preserve">  </w:t>
      </w:r>
    </w:p>
    <w:p w14:paraId="6C2D614C" w14:textId="77777777" w:rsidR="00B242F5" w:rsidRDefault="00B242F5" w:rsidP="00B242F5">
      <w:pPr>
        <w:pStyle w:val="NoSpacing"/>
        <w:contextualSpacing/>
      </w:pPr>
    </w:p>
    <w:p w14:paraId="52C683C6" w14:textId="08EC46F3" w:rsidR="007236A4" w:rsidRDefault="00B242F5" w:rsidP="00B242F5">
      <w:pPr>
        <w:keepNext/>
      </w:pPr>
      <w:r w:rsidRPr="00F553A5">
        <w:t xml:space="preserve">Beginning with the FY 2023 payment determination, we are </w:t>
      </w:r>
      <w:r w:rsidR="005517DF">
        <w:t xml:space="preserve">finalizing </w:t>
      </w:r>
      <w:r w:rsidRPr="00F553A5">
        <w:t>remov</w:t>
      </w:r>
      <w:r w:rsidR="00734C85">
        <w:t>al of</w:t>
      </w:r>
      <w:r w:rsidRPr="00F553A5">
        <w:t xml:space="preserve"> one measure</w:t>
      </w:r>
      <w:r>
        <w:t xml:space="preserve">, </w:t>
      </w:r>
      <w:r w:rsidRPr="001358D9">
        <w:t>Hospital-Level Risk-Standardized Complication Rate Following Elective Primary Total Hip Arthroplasty and/or Total Knee Arthroplasty</w:t>
      </w:r>
      <w:r>
        <w:rPr>
          <w:bCs/>
        </w:rPr>
        <w:t>.</w:t>
      </w:r>
      <w:r w:rsidR="005C02AD">
        <w:rPr>
          <w:bCs/>
        </w:rPr>
        <w:t xml:space="preserve">  </w:t>
      </w:r>
    </w:p>
    <w:p w14:paraId="24BA12CE" w14:textId="77777777" w:rsidR="00651A7C" w:rsidRDefault="00651A7C" w:rsidP="00D90633">
      <w:pPr>
        <w:keepNext/>
      </w:pPr>
    </w:p>
    <w:p w14:paraId="11703471" w14:textId="11223AD6" w:rsidR="00651A7C" w:rsidRPr="00792D0B" w:rsidRDefault="00651A7C" w:rsidP="00D90633">
      <w:pPr>
        <w:keepNext/>
      </w:pPr>
      <w:r w:rsidRPr="003437F8">
        <w:t xml:space="preserve">To summarize the burden changes, </w:t>
      </w:r>
      <w:r w:rsidR="00807760" w:rsidRPr="003437F8">
        <w:t xml:space="preserve">we anticipate no change in burden estimation for the FY 2020 payment determination.  </w:t>
      </w:r>
      <w:r w:rsidR="000F0608" w:rsidRPr="003437F8">
        <w:t>F</w:t>
      </w:r>
      <w:r w:rsidRPr="003437F8">
        <w:t>or the FY 20</w:t>
      </w:r>
      <w:r w:rsidR="00807760" w:rsidRPr="003437F8">
        <w:t>21</w:t>
      </w:r>
      <w:r w:rsidRPr="003437F8">
        <w:t xml:space="preserve"> payment determination, we estimate a decrease in annual burden of </w:t>
      </w:r>
      <w:r w:rsidR="003B1532" w:rsidRPr="003437F8">
        <w:rPr>
          <w:rFonts w:eastAsia="Calibri"/>
        </w:rPr>
        <w:t>1,117,182</w:t>
      </w:r>
      <w:r w:rsidR="000F0608" w:rsidRPr="003437F8">
        <w:rPr>
          <w:rFonts w:eastAsia="Calibri"/>
          <w:b/>
        </w:rPr>
        <w:t xml:space="preserve"> </w:t>
      </w:r>
      <w:r w:rsidR="00824464" w:rsidRPr="003437F8">
        <w:t xml:space="preserve">hours and </w:t>
      </w:r>
      <w:r w:rsidR="000D55F1">
        <w:t xml:space="preserve">approximately </w:t>
      </w:r>
      <w:r w:rsidR="00824464" w:rsidRPr="003437F8">
        <w:t>$41</w:t>
      </w:r>
      <w:r w:rsidR="000F0608" w:rsidRPr="003437F8">
        <w:t xml:space="preserve"> million</w:t>
      </w:r>
      <w:r w:rsidR="000F0608" w:rsidRPr="003437F8" w:rsidDel="000F0608">
        <w:rPr>
          <w:rFonts w:eastAsia="Calibri"/>
        </w:rPr>
        <w:t xml:space="preserve"> </w:t>
      </w:r>
      <w:r w:rsidRPr="003437F8">
        <w:t xml:space="preserve">across </w:t>
      </w:r>
      <w:r w:rsidR="000F0608" w:rsidRPr="003437F8">
        <w:t>all participating</w:t>
      </w:r>
      <w:r w:rsidRPr="003437F8">
        <w:t xml:space="preserve"> hospitals</w:t>
      </w:r>
      <w:r w:rsidR="0033590C" w:rsidRPr="003437F8">
        <w:t xml:space="preserve"> associated with our </w:t>
      </w:r>
      <w:r w:rsidR="00ED3F5C">
        <w:t xml:space="preserve">finalized </w:t>
      </w:r>
      <w:r w:rsidR="0033590C" w:rsidRPr="003437F8">
        <w:t>policy changes</w:t>
      </w:r>
      <w:r w:rsidRPr="003437F8">
        <w:t xml:space="preserve">.  </w:t>
      </w:r>
      <w:r w:rsidR="000F0608" w:rsidRPr="003437F8">
        <w:t>F</w:t>
      </w:r>
      <w:r w:rsidRPr="003437F8">
        <w:t>or the FY 202</w:t>
      </w:r>
      <w:r w:rsidR="00807760" w:rsidRPr="003437F8">
        <w:t>2</w:t>
      </w:r>
      <w:r w:rsidRPr="003437F8">
        <w:t xml:space="preserve"> payment determination, we estimate a decrease in annual burden of </w:t>
      </w:r>
      <w:r w:rsidR="00ED3F5C" w:rsidRPr="00105F5E">
        <w:rPr>
          <w:color w:val="000000"/>
        </w:rPr>
        <w:t>907,390</w:t>
      </w:r>
      <w:r w:rsidR="000F0608" w:rsidRPr="003437F8">
        <w:rPr>
          <w:rFonts w:eastAsia="Calibri"/>
          <w:b/>
        </w:rPr>
        <w:t xml:space="preserve"> </w:t>
      </w:r>
      <w:r w:rsidR="00824464" w:rsidRPr="003437F8">
        <w:t xml:space="preserve">hours and </w:t>
      </w:r>
      <w:r w:rsidR="000D55F1">
        <w:t xml:space="preserve">approximately </w:t>
      </w:r>
      <w:r w:rsidR="00824464" w:rsidRPr="00105F5E">
        <w:t>$</w:t>
      </w:r>
      <w:r w:rsidR="00ED3F5C" w:rsidRPr="00105F5E">
        <w:t>33.2</w:t>
      </w:r>
      <w:r w:rsidR="000F0608" w:rsidRPr="003437F8">
        <w:t xml:space="preserve"> million </w:t>
      </w:r>
      <w:r w:rsidRPr="003437F8">
        <w:t xml:space="preserve">across </w:t>
      </w:r>
      <w:r w:rsidR="000F0608" w:rsidRPr="003437F8">
        <w:t>all participating</w:t>
      </w:r>
      <w:r w:rsidRPr="003437F8">
        <w:t xml:space="preserve"> hospitals</w:t>
      </w:r>
      <w:r w:rsidR="0033590C" w:rsidRPr="003437F8">
        <w:t xml:space="preserve"> associated with our </w:t>
      </w:r>
      <w:r w:rsidR="00AA156F">
        <w:t>finalized</w:t>
      </w:r>
      <w:r w:rsidR="00AA156F" w:rsidRPr="003437F8">
        <w:t xml:space="preserve"> </w:t>
      </w:r>
      <w:r w:rsidR="0033590C" w:rsidRPr="003437F8">
        <w:t>policy changes</w:t>
      </w:r>
      <w:r w:rsidRPr="003437F8">
        <w:t>.</w:t>
      </w:r>
      <w:r w:rsidR="00132A2F" w:rsidRPr="003437F8">
        <w:t xml:space="preserve">  For the FY 2023 payment determination</w:t>
      </w:r>
      <w:r w:rsidR="00ED3F5C">
        <w:t>,</w:t>
      </w:r>
      <w:r w:rsidR="00132A2F" w:rsidRPr="003437F8">
        <w:t xml:space="preserve"> we </w:t>
      </w:r>
      <w:r w:rsidR="00ED3F5C">
        <w:t xml:space="preserve">estimate a </w:t>
      </w:r>
      <w:r w:rsidR="009703B8">
        <w:t xml:space="preserve">decrease in annual burden of </w:t>
      </w:r>
      <w:r w:rsidR="009703B8" w:rsidRPr="00105F5E">
        <w:t>43,200</w:t>
      </w:r>
      <w:r w:rsidR="009703B8" w:rsidRPr="00132A2F">
        <w:rPr>
          <w:rFonts w:eastAsia="Calibri"/>
          <w:b/>
        </w:rPr>
        <w:t xml:space="preserve"> </w:t>
      </w:r>
      <w:r w:rsidR="009703B8" w:rsidRPr="00132A2F">
        <w:t xml:space="preserve">hours and </w:t>
      </w:r>
      <w:r w:rsidR="009703B8" w:rsidRPr="00BF46CD">
        <w:t xml:space="preserve">approximately </w:t>
      </w:r>
      <w:r w:rsidR="009703B8" w:rsidRPr="00105F5E">
        <w:t>$1.6</w:t>
      </w:r>
      <w:r w:rsidR="009703B8" w:rsidRPr="00132A2F">
        <w:t xml:space="preserve"> million </w:t>
      </w:r>
      <w:r w:rsidR="009703B8">
        <w:t xml:space="preserve">across all participating </w:t>
      </w:r>
      <w:r w:rsidR="009703B8" w:rsidRPr="00637E44">
        <w:t>hospitals</w:t>
      </w:r>
      <w:r w:rsidR="009703B8">
        <w:t xml:space="preserve"> associated with our finalized policy changes</w:t>
      </w:r>
      <w:r w:rsidR="00132A2F" w:rsidRPr="003437F8">
        <w:t>.</w:t>
      </w:r>
      <w:r w:rsidR="00132A2F">
        <w:t xml:space="preserve">  </w:t>
      </w:r>
    </w:p>
    <w:p w14:paraId="18989118" w14:textId="77777777" w:rsidR="007236A4" w:rsidRPr="00792D0B" w:rsidRDefault="007236A4" w:rsidP="007236A4"/>
    <w:p w14:paraId="3003087B" w14:textId="77777777" w:rsidR="007236A4" w:rsidRPr="000D165B" w:rsidRDefault="000D165B" w:rsidP="0041034F">
      <w:pPr>
        <w:keepNext/>
        <w:rPr>
          <w:u w:val="single"/>
        </w:rPr>
      </w:pPr>
      <w:r>
        <w:rPr>
          <w:u w:val="single"/>
        </w:rPr>
        <w:t xml:space="preserve">16.  </w:t>
      </w:r>
      <w:r w:rsidR="007236A4" w:rsidRPr="000D165B">
        <w:rPr>
          <w:u w:val="single"/>
        </w:rPr>
        <w:t>Publication/Tabulation Dat</w:t>
      </w:r>
      <w:r w:rsidR="00313705">
        <w:rPr>
          <w:u w:val="single"/>
        </w:rPr>
        <w:t>a</w:t>
      </w:r>
    </w:p>
    <w:p w14:paraId="7F692A73" w14:textId="77777777" w:rsidR="007236A4" w:rsidRPr="00B30999" w:rsidRDefault="007236A4" w:rsidP="0041034F">
      <w:pPr>
        <w:pStyle w:val="ListParagraph"/>
        <w:keepNext/>
        <w:rPr>
          <w:u w:val="single"/>
        </w:rPr>
      </w:pPr>
    </w:p>
    <w:p w14:paraId="008E80D5" w14:textId="05E36BA3" w:rsidR="007236A4" w:rsidRPr="00792D0B" w:rsidRDefault="007236A4" w:rsidP="0041034F">
      <w:pPr>
        <w:keepNext/>
      </w:pPr>
      <w:r w:rsidRPr="00792D0B">
        <w:t>The goal of the data collection is to tabulate and publish hospital</w:t>
      </w:r>
      <w:r w:rsidR="00313705">
        <w:t>-</w:t>
      </w:r>
      <w:r w:rsidRPr="00792D0B">
        <w:t xml:space="preserve">specific data.  We will continue to display quality information for public viewing as required </w:t>
      </w:r>
      <w:r w:rsidR="00A508BA">
        <w:t xml:space="preserve">for the Hospital IQR Program </w:t>
      </w:r>
      <w:r w:rsidRPr="00792D0B">
        <w:t xml:space="preserve">by </w:t>
      </w:r>
      <w:r w:rsidR="001E7422">
        <w:t>s</w:t>
      </w:r>
      <w:r w:rsidR="00A508BA">
        <w:t xml:space="preserve">ection 1886(b)(3)(B)(viii)(VII) of </w:t>
      </w:r>
      <w:r w:rsidRPr="00792D0B">
        <w:t xml:space="preserve">the </w:t>
      </w:r>
      <w:r w:rsidR="0043587D">
        <w:t>Social Security Act</w:t>
      </w:r>
      <w:r w:rsidR="0043587D" w:rsidRPr="00792D0B">
        <w:t xml:space="preserve"> </w:t>
      </w:r>
      <w:r w:rsidR="00A508BA">
        <w:t xml:space="preserve">and for the Hospital VBP Program by </w:t>
      </w:r>
      <w:r w:rsidR="001E7422">
        <w:t>s</w:t>
      </w:r>
      <w:r w:rsidR="00A508BA" w:rsidRPr="00792D0B">
        <w:t>ection 1886(o)(10)</w:t>
      </w:r>
      <w:r w:rsidR="00A508BA">
        <w:t xml:space="preserve"> of the</w:t>
      </w:r>
      <w:r w:rsidRPr="00792D0B">
        <w:t xml:space="preserve"> </w:t>
      </w:r>
      <w:r w:rsidR="00A508BA">
        <w:t>Social Security Act</w:t>
      </w:r>
      <w:r w:rsidRPr="00792D0B">
        <w:t xml:space="preserve">. </w:t>
      </w:r>
      <w:r>
        <w:t xml:space="preserve"> </w:t>
      </w:r>
      <w:r w:rsidR="00720E4C">
        <w:t xml:space="preserve">Hospital </w:t>
      </w:r>
      <w:r w:rsidRPr="00792D0B">
        <w:t xml:space="preserve">IQR </w:t>
      </w:r>
      <w:r w:rsidR="00720E4C">
        <w:t xml:space="preserve">Program </w:t>
      </w:r>
      <w:r w:rsidRPr="00792D0B">
        <w:t xml:space="preserve">data from this initiative </w:t>
      </w:r>
      <w:r w:rsidR="00313705">
        <w:t>are</w:t>
      </w:r>
      <w:r w:rsidR="00313705" w:rsidRPr="00792D0B">
        <w:t xml:space="preserve"> </w:t>
      </w:r>
      <w:r w:rsidRPr="00792D0B">
        <w:t xml:space="preserve">currently used to populate the </w:t>
      </w:r>
      <w:r w:rsidRPr="00B30999">
        <w:rPr>
          <w:i/>
        </w:rPr>
        <w:t>Hospital Compare</w:t>
      </w:r>
      <w:r w:rsidRPr="00792D0B">
        <w:t xml:space="preserve"> </w:t>
      </w:r>
      <w:r w:rsidR="00313705">
        <w:t>w</w:t>
      </w:r>
      <w:r w:rsidRPr="00792D0B">
        <w:t xml:space="preserve">ebsite, </w:t>
      </w:r>
      <w:hyperlink r:id="rId12" w:history="1">
        <w:r w:rsidRPr="00792D0B">
          <w:rPr>
            <w:rStyle w:val="Hyperlink"/>
          </w:rPr>
          <w:t>www.hospitalcompare.hhs.gov</w:t>
        </w:r>
      </w:hyperlink>
      <w:r w:rsidRPr="00792D0B">
        <w:t xml:space="preserve">.  </w:t>
      </w:r>
      <w:r w:rsidR="00950379" w:rsidRPr="00950379">
        <w:t xml:space="preserve">Data are presented on </w:t>
      </w:r>
      <w:r w:rsidR="00950379" w:rsidRPr="00950379">
        <w:rPr>
          <w:i/>
        </w:rPr>
        <w:t>Hospital Compare</w:t>
      </w:r>
      <w:r w:rsidR="00950379" w:rsidRPr="00950379">
        <w:t xml:space="preserve"> </w:t>
      </w:r>
      <w:r w:rsidR="00574D5B">
        <w:t>in a format mainly aimed towards</w:t>
      </w:r>
      <w:r w:rsidR="00950379" w:rsidRPr="00950379">
        <w:t xml:space="preserve"> consumers</w:t>
      </w:r>
      <w:r w:rsidR="00574D5B">
        <w:t>,</w:t>
      </w:r>
      <w:r w:rsidR="00950379" w:rsidRPr="00950379">
        <w:t xml:space="preserve"> patients</w:t>
      </w:r>
      <w:r w:rsidR="00574D5B">
        <w:t>, and the general public</w:t>
      </w:r>
      <w:r w:rsidR="00C16001">
        <w:t>;</w:t>
      </w:r>
      <w:r w:rsidR="00950379" w:rsidRPr="00950379">
        <w:t xml:space="preserve"> providing access to hospital-specific quality measure </w:t>
      </w:r>
      <w:r w:rsidR="00574D5B">
        <w:t xml:space="preserve">performance </w:t>
      </w:r>
      <w:r w:rsidR="00950379" w:rsidRPr="00950379">
        <w:t xml:space="preserve">rates along with state and national performance rates.  For certain outcome and cost measures, data are presented on </w:t>
      </w:r>
      <w:r w:rsidR="00950379" w:rsidRPr="00950379">
        <w:rPr>
          <w:i/>
        </w:rPr>
        <w:t>Hospital Compare</w:t>
      </w:r>
      <w:r w:rsidR="00950379" w:rsidRPr="00950379">
        <w:t xml:space="preserve"> in performance categories of Better, No Different, or Worse than the National Rate.  More detailed measure data, including the data used for </w:t>
      </w:r>
      <w:r w:rsidR="00950379" w:rsidRPr="00950379">
        <w:rPr>
          <w:i/>
        </w:rPr>
        <w:t>Hospital Compare</w:t>
      </w:r>
      <w:r w:rsidR="00950379" w:rsidRPr="00950379">
        <w:t xml:space="preserve">, are also available to the public as downloadable files at </w:t>
      </w:r>
      <w:hyperlink r:id="rId13" w:history="1">
        <w:r w:rsidR="00950379" w:rsidRPr="00950379">
          <w:rPr>
            <w:rStyle w:val="Hyperlink"/>
          </w:rPr>
          <w:t>https://data.medicare.gov</w:t>
        </w:r>
      </w:hyperlink>
      <w:r w:rsidR="00950379" w:rsidRPr="00950379">
        <w:t xml:space="preserve">.  </w:t>
      </w:r>
      <w:r w:rsidRPr="00792D0B">
        <w:t xml:space="preserve">Hospital quality data on </w:t>
      </w:r>
      <w:r w:rsidRPr="00B30999">
        <w:rPr>
          <w:i/>
        </w:rPr>
        <w:t>Hospital Compare</w:t>
      </w:r>
      <w:r w:rsidRPr="00792D0B">
        <w:t xml:space="preserve"> </w:t>
      </w:r>
      <w:r w:rsidR="00313705">
        <w:t>are</w:t>
      </w:r>
      <w:r w:rsidR="00313705" w:rsidRPr="00792D0B">
        <w:t xml:space="preserve"> </w:t>
      </w:r>
      <w:r w:rsidRPr="00792D0B">
        <w:t xml:space="preserve">updated on a quarterly basis. </w:t>
      </w:r>
    </w:p>
    <w:p w14:paraId="75F11303" w14:textId="77777777" w:rsidR="007236A4" w:rsidRPr="00792D0B" w:rsidRDefault="007236A4" w:rsidP="007236A4"/>
    <w:p w14:paraId="3C735DAA" w14:textId="77777777" w:rsidR="007236A4" w:rsidRPr="00B30999" w:rsidRDefault="000D165B" w:rsidP="00DF77E9">
      <w:pPr>
        <w:keepNext/>
      </w:pPr>
      <w:r>
        <w:rPr>
          <w:u w:val="single"/>
        </w:rPr>
        <w:t xml:space="preserve">17.  </w:t>
      </w:r>
      <w:r w:rsidR="007236A4" w:rsidRPr="000D165B">
        <w:rPr>
          <w:u w:val="single"/>
        </w:rPr>
        <w:t>Expiration Date</w:t>
      </w:r>
    </w:p>
    <w:p w14:paraId="30DD26A3" w14:textId="77777777" w:rsidR="007236A4" w:rsidRPr="00792D0B" w:rsidRDefault="007236A4" w:rsidP="00DF77E9">
      <w:pPr>
        <w:pStyle w:val="ListParagraph"/>
        <w:keepNext/>
        <w:ind w:left="0"/>
      </w:pPr>
    </w:p>
    <w:p w14:paraId="2F2019ED" w14:textId="77777777" w:rsidR="00DF7A04" w:rsidRPr="00792D0B" w:rsidRDefault="0043275A" w:rsidP="00DF77E9">
      <w:pPr>
        <w:keepNext/>
      </w:pPr>
      <w:r w:rsidRPr="00DF7A04">
        <w:t>We will display th</w:t>
      </w:r>
      <w:r w:rsidR="0033590C">
        <w:t>e approved</w:t>
      </w:r>
      <w:r w:rsidRPr="00DF7A04">
        <w:t xml:space="preserve"> expiration </w:t>
      </w:r>
      <w:r>
        <w:t xml:space="preserve">date on </w:t>
      </w:r>
      <w:r w:rsidR="0071534B">
        <w:t xml:space="preserve">each of </w:t>
      </w:r>
      <w:r>
        <w:t xml:space="preserve">the forms listed above in section </w:t>
      </w:r>
      <w:r w:rsidR="0071534B">
        <w:t xml:space="preserve">A.1.e, which would become available </w:t>
      </w:r>
      <w:r w:rsidRPr="00DF7A04">
        <w:t xml:space="preserve">on </w:t>
      </w:r>
      <w:r>
        <w:t>our</w:t>
      </w:r>
      <w:r w:rsidRPr="00DF7A04">
        <w:t xml:space="preserve"> </w:t>
      </w:r>
      <w:r w:rsidRPr="00E01228">
        <w:rPr>
          <w:i/>
        </w:rPr>
        <w:t>QualityNet</w:t>
      </w:r>
      <w:r w:rsidRPr="00DF7A04">
        <w:t xml:space="preserve"> web</w:t>
      </w:r>
      <w:r>
        <w:t xml:space="preserve">site’s </w:t>
      </w:r>
      <w:r w:rsidR="00006D46">
        <w:t xml:space="preserve">Hospital </w:t>
      </w:r>
      <w:r>
        <w:t xml:space="preserve">IQR </w:t>
      </w:r>
      <w:r w:rsidR="00006D46">
        <w:t xml:space="preserve">Program </w:t>
      </w:r>
      <w:r w:rsidR="0071534B">
        <w:t>and H</w:t>
      </w:r>
      <w:r w:rsidR="00006D46">
        <w:t xml:space="preserve">ospital </w:t>
      </w:r>
      <w:r w:rsidR="0071534B">
        <w:t>VBP</w:t>
      </w:r>
      <w:r w:rsidR="00006D46">
        <w:t xml:space="preserve"> Program</w:t>
      </w:r>
      <w:r w:rsidR="0071534B">
        <w:t xml:space="preserve"> </w:t>
      </w:r>
      <w:r w:rsidRPr="00DF7A04">
        <w:t>pages (</w:t>
      </w:r>
      <w:hyperlink r:id="rId14" w:history="1">
        <w:r w:rsidRPr="004C66DD">
          <w:rPr>
            <w:rStyle w:val="Hyperlink"/>
          </w:rPr>
          <w:t>www.qualitynet.org</w:t>
        </w:r>
      </w:hyperlink>
      <w:r w:rsidRPr="00DF7A04">
        <w:t>).</w:t>
      </w:r>
      <w:r>
        <w:t xml:space="preserve">  </w:t>
      </w:r>
      <w:r w:rsidR="00DF7A04" w:rsidRPr="00DF7A04">
        <w:t xml:space="preserve">We will </w:t>
      </w:r>
      <w:r w:rsidR="0033590C">
        <w:t xml:space="preserve">also </w:t>
      </w:r>
      <w:r w:rsidR="00DF7A04" w:rsidRPr="00DF7A04">
        <w:t xml:space="preserve">display the approved expiration date prominently on </w:t>
      </w:r>
      <w:r>
        <w:t>our</w:t>
      </w:r>
      <w:r w:rsidRPr="00DF7A04">
        <w:t xml:space="preserve"> </w:t>
      </w:r>
      <w:r w:rsidR="00DF7A04" w:rsidRPr="00E01228">
        <w:rPr>
          <w:i/>
        </w:rPr>
        <w:t>QualityNet</w:t>
      </w:r>
      <w:r w:rsidR="00DF7A04" w:rsidRPr="00DF7A04">
        <w:t xml:space="preserve"> website</w:t>
      </w:r>
      <w:r>
        <w:t>’s</w:t>
      </w:r>
      <w:r w:rsidR="00DF7A04" w:rsidRPr="00DF7A04">
        <w:t xml:space="preserve"> </w:t>
      </w:r>
      <w:r w:rsidR="00006D46">
        <w:t>Hospital IQR Program</w:t>
      </w:r>
      <w:r w:rsidR="00DF7A04" w:rsidRPr="00DF7A04">
        <w:t xml:space="preserve"> pages used to document our measure specifications and reporting guidance.</w:t>
      </w:r>
    </w:p>
    <w:p w14:paraId="7D8F6359" w14:textId="77777777" w:rsidR="007236A4" w:rsidRPr="00792D0B" w:rsidRDefault="007236A4" w:rsidP="007236A4"/>
    <w:p w14:paraId="00E34DC3" w14:textId="77777777" w:rsidR="007236A4" w:rsidRPr="000D165B" w:rsidRDefault="000D165B" w:rsidP="00732D50">
      <w:pPr>
        <w:keepNext/>
        <w:rPr>
          <w:u w:val="single"/>
        </w:rPr>
      </w:pPr>
      <w:r>
        <w:rPr>
          <w:u w:val="single"/>
        </w:rPr>
        <w:t xml:space="preserve">18.  </w:t>
      </w:r>
      <w:r w:rsidR="007236A4" w:rsidRPr="000D165B">
        <w:rPr>
          <w:u w:val="single"/>
        </w:rPr>
        <w:t>Certification Statement</w:t>
      </w:r>
    </w:p>
    <w:p w14:paraId="2B2AF234" w14:textId="77777777" w:rsidR="00DF7A04" w:rsidRPr="00792D0B" w:rsidRDefault="007236A4" w:rsidP="00732D50">
      <w:pPr>
        <w:keepNext/>
        <w:autoSpaceDE w:val="0"/>
        <w:autoSpaceDN w:val="0"/>
        <w:adjustRightInd w:val="0"/>
      </w:pPr>
      <w:r>
        <w:br/>
      </w:r>
      <w:r w:rsidR="0043275A">
        <w:t>We are not claiming any exceptions to the Certification for Paperwork Reduction Act Submissions Statement.</w:t>
      </w:r>
    </w:p>
    <w:sectPr w:rsidR="00DF7A04" w:rsidRPr="00792D0B" w:rsidSect="00B5330A">
      <w:footerReference w:type="default" r:id="rId15"/>
      <w:pgSz w:w="12240" w:h="15840" w:code="1"/>
      <w:pgMar w:top="1440" w:right="1440" w:bottom="1440" w:left="1440" w:header="720"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3AF1F3" w16cid:durableId="1EF0A891"/>
  <w16cid:commentId w16cid:paraId="5D9ABC7F" w16cid:durableId="1EF31D8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DA2BD" w14:textId="77777777" w:rsidR="009D0038" w:rsidRDefault="009D0038" w:rsidP="00AA6075">
      <w:r>
        <w:separator/>
      </w:r>
    </w:p>
  </w:endnote>
  <w:endnote w:type="continuationSeparator" w:id="0">
    <w:p w14:paraId="11B01A84" w14:textId="77777777" w:rsidR="009D0038" w:rsidRDefault="009D0038" w:rsidP="00AA6075">
      <w:r>
        <w:continuationSeparator/>
      </w:r>
    </w:p>
  </w:endnote>
  <w:endnote w:type="continuationNotice" w:id="1">
    <w:p w14:paraId="1873BAAA" w14:textId="77777777" w:rsidR="009D0038" w:rsidRDefault="009D0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Gotham Book">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ODCFH C+ Helvetica">
    <w:altName w:val="Arial"/>
    <w:panose1 w:val="00000000000000000000"/>
    <w:charset w:val="00"/>
    <w:family w:val="swiss"/>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387943"/>
      <w:docPartObj>
        <w:docPartGallery w:val="Page Numbers (Bottom of Page)"/>
        <w:docPartUnique/>
      </w:docPartObj>
    </w:sdtPr>
    <w:sdtEndPr>
      <w:rPr>
        <w:noProof/>
      </w:rPr>
    </w:sdtEndPr>
    <w:sdtContent>
      <w:p w14:paraId="3E71E621" w14:textId="030E54E4" w:rsidR="009D0038" w:rsidRDefault="009D0038">
        <w:pPr>
          <w:pStyle w:val="Footer"/>
          <w:jc w:val="right"/>
        </w:pPr>
        <w:r w:rsidRPr="0041034F">
          <w:rPr>
            <w:sz w:val="20"/>
            <w:szCs w:val="20"/>
          </w:rPr>
          <w:fldChar w:fldCharType="begin"/>
        </w:r>
        <w:r w:rsidRPr="0041034F">
          <w:rPr>
            <w:sz w:val="20"/>
            <w:szCs w:val="20"/>
          </w:rPr>
          <w:instrText xml:space="preserve"> PAGE   \* MERGEFORMAT </w:instrText>
        </w:r>
        <w:r w:rsidRPr="0041034F">
          <w:rPr>
            <w:sz w:val="20"/>
            <w:szCs w:val="20"/>
          </w:rPr>
          <w:fldChar w:fldCharType="separate"/>
        </w:r>
        <w:r w:rsidR="006846B5">
          <w:rPr>
            <w:noProof/>
            <w:sz w:val="20"/>
            <w:szCs w:val="20"/>
          </w:rPr>
          <w:t>1</w:t>
        </w:r>
        <w:r w:rsidRPr="0041034F">
          <w:rPr>
            <w:noProof/>
            <w:sz w:val="20"/>
            <w:szCs w:val="20"/>
          </w:rPr>
          <w:fldChar w:fldCharType="end"/>
        </w:r>
      </w:p>
    </w:sdtContent>
  </w:sdt>
  <w:p w14:paraId="32964C0B" w14:textId="77777777" w:rsidR="009D0038" w:rsidRDefault="009D00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CD64E" w14:textId="77777777" w:rsidR="009D0038" w:rsidRDefault="009D0038" w:rsidP="00AA6075">
      <w:r>
        <w:separator/>
      </w:r>
    </w:p>
  </w:footnote>
  <w:footnote w:type="continuationSeparator" w:id="0">
    <w:p w14:paraId="3CE8EEDB" w14:textId="77777777" w:rsidR="009D0038" w:rsidRDefault="009D0038" w:rsidP="00AA6075">
      <w:r>
        <w:continuationSeparator/>
      </w:r>
    </w:p>
  </w:footnote>
  <w:footnote w:type="continuationNotice" w:id="1">
    <w:p w14:paraId="1C07B640" w14:textId="77777777" w:rsidR="009D0038" w:rsidRDefault="009D0038"/>
  </w:footnote>
  <w:footnote w:id="2">
    <w:p w14:paraId="4E190B9D" w14:textId="409C1D32" w:rsidR="009D0038" w:rsidRDefault="009D0038">
      <w:pPr>
        <w:pStyle w:val="FootnoteText"/>
      </w:pPr>
      <w:r>
        <w:rPr>
          <w:rStyle w:val="FootnoteReference"/>
        </w:rPr>
        <w:footnoteRef/>
      </w:r>
      <w:r>
        <w:t xml:space="preserve"> More information on the </w:t>
      </w:r>
      <w:r w:rsidRPr="008E3A34">
        <w:t xml:space="preserve">Meaningful Measures </w:t>
      </w:r>
      <w:r>
        <w:t>Initiative available at:</w:t>
      </w:r>
      <w:r w:rsidRPr="008E3A34">
        <w:t xml:space="preserve"> </w:t>
      </w:r>
      <w:hyperlink r:id="rId1" w:history="1">
        <w:r w:rsidRPr="000C281D">
          <w:rPr>
            <w:rStyle w:val="Hyperlink"/>
          </w:rPr>
          <w:t>https://www.cms.gov/Medicare/Quality-Initiatives-Patient-Assessment-Instruments/QualityInitiativesGenInfo/MMF/General-info-Sub-Page.html</w:t>
        </w:r>
      </w:hyperlink>
      <w:r>
        <w:t>.</w:t>
      </w:r>
    </w:p>
  </w:footnote>
  <w:footnote w:id="3">
    <w:p w14:paraId="793E0CEC" w14:textId="0FC3D0D0" w:rsidR="009D0038" w:rsidRDefault="009D0038">
      <w:pPr>
        <w:pStyle w:val="FootnoteText"/>
      </w:pPr>
      <w:r>
        <w:rPr>
          <w:rStyle w:val="FootnoteReference"/>
        </w:rPr>
        <w:footnoteRef/>
      </w:r>
      <w:r>
        <w:t xml:space="preserve"> </w:t>
      </w:r>
      <w:r w:rsidRPr="008E3A34">
        <w:t xml:space="preserve">Remarks by </w:t>
      </w:r>
      <w:r>
        <w:t xml:space="preserve">CMS </w:t>
      </w:r>
      <w:r w:rsidRPr="008E3A34">
        <w:t xml:space="preserve">Administrator Seema Verma at the Health Care Payment Learning and Action Network (LAN) Fall Summit, as prepared for delivery on October 30, 2017.  Available at:  </w:t>
      </w:r>
      <w:hyperlink r:id="rId2" w:history="1">
        <w:r w:rsidRPr="000C281D">
          <w:rPr>
            <w:rStyle w:val="Hyperlink"/>
          </w:rPr>
          <w:t>https://www.cms.gov/Newsroom/MediaReleaseDatabase/Fact-sheets/2017-Fact-Sheet-items/2017-10-30.html</w:t>
        </w:r>
      </w:hyperlink>
      <w:r>
        <w:t>.</w:t>
      </w:r>
    </w:p>
  </w:footnote>
  <w:footnote w:id="4">
    <w:p w14:paraId="23E0D0A1" w14:textId="2BDB76BF" w:rsidR="009D0038" w:rsidRDefault="009D0038">
      <w:pPr>
        <w:pStyle w:val="FootnoteText"/>
      </w:pPr>
      <w:r>
        <w:rPr>
          <w:rStyle w:val="FootnoteReference"/>
        </w:rPr>
        <w:footnoteRef/>
      </w:r>
      <w:r>
        <w:t xml:space="preserve"> More information on the Patients Over Paperwork</w:t>
      </w:r>
      <w:r w:rsidRPr="008E3A34">
        <w:t xml:space="preserve"> </w:t>
      </w:r>
      <w:r>
        <w:t>Initiative available at:</w:t>
      </w:r>
      <w:r w:rsidRPr="008E3A34">
        <w:t xml:space="preserve"> </w:t>
      </w:r>
      <w:hyperlink r:id="rId3" w:history="1">
        <w:r w:rsidRPr="00A2729D">
          <w:rPr>
            <w:rStyle w:val="Hyperlink"/>
          </w:rPr>
          <w:t>https://www.cms.gov/Outreach-and-Education/Outreach/Partnerships/PatientsOverPaperwork.html</w:t>
        </w:r>
      </w:hyperlink>
      <w:r>
        <w:t xml:space="preserve"> </w:t>
      </w:r>
    </w:p>
  </w:footnote>
  <w:footnote w:id="5">
    <w:p w14:paraId="667390D7" w14:textId="6937EE4B" w:rsidR="009D0038" w:rsidRPr="00666B72" w:rsidRDefault="009D0038" w:rsidP="004D6FC1">
      <w:pPr>
        <w:pStyle w:val="FootnoteText"/>
      </w:pPr>
      <w:r w:rsidRPr="00666B72">
        <w:rPr>
          <w:rStyle w:val="FootnoteReference"/>
        </w:rPr>
        <w:footnoteRef/>
      </w:r>
      <w:r>
        <w:t xml:space="preserve"> </w:t>
      </w:r>
      <w:r w:rsidRPr="008342E4">
        <w:rPr>
          <w:rFonts w:eastAsia="Calibri"/>
          <w:sz w:val="22"/>
          <w:szCs w:val="22"/>
        </w:rPr>
        <w:t xml:space="preserve">Occupational Outlook Handbook.  </w:t>
      </w:r>
      <w:r w:rsidRPr="00D7008C">
        <w:rPr>
          <w:rFonts w:eastAsia="Calibri"/>
          <w:sz w:val="22"/>
          <w:szCs w:val="22"/>
        </w:rPr>
        <w:t xml:space="preserve">Available at: </w:t>
      </w:r>
      <w:hyperlink r:id="rId4" w:history="1">
        <w:r w:rsidRPr="009B01A0">
          <w:rPr>
            <w:rStyle w:val="Hyperlink"/>
            <w:rFonts w:eastAsia="Calibri"/>
            <w:sz w:val="22"/>
            <w:szCs w:val="22"/>
          </w:rPr>
          <w:t>https://www.bls.gov/oes/2016/may/oes292071.htm</w:t>
        </w:r>
      </w:hyperlink>
      <w:r w:rsidRPr="00D7008C">
        <w:rPr>
          <w:rFonts w:eastAsia="Calibri"/>
          <w:sz w:val="22"/>
          <w:szCs w:val="22"/>
        </w:rPr>
        <w:t>.</w:t>
      </w:r>
    </w:p>
  </w:footnote>
  <w:footnote w:id="6">
    <w:p w14:paraId="751CB77B" w14:textId="77777777" w:rsidR="009D0038" w:rsidRPr="003132CC" w:rsidRDefault="009D0038" w:rsidP="00784F3C">
      <w:pPr>
        <w:pStyle w:val="FootnoteText"/>
      </w:pPr>
      <w:r w:rsidRPr="003132CC">
        <w:rPr>
          <w:rStyle w:val="FootnoteReference"/>
        </w:rPr>
        <w:footnoteRef/>
      </w:r>
      <w:r w:rsidRPr="003132CC">
        <w:t xml:space="preserve"> Estimated 15 minutes per case for reporting ED-2 measure based on average Clinical Data Abstraction Center abstraction times for 3Q 2016, 4Q 2016, and 1Q 2017</w:t>
      </w:r>
      <w:r>
        <w:t xml:space="preserve"> discharge data</w:t>
      </w:r>
      <w:r w:rsidRPr="003132CC">
        <w:t>.</w:t>
      </w:r>
    </w:p>
  </w:footnote>
  <w:footnote w:id="7">
    <w:p w14:paraId="69B7F187" w14:textId="77777777" w:rsidR="009D0038" w:rsidRPr="003132CC" w:rsidRDefault="009D0038" w:rsidP="007E634A">
      <w:pPr>
        <w:pStyle w:val="FootnoteText"/>
      </w:pPr>
      <w:r w:rsidRPr="003132CC">
        <w:rPr>
          <w:rStyle w:val="FootnoteReference"/>
        </w:rPr>
        <w:footnoteRef/>
      </w:r>
      <w:r w:rsidRPr="003132CC">
        <w:t xml:space="preserve"> Estimated 15 minutes per case for reporting ED-2 measure based on average Clinical Data Abstraction Center abstraction times for 3Q 2016, 4Q 2016, and 1Q 2017</w:t>
      </w:r>
      <w:r>
        <w:t xml:space="preserve"> discharge data</w:t>
      </w:r>
      <w:r w:rsidRPr="003132CC">
        <w:t>.</w:t>
      </w:r>
    </w:p>
  </w:footnote>
  <w:footnote w:id="8">
    <w:p w14:paraId="37777869" w14:textId="77777777" w:rsidR="009D0038" w:rsidRDefault="009D0038" w:rsidP="00B90631">
      <w:pPr>
        <w:pStyle w:val="FootnoteText"/>
      </w:pPr>
      <w:r>
        <w:rPr>
          <w:rStyle w:val="FootnoteReference"/>
        </w:rPr>
        <w:footnoteRef/>
      </w:r>
      <w:r>
        <w:t xml:space="preserve"> Based on data from previous years’ data collection, we estimate 898 non-IPPS hospitals voluntarily submit data for the ED throughput/IMM-2 measure set.</w:t>
      </w:r>
    </w:p>
  </w:footnote>
  <w:footnote w:id="9">
    <w:p w14:paraId="7E55D7D2" w14:textId="77777777" w:rsidR="009D0038" w:rsidRDefault="009D0038">
      <w:pPr>
        <w:pStyle w:val="FootnoteText"/>
      </w:pPr>
      <w:r>
        <w:rPr>
          <w:rStyle w:val="FootnoteReference"/>
        </w:rPr>
        <w:footnoteRef/>
      </w:r>
      <w:r>
        <w:t xml:space="preserve"> Based on data from previous years’ data collection, we estimate 412 non-IPPS hospitals voluntarily submit data for the VTE-6 measure.</w:t>
      </w:r>
    </w:p>
  </w:footnote>
  <w:footnote w:id="10">
    <w:p w14:paraId="48709018" w14:textId="0410462C" w:rsidR="009D0038" w:rsidRDefault="009D0038" w:rsidP="00217B02">
      <w:pPr>
        <w:pStyle w:val="FootnoteText"/>
      </w:pPr>
      <w:r>
        <w:rPr>
          <w:rStyle w:val="FootnoteReference"/>
        </w:rPr>
        <w:footnoteRef/>
      </w:r>
      <w:r>
        <w:t xml:space="preserve"> In the FY 2018</w:t>
      </w:r>
      <w:r w:rsidRPr="00934AA2">
        <w:t xml:space="preserve"> IPPS/LTCH PPS final rule (82 FR 38350 through 38355), we finalized our pr</w:t>
      </w:r>
      <w:r w:rsidRPr="00BB4C3A">
        <w:t>oposal to collect data on a voluntary basis for the Hybrid H</w:t>
      </w:r>
      <w:r>
        <w:t>ospital-</w:t>
      </w:r>
      <w:r w:rsidRPr="00BB4C3A">
        <w:t>W</w:t>
      </w:r>
      <w:r>
        <w:t xml:space="preserve">ide </w:t>
      </w:r>
      <w:r w:rsidRPr="00BB4C3A">
        <w:t>R</w:t>
      </w:r>
      <w:r>
        <w:t>eadmission Measure with Claims and Electronic Health Record Data</w:t>
      </w:r>
      <w:r w:rsidRPr="00BB4C3A">
        <w:t xml:space="preserve"> </w:t>
      </w:r>
      <w:r>
        <w:t>(NQF #2879)</w:t>
      </w:r>
      <w:r w:rsidRPr="00BB4C3A">
        <w:t xml:space="preserve"> for the FY 2020 payment determination.  We estimated that approximately 100 hospitals would </w:t>
      </w:r>
      <w:r>
        <w:t xml:space="preserve">participate in </w:t>
      </w:r>
      <w:r w:rsidRPr="00BB4C3A">
        <w:t>voluntarily report</w:t>
      </w:r>
      <w:r>
        <w:t>ing</w:t>
      </w:r>
      <w:r w:rsidRPr="00BB4C3A">
        <w:t xml:space="preserve"> data for this measure, resulting in a </w:t>
      </w:r>
      <w:r>
        <w:t xml:space="preserve">burden of 0.67 hours per hospital per year, or a </w:t>
      </w:r>
      <w:r w:rsidRPr="00BB4C3A">
        <w:t xml:space="preserve">total burden of 67 hours across all </w:t>
      </w:r>
      <w:r>
        <w:t xml:space="preserve">100 participating </w:t>
      </w:r>
      <w:r w:rsidRPr="00BB4C3A">
        <w:t xml:space="preserve">hospitals for the FY 2020 payment determination (82 FR 38504).  </w:t>
      </w:r>
      <w:r>
        <w:t xml:space="preserve">Because we only finalized voluntary collection of data for one year, </w:t>
      </w:r>
      <w:r w:rsidRPr="00BB4C3A">
        <w:t>voluntary</w:t>
      </w:r>
      <w:r>
        <w:t xml:space="preserve"> collection of these</w:t>
      </w:r>
      <w:r w:rsidRPr="00BB4C3A">
        <w:t xml:space="preserve"> data</w:t>
      </w:r>
      <w:r>
        <w:t xml:space="preserve"> will no longer occur beginning with the FY 2021 payment determination and subsequent years</w:t>
      </w:r>
      <w:r w:rsidRPr="00BB4C3A">
        <w:t xml:space="preserve">, resulting in a reduction in burden of 67 hours across all </w:t>
      </w:r>
      <w:r>
        <w:t xml:space="preserve">participating </w:t>
      </w:r>
      <w:r w:rsidRPr="00BB4C3A">
        <w:t>hospitals.</w:t>
      </w:r>
    </w:p>
  </w:footnote>
  <w:footnote w:id="11">
    <w:p w14:paraId="0BD6B5F1" w14:textId="79137DF7" w:rsidR="009D0038" w:rsidRDefault="009D0038" w:rsidP="00B80484">
      <w:pPr>
        <w:pStyle w:val="FootnoteText"/>
      </w:pPr>
      <w:r>
        <w:rPr>
          <w:rStyle w:val="FootnoteReference"/>
        </w:rPr>
        <w:footnoteRef/>
      </w:r>
      <w:r>
        <w:t xml:space="preserve"> Based on data from previous years’ data collection, we estimate 898 non-IPPS hospitals voluntarily submit data for the ED throughput/IMM-2 measure set.</w:t>
      </w:r>
    </w:p>
  </w:footnote>
  <w:footnote w:id="12">
    <w:p w14:paraId="66B3FC5B" w14:textId="7F60AE24" w:rsidR="009D0038" w:rsidRPr="009F1A5C" w:rsidRDefault="009D0038" w:rsidP="00B242F5">
      <w:pPr>
        <w:pStyle w:val="FootnoteText"/>
      </w:pPr>
      <w:r w:rsidRPr="009F1A5C">
        <w:rPr>
          <w:rStyle w:val="FootnoteReference"/>
        </w:rPr>
        <w:footnoteRef/>
      </w:r>
      <w:r w:rsidRPr="009F1A5C">
        <w:t xml:space="preserve"> </w:t>
      </w:r>
      <w:r>
        <w:t>I</w:t>
      </w:r>
      <w:r w:rsidRPr="004C29B1">
        <w:t>n the FY 2019 IPPS/LTCH PPS final rule</w:t>
      </w:r>
      <w:r>
        <w:t>,</w:t>
      </w:r>
      <w:r w:rsidRPr="004C29B1">
        <w:t xml:space="preserve"> </w:t>
      </w:r>
      <w:r>
        <w:t xml:space="preserve">we are finalizing our proposals to remove </w:t>
      </w:r>
      <w:r w:rsidRPr="00934AA2">
        <w:t xml:space="preserve">Median Time from ED Arrival to ED Departure for Admitted ED Patients </w:t>
      </w:r>
      <w:r>
        <w:t>(ED-1)</w:t>
      </w:r>
      <w:r w:rsidRPr="00934AA2">
        <w:t xml:space="preserve"> in both chart-abstracted and eCQM forms.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4EC1"/>
    <w:multiLevelType w:val="hybridMultilevel"/>
    <w:tmpl w:val="3C6C6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035F16"/>
    <w:multiLevelType w:val="hybridMultilevel"/>
    <w:tmpl w:val="105AAC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B4D410D"/>
    <w:multiLevelType w:val="hybridMultilevel"/>
    <w:tmpl w:val="FEB88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A15E15"/>
    <w:multiLevelType w:val="hybridMultilevel"/>
    <w:tmpl w:val="1A34B094"/>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1A34F33"/>
    <w:multiLevelType w:val="hybridMultilevel"/>
    <w:tmpl w:val="2944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A4669"/>
    <w:multiLevelType w:val="hybridMultilevel"/>
    <w:tmpl w:val="BBDEB13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89659D6"/>
    <w:multiLevelType w:val="hybridMultilevel"/>
    <w:tmpl w:val="641CF7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086B95"/>
    <w:multiLevelType w:val="hybridMultilevel"/>
    <w:tmpl w:val="034CE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AE0798"/>
    <w:multiLevelType w:val="hybridMultilevel"/>
    <w:tmpl w:val="6E8C7B5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310553"/>
    <w:multiLevelType w:val="hybridMultilevel"/>
    <w:tmpl w:val="E79AA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262480A"/>
    <w:multiLevelType w:val="hybridMultilevel"/>
    <w:tmpl w:val="E2CE8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3A0525"/>
    <w:multiLevelType w:val="hybridMultilevel"/>
    <w:tmpl w:val="3570865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9501F54"/>
    <w:multiLevelType w:val="hybridMultilevel"/>
    <w:tmpl w:val="2886FF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110E11"/>
    <w:multiLevelType w:val="hybridMultilevel"/>
    <w:tmpl w:val="C1FA3C3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71409D"/>
    <w:multiLevelType w:val="hybridMultilevel"/>
    <w:tmpl w:val="F44A652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0B2ADB"/>
    <w:multiLevelType w:val="hybridMultilevel"/>
    <w:tmpl w:val="F79A6B32"/>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7E46024"/>
    <w:multiLevelType w:val="hybridMultilevel"/>
    <w:tmpl w:val="C05867F2"/>
    <w:lvl w:ilvl="0" w:tplc="0409000F">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5B47E1"/>
    <w:multiLevelType w:val="hybridMultilevel"/>
    <w:tmpl w:val="68E21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E16D4D"/>
    <w:multiLevelType w:val="hybridMultilevel"/>
    <w:tmpl w:val="3C6C6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3D31B0"/>
    <w:multiLevelType w:val="hybridMultilevel"/>
    <w:tmpl w:val="DA187E2C"/>
    <w:lvl w:ilvl="0" w:tplc="990E1D0A">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0832F55"/>
    <w:multiLevelType w:val="multilevel"/>
    <w:tmpl w:val="31585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91162E3"/>
    <w:multiLevelType w:val="hybridMultilevel"/>
    <w:tmpl w:val="E676DC58"/>
    <w:lvl w:ilvl="0" w:tplc="8EA49F0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260905"/>
    <w:multiLevelType w:val="hybridMultilevel"/>
    <w:tmpl w:val="4B66E59C"/>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B968E2"/>
    <w:multiLevelType w:val="hybridMultilevel"/>
    <w:tmpl w:val="03ECD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3B512B5"/>
    <w:multiLevelType w:val="multilevel"/>
    <w:tmpl w:val="A442E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4797025"/>
    <w:multiLevelType w:val="hybridMultilevel"/>
    <w:tmpl w:val="0824A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A414464"/>
    <w:multiLevelType w:val="hybridMultilevel"/>
    <w:tmpl w:val="D480BC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BFC134B"/>
    <w:multiLevelType w:val="hybridMultilevel"/>
    <w:tmpl w:val="B3FC7FE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BD4DA8"/>
    <w:multiLevelType w:val="hybridMultilevel"/>
    <w:tmpl w:val="8C123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A60B32"/>
    <w:multiLevelType w:val="hybridMultilevel"/>
    <w:tmpl w:val="68445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6E631BF5"/>
    <w:multiLevelType w:val="hybridMultilevel"/>
    <w:tmpl w:val="58AC59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0E42089"/>
    <w:multiLevelType w:val="hybridMultilevel"/>
    <w:tmpl w:val="CF7E8AC6"/>
    <w:lvl w:ilvl="0" w:tplc="8EA49F0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C3F415E"/>
    <w:multiLevelType w:val="hybridMultilevel"/>
    <w:tmpl w:val="071E743A"/>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614941"/>
    <w:multiLevelType w:val="hybridMultilevel"/>
    <w:tmpl w:val="1EE4800C"/>
    <w:lvl w:ilvl="0" w:tplc="8EA49F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34"/>
    <w:lvlOverride w:ilvl="0">
      <w:startOverride w:val="1"/>
    </w:lvlOverride>
    <w:lvlOverride w:ilvl="1">
      <w:startOverride w:val="8"/>
    </w:lvlOverride>
  </w:num>
  <w:num w:numId="3">
    <w:abstractNumId w:val="31"/>
  </w:num>
  <w:num w:numId="4">
    <w:abstractNumId w:val="22"/>
  </w:num>
  <w:num w:numId="5">
    <w:abstractNumId w:val="5"/>
  </w:num>
  <w:num w:numId="6">
    <w:abstractNumId w:val="33"/>
  </w:num>
  <w:num w:numId="7">
    <w:abstractNumId w:val="15"/>
  </w:num>
  <w:num w:numId="8">
    <w:abstractNumId w:val="3"/>
  </w:num>
  <w:num w:numId="9">
    <w:abstractNumId w:val="32"/>
  </w:num>
  <w:num w:numId="10">
    <w:abstractNumId w:val="26"/>
  </w:num>
  <w:num w:numId="11">
    <w:abstractNumId w:val="21"/>
  </w:num>
  <w:num w:numId="12">
    <w:abstractNumId w:val="11"/>
  </w:num>
  <w:num w:numId="13">
    <w:abstractNumId w:val="12"/>
  </w:num>
  <w:num w:numId="14">
    <w:abstractNumId w:val="8"/>
  </w:num>
  <w:num w:numId="15">
    <w:abstractNumId w:val="7"/>
  </w:num>
  <w:num w:numId="16">
    <w:abstractNumId w:val="1"/>
  </w:num>
  <w:num w:numId="17">
    <w:abstractNumId w:val="19"/>
  </w:num>
  <w:num w:numId="18">
    <w:abstractNumId w:val="14"/>
  </w:num>
  <w:num w:numId="19">
    <w:abstractNumId w:val="27"/>
  </w:num>
  <w:num w:numId="20">
    <w:abstractNumId w:val="25"/>
  </w:num>
  <w:num w:numId="21">
    <w:abstractNumId w:val="2"/>
  </w:num>
  <w:num w:numId="22">
    <w:abstractNumId w:val="16"/>
  </w:num>
  <w:num w:numId="23">
    <w:abstractNumId w:val="28"/>
  </w:num>
  <w:num w:numId="24">
    <w:abstractNumId w:val="6"/>
  </w:num>
  <w:num w:numId="25">
    <w:abstractNumId w:val="20"/>
  </w:num>
  <w:num w:numId="26">
    <w:abstractNumId w:val="24"/>
  </w:num>
  <w:num w:numId="27">
    <w:abstractNumId w:val="23"/>
  </w:num>
  <w:num w:numId="28">
    <w:abstractNumId w:val="30"/>
  </w:num>
  <w:num w:numId="29">
    <w:abstractNumId w:val="10"/>
  </w:num>
  <w:num w:numId="30">
    <w:abstractNumId w:val="9"/>
  </w:num>
  <w:num w:numId="31">
    <w:abstractNumId w:val="29"/>
  </w:num>
  <w:num w:numId="32">
    <w:abstractNumId w:val="9"/>
  </w:num>
  <w:num w:numId="33">
    <w:abstractNumId w:val="29"/>
  </w:num>
  <w:num w:numId="34">
    <w:abstractNumId w:val="18"/>
  </w:num>
  <w:num w:numId="35">
    <w:abstractNumId w:val="0"/>
  </w:num>
  <w:num w:numId="36">
    <w:abstractNumId w:val="17"/>
  </w:num>
  <w:num w:numId="37">
    <w:abstractNumId w:val="4"/>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drawingGridHorizontalSpacing w:val="12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44D"/>
    <w:rsid w:val="0000079D"/>
    <w:rsid w:val="00002418"/>
    <w:rsid w:val="0000380B"/>
    <w:rsid w:val="00003B7F"/>
    <w:rsid w:val="000046AD"/>
    <w:rsid w:val="00006079"/>
    <w:rsid w:val="0000658D"/>
    <w:rsid w:val="00006D46"/>
    <w:rsid w:val="000111C9"/>
    <w:rsid w:val="0001224C"/>
    <w:rsid w:val="00013FF8"/>
    <w:rsid w:val="00014426"/>
    <w:rsid w:val="00014FB5"/>
    <w:rsid w:val="00016FE7"/>
    <w:rsid w:val="000171E7"/>
    <w:rsid w:val="000220BF"/>
    <w:rsid w:val="00022190"/>
    <w:rsid w:val="00027FB3"/>
    <w:rsid w:val="00030495"/>
    <w:rsid w:val="00030970"/>
    <w:rsid w:val="000310DD"/>
    <w:rsid w:val="00031467"/>
    <w:rsid w:val="000317EE"/>
    <w:rsid w:val="00031C9A"/>
    <w:rsid w:val="000321B0"/>
    <w:rsid w:val="000332CF"/>
    <w:rsid w:val="000355C1"/>
    <w:rsid w:val="000365C8"/>
    <w:rsid w:val="00036C1A"/>
    <w:rsid w:val="00037963"/>
    <w:rsid w:val="00040427"/>
    <w:rsid w:val="000445BA"/>
    <w:rsid w:val="00044933"/>
    <w:rsid w:val="00045D3F"/>
    <w:rsid w:val="00047CF7"/>
    <w:rsid w:val="00053B8B"/>
    <w:rsid w:val="00053CE5"/>
    <w:rsid w:val="00053F11"/>
    <w:rsid w:val="00056F3A"/>
    <w:rsid w:val="00057658"/>
    <w:rsid w:val="00057BB2"/>
    <w:rsid w:val="0006078E"/>
    <w:rsid w:val="00062A5E"/>
    <w:rsid w:val="00065173"/>
    <w:rsid w:val="0006535F"/>
    <w:rsid w:val="00070838"/>
    <w:rsid w:val="00072510"/>
    <w:rsid w:val="000729BE"/>
    <w:rsid w:val="00073ACB"/>
    <w:rsid w:val="00073E3F"/>
    <w:rsid w:val="000742E2"/>
    <w:rsid w:val="00074B0A"/>
    <w:rsid w:val="00074C39"/>
    <w:rsid w:val="0007537D"/>
    <w:rsid w:val="00076162"/>
    <w:rsid w:val="00077FC5"/>
    <w:rsid w:val="0008005E"/>
    <w:rsid w:val="000834D6"/>
    <w:rsid w:val="00083B5A"/>
    <w:rsid w:val="000859AF"/>
    <w:rsid w:val="00086E28"/>
    <w:rsid w:val="00087886"/>
    <w:rsid w:val="00087B35"/>
    <w:rsid w:val="0009243D"/>
    <w:rsid w:val="000949E1"/>
    <w:rsid w:val="0009677C"/>
    <w:rsid w:val="00096DA7"/>
    <w:rsid w:val="000A067F"/>
    <w:rsid w:val="000A0705"/>
    <w:rsid w:val="000A15C9"/>
    <w:rsid w:val="000A319B"/>
    <w:rsid w:val="000A4D75"/>
    <w:rsid w:val="000A5930"/>
    <w:rsid w:val="000B0E8A"/>
    <w:rsid w:val="000B12B4"/>
    <w:rsid w:val="000B191D"/>
    <w:rsid w:val="000B750D"/>
    <w:rsid w:val="000B7CB1"/>
    <w:rsid w:val="000C0747"/>
    <w:rsid w:val="000C4EB2"/>
    <w:rsid w:val="000C519C"/>
    <w:rsid w:val="000C6729"/>
    <w:rsid w:val="000D07E6"/>
    <w:rsid w:val="000D1527"/>
    <w:rsid w:val="000D165B"/>
    <w:rsid w:val="000D55C9"/>
    <w:rsid w:val="000D55F1"/>
    <w:rsid w:val="000E147E"/>
    <w:rsid w:val="000E14E7"/>
    <w:rsid w:val="000E455D"/>
    <w:rsid w:val="000E6034"/>
    <w:rsid w:val="000E7805"/>
    <w:rsid w:val="000E7FA9"/>
    <w:rsid w:val="000F0608"/>
    <w:rsid w:val="000F34C2"/>
    <w:rsid w:val="000F3D06"/>
    <w:rsid w:val="000F52C4"/>
    <w:rsid w:val="000F5E3C"/>
    <w:rsid w:val="000F6757"/>
    <w:rsid w:val="000F7BCA"/>
    <w:rsid w:val="0010020C"/>
    <w:rsid w:val="00103895"/>
    <w:rsid w:val="001058D7"/>
    <w:rsid w:val="00105F5E"/>
    <w:rsid w:val="00106EB9"/>
    <w:rsid w:val="00107030"/>
    <w:rsid w:val="00110E1D"/>
    <w:rsid w:val="0011148B"/>
    <w:rsid w:val="0011230B"/>
    <w:rsid w:val="00112366"/>
    <w:rsid w:val="00112929"/>
    <w:rsid w:val="00113FA7"/>
    <w:rsid w:val="001140CC"/>
    <w:rsid w:val="00114B62"/>
    <w:rsid w:val="0011608D"/>
    <w:rsid w:val="001160A1"/>
    <w:rsid w:val="00116557"/>
    <w:rsid w:val="0012347C"/>
    <w:rsid w:val="00123704"/>
    <w:rsid w:val="00124FCE"/>
    <w:rsid w:val="00125576"/>
    <w:rsid w:val="0012577E"/>
    <w:rsid w:val="001268CA"/>
    <w:rsid w:val="00127956"/>
    <w:rsid w:val="00131469"/>
    <w:rsid w:val="00132A2F"/>
    <w:rsid w:val="00135BA3"/>
    <w:rsid w:val="00135FF3"/>
    <w:rsid w:val="00136414"/>
    <w:rsid w:val="001365C2"/>
    <w:rsid w:val="00137BD7"/>
    <w:rsid w:val="00140CC1"/>
    <w:rsid w:val="00142E2F"/>
    <w:rsid w:val="001446E8"/>
    <w:rsid w:val="00145344"/>
    <w:rsid w:val="00145D15"/>
    <w:rsid w:val="001464D2"/>
    <w:rsid w:val="00146998"/>
    <w:rsid w:val="001476CE"/>
    <w:rsid w:val="00147C93"/>
    <w:rsid w:val="00151198"/>
    <w:rsid w:val="00153670"/>
    <w:rsid w:val="00153F3B"/>
    <w:rsid w:val="00160E77"/>
    <w:rsid w:val="00162369"/>
    <w:rsid w:val="001629E8"/>
    <w:rsid w:val="001640CD"/>
    <w:rsid w:val="00165042"/>
    <w:rsid w:val="00165A75"/>
    <w:rsid w:val="00170560"/>
    <w:rsid w:val="001710A8"/>
    <w:rsid w:val="001751DC"/>
    <w:rsid w:val="00176238"/>
    <w:rsid w:val="00176A06"/>
    <w:rsid w:val="00177597"/>
    <w:rsid w:val="00180C83"/>
    <w:rsid w:val="00181B91"/>
    <w:rsid w:val="00185695"/>
    <w:rsid w:val="0018579F"/>
    <w:rsid w:val="00186DCC"/>
    <w:rsid w:val="00190DB6"/>
    <w:rsid w:val="00191757"/>
    <w:rsid w:val="00193785"/>
    <w:rsid w:val="00195CF6"/>
    <w:rsid w:val="001962EB"/>
    <w:rsid w:val="00196312"/>
    <w:rsid w:val="001A02E7"/>
    <w:rsid w:val="001A0D1F"/>
    <w:rsid w:val="001A31A4"/>
    <w:rsid w:val="001A33E2"/>
    <w:rsid w:val="001A344D"/>
    <w:rsid w:val="001A40E1"/>
    <w:rsid w:val="001A4603"/>
    <w:rsid w:val="001A495F"/>
    <w:rsid w:val="001A5E6F"/>
    <w:rsid w:val="001A6C57"/>
    <w:rsid w:val="001A6E3D"/>
    <w:rsid w:val="001B274F"/>
    <w:rsid w:val="001B2C17"/>
    <w:rsid w:val="001B3171"/>
    <w:rsid w:val="001B3415"/>
    <w:rsid w:val="001B46F6"/>
    <w:rsid w:val="001C4D66"/>
    <w:rsid w:val="001C61CD"/>
    <w:rsid w:val="001C65EA"/>
    <w:rsid w:val="001D061F"/>
    <w:rsid w:val="001D093D"/>
    <w:rsid w:val="001D1093"/>
    <w:rsid w:val="001D2B2D"/>
    <w:rsid w:val="001D2CDC"/>
    <w:rsid w:val="001D37FE"/>
    <w:rsid w:val="001D3D3E"/>
    <w:rsid w:val="001D3EDC"/>
    <w:rsid w:val="001D495C"/>
    <w:rsid w:val="001D7C9E"/>
    <w:rsid w:val="001E09E4"/>
    <w:rsid w:val="001E405B"/>
    <w:rsid w:val="001E5F72"/>
    <w:rsid w:val="001E672A"/>
    <w:rsid w:val="001E6EF2"/>
    <w:rsid w:val="001E7422"/>
    <w:rsid w:val="001E7592"/>
    <w:rsid w:val="001F23CC"/>
    <w:rsid w:val="001F47BA"/>
    <w:rsid w:val="001F65C7"/>
    <w:rsid w:val="0020228C"/>
    <w:rsid w:val="00205DCF"/>
    <w:rsid w:val="002119B9"/>
    <w:rsid w:val="00212882"/>
    <w:rsid w:val="00214057"/>
    <w:rsid w:val="0021488A"/>
    <w:rsid w:val="0021527B"/>
    <w:rsid w:val="002158F6"/>
    <w:rsid w:val="002159CF"/>
    <w:rsid w:val="00216666"/>
    <w:rsid w:val="0021711E"/>
    <w:rsid w:val="00217B02"/>
    <w:rsid w:val="002204FC"/>
    <w:rsid w:val="00220866"/>
    <w:rsid w:val="00222CD0"/>
    <w:rsid w:val="00224225"/>
    <w:rsid w:val="00224AA9"/>
    <w:rsid w:val="0022597A"/>
    <w:rsid w:val="00227109"/>
    <w:rsid w:val="00230751"/>
    <w:rsid w:val="002342EF"/>
    <w:rsid w:val="002350C8"/>
    <w:rsid w:val="002359B1"/>
    <w:rsid w:val="00236867"/>
    <w:rsid w:val="002373D1"/>
    <w:rsid w:val="00237C11"/>
    <w:rsid w:val="00240792"/>
    <w:rsid w:val="00242BDF"/>
    <w:rsid w:val="00243D75"/>
    <w:rsid w:val="0024497D"/>
    <w:rsid w:val="00245DCF"/>
    <w:rsid w:val="00246AB2"/>
    <w:rsid w:val="00247863"/>
    <w:rsid w:val="00250ACD"/>
    <w:rsid w:val="00250C5C"/>
    <w:rsid w:val="002510D6"/>
    <w:rsid w:val="00251D97"/>
    <w:rsid w:val="0025350B"/>
    <w:rsid w:val="00254459"/>
    <w:rsid w:val="00260DBE"/>
    <w:rsid w:val="00262458"/>
    <w:rsid w:val="00263488"/>
    <w:rsid w:val="00266BD9"/>
    <w:rsid w:val="0027077F"/>
    <w:rsid w:val="0027334E"/>
    <w:rsid w:val="00273B3F"/>
    <w:rsid w:val="0027482B"/>
    <w:rsid w:val="002748A2"/>
    <w:rsid w:val="00276949"/>
    <w:rsid w:val="00280DFC"/>
    <w:rsid w:val="002851B7"/>
    <w:rsid w:val="00285274"/>
    <w:rsid w:val="0028529B"/>
    <w:rsid w:val="00285CF9"/>
    <w:rsid w:val="0029003D"/>
    <w:rsid w:val="002906A2"/>
    <w:rsid w:val="002915DE"/>
    <w:rsid w:val="00291B82"/>
    <w:rsid w:val="00293674"/>
    <w:rsid w:val="00294959"/>
    <w:rsid w:val="00295D80"/>
    <w:rsid w:val="00296404"/>
    <w:rsid w:val="00296FD8"/>
    <w:rsid w:val="002A0E62"/>
    <w:rsid w:val="002A2901"/>
    <w:rsid w:val="002A4DDB"/>
    <w:rsid w:val="002A6236"/>
    <w:rsid w:val="002A665D"/>
    <w:rsid w:val="002A6DB4"/>
    <w:rsid w:val="002A76C7"/>
    <w:rsid w:val="002B1406"/>
    <w:rsid w:val="002B17DD"/>
    <w:rsid w:val="002B3F79"/>
    <w:rsid w:val="002B5748"/>
    <w:rsid w:val="002B694C"/>
    <w:rsid w:val="002C1F45"/>
    <w:rsid w:val="002C2749"/>
    <w:rsid w:val="002C3753"/>
    <w:rsid w:val="002C3AF3"/>
    <w:rsid w:val="002C6A08"/>
    <w:rsid w:val="002C6B27"/>
    <w:rsid w:val="002C7136"/>
    <w:rsid w:val="002C758C"/>
    <w:rsid w:val="002D063C"/>
    <w:rsid w:val="002D08E6"/>
    <w:rsid w:val="002D0CA8"/>
    <w:rsid w:val="002D23F8"/>
    <w:rsid w:val="002D2D0C"/>
    <w:rsid w:val="002D7046"/>
    <w:rsid w:val="002E0265"/>
    <w:rsid w:val="002E1281"/>
    <w:rsid w:val="002E51B1"/>
    <w:rsid w:val="002E5E38"/>
    <w:rsid w:val="002E68F5"/>
    <w:rsid w:val="002E6F7C"/>
    <w:rsid w:val="002E6FE3"/>
    <w:rsid w:val="002E7AB9"/>
    <w:rsid w:val="002F037C"/>
    <w:rsid w:val="002F15AF"/>
    <w:rsid w:val="002F18E4"/>
    <w:rsid w:val="002F1964"/>
    <w:rsid w:val="002F2200"/>
    <w:rsid w:val="002F2842"/>
    <w:rsid w:val="002F322B"/>
    <w:rsid w:val="002F39E8"/>
    <w:rsid w:val="002F5948"/>
    <w:rsid w:val="002F5B5C"/>
    <w:rsid w:val="002F671F"/>
    <w:rsid w:val="002F7150"/>
    <w:rsid w:val="00300564"/>
    <w:rsid w:val="00301A82"/>
    <w:rsid w:val="00303A96"/>
    <w:rsid w:val="00303AE9"/>
    <w:rsid w:val="00306D74"/>
    <w:rsid w:val="00312556"/>
    <w:rsid w:val="003131A7"/>
    <w:rsid w:val="00313705"/>
    <w:rsid w:val="0031418E"/>
    <w:rsid w:val="00316308"/>
    <w:rsid w:val="0031779B"/>
    <w:rsid w:val="0032080C"/>
    <w:rsid w:val="003208D0"/>
    <w:rsid w:val="0032252C"/>
    <w:rsid w:val="00323750"/>
    <w:rsid w:val="00325761"/>
    <w:rsid w:val="00326581"/>
    <w:rsid w:val="00330B6B"/>
    <w:rsid w:val="00330FA5"/>
    <w:rsid w:val="00332AC6"/>
    <w:rsid w:val="0033590C"/>
    <w:rsid w:val="00340055"/>
    <w:rsid w:val="003411E4"/>
    <w:rsid w:val="00342924"/>
    <w:rsid w:val="003437F8"/>
    <w:rsid w:val="003447C3"/>
    <w:rsid w:val="00344C2E"/>
    <w:rsid w:val="003468C0"/>
    <w:rsid w:val="00347A36"/>
    <w:rsid w:val="00347BF8"/>
    <w:rsid w:val="00351C50"/>
    <w:rsid w:val="003604C9"/>
    <w:rsid w:val="003629CE"/>
    <w:rsid w:val="00367203"/>
    <w:rsid w:val="0037269E"/>
    <w:rsid w:val="00375703"/>
    <w:rsid w:val="003762CC"/>
    <w:rsid w:val="003769AD"/>
    <w:rsid w:val="00380FB9"/>
    <w:rsid w:val="00382B4B"/>
    <w:rsid w:val="00382C88"/>
    <w:rsid w:val="00383519"/>
    <w:rsid w:val="0038458D"/>
    <w:rsid w:val="00384BF9"/>
    <w:rsid w:val="00387EDD"/>
    <w:rsid w:val="003912C1"/>
    <w:rsid w:val="00391D77"/>
    <w:rsid w:val="003927BB"/>
    <w:rsid w:val="00392C5D"/>
    <w:rsid w:val="00393532"/>
    <w:rsid w:val="00395E2D"/>
    <w:rsid w:val="003A4B8E"/>
    <w:rsid w:val="003A6943"/>
    <w:rsid w:val="003A757B"/>
    <w:rsid w:val="003B1532"/>
    <w:rsid w:val="003B22EE"/>
    <w:rsid w:val="003B3134"/>
    <w:rsid w:val="003B5513"/>
    <w:rsid w:val="003B5E15"/>
    <w:rsid w:val="003B6D00"/>
    <w:rsid w:val="003B7B21"/>
    <w:rsid w:val="003B7D0E"/>
    <w:rsid w:val="003C10E4"/>
    <w:rsid w:val="003C3B31"/>
    <w:rsid w:val="003C4FE3"/>
    <w:rsid w:val="003C55AA"/>
    <w:rsid w:val="003C5E32"/>
    <w:rsid w:val="003C600B"/>
    <w:rsid w:val="003C6DD5"/>
    <w:rsid w:val="003D0614"/>
    <w:rsid w:val="003D1282"/>
    <w:rsid w:val="003D21C1"/>
    <w:rsid w:val="003D357A"/>
    <w:rsid w:val="003D36C3"/>
    <w:rsid w:val="003D5CBF"/>
    <w:rsid w:val="003D6EA7"/>
    <w:rsid w:val="003E2057"/>
    <w:rsid w:val="003E3A27"/>
    <w:rsid w:val="003E5A55"/>
    <w:rsid w:val="003F0BA9"/>
    <w:rsid w:val="003F107D"/>
    <w:rsid w:val="003F2406"/>
    <w:rsid w:val="003F4C58"/>
    <w:rsid w:val="003F568C"/>
    <w:rsid w:val="003F60B3"/>
    <w:rsid w:val="00400381"/>
    <w:rsid w:val="004004B3"/>
    <w:rsid w:val="004019D9"/>
    <w:rsid w:val="00401C2B"/>
    <w:rsid w:val="00403E9B"/>
    <w:rsid w:val="004055AA"/>
    <w:rsid w:val="0041034F"/>
    <w:rsid w:val="00410D8C"/>
    <w:rsid w:val="00411252"/>
    <w:rsid w:val="00411497"/>
    <w:rsid w:val="00415548"/>
    <w:rsid w:val="004161D8"/>
    <w:rsid w:val="00416562"/>
    <w:rsid w:val="0042198B"/>
    <w:rsid w:val="00425CB2"/>
    <w:rsid w:val="004268B5"/>
    <w:rsid w:val="0043275A"/>
    <w:rsid w:val="00433246"/>
    <w:rsid w:val="00434E5E"/>
    <w:rsid w:val="0043587D"/>
    <w:rsid w:val="00436EBB"/>
    <w:rsid w:val="004402DD"/>
    <w:rsid w:val="004404CD"/>
    <w:rsid w:val="00441368"/>
    <w:rsid w:val="00444557"/>
    <w:rsid w:val="00445F21"/>
    <w:rsid w:val="00447522"/>
    <w:rsid w:val="0045361E"/>
    <w:rsid w:val="0045625D"/>
    <w:rsid w:val="00456E82"/>
    <w:rsid w:val="00457957"/>
    <w:rsid w:val="00461E5D"/>
    <w:rsid w:val="0046674A"/>
    <w:rsid w:val="00466EC9"/>
    <w:rsid w:val="00472EE8"/>
    <w:rsid w:val="00473C78"/>
    <w:rsid w:val="00476C1F"/>
    <w:rsid w:val="004774BC"/>
    <w:rsid w:val="004774CB"/>
    <w:rsid w:val="00481622"/>
    <w:rsid w:val="00481B52"/>
    <w:rsid w:val="00481EF9"/>
    <w:rsid w:val="00482A3A"/>
    <w:rsid w:val="00483F31"/>
    <w:rsid w:val="004842E1"/>
    <w:rsid w:val="004844A7"/>
    <w:rsid w:val="00486274"/>
    <w:rsid w:val="004909CC"/>
    <w:rsid w:val="004926C3"/>
    <w:rsid w:val="00492BD1"/>
    <w:rsid w:val="0049315A"/>
    <w:rsid w:val="004939D5"/>
    <w:rsid w:val="00494766"/>
    <w:rsid w:val="00496EFA"/>
    <w:rsid w:val="004A0B48"/>
    <w:rsid w:val="004A0E5D"/>
    <w:rsid w:val="004A1B73"/>
    <w:rsid w:val="004A285B"/>
    <w:rsid w:val="004A54D0"/>
    <w:rsid w:val="004A5745"/>
    <w:rsid w:val="004A6DB4"/>
    <w:rsid w:val="004B1843"/>
    <w:rsid w:val="004B2EEC"/>
    <w:rsid w:val="004B3AD8"/>
    <w:rsid w:val="004B3D8E"/>
    <w:rsid w:val="004B3EE5"/>
    <w:rsid w:val="004B4205"/>
    <w:rsid w:val="004B505C"/>
    <w:rsid w:val="004B5ED4"/>
    <w:rsid w:val="004B648F"/>
    <w:rsid w:val="004B7274"/>
    <w:rsid w:val="004C0774"/>
    <w:rsid w:val="004C085B"/>
    <w:rsid w:val="004C20F4"/>
    <w:rsid w:val="004C29B1"/>
    <w:rsid w:val="004C4664"/>
    <w:rsid w:val="004C762B"/>
    <w:rsid w:val="004D41F6"/>
    <w:rsid w:val="004D6FC1"/>
    <w:rsid w:val="004D71BE"/>
    <w:rsid w:val="004E2F4E"/>
    <w:rsid w:val="004E36E6"/>
    <w:rsid w:val="004E3790"/>
    <w:rsid w:val="004E4BD5"/>
    <w:rsid w:val="004F0891"/>
    <w:rsid w:val="004F78A0"/>
    <w:rsid w:val="00500927"/>
    <w:rsid w:val="005020D1"/>
    <w:rsid w:val="00502752"/>
    <w:rsid w:val="00503001"/>
    <w:rsid w:val="005040A5"/>
    <w:rsid w:val="00504C7A"/>
    <w:rsid w:val="0050706B"/>
    <w:rsid w:val="00507711"/>
    <w:rsid w:val="00511101"/>
    <w:rsid w:val="00511838"/>
    <w:rsid w:val="00512183"/>
    <w:rsid w:val="00512BD2"/>
    <w:rsid w:val="00512C96"/>
    <w:rsid w:val="00513919"/>
    <w:rsid w:val="00515BDB"/>
    <w:rsid w:val="00516B67"/>
    <w:rsid w:val="005173A1"/>
    <w:rsid w:val="0052036A"/>
    <w:rsid w:val="00521860"/>
    <w:rsid w:val="00521C72"/>
    <w:rsid w:val="00526D32"/>
    <w:rsid w:val="00527E8F"/>
    <w:rsid w:val="00533D1F"/>
    <w:rsid w:val="0053536B"/>
    <w:rsid w:val="00536D3A"/>
    <w:rsid w:val="00537123"/>
    <w:rsid w:val="0053721D"/>
    <w:rsid w:val="0054077D"/>
    <w:rsid w:val="00540F28"/>
    <w:rsid w:val="00541815"/>
    <w:rsid w:val="005424B6"/>
    <w:rsid w:val="00543715"/>
    <w:rsid w:val="00543D2B"/>
    <w:rsid w:val="005448C6"/>
    <w:rsid w:val="00545C98"/>
    <w:rsid w:val="00551167"/>
    <w:rsid w:val="005517DF"/>
    <w:rsid w:val="005523E1"/>
    <w:rsid w:val="00552996"/>
    <w:rsid w:val="005536B2"/>
    <w:rsid w:val="00555302"/>
    <w:rsid w:val="00556CB8"/>
    <w:rsid w:val="00557BFD"/>
    <w:rsid w:val="00560E2B"/>
    <w:rsid w:val="0056156B"/>
    <w:rsid w:val="00562540"/>
    <w:rsid w:val="00562F92"/>
    <w:rsid w:val="00563459"/>
    <w:rsid w:val="005636D4"/>
    <w:rsid w:val="00564230"/>
    <w:rsid w:val="005660AE"/>
    <w:rsid w:val="00566132"/>
    <w:rsid w:val="0056620E"/>
    <w:rsid w:val="00570887"/>
    <w:rsid w:val="00570F55"/>
    <w:rsid w:val="00571BDE"/>
    <w:rsid w:val="00574D5B"/>
    <w:rsid w:val="00576C37"/>
    <w:rsid w:val="0057717C"/>
    <w:rsid w:val="00580CF0"/>
    <w:rsid w:val="00581018"/>
    <w:rsid w:val="005826A3"/>
    <w:rsid w:val="0058272A"/>
    <w:rsid w:val="00582EAC"/>
    <w:rsid w:val="00583812"/>
    <w:rsid w:val="0058509B"/>
    <w:rsid w:val="00585655"/>
    <w:rsid w:val="005867A7"/>
    <w:rsid w:val="0058718F"/>
    <w:rsid w:val="005911D1"/>
    <w:rsid w:val="00592678"/>
    <w:rsid w:val="0059550E"/>
    <w:rsid w:val="005978CA"/>
    <w:rsid w:val="005A2469"/>
    <w:rsid w:val="005A2863"/>
    <w:rsid w:val="005A28E0"/>
    <w:rsid w:val="005A2CB5"/>
    <w:rsid w:val="005A2EEB"/>
    <w:rsid w:val="005A3ADD"/>
    <w:rsid w:val="005A5BC2"/>
    <w:rsid w:val="005A6D9B"/>
    <w:rsid w:val="005B0058"/>
    <w:rsid w:val="005B1BAB"/>
    <w:rsid w:val="005B296B"/>
    <w:rsid w:val="005B377D"/>
    <w:rsid w:val="005B41A8"/>
    <w:rsid w:val="005B582D"/>
    <w:rsid w:val="005B5BF1"/>
    <w:rsid w:val="005B705A"/>
    <w:rsid w:val="005B75D5"/>
    <w:rsid w:val="005B76E3"/>
    <w:rsid w:val="005C02AD"/>
    <w:rsid w:val="005C424B"/>
    <w:rsid w:val="005C524D"/>
    <w:rsid w:val="005C57F5"/>
    <w:rsid w:val="005C6E89"/>
    <w:rsid w:val="005D3972"/>
    <w:rsid w:val="005D4F33"/>
    <w:rsid w:val="005D5AE6"/>
    <w:rsid w:val="005D6A03"/>
    <w:rsid w:val="005D7442"/>
    <w:rsid w:val="005E112E"/>
    <w:rsid w:val="005E4FCC"/>
    <w:rsid w:val="005E5CBB"/>
    <w:rsid w:val="005F29C1"/>
    <w:rsid w:val="005F32CA"/>
    <w:rsid w:val="005F399A"/>
    <w:rsid w:val="005F5063"/>
    <w:rsid w:val="005F5447"/>
    <w:rsid w:val="005F7144"/>
    <w:rsid w:val="00600423"/>
    <w:rsid w:val="00602708"/>
    <w:rsid w:val="00602D2F"/>
    <w:rsid w:val="0060422C"/>
    <w:rsid w:val="00607E88"/>
    <w:rsid w:val="00610FE8"/>
    <w:rsid w:val="00614D43"/>
    <w:rsid w:val="00616039"/>
    <w:rsid w:val="0061750B"/>
    <w:rsid w:val="00620401"/>
    <w:rsid w:val="00620B62"/>
    <w:rsid w:val="0062283E"/>
    <w:rsid w:val="006234CA"/>
    <w:rsid w:val="00624195"/>
    <w:rsid w:val="00624FC0"/>
    <w:rsid w:val="006250B4"/>
    <w:rsid w:val="00625243"/>
    <w:rsid w:val="00625F60"/>
    <w:rsid w:val="00626B74"/>
    <w:rsid w:val="00626D39"/>
    <w:rsid w:val="00627885"/>
    <w:rsid w:val="00627BF3"/>
    <w:rsid w:val="0063080C"/>
    <w:rsid w:val="00630D77"/>
    <w:rsid w:val="00631009"/>
    <w:rsid w:val="006317AD"/>
    <w:rsid w:val="00632688"/>
    <w:rsid w:val="006327A0"/>
    <w:rsid w:val="00632C6E"/>
    <w:rsid w:val="00632D29"/>
    <w:rsid w:val="0063303D"/>
    <w:rsid w:val="0063602F"/>
    <w:rsid w:val="00637E44"/>
    <w:rsid w:val="00642128"/>
    <w:rsid w:val="0064607A"/>
    <w:rsid w:val="006467CF"/>
    <w:rsid w:val="00647751"/>
    <w:rsid w:val="00650E5F"/>
    <w:rsid w:val="00650FCD"/>
    <w:rsid w:val="00651A7C"/>
    <w:rsid w:val="006520EF"/>
    <w:rsid w:val="0065252A"/>
    <w:rsid w:val="00654A74"/>
    <w:rsid w:val="006551A7"/>
    <w:rsid w:val="00655B47"/>
    <w:rsid w:val="00657FB0"/>
    <w:rsid w:val="0066057E"/>
    <w:rsid w:val="00661C6C"/>
    <w:rsid w:val="00663958"/>
    <w:rsid w:val="00663985"/>
    <w:rsid w:val="00664557"/>
    <w:rsid w:val="00664CCA"/>
    <w:rsid w:val="00664CD0"/>
    <w:rsid w:val="00665670"/>
    <w:rsid w:val="00667329"/>
    <w:rsid w:val="0067008C"/>
    <w:rsid w:val="006708B9"/>
    <w:rsid w:val="00671037"/>
    <w:rsid w:val="00671A26"/>
    <w:rsid w:val="00673D6B"/>
    <w:rsid w:val="00673F3D"/>
    <w:rsid w:val="00676665"/>
    <w:rsid w:val="00676E86"/>
    <w:rsid w:val="006779B6"/>
    <w:rsid w:val="00677F09"/>
    <w:rsid w:val="006834A1"/>
    <w:rsid w:val="006846B5"/>
    <w:rsid w:val="00684EB9"/>
    <w:rsid w:val="006862A1"/>
    <w:rsid w:val="00693E15"/>
    <w:rsid w:val="00694E19"/>
    <w:rsid w:val="00696DD5"/>
    <w:rsid w:val="006A0300"/>
    <w:rsid w:val="006A192A"/>
    <w:rsid w:val="006A1CB9"/>
    <w:rsid w:val="006A2B9C"/>
    <w:rsid w:val="006A300A"/>
    <w:rsid w:val="006A32EA"/>
    <w:rsid w:val="006A5134"/>
    <w:rsid w:val="006A6FFB"/>
    <w:rsid w:val="006B254B"/>
    <w:rsid w:val="006B328B"/>
    <w:rsid w:val="006B45F9"/>
    <w:rsid w:val="006B5AB3"/>
    <w:rsid w:val="006B6954"/>
    <w:rsid w:val="006B6C86"/>
    <w:rsid w:val="006C049D"/>
    <w:rsid w:val="006C47E8"/>
    <w:rsid w:val="006C4D81"/>
    <w:rsid w:val="006D0151"/>
    <w:rsid w:val="006D1248"/>
    <w:rsid w:val="006D3B4D"/>
    <w:rsid w:val="006D6838"/>
    <w:rsid w:val="006D770E"/>
    <w:rsid w:val="006D7C64"/>
    <w:rsid w:val="006E109E"/>
    <w:rsid w:val="006E1151"/>
    <w:rsid w:val="006E1E6B"/>
    <w:rsid w:val="006E435B"/>
    <w:rsid w:val="006E5F79"/>
    <w:rsid w:val="006E6841"/>
    <w:rsid w:val="006E6D5D"/>
    <w:rsid w:val="006E766B"/>
    <w:rsid w:val="006F0CFE"/>
    <w:rsid w:val="006F1F77"/>
    <w:rsid w:val="006F3B30"/>
    <w:rsid w:val="006F407F"/>
    <w:rsid w:val="006F48A6"/>
    <w:rsid w:val="006F54BF"/>
    <w:rsid w:val="006F5DE3"/>
    <w:rsid w:val="006F6FFC"/>
    <w:rsid w:val="0070129F"/>
    <w:rsid w:val="0070299F"/>
    <w:rsid w:val="007053BB"/>
    <w:rsid w:val="00705B50"/>
    <w:rsid w:val="0070648B"/>
    <w:rsid w:val="00710A55"/>
    <w:rsid w:val="007120E4"/>
    <w:rsid w:val="00714426"/>
    <w:rsid w:val="0071534B"/>
    <w:rsid w:val="007159BE"/>
    <w:rsid w:val="0071684D"/>
    <w:rsid w:val="00720E4C"/>
    <w:rsid w:val="00721428"/>
    <w:rsid w:val="00721AAF"/>
    <w:rsid w:val="007236A4"/>
    <w:rsid w:val="00723A32"/>
    <w:rsid w:val="00725347"/>
    <w:rsid w:val="00725FAB"/>
    <w:rsid w:val="00726878"/>
    <w:rsid w:val="0073086B"/>
    <w:rsid w:val="00732D50"/>
    <w:rsid w:val="00734C3C"/>
    <w:rsid w:val="00734C85"/>
    <w:rsid w:val="0073530C"/>
    <w:rsid w:val="0073534B"/>
    <w:rsid w:val="00737D59"/>
    <w:rsid w:val="00741917"/>
    <w:rsid w:val="00744BB5"/>
    <w:rsid w:val="0074502A"/>
    <w:rsid w:val="00747615"/>
    <w:rsid w:val="007517DD"/>
    <w:rsid w:val="0075324E"/>
    <w:rsid w:val="00753B1B"/>
    <w:rsid w:val="0075502B"/>
    <w:rsid w:val="00755061"/>
    <w:rsid w:val="00757781"/>
    <w:rsid w:val="0076132E"/>
    <w:rsid w:val="007614B7"/>
    <w:rsid w:val="00763DC8"/>
    <w:rsid w:val="00764142"/>
    <w:rsid w:val="007668E4"/>
    <w:rsid w:val="007705F5"/>
    <w:rsid w:val="00773522"/>
    <w:rsid w:val="00774B52"/>
    <w:rsid w:val="00774F52"/>
    <w:rsid w:val="0077511F"/>
    <w:rsid w:val="007765C0"/>
    <w:rsid w:val="00776FB8"/>
    <w:rsid w:val="00777549"/>
    <w:rsid w:val="00777607"/>
    <w:rsid w:val="00777B78"/>
    <w:rsid w:val="00777F07"/>
    <w:rsid w:val="00780368"/>
    <w:rsid w:val="0078345B"/>
    <w:rsid w:val="00784F3C"/>
    <w:rsid w:val="007862BB"/>
    <w:rsid w:val="007867C8"/>
    <w:rsid w:val="00790647"/>
    <w:rsid w:val="00790DE7"/>
    <w:rsid w:val="007913AB"/>
    <w:rsid w:val="00791B35"/>
    <w:rsid w:val="007922C9"/>
    <w:rsid w:val="00792D0B"/>
    <w:rsid w:val="0079358A"/>
    <w:rsid w:val="00794E08"/>
    <w:rsid w:val="00796155"/>
    <w:rsid w:val="00796BA7"/>
    <w:rsid w:val="00796CEE"/>
    <w:rsid w:val="007A0993"/>
    <w:rsid w:val="007A1D18"/>
    <w:rsid w:val="007A23DA"/>
    <w:rsid w:val="007A3C9E"/>
    <w:rsid w:val="007A52DC"/>
    <w:rsid w:val="007A5633"/>
    <w:rsid w:val="007A66A6"/>
    <w:rsid w:val="007B0E35"/>
    <w:rsid w:val="007B6AB8"/>
    <w:rsid w:val="007C10E4"/>
    <w:rsid w:val="007C10E7"/>
    <w:rsid w:val="007D2705"/>
    <w:rsid w:val="007D309D"/>
    <w:rsid w:val="007D5BBF"/>
    <w:rsid w:val="007D6564"/>
    <w:rsid w:val="007D7101"/>
    <w:rsid w:val="007E634A"/>
    <w:rsid w:val="007E6DFF"/>
    <w:rsid w:val="007E70E7"/>
    <w:rsid w:val="007F18A8"/>
    <w:rsid w:val="007F4E57"/>
    <w:rsid w:val="007F52C6"/>
    <w:rsid w:val="007F6EF2"/>
    <w:rsid w:val="008016F4"/>
    <w:rsid w:val="00801B41"/>
    <w:rsid w:val="0080294B"/>
    <w:rsid w:val="00806AD0"/>
    <w:rsid w:val="00807760"/>
    <w:rsid w:val="0080781D"/>
    <w:rsid w:val="00807B5F"/>
    <w:rsid w:val="008109BD"/>
    <w:rsid w:val="00810CA1"/>
    <w:rsid w:val="008112C0"/>
    <w:rsid w:val="00811D58"/>
    <w:rsid w:val="00812258"/>
    <w:rsid w:val="008132AC"/>
    <w:rsid w:val="00813AE3"/>
    <w:rsid w:val="00814776"/>
    <w:rsid w:val="00815316"/>
    <w:rsid w:val="008205B8"/>
    <w:rsid w:val="0082117A"/>
    <w:rsid w:val="008224CC"/>
    <w:rsid w:val="00822F24"/>
    <w:rsid w:val="00824464"/>
    <w:rsid w:val="00824B8E"/>
    <w:rsid w:val="008253EB"/>
    <w:rsid w:val="00826034"/>
    <w:rsid w:val="008263F8"/>
    <w:rsid w:val="0082704F"/>
    <w:rsid w:val="00827D1F"/>
    <w:rsid w:val="00831F14"/>
    <w:rsid w:val="00832170"/>
    <w:rsid w:val="00832450"/>
    <w:rsid w:val="008342E4"/>
    <w:rsid w:val="0083560A"/>
    <w:rsid w:val="008359C0"/>
    <w:rsid w:val="00836ADE"/>
    <w:rsid w:val="00837154"/>
    <w:rsid w:val="00837F0A"/>
    <w:rsid w:val="00841CBC"/>
    <w:rsid w:val="00842C5A"/>
    <w:rsid w:val="00843AF7"/>
    <w:rsid w:val="0084676D"/>
    <w:rsid w:val="00851AB2"/>
    <w:rsid w:val="00851F5A"/>
    <w:rsid w:val="00852C76"/>
    <w:rsid w:val="00853596"/>
    <w:rsid w:val="00853EF7"/>
    <w:rsid w:val="00855446"/>
    <w:rsid w:val="008559A3"/>
    <w:rsid w:val="0085650C"/>
    <w:rsid w:val="008576BF"/>
    <w:rsid w:val="008577AF"/>
    <w:rsid w:val="0087329E"/>
    <w:rsid w:val="00873B87"/>
    <w:rsid w:val="00875E18"/>
    <w:rsid w:val="008811F1"/>
    <w:rsid w:val="00882504"/>
    <w:rsid w:val="00883474"/>
    <w:rsid w:val="008860D8"/>
    <w:rsid w:val="008868F9"/>
    <w:rsid w:val="00890919"/>
    <w:rsid w:val="008938D6"/>
    <w:rsid w:val="008978B3"/>
    <w:rsid w:val="00897B4C"/>
    <w:rsid w:val="008A01BF"/>
    <w:rsid w:val="008A02F1"/>
    <w:rsid w:val="008A25C0"/>
    <w:rsid w:val="008A2831"/>
    <w:rsid w:val="008A3F67"/>
    <w:rsid w:val="008A5359"/>
    <w:rsid w:val="008A580A"/>
    <w:rsid w:val="008A5CA9"/>
    <w:rsid w:val="008A635A"/>
    <w:rsid w:val="008B0162"/>
    <w:rsid w:val="008B076C"/>
    <w:rsid w:val="008B0E26"/>
    <w:rsid w:val="008B12C6"/>
    <w:rsid w:val="008B2991"/>
    <w:rsid w:val="008B32BA"/>
    <w:rsid w:val="008B490F"/>
    <w:rsid w:val="008B5814"/>
    <w:rsid w:val="008B5FC6"/>
    <w:rsid w:val="008B65C5"/>
    <w:rsid w:val="008B6C0D"/>
    <w:rsid w:val="008C0B61"/>
    <w:rsid w:val="008C2611"/>
    <w:rsid w:val="008C2755"/>
    <w:rsid w:val="008C2F81"/>
    <w:rsid w:val="008C3193"/>
    <w:rsid w:val="008C3229"/>
    <w:rsid w:val="008C3D7F"/>
    <w:rsid w:val="008C5BB1"/>
    <w:rsid w:val="008C701F"/>
    <w:rsid w:val="008D65D2"/>
    <w:rsid w:val="008E14EA"/>
    <w:rsid w:val="008E2D4A"/>
    <w:rsid w:val="008E3A34"/>
    <w:rsid w:val="008E523D"/>
    <w:rsid w:val="008E776C"/>
    <w:rsid w:val="008F20A8"/>
    <w:rsid w:val="008F61B7"/>
    <w:rsid w:val="008F6FA4"/>
    <w:rsid w:val="008F720F"/>
    <w:rsid w:val="008F72CF"/>
    <w:rsid w:val="009002EF"/>
    <w:rsid w:val="00911BCE"/>
    <w:rsid w:val="00913B78"/>
    <w:rsid w:val="00915F85"/>
    <w:rsid w:val="009167A6"/>
    <w:rsid w:val="009206BE"/>
    <w:rsid w:val="009209A1"/>
    <w:rsid w:val="009210F2"/>
    <w:rsid w:val="00921BC0"/>
    <w:rsid w:val="009222C9"/>
    <w:rsid w:val="00922C5E"/>
    <w:rsid w:val="009246CC"/>
    <w:rsid w:val="00925366"/>
    <w:rsid w:val="00926E1C"/>
    <w:rsid w:val="009319CE"/>
    <w:rsid w:val="00934017"/>
    <w:rsid w:val="0093403E"/>
    <w:rsid w:val="00934067"/>
    <w:rsid w:val="0093480B"/>
    <w:rsid w:val="00935FA3"/>
    <w:rsid w:val="00936442"/>
    <w:rsid w:val="009366CC"/>
    <w:rsid w:val="009377CB"/>
    <w:rsid w:val="00940A35"/>
    <w:rsid w:val="00940BE2"/>
    <w:rsid w:val="00942C5A"/>
    <w:rsid w:val="00944D83"/>
    <w:rsid w:val="00945E38"/>
    <w:rsid w:val="00946DC4"/>
    <w:rsid w:val="00946FA3"/>
    <w:rsid w:val="00947DBD"/>
    <w:rsid w:val="00950379"/>
    <w:rsid w:val="0095267C"/>
    <w:rsid w:val="00952B20"/>
    <w:rsid w:val="00953C04"/>
    <w:rsid w:val="00953DDC"/>
    <w:rsid w:val="009549A8"/>
    <w:rsid w:val="00955B73"/>
    <w:rsid w:val="00955C61"/>
    <w:rsid w:val="009628FC"/>
    <w:rsid w:val="00966550"/>
    <w:rsid w:val="009677BD"/>
    <w:rsid w:val="009703B8"/>
    <w:rsid w:val="00971DE4"/>
    <w:rsid w:val="009722F8"/>
    <w:rsid w:val="00972F04"/>
    <w:rsid w:val="009733B4"/>
    <w:rsid w:val="0097359D"/>
    <w:rsid w:val="00974F6F"/>
    <w:rsid w:val="0097517F"/>
    <w:rsid w:val="0097732C"/>
    <w:rsid w:val="0098107D"/>
    <w:rsid w:val="00982F65"/>
    <w:rsid w:val="00983C76"/>
    <w:rsid w:val="009849E0"/>
    <w:rsid w:val="00986CF4"/>
    <w:rsid w:val="00990326"/>
    <w:rsid w:val="00992970"/>
    <w:rsid w:val="00993E00"/>
    <w:rsid w:val="00994705"/>
    <w:rsid w:val="0099592B"/>
    <w:rsid w:val="0099768F"/>
    <w:rsid w:val="009A141E"/>
    <w:rsid w:val="009A14F3"/>
    <w:rsid w:val="009A18DE"/>
    <w:rsid w:val="009A19F7"/>
    <w:rsid w:val="009A2392"/>
    <w:rsid w:val="009A283C"/>
    <w:rsid w:val="009A5303"/>
    <w:rsid w:val="009A5FD4"/>
    <w:rsid w:val="009A61C9"/>
    <w:rsid w:val="009A7C59"/>
    <w:rsid w:val="009A7D81"/>
    <w:rsid w:val="009B140B"/>
    <w:rsid w:val="009B1CCF"/>
    <w:rsid w:val="009B29E4"/>
    <w:rsid w:val="009B3743"/>
    <w:rsid w:val="009C4488"/>
    <w:rsid w:val="009C5B1C"/>
    <w:rsid w:val="009C5D7D"/>
    <w:rsid w:val="009C62DB"/>
    <w:rsid w:val="009C6573"/>
    <w:rsid w:val="009C6D15"/>
    <w:rsid w:val="009C74AE"/>
    <w:rsid w:val="009D0038"/>
    <w:rsid w:val="009D034A"/>
    <w:rsid w:val="009D3D1D"/>
    <w:rsid w:val="009D4B26"/>
    <w:rsid w:val="009D5651"/>
    <w:rsid w:val="009D5A5D"/>
    <w:rsid w:val="009D7FB9"/>
    <w:rsid w:val="009E18A9"/>
    <w:rsid w:val="009E20FD"/>
    <w:rsid w:val="009E2693"/>
    <w:rsid w:val="009E4E2D"/>
    <w:rsid w:val="009E5BAF"/>
    <w:rsid w:val="009E77F6"/>
    <w:rsid w:val="009F1186"/>
    <w:rsid w:val="009F1C23"/>
    <w:rsid w:val="009F1E61"/>
    <w:rsid w:val="009F245D"/>
    <w:rsid w:val="009F3C4C"/>
    <w:rsid w:val="009F3E17"/>
    <w:rsid w:val="009F61A6"/>
    <w:rsid w:val="009F6C45"/>
    <w:rsid w:val="009F7491"/>
    <w:rsid w:val="00A0041C"/>
    <w:rsid w:val="00A01277"/>
    <w:rsid w:val="00A01E3F"/>
    <w:rsid w:val="00A01EC4"/>
    <w:rsid w:val="00A028A5"/>
    <w:rsid w:val="00A033D4"/>
    <w:rsid w:val="00A04E72"/>
    <w:rsid w:val="00A06E20"/>
    <w:rsid w:val="00A13537"/>
    <w:rsid w:val="00A1433B"/>
    <w:rsid w:val="00A14496"/>
    <w:rsid w:val="00A15DEF"/>
    <w:rsid w:val="00A1670C"/>
    <w:rsid w:val="00A16C03"/>
    <w:rsid w:val="00A17641"/>
    <w:rsid w:val="00A201A8"/>
    <w:rsid w:val="00A24387"/>
    <w:rsid w:val="00A279AA"/>
    <w:rsid w:val="00A30093"/>
    <w:rsid w:val="00A30290"/>
    <w:rsid w:val="00A33F3D"/>
    <w:rsid w:val="00A3601A"/>
    <w:rsid w:val="00A409A5"/>
    <w:rsid w:val="00A43FF5"/>
    <w:rsid w:val="00A44F87"/>
    <w:rsid w:val="00A45C0D"/>
    <w:rsid w:val="00A508BA"/>
    <w:rsid w:val="00A54EC6"/>
    <w:rsid w:val="00A60019"/>
    <w:rsid w:val="00A63DA8"/>
    <w:rsid w:val="00A63E5F"/>
    <w:rsid w:val="00A649D0"/>
    <w:rsid w:val="00A64A44"/>
    <w:rsid w:val="00A65233"/>
    <w:rsid w:val="00A70437"/>
    <w:rsid w:val="00A705B6"/>
    <w:rsid w:val="00A705CA"/>
    <w:rsid w:val="00A71AE2"/>
    <w:rsid w:val="00A73F14"/>
    <w:rsid w:val="00A75028"/>
    <w:rsid w:val="00A80307"/>
    <w:rsid w:val="00A80311"/>
    <w:rsid w:val="00A82D30"/>
    <w:rsid w:val="00A845D4"/>
    <w:rsid w:val="00A87B59"/>
    <w:rsid w:val="00A91A46"/>
    <w:rsid w:val="00A9335D"/>
    <w:rsid w:val="00A94C34"/>
    <w:rsid w:val="00A95323"/>
    <w:rsid w:val="00A9612A"/>
    <w:rsid w:val="00AA051B"/>
    <w:rsid w:val="00AA156F"/>
    <w:rsid w:val="00AA19F4"/>
    <w:rsid w:val="00AA2F8B"/>
    <w:rsid w:val="00AA51ED"/>
    <w:rsid w:val="00AA5668"/>
    <w:rsid w:val="00AA5C74"/>
    <w:rsid w:val="00AA5F9E"/>
    <w:rsid w:val="00AA6075"/>
    <w:rsid w:val="00AA6A22"/>
    <w:rsid w:val="00AA6EAC"/>
    <w:rsid w:val="00AA6EF3"/>
    <w:rsid w:val="00AA75F6"/>
    <w:rsid w:val="00AA7E66"/>
    <w:rsid w:val="00AB08BD"/>
    <w:rsid w:val="00AB0EAA"/>
    <w:rsid w:val="00AB279E"/>
    <w:rsid w:val="00AB38AD"/>
    <w:rsid w:val="00AB3C73"/>
    <w:rsid w:val="00AB494C"/>
    <w:rsid w:val="00AC012B"/>
    <w:rsid w:val="00AC0A1B"/>
    <w:rsid w:val="00AC342B"/>
    <w:rsid w:val="00AC4C1D"/>
    <w:rsid w:val="00AD0EBF"/>
    <w:rsid w:val="00AD103F"/>
    <w:rsid w:val="00AD1DDF"/>
    <w:rsid w:val="00AD2CB2"/>
    <w:rsid w:val="00AD2D44"/>
    <w:rsid w:val="00AD318C"/>
    <w:rsid w:val="00AD3423"/>
    <w:rsid w:val="00AD5FD5"/>
    <w:rsid w:val="00AD7582"/>
    <w:rsid w:val="00AE0110"/>
    <w:rsid w:val="00AE0372"/>
    <w:rsid w:val="00AE404A"/>
    <w:rsid w:val="00AE690A"/>
    <w:rsid w:val="00AE6A86"/>
    <w:rsid w:val="00AE6DB4"/>
    <w:rsid w:val="00AE7495"/>
    <w:rsid w:val="00AF3E85"/>
    <w:rsid w:val="00AF4FE1"/>
    <w:rsid w:val="00AF6BFA"/>
    <w:rsid w:val="00B00A2F"/>
    <w:rsid w:val="00B00CEA"/>
    <w:rsid w:val="00B01B07"/>
    <w:rsid w:val="00B02451"/>
    <w:rsid w:val="00B03A5A"/>
    <w:rsid w:val="00B040BB"/>
    <w:rsid w:val="00B05A10"/>
    <w:rsid w:val="00B05FDF"/>
    <w:rsid w:val="00B109AF"/>
    <w:rsid w:val="00B11154"/>
    <w:rsid w:val="00B11575"/>
    <w:rsid w:val="00B11CE8"/>
    <w:rsid w:val="00B11F29"/>
    <w:rsid w:val="00B14781"/>
    <w:rsid w:val="00B15695"/>
    <w:rsid w:val="00B16110"/>
    <w:rsid w:val="00B2207C"/>
    <w:rsid w:val="00B22551"/>
    <w:rsid w:val="00B22617"/>
    <w:rsid w:val="00B22F95"/>
    <w:rsid w:val="00B242F5"/>
    <w:rsid w:val="00B24B62"/>
    <w:rsid w:val="00B24E96"/>
    <w:rsid w:val="00B25465"/>
    <w:rsid w:val="00B2549B"/>
    <w:rsid w:val="00B2630A"/>
    <w:rsid w:val="00B2728F"/>
    <w:rsid w:val="00B33328"/>
    <w:rsid w:val="00B3415D"/>
    <w:rsid w:val="00B343C4"/>
    <w:rsid w:val="00B37347"/>
    <w:rsid w:val="00B40C8F"/>
    <w:rsid w:val="00B40E9D"/>
    <w:rsid w:val="00B41583"/>
    <w:rsid w:val="00B42328"/>
    <w:rsid w:val="00B42FAA"/>
    <w:rsid w:val="00B44BCF"/>
    <w:rsid w:val="00B44E6A"/>
    <w:rsid w:val="00B4504C"/>
    <w:rsid w:val="00B46F98"/>
    <w:rsid w:val="00B4789C"/>
    <w:rsid w:val="00B50909"/>
    <w:rsid w:val="00B51594"/>
    <w:rsid w:val="00B52209"/>
    <w:rsid w:val="00B52949"/>
    <w:rsid w:val="00B52F4E"/>
    <w:rsid w:val="00B5330A"/>
    <w:rsid w:val="00B5347A"/>
    <w:rsid w:val="00B5395A"/>
    <w:rsid w:val="00B577AD"/>
    <w:rsid w:val="00B616AF"/>
    <w:rsid w:val="00B62749"/>
    <w:rsid w:val="00B6279E"/>
    <w:rsid w:val="00B64E81"/>
    <w:rsid w:val="00B65296"/>
    <w:rsid w:val="00B7005B"/>
    <w:rsid w:val="00B70CEF"/>
    <w:rsid w:val="00B71E8F"/>
    <w:rsid w:val="00B71EA8"/>
    <w:rsid w:val="00B72185"/>
    <w:rsid w:val="00B72E3A"/>
    <w:rsid w:val="00B75C07"/>
    <w:rsid w:val="00B77399"/>
    <w:rsid w:val="00B80484"/>
    <w:rsid w:val="00B80C54"/>
    <w:rsid w:val="00B80C64"/>
    <w:rsid w:val="00B81023"/>
    <w:rsid w:val="00B81691"/>
    <w:rsid w:val="00B85590"/>
    <w:rsid w:val="00B87776"/>
    <w:rsid w:val="00B87F79"/>
    <w:rsid w:val="00B90631"/>
    <w:rsid w:val="00B90C2D"/>
    <w:rsid w:val="00B91FD5"/>
    <w:rsid w:val="00B9272C"/>
    <w:rsid w:val="00B92E32"/>
    <w:rsid w:val="00B942E8"/>
    <w:rsid w:val="00B97308"/>
    <w:rsid w:val="00B978CD"/>
    <w:rsid w:val="00B97E49"/>
    <w:rsid w:val="00BA35DE"/>
    <w:rsid w:val="00BA4FDD"/>
    <w:rsid w:val="00BA6ED5"/>
    <w:rsid w:val="00BB1876"/>
    <w:rsid w:val="00BB2E9A"/>
    <w:rsid w:val="00BB4332"/>
    <w:rsid w:val="00BB7C9A"/>
    <w:rsid w:val="00BB7F5C"/>
    <w:rsid w:val="00BC0151"/>
    <w:rsid w:val="00BC07E8"/>
    <w:rsid w:val="00BC1E4A"/>
    <w:rsid w:val="00BC2F47"/>
    <w:rsid w:val="00BC33B5"/>
    <w:rsid w:val="00BC38CF"/>
    <w:rsid w:val="00BC3FB1"/>
    <w:rsid w:val="00BC4287"/>
    <w:rsid w:val="00BC43A9"/>
    <w:rsid w:val="00BC51DE"/>
    <w:rsid w:val="00BC565A"/>
    <w:rsid w:val="00BC577A"/>
    <w:rsid w:val="00BD0C02"/>
    <w:rsid w:val="00BD0E36"/>
    <w:rsid w:val="00BD15E4"/>
    <w:rsid w:val="00BD1956"/>
    <w:rsid w:val="00BD1B4B"/>
    <w:rsid w:val="00BD3E15"/>
    <w:rsid w:val="00BD6124"/>
    <w:rsid w:val="00BE2257"/>
    <w:rsid w:val="00BE2534"/>
    <w:rsid w:val="00BE37B5"/>
    <w:rsid w:val="00BE6DD5"/>
    <w:rsid w:val="00BE7A2D"/>
    <w:rsid w:val="00BF1EFA"/>
    <w:rsid w:val="00BF2431"/>
    <w:rsid w:val="00BF46CD"/>
    <w:rsid w:val="00BF566A"/>
    <w:rsid w:val="00BF58F9"/>
    <w:rsid w:val="00BF5FB7"/>
    <w:rsid w:val="00BF7124"/>
    <w:rsid w:val="00BF751B"/>
    <w:rsid w:val="00C00DA5"/>
    <w:rsid w:val="00C02CF8"/>
    <w:rsid w:val="00C04528"/>
    <w:rsid w:val="00C0509D"/>
    <w:rsid w:val="00C06C63"/>
    <w:rsid w:val="00C07D8C"/>
    <w:rsid w:val="00C104EC"/>
    <w:rsid w:val="00C10ADC"/>
    <w:rsid w:val="00C11B00"/>
    <w:rsid w:val="00C129C1"/>
    <w:rsid w:val="00C13FA2"/>
    <w:rsid w:val="00C15226"/>
    <w:rsid w:val="00C16001"/>
    <w:rsid w:val="00C17C74"/>
    <w:rsid w:val="00C17D25"/>
    <w:rsid w:val="00C217C7"/>
    <w:rsid w:val="00C2217D"/>
    <w:rsid w:val="00C22430"/>
    <w:rsid w:val="00C30253"/>
    <w:rsid w:val="00C306AA"/>
    <w:rsid w:val="00C315A1"/>
    <w:rsid w:val="00C32C95"/>
    <w:rsid w:val="00C335DB"/>
    <w:rsid w:val="00C3423A"/>
    <w:rsid w:val="00C34FDB"/>
    <w:rsid w:val="00C36967"/>
    <w:rsid w:val="00C40809"/>
    <w:rsid w:val="00C40850"/>
    <w:rsid w:val="00C42911"/>
    <w:rsid w:val="00C43F0D"/>
    <w:rsid w:val="00C44561"/>
    <w:rsid w:val="00C4490A"/>
    <w:rsid w:val="00C45134"/>
    <w:rsid w:val="00C46977"/>
    <w:rsid w:val="00C47ED3"/>
    <w:rsid w:val="00C519A1"/>
    <w:rsid w:val="00C519DC"/>
    <w:rsid w:val="00C52BF5"/>
    <w:rsid w:val="00C52DB5"/>
    <w:rsid w:val="00C5385C"/>
    <w:rsid w:val="00C5438E"/>
    <w:rsid w:val="00C545DB"/>
    <w:rsid w:val="00C5616D"/>
    <w:rsid w:val="00C5639A"/>
    <w:rsid w:val="00C57645"/>
    <w:rsid w:val="00C57FF3"/>
    <w:rsid w:val="00C60114"/>
    <w:rsid w:val="00C620B0"/>
    <w:rsid w:val="00C6255A"/>
    <w:rsid w:val="00C62565"/>
    <w:rsid w:val="00C629A6"/>
    <w:rsid w:val="00C63338"/>
    <w:rsid w:val="00C65D46"/>
    <w:rsid w:val="00C714D7"/>
    <w:rsid w:val="00C719DD"/>
    <w:rsid w:val="00C72DBC"/>
    <w:rsid w:val="00C73FF2"/>
    <w:rsid w:val="00C74271"/>
    <w:rsid w:val="00C7591D"/>
    <w:rsid w:val="00C761FF"/>
    <w:rsid w:val="00C76E5F"/>
    <w:rsid w:val="00C801C7"/>
    <w:rsid w:val="00C802E2"/>
    <w:rsid w:val="00C812E1"/>
    <w:rsid w:val="00C82C83"/>
    <w:rsid w:val="00C830C4"/>
    <w:rsid w:val="00C86FF6"/>
    <w:rsid w:val="00C87654"/>
    <w:rsid w:val="00C92C6C"/>
    <w:rsid w:val="00C94370"/>
    <w:rsid w:val="00C94E0B"/>
    <w:rsid w:val="00C96136"/>
    <w:rsid w:val="00C96FE4"/>
    <w:rsid w:val="00C97C17"/>
    <w:rsid w:val="00CA21B3"/>
    <w:rsid w:val="00CA2820"/>
    <w:rsid w:val="00CA405D"/>
    <w:rsid w:val="00CA5821"/>
    <w:rsid w:val="00CA6043"/>
    <w:rsid w:val="00CB0AA5"/>
    <w:rsid w:val="00CB0C68"/>
    <w:rsid w:val="00CB347D"/>
    <w:rsid w:val="00CB3643"/>
    <w:rsid w:val="00CB38D4"/>
    <w:rsid w:val="00CB56FB"/>
    <w:rsid w:val="00CB6022"/>
    <w:rsid w:val="00CB709F"/>
    <w:rsid w:val="00CC1C6A"/>
    <w:rsid w:val="00CC24FD"/>
    <w:rsid w:val="00CC28D7"/>
    <w:rsid w:val="00CC33AF"/>
    <w:rsid w:val="00CC3AF5"/>
    <w:rsid w:val="00CC67B2"/>
    <w:rsid w:val="00CC7AC8"/>
    <w:rsid w:val="00CD1342"/>
    <w:rsid w:val="00CD1BA2"/>
    <w:rsid w:val="00CD4843"/>
    <w:rsid w:val="00CD69E6"/>
    <w:rsid w:val="00CE02AA"/>
    <w:rsid w:val="00CE22ED"/>
    <w:rsid w:val="00CE3BD4"/>
    <w:rsid w:val="00CE6219"/>
    <w:rsid w:val="00CF0902"/>
    <w:rsid w:val="00CF0B75"/>
    <w:rsid w:val="00CF2421"/>
    <w:rsid w:val="00CF4DF9"/>
    <w:rsid w:val="00CF572D"/>
    <w:rsid w:val="00CF5C82"/>
    <w:rsid w:val="00CF622F"/>
    <w:rsid w:val="00CF72A5"/>
    <w:rsid w:val="00D00B7E"/>
    <w:rsid w:val="00D00EAC"/>
    <w:rsid w:val="00D00F09"/>
    <w:rsid w:val="00D01112"/>
    <w:rsid w:val="00D03753"/>
    <w:rsid w:val="00D04C9B"/>
    <w:rsid w:val="00D05A8E"/>
    <w:rsid w:val="00D05F0C"/>
    <w:rsid w:val="00D07582"/>
    <w:rsid w:val="00D10C0B"/>
    <w:rsid w:val="00D12728"/>
    <w:rsid w:val="00D12DD1"/>
    <w:rsid w:val="00D12DFD"/>
    <w:rsid w:val="00D13011"/>
    <w:rsid w:val="00D14BBC"/>
    <w:rsid w:val="00D150CB"/>
    <w:rsid w:val="00D16AD1"/>
    <w:rsid w:val="00D175F4"/>
    <w:rsid w:val="00D20ACC"/>
    <w:rsid w:val="00D2257A"/>
    <w:rsid w:val="00D2348A"/>
    <w:rsid w:val="00D23E7A"/>
    <w:rsid w:val="00D24028"/>
    <w:rsid w:val="00D2644A"/>
    <w:rsid w:val="00D27676"/>
    <w:rsid w:val="00D27C0B"/>
    <w:rsid w:val="00D27CA5"/>
    <w:rsid w:val="00D30DA7"/>
    <w:rsid w:val="00D32C81"/>
    <w:rsid w:val="00D32CF1"/>
    <w:rsid w:val="00D348F6"/>
    <w:rsid w:val="00D3590D"/>
    <w:rsid w:val="00D35921"/>
    <w:rsid w:val="00D35E8C"/>
    <w:rsid w:val="00D365B6"/>
    <w:rsid w:val="00D40091"/>
    <w:rsid w:val="00D417BD"/>
    <w:rsid w:val="00D43EDA"/>
    <w:rsid w:val="00D44B86"/>
    <w:rsid w:val="00D45581"/>
    <w:rsid w:val="00D47DB2"/>
    <w:rsid w:val="00D50E27"/>
    <w:rsid w:val="00D51C57"/>
    <w:rsid w:val="00D51F5F"/>
    <w:rsid w:val="00D55542"/>
    <w:rsid w:val="00D56700"/>
    <w:rsid w:val="00D574AD"/>
    <w:rsid w:val="00D60744"/>
    <w:rsid w:val="00D60747"/>
    <w:rsid w:val="00D611CC"/>
    <w:rsid w:val="00D670F7"/>
    <w:rsid w:val="00D67BCB"/>
    <w:rsid w:val="00D7008C"/>
    <w:rsid w:val="00D70B33"/>
    <w:rsid w:val="00D7131B"/>
    <w:rsid w:val="00D725AF"/>
    <w:rsid w:val="00D74A15"/>
    <w:rsid w:val="00D7571A"/>
    <w:rsid w:val="00D760CC"/>
    <w:rsid w:val="00D76785"/>
    <w:rsid w:val="00D82ED7"/>
    <w:rsid w:val="00D8393B"/>
    <w:rsid w:val="00D90633"/>
    <w:rsid w:val="00D91758"/>
    <w:rsid w:val="00D92794"/>
    <w:rsid w:val="00D93446"/>
    <w:rsid w:val="00D93B07"/>
    <w:rsid w:val="00DA0D3C"/>
    <w:rsid w:val="00DA0DDA"/>
    <w:rsid w:val="00DA0E87"/>
    <w:rsid w:val="00DA243D"/>
    <w:rsid w:val="00DA376A"/>
    <w:rsid w:val="00DA3E99"/>
    <w:rsid w:val="00DA46AF"/>
    <w:rsid w:val="00DB0581"/>
    <w:rsid w:val="00DB146A"/>
    <w:rsid w:val="00DB6939"/>
    <w:rsid w:val="00DB6D28"/>
    <w:rsid w:val="00DB7443"/>
    <w:rsid w:val="00DB7827"/>
    <w:rsid w:val="00DB7E4F"/>
    <w:rsid w:val="00DC099F"/>
    <w:rsid w:val="00DC09C3"/>
    <w:rsid w:val="00DC2468"/>
    <w:rsid w:val="00DC25B7"/>
    <w:rsid w:val="00DC35FD"/>
    <w:rsid w:val="00DC3C61"/>
    <w:rsid w:val="00DC42D0"/>
    <w:rsid w:val="00DC49BB"/>
    <w:rsid w:val="00DC6773"/>
    <w:rsid w:val="00DC6879"/>
    <w:rsid w:val="00DC712B"/>
    <w:rsid w:val="00DD0C9D"/>
    <w:rsid w:val="00DD2D6C"/>
    <w:rsid w:val="00DD2DC4"/>
    <w:rsid w:val="00DD38C7"/>
    <w:rsid w:val="00DE07F7"/>
    <w:rsid w:val="00DE1163"/>
    <w:rsid w:val="00DE12AB"/>
    <w:rsid w:val="00DE3F3A"/>
    <w:rsid w:val="00DE4A46"/>
    <w:rsid w:val="00DF2A3B"/>
    <w:rsid w:val="00DF313F"/>
    <w:rsid w:val="00DF4D28"/>
    <w:rsid w:val="00DF5DFD"/>
    <w:rsid w:val="00DF5FCE"/>
    <w:rsid w:val="00DF77E9"/>
    <w:rsid w:val="00DF7A04"/>
    <w:rsid w:val="00E00602"/>
    <w:rsid w:val="00E01228"/>
    <w:rsid w:val="00E01EC4"/>
    <w:rsid w:val="00E02263"/>
    <w:rsid w:val="00E025C3"/>
    <w:rsid w:val="00E026CB"/>
    <w:rsid w:val="00E0388F"/>
    <w:rsid w:val="00E03FFB"/>
    <w:rsid w:val="00E04BD1"/>
    <w:rsid w:val="00E058CF"/>
    <w:rsid w:val="00E05C80"/>
    <w:rsid w:val="00E05E8F"/>
    <w:rsid w:val="00E11124"/>
    <w:rsid w:val="00E12E33"/>
    <w:rsid w:val="00E15F7F"/>
    <w:rsid w:val="00E204D9"/>
    <w:rsid w:val="00E22548"/>
    <w:rsid w:val="00E22B59"/>
    <w:rsid w:val="00E22EA6"/>
    <w:rsid w:val="00E23B48"/>
    <w:rsid w:val="00E2533A"/>
    <w:rsid w:val="00E26300"/>
    <w:rsid w:val="00E26FD6"/>
    <w:rsid w:val="00E27344"/>
    <w:rsid w:val="00E2768C"/>
    <w:rsid w:val="00E308C7"/>
    <w:rsid w:val="00E31EAB"/>
    <w:rsid w:val="00E31FAD"/>
    <w:rsid w:val="00E3232F"/>
    <w:rsid w:val="00E326AA"/>
    <w:rsid w:val="00E334CF"/>
    <w:rsid w:val="00E33EC8"/>
    <w:rsid w:val="00E357E0"/>
    <w:rsid w:val="00E35AF9"/>
    <w:rsid w:val="00E3637F"/>
    <w:rsid w:val="00E377DB"/>
    <w:rsid w:val="00E37A5F"/>
    <w:rsid w:val="00E37E6E"/>
    <w:rsid w:val="00E41636"/>
    <w:rsid w:val="00E41B11"/>
    <w:rsid w:val="00E4533B"/>
    <w:rsid w:val="00E46690"/>
    <w:rsid w:val="00E466DE"/>
    <w:rsid w:val="00E545F4"/>
    <w:rsid w:val="00E5633C"/>
    <w:rsid w:val="00E57971"/>
    <w:rsid w:val="00E6137F"/>
    <w:rsid w:val="00E62757"/>
    <w:rsid w:val="00E638B8"/>
    <w:rsid w:val="00E63AD8"/>
    <w:rsid w:val="00E63FE6"/>
    <w:rsid w:val="00E6409A"/>
    <w:rsid w:val="00E673A0"/>
    <w:rsid w:val="00E7058B"/>
    <w:rsid w:val="00E7072F"/>
    <w:rsid w:val="00E710EA"/>
    <w:rsid w:val="00E71243"/>
    <w:rsid w:val="00E72691"/>
    <w:rsid w:val="00E72B69"/>
    <w:rsid w:val="00E74DDD"/>
    <w:rsid w:val="00E74F1F"/>
    <w:rsid w:val="00E76126"/>
    <w:rsid w:val="00E76188"/>
    <w:rsid w:val="00E81800"/>
    <w:rsid w:val="00E85724"/>
    <w:rsid w:val="00E85829"/>
    <w:rsid w:val="00E85E32"/>
    <w:rsid w:val="00E86CB2"/>
    <w:rsid w:val="00E87E24"/>
    <w:rsid w:val="00E9067E"/>
    <w:rsid w:val="00E90C23"/>
    <w:rsid w:val="00E913BB"/>
    <w:rsid w:val="00E93239"/>
    <w:rsid w:val="00E93DF4"/>
    <w:rsid w:val="00E9499B"/>
    <w:rsid w:val="00E96223"/>
    <w:rsid w:val="00E975C0"/>
    <w:rsid w:val="00EA03E3"/>
    <w:rsid w:val="00EA122A"/>
    <w:rsid w:val="00EA1BC3"/>
    <w:rsid w:val="00EA2C71"/>
    <w:rsid w:val="00EA42A7"/>
    <w:rsid w:val="00EA495E"/>
    <w:rsid w:val="00EB15EC"/>
    <w:rsid w:val="00EB1EB4"/>
    <w:rsid w:val="00EB39EC"/>
    <w:rsid w:val="00EB3BF5"/>
    <w:rsid w:val="00EB6059"/>
    <w:rsid w:val="00EB6CA3"/>
    <w:rsid w:val="00EC034F"/>
    <w:rsid w:val="00EC1002"/>
    <w:rsid w:val="00EC12B2"/>
    <w:rsid w:val="00EC2186"/>
    <w:rsid w:val="00EC2B06"/>
    <w:rsid w:val="00EC5BA9"/>
    <w:rsid w:val="00EC601F"/>
    <w:rsid w:val="00EC6688"/>
    <w:rsid w:val="00EC7900"/>
    <w:rsid w:val="00ED085D"/>
    <w:rsid w:val="00ED0D30"/>
    <w:rsid w:val="00ED1845"/>
    <w:rsid w:val="00ED1A02"/>
    <w:rsid w:val="00ED1CC0"/>
    <w:rsid w:val="00ED30D9"/>
    <w:rsid w:val="00ED39C6"/>
    <w:rsid w:val="00ED3F5C"/>
    <w:rsid w:val="00EE1032"/>
    <w:rsid w:val="00EE1A80"/>
    <w:rsid w:val="00EE1BC0"/>
    <w:rsid w:val="00EE2A82"/>
    <w:rsid w:val="00EE3140"/>
    <w:rsid w:val="00EE425C"/>
    <w:rsid w:val="00EE79C2"/>
    <w:rsid w:val="00EF31AD"/>
    <w:rsid w:val="00EF4002"/>
    <w:rsid w:val="00EF459F"/>
    <w:rsid w:val="00EF49CD"/>
    <w:rsid w:val="00EF69E2"/>
    <w:rsid w:val="00F0101B"/>
    <w:rsid w:val="00F023A4"/>
    <w:rsid w:val="00F04020"/>
    <w:rsid w:val="00F0454E"/>
    <w:rsid w:val="00F05548"/>
    <w:rsid w:val="00F06ED6"/>
    <w:rsid w:val="00F071C8"/>
    <w:rsid w:val="00F072E3"/>
    <w:rsid w:val="00F13E16"/>
    <w:rsid w:val="00F14ACA"/>
    <w:rsid w:val="00F159A7"/>
    <w:rsid w:val="00F15D04"/>
    <w:rsid w:val="00F16E50"/>
    <w:rsid w:val="00F17C0C"/>
    <w:rsid w:val="00F20800"/>
    <w:rsid w:val="00F20ECA"/>
    <w:rsid w:val="00F2142F"/>
    <w:rsid w:val="00F251C9"/>
    <w:rsid w:val="00F25716"/>
    <w:rsid w:val="00F26FB5"/>
    <w:rsid w:val="00F32B62"/>
    <w:rsid w:val="00F363D7"/>
    <w:rsid w:val="00F36563"/>
    <w:rsid w:val="00F36E78"/>
    <w:rsid w:val="00F377AE"/>
    <w:rsid w:val="00F40485"/>
    <w:rsid w:val="00F413E8"/>
    <w:rsid w:val="00F41441"/>
    <w:rsid w:val="00F41761"/>
    <w:rsid w:val="00F422DA"/>
    <w:rsid w:val="00F42780"/>
    <w:rsid w:val="00F448A9"/>
    <w:rsid w:val="00F44DA6"/>
    <w:rsid w:val="00F4541F"/>
    <w:rsid w:val="00F45B32"/>
    <w:rsid w:val="00F46478"/>
    <w:rsid w:val="00F46C19"/>
    <w:rsid w:val="00F4712E"/>
    <w:rsid w:val="00F507A2"/>
    <w:rsid w:val="00F51277"/>
    <w:rsid w:val="00F5210F"/>
    <w:rsid w:val="00F54122"/>
    <w:rsid w:val="00F54EA6"/>
    <w:rsid w:val="00F553A5"/>
    <w:rsid w:val="00F56E12"/>
    <w:rsid w:val="00F57F5D"/>
    <w:rsid w:val="00F62E9A"/>
    <w:rsid w:val="00F66BDB"/>
    <w:rsid w:val="00F67352"/>
    <w:rsid w:val="00F70BF1"/>
    <w:rsid w:val="00F72141"/>
    <w:rsid w:val="00F72716"/>
    <w:rsid w:val="00F753E3"/>
    <w:rsid w:val="00F7663C"/>
    <w:rsid w:val="00F76B8C"/>
    <w:rsid w:val="00F76D0B"/>
    <w:rsid w:val="00F76D64"/>
    <w:rsid w:val="00F8158C"/>
    <w:rsid w:val="00F835C6"/>
    <w:rsid w:val="00F84D91"/>
    <w:rsid w:val="00F85FBF"/>
    <w:rsid w:val="00F86732"/>
    <w:rsid w:val="00F9094F"/>
    <w:rsid w:val="00F93395"/>
    <w:rsid w:val="00F94840"/>
    <w:rsid w:val="00F96008"/>
    <w:rsid w:val="00F96779"/>
    <w:rsid w:val="00FA0325"/>
    <w:rsid w:val="00FA0862"/>
    <w:rsid w:val="00FA1BF5"/>
    <w:rsid w:val="00FA2830"/>
    <w:rsid w:val="00FA28D1"/>
    <w:rsid w:val="00FA4158"/>
    <w:rsid w:val="00FA4B2D"/>
    <w:rsid w:val="00FA5CE7"/>
    <w:rsid w:val="00FA742A"/>
    <w:rsid w:val="00FB0B6D"/>
    <w:rsid w:val="00FB1F22"/>
    <w:rsid w:val="00FB2A10"/>
    <w:rsid w:val="00FB39DF"/>
    <w:rsid w:val="00FB4F71"/>
    <w:rsid w:val="00FB5111"/>
    <w:rsid w:val="00FB6CC0"/>
    <w:rsid w:val="00FB7403"/>
    <w:rsid w:val="00FB79B3"/>
    <w:rsid w:val="00FB7B07"/>
    <w:rsid w:val="00FC28C1"/>
    <w:rsid w:val="00FC350A"/>
    <w:rsid w:val="00FC4C0B"/>
    <w:rsid w:val="00FC4EC9"/>
    <w:rsid w:val="00FD065A"/>
    <w:rsid w:val="00FD114C"/>
    <w:rsid w:val="00FD24B1"/>
    <w:rsid w:val="00FD30A2"/>
    <w:rsid w:val="00FD4D12"/>
    <w:rsid w:val="00FD4D46"/>
    <w:rsid w:val="00FE36A2"/>
    <w:rsid w:val="00FE4029"/>
    <w:rsid w:val="00FE549A"/>
    <w:rsid w:val="00FE5A75"/>
    <w:rsid w:val="00FE5ED3"/>
    <w:rsid w:val="00FE6A43"/>
    <w:rsid w:val="00FF0B2B"/>
    <w:rsid w:val="00FF3521"/>
    <w:rsid w:val="00FF4423"/>
    <w:rsid w:val="00FF54BC"/>
    <w:rsid w:val="00FF6A67"/>
    <w:rsid w:val="00FF75F8"/>
    <w:rsid w:val="00FF7E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BAB7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unhideWhenUsed/>
    <w:rsid w:val="002D08E6"/>
    <w:rPr>
      <w:sz w:val="16"/>
      <w:szCs w:val="16"/>
    </w:rPr>
  </w:style>
  <w:style w:type="paragraph" w:styleId="CommentText">
    <w:name w:val="annotation text"/>
    <w:aliases w:val="t"/>
    <w:basedOn w:val="Normal"/>
    <w:link w:val="CommentTextChar"/>
    <w:uiPriority w:val="99"/>
    <w:unhideWhenUsed/>
    <w:qFormat/>
    <w:rsid w:val="002D08E6"/>
    <w:rPr>
      <w:sz w:val="20"/>
      <w:szCs w:val="20"/>
    </w:rPr>
  </w:style>
  <w:style w:type="character" w:customStyle="1" w:styleId="CommentTextChar">
    <w:name w:val="Comment Text Char"/>
    <w:aliases w:val="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Table Grid-A,Acumen"/>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6C45"/>
    <w:pPr>
      <w:tabs>
        <w:tab w:val="center" w:pos="4680"/>
        <w:tab w:val="right" w:pos="9360"/>
      </w:tabs>
    </w:pPr>
  </w:style>
  <w:style w:type="character" w:customStyle="1" w:styleId="HeaderChar">
    <w:name w:val="Header Char"/>
    <w:basedOn w:val="DefaultParagraphFont"/>
    <w:link w:val="Header"/>
    <w:uiPriority w:val="99"/>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
    <w:name w:val="Unresolved Mention"/>
    <w:basedOn w:val="DefaultParagraphFont"/>
    <w:uiPriority w:val="99"/>
    <w:semiHidden/>
    <w:unhideWhenUsed/>
    <w:rsid w:val="00AA51E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44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A344D"/>
    <w:pPr>
      <w:keepNext/>
      <w:numPr>
        <w:numId w:val="1"/>
      </w:numPr>
      <w:outlineLvl w:val="0"/>
    </w:pPr>
    <w:rPr>
      <w:u w:val="single"/>
    </w:rPr>
  </w:style>
  <w:style w:type="paragraph" w:styleId="Heading2">
    <w:name w:val="heading 2"/>
    <w:basedOn w:val="Normal"/>
    <w:next w:val="Normal"/>
    <w:link w:val="Heading2Char"/>
    <w:uiPriority w:val="9"/>
    <w:semiHidden/>
    <w:unhideWhenUsed/>
    <w:qFormat/>
    <w:rsid w:val="00AA607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344D"/>
    <w:rPr>
      <w:rFonts w:ascii="Times New Roman" w:eastAsia="Times New Roman" w:hAnsi="Times New Roman" w:cs="Times New Roman"/>
      <w:sz w:val="24"/>
      <w:szCs w:val="24"/>
      <w:u w:val="single"/>
    </w:rPr>
  </w:style>
  <w:style w:type="paragraph" w:styleId="BodyText">
    <w:name w:val="Body Text"/>
    <w:basedOn w:val="Normal"/>
    <w:link w:val="BodyTextChar"/>
    <w:rsid w:val="001A344D"/>
    <w:pPr>
      <w:jc w:val="center"/>
    </w:pPr>
  </w:style>
  <w:style w:type="character" w:customStyle="1" w:styleId="BodyTextChar">
    <w:name w:val="Body Text Char"/>
    <w:basedOn w:val="DefaultParagraphFont"/>
    <w:link w:val="BodyText"/>
    <w:rsid w:val="001A344D"/>
    <w:rPr>
      <w:rFonts w:ascii="Times New Roman" w:eastAsia="Times New Roman" w:hAnsi="Times New Roman" w:cs="Times New Roman"/>
      <w:sz w:val="24"/>
      <w:szCs w:val="24"/>
    </w:rPr>
  </w:style>
  <w:style w:type="character" w:styleId="Hyperlink">
    <w:name w:val="Hyperlink"/>
    <w:basedOn w:val="DefaultParagraphFont"/>
    <w:rsid w:val="001A344D"/>
    <w:rPr>
      <w:color w:val="0000FF"/>
      <w:u w:val="single"/>
    </w:rPr>
  </w:style>
  <w:style w:type="paragraph" w:styleId="ListParagraph">
    <w:name w:val="List Paragraph"/>
    <w:basedOn w:val="Normal"/>
    <w:uiPriority w:val="34"/>
    <w:qFormat/>
    <w:rsid w:val="001A344D"/>
    <w:pPr>
      <w:ind w:left="720"/>
      <w:contextualSpacing/>
    </w:pPr>
  </w:style>
  <w:style w:type="paragraph" w:styleId="PlainText">
    <w:name w:val="Plain Text"/>
    <w:basedOn w:val="Normal"/>
    <w:link w:val="PlainTextChar"/>
    <w:uiPriority w:val="99"/>
    <w:unhideWhenUsed/>
    <w:rsid w:val="001A344D"/>
    <w:rPr>
      <w:rFonts w:ascii="Arial" w:eastAsia="Calibri" w:hAnsi="Arial"/>
      <w:sz w:val="22"/>
      <w:szCs w:val="21"/>
    </w:rPr>
  </w:style>
  <w:style w:type="character" w:customStyle="1" w:styleId="PlainTextChar">
    <w:name w:val="Plain Text Char"/>
    <w:basedOn w:val="DefaultParagraphFont"/>
    <w:link w:val="PlainText"/>
    <w:uiPriority w:val="99"/>
    <w:rsid w:val="001A344D"/>
    <w:rPr>
      <w:rFonts w:ascii="Arial" w:eastAsia="Calibri" w:hAnsi="Arial" w:cs="Times New Roman"/>
      <w:szCs w:val="21"/>
    </w:rPr>
  </w:style>
  <w:style w:type="paragraph" w:customStyle="1" w:styleId="Pa21">
    <w:name w:val="Pa21"/>
    <w:basedOn w:val="Normal"/>
    <w:next w:val="Normal"/>
    <w:uiPriority w:val="99"/>
    <w:rsid w:val="001A344D"/>
    <w:pPr>
      <w:autoSpaceDE w:val="0"/>
      <w:autoSpaceDN w:val="0"/>
      <w:adjustRightInd w:val="0"/>
      <w:spacing w:line="171" w:lineRule="atLeast"/>
    </w:pPr>
    <w:rPr>
      <w:rFonts w:ascii="Gotham Book" w:hAnsi="Gotham Book"/>
    </w:rPr>
  </w:style>
  <w:style w:type="paragraph" w:customStyle="1" w:styleId="SCBodyText">
    <w:name w:val="SC Body Text"/>
    <w:basedOn w:val="Normal"/>
    <w:qFormat/>
    <w:rsid w:val="00F8158C"/>
    <w:pPr>
      <w:spacing w:before="80" w:after="80"/>
    </w:pPr>
    <w:rPr>
      <w:rFonts w:ascii="Arial" w:eastAsia="Calibri" w:hAnsi="Arial" w:cs="Arial"/>
      <w:szCs w:val="22"/>
    </w:rPr>
  </w:style>
  <w:style w:type="character" w:styleId="CommentReference">
    <w:name w:val="annotation reference"/>
    <w:basedOn w:val="DefaultParagraphFont"/>
    <w:uiPriority w:val="99"/>
    <w:unhideWhenUsed/>
    <w:rsid w:val="002D08E6"/>
    <w:rPr>
      <w:sz w:val="16"/>
      <w:szCs w:val="16"/>
    </w:rPr>
  </w:style>
  <w:style w:type="paragraph" w:styleId="CommentText">
    <w:name w:val="annotation text"/>
    <w:aliases w:val="t"/>
    <w:basedOn w:val="Normal"/>
    <w:link w:val="CommentTextChar"/>
    <w:uiPriority w:val="99"/>
    <w:unhideWhenUsed/>
    <w:qFormat/>
    <w:rsid w:val="002D08E6"/>
    <w:rPr>
      <w:sz w:val="20"/>
      <w:szCs w:val="20"/>
    </w:rPr>
  </w:style>
  <w:style w:type="character" w:customStyle="1" w:styleId="CommentTextChar">
    <w:name w:val="Comment Text Char"/>
    <w:aliases w:val="t Char"/>
    <w:basedOn w:val="DefaultParagraphFont"/>
    <w:link w:val="CommentText"/>
    <w:uiPriority w:val="99"/>
    <w:rsid w:val="002D08E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D08E6"/>
    <w:rPr>
      <w:b/>
      <w:bCs/>
    </w:rPr>
  </w:style>
  <w:style w:type="character" w:customStyle="1" w:styleId="CommentSubjectChar">
    <w:name w:val="Comment Subject Char"/>
    <w:basedOn w:val="CommentTextChar"/>
    <w:link w:val="CommentSubject"/>
    <w:uiPriority w:val="99"/>
    <w:semiHidden/>
    <w:rsid w:val="002D08E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D08E6"/>
    <w:rPr>
      <w:rFonts w:ascii="Tahoma" w:hAnsi="Tahoma" w:cs="Tahoma"/>
      <w:sz w:val="16"/>
      <w:szCs w:val="16"/>
    </w:rPr>
  </w:style>
  <w:style w:type="character" w:customStyle="1" w:styleId="BalloonTextChar">
    <w:name w:val="Balloon Text Char"/>
    <w:basedOn w:val="DefaultParagraphFont"/>
    <w:link w:val="BalloonText"/>
    <w:uiPriority w:val="99"/>
    <w:semiHidden/>
    <w:rsid w:val="002D08E6"/>
    <w:rPr>
      <w:rFonts w:ascii="Tahoma" w:eastAsia="Times New Roman" w:hAnsi="Tahoma" w:cs="Tahoma"/>
      <w:sz w:val="16"/>
      <w:szCs w:val="16"/>
    </w:rPr>
  </w:style>
  <w:style w:type="paragraph" w:styleId="Revision">
    <w:name w:val="Revision"/>
    <w:hidden/>
    <w:uiPriority w:val="99"/>
    <w:semiHidden/>
    <w:rsid w:val="00512BD2"/>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AA6075"/>
    <w:rPr>
      <w:sz w:val="20"/>
      <w:szCs w:val="20"/>
    </w:rPr>
  </w:style>
  <w:style w:type="character" w:customStyle="1" w:styleId="FootnoteTextChar">
    <w:name w:val="Footnote Text Char"/>
    <w:basedOn w:val="DefaultParagraphFont"/>
    <w:link w:val="FootnoteText"/>
    <w:uiPriority w:val="99"/>
    <w:semiHidden/>
    <w:rsid w:val="00AA607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qFormat/>
    <w:rsid w:val="00AA6075"/>
    <w:rPr>
      <w:vertAlign w:val="superscript"/>
    </w:rPr>
  </w:style>
  <w:style w:type="character" w:customStyle="1" w:styleId="Heading2Char">
    <w:name w:val="Heading 2 Char"/>
    <w:basedOn w:val="DefaultParagraphFont"/>
    <w:link w:val="Heading2"/>
    <w:uiPriority w:val="9"/>
    <w:semiHidden/>
    <w:rsid w:val="00AA6075"/>
    <w:rPr>
      <w:rFonts w:asciiTheme="majorHAnsi" w:eastAsiaTheme="majorEastAsia" w:hAnsiTheme="majorHAnsi" w:cstheme="majorBidi"/>
      <w:b/>
      <w:bCs/>
      <w:color w:val="4F81BD" w:themeColor="accent1"/>
      <w:sz w:val="26"/>
      <w:szCs w:val="26"/>
    </w:rPr>
  </w:style>
  <w:style w:type="paragraph" w:customStyle="1" w:styleId="Default">
    <w:name w:val="Default"/>
    <w:rsid w:val="00E01EC4"/>
    <w:pPr>
      <w:autoSpaceDE w:val="0"/>
      <w:autoSpaceDN w:val="0"/>
      <w:adjustRightInd w:val="0"/>
      <w:spacing w:after="0" w:line="240" w:lineRule="auto"/>
    </w:pPr>
    <w:rPr>
      <w:rFonts w:ascii="ODCFH C+ Helvetica" w:hAnsi="ODCFH C+ Helvetica" w:cs="ODCFH C+ Helvetica"/>
      <w:color w:val="000000"/>
      <w:sz w:val="24"/>
      <w:szCs w:val="24"/>
    </w:rPr>
  </w:style>
  <w:style w:type="table" w:styleId="TableGrid">
    <w:name w:val="Table Grid"/>
    <w:aliases w:val="Table Grid-A,Acumen"/>
    <w:basedOn w:val="TableNormal"/>
    <w:uiPriority w:val="39"/>
    <w:rsid w:val="00C76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6C45"/>
    <w:pPr>
      <w:tabs>
        <w:tab w:val="center" w:pos="4680"/>
        <w:tab w:val="right" w:pos="9360"/>
      </w:tabs>
    </w:pPr>
  </w:style>
  <w:style w:type="character" w:customStyle="1" w:styleId="HeaderChar">
    <w:name w:val="Header Char"/>
    <w:basedOn w:val="DefaultParagraphFont"/>
    <w:link w:val="Header"/>
    <w:uiPriority w:val="99"/>
    <w:rsid w:val="009F6C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F6C45"/>
    <w:pPr>
      <w:tabs>
        <w:tab w:val="center" w:pos="4680"/>
        <w:tab w:val="right" w:pos="9360"/>
      </w:tabs>
    </w:pPr>
  </w:style>
  <w:style w:type="character" w:customStyle="1" w:styleId="FooterChar">
    <w:name w:val="Footer Char"/>
    <w:basedOn w:val="DefaultParagraphFont"/>
    <w:link w:val="Footer"/>
    <w:uiPriority w:val="99"/>
    <w:rsid w:val="009F6C45"/>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F0BA9"/>
    <w:rPr>
      <w:color w:val="800080" w:themeColor="followedHyperlink"/>
      <w:u w:val="single"/>
    </w:rPr>
  </w:style>
  <w:style w:type="character" w:customStyle="1" w:styleId="ptext-25">
    <w:name w:val="ptext-25"/>
    <w:basedOn w:val="DefaultParagraphFont"/>
    <w:rsid w:val="00135BA3"/>
  </w:style>
  <w:style w:type="paragraph" w:styleId="NoSpacing">
    <w:name w:val="No Spacing"/>
    <w:link w:val="NoSpacingChar"/>
    <w:uiPriority w:val="1"/>
    <w:qFormat/>
    <w:rsid w:val="00EC1002"/>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BF751B"/>
    <w:rPr>
      <w:rFonts w:ascii="Times New Roman" w:eastAsia="Times New Roman" w:hAnsi="Times New Roman" w:cs="Times New Roman"/>
      <w:sz w:val="24"/>
      <w:szCs w:val="24"/>
    </w:rPr>
  </w:style>
  <w:style w:type="paragraph" w:styleId="NormalWeb">
    <w:name w:val="Normal (Web)"/>
    <w:basedOn w:val="Normal"/>
    <w:uiPriority w:val="99"/>
    <w:unhideWhenUsed/>
    <w:rsid w:val="00BF751B"/>
    <w:pPr>
      <w:spacing w:before="100" w:beforeAutospacing="1" w:after="100" w:afterAutospacing="1"/>
    </w:pPr>
    <w:rPr>
      <w:lang w:eastAsia="ko-KR"/>
    </w:rPr>
  </w:style>
  <w:style w:type="character" w:customStyle="1" w:styleId="UnresolvedMention">
    <w:name w:val="Unresolved Mention"/>
    <w:basedOn w:val="DefaultParagraphFont"/>
    <w:uiPriority w:val="99"/>
    <w:semiHidden/>
    <w:unhideWhenUsed/>
    <w:rsid w:val="00AA51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0168">
      <w:bodyDiv w:val="1"/>
      <w:marLeft w:val="0"/>
      <w:marRight w:val="0"/>
      <w:marTop w:val="0"/>
      <w:marBottom w:val="0"/>
      <w:divBdr>
        <w:top w:val="none" w:sz="0" w:space="0" w:color="auto"/>
        <w:left w:val="none" w:sz="0" w:space="0" w:color="auto"/>
        <w:bottom w:val="none" w:sz="0" w:space="0" w:color="auto"/>
        <w:right w:val="none" w:sz="0" w:space="0" w:color="auto"/>
      </w:divBdr>
    </w:div>
    <w:div w:id="259530307">
      <w:bodyDiv w:val="1"/>
      <w:marLeft w:val="0"/>
      <w:marRight w:val="0"/>
      <w:marTop w:val="0"/>
      <w:marBottom w:val="0"/>
      <w:divBdr>
        <w:top w:val="none" w:sz="0" w:space="0" w:color="auto"/>
        <w:left w:val="none" w:sz="0" w:space="0" w:color="auto"/>
        <w:bottom w:val="none" w:sz="0" w:space="0" w:color="auto"/>
        <w:right w:val="none" w:sz="0" w:space="0" w:color="auto"/>
      </w:divBdr>
    </w:div>
    <w:div w:id="290599919">
      <w:bodyDiv w:val="1"/>
      <w:marLeft w:val="0"/>
      <w:marRight w:val="0"/>
      <w:marTop w:val="0"/>
      <w:marBottom w:val="0"/>
      <w:divBdr>
        <w:top w:val="none" w:sz="0" w:space="0" w:color="auto"/>
        <w:left w:val="none" w:sz="0" w:space="0" w:color="auto"/>
        <w:bottom w:val="none" w:sz="0" w:space="0" w:color="auto"/>
        <w:right w:val="none" w:sz="0" w:space="0" w:color="auto"/>
      </w:divBdr>
    </w:div>
    <w:div w:id="466050379">
      <w:bodyDiv w:val="1"/>
      <w:marLeft w:val="0"/>
      <w:marRight w:val="0"/>
      <w:marTop w:val="0"/>
      <w:marBottom w:val="0"/>
      <w:divBdr>
        <w:top w:val="none" w:sz="0" w:space="0" w:color="auto"/>
        <w:left w:val="none" w:sz="0" w:space="0" w:color="auto"/>
        <w:bottom w:val="none" w:sz="0" w:space="0" w:color="auto"/>
        <w:right w:val="none" w:sz="0" w:space="0" w:color="auto"/>
      </w:divBdr>
    </w:div>
    <w:div w:id="616252501">
      <w:bodyDiv w:val="1"/>
      <w:marLeft w:val="0"/>
      <w:marRight w:val="0"/>
      <w:marTop w:val="0"/>
      <w:marBottom w:val="0"/>
      <w:divBdr>
        <w:top w:val="none" w:sz="0" w:space="0" w:color="auto"/>
        <w:left w:val="none" w:sz="0" w:space="0" w:color="auto"/>
        <w:bottom w:val="none" w:sz="0" w:space="0" w:color="auto"/>
        <w:right w:val="none" w:sz="0" w:space="0" w:color="auto"/>
      </w:divBdr>
    </w:div>
    <w:div w:id="672103586">
      <w:bodyDiv w:val="1"/>
      <w:marLeft w:val="0"/>
      <w:marRight w:val="0"/>
      <w:marTop w:val="0"/>
      <w:marBottom w:val="0"/>
      <w:divBdr>
        <w:top w:val="none" w:sz="0" w:space="0" w:color="auto"/>
        <w:left w:val="none" w:sz="0" w:space="0" w:color="auto"/>
        <w:bottom w:val="none" w:sz="0" w:space="0" w:color="auto"/>
        <w:right w:val="none" w:sz="0" w:space="0" w:color="auto"/>
      </w:divBdr>
    </w:div>
    <w:div w:id="707951913">
      <w:bodyDiv w:val="1"/>
      <w:marLeft w:val="0"/>
      <w:marRight w:val="0"/>
      <w:marTop w:val="0"/>
      <w:marBottom w:val="0"/>
      <w:divBdr>
        <w:top w:val="none" w:sz="0" w:space="0" w:color="auto"/>
        <w:left w:val="none" w:sz="0" w:space="0" w:color="auto"/>
        <w:bottom w:val="none" w:sz="0" w:space="0" w:color="auto"/>
        <w:right w:val="none" w:sz="0" w:space="0" w:color="auto"/>
      </w:divBdr>
    </w:div>
    <w:div w:id="785538713">
      <w:bodyDiv w:val="1"/>
      <w:marLeft w:val="0"/>
      <w:marRight w:val="0"/>
      <w:marTop w:val="0"/>
      <w:marBottom w:val="0"/>
      <w:divBdr>
        <w:top w:val="none" w:sz="0" w:space="0" w:color="auto"/>
        <w:left w:val="none" w:sz="0" w:space="0" w:color="auto"/>
        <w:bottom w:val="none" w:sz="0" w:space="0" w:color="auto"/>
        <w:right w:val="none" w:sz="0" w:space="0" w:color="auto"/>
      </w:divBdr>
    </w:div>
    <w:div w:id="918756279">
      <w:bodyDiv w:val="1"/>
      <w:marLeft w:val="0"/>
      <w:marRight w:val="0"/>
      <w:marTop w:val="0"/>
      <w:marBottom w:val="0"/>
      <w:divBdr>
        <w:top w:val="none" w:sz="0" w:space="0" w:color="auto"/>
        <w:left w:val="none" w:sz="0" w:space="0" w:color="auto"/>
        <w:bottom w:val="none" w:sz="0" w:space="0" w:color="auto"/>
        <w:right w:val="none" w:sz="0" w:space="0" w:color="auto"/>
      </w:divBdr>
    </w:div>
    <w:div w:id="981890482">
      <w:bodyDiv w:val="1"/>
      <w:marLeft w:val="0"/>
      <w:marRight w:val="0"/>
      <w:marTop w:val="0"/>
      <w:marBottom w:val="0"/>
      <w:divBdr>
        <w:top w:val="none" w:sz="0" w:space="0" w:color="auto"/>
        <w:left w:val="none" w:sz="0" w:space="0" w:color="auto"/>
        <w:bottom w:val="none" w:sz="0" w:space="0" w:color="auto"/>
        <w:right w:val="none" w:sz="0" w:space="0" w:color="auto"/>
      </w:divBdr>
    </w:div>
    <w:div w:id="1068653160">
      <w:bodyDiv w:val="1"/>
      <w:marLeft w:val="0"/>
      <w:marRight w:val="0"/>
      <w:marTop w:val="0"/>
      <w:marBottom w:val="0"/>
      <w:divBdr>
        <w:top w:val="none" w:sz="0" w:space="0" w:color="auto"/>
        <w:left w:val="none" w:sz="0" w:space="0" w:color="auto"/>
        <w:bottom w:val="none" w:sz="0" w:space="0" w:color="auto"/>
        <w:right w:val="none" w:sz="0" w:space="0" w:color="auto"/>
      </w:divBdr>
      <w:divsChild>
        <w:div w:id="1527987796">
          <w:marLeft w:val="0"/>
          <w:marRight w:val="0"/>
          <w:marTop w:val="0"/>
          <w:marBottom w:val="0"/>
          <w:divBdr>
            <w:top w:val="none" w:sz="0" w:space="0" w:color="auto"/>
            <w:left w:val="none" w:sz="0" w:space="0" w:color="auto"/>
            <w:bottom w:val="none" w:sz="0" w:space="0" w:color="auto"/>
            <w:right w:val="none" w:sz="0" w:space="0" w:color="auto"/>
          </w:divBdr>
          <w:divsChild>
            <w:div w:id="1336877544">
              <w:marLeft w:val="0"/>
              <w:marRight w:val="0"/>
              <w:marTop w:val="0"/>
              <w:marBottom w:val="0"/>
              <w:divBdr>
                <w:top w:val="none" w:sz="0" w:space="0" w:color="auto"/>
                <w:left w:val="single" w:sz="6" w:space="0" w:color="E2E2E2"/>
                <w:bottom w:val="none" w:sz="0" w:space="0" w:color="auto"/>
                <w:right w:val="single" w:sz="6" w:space="0" w:color="E2E2E2"/>
              </w:divBdr>
              <w:divsChild>
                <w:div w:id="686635461">
                  <w:marLeft w:val="0"/>
                  <w:marRight w:val="0"/>
                  <w:marTop w:val="0"/>
                  <w:marBottom w:val="0"/>
                  <w:divBdr>
                    <w:top w:val="none" w:sz="0" w:space="0" w:color="auto"/>
                    <w:left w:val="none" w:sz="0" w:space="0" w:color="auto"/>
                    <w:bottom w:val="none" w:sz="0" w:space="0" w:color="auto"/>
                    <w:right w:val="none" w:sz="0" w:space="0" w:color="auto"/>
                  </w:divBdr>
                  <w:divsChild>
                    <w:div w:id="42823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587842">
      <w:bodyDiv w:val="1"/>
      <w:marLeft w:val="0"/>
      <w:marRight w:val="0"/>
      <w:marTop w:val="0"/>
      <w:marBottom w:val="0"/>
      <w:divBdr>
        <w:top w:val="none" w:sz="0" w:space="0" w:color="auto"/>
        <w:left w:val="none" w:sz="0" w:space="0" w:color="auto"/>
        <w:bottom w:val="none" w:sz="0" w:space="0" w:color="auto"/>
        <w:right w:val="none" w:sz="0" w:space="0" w:color="auto"/>
      </w:divBdr>
    </w:div>
    <w:div w:id="1147549645">
      <w:bodyDiv w:val="1"/>
      <w:marLeft w:val="0"/>
      <w:marRight w:val="0"/>
      <w:marTop w:val="0"/>
      <w:marBottom w:val="0"/>
      <w:divBdr>
        <w:top w:val="none" w:sz="0" w:space="0" w:color="auto"/>
        <w:left w:val="none" w:sz="0" w:space="0" w:color="auto"/>
        <w:bottom w:val="none" w:sz="0" w:space="0" w:color="auto"/>
        <w:right w:val="none" w:sz="0" w:space="0" w:color="auto"/>
      </w:divBdr>
    </w:div>
    <w:div w:id="1230994650">
      <w:bodyDiv w:val="1"/>
      <w:marLeft w:val="0"/>
      <w:marRight w:val="0"/>
      <w:marTop w:val="0"/>
      <w:marBottom w:val="0"/>
      <w:divBdr>
        <w:top w:val="none" w:sz="0" w:space="0" w:color="auto"/>
        <w:left w:val="none" w:sz="0" w:space="0" w:color="auto"/>
        <w:bottom w:val="none" w:sz="0" w:space="0" w:color="auto"/>
        <w:right w:val="none" w:sz="0" w:space="0" w:color="auto"/>
      </w:divBdr>
    </w:div>
    <w:div w:id="1326010301">
      <w:bodyDiv w:val="1"/>
      <w:marLeft w:val="0"/>
      <w:marRight w:val="0"/>
      <w:marTop w:val="0"/>
      <w:marBottom w:val="0"/>
      <w:divBdr>
        <w:top w:val="none" w:sz="0" w:space="0" w:color="auto"/>
        <w:left w:val="none" w:sz="0" w:space="0" w:color="auto"/>
        <w:bottom w:val="none" w:sz="0" w:space="0" w:color="auto"/>
        <w:right w:val="none" w:sz="0" w:space="0" w:color="auto"/>
      </w:divBdr>
    </w:div>
    <w:div w:id="1334185457">
      <w:bodyDiv w:val="1"/>
      <w:marLeft w:val="0"/>
      <w:marRight w:val="0"/>
      <w:marTop w:val="0"/>
      <w:marBottom w:val="0"/>
      <w:divBdr>
        <w:top w:val="none" w:sz="0" w:space="0" w:color="auto"/>
        <w:left w:val="none" w:sz="0" w:space="0" w:color="auto"/>
        <w:bottom w:val="none" w:sz="0" w:space="0" w:color="auto"/>
        <w:right w:val="none" w:sz="0" w:space="0" w:color="auto"/>
      </w:divBdr>
    </w:div>
    <w:div w:id="1399279976">
      <w:bodyDiv w:val="1"/>
      <w:marLeft w:val="432"/>
      <w:marRight w:val="432"/>
      <w:marTop w:val="432"/>
      <w:marBottom w:val="432"/>
      <w:divBdr>
        <w:top w:val="none" w:sz="0" w:space="0" w:color="auto"/>
        <w:left w:val="none" w:sz="0" w:space="0" w:color="auto"/>
        <w:bottom w:val="none" w:sz="0" w:space="0" w:color="auto"/>
        <w:right w:val="none" w:sz="0" w:space="0" w:color="auto"/>
      </w:divBdr>
      <w:divsChild>
        <w:div w:id="1738670649">
          <w:marLeft w:val="0"/>
          <w:marRight w:val="0"/>
          <w:marTop w:val="0"/>
          <w:marBottom w:val="0"/>
          <w:divBdr>
            <w:top w:val="none" w:sz="0" w:space="0" w:color="auto"/>
            <w:left w:val="none" w:sz="0" w:space="0" w:color="auto"/>
            <w:bottom w:val="none" w:sz="0" w:space="0" w:color="auto"/>
            <w:right w:val="none" w:sz="0" w:space="0" w:color="auto"/>
          </w:divBdr>
          <w:divsChild>
            <w:div w:id="1471050292">
              <w:marLeft w:val="0"/>
              <w:marRight w:val="0"/>
              <w:marTop w:val="0"/>
              <w:marBottom w:val="0"/>
              <w:divBdr>
                <w:top w:val="none" w:sz="0" w:space="0" w:color="auto"/>
                <w:left w:val="none" w:sz="0" w:space="0" w:color="auto"/>
                <w:bottom w:val="none" w:sz="0" w:space="0" w:color="auto"/>
                <w:right w:val="none" w:sz="0" w:space="0" w:color="auto"/>
              </w:divBdr>
              <w:divsChild>
                <w:div w:id="938414227">
                  <w:marLeft w:val="0"/>
                  <w:marRight w:val="0"/>
                  <w:marTop w:val="0"/>
                  <w:marBottom w:val="0"/>
                  <w:divBdr>
                    <w:top w:val="none" w:sz="0" w:space="0" w:color="auto"/>
                    <w:left w:val="none" w:sz="0" w:space="0" w:color="auto"/>
                    <w:bottom w:val="none" w:sz="0" w:space="0" w:color="auto"/>
                    <w:right w:val="none" w:sz="0" w:space="0" w:color="auto"/>
                  </w:divBdr>
                  <w:divsChild>
                    <w:div w:id="984554763">
                      <w:marLeft w:val="0"/>
                      <w:marRight w:val="0"/>
                      <w:marTop w:val="0"/>
                      <w:marBottom w:val="0"/>
                      <w:divBdr>
                        <w:top w:val="none" w:sz="0" w:space="0" w:color="auto"/>
                        <w:left w:val="none" w:sz="0" w:space="0" w:color="auto"/>
                        <w:bottom w:val="none" w:sz="0" w:space="0" w:color="auto"/>
                        <w:right w:val="none" w:sz="0" w:space="0" w:color="auto"/>
                      </w:divBdr>
                      <w:divsChild>
                        <w:div w:id="81883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658858">
      <w:bodyDiv w:val="1"/>
      <w:marLeft w:val="0"/>
      <w:marRight w:val="0"/>
      <w:marTop w:val="0"/>
      <w:marBottom w:val="0"/>
      <w:divBdr>
        <w:top w:val="none" w:sz="0" w:space="0" w:color="auto"/>
        <w:left w:val="none" w:sz="0" w:space="0" w:color="auto"/>
        <w:bottom w:val="none" w:sz="0" w:space="0" w:color="auto"/>
        <w:right w:val="none" w:sz="0" w:space="0" w:color="auto"/>
      </w:divBdr>
    </w:div>
    <w:div w:id="1550069441">
      <w:bodyDiv w:val="1"/>
      <w:marLeft w:val="0"/>
      <w:marRight w:val="0"/>
      <w:marTop w:val="0"/>
      <w:marBottom w:val="0"/>
      <w:divBdr>
        <w:top w:val="none" w:sz="0" w:space="0" w:color="auto"/>
        <w:left w:val="none" w:sz="0" w:space="0" w:color="auto"/>
        <w:bottom w:val="none" w:sz="0" w:space="0" w:color="auto"/>
        <w:right w:val="none" w:sz="0" w:space="0" w:color="auto"/>
      </w:divBdr>
    </w:div>
    <w:div w:id="1551845013">
      <w:bodyDiv w:val="1"/>
      <w:marLeft w:val="0"/>
      <w:marRight w:val="0"/>
      <w:marTop w:val="0"/>
      <w:marBottom w:val="0"/>
      <w:divBdr>
        <w:top w:val="none" w:sz="0" w:space="0" w:color="auto"/>
        <w:left w:val="none" w:sz="0" w:space="0" w:color="auto"/>
        <w:bottom w:val="none" w:sz="0" w:space="0" w:color="auto"/>
        <w:right w:val="none" w:sz="0" w:space="0" w:color="auto"/>
      </w:divBdr>
    </w:div>
    <w:div w:id="1577276419">
      <w:bodyDiv w:val="1"/>
      <w:marLeft w:val="0"/>
      <w:marRight w:val="0"/>
      <w:marTop w:val="0"/>
      <w:marBottom w:val="0"/>
      <w:divBdr>
        <w:top w:val="none" w:sz="0" w:space="0" w:color="auto"/>
        <w:left w:val="none" w:sz="0" w:space="0" w:color="auto"/>
        <w:bottom w:val="none" w:sz="0" w:space="0" w:color="auto"/>
        <w:right w:val="none" w:sz="0" w:space="0" w:color="auto"/>
      </w:divBdr>
    </w:div>
    <w:div w:id="1642423709">
      <w:bodyDiv w:val="1"/>
      <w:marLeft w:val="0"/>
      <w:marRight w:val="0"/>
      <w:marTop w:val="0"/>
      <w:marBottom w:val="0"/>
      <w:divBdr>
        <w:top w:val="none" w:sz="0" w:space="0" w:color="auto"/>
        <w:left w:val="none" w:sz="0" w:space="0" w:color="auto"/>
        <w:bottom w:val="none" w:sz="0" w:space="0" w:color="auto"/>
        <w:right w:val="none" w:sz="0" w:space="0" w:color="auto"/>
      </w:divBdr>
    </w:div>
    <w:div w:id="1672754458">
      <w:bodyDiv w:val="1"/>
      <w:marLeft w:val="0"/>
      <w:marRight w:val="0"/>
      <w:marTop w:val="0"/>
      <w:marBottom w:val="0"/>
      <w:divBdr>
        <w:top w:val="none" w:sz="0" w:space="0" w:color="auto"/>
        <w:left w:val="none" w:sz="0" w:space="0" w:color="auto"/>
        <w:bottom w:val="none" w:sz="0" w:space="0" w:color="auto"/>
        <w:right w:val="none" w:sz="0" w:space="0" w:color="auto"/>
      </w:divBdr>
    </w:div>
    <w:div w:id="1759327543">
      <w:bodyDiv w:val="1"/>
      <w:marLeft w:val="0"/>
      <w:marRight w:val="0"/>
      <w:marTop w:val="0"/>
      <w:marBottom w:val="0"/>
      <w:divBdr>
        <w:top w:val="none" w:sz="0" w:space="0" w:color="auto"/>
        <w:left w:val="none" w:sz="0" w:space="0" w:color="auto"/>
        <w:bottom w:val="none" w:sz="0" w:space="0" w:color="auto"/>
        <w:right w:val="none" w:sz="0" w:space="0" w:color="auto"/>
      </w:divBdr>
    </w:div>
    <w:div w:id="1849249006">
      <w:bodyDiv w:val="1"/>
      <w:marLeft w:val="0"/>
      <w:marRight w:val="0"/>
      <w:marTop w:val="0"/>
      <w:marBottom w:val="0"/>
      <w:divBdr>
        <w:top w:val="none" w:sz="0" w:space="0" w:color="auto"/>
        <w:left w:val="none" w:sz="0" w:space="0" w:color="auto"/>
        <w:bottom w:val="none" w:sz="0" w:space="0" w:color="auto"/>
        <w:right w:val="none" w:sz="0" w:space="0" w:color="auto"/>
      </w:divBdr>
    </w:div>
    <w:div w:id="1855608228">
      <w:bodyDiv w:val="1"/>
      <w:marLeft w:val="0"/>
      <w:marRight w:val="0"/>
      <w:marTop w:val="0"/>
      <w:marBottom w:val="0"/>
      <w:divBdr>
        <w:top w:val="none" w:sz="0" w:space="0" w:color="auto"/>
        <w:left w:val="none" w:sz="0" w:space="0" w:color="auto"/>
        <w:bottom w:val="none" w:sz="0" w:space="0" w:color="auto"/>
        <w:right w:val="none" w:sz="0" w:space="0" w:color="auto"/>
      </w:divBdr>
    </w:div>
    <w:div w:id="1933393266">
      <w:bodyDiv w:val="1"/>
      <w:marLeft w:val="0"/>
      <w:marRight w:val="0"/>
      <w:marTop w:val="0"/>
      <w:marBottom w:val="0"/>
      <w:divBdr>
        <w:top w:val="none" w:sz="0" w:space="0" w:color="auto"/>
        <w:left w:val="none" w:sz="0" w:space="0" w:color="auto"/>
        <w:bottom w:val="none" w:sz="0" w:space="0" w:color="auto"/>
        <w:right w:val="none" w:sz="0" w:space="0" w:color="auto"/>
      </w:divBdr>
    </w:div>
    <w:div w:id="1951431203">
      <w:bodyDiv w:val="1"/>
      <w:marLeft w:val="0"/>
      <w:marRight w:val="0"/>
      <w:marTop w:val="0"/>
      <w:marBottom w:val="0"/>
      <w:divBdr>
        <w:top w:val="none" w:sz="0" w:space="0" w:color="auto"/>
        <w:left w:val="none" w:sz="0" w:space="0" w:color="auto"/>
        <w:bottom w:val="none" w:sz="0" w:space="0" w:color="auto"/>
        <w:right w:val="none" w:sz="0" w:space="0" w:color="auto"/>
      </w:divBdr>
    </w:div>
    <w:div w:id="2004815672">
      <w:bodyDiv w:val="1"/>
      <w:marLeft w:val="0"/>
      <w:marRight w:val="0"/>
      <w:marTop w:val="0"/>
      <w:marBottom w:val="0"/>
      <w:divBdr>
        <w:top w:val="none" w:sz="0" w:space="0" w:color="auto"/>
        <w:left w:val="none" w:sz="0" w:space="0" w:color="auto"/>
        <w:bottom w:val="none" w:sz="0" w:space="0" w:color="auto"/>
        <w:right w:val="none" w:sz="0" w:space="0" w:color="auto"/>
      </w:divBdr>
    </w:div>
    <w:div w:id="211478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ata.medicare.gov"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hospitalcompare.hhs.go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qualitynet.org"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ms.gov/Outreach-and-Education/Outreach/Partnerships/PatientsOverPaperwork.html" TargetMode="External"/><Relationship Id="rId2" Type="http://schemas.openxmlformats.org/officeDocument/2006/relationships/hyperlink" Target="https://www.cms.gov/Newsroom/MediaReleaseDatabase/Fact-sheets/2017-Fact-Sheet-items/2017-10-30.html" TargetMode="External"/><Relationship Id="rId1" Type="http://schemas.openxmlformats.org/officeDocument/2006/relationships/hyperlink" Target="https://www.cms.gov/Medicare/Quality-Initiatives-Patient-Assessment-Instruments/QualityInitiativesGenInfo/MMF/General-info-Sub-Page.html" TargetMode="External"/><Relationship Id="rId4" Type="http://schemas.openxmlformats.org/officeDocument/2006/relationships/hyperlink" Target="https://www.bls.gov/oes/2016/may/oes29207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83D6AA4D08C04AB45FF68BE95E349F" ma:contentTypeVersion="0" ma:contentTypeDescription="Create a new document." ma:contentTypeScope="" ma:versionID="c6066c010235ee28d471201e509ab601">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B4F76-33CB-4060-9552-9702B6499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1EA7A1-D47C-415A-B705-36AFAF40C972}">
  <ds:schemaRefs>
    <ds:schemaRef ds:uri="http://schemas.microsoft.com/sharepoint/v3/contenttype/forms"/>
  </ds:schemaRefs>
</ds:datastoreItem>
</file>

<file path=customXml/itemProps3.xml><?xml version="1.0" encoding="utf-8"?>
<ds:datastoreItem xmlns:ds="http://schemas.openxmlformats.org/officeDocument/2006/customXml" ds:itemID="{76E7018F-E888-4DF4-83B3-F8AB49848F7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9A1D8397-45CF-4800-B868-E6A97D7B2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10595</Words>
  <Characters>60394</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2018-12-14T17:36:00Z</dcterms:created>
  <dcterms:modified xsi:type="dcterms:W3CDTF">2018-12-14T17:36:00Z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0x0101003183D6AA4D08C04AB45FF68BE95E349F</vt:lpwstr>
  </property>
  <property fmtid="{D5CDD505-2E9C-101B-9397-08002B2CF9AE}" pid="3" name="_NewReviewCycle">
    <vt:lpwstr/>
  </property>
  <property fmtid="{D5CDD505-2E9C-101B-9397-08002B2CF9AE}" pid="4" name="MITRE Sensitivity">
    <vt:lpwstr/>
  </property>
  <property fmtid="{D5CDD505-2E9C-101B-9397-08002B2CF9AE}" pid="5" name="_Contributor">
    <vt:lpwstr/>
  </property>
  <property fmtid="{D5CDD505-2E9C-101B-9397-08002B2CF9AE}" pid="6" name="Order">
    <vt:r8>130800</vt:r8>
  </property>
  <property fmtid="{D5CDD505-2E9C-101B-9397-08002B2CF9AE}" pid="7" name="URL">
    <vt:lpwstr/>
  </property>
  <property fmtid="{D5CDD505-2E9C-101B-9397-08002B2CF9AE}" pid="8" name="Release Statement">
    <vt:lpwstr/>
  </property>
  <property fmtid="{D5CDD505-2E9C-101B-9397-08002B2CF9AE}" pid="9" name="xd_ProgID">
    <vt:lpwstr/>
  </property>
  <property fmtid="{D5CDD505-2E9C-101B-9397-08002B2CF9AE}" pid="10" name="TemplateUrl">
    <vt:lpwstr/>
  </property>
  <property fmtid="{D5CDD505-2E9C-101B-9397-08002B2CF9AE}" pid="11" name="SharedWithUsers">
    <vt:lpwstr>31;#Dungan, Suzanna K;#49;#Skopac, Jessica S</vt:lpwstr>
  </property>
  <property fmtid="{D5CDD505-2E9C-101B-9397-08002B2CF9AE}" pid="12" name="_AdHocReviewCycleID">
    <vt:i4>-1376765480</vt:i4>
  </property>
  <property fmtid="{D5CDD505-2E9C-101B-9397-08002B2CF9AE}" pid="13" name="_ReviewingToolsShownOnce">
    <vt:lpwstr/>
  </property>
</Properties>
</file>