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074" w:rsidRPr="00192294" w:rsidRDefault="003B07E2" w:rsidP="00CA2074">
      <w:bookmarkStart w:id="0" w:name="_GoBack"/>
      <w:bookmarkEnd w:id="0"/>
      <w:r w:rsidRPr="00192294">
        <w:rPr>
          <w:rFonts w:eastAsia="Calibri"/>
          <w:spacing w:val="-1"/>
        </w:rPr>
        <w:t>T</w:t>
      </w:r>
      <w:r w:rsidRPr="00192294">
        <w:rPr>
          <w:rFonts w:eastAsia="Calibri"/>
        </w:rPr>
        <w:t>o</w:t>
      </w:r>
      <w:r w:rsidRPr="00582C14">
        <w:t xml:space="preserve">:                  </w:t>
      </w:r>
      <w:r w:rsidR="007F7E20">
        <w:t xml:space="preserve"> </w:t>
      </w:r>
      <w:r w:rsidR="00841A47">
        <w:t>Julie Wise, OMB</w:t>
      </w:r>
    </w:p>
    <w:p w:rsidR="00192294" w:rsidRDefault="00192294" w:rsidP="00CA2074"/>
    <w:p w:rsidR="002B628C" w:rsidRDefault="00582C14" w:rsidP="00582C14">
      <w:r>
        <w:t>Through:</w:t>
      </w:r>
      <w:r>
        <w:tab/>
      </w:r>
      <w:r w:rsidR="00177F03">
        <w:t>Mark Snyderman</w:t>
      </w:r>
      <w:r w:rsidR="00841A47">
        <w:t xml:space="preserve">, </w:t>
      </w:r>
    </w:p>
    <w:p w:rsidR="002B628C" w:rsidRDefault="002B628C" w:rsidP="002B628C">
      <w:pPr>
        <w:ind w:left="720" w:firstLine="720"/>
      </w:pPr>
      <w:r>
        <w:t>Deputy Director for Management and Budget, ACL</w:t>
      </w:r>
      <w:r w:rsidR="00F90700">
        <w:t xml:space="preserve"> CMB</w:t>
      </w:r>
    </w:p>
    <w:p w:rsidR="002B628C" w:rsidRDefault="002B628C" w:rsidP="002B628C">
      <w:pPr>
        <w:ind w:left="720" w:firstLine="720"/>
      </w:pPr>
    </w:p>
    <w:p w:rsidR="00342AC7" w:rsidRDefault="00841A47" w:rsidP="00342AC7">
      <w:pPr>
        <w:ind w:left="720" w:firstLine="720"/>
      </w:pPr>
      <w:r>
        <w:t xml:space="preserve">Tomakie Washington, </w:t>
      </w:r>
    </w:p>
    <w:p w:rsidR="00342AC7" w:rsidRDefault="00342AC7" w:rsidP="00342AC7">
      <w:pPr>
        <w:ind w:left="720" w:firstLine="720"/>
        <w:rPr>
          <w:noProof/>
        </w:rPr>
      </w:pPr>
      <w:r>
        <w:rPr>
          <w:noProof/>
        </w:rPr>
        <w:t>Management and Program Analyst, ACL, CMB</w:t>
      </w:r>
    </w:p>
    <w:p w:rsidR="00841A47" w:rsidRPr="00192294" w:rsidRDefault="00177F03" w:rsidP="00192294">
      <w:r>
        <w:tab/>
      </w:r>
      <w:r>
        <w:tab/>
      </w:r>
    </w:p>
    <w:p w:rsidR="00F90700" w:rsidRDefault="003B07E2" w:rsidP="0089332F">
      <w:pPr>
        <w:kinsoku w:val="0"/>
        <w:overflowPunct w:val="0"/>
        <w:autoSpaceDE w:val="0"/>
        <w:autoSpaceDN w:val="0"/>
        <w:adjustRightInd w:val="0"/>
        <w:rPr>
          <w:rFonts w:eastAsia="Calibri"/>
        </w:rPr>
      </w:pPr>
      <w:r w:rsidRPr="003B07E2">
        <w:rPr>
          <w:rFonts w:eastAsia="Calibri"/>
          <w:spacing w:val="-2"/>
        </w:rPr>
        <w:t>F</w:t>
      </w:r>
      <w:r w:rsidRPr="003B07E2">
        <w:rPr>
          <w:rFonts w:eastAsia="Calibri"/>
          <w:spacing w:val="-1"/>
        </w:rPr>
        <w:t>r</w:t>
      </w:r>
      <w:r w:rsidRPr="003B07E2">
        <w:rPr>
          <w:rFonts w:eastAsia="Calibri"/>
        </w:rPr>
        <w:t xml:space="preserve">om:             </w:t>
      </w:r>
      <w:r w:rsidR="00841A47">
        <w:rPr>
          <w:rFonts w:eastAsia="Calibri"/>
        </w:rPr>
        <w:t xml:space="preserve"> Heather Menne, </w:t>
      </w:r>
    </w:p>
    <w:p w:rsidR="003B07E2" w:rsidRPr="003B07E2" w:rsidRDefault="002B628C" w:rsidP="00F90700">
      <w:pPr>
        <w:kinsoku w:val="0"/>
        <w:overflowPunct w:val="0"/>
        <w:autoSpaceDE w:val="0"/>
        <w:autoSpaceDN w:val="0"/>
        <w:adjustRightInd w:val="0"/>
        <w:ind w:left="720" w:firstLine="720"/>
        <w:rPr>
          <w:rFonts w:eastAsia="Calibri"/>
        </w:rPr>
      </w:pPr>
      <w:r w:rsidRPr="00F90700">
        <w:rPr>
          <w:rFonts w:eastAsia="Calibri"/>
        </w:rPr>
        <w:t>Social Science Analyst</w:t>
      </w:r>
      <w:r w:rsidR="00F90700">
        <w:rPr>
          <w:rFonts w:eastAsia="Calibri"/>
        </w:rPr>
        <w:t xml:space="preserve">, </w:t>
      </w:r>
      <w:r w:rsidR="00841A47">
        <w:rPr>
          <w:rFonts w:eastAsia="Calibri"/>
        </w:rPr>
        <w:t xml:space="preserve">ACL, OPE </w:t>
      </w:r>
    </w:p>
    <w:p w:rsidR="003B07E2" w:rsidRPr="003B07E2" w:rsidRDefault="003B07E2" w:rsidP="003B07E2">
      <w:pPr>
        <w:kinsoku w:val="0"/>
        <w:overflowPunct w:val="0"/>
        <w:autoSpaceDE w:val="0"/>
        <w:autoSpaceDN w:val="0"/>
        <w:adjustRightInd w:val="0"/>
        <w:spacing w:before="16" w:line="260" w:lineRule="exact"/>
        <w:rPr>
          <w:rFonts w:eastAsia="Calibri"/>
          <w:sz w:val="26"/>
          <w:szCs w:val="26"/>
        </w:rPr>
      </w:pPr>
    </w:p>
    <w:p w:rsidR="003B07E2" w:rsidRPr="003B07E2" w:rsidRDefault="003B07E2" w:rsidP="003B07E2">
      <w:pPr>
        <w:kinsoku w:val="0"/>
        <w:overflowPunct w:val="0"/>
        <w:autoSpaceDE w:val="0"/>
        <w:autoSpaceDN w:val="0"/>
        <w:adjustRightInd w:val="0"/>
        <w:rPr>
          <w:rFonts w:eastAsia="Calibri"/>
        </w:rPr>
      </w:pPr>
      <w:r w:rsidRPr="003B07E2">
        <w:rPr>
          <w:rFonts w:eastAsia="Calibri"/>
          <w:spacing w:val="-1"/>
        </w:rPr>
        <w:t>Da</w:t>
      </w:r>
      <w:r w:rsidRPr="003B07E2">
        <w:rPr>
          <w:rFonts w:eastAsia="Calibri"/>
        </w:rPr>
        <w:t>t</w:t>
      </w:r>
      <w:r w:rsidRPr="003B07E2">
        <w:rPr>
          <w:rFonts w:eastAsia="Calibri"/>
          <w:spacing w:val="-1"/>
        </w:rPr>
        <w:t>e</w:t>
      </w:r>
      <w:r w:rsidRPr="003B07E2">
        <w:rPr>
          <w:rFonts w:eastAsia="Calibri"/>
        </w:rPr>
        <w:t>:</w:t>
      </w:r>
      <w:r w:rsidR="00D541B3">
        <w:rPr>
          <w:rFonts w:eastAsia="Calibri"/>
        </w:rPr>
        <w:tab/>
      </w:r>
      <w:r w:rsidR="00D541B3">
        <w:rPr>
          <w:rFonts w:eastAsia="Calibri"/>
        </w:rPr>
        <w:tab/>
        <w:t>December 1</w:t>
      </w:r>
      <w:r w:rsidR="00176BB8">
        <w:rPr>
          <w:rFonts w:eastAsia="Calibri"/>
        </w:rPr>
        <w:t>8</w:t>
      </w:r>
      <w:r w:rsidR="00D541B3">
        <w:rPr>
          <w:rFonts w:eastAsia="Calibri"/>
        </w:rPr>
        <w:t>, 2018</w:t>
      </w:r>
      <w:r w:rsidRPr="003B07E2">
        <w:rPr>
          <w:rFonts w:eastAsia="Calibri"/>
        </w:rPr>
        <w:t xml:space="preserve">              </w:t>
      </w:r>
      <w:r w:rsidRPr="003B07E2">
        <w:rPr>
          <w:rFonts w:eastAsia="Calibri"/>
          <w:spacing w:val="22"/>
        </w:rPr>
        <w:t xml:space="preserve"> </w:t>
      </w:r>
    </w:p>
    <w:p w:rsidR="003B07E2" w:rsidRPr="003B07E2" w:rsidRDefault="003B07E2" w:rsidP="003B07E2">
      <w:pPr>
        <w:kinsoku w:val="0"/>
        <w:overflowPunct w:val="0"/>
        <w:autoSpaceDE w:val="0"/>
        <w:autoSpaceDN w:val="0"/>
        <w:adjustRightInd w:val="0"/>
        <w:rPr>
          <w:rFonts w:eastAsia="Calibri"/>
          <w:sz w:val="26"/>
          <w:szCs w:val="26"/>
        </w:rPr>
      </w:pPr>
    </w:p>
    <w:p w:rsidR="003B07E2" w:rsidRDefault="003B07E2" w:rsidP="00841A47">
      <w:pPr>
        <w:kinsoku w:val="0"/>
        <w:overflowPunct w:val="0"/>
        <w:autoSpaceDE w:val="0"/>
        <w:autoSpaceDN w:val="0"/>
        <w:adjustRightInd w:val="0"/>
        <w:ind w:left="1440" w:hanging="1440"/>
        <w:rPr>
          <w:rFonts w:eastAsia="Calibri"/>
          <w:spacing w:val="-1"/>
        </w:rPr>
      </w:pPr>
      <w:r w:rsidRPr="003B07E2">
        <w:rPr>
          <w:rFonts w:eastAsia="Calibri"/>
        </w:rPr>
        <w:t>Subj</w:t>
      </w:r>
      <w:r w:rsidRPr="003B07E2">
        <w:rPr>
          <w:rFonts w:eastAsia="Calibri"/>
          <w:spacing w:val="-1"/>
        </w:rPr>
        <w:t>ec</w:t>
      </w:r>
      <w:r>
        <w:rPr>
          <w:rFonts w:eastAsia="Calibri"/>
        </w:rPr>
        <w:t>t:</w:t>
      </w:r>
      <w:r>
        <w:rPr>
          <w:rFonts w:eastAsia="Calibri"/>
        </w:rPr>
        <w:tab/>
      </w:r>
      <w:r w:rsidR="00841A47" w:rsidRPr="00BD44F8">
        <w:t xml:space="preserve">Non-Substantive Modifications to the Information Collection Tools for the </w:t>
      </w:r>
      <w:r w:rsidR="00841A47" w:rsidRPr="00BD44F8">
        <w:rPr>
          <w:i/>
        </w:rPr>
        <w:t xml:space="preserve">National </w:t>
      </w:r>
      <w:r w:rsidR="00841A47">
        <w:rPr>
          <w:i/>
        </w:rPr>
        <w:t>Longitudinal Survey of Older Americans Act Participants (NSOAAP)</w:t>
      </w:r>
      <w:r w:rsidR="00841A47" w:rsidRPr="00BD44F8">
        <w:t xml:space="preserve"> </w:t>
      </w:r>
    </w:p>
    <w:p w:rsidR="00841A47" w:rsidRDefault="00841A47" w:rsidP="00841A47">
      <w:pPr>
        <w:rPr>
          <w:rFonts w:cstheme="minorHAnsi"/>
        </w:rPr>
      </w:pPr>
    </w:p>
    <w:p w:rsidR="00841A47" w:rsidRPr="006F5DED" w:rsidRDefault="00841A47" w:rsidP="00841A47">
      <w:pPr>
        <w:rPr>
          <w:rFonts w:cstheme="minorHAnsi"/>
        </w:rPr>
      </w:pPr>
      <w:r>
        <w:rPr>
          <w:rFonts w:cstheme="minorHAnsi"/>
        </w:rPr>
        <w:t xml:space="preserve">On April 11, 2018, OPE received Paperwork Reduction Act approval for the “National Longitudinal Survey of Older Americans Act Participants” (OMB Control Number: 0985-0023) – and this approval was </w:t>
      </w:r>
      <w:r w:rsidRPr="006F5DED">
        <w:rPr>
          <w:rFonts w:cstheme="minorHAnsi"/>
        </w:rPr>
        <w:t>for cognitive testing of the redesigned instrument with more than 9 respondents in 2018, and for the full survey to begin in 2019.  The Terms of Clearance state:</w:t>
      </w:r>
    </w:p>
    <w:p w:rsidR="00841A47" w:rsidRPr="006F5DED" w:rsidRDefault="00841A47" w:rsidP="00841A47">
      <w:pPr>
        <w:rPr>
          <w:rFonts w:cstheme="minorHAnsi"/>
        </w:rPr>
      </w:pPr>
    </w:p>
    <w:p w:rsidR="00841A47" w:rsidRPr="006F5DED" w:rsidRDefault="00841A47" w:rsidP="00841A47">
      <w:pPr>
        <w:autoSpaceDE w:val="0"/>
        <w:autoSpaceDN w:val="0"/>
        <w:adjustRightInd w:val="0"/>
        <w:ind w:left="720" w:right="720"/>
        <w:rPr>
          <w:rFonts w:cstheme="minorHAnsi"/>
          <w:i/>
        </w:rPr>
      </w:pPr>
      <w:r w:rsidRPr="006F5DED">
        <w:rPr>
          <w:rFonts w:cs="ArialMT"/>
          <w:i/>
        </w:rPr>
        <w:t>OMB appreciates the thoughtful and rigorous manner in which ACL has developed plans to transition the National Survey of Older Americans Act Participants to a longitudinal study in order to provide added value to users and stakeholders. In order to align the OMB clearance process with the data collection schedule, ACL agrees to submit a one-year extension or revision request at the end of the current 3-year approval period, followed by a full 3-year clearance package when that one-year extension expires. At least 6 months prior to submission of the next 3-year OMB clearance package, ACL agrees to provide a report to OMB describing the initial results and lessons learned, as well as any revisions planned for the next round of OMB clearance.</w:t>
      </w:r>
    </w:p>
    <w:p w:rsidR="00841A47" w:rsidRPr="006F5DED" w:rsidRDefault="00841A47" w:rsidP="00841A47">
      <w:pPr>
        <w:rPr>
          <w:rFonts w:cstheme="minorHAnsi"/>
        </w:rPr>
      </w:pPr>
    </w:p>
    <w:p w:rsidR="00841A47" w:rsidRPr="006F5DED" w:rsidRDefault="00841A47" w:rsidP="00176BB8">
      <w:pPr>
        <w:rPr>
          <w:rFonts w:cstheme="minorHAnsi"/>
        </w:rPr>
      </w:pPr>
      <w:r w:rsidRPr="006F5DED">
        <w:rPr>
          <w:rFonts w:cstheme="minorHAnsi"/>
        </w:rPr>
        <w:t xml:space="preserve">This memo is </w:t>
      </w:r>
      <w:r w:rsidRPr="006F5DED">
        <w:rPr>
          <w:rFonts w:cstheme="minorHAnsi"/>
          <w:b/>
          <w:u w:val="single"/>
        </w:rPr>
        <w:t>not</w:t>
      </w:r>
      <w:r w:rsidRPr="006F5DED">
        <w:rPr>
          <w:rFonts w:cstheme="minorHAnsi"/>
        </w:rPr>
        <w:t xml:space="preserve"> to initiate the revision request noted in the Terms of Clearance</w:t>
      </w:r>
      <w:r>
        <w:rPr>
          <w:rFonts w:cstheme="minorHAnsi"/>
        </w:rPr>
        <w:t xml:space="preserve">. The purposes of this memo are </w:t>
      </w:r>
      <w:r w:rsidRPr="006F5DED">
        <w:rPr>
          <w:rFonts w:cstheme="minorHAnsi"/>
        </w:rPr>
        <w:t>to: a) update OMB on the anticipated timelines related to the Terms of Clearance, and b) alert OMB to non-substantive changes to the information collection instrument.</w:t>
      </w:r>
    </w:p>
    <w:p w:rsidR="00841A47" w:rsidRPr="006F5DED" w:rsidRDefault="00841A47" w:rsidP="00841A47">
      <w:pPr>
        <w:rPr>
          <w:rFonts w:cstheme="minorHAnsi"/>
        </w:rPr>
      </w:pPr>
    </w:p>
    <w:p w:rsidR="00176BB8" w:rsidRDefault="00176BB8">
      <w:pPr>
        <w:rPr>
          <w:rFonts w:cstheme="minorHAnsi"/>
          <w:u w:val="single"/>
        </w:rPr>
      </w:pPr>
      <w:r>
        <w:rPr>
          <w:rFonts w:cstheme="minorHAnsi"/>
          <w:u w:val="single"/>
        </w:rPr>
        <w:br w:type="page"/>
      </w:r>
    </w:p>
    <w:p w:rsidR="00841A47" w:rsidRPr="00735E59" w:rsidRDefault="00841A47" w:rsidP="00841A47">
      <w:pPr>
        <w:rPr>
          <w:rFonts w:cstheme="minorHAnsi"/>
          <w:u w:val="single"/>
        </w:rPr>
      </w:pPr>
      <w:r>
        <w:rPr>
          <w:rFonts w:cstheme="minorHAnsi"/>
          <w:u w:val="single"/>
        </w:rPr>
        <w:lastRenderedPageBreak/>
        <w:t>Anticipated Timelines Related to the Terms of Clearance</w:t>
      </w:r>
    </w:p>
    <w:p w:rsidR="00841A47" w:rsidRDefault="00841A47" w:rsidP="00841A47">
      <w:pPr>
        <w:rPr>
          <w:rFonts w:cstheme="minorHAnsi"/>
        </w:rPr>
      </w:pPr>
      <w:r>
        <w:rPr>
          <w:rFonts w:cstheme="minorHAnsi"/>
        </w:rPr>
        <w:t>Table 1 outlines ACL’s timing and actions related to the Terms of Clearance for the National Longitudinal Survey of Older Americans Act Participants.</w:t>
      </w:r>
    </w:p>
    <w:p w:rsidR="00841A47" w:rsidRDefault="00841A47" w:rsidP="00841A47">
      <w:pPr>
        <w:rPr>
          <w:rFonts w:cstheme="minorHAnsi"/>
        </w:rPr>
      </w:pPr>
    </w:p>
    <w:tbl>
      <w:tblPr>
        <w:tblStyle w:val="TableGrid"/>
        <w:tblW w:w="9447" w:type="dxa"/>
        <w:tblLook w:val="04A0" w:firstRow="1" w:lastRow="0" w:firstColumn="1" w:lastColumn="0" w:noHBand="0" w:noVBand="1"/>
      </w:tblPr>
      <w:tblGrid>
        <w:gridCol w:w="1525"/>
        <w:gridCol w:w="6269"/>
        <w:gridCol w:w="1653"/>
      </w:tblGrid>
      <w:tr w:rsidR="00841A47" w:rsidTr="009B501F">
        <w:tc>
          <w:tcPr>
            <w:tcW w:w="9447" w:type="dxa"/>
            <w:gridSpan w:val="3"/>
          </w:tcPr>
          <w:p w:rsidR="00841A47" w:rsidRPr="00594557" w:rsidRDefault="00841A47" w:rsidP="009B501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Table 1.</w:t>
            </w:r>
          </w:p>
        </w:tc>
      </w:tr>
      <w:tr w:rsidR="00D541B3" w:rsidTr="009B501F">
        <w:tc>
          <w:tcPr>
            <w:tcW w:w="1525" w:type="dxa"/>
          </w:tcPr>
          <w:p w:rsidR="00841A47" w:rsidRPr="00594557" w:rsidRDefault="00841A47" w:rsidP="009B501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PRA Package </w:t>
            </w:r>
          </w:p>
        </w:tc>
        <w:tc>
          <w:tcPr>
            <w:tcW w:w="6269" w:type="dxa"/>
          </w:tcPr>
          <w:p w:rsidR="00841A47" w:rsidRPr="00594557" w:rsidRDefault="00841A47" w:rsidP="009B501F">
            <w:pPr>
              <w:rPr>
                <w:rFonts w:cstheme="minorHAnsi"/>
                <w:b/>
              </w:rPr>
            </w:pPr>
            <w:r w:rsidRPr="00594557">
              <w:rPr>
                <w:rFonts w:cstheme="minorHAnsi"/>
                <w:b/>
              </w:rPr>
              <w:t>Action</w:t>
            </w:r>
          </w:p>
        </w:tc>
        <w:tc>
          <w:tcPr>
            <w:tcW w:w="1653" w:type="dxa"/>
          </w:tcPr>
          <w:p w:rsidR="00841A47" w:rsidRPr="00594557" w:rsidRDefault="00841A47" w:rsidP="009B501F">
            <w:pPr>
              <w:rPr>
                <w:rFonts w:cstheme="minorHAnsi"/>
                <w:b/>
              </w:rPr>
            </w:pPr>
            <w:r w:rsidRPr="00594557">
              <w:rPr>
                <w:rFonts w:cstheme="minorHAnsi"/>
                <w:b/>
              </w:rPr>
              <w:t>Date</w:t>
            </w:r>
          </w:p>
        </w:tc>
      </w:tr>
      <w:tr w:rsidR="00D541B3" w:rsidTr="009B501F">
        <w:tc>
          <w:tcPr>
            <w:tcW w:w="1525" w:type="dxa"/>
            <w:vMerge w:val="restart"/>
          </w:tcPr>
          <w:p w:rsidR="00841A47" w:rsidRDefault="00841A47" w:rsidP="00D541B3">
            <w:pPr>
              <w:rPr>
                <w:rFonts w:cstheme="minorHAnsi"/>
              </w:rPr>
            </w:pPr>
            <w:r>
              <w:rPr>
                <w:rFonts w:cstheme="minorHAnsi"/>
              </w:rPr>
              <w:t>Currently Approved Information Collection In</w:t>
            </w:r>
            <w:r w:rsidR="00D541B3">
              <w:rPr>
                <w:rFonts w:cstheme="minorHAnsi"/>
              </w:rPr>
              <w:t xml:space="preserve">formation </w:t>
            </w:r>
            <w:r>
              <w:rPr>
                <w:rFonts w:cstheme="minorHAnsi"/>
              </w:rPr>
              <w:t>to be collected 2019-2021</w:t>
            </w:r>
          </w:p>
        </w:tc>
        <w:tc>
          <w:tcPr>
            <w:tcW w:w="6269" w:type="dxa"/>
          </w:tcPr>
          <w:p w:rsidR="00841A47" w:rsidRDefault="00841A47" w:rsidP="009B501F">
            <w:pPr>
              <w:rPr>
                <w:rFonts w:cstheme="minorHAnsi"/>
              </w:rPr>
            </w:pPr>
            <w:r>
              <w:rPr>
                <w:rFonts w:cstheme="minorHAnsi"/>
              </w:rPr>
              <w:t>ACL submitted PRA Package for revision of a currently approved collection</w:t>
            </w:r>
          </w:p>
        </w:tc>
        <w:tc>
          <w:tcPr>
            <w:tcW w:w="1653" w:type="dxa"/>
          </w:tcPr>
          <w:p w:rsidR="00841A47" w:rsidRDefault="00841A47" w:rsidP="009B501F">
            <w:pPr>
              <w:rPr>
                <w:rFonts w:cstheme="minorHAnsi"/>
              </w:rPr>
            </w:pPr>
            <w:r>
              <w:rPr>
                <w:rFonts w:cstheme="minorHAnsi"/>
              </w:rPr>
              <w:t>2/22/18</w:t>
            </w:r>
          </w:p>
        </w:tc>
      </w:tr>
      <w:tr w:rsidR="00D541B3" w:rsidTr="009B501F">
        <w:tc>
          <w:tcPr>
            <w:tcW w:w="1525" w:type="dxa"/>
            <w:vMerge/>
          </w:tcPr>
          <w:p w:rsidR="00841A47" w:rsidRDefault="00841A47" w:rsidP="009B501F">
            <w:pPr>
              <w:rPr>
                <w:rFonts w:cstheme="minorHAnsi"/>
              </w:rPr>
            </w:pPr>
          </w:p>
        </w:tc>
        <w:tc>
          <w:tcPr>
            <w:tcW w:w="6269" w:type="dxa"/>
          </w:tcPr>
          <w:p w:rsidR="00841A47" w:rsidRDefault="00841A47" w:rsidP="009B501F">
            <w:pPr>
              <w:rPr>
                <w:rFonts w:cstheme="minorHAnsi"/>
              </w:rPr>
            </w:pPr>
            <w:r>
              <w:rPr>
                <w:rFonts w:cstheme="minorHAnsi"/>
              </w:rPr>
              <w:t>OMB approved with change  (OMB Control Number: 0985-0023, expires 4/30/21)</w:t>
            </w:r>
          </w:p>
        </w:tc>
        <w:tc>
          <w:tcPr>
            <w:tcW w:w="1653" w:type="dxa"/>
          </w:tcPr>
          <w:p w:rsidR="00841A47" w:rsidRDefault="00841A47" w:rsidP="009B501F">
            <w:pPr>
              <w:rPr>
                <w:rFonts w:cstheme="minorHAnsi"/>
              </w:rPr>
            </w:pPr>
            <w:r>
              <w:rPr>
                <w:rFonts w:cstheme="minorHAnsi"/>
              </w:rPr>
              <w:t>4/11/18</w:t>
            </w:r>
          </w:p>
        </w:tc>
      </w:tr>
      <w:tr w:rsidR="00D541B3" w:rsidTr="009B501F">
        <w:tc>
          <w:tcPr>
            <w:tcW w:w="1525" w:type="dxa"/>
            <w:vMerge/>
          </w:tcPr>
          <w:p w:rsidR="00841A47" w:rsidRDefault="00841A47" w:rsidP="009B501F">
            <w:pPr>
              <w:rPr>
                <w:rFonts w:cstheme="minorHAnsi"/>
              </w:rPr>
            </w:pPr>
          </w:p>
        </w:tc>
        <w:tc>
          <w:tcPr>
            <w:tcW w:w="6269" w:type="dxa"/>
          </w:tcPr>
          <w:p w:rsidR="00841A47" w:rsidRDefault="00841A47" w:rsidP="009B501F">
            <w:pPr>
              <w:rPr>
                <w:rFonts w:cstheme="minorHAnsi"/>
              </w:rPr>
            </w:pPr>
            <w:r>
              <w:rPr>
                <w:rFonts w:cstheme="minorHAnsi"/>
              </w:rPr>
              <w:t>ACL conducted cognitive testing of information collection tool</w:t>
            </w:r>
          </w:p>
        </w:tc>
        <w:tc>
          <w:tcPr>
            <w:tcW w:w="1653" w:type="dxa"/>
          </w:tcPr>
          <w:p w:rsidR="00841A47" w:rsidRDefault="00841A47" w:rsidP="009B501F">
            <w:pPr>
              <w:rPr>
                <w:rFonts w:cstheme="minorHAnsi"/>
              </w:rPr>
            </w:pPr>
            <w:r>
              <w:rPr>
                <w:rFonts w:cstheme="minorHAnsi"/>
              </w:rPr>
              <w:t>Summer/Fall 2018</w:t>
            </w:r>
          </w:p>
        </w:tc>
      </w:tr>
      <w:tr w:rsidR="00D541B3" w:rsidTr="009B501F">
        <w:tc>
          <w:tcPr>
            <w:tcW w:w="1525" w:type="dxa"/>
            <w:vMerge/>
          </w:tcPr>
          <w:p w:rsidR="00841A47" w:rsidRDefault="00841A47" w:rsidP="009B501F">
            <w:pPr>
              <w:rPr>
                <w:rFonts w:cstheme="minorHAnsi"/>
              </w:rPr>
            </w:pPr>
          </w:p>
        </w:tc>
        <w:tc>
          <w:tcPr>
            <w:tcW w:w="6269" w:type="dxa"/>
            <w:shd w:val="clear" w:color="auto" w:fill="auto"/>
          </w:tcPr>
          <w:p w:rsidR="00841A47" w:rsidRDefault="00841A47" w:rsidP="009B501F">
            <w:pPr>
              <w:rPr>
                <w:rFonts w:cstheme="minorHAnsi"/>
              </w:rPr>
            </w:pPr>
            <w:r>
              <w:rPr>
                <w:rFonts w:cstheme="minorHAnsi"/>
              </w:rPr>
              <w:t>ACL submitting non-substantive modifications to OMB</w:t>
            </w:r>
          </w:p>
        </w:tc>
        <w:tc>
          <w:tcPr>
            <w:tcW w:w="1653" w:type="dxa"/>
            <w:shd w:val="clear" w:color="auto" w:fill="auto"/>
          </w:tcPr>
          <w:p w:rsidR="00841A47" w:rsidRDefault="00841A47" w:rsidP="009B501F">
            <w:pPr>
              <w:rPr>
                <w:rFonts w:cstheme="minorHAnsi"/>
              </w:rPr>
            </w:pPr>
            <w:r>
              <w:rPr>
                <w:rFonts w:cstheme="minorHAnsi"/>
              </w:rPr>
              <w:t>12/11/18</w:t>
            </w:r>
          </w:p>
        </w:tc>
      </w:tr>
      <w:tr w:rsidR="00D541B3" w:rsidTr="009B501F">
        <w:tc>
          <w:tcPr>
            <w:tcW w:w="1525" w:type="dxa"/>
            <w:vMerge/>
          </w:tcPr>
          <w:p w:rsidR="00841A47" w:rsidRDefault="00841A47" w:rsidP="009B501F">
            <w:pPr>
              <w:rPr>
                <w:rFonts w:cstheme="minorHAnsi"/>
              </w:rPr>
            </w:pPr>
          </w:p>
        </w:tc>
        <w:tc>
          <w:tcPr>
            <w:tcW w:w="6269" w:type="dxa"/>
          </w:tcPr>
          <w:p w:rsidR="00841A47" w:rsidRDefault="00841A47" w:rsidP="009B501F">
            <w:pPr>
              <w:rPr>
                <w:rFonts w:cstheme="minorHAnsi"/>
              </w:rPr>
            </w:pPr>
            <w:r>
              <w:rPr>
                <w:rFonts w:cstheme="minorHAnsi"/>
              </w:rPr>
              <w:t>ACL collects baseline year of information collection instrument</w:t>
            </w:r>
          </w:p>
        </w:tc>
        <w:tc>
          <w:tcPr>
            <w:tcW w:w="1653" w:type="dxa"/>
            <w:shd w:val="clear" w:color="auto" w:fill="auto"/>
          </w:tcPr>
          <w:p w:rsidR="00841A47" w:rsidRDefault="00841A47" w:rsidP="009B501F">
            <w:pPr>
              <w:rPr>
                <w:rFonts w:cstheme="minorHAnsi"/>
              </w:rPr>
            </w:pPr>
            <w:r>
              <w:rPr>
                <w:rFonts w:cstheme="minorHAnsi"/>
              </w:rPr>
              <w:t>Summer 2019</w:t>
            </w:r>
          </w:p>
        </w:tc>
      </w:tr>
      <w:tr w:rsidR="00D541B3" w:rsidTr="009B501F">
        <w:tc>
          <w:tcPr>
            <w:tcW w:w="1525" w:type="dxa"/>
            <w:vMerge/>
          </w:tcPr>
          <w:p w:rsidR="00841A47" w:rsidRDefault="00841A47" w:rsidP="009B501F">
            <w:pPr>
              <w:rPr>
                <w:rFonts w:cstheme="minorHAnsi"/>
              </w:rPr>
            </w:pPr>
          </w:p>
        </w:tc>
        <w:tc>
          <w:tcPr>
            <w:tcW w:w="6269" w:type="dxa"/>
          </w:tcPr>
          <w:p w:rsidR="00841A47" w:rsidRDefault="00841A47" w:rsidP="009B501F">
            <w:pPr>
              <w:rPr>
                <w:rFonts w:cstheme="minorHAnsi"/>
              </w:rPr>
            </w:pPr>
            <w:r>
              <w:rPr>
                <w:rFonts w:cstheme="minorHAnsi"/>
              </w:rPr>
              <w:t>ACL collects year 2 of information collection instrument</w:t>
            </w:r>
          </w:p>
        </w:tc>
        <w:tc>
          <w:tcPr>
            <w:tcW w:w="1653" w:type="dxa"/>
            <w:shd w:val="clear" w:color="auto" w:fill="auto"/>
          </w:tcPr>
          <w:p w:rsidR="00841A47" w:rsidRDefault="00841A47" w:rsidP="009B501F">
            <w:pPr>
              <w:rPr>
                <w:rFonts w:cstheme="minorHAnsi"/>
              </w:rPr>
            </w:pPr>
            <w:r>
              <w:rPr>
                <w:rFonts w:cstheme="minorHAnsi"/>
              </w:rPr>
              <w:t>Summer 2020</w:t>
            </w:r>
          </w:p>
        </w:tc>
      </w:tr>
      <w:tr w:rsidR="00D541B3" w:rsidTr="009B501F">
        <w:tc>
          <w:tcPr>
            <w:tcW w:w="1525" w:type="dxa"/>
            <w:vMerge/>
          </w:tcPr>
          <w:p w:rsidR="00841A47" w:rsidRDefault="00841A47" w:rsidP="009B501F">
            <w:pPr>
              <w:rPr>
                <w:rFonts w:cstheme="minorHAnsi"/>
              </w:rPr>
            </w:pPr>
          </w:p>
        </w:tc>
        <w:tc>
          <w:tcPr>
            <w:tcW w:w="6269" w:type="dxa"/>
          </w:tcPr>
          <w:p w:rsidR="00841A47" w:rsidRDefault="00841A47" w:rsidP="009B501F">
            <w:pPr>
              <w:rPr>
                <w:rFonts w:cstheme="minorHAnsi"/>
              </w:rPr>
            </w:pPr>
            <w:r>
              <w:rPr>
                <w:rFonts w:cstheme="minorHAnsi"/>
              </w:rPr>
              <w:t>ACL submits a one-year extension or revision request in order to align with OMB clearance process with the data collection schedule</w:t>
            </w:r>
          </w:p>
        </w:tc>
        <w:tc>
          <w:tcPr>
            <w:tcW w:w="1653" w:type="dxa"/>
            <w:shd w:val="clear" w:color="auto" w:fill="auto"/>
          </w:tcPr>
          <w:p w:rsidR="00841A47" w:rsidRDefault="00841A47" w:rsidP="009B501F">
            <w:pPr>
              <w:rPr>
                <w:rFonts w:cstheme="minorHAnsi"/>
              </w:rPr>
            </w:pPr>
            <w:r>
              <w:rPr>
                <w:rFonts w:cstheme="minorHAnsi"/>
              </w:rPr>
              <w:t>Anticipated 10/30/20</w:t>
            </w:r>
          </w:p>
        </w:tc>
      </w:tr>
      <w:tr w:rsidR="00D541B3" w:rsidTr="009B501F">
        <w:tc>
          <w:tcPr>
            <w:tcW w:w="1525" w:type="dxa"/>
            <w:vMerge/>
          </w:tcPr>
          <w:p w:rsidR="00841A47" w:rsidRDefault="00841A47" w:rsidP="009B501F">
            <w:pPr>
              <w:rPr>
                <w:rFonts w:cstheme="minorHAnsi"/>
              </w:rPr>
            </w:pPr>
          </w:p>
        </w:tc>
        <w:tc>
          <w:tcPr>
            <w:tcW w:w="6269" w:type="dxa"/>
          </w:tcPr>
          <w:p w:rsidR="00841A47" w:rsidRDefault="00841A47" w:rsidP="009B501F">
            <w:pPr>
              <w:rPr>
                <w:rFonts w:cstheme="minorHAnsi"/>
              </w:rPr>
            </w:pPr>
            <w:r>
              <w:rPr>
                <w:rFonts w:cstheme="minorHAnsi"/>
              </w:rPr>
              <w:t>Anticipated OMB approval of one-year extension</w:t>
            </w:r>
          </w:p>
        </w:tc>
        <w:tc>
          <w:tcPr>
            <w:tcW w:w="1653" w:type="dxa"/>
            <w:shd w:val="clear" w:color="auto" w:fill="auto"/>
          </w:tcPr>
          <w:p w:rsidR="00841A47" w:rsidRDefault="00841A47" w:rsidP="009B501F">
            <w:pPr>
              <w:rPr>
                <w:rFonts w:cstheme="minorHAnsi"/>
              </w:rPr>
            </w:pPr>
            <w:r>
              <w:rPr>
                <w:rFonts w:cstheme="minorHAnsi"/>
              </w:rPr>
              <w:t>Anticipated 1/15/21</w:t>
            </w:r>
          </w:p>
        </w:tc>
      </w:tr>
      <w:tr w:rsidR="00D541B3" w:rsidTr="009B501F">
        <w:tc>
          <w:tcPr>
            <w:tcW w:w="1525" w:type="dxa"/>
            <w:vMerge/>
          </w:tcPr>
          <w:p w:rsidR="00841A47" w:rsidRDefault="00841A47" w:rsidP="009B501F">
            <w:pPr>
              <w:rPr>
                <w:rFonts w:cstheme="minorHAnsi"/>
              </w:rPr>
            </w:pPr>
          </w:p>
        </w:tc>
        <w:tc>
          <w:tcPr>
            <w:tcW w:w="6269" w:type="dxa"/>
          </w:tcPr>
          <w:p w:rsidR="00841A47" w:rsidRDefault="00841A47" w:rsidP="009B501F">
            <w:pPr>
              <w:rPr>
                <w:rFonts w:cstheme="minorHAnsi"/>
              </w:rPr>
            </w:pPr>
            <w:r>
              <w:rPr>
                <w:rFonts w:cstheme="minorHAnsi"/>
              </w:rPr>
              <w:t>ACL collects year 3 of information collection instrument</w:t>
            </w:r>
          </w:p>
        </w:tc>
        <w:tc>
          <w:tcPr>
            <w:tcW w:w="1653" w:type="dxa"/>
            <w:shd w:val="clear" w:color="auto" w:fill="auto"/>
          </w:tcPr>
          <w:p w:rsidR="00841A47" w:rsidRDefault="00841A47" w:rsidP="009B501F">
            <w:pPr>
              <w:rPr>
                <w:rFonts w:cstheme="minorHAnsi"/>
              </w:rPr>
            </w:pPr>
            <w:r>
              <w:rPr>
                <w:rFonts w:cstheme="minorHAnsi"/>
              </w:rPr>
              <w:t>Summer 2021</w:t>
            </w:r>
          </w:p>
        </w:tc>
      </w:tr>
    </w:tbl>
    <w:p w:rsidR="00841A47" w:rsidRPr="00D541B3" w:rsidRDefault="00841A47" w:rsidP="003B07E2">
      <w:pPr>
        <w:kinsoku w:val="0"/>
        <w:overflowPunct w:val="0"/>
        <w:autoSpaceDE w:val="0"/>
        <w:autoSpaceDN w:val="0"/>
        <w:adjustRightInd w:val="0"/>
        <w:rPr>
          <w:rFonts w:eastAsia="Calibri"/>
          <w:spacing w:val="-1"/>
        </w:rPr>
      </w:pPr>
    </w:p>
    <w:tbl>
      <w:tblPr>
        <w:tblStyle w:val="TableGrid1"/>
        <w:tblW w:w="9447" w:type="dxa"/>
        <w:tblLook w:val="04A0" w:firstRow="1" w:lastRow="0" w:firstColumn="1" w:lastColumn="0" w:noHBand="0" w:noVBand="1"/>
      </w:tblPr>
      <w:tblGrid>
        <w:gridCol w:w="1525"/>
        <w:gridCol w:w="6269"/>
        <w:gridCol w:w="1653"/>
      </w:tblGrid>
      <w:tr w:rsidR="00D541B3" w:rsidRPr="00D541B3" w:rsidTr="009B501F">
        <w:tc>
          <w:tcPr>
            <w:tcW w:w="1525" w:type="dxa"/>
            <w:vMerge w:val="restart"/>
          </w:tcPr>
          <w:p w:rsidR="00D541B3" w:rsidRPr="00D541B3" w:rsidRDefault="00D541B3" w:rsidP="00D541B3">
            <w:pPr>
              <w:rPr>
                <w:rFonts w:ascii="Times New Roman" w:eastAsiaTheme="minorHAnsi" w:hAnsi="Times New Roman" w:cs="Times New Roman"/>
              </w:rPr>
            </w:pPr>
            <w:r w:rsidRPr="00D541B3">
              <w:rPr>
                <w:rFonts w:ascii="Times New Roman" w:eastAsiaTheme="minorHAnsi" w:hAnsi="Times New Roman" w:cs="Times New Roman"/>
              </w:rPr>
              <w:t>Next 3-year Information Collection Instrument to be collected 2022-2024</w:t>
            </w:r>
          </w:p>
        </w:tc>
        <w:tc>
          <w:tcPr>
            <w:tcW w:w="6269" w:type="dxa"/>
          </w:tcPr>
          <w:p w:rsidR="00D541B3" w:rsidRPr="00D541B3" w:rsidRDefault="00D541B3" w:rsidP="00D541B3">
            <w:pPr>
              <w:rPr>
                <w:rFonts w:ascii="Times New Roman" w:eastAsiaTheme="minorHAnsi" w:hAnsi="Times New Roman" w:cs="Times New Roman"/>
              </w:rPr>
            </w:pPr>
            <w:r w:rsidRPr="00D541B3">
              <w:rPr>
                <w:rFonts w:ascii="Times New Roman" w:eastAsiaTheme="minorHAnsi" w:hAnsi="Times New Roman" w:cs="Times New Roman"/>
              </w:rPr>
              <w:t>ACL submits PRA Package for next 3-year clearance package and report on initial results, lessons learned, and planned revisions</w:t>
            </w:r>
          </w:p>
        </w:tc>
        <w:tc>
          <w:tcPr>
            <w:tcW w:w="1653" w:type="dxa"/>
            <w:shd w:val="clear" w:color="auto" w:fill="auto"/>
          </w:tcPr>
          <w:p w:rsidR="00D541B3" w:rsidRPr="00D541B3" w:rsidRDefault="00D541B3" w:rsidP="00D541B3">
            <w:pPr>
              <w:rPr>
                <w:rFonts w:ascii="Times New Roman" w:eastAsiaTheme="minorHAnsi" w:hAnsi="Times New Roman" w:cs="Times New Roman"/>
              </w:rPr>
            </w:pPr>
            <w:r w:rsidRPr="00D541B3">
              <w:rPr>
                <w:rFonts w:ascii="Times New Roman" w:eastAsiaTheme="minorHAnsi" w:hAnsi="Times New Roman" w:cs="Times New Roman"/>
              </w:rPr>
              <w:t>Anticipated 6/1/21</w:t>
            </w:r>
          </w:p>
        </w:tc>
      </w:tr>
      <w:tr w:rsidR="00D541B3" w:rsidRPr="00D541B3" w:rsidTr="009B501F">
        <w:tc>
          <w:tcPr>
            <w:tcW w:w="1525" w:type="dxa"/>
            <w:vMerge/>
          </w:tcPr>
          <w:p w:rsidR="00D541B3" w:rsidRPr="00D541B3" w:rsidRDefault="00D541B3" w:rsidP="00D541B3">
            <w:p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6269" w:type="dxa"/>
          </w:tcPr>
          <w:p w:rsidR="00D541B3" w:rsidRPr="00D541B3" w:rsidRDefault="00D541B3" w:rsidP="00D541B3">
            <w:pPr>
              <w:rPr>
                <w:rFonts w:ascii="Times New Roman" w:eastAsiaTheme="minorHAnsi" w:hAnsi="Times New Roman" w:cs="Times New Roman"/>
              </w:rPr>
            </w:pPr>
            <w:r w:rsidRPr="00D541B3">
              <w:rPr>
                <w:rFonts w:ascii="Times New Roman" w:eastAsiaTheme="minorHAnsi" w:hAnsi="Times New Roman" w:cs="Times New Roman"/>
              </w:rPr>
              <w:t>Anticipated OMB approval of next 3-year clearance package</w:t>
            </w:r>
          </w:p>
        </w:tc>
        <w:tc>
          <w:tcPr>
            <w:tcW w:w="1653" w:type="dxa"/>
            <w:shd w:val="clear" w:color="auto" w:fill="auto"/>
          </w:tcPr>
          <w:p w:rsidR="00D541B3" w:rsidRPr="00D541B3" w:rsidRDefault="00D541B3" w:rsidP="00D541B3">
            <w:pPr>
              <w:rPr>
                <w:rFonts w:ascii="Times New Roman" w:eastAsiaTheme="minorHAnsi" w:hAnsi="Times New Roman" w:cs="Times New Roman"/>
              </w:rPr>
            </w:pPr>
            <w:r w:rsidRPr="00D541B3">
              <w:rPr>
                <w:rFonts w:ascii="Times New Roman" w:eastAsiaTheme="minorHAnsi" w:hAnsi="Times New Roman" w:cs="Times New Roman"/>
              </w:rPr>
              <w:t>12/1/21</w:t>
            </w:r>
          </w:p>
        </w:tc>
      </w:tr>
    </w:tbl>
    <w:p w:rsidR="00D541B3" w:rsidRPr="00D541B3" w:rsidRDefault="00D541B3" w:rsidP="00D541B3">
      <w:pPr>
        <w:rPr>
          <w:rFonts w:eastAsiaTheme="minorHAnsi"/>
        </w:rPr>
      </w:pPr>
    </w:p>
    <w:p w:rsidR="00D541B3" w:rsidRPr="00D541B3" w:rsidRDefault="00D541B3" w:rsidP="00D541B3">
      <w:pPr>
        <w:rPr>
          <w:rFonts w:eastAsiaTheme="minorHAnsi"/>
          <w:u w:val="single"/>
        </w:rPr>
      </w:pPr>
      <w:r w:rsidRPr="00D541B3">
        <w:rPr>
          <w:rFonts w:eastAsiaTheme="minorHAnsi"/>
          <w:u w:val="single"/>
        </w:rPr>
        <w:t xml:space="preserve">Non-substantive Changes to the Information Collection Instrument </w:t>
      </w:r>
    </w:p>
    <w:p w:rsidR="00D541B3" w:rsidRPr="00D541B3" w:rsidRDefault="00D541B3" w:rsidP="00176BB8">
      <w:pPr>
        <w:rPr>
          <w:rFonts w:eastAsiaTheme="minorHAnsi"/>
        </w:rPr>
      </w:pPr>
      <w:r w:rsidRPr="00D541B3">
        <w:rPr>
          <w:rFonts w:eastAsiaTheme="minorHAnsi"/>
        </w:rPr>
        <w:t xml:space="preserve">Cognitive testing of the information collection instrument is complete. As a result of the cognitive testing, two non-substantive modifications will be made to the instrument when </w:t>
      </w:r>
      <w:r w:rsidR="008C7875">
        <w:rPr>
          <w:rFonts w:eastAsiaTheme="minorHAnsi"/>
        </w:rPr>
        <w:t>data</w:t>
      </w:r>
      <w:r w:rsidRPr="00D541B3">
        <w:rPr>
          <w:rFonts w:eastAsiaTheme="minorHAnsi"/>
        </w:rPr>
        <w:t xml:space="preserve"> is collected beginning in 2019 (and again in 2020 and 2021) as part of the three-year longitudinal information collection. These non-substantive modifications are needed to clarify the questions being asked of respondents.</w:t>
      </w:r>
    </w:p>
    <w:p w:rsidR="00D541B3" w:rsidRPr="00D541B3" w:rsidRDefault="00D541B3" w:rsidP="00176BB8">
      <w:pPr>
        <w:rPr>
          <w:rFonts w:eastAsiaTheme="minorHAnsi"/>
        </w:rPr>
      </w:pPr>
    </w:p>
    <w:p w:rsidR="00D541B3" w:rsidRPr="00D541B3" w:rsidRDefault="00D541B3" w:rsidP="00176BB8">
      <w:pPr>
        <w:rPr>
          <w:rFonts w:eastAsiaTheme="minorHAnsi"/>
        </w:rPr>
      </w:pPr>
      <w:r w:rsidRPr="00D541B3">
        <w:rPr>
          <w:rFonts w:eastAsiaTheme="minorHAnsi"/>
        </w:rPr>
        <w:t>In brief, the non-substantive modifications are:</w:t>
      </w:r>
    </w:p>
    <w:p w:rsidR="00D541B3" w:rsidRPr="00D541B3" w:rsidRDefault="00D541B3" w:rsidP="00176BB8">
      <w:pPr>
        <w:numPr>
          <w:ilvl w:val="0"/>
          <w:numId w:val="12"/>
        </w:numPr>
        <w:contextualSpacing/>
        <w:rPr>
          <w:rFonts w:eastAsiaTheme="minorHAnsi"/>
        </w:rPr>
      </w:pPr>
      <w:r w:rsidRPr="00D541B3">
        <w:rPr>
          <w:rFonts w:eastAsiaTheme="minorHAnsi"/>
        </w:rPr>
        <w:t>The addition of an introductory/transition statement that precedes questions about Falls. The original omission of the introductory/ transition statement was an oversight.</w:t>
      </w:r>
    </w:p>
    <w:p w:rsidR="00D541B3" w:rsidRPr="00D541B3" w:rsidRDefault="00D541B3" w:rsidP="00176BB8">
      <w:pPr>
        <w:numPr>
          <w:ilvl w:val="0"/>
          <w:numId w:val="12"/>
        </w:numPr>
        <w:contextualSpacing/>
        <w:rPr>
          <w:rFonts w:eastAsiaTheme="minorHAnsi"/>
        </w:rPr>
      </w:pPr>
      <w:r w:rsidRPr="00D541B3">
        <w:rPr>
          <w:rFonts w:eastAsiaTheme="minorHAnsi"/>
        </w:rPr>
        <w:t xml:space="preserve">The re-stating of the question about any life events </w:t>
      </w:r>
      <w:r w:rsidR="008C7875">
        <w:rPr>
          <w:rFonts w:eastAsiaTheme="minorHAnsi"/>
        </w:rPr>
        <w:t>that</w:t>
      </w:r>
      <w:r w:rsidRPr="00D541B3">
        <w:rPr>
          <w:rFonts w:eastAsiaTheme="minorHAnsi"/>
        </w:rPr>
        <w:t xml:space="preserve"> may have motivated the respondent to seek services. Based on cognitive testing, respondents did not focus on a broader definition of “life events” and rather focused on the examples of illness and death included in the question. The re-stated question allows for an open-ended response about what led the respondent to seek services, and it is not expected that this modification will result in any change in burden.  In this open-ended response format, a respondent is free </w:t>
      </w:r>
      <w:r w:rsidRPr="00D541B3">
        <w:rPr>
          <w:rFonts w:eastAsiaTheme="minorHAnsi"/>
        </w:rPr>
        <w:lastRenderedPageBreak/>
        <w:t>to produce his/her own answer to the question. The interviewers are trained to select the option in the list that aligns with the response. In the rare case that a response is not one of the options listed, the interviewer will code the response as “other” and type the response shared by the respondent (the line marked as “specify”).</w:t>
      </w:r>
    </w:p>
    <w:p w:rsidR="00D541B3" w:rsidRPr="00D541B3" w:rsidRDefault="00D541B3" w:rsidP="00D541B3">
      <w:pPr>
        <w:rPr>
          <w:rFonts w:eastAsiaTheme="minorHAnsi"/>
        </w:rPr>
      </w:pPr>
    </w:p>
    <w:p w:rsidR="00D541B3" w:rsidRPr="00D541B3" w:rsidRDefault="00D541B3" w:rsidP="00D541B3">
      <w:pPr>
        <w:rPr>
          <w:rFonts w:eastAsiaTheme="minorHAnsi"/>
        </w:rPr>
      </w:pPr>
    </w:p>
    <w:p w:rsidR="00176BB8" w:rsidRDefault="00D541B3" w:rsidP="00D541B3">
      <w:pPr>
        <w:rPr>
          <w:rFonts w:eastAsiaTheme="minorHAnsi"/>
        </w:rPr>
      </w:pPr>
      <w:r w:rsidRPr="00D541B3">
        <w:rPr>
          <w:rFonts w:eastAsiaTheme="minorHAnsi"/>
        </w:rPr>
        <w:t>Table 2</w:t>
      </w:r>
      <w:r w:rsidR="00176BB8">
        <w:rPr>
          <w:rFonts w:eastAsiaTheme="minorHAnsi"/>
        </w:rPr>
        <w:t>a has the original and then modified presentation for the first modification (addition of an introductory/transition sentence), and Table 2b has the second modification (re-stated question about events leading to seek services).</w:t>
      </w:r>
    </w:p>
    <w:p w:rsidR="00176BB8" w:rsidRDefault="00176BB8" w:rsidP="00D541B3">
      <w:pPr>
        <w:rPr>
          <w:rFonts w:eastAsia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4"/>
        <w:gridCol w:w="7536"/>
      </w:tblGrid>
      <w:tr w:rsidR="00176BB8" w:rsidTr="005D1029">
        <w:tc>
          <w:tcPr>
            <w:tcW w:w="9350" w:type="dxa"/>
            <w:gridSpan w:val="2"/>
          </w:tcPr>
          <w:p w:rsidR="00176BB8" w:rsidRDefault="00176BB8" w:rsidP="003B07E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/>
                <w:spacing w:val="-1"/>
              </w:rPr>
            </w:pPr>
            <w:r w:rsidRPr="00176BB8">
              <w:rPr>
                <w:rFonts w:eastAsia="Calibri"/>
                <w:b/>
                <w:spacing w:val="-1"/>
              </w:rPr>
              <w:t>Table 2a.</w:t>
            </w:r>
          </w:p>
        </w:tc>
      </w:tr>
      <w:tr w:rsidR="00176BB8" w:rsidTr="00176BB8">
        <w:tc>
          <w:tcPr>
            <w:tcW w:w="1814" w:type="dxa"/>
          </w:tcPr>
          <w:p w:rsidR="00176BB8" w:rsidRPr="00176BB8" w:rsidRDefault="00176BB8" w:rsidP="003B07E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pacing w:val="-1"/>
              </w:rPr>
            </w:pPr>
            <w:r w:rsidRPr="00176BB8">
              <w:rPr>
                <w:rFonts w:eastAsia="Calibri"/>
                <w:b/>
                <w:spacing w:val="-1"/>
              </w:rPr>
              <w:t>Original</w:t>
            </w:r>
          </w:p>
        </w:tc>
        <w:tc>
          <w:tcPr>
            <w:tcW w:w="7536" w:type="dxa"/>
          </w:tcPr>
          <w:p w:rsidR="00176BB8" w:rsidRDefault="00176BB8" w:rsidP="003B07E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/>
                <w:spacing w:val="-1"/>
              </w:rPr>
            </w:pPr>
            <w:r>
              <w:rPr>
                <w:noProof/>
              </w:rPr>
              <w:drawing>
                <wp:inline distT="0" distB="0" distL="0" distR="0" wp14:anchorId="2AB675C0" wp14:editId="34D01ECB">
                  <wp:extent cx="4286885" cy="1390525"/>
                  <wp:effectExtent l="0" t="0" r="0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14621"/>
                          <a:stretch/>
                        </pic:blipFill>
                        <pic:spPr bwMode="auto">
                          <a:xfrm>
                            <a:off x="0" y="0"/>
                            <a:ext cx="4305462" cy="1396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BB8" w:rsidTr="00176BB8">
        <w:tc>
          <w:tcPr>
            <w:tcW w:w="1814" w:type="dxa"/>
          </w:tcPr>
          <w:p w:rsidR="00176BB8" w:rsidRPr="00176BB8" w:rsidRDefault="00176BB8" w:rsidP="003B07E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pacing w:val="-1"/>
              </w:rPr>
            </w:pPr>
            <w:r w:rsidRPr="00176BB8">
              <w:rPr>
                <w:rFonts w:eastAsia="Calibri"/>
                <w:b/>
                <w:spacing w:val="-1"/>
              </w:rPr>
              <w:t>Modified</w:t>
            </w:r>
          </w:p>
        </w:tc>
        <w:tc>
          <w:tcPr>
            <w:tcW w:w="7536" w:type="dxa"/>
          </w:tcPr>
          <w:p w:rsidR="00176BB8" w:rsidRDefault="00176BB8" w:rsidP="003B07E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/>
                <w:spacing w:val="-1"/>
              </w:rPr>
            </w:pPr>
            <w:r>
              <w:rPr>
                <w:noProof/>
              </w:rPr>
              <w:drawing>
                <wp:inline distT="0" distB="0" distL="0" distR="0" wp14:anchorId="2F3A15A2" wp14:editId="625CB10E">
                  <wp:extent cx="4648200" cy="1801463"/>
                  <wp:effectExtent l="0" t="0" r="0" b="889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9129"/>
                          <a:stretch/>
                        </pic:blipFill>
                        <pic:spPr bwMode="auto">
                          <a:xfrm>
                            <a:off x="0" y="0"/>
                            <a:ext cx="4657806" cy="18051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6BB8" w:rsidRDefault="00176BB8" w:rsidP="003B07E2">
      <w:pPr>
        <w:kinsoku w:val="0"/>
        <w:overflowPunct w:val="0"/>
        <w:autoSpaceDE w:val="0"/>
        <w:autoSpaceDN w:val="0"/>
        <w:adjustRightInd w:val="0"/>
        <w:rPr>
          <w:rFonts w:eastAsia="Calibri"/>
          <w:spacing w:val="-1"/>
        </w:rPr>
      </w:pPr>
    </w:p>
    <w:p w:rsidR="00176BB8" w:rsidRDefault="00176BB8">
      <w:pPr>
        <w:rPr>
          <w:rFonts w:eastAsia="Calibri"/>
          <w:spacing w:val="-1"/>
        </w:rPr>
      </w:pPr>
      <w:r>
        <w:rPr>
          <w:rFonts w:eastAsia="Calibri"/>
          <w:spacing w:val="-1"/>
        </w:rPr>
        <w:br w:type="page"/>
      </w:r>
    </w:p>
    <w:p w:rsidR="00176BB8" w:rsidRDefault="00176BB8" w:rsidP="003B07E2">
      <w:pPr>
        <w:kinsoku w:val="0"/>
        <w:overflowPunct w:val="0"/>
        <w:autoSpaceDE w:val="0"/>
        <w:autoSpaceDN w:val="0"/>
        <w:adjustRightInd w:val="0"/>
        <w:rPr>
          <w:rFonts w:eastAsia="Calibri"/>
          <w:spacing w:val="-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176BB8" w:rsidTr="005D4C5E">
        <w:tc>
          <w:tcPr>
            <w:tcW w:w="9350" w:type="dxa"/>
            <w:gridSpan w:val="2"/>
          </w:tcPr>
          <w:p w:rsidR="00176BB8" w:rsidRDefault="00176BB8" w:rsidP="003B07E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/>
                <w:spacing w:val="-1"/>
              </w:rPr>
            </w:pPr>
            <w:r w:rsidRPr="00176BB8">
              <w:rPr>
                <w:rFonts w:eastAsia="Calibri"/>
                <w:b/>
                <w:spacing w:val="-1"/>
              </w:rPr>
              <w:t>Table 2b.</w:t>
            </w:r>
          </w:p>
        </w:tc>
      </w:tr>
      <w:tr w:rsidR="00176BB8" w:rsidTr="00176BB8">
        <w:tc>
          <w:tcPr>
            <w:tcW w:w="1795" w:type="dxa"/>
          </w:tcPr>
          <w:p w:rsidR="00176BB8" w:rsidRPr="00176BB8" w:rsidRDefault="00176BB8" w:rsidP="00176BB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pacing w:val="-1"/>
              </w:rPr>
            </w:pPr>
            <w:r w:rsidRPr="00176BB8">
              <w:rPr>
                <w:rFonts w:eastAsia="Calibri"/>
                <w:b/>
                <w:spacing w:val="-1"/>
              </w:rPr>
              <w:t>Original</w:t>
            </w:r>
          </w:p>
        </w:tc>
        <w:tc>
          <w:tcPr>
            <w:tcW w:w="7555" w:type="dxa"/>
          </w:tcPr>
          <w:p w:rsidR="00176BB8" w:rsidRDefault="00176BB8" w:rsidP="00176BB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/>
                <w:spacing w:val="-1"/>
              </w:rPr>
            </w:pPr>
            <w:r>
              <w:rPr>
                <w:noProof/>
              </w:rPr>
              <w:drawing>
                <wp:inline distT="0" distB="0" distL="0" distR="0" wp14:anchorId="190151B0" wp14:editId="62A77A1E">
                  <wp:extent cx="4394305" cy="3409950"/>
                  <wp:effectExtent l="0" t="0" r="635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3941" b="7867"/>
                          <a:stretch/>
                        </pic:blipFill>
                        <pic:spPr bwMode="auto">
                          <a:xfrm>
                            <a:off x="0" y="0"/>
                            <a:ext cx="4404721" cy="3418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BB8" w:rsidTr="00176BB8">
        <w:tc>
          <w:tcPr>
            <w:tcW w:w="1795" w:type="dxa"/>
          </w:tcPr>
          <w:p w:rsidR="00176BB8" w:rsidRPr="00176BB8" w:rsidRDefault="00176BB8" w:rsidP="00176BB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pacing w:val="-1"/>
              </w:rPr>
            </w:pPr>
            <w:r w:rsidRPr="00176BB8">
              <w:rPr>
                <w:rFonts w:eastAsia="Calibri"/>
                <w:b/>
                <w:spacing w:val="-1"/>
              </w:rPr>
              <w:t>Modified</w:t>
            </w:r>
          </w:p>
        </w:tc>
        <w:tc>
          <w:tcPr>
            <w:tcW w:w="7555" w:type="dxa"/>
          </w:tcPr>
          <w:p w:rsidR="00176BB8" w:rsidRDefault="00176BB8" w:rsidP="00176BB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/>
                <w:spacing w:val="-1"/>
              </w:rPr>
            </w:pPr>
            <w:r>
              <w:rPr>
                <w:noProof/>
              </w:rPr>
              <w:drawing>
                <wp:inline distT="0" distB="0" distL="0" distR="0" wp14:anchorId="4E04BF0B" wp14:editId="2721E349">
                  <wp:extent cx="4519294" cy="23050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t="3114" b="13145"/>
                          <a:stretch/>
                        </pic:blipFill>
                        <pic:spPr bwMode="auto">
                          <a:xfrm>
                            <a:off x="0" y="0"/>
                            <a:ext cx="4528419" cy="2309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6BB8" w:rsidRDefault="00176BB8" w:rsidP="003B07E2">
      <w:pPr>
        <w:kinsoku w:val="0"/>
        <w:overflowPunct w:val="0"/>
        <w:autoSpaceDE w:val="0"/>
        <w:autoSpaceDN w:val="0"/>
        <w:adjustRightInd w:val="0"/>
        <w:rPr>
          <w:rFonts w:eastAsia="Calibri"/>
          <w:spacing w:val="-1"/>
        </w:rPr>
      </w:pPr>
    </w:p>
    <w:p w:rsidR="00176BB8" w:rsidRDefault="00176BB8" w:rsidP="003B07E2">
      <w:pPr>
        <w:kinsoku w:val="0"/>
        <w:overflowPunct w:val="0"/>
        <w:autoSpaceDE w:val="0"/>
        <w:autoSpaceDN w:val="0"/>
        <w:adjustRightInd w:val="0"/>
        <w:rPr>
          <w:rFonts w:eastAsia="Calibri"/>
          <w:spacing w:val="-1"/>
        </w:rPr>
      </w:pPr>
    </w:p>
    <w:p w:rsidR="00841A47" w:rsidRDefault="008C1173" w:rsidP="008C1173">
      <w:pPr>
        <w:rPr>
          <w:noProof/>
        </w:rPr>
      </w:pPr>
      <w:r>
        <w:rPr>
          <w:noProof/>
        </w:rPr>
        <w:t>Please let us know if you have any questions or concerns.  If you approve, we will enter the information into ROCIS.</w:t>
      </w:r>
    </w:p>
    <w:p w:rsidR="008C1173" w:rsidRDefault="008C1173" w:rsidP="008C1173">
      <w:pPr>
        <w:rPr>
          <w:noProof/>
        </w:rPr>
      </w:pPr>
    </w:p>
    <w:p w:rsidR="00280813" w:rsidRPr="008C1173" w:rsidRDefault="00280813" w:rsidP="008C1173">
      <w:pPr>
        <w:rPr>
          <w:rFonts w:eastAsia="Calibri"/>
        </w:rPr>
      </w:pPr>
      <w:r>
        <w:rPr>
          <w:noProof/>
        </w:rPr>
        <w:t>Cc: Caldwell Jackson</w:t>
      </w:r>
    </w:p>
    <w:sectPr w:rsidR="00280813" w:rsidRPr="008C1173" w:rsidSect="00176BB8">
      <w:headerReference w:type="default" r:id="rId12"/>
      <w:footerReference w:type="even" r:id="rId13"/>
      <w:footerReference w:type="default" r:id="rId14"/>
      <w:headerReference w:type="first" r:id="rId15"/>
      <w:pgSz w:w="12240" w:h="15840" w:code="1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C8E" w:rsidRDefault="00552C8E" w:rsidP="00F453D7">
      <w:r>
        <w:separator/>
      </w:r>
    </w:p>
  </w:endnote>
  <w:endnote w:type="continuationSeparator" w:id="0">
    <w:p w:rsidR="00552C8E" w:rsidRDefault="00552C8E" w:rsidP="00F4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42B" w:rsidRDefault="0059342B" w:rsidP="00932C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342B" w:rsidRDefault="005934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42B" w:rsidRDefault="0059342B" w:rsidP="00932C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1E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9342B" w:rsidRDefault="0059342B" w:rsidP="00932C1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C8E" w:rsidRDefault="00552C8E" w:rsidP="00F453D7">
      <w:r>
        <w:separator/>
      </w:r>
    </w:p>
  </w:footnote>
  <w:footnote w:type="continuationSeparator" w:id="0">
    <w:p w:rsidR="00552C8E" w:rsidRDefault="00552C8E" w:rsidP="00F45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42B" w:rsidRDefault="0059342B" w:rsidP="00542BB9">
    <w:pPr>
      <w:pStyle w:val="Header"/>
      <w:tabs>
        <w:tab w:val="right" w:pos="4320"/>
      </w:tabs>
    </w:pPr>
    <w:r>
      <w:tab/>
    </w:r>
    <w:r>
      <w:tab/>
    </w:r>
  </w:p>
  <w:p w:rsidR="0059342B" w:rsidRDefault="005934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0" w:type="dxa"/>
      <w:tblInd w:w="-612" w:type="dxa"/>
      <w:tblLook w:val="00A0" w:firstRow="1" w:lastRow="0" w:firstColumn="1" w:lastColumn="0" w:noHBand="0" w:noVBand="0"/>
    </w:tblPr>
    <w:tblGrid>
      <w:gridCol w:w="1620"/>
      <w:gridCol w:w="9360"/>
    </w:tblGrid>
    <w:tr w:rsidR="0059342B" w:rsidTr="00C60BE0">
      <w:trPr>
        <w:trHeight w:val="710"/>
      </w:trPr>
      <w:tc>
        <w:tcPr>
          <w:tcW w:w="1620" w:type="dxa"/>
        </w:tcPr>
        <w:p w:rsidR="0059342B" w:rsidRPr="00C60BE0" w:rsidRDefault="0059342B" w:rsidP="00932C16">
          <w:pPr>
            <w:pStyle w:val="Head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DA53122" wp14:editId="155A9E00">
                <wp:extent cx="800100" cy="638175"/>
                <wp:effectExtent l="0" t="0" r="0" b="0"/>
                <wp:docPr id="7" name="Picture 7" descr="HHS_BLUE_LOGO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HS_BLUE_LOGO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0" w:type="dxa"/>
        </w:tcPr>
        <w:p w:rsidR="0059342B" w:rsidRPr="00C60BE0" w:rsidRDefault="0059342B" w:rsidP="00932C16">
          <w:pPr>
            <w:pStyle w:val="Header"/>
            <w:rPr>
              <w:color w:val="333399"/>
              <w:sz w:val="20"/>
            </w:rPr>
          </w:pPr>
        </w:p>
        <w:p w:rsidR="0059342B" w:rsidRPr="00C60BE0" w:rsidRDefault="0059342B" w:rsidP="00C60BE0">
          <w:pPr>
            <w:pStyle w:val="Header"/>
            <w:pBdr>
              <w:bottom w:val="single" w:sz="12" w:space="1" w:color="auto"/>
            </w:pBdr>
            <w:rPr>
              <w:color w:val="000080"/>
              <w:sz w:val="20"/>
            </w:rPr>
          </w:pPr>
          <w:r w:rsidRPr="00C60BE0">
            <w:rPr>
              <w:b/>
              <w:color w:val="000080"/>
              <w:sz w:val="20"/>
            </w:rPr>
            <w:t>DEPARTMENT OF HEALTH &amp; HUMAN SERVICES</w:t>
          </w:r>
          <w:r w:rsidRPr="00C60BE0">
            <w:rPr>
              <w:color w:val="000080"/>
              <w:sz w:val="20"/>
            </w:rPr>
            <w:t xml:space="preserve">                      </w:t>
          </w:r>
          <w:r>
            <w:rPr>
              <w:color w:val="000080"/>
              <w:sz w:val="20"/>
            </w:rPr>
            <w:t xml:space="preserve">  </w:t>
          </w:r>
          <w:r>
            <w:rPr>
              <w:color w:val="000080"/>
              <w:sz w:val="20"/>
              <w:szCs w:val="20"/>
            </w:rPr>
            <w:t>Administration for Community Living</w:t>
          </w:r>
        </w:p>
        <w:p w:rsidR="0059342B" w:rsidRPr="00C60BE0" w:rsidRDefault="0059342B" w:rsidP="00932C16">
          <w:pPr>
            <w:pStyle w:val="Header"/>
            <w:rPr>
              <w:sz w:val="20"/>
              <w:szCs w:val="20"/>
            </w:rPr>
          </w:pPr>
          <w:r w:rsidRPr="00C60BE0">
            <w:rPr>
              <w:color w:val="000080"/>
              <w:sz w:val="22"/>
              <w:szCs w:val="22"/>
            </w:rPr>
            <w:t xml:space="preserve">                                                                                                                               </w:t>
          </w:r>
          <w:r>
            <w:rPr>
              <w:color w:val="000080"/>
              <w:sz w:val="22"/>
              <w:szCs w:val="22"/>
            </w:rPr>
            <w:t xml:space="preserve"> </w:t>
          </w:r>
          <w:r w:rsidRPr="00C60BE0">
            <w:rPr>
              <w:color w:val="000080"/>
              <w:sz w:val="20"/>
              <w:szCs w:val="20"/>
            </w:rPr>
            <w:t>Washington, D.C. 20201</w:t>
          </w:r>
        </w:p>
      </w:tc>
    </w:tr>
  </w:tbl>
  <w:p w:rsidR="0059342B" w:rsidRDefault="005934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3526"/>
    <w:multiLevelType w:val="hybridMultilevel"/>
    <w:tmpl w:val="68B450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73AF6"/>
    <w:multiLevelType w:val="hybridMultilevel"/>
    <w:tmpl w:val="684818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852D2"/>
    <w:multiLevelType w:val="hybridMultilevel"/>
    <w:tmpl w:val="29B8BC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8F0DF8"/>
    <w:multiLevelType w:val="hybridMultilevel"/>
    <w:tmpl w:val="2868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A3665C"/>
    <w:multiLevelType w:val="hybridMultilevel"/>
    <w:tmpl w:val="2D1A9262"/>
    <w:lvl w:ilvl="0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>
    <w:nsid w:val="2C8075E2"/>
    <w:multiLevelType w:val="hybridMultilevel"/>
    <w:tmpl w:val="03E26EEC"/>
    <w:lvl w:ilvl="0" w:tplc="C9926C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578A6"/>
    <w:multiLevelType w:val="hybridMultilevel"/>
    <w:tmpl w:val="027C9C72"/>
    <w:lvl w:ilvl="0" w:tplc="30FCB86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8739C"/>
    <w:multiLevelType w:val="hybridMultilevel"/>
    <w:tmpl w:val="E2E2AC46"/>
    <w:lvl w:ilvl="0" w:tplc="4A04E154">
      <w:start w:val="1"/>
      <w:numFmt w:val="lowerLetter"/>
      <w:lvlText w:val="(%1)"/>
      <w:lvlJc w:val="left"/>
      <w:pPr>
        <w:ind w:left="420" w:hanging="360"/>
      </w:pPr>
      <w:rPr>
        <w:rFonts w:eastAsiaTheme="minorHAnsi"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2A64B20"/>
    <w:multiLevelType w:val="hybridMultilevel"/>
    <w:tmpl w:val="BF76C8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543D2C"/>
    <w:multiLevelType w:val="hybridMultilevel"/>
    <w:tmpl w:val="E51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F45457"/>
    <w:multiLevelType w:val="hybridMultilevel"/>
    <w:tmpl w:val="CD9C7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A7789"/>
    <w:multiLevelType w:val="hybridMultilevel"/>
    <w:tmpl w:val="0F429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10"/>
  </w:num>
  <w:num w:numId="6">
    <w:abstractNumId w:val="11"/>
  </w:num>
  <w:num w:numId="7">
    <w:abstractNumId w:val="9"/>
  </w:num>
  <w:num w:numId="8">
    <w:abstractNumId w:val="3"/>
  </w:num>
  <w:num w:numId="9">
    <w:abstractNumId w:val="6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D7"/>
    <w:rsid w:val="00005235"/>
    <w:rsid w:val="00021DB6"/>
    <w:rsid w:val="00031E4B"/>
    <w:rsid w:val="000904FD"/>
    <w:rsid w:val="000F22D5"/>
    <w:rsid w:val="00115B03"/>
    <w:rsid w:val="0013379F"/>
    <w:rsid w:val="00134AFF"/>
    <w:rsid w:val="0016180A"/>
    <w:rsid w:val="00167B49"/>
    <w:rsid w:val="00176BB8"/>
    <w:rsid w:val="00177F03"/>
    <w:rsid w:val="00187955"/>
    <w:rsid w:val="00192294"/>
    <w:rsid w:val="001946D6"/>
    <w:rsid w:val="001A6304"/>
    <w:rsid w:val="001B1C13"/>
    <w:rsid w:val="001F6495"/>
    <w:rsid w:val="0020697E"/>
    <w:rsid w:val="00280813"/>
    <w:rsid w:val="002B628C"/>
    <w:rsid w:val="002B659A"/>
    <w:rsid w:val="002C50B7"/>
    <w:rsid w:val="002D12D8"/>
    <w:rsid w:val="002E0468"/>
    <w:rsid w:val="00331876"/>
    <w:rsid w:val="00333E49"/>
    <w:rsid w:val="00342AC7"/>
    <w:rsid w:val="003601D4"/>
    <w:rsid w:val="003B07E2"/>
    <w:rsid w:val="003B2A4C"/>
    <w:rsid w:val="003C2361"/>
    <w:rsid w:val="003E1F88"/>
    <w:rsid w:val="003E2EA4"/>
    <w:rsid w:val="00411634"/>
    <w:rsid w:val="00424B88"/>
    <w:rsid w:val="00431003"/>
    <w:rsid w:val="00491ECA"/>
    <w:rsid w:val="00525A29"/>
    <w:rsid w:val="00542BB9"/>
    <w:rsid w:val="00552C8E"/>
    <w:rsid w:val="00565B2C"/>
    <w:rsid w:val="00573DC7"/>
    <w:rsid w:val="00582C14"/>
    <w:rsid w:val="0059342B"/>
    <w:rsid w:val="00596155"/>
    <w:rsid w:val="005A095B"/>
    <w:rsid w:val="005A2D04"/>
    <w:rsid w:val="005A3D35"/>
    <w:rsid w:val="005B690E"/>
    <w:rsid w:val="005F1002"/>
    <w:rsid w:val="00626C86"/>
    <w:rsid w:val="006A5B6F"/>
    <w:rsid w:val="006B1788"/>
    <w:rsid w:val="006C75CB"/>
    <w:rsid w:val="007046DC"/>
    <w:rsid w:val="00711BDC"/>
    <w:rsid w:val="00722ACB"/>
    <w:rsid w:val="00755869"/>
    <w:rsid w:val="00790A7A"/>
    <w:rsid w:val="007B0E84"/>
    <w:rsid w:val="007D107E"/>
    <w:rsid w:val="007E6725"/>
    <w:rsid w:val="007F7E20"/>
    <w:rsid w:val="00816625"/>
    <w:rsid w:val="00822B63"/>
    <w:rsid w:val="00841A47"/>
    <w:rsid w:val="0089332F"/>
    <w:rsid w:val="008A5CE5"/>
    <w:rsid w:val="008B1904"/>
    <w:rsid w:val="008C1173"/>
    <w:rsid w:val="008C7875"/>
    <w:rsid w:val="008D3667"/>
    <w:rsid w:val="008F2732"/>
    <w:rsid w:val="008F7045"/>
    <w:rsid w:val="0091590E"/>
    <w:rsid w:val="00923CBA"/>
    <w:rsid w:val="0093149F"/>
    <w:rsid w:val="00932C16"/>
    <w:rsid w:val="009425D5"/>
    <w:rsid w:val="00993D0F"/>
    <w:rsid w:val="009E14FF"/>
    <w:rsid w:val="00A21AEF"/>
    <w:rsid w:val="00A449F8"/>
    <w:rsid w:val="00A66E5E"/>
    <w:rsid w:val="00A81FDF"/>
    <w:rsid w:val="00A95ACC"/>
    <w:rsid w:val="00AA0322"/>
    <w:rsid w:val="00AF63F7"/>
    <w:rsid w:val="00B1750F"/>
    <w:rsid w:val="00B330FE"/>
    <w:rsid w:val="00BA734E"/>
    <w:rsid w:val="00BD60FE"/>
    <w:rsid w:val="00C02571"/>
    <w:rsid w:val="00C06782"/>
    <w:rsid w:val="00C14855"/>
    <w:rsid w:val="00C156A5"/>
    <w:rsid w:val="00C21A1A"/>
    <w:rsid w:val="00C251F9"/>
    <w:rsid w:val="00C60BE0"/>
    <w:rsid w:val="00C7727B"/>
    <w:rsid w:val="00CA0A99"/>
    <w:rsid w:val="00CA2074"/>
    <w:rsid w:val="00CC08FD"/>
    <w:rsid w:val="00CE065B"/>
    <w:rsid w:val="00CF0A7C"/>
    <w:rsid w:val="00CF210E"/>
    <w:rsid w:val="00D213CC"/>
    <w:rsid w:val="00D22E19"/>
    <w:rsid w:val="00D503C2"/>
    <w:rsid w:val="00D517A5"/>
    <w:rsid w:val="00D541B3"/>
    <w:rsid w:val="00D640AA"/>
    <w:rsid w:val="00D80063"/>
    <w:rsid w:val="00D905FA"/>
    <w:rsid w:val="00DA19AB"/>
    <w:rsid w:val="00DA1A49"/>
    <w:rsid w:val="00DE3D67"/>
    <w:rsid w:val="00E065C1"/>
    <w:rsid w:val="00E22E14"/>
    <w:rsid w:val="00E25673"/>
    <w:rsid w:val="00E26F2E"/>
    <w:rsid w:val="00E34832"/>
    <w:rsid w:val="00E455E8"/>
    <w:rsid w:val="00E90402"/>
    <w:rsid w:val="00EB633F"/>
    <w:rsid w:val="00EB6F14"/>
    <w:rsid w:val="00EF5D23"/>
    <w:rsid w:val="00F416D8"/>
    <w:rsid w:val="00F453D7"/>
    <w:rsid w:val="00F653C9"/>
    <w:rsid w:val="00F90700"/>
    <w:rsid w:val="00FA121C"/>
    <w:rsid w:val="00FF62DA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3D7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F453D7"/>
    <w:pPr>
      <w:keepNext/>
      <w:ind w:left="-360"/>
      <w:outlineLvl w:val="0"/>
    </w:pPr>
    <w:rPr>
      <w:b/>
      <w:bCs/>
      <w:kern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53D7"/>
    <w:rPr>
      <w:rFonts w:eastAsia="Times New Roman"/>
      <w:b/>
      <w:bCs/>
      <w:kern w:val="36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F453D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453D7"/>
    <w:rPr>
      <w:rFonts w:eastAsia="Times New Roman"/>
      <w:szCs w:val="24"/>
    </w:rPr>
  </w:style>
  <w:style w:type="paragraph" w:styleId="Footer">
    <w:name w:val="footer"/>
    <w:basedOn w:val="Normal"/>
    <w:link w:val="FooterChar"/>
    <w:rsid w:val="00F453D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453D7"/>
    <w:rPr>
      <w:rFonts w:eastAsia="Times New Roman"/>
      <w:szCs w:val="24"/>
    </w:rPr>
  </w:style>
  <w:style w:type="table" w:styleId="TableGrid">
    <w:name w:val="Table Grid"/>
    <w:basedOn w:val="TableNormal"/>
    <w:uiPriority w:val="59"/>
    <w:rsid w:val="00F453D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453D7"/>
  </w:style>
  <w:style w:type="paragraph" w:styleId="ListParagraph">
    <w:name w:val="List Paragraph"/>
    <w:basedOn w:val="Normal"/>
    <w:uiPriority w:val="34"/>
    <w:qFormat/>
    <w:rsid w:val="00F453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D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07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A3D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A3D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3D35"/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D541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3D7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F453D7"/>
    <w:pPr>
      <w:keepNext/>
      <w:ind w:left="-360"/>
      <w:outlineLvl w:val="0"/>
    </w:pPr>
    <w:rPr>
      <w:b/>
      <w:bCs/>
      <w:kern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53D7"/>
    <w:rPr>
      <w:rFonts w:eastAsia="Times New Roman"/>
      <w:b/>
      <w:bCs/>
      <w:kern w:val="36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F453D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453D7"/>
    <w:rPr>
      <w:rFonts w:eastAsia="Times New Roman"/>
      <w:szCs w:val="24"/>
    </w:rPr>
  </w:style>
  <w:style w:type="paragraph" w:styleId="Footer">
    <w:name w:val="footer"/>
    <w:basedOn w:val="Normal"/>
    <w:link w:val="FooterChar"/>
    <w:rsid w:val="00F453D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453D7"/>
    <w:rPr>
      <w:rFonts w:eastAsia="Times New Roman"/>
      <w:szCs w:val="24"/>
    </w:rPr>
  </w:style>
  <w:style w:type="table" w:styleId="TableGrid">
    <w:name w:val="Table Grid"/>
    <w:basedOn w:val="TableNormal"/>
    <w:uiPriority w:val="59"/>
    <w:rsid w:val="00F453D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453D7"/>
  </w:style>
  <w:style w:type="paragraph" w:styleId="ListParagraph">
    <w:name w:val="List Paragraph"/>
    <w:basedOn w:val="Normal"/>
    <w:uiPriority w:val="34"/>
    <w:qFormat/>
    <w:rsid w:val="00F453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D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07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A3D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A3D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3D35"/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D541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Health and Human Services</dc:creator>
  <cp:lastModifiedBy>SYSTEM</cp:lastModifiedBy>
  <cp:revision>2</cp:revision>
  <cp:lastPrinted>2018-07-23T19:15:00Z</cp:lastPrinted>
  <dcterms:created xsi:type="dcterms:W3CDTF">2018-12-19T19:20:00Z</dcterms:created>
  <dcterms:modified xsi:type="dcterms:W3CDTF">2018-12-19T19:20:00Z</dcterms:modified>
</cp:coreProperties>
</file>