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D48" w:rsidRPr="00F87A66" w:rsidRDefault="009E3D48" w:rsidP="009E3D48">
      <w:pPr>
        <w:jc w:val="center"/>
        <w:rPr>
          <w:rFonts w:asciiTheme="minorHAnsi" w:hAnsiTheme="minorHAnsi"/>
          <w:b/>
          <w:bCs/>
          <w:sz w:val="22"/>
        </w:rPr>
      </w:pPr>
      <w:bookmarkStart w:id="0" w:name="_GoBack"/>
      <w:bookmarkEnd w:id="0"/>
      <w:r w:rsidRPr="00F87A66">
        <w:rPr>
          <w:rFonts w:asciiTheme="minorHAnsi" w:hAnsiTheme="minorHAnsi"/>
          <w:b/>
          <w:bCs/>
          <w:sz w:val="22"/>
        </w:rPr>
        <w:t>SUPPORTING STATEMENT</w:t>
      </w:r>
    </w:p>
    <w:p w:rsidR="00A24315" w:rsidRDefault="00A24315" w:rsidP="009E3D48">
      <w:pPr>
        <w:jc w:val="center"/>
        <w:rPr>
          <w:rFonts w:asciiTheme="minorHAnsi" w:hAnsiTheme="minorHAnsi"/>
          <w:b/>
          <w:bCs/>
          <w:sz w:val="22"/>
        </w:rPr>
      </w:pPr>
      <w:r w:rsidRPr="00F87A66">
        <w:rPr>
          <w:rFonts w:asciiTheme="minorHAnsi" w:hAnsiTheme="minorHAnsi"/>
          <w:b/>
          <w:bCs/>
          <w:sz w:val="22"/>
        </w:rPr>
        <w:t>Internal Revenue Service (IRS)</w:t>
      </w:r>
    </w:p>
    <w:p w:rsidR="00163E8B" w:rsidRDefault="00E37E63" w:rsidP="009E3D48">
      <w:pPr>
        <w:jc w:val="center"/>
        <w:rPr>
          <w:rFonts w:asciiTheme="minorHAnsi" w:hAnsiTheme="minorHAnsi"/>
          <w:b/>
          <w:bCs/>
          <w:sz w:val="22"/>
        </w:rPr>
      </w:pPr>
      <w:bookmarkStart w:id="1" w:name="_Hlk536793628"/>
      <w:r w:rsidRPr="00E37E63">
        <w:rPr>
          <w:rFonts w:asciiTheme="minorHAnsi" w:hAnsiTheme="minorHAnsi"/>
          <w:b/>
          <w:bCs/>
          <w:sz w:val="22"/>
        </w:rPr>
        <w:t>Notice of Expatriation and Waiver of Treaty Benefits</w:t>
      </w:r>
    </w:p>
    <w:bookmarkEnd w:id="1"/>
    <w:p w:rsidR="009302A1" w:rsidRPr="00F87A66" w:rsidRDefault="00163E8B" w:rsidP="009E3D48">
      <w:pPr>
        <w:jc w:val="center"/>
        <w:rPr>
          <w:rFonts w:asciiTheme="minorHAnsi" w:hAnsiTheme="minorHAnsi"/>
          <w:b/>
          <w:bCs/>
          <w:sz w:val="22"/>
        </w:rPr>
      </w:pPr>
      <w:r w:rsidRPr="00163E8B">
        <w:rPr>
          <w:rFonts w:asciiTheme="minorHAnsi" w:hAnsiTheme="minorHAnsi"/>
          <w:b/>
          <w:bCs/>
          <w:sz w:val="22"/>
        </w:rPr>
        <w:t xml:space="preserve">Form </w:t>
      </w:r>
      <w:r w:rsidR="00E37E63">
        <w:rPr>
          <w:rFonts w:asciiTheme="minorHAnsi" w:hAnsiTheme="minorHAnsi"/>
          <w:b/>
          <w:bCs/>
          <w:sz w:val="22"/>
        </w:rPr>
        <w:t>W8-CE</w:t>
      </w:r>
    </w:p>
    <w:p w:rsidR="00F87A66" w:rsidRPr="00F87A66" w:rsidRDefault="00F87A66" w:rsidP="009E3D48">
      <w:pPr>
        <w:jc w:val="center"/>
        <w:rPr>
          <w:rFonts w:asciiTheme="minorHAnsi" w:hAnsiTheme="minorHAnsi"/>
          <w:b/>
          <w:bCs/>
          <w:sz w:val="22"/>
        </w:rPr>
      </w:pPr>
      <w:r>
        <w:rPr>
          <w:rFonts w:asciiTheme="minorHAnsi" w:hAnsiTheme="minorHAnsi"/>
          <w:b/>
          <w:bCs/>
          <w:sz w:val="22"/>
        </w:rPr>
        <w:t>OMB Control Number 1545-</w:t>
      </w:r>
      <w:r w:rsidR="00E37E63">
        <w:rPr>
          <w:rFonts w:asciiTheme="minorHAnsi" w:hAnsiTheme="minorHAnsi"/>
          <w:b/>
          <w:bCs/>
          <w:sz w:val="22"/>
        </w:rPr>
        <w:t>2138</w:t>
      </w:r>
    </w:p>
    <w:p w:rsidR="009E3D48" w:rsidRPr="00DC1585" w:rsidRDefault="009E3D48" w:rsidP="009E3D48">
      <w:pPr>
        <w:rPr>
          <w:rFonts w:asciiTheme="minorHAnsi" w:hAnsiTheme="minorHAnsi"/>
          <w:b/>
          <w:bCs/>
          <w:sz w:val="22"/>
          <w:u w:val="single"/>
        </w:rPr>
      </w:pPr>
    </w:p>
    <w:p w:rsidR="009E3D48" w:rsidRDefault="009E3D48" w:rsidP="009E3D48">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00197CEF" w:rsidRPr="00197CEF" w:rsidRDefault="00197CEF" w:rsidP="00197CEF">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1D050E" w:rsidRDefault="00E37E63" w:rsidP="00CF61FE">
      <w:pPr>
        <w:tabs>
          <w:tab w:val="left" w:pos="540"/>
        </w:tabs>
        <w:ind w:left="540" w:hanging="540"/>
        <w:rPr>
          <w:rFonts w:asciiTheme="minorHAnsi" w:hAnsiTheme="minorHAnsi"/>
          <w:sz w:val="22"/>
        </w:rPr>
      </w:pPr>
      <w:r>
        <w:rPr>
          <w:rFonts w:asciiTheme="minorHAnsi" w:hAnsiTheme="minorHAnsi"/>
          <w:sz w:val="22"/>
        </w:rPr>
        <w:t xml:space="preserve">           </w:t>
      </w:r>
      <w:r w:rsidRPr="00E37E63">
        <w:rPr>
          <w:rFonts w:asciiTheme="minorHAnsi" w:hAnsiTheme="minorHAnsi"/>
          <w:sz w:val="22"/>
        </w:rPr>
        <w:t>On June 17, 2008, Congress passed PL 110-245, which included section 301 adding a new Internal Revenue Code section 877A. Subparagraph (d)(3)(B) requires that affected taxpayers make certain representations to banks or other trustees.  Because no current form accommodated this, form W-8CE was developed for this purpose.</w:t>
      </w:r>
    </w:p>
    <w:p w:rsidR="00E37E63" w:rsidRDefault="00E37E63" w:rsidP="00CF61FE">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9E3D48" w:rsidRPr="00F87A66" w:rsidRDefault="009E3D48" w:rsidP="009E3D48">
      <w:pPr>
        <w:tabs>
          <w:tab w:val="left" w:pos="540"/>
        </w:tabs>
        <w:ind w:left="540" w:hanging="540"/>
        <w:rPr>
          <w:rFonts w:asciiTheme="minorHAnsi" w:hAnsiTheme="minorHAnsi"/>
          <w:sz w:val="22"/>
        </w:rPr>
      </w:pPr>
    </w:p>
    <w:p w:rsidR="00E20185" w:rsidRDefault="00E37E63" w:rsidP="00E37E63">
      <w:pPr>
        <w:widowControl w:val="0"/>
        <w:autoSpaceDE w:val="0"/>
        <w:autoSpaceDN w:val="0"/>
        <w:adjustRightInd w:val="0"/>
        <w:ind w:left="540"/>
        <w:rPr>
          <w:rFonts w:asciiTheme="minorHAnsi" w:eastAsia="Times New Roman" w:hAnsiTheme="minorHAnsi" w:cs="Times New Roman"/>
          <w:sz w:val="22"/>
        </w:rPr>
      </w:pPr>
      <w:r w:rsidRPr="00E37E63">
        <w:rPr>
          <w:rFonts w:asciiTheme="minorHAnsi" w:eastAsia="Times New Roman" w:hAnsiTheme="minorHAnsi" w:cs="Times New Roman"/>
          <w:sz w:val="22"/>
        </w:rPr>
        <w:t>Information used by taxpayer to notify payer of expatriation so that proper tax treatment is applied by payer. The taxpayer is required to file this form to obtain any benefit accorded by the statute.</w:t>
      </w:r>
    </w:p>
    <w:p w:rsidR="00E37E63" w:rsidRPr="00E37E63" w:rsidRDefault="00E37E63" w:rsidP="00E37E63">
      <w:pPr>
        <w:widowControl w:val="0"/>
        <w:autoSpaceDE w:val="0"/>
        <w:autoSpaceDN w:val="0"/>
        <w:adjustRightInd w:val="0"/>
        <w:ind w:left="540"/>
        <w:rPr>
          <w:rFonts w:asciiTheme="minorHAnsi" w:eastAsia="Times New Roman" w:hAnsiTheme="minorHAnsi" w:cs="Times New Roman"/>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IMPROVED INFORMATION TECHNOLOGY TO REDUCE BURDEN </w:t>
      </w:r>
    </w:p>
    <w:p w:rsidR="009E3D48" w:rsidRPr="00F87A66" w:rsidRDefault="009E3D48" w:rsidP="009E3D48">
      <w:pPr>
        <w:tabs>
          <w:tab w:val="left" w:pos="540"/>
        </w:tabs>
        <w:ind w:left="540" w:hanging="540"/>
        <w:rPr>
          <w:rFonts w:asciiTheme="minorHAnsi" w:hAnsiTheme="minorHAnsi"/>
          <w:sz w:val="22"/>
        </w:rPr>
      </w:pPr>
    </w:p>
    <w:p w:rsidR="00801000" w:rsidRPr="00801000" w:rsidRDefault="00E37E63" w:rsidP="00801000">
      <w:pPr>
        <w:ind w:left="540"/>
        <w:rPr>
          <w:rFonts w:asciiTheme="minorHAnsi" w:hAnsiTheme="minorHAnsi"/>
          <w:sz w:val="22"/>
        </w:rPr>
      </w:pPr>
      <w:r w:rsidRPr="00E37E63">
        <w:rPr>
          <w:rFonts w:asciiTheme="minorHAnsi" w:hAnsiTheme="minorHAnsi"/>
          <w:sz w:val="22"/>
        </w:rPr>
        <w:t>We have no plans at this time to offer electronic filing because of the low volume compared to the cost of electronic enabling.</w:t>
      </w:r>
    </w:p>
    <w:p w:rsidR="00E20185" w:rsidRPr="00F87A66" w:rsidRDefault="00E20185" w:rsidP="00801000">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009E3D48" w:rsidRPr="00F87A66" w:rsidRDefault="009E3D48" w:rsidP="009E3D48">
      <w:pPr>
        <w:tabs>
          <w:tab w:val="left" w:pos="540"/>
        </w:tabs>
        <w:ind w:left="540" w:hanging="540"/>
        <w:rPr>
          <w:rFonts w:asciiTheme="minorHAnsi" w:hAnsiTheme="minorHAnsi"/>
          <w:sz w:val="22"/>
        </w:rPr>
      </w:pPr>
    </w:p>
    <w:p w:rsidR="001D050E"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 xml:space="preserve">The information obtained through this collection is unique and is not already available or use or adaption from another source.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METHODS TO MINIMIZE BURDEN ON SMALL BUSINESSES OR OTHER SMALL ENTITIES </w:t>
      </w:r>
    </w:p>
    <w:p w:rsidR="009E3D48" w:rsidRPr="00F87A66" w:rsidRDefault="009E3D48" w:rsidP="009E3D48">
      <w:pPr>
        <w:tabs>
          <w:tab w:val="left" w:pos="540"/>
        </w:tabs>
        <w:ind w:left="540" w:hanging="540"/>
        <w:rPr>
          <w:rFonts w:asciiTheme="minorHAnsi" w:hAnsiTheme="minorHAnsi"/>
          <w:sz w:val="22"/>
        </w:rPr>
      </w:pPr>
    </w:p>
    <w:p w:rsidR="009E3D48"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There is no burden on small businesses or other small entities due to the inapplicability of the authorizing statute to this type of entity</w:t>
      </w:r>
      <w:r w:rsidRPr="00F87A66">
        <w:rPr>
          <w:rFonts w:asciiTheme="minorHAnsi" w:hAnsiTheme="minorHAnsi"/>
          <w:sz w:val="22"/>
        </w:rPr>
        <w:t>.</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009E3D48" w:rsidRPr="00F87A66" w:rsidRDefault="009E3D48" w:rsidP="009E3D48">
      <w:pPr>
        <w:tabs>
          <w:tab w:val="left" w:pos="540"/>
        </w:tabs>
        <w:ind w:left="540" w:hanging="540"/>
        <w:rPr>
          <w:rFonts w:asciiTheme="minorHAnsi" w:hAnsiTheme="minorHAnsi"/>
          <w:sz w:val="22"/>
        </w:rPr>
      </w:pPr>
    </w:p>
    <w:p w:rsidR="00A24315"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 information required is needed to verify compliance with the Internal Revenue Code of the Treasury Regulations. A less frequent collection of taxes and tax information could adversely affect the government’s effectiveness and would reduce the oversight of the public in ensuring compliance with Internal Revenue Code and hinder the IRS from meeting its mission.</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CB358B">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There are no special circumstances requiring data collection to be inconsistent with Guidelines in 5 CFR 1320.5(d)(2).</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895855">
        <w:rPr>
          <w:rFonts w:asciiTheme="minorHAnsi" w:hAnsiTheme="minorHAnsi"/>
          <w:b/>
          <w:sz w:val="22"/>
          <w:u w:val="single"/>
        </w:rPr>
        <w:lastRenderedPageBreak/>
        <w:t>CONSUL</w:t>
      </w:r>
      <w:r w:rsidRPr="00DC1585">
        <w:rPr>
          <w:rFonts w:asciiTheme="minorHAnsi" w:hAnsiTheme="minorHAnsi"/>
          <w:b/>
          <w:sz w:val="22"/>
          <w:u w:val="single"/>
        </w:rPr>
        <w:t xml:space="preserve">TATION WITH INDIVIDUALS OUTSIDE OF THE AGENCY ON AVAILABILITY OF DATA, FREQUENCY OF COLLECTION, CLARITY OF INSTRUCTIONS AND FORMS, AND DATA ELEMENTS </w:t>
      </w:r>
    </w:p>
    <w:p w:rsidR="009E3D48" w:rsidRDefault="009E3D48" w:rsidP="009E3D48">
      <w:pPr>
        <w:tabs>
          <w:tab w:val="left" w:pos="540"/>
        </w:tabs>
        <w:ind w:left="540" w:hanging="540"/>
        <w:rPr>
          <w:szCs w:val="24"/>
        </w:rPr>
      </w:pPr>
    </w:p>
    <w:p w:rsidR="00183523" w:rsidRPr="004606C9" w:rsidRDefault="009E3D48" w:rsidP="004606C9">
      <w:pPr>
        <w:tabs>
          <w:tab w:val="left" w:pos="540"/>
        </w:tabs>
        <w:ind w:left="540" w:hanging="540"/>
        <w:rPr>
          <w:rFonts w:asciiTheme="minorHAnsi" w:hAnsiTheme="minorHAnsi"/>
          <w:sz w:val="22"/>
        </w:rPr>
      </w:pPr>
      <w:r>
        <w:rPr>
          <w:szCs w:val="24"/>
        </w:rPr>
        <w:tab/>
      </w:r>
      <w:r w:rsidR="004606C9" w:rsidRPr="004606C9">
        <w:rPr>
          <w:rFonts w:asciiTheme="minorHAnsi" w:hAnsiTheme="minorHAnsi"/>
          <w:sz w:val="22"/>
        </w:rPr>
        <w:t>In response to the Federal Register notice dated</w:t>
      </w:r>
      <w:r w:rsidR="00277A26">
        <w:rPr>
          <w:rFonts w:asciiTheme="minorHAnsi" w:hAnsiTheme="minorHAnsi"/>
          <w:sz w:val="22"/>
        </w:rPr>
        <w:t xml:space="preserve"> </w:t>
      </w:r>
      <w:r w:rsidR="00895855">
        <w:rPr>
          <w:rFonts w:asciiTheme="minorHAnsi" w:hAnsiTheme="minorHAnsi"/>
          <w:sz w:val="22"/>
        </w:rPr>
        <w:t>November 1</w:t>
      </w:r>
      <w:r w:rsidR="006007BC">
        <w:rPr>
          <w:rFonts w:asciiTheme="minorHAnsi" w:hAnsiTheme="minorHAnsi"/>
          <w:sz w:val="22"/>
        </w:rPr>
        <w:t>8</w:t>
      </w:r>
      <w:r w:rsidR="004606C9" w:rsidRPr="004606C9">
        <w:rPr>
          <w:rFonts w:asciiTheme="minorHAnsi" w:hAnsiTheme="minorHAnsi"/>
          <w:sz w:val="22"/>
        </w:rPr>
        <w:t>, 201</w:t>
      </w:r>
      <w:r w:rsidR="002C7C4B">
        <w:rPr>
          <w:rFonts w:asciiTheme="minorHAnsi" w:hAnsiTheme="minorHAnsi"/>
          <w:sz w:val="22"/>
        </w:rPr>
        <w:t>8</w:t>
      </w:r>
      <w:r w:rsidR="004606C9" w:rsidRPr="004606C9">
        <w:rPr>
          <w:rFonts w:asciiTheme="minorHAnsi" w:hAnsiTheme="minorHAnsi"/>
          <w:sz w:val="22"/>
        </w:rPr>
        <w:t xml:space="preserve"> (8</w:t>
      </w:r>
      <w:r w:rsidR="002C7C4B">
        <w:rPr>
          <w:rFonts w:asciiTheme="minorHAnsi" w:hAnsiTheme="minorHAnsi"/>
          <w:sz w:val="22"/>
        </w:rPr>
        <w:t>3</w:t>
      </w:r>
      <w:r w:rsidR="004606C9" w:rsidRPr="004606C9">
        <w:rPr>
          <w:rFonts w:asciiTheme="minorHAnsi" w:hAnsiTheme="minorHAnsi"/>
          <w:sz w:val="22"/>
        </w:rPr>
        <w:t xml:space="preserve"> FR </w:t>
      </w:r>
      <w:r w:rsidR="00895855">
        <w:rPr>
          <w:rFonts w:asciiTheme="minorHAnsi" w:hAnsiTheme="minorHAnsi"/>
          <w:sz w:val="22"/>
        </w:rPr>
        <w:t>58689</w:t>
      </w:r>
      <w:r w:rsidR="004606C9" w:rsidRPr="004606C9">
        <w:rPr>
          <w:rFonts w:asciiTheme="minorHAnsi" w:hAnsiTheme="minorHAnsi"/>
          <w:sz w:val="22"/>
        </w:rPr>
        <w:t xml:space="preserve">), we received no comments during the comment period regarding these regulations.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RDefault="009E3D48" w:rsidP="009E3D48">
      <w:pPr>
        <w:tabs>
          <w:tab w:val="left" w:pos="540"/>
        </w:tabs>
        <w:ind w:left="540" w:hanging="540"/>
        <w:rPr>
          <w:rFonts w:asciiTheme="minorHAnsi" w:hAnsiTheme="minorHAnsi"/>
          <w:sz w:val="22"/>
        </w:rPr>
      </w:pPr>
    </w:p>
    <w:p w:rsidR="00A24315"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No payment or gift has been provided to any respondents.</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00183523" w:rsidRPr="00DC1585" w:rsidRDefault="00183523"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5E6135">
        <w:rPr>
          <w:rFonts w:asciiTheme="minorHAnsi" w:hAnsiTheme="minorHAnsi"/>
          <w:b/>
          <w:sz w:val="22"/>
          <w:u w:val="single"/>
        </w:rPr>
        <w:t>JUSTIFI</w:t>
      </w:r>
      <w:r w:rsidRPr="00DC1585">
        <w:rPr>
          <w:rFonts w:asciiTheme="minorHAnsi" w:hAnsiTheme="minorHAnsi"/>
          <w:b/>
          <w:sz w:val="22"/>
          <w:u w:val="single"/>
        </w:rPr>
        <w:t xml:space="preserve">CATION OF SENSITIVE QUESTIONS </w:t>
      </w:r>
    </w:p>
    <w:p w:rsidR="009E3D48" w:rsidRPr="00F87A66" w:rsidRDefault="009E3D48" w:rsidP="009E3D48">
      <w:pPr>
        <w:tabs>
          <w:tab w:val="left" w:pos="540"/>
        </w:tabs>
        <w:ind w:left="540" w:hanging="540"/>
        <w:rPr>
          <w:rFonts w:asciiTheme="minorHAnsi" w:hAnsiTheme="minorHAnsi"/>
          <w:b/>
          <w:sz w:val="22"/>
        </w:rPr>
      </w:pPr>
    </w:p>
    <w:p w:rsidR="00B860C5" w:rsidRDefault="00E37E63" w:rsidP="00637C90">
      <w:pPr>
        <w:ind w:left="540"/>
        <w:rPr>
          <w:rFonts w:asciiTheme="minorHAnsi" w:hAnsiTheme="minorHAnsi"/>
          <w:sz w:val="22"/>
        </w:rPr>
      </w:pPr>
      <w:r w:rsidRPr="00E37E63">
        <w:rPr>
          <w:rFonts w:asciiTheme="minorHAnsi" w:hAnsiTheme="minorHAnsi"/>
          <w:sz w:val="22"/>
        </w:rPr>
        <w:t>No personally identifiable information (PII) is collected.</w:t>
      </w:r>
      <w:r w:rsidR="005E6135">
        <w:rPr>
          <w:rFonts w:asciiTheme="minorHAnsi" w:hAnsiTheme="minorHAnsi"/>
          <w:sz w:val="22"/>
        </w:rPr>
        <w:t xml:space="preserve"> </w:t>
      </w:r>
    </w:p>
    <w:p w:rsidR="002C7C4B" w:rsidRPr="00BD1F42" w:rsidRDefault="002C7C4B" w:rsidP="00637C90">
      <w:pPr>
        <w:ind w:left="540"/>
        <w:rPr>
          <w:rFonts w:asciiTheme="minorHAnsi" w:hAnsiTheme="minorHAnsi"/>
          <w:sz w:val="22"/>
        </w:rPr>
      </w:pPr>
    </w:p>
    <w:p w:rsidR="00277A26" w:rsidRPr="00B860C5" w:rsidRDefault="009E3D48" w:rsidP="001B5BD6">
      <w:pPr>
        <w:pStyle w:val="ListParagraph"/>
        <w:numPr>
          <w:ilvl w:val="0"/>
          <w:numId w:val="1"/>
        </w:numPr>
        <w:tabs>
          <w:tab w:val="left" w:pos="540"/>
        </w:tabs>
        <w:ind w:left="540" w:hanging="540"/>
        <w:rPr>
          <w:rFonts w:asciiTheme="minorHAnsi" w:hAnsiTheme="minorHAnsi"/>
          <w:sz w:val="22"/>
        </w:rPr>
      </w:pPr>
      <w:r w:rsidRPr="00B860C5">
        <w:rPr>
          <w:rFonts w:asciiTheme="minorHAnsi" w:hAnsiTheme="minorHAnsi"/>
          <w:b/>
          <w:sz w:val="22"/>
          <w:u w:val="single"/>
        </w:rPr>
        <w:t xml:space="preserve">ESTIMATED BURDEN OF INFORMATION COLLECTION </w:t>
      </w:r>
    </w:p>
    <w:p w:rsidR="00B860C5" w:rsidRPr="00B860C5" w:rsidRDefault="00B860C5" w:rsidP="00B860C5">
      <w:pPr>
        <w:tabs>
          <w:tab w:val="left" w:pos="540"/>
        </w:tabs>
        <w:rPr>
          <w:rFonts w:asciiTheme="minorHAnsi" w:hAnsiTheme="minorHAnsi"/>
          <w:sz w:val="22"/>
        </w:rPr>
      </w:pP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00A648C2" w:rsidTr="00A648C2">
        <w:trPr>
          <w:trHeight w:val="675"/>
        </w:trPr>
        <w:tc>
          <w:tcPr>
            <w:tcW w:w="1635" w:type="dxa"/>
            <w:tcBorders>
              <w:top w:val="single" w:sz="8" w:space="0" w:color="auto"/>
              <w:left w:val="single" w:sz="8" w:space="0" w:color="auto"/>
              <w:bottom w:val="single" w:sz="8" w:space="0" w:color="auto"/>
              <w:right w:val="single" w:sz="8" w:space="0" w:color="auto"/>
            </w:tcBorders>
            <w:noWrap/>
            <w:vAlign w:val="center"/>
            <w:hideMark/>
          </w:tcPr>
          <w:p w:rsidR="00A648C2" w:rsidRDefault="009302A1">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Form</w:t>
            </w:r>
          </w:p>
        </w:tc>
        <w:tc>
          <w:tcPr>
            <w:tcW w:w="3060" w:type="dxa"/>
            <w:tcBorders>
              <w:top w:val="single" w:sz="8" w:space="0" w:color="auto"/>
              <w:left w:val="nil"/>
              <w:bottom w:val="single" w:sz="8" w:space="0" w:color="auto"/>
              <w:right w:val="single" w:sz="8" w:space="0" w:color="auto"/>
            </w:tcBorders>
            <w:noWrap/>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Description</w:t>
            </w:r>
          </w:p>
        </w:tc>
        <w:tc>
          <w:tcPr>
            <w:tcW w:w="99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rsidR="00A648C2" w:rsidRDefault="00A648C2">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00A648C2" w:rsidTr="00E37E63">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A648C2" w:rsidRDefault="00E37E6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W-8CE</w:t>
            </w:r>
          </w:p>
        </w:tc>
        <w:tc>
          <w:tcPr>
            <w:tcW w:w="3060" w:type="dxa"/>
            <w:tcBorders>
              <w:top w:val="single" w:sz="8" w:space="0" w:color="auto"/>
              <w:left w:val="single" w:sz="8" w:space="0" w:color="auto"/>
              <w:bottom w:val="single" w:sz="8" w:space="0" w:color="auto"/>
              <w:right w:val="single" w:sz="8" w:space="0" w:color="auto"/>
            </w:tcBorders>
            <w:vAlign w:val="center"/>
          </w:tcPr>
          <w:p w:rsidR="00A648C2" w:rsidRDefault="00E37E63" w:rsidP="005E6135">
            <w:pPr>
              <w:keepNext/>
              <w:keepLines/>
              <w:widowControl w:val="0"/>
              <w:autoSpaceDN w:val="0"/>
              <w:rPr>
                <w:rFonts w:ascii="Arial Narrow" w:hAnsi="Arial Narrow" w:cs="Calibri"/>
                <w:color w:val="000000"/>
                <w:sz w:val="20"/>
                <w:szCs w:val="20"/>
              </w:rPr>
            </w:pPr>
            <w:r w:rsidRPr="00E37E63">
              <w:rPr>
                <w:rFonts w:ascii="Arial Narrow" w:hAnsi="Arial Narrow" w:cs="Calibri"/>
                <w:color w:val="000000"/>
                <w:sz w:val="20"/>
                <w:szCs w:val="20"/>
              </w:rPr>
              <w:t>Notice of Expatriation and Waiver of Treaty Benefits</w:t>
            </w:r>
          </w:p>
        </w:tc>
        <w:tc>
          <w:tcPr>
            <w:tcW w:w="990" w:type="dxa"/>
            <w:tcBorders>
              <w:top w:val="single" w:sz="8" w:space="0" w:color="auto"/>
              <w:left w:val="nil"/>
              <w:bottom w:val="single" w:sz="8" w:space="0" w:color="auto"/>
              <w:right w:val="single" w:sz="8" w:space="0" w:color="auto"/>
            </w:tcBorders>
            <w:noWrap/>
            <w:vAlign w:val="center"/>
          </w:tcPr>
          <w:p w:rsidR="00A648C2" w:rsidRDefault="00E37E6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500</w:t>
            </w:r>
          </w:p>
        </w:tc>
        <w:tc>
          <w:tcPr>
            <w:tcW w:w="1170" w:type="dxa"/>
            <w:tcBorders>
              <w:top w:val="single" w:sz="8" w:space="0" w:color="auto"/>
              <w:left w:val="nil"/>
              <w:bottom w:val="single" w:sz="8" w:space="0" w:color="auto"/>
              <w:right w:val="single" w:sz="8" w:space="0" w:color="auto"/>
            </w:tcBorders>
            <w:noWrap/>
            <w:vAlign w:val="center"/>
          </w:tcPr>
          <w:p w:rsidR="00A648C2" w:rsidRDefault="00E37E6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A648C2" w:rsidRDefault="00E37E6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500</w:t>
            </w:r>
          </w:p>
        </w:tc>
        <w:tc>
          <w:tcPr>
            <w:tcW w:w="990" w:type="dxa"/>
            <w:tcBorders>
              <w:top w:val="single" w:sz="8" w:space="0" w:color="auto"/>
              <w:left w:val="nil"/>
              <w:bottom w:val="single" w:sz="8" w:space="0" w:color="auto"/>
              <w:right w:val="single" w:sz="8" w:space="0" w:color="auto"/>
            </w:tcBorders>
            <w:noWrap/>
            <w:vAlign w:val="center"/>
          </w:tcPr>
          <w:p w:rsidR="00A648C2" w:rsidRDefault="00E37E63"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5.68</w:t>
            </w:r>
          </w:p>
        </w:tc>
        <w:tc>
          <w:tcPr>
            <w:tcW w:w="1260" w:type="dxa"/>
            <w:tcBorders>
              <w:top w:val="single" w:sz="8" w:space="0" w:color="auto"/>
              <w:left w:val="nil"/>
              <w:bottom w:val="single" w:sz="8" w:space="0" w:color="auto"/>
              <w:right w:val="single" w:sz="8" w:space="0" w:color="auto"/>
            </w:tcBorders>
            <w:noWrap/>
            <w:vAlign w:val="center"/>
          </w:tcPr>
          <w:p w:rsidR="00A648C2" w:rsidRDefault="00E37E63"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2,840</w:t>
            </w:r>
          </w:p>
        </w:tc>
      </w:tr>
      <w:tr w:rsidR="006007BC" w:rsidTr="006007BC">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6007BC" w:rsidRDefault="00E37E6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w:t>
            </w:r>
          </w:p>
        </w:tc>
        <w:tc>
          <w:tcPr>
            <w:tcW w:w="3060" w:type="dxa"/>
            <w:tcBorders>
              <w:top w:val="single" w:sz="8" w:space="0" w:color="auto"/>
              <w:left w:val="single" w:sz="8" w:space="0" w:color="auto"/>
              <w:bottom w:val="single" w:sz="8" w:space="0" w:color="auto"/>
              <w:right w:val="single" w:sz="8" w:space="0" w:color="auto"/>
            </w:tcBorders>
            <w:vAlign w:val="center"/>
          </w:tcPr>
          <w:p w:rsidR="006007BC" w:rsidRDefault="006007BC" w:rsidP="005E6135">
            <w:pPr>
              <w:keepNext/>
              <w:keepLines/>
              <w:widowControl w:val="0"/>
              <w:autoSpaceDN w:val="0"/>
              <w:rPr>
                <w:rFonts w:ascii="Arial Narrow" w:hAnsi="Arial Narrow" w:cs="Calibri"/>
                <w:color w:val="000000"/>
                <w:sz w:val="20"/>
                <w:szCs w:val="20"/>
              </w:rPr>
            </w:pPr>
          </w:p>
        </w:tc>
        <w:tc>
          <w:tcPr>
            <w:tcW w:w="990" w:type="dxa"/>
            <w:tcBorders>
              <w:top w:val="single" w:sz="8" w:space="0" w:color="auto"/>
              <w:left w:val="nil"/>
              <w:bottom w:val="single" w:sz="8" w:space="0" w:color="auto"/>
              <w:right w:val="single" w:sz="8" w:space="0" w:color="auto"/>
            </w:tcBorders>
            <w:noWrap/>
            <w:vAlign w:val="center"/>
          </w:tcPr>
          <w:p w:rsidR="006007BC" w:rsidRDefault="00E37E6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500</w:t>
            </w:r>
          </w:p>
        </w:tc>
        <w:tc>
          <w:tcPr>
            <w:tcW w:w="1170" w:type="dxa"/>
            <w:tcBorders>
              <w:top w:val="single" w:sz="8" w:space="0" w:color="auto"/>
              <w:left w:val="nil"/>
              <w:bottom w:val="single" w:sz="8" w:space="0" w:color="auto"/>
              <w:right w:val="single" w:sz="8" w:space="0" w:color="auto"/>
            </w:tcBorders>
            <w:noWrap/>
            <w:vAlign w:val="center"/>
          </w:tcPr>
          <w:p w:rsidR="006007BC" w:rsidRDefault="00E37E6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6007BC" w:rsidRDefault="00E37E6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500</w:t>
            </w:r>
          </w:p>
        </w:tc>
        <w:tc>
          <w:tcPr>
            <w:tcW w:w="990" w:type="dxa"/>
            <w:tcBorders>
              <w:top w:val="single" w:sz="8" w:space="0" w:color="auto"/>
              <w:left w:val="nil"/>
              <w:bottom w:val="single" w:sz="8" w:space="0" w:color="auto"/>
              <w:right w:val="single" w:sz="8" w:space="0" w:color="auto"/>
            </w:tcBorders>
            <w:noWrap/>
            <w:vAlign w:val="center"/>
          </w:tcPr>
          <w:p w:rsidR="006007BC" w:rsidRDefault="00E37E63"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5.68</w:t>
            </w:r>
          </w:p>
        </w:tc>
        <w:tc>
          <w:tcPr>
            <w:tcW w:w="1260" w:type="dxa"/>
            <w:tcBorders>
              <w:top w:val="single" w:sz="8" w:space="0" w:color="auto"/>
              <w:left w:val="nil"/>
              <w:bottom w:val="single" w:sz="8" w:space="0" w:color="auto"/>
              <w:right w:val="single" w:sz="8" w:space="0" w:color="auto"/>
            </w:tcBorders>
            <w:noWrap/>
            <w:vAlign w:val="center"/>
          </w:tcPr>
          <w:p w:rsidR="006007BC" w:rsidRDefault="00E37E63"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2,840</w:t>
            </w:r>
          </w:p>
        </w:tc>
      </w:tr>
    </w:tbl>
    <w:p w:rsidR="006007BC" w:rsidRDefault="006007BC" w:rsidP="006007BC">
      <w:pPr>
        <w:autoSpaceDE w:val="0"/>
        <w:autoSpaceDN w:val="0"/>
        <w:adjustRightInd w:val="0"/>
        <w:ind w:left="540"/>
        <w:rPr>
          <w:rFonts w:asciiTheme="minorHAnsi" w:hAnsiTheme="minorHAnsi" w:cs="Times New Roman"/>
          <w:sz w:val="22"/>
        </w:rPr>
      </w:pPr>
    </w:p>
    <w:p w:rsidR="009E3D48" w:rsidRPr="00DC1585" w:rsidRDefault="0047046A" w:rsidP="006007BC">
      <w:pPr>
        <w:autoSpaceDE w:val="0"/>
        <w:autoSpaceDN w:val="0"/>
        <w:adjustRightInd w:val="0"/>
        <w:ind w:left="540"/>
        <w:rPr>
          <w:szCs w:val="24"/>
        </w:rPr>
      </w:pPr>
      <w:r>
        <w:rPr>
          <w:rFonts w:cs="Times New Roman"/>
          <w:szCs w:val="24"/>
        </w:rPr>
        <w:tab/>
      </w:r>
      <w:r w:rsidRPr="00DC1585">
        <w:rPr>
          <w:rFonts w:cs="Times New Roman"/>
          <w:szCs w:val="24"/>
        </w:rPr>
        <w:tab/>
      </w:r>
    </w:p>
    <w:p w:rsidR="009E3D48" w:rsidRPr="00DC1585" w:rsidRDefault="009E3D48" w:rsidP="006007BC">
      <w:pPr>
        <w:pStyle w:val="ListParagraph"/>
        <w:numPr>
          <w:ilvl w:val="0"/>
          <w:numId w:val="1"/>
        </w:numPr>
        <w:tabs>
          <w:tab w:val="left" w:pos="540"/>
        </w:tabs>
        <w:ind w:left="540" w:hanging="81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009E3D48" w:rsidRPr="00F87A66" w:rsidRDefault="009E3D48" w:rsidP="009E3D48">
      <w:pPr>
        <w:tabs>
          <w:tab w:val="left" w:pos="540"/>
        </w:tabs>
        <w:ind w:left="540" w:hanging="540"/>
        <w:rPr>
          <w:rFonts w:asciiTheme="minorHAnsi" w:hAnsiTheme="minorHAnsi"/>
          <w:b/>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9302A1">
        <w:rPr>
          <w:rFonts w:asciiTheme="minorHAnsi" w:hAnsiTheme="minorHAnsi"/>
          <w:sz w:val="22"/>
        </w:rPr>
        <w:t xml:space="preserve">   </w:t>
      </w:r>
    </w:p>
    <w:p w:rsidR="009E3D48" w:rsidRPr="00DC1585" w:rsidRDefault="009E3D48"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ANNUALIZED COST TO THE FEDERAL GOVERNMENT </w:t>
      </w:r>
    </w:p>
    <w:p w:rsidR="009E3D48" w:rsidRPr="00F87A66" w:rsidRDefault="009E3D48" w:rsidP="009E3D48">
      <w:pPr>
        <w:tabs>
          <w:tab w:val="left" w:pos="540"/>
        </w:tabs>
        <w:ind w:left="540" w:hanging="540"/>
        <w:rPr>
          <w:rFonts w:asciiTheme="minorHAnsi" w:hAnsiTheme="minorHAnsi"/>
          <w:sz w:val="22"/>
        </w:rPr>
      </w:pPr>
    </w:p>
    <w:p w:rsidR="00A35947" w:rsidRDefault="00A35947" w:rsidP="00E37E63">
      <w:pPr>
        <w:tabs>
          <w:tab w:val="left" w:pos="450"/>
        </w:tabs>
        <w:ind w:left="540"/>
        <w:rPr>
          <w:rFonts w:asciiTheme="minorHAnsi" w:hAnsiTheme="minorHAnsi"/>
          <w:sz w:val="22"/>
        </w:rPr>
      </w:pPr>
      <w:r w:rsidRPr="003B2E51">
        <w:rPr>
          <w:rFonts w:asciiTheme="minorHAnsi" w:hAnsiTheme="minorHAnsi"/>
          <w:sz w:val="22"/>
        </w:rPr>
        <w:t xml:space="preserve">The Federal government cost estimate is based on a model that considers the following three cost factors for each information </w:t>
      </w:r>
      <w:r>
        <w:rPr>
          <w:rFonts w:asciiTheme="minorHAnsi" w:hAnsiTheme="minorHAnsi"/>
          <w:sz w:val="22"/>
        </w:rPr>
        <w:t>product</w:t>
      </w:r>
      <w:r w:rsidRPr="003B2E51">
        <w:rPr>
          <w:rFonts w:asciiTheme="minorHAnsi" w:hAnsiTheme="minorHAnsi"/>
          <w:sz w:val="22"/>
        </w:rPr>
        <w:t>: aggregate labor costs for development</w:t>
      </w:r>
      <w:r>
        <w:rPr>
          <w:rFonts w:asciiTheme="minorHAnsi" w:hAnsiTheme="minorHAnsi"/>
          <w:sz w:val="22"/>
        </w:rPr>
        <w:t>, including annualized start up expenses</w:t>
      </w:r>
      <w:r w:rsidRPr="003B2E51">
        <w:rPr>
          <w:rFonts w:asciiTheme="minorHAnsi" w:hAnsiTheme="minorHAnsi"/>
          <w:sz w:val="22"/>
        </w:rPr>
        <w:t xml:space="preserve">, operating and maintenance expenses, and distribution of the </w:t>
      </w:r>
      <w:r>
        <w:rPr>
          <w:rFonts w:asciiTheme="minorHAnsi" w:hAnsiTheme="minorHAnsi"/>
          <w:sz w:val="22"/>
        </w:rPr>
        <w:t>product that collects the information</w:t>
      </w:r>
      <w:r w:rsidRPr="003B2E51">
        <w:rPr>
          <w:rFonts w:asciiTheme="minorHAnsi" w:hAnsiTheme="minorHAnsi"/>
          <w:sz w:val="22"/>
        </w:rPr>
        <w:t xml:space="preserve">.  </w:t>
      </w:r>
    </w:p>
    <w:p w:rsidR="00A35947" w:rsidRDefault="00A35947" w:rsidP="00A35947">
      <w:pPr>
        <w:ind w:left="360"/>
        <w:rPr>
          <w:rFonts w:asciiTheme="minorHAnsi" w:hAnsiTheme="minorHAnsi"/>
          <w:sz w:val="22"/>
        </w:rPr>
      </w:pPr>
    </w:p>
    <w:p w:rsidR="00A35947" w:rsidRDefault="00A35947" w:rsidP="00E37E63">
      <w:pPr>
        <w:ind w:left="540"/>
        <w:rPr>
          <w:rFonts w:asciiTheme="minorHAnsi" w:hAnsiTheme="minorHAnsi"/>
          <w:sz w:val="22"/>
        </w:rPr>
      </w:pPr>
      <w:r>
        <w:rPr>
          <w:rFonts w:asciiTheme="minorHAnsi" w:hAnsiTheme="minorHAnsi"/>
          <w:sz w:val="22"/>
        </w:rPr>
        <w:t xml:space="preserve">The government computes cost using a multi-step process.  First, the government </w:t>
      </w:r>
      <w:r w:rsidRPr="003D5F5B">
        <w:rPr>
          <w:rFonts w:asciiTheme="minorHAnsi" w:hAnsiTheme="minorHAnsi"/>
          <w:sz w:val="22"/>
        </w:rPr>
        <w:t>create</w:t>
      </w:r>
      <w:r>
        <w:rPr>
          <w:rFonts w:asciiTheme="minorHAnsi" w:hAnsiTheme="minorHAnsi"/>
          <w:sz w:val="22"/>
        </w:rPr>
        <w:t>s</w:t>
      </w:r>
      <w:r w:rsidRPr="003D5F5B">
        <w:rPr>
          <w:rFonts w:asciiTheme="minorHAnsi" w:hAnsiTheme="minorHAnsi"/>
          <w:sz w:val="22"/>
        </w:rPr>
        <w:t xml:space="preserve"> a weighted factor for the level of effort to create each information </w:t>
      </w:r>
      <w:r>
        <w:rPr>
          <w:rFonts w:asciiTheme="minorHAnsi" w:hAnsiTheme="minorHAnsi"/>
          <w:sz w:val="22"/>
        </w:rPr>
        <w:t>collection product</w:t>
      </w:r>
      <w:r w:rsidRPr="003D5F5B">
        <w:rPr>
          <w:rFonts w:asciiTheme="minorHAnsi" w:hAnsiTheme="minorHAnsi"/>
          <w:sz w:val="22"/>
        </w:rPr>
        <w:t xml:space="preserve"> based on variables such as; complexity, number of pages, type of product and frequency of revision. </w:t>
      </w:r>
      <w:r>
        <w:rPr>
          <w:rFonts w:asciiTheme="minorHAnsi" w:hAnsiTheme="minorHAnsi"/>
          <w:sz w:val="22"/>
        </w:rPr>
        <w:t xml:space="preserve"> Second, the</w:t>
      </w:r>
      <w:r w:rsidRPr="003D5F5B">
        <w:rPr>
          <w:rFonts w:asciiTheme="minorHAnsi" w:hAnsiTheme="minorHAnsi"/>
          <w:sz w:val="22"/>
        </w:rPr>
        <w:t xml:space="preserve"> </w:t>
      </w:r>
      <w:r>
        <w:rPr>
          <w:rFonts w:asciiTheme="minorHAnsi" w:hAnsiTheme="minorHAnsi"/>
          <w:sz w:val="22"/>
        </w:rPr>
        <w:t xml:space="preserve">total costs associated with developing the product such as labor cost, and operating </w:t>
      </w:r>
      <w:r>
        <w:rPr>
          <w:rFonts w:asciiTheme="minorHAnsi" w:hAnsiTheme="minorHAnsi"/>
          <w:sz w:val="22"/>
        </w:rPr>
        <w:lastRenderedPageBreak/>
        <w:t>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A35947" w:rsidRDefault="00A35947" w:rsidP="00A35947">
      <w:pPr>
        <w:ind w:left="360"/>
        <w:rPr>
          <w:rFonts w:asciiTheme="minorHAnsi" w:hAnsiTheme="minorHAnsi"/>
          <w:sz w:val="22"/>
        </w:rPr>
      </w:pPr>
    </w:p>
    <w:p w:rsidR="00A35947" w:rsidRDefault="00895855" w:rsidP="00A35947">
      <w:pPr>
        <w:ind w:left="360"/>
        <w:rPr>
          <w:rFonts w:asciiTheme="minorHAnsi" w:hAnsiTheme="minorHAnsi"/>
          <w:sz w:val="22"/>
        </w:rPr>
      </w:pPr>
      <w:r>
        <w:rPr>
          <w:rFonts w:asciiTheme="minorHAnsi" w:hAnsiTheme="minorHAnsi"/>
          <w:sz w:val="22"/>
        </w:rPr>
        <w:t xml:space="preserve">    </w:t>
      </w:r>
      <w:r w:rsidR="00A35947">
        <w:rPr>
          <w:rFonts w:asciiTheme="minorHAnsi" w:hAnsiTheme="minorHAnsi"/>
          <w:sz w:val="22"/>
        </w:rPr>
        <w:t>The government cost estimate for this collection is summarized in the table below.</w:t>
      </w:r>
    </w:p>
    <w:p w:rsidR="00A35947" w:rsidRDefault="00A35947" w:rsidP="00A35947">
      <w:pPr>
        <w:ind w:left="360"/>
        <w:rPr>
          <w:rFonts w:asciiTheme="minorHAnsi" w:hAnsiTheme="minorHAnsi"/>
          <w:sz w:val="22"/>
        </w:rPr>
      </w:pPr>
    </w:p>
    <w:tbl>
      <w:tblPr>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980"/>
        <w:gridCol w:w="303"/>
        <w:gridCol w:w="1745"/>
        <w:gridCol w:w="387"/>
        <w:gridCol w:w="1582"/>
      </w:tblGrid>
      <w:tr w:rsidR="00A35947" w:rsidRPr="008E4D11" w:rsidTr="0052663A">
        <w:tc>
          <w:tcPr>
            <w:tcW w:w="2358" w:type="dxa"/>
            <w:shd w:val="clear" w:color="auto" w:fill="auto"/>
            <w:vAlign w:val="bottom"/>
          </w:tcPr>
          <w:p w:rsidR="00A35947" w:rsidRPr="00E20033" w:rsidRDefault="00A35947" w:rsidP="0052663A">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00A35947" w:rsidRPr="00E20033" w:rsidRDefault="00A35947" w:rsidP="0052663A">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00A35947" w:rsidRPr="00E20033" w:rsidRDefault="00A35947" w:rsidP="0052663A">
            <w:pPr>
              <w:keepNext/>
              <w:keepLines/>
              <w:jc w:val="center"/>
              <w:rPr>
                <w:rFonts w:ascii="Arial Narrow" w:hAnsi="Arial Narrow"/>
                <w:b/>
                <w:sz w:val="18"/>
                <w:szCs w:val="18"/>
                <w:u w:val="single"/>
              </w:rPr>
            </w:pPr>
          </w:p>
        </w:tc>
        <w:tc>
          <w:tcPr>
            <w:tcW w:w="1745" w:type="dxa"/>
            <w:shd w:val="clear" w:color="auto" w:fill="auto"/>
            <w:vAlign w:val="bottom"/>
          </w:tcPr>
          <w:p w:rsidR="00A35947" w:rsidRPr="00E20033" w:rsidRDefault="00A35947" w:rsidP="0052663A">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00A35947" w:rsidRPr="00E20033" w:rsidRDefault="00A35947" w:rsidP="0052663A">
            <w:pPr>
              <w:keepNext/>
              <w:keepLines/>
              <w:jc w:val="center"/>
              <w:rPr>
                <w:rFonts w:ascii="Arial Narrow" w:hAnsi="Arial Narrow"/>
                <w:b/>
                <w:sz w:val="18"/>
                <w:szCs w:val="18"/>
                <w:u w:val="single"/>
              </w:rPr>
            </w:pPr>
          </w:p>
        </w:tc>
        <w:tc>
          <w:tcPr>
            <w:tcW w:w="1582" w:type="dxa"/>
            <w:shd w:val="clear" w:color="auto" w:fill="auto"/>
            <w:vAlign w:val="bottom"/>
          </w:tcPr>
          <w:p w:rsidR="00A35947" w:rsidRPr="00E20033" w:rsidRDefault="00A35947" w:rsidP="0052663A">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00A35947" w:rsidRPr="008E4D11" w:rsidTr="00651FD9">
        <w:tc>
          <w:tcPr>
            <w:tcW w:w="2358" w:type="dxa"/>
            <w:shd w:val="clear" w:color="auto" w:fill="auto"/>
            <w:vAlign w:val="bottom"/>
          </w:tcPr>
          <w:p w:rsidR="00A35947" w:rsidRPr="00E20033" w:rsidRDefault="00A35947" w:rsidP="00A35947">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sidR="00E37E63">
              <w:rPr>
                <w:rFonts w:ascii="Arial Narrow" w:hAnsi="Arial Narrow"/>
                <w:sz w:val="18"/>
                <w:szCs w:val="18"/>
              </w:rPr>
              <w:t>W-8CE</w:t>
            </w:r>
          </w:p>
        </w:tc>
        <w:tc>
          <w:tcPr>
            <w:tcW w:w="1980" w:type="dxa"/>
            <w:shd w:val="clear" w:color="auto" w:fill="auto"/>
            <w:vAlign w:val="bottom"/>
          </w:tcPr>
          <w:p w:rsidR="00A35947" w:rsidRPr="00E20033" w:rsidRDefault="00A35947" w:rsidP="00A35947">
            <w:pPr>
              <w:keepNext/>
              <w:keepLines/>
              <w:jc w:val="center"/>
              <w:rPr>
                <w:rFonts w:ascii="Arial Narrow" w:hAnsi="Arial Narrow"/>
                <w:sz w:val="18"/>
                <w:szCs w:val="18"/>
              </w:rPr>
            </w:pPr>
            <w:r w:rsidRPr="00651FD9">
              <w:rPr>
                <w:rFonts w:ascii="Arial Narrow" w:hAnsi="Arial Narrow"/>
                <w:sz w:val="18"/>
                <w:szCs w:val="18"/>
              </w:rPr>
              <w:t xml:space="preserve"> $    </w:t>
            </w:r>
            <w:r w:rsidR="00895855">
              <w:rPr>
                <w:rFonts w:ascii="Arial Narrow" w:hAnsi="Arial Narrow"/>
                <w:sz w:val="18"/>
                <w:szCs w:val="18"/>
              </w:rPr>
              <w:t>16,586</w:t>
            </w:r>
            <w:r w:rsidRPr="00651FD9">
              <w:rPr>
                <w:rFonts w:ascii="Arial Narrow" w:hAnsi="Arial Narrow"/>
                <w:sz w:val="18"/>
                <w:szCs w:val="18"/>
              </w:rPr>
              <w:t xml:space="preserve"> </w:t>
            </w:r>
          </w:p>
        </w:tc>
        <w:tc>
          <w:tcPr>
            <w:tcW w:w="303" w:type="dxa"/>
            <w:shd w:val="clear" w:color="auto" w:fill="auto"/>
          </w:tcPr>
          <w:p w:rsidR="00A35947" w:rsidRPr="00E20033" w:rsidRDefault="00A35947" w:rsidP="00A35947">
            <w:pPr>
              <w:keepNext/>
              <w:keepLines/>
              <w:jc w:val="center"/>
              <w:rPr>
                <w:rFonts w:ascii="Arial Narrow" w:hAnsi="Arial Narrow"/>
                <w:sz w:val="18"/>
                <w:szCs w:val="18"/>
              </w:rPr>
            </w:pPr>
          </w:p>
        </w:tc>
        <w:tc>
          <w:tcPr>
            <w:tcW w:w="1745" w:type="dxa"/>
            <w:shd w:val="clear" w:color="auto" w:fill="auto"/>
          </w:tcPr>
          <w:p w:rsidR="00A35947" w:rsidRPr="00E20033" w:rsidRDefault="00895855" w:rsidP="00A35947">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A35947" w:rsidRPr="00E20033" w:rsidRDefault="00A35947" w:rsidP="00A35947">
            <w:pPr>
              <w:keepNext/>
              <w:keepLines/>
              <w:jc w:val="center"/>
              <w:rPr>
                <w:rFonts w:ascii="Arial Narrow" w:hAnsi="Arial Narrow"/>
                <w:sz w:val="18"/>
                <w:szCs w:val="18"/>
              </w:rPr>
            </w:pPr>
          </w:p>
        </w:tc>
        <w:tc>
          <w:tcPr>
            <w:tcW w:w="1582" w:type="dxa"/>
            <w:shd w:val="clear" w:color="auto" w:fill="auto"/>
            <w:vAlign w:val="bottom"/>
          </w:tcPr>
          <w:p w:rsidR="00A35947" w:rsidRPr="00E20033" w:rsidRDefault="00A35947" w:rsidP="00A35947">
            <w:pPr>
              <w:keepNext/>
              <w:keepLines/>
              <w:jc w:val="center"/>
              <w:rPr>
                <w:rFonts w:ascii="Arial Narrow" w:hAnsi="Arial Narrow"/>
                <w:sz w:val="18"/>
                <w:szCs w:val="18"/>
              </w:rPr>
            </w:pPr>
            <w:r w:rsidRPr="0052663A">
              <w:rPr>
                <w:rFonts w:ascii="Arial Narrow" w:hAnsi="Arial Narrow"/>
                <w:sz w:val="18"/>
                <w:szCs w:val="18"/>
              </w:rPr>
              <w:t xml:space="preserve"> $    </w:t>
            </w:r>
            <w:r w:rsidR="00895855">
              <w:rPr>
                <w:rFonts w:ascii="Arial Narrow" w:hAnsi="Arial Narrow"/>
                <w:sz w:val="18"/>
                <w:szCs w:val="18"/>
              </w:rPr>
              <w:t>16,586</w:t>
            </w:r>
            <w:r w:rsidRPr="0052663A">
              <w:rPr>
                <w:rFonts w:ascii="Arial Narrow" w:hAnsi="Arial Narrow"/>
                <w:sz w:val="18"/>
                <w:szCs w:val="18"/>
              </w:rPr>
              <w:t xml:space="preserve"> </w:t>
            </w:r>
          </w:p>
        </w:tc>
      </w:tr>
      <w:tr w:rsidR="00A35947" w:rsidRPr="0055550C" w:rsidTr="0052663A">
        <w:tc>
          <w:tcPr>
            <w:tcW w:w="8355" w:type="dxa"/>
            <w:gridSpan w:val="6"/>
            <w:shd w:val="clear" w:color="auto" w:fill="auto"/>
          </w:tcPr>
          <w:p w:rsidR="00A35947" w:rsidRPr="00E20033" w:rsidRDefault="00A35947" w:rsidP="0052663A">
            <w:pPr>
              <w:keepNext/>
              <w:keepLines/>
              <w:rPr>
                <w:rFonts w:ascii="Arial Narrow" w:hAnsi="Arial Narrow"/>
                <w:sz w:val="18"/>
                <w:szCs w:val="18"/>
              </w:rPr>
            </w:pPr>
            <w:r w:rsidRPr="00E20033">
              <w:rPr>
                <w:rFonts w:ascii="Arial Narrow" w:hAnsi="Arial Narrow"/>
                <w:sz w:val="18"/>
                <w:szCs w:val="18"/>
              </w:rPr>
              <w:t>Table costs are based on 201</w:t>
            </w:r>
            <w:r w:rsidR="00895855">
              <w:rPr>
                <w:rFonts w:ascii="Arial Narrow" w:hAnsi="Arial Narrow"/>
                <w:sz w:val="18"/>
                <w:szCs w:val="18"/>
              </w:rPr>
              <w:t>8</w:t>
            </w:r>
            <w:r w:rsidRPr="00E20033">
              <w:rPr>
                <w:rFonts w:ascii="Arial Narrow" w:hAnsi="Arial Narrow"/>
                <w:sz w:val="18"/>
                <w:szCs w:val="18"/>
              </w:rPr>
              <w:t xml:space="preserve"> actuals obtained from IRS Chief Financial Office and Media and Publications</w:t>
            </w:r>
          </w:p>
        </w:tc>
      </w:tr>
      <w:tr w:rsidR="00A35947" w:rsidRPr="0055550C" w:rsidTr="0052663A">
        <w:tc>
          <w:tcPr>
            <w:tcW w:w="8355" w:type="dxa"/>
            <w:gridSpan w:val="6"/>
            <w:shd w:val="clear" w:color="auto" w:fill="auto"/>
          </w:tcPr>
          <w:p w:rsidR="00A35947" w:rsidRPr="00E20033" w:rsidRDefault="00A35947" w:rsidP="0052663A">
            <w:pPr>
              <w:keepNext/>
              <w:keepLines/>
              <w:rPr>
                <w:rFonts w:ascii="Arial Narrow" w:hAnsi="Arial Narrow"/>
                <w:sz w:val="18"/>
                <w:szCs w:val="18"/>
              </w:rPr>
            </w:pPr>
          </w:p>
        </w:tc>
      </w:tr>
    </w:tbl>
    <w:p w:rsidR="00D463E0" w:rsidRPr="00F87A66" w:rsidRDefault="00D463E0" w:rsidP="009E3D48">
      <w:pPr>
        <w:tabs>
          <w:tab w:val="left" w:pos="540"/>
        </w:tabs>
        <w:ind w:left="540" w:hanging="540"/>
        <w:rPr>
          <w:rFonts w:asciiTheme="minorHAnsi" w:hAnsiTheme="minorHAnsi"/>
          <w:b/>
          <w:sz w:val="22"/>
        </w:rPr>
      </w:pPr>
    </w:p>
    <w:p w:rsidR="00DB3926"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FOR CHANGE IN BURDEN </w:t>
      </w:r>
    </w:p>
    <w:p w:rsidR="00DB3926" w:rsidRPr="00F87A66" w:rsidRDefault="00DB3926" w:rsidP="00DB3926">
      <w:pPr>
        <w:pStyle w:val="ListParagraph"/>
        <w:tabs>
          <w:tab w:val="left" w:pos="540"/>
        </w:tabs>
        <w:ind w:left="540"/>
        <w:rPr>
          <w:rFonts w:asciiTheme="minorHAnsi" w:hAnsiTheme="minorHAnsi"/>
          <w:b/>
          <w:sz w:val="22"/>
        </w:rPr>
      </w:pPr>
    </w:p>
    <w:p w:rsidR="00CB358B" w:rsidRDefault="00DB3926" w:rsidP="00DB3926">
      <w:pPr>
        <w:tabs>
          <w:tab w:val="left" w:pos="540"/>
        </w:tabs>
        <w:ind w:left="540" w:hanging="540"/>
        <w:rPr>
          <w:rFonts w:asciiTheme="minorHAnsi" w:hAnsiTheme="minorHAnsi"/>
          <w:sz w:val="22"/>
        </w:rPr>
      </w:pPr>
      <w:r w:rsidRPr="00F87A66">
        <w:rPr>
          <w:rFonts w:asciiTheme="minorHAnsi" w:hAnsiTheme="minorHAnsi"/>
          <w:sz w:val="22"/>
        </w:rPr>
        <w:tab/>
      </w:r>
      <w:r w:rsidR="000104BB" w:rsidRPr="000104BB">
        <w:rPr>
          <w:rFonts w:asciiTheme="minorHAnsi" w:hAnsiTheme="minorHAnsi"/>
          <w:sz w:val="22"/>
        </w:rPr>
        <w:t xml:space="preserve">There have been no changes to the forms that would increase burden. However, the agency has updated its estimated number of responses for each form based on recent filing data. </w:t>
      </w:r>
    </w:p>
    <w:p w:rsidR="00DB3926" w:rsidRPr="00A648C2" w:rsidRDefault="00DB3926" w:rsidP="00CB358B">
      <w:pPr>
        <w:tabs>
          <w:tab w:val="left" w:pos="540"/>
        </w:tabs>
        <w:ind w:left="540" w:hanging="540"/>
        <w:rPr>
          <w:rFonts w:asciiTheme="minorHAnsi" w:hAnsiTheme="minorHAnsi"/>
          <w:b/>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009E3D48" w:rsidRPr="00F87A66" w:rsidRDefault="009E3D48" w:rsidP="009E3D48">
      <w:pPr>
        <w:tabs>
          <w:tab w:val="left" w:pos="540"/>
        </w:tabs>
        <w:ind w:left="540" w:hanging="540"/>
        <w:rPr>
          <w:rFonts w:asciiTheme="minorHAnsi" w:hAnsiTheme="minorHAnsi"/>
          <w:sz w:val="22"/>
        </w:rPr>
      </w:pPr>
    </w:p>
    <w:p w:rsidR="0004104E" w:rsidRPr="00F87A66" w:rsidRDefault="0004104E" w:rsidP="0004104E">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There are no plans for tabulation, statistical analysis, and publication.</w:t>
      </w:r>
    </w:p>
    <w:p w:rsidR="00D463E0" w:rsidRPr="00DC1585" w:rsidRDefault="00D463E0"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009E3D48" w:rsidRPr="00F87A66" w:rsidRDefault="009E3D48" w:rsidP="009E3D48">
      <w:pPr>
        <w:tabs>
          <w:tab w:val="left" w:pos="540"/>
        </w:tabs>
        <w:ind w:left="540" w:hanging="540"/>
        <w:rPr>
          <w:rFonts w:asciiTheme="minorHAnsi" w:hAnsiTheme="minorHAnsi"/>
          <w:b/>
          <w:sz w:val="22"/>
        </w:rPr>
      </w:pPr>
    </w:p>
    <w:p w:rsidR="0004104E" w:rsidRPr="00F87A66" w:rsidRDefault="004606C9" w:rsidP="004606C9">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00D463E0" w:rsidRPr="00DC1585" w:rsidRDefault="00D463E0"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009E3D48" w:rsidRPr="00F87A66" w:rsidRDefault="009E3D48" w:rsidP="009E3D48">
      <w:pPr>
        <w:tabs>
          <w:tab w:val="left" w:pos="540"/>
        </w:tabs>
        <w:ind w:left="540" w:hanging="540"/>
        <w:rPr>
          <w:rFonts w:asciiTheme="minorHAnsi" w:hAnsiTheme="minorHAnsi"/>
          <w:sz w:val="22"/>
        </w:rPr>
      </w:pPr>
    </w:p>
    <w:p w:rsidR="00A648C2" w:rsidRPr="00F87A66" w:rsidRDefault="00A648C2" w:rsidP="00A648C2">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0004104E" w:rsidRPr="00F87A66" w:rsidRDefault="0004104E" w:rsidP="0004104E">
      <w:pPr>
        <w:tabs>
          <w:tab w:val="left" w:pos="540"/>
        </w:tabs>
        <w:ind w:left="540" w:hanging="540"/>
        <w:rPr>
          <w:rFonts w:asciiTheme="minorHAnsi" w:hAnsiTheme="minorHAnsi"/>
          <w:sz w:val="22"/>
        </w:rPr>
      </w:pPr>
    </w:p>
    <w:p w:rsidR="0004104E"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rsidR="00CB358B" w:rsidRPr="00F87A66" w:rsidRDefault="00CB358B" w:rsidP="0004104E">
      <w:pPr>
        <w:tabs>
          <w:tab w:val="left" w:pos="720"/>
        </w:tabs>
        <w:ind w:left="720" w:hanging="720"/>
        <w:rPr>
          <w:rFonts w:asciiTheme="minorHAnsi" w:hAnsiTheme="minorHAnsi"/>
          <w:sz w:val="22"/>
        </w:rPr>
      </w:pPr>
    </w:p>
    <w:p w:rsidR="00D463E0"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D463E0" w:rsidRPr="00F87A6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204" w:rsidRDefault="00732204" w:rsidP="009E3D48">
      <w:r>
        <w:separator/>
      </w:r>
    </w:p>
  </w:endnote>
  <w:endnote w:type="continuationSeparator" w:id="0">
    <w:p w:rsidR="00732204" w:rsidRDefault="00732204"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00687"/>
      <w:docPartObj>
        <w:docPartGallery w:val="Page Numbers (Bottom of Page)"/>
        <w:docPartUnique/>
      </w:docPartObj>
    </w:sdtPr>
    <w:sdtEndPr>
      <w:rPr>
        <w:noProof/>
      </w:rPr>
    </w:sdtEndPr>
    <w:sdtContent>
      <w:p w:rsidR="001B5BD6" w:rsidRDefault="001B5BD6">
        <w:pPr>
          <w:pStyle w:val="Footer"/>
          <w:jc w:val="right"/>
        </w:pPr>
        <w:r>
          <w:fldChar w:fldCharType="begin"/>
        </w:r>
        <w:r>
          <w:instrText xml:space="preserve"> PAGE   \* MERGEFORMAT </w:instrText>
        </w:r>
        <w:r>
          <w:fldChar w:fldCharType="separate"/>
        </w:r>
        <w:r w:rsidR="0096150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204" w:rsidRDefault="00732204" w:rsidP="009E3D48">
      <w:r>
        <w:separator/>
      </w:r>
    </w:p>
  </w:footnote>
  <w:footnote w:type="continuationSeparator" w:id="0">
    <w:p w:rsidR="00732204" w:rsidRDefault="00732204" w:rsidP="009E3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48"/>
    <w:rsid w:val="000104BB"/>
    <w:rsid w:val="0004104E"/>
    <w:rsid w:val="000720DB"/>
    <w:rsid w:val="0007317C"/>
    <w:rsid w:val="000D26FB"/>
    <w:rsid w:val="0012304F"/>
    <w:rsid w:val="0012312C"/>
    <w:rsid w:val="001616BC"/>
    <w:rsid w:val="00163E8B"/>
    <w:rsid w:val="00183523"/>
    <w:rsid w:val="00190335"/>
    <w:rsid w:val="0019453D"/>
    <w:rsid w:val="00197CEF"/>
    <w:rsid w:val="001B5BD6"/>
    <w:rsid w:val="001D050E"/>
    <w:rsid w:val="001D1550"/>
    <w:rsid w:val="00235AD5"/>
    <w:rsid w:val="002456AB"/>
    <w:rsid w:val="002736EC"/>
    <w:rsid w:val="00277A26"/>
    <w:rsid w:val="002911BE"/>
    <w:rsid w:val="002A463C"/>
    <w:rsid w:val="002C7C4B"/>
    <w:rsid w:val="00313D91"/>
    <w:rsid w:val="00377A8D"/>
    <w:rsid w:val="003965E9"/>
    <w:rsid w:val="00453441"/>
    <w:rsid w:val="004606C9"/>
    <w:rsid w:val="0047046A"/>
    <w:rsid w:val="005B773F"/>
    <w:rsid w:val="005E6135"/>
    <w:rsid w:val="006007BC"/>
    <w:rsid w:val="006031DF"/>
    <w:rsid w:val="00637C90"/>
    <w:rsid w:val="00651FD9"/>
    <w:rsid w:val="006546DD"/>
    <w:rsid w:val="006B08BA"/>
    <w:rsid w:val="00700CA4"/>
    <w:rsid w:val="00732204"/>
    <w:rsid w:val="00736DBB"/>
    <w:rsid w:val="00770EAA"/>
    <w:rsid w:val="007C611A"/>
    <w:rsid w:val="00801000"/>
    <w:rsid w:val="00895855"/>
    <w:rsid w:val="008F35C9"/>
    <w:rsid w:val="009302A1"/>
    <w:rsid w:val="00946CFC"/>
    <w:rsid w:val="0096150B"/>
    <w:rsid w:val="00964FD7"/>
    <w:rsid w:val="00996DDD"/>
    <w:rsid w:val="009E3D48"/>
    <w:rsid w:val="00A24315"/>
    <w:rsid w:val="00A35947"/>
    <w:rsid w:val="00A648C2"/>
    <w:rsid w:val="00AA034F"/>
    <w:rsid w:val="00B041DE"/>
    <w:rsid w:val="00B248B3"/>
    <w:rsid w:val="00B860C5"/>
    <w:rsid w:val="00BD1F42"/>
    <w:rsid w:val="00C14F69"/>
    <w:rsid w:val="00CB358B"/>
    <w:rsid w:val="00CF61FE"/>
    <w:rsid w:val="00D01E6A"/>
    <w:rsid w:val="00D463E0"/>
    <w:rsid w:val="00D47DDC"/>
    <w:rsid w:val="00D91961"/>
    <w:rsid w:val="00DB3926"/>
    <w:rsid w:val="00DC1585"/>
    <w:rsid w:val="00DF6A65"/>
    <w:rsid w:val="00E20185"/>
    <w:rsid w:val="00E378C3"/>
    <w:rsid w:val="00E37E63"/>
    <w:rsid w:val="00E729D0"/>
    <w:rsid w:val="00EB0140"/>
    <w:rsid w:val="00EB5D43"/>
    <w:rsid w:val="00EB6683"/>
    <w:rsid w:val="00ED3A16"/>
    <w:rsid w:val="00F011BC"/>
    <w:rsid w:val="00F02F40"/>
    <w:rsid w:val="00F82330"/>
    <w:rsid w:val="00F87A66"/>
    <w:rsid w:val="00F972DB"/>
    <w:rsid w:val="00FB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074B5DB-4E90-4BD4-805A-ECD632C02AC8}">
  <ds:schemaRefs>
    <ds:schemaRef ds:uri="http://schemas.microsoft.com/office/infopath/2007/PartnerControls"/>
    <ds:schemaRef ds:uri="http://schemas.openxmlformats.org/package/2006/metadata/core-properties"/>
    <ds:schemaRef ds:uri="http://purl.org/dc/dcmitype/"/>
    <ds:schemaRef ds:uri="http://www.w3.org/XML/1998/namespace"/>
    <ds:schemaRef ds:uri="http://purl.org/dc/elements/1.1/"/>
    <ds:schemaRef ds:uri="http://schemas.microsoft.com/office/2006/metadata/properties"/>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4.xml><?xml version="1.0" encoding="utf-8"?>
<ds:datastoreItem xmlns:ds="http://schemas.openxmlformats.org/officeDocument/2006/customXml" ds:itemID="{19FCC096-9F4C-4A4E-94AF-1EC5884E3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SYSTEM</cp:lastModifiedBy>
  <cp:revision>2</cp:revision>
  <dcterms:created xsi:type="dcterms:W3CDTF">2019-02-01T19:21:00Z</dcterms:created>
  <dcterms:modified xsi:type="dcterms:W3CDTF">2019-02-01T19:21:00Z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