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05F8F" w14:textId="77777777" w:rsidR="005D537C" w:rsidRDefault="005D537C">
      <w:pPr>
        <w:pStyle w:val="Heading1"/>
      </w:pPr>
      <w:bookmarkStart w:id="0" w:name="_GoBack"/>
      <w:bookmarkEnd w:id="0"/>
      <w:r>
        <w:t>A.  Justification</w:t>
      </w:r>
    </w:p>
    <w:p w14:paraId="678EF040" w14:textId="77777777" w:rsidR="005D537C" w:rsidRDefault="005D537C"/>
    <w:p w14:paraId="71A3B877" w14:textId="77777777" w:rsidR="005D537C" w:rsidRDefault="005D537C">
      <w:r>
        <w:rPr>
          <w:u w:val="single"/>
        </w:rPr>
        <w:t>1.  Circumstances necessitating collection of information</w:t>
      </w:r>
    </w:p>
    <w:p w14:paraId="30E898AE" w14:textId="0F693609" w:rsidR="00EB179F" w:rsidRDefault="00EB179F" w:rsidP="00EB179F">
      <w:pPr>
        <w:autoSpaceDE w:val="0"/>
        <w:autoSpaceDN w:val="0"/>
        <w:adjustRightInd w:val="0"/>
      </w:pPr>
      <w:r>
        <w:t>Pursuant to 12 U.S.C 4701 et seq. the Community Development Financial Institutions Fund (the CDFI Fund) implements the Community Development Financial Institutions (CDFI) Program.  In order to qualify for a financial or technical assistance award from the CDFI Fund</w:t>
      </w:r>
      <w:r w:rsidR="0009720C">
        <w:t>,</w:t>
      </w:r>
      <w:r>
        <w:t xml:space="preserve"> an applicant must be certified by the CDFI Fund as a CDFI. As an integral part of the CDFI certification procedure, the CDFI Fund has developed a certification application, which is used to determine whether an entity seeking CDFI certification meets the CDFI Fund’s requirements for such certification. These requirements are specified in the CDFI Fund’s regulations at 12 CFR</w:t>
      </w:r>
      <w:r w:rsidR="00F572B5">
        <w:t xml:space="preserve"> </w:t>
      </w:r>
      <w:r>
        <w:t>1805.201.</w:t>
      </w:r>
    </w:p>
    <w:p w14:paraId="663610D1" w14:textId="77777777" w:rsidR="00A55FA3" w:rsidRDefault="00A55FA3">
      <w:pPr>
        <w:rPr>
          <w:u w:val="single"/>
        </w:rPr>
      </w:pPr>
    </w:p>
    <w:p w14:paraId="43301850" w14:textId="77777777" w:rsidR="005D537C" w:rsidRDefault="005D537C">
      <w:pPr>
        <w:rPr>
          <w:u w:val="single"/>
        </w:rPr>
      </w:pPr>
      <w:r>
        <w:rPr>
          <w:u w:val="single"/>
        </w:rPr>
        <w:t>2.  Method of collection and use of data</w:t>
      </w:r>
    </w:p>
    <w:p w14:paraId="27218E9B" w14:textId="79750253" w:rsidR="00CF1B43" w:rsidRDefault="005D537C">
      <w:r>
        <w:t xml:space="preserve">The data </w:t>
      </w:r>
      <w:r w:rsidR="00A2141C">
        <w:t xml:space="preserve">collected via this form </w:t>
      </w:r>
      <w:r>
        <w:t xml:space="preserve">will be collected by voluntary submission </w:t>
      </w:r>
      <w:r w:rsidR="00CF1B43">
        <w:t>by</w:t>
      </w:r>
      <w:r>
        <w:t xml:space="preserve"> </w:t>
      </w:r>
      <w:r w:rsidR="00CF1B43">
        <w:t>organizations</w:t>
      </w:r>
      <w:r>
        <w:t xml:space="preserve"> seeking </w:t>
      </w:r>
      <w:r w:rsidR="004E3E28">
        <w:t xml:space="preserve">initial </w:t>
      </w:r>
      <w:r w:rsidR="00A2141C">
        <w:t>certification as a CDFI</w:t>
      </w:r>
      <w:r>
        <w:t xml:space="preserve">.  </w:t>
      </w:r>
      <w:r w:rsidR="00A2141C">
        <w:t xml:space="preserve">Subsequent to initial certification, CDFIs </w:t>
      </w:r>
      <w:r w:rsidR="00617330">
        <w:t xml:space="preserve">will be evaluated </w:t>
      </w:r>
      <w:r w:rsidR="00DA2264">
        <w:t>annually, through the Annual Certification and Data Collection Report (ACR)</w:t>
      </w:r>
      <w:r w:rsidR="00A2141C">
        <w:t xml:space="preserve">.  </w:t>
      </w:r>
      <w:r w:rsidR="004E3E28">
        <w:t>Maintenance of certification may be required</w:t>
      </w:r>
      <w:r w:rsidR="00CF1B43">
        <w:t xml:space="preserve">, and the use of the form may be required, </w:t>
      </w:r>
      <w:r w:rsidR="004E3E28">
        <w:t xml:space="preserve">where the </w:t>
      </w:r>
      <w:r w:rsidR="00CF1B43">
        <w:t>CDFI</w:t>
      </w:r>
      <w:r w:rsidR="004E3E28">
        <w:t xml:space="preserve"> has an </w:t>
      </w:r>
      <w:r w:rsidR="00CF1B43">
        <w:t>active Assistance A</w:t>
      </w:r>
      <w:r w:rsidR="004E3E28">
        <w:t xml:space="preserve">greement with the CDFI Fund, in which </w:t>
      </w:r>
      <w:r w:rsidR="00CF1B43">
        <w:t>continuous certification is a requirement attached to the financial assistance program</w:t>
      </w:r>
      <w:r w:rsidR="004E3E28">
        <w:t xml:space="preserve">.  </w:t>
      </w:r>
    </w:p>
    <w:p w14:paraId="4D68861B" w14:textId="77777777" w:rsidR="00CF1B43" w:rsidRDefault="00CF1B43"/>
    <w:p w14:paraId="3DEDA3AF" w14:textId="77777777" w:rsidR="005D537C" w:rsidRDefault="005D537C">
      <w:pPr>
        <w:jc w:val="both"/>
        <w:rPr>
          <w:u w:val="single"/>
        </w:rPr>
      </w:pPr>
      <w:r>
        <w:rPr>
          <w:u w:val="single"/>
        </w:rPr>
        <w:t>3. Use of Information Technology</w:t>
      </w:r>
    </w:p>
    <w:p w14:paraId="60AD3D4D" w14:textId="30883091" w:rsidR="005D537C" w:rsidRDefault="005D537C">
      <w:pPr>
        <w:pStyle w:val="Header"/>
        <w:tabs>
          <w:tab w:val="clear" w:pos="4320"/>
          <w:tab w:val="clear" w:pos="8640"/>
        </w:tabs>
      </w:pPr>
      <w:r>
        <w:t xml:space="preserve">Applications </w:t>
      </w:r>
      <w:r w:rsidR="006A5B9F">
        <w:t>are</w:t>
      </w:r>
      <w:r>
        <w:t xml:space="preserve"> available </w:t>
      </w:r>
      <w:r w:rsidR="003514BB">
        <w:t>on</w:t>
      </w:r>
      <w:r>
        <w:t xml:space="preserve"> the CDFI Fund’s website.  The CDFI Fund will require that applicants submit </w:t>
      </w:r>
      <w:r w:rsidR="0009720C">
        <w:t>certification</w:t>
      </w:r>
      <w:r>
        <w:t xml:space="preserve"> applications </w:t>
      </w:r>
      <w:r w:rsidR="004E3E28">
        <w:t>electronically.</w:t>
      </w:r>
      <w:r>
        <w:t xml:space="preserve">  </w:t>
      </w:r>
    </w:p>
    <w:p w14:paraId="71158CCF" w14:textId="77777777" w:rsidR="005D537C" w:rsidRDefault="005D537C">
      <w:pPr>
        <w:jc w:val="both"/>
      </w:pPr>
    </w:p>
    <w:p w14:paraId="62C7D93C" w14:textId="77777777" w:rsidR="005D537C" w:rsidRDefault="005D537C">
      <w:pPr>
        <w:jc w:val="both"/>
        <w:rPr>
          <w:u w:val="single"/>
        </w:rPr>
      </w:pPr>
      <w:r>
        <w:rPr>
          <w:u w:val="single"/>
        </w:rPr>
        <w:t>4.  Efforts to identify duplication</w:t>
      </w:r>
    </w:p>
    <w:p w14:paraId="27E5AC30" w14:textId="77777777" w:rsidR="005D537C" w:rsidRDefault="005D537C">
      <w:r>
        <w:t xml:space="preserve">The </w:t>
      </w:r>
      <w:r w:rsidR="0009720C">
        <w:t>certification</w:t>
      </w:r>
      <w:r>
        <w:t xml:space="preserve"> application does not duplicate any other CDFI Fund or Federal program information-gathering tool.</w:t>
      </w:r>
      <w:r w:rsidR="00412D40">
        <w:t xml:space="preserve">  </w:t>
      </w:r>
    </w:p>
    <w:p w14:paraId="310B7BAA" w14:textId="77777777" w:rsidR="005D537C" w:rsidRDefault="005D537C">
      <w:pPr>
        <w:jc w:val="both"/>
      </w:pPr>
    </w:p>
    <w:p w14:paraId="2093F483" w14:textId="77777777" w:rsidR="005D537C" w:rsidRDefault="005D537C">
      <w:pPr>
        <w:rPr>
          <w:u w:val="single"/>
        </w:rPr>
      </w:pPr>
      <w:r>
        <w:rPr>
          <w:u w:val="single"/>
        </w:rPr>
        <w:t>5.  Impact on small entities</w:t>
      </w:r>
    </w:p>
    <w:p w14:paraId="67181191" w14:textId="73BBE724" w:rsidR="005D537C" w:rsidRDefault="005D537C">
      <w:r>
        <w:t>This collection of information does not have a significant impact on small entities.</w:t>
      </w:r>
    </w:p>
    <w:p w14:paraId="2166C88F" w14:textId="77777777" w:rsidR="005D537C" w:rsidRDefault="005D537C">
      <w:pPr>
        <w:rPr>
          <w:u w:val="single"/>
        </w:rPr>
      </w:pPr>
    </w:p>
    <w:p w14:paraId="7F28EA77" w14:textId="77777777" w:rsidR="005D537C" w:rsidRDefault="005D537C">
      <w:pPr>
        <w:rPr>
          <w:u w:val="single"/>
        </w:rPr>
      </w:pPr>
      <w:r>
        <w:rPr>
          <w:u w:val="single"/>
        </w:rPr>
        <w:t>6.  Consequences of less frequent collection and obstacles to burden reduction</w:t>
      </w:r>
    </w:p>
    <w:p w14:paraId="7D7B3E08" w14:textId="77777777" w:rsidR="00245799" w:rsidRDefault="005D537C" w:rsidP="00245799">
      <w:pPr>
        <w:autoSpaceDE w:val="0"/>
        <w:autoSpaceDN w:val="0"/>
        <w:adjustRightInd w:val="0"/>
      </w:pPr>
      <w:r>
        <w:t xml:space="preserve">The CDFI Fund </w:t>
      </w:r>
      <w:r w:rsidR="00412D40">
        <w:t>is statutorily required to have an application process for certification of CDFIs.</w:t>
      </w:r>
      <w:r>
        <w:t xml:space="preserve">  </w:t>
      </w:r>
    </w:p>
    <w:p w14:paraId="7F9475E1" w14:textId="3BD79077" w:rsidR="00245799" w:rsidRDefault="00245799" w:rsidP="00245799">
      <w:pPr>
        <w:autoSpaceDE w:val="0"/>
        <w:autoSpaceDN w:val="0"/>
        <w:adjustRightInd w:val="0"/>
      </w:pPr>
      <w:r>
        <w:t xml:space="preserve">Since CDFI certification is a prerequisite for receiving funding from the CDFI Fund, the certification application is a critical part of the CDFI </w:t>
      </w:r>
      <w:r w:rsidR="006F60BA">
        <w:t>Fund’</w:t>
      </w:r>
      <w:r w:rsidR="00B936B8">
        <w:t>s operations</w:t>
      </w:r>
      <w:r>
        <w:t>.</w:t>
      </w:r>
      <w:r w:rsidR="006A5B9F">
        <w:t xml:space="preserve"> </w:t>
      </w:r>
      <w:r>
        <w:t xml:space="preserve"> Moreover, once certified, an entity’s certification </w:t>
      </w:r>
      <w:r w:rsidR="006F60BA">
        <w:t>remains intact</w:t>
      </w:r>
      <w:r w:rsidR="00511E17">
        <w:t>,</w:t>
      </w:r>
      <w:r>
        <w:t xml:space="preserve"> provided the entity continues to meet the certification requirements.</w:t>
      </w:r>
    </w:p>
    <w:p w14:paraId="2A2F9651" w14:textId="77777777" w:rsidR="005D537C" w:rsidRDefault="005D537C"/>
    <w:p w14:paraId="7EA65C04" w14:textId="77777777" w:rsidR="005D537C" w:rsidRDefault="005D537C">
      <w:pPr>
        <w:rPr>
          <w:u w:val="single"/>
        </w:rPr>
      </w:pPr>
      <w:r>
        <w:rPr>
          <w:u w:val="single"/>
        </w:rPr>
        <w:t>7.  Circumstances requiring special information collection</w:t>
      </w:r>
    </w:p>
    <w:p w14:paraId="4F25074E" w14:textId="77777777" w:rsidR="005D537C" w:rsidRDefault="005D537C">
      <w:r>
        <w:t>Not applicable.</w:t>
      </w:r>
    </w:p>
    <w:p w14:paraId="5A960CEE" w14:textId="77777777" w:rsidR="005D537C" w:rsidRDefault="005D537C"/>
    <w:p w14:paraId="497AFF3F" w14:textId="77777777" w:rsidR="005D537C" w:rsidRDefault="005D537C">
      <w:pPr>
        <w:rPr>
          <w:u w:val="single"/>
        </w:rPr>
      </w:pPr>
      <w:r>
        <w:rPr>
          <w:u w:val="single"/>
        </w:rPr>
        <w:t>8.  Solicitation of comments on information collection</w:t>
      </w:r>
    </w:p>
    <w:p w14:paraId="0E9EE63C" w14:textId="25B8D94E" w:rsidR="00995032" w:rsidRPr="00AA0A3D" w:rsidRDefault="0009720C" w:rsidP="007E79AA">
      <w:r>
        <w:t xml:space="preserve">Comments on the certification application were solicited via notice in the </w:t>
      </w:r>
      <w:r w:rsidRPr="00CB3933">
        <w:rPr>
          <w:i/>
        </w:rPr>
        <w:t>Federal Register</w:t>
      </w:r>
      <w:r>
        <w:t xml:space="preserve"> on </w:t>
      </w:r>
      <w:r w:rsidR="00522C9D" w:rsidRPr="00E3494C">
        <w:t xml:space="preserve">September 5, 2018 </w:t>
      </w:r>
      <w:r w:rsidRPr="00E3494C">
        <w:t>(</w:t>
      </w:r>
      <w:r w:rsidR="00E3494C" w:rsidRPr="00E3494C">
        <w:t>83 FR 45186</w:t>
      </w:r>
      <w:r w:rsidRPr="00E3494C">
        <w:t xml:space="preserve">). </w:t>
      </w:r>
      <w:r>
        <w:t>T</w:t>
      </w:r>
      <w:r w:rsidR="007E79AA" w:rsidRPr="00AA0A3D">
        <w:t xml:space="preserve">he CDFI Fund received </w:t>
      </w:r>
      <w:r w:rsidR="00DA2264">
        <w:t xml:space="preserve">one </w:t>
      </w:r>
      <w:r>
        <w:t>comment letter</w:t>
      </w:r>
      <w:r w:rsidR="00E3494C">
        <w:t xml:space="preserve">. </w:t>
      </w:r>
      <w:r w:rsidR="00DA2264">
        <w:t xml:space="preserve">The majority of comments </w:t>
      </w:r>
      <w:r w:rsidR="00207DC2">
        <w:t>align</w:t>
      </w:r>
      <w:r w:rsidR="00DA2264">
        <w:t xml:space="preserve"> with the</w:t>
      </w:r>
      <w:r w:rsidR="00207DC2">
        <w:t xml:space="preserve"> current application collection. </w:t>
      </w:r>
      <w:r w:rsidR="002C2575">
        <w:t>The CDFI Fund determined not to make any changes to th</w:t>
      </w:r>
      <w:r w:rsidR="00076340">
        <w:t>is</w:t>
      </w:r>
      <w:r w:rsidR="002C2575">
        <w:t xml:space="preserve"> inform</w:t>
      </w:r>
      <w:r w:rsidR="00522C9D">
        <w:t xml:space="preserve">ation collection at this time. </w:t>
      </w:r>
      <w:r w:rsidR="00AF3272">
        <w:t xml:space="preserve">At this time, </w:t>
      </w:r>
      <w:r w:rsidR="0062636B" w:rsidRPr="00AA0A3D">
        <w:t xml:space="preserve">policy matters or proposed </w:t>
      </w:r>
      <w:r w:rsidR="0062636B" w:rsidRPr="00AA0A3D">
        <w:lastRenderedPageBreak/>
        <w:t xml:space="preserve">changes to the application </w:t>
      </w:r>
      <w:r w:rsidR="008841EF">
        <w:t>have been</w:t>
      </w:r>
      <w:r w:rsidR="0062636B" w:rsidRPr="00AA0A3D">
        <w:t xml:space="preserve"> taken under advisement.</w:t>
      </w:r>
      <w:r w:rsidR="005146BE" w:rsidRPr="00AA0A3D">
        <w:t xml:space="preserve"> A detailed break-down of the comments and </w:t>
      </w:r>
      <w:r w:rsidR="00C6603E">
        <w:t>CDFI Fund responses to all of the comment letters</w:t>
      </w:r>
      <w:r w:rsidR="005146BE" w:rsidRPr="00AA0A3D">
        <w:t xml:space="preserve"> </w:t>
      </w:r>
      <w:r w:rsidR="00C6603E">
        <w:t>can be found in Appendix</w:t>
      </w:r>
      <w:r w:rsidR="005146BE" w:rsidRPr="00AA0A3D">
        <w:t xml:space="preserve"> </w:t>
      </w:r>
      <w:r w:rsidR="002508E2">
        <w:t>I, Responses to Public Comments</w:t>
      </w:r>
      <w:r w:rsidR="005146BE" w:rsidRPr="00AA0A3D">
        <w:t>.</w:t>
      </w:r>
      <w:r w:rsidR="0062636B" w:rsidRPr="00AA0A3D">
        <w:t xml:space="preserve">  </w:t>
      </w:r>
    </w:p>
    <w:p w14:paraId="00F3572E" w14:textId="77777777" w:rsidR="005D537C" w:rsidRDefault="005D537C">
      <w:pPr>
        <w:rPr>
          <w:u w:val="single"/>
        </w:rPr>
      </w:pPr>
    </w:p>
    <w:p w14:paraId="126428DA" w14:textId="77777777" w:rsidR="005D537C" w:rsidRDefault="005D537C">
      <w:pPr>
        <w:rPr>
          <w:u w:val="single"/>
        </w:rPr>
      </w:pPr>
      <w:r>
        <w:rPr>
          <w:u w:val="single"/>
        </w:rPr>
        <w:t>9.  Provision of payment to respondents</w:t>
      </w:r>
    </w:p>
    <w:p w14:paraId="277FDBF6" w14:textId="77777777" w:rsidR="005D537C" w:rsidRDefault="005D537C">
      <w:r>
        <w:t>No payments or gifts will be made to respondents.</w:t>
      </w:r>
    </w:p>
    <w:p w14:paraId="6F262426" w14:textId="77777777" w:rsidR="005D537C" w:rsidRDefault="005D537C"/>
    <w:p w14:paraId="2545BBB5" w14:textId="77777777" w:rsidR="005D537C" w:rsidRDefault="005D537C">
      <w:pPr>
        <w:rPr>
          <w:u w:val="single"/>
        </w:rPr>
      </w:pPr>
      <w:r>
        <w:rPr>
          <w:u w:val="single"/>
        </w:rPr>
        <w:t>10.   Assurance of confidentiality</w:t>
      </w:r>
    </w:p>
    <w:p w14:paraId="7F3ECE37" w14:textId="77777777" w:rsidR="005D537C" w:rsidRDefault="005D537C">
      <w:r>
        <w:t xml:space="preserve">The CDFI Fund is subject to all Federal regulations with respect to confidentiality of information provided by </w:t>
      </w:r>
      <w:r w:rsidR="00AF3272">
        <w:t>CDFI Certification</w:t>
      </w:r>
      <w:r>
        <w:t xml:space="preserve"> applicants.  No other assurances of confidentiality have been provided.</w:t>
      </w:r>
    </w:p>
    <w:p w14:paraId="277A0E6A" w14:textId="77777777" w:rsidR="005D537C" w:rsidRDefault="005D537C">
      <w:pPr>
        <w:rPr>
          <w:u w:val="single"/>
        </w:rPr>
      </w:pPr>
    </w:p>
    <w:p w14:paraId="1087CAB5" w14:textId="77777777" w:rsidR="005D537C" w:rsidRDefault="005D537C">
      <w:pPr>
        <w:rPr>
          <w:u w:val="single"/>
        </w:rPr>
      </w:pPr>
      <w:r>
        <w:rPr>
          <w:u w:val="single"/>
        </w:rPr>
        <w:t>11.  Justification of sensitive questions.</w:t>
      </w:r>
    </w:p>
    <w:p w14:paraId="44783F32" w14:textId="62410BA8" w:rsidR="005D537C" w:rsidRDefault="0091619F">
      <w:r>
        <w:t>No personally identifiable information (PII) is collected</w:t>
      </w:r>
      <w:r w:rsidR="005D537C">
        <w:t>.</w:t>
      </w:r>
    </w:p>
    <w:p w14:paraId="541D38E7" w14:textId="77777777" w:rsidR="005D537C" w:rsidRDefault="005D537C">
      <w:pPr>
        <w:rPr>
          <w:u w:val="single"/>
        </w:rPr>
      </w:pPr>
    </w:p>
    <w:p w14:paraId="001CEAA9" w14:textId="77777777" w:rsidR="005D537C" w:rsidRDefault="005D537C">
      <w:pPr>
        <w:rPr>
          <w:u w:val="single"/>
        </w:rPr>
      </w:pPr>
      <w:r>
        <w:rPr>
          <w:u w:val="single"/>
        </w:rPr>
        <w:t>12.  Estimate of the hour burden of information collection.</w:t>
      </w:r>
    </w:p>
    <w:p w14:paraId="706308B8" w14:textId="4EEC440E" w:rsidR="00BE278C" w:rsidRDefault="0034634A">
      <w:pPr>
        <w:pStyle w:val="BodyText2"/>
        <w:jc w:val="left"/>
      </w:pPr>
      <w:r>
        <w:t xml:space="preserve">The burden for this </w:t>
      </w:r>
      <w:r w:rsidR="005D537C">
        <w:t xml:space="preserve">information collection is </w:t>
      </w:r>
      <w:r>
        <w:t xml:space="preserve">broken-down into categories of affected public </w:t>
      </w:r>
      <w:r w:rsidR="006F7FF6">
        <w:t xml:space="preserve">with the total </w:t>
      </w:r>
      <w:r w:rsidR="005D537C">
        <w:t xml:space="preserve">estimated </w:t>
      </w:r>
      <w:r w:rsidR="006F7FF6">
        <w:t>burden of</w:t>
      </w:r>
      <w:r>
        <w:t xml:space="preserve"> </w:t>
      </w:r>
      <w:r w:rsidR="00617330">
        <w:t>11,250</w:t>
      </w:r>
      <w:r w:rsidR="005668C6">
        <w:t xml:space="preserve"> </w:t>
      </w:r>
      <w:r w:rsidR="006F7FF6">
        <w:t>hours</w:t>
      </w:r>
      <w:r w:rsidR="00A17F58">
        <w:t xml:space="preserve">.  The same application (collection </w:t>
      </w:r>
      <w:r w:rsidR="00153D07">
        <w:t>instrument</w:t>
      </w:r>
      <w:r w:rsidR="00A17F58">
        <w:t>) is used by both categories.</w:t>
      </w:r>
      <w:r w:rsidR="00C6603E">
        <w:t xml:space="preserve">  There is a substantial </w:t>
      </w:r>
      <w:r w:rsidR="005668C6">
        <w:t xml:space="preserve">increase </w:t>
      </w:r>
      <w:r w:rsidR="00C6603E">
        <w:t xml:space="preserve">in the number of respondents in this request from the </w:t>
      </w:r>
      <w:r w:rsidR="00A703B9">
        <w:t>previous</w:t>
      </w:r>
      <w:r w:rsidR="00C6603E">
        <w:t xml:space="preserve"> request </w:t>
      </w:r>
      <w:r w:rsidR="005668C6">
        <w:t>due to the implementation of the electronic based application.  The CDFI Fund expects that this will cause an increase in the number of applicants</w:t>
      </w:r>
      <w:r w:rsidR="00A703B9">
        <w:t xml:space="preserve">. </w:t>
      </w:r>
    </w:p>
    <w:p w14:paraId="225264F2" w14:textId="77777777" w:rsidR="00BE278C" w:rsidRDefault="00BE278C">
      <w:pPr>
        <w:pStyle w:val="BodyText2"/>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1"/>
        <w:gridCol w:w="1443"/>
        <w:gridCol w:w="1444"/>
        <w:gridCol w:w="1344"/>
        <w:gridCol w:w="1513"/>
        <w:gridCol w:w="1261"/>
      </w:tblGrid>
      <w:tr w:rsidR="00BE278C" w:rsidRPr="002508E2" w14:paraId="612CD2BB" w14:textId="77777777" w:rsidTr="000A4B30">
        <w:tc>
          <w:tcPr>
            <w:tcW w:w="2628" w:type="dxa"/>
            <w:vAlign w:val="center"/>
          </w:tcPr>
          <w:p w14:paraId="4DF76191" w14:textId="77777777" w:rsidR="00BE278C" w:rsidRPr="002508E2" w:rsidRDefault="00BE278C" w:rsidP="000A4B30">
            <w:pPr>
              <w:pStyle w:val="BodyText2"/>
              <w:jc w:val="center"/>
              <w:rPr>
                <w:szCs w:val="24"/>
              </w:rPr>
            </w:pPr>
            <w:r w:rsidRPr="002508E2">
              <w:rPr>
                <w:szCs w:val="24"/>
              </w:rPr>
              <w:t>Affected Pubic</w:t>
            </w:r>
          </w:p>
        </w:tc>
        <w:tc>
          <w:tcPr>
            <w:tcW w:w="1350" w:type="dxa"/>
            <w:vAlign w:val="center"/>
          </w:tcPr>
          <w:p w14:paraId="2666E6B9" w14:textId="77777777" w:rsidR="00BE278C" w:rsidRPr="002508E2" w:rsidRDefault="00BE278C" w:rsidP="000A4B30">
            <w:pPr>
              <w:pStyle w:val="BodyText2"/>
              <w:jc w:val="center"/>
              <w:rPr>
                <w:szCs w:val="24"/>
              </w:rPr>
            </w:pPr>
            <w:r w:rsidRPr="002508E2">
              <w:rPr>
                <w:szCs w:val="24"/>
              </w:rPr>
              <w:t># Respondents</w:t>
            </w:r>
          </w:p>
        </w:tc>
        <w:tc>
          <w:tcPr>
            <w:tcW w:w="1448" w:type="dxa"/>
            <w:vAlign w:val="center"/>
          </w:tcPr>
          <w:p w14:paraId="54AE0206" w14:textId="77777777" w:rsidR="00BE278C" w:rsidRPr="002508E2" w:rsidRDefault="00BE278C" w:rsidP="000A4B30">
            <w:pPr>
              <w:pStyle w:val="BodyText2"/>
              <w:jc w:val="center"/>
              <w:rPr>
                <w:szCs w:val="24"/>
              </w:rPr>
            </w:pPr>
            <w:r w:rsidRPr="002508E2">
              <w:rPr>
                <w:szCs w:val="24"/>
              </w:rPr>
              <w:t># Responses Per Respondent</w:t>
            </w:r>
          </w:p>
        </w:tc>
        <w:tc>
          <w:tcPr>
            <w:tcW w:w="1348" w:type="dxa"/>
            <w:vAlign w:val="center"/>
          </w:tcPr>
          <w:p w14:paraId="32909093" w14:textId="77777777" w:rsidR="00BE278C" w:rsidRPr="002508E2" w:rsidRDefault="00BE278C" w:rsidP="000A4B30">
            <w:pPr>
              <w:pStyle w:val="BodyText2"/>
              <w:jc w:val="center"/>
              <w:rPr>
                <w:szCs w:val="24"/>
              </w:rPr>
            </w:pPr>
            <w:r w:rsidRPr="002508E2">
              <w:rPr>
                <w:szCs w:val="24"/>
              </w:rPr>
              <w:t>Annual Responses</w:t>
            </w:r>
          </w:p>
        </w:tc>
        <w:tc>
          <w:tcPr>
            <w:tcW w:w="1527" w:type="dxa"/>
            <w:vAlign w:val="center"/>
          </w:tcPr>
          <w:p w14:paraId="6F071C8F" w14:textId="77777777" w:rsidR="00BE278C" w:rsidRPr="002508E2" w:rsidRDefault="00BE278C" w:rsidP="000A4B30">
            <w:pPr>
              <w:pStyle w:val="BodyText2"/>
              <w:jc w:val="center"/>
              <w:rPr>
                <w:szCs w:val="24"/>
              </w:rPr>
            </w:pPr>
            <w:r w:rsidRPr="002508E2">
              <w:rPr>
                <w:szCs w:val="24"/>
              </w:rPr>
              <w:t>Hours Per Response</w:t>
            </w:r>
          </w:p>
        </w:tc>
        <w:tc>
          <w:tcPr>
            <w:tcW w:w="1275" w:type="dxa"/>
            <w:vAlign w:val="center"/>
          </w:tcPr>
          <w:p w14:paraId="7EDF8CE3" w14:textId="77777777" w:rsidR="00BE278C" w:rsidRPr="002508E2" w:rsidRDefault="00BE278C" w:rsidP="000A4B30">
            <w:pPr>
              <w:pStyle w:val="BodyText2"/>
              <w:jc w:val="center"/>
              <w:rPr>
                <w:szCs w:val="24"/>
              </w:rPr>
            </w:pPr>
            <w:r w:rsidRPr="002508E2">
              <w:rPr>
                <w:szCs w:val="24"/>
              </w:rPr>
              <w:t>Total Hours</w:t>
            </w:r>
          </w:p>
        </w:tc>
      </w:tr>
      <w:tr w:rsidR="00BE278C" w:rsidRPr="002508E2" w14:paraId="56247CE4" w14:textId="77777777" w:rsidTr="000A4B30">
        <w:tc>
          <w:tcPr>
            <w:tcW w:w="2628" w:type="dxa"/>
          </w:tcPr>
          <w:p w14:paraId="0F9D29ED" w14:textId="77777777" w:rsidR="00BE278C" w:rsidRPr="002508E2" w:rsidRDefault="00BE278C" w:rsidP="000A4B30">
            <w:pPr>
              <w:pStyle w:val="BodyText2"/>
              <w:jc w:val="left"/>
              <w:rPr>
                <w:szCs w:val="24"/>
              </w:rPr>
            </w:pPr>
            <w:r w:rsidRPr="002508E2">
              <w:rPr>
                <w:szCs w:val="24"/>
              </w:rPr>
              <w:t>Private Sector</w:t>
            </w:r>
          </w:p>
        </w:tc>
        <w:tc>
          <w:tcPr>
            <w:tcW w:w="1350" w:type="dxa"/>
          </w:tcPr>
          <w:p w14:paraId="1B5E2258" w14:textId="4F464BA7" w:rsidR="00BE278C" w:rsidRPr="002508E2" w:rsidRDefault="00617330" w:rsidP="00053A24">
            <w:pPr>
              <w:pStyle w:val="BodyText2"/>
              <w:jc w:val="right"/>
              <w:rPr>
                <w:szCs w:val="24"/>
              </w:rPr>
            </w:pPr>
            <w:r>
              <w:rPr>
                <w:szCs w:val="24"/>
              </w:rPr>
              <w:t>290</w:t>
            </w:r>
          </w:p>
        </w:tc>
        <w:tc>
          <w:tcPr>
            <w:tcW w:w="1448" w:type="dxa"/>
          </w:tcPr>
          <w:p w14:paraId="05585B1F" w14:textId="77777777" w:rsidR="00BE278C" w:rsidRPr="002508E2" w:rsidRDefault="00BE278C" w:rsidP="000A4B30">
            <w:pPr>
              <w:pStyle w:val="BodyText2"/>
              <w:jc w:val="center"/>
              <w:rPr>
                <w:szCs w:val="24"/>
              </w:rPr>
            </w:pPr>
            <w:r w:rsidRPr="002508E2">
              <w:rPr>
                <w:szCs w:val="24"/>
              </w:rPr>
              <w:t>1</w:t>
            </w:r>
          </w:p>
        </w:tc>
        <w:tc>
          <w:tcPr>
            <w:tcW w:w="1348" w:type="dxa"/>
          </w:tcPr>
          <w:p w14:paraId="29AC5CE0" w14:textId="56D13349" w:rsidR="00BE278C" w:rsidRPr="002508E2" w:rsidRDefault="00617330" w:rsidP="00053A24">
            <w:pPr>
              <w:pStyle w:val="BodyText2"/>
              <w:jc w:val="right"/>
              <w:rPr>
                <w:szCs w:val="24"/>
              </w:rPr>
            </w:pPr>
            <w:r>
              <w:rPr>
                <w:szCs w:val="24"/>
              </w:rPr>
              <w:t>290</w:t>
            </w:r>
          </w:p>
        </w:tc>
        <w:tc>
          <w:tcPr>
            <w:tcW w:w="1527" w:type="dxa"/>
          </w:tcPr>
          <w:p w14:paraId="5473C215" w14:textId="77777777" w:rsidR="00BE278C" w:rsidRPr="002508E2" w:rsidRDefault="00CE2F09">
            <w:pPr>
              <w:pStyle w:val="BodyText2"/>
              <w:jc w:val="right"/>
              <w:rPr>
                <w:szCs w:val="24"/>
              </w:rPr>
            </w:pPr>
            <w:r w:rsidRPr="002508E2">
              <w:rPr>
                <w:szCs w:val="24"/>
              </w:rPr>
              <w:t>37.5</w:t>
            </w:r>
          </w:p>
        </w:tc>
        <w:tc>
          <w:tcPr>
            <w:tcW w:w="1275" w:type="dxa"/>
          </w:tcPr>
          <w:p w14:paraId="77E98F1E" w14:textId="32A96DC2" w:rsidR="00BE278C" w:rsidRPr="002508E2" w:rsidRDefault="00617330" w:rsidP="00053A24">
            <w:pPr>
              <w:pStyle w:val="BodyText2"/>
              <w:jc w:val="right"/>
              <w:rPr>
                <w:szCs w:val="24"/>
              </w:rPr>
            </w:pPr>
            <w:r>
              <w:rPr>
                <w:szCs w:val="24"/>
              </w:rPr>
              <w:t>10,875</w:t>
            </w:r>
          </w:p>
        </w:tc>
      </w:tr>
      <w:tr w:rsidR="00BE278C" w:rsidRPr="002508E2" w14:paraId="1509949F" w14:textId="77777777" w:rsidTr="000A4B30">
        <w:tc>
          <w:tcPr>
            <w:tcW w:w="2628" w:type="dxa"/>
            <w:tcBorders>
              <w:bottom w:val="double" w:sz="4" w:space="0" w:color="auto"/>
            </w:tcBorders>
          </w:tcPr>
          <w:p w14:paraId="50D80E92" w14:textId="77777777" w:rsidR="00BE278C" w:rsidRPr="002508E2" w:rsidRDefault="00BE278C" w:rsidP="000A4B30">
            <w:pPr>
              <w:pStyle w:val="BodyText2"/>
              <w:jc w:val="left"/>
              <w:rPr>
                <w:szCs w:val="24"/>
              </w:rPr>
            </w:pPr>
            <w:r w:rsidRPr="002508E2">
              <w:rPr>
                <w:szCs w:val="24"/>
              </w:rPr>
              <w:t xml:space="preserve">State, Local, &amp; Tribal </w:t>
            </w:r>
          </w:p>
        </w:tc>
        <w:tc>
          <w:tcPr>
            <w:tcW w:w="1350" w:type="dxa"/>
            <w:tcBorders>
              <w:bottom w:val="double" w:sz="4" w:space="0" w:color="auto"/>
            </w:tcBorders>
          </w:tcPr>
          <w:p w14:paraId="0BB3C56B" w14:textId="28E47715" w:rsidR="00BE278C" w:rsidRPr="002508E2" w:rsidRDefault="00617330" w:rsidP="00053A24">
            <w:pPr>
              <w:pStyle w:val="BodyText2"/>
              <w:jc w:val="right"/>
              <w:rPr>
                <w:szCs w:val="24"/>
              </w:rPr>
            </w:pPr>
            <w:r>
              <w:rPr>
                <w:szCs w:val="24"/>
              </w:rPr>
              <w:t>10</w:t>
            </w:r>
          </w:p>
        </w:tc>
        <w:tc>
          <w:tcPr>
            <w:tcW w:w="1448" w:type="dxa"/>
            <w:tcBorders>
              <w:bottom w:val="double" w:sz="4" w:space="0" w:color="auto"/>
            </w:tcBorders>
          </w:tcPr>
          <w:p w14:paraId="0AA94D33" w14:textId="77777777" w:rsidR="00BE278C" w:rsidRPr="002508E2" w:rsidRDefault="00BE278C" w:rsidP="000A4B30">
            <w:pPr>
              <w:pStyle w:val="BodyText2"/>
              <w:jc w:val="center"/>
              <w:rPr>
                <w:szCs w:val="24"/>
              </w:rPr>
            </w:pPr>
            <w:r w:rsidRPr="002508E2">
              <w:rPr>
                <w:szCs w:val="24"/>
              </w:rPr>
              <w:t>1</w:t>
            </w:r>
          </w:p>
        </w:tc>
        <w:tc>
          <w:tcPr>
            <w:tcW w:w="1348" w:type="dxa"/>
            <w:tcBorders>
              <w:bottom w:val="double" w:sz="4" w:space="0" w:color="auto"/>
            </w:tcBorders>
          </w:tcPr>
          <w:p w14:paraId="1C036144" w14:textId="5FB91EAB" w:rsidR="00BE278C" w:rsidRPr="002508E2" w:rsidRDefault="00617330" w:rsidP="00EC0999">
            <w:pPr>
              <w:pStyle w:val="BodyText2"/>
              <w:jc w:val="right"/>
              <w:rPr>
                <w:szCs w:val="24"/>
              </w:rPr>
            </w:pPr>
            <w:r>
              <w:rPr>
                <w:szCs w:val="24"/>
              </w:rPr>
              <w:t>10</w:t>
            </w:r>
          </w:p>
        </w:tc>
        <w:tc>
          <w:tcPr>
            <w:tcW w:w="1527" w:type="dxa"/>
            <w:tcBorders>
              <w:bottom w:val="double" w:sz="4" w:space="0" w:color="auto"/>
            </w:tcBorders>
          </w:tcPr>
          <w:p w14:paraId="48B728F9" w14:textId="77777777" w:rsidR="00BE278C" w:rsidRPr="002508E2" w:rsidRDefault="00CE2F09" w:rsidP="00EC0999">
            <w:pPr>
              <w:pStyle w:val="BodyText2"/>
              <w:jc w:val="right"/>
              <w:rPr>
                <w:szCs w:val="24"/>
              </w:rPr>
            </w:pPr>
            <w:r w:rsidRPr="002508E2">
              <w:rPr>
                <w:szCs w:val="24"/>
              </w:rPr>
              <w:t>37.5</w:t>
            </w:r>
          </w:p>
        </w:tc>
        <w:tc>
          <w:tcPr>
            <w:tcW w:w="1275" w:type="dxa"/>
            <w:tcBorders>
              <w:bottom w:val="double" w:sz="4" w:space="0" w:color="auto"/>
            </w:tcBorders>
          </w:tcPr>
          <w:p w14:paraId="35ABA5EF" w14:textId="5BDA6F3E" w:rsidR="00BE278C" w:rsidRPr="002508E2" w:rsidRDefault="00617330" w:rsidP="00EC0999">
            <w:pPr>
              <w:pStyle w:val="BodyText2"/>
              <w:jc w:val="right"/>
              <w:rPr>
                <w:szCs w:val="24"/>
              </w:rPr>
            </w:pPr>
            <w:r>
              <w:rPr>
                <w:szCs w:val="24"/>
              </w:rPr>
              <w:t>375</w:t>
            </w:r>
          </w:p>
        </w:tc>
      </w:tr>
      <w:tr w:rsidR="0034634A" w:rsidRPr="002508E2" w14:paraId="0A01E995" w14:textId="77777777" w:rsidTr="000A4B30">
        <w:trPr>
          <w:trHeight w:val="494"/>
        </w:trPr>
        <w:tc>
          <w:tcPr>
            <w:tcW w:w="2628" w:type="dxa"/>
            <w:tcBorders>
              <w:top w:val="double" w:sz="4" w:space="0" w:color="auto"/>
            </w:tcBorders>
            <w:vAlign w:val="center"/>
          </w:tcPr>
          <w:p w14:paraId="2B976696" w14:textId="77777777" w:rsidR="0034634A" w:rsidRPr="002508E2" w:rsidRDefault="0034634A" w:rsidP="000A4B30">
            <w:pPr>
              <w:pStyle w:val="BodyText2"/>
              <w:jc w:val="right"/>
              <w:rPr>
                <w:szCs w:val="24"/>
              </w:rPr>
            </w:pPr>
            <w:r w:rsidRPr="002508E2">
              <w:rPr>
                <w:szCs w:val="24"/>
              </w:rPr>
              <w:t>Totals</w:t>
            </w:r>
          </w:p>
        </w:tc>
        <w:tc>
          <w:tcPr>
            <w:tcW w:w="1350" w:type="dxa"/>
            <w:tcBorders>
              <w:top w:val="double" w:sz="4" w:space="0" w:color="auto"/>
            </w:tcBorders>
            <w:vAlign w:val="center"/>
          </w:tcPr>
          <w:p w14:paraId="6A4765A0" w14:textId="65EA97A8" w:rsidR="0034634A" w:rsidRPr="002508E2" w:rsidRDefault="00617330" w:rsidP="00A403C3">
            <w:pPr>
              <w:pStyle w:val="BodyText2"/>
              <w:jc w:val="right"/>
              <w:rPr>
                <w:szCs w:val="24"/>
              </w:rPr>
            </w:pPr>
            <w:r>
              <w:rPr>
                <w:szCs w:val="24"/>
              </w:rPr>
              <w:t>300</w:t>
            </w:r>
          </w:p>
        </w:tc>
        <w:tc>
          <w:tcPr>
            <w:tcW w:w="1448" w:type="dxa"/>
            <w:tcBorders>
              <w:top w:val="double" w:sz="4" w:space="0" w:color="auto"/>
            </w:tcBorders>
            <w:vAlign w:val="center"/>
          </w:tcPr>
          <w:p w14:paraId="5012A2DC" w14:textId="77777777" w:rsidR="0034634A" w:rsidRPr="002508E2" w:rsidRDefault="0034634A" w:rsidP="000A4B30">
            <w:pPr>
              <w:pStyle w:val="BodyText2"/>
              <w:jc w:val="center"/>
              <w:rPr>
                <w:szCs w:val="24"/>
              </w:rPr>
            </w:pPr>
            <w:r w:rsidRPr="002508E2">
              <w:rPr>
                <w:szCs w:val="24"/>
              </w:rPr>
              <w:t>1</w:t>
            </w:r>
          </w:p>
        </w:tc>
        <w:tc>
          <w:tcPr>
            <w:tcW w:w="1348" w:type="dxa"/>
            <w:tcBorders>
              <w:top w:val="double" w:sz="4" w:space="0" w:color="auto"/>
            </w:tcBorders>
            <w:vAlign w:val="center"/>
          </w:tcPr>
          <w:p w14:paraId="75FEB5CC" w14:textId="73C8E4B7" w:rsidR="0034634A" w:rsidRPr="002508E2" w:rsidRDefault="00617330" w:rsidP="00A403C3">
            <w:pPr>
              <w:pStyle w:val="BodyText2"/>
              <w:jc w:val="right"/>
              <w:rPr>
                <w:szCs w:val="24"/>
              </w:rPr>
            </w:pPr>
            <w:r>
              <w:rPr>
                <w:szCs w:val="24"/>
              </w:rPr>
              <w:t>300</w:t>
            </w:r>
          </w:p>
        </w:tc>
        <w:tc>
          <w:tcPr>
            <w:tcW w:w="1527" w:type="dxa"/>
            <w:tcBorders>
              <w:top w:val="double" w:sz="4" w:space="0" w:color="auto"/>
            </w:tcBorders>
            <w:vAlign w:val="center"/>
          </w:tcPr>
          <w:p w14:paraId="4791582F" w14:textId="77777777" w:rsidR="0034634A" w:rsidRPr="002508E2" w:rsidRDefault="00CE2F09" w:rsidP="00A403C3">
            <w:pPr>
              <w:pStyle w:val="BodyText2"/>
              <w:jc w:val="right"/>
              <w:rPr>
                <w:szCs w:val="24"/>
              </w:rPr>
            </w:pPr>
            <w:r w:rsidRPr="002508E2">
              <w:rPr>
                <w:szCs w:val="24"/>
              </w:rPr>
              <w:t>37.5</w:t>
            </w:r>
          </w:p>
        </w:tc>
        <w:tc>
          <w:tcPr>
            <w:tcW w:w="1275" w:type="dxa"/>
            <w:tcBorders>
              <w:top w:val="double" w:sz="4" w:space="0" w:color="auto"/>
            </w:tcBorders>
            <w:vAlign w:val="center"/>
          </w:tcPr>
          <w:p w14:paraId="2DF0CD54" w14:textId="25B0C4BD" w:rsidR="00EC0999" w:rsidRPr="002508E2" w:rsidRDefault="00617330" w:rsidP="00EC0999">
            <w:pPr>
              <w:pStyle w:val="BodyText2"/>
              <w:jc w:val="right"/>
              <w:rPr>
                <w:szCs w:val="24"/>
              </w:rPr>
            </w:pPr>
            <w:r>
              <w:rPr>
                <w:szCs w:val="24"/>
              </w:rPr>
              <w:t>11,250</w:t>
            </w:r>
          </w:p>
        </w:tc>
      </w:tr>
    </w:tbl>
    <w:p w14:paraId="066AB959" w14:textId="77777777" w:rsidR="00BE278C" w:rsidRDefault="00BE278C">
      <w:pPr>
        <w:pStyle w:val="BodyText2"/>
        <w:jc w:val="left"/>
      </w:pPr>
    </w:p>
    <w:p w14:paraId="475531FF" w14:textId="77777777" w:rsidR="005D537C" w:rsidRDefault="005D537C">
      <w:pPr>
        <w:rPr>
          <w:u w:val="single"/>
        </w:rPr>
      </w:pPr>
      <w:r>
        <w:rPr>
          <w:u w:val="single"/>
        </w:rPr>
        <w:t>13.  Estimate of total annual cost burden to respondents</w:t>
      </w:r>
    </w:p>
    <w:p w14:paraId="2A6BD2FD" w14:textId="77777777" w:rsidR="005D537C" w:rsidRDefault="005D537C">
      <w:r>
        <w:t>There are no cost burdens to respondents to this collection of data.  No purchase of equipment or services will need to be made by respondents for this information collection other than as required as a part of customary and usual business practices.</w:t>
      </w:r>
      <w:r w:rsidR="00C22A2B">
        <w:t xml:space="preserve">  </w:t>
      </w:r>
    </w:p>
    <w:p w14:paraId="0589F51A" w14:textId="77777777" w:rsidR="00EB179F" w:rsidRDefault="00EB179F"/>
    <w:p w14:paraId="6D57B388" w14:textId="77777777" w:rsidR="005D537C" w:rsidRDefault="005D537C">
      <w:pPr>
        <w:rPr>
          <w:u w:val="single"/>
        </w:rPr>
      </w:pPr>
      <w:r>
        <w:rPr>
          <w:u w:val="single"/>
        </w:rPr>
        <w:t>14.  Estimate of annualized cost to the Government</w:t>
      </w:r>
    </w:p>
    <w:p w14:paraId="588F6D2E" w14:textId="77777777" w:rsidR="005D537C" w:rsidRDefault="005D537C">
      <w:r>
        <w:t>The cost to the Government is the CDFI Fund staff and contractor time required to review the submitted applications, maintain the electronic application system</w:t>
      </w:r>
      <w:r w:rsidR="00A703B9">
        <w:t>,</w:t>
      </w:r>
      <w:r>
        <w:t xml:space="preserve"> and collect follow-up information from applicants.</w:t>
      </w:r>
    </w:p>
    <w:p w14:paraId="115C5275" w14:textId="77777777" w:rsidR="005D537C" w:rsidRDefault="005D537C">
      <w:pPr>
        <w:rPr>
          <w:u w:val="single"/>
        </w:rPr>
      </w:pPr>
    </w:p>
    <w:p w14:paraId="0D36C150" w14:textId="77777777" w:rsidR="00DB45DA" w:rsidRDefault="00DB45DA" w:rsidP="008003EB">
      <w:pPr>
        <w:rPr>
          <w:u w:val="single"/>
        </w:rPr>
      </w:pPr>
    </w:p>
    <w:p w14:paraId="1DD416B1" w14:textId="77777777" w:rsidR="008003EB" w:rsidRPr="001F1F85" w:rsidRDefault="008003EB" w:rsidP="008003EB">
      <w:pPr>
        <w:rPr>
          <w:highlight w:val="yellow"/>
          <w:u w:val="single"/>
        </w:rPr>
      </w:pPr>
      <w:r>
        <w:rPr>
          <w:u w:val="single"/>
        </w:rPr>
        <w:t xml:space="preserve">15.  Any program changes or adjustments </w:t>
      </w:r>
    </w:p>
    <w:p w14:paraId="6C774303" w14:textId="5E778D6F" w:rsidR="008003EB" w:rsidRDefault="008003EB" w:rsidP="008003EB">
      <w:r>
        <w:t xml:space="preserve">The CDFI Fund has not made </w:t>
      </w:r>
      <w:r w:rsidR="00EA6450">
        <w:t xml:space="preserve">any </w:t>
      </w:r>
      <w:r w:rsidR="00C22A2B">
        <w:t>c</w:t>
      </w:r>
      <w:r>
        <w:t xml:space="preserve">hanges to the </w:t>
      </w:r>
      <w:r w:rsidR="00EA6450">
        <w:t xml:space="preserve">certification </w:t>
      </w:r>
      <w:r>
        <w:t>application</w:t>
      </w:r>
      <w:r w:rsidR="00EA6450">
        <w:t xml:space="preserve">.  The adjustment in agency estimate is due to </w:t>
      </w:r>
      <w:r w:rsidR="009D52F0">
        <w:t xml:space="preserve">a substantial </w:t>
      </w:r>
      <w:r w:rsidR="00C65C03">
        <w:t xml:space="preserve">increase </w:t>
      </w:r>
      <w:r w:rsidR="009D52F0">
        <w:t xml:space="preserve">in the aggregate number of respondents from </w:t>
      </w:r>
      <w:r w:rsidR="00617330">
        <w:t xml:space="preserve">175 </w:t>
      </w:r>
      <w:r w:rsidR="009D52F0">
        <w:t xml:space="preserve">to </w:t>
      </w:r>
      <w:r w:rsidR="00617330">
        <w:t>300</w:t>
      </w:r>
      <w:r w:rsidR="00EA6450">
        <w:t xml:space="preserve">.  </w:t>
      </w:r>
      <w:r w:rsidR="00617330">
        <w:t xml:space="preserve">This is based on the implementation of the electronic application. The CDFI Fund expects to receive more submissions. </w:t>
      </w:r>
      <w:r w:rsidR="00F572B5">
        <w:t xml:space="preserve">Total burden hours requested is </w:t>
      </w:r>
      <w:r w:rsidR="00617330">
        <w:t>11,250</w:t>
      </w:r>
      <w:r w:rsidR="00F572B5">
        <w:t>.</w:t>
      </w:r>
    </w:p>
    <w:p w14:paraId="3652CB91" w14:textId="77777777" w:rsidR="008003EB" w:rsidRDefault="008003EB" w:rsidP="008003EB"/>
    <w:p w14:paraId="21584EB9" w14:textId="77777777" w:rsidR="008003EB" w:rsidRDefault="008003EB" w:rsidP="008003EB">
      <w:pPr>
        <w:rPr>
          <w:u w:val="single"/>
        </w:rPr>
      </w:pPr>
      <w:r>
        <w:rPr>
          <w:u w:val="single"/>
        </w:rPr>
        <w:t>16.  Plans for information tabulation and publication</w:t>
      </w:r>
    </w:p>
    <w:p w14:paraId="53D0C8E7" w14:textId="77777777" w:rsidR="008003EB" w:rsidRDefault="008003EB" w:rsidP="008003EB">
      <w:r>
        <w:t xml:space="preserve">Confidential or proprietary information collected through the </w:t>
      </w:r>
      <w:r w:rsidR="00CE2F09">
        <w:t>CDFI Certification Application</w:t>
      </w:r>
      <w:r>
        <w:t xml:space="preserve"> will not be published.</w:t>
      </w:r>
    </w:p>
    <w:p w14:paraId="0BB81A84" w14:textId="77777777" w:rsidR="008003EB" w:rsidRDefault="008003EB" w:rsidP="008003EB"/>
    <w:p w14:paraId="30DDF034" w14:textId="77777777" w:rsidR="008003EB" w:rsidRDefault="008003EB" w:rsidP="008003EB">
      <w:r>
        <w:rPr>
          <w:u w:val="single"/>
        </w:rPr>
        <w:t>17.  Reasons for not displaying expiration date of OMB approval</w:t>
      </w:r>
    </w:p>
    <w:p w14:paraId="4D54C1D9" w14:textId="77777777" w:rsidR="008003EB" w:rsidRDefault="00CE2F09" w:rsidP="008003EB">
      <w:pPr>
        <w:rPr>
          <w:u w:val="single"/>
        </w:rPr>
      </w:pPr>
      <w:r>
        <w:t>Not applicable.</w:t>
      </w:r>
    </w:p>
    <w:p w14:paraId="479D7C32" w14:textId="77777777" w:rsidR="00A55FA3" w:rsidRDefault="00A55FA3" w:rsidP="008003EB">
      <w:pPr>
        <w:rPr>
          <w:u w:val="single"/>
        </w:rPr>
      </w:pPr>
    </w:p>
    <w:p w14:paraId="7FB2663F" w14:textId="77777777" w:rsidR="008003EB" w:rsidRDefault="008003EB" w:rsidP="008003EB">
      <w:pPr>
        <w:rPr>
          <w:u w:val="single"/>
        </w:rPr>
      </w:pPr>
      <w:r>
        <w:rPr>
          <w:u w:val="single"/>
        </w:rPr>
        <w:t>18.  Explanation of exceptions to certification statement</w:t>
      </w:r>
    </w:p>
    <w:p w14:paraId="7A098827" w14:textId="77777777" w:rsidR="008003EB" w:rsidRDefault="008003EB" w:rsidP="008003EB">
      <w:r>
        <w:t>Not applicable.</w:t>
      </w:r>
    </w:p>
    <w:p w14:paraId="5AB93761" w14:textId="77777777" w:rsidR="008003EB" w:rsidRDefault="008003EB" w:rsidP="008003EB"/>
    <w:p w14:paraId="0E8E5DC8" w14:textId="77777777" w:rsidR="008003EB" w:rsidRDefault="008003EB" w:rsidP="008003EB">
      <w:pPr>
        <w:pStyle w:val="Heading1"/>
      </w:pPr>
      <w:r>
        <w:t>B.  Collections of Information Employing Statistical Methods</w:t>
      </w:r>
    </w:p>
    <w:p w14:paraId="1980CB18" w14:textId="595B934D" w:rsidR="00040199" w:rsidRDefault="008003EB" w:rsidP="00D61E95">
      <w:r>
        <w:t>This section is not applicable.</w:t>
      </w:r>
    </w:p>
    <w:p w14:paraId="5AFA58F6" w14:textId="77777777" w:rsidR="00514E55" w:rsidRDefault="00514E55" w:rsidP="00D61E95">
      <w:pPr>
        <w:sectPr w:rsidR="00514E55" w:rsidSect="00DB135F">
          <w:headerReference w:type="default" r:id="rId12"/>
          <w:footerReference w:type="default" r:id="rId13"/>
          <w:pgSz w:w="12240" w:h="15840" w:code="1"/>
          <w:pgMar w:top="1080" w:right="1440" w:bottom="1080" w:left="1440" w:header="720" w:footer="720" w:gutter="0"/>
          <w:cols w:space="720"/>
          <w:docGrid w:linePitch="326"/>
        </w:sectPr>
      </w:pPr>
    </w:p>
    <w:p w14:paraId="292EDD78" w14:textId="5133B427" w:rsidR="00514E55" w:rsidRDefault="00514E55" w:rsidP="00D61E95">
      <w:pPr>
        <w:rPr>
          <w:b/>
        </w:rPr>
      </w:pPr>
      <w:r w:rsidRPr="00514E55">
        <w:rPr>
          <w:b/>
        </w:rPr>
        <w:t>Appendix 1: Adjudication Table</w:t>
      </w:r>
    </w:p>
    <w:p w14:paraId="139D1D29" w14:textId="77777777" w:rsidR="00514E55" w:rsidRDefault="00514E55" w:rsidP="00D61E95">
      <w:pPr>
        <w:rPr>
          <w:b/>
        </w:rPr>
      </w:pPr>
    </w:p>
    <w:tbl>
      <w:tblPr>
        <w:tblStyle w:val="TableGrid"/>
        <w:tblW w:w="13315" w:type="dxa"/>
        <w:tblLook w:val="04A0" w:firstRow="1" w:lastRow="0" w:firstColumn="1" w:lastColumn="0" w:noHBand="0" w:noVBand="1"/>
      </w:tblPr>
      <w:tblGrid>
        <w:gridCol w:w="1073"/>
        <w:gridCol w:w="1253"/>
        <w:gridCol w:w="1525"/>
        <w:gridCol w:w="1618"/>
        <w:gridCol w:w="3653"/>
        <w:gridCol w:w="926"/>
        <w:gridCol w:w="1566"/>
        <w:gridCol w:w="1701"/>
      </w:tblGrid>
      <w:tr w:rsidR="00514E55" w:rsidRPr="00B70E9C" w14:paraId="3DD34353" w14:textId="77777777" w:rsidTr="00B70E9C">
        <w:tc>
          <w:tcPr>
            <w:tcW w:w="1075" w:type="dxa"/>
            <w:shd w:val="clear" w:color="auto" w:fill="C6D9F1" w:themeFill="text2" w:themeFillTint="33"/>
          </w:tcPr>
          <w:p w14:paraId="72A99265" w14:textId="77777777" w:rsidR="00514E55" w:rsidRPr="00B70E9C" w:rsidRDefault="00514E55">
            <w:pPr>
              <w:rPr>
                <w:b/>
                <w:sz w:val="18"/>
                <w:szCs w:val="18"/>
              </w:rPr>
            </w:pPr>
            <w:r w:rsidRPr="00B70E9C">
              <w:rPr>
                <w:b/>
                <w:sz w:val="18"/>
                <w:szCs w:val="18"/>
              </w:rPr>
              <w:t>Date Received</w:t>
            </w:r>
          </w:p>
        </w:tc>
        <w:tc>
          <w:tcPr>
            <w:tcW w:w="1260" w:type="dxa"/>
            <w:shd w:val="clear" w:color="auto" w:fill="C6D9F1" w:themeFill="text2" w:themeFillTint="33"/>
          </w:tcPr>
          <w:p w14:paraId="6E621D15" w14:textId="77777777" w:rsidR="00514E55" w:rsidRPr="00B70E9C" w:rsidRDefault="00514E55">
            <w:pPr>
              <w:rPr>
                <w:b/>
                <w:sz w:val="18"/>
                <w:szCs w:val="18"/>
              </w:rPr>
            </w:pPr>
            <w:r w:rsidRPr="00B70E9C">
              <w:rPr>
                <w:b/>
                <w:sz w:val="18"/>
                <w:szCs w:val="18"/>
              </w:rPr>
              <w:t>Author Name</w:t>
            </w:r>
          </w:p>
        </w:tc>
        <w:tc>
          <w:tcPr>
            <w:tcW w:w="1530" w:type="dxa"/>
            <w:shd w:val="clear" w:color="auto" w:fill="C6D9F1" w:themeFill="text2" w:themeFillTint="33"/>
          </w:tcPr>
          <w:p w14:paraId="45029A27" w14:textId="77777777" w:rsidR="00514E55" w:rsidRPr="00B70E9C" w:rsidRDefault="00514E55">
            <w:pPr>
              <w:rPr>
                <w:b/>
                <w:sz w:val="18"/>
                <w:szCs w:val="18"/>
              </w:rPr>
            </w:pPr>
            <w:r w:rsidRPr="00B70E9C">
              <w:rPr>
                <w:b/>
                <w:sz w:val="18"/>
                <w:szCs w:val="18"/>
              </w:rPr>
              <w:t>Organization</w:t>
            </w:r>
          </w:p>
        </w:tc>
        <w:tc>
          <w:tcPr>
            <w:tcW w:w="1620" w:type="dxa"/>
            <w:shd w:val="clear" w:color="auto" w:fill="C6D9F1" w:themeFill="text2" w:themeFillTint="33"/>
          </w:tcPr>
          <w:p w14:paraId="0FE096D3" w14:textId="77777777" w:rsidR="00514E55" w:rsidRPr="00B70E9C" w:rsidRDefault="00514E55">
            <w:pPr>
              <w:rPr>
                <w:b/>
                <w:sz w:val="18"/>
                <w:szCs w:val="18"/>
              </w:rPr>
            </w:pPr>
            <w:r w:rsidRPr="00B70E9C">
              <w:rPr>
                <w:b/>
                <w:sz w:val="18"/>
                <w:szCs w:val="18"/>
              </w:rPr>
              <w:t>Section/Question</w:t>
            </w:r>
          </w:p>
        </w:tc>
        <w:tc>
          <w:tcPr>
            <w:tcW w:w="3689" w:type="dxa"/>
            <w:shd w:val="clear" w:color="auto" w:fill="C6D9F1" w:themeFill="text2" w:themeFillTint="33"/>
          </w:tcPr>
          <w:p w14:paraId="3606C929" w14:textId="77777777" w:rsidR="00514E55" w:rsidRPr="00B70E9C" w:rsidRDefault="00514E55">
            <w:pPr>
              <w:rPr>
                <w:b/>
                <w:sz w:val="18"/>
                <w:szCs w:val="18"/>
              </w:rPr>
            </w:pPr>
            <w:r w:rsidRPr="00B70E9C">
              <w:rPr>
                <w:b/>
                <w:sz w:val="18"/>
                <w:szCs w:val="18"/>
              </w:rPr>
              <w:t>Comment</w:t>
            </w:r>
          </w:p>
        </w:tc>
        <w:tc>
          <w:tcPr>
            <w:tcW w:w="885" w:type="dxa"/>
            <w:shd w:val="clear" w:color="auto" w:fill="C6D9F1" w:themeFill="text2" w:themeFillTint="33"/>
          </w:tcPr>
          <w:p w14:paraId="3D5FFFB0" w14:textId="77777777" w:rsidR="00514E55" w:rsidRPr="00B70E9C" w:rsidRDefault="00514E55">
            <w:pPr>
              <w:rPr>
                <w:b/>
                <w:sz w:val="18"/>
                <w:szCs w:val="18"/>
              </w:rPr>
            </w:pPr>
            <w:r w:rsidRPr="00B70E9C">
              <w:rPr>
                <w:b/>
                <w:sz w:val="18"/>
                <w:szCs w:val="18"/>
              </w:rPr>
              <w:t>Category</w:t>
            </w:r>
          </w:p>
        </w:tc>
        <w:tc>
          <w:tcPr>
            <w:tcW w:w="1546" w:type="dxa"/>
            <w:shd w:val="clear" w:color="auto" w:fill="C6D9F1" w:themeFill="text2" w:themeFillTint="33"/>
          </w:tcPr>
          <w:p w14:paraId="26E0DBF4" w14:textId="77777777" w:rsidR="00514E55" w:rsidRPr="00B70E9C" w:rsidRDefault="00514E55">
            <w:pPr>
              <w:rPr>
                <w:b/>
                <w:sz w:val="18"/>
                <w:szCs w:val="18"/>
              </w:rPr>
            </w:pPr>
            <w:r w:rsidRPr="00B70E9C">
              <w:rPr>
                <w:b/>
                <w:sz w:val="18"/>
                <w:szCs w:val="18"/>
              </w:rPr>
              <w:t>Recommendation</w:t>
            </w:r>
          </w:p>
        </w:tc>
        <w:tc>
          <w:tcPr>
            <w:tcW w:w="1710" w:type="dxa"/>
            <w:shd w:val="clear" w:color="auto" w:fill="C6D9F1" w:themeFill="text2" w:themeFillTint="33"/>
          </w:tcPr>
          <w:p w14:paraId="1B62F164" w14:textId="77777777" w:rsidR="00514E55" w:rsidRPr="00B70E9C" w:rsidRDefault="00514E55">
            <w:pPr>
              <w:rPr>
                <w:b/>
                <w:sz w:val="18"/>
                <w:szCs w:val="18"/>
              </w:rPr>
            </w:pPr>
            <w:r w:rsidRPr="00B70E9C">
              <w:rPr>
                <w:b/>
                <w:sz w:val="18"/>
                <w:szCs w:val="18"/>
              </w:rPr>
              <w:t>Response</w:t>
            </w:r>
          </w:p>
        </w:tc>
      </w:tr>
      <w:tr w:rsidR="00514E55" w:rsidRPr="00B70E9C" w14:paraId="313F3852" w14:textId="77777777" w:rsidTr="00B70E9C">
        <w:tc>
          <w:tcPr>
            <w:tcW w:w="1075" w:type="dxa"/>
          </w:tcPr>
          <w:p w14:paraId="6CCA9141" w14:textId="77777777" w:rsidR="00514E55" w:rsidRPr="00B70E9C" w:rsidRDefault="00514E55">
            <w:pPr>
              <w:rPr>
                <w:sz w:val="18"/>
                <w:szCs w:val="18"/>
              </w:rPr>
            </w:pPr>
            <w:r w:rsidRPr="00B70E9C">
              <w:rPr>
                <w:sz w:val="18"/>
                <w:szCs w:val="18"/>
              </w:rPr>
              <w:t>11/5/2018</w:t>
            </w:r>
          </w:p>
        </w:tc>
        <w:tc>
          <w:tcPr>
            <w:tcW w:w="1260" w:type="dxa"/>
          </w:tcPr>
          <w:p w14:paraId="32335D1B" w14:textId="77777777" w:rsidR="00514E55" w:rsidRPr="00B70E9C" w:rsidRDefault="00514E55" w:rsidP="00B70E9C">
            <w:pPr>
              <w:jc w:val="center"/>
              <w:rPr>
                <w:sz w:val="18"/>
                <w:szCs w:val="18"/>
              </w:rPr>
            </w:pPr>
            <w:r w:rsidRPr="00B70E9C">
              <w:rPr>
                <w:sz w:val="18"/>
                <w:szCs w:val="18"/>
              </w:rPr>
              <w:t>Manjima Bose</w:t>
            </w:r>
          </w:p>
        </w:tc>
        <w:tc>
          <w:tcPr>
            <w:tcW w:w="1530" w:type="dxa"/>
          </w:tcPr>
          <w:p w14:paraId="77879D43" w14:textId="77777777" w:rsidR="00514E55" w:rsidRPr="00B70E9C" w:rsidRDefault="00514E55">
            <w:pPr>
              <w:rPr>
                <w:sz w:val="18"/>
                <w:szCs w:val="18"/>
              </w:rPr>
            </w:pPr>
            <w:r w:rsidRPr="00B70E9C">
              <w:rPr>
                <w:sz w:val="18"/>
                <w:szCs w:val="18"/>
              </w:rPr>
              <w:t>Fund Consulting, LLC</w:t>
            </w:r>
          </w:p>
        </w:tc>
        <w:tc>
          <w:tcPr>
            <w:tcW w:w="1620" w:type="dxa"/>
          </w:tcPr>
          <w:p w14:paraId="28A905FB" w14:textId="77777777" w:rsidR="00514E55" w:rsidRPr="00B70E9C" w:rsidRDefault="00514E55" w:rsidP="00B70E9C">
            <w:pPr>
              <w:rPr>
                <w:sz w:val="18"/>
                <w:szCs w:val="18"/>
              </w:rPr>
            </w:pPr>
            <w:r w:rsidRPr="00B70E9C">
              <w:rPr>
                <w:sz w:val="18"/>
                <w:szCs w:val="18"/>
              </w:rPr>
              <w:t>(d) The accuracy of the CDFI Fund’s estimate of the burden of the collection of information</w:t>
            </w:r>
          </w:p>
          <w:p w14:paraId="775744B9" w14:textId="77777777" w:rsidR="00514E55" w:rsidRPr="00B70E9C" w:rsidRDefault="00514E55" w:rsidP="00B70E9C">
            <w:pPr>
              <w:rPr>
                <w:sz w:val="18"/>
                <w:szCs w:val="18"/>
              </w:rPr>
            </w:pPr>
            <w:r w:rsidRPr="00B70E9C">
              <w:rPr>
                <w:sz w:val="18"/>
                <w:szCs w:val="18"/>
              </w:rPr>
              <w:t>(Estimated Annual Time per Respondent: 37.5 hours)</w:t>
            </w:r>
          </w:p>
        </w:tc>
        <w:tc>
          <w:tcPr>
            <w:tcW w:w="3689" w:type="dxa"/>
          </w:tcPr>
          <w:p w14:paraId="69F4658A" w14:textId="77777777" w:rsidR="00514E55" w:rsidRPr="00B70E9C" w:rsidRDefault="00514E55" w:rsidP="00B70E9C">
            <w:pPr>
              <w:rPr>
                <w:sz w:val="18"/>
                <w:szCs w:val="18"/>
              </w:rPr>
            </w:pPr>
            <w:r w:rsidRPr="00B70E9C">
              <w:rPr>
                <w:sz w:val="18"/>
                <w:szCs w:val="18"/>
              </w:rPr>
              <w:t>"FUND Consulting’s estimate of the burden of the collection of information is slightly above the</w:t>
            </w:r>
          </w:p>
          <w:p w14:paraId="5FE8548B" w14:textId="77777777" w:rsidR="00514E55" w:rsidRPr="00B70E9C" w:rsidRDefault="00514E55" w:rsidP="00B70E9C">
            <w:pPr>
              <w:rPr>
                <w:sz w:val="18"/>
                <w:szCs w:val="18"/>
              </w:rPr>
            </w:pPr>
            <w:r w:rsidRPr="00B70E9C">
              <w:rPr>
                <w:sz w:val="18"/>
                <w:szCs w:val="18"/>
              </w:rPr>
              <w:t>CDFI Fund’s estimate of 37.5 hours. FUND Consulting estimates it takes an applicant</w:t>
            </w:r>
          </w:p>
          <w:p w14:paraId="6F004A89" w14:textId="77777777" w:rsidR="00514E55" w:rsidRPr="00B70E9C" w:rsidRDefault="00514E55" w:rsidP="00B70E9C">
            <w:pPr>
              <w:rPr>
                <w:sz w:val="18"/>
                <w:szCs w:val="18"/>
              </w:rPr>
            </w:pPr>
            <w:r w:rsidRPr="00B70E9C">
              <w:rPr>
                <w:sz w:val="18"/>
                <w:szCs w:val="18"/>
              </w:rPr>
              <w:t>organization approximately 40-45 hours to complete and submit a certification application,</w:t>
            </w:r>
          </w:p>
          <w:p w14:paraId="79385523" w14:textId="77777777" w:rsidR="00514E55" w:rsidRPr="00B70E9C" w:rsidRDefault="00514E55" w:rsidP="00B70E9C">
            <w:pPr>
              <w:rPr>
                <w:sz w:val="18"/>
                <w:szCs w:val="18"/>
              </w:rPr>
            </w:pPr>
            <w:r w:rsidRPr="00B70E9C">
              <w:rPr>
                <w:sz w:val="18"/>
                <w:szCs w:val="18"/>
              </w:rPr>
              <w:t>including gathering the information needed to respond to the Application questions, workbook, and attachments request. This time includes geocoding and otherwise analyzing an organization’s lending data and using the CIMS3 mapping system to identify qualified Target Markets and create associated maps—due to technical issues that often arise in the mapping system, the time needed to complete these steps can vary widely. This estimation also includes conducting research on the economic distress and the need for financing in the identified Target</w:t>
            </w:r>
          </w:p>
          <w:p w14:paraId="01272B29" w14:textId="77777777" w:rsidR="00514E55" w:rsidRPr="00B70E9C" w:rsidRDefault="00514E55" w:rsidP="00B70E9C">
            <w:pPr>
              <w:rPr>
                <w:sz w:val="18"/>
                <w:szCs w:val="18"/>
              </w:rPr>
            </w:pPr>
            <w:r w:rsidRPr="00B70E9C">
              <w:rPr>
                <w:sz w:val="18"/>
                <w:szCs w:val="18"/>
              </w:rPr>
              <w:t>Market(s) and gathering the appropriate attachments requested with the application. Finally, troubleshooting issues within MyCDFI and AMIS in order to submit a completed application can add to an applicants’ time burden."</w:t>
            </w:r>
          </w:p>
        </w:tc>
        <w:tc>
          <w:tcPr>
            <w:tcW w:w="885" w:type="dxa"/>
          </w:tcPr>
          <w:p w14:paraId="56AF78B8" w14:textId="77777777" w:rsidR="00514E55" w:rsidRPr="00B70E9C" w:rsidRDefault="00514E55">
            <w:pPr>
              <w:rPr>
                <w:sz w:val="18"/>
                <w:szCs w:val="18"/>
              </w:rPr>
            </w:pPr>
            <w:r w:rsidRPr="00B70E9C">
              <w:rPr>
                <w:sz w:val="18"/>
                <w:szCs w:val="18"/>
              </w:rPr>
              <w:t>Burden</w:t>
            </w:r>
          </w:p>
        </w:tc>
        <w:tc>
          <w:tcPr>
            <w:tcW w:w="1546" w:type="dxa"/>
          </w:tcPr>
          <w:p w14:paraId="24B706DC" w14:textId="77777777" w:rsidR="00514E55" w:rsidRPr="00B70E9C" w:rsidRDefault="00514E55">
            <w:pPr>
              <w:rPr>
                <w:sz w:val="18"/>
                <w:szCs w:val="18"/>
              </w:rPr>
            </w:pPr>
            <w:r w:rsidRPr="00B70E9C">
              <w:rPr>
                <w:sz w:val="18"/>
                <w:szCs w:val="18"/>
              </w:rPr>
              <w:t>No Action Required</w:t>
            </w:r>
          </w:p>
        </w:tc>
        <w:tc>
          <w:tcPr>
            <w:tcW w:w="1710" w:type="dxa"/>
          </w:tcPr>
          <w:p w14:paraId="1C8EE6F6" w14:textId="77777777" w:rsidR="00514E55" w:rsidRPr="00B70E9C" w:rsidRDefault="00514E55">
            <w:pPr>
              <w:rPr>
                <w:sz w:val="18"/>
                <w:szCs w:val="18"/>
              </w:rPr>
            </w:pPr>
            <w:r w:rsidRPr="00B70E9C">
              <w:rPr>
                <w:sz w:val="18"/>
                <w:szCs w:val="18"/>
              </w:rPr>
              <w:t>The CDFI Fund intends to move forward with this enhancement aimed at reducing an Applicant's burden.</w:t>
            </w:r>
          </w:p>
        </w:tc>
      </w:tr>
      <w:tr w:rsidR="00514E55" w:rsidRPr="00B70E9C" w14:paraId="42402F85" w14:textId="77777777" w:rsidTr="00B70E9C">
        <w:tc>
          <w:tcPr>
            <w:tcW w:w="1075" w:type="dxa"/>
          </w:tcPr>
          <w:p w14:paraId="61606A2B" w14:textId="77777777" w:rsidR="00514E55" w:rsidRPr="00B70E9C" w:rsidRDefault="00514E55">
            <w:pPr>
              <w:rPr>
                <w:sz w:val="18"/>
                <w:szCs w:val="18"/>
              </w:rPr>
            </w:pPr>
            <w:r w:rsidRPr="00B70E9C">
              <w:rPr>
                <w:sz w:val="18"/>
                <w:szCs w:val="18"/>
              </w:rPr>
              <w:t>11/5/2018</w:t>
            </w:r>
          </w:p>
        </w:tc>
        <w:tc>
          <w:tcPr>
            <w:tcW w:w="1260" w:type="dxa"/>
          </w:tcPr>
          <w:p w14:paraId="4AD5DF4B" w14:textId="77777777" w:rsidR="00514E55" w:rsidRPr="00B70E9C" w:rsidRDefault="00514E55">
            <w:pPr>
              <w:rPr>
                <w:sz w:val="18"/>
                <w:szCs w:val="18"/>
              </w:rPr>
            </w:pPr>
            <w:r w:rsidRPr="00B70E9C">
              <w:rPr>
                <w:sz w:val="18"/>
                <w:szCs w:val="18"/>
              </w:rPr>
              <w:t>Manjima Bose</w:t>
            </w:r>
          </w:p>
        </w:tc>
        <w:tc>
          <w:tcPr>
            <w:tcW w:w="1530" w:type="dxa"/>
          </w:tcPr>
          <w:p w14:paraId="09E41AC3" w14:textId="77777777" w:rsidR="00514E55" w:rsidRPr="00B70E9C" w:rsidRDefault="00514E55">
            <w:pPr>
              <w:rPr>
                <w:sz w:val="18"/>
                <w:szCs w:val="18"/>
              </w:rPr>
            </w:pPr>
            <w:r w:rsidRPr="00B70E9C">
              <w:rPr>
                <w:sz w:val="18"/>
                <w:szCs w:val="18"/>
              </w:rPr>
              <w:t>Fund Consulting, LLC</w:t>
            </w:r>
          </w:p>
        </w:tc>
        <w:tc>
          <w:tcPr>
            <w:tcW w:w="1620" w:type="dxa"/>
          </w:tcPr>
          <w:p w14:paraId="0EE36E81" w14:textId="77777777" w:rsidR="00514E55" w:rsidRPr="00B70E9C" w:rsidRDefault="00514E55">
            <w:pPr>
              <w:rPr>
                <w:sz w:val="18"/>
                <w:szCs w:val="18"/>
              </w:rPr>
            </w:pPr>
            <w:r w:rsidRPr="00B70E9C">
              <w:rPr>
                <w:sz w:val="18"/>
                <w:szCs w:val="18"/>
              </w:rPr>
              <w:t>(b) Ways to enhance the quality, utility, and clarity of the information to be collected</w:t>
            </w:r>
          </w:p>
        </w:tc>
        <w:tc>
          <w:tcPr>
            <w:tcW w:w="3689" w:type="dxa"/>
          </w:tcPr>
          <w:p w14:paraId="4612FF2A" w14:textId="77777777" w:rsidR="00514E55" w:rsidRPr="00B70E9C" w:rsidRDefault="00514E55" w:rsidP="00B70E9C">
            <w:pPr>
              <w:rPr>
                <w:sz w:val="18"/>
                <w:szCs w:val="18"/>
              </w:rPr>
            </w:pPr>
            <w:r w:rsidRPr="00B70E9C">
              <w:rPr>
                <w:sz w:val="18"/>
                <w:szCs w:val="18"/>
              </w:rPr>
              <w:t>FUND Consulting welcomes the amendments to the Certification Application. The addition of the Financing Entity requirement. Similarly, the opportunity to justify the lack of Development Services offerings in the current year or during the reporting fiscal year end will allow organizations whose activities are irregularly timed to demonstrate their fulfillment of the Development Services</w:t>
            </w:r>
          </w:p>
          <w:p w14:paraId="61D3BFDA" w14:textId="77777777" w:rsidR="00514E55" w:rsidRPr="00B70E9C" w:rsidRDefault="00514E55" w:rsidP="00B70E9C">
            <w:pPr>
              <w:rPr>
                <w:sz w:val="18"/>
                <w:szCs w:val="18"/>
              </w:rPr>
            </w:pPr>
            <w:r w:rsidRPr="00B70E9C">
              <w:rPr>
                <w:sz w:val="18"/>
                <w:szCs w:val="18"/>
              </w:rPr>
              <w:t>requirement.</w:t>
            </w:r>
          </w:p>
        </w:tc>
        <w:tc>
          <w:tcPr>
            <w:tcW w:w="885" w:type="dxa"/>
          </w:tcPr>
          <w:p w14:paraId="137406FC" w14:textId="77777777" w:rsidR="00514E55" w:rsidRPr="00B70E9C" w:rsidRDefault="00514E55">
            <w:pPr>
              <w:rPr>
                <w:sz w:val="18"/>
                <w:szCs w:val="18"/>
              </w:rPr>
            </w:pPr>
            <w:r w:rsidRPr="00B70E9C">
              <w:rPr>
                <w:sz w:val="18"/>
                <w:szCs w:val="18"/>
              </w:rPr>
              <w:t>Burden</w:t>
            </w:r>
          </w:p>
        </w:tc>
        <w:tc>
          <w:tcPr>
            <w:tcW w:w="1546" w:type="dxa"/>
          </w:tcPr>
          <w:p w14:paraId="653C9D87" w14:textId="77777777" w:rsidR="00514E55" w:rsidRPr="00B70E9C" w:rsidRDefault="00514E55">
            <w:pPr>
              <w:rPr>
                <w:sz w:val="18"/>
                <w:szCs w:val="18"/>
              </w:rPr>
            </w:pPr>
            <w:r w:rsidRPr="00B70E9C">
              <w:rPr>
                <w:sz w:val="18"/>
                <w:szCs w:val="18"/>
              </w:rPr>
              <w:t>No Action Required</w:t>
            </w:r>
          </w:p>
        </w:tc>
        <w:tc>
          <w:tcPr>
            <w:tcW w:w="1710" w:type="dxa"/>
          </w:tcPr>
          <w:p w14:paraId="617435C8" w14:textId="77777777" w:rsidR="00514E55" w:rsidRPr="00B70E9C" w:rsidRDefault="00514E55" w:rsidP="00B70E9C">
            <w:pPr>
              <w:rPr>
                <w:sz w:val="18"/>
                <w:szCs w:val="18"/>
              </w:rPr>
            </w:pPr>
            <w:r w:rsidRPr="00B70E9C">
              <w:rPr>
                <w:sz w:val="18"/>
                <w:szCs w:val="18"/>
              </w:rPr>
              <w:t>The CDFI Fund intends to move forward with this enhancement aimed at reducing an Applicant's burden by adding clarity.</w:t>
            </w:r>
          </w:p>
        </w:tc>
      </w:tr>
      <w:tr w:rsidR="00514E55" w:rsidRPr="00B70E9C" w14:paraId="7CD8DF38" w14:textId="77777777" w:rsidTr="00B70E9C">
        <w:tc>
          <w:tcPr>
            <w:tcW w:w="1075" w:type="dxa"/>
          </w:tcPr>
          <w:p w14:paraId="336BD071" w14:textId="77777777" w:rsidR="00514E55" w:rsidRPr="00B70E9C" w:rsidRDefault="00514E55" w:rsidP="00B70E9C">
            <w:pPr>
              <w:rPr>
                <w:sz w:val="18"/>
                <w:szCs w:val="18"/>
              </w:rPr>
            </w:pPr>
            <w:r w:rsidRPr="00B70E9C">
              <w:rPr>
                <w:sz w:val="18"/>
                <w:szCs w:val="18"/>
              </w:rPr>
              <w:t>11/5/2018</w:t>
            </w:r>
          </w:p>
        </w:tc>
        <w:tc>
          <w:tcPr>
            <w:tcW w:w="1260" w:type="dxa"/>
          </w:tcPr>
          <w:p w14:paraId="4A2851B2" w14:textId="77777777" w:rsidR="00514E55" w:rsidRPr="00B70E9C" w:rsidRDefault="00514E55" w:rsidP="00B70E9C">
            <w:pPr>
              <w:rPr>
                <w:sz w:val="18"/>
                <w:szCs w:val="18"/>
              </w:rPr>
            </w:pPr>
            <w:r w:rsidRPr="00B70E9C">
              <w:rPr>
                <w:sz w:val="18"/>
                <w:szCs w:val="18"/>
              </w:rPr>
              <w:t>Manjima Bose</w:t>
            </w:r>
          </w:p>
        </w:tc>
        <w:tc>
          <w:tcPr>
            <w:tcW w:w="1530" w:type="dxa"/>
          </w:tcPr>
          <w:p w14:paraId="07D300EB" w14:textId="77777777" w:rsidR="00514E55" w:rsidRPr="00B70E9C" w:rsidRDefault="00514E55" w:rsidP="00B70E9C">
            <w:pPr>
              <w:rPr>
                <w:sz w:val="18"/>
                <w:szCs w:val="18"/>
              </w:rPr>
            </w:pPr>
            <w:r w:rsidRPr="00B70E9C">
              <w:rPr>
                <w:sz w:val="18"/>
                <w:szCs w:val="18"/>
              </w:rPr>
              <w:t>Fund Consulting, LLC</w:t>
            </w:r>
          </w:p>
        </w:tc>
        <w:tc>
          <w:tcPr>
            <w:tcW w:w="1620" w:type="dxa"/>
          </w:tcPr>
          <w:p w14:paraId="44D6F663" w14:textId="77777777" w:rsidR="00514E55" w:rsidRPr="00B70E9C" w:rsidRDefault="00514E55" w:rsidP="00B70E9C">
            <w:pPr>
              <w:rPr>
                <w:sz w:val="18"/>
                <w:szCs w:val="18"/>
              </w:rPr>
            </w:pPr>
            <w:r w:rsidRPr="00B70E9C">
              <w:rPr>
                <w:sz w:val="18"/>
                <w:szCs w:val="18"/>
              </w:rPr>
              <w:t>(C ) Whether the collection of information is necessary for the proper evaluation of the</w:t>
            </w:r>
          </w:p>
          <w:p w14:paraId="05B70497" w14:textId="77777777" w:rsidR="00514E55" w:rsidRPr="00B70E9C" w:rsidRDefault="00514E55" w:rsidP="00B70E9C">
            <w:pPr>
              <w:rPr>
                <w:sz w:val="18"/>
                <w:szCs w:val="18"/>
              </w:rPr>
            </w:pPr>
            <w:r w:rsidRPr="00B70E9C">
              <w:rPr>
                <w:sz w:val="18"/>
                <w:szCs w:val="18"/>
              </w:rPr>
              <w:t>effectiveness and impact of the CDFI Fund’s programs, including whether the information</w:t>
            </w:r>
          </w:p>
        </w:tc>
        <w:tc>
          <w:tcPr>
            <w:tcW w:w="3689" w:type="dxa"/>
          </w:tcPr>
          <w:p w14:paraId="5937D96A" w14:textId="77777777" w:rsidR="00514E55" w:rsidRPr="00B70E9C" w:rsidRDefault="00514E55" w:rsidP="00B70E9C">
            <w:pPr>
              <w:rPr>
                <w:sz w:val="18"/>
                <w:szCs w:val="18"/>
              </w:rPr>
            </w:pPr>
            <w:r w:rsidRPr="00B70E9C">
              <w:rPr>
                <w:rFonts w:ascii="Calibri" w:hAnsi="Calibri"/>
                <w:color w:val="000000"/>
                <w:sz w:val="18"/>
                <w:szCs w:val="18"/>
              </w:rPr>
              <w:t xml:space="preserve">FUND Consulting sees the value in the CDFI Fund collecting the information requested in the </w:t>
            </w:r>
            <w:r w:rsidRPr="00B70E9C">
              <w:rPr>
                <w:rFonts w:ascii="Calibri" w:hAnsi="Calibri"/>
                <w:color w:val="000000"/>
                <w:sz w:val="18"/>
                <w:szCs w:val="18"/>
              </w:rPr>
              <w:br/>
              <w:t>Certification Application to determine if an organization meets the CDFI Fund’s criteria for achieving certification, and corresponding eligibility to access capital through the CDFI Fund’s various programs. By collecting information on an organization’s legal status, primary mission, financials, historic and current lending/investment products and activities, Target Market served and accountability to the Target Market, development services offered, and status as a nongovernment entity, the CDFI Fund ensures its resources are directed to organizations in line with the CDFI Fund’s mission and vision.</w:t>
            </w:r>
            <w:r w:rsidRPr="00B70E9C">
              <w:rPr>
                <w:rFonts w:ascii="Calibri" w:hAnsi="Calibri"/>
                <w:color w:val="000000"/>
                <w:sz w:val="18"/>
                <w:szCs w:val="18"/>
              </w:rPr>
              <w:br/>
              <w:t>The amendments to the Certification application reflect an improvement on this front, in that the addition of FE05 and DS05 each improve the ability of the CDFI Fund to evaluate organizations’ fulfillment of the CDFI Certification criteria. Similarly, the elimination of AC03 and AC04, which did no longer hold practical utility in the CDFI Fund’s evaluation of applicants, represents an improvement.</w:t>
            </w:r>
          </w:p>
        </w:tc>
        <w:tc>
          <w:tcPr>
            <w:tcW w:w="885" w:type="dxa"/>
          </w:tcPr>
          <w:p w14:paraId="4E9C9910" w14:textId="77777777" w:rsidR="00514E55" w:rsidRPr="00B70E9C" w:rsidRDefault="00514E55" w:rsidP="00B70E9C">
            <w:pPr>
              <w:rPr>
                <w:sz w:val="18"/>
                <w:szCs w:val="18"/>
              </w:rPr>
            </w:pPr>
            <w:r w:rsidRPr="00B70E9C">
              <w:rPr>
                <w:sz w:val="18"/>
                <w:szCs w:val="18"/>
              </w:rPr>
              <w:t>Burden</w:t>
            </w:r>
          </w:p>
        </w:tc>
        <w:tc>
          <w:tcPr>
            <w:tcW w:w="1546" w:type="dxa"/>
          </w:tcPr>
          <w:p w14:paraId="68A8E7AE" w14:textId="77777777" w:rsidR="00514E55" w:rsidRPr="00B70E9C" w:rsidRDefault="00514E55" w:rsidP="00B70E9C">
            <w:pPr>
              <w:rPr>
                <w:sz w:val="18"/>
                <w:szCs w:val="18"/>
              </w:rPr>
            </w:pPr>
            <w:r w:rsidRPr="00B70E9C">
              <w:rPr>
                <w:sz w:val="18"/>
                <w:szCs w:val="18"/>
              </w:rPr>
              <w:t>No Action Required</w:t>
            </w:r>
          </w:p>
        </w:tc>
        <w:tc>
          <w:tcPr>
            <w:tcW w:w="1710" w:type="dxa"/>
          </w:tcPr>
          <w:p w14:paraId="32CCFB7E" w14:textId="77777777" w:rsidR="00514E55" w:rsidRPr="00B70E9C" w:rsidRDefault="00514E55" w:rsidP="00B70E9C">
            <w:pPr>
              <w:rPr>
                <w:sz w:val="18"/>
                <w:szCs w:val="18"/>
              </w:rPr>
            </w:pPr>
            <w:r w:rsidRPr="00B70E9C">
              <w:rPr>
                <w:sz w:val="18"/>
                <w:szCs w:val="18"/>
              </w:rPr>
              <w:t>The CDFI Fund intends to move forward with this enhancement aimed at reducing an Applicant's burden.</w:t>
            </w:r>
          </w:p>
        </w:tc>
      </w:tr>
      <w:tr w:rsidR="00514E55" w:rsidRPr="00B70E9C" w14:paraId="572E4DA8" w14:textId="77777777" w:rsidTr="00B70E9C">
        <w:trPr>
          <w:trHeight w:val="620"/>
        </w:trPr>
        <w:tc>
          <w:tcPr>
            <w:tcW w:w="1075" w:type="dxa"/>
          </w:tcPr>
          <w:p w14:paraId="26F86E5E" w14:textId="77777777" w:rsidR="00514E55" w:rsidRPr="00B70E9C" w:rsidRDefault="00514E55" w:rsidP="00B70E9C">
            <w:pPr>
              <w:rPr>
                <w:sz w:val="18"/>
                <w:szCs w:val="18"/>
              </w:rPr>
            </w:pPr>
            <w:r w:rsidRPr="00B70E9C">
              <w:rPr>
                <w:sz w:val="18"/>
                <w:szCs w:val="18"/>
              </w:rPr>
              <w:t>11/5/2018</w:t>
            </w:r>
          </w:p>
        </w:tc>
        <w:tc>
          <w:tcPr>
            <w:tcW w:w="1260" w:type="dxa"/>
          </w:tcPr>
          <w:p w14:paraId="23AECBEA" w14:textId="77777777" w:rsidR="00514E55" w:rsidRPr="00B70E9C" w:rsidRDefault="00514E55" w:rsidP="00B70E9C">
            <w:pPr>
              <w:rPr>
                <w:sz w:val="18"/>
                <w:szCs w:val="18"/>
              </w:rPr>
            </w:pPr>
            <w:r w:rsidRPr="00B70E9C">
              <w:rPr>
                <w:sz w:val="18"/>
                <w:szCs w:val="18"/>
              </w:rPr>
              <w:t>Manjima Bose</w:t>
            </w:r>
          </w:p>
        </w:tc>
        <w:tc>
          <w:tcPr>
            <w:tcW w:w="1530" w:type="dxa"/>
          </w:tcPr>
          <w:p w14:paraId="03D19997" w14:textId="77777777" w:rsidR="00514E55" w:rsidRPr="00B70E9C" w:rsidRDefault="00514E55" w:rsidP="00B70E9C">
            <w:pPr>
              <w:rPr>
                <w:sz w:val="18"/>
                <w:szCs w:val="18"/>
              </w:rPr>
            </w:pPr>
            <w:r w:rsidRPr="00B70E9C">
              <w:rPr>
                <w:sz w:val="18"/>
                <w:szCs w:val="18"/>
              </w:rPr>
              <w:t>Fund Consulting, LLC</w:t>
            </w:r>
          </w:p>
        </w:tc>
        <w:tc>
          <w:tcPr>
            <w:tcW w:w="1620" w:type="dxa"/>
          </w:tcPr>
          <w:p w14:paraId="1AFDF792" w14:textId="77777777" w:rsidR="00514E55" w:rsidRPr="00B70E9C" w:rsidRDefault="00514E55" w:rsidP="00B70E9C">
            <w:pPr>
              <w:rPr>
                <w:sz w:val="18"/>
                <w:szCs w:val="18"/>
              </w:rPr>
            </w:pPr>
            <w:r w:rsidRPr="00B70E9C">
              <w:rPr>
                <w:sz w:val="18"/>
                <w:szCs w:val="18"/>
              </w:rPr>
              <w:t>(d) The accuracy of the CDFI Fund’s estimate of the burden of the collection of information</w:t>
            </w:r>
          </w:p>
          <w:p w14:paraId="1C0F5AFB" w14:textId="77777777" w:rsidR="00514E55" w:rsidRPr="00B70E9C" w:rsidRDefault="00514E55" w:rsidP="00B70E9C">
            <w:pPr>
              <w:rPr>
                <w:sz w:val="18"/>
                <w:szCs w:val="18"/>
              </w:rPr>
            </w:pPr>
            <w:r w:rsidRPr="00B70E9C">
              <w:rPr>
                <w:sz w:val="18"/>
                <w:szCs w:val="18"/>
              </w:rPr>
              <w:t>(Estimated Annual Time per Respondent: 37.5 hours)</w:t>
            </w:r>
          </w:p>
        </w:tc>
        <w:tc>
          <w:tcPr>
            <w:tcW w:w="3689" w:type="dxa"/>
          </w:tcPr>
          <w:p w14:paraId="142218D7" w14:textId="77777777" w:rsidR="00514E55" w:rsidRPr="00B70E9C" w:rsidRDefault="00514E55" w:rsidP="00B70E9C">
            <w:pPr>
              <w:rPr>
                <w:rFonts w:ascii="Calibri" w:hAnsi="Calibri"/>
                <w:color w:val="000000"/>
                <w:sz w:val="18"/>
                <w:szCs w:val="18"/>
              </w:rPr>
            </w:pPr>
            <w:r w:rsidRPr="00B70E9C">
              <w:rPr>
                <w:rFonts w:ascii="Calibri" w:hAnsi="Calibri"/>
                <w:color w:val="000000"/>
                <w:sz w:val="18"/>
                <w:szCs w:val="18"/>
              </w:rPr>
              <w:t>FUND Consulting’s estimate of the burden of the collection of information is slightly above the</w:t>
            </w:r>
            <w:r w:rsidRPr="00B70E9C">
              <w:rPr>
                <w:rFonts w:ascii="Calibri" w:hAnsi="Calibri"/>
                <w:color w:val="000000"/>
                <w:sz w:val="18"/>
                <w:szCs w:val="18"/>
              </w:rPr>
              <w:br/>
              <w:t>CDFI Fund’s estimate of 37.5 hours. FUND Consulting estimates it takes an applicant</w:t>
            </w:r>
            <w:r w:rsidRPr="00B70E9C">
              <w:rPr>
                <w:rFonts w:ascii="Calibri" w:hAnsi="Calibri"/>
                <w:color w:val="000000"/>
                <w:sz w:val="18"/>
                <w:szCs w:val="18"/>
              </w:rPr>
              <w:br/>
              <w:t>organization approximately 40-45 hours to complete and submit a certification application,</w:t>
            </w:r>
            <w:r w:rsidRPr="00B70E9C">
              <w:rPr>
                <w:rFonts w:ascii="Calibri" w:hAnsi="Calibri"/>
                <w:color w:val="000000"/>
                <w:sz w:val="18"/>
                <w:szCs w:val="18"/>
              </w:rPr>
              <w:br/>
              <w:t>including gathering the information needed to respond to the Application questions, workbook, and attachments request. This time includes geocoding and otherwise analyzing an organization’s lending data and using the CIMS3 mapping system to identify qualified Target Markets and create associated maps—due to technical issues that often arise in the mapping system, the time needed to complete these steps can vary widely. This estimation also includes conducting research on the economic distress and the need for financing in the identified Target</w:t>
            </w:r>
            <w:r w:rsidRPr="00B70E9C">
              <w:rPr>
                <w:rFonts w:ascii="Calibri" w:hAnsi="Calibri"/>
                <w:color w:val="000000"/>
                <w:sz w:val="18"/>
                <w:szCs w:val="18"/>
              </w:rPr>
              <w:br/>
              <w:t>Market(s) and gathering the appropriate attachments requested with the application. Finally, troubleshooting issues within MyCDFI and AMIS in order to submit a completed application can add to an applicants’ time burden.</w:t>
            </w:r>
          </w:p>
          <w:p w14:paraId="7B1FB8C8" w14:textId="77777777" w:rsidR="00514E55" w:rsidRPr="00B70E9C" w:rsidRDefault="00514E55" w:rsidP="00B70E9C">
            <w:pPr>
              <w:rPr>
                <w:sz w:val="18"/>
                <w:szCs w:val="18"/>
              </w:rPr>
            </w:pPr>
          </w:p>
        </w:tc>
        <w:tc>
          <w:tcPr>
            <w:tcW w:w="885" w:type="dxa"/>
          </w:tcPr>
          <w:p w14:paraId="0B00D835" w14:textId="77777777" w:rsidR="00514E55" w:rsidRPr="00B70E9C" w:rsidRDefault="00514E55" w:rsidP="00B70E9C">
            <w:pPr>
              <w:rPr>
                <w:sz w:val="18"/>
                <w:szCs w:val="18"/>
              </w:rPr>
            </w:pPr>
            <w:r w:rsidRPr="00B70E9C">
              <w:rPr>
                <w:sz w:val="18"/>
                <w:szCs w:val="18"/>
              </w:rPr>
              <w:t>Burden</w:t>
            </w:r>
          </w:p>
        </w:tc>
        <w:tc>
          <w:tcPr>
            <w:tcW w:w="1546" w:type="dxa"/>
          </w:tcPr>
          <w:p w14:paraId="3A730CFF" w14:textId="77777777" w:rsidR="00514E55" w:rsidRPr="00B70E9C" w:rsidRDefault="00514E55" w:rsidP="00B70E9C">
            <w:pPr>
              <w:rPr>
                <w:sz w:val="18"/>
                <w:szCs w:val="18"/>
              </w:rPr>
            </w:pPr>
            <w:r w:rsidRPr="00B70E9C">
              <w:rPr>
                <w:sz w:val="18"/>
                <w:szCs w:val="18"/>
              </w:rPr>
              <w:t>No Action Required</w:t>
            </w:r>
          </w:p>
        </w:tc>
        <w:tc>
          <w:tcPr>
            <w:tcW w:w="1710" w:type="dxa"/>
          </w:tcPr>
          <w:p w14:paraId="6AC65EC3" w14:textId="77777777" w:rsidR="00514E55" w:rsidRPr="00B70E9C" w:rsidRDefault="00514E55" w:rsidP="00B70E9C">
            <w:pPr>
              <w:rPr>
                <w:sz w:val="18"/>
                <w:szCs w:val="18"/>
              </w:rPr>
            </w:pPr>
            <w:r w:rsidRPr="00B70E9C">
              <w:rPr>
                <w:sz w:val="18"/>
                <w:szCs w:val="18"/>
              </w:rPr>
              <w:t>The CDFI Fund works with a variety of organizations where the time to complete the application will vary based on resources, staff capacity, technology, etc. The CDFI Fund has provided an estimate based on these factors.</w:t>
            </w:r>
          </w:p>
        </w:tc>
      </w:tr>
      <w:tr w:rsidR="00514E55" w:rsidRPr="00B70E9C" w14:paraId="279DE6F3" w14:textId="77777777" w:rsidTr="00B70E9C">
        <w:tc>
          <w:tcPr>
            <w:tcW w:w="1075" w:type="dxa"/>
          </w:tcPr>
          <w:p w14:paraId="266618C0" w14:textId="77777777" w:rsidR="00514E55" w:rsidRPr="00B70E9C" w:rsidRDefault="00514E55" w:rsidP="00B70E9C">
            <w:pPr>
              <w:rPr>
                <w:sz w:val="18"/>
                <w:szCs w:val="18"/>
              </w:rPr>
            </w:pPr>
            <w:r w:rsidRPr="00B70E9C">
              <w:rPr>
                <w:sz w:val="18"/>
                <w:szCs w:val="18"/>
              </w:rPr>
              <w:t>11/5/2018</w:t>
            </w:r>
          </w:p>
        </w:tc>
        <w:tc>
          <w:tcPr>
            <w:tcW w:w="1260" w:type="dxa"/>
          </w:tcPr>
          <w:p w14:paraId="35D034C0" w14:textId="77777777" w:rsidR="00514E55" w:rsidRPr="00B70E9C" w:rsidRDefault="00514E55" w:rsidP="00B70E9C">
            <w:pPr>
              <w:rPr>
                <w:sz w:val="18"/>
                <w:szCs w:val="18"/>
              </w:rPr>
            </w:pPr>
            <w:r w:rsidRPr="00B70E9C">
              <w:rPr>
                <w:sz w:val="18"/>
                <w:szCs w:val="18"/>
              </w:rPr>
              <w:t>Manjima Bose</w:t>
            </w:r>
          </w:p>
        </w:tc>
        <w:tc>
          <w:tcPr>
            <w:tcW w:w="1530" w:type="dxa"/>
          </w:tcPr>
          <w:p w14:paraId="0F8469AB" w14:textId="77777777" w:rsidR="00514E55" w:rsidRPr="00B70E9C" w:rsidRDefault="00514E55" w:rsidP="00B70E9C">
            <w:pPr>
              <w:rPr>
                <w:sz w:val="18"/>
                <w:szCs w:val="18"/>
              </w:rPr>
            </w:pPr>
            <w:r w:rsidRPr="00B70E9C">
              <w:rPr>
                <w:sz w:val="18"/>
                <w:szCs w:val="18"/>
              </w:rPr>
              <w:t>Fund Consulting, LLC</w:t>
            </w:r>
          </w:p>
        </w:tc>
        <w:tc>
          <w:tcPr>
            <w:tcW w:w="1620" w:type="dxa"/>
          </w:tcPr>
          <w:p w14:paraId="65D67646" w14:textId="77777777" w:rsidR="00514E55" w:rsidRPr="00B70E9C" w:rsidRDefault="00514E55" w:rsidP="00B70E9C">
            <w:pPr>
              <w:rPr>
                <w:sz w:val="18"/>
                <w:szCs w:val="18"/>
              </w:rPr>
            </w:pPr>
            <w:r w:rsidRPr="00B70E9C">
              <w:rPr>
                <w:sz w:val="18"/>
                <w:szCs w:val="18"/>
              </w:rPr>
              <w:t>(e) Ways to minimize the burden of the collection of information including through the use</w:t>
            </w:r>
          </w:p>
          <w:p w14:paraId="6F843B43" w14:textId="77777777" w:rsidR="00514E55" w:rsidRPr="00B70E9C" w:rsidRDefault="00514E55" w:rsidP="00B70E9C">
            <w:pPr>
              <w:rPr>
                <w:sz w:val="18"/>
                <w:szCs w:val="18"/>
              </w:rPr>
            </w:pPr>
            <w:r w:rsidRPr="00B70E9C">
              <w:rPr>
                <w:sz w:val="18"/>
                <w:szCs w:val="18"/>
              </w:rPr>
              <w:t>of technology</w:t>
            </w:r>
          </w:p>
        </w:tc>
        <w:tc>
          <w:tcPr>
            <w:tcW w:w="3689" w:type="dxa"/>
          </w:tcPr>
          <w:p w14:paraId="3EE25F65" w14:textId="77777777" w:rsidR="00514E55" w:rsidRPr="00B70E9C" w:rsidRDefault="00514E55" w:rsidP="00B70E9C">
            <w:pPr>
              <w:rPr>
                <w:rFonts w:ascii="Calibri" w:hAnsi="Calibri"/>
                <w:color w:val="000000"/>
                <w:sz w:val="18"/>
                <w:szCs w:val="18"/>
              </w:rPr>
            </w:pPr>
            <w:r w:rsidRPr="00B70E9C">
              <w:rPr>
                <w:rFonts w:ascii="Calibri" w:hAnsi="Calibri"/>
                <w:color w:val="000000"/>
                <w:sz w:val="18"/>
                <w:szCs w:val="18"/>
              </w:rPr>
              <w:t>FUND Consulting appreciates that Certification applications will now be submitted through</w:t>
            </w:r>
            <w:r w:rsidRPr="00B70E9C">
              <w:rPr>
                <w:rFonts w:ascii="Calibri" w:hAnsi="Calibri"/>
                <w:color w:val="000000"/>
                <w:sz w:val="18"/>
                <w:szCs w:val="18"/>
              </w:rPr>
              <w:br/>
              <w:t>AMIS, rather than through the legacy MyCDFI Fund system. In addition to the increased ease of use AMIS offers applicants over MyCDFI Fund, FUND Consulting is hopeful that this change will result in a lower time burden for applicants, as establishing the necessary access within the legacy system, and troubleshooting technical issues that arose within it, sometimes introduced considerable delays to the submission process. Additionally, FUND Consulting is hopeful that the transition to AMIS submission will allow applicants continued access to the documents attached to the Certification application after their upload, and to monitor the status of their Certification applications once submitted.</w:t>
            </w:r>
          </w:p>
          <w:p w14:paraId="0D726875" w14:textId="77777777" w:rsidR="00514E55" w:rsidRPr="00B70E9C" w:rsidRDefault="00514E55" w:rsidP="00B70E9C">
            <w:pPr>
              <w:rPr>
                <w:sz w:val="18"/>
                <w:szCs w:val="18"/>
              </w:rPr>
            </w:pPr>
          </w:p>
        </w:tc>
        <w:tc>
          <w:tcPr>
            <w:tcW w:w="885" w:type="dxa"/>
          </w:tcPr>
          <w:p w14:paraId="791DFDE8" w14:textId="77777777" w:rsidR="00514E55" w:rsidRPr="00B70E9C" w:rsidRDefault="00514E55" w:rsidP="00B70E9C">
            <w:pPr>
              <w:rPr>
                <w:sz w:val="18"/>
                <w:szCs w:val="18"/>
              </w:rPr>
            </w:pPr>
            <w:r w:rsidRPr="00B70E9C">
              <w:rPr>
                <w:sz w:val="18"/>
                <w:szCs w:val="18"/>
              </w:rPr>
              <w:t>Burden</w:t>
            </w:r>
          </w:p>
        </w:tc>
        <w:tc>
          <w:tcPr>
            <w:tcW w:w="1546" w:type="dxa"/>
          </w:tcPr>
          <w:p w14:paraId="0EA2B056" w14:textId="77777777" w:rsidR="00514E55" w:rsidRPr="00B70E9C" w:rsidRDefault="00514E55" w:rsidP="00B70E9C">
            <w:pPr>
              <w:rPr>
                <w:sz w:val="18"/>
                <w:szCs w:val="18"/>
              </w:rPr>
            </w:pPr>
            <w:r w:rsidRPr="00B70E9C">
              <w:rPr>
                <w:sz w:val="18"/>
                <w:szCs w:val="18"/>
              </w:rPr>
              <w:t>No Action Required</w:t>
            </w:r>
          </w:p>
        </w:tc>
        <w:tc>
          <w:tcPr>
            <w:tcW w:w="1710" w:type="dxa"/>
          </w:tcPr>
          <w:p w14:paraId="12537AE2" w14:textId="77777777" w:rsidR="00514E55" w:rsidRPr="00B70E9C" w:rsidRDefault="00514E55" w:rsidP="00B70E9C">
            <w:pPr>
              <w:rPr>
                <w:sz w:val="18"/>
                <w:szCs w:val="18"/>
              </w:rPr>
            </w:pPr>
            <w:r w:rsidRPr="00B70E9C">
              <w:rPr>
                <w:sz w:val="18"/>
                <w:szCs w:val="18"/>
              </w:rPr>
              <w:t>The CDFI Fund has moved forward with this enhancement aimed at reducing an Applicant's burden.</w:t>
            </w:r>
          </w:p>
        </w:tc>
      </w:tr>
    </w:tbl>
    <w:p w14:paraId="6FB1D09D" w14:textId="77777777" w:rsidR="00514E55" w:rsidRDefault="00514E55"/>
    <w:p w14:paraId="47930D64" w14:textId="77777777" w:rsidR="00514E55" w:rsidRPr="00514E55" w:rsidRDefault="00514E55" w:rsidP="00D61E95">
      <w:pPr>
        <w:rPr>
          <w:b/>
        </w:rPr>
      </w:pPr>
    </w:p>
    <w:sectPr w:rsidR="00514E55" w:rsidRPr="00514E55" w:rsidSect="00514E55">
      <w:pgSz w:w="15840" w:h="12240" w:orient="landscape"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48727" w14:textId="77777777" w:rsidR="00617330" w:rsidRDefault="00617330">
      <w:r>
        <w:separator/>
      </w:r>
    </w:p>
  </w:endnote>
  <w:endnote w:type="continuationSeparator" w:id="0">
    <w:p w14:paraId="00D97FF5" w14:textId="77777777" w:rsidR="00617330" w:rsidRDefault="0061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36644" w14:textId="77777777" w:rsidR="00617330" w:rsidRDefault="00617330">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54A3">
      <w:rPr>
        <w:rStyle w:val="PageNumber"/>
        <w:noProof/>
      </w:rPr>
      <w:t>1</w:t>
    </w:r>
    <w:r>
      <w:rPr>
        <w:rStyle w:val="PageNumber"/>
      </w:rPr>
      <w:fldChar w:fldCharType="end"/>
    </w:r>
  </w:p>
  <w:p w14:paraId="1CF6F57A" w14:textId="77777777" w:rsidR="00617330" w:rsidRDefault="006173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31BDF8" w14:textId="77777777" w:rsidR="00617330" w:rsidRDefault="00617330">
      <w:r>
        <w:separator/>
      </w:r>
    </w:p>
  </w:footnote>
  <w:footnote w:type="continuationSeparator" w:id="0">
    <w:p w14:paraId="196EF004" w14:textId="77777777" w:rsidR="00617330" w:rsidRDefault="00617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10A7C" w14:textId="77777777" w:rsidR="00617330" w:rsidRDefault="00617330" w:rsidP="002508E2">
    <w:pPr>
      <w:autoSpaceDE w:val="0"/>
      <w:autoSpaceDN w:val="0"/>
      <w:adjustRightInd w:val="0"/>
      <w:jc w:val="center"/>
    </w:pPr>
    <w:r>
      <w:t>Supporting Statement for Paperwork Reduction Act Submissions</w:t>
    </w:r>
  </w:p>
  <w:p w14:paraId="2A1C0E61" w14:textId="77777777" w:rsidR="00617330" w:rsidRDefault="00617330" w:rsidP="002508E2">
    <w:pPr>
      <w:autoSpaceDE w:val="0"/>
      <w:autoSpaceDN w:val="0"/>
      <w:adjustRightInd w:val="0"/>
      <w:jc w:val="center"/>
    </w:pPr>
    <w:r>
      <w:t>Community Development Financial Institutions (CDFI) Fund</w:t>
    </w:r>
  </w:p>
  <w:p w14:paraId="11605A82" w14:textId="77777777" w:rsidR="00617330" w:rsidRDefault="00617330" w:rsidP="002508E2">
    <w:pPr>
      <w:pStyle w:val="Header"/>
      <w:jc w:val="center"/>
    </w:pPr>
    <w:r>
      <w:t>CDFI Certification Application, OMB 1559-0028</w:t>
    </w:r>
  </w:p>
  <w:p w14:paraId="387CFAB4" w14:textId="77777777" w:rsidR="00617330" w:rsidRDefault="00617330" w:rsidP="002508E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E58BF"/>
    <w:multiLevelType w:val="singleLevel"/>
    <w:tmpl w:val="A9E66930"/>
    <w:lvl w:ilvl="0">
      <w:start w:val="3"/>
      <w:numFmt w:val="decimal"/>
      <w:lvlText w:val="%1. "/>
      <w:legacy w:legacy="1" w:legacySpace="0" w:legacyIndent="360"/>
      <w:lvlJc w:val="left"/>
      <w:pPr>
        <w:ind w:left="360" w:hanging="360"/>
      </w:pPr>
      <w:rPr>
        <w:b w:val="0"/>
        <w:i w:val="0"/>
        <w:sz w:val="24"/>
        <w:u w:val="single"/>
      </w:rPr>
    </w:lvl>
  </w:abstractNum>
  <w:abstractNum w:abstractNumId="1">
    <w:nsid w:val="41CE2CAE"/>
    <w:multiLevelType w:val="hybridMultilevel"/>
    <w:tmpl w:val="73AC0396"/>
    <w:lvl w:ilvl="0" w:tplc="D5641E70">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5EBA5964"/>
    <w:multiLevelType w:val="hybridMultilevel"/>
    <w:tmpl w:val="F35E090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8415DCB"/>
    <w:multiLevelType w:val="hybridMultilevel"/>
    <w:tmpl w:val="72CECC00"/>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96"/>
    <w:rsid w:val="00007FD1"/>
    <w:rsid w:val="0003073D"/>
    <w:rsid w:val="00037345"/>
    <w:rsid w:val="00040199"/>
    <w:rsid w:val="00047C4E"/>
    <w:rsid w:val="00053A24"/>
    <w:rsid w:val="000740E1"/>
    <w:rsid w:val="00076340"/>
    <w:rsid w:val="000837AF"/>
    <w:rsid w:val="0009720C"/>
    <w:rsid w:val="000A04FD"/>
    <w:rsid w:val="000A4B30"/>
    <w:rsid w:val="000B1A17"/>
    <w:rsid w:val="000C0AF6"/>
    <w:rsid w:val="000D490A"/>
    <w:rsid w:val="000D4C1D"/>
    <w:rsid w:val="001179E3"/>
    <w:rsid w:val="00153D07"/>
    <w:rsid w:val="00157C87"/>
    <w:rsid w:val="001A4441"/>
    <w:rsid w:val="001C134A"/>
    <w:rsid w:val="001C47E6"/>
    <w:rsid w:val="001D1097"/>
    <w:rsid w:val="001D59E8"/>
    <w:rsid w:val="001F1F85"/>
    <w:rsid w:val="00207DC2"/>
    <w:rsid w:val="0023675F"/>
    <w:rsid w:val="00245799"/>
    <w:rsid w:val="002508E2"/>
    <w:rsid w:val="0025495B"/>
    <w:rsid w:val="0025713C"/>
    <w:rsid w:val="00270067"/>
    <w:rsid w:val="002A59EF"/>
    <w:rsid w:val="002C2575"/>
    <w:rsid w:val="002C48E5"/>
    <w:rsid w:val="002F6E22"/>
    <w:rsid w:val="00303657"/>
    <w:rsid w:val="00342AD1"/>
    <w:rsid w:val="0034634A"/>
    <w:rsid w:val="003514BB"/>
    <w:rsid w:val="00383216"/>
    <w:rsid w:val="0038360A"/>
    <w:rsid w:val="00386504"/>
    <w:rsid w:val="003914D1"/>
    <w:rsid w:val="003A17B2"/>
    <w:rsid w:val="003B4A39"/>
    <w:rsid w:val="003C2688"/>
    <w:rsid w:val="00412D40"/>
    <w:rsid w:val="00415323"/>
    <w:rsid w:val="00443D20"/>
    <w:rsid w:val="004A1D45"/>
    <w:rsid w:val="004B3058"/>
    <w:rsid w:val="004C2A0D"/>
    <w:rsid w:val="004C7E00"/>
    <w:rsid w:val="004D4553"/>
    <w:rsid w:val="004E1C36"/>
    <w:rsid w:val="004E3E28"/>
    <w:rsid w:val="00511E17"/>
    <w:rsid w:val="005146BE"/>
    <w:rsid w:val="00514E55"/>
    <w:rsid w:val="00522C9D"/>
    <w:rsid w:val="00527091"/>
    <w:rsid w:val="0055211B"/>
    <w:rsid w:val="00552D38"/>
    <w:rsid w:val="005639C1"/>
    <w:rsid w:val="005668C6"/>
    <w:rsid w:val="00577F6D"/>
    <w:rsid w:val="005A3D18"/>
    <w:rsid w:val="005D0AE8"/>
    <w:rsid w:val="005D537C"/>
    <w:rsid w:val="00610F44"/>
    <w:rsid w:val="006164EA"/>
    <w:rsid w:val="00617330"/>
    <w:rsid w:val="0062636B"/>
    <w:rsid w:val="00650A2C"/>
    <w:rsid w:val="00664D8D"/>
    <w:rsid w:val="0068358D"/>
    <w:rsid w:val="00686708"/>
    <w:rsid w:val="006A5B9F"/>
    <w:rsid w:val="006E039E"/>
    <w:rsid w:val="006F60BA"/>
    <w:rsid w:val="006F7FF6"/>
    <w:rsid w:val="00705C65"/>
    <w:rsid w:val="00735E54"/>
    <w:rsid w:val="0074019C"/>
    <w:rsid w:val="00794019"/>
    <w:rsid w:val="007C54A3"/>
    <w:rsid w:val="007E3671"/>
    <w:rsid w:val="007E7874"/>
    <w:rsid w:val="007E79AA"/>
    <w:rsid w:val="007F27FB"/>
    <w:rsid w:val="008003EB"/>
    <w:rsid w:val="00807135"/>
    <w:rsid w:val="00815AAC"/>
    <w:rsid w:val="008578C9"/>
    <w:rsid w:val="00863045"/>
    <w:rsid w:val="00873183"/>
    <w:rsid w:val="0088118C"/>
    <w:rsid w:val="0088167C"/>
    <w:rsid w:val="008841EF"/>
    <w:rsid w:val="008C6DDE"/>
    <w:rsid w:val="008F7131"/>
    <w:rsid w:val="00910A60"/>
    <w:rsid w:val="0091619F"/>
    <w:rsid w:val="00995032"/>
    <w:rsid w:val="009A0D0A"/>
    <w:rsid w:val="009D1454"/>
    <w:rsid w:val="009D52F0"/>
    <w:rsid w:val="009F75A4"/>
    <w:rsid w:val="009F7CEA"/>
    <w:rsid w:val="00A03AE9"/>
    <w:rsid w:val="00A17F58"/>
    <w:rsid w:val="00A2141C"/>
    <w:rsid w:val="00A359F8"/>
    <w:rsid w:val="00A403C3"/>
    <w:rsid w:val="00A55FA3"/>
    <w:rsid w:val="00A62550"/>
    <w:rsid w:val="00A703B9"/>
    <w:rsid w:val="00A85423"/>
    <w:rsid w:val="00AA0A3D"/>
    <w:rsid w:val="00AC42CB"/>
    <w:rsid w:val="00AD3B33"/>
    <w:rsid w:val="00AD5A55"/>
    <w:rsid w:val="00AE07BC"/>
    <w:rsid w:val="00AF3272"/>
    <w:rsid w:val="00B049DC"/>
    <w:rsid w:val="00B062BC"/>
    <w:rsid w:val="00B117D4"/>
    <w:rsid w:val="00B16084"/>
    <w:rsid w:val="00B23C9D"/>
    <w:rsid w:val="00B401F9"/>
    <w:rsid w:val="00B47C3A"/>
    <w:rsid w:val="00B76BC9"/>
    <w:rsid w:val="00B8488B"/>
    <w:rsid w:val="00B936B8"/>
    <w:rsid w:val="00BB06C7"/>
    <w:rsid w:val="00BB1577"/>
    <w:rsid w:val="00BE278C"/>
    <w:rsid w:val="00BE62CD"/>
    <w:rsid w:val="00C123EE"/>
    <w:rsid w:val="00C22A2B"/>
    <w:rsid w:val="00C604C9"/>
    <w:rsid w:val="00C65C03"/>
    <w:rsid w:val="00C6603E"/>
    <w:rsid w:val="00CB3933"/>
    <w:rsid w:val="00CB3C1D"/>
    <w:rsid w:val="00CB49B6"/>
    <w:rsid w:val="00CE2F09"/>
    <w:rsid w:val="00CE325B"/>
    <w:rsid w:val="00CF1B43"/>
    <w:rsid w:val="00CF4768"/>
    <w:rsid w:val="00D025AD"/>
    <w:rsid w:val="00D16741"/>
    <w:rsid w:val="00D167DF"/>
    <w:rsid w:val="00D61E95"/>
    <w:rsid w:val="00DA2264"/>
    <w:rsid w:val="00DB135F"/>
    <w:rsid w:val="00DB45DA"/>
    <w:rsid w:val="00DC7D75"/>
    <w:rsid w:val="00DF4ADD"/>
    <w:rsid w:val="00E1377E"/>
    <w:rsid w:val="00E3494C"/>
    <w:rsid w:val="00E6625F"/>
    <w:rsid w:val="00E85129"/>
    <w:rsid w:val="00E93218"/>
    <w:rsid w:val="00EA6434"/>
    <w:rsid w:val="00EA6450"/>
    <w:rsid w:val="00EB1547"/>
    <w:rsid w:val="00EB179F"/>
    <w:rsid w:val="00EC0999"/>
    <w:rsid w:val="00EE288D"/>
    <w:rsid w:val="00F0105B"/>
    <w:rsid w:val="00F15867"/>
    <w:rsid w:val="00F25485"/>
    <w:rsid w:val="00F56636"/>
    <w:rsid w:val="00F572B5"/>
    <w:rsid w:val="00F71B96"/>
    <w:rsid w:val="00F86F22"/>
    <w:rsid w:val="00FB5B90"/>
    <w:rsid w:val="00FE6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58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2">
    <w:name w:val="Body Text 2"/>
    <w:basedOn w:val="Normal"/>
    <w:pPr>
      <w:jc w:val="both"/>
    </w:pPr>
  </w:style>
  <w:style w:type="paragraph" w:styleId="BalloonText">
    <w:name w:val="Balloon Text"/>
    <w:basedOn w:val="Normal"/>
    <w:semiHidden/>
    <w:rsid w:val="00415323"/>
    <w:rPr>
      <w:rFonts w:ascii="Tahoma" w:hAnsi="Tahoma" w:cs="Tahoma"/>
      <w:sz w:val="16"/>
      <w:szCs w:val="16"/>
    </w:rPr>
  </w:style>
  <w:style w:type="table" w:styleId="TableGrid">
    <w:name w:val="Table Grid"/>
    <w:basedOn w:val="TableNormal"/>
    <w:uiPriority w:val="39"/>
    <w:rsid w:val="00BE27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873183"/>
    <w:rPr>
      <w:sz w:val="16"/>
      <w:szCs w:val="16"/>
    </w:rPr>
  </w:style>
  <w:style w:type="paragraph" w:styleId="CommentText">
    <w:name w:val="annotation text"/>
    <w:basedOn w:val="Normal"/>
    <w:link w:val="CommentTextChar"/>
    <w:rsid w:val="00873183"/>
    <w:rPr>
      <w:sz w:val="20"/>
    </w:rPr>
  </w:style>
  <w:style w:type="character" w:customStyle="1" w:styleId="CommentTextChar">
    <w:name w:val="Comment Text Char"/>
    <w:basedOn w:val="DefaultParagraphFont"/>
    <w:link w:val="CommentText"/>
    <w:rsid w:val="00873183"/>
  </w:style>
  <w:style w:type="paragraph" w:styleId="CommentSubject">
    <w:name w:val="annotation subject"/>
    <w:basedOn w:val="CommentText"/>
    <w:next w:val="CommentText"/>
    <w:link w:val="CommentSubjectChar"/>
    <w:rsid w:val="00873183"/>
    <w:rPr>
      <w:b/>
      <w:bCs/>
    </w:rPr>
  </w:style>
  <w:style w:type="character" w:customStyle="1" w:styleId="CommentSubjectChar">
    <w:name w:val="Comment Subject Char"/>
    <w:link w:val="CommentSubject"/>
    <w:rsid w:val="008731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style>
  <w:style w:type="paragraph" w:styleId="BodyText2">
    <w:name w:val="Body Text 2"/>
    <w:basedOn w:val="Normal"/>
    <w:pPr>
      <w:jc w:val="both"/>
    </w:pPr>
  </w:style>
  <w:style w:type="paragraph" w:styleId="BalloonText">
    <w:name w:val="Balloon Text"/>
    <w:basedOn w:val="Normal"/>
    <w:semiHidden/>
    <w:rsid w:val="00415323"/>
    <w:rPr>
      <w:rFonts w:ascii="Tahoma" w:hAnsi="Tahoma" w:cs="Tahoma"/>
      <w:sz w:val="16"/>
      <w:szCs w:val="16"/>
    </w:rPr>
  </w:style>
  <w:style w:type="table" w:styleId="TableGrid">
    <w:name w:val="Table Grid"/>
    <w:basedOn w:val="TableNormal"/>
    <w:uiPriority w:val="39"/>
    <w:rsid w:val="00BE27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873183"/>
    <w:rPr>
      <w:sz w:val="16"/>
      <w:szCs w:val="16"/>
    </w:rPr>
  </w:style>
  <w:style w:type="paragraph" w:styleId="CommentText">
    <w:name w:val="annotation text"/>
    <w:basedOn w:val="Normal"/>
    <w:link w:val="CommentTextChar"/>
    <w:rsid w:val="00873183"/>
    <w:rPr>
      <w:sz w:val="20"/>
    </w:rPr>
  </w:style>
  <w:style w:type="character" w:customStyle="1" w:styleId="CommentTextChar">
    <w:name w:val="Comment Text Char"/>
    <w:basedOn w:val="DefaultParagraphFont"/>
    <w:link w:val="CommentText"/>
    <w:rsid w:val="00873183"/>
  </w:style>
  <w:style w:type="paragraph" w:styleId="CommentSubject">
    <w:name w:val="annotation subject"/>
    <w:basedOn w:val="CommentText"/>
    <w:next w:val="CommentText"/>
    <w:link w:val="CommentSubjectChar"/>
    <w:rsid w:val="00873183"/>
    <w:rPr>
      <w:b/>
      <w:bCs/>
    </w:rPr>
  </w:style>
  <w:style w:type="character" w:customStyle="1" w:styleId="CommentSubjectChar">
    <w:name w:val="Comment Subject Char"/>
    <w:link w:val="CommentSubject"/>
    <w:rsid w:val="00873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319">
      <w:bodyDiv w:val="1"/>
      <w:marLeft w:val="0"/>
      <w:marRight w:val="0"/>
      <w:marTop w:val="0"/>
      <w:marBottom w:val="0"/>
      <w:divBdr>
        <w:top w:val="none" w:sz="0" w:space="0" w:color="auto"/>
        <w:left w:val="none" w:sz="0" w:space="0" w:color="auto"/>
        <w:bottom w:val="none" w:sz="0" w:space="0" w:color="auto"/>
        <w:right w:val="none" w:sz="0" w:space="0" w:color="auto"/>
      </w:divBdr>
    </w:div>
    <w:div w:id="1500192943">
      <w:bodyDiv w:val="1"/>
      <w:marLeft w:val="0"/>
      <w:marRight w:val="0"/>
      <w:marTop w:val="0"/>
      <w:marBottom w:val="0"/>
      <w:divBdr>
        <w:top w:val="none" w:sz="0" w:space="0" w:color="auto"/>
        <w:left w:val="none" w:sz="0" w:space="0" w:color="auto"/>
        <w:bottom w:val="none" w:sz="0" w:space="0" w:color="auto"/>
        <w:right w:val="none" w:sz="0" w:space="0" w:color="auto"/>
      </w:divBdr>
    </w:div>
    <w:div w:id="159339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038DC2250BE40AD81129ADB79D029" ma:contentTypeVersion="7" ma:contentTypeDescription="Create a new document." ma:contentTypeScope="" ma:versionID="ef22411c518200dbc62840eb01d6aa3b">
  <xsd:schema xmlns:xsd="http://www.w3.org/2001/XMLSchema" xmlns:xs="http://www.w3.org/2001/XMLSchema" xmlns:p="http://schemas.microsoft.com/office/2006/metadata/properties" xmlns:ns2="9919965a-8b78-4802-aa58-bdb535b7c0eb" xmlns:ns3="52222ef0-b167-44f5-92f7-438fda0857cd" targetNamespace="http://schemas.microsoft.com/office/2006/metadata/properties" ma:root="true" ma:fieldsID="ee85f77cc85ad138055dd5ed555a67a4" ns2:_="" ns3:_="">
    <xsd:import namespace="9919965a-8b78-4802-aa58-bdb535b7c0eb"/>
    <xsd:import namespace="52222ef0-b167-44f5-92f7-438fda0857cd"/>
    <xsd:element name="properties">
      <xsd:complexType>
        <xsd:sequence>
          <xsd:element name="documentManagement">
            <xsd:complexType>
              <xsd:all>
                <xsd:element ref="ns2:OMB_x0020_Control_x0020_Number"/>
                <xsd:element ref="ns2:Form_x0020_Name" minOccurs="0"/>
                <xsd:element ref="ns2:Expiration_x0020_Date0" minOccurs="0"/>
                <xsd:element ref="ns2:Business_x0020_Unit"/>
                <xsd:element ref="ns2:Document_x0020_Owner" minOccurs="0"/>
                <xsd:element ref="ns2: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9965a-8b78-4802-aa58-bdb535b7c0eb" elementFormDefault="qualified">
    <xsd:import namespace="http://schemas.microsoft.com/office/2006/documentManagement/types"/>
    <xsd:import namespace="http://schemas.microsoft.com/office/infopath/2007/PartnerControls"/>
    <xsd:element name="OMB_x0020_Control_x0020_Number" ma:index="2" ma:displayName="OMB Control Number" ma:internalName="OMB_x0020_Control_x0020_Number">
      <xsd:simpleType>
        <xsd:restriction base="dms:Text">
          <xsd:maxLength value="255"/>
        </xsd:restriction>
      </xsd:simpleType>
    </xsd:element>
    <xsd:element name="Form_x0020_Name" ma:index="3" nillable="true" ma:displayName="Form Name" ma:internalName="Form_x0020_Name">
      <xsd:simpleType>
        <xsd:restriction base="dms:Text">
          <xsd:maxLength value="255"/>
        </xsd:restriction>
      </xsd:simpleType>
    </xsd:element>
    <xsd:element name="Expiration_x0020_Date0" ma:index="4" nillable="true" ma:displayName="Expiration Date" ma:format="DateOnly" ma:internalName="Expiration_x0020_Date0">
      <xsd:simpleType>
        <xsd:restriction base="dms:DateTime"/>
      </xsd:simpleType>
    </xsd:element>
    <xsd:element name="Business_x0020_Unit" ma:index="5" ma:displayName="Business Unit" ma:internalName="Business_x0020_Unit">
      <xsd:simpleType>
        <xsd:restriction base="dms:Text">
          <xsd:maxLength value="255"/>
        </xsd:restriction>
      </xsd:simpleType>
    </xsd:element>
    <xsd:element name="Document_x0020_Owner" ma:index="6" nillable="true" ma:displayName="Document Owner" ma:internalName="Document_x0020_Owner">
      <xsd:simpleType>
        <xsd:restriction base="dms:Text">
          <xsd:maxLength value="255"/>
        </xsd:restriction>
      </xsd:simpleType>
    </xsd:element>
    <xsd:element name="Status" ma:index="7" nillable="true" ma:displayName="Status" ma:internalName="Statu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22ef0-b167-44f5-92f7-438fda0857c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usiness_x0020_Unit xmlns="9919965a-8b78-4802-aa58-bdb535b7c0eb">CCME</Business_x0020_Unit>
    <Expiration_x0020_Date0 xmlns="9919965a-8b78-4802-aa58-bdb535b7c0eb">2018-12-31T05:00:00+00:00</Expiration_x0020_Date0>
    <OMB_x0020_Control_x0020_Number xmlns="9919965a-8b78-4802-aa58-bdb535b7c0eb">1559-0028 - CDFI Certification Application</OMB_x0020_Control_x0020_Number>
    <Status xmlns="9919965a-8b78-4802-aa58-bdb535b7c0eb">Expires 12/31/2018</Status>
    <Form_x0020_Name xmlns="9919965a-8b78-4802-aa58-bdb535b7c0eb" xsi:nil="true"/>
    <Document_x0020_Owner xmlns="9919965a-8b78-4802-aa58-bdb535b7c0eb">David Meyer</Document_x0020_Owner>
    <_dlc_DocId xmlns="52222ef0-b167-44f5-92f7-438fda0857cd">DOCDFI-523-375</_dlc_DocId>
    <_dlc_DocIdUrl xmlns="52222ef0-b167-44f5-92f7-438fda0857cd">
      <Url>https://thegreen.treas.gov/do/cdfi/OMBandPRA/_layouts/DocIdRedir.aspx?ID=DOCDFI-523-375</Url>
      <Description>DOCDFI-523-375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C7907BA-0330-4021-91EF-C0E409D3B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9965a-8b78-4802-aa58-bdb535b7c0eb"/>
    <ds:schemaRef ds:uri="52222ef0-b167-44f5-92f7-438fda085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468F09-9805-4A8F-A124-67DF014E4431}">
  <ds:schemaRefs>
    <ds:schemaRef ds:uri="http://schemas.microsoft.com/sharepoint/v3/contenttype/forms"/>
  </ds:schemaRefs>
</ds:datastoreItem>
</file>

<file path=customXml/itemProps3.xml><?xml version="1.0" encoding="utf-8"?>
<ds:datastoreItem xmlns:ds="http://schemas.openxmlformats.org/officeDocument/2006/customXml" ds:itemID="{C0893517-DA3E-49A1-8251-5017F0B019AD}">
  <ds:schemaRefs>
    <ds:schemaRef ds:uri="http://schemas.microsoft.com/office/2006/documentManagement/types"/>
    <ds:schemaRef ds:uri="http://purl.org/dc/terms/"/>
    <ds:schemaRef ds:uri="http://schemas.openxmlformats.org/package/2006/metadata/core-properties"/>
    <ds:schemaRef ds:uri="http://purl.org/dc/elements/1.1/"/>
    <ds:schemaRef ds:uri="9919965a-8b78-4802-aa58-bdb535b7c0eb"/>
    <ds:schemaRef ds:uri="http://schemas.microsoft.com/office/2006/metadata/properties"/>
    <ds:schemaRef ds:uri="http://www.w3.org/XML/1998/namespace"/>
    <ds:schemaRef ds:uri="http://purl.org/dc/dcmitype/"/>
    <ds:schemaRef ds:uri="http://schemas.microsoft.com/office/infopath/2007/PartnerControls"/>
    <ds:schemaRef ds:uri="52222ef0-b167-44f5-92f7-438fda0857cd"/>
  </ds:schemaRefs>
</ds:datastoreItem>
</file>

<file path=customXml/itemProps4.xml><?xml version="1.0" encoding="utf-8"?>
<ds:datastoreItem xmlns:ds="http://schemas.openxmlformats.org/officeDocument/2006/customXml" ds:itemID="{2391CA35-4084-4080-8D57-3564B89824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Supporting Statement for CDFI 002:  Bank Enterprise Award Program Application Form</vt:lpstr>
    </vt:vector>
  </TitlesOfParts>
  <Company>treasury</Company>
  <LinksUpToDate>false</LinksUpToDate>
  <CharactersWithSpaces>11679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CDFI 002:  Bank Enterprise Award Program Application Form</dc:title>
  <dc:creator>user</dc:creator>
  <cp:lastModifiedBy>SYSTEM</cp:lastModifiedBy>
  <cp:revision>2</cp:revision>
  <cp:lastPrinted>2010-03-22T18:38:00Z</cp:lastPrinted>
  <dcterms:created xsi:type="dcterms:W3CDTF">2018-12-21T13:14:00Z</dcterms:created>
  <dcterms:modified xsi:type="dcterms:W3CDTF">2018-12-21T13:14:00Z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0x010100A93038DC2250BE40AD81129ADB79D029</vt:lpwstr>
  </property>
  <property fmtid="{D5CDD505-2E9C-101B-9397-08002B2CF9AE}" pid="3" name="_dlc_DocIdItemGuid">
    <vt:lpwstr>c79816cf-e965-4a56-916b-77ebfc34360e</vt:lpwstr>
  </property>
</Properties>
</file>