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5BA9A" w14:textId="77777777" w:rsidR="009F2633" w:rsidRDefault="009F2633" w:rsidP="009F2633">
      <w:pPr>
        <w:keepNext/>
        <w:numPr>
          <w:ilvl w:val="0"/>
          <w:numId w:val="11"/>
        </w:numPr>
        <w:tabs>
          <w:tab w:val="left" w:pos="360"/>
        </w:tabs>
        <w:rPr>
          <w:b/>
          <w:i/>
        </w:rPr>
      </w:pPr>
      <w:bookmarkStart w:id="0" w:name="_GoBack"/>
      <w:bookmarkEnd w:id="0"/>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55B5BA9B" w14:textId="77777777" w:rsidR="009F2633" w:rsidRDefault="009F2633" w:rsidP="00BB78AB">
      <w:pPr>
        <w:keepNext/>
        <w:numPr>
          <w:ilvl w:val="12"/>
          <w:numId w:val="0"/>
        </w:numPr>
        <w:ind w:left="360"/>
      </w:pPr>
    </w:p>
    <w:p w14:paraId="55B5BA9D" w14:textId="618846C9" w:rsidR="007C7BDD" w:rsidRDefault="00D3561A" w:rsidP="00407C9C">
      <w:pPr>
        <w:pStyle w:val="IndexHeading"/>
        <w:keepNext w:val="0"/>
        <w:tabs>
          <w:tab w:val="left" w:pos="360"/>
        </w:tabs>
        <w:spacing w:line="240" w:lineRule="auto"/>
        <w:ind w:left="360"/>
      </w:pPr>
      <w:r w:rsidRPr="00D3561A">
        <w:rPr>
          <w:rFonts w:ascii="Times New Roman" w:hAnsi="Times New Roman"/>
        </w:rPr>
        <w:t xml:space="preserve">Under </w:t>
      </w:r>
      <w:r w:rsidR="00277016">
        <w:rPr>
          <w:rFonts w:ascii="Times New Roman" w:hAnsi="Times New Roman"/>
        </w:rPr>
        <w:t xml:space="preserve">49 U.S.C. 114 </w:t>
      </w:r>
      <w:r w:rsidRPr="00D3561A">
        <w:rPr>
          <w:rFonts w:ascii="Times New Roman" w:hAnsi="Times New Roman"/>
        </w:rPr>
        <w:t xml:space="preserve">and delegated authority from the Secretary of Homeland Security, TSA has broad responsibility and authority for “security in all modes of transportation </w:t>
      </w:r>
      <w:r w:rsidR="00726E40">
        <w:rPr>
          <w:rFonts w:ascii="Times New Roman" w:hAnsi="Times New Roman"/>
        </w:rPr>
        <w:t xml:space="preserve">* * * </w:t>
      </w:r>
      <w:r w:rsidRPr="00D3561A">
        <w:rPr>
          <w:rFonts w:ascii="Times New Roman" w:hAnsi="Times New Roman"/>
        </w:rPr>
        <w:t xml:space="preserve">including security responsibilities </w:t>
      </w:r>
      <w:r w:rsidR="00726E40">
        <w:rPr>
          <w:rFonts w:ascii="Times New Roman" w:hAnsi="Times New Roman"/>
        </w:rPr>
        <w:t xml:space="preserve">* * * </w:t>
      </w:r>
      <w:r w:rsidRPr="00D3561A">
        <w:rPr>
          <w:rFonts w:ascii="Times New Roman" w:hAnsi="Times New Roman"/>
        </w:rPr>
        <w:t>over modes of transportation that are exercised by the Department of Transportation.”</w:t>
      </w:r>
      <w:r w:rsidR="005209BC">
        <w:rPr>
          <w:rFonts w:ascii="Times New Roman" w:hAnsi="Times New Roman"/>
        </w:rPr>
        <w:t xml:space="preserve">  </w:t>
      </w:r>
      <w:r w:rsidR="000C4694" w:rsidRPr="0063063C">
        <w:rPr>
          <w:rFonts w:ascii="Times New Roman" w:hAnsi="Times New Roman"/>
          <w:i/>
        </w:rPr>
        <w:t xml:space="preserve">See </w:t>
      </w:r>
      <w:r w:rsidR="000C4694">
        <w:rPr>
          <w:rFonts w:ascii="Times New Roman" w:hAnsi="Times New Roman"/>
        </w:rPr>
        <w:t>49 U.S.C. 114(d).</w:t>
      </w:r>
    </w:p>
    <w:p w14:paraId="514FABBF" w14:textId="77777777" w:rsidR="00277016" w:rsidRPr="00ED4A71" w:rsidRDefault="00277016" w:rsidP="00ED4A71">
      <w:pPr>
        <w:pStyle w:val="Index1"/>
      </w:pPr>
    </w:p>
    <w:p w14:paraId="55B5BAA0" w14:textId="792AFFD5" w:rsidR="009F2633" w:rsidRDefault="00D3561A" w:rsidP="00D3561A">
      <w:pPr>
        <w:pStyle w:val="IndexHeading"/>
        <w:keepNext w:val="0"/>
        <w:tabs>
          <w:tab w:val="left" w:pos="360"/>
        </w:tabs>
        <w:spacing w:line="240" w:lineRule="auto"/>
        <w:ind w:left="360"/>
        <w:rPr>
          <w:rFonts w:ascii="Times New Roman" w:hAnsi="Times New Roman"/>
        </w:rPr>
      </w:pPr>
      <w:r w:rsidRPr="00D3561A">
        <w:rPr>
          <w:rFonts w:ascii="Times New Roman" w:hAnsi="Times New Roman"/>
        </w:rPr>
        <w:t xml:space="preserve">Pipeline transportation is a mode over which TSA has jurisdiction.  </w:t>
      </w:r>
      <w:r w:rsidR="00EA2788" w:rsidRPr="00EA2788">
        <w:rPr>
          <w:rFonts w:ascii="Times New Roman" w:hAnsi="Times New Roman"/>
        </w:rPr>
        <w:t>TSA is required to develop and transmit to pipeline operators security recommendations for natural gas and hazardous liquid pipelines and pipeline facilities</w:t>
      </w:r>
      <w:r w:rsidR="00277016">
        <w:rPr>
          <w:rFonts w:ascii="Times New Roman" w:hAnsi="Times New Roman"/>
        </w:rPr>
        <w:t xml:space="preserve">. </w:t>
      </w:r>
      <w:r w:rsidR="00277016">
        <w:rPr>
          <w:rFonts w:ascii="Times New Roman" w:hAnsi="Times New Roman"/>
          <w:i/>
        </w:rPr>
        <w:t xml:space="preserve">See </w:t>
      </w:r>
      <w:r w:rsidR="00EA2788" w:rsidRPr="00EA2788">
        <w:rPr>
          <w:rFonts w:ascii="Times New Roman" w:hAnsi="Times New Roman"/>
        </w:rPr>
        <w:t xml:space="preserve">sec. 1557 of the Implementing Recommendations of the 9/11 Commission Act of 2007 </w:t>
      </w:r>
      <w:r w:rsidR="00EA2788">
        <w:rPr>
          <w:rFonts w:ascii="Times New Roman" w:hAnsi="Times New Roman"/>
        </w:rPr>
        <w:t xml:space="preserve">(9/11 Act) </w:t>
      </w:r>
      <w:r w:rsidR="00EA2788" w:rsidRPr="00EA2788">
        <w:rPr>
          <w:rFonts w:ascii="Times New Roman" w:hAnsi="Times New Roman"/>
        </w:rPr>
        <w:t>(Pub. L. 110-53; August 3, 2007)</w:t>
      </w:r>
      <w:r w:rsidR="00277016">
        <w:rPr>
          <w:rFonts w:ascii="Times New Roman" w:hAnsi="Times New Roman"/>
        </w:rPr>
        <w:t>,</w:t>
      </w:r>
      <w:r w:rsidR="00EA2788">
        <w:rPr>
          <w:rFonts w:ascii="Times New Roman" w:hAnsi="Times New Roman"/>
        </w:rPr>
        <w:t xml:space="preserve"> </w:t>
      </w:r>
      <w:r w:rsidR="00277016" w:rsidRPr="00412F6F">
        <w:rPr>
          <w:rFonts w:ascii="Times New Roman" w:hAnsi="Times New Roman"/>
          <w:i/>
        </w:rPr>
        <w:t>codified at</w:t>
      </w:r>
      <w:r w:rsidR="00277016">
        <w:rPr>
          <w:rFonts w:ascii="Times New Roman" w:hAnsi="Times New Roman"/>
        </w:rPr>
        <w:t xml:space="preserve"> 6 U.S.C. 1207. </w:t>
      </w:r>
      <w:r w:rsidR="00EA2788">
        <w:rPr>
          <w:rFonts w:ascii="Times New Roman" w:hAnsi="Times New Roman"/>
        </w:rPr>
        <w:t xml:space="preserve"> </w:t>
      </w:r>
      <w:r w:rsidR="00277016">
        <w:rPr>
          <w:rFonts w:ascii="Times New Roman" w:hAnsi="Times New Roman"/>
        </w:rPr>
        <w:t>Consistent with these requ</w:t>
      </w:r>
      <w:r w:rsidR="00407C9C">
        <w:rPr>
          <w:rFonts w:ascii="Times New Roman" w:hAnsi="Times New Roman"/>
        </w:rPr>
        <w:t>i</w:t>
      </w:r>
      <w:r w:rsidR="00277016">
        <w:rPr>
          <w:rFonts w:ascii="Times New Roman" w:hAnsi="Times New Roman"/>
        </w:rPr>
        <w:t xml:space="preserve">rements, </w:t>
      </w:r>
      <w:r w:rsidR="00E24C6B" w:rsidRPr="00EA2788">
        <w:rPr>
          <w:rFonts w:ascii="Times New Roman" w:hAnsi="Times New Roman"/>
        </w:rPr>
        <w:t xml:space="preserve">TSA </w:t>
      </w:r>
      <w:r w:rsidR="00BC6B28" w:rsidRPr="00EA2788">
        <w:rPr>
          <w:rFonts w:ascii="Times New Roman" w:hAnsi="Times New Roman"/>
        </w:rPr>
        <w:t>issued</w:t>
      </w:r>
      <w:r w:rsidR="00E24C6B" w:rsidRPr="00EA2788">
        <w:rPr>
          <w:rFonts w:ascii="Times New Roman" w:hAnsi="Times New Roman"/>
        </w:rPr>
        <w:t xml:space="preserve"> Pipeline Security</w:t>
      </w:r>
      <w:r w:rsidR="00E24C6B" w:rsidRPr="00E24C6B">
        <w:rPr>
          <w:rFonts w:ascii="Times New Roman" w:hAnsi="Times New Roman"/>
        </w:rPr>
        <w:t xml:space="preserve"> Guidelines</w:t>
      </w:r>
      <w:r w:rsidR="00BC6B28">
        <w:rPr>
          <w:rFonts w:ascii="Times New Roman" w:hAnsi="Times New Roman"/>
        </w:rPr>
        <w:t xml:space="preserve"> in </w:t>
      </w:r>
      <w:r w:rsidR="0063063C">
        <w:rPr>
          <w:rFonts w:ascii="Times New Roman" w:hAnsi="Times New Roman"/>
        </w:rPr>
        <w:t xml:space="preserve">December 2010, with an update published in </w:t>
      </w:r>
      <w:r w:rsidR="00F52E40">
        <w:rPr>
          <w:rFonts w:ascii="Times New Roman" w:hAnsi="Times New Roman"/>
        </w:rPr>
        <w:t>March 2018</w:t>
      </w:r>
      <w:r w:rsidR="00277016">
        <w:rPr>
          <w:rFonts w:ascii="Times New Roman" w:hAnsi="Times New Roman"/>
        </w:rPr>
        <w:t xml:space="preserve"> (Guidelines)</w:t>
      </w:r>
      <w:r w:rsidR="00E24C6B">
        <w:rPr>
          <w:rFonts w:ascii="Times New Roman" w:hAnsi="Times New Roman"/>
        </w:rPr>
        <w:t xml:space="preserve">. </w:t>
      </w:r>
      <w:r w:rsidR="00E24C6B" w:rsidRPr="00E24C6B">
        <w:rPr>
          <w:rFonts w:ascii="Times New Roman" w:hAnsi="Times New Roman"/>
        </w:rPr>
        <w:t xml:space="preserve"> </w:t>
      </w:r>
      <w:r w:rsidR="00646620" w:rsidRPr="0063063C">
        <w:rPr>
          <w:rFonts w:ascii="Times New Roman" w:hAnsi="Times New Roman"/>
          <w:i/>
        </w:rPr>
        <w:t xml:space="preserve">See </w:t>
      </w:r>
      <w:hyperlink r:id="rId14" w:history="1">
        <w:r w:rsidR="00646620" w:rsidRPr="00646620">
          <w:rPr>
            <w:rStyle w:val="Hyperlink"/>
            <w:rFonts w:ascii="Times New Roman" w:hAnsi="Times New Roman"/>
            <w:color w:val="FF0000"/>
            <w:szCs w:val="24"/>
          </w:rPr>
          <w:t>https://www.tsa.gov/for-industry/surface-transportation</w:t>
        </w:r>
      </w:hyperlink>
      <w:r w:rsidR="00646620" w:rsidRPr="00646620">
        <w:rPr>
          <w:rFonts w:asciiTheme="minorHAnsi" w:hAnsiTheme="minorHAnsi" w:cstheme="minorHAnsi"/>
          <w:color w:val="FF0000"/>
          <w:szCs w:val="24"/>
        </w:rPr>
        <w:t>.</w:t>
      </w:r>
      <w:r w:rsidR="00646620">
        <w:rPr>
          <w:rFonts w:ascii="Times New Roman" w:hAnsi="Times New Roman"/>
        </w:rPr>
        <w:t xml:space="preserve"> </w:t>
      </w:r>
      <w:r w:rsidR="00BC6B28">
        <w:rPr>
          <w:rFonts w:ascii="Times New Roman" w:hAnsi="Times New Roman"/>
        </w:rPr>
        <w:t xml:space="preserve">The Guidelines, which provide agency recommendations for </w:t>
      </w:r>
      <w:r w:rsidR="00277016">
        <w:rPr>
          <w:rFonts w:ascii="Times New Roman" w:hAnsi="Times New Roman"/>
        </w:rPr>
        <w:t xml:space="preserve">voluntary actions the </w:t>
      </w:r>
      <w:r w:rsidR="00BC6B28">
        <w:rPr>
          <w:rFonts w:ascii="Times New Roman" w:hAnsi="Times New Roman"/>
        </w:rPr>
        <w:t xml:space="preserve">pipeline industry </w:t>
      </w:r>
      <w:r w:rsidR="00277016">
        <w:rPr>
          <w:rFonts w:ascii="Times New Roman" w:hAnsi="Times New Roman"/>
        </w:rPr>
        <w:t xml:space="preserve">can implement as best practices to enhance </w:t>
      </w:r>
      <w:r w:rsidR="00BC6B28">
        <w:rPr>
          <w:rFonts w:ascii="Times New Roman" w:hAnsi="Times New Roman"/>
        </w:rPr>
        <w:t>security</w:t>
      </w:r>
      <w:r w:rsidR="00277016">
        <w:rPr>
          <w:rFonts w:ascii="Times New Roman" w:hAnsi="Times New Roman"/>
        </w:rPr>
        <w:t xml:space="preserve">.  TSA developed the Guidelines </w:t>
      </w:r>
      <w:r w:rsidR="00E24C6B" w:rsidRPr="00E24C6B">
        <w:rPr>
          <w:rFonts w:ascii="Times New Roman" w:hAnsi="Times New Roman"/>
        </w:rPr>
        <w:t xml:space="preserve">with the assistance of industry and government members of the Pipeline Sector and Government Coordinating Councils, industry association representatives, and other interested parties.  </w:t>
      </w:r>
      <w:r w:rsidR="00277016">
        <w:rPr>
          <w:rFonts w:ascii="Times New Roman" w:hAnsi="Times New Roman"/>
        </w:rPr>
        <w:t>Th</w:t>
      </w:r>
      <w:r w:rsidR="00485F6C">
        <w:rPr>
          <w:rFonts w:ascii="Times New Roman" w:hAnsi="Times New Roman"/>
        </w:rPr>
        <w:t>e</w:t>
      </w:r>
      <w:r w:rsidR="00BC6B28">
        <w:rPr>
          <w:rFonts w:ascii="Times New Roman" w:hAnsi="Times New Roman"/>
        </w:rPr>
        <w:t xml:space="preserve"> </w:t>
      </w:r>
      <w:r w:rsidR="00B26C27">
        <w:rPr>
          <w:rFonts w:ascii="Times New Roman" w:hAnsi="Times New Roman"/>
        </w:rPr>
        <w:t xml:space="preserve">Guidelines </w:t>
      </w:r>
      <w:r w:rsidR="00277016">
        <w:rPr>
          <w:rFonts w:ascii="Times New Roman" w:hAnsi="Times New Roman"/>
        </w:rPr>
        <w:t xml:space="preserve">include a </w:t>
      </w:r>
      <w:r w:rsidR="00BC6B28">
        <w:rPr>
          <w:rFonts w:ascii="Times New Roman" w:hAnsi="Times New Roman"/>
        </w:rPr>
        <w:t>recommendation for submission of information to TSA</w:t>
      </w:r>
      <w:r w:rsidR="00277016">
        <w:rPr>
          <w:rFonts w:ascii="Times New Roman" w:hAnsi="Times New Roman"/>
        </w:rPr>
        <w:t xml:space="preserve"> related to </w:t>
      </w:r>
      <w:r w:rsidR="00726E40">
        <w:rPr>
          <w:rFonts w:ascii="Times New Roman" w:hAnsi="Times New Roman"/>
        </w:rPr>
        <w:t xml:space="preserve">potential </w:t>
      </w:r>
      <w:r w:rsidR="00550DA5">
        <w:rPr>
          <w:rFonts w:ascii="Times New Roman" w:hAnsi="Times New Roman"/>
        </w:rPr>
        <w:t>security</w:t>
      </w:r>
      <w:r w:rsidR="00075708">
        <w:rPr>
          <w:rFonts w:ascii="Times New Roman" w:hAnsi="Times New Roman"/>
        </w:rPr>
        <w:t xml:space="preserve"> incidents</w:t>
      </w:r>
      <w:r w:rsidR="00550DA5">
        <w:rPr>
          <w:rFonts w:ascii="Times New Roman" w:hAnsi="Times New Roman"/>
        </w:rPr>
        <w:t xml:space="preserve"> and suspicious activity</w:t>
      </w:r>
      <w:r w:rsidR="00075708">
        <w:rPr>
          <w:rFonts w:ascii="Times New Roman" w:hAnsi="Times New Roman"/>
        </w:rPr>
        <w:t xml:space="preserve"> within the mode</w:t>
      </w:r>
      <w:r w:rsidR="00DF465F">
        <w:rPr>
          <w:rFonts w:ascii="Times New Roman" w:hAnsi="Times New Roman"/>
        </w:rPr>
        <w:t xml:space="preserve">.  </w:t>
      </w:r>
      <w:r w:rsidR="00DF465F" w:rsidRPr="00DF465F">
        <w:rPr>
          <w:rFonts w:ascii="Times New Roman" w:hAnsi="Times New Roman"/>
        </w:rPr>
        <w:t xml:space="preserve"> </w:t>
      </w:r>
    </w:p>
    <w:p w14:paraId="55B5BAA1" w14:textId="77777777" w:rsidR="00D3561A" w:rsidRPr="00D3561A" w:rsidRDefault="00D3561A" w:rsidP="00D3561A">
      <w:pPr>
        <w:pStyle w:val="Index1"/>
      </w:pPr>
    </w:p>
    <w:p w14:paraId="55B5BAA2" w14:textId="77777777"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55B5BAA3" w14:textId="77777777" w:rsidR="009F2633" w:rsidRDefault="009F2633" w:rsidP="00BB78AB">
      <w:pPr>
        <w:keepNext/>
        <w:numPr>
          <w:ilvl w:val="12"/>
          <w:numId w:val="0"/>
        </w:numPr>
        <w:ind w:left="360"/>
      </w:pPr>
    </w:p>
    <w:p w14:paraId="55B5BAA4" w14:textId="173BD10A" w:rsidR="00AB1826" w:rsidRDefault="00CF4223">
      <w:pPr>
        <w:numPr>
          <w:ilvl w:val="12"/>
          <w:numId w:val="0"/>
        </w:numPr>
        <w:ind w:left="360"/>
        <w:rPr>
          <w:szCs w:val="24"/>
        </w:rPr>
      </w:pPr>
      <w:r w:rsidRPr="00CF4223">
        <w:t xml:space="preserve">This voluntary collection collects the reporting of suspicious activities or security incident data to the TSA Transportation Security Operations Center (TSOC). </w:t>
      </w:r>
      <w:r w:rsidR="00EA2788">
        <w:t xml:space="preserve"> </w:t>
      </w:r>
      <w:r w:rsidRPr="00CF4223">
        <w:t xml:space="preserve">As the lead Federal agency for pipeline security, TSA </w:t>
      </w:r>
      <w:r w:rsidR="00277016">
        <w:t>encourages pipeline facilities or systems to provide TSA notification o</w:t>
      </w:r>
      <w:r w:rsidRPr="00CF4223">
        <w:t xml:space="preserve">f security incidents involving pipeline facilities or systems.  TSA will use the security incident and suspicious activity information provided by operators for vulnerability identification/analysis and trend analysis.  The information, with company-specific data redacted, may also be included in TSA’s intelligence-derived reports. </w:t>
      </w:r>
    </w:p>
    <w:p w14:paraId="55B5BAA5" w14:textId="77777777" w:rsidR="006A5F51" w:rsidRDefault="006A5F51" w:rsidP="00AB1826">
      <w:pPr>
        <w:numPr>
          <w:ilvl w:val="12"/>
          <w:numId w:val="0"/>
        </w:numPr>
        <w:ind w:left="360"/>
      </w:pPr>
    </w:p>
    <w:p w14:paraId="55B5BAA6" w14:textId="7081F688" w:rsidR="009F2633" w:rsidRDefault="00ED4A71" w:rsidP="00AB1826">
      <w:pPr>
        <w:numPr>
          <w:ilvl w:val="12"/>
          <w:numId w:val="0"/>
        </w:numPr>
        <w:ind w:left="360"/>
      </w:pPr>
      <w:r>
        <w:t xml:space="preserve">As noted in </w:t>
      </w:r>
      <w:r w:rsidR="00AB1826">
        <w:t xml:space="preserve">Appendix B </w:t>
      </w:r>
      <w:r w:rsidR="00BF30AF">
        <w:t>of the Guidelines</w:t>
      </w:r>
      <w:r>
        <w:t xml:space="preserve">, TSA is specifically interested in </w:t>
      </w:r>
      <w:r w:rsidR="00AB1826">
        <w:t xml:space="preserve">incidents which are indicative of </w:t>
      </w:r>
      <w:r w:rsidR="00B71986">
        <w:t xml:space="preserve">a </w:t>
      </w:r>
      <w:r w:rsidR="00EA0F1D">
        <w:t xml:space="preserve">possible </w:t>
      </w:r>
      <w:r w:rsidR="00AB1826">
        <w:t xml:space="preserve">deliberate attempt to disrupt pipeline operations or activities that could be precursors to such an attempt.  Examples of the types of incidents are provided in the </w:t>
      </w:r>
      <w:r>
        <w:t>G</w:t>
      </w:r>
      <w:r w:rsidR="00AB1826">
        <w:t>uidelines.</w:t>
      </w:r>
    </w:p>
    <w:p w14:paraId="55B5BAA7" w14:textId="77777777" w:rsidR="00AB1826" w:rsidRDefault="00AB1826" w:rsidP="00AB1826">
      <w:pPr>
        <w:numPr>
          <w:ilvl w:val="12"/>
          <w:numId w:val="0"/>
        </w:numPr>
        <w:ind w:firstLine="360"/>
      </w:pPr>
    </w:p>
    <w:p w14:paraId="55B5BAA8" w14:textId="77777777" w:rsidR="009F2633" w:rsidRDefault="009F2633" w:rsidP="009F2633">
      <w:pPr>
        <w:keepNext/>
        <w:numPr>
          <w:ilvl w:val="0"/>
          <w:numId w:val="1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b/>
          <w:i/>
        </w:rPr>
        <w:lastRenderedPageBreak/>
        <w:t>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5B5BAA9" w14:textId="77777777" w:rsidR="009F2633" w:rsidRDefault="009F2633" w:rsidP="00BB78AB">
      <w:pPr>
        <w:keepNext/>
        <w:numPr>
          <w:ilvl w:val="12"/>
          <w:numId w:val="0"/>
        </w:numPr>
        <w:ind w:left="360"/>
      </w:pPr>
    </w:p>
    <w:p w14:paraId="55B5BAAA" w14:textId="393F22C2" w:rsidR="004B5D1D" w:rsidRDefault="00831300" w:rsidP="004B5D1D">
      <w:pPr>
        <w:ind w:left="360"/>
      </w:pPr>
      <w:r>
        <w:t>In compliance with GPEA, a fully electronic reporting option is available for pipeline operators to provide suspicious incident information to TSA.</w:t>
      </w:r>
      <w:r w:rsidR="004B5D1D">
        <w:t xml:space="preserve">  </w:t>
      </w:r>
      <w:r w:rsidR="004B5D1D" w:rsidRPr="009237B9">
        <w:rPr>
          <w:color w:val="auto"/>
        </w:rPr>
        <w:t>Information</w:t>
      </w:r>
      <w:r w:rsidR="004B5D1D">
        <w:t xml:space="preserve"> regarding incidents which are indicative of a </w:t>
      </w:r>
      <w:r w:rsidR="00EA0F1D">
        <w:t xml:space="preserve">possible </w:t>
      </w:r>
      <w:r w:rsidR="004B5D1D">
        <w:t>deliberate attempt to disrupt pipeline operations or activities that could be precursors to such an attempt may be submitted to the TSOC by email.</w:t>
      </w:r>
    </w:p>
    <w:p w14:paraId="55B5BAAB" w14:textId="77777777" w:rsidR="007D404D" w:rsidRDefault="007D404D" w:rsidP="004B5D1D"/>
    <w:p w14:paraId="55B5BAAC" w14:textId="77777777"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55B5BAAD" w14:textId="77777777" w:rsidR="009F2633" w:rsidRDefault="009F2633" w:rsidP="00BB78AB">
      <w:pPr>
        <w:keepNext/>
        <w:numPr>
          <w:ilvl w:val="12"/>
          <w:numId w:val="0"/>
        </w:numPr>
        <w:ind w:left="360"/>
      </w:pPr>
    </w:p>
    <w:p w14:paraId="400343AC" w14:textId="77777777" w:rsidR="00ED4A71" w:rsidDel="00ED4A71" w:rsidRDefault="00ED4A71" w:rsidP="00ED4A71">
      <w:pPr>
        <w:numPr>
          <w:ilvl w:val="12"/>
          <w:numId w:val="0"/>
        </w:numPr>
        <w:ind w:left="360"/>
      </w:pPr>
      <w:r>
        <w:t xml:space="preserve">While there the National Response Center (NRC) collects some of the same information covered by this collection request, the scope of the reporting population and the types of information collected are insufficient to meet TSA’s statutory responsibilities. </w:t>
      </w:r>
    </w:p>
    <w:p w14:paraId="663DAEDB" w14:textId="77777777" w:rsidR="00ED4A71" w:rsidRDefault="00ED4A71" w:rsidP="00705467">
      <w:pPr>
        <w:ind w:left="360" w:firstLine="360"/>
      </w:pPr>
    </w:p>
    <w:p w14:paraId="55B5BAB2" w14:textId="0AF45FB1" w:rsidR="00810A2C" w:rsidRDefault="00407C9C" w:rsidP="001D5E3C">
      <w:pPr>
        <w:numPr>
          <w:ilvl w:val="12"/>
          <w:numId w:val="0"/>
        </w:numPr>
        <w:ind w:left="360"/>
      </w:pPr>
      <w:r>
        <w:t xml:space="preserve">The </w:t>
      </w:r>
      <w:r w:rsidR="00DE22B8">
        <w:t>NRC</w:t>
      </w:r>
      <w:r w:rsidR="007463DC">
        <w:t xml:space="preserve"> </w:t>
      </w:r>
      <w:r w:rsidR="007463DC" w:rsidRPr="00AF71BE">
        <w:t>serve</w:t>
      </w:r>
      <w:r w:rsidR="007463DC">
        <w:t>s</w:t>
      </w:r>
      <w:r w:rsidR="007463DC" w:rsidRPr="00AF71BE">
        <w:t xml:space="preserve"> as the national point of contact for reporting all oil, chemical, radiological, biological, and etiological discharges into the environment anywhere in the United States and its territories</w:t>
      </w:r>
      <w:r w:rsidR="00ED4A71">
        <w:t xml:space="preserve">, but the scope of the reporting is too limited for TSA’s purposes. </w:t>
      </w:r>
      <w:r w:rsidR="007463DC">
        <w:t xml:space="preserve"> </w:t>
      </w:r>
      <w:r w:rsidR="00810A2C">
        <w:rPr>
          <w:szCs w:val="24"/>
        </w:rPr>
        <w:t>A limited number of pipeline facilities falling under the provisions of the Maritime Transportation Security Act (MTSA) are required to report suspicious activities to t</w:t>
      </w:r>
      <w:r w:rsidR="00810A2C" w:rsidRPr="002D4B12">
        <w:rPr>
          <w:szCs w:val="24"/>
        </w:rPr>
        <w:t>he NRC</w:t>
      </w:r>
      <w:r w:rsidR="00810A2C">
        <w:rPr>
          <w:szCs w:val="24"/>
        </w:rPr>
        <w:t xml:space="preserve">.  Duplicative reporting could occur if an operator chose to make a voluntary report to TSOC in addition to the mandated NRC report.  </w:t>
      </w:r>
      <w:r w:rsidR="00810A2C" w:rsidRPr="0049353E">
        <w:rPr>
          <w:szCs w:val="24"/>
        </w:rPr>
        <w:t xml:space="preserve">Given the small population of pipeline facilities that are subject to MTSA requirements, TSA does not </w:t>
      </w:r>
      <w:r w:rsidR="00810A2C">
        <w:rPr>
          <w:szCs w:val="24"/>
        </w:rPr>
        <w:t>anticipate</w:t>
      </w:r>
      <w:r w:rsidR="00810A2C" w:rsidRPr="0049353E">
        <w:rPr>
          <w:szCs w:val="24"/>
        </w:rPr>
        <w:t xml:space="preserve"> </w:t>
      </w:r>
      <w:r w:rsidR="00810A2C">
        <w:rPr>
          <w:szCs w:val="24"/>
        </w:rPr>
        <w:t xml:space="preserve">a </w:t>
      </w:r>
      <w:r w:rsidR="00810A2C" w:rsidRPr="0049353E">
        <w:rPr>
          <w:szCs w:val="24"/>
        </w:rPr>
        <w:t>large volume of duplicate reporting to TSOC and NRC.</w:t>
      </w:r>
      <w:r w:rsidR="00810A2C">
        <w:rPr>
          <w:szCs w:val="24"/>
        </w:rPr>
        <w:t xml:space="preserve">  That expectation is based on the actual incident reporting patterns TSA has observed from MTSA</w:t>
      </w:r>
      <w:r w:rsidR="00EA0F1D">
        <w:rPr>
          <w:szCs w:val="24"/>
        </w:rPr>
        <w:t>-</w:t>
      </w:r>
      <w:r w:rsidR="00810A2C">
        <w:rPr>
          <w:szCs w:val="24"/>
        </w:rPr>
        <w:t xml:space="preserve"> regulated pipeline facilities.  TSOC has coordinated with the NRC to obtain pipeline incident reports that may be of concern to TSA, in the event that a MTSA-regulated pipeline operator submits a report only to the NRC.</w:t>
      </w:r>
    </w:p>
    <w:p w14:paraId="55B5BAB3" w14:textId="77777777" w:rsidR="00810A2C" w:rsidRDefault="00810A2C" w:rsidP="001D5E3C">
      <w:pPr>
        <w:numPr>
          <w:ilvl w:val="12"/>
          <w:numId w:val="0"/>
        </w:numPr>
        <w:ind w:left="360"/>
      </w:pPr>
    </w:p>
    <w:p w14:paraId="55B5BAB4" w14:textId="04D8BA79" w:rsidR="007D404D" w:rsidRDefault="007463DC" w:rsidP="001D5E3C">
      <w:pPr>
        <w:numPr>
          <w:ilvl w:val="12"/>
          <w:numId w:val="0"/>
        </w:numPr>
        <w:ind w:left="360"/>
      </w:pPr>
      <w:r w:rsidRPr="0074340A">
        <w:t xml:space="preserve">The NRC </w:t>
      </w:r>
      <w:r w:rsidR="00810A2C" w:rsidRPr="0074340A">
        <w:t xml:space="preserve">also </w:t>
      </w:r>
      <w:r w:rsidR="00AC6969" w:rsidRPr="0074340A">
        <w:t>receives report</w:t>
      </w:r>
      <w:r w:rsidR="0074340A">
        <w:t>able</w:t>
      </w:r>
      <w:r w:rsidR="00AC6969" w:rsidRPr="0074340A">
        <w:t xml:space="preserve"> incidents involving hazardous materials regulated by the </w:t>
      </w:r>
      <w:r w:rsidR="0074340A">
        <w:t xml:space="preserve">Pipeline and Hazardous Materials </w:t>
      </w:r>
      <w:r w:rsidR="0098237C">
        <w:t xml:space="preserve">Safety </w:t>
      </w:r>
      <w:r w:rsidR="0074340A">
        <w:t xml:space="preserve">Administration (PHMSA) of the </w:t>
      </w:r>
      <w:r w:rsidR="00AC6969" w:rsidRPr="0074340A">
        <w:rPr>
          <w:rFonts w:cs="Times New Roman"/>
          <w:color w:val="auto"/>
          <w:szCs w:val="24"/>
        </w:rPr>
        <w:t>Department of Transportation</w:t>
      </w:r>
      <w:r w:rsidR="00AC6969" w:rsidRPr="0074340A">
        <w:rPr>
          <w:color w:val="auto"/>
        </w:rPr>
        <w:t xml:space="preserve"> </w:t>
      </w:r>
      <w:r w:rsidR="00AC6969" w:rsidRPr="0074340A">
        <w:t xml:space="preserve">under </w:t>
      </w:r>
      <w:r w:rsidR="00AC6969" w:rsidRPr="00F83216">
        <w:rPr>
          <w:rFonts w:cs="Times New Roman"/>
          <w:color w:val="auto"/>
          <w:szCs w:val="24"/>
        </w:rPr>
        <w:t xml:space="preserve">49 CFR </w:t>
      </w:r>
      <w:r w:rsidR="001D5E3C" w:rsidRPr="00F83216">
        <w:rPr>
          <w:rFonts w:cs="Times New Roman"/>
          <w:color w:val="auto"/>
          <w:szCs w:val="24"/>
        </w:rPr>
        <w:t xml:space="preserve">part </w:t>
      </w:r>
      <w:r w:rsidR="00AC6969" w:rsidRPr="00F83216">
        <w:rPr>
          <w:rFonts w:cs="Times New Roman"/>
          <w:color w:val="auto"/>
          <w:szCs w:val="24"/>
        </w:rPr>
        <w:t>191</w:t>
      </w:r>
      <w:r w:rsidR="00AC6969" w:rsidRPr="00F83216">
        <w:rPr>
          <w:color w:val="auto"/>
        </w:rPr>
        <w:t xml:space="preserve"> for natural gas and other gases transported by pipeline and </w:t>
      </w:r>
      <w:r w:rsidR="00AC6969" w:rsidRPr="00F83216">
        <w:rPr>
          <w:rFonts w:cs="Times New Roman"/>
          <w:color w:val="auto"/>
          <w:szCs w:val="24"/>
        </w:rPr>
        <w:t xml:space="preserve">49 CFR </w:t>
      </w:r>
      <w:r w:rsidR="00810A2C" w:rsidRPr="00F83216">
        <w:rPr>
          <w:rFonts w:cs="Times New Roman"/>
          <w:color w:val="auto"/>
          <w:szCs w:val="24"/>
        </w:rPr>
        <w:t xml:space="preserve">part </w:t>
      </w:r>
      <w:r w:rsidR="00AC6969" w:rsidRPr="00F83216">
        <w:rPr>
          <w:rFonts w:cs="Times New Roman"/>
          <w:color w:val="auto"/>
          <w:szCs w:val="24"/>
        </w:rPr>
        <w:t>195</w:t>
      </w:r>
      <w:r w:rsidR="00AC6969" w:rsidRPr="0074340A">
        <w:rPr>
          <w:color w:val="auto"/>
        </w:rPr>
        <w:t xml:space="preserve"> for liquids transported by pipeline.</w:t>
      </w:r>
      <w:r w:rsidR="0074340A">
        <w:rPr>
          <w:rStyle w:val="FootnoteReference"/>
          <w:color w:val="auto"/>
        </w:rPr>
        <w:footnoteReference w:id="1"/>
      </w:r>
      <w:r w:rsidR="00AC6969" w:rsidRPr="0074340A">
        <w:rPr>
          <w:color w:val="auto"/>
        </w:rPr>
        <w:t xml:space="preserve"> </w:t>
      </w:r>
      <w:r w:rsidR="007F5E4C" w:rsidRPr="0074340A">
        <w:rPr>
          <w:color w:val="auto"/>
        </w:rPr>
        <w:t>Although</w:t>
      </w:r>
      <w:r w:rsidR="007F5E4C" w:rsidRPr="0074340A">
        <w:rPr>
          <w:rFonts w:cs="Times New Roman"/>
          <w:color w:val="auto"/>
          <w:szCs w:val="24"/>
        </w:rPr>
        <w:t xml:space="preserve"> the NRC does </w:t>
      </w:r>
      <w:r w:rsidR="005F09AD" w:rsidRPr="0074340A">
        <w:rPr>
          <w:rFonts w:cs="Times New Roman"/>
          <w:color w:val="auto"/>
          <w:szCs w:val="24"/>
        </w:rPr>
        <w:t>accept</w:t>
      </w:r>
      <w:r w:rsidR="007F5E4C" w:rsidRPr="0074340A">
        <w:rPr>
          <w:rFonts w:cs="Times New Roman"/>
          <w:color w:val="auto"/>
          <w:szCs w:val="24"/>
        </w:rPr>
        <w:t xml:space="preserve"> suspicious</w:t>
      </w:r>
      <w:r w:rsidR="007F5E4C" w:rsidRPr="007F5E4C">
        <w:rPr>
          <w:rFonts w:cs="Times New Roman"/>
          <w:color w:val="auto"/>
          <w:szCs w:val="24"/>
        </w:rPr>
        <w:t xml:space="preserve"> activity reports</w:t>
      </w:r>
      <w:r w:rsidR="007F5E4C">
        <w:rPr>
          <w:rFonts w:cs="Times New Roman"/>
          <w:color w:val="auto"/>
          <w:szCs w:val="24"/>
        </w:rPr>
        <w:t xml:space="preserve">, </w:t>
      </w:r>
      <w:r w:rsidR="00830D5E">
        <w:rPr>
          <w:color w:val="auto"/>
        </w:rPr>
        <w:t xml:space="preserve">this </w:t>
      </w:r>
      <w:r w:rsidR="007F5E4C">
        <w:rPr>
          <w:color w:val="auto"/>
        </w:rPr>
        <w:t xml:space="preserve">reporting </w:t>
      </w:r>
      <w:r w:rsidR="00D328B0">
        <w:rPr>
          <w:color w:val="auto"/>
        </w:rPr>
        <w:t xml:space="preserve">for purposes of PHMSA’s regulations does not necessarily overlap with the reporting recommended by TSA.  </w:t>
      </w:r>
      <w:r w:rsidR="00810A2C" w:rsidRPr="002D4B12">
        <w:rPr>
          <w:szCs w:val="24"/>
        </w:rPr>
        <w:t>To the extent that terrorist activity result</w:t>
      </w:r>
      <w:r w:rsidR="002A7C30">
        <w:rPr>
          <w:szCs w:val="24"/>
        </w:rPr>
        <w:t>s</w:t>
      </w:r>
      <w:r w:rsidR="00810A2C" w:rsidRPr="002D4B12">
        <w:rPr>
          <w:szCs w:val="24"/>
        </w:rPr>
        <w:t xml:space="preserve"> in an incident meeting the reporting criteria of </w:t>
      </w:r>
      <w:r w:rsidR="0074340A">
        <w:rPr>
          <w:szCs w:val="24"/>
        </w:rPr>
        <w:t>the PHMSA</w:t>
      </w:r>
      <w:r w:rsidR="00810A2C" w:rsidRPr="002D4B12">
        <w:rPr>
          <w:szCs w:val="24"/>
        </w:rPr>
        <w:t xml:space="preserve"> regulations</w:t>
      </w:r>
      <w:r w:rsidR="00D328B0">
        <w:rPr>
          <w:szCs w:val="24"/>
        </w:rPr>
        <w:t xml:space="preserve"> </w:t>
      </w:r>
      <w:r w:rsidR="00D328B0" w:rsidRPr="00407C9C">
        <w:rPr>
          <w:i/>
          <w:szCs w:val="24"/>
        </w:rPr>
        <w:t>and</w:t>
      </w:r>
      <w:r w:rsidR="00D328B0">
        <w:rPr>
          <w:szCs w:val="24"/>
        </w:rPr>
        <w:t xml:space="preserve"> the recommended reporting in TSA’s Guidelines,</w:t>
      </w:r>
      <w:r w:rsidR="00810A2C" w:rsidRPr="002D4B12">
        <w:rPr>
          <w:szCs w:val="24"/>
        </w:rPr>
        <w:t xml:space="preserve"> duplicative reporting </w:t>
      </w:r>
      <w:r w:rsidR="00D328B0">
        <w:rPr>
          <w:szCs w:val="24"/>
        </w:rPr>
        <w:t xml:space="preserve">may </w:t>
      </w:r>
      <w:r w:rsidR="00810A2C" w:rsidRPr="002D4B12">
        <w:rPr>
          <w:szCs w:val="24"/>
        </w:rPr>
        <w:t xml:space="preserve">occur should an </w:t>
      </w:r>
      <w:r w:rsidR="00810A2C" w:rsidRPr="002D4B12">
        <w:rPr>
          <w:szCs w:val="24"/>
        </w:rPr>
        <w:lastRenderedPageBreak/>
        <w:t xml:space="preserve">operator choose to contact both the NRC and TSOC.  </w:t>
      </w:r>
      <w:r w:rsidR="00810A2C">
        <w:rPr>
          <w:szCs w:val="24"/>
        </w:rPr>
        <w:t>TSA does</w:t>
      </w:r>
      <w:r w:rsidR="00810A2C" w:rsidRPr="002D4B12">
        <w:rPr>
          <w:szCs w:val="24"/>
        </w:rPr>
        <w:t xml:space="preserve"> not anticipate that this will be a common event.  </w:t>
      </w:r>
    </w:p>
    <w:p w14:paraId="55B5BAB5" w14:textId="77777777" w:rsidR="00E1310C" w:rsidRPr="00AF71BE" w:rsidRDefault="00E1310C" w:rsidP="002E5A70">
      <w:pPr>
        <w:numPr>
          <w:ilvl w:val="12"/>
          <w:numId w:val="0"/>
        </w:numPr>
        <w:ind w:left="360" w:firstLine="360"/>
        <w:rPr>
          <w:color w:val="auto"/>
        </w:rPr>
      </w:pPr>
    </w:p>
    <w:p w14:paraId="55B5BAB6" w14:textId="77777777"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55B5BAB7" w14:textId="77777777" w:rsidR="009F2633" w:rsidRDefault="009F2633" w:rsidP="00BB78AB">
      <w:pPr>
        <w:keepNext/>
        <w:numPr>
          <w:ilvl w:val="12"/>
          <w:numId w:val="0"/>
        </w:numPr>
        <w:ind w:left="360"/>
      </w:pPr>
    </w:p>
    <w:p w14:paraId="55B5BAB8" w14:textId="77777777" w:rsidR="007D404D" w:rsidRDefault="005209BC">
      <w:pPr>
        <w:numPr>
          <w:ilvl w:val="12"/>
          <w:numId w:val="0"/>
        </w:numPr>
        <w:ind w:left="360"/>
      </w:pPr>
      <w:r>
        <w:t>This</w:t>
      </w:r>
      <w:r w:rsidR="00B545F1">
        <w:t xml:space="preserve"> voluntary</w:t>
      </w:r>
      <w:r>
        <w:t xml:space="preserve"> collection is not expected to have a significant impact on small businesses or other small entities.</w:t>
      </w:r>
    </w:p>
    <w:p w14:paraId="55B5BAB9" w14:textId="77777777" w:rsidR="009F2633" w:rsidRDefault="009F2633" w:rsidP="00BB78AB">
      <w:pPr>
        <w:numPr>
          <w:ilvl w:val="12"/>
          <w:numId w:val="0"/>
        </w:numPr>
      </w:pPr>
    </w:p>
    <w:p w14:paraId="55B5BABA" w14:textId="77777777"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55B5BABB" w14:textId="053A4E46" w:rsidR="00122B6F" w:rsidRDefault="00122B6F">
      <w:pPr>
        <w:pStyle w:val="NormalWeb"/>
        <w:ind w:left="360"/>
        <w:rPr>
          <w:color w:val="auto"/>
        </w:rPr>
      </w:pPr>
      <w:r w:rsidRPr="002D4B12">
        <w:t>TSA</w:t>
      </w:r>
      <w:r>
        <w:t xml:space="preserve"> must maintain situational awareness of the industry in order to execute its security responsibilities</w:t>
      </w:r>
      <w:r w:rsidR="00D328B0">
        <w:t xml:space="preserve"> for pipelines and all other modes of transportation</w:t>
      </w:r>
      <w:r>
        <w:t xml:space="preserve">.  </w:t>
      </w:r>
      <w:r w:rsidR="00A94539">
        <w:t xml:space="preserve">TSOC is </w:t>
      </w:r>
      <w:r w:rsidR="00A94539" w:rsidRPr="004854CA">
        <w:rPr>
          <w:color w:val="auto"/>
        </w:rPr>
        <w:t xml:space="preserve">TSA's </w:t>
      </w:r>
      <w:r w:rsidR="00A94539">
        <w:rPr>
          <w:color w:val="auto"/>
        </w:rPr>
        <w:t xml:space="preserve">24/7 </w:t>
      </w:r>
      <w:r w:rsidR="00A94539" w:rsidRPr="004854CA">
        <w:rPr>
          <w:color w:val="auto"/>
        </w:rPr>
        <w:t>coordination center during security incidents.</w:t>
      </w:r>
      <w:r w:rsidR="00A94539">
        <w:rPr>
          <w:color w:val="auto"/>
        </w:rPr>
        <w:t xml:space="preserve"> </w:t>
      </w:r>
      <w:r w:rsidR="00B71986">
        <w:rPr>
          <w:color w:val="auto"/>
        </w:rPr>
        <w:t xml:space="preserve"> </w:t>
      </w:r>
      <w:r w:rsidR="00752376">
        <w:rPr>
          <w:color w:val="auto"/>
        </w:rPr>
        <w:t xml:space="preserve">If incident information is not reported, the ability of the TSOC to coordinate any required agency involvement/response to the event may be inhibited.  </w:t>
      </w:r>
    </w:p>
    <w:p w14:paraId="55B5BABC" w14:textId="77777777" w:rsidR="00052EBD" w:rsidRDefault="00752376" w:rsidP="00BB29F2">
      <w:pPr>
        <w:ind w:left="360"/>
        <w:rPr>
          <w:color w:val="auto"/>
        </w:rPr>
      </w:pPr>
      <w:r>
        <w:rPr>
          <w:color w:val="auto"/>
        </w:rPr>
        <w:t xml:space="preserve">Additionally, </w:t>
      </w:r>
      <w:r w:rsidR="002E7459">
        <w:rPr>
          <w:color w:val="auto"/>
        </w:rPr>
        <w:t xml:space="preserve">if the information were not reported, </w:t>
      </w:r>
      <w:r w:rsidRPr="0033642D">
        <w:t>TSA</w:t>
      </w:r>
      <w:r w:rsidR="0074340A">
        <w:t xml:space="preserve"> may not otherwise become aware of the incident, which would affect the ability of the agency to meet its statutory obligation to </w:t>
      </w:r>
      <w:r>
        <w:rPr>
          <w:color w:val="auto"/>
        </w:rPr>
        <w:t xml:space="preserve">analyze potential threats across all modes.  </w:t>
      </w:r>
      <w:r w:rsidR="00EF2CBF">
        <w:rPr>
          <w:color w:val="auto"/>
        </w:rPr>
        <w:t xml:space="preserve">In turn, loss of this information </w:t>
      </w:r>
      <w:r w:rsidR="0074340A">
        <w:rPr>
          <w:color w:val="auto"/>
        </w:rPr>
        <w:t>would</w:t>
      </w:r>
      <w:r w:rsidR="00EF2CBF">
        <w:rPr>
          <w:color w:val="auto"/>
        </w:rPr>
        <w:t xml:space="preserve"> reduce the efficacy of the intelligence products developed by TSA for its industry and government partners.  </w:t>
      </w:r>
      <w:r w:rsidR="0074340A">
        <w:rPr>
          <w:color w:val="auto"/>
        </w:rPr>
        <w:t xml:space="preserve">Currently, industry suspicious incident reported information is used by </w:t>
      </w:r>
      <w:r w:rsidR="005B6A74">
        <w:rPr>
          <w:color w:val="auto"/>
        </w:rPr>
        <w:t xml:space="preserve">TSA </w:t>
      </w:r>
      <w:r w:rsidR="00453942">
        <w:rPr>
          <w:color w:val="auto"/>
        </w:rPr>
        <w:t>for several reports, including</w:t>
      </w:r>
      <w:r w:rsidR="005B6A74">
        <w:rPr>
          <w:color w:val="auto"/>
        </w:rPr>
        <w:t xml:space="preserve"> the </w:t>
      </w:r>
      <w:r w:rsidR="005B6A74" w:rsidRPr="001A421C">
        <w:t>Transportation Security and Industry Report</w:t>
      </w:r>
      <w:r w:rsidR="005B6A74">
        <w:t xml:space="preserve">, Pipeline </w:t>
      </w:r>
      <w:r w:rsidR="005B6A74" w:rsidRPr="001A421C">
        <w:t>Threat Assessments</w:t>
      </w:r>
      <w:r w:rsidR="005B6A74">
        <w:t xml:space="preserve">, and </w:t>
      </w:r>
      <w:r w:rsidR="005B6A74" w:rsidRPr="001A421C">
        <w:t>Transportation Intelligence Note</w:t>
      </w:r>
      <w:r w:rsidR="005B6A74">
        <w:t>s</w:t>
      </w:r>
      <w:r w:rsidR="00256C44">
        <w:t>.</w:t>
      </w:r>
      <w:r w:rsidR="005B6A74">
        <w:t xml:space="preserve"> </w:t>
      </w:r>
      <w:r w:rsidR="00453942">
        <w:rPr>
          <w:color w:val="auto"/>
        </w:rPr>
        <w:t xml:space="preserve"> </w:t>
      </w:r>
      <w:r w:rsidR="00084BDC">
        <w:rPr>
          <w:color w:val="auto"/>
        </w:rPr>
        <w:t xml:space="preserve">If the collection of suspicious incident information is not conducted, it </w:t>
      </w:r>
      <w:r w:rsidR="008668DE">
        <w:rPr>
          <w:color w:val="auto"/>
        </w:rPr>
        <w:t>may</w:t>
      </w:r>
      <w:r w:rsidR="00084BDC">
        <w:rPr>
          <w:color w:val="auto"/>
        </w:rPr>
        <w:t xml:space="preserve"> hinder TSA’s ability to produce intelligence documents of </w:t>
      </w:r>
      <w:r w:rsidR="00CC0B84">
        <w:rPr>
          <w:color w:val="auto"/>
        </w:rPr>
        <w:t>benefit</w:t>
      </w:r>
      <w:r w:rsidR="00084BDC">
        <w:rPr>
          <w:color w:val="auto"/>
        </w:rPr>
        <w:t xml:space="preserve"> to the pipeline industry as well </w:t>
      </w:r>
      <w:r w:rsidR="00F94525">
        <w:rPr>
          <w:color w:val="auto"/>
        </w:rPr>
        <w:t>as</w:t>
      </w:r>
      <w:r w:rsidR="00084BDC">
        <w:rPr>
          <w:color w:val="auto"/>
        </w:rPr>
        <w:t xml:space="preserve"> other transportation and government stakeholders.   </w:t>
      </w:r>
    </w:p>
    <w:p w14:paraId="55B5BABD" w14:textId="77777777" w:rsidR="00052EBD" w:rsidRPr="00EC46B7" w:rsidRDefault="00052EBD" w:rsidP="00084BDC">
      <w:pPr>
        <w:ind w:left="780"/>
        <w:rPr>
          <w:color w:val="auto"/>
        </w:rPr>
      </w:pPr>
    </w:p>
    <w:p w14:paraId="55B5BABE" w14:textId="77777777" w:rsidR="009F2633" w:rsidRDefault="009F2633" w:rsidP="00B71986">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55B5BABF" w14:textId="77777777" w:rsidR="009F2633" w:rsidRDefault="009F2633" w:rsidP="00BB78AB">
      <w:pPr>
        <w:keepNext/>
        <w:numPr>
          <w:ilvl w:val="12"/>
          <w:numId w:val="0"/>
        </w:numPr>
        <w:ind w:left="360"/>
      </w:pPr>
    </w:p>
    <w:p w14:paraId="55B5BAC0" w14:textId="77777777" w:rsidR="009F2633" w:rsidRDefault="00071949" w:rsidP="00BB78AB">
      <w:pPr>
        <w:numPr>
          <w:ilvl w:val="12"/>
          <w:numId w:val="0"/>
        </w:numPr>
        <w:ind w:left="360"/>
      </w:pPr>
      <w:r>
        <w:t xml:space="preserve">This </w:t>
      </w:r>
      <w:r w:rsidR="00B545F1">
        <w:t xml:space="preserve">voluntary </w:t>
      </w:r>
      <w:r>
        <w:t>collection will be conducted consistent with the information collection guidelines.</w:t>
      </w:r>
    </w:p>
    <w:p w14:paraId="55B5BAC1" w14:textId="77777777" w:rsidR="009F2633" w:rsidRDefault="009F2633" w:rsidP="00BB78AB">
      <w:pPr>
        <w:numPr>
          <w:ilvl w:val="12"/>
          <w:numId w:val="0"/>
        </w:numPr>
      </w:pPr>
    </w:p>
    <w:p w14:paraId="55B5BAC2" w14:textId="77777777"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5B5BAC3" w14:textId="77777777" w:rsidR="00071949" w:rsidRDefault="00071949" w:rsidP="00BB78AB">
      <w:pPr>
        <w:numPr>
          <w:ilvl w:val="12"/>
          <w:numId w:val="0"/>
        </w:numPr>
        <w:ind w:left="360"/>
      </w:pPr>
    </w:p>
    <w:p w14:paraId="200C19D8" w14:textId="25A61DA3" w:rsidR="0058727C" w:rsidRDefault="00071949" w:rsidP="0058727C">
      <w:pPr>
        <w:numPr>
          <w:ilvl w:val="12"/>
          <w:numId w:val="0"/>
        </w:numPr>
        <w:ind w:left="360"/>
      </w:pPr>
      <w:r w:rsidRPr="00676E8E">
        <w:t xml:space="preserve">TSA published a </w:t>
      </w:r>
      <w:r w:rsidRPr="0063063C">
        <w:rPr>
          <w:i/>
        </w:rPr>
        <w:t>Federal Register</w:t>
      </w:r>
      <w:r w:rsidRPr="00676E8E">
        <w:t xml:space="preserve"> notice, with a 60-day comment</w:t>
      </w:r>
      <w:r w:rsidR="00474A1D">
        <w:t xml:space="preserve"> period</w:t>
      </w:r>
      <w:r w:rsidRPr="00676E8E">
        <w:t xml:space="preserve">, of the following collection of information on </w:t>
      </w:r>
      <w:r w:rsidR="0063063C">
        <w:t>October 29</w:t>
      </w:r>
      <w:r w:rsidR="00322A84">
        <w:t xml:space="preserve">, </w:t>
      </w:r>
      <w:r w:rsidR="006C3005" w:rsidRPr="00BB29F2">
        <w:t>201</w:t>
      </w:r>
      <w:r w:rsidR="0063063C">
        <w:t>8</w:t>
      </w:r>
      <w:r w:rsidR="00322A84" w:rsidRPr="00BB29F2">
        <w:t xml:space="preserve"> (</w:t>
      </w:r>
      <w:r w:rsidR="006C3005" w:rsidRPr="00BB29F2">
        <w:t>8</w:t>
      </w:r>
      <w:r w:rsidR="0063063C">
        <w:t>3</w:t>
      </w:r>
      <w:r w:rsidR="006C3005" w:rsidRPr="00BB29F2">
        <w:t xml:space="preserve"> FR </w:t>
      </w:r>
      <w:r w:rsidR="0063063C">
        <w:t>54368</w:t>
      </w:r>
      <w:r w:rsidR="00322A84" w:rsidRPr="00BB29F2">
        <w:t>)</w:t>
      </w:r>
      <w:r w:rsidR="009E15C5" w:rsidRPr="00BB29F2">
        <w:t xml:space="preserve"> and a 30</w:t>
      </w:r>
      <w:r w:rsidR="00D968AB" w:rsidRPr="00BB29F2">
        <w:t>-</w:t>
      </w:r>
      <w:r w:rsidR="009E15C5" w:rsidRPr="00BB29F2">
        <w:t xml:space="preserve">day notice </w:t>
      </w:r>
      <w:r w:rsidR="009E15C5" w:rsidRPr="00407C9C">
        <w:t xml:space="preserve">on </w:t>
      </w:r>
      <w:r w:rsidR="0063063C" w:rsidRPr="00407C9C">
        <w:t>M</w:t>
      </w:r>
      <w:r w:rsidR="00407C9C" w:rsidRPr="00407C9C">
        <w:t xml:space="preserve">arch 11, </w:t>
      </w:r>
      <w:r w:rsidR="0063063C" w:rsidRPr="00407C9C">
        <w:t xml:space="preserve">2019 </w:t>
      </w:r>
      <w:r w:rsidR="00322A84" w:rsidRPr="00407C9C">
        <w:t>(</w:t>
      </w:r>
      <w:r w:rsidR="0063063C" w:rsidRPr="00407C9C">
        <w:t xml:space="preserve">84 </w:t>
      </w:r>
      <w:r w:rsidR="00322A84" w:rsidRPr="00407C9C">
        <w:t xml:space="preserve">FR </w:t>
      </w:r>
      <w:r w:rsidR="00407C9C" w:rsidRPr="00407C9C">
        <w:t>8738</w:t>
      </w:r>
      <w:r w:rsidR="00322A84" w:rsidRPr="00407C9C">
        <w:t>)</w:t>
      </w:r>
      <w:r w:rsidRPr="00407C9C">
        <w:t>.</w:t>
      </w:r>
      <w:r w:rsidR="00B60846" w:rsidRPr="00407C9C">
        <w:t xml:space="preserve"> </w:t>
      </w:r>
      <w:r w:rsidR="00654725">
        <w:t xml:space="preserve"> </w:t>
      </w:r>
      <w:r w:rsidR="00B60846" w:rsidRPr="00407C9C">
        <w:t>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w:t>
      </w:r>
      <w:r w:rsidR="00683B6B">
        <w:t xml:space="preserve">  </w:t>
      </w:r>
      <w:r w:rsidR="00683B6B" w:rsidRPr="00407C9C">
        <w:t xml:space="preserve">TSA received </w:t>
      </w:r>
      <w:r w:rsidR="00683B6B">
        <w:t xml:space="preserve">one comment in response to the 30-day notice.  The commenter expressed concern that TSA should have requested a revision to the collection instead of an extension based on the decrease in the burden estimates.  </w:t>
      </w:r>
      <w:r w:rsidR="0058727C">
        <w:t xml:space="preserve">The commenter also expressed concern that no justification was given for the burden change and that the ICR notice was deliberately misleading and incomplete.  </w:t>
      </w:r>
    </w:p>
    <w:p w14:paraId="0594E142" w14:textId="77777777" w:rsidR="0058727C" w:rsidRDefault="0058727C" w:rsidP="0058727C">
      <w:pPr>
        <w:numPr>
          <w:ilvl w:val="12"/>
          <w:numId w:val="0"/>
        </w:numPr>
        <w:ind w:left="360"/>
      </w:pPr>
    </w:p>
    <w:p w14:paraId="02BA752F" w14:textId="7EBB4802" w:rsidR="003D6FA7" w:rsidRDefault="0058727C" w:rsidP="0058727C">
      <w:pPr>
        <w:numPr>
          <w:ilvl w:val="12"/>
          <w:numId w:val="0"/>
        </w:numPr>
        <w:ind w:left="360"/>
      </w:pPr>
      <w:r>
        <w:t xml:space="preserve">TSA </w:t>
      </w:r>
      <w:r w:rsidR="00786C71">
        <w:t>disagrees with the commenter.  H</w:t>
      </w:r>
      <w:r>
        <w:t>istorically</w:t>
      </w:r>
      <w:r w:rsidR="00786C71">
        <w:t>, TSA</w:t>
      </w:r>
      <w:r>
        <w:t xml:space="preserve"> has relied on actual data to provide its estimation of the </w:t>
      </w:r>
      <w:r w:rsidR="003D6FA7">
        <w:t xml:space="preserve">collection </w:t>
      </w:r>
      <w:r>
        <w:t>burden.  In this situation, TSA gathered actual data for the collection</w:t>
      </w:r>
      <w:r w:rsidR="003D6FA7">
        <w:t xml:space="preserve"> </w:t>
      </w:r>
      <w:r w:rsidR="00D11DBD">
        <w:t xml:space="preserve">from the </w:t>
      </w:r>
      <w:r w:rsidR="0084243F">
        <w:t xml:space="preserve">Transportation </w:t>
      </w:r>
      <w:r w:rsidR="006C6D8B" w:rsidRPr="006C6D8B">
        <w:t xml:space="preserve">Security Operations Center </w:t>
      </w:r>
      <w:r w:rsidR="0084243F">
        <w:t>(</w:t>
      </w:r>
      <w:r>
        <w:t>TSOC</w:t>
      </w:r>
      <w:r w:rsidR="0084243F">
        <w:t>)</w:t>
      </w:r>
      <w:r w:rsidR="003D6FA7">
        <w:t>, which</w:t>
      </w:r>
      <w:r>
        <w:t xml:space="preserve"> serves as TSA’s coordination center for transportation security incidents and operations. </w:t>
      </w:r>
      <w:r w:rsidR="003D6FA7">
        <w:t xml:space="preserve"> </w:t>
      </w:r>
      <w:r>
        <w:t xml:space="preserve">TSOC </w:t>
      </w:r>
      <w:r w:rsidR="003D6FA7">
        <w:t>provided</w:t>
      </w:r>
      <w:r>
        <w:t xml:space="preserve"> the number of Pipeline Incidents reported to them by Pipeline Operators for calendar year</w:t>
      </w:r>
      <w:r w:rsidR="00654725">
        <w:t>s</w:t>
      </w:r>
      <w:r>
        <w:t xml:space="preserve"> 2017 and 2018 for the purpose of this collection.   Based on the number of reports </w:t>
      </w:r>
      <w:r w:rsidR="00654725">
        <w:t xml:space="preserve">received </w:t>
      </w:r>
      <w:r>
        <w:t xml:space="preserve">during that reporting period, </w:t>
      </w:r>
      <w:r w:rsidR="003D6FA7">
        <w:t xml:space="preserve">TSA provided the estimates of 32 incidents.  While the commenter is correct that TSA estimated 60 incidents in the 2016 ICR submission, the commenter fails to realize that those estimates were also based on actual incidents reported to TSOC. </w:t>
      </w:r>
      <w:r w:rsidR="00654725">
        <w:t xml:space="preserve"> </w:t>
      </w:r>
      <w:r w:rsidR="00786C71" w:rsidRPr="0084243F">
        <w:rPr>
          <w:i/>
        </w:rPr>
        <w:t>See</w:t>
      </w:r>
      <w:r w:rsidR="00786C71">
        <w:t xml:space="preserve"> the response to Question 2 of the 2016 </w:t>
      </w:r>
      <w:r w:rsidR="00654725">
        <w:t xml:space="preserve">Supporting Statement </w:t>
      </w:r>
      <w:r w:rsidR="00786C71">
        <w:t xml:space="preserve">and </w:t>
      </w:r>
      <w:r w:rsidR="00654725">
        <w:t xml:space="preserve">to </w:t>
      </w:r>
      <w:r w:rsidR="00786C71">
        <w:t>this Supporting Statement.</w:t>
      </w:r>
    </w:p>
    <w:p w14:paraId="4E11D50D" w14:textId="3BAD4EF2" w:rsidR="0058727C" w:rsidRDefault="0058727C" w:rsidP="0058727C">
      <w:pPr>
        <w:numPr>
          <w:ilvl w:val="12"/>
          <w:numId w:val="0"/>
        </w:numPr>
        <w:ind w:left="360"/>
      </w:pPr>
      <w:r>
        <w:t xml:space="preserve">  </w:t>
      </w:r>
    </w:p>
    <w:p w14:paraId="55B5BAC4" w14:textId="73595529" w:rsidR="00B6447B" w:rsidRPr="00676E8E" w:rsidRDefault="003D6FA7" w:rsidP="0058727C">
      <w:pPr>
        <w:numPr>
          <w:ilvl w:val="12"/>
          <w:numId w:val="0"/>
        </w:numPr>
        <w:ind w:left="360"/>
      </w:pPr>
      <w:r>
        <w:t>As to the commenter</w:t>
      </w:r>
      <w:r w:rsidR="00654725">
        <w:t>’</w:t>
      </w:r>
      <w:r>
        <w:t>s concern that the collection should be a revision request, t</w:t>
      </w:r>
      <w:r w:rsidR="0058727C">
        <w:t xml:space="preserve">here are no changes proposed for the collection, and the estimated burden hours will remain the same as </w:t>
      </w:r>
      <w:r w:rsidR="00654725">
        <w:t xml:space="preserve">set forth in </w:t>
      </w:r>
      <w:r w:rsidR="0058727C">
        <w:t xml:space="preserve">the </w:t>
      </w:r>
      <w:r>
        <w:t xml:space="preserve">2016 </w:t>
      </w:r>
      <w:r w:rsidR="0058727C">
        <w:t>ICR.  (30 minutes per report)</w:t>
      </w:r>
      <w:r w:rsidR="008931C4">
        <w:t>.</w:t>
      </w:r>
      <w:r w:rsidR="0058727C">
        <w:t xml:space="preserve">  Therefore, </w:t>
      </w:r>
      <w:r w:rsidR="008931C4">
        <w:t>an</w:t>
      </w:r>
      <w:r w:rsidR="0058727C">
        <w:t xml:space="preserve"> ICR extension is proper </w:t>
      </w:r>
      <w:r w:rsidR="00654725">
        <w:t xml:space="preserve">rather than using </w:t>
      </w:r>
      <w:r w:rsidR="0058727C">
        <w:t>the revision process.</w:t>
      </w:r>
    </w:p>
    <w:p w14:paraId="55B5BAC5" w14:textId="77777777" w:rsidR="008938C7" w:rsidRPr="00676E8E" w:rsidRDefault="008938C7" w:rsidP="00C52F19">
      <w:pPr>
        <w:numPr>
          <w:ilvl w:val="12"/>
          <w:numId w:val="0"/>
        </w:numPr>
        <w:ind w:left="360" w:firstLine="360"/>
      </w:pPr>
    </w:p>
    <w:p w14:paraId="55B5BAC6"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55B5BAC7" w14:textId="77777777"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14:paraId="55B5BAC8" w14:textId="77777777" w:rsidR="009F2633" w:rsidRDefault="009F2633" w:rsidP="00BB78AB">
      <w:pPr>
        <w:keepNext/>
        <w:numPr>
          <w:ilvl w:val="12"/>
          <w:numId w:val="0"/>
        </w:numPr>
        <w:ind w:left="360"/>
      </w:pPr>
    </w:p>
    <w:p w14:paraId="55B5BAC9" w14:textId="77777777" w:rsidR="009F2633" w:rsidRDefault="005209BC" w:rsidP="00322A84">
      <w:pPr>
        <w:numPr>
          <w:ilvl w:val="12"/>
          <w:numId w:val="0"/>
        </w:numPr>
        <w:ind w:firstLine="360"/>
      </w:pPr>
      <w:r>
        <w:t>No payment or gift will be provided to respondents.</w:t>
      </w:r>
    </w:p>
    <w:p w14:paraId="55B5BACA" w14:textId="77777777" w:rsidR="009F2633" w:rsidRDefault="009F2633" w:rsidP="00BB78AB">
      <w:pPr>
        <w:numPr>
          <w:ilvl w:val="12"/>
          <w:numId w:val="0"/>
        </w:numPr>
      </w:pPr>
    </w:p>
    <w:p w14:paraId="55B5BACB" w14:textId="77777777"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55B5BACC" w14:textId="77777777" w:rsidR="009F2633" w:rsidRDefault="009F2633" w:rsidP="00BB78AB">
      <w:pPr>
        <w:keepNext/>
        <w:numPr>
          <w:ilvl w:val="12"/>
          <w:numId w:val="0"/>
        </w:numPr>
        <w:ind w:left="360"/>
      </w:pPr>
    </w:p>
    <w:p w14:paraId="55B5BACD" w14:textId="26FDBD23" w:rsidR="00EA4BF6" w:rsidRDefault="00EA4BF6" w:rsidP="00021398">
      <w:pPr>
        <w:autoSpaceDE w:val="0"/>
        <w:autoSpaceDN w:val="0"/>
        <w:adjustRightInd w:val="0"/>
        <w:ind w:left="360"/>
        <w:rPr>
          <w:rFonts w:ascii="Arial" w:hAnsi="Arial"/>
          <w:color w:val="auto"/>
          <w:sz w:val="20"/>
        </w:rPr>
      </w:pPr>
      <w:r>
        <w:rPr>
          <w:rFonts w:cs="Times New Roman"/>
          <w:color w:val="auto"/>
          <w:szCs w:val="24"/>
        </w:rPr>
        <w:t xml:space="preserve">TSA assures respondents that </w:t>
      </w:r>
      <w:r w:rsidR="00970C97">
        <w:rPr>
          <w:rFonts w:cs="Times New Roman"/>
          <w:color w:val="auto"/>
          <w:szCs w:val="24"/>
        </w:rPr>
        <w:t xml:space="preserve">any </w:t>
      </w:r>
      <w:r w:rsidR="00AA79A4">
        <w:rPr>
          <w:rFonts w:cs="Times New Roman"/>
          <w:color w:val="auto"/>
          <w:szCs w:val="24"/>
        </w:rPr>
        <w:t xml:space="preserve">portion of the collection that is deemed Sensitive Security </w:t>
      </w:r>
      <w:r>
        <w:rPr>
          <w:rFonts w:cs="Times New Roman"/>
          <w:color w:val="auto"/>
          <w:szCs w:val="24"/>
        </w:rPr>
        <w:t>Information</w:t>
      </w:r>
      <w:r w:rsidR="0098237C">
        <w:rPr>
          <w:rFonts w:cs="Times New Roman"/>
          <w:color w:val="auto"/>
          <w:szCs w:val="24"/>
        </w:rPr>
        <w:t xml:space="preserve"> </w:t>
      </w:r>
      <w:r w:rsidR="00AA79A4">
        <w:rPr>
          <w:rFonts w:cs="Times New Roman"/>
          <w:color w:val="auto"/>
          <w:szCs w:val="24"/>
        </w:rPr>
        <w:t>(SSI)</w:t>
      </w:r>
      <w:r>
        <w:rPr>
          <w:rFonts w:cs="Times New Roman"/>
          <w:color w:val="auto"/>
          <w:szCs w:val="24"/>
        </w:rPr>
        <w:t xml:space="preserve"> will be handled </w:t>
      </w:r>
      <w:r w:rsidR="00453942">
        <w:rPr>
          <w:rFonts w:cs="Times New Roman"/>
          <w:color w:val="auto"/>
          <w:szCs w:val="24"/>
        </w:rPr>
        <w:t xml:space="preserve">appropriately as described in </w:t>
      </w:r>
      <w:r>
        <w:rPr>
          <w:rFonts w:cs="Times New Roman"/>
          <w:color w:val="auto"/>
          <w:szCs w:val="24"/>
        </w:rPr>
        <w:t xml:space="preserve">49 CFR </w:t>
      </w:r>
      <w:r w:rsidR="001D5E3C">
        <w:rPr>
          <w:rFonts w:cs="Times New Roman"/>
          <w:color w:val="auto"/>
          <w:szCs w:val="24"/>
        </w:rPr>
        <w:t>p</w:t>
      </w:r>
      <w:r>
        <w:rPr>
          <w:rFonts w:cs="Times New Roman"/>
          <w:color w:val="auto"/>
          <w:szCs w:val="24"/>
        </w:rPr>
        <w:t>arts 15 and 1520.</w:t>
      </w:r>
      <w:r w:rsidR="005F3EED">
        <w:rPr>
          <w:rFonts w:cs="Times New Roman"/>
          <w:color w:val="auto"/>
          <w:szCs w:val="24"/>
        </w:rPr>
        <w:t xml:space="preserve">  Per the Privacy Act of 1974, contact information for pipeline security managers is handled </w:t>
      </w:r>
      <w:r w:rsidR="00DF34D1">
        <w:rPr>
          <w:rFonts w:cs="Times New Roman"/>
          <w:color w:val="auto"/>
          <w:szCs w:val="24"/>
        </w:rPr>
        <w:t xml:space="preserve">and maintained </w:t>
      </w:r>
      <w:r w:rsidR="005F3EED">
        <w:rPr>
          <w:rFonts w:cs="Times New Roman"/>
          <w:color w:val="auto"/>
          <w:szCs w:val="24"/>
        </w:rPr>
        <w:t>in accordance with the System of Records Notice</w:t>
      </w:r>
      <w:r w:rsidR="00C57AA8">
        <w:rPr>
          <w:rFonts w:cs="Times New Roman"/>
          <w:color w:val="auto"/>
          <w:szCs w:val="24"/>
        </w:rPr>
        <w:t>s</w:t>
      </w:r>
      <w:r w:rsidR="005F3EED">
        <w:rPr>
          <w:rFonts w:cs="Times New Roman"/>
          <w:color w:val="auto"/>
          <w:szCs w:val="24"/>
        </w:rPr>
        <w:t xml:space="preserve"> </w:t>
      </w:r>
      <w:r w:rsidR="00C57AA8">
        <w:rPr>
          <w:rFonts w:cs="Times New Roman"/>
          <w:color w:val="auto"/>
          <w:szCs w:val="24"/>
        </w:rPr>
        <w:t xml:space="preserve">(SORNs) </w:t>
      </w:r>
      <w:r w:rsidR="005F3EED">
        <w:rPr>
          <w:rFonts w:cs="Times New Roman"/>
          <w:color w:val="auto"/>
          <w:szCs w:val="24"/>
        </w:rPr>
        <w:t xml:space="preserve">for </w:t>
      </w:r>
      <w:r w:rsidR="00774906">
        <w:rPr>
          <w:rFonts w:cs="Times New Roman"/>
          <w:color w:val="auto"/>
          <w:szCs w:val="24"/>
        </w:rPr>
        <w:t>DHS/</w:t>
      </w:r>
      <w:r w:rsidR="00CC375F">
        <w:rPr>
          <w:rFonts w:cs="Times New Roman"/>
          <w:color w:val="auto"/>
          <w:szCs w:val="24"/>
        </w:rPr>
        <w:t>TSA-001 Transportation Security Enforcement Record System</w:t>
      </w:r>
      <w:r w:rsidR="00B6402B">
        <w:rPr>
          <w:rFonts w:cs="Times New Roman"/>
          <w:color w:val="auto"/>
          <w:szCs w:val="24"/>
        </w:rPr>
        <w:t xml:space="preserve"> </w:t>
      </w:r>
      <w:r w:rsidR="00052449">
        <w:rPr>
          <w:rFonts w:cs="Times New Roman"/>
          <w:color w:val="auto"/>
          <w:szCs w:val="24"/>
        </w:rPr>
        <w:t>79</w:t>
      </w:r>
      <w:r w:rsidR="00B6402B">
        <w:t xml:space="preserve"> FR </w:t>
      </w:r>
      <w:r w:rsidR="00052449">
        <w:t>6609</w:t>
      </w:r>
      <w:r w:rsidR="00CC375F">
        <w:rPr>
          <w:rFonts w:cs="Times New Roman"/>
          <w:color w:val="auto"/>
          <w:szCs w:val="24"/>
        </w:rPr>
        <w:t xml:space="preserve"> </w:t>
      </w:r>
      <w:r w:rsidR="00B6402B">
        <w:t>(</w:t>
      </w:r>
      <w:r w:rsidR="00052449">
        <w:t>February</w:t>
      </w:r>
      <w:r w:rsidR="00B6402B">
        <w:t xml:space="preserve"> </w:t>
      </w:r>
      <w:r w:rsidR="00052449">
        <w:t>4</w:t>
      </w:r>
      <w:r w:rsidR="00B6402B">
        <w:t>, 20</w:t>
      </w:r>
      <w:r w:rsidR="00052449">
        <w:t>14</w:t>
      </w:r>
      <w:r w:rsidR="00B6402B">
        <w:t xml:space="preserve">) </w:t>
      </w:r>
      <w:r w:rsidR="00CC375F">
        <w:rPr>
          <w:rFonts w:cs="Times New Roman"/>
          <w:color w:val="auto"/>
          <w:szCs w:val="24"/>
        </w:rPr>
        <w:t>and</w:t>
      </w:r>
      <w:r w:rsidR="00C57AA8">
        <w:t>; and DHS/TSA 011 - Transportation Security Intelligence Service Files, 75 FR 18867 (April 13, 2</w:t>
      </w:r>
      <w:r w:rsidR="006430D7">
        <w:t>0</w:t>
      </w:r>
      <w:r w:rsidR="00C57AA8">
        <w:t>10)</w:t>
      </w:r>
      <w:r w:rsidR="005F3EED">
        <w:t>.</w:t>
      </w:r>
      <w:r w:rsidR="00AA79A4">
        <w:t xml:space="preserve">  </w:t>
      </w:r>
      <w:r w:rsidR="00C57AA8" w:rsidRPr="00C57AA8">
        <w:rPr>
          <w:color w:val="000000" w:themeColor="text1"/>
        </w:rPr>
        <w:t>The collection is covered by Privacy Impact Assessment (PIA), DHS/TSA/PIA-029 - Operations Center Incident Management System Update</w:t>
      </w:r>
      <w:r w:rsidR="00B6402B">
        <w:rPr>
          <w:color w:val="000000" w:themeColor="text1"/>
        </w:rPr>
        <w:t xml:space="preserve"> (</w:t>
      </w:r>
      <w:r w:rsidR="00B60846">
        <w:rPr>
          <w:color w:val="000000" w:themeColor="text1"/>
        </w:rPr>
        <w:t>July 7</w:t>
      </w:r>
      <w:r w:rsidR="00B6402B">
        <w:rPr>
          <w:color w:val="000000" w:themeColor="text1"/>
        </w:rPr>
        <w:t xml:space="preserve">, </w:t>
      </w:r>
      <w:r w:rsidR="00B60846">
        <w:rPr>
          <w:color w:val="000000" w:themeColor="text1"/>
        </w:rPr>
        <w:t>2008</w:t>
      </w:r>
      <w:r w:rsidR="00B6402B">
        <w:rPr>
          <w:color w:val="000000" w:themeColor="text1"/>
        </w:rPr>
        <w:t>), and DHS/ALL/PIA-006 DHS General Contacts (</w:t>
      </w:r>
      <w:r w:rsidR="00B60846">
        <w:rPr>
          <w:color w:val="000000" w:themeColor="text1"/>
        </w:rPr>
        <w:t>June 15</w:t>
      </w:r>
      <w:r w:rsidR="00B6402B">
        <w:rPr>
          <w:color w:val="000000" w:themeColor="text1"/>
        </w:rPr>
        <w:t>, 20</w:t>
      </w:r>
      <w:r w:rsidR="00B60846">
        <w:rPr>
          <w:color w:val="000000" w:themeColor="text1"/>
        </w:rPr>
        <w:t>07</w:t>
      </w:r>
      <w:r w:rsidR="00B6402B">
        <w:rPr>
          <w:color w:val="000000" w:themeColor="text1"/>
        </w:rPr>
        <w:t>)</w:t>
      </w:r>
      <w:r w:rsidR="00C57AA8" w:rsidRPr="00C57AA8">
        <w:rPr>
          <w:color w:val="000000" w:themeColor="text1"/>
        </w:rPr>
        <w:t>.</w:t>
      </w:r>
      <w:r w:rsidR="00C57AA8">
        <w:rPr>
          <w:color w:val="1F497D"/>
        </w:rPr>
        <w:t xml:space="preserve"> </w:t>
      </w:r>
      <w:r w:rsidR="00970C97">
        <w:rPr>
          <w:color w:val="1F497D"/>
        </w:rPr>
        <w:t xml:space="preserve"> </w:t>
      </w:r>
      <w:r w:rsidR="00AA79A4">
        <w:t>There is no assurance of confidentiality provided to the respondents.</w:t>
      </w:r>
    </w:p>
    <w:p w14:paraId="55B5BACE" w14:textId="77777777" w:rsidR="009F2633" w:rsidRDefault="009F2633" w:rsidP="00BB78AB">
      <w:pPr>
        <w:numPr>
          <w:ilvl w:val="12"/>
          <w:numId w:val="0"/>
        </w:numPr>
      </w:pPr>
    </w:p>
    <w:p w14:paraId="55B5BACF" w14:textId="77777777"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55B5BAD0" w14:textId="77777777" w:rsidR="009F2633" w:rsidRDefault="009F2633" w:rsidP="001F0623">
      <w:pPr>
        <w:keepNext/>
        <w:numPr>
          <w:ilvl w:val="12"/>
          <w:numId w:val="0"/>
        </w:numPr>
        <w:ind w:left="360"/>
      </w:pPr>
    </w:p>
    <w:p w14:paraId="55B5BAD1" w14:textId="77777777" w:rsidR="009F2633" w:rsidRDefault="005209BC" w:rsidP="00021398">
      <w:pPr>
        <w:numPr>
          <w:ilvl w:val="12"/>
          <w:numId w:val="0"/>
        </w:numPr>
        <w:ind w:firstLine="360"/>
      </w:pPr>
      <w:r>
        <w:t xml:space="preserve">No </w:t>
      </w:r>
      <w:r w:rsidR="000504BA">
        <w:t xml:space="preserve">personal </w:t>
      </w:r>
      <w:r>
        <w:t>questions of a sensitive nature are posed.</w:t>
      </w:r>
    </w:p>
    <w:p w14:paraId="55B5BAD2" w14:textId="77777777" w:rsidR="009F2633" w:rsidRDefault="009F2633" w:rsidP="00BB78AB">
      <w:pPr>
        <w:numPr>
          <w:ilvl w:val="12"/>
          <w:numId w:val="0"/>
        </w:numPr>
      </w:pPr>
    </w:p>
    <w:p w14:paraId="55B5BAD3" w14:textId="77777777" w:rsidR="009F2633" w:rsidRDefault="009F2633" w:rsidP="009F2633">
      <w:pPr>
        <w:keepNext/>
        <w:numPr>
          <w:ilvl w:val="0"/>
          <w:numId w:val="11"/>
        </w:numPr>
        <w:tabs>
          <w:tab w:val="left" w:pos="360"/>
        </w:tabs>
        <w:rPr>
          <w:b/>
          <w:i/>
        </w:rPr>
      </w:pPr>
      <w:r>
        <w:rPr>
          <w:b/>
          <w:i/>
        </w:rPr>
        <w:t>Provide estimates of hour burden of the collection of information.</w:t>
      </w:r>
    </w:p>
    <w:p w14:paraId="55B5BAD4" w14:textId="77777777" w:rsidR="009F2633" w:rsidRDefault="009F2633" w:rsidP="00BB78AB">
      <w:pPr>
        <w:keepNext/>
        <w:numPr>
          <w:ilvl w:val="12"/>
          <w:numId w:val="0"/>
        </w:numPr>
        <w:ind w:left="360"/>
      </w:pPr>
    </w:p>
    <w:p w14:paraId="55B5BAD5" w14:textId="7417178D" w:rsidR="009F0958" w:rsidRDefault="00D328B0" w:rsidP="009F0958">
      <w:pPr>
        <w:ind w:left="360"/>
      </w:pPr>
      <w:r>
        <w:t>Based on previous reporting under OMB approval, TSA anticipates reporting</w:t>
      </w:r>
      <w:r w:rsidR="00A94539">
        <w:t xml:space="preserve"> of pipeline security incidents will occur on an irregular basis.  TSA estimates that </w:t>
      </w:r>
      <w:r w:rsidR="00A94539" w:rsidRPr="004E0895">
        <w:rPr>
          <w:color w:val="auto"/>
        </w:rPr>
        <w:t xml:space="preserve">approximately </w:t>
      </w:r>
      <w:r w:rsidR="0051531D">
        <w:rPr>
          <w:color w:val="auto"/>
        </w:rPr>
        <w:t>32</w:t>
      </w:r>
      <w:r w:rsidR="00A94539" w:rsidRPr="004E0895">
        <w:rPr>
          <w:color w:val="auto"/>
        </w:rPr>
        <w:t xml:space="preserve"> </w:t>
      </w:r>
      <w:r w:rsidR="00A94539">
        <w:t xml:space="preserve">incidents will be reported annually, requiring a maximum of 30 minutes </w:t>
      </w:r>
      <w:r w:rsidR="009F0958">
        <w:t xml:space="preserve">(0.5 hours) </w:t>
      </w:r>
      <w:r w:rsidR="00A94539">
        <w:t>to collect, review, and submit event information</w:t>
      </w:r>
      <w:r w:rsidR="009F0958" w:rsidRPr="009F0958">
        <w:t xml:space="preserve"> by the respondent’s Corporate Security Manager or equivalent</w:t>
      </w:r>
      <w:r w:rsidR="0086332C">
        <w:t xml:space="preserve">.  The annual burden hours </w:t>
      </w:r>
      <w:r w:rsidR="00F52E40">
        <w:t>are</w:t>
      </w:r>
      <w:r w:rsidR="0086332C">
        <w:t xml:space="preserve"> e</w:t>
      </w:r>
      <w:r w:rsidR="0045602D">
        <w:t xml:space="preserve">stimated </w:t>
      </w:r>
      <w:r w:rsidR="0086332C">
        <w:t xml:space="preserve">at </w:t>
      </w:r>
      <w:r w:rsidR="0051531D">
        <w:t>16</w:t>
      </w:r>
      <w:r w:rsidR="0045602D">
        <w:t xml:space="preserve"> hours</w:t>
      </w:r>
      <w:r w:rsidR="0051706C">
        <w:t xml:space="preserve"> (48 over three years)</w:t>
      </w:r>
      <w:r w:rsidR="009F0958" w:rsidRPr="009F0958">
        <w:t xml:space="preserve">.  Based on the respondent’s Corporate Security Manager’s </w:t>
      </w:r>
      <w:r w:rsidR="0051531D">
        <w:t>fully-loaded</w:t>
      </w:r>
      <w:r w:rsidR="0051531D">
        <w:rPr>
          <w:rStyle w:val="FootnoteReference"/>
        </w:rPr>
        <w:footnoteReference w:id="2"/>
      </w:r>
      <w:r w:rsidR="0051531D">
        <w:t xml:space="preserve"> </w:t>
      </w:r>
      <w:r w:rsidR="009F0958" w:rsidRPr="009F0958">
        <w:t>average hourly loaded wage rate of $</w:t>
      </w:r>
      <w:r w:rsidR="0051531D">
        <w:t>102.15</w:t>
      </w:r>
      <w:r w:rsidR="009F0958" w:rsidRPr="009F0958">
        <w:t>,</w:t>
      </w:r>
      <w:r w:rsidR="0051531D">
        <w:rPr>
          <w:rStyle w:val="FootnoteReference"/>
        </w:rPr>
        <w:footnoteReference w:id="3"/>
      </w:r>
      <w:r w:rsidR="009F0958" w:rsidRPr="009F0958">
        <w:t xml:space="preserve"> TSA estimates a total cost of $</w:t>
      </w:r>
      <w:r w:rsidR="0051531D">
        <w:t>1,634</w:t>
      </w:r>
      <w:r w:rsidR="009F0958" w:rsidRPr="009F0958">
        <w:t xml:space="preserve"> annually</w:t>
      </w:r>
      <w:r w:rsidR="0051706C">
        <w:t xml:space="preserve"> ($4,903 over three years)</w:t>
      </w:r>
      <w:r w:rsidR="009F0958" w:rsidRPr="009F0958">
        <w:t>.</w:t>
      </w:r>
      <w:r w:rsidR="0051706C">
        <w:t xml:space="preserve"> Table 1 summarizes this these calculations.</w:t>
      </w:r>
    </w:p>
    <w:p w14:paraId="28655E29" w14:textId="47809F04" w:rsidR="0051706C" w:rsidRDefault="0051706C" w:rsidP="009F0958">
      <w:pPr>
        <w:ind w:left="360"/>
      </w:pPr>
    </w:p>
    <w:tbl>
      <w:tblPr>
        <w:tblW w:w="5000" w:type="pct"/>
        <w:tblLook w:val="04A0" w:firstRow="1" w:lastRow="0" w:firstColumn="1" w:lastColumn="0" w:noHBand="0" w:noVBand="1"/>
      </w:tblPr>
      <w:tblGrid>
        <w:gridCol w:w="2725"/>
        <w:gridCol w:w="2471"/>
        <w:gridCol w:w="2547"/>
        <w:gridCol w:w="1833"/>
      </w:tblGrid>
      <w:tr w:rsidR="0051706C" w:rsidRPr="0051706C" w14:paraId="2D16A250" w14:textId="77777777" w:rsidTr="0063063C">
        <w:trPr>
          <w:trHeight w:val="315"/>
        </w:trPr>
        <w:tc>
          <w:tcPr>
            <w:tcW w:w="2713" w:type="pct"/>
            <w:gridSpan w:val="2"/>
            <w:tcBorders>
              <w:top w:val="nil"/>
              <w:left w:val="nil"/>
              <w:bottom w:val="nil"/>
              <w:right w:val="nil"/>
            </w:tcBorders>
            <w:shd w:val="clear" w:color="auto" w:fill="auto"/>
            <w:noWrap/>
            <w:vAlign w:val="bottom"/>
            <w:hideMark/>
          </w:tcPr>
          <w:p w14:paraId="0D782757"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Table 1 Public Hour Burden and Cost</w:t>
            </w:r>
          </w:p>
        </w:tc>
        <w:tc>
          <w:tcPr>
            <w:tcW w:w="1330" w:type="pct"/>
            <w:tcBorders>
              <w:top w:val="nil"/>
              <w:left w:val="nil"/>
              <w:bottom w:val="nil"/>
              <w:right w:val="nil"/>
            </w:tcBorders>
            <w:shd w:val="clear" w:color="auto" w:fill="auto"/>
            <w:noWrap/>
            <w:vAlign w:val="bottom"/>
            <w:hideMark/>
          </w:tcPr>
          <w:p w14:paraId="5589E143" w14:textId="77777777" w:rsidR="0051706C" w:rsidRPr="0051706C" w:rsidRDefault="0051706C" w:rsidP="0051706C">
            <w:pPr>
              <w:rPr>
                <w:rFonts w:ascii="Calibri" w:hAnsi="Calibri" w:cs="Calibri"/>
                <w:b/>
                <w:bCs/>
                <w:sz w:val="22"/>
                <w:szCs w:val="22"/>
              </w:rPr>
            </w:pPr>
          </w:p>
        </w:tc>
        <w:tc>
          <w:tcPr>
            <w:tcW w:w="957" w:type="pct"/>
            <w:tcBorders>
              <w:top w:val="nil"/>
              <w:left w:val="nil"/>
              <w:bottom w:val="nil"/>
              <w:right w:val="nil"/>
            </w:tcBorders>
            <w:shd w:val="clear" w:color="auto" w:fill="auto"/>
            <w:noWrap/>
            <w:vAlign w:val="bottom"/>
            <w:hideMark/>
          </w:tcPr>
          <w:p w14:paraId="2593AB12" w14:textId="77777777" w:rsidR="0051706C" w:rsidRPr="0051706C" w:rsidRDefault="0051706C" w:rsidP="0051706C">
            <w:pPr>
              <w:rPr>
                <w:rFonts w:cs="Times New Roman"/>
                <w:color w:val="auto"/>
                <w:sz w:val="20"/>
              </w:rPr>
            </w:pPr>
          </w:p>
        </w:tc>
      </w:tr>
      <w:tr w:rsidR="0051706C" w:rsidRPr="0051706C" w14:paraId="25CC3A21" w14:textId="77777777" w:rsidTr="0063063C">
        <w:trPr>
          <w:trHeight w:val="600"/>
        </w:trPr>
        <w:tc>
          <w:tcPr>
            <w:tcW w:w="1423" w:type="pct"/>
            <w:tcBorders>
              <w:top w:val="single" w:sz="8" w:space="0" w:color="auto"/>
              <w:left w:val="single" w:sz="8" w:space="0" w:color="auto"/>
              <w:bottom w:val="single" w:sz="4" w:space="0" w:color="auto"/>
              <w:right w:val="single" w:sz="4" w:space="0" w:color="auto"/>
            </w:tcBorders>
            <w:shd w:val="clear" w:color="000000" w:fill="E7E6E6"/>
            <w:vAlign w:val="bottom"/>
            <w:hideMark/>
          </w:tcPr>
          <w:p w14:paraId="585DA98F"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Number of Reported Security Incidents</w:t>
            </w:r>
          </w:p>
        </w:tc>
        <w:tc>
          <w:tcPr>
            <w:tcW w:w="1290" w:type="pct"/>
            <w:tcBorders>
              <w:top w:val="single" w:sz="8" w:space="0" w:color="auto"/>
              <w:left w:val="nil"/>
              <w:bottom w:val="single" w:sz="4" w:space="0" w:color="auto"/>
              <w:right w:val="single" w:sz="4" w:space="0" w:color="auto"/>
            </w:tcBorders>
            <w:shd w:val="clear" w:color="000000" w:fill="E7E6E6"/>
            <w:vAlign w:val="bottom"/>
            <w:hideMark/>
          </w:tcPr>
          <w:p w14:paraId="1C3EAC44"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Hour Burden per Report</w:t>
            </w:r>
          </w:p>
        </w:tc>
        <w:tc>
          <w:tcPr>
            <w:tcW w:w="1330" w:type="pct"/>
            <w:tcBorders>
              <w:top w:val="single" w:sz="8" w:space="0" w:color="auto"/>
              <w:left w:val="nil"/>
              <w:bottom w:val="single" w:sz="4" w:space="0" w:color="auto"/>
              <w:right w:val="single" w:sz="4" w:space="0" w:color="auto"/>
            </w:tcBorders>
            <w:shd w:val="clear" w:color="000000" w:fill="E7E6E6"/>
            <w:noWrap/>
            <w:vAlign w:val="bottom"/>
            <w:hideMark/>
          </w:tcPr>
          <w:p w14:paraId="2B6373F6"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Annual Hour Burden</w:t>
            </w:r>
          </w:p>
        </w:tc>
        <w:tc>
          <w:tcPr>
            <w:tcW w:w="957" w:type="pct"/>
            <w:tcBorders>
              <w:top w:val="single" w:sz="8" w:space="0" w:color="auto"/>
              <w:left w:val="nil"/>
              <w:bottom w:val="single" w:sz="4" w:space="0" w:color="auto"/>
              <w:right w:val="single" w:sz="8" w:space="0" w:color="auto"/>
            </w:tcBorders>
            <w:shd w:val="clear" w:color="000000" w:fill="E7E6E6"/>
            <w:vAlign w:val="bottom"/>
            <w:hideMark/>
          </w:tcPr>
          <w:p w14:paraId="2164743E"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Annual Hour Burden Cost</w:t>
            </w:r>
          </w:p>
        </w:tc>
      </w:tr>
      <w:tr w:rsidR="0051706C" w:rsidRPr="0051706C" w14:paraId="70EF96E0" w14:textId="77777777" w:rsidTr="0063063C">
        <w:trPr>
          <w:trHeight w:val="315"/>
        </w:trPr>
        <w:tc>
          <w:tcPr>
            <w:tcW w:w="1423" w:type="pct"/>
            <w:tcBorders>
              <w:top w:val="nil"/>
              <w:left w:val="single" w:sz="8" w:space="0" w:color="auto"/>
              <w:bottom w:val="single" w:sz="8" w:space="0" w:color="auto"/>
              <w:right w:val="single" w:sz="4" w:space="0" w:color="auto"/>
            </w:tcBorders>
            <w:shd w:val="clear" w:color="000000" w:fill="E7E6E6"/>
            <w:noWrap/>
            <w:vAlign w:val="bottom"/>
            <w:hideMark/>
          </w:tcPr>
          <w:p w14:paraId="26DEC208"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A</w:t>
            </w:r>
          </w:p>
        </w:tc>
        <w:tc>
          <w:tcPr>
            <w:tcW w:w="1290" w:type="pct"/>
            <w:tcBorders>
              <w:top w:val="nil"/>
              <w:left w:val="nil"/>
              <w:bottom w:val="single" w:sz="8" w:space="0" w:color="auto"/>
              <w:right w:val="single" w:sz="4" w:space="0" w:color="auto"/>
            </w:tcBorders>
            <w:shd w:val="clear" w:color="000000" w:fill="E7E6E6"/>
            <w:noWrap/>
            <w:vAlign w:val="bottom"/>
            <w:hideMark/>
          </w:tcPr>
          <w:p w14:paraId="4AC66FAB"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B</w:t>
            </w:r>
          </w:p>
        </w:tc>
        <w:tc>
          <w:tcPr>
            <w:tcW w:w="1330" w:type="pct"/>
            <w:tcBorders>
              <w:top w:val="nil"/>
              <w:left w:val="nil"/>
              <w:bottom w:val="single" w:sz="8" w:space="0" w:color="auto"/>
              <w:right w:val="single" w:sz="4" w:space="0" w:color="auto"/>
            </w:tcBorders>
            <w:shd w:val="clear" w:color="000000" w:fill="E7E6E6"/>
            <w:noWrap/>
            <w:vAlign w:val="bottom"/>
            <w:hideMark/>
          </w:tcPr>
          <w:p w14:paraId="39B6C6E4"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C = A x B</w:t>
            </w:r>
          </w:p>
        </w:tc>
        <w:tc>
          <w:tcPr>
            <w:tcW w:w="957" w:type="pct"/>
            <w:tcBorders>
              <w:top w:val="nil"/>
              <w:left w:val="nil"/>
              <w:bottom w:val="single" w:sz="8" w:space="0" w:color="auto"/>
              <w:right w:val="single" w:sz="8" w:space="0" w:color="auto"/>
            </w:tcBorders>
            <w:shd w:val="clear" w:color="000000" w:fill="E7E6E6"/>
            <w:noWrap/>
            <w:vAlign w:val="bottom"/>
            <w:hideMark/>
          </w:tcPr>
          <w:p w14:paraId="33F8F584"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D = C x $102.15</w:t>
            </w:r>
          </w:p>
        </w:tc>
      </w:tr>
      <w:tr w:rsidR="0051706C" w:rsidRPr="0051706C" w14:paraId="23858105" w14:textId="77777777" w:rsidTr="0063063C">
        <w:trPr>
          <w:trHeight w:val="300"/>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327C0BFB"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32</w:t>
            </w:r>
          </w:p>
        </w:tc>
        <w:tc>
          <w:tcPr>
            <w:tcW w:w="1290" w:type="pct"/>
            <w:tcBorders>
              <w:top w:val="nil"/>
              <w:left w:val="nil"/>
              <w:bottom w:val="single" w:sz="4" w:space="0" w:color="auto"/>
              <w:right w:val="single" w:sz="4" w:space="0" w:color="auto"/>
            </w:tcBorders>
            <w:shd w:val="clear" w:color="auto" w:fill="auto"/>
            <w:noWrap/>
            <w:vAlign w:val="bottom"/>
            <w:hideMark/>
          </w:tcPr>
          <w:p w14:paraId="5BE478B8"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0.5</w:t>
            </w:r>
          </w:p>
        </w:tc>
        <w:tc>
          <w:tcPr>
            <w:tcW w:w="1330" w:type="pct"/>
            <w:tcBorders>
              <w:top w:val="nil"/>
              <w:left w:val="nil"/>
              <w:bottom w:val="single" w:sz="4" w:space="0" w:color="auto"/>
              <w:right w:val="single" w:sz="4" w:space="0" w:color="auto"/>
            </w:tcBorders>
            <w:shd w:val="clear" w:color="auto" w:fill="auto"/>
            <w:noWrap/>
            <w:vAlign w:val="bottom"/>
            <w:hideMark/>
          </w:tcPr>
          <w:p w14:paraId="66F81132"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16</w:t>
            </w:r>
          </w:p>
        </w:tc>
        <w:tc>
          <w:tcPr>
            <w:tcW w:w="957" w:type="pct"/>
            <w:tcBorders>
              <w:top w:val="nil"/>
              <w:left w:val="nil"/>
              <w:bottom w:val="single" w:sz="4" w:space="0" w:color="auto"/>
              <w:right w:val="single" w:sz="4" w:space="0" w:color="auto"/>
            </w:tcBorders>
            <w:shd w:val="clear" w:color="auto" w:fill="auto"/>
            <w:noWrap/>
            <w:vAlign w:val="bottom"/>
            <w:hideMark/>
          </w:tcPr>
          <w:p w14:paraId="55B889A6"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$1,634.34</w:t>
            </w:r>
          </w:p>
        </w:tc>
      </w:tr>
    </w:tbl>
    <w:p w14:paraId="2C61304D" w14:textId="77777777" w:rsidR="0051706C" w:rsidRPr="009F0958" w:rsidRDefault="0051706C" w:rsidP="009F0958">
      <w:pPr>
        <w:ind w:left="360"/>
      </w:pPr>
    </w:p>
    <w:p w14:paraId="55B5BAD6" w14:textId="77777777" w:rsidR="00A94539" w:rsidRDefault="00A94539" w:rsidP="00A94539"/>
    <w:p w14:paraId="55B5BAD7" w14:textId="77777777" w:rsidR="009F2633" w:rsidRDefault="009F2633" w:rsidP="009F2633">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p>
    <w:p w14:paraId="55B5BAD8" w14:textId="77777777" w:rsidR="009F2633" w:rsidRDefault="009F2633" w:rsidP="00BB78AB">
      <w:pPr>
        <w:keepNext/>
        <w:numPr>
          <w:ilvl w:val="12"/>
          <w:numId w:val="0"/>
        </w:numPr>
        <w:ind w:left="360"/>
      </w:pPr>
    </w:p>
    <w:p w14:paraId="55B5BAD9" w14:textId="77777777" w:rsidR="002E738C" w:rsidRDefault="002E738C" w:rsidP="002E738C">
      <w:pPr>
        <w:numPr>
          <w:ilvl w:val="12"/>
          <w:numId w:val="0"/>
        </w:numPr>
        <w:ind w:left="360"/>
      </w:pPr>
      <w:r>
        <w:t>TSA does not estimate a cost to the industry beyond the burden detailed in answer 12.</w:t>
      </w:r>
    </w:p>
    <w:p w14:paraId="55B5BADA" w14:textId="77777777" w:rsidR="00A94539" w:rsidRPr="00A94539" w:rsidRDefault="00A94539" w:rsidP="00A94539">
      <w:pPr>
        <w:pStyle w:val="Index1"/>
      </w:pPr>
    </w:p>
    <w:p w14:paraId="55B5BADB" w14:textId="77777777" w:rsidR="009F2633" w:rsidRDefault="009F2633" w:rsidP="009F2633">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55B5BADC" w14:textId="77777777" w:rsidR="009F2633" w:rsidRDefault="009F2633" w:rsidP="00BB78AB">
      <w:pPr>
        <w:keepNext/>
        <w:numPr>
          <w:ilvl w:val="12"/>
          <w:numId w:val="0"/>
        </w:numPr>
        <w:ind w:left="360"/>
      </w:pPr>
    </w:p>
    <w:p w14:paraId="55B5BADD" w14:textId="49E8365D" w:rsidR="009F2633" w:rsidRDefault="00D328B0" w:rsidP="00A94539">
      <w:pPr>
        <w:pStyle w:val="IndexHeading"/>
        <w:keepNext w:val="0"/>
        <w:numPr>
          <w:ilvl w:val="12"/>
          <w:numId w:val="0"/>
        </w:numPr>
        <w:spacing w:line="240" w:lineRule="auto"/>
        <w:ind w:left="360"/>
        <w:rPr>
          <w:rFonts w:ascii="Times New Roman" w:hAnsi="Times New Roman"/>
          <w:spacing w:val="0"/>
        </w:rPr>
      </w:pPr>
      <w:r w:rsidRPr="00D328B0">
        <w:rPr>
          <w:rFonts w:ascii="Times New Roman" w:hAnsi="Times New Roman"/>
          <w:spacing w:val="0"/>
        </w:rPr>
        <w:t xml:space="preserve">Based on previous reporting under OMB approval, </w:t>
      </w:r>
      <w:r w:rsidR="00AF65A0" w:rsidRPr="004E0895">
        <w:rPr>
          <w:rFonts w:ascii="Times New Roman" w:hAnsi="Times New Roman"/>
          <w:spacing w:val="0"/>
        </w:rPr>
        <w:t xml:space="preserve">TSA estimates that approximately </w:t>
      </w:r>
      <w:r w:rsidR="0051706C">
        <w:rPr>
          <w:rFonts w:ascii="Times New Roman" w:hAnsi="Times New Roman"/>
          <w:spacing w:val="0"/>
        </w:rPr>
        <w:t>32</w:t>
      </w:r>
      <w:r w:rsidR="00AF65A0" w:rsidRPr="004E0895">
        <w:rPr>
          <w:rFonts w:ascii="Times New Roman" w:hAnsi="Times New Roman"/>
          <w:spacing w:val="0"/>
        </w:rPr>
        <w:t xml:space="preserve"> incidents will be reported annually to TSOC, requiring a maximum of 30 minutes (0.5 hours) to process the information provided by the respondents</w:t>
      </w:r>
      <w:r w:rsidR="0051706C">
        <w:rPr>
          <w:rFonts w:ascii="Times New Roman" w:hAnsi="Times New Roman"/>
          <w:spacing w:val="0"/>
        </w:rPr>
        <w:t>, for a total TSA hour burden of 16 hours (48 over three years)</w:t>
      </w:r>
      <w:r w:rsidR="00AF65A0" w:rsidRPr="004E0895">
        <w:rPr>
          <w:rFonts w:ascii="Times New Roman" w:hAnsi="Times New Roman"/>
          <w:spacing w:val="0"/>
        </w:rPr>
        <w:t xml:space="preserve">.  </w:t>
      </w:r>
      <w:r w:rsidR="0051706C">
        <w:rPr>
          <w:rFonts w:ascii="Times New Roman" w:hAnsi="Times New Roman"/>
          <w:spacing w:val="0"/>
        </w:rPr>
        <w:t>The report is taken and processed by an H-Band TSA employee. The fully-loaded wage rate for an H-Band employee is $40.44.</w:t>
      </w:r>
      <w:r w:rsidR="0051706C">
        <w:rPr>
          <w:rStyle w:val="FootnoteReference"/>
          <w:rFonts w:ascii="Times New Roman" w:hAnsi="Times New Roman"/>
          <w:spacing w:val="0"/>
        </w:rPr>
        <w:footnoteReference w:id="4"/>
      </w:r>
      <w:r w:rsidR="0051706C">
        <w:rPr>
          <w:rFonts w:ascii="Times New Roman" w:hAnsi="Times New Roman"/>
          <w:spacing w:val="0"/>
        </w:rPr>
        <w:t xml:space="preserve"> TSA estimates the total TSA burden to be $647 per year ($1,941 over three years). Table 2 summarizes these calculations.</w:t>
      </w:r>
    </w:p>
    <w:p w14:paraId="2E9469C7" w14:textId="73A97C50" w:rsidR="0051706C" w:rsidRDefault="0051706C" w:rsidP="0063063C">
      <w:pPr>
        <w:pStyle w:val="Index1"/>
      </w:pPr>
    </w:p>
    <w:tbl>
      <w:tblPr>
        <w:tblW w:w="5000" w:type="pct"/>
        <w:tblLook w:val="04A0" w:firstRow="1" w:lastRow="0" w:firstColumn="1" w:lastColumn="0" w:noHBand="0" w:noVBand="1"/>
      </w:tblPr>
      <w:tblGrid>
        <w:gridCol w:w="2725"/>
        <w:gridCol w:w="2471"/>
        <w:gridCol w:w="2547"/>
        <w:gridCol w:w="1833"/>
      </w:tblGrid>
      <w:tr w:rsidR="0051706C" w:rsidRPr="0051706C" w14:paraId="1FCAD2E0" w14:textId="77777777" w:rsidTr="0063063C">
        <w:trPr>
          <w:trHeight w:val="315"/>
        </w:trPr>
        <w:tc>
          <w:tcPr>
            <w:tcW w:w="4043" w:type="pct"/>
            <w:gridSpan w:val="3"/>
            <w:tcBorders>
              <w:top w:val="nil"/>
              <w:left w:val="nil"/>
              <w:bottom w:val="nil"/>
              <w:right w:val="nil"/>
            </w:tcBorders>
            <w:shd w:val="clear" w:color="auto" w:fill="auto"/>
            <w:noWrap/>
            <w:vAlign w:val="bottom"/>
            <w:hideMark/>
          </w:tcPr>
          <w:p w14:paraId="0DD29C9F"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Table 2. Federal Government Hour Burden and Cost</w:t>
            </w:r>
          </w:p>
        </w:tc>
        <w:tc>
          <w:tcPr>
            <w:tcW w:w="957" w:type="pct"/>
            <w:tcBorders>
              <w:top w:val="nil"/>
              <w:left w:val="nil"/>
              <w:bottom w:val="nil"/>
              <w:right w:val="nil"/>
            </w:tcBorders>
            <w:shd w:val="clear" w:color="auto" w:fill="auto"/>
            <w:noWrap/>
            <w:vAlign w:val="bottom"/>
            <w:hideMark/>
          </w:tcPr>
          <w:p w14:paraId="63CF3901" w14:textId="77777777" w:rsidR="0051706C" w:rsidRPr="0051706C" w:rsidRDefault="0051706C" w:rsidP="0051706C">
            <w:pPr>
              <w:rPr>
                <w:rFonts w:ascii="Calibri" w:hAnsi="Calibri" w:cs="Calibri"/>
                <w:b/>
                <w:bCs/>
                <w:sz w:val="22"/>
                <w:szCs w:val="22"/>
              </w:rPr>
            </w:pPr>
          </w:p>
        </w:tc>
      </w:tr>
      <w:tr w:rsidR="0051706C" w:rsidRPr="0051706C" w14:paraId="049F651A" w14:textId="77777777" w:rsidTr="0063063C">
        <w:trPr>
          <w:trHeight w:val="600"/>
        </w:trPr>
        <w:tc>
          <w:tcPr>
            <w:tcW w:w="1423" w:type="pct"/>
            <w:tcBorders>
              <w:top w:val="single" w:sz="8" w:space="0" w:color="auto"/>
              <w:left w:val="single" w:sz="8" w:space="0" w:color="auto"/>
              <w:bottom w:val="single" w:sz="4" w:space="0" w:color="auto"/>
              <w:right w:val="single" w:sz="4" w:space="0" w:color="auto"/>
            </w:tcBorders>
            <w:shd w:val="clear" w:color="000000" w:fill="E7E6E6"/>
            <w:vAlign w:val="bottom"/>
            <w:hideMark/>
          </w:tcPr>
          <w:p w14:paraId="4308AA59"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Number of Reported Security Incidents</w:t>
            </w:r>
          </w:p>
        </w:tc>
        <w:tc>
          <w:tcPr>
            <w:tcW w:w="1290" w:type="pct"/>
            <w:tcBorders>
              <w:top w:val="single" w:sz="8" w:space="0" w:color="auto"/>
              <w:left w:val="nil"/>
              <w:bottom w:val="single" w:sz="4" w:space="0" w:color="auto"/>
              <w:right w:val="single" w:sz="4" w:space="0" w:color="auto"/>
            </w:tcBorders>
            <w:shd w:val="clear" w:color="000000" w:fill="E7E6E6"/>
            <w:vAlign w:val="bottom"/>
            <w:hideMark/>
          </w:tcPr>
          <w:p w14:paraId="3E7C0368"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Hour Burden per Report</w:t>
            </w:r>
          </w:p>
        </w:tc>
        <w:tc>
          <w:tcPr>
            <w:tcW w:w="1330" w:type="pct"/>
            <w:tcBorders>
              <w:top w:val="single" w:sz="8" w:space="0" w:color="auto"/>
              <w:left w:val="nil"/>
              <w:bottom w:val="single" w:sz="4" w:space="0" w:color="auto"/>
              <w:right w:val="single" w:sz="4" w:space="0" w:color="auto"/>
            </w:tcBorders>
            <w:shd w:val="clear" w:color="000000" w:fill="E7E6E6"/>
            <w:noWrap/>
            <w:vAlign w:val="bottom"/>
            <w:hideMark/>
          </w:tcPr>
          <w:p w14:paraId="369B75EA"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Annual Hour Burden</w:t>
            </w:r>
          </w:p>
        </w:tc>
        <w:tc>
          <w:tcPr>
            <w:tcW w:w="957" w:type="pct"/>
            <w:tcBorders>
              <w:top w:val="single" w:sz="8" w:space="0" w:color="auto"/>
              <w:left w:val="nil"/>
              <w:bottom w:val="single" w:sz="4" w:space="0" w:color="auto"/>
              <w:right w:val="single" w:sz="8" w:space="0" w:color="auto"/>
            </w:tcBorders>
            <w:shd w:val="clear" w:color="000000" w:fill="E7E6E6"/>
            <w:vAlign w:val="bottom"/>
            <w:hideMark/>
          </w:tcPr>
          <w:p w14:paraId="05075047" w14:textId="77777777" w:rsidR="0051706C" w:rsidRPr="0051706C" w:rsidRDefault="0051706C" w:rsidP="0051706C">
            <w:pPr>
              <w:rPr>
                <w:rFonts w:ascii="Calibri" w:hAnsi="Calibri" w:cs="Calibri"/>
                <w:b/>
                <w:bCs/>
                <w:sz w:val="22"/>
                <w:szCs w:val="22"/>
              </w:rPr>
            </w:pPr>
            <w:r w:rsidRPr="0051706C">
              <w:rPr>
                <w:rFonts w:ascii="Calibri" w:hAnsi="Calibri" w:cs="Calibri"/>
                <w:b/>
                <w:bCs/>
                <w:sz w:val="22"/>
                <w:szCs w:val="22"/>
              </w:rPr>
              <w:t>Annual Hour Burden Cost</w:t>
            </w:r>
          </w:p>
        </w:tc>
      </w:tr>
      <w:tr w:rsidR="0051706C" w:rsidRPr="0051706C" w14:paraId="3715A7BF" w14:textId="77777777" w:rsidTr="0063063C">
        <w:trPr>
          <w:trHeight w:val="315"/>
        </w:trPr>
        <w:tc>
          <w:tcPr>
            <w:tcW w:w="1423" w:type="pct"/>
            <w:tcBorders>
              <w:top w:val="nil"/>
              <w:left w:val="single" w:sz="8" w:space="0" w:color="auto"/>
              <w:bottom w:val="single" w:sz="8" w:space="0" w:color="auto"/>
              <w:right w:val="single" w:sz="4" w:space="0" w:color="auto"/>
            </w:tcBorders>
            <w:shd w:val="clear" w:color="000000" w:fill="E7E6E6"/>
            <w:noWrap/>
            <w:vAlign w:val="bottom"/>
            <w:hideMark/>
          </w:tcPr>
          <w:p w14:paraId="71F6377C"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A</w:t>
            </w:r>
          </w:p>
        </w:tc>
        <w:tc>
          <w:tcPr>
            <w:tcW w:w="1290" w:type="pct"/>
            <w:tcBorders>
              <w:top w:val="nil"/>
              <w:left w:val="nil"/>
              <w:bottom w:val="single" w:sz="8" w:space="0" w:color="auto"/>
              <w:right w:val="single" w:sz="4" w:space="0" w:color="auto"/>
            </w:tcBorders>
            <w:shd w:val="clear" w:color="000000" w:fill="E7E6E6"/>
            <w:noWrap/>
            <w:vAlign w:val="bottom"/>
            <w:hideMark/>
          </w:tcPr>
          <w:p w14:paraId="0DBB9439"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B</w:t>
            </w:r>
          </w:p>
        </w:tc>
        <w:tc>
          <w:tcPr>
            <w:tcW w:w="1330" w:type="pct"/>
            <w:tcBorders>
              <w:top w:val="nil"/>
              <w:left w:val="nil"/>
              <w:bottom w:val="single" w:sz="8" w:space="0" w:color="auto"/>
              <w:right w:val="single" w:sz="4" w:space="0" w:color="auto"/>
            </w:tcBorders>
            <w:shd w:val="clear" w:color="000000" w:fill="E7E6E6"/>
            <w:noWrap/>
            <w:vAlign w:val="bottom"/>
            <w:hideMark/>
          </w:tcPr>
          <w:p w14:paraId="70321211"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C = A x B</w:t>
            </w:r>
          </w:p>
        </w:tc>
        <w:tc>
          <w:tcPr>
            <w:tcW w:w="957" w:type="pct"/>
            <w:tcBorders>
              <w:top w:val="nil"/>
              <w:left w:val="nil"/>
              <w:bottom w:val="single" w:sz="8" w:space="0" w:color="auto"/>
              <w:right w:val="single" w:sz="8" w:space="0" w:color="auto"/>
            </w:tcBorders>
            <w:shd w:val="clear" w:color="000000" w:fill="E7E6E6"/>
            <w:noWrap/>
            <w:vAlign w:val="bottom"/>
            <w:hideMark/>
          </w:tcPr>
          <w:p w14:paraId="4BEBFB54" w14:textId="77777777" w:rsidR="0051706C" w:rsidRPr="0051706C" w:rsidRDefault="0051706C" w:rsidP="0051706C">
            <w:pPr>
              <w:jc w:val="center"/>
              <w:rPr>
                <w:rFonts w:ascii="Calibri" w:hAnsi="Calibri" w:cs="Calibri"/>
                <w:b/>
                <w:bCs/>
                <w:sz w:val="22"/>
                <w:szCs w:val="22"/>
              </w:rPr>
            </w:pPr>
            <w:r w:rsidRPr="0051706C">
              <w:rPr>
                <w:rFonts w:ascii="Calibri" w:hAnsi="Calibri" w:cs="Calibri"/>
                <w:b/>
                <w:bCs/>
                <w:sz w:val="22"/>
                <w:szCs w:val="22"/>
              </w:rPr>
              <w:t>D = C x $40.44</w:t>
            </w:r>
          </w:p>
        </w:tc>
      </w:tr>
      <w:tr w:rsidR="0051706C" w:rsidRPr="0051706C" w14:paraId="54FE95C5" w14:textId="77777777" w:rsidTr="0063063C">
        <w:trPr>
          <w:trHeight w:val="300"/>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54D1293F"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32</w:t>
            </w:r>
          </w:p>
        </w:tc>
        <w:tc>
          <w:tcPr>
            <w:tcW w:w="1290" w:type="pct"/>
            <w:tcBorders>
              <w:top w:val="nil"/>
              <w:left w:val="nil"/>
              <w:bottom w:val="single" w:sz="4" w:space="0" w:color="auto"/>
              <w:right w:val="single" w:sz="4" w:space="0" w:color="auto"/>
            </w:tcBorders>
            <w:shd w:val="clear" w:color="auto" w:fill="auto"/>
            <w:noWrap/>
            <w:vAlign w:val="bottom"/>
            <w:hideMark/>
          </w:tcPr>
          <w:p w14:paraId="77282E13"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0.5</w:t>
            </w:r>
          </w:p>
        </w:tc>
        <w:tc>
          <w:tcPr>
            <w:tcW w:w="1330" w:type="pct"/>
            <w:tcBorders>
              <w:top w:val="nil"/>
              <w:left w:val="nil"/>
              <w:bottom w:val="single" w:sz="4" w:space="0" w:color="auto"/>
              <w:right w:val="single" w:sz="4" w:space="0" w:color="auto"/>
            </w:tcBorders>
            <w:shd w:val="clear" w:color="auto" w:fill="auto"/>
            <w:noWrap/>
            <w:vAlign w:val="bottom"/>
            <w:hideMark/>
          </w:tcPr>
          <w:p w14:paraId="5B7C8716"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16</w:t>
            </w:r>
          </w:p>
        </w:tc>
        <w:tc>
          <w:tcPr>
            <w:tcW w:w="957" w:type="pct"/>
            <w:tcBorders>
              <w:top w:val="nil"/>
              <w:left w:val="nil"/>
              <w:bottom w:val="single" w:sz="4" w:space="0" w:color="auto"/>
              <w:right w:val="single" w:sz="4" w:space="0" w:color="auto"/>
            </w:tcBorders>
            <w:shd w:val="clear" w:color="auto" w:fill="auto"/>
            <w:noWrap/>
            <w:vAlign w:val="bottom"/>
            <w:hideMark/>
          </w:tcPr>
          <w:p w14:paraId="53573E51" w14:textId="77777777" w:rsidR="0051706C" w:rsidRPr="0051706C" w:rsidRDefault="0051706C" w:rsidP="0051706C">
            <w:pPr>
              <w:jc w:val="right"/>
              <w:rPr>
                <w:rFonts w:ascii="Calibri" w:hAnsi="Calibri" w:cs="Calibri"/>
                <w:sz w:val="22"/>
                <w:szCs w:val="22"/>
              </w:rPr>
            </w:pPr>
            <w:r w:rsidRPr="0051706C">
              <w:rPr>
                <w:rFonts w:ascii="Calibri" w:hAnsi="Calibri" w:cs="Calibri"/>
                <w:sz w:val="22"/>
                <w:szCs w:val="22"/>
              </w:rPr>
              <w:t>$647.05</w:t>
            </w:r>
          </w:p>
        </w:tc>
      </w:tr>
    </w:tbl>
    <w:p w14:paraId="4812FA5B" w14:textId="77777777" w:rsidR="0051706C" w:rsidRPr="0063063C" w:rsidRDefault="0051706C" w:rsidP="0063063C">
      <w:pPr>
        <w:pStyle w:val="Index1"/>
      </w:pPr>
    </w:p>
    <w:p w14:paraId="55B5BADE" w14:textId="77777777" w:rsidR="004B1951" w:rsidRPr="004B1951" w:rsidRDefault="004B1951" w:rsidP="004B1951">
      <w:pPr>
        <w:pStyle w:val="Index1"/>
      </w:pPr>
    </w:p>
    <w:p w14:paraId="55B5BADF" w14:textId="77777777" w:rsidR="009F2633" w:rsidRDefault="009F2633" w:rsidP="009F2633">
      <w:pPr>
        <w:keepNext/>
        <w:numPr>
          <w:ilvl w:val="0"/>
          <w:numId w:val="11"/>
        </w:numPr>
        <w:tabs>
          <w:tab w:val="left" w:pos="360"/>
        </w:tabs>
        <w:rPr>
          <w:b/>
          <w:i/>
        </w:rPr>
      </w:pPr>
      <w:r>
        <w:rPr>
          <w:b/>
          <w:i/>
        </w:rPr>
        <w:t>Explain the reasons for any program changes or adjustments reported in Items 13 or 14 of the OMB Form 83-I.</w:t>
      </w:r>
    </w:p>
    <w:p w14:paraId="55B5BAE0" w14:textId="77777777" w:rsidR="009F2633" w:rsidRDefault="009F2633" w:rsidP="00BB78AB">
      <w:pPr>
        <w:keepNext/>
        <w:numPr>
          <w:ilvl w:val="12"/>
          <w:numId w:val="0"/>
        </w:numPr>
        <w:ind w:left="360"/>
      </w:pPr>
    </w:p>
    <w:p w14:paraId="55B5BAE3" w14:textId="77777777" w:rsidR="00660D73" w:rsidRDefault="00660D73" w:rsidP="00C72CDF">
      <w:pPr>
        <w:numPr>
          <w:ilvl w:val="12"/>
          <w:numId w:val="0"/>
        </w:numPr>
        <w:ind w:left="360"/>
      </w:pPr>
      <w:r>
        <w:t xml:space="preserve">There are no changes to the </w:t>
      </w:r>
      <w:r w:rsidR="00260B87">
        <w:t xml:space="preserve">actual security incident </w:t>
      </w:r>
      <w:r>
        <w:t xml:space="preserve">information being </w:t>
      </w:r>
      <w:r w:rsidR="00260B87">
        <w:t>submitted to the TSOC</w:t>
      </w:r>
      <w:r>
        <w:t>.</w:t>
      </w:r>
    </w:p>
    <w:p w14:paraId="55B5BAE4"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55B5BAE5" w14:textId="77777777"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5BAE7" w14:textId="77777777" w:rsidR="0081296D" w:rsidRDefault="0081296D" w:rsidP="0081296D">
      <w:pPr>
        <w:numPr>
          <w:ilvl w:val="12"/>
          <w:numId w:val="0"/>
        </w:numPr>
        <w:ind w:left="360" w:firstLine="360"/>
      </w:pPr>
    </w:p>
    <w:p w14:paraId="55B5BAE8" w14:textId="6A5264BA" w:rsidR="0081296D" w:rsidRDefault="0081296D" w:rsidP="005164F5">
      <w:pPr>
        <w:numPr>
          <w:ilvl w:val="12"/>
          <w:numId w:val="0"/>
        </w:numPr>
        <w:ind w:left="360"/>
      </w:pPr>
      <w:r>
        <w:t>Suspicious</w:t>
      </w:r>
      <w:r w:rsidR="003C4840">
        <w:t xml:space="preserve"> activity and security</w:t>
      </w:r>
      <w:r>
        <w:t xml:space="preserve"> incident information, in redacted form, may be published in </w:t>
      </w:r>
      <w:r w:rsidRPr="0033642D">
        <w:rPr>
          <w:szCs w:val="24"/>
        </w:rPr>
        <w:t xml:space="preserve">TSA </w:t>
      </w:r>
      <w:r w:rsidR="00157D98">
        <w:rPr>
          <w:szCs w:val="24"/>
        </w:rPr>
        <w:t>reports</w:t>
      </w:r>
      <w:r w:rsidR="00D328B0">
        <w:rPr>
          <w:szCs w:val="24"/>
        </w:rPr>
        <w:t xml:space="preserve"> to </w:t>
      </w:r>
      <w:r w:rsidR="00256C44">
        <w:rPr>
          <w:szCs w:val="24"/>
        </w:rPr>
        <w:t>pipeline industry and government stakeholders</w:t>
      </w:r>
      <w:r w:rsidR="00D328B0">
        <w:rPr>
          <w:szCs w:val="24"/>
        </w:rPr>
        <w:t>,</w:t>
      </w:r>
      <w:r w:rsidR="006F0F16">
        <w:rPr>
          <w:szCs w:val="24"/>
        </w:rPr>
        <w:t xml:space="preserve"> with a need-to-know</w:t>
      </w:r>
      <w:r w:rsidR="00D328B0">
        <w:rPr>
          <w:szCs w:val="24"/>
        </w:rPr>
        <w:t xml:space="preserve">, providing intelligence-derived information consistent with TSA’s information sharing mandate under </w:t>
      </w:r>
      <w:r w:rsidR="00982EE5">
        <w:rPr>
          <w:szCs w:val="24"/>
        </w:rPr>
        <w:t>49 U.S.C. 114(t) and other requirements</w:t>
      </w:r>
      <w:r w:rsidR="006F0F16">
        <w:rPr>
          <w:szCs w:val="24"/>
        </w:rPr>
        <w:t>.</w:t>
      </w:r>
    </w:p>
    <w:p w14:paraId="55B5BAE9"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55B5BAEA" w14:textId="77777777"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55B5BAEB" w14:textId="77777777" w:rsidR="009F2633" w:rsidRDefault="009F2633" w:rsidP="00BB78AB">
      <w:pPr>
        <w:keepNext/>
        <w:numPr>
          <w:ilvl w:val="12"/>
          <w:numId w:val="0"/>
        </w:numPr>
        <w:ind w:left="360"/>
      </w:pPr>
    </w:p>
    <w:p w14:paraId="55B5BAEC" w14:textId="77777777" w:rsidR="009F2633" w:rsidRDefault="0081296D" w:rsidP="005164F5">
      <w:pPr>
        <w:numPr>
          <w:ilvl w:val="12"/>
          <w:numId w:val="0"/>
        </w:numPr>
        <w:ind w:firstLine="360"/>
      </w:pPr>
      <w:r>
        <w:t>Not applicable.</w:t>
      </w:r>
    </w:p>
    <w:p w14:paraId="55B5BAED" w14:textId="77777777" w:rsidR="009F2633" w:rsidRDefault="009F2633" w:rsidP="00BB78AB">
      <w:pPr>
        <w:numPr>
          <w:ilvl w:val="12"/>
          <w:numId w:val="0"/>
        </w:numPr>
        <w:tabs>
          <w:tab w:val="left" w:pos="360"/>
        </w:tabs>
      </w:pPr>
    </w:p>
    <w:p w14:paraId="55B5BAEE" w14:textId="77777777"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55B5BAEF" w14:textId="77777777" w:rsidR="009F2633" w:rsidRDefault="009F2633" w:rsidP="00BB78AB">
      <w:pPr>
        <w:keepNext/>
        <w:numPr>
          <w:ilvl w:val="12"/>
          <w:numId w:val="0"/>
        </w:numPr>
        <w:ind w:left="360"/>
      </w:pPr>
    </w:p>
    <w:p w14:paraId="55B5BAF0" w14:textId="77777777" w:rsidR="009F2633" w:rsidRDefault="0081296D" w:rsidP="005164F5">
      <w:pPr>
        <w:numPr>
          <w:ilvl w:val="12"/>
          <w:numId w:val="0"/>
        </w:numPr>
        <w:ind w:firstLine="360"/>
      </w:pPr>
      <w:r>
        <w:t>No exceptions noted.</w:t>
      </w:r>
    </w:p>
    <w:p w14:paraId="55B5BAF1" w14:textId="77777777" w:rsidR="009F2633" w:rsidRPr="008167AF" w:rsidRDefault="009F2633" w:rsidP="008167AF"/>
    <w:sectPr w:rsidR="009F2633" w:rsidRPr="008167AF" w:rsidSect="009F2633">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23FDA" w14:textId="77777777" w:rsidR="00842CFF" w:rsidRDefault="00842CFF">
      <w:r>
        <w:separator/>
      </w:r>
    </w:p>
  </w:endnote>
  <w:endnote w:type="continuationSeparator" w:id="0">
    <w:p w14:paraId="141AA951" w14:textId="77777777" w:rsidR="00842CFF" w:rsidRDefault="0084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BAFD" w14:textId="77777777" w:rsidR="00B71986" w:rsidRPr="00B55414" w:rsidRDefault="00B71986">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9A26E" w14:textId="77777777" w:rsidR="00842CFF" w:rsidRDefault="00842CFF">
      <w:r>
        <w:separator/>
      </w:r>
    </w:p>
  </w:footnote>
  <w:footnote w:type="continuationSeparator" w:id="0">
    <w:p w14:paraId="306C1DDA" w14:textId="77777777" w:rsidR="00842CFF" w:rsidRDefault="00842CFF">
      <w:r>
        <w:continuationSeparator/>
      </w:r>
    </w:p>
  </w:footnote>
  <w:footnote w:id="1">
    <w:p w14:paraId="55B5BAFE" w14:textId="77777777" w:rsidR="00B71986" w:rsidRPr="0074340A" w:rsidRDefault="00B71986" w:rsidP="0074340A">
      <w:pPr>
        <w:rPr>
          <w:sz w:val="20"/>
          <w:szCs w:val="24"/>
        </w:rPr>
      </w:pPr>
      <w:r>
        <w:rPr>
          <w:rStyle w:val="FootnoteReference"/>
        </w:rPr>
        <w:footnoteRef/>
      </w:r>
      <w:r>
        <w:t xml:space="preserve"> </w:t>
      </w:r>
      <w:r w:rsidRPr="0074340A">
        <w:rPr>
          <w:sz w:val="20"/>
        </w:rPr>
        <w:t xml:space="preserve">For purposes of the PHMSA regulations, incidents are primarily related to safety concerns, including: </w:t>
      </w:r>
      <w:r>
        <w:rPr>
          <w:sz w:val="20"/>
        </w:rPr>
        <w:t xml:space="preserve"> </w:t>
      </w:r>
      <w:r w:rsidRPr="0074340A">
        <w:rPr>
          <w:sz w:val="20"/>
        </w:rPr>
        <w:t xml:space="preserve">release of hazardous materials that results in death or serious injury, property damage, and unintentional loss as well as events that result in an emergency shutdown and other significant events.   </w:t>
      </w:r>
      <w:r w:rsidRPr="0074340A">
        <w:rPr>
          <w:i/>
          <w:sz w:val="20"/>
        </w:rPr>
        <w:t xml:space="preserve">See </w:t>
      </w:r>
      <w:r w:rsidRPr="0074340A">
        <w:rPr>
          <w:sz w:val="20"/>
        </w:rPr>
        <w:t>49 CFR 191.3.</w:t>
      </w:r>
    </w:p>
    <w:p w14:paraId="55B5BAFF" w14:textId="77777777" w:rsidR="00B71986" w:rsidRDefault="00B71986">
      <w:pPr>
        <w:pStyle w:val="FootnoteText"/>
      </w:pPr>
    </w:p>
  </w:footnote>
  <w:footnote w:id="2">
    <w:p w14:paraId="10C61EA5" w14:textId="273C8553" w:rsidR="0051531D" w:rsidRDefault="0051531D">
      <w:pPr>
        <w:pStyle w:val="FootnoteText"/>
      </w:pPr>
      <w:r>
        <w:rPr>
          <w:rStyle w:val="FootnoteReference"/>
        </w:rPr>
        <w:footnoteRef/>
      </w:r>
      <w:r>
        <w:t xml:space="preserve"> A fully-loaded wage rate account for non-wage components of employee compensation, such as healthcare and retirement benefits.</w:t>
      </w:r>
    </w:p>
  </w:footnote>
  <w:footnote w:id="3">
    <w:p w14:paraId="17A7A6BB" w14:textId="019DB19E" w:rsidR="0051531D" w:rsidRPr="0063063C" w:rsidRDefault="0051531D" w:rsidP="0051531D">
      <w:pPr>
        <w:rPr>
          <w:rFonts w:cs="Times New Roman"/>
          <w:sz w:val="20"/>
        </w:rPr>
      </w:pPr>
      <w:r w:rsidRPr="0063063C">
        <w:rPr>
          <w:rStyle w:val="FootnoteReference"/>
          <w:sz w:val="20"/>
        </w:rPr>
        <w:footnoteRef/>
      </w:r>
      <w:r w:rsidRPr="0063063C">
        <w:rPr>
          <w:sz w:val="20"/>
        </w:rPr>
        <w:t xml:space="preserve"> The unloaded wage rate for a</w:t>
      </w:r>
      <w:r>
        <w:rPr>
          <w:sz w:val="20"/>
        </w:rPr>
        <w:t>n Operations Specialties Manager is $67.51</w:t>
      </w:r>
      <w:r w:rsidRPr="0063063C">
        <w:rPr>
          <w:rFonts w:cs="Times New Roman"/>
          <w:sz w:val="20"/>
        </w:rPr>
        <w:t xml:space="preserve">. </w:t>
      </w:r>
      <w:r>
        <w:rPr>
          <w:rFonts w:cs="Times New Roman"/>
          <w:sz w:val="20"/>
        </w:rPr>
        <w:t xml:space="preserve">BLS. </w:t>
      </w:r>
      <w:r w:rsidRPr="0063063C">
        <w:rPr>
          <w:rFonts w:cs="Times New Roman"/>
          <w:sz w:val="20"/>
        </w:rPr>
        <w:t>May 2017 National Industry-Specific Occupational Employment and Wage Estimates. NAICS 486000 - Pipeline Transportation. OCC 11-3000 Operations Specialties Managers. Last modified March 30, 2018 (accessed August 9, 2018). https://www.bls.gov/oes/2017/May/naics3_486000.htm</w:t>
      </w:r>
      <w:r>
        <w:rPr>
          <w:rFonts w:cs="Times New Roman"/>
          <w:sz w:val="20"/>
        </w:rPr>
        <w:t xml:space="preserve"> </w:t>
      </w:r>
    </w:p>
    <w:p w14:paraId="75B03251" w14:textId="18DEE262" w:rsidR="0051706C" w:rsidRPr="0063063C" w:rsidRDefault="0051531D" w:rsidP="0051706C">
      <w:pPr>
        <w:rPr>
          <w:rFonts w:cs="Times New Roman"/>
          <w:sz w:val="20"/>
        </w:rPr>
      </w:pPr>
      <w:r w:rsidRPr="0063063C">
        <w:rPr>
          <w:rFonts w:cs="Times New Roman"/>
          <w:sz w:val="20"/>
        </w:rPr>
        <w:t xml:space="preserve">TSA calculates a load factor to increase the unloaded wage to account for non-wage compensation. TSA calculates this factor by dividing the total compensation ($28.40) by the wage and salary component </w:t>
      </w:r>
      <w:r w:rsidR="0051706C" w:rsidRPr="0063063C">
        <w:rPr>
          <w:rFonts w:cs="Times New Roman"/>
          <w:sz w:val="20"/>
        </w:rPr>
        <w:t xml:space="preserve">($18.77) </w:t>
      </w:r>
      <w:r w:rsidRPr="0063063C">
        <w:rPr>
          <w:rFonts w:cs="Times New Roman"/>
          <w:sz w:val="20"/>
        </w:rPr>
        <w:t xml:space="preserve">of compensation to get a load factor of </w:t>
      </w:r>
      <w:r w:rsidR="0051706C" w:rsidRPr="0063063C">
        <w:rPr>
          <w:rFonts w:cs="Times New Roman"/>
          <w:sz w:val="20"/>
        </w:rPr>
        <w:t xml:space="preserve">1.51305. BLS. Employer Costs for Employee Compensation - March 2018. Table 5. Employer costs per hour worked for employee compensation and costs as a percent of total compensation: private industry workers. Production, transportation and material </w:t>
      </w:r>
      <w:r w:rsidR="00F52E40" w:rsidRPr="0063063C">
        <w:rPr>
          <w:rFonts w:cs="Times New Roman"/>
          <w:sz w:val="20"/>
        </w:rPr>
        <w:t>moving</w:t>
      </w:r>
      <w:r w:rsidR="0051706C" w:rsidRPr="0063063C">
        <w:rPr>
          <w:rFonts w:cs="Times New Roman"/>
          <w:sz w:val="20"/>
        </w:rPr>
        <w:t xml:space="preserve"> occupations. Last modified June 8, 2018 (accessed July 24, 2018). https://www.bls.gov/news.release/archives/ecec_06082018.htm</w:t>
      </w:r>
      <w:r w:rsidR="0051706C">
        <w:rPr>
          <w:rFonts w:cs="Times New Roman"/>
          <w:sz w:val="20"/>
        </w:rPr>
        <w:t xml:space="preserve"> </w:t>
      </w:r>
    </w:p>
    <w:p w14:paraId="632A6C93" w14:textId="3A0D7D5D" w:rsidR="0051531D" w:rsidRDefault="0051706C">
      <w:pPr>
        <w:pStyle w:val="FootnoteText"/>
      </w:pPr>
      <w:r>
        <w:t xml:space="preserve">The </w:t>
      </w:r>
      <w:r w:rsidR="00F52E40">
        <w:t>fully loaded</w:t>
      </w:r>
      <w:r>
        <w:t xml:space="preserve"> wage rate is calculated by multiplying the unloaded wage rate by the load factor. $102.15 = $67.51 x 1.51305.</w:t>
      </w:r>
    </w:p>
  </w:footnote>
  <w:footnote w:id="4">
    <w:p w14:paraId="0F88DB3B" w14:textId="2E51C80B" w:rsidR="0051706C" w:rsidRDefault="0051706C">
      <w:pPr>
        <w:pStyle w:val="FootnoteText"/>
      </w:pPr>
      <w:r>
        <w:rPr>
          <w:rStyle w:val="FootnoteReference"/>
        </w:rPr>
        <w:footnoteRef/>
      </w:r>
      <w:r>
        <w:t xml:space="preserve"> TSA, Office of Finance and Administration, Personnel Modular Cost Data (FY18).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BAF6" w14:textId="7DB814C7" w:rsidR="00B71986" w:rsidRDefault="00B7198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75057">
      <w:rPr>
        <w:rStyle w:val="PageNumber"/>
        <w:rFonts w:ascii="Times New Roman" w:hAnsi="Times New Roman"/>
        <w:noProof/>
        <w:sz w:val="24"/>
      </w:rPr>
      <w:t>2</w:t>
    </w:r>
    <w:r>
      <w:rPr>
        <w:rStyle w:val="PageNumber"/>
        <w:rFonts w:ascii="Times New Roman" w:hAnsi="Times New Roman"/>
        <w:sz w:val="24"/>
      </w:rPr>
      <w:fldChar w:fldCharType="end"/>
    </w:r>
  </w:p>
  <w:p w14:paraId="55B5BAF7" w14:textId="77777777" w:rsidR="00B71986" w:rsidRPr="00320387" w:rsidRDefault="00B71986">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BAF8" w14:textId="77777777" w:rsidR="00B71986" w:rsidRDefault="00B7198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55B5BAF9" w14:textId="77777777" w:rsidR="00B71986" w:rsidRDefault="00B71986">
    <w:pPr>
      <w:jc w:val="center"/>
      <w:rPr>
        <w:rFonts w:cs="Times New Roman"/>
        <w:b/>
        <w:sz w:val="28"/>
      </w:rPr>
    </w:pPr>
  </w:p>
  <w:p w14:paraId="55B5BAFA" w14:textId="77777777" w:rsidR="00B71986" w:rsidRDefault="00B71986">
    <w:pPr>
      <w:jc w:val="center"/>
      <w:rPr>
        <w:b/>
      </w:rPr>
    </w:pPr>
    <w:r>
      <w:rPr>
        <w:b/>
      </w:rPr>
      <w:t>Pipeline Operator Security Information</w:t>
    </w:r>
  </w:p>
  <w:p w14:paraId="55B5BAFB" w14:textId="77777777" w:rsidR="00B71986" w:rsidRDefault="00B71986">
    <w:pPr>
      <w:jc w:val="center"/>
      <w:rPr>
        <w:b/>
      </w:rPr>
    </w:pPr>
    <w:r>
      <w:rPr>
        <w:b/>
      </w:rPr>
      <w:t>1652-0055</w:t>
    </w:r>
  </w:p>
  <w:p w14:paraId="0D6B3C00" w14:textId="0DA97315" w:rsidR="000C50F6" w:rsidRDefault="000C50F6">
    <w:pPr>
      <w:jc w:val="center"/>
      <w:rPr>
        <w:b/>
      </w:rPr>
    </w:pPr>
    <w:r>
      <w:rPr>
        <w:b/>
      </w:rPr>
      <w:t>Exp. 7/31/</w:t>
    </w:r>
    <w:r w:rsidR="0063063C">
      <w:rPr>
        <w:b/>
      </w:rPr>
      <w:t>2019</w:t>
    </w:r>
  </w:p>
  <w:p w14:paraId="55B5BAFC" w14:textId="77777777" w:rsidR="00B71986" w:rsidRDefault="00B71986"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2E421AA"/>
    <w:multiLevelType w:val="hybridMultilevel"/>
    <w:tmpl w:val="70BEC8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385545A9"/>
    <w:multiLevelType w:val="hybridMultilevel"/>
    <w:tmpl w:val="2F1A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D836CA1"/>
    <w:multiLevelType w:val="multilevel"/>
    <w:tmpl w:val="3AD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9B37B6"/>
    <w:multiLevelType w:val="singleLevel"/>
    <w:tmpl w:val="0409000F"/>
    <w:lvl w:ilvl="0">
      <w:start w:val="1"/>
      <w:numFmt w:val="decimal"/>
      <w:lvlText w:val="%1."/>
      <w:lvlJc w:val="left"/>
      <w:pPr>
        <w:tabs>
          <w:tab w:val="num" w:pos="360"/>
        </w:tabs>
        <w:ind w:left="360" w:hanging="360"/>
      </w:pPr>
    </w:lvl>
  </w:abstractNum>
  <w:abstractNum w:abstractNumId="19">
    <w:nsid w:val="549C1B6C"/>
    <w:multiLevelType w:val="hybridMultilevel"/>
    <w:tmpl w:val="52D4E9E2"/>
    <w:lvl w:ilvl="0" w:tplc="EEF60D4E">
      <w:start w:val="1"/>
      <w:numFmt w:val="bullet"/>
      <w:pStyle w:val="TSA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3"/>
  </w:num>
  <w:num w:numId="13">
    <w:abstractNumId w:val="22"/>
  </w:num>
  <w:num w:numId="14">
    <w:abstractNumId w:val="12"/>
  </w:num>
  <w:num w:numId="15">
    <w:abstractNumId w:val="14"/>
  </w:num>
  <w:num w:numId="16">
    <w:abstractNumId w:val="15"/>
  </w:num>
  <w:num w:numId="17">
    <w:abstractNumId w:val="20"/>
  </w:num>
  <w:num w:numId="18">
    <w:abstractNumId w:val="16"/>
  </w:num>
  <w:num w:numId="19">
    <w:abstractNumId w:val="24"/>
  </w:num>
  <w:num w:numId="20">
    <w:abstractNumId w:val="18"/>
  </w:num>
  <w:num w:numId="21">
    <w:abstractNumId w:val="21"/>
  </w:num>
  <w:num w:numId="22">
    <w:abstractNumId w:val="17"/>
  </w:num>
  <w:num w:numId="23">
    <w:abstractNumId w:val="19"/>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6723"/>
    <w:rsid w:val="0001179F"/>
    <w:rsid w:val="000166DA"/>
    <w:rsid w:val="00020209"/>
    <w:rsid w:val="00020ED3"/>
    <w:rsid w:val="00021398"/>
    <w:rsid w:val="00027587"/>
    <w:rsid w:val="00035019"/>
    <w:rsid w:val="00035DBD"/>
    <w:rsid w:val="00043463"/>
    <w:rsid w:val="000475A5"/>
    <w:rsid w:val="000504BA"/>
    <w:rsid w:val="00052449"/>
    <w:rsid w:val="00052EBD"/>
    <w:rsid w:val="00055D61"/>
    <w:rsid w:val="00061FEC"/>
    <w:rsid w:val="00071502"/>
    <w:rsid w:val="00071949"/>
    <w:rsid w:val="0007528B"/>
    <w:rsid w:val="00075708"/>
    <w:rsid w:val="000819BA"/>
    <w:rsid w:val="00084569"/>
    <w:rsid w:val="00084639"/>
    <w:rsid w:val="00084BDC"/>
    <w:rsid w:val="00086E7A"/>
    <w:rsid w:val="0009420A"/>
    <w:rsid w:val="000A6E36"/>
    <w:rsid w:val="000B1151"/>
    <w:rsid w:val="000B579D"/>
    <w:rsid w:val="000C0F98"/>
    <w:rsid w:val="000C2B89"/>
    <w:rsid w:val="000C44D3"/>
    <w:rsid w:val="000C4694"/>
    <w:rsid w:val="000C50F6"/>
    <w:rsid w:val="000C5A5F"/>
    <w:rsid w:val="000D306F"/>
    <w:rsid w:val="000D46C5"/>
    <w:rsid w:val="000D543F"/>
    <w:rsid w:val="000D55A7"/>
    <w:rsid w:val="0010138D"/>
    <w:rsid w:val="001149C6"/>
    <w:rsid w:val="00115F4C"/>
    <w:rsid w:val="00122B6F"/>
    <w:rsid w:val="001436DC"/>
    <w:rsid w:val="0014741C"/>
    <w:rsid w:val="0015198A"/>
    <w:rsid w:val="00157D98"/>
    <w:rsid w:val="00157E3E"/>
    <w:rsid w:val="00161B2C"/>
    <w:rsid w:val="00162BA5"/>
    <w:rsid w:val="00164BA2"/>
    <w:rsid w:val="00166F92"/>
    <w:rsid w:val="00172B72"/>
    <w:rsid w:val="0017334A"/>
    <w:rsid w:val="00173D06"/>
    <w:rsid w:val="00176782"/>
    <w:rsid w:val="00194BEF"/>
    <w:rsid w:val="001A2C72"/>
    <w:rsid w:val="001A4894"/>
    <w:rsid w:val="001A50E9"/>
    <w:rsid w:val="001A5682"/>
    <w:rsid w:val="001A7DD0"/>
    <w:rsid w:val="001B6ACE"/>
    <w:rsid w:val="001B6CB2"/>
    <w:rsid w:val="001C16D0"/>
    <w:rsid w:val="001C5402"/>
    <w:rsid w:val="001C57D6"/>
    <w:rsid w:val="001C78C4"/>
    <w:rsid w:val="001D502C"/>
    <w:rsid w:val="001D50CB"/>
    <w:rsid w:val="001D5E3C"/>
    <w:rsid w:val="001E49AA"/>
    <w:rsid w:val="001E5F5A"/>
    <w:rsid w:val="001F0623"/>
    <w:rsid w:val="001F23B2"/>
    <w:rsid w:val="00200EDF"/>
    <w:rsid w:val="00210801"/>
    <w:rsid w:val="002162D4"/>
    <w:rsid w:val="0023164E"/>
    <w:rsid w:val="00231882"/>
    <w:rsid w:val="00240E60"/>
    <w:rsid w:val="00242FEB"/>
    <w:rsid w:val="00244180"/>
    <w:rsid w:val="00251A6A"/>
    <w:rsid w:val="0025244A"/>
    <w:rsid w:val="00256C44"/>
    <w:rsid w:val="00260B87"/>
    <w:rsid w:val="002639AB"/>
    <w:rsid w:val="002646F5"/>
    <w:rsid w:val="00277016"/>
    <w:rsid w:val="002932E4"/>
    <w:rsid w:val="002945CB"/>
    <w:rsid w:val="00295D64"/>
    <w:rsid w:val="002A4AE2"/>
    <w:rsid w:val="002A7C30"/>
    <w:rsid w:val="002A7D21"/>
    <w:rsid w:val="002B1533"/>
    <w:rsid w:val="002B7805"/>
    <w:rsid w:val="002C1F6F"/>
    <w:rsid w:val="002C7F60"/>
    <w:rsid w:val="002D58B6"/>
    <w:rsid w:val="002E0575"/>
    <w:rsid w:val="002E5A70"/>
    <w:rsid w:val="002E738C"/>
    <w:rsid w:val="002E7459"/>
    <w:rsid w:val="002F5F5A"/>
    <w:rsid w:val="0031365A"/>
    <w:rsid w:val="00316310"/>
    <w:rsid w:val="00322A84"/>
    <w:rsid w:val="00326EE1"/>
    <w:rsid w:val="00332BB8"/>
    <w:rsid w:val="00335DD4"/>
    <w:rsid w:val="00351A29"/>
    <w:rsid w:val="00355127"/>
    <w:rsid w:val="003728D9"/>
    <w:rsid w:val="00372F31"/>
    <w:rsid w:val="00374E33"/>
    <w:rsid w:val="00381CE8"/>
    <w:rsid w:val="0038772B"/>
    <w:rsid w:val="003A4DF7"/>
    <w:rsid w:val="003B74A1"/>
    <w:rsid w:val="003C0873"/>
    <w:rsid w:val="003C1590"/>
    <w:rsid w:val="003C4840"/>
    <w:rsid w:val="003C53E6"/>
    <w:rsid w:val="003C6D64"/>
    <w:rsid w:val="003D0B33"/>
    <w:rsid w:val="003D6FA7"/>
    <w:rsid w:val="003F05BF"/>
    <w:rsid w:val="003F37D6"/>
    <w:rsid w:val="003F493E"/>
    <w:rsid w:val="00403143"/>
    <w:rsid w:val="00404982"/>
    <w:rsid w:val="00405154"/>
    <w:rsid w:val="00407C9C"/>
    <w:rsid w:val="00410EC0"/>
    <w:rsid w:val="0042752B"/>
    <w:rsid w:val="00430E9D"/>
    <w:rsid w:val="00432AEB"/>
    <w:rsid w:val="00453942"/>
    <w:rsid w:val="0045602D"/>
    <w:rsid w:val="0046252B"/>
    <w:rsid w:val="0046770A"/>
    <w:rsid w:val="00467B44"/>
    <w:rsid w:val="00473FBD"/>
    <w:rsid w:val="00474A1D"/>
    <w:rsid w:val="0047601B"/>
    <w:rsid w:val="004854CA"/>
    <w:rsid w:val="00485F6C"/>
    <w:rsid w:val="0049122C"/>
    <w:rsid w:val="00495CC3"/>
    <w:rsid w:val="004A1DEC"/>
    <w:rsid w:val="004A2391"/>
    <w:rsid w:val="004B0458"/>
    <w:rsid w:val="004B0EE5"/>
    <w:rsid w:val="004B1951"/>
    <w:rsid w:val="004B3699"/>
    <w:rsid w:val="004B5D1D"/>
    <w:rsid w:val="004D26F5"/>
    <w:rsid w:val="004D7940"/>
    <w:rsid w:val="004E0895"/>
    <w:rsid w:val="004E142A"/>
    <w:rsid w:val="004E4078"/>
    <w:rsid w:val="004E5B08"/>
    <w:rsid w:val="004E5DF2"/>
    <w:rsid w:val="004F2272"/>
    <w:rsid w:val="004F68EE"/>
    <w:rsid w:val="004F79E2"/>
    <w:rsid w:val="00502F72"/>
    <w:rsid w:val="00504C02"/>
    <w:rsid w:val="00511233"/>
    <w:rsid w:val="00512548"/>
    <w:rsid w:val="0051531D"/>
    <w:rsid w:val="00515651"/>
    <w:rsid w:val="005159D9"/>
    <w:rsid w:val="005164F5"/>
    <w:rsid w:val="0051706C"/>
    <w:rsid w:val="005209BC"/>
    <w:rsid w:val="00542219"/>
    <w:rsid w:val="00543547"/>
    <w:rsid w:val="00550DA5"/>
    <w:rsid w:val="00551F03"/>
    <w:rsid w:val="00554743"/>
    <w:rsid w:val="0055505B"/>
    <w:rsid w:val="00557576"/>
    <w:rsid w:val="0056023C"/>
    <w:rsid w:val="00560D2E"/>
    <w:rsid w:val="005612AE"/>
    <w:rsid w:val="005623A8"/>
    <w:rsid w:val="00563AF8"/>
    <w:rsid w:val="0058269B"/>
    <w:rsid w:val="00584683"/>
    <w:rsid w:val="0058727C"/>
    <w:rsid w:val="00587E94"/>
    <w:rsid w:val="0059024B"/>
    <w:rsid w:val="00592B58"/>
    <w:rsid w:val="005A426C"/>
    <w:rsid w:val="005A559C"/>
    <w:rsid w:val="005B68E5"/>
    <w:rsid w:val="005B6A74"/>
    <w:rsid w:val="005C03E2"/>
    <w:rsid w:val="005C0BD5"/>
    <w:rsid w:val="005C3510"/>
    <w:rsid w:val="005E0D15"/>
    <w:rsid w:val="005E130A"/>
    <w:rsid w:val="005E1F5B"/>
    <w:rsid w:val="005F09AD"/>
    <w:rsid w:val="005F21E4"/>
    <w:rsid w:val="005F3EED"/>
    <w:rsid w:val="00601A3A"/>
    <w:rsid w:val="00611EAA"/>
    <w:rsid w:val="00620A6F"/>
    <w:rsid w:val="00625D6F"/>
    <w:rsid w:val="0063063C"/>
    <w:rsid w:val="00641712"/>
    <w:rsid w:val="006430D7"/>
    <w:rsid w:val="00646620"/>
    <w:rsid w:val="00646BD2"/>
    <w:rsid w:val="00654725"/>
    <w:rsid w:val="00660D73"/>
    <w:rsid w:val="006713C1"/>
    <w:rsid w:val="00673B4F"/>
    <w:rsid w:val="00676E8E"/>
    <w:rsid w:val="006835A3"/>
    <w:rsid w:val="00683B6B"/>
    <w:rsid w:val="006A5F51"/>
    <w:rsid w:val="006A7A33"/>
    <w:rsid w:val="006B0C57"/>
    <w:rsid w:val="006B20F6"/>
    <w:rsid w:val="006B43EF"/>
    <w:rsid w:val="006C3005"/>
    <w:rsid w:val="006C32E2"/>
    <w:rsid w:val="006C6D8B"/>
    <w:rsid w:val="006D275C"/>
    <w:rsid w:val="006E75BD"/>
    <w:rsid w:val="006F0F16"/>
    <w:rsid w:val="00701555"/>
    <w:rsid w:val="00705467"/>
    <w:rsid w:val="007130B5"/>
    <w:rsid w:val="00720859"/>
    <w:rsid w:val="007250E5"/>
    <w:rsid w:val="007259C4"/>
    <w:rsid w:val="00726E40"/>
    <w:rsid w:val="00733F05"/>
    <w:rsid w:val="00735624"/>
    <w:rsid w:val="0073689A"/>
    <w:rsid w:val="0074340A"/>
    <w:rsid w:val="00745A7C"/>
    <w:rsid w:val="007463DC"/>
    <w:rsid w:val="00752376"/>
    <w:rsid w:val="00756FDB"/>
    <w:rsid w:val="00765D60"/>
    <w:rsid w:val="007726D3"/>
    <w:rsid w:val="00774906"/>
    <w:rsid w:val="00780D1E"/>
    <w:rsid w:val="007814E8"/>
    <w:rsid w:val="007833DF"/>
    <w:rsid w:val="0078466B"/>
    <w:rsid w:val="00786C71"/>
    <w:rsid w:val="007964A4"/>
    <w:rsid w:val="007B084D"/>
    <w:rsid w:val="007B5F99"/>
    <w:rsid w:val="007C508D"/>
    <w:rsid w:val="007C7BDD"/>
    <w:rsid w:val="007D011F"/>
    <w:rsid w:val="007D01C7"/>
    <w:rsid w:val="007D404D"/>
    <w:rsid w:val="007E593F"/>
    <w:rsid w:val="007E7433"/>
    <w:rsid w:val="007F5E4C"/>
    <w:rsid w:val="007F770E"/>
    <w:rsid w:val="00810A2C"/>
    <w:rsid w:val="0081296D"/>
    <w:rsid w:val="00812A38"/>
    <w:rsid w:val="008167AF"/>
    <w:rsid w:val="00822524"/>
    <w:rsid w:val="00830D5E"/>
    <w:rsid w:val="00831300"/>
    <w:rsid w:val="00836F4A"/>
    <w:rsid w:val="0084243F"/>
    <w:rsid w:val="00842CFF"/>
    <w:rsid w:val="00850EA7"/>
    <w:rsid w:val="008534BA"/>
    <w:rsid w:val="00857572"/>
    <w:rsid w:val="0085780D"/>
    <w:rsid w:val="00860F65"/>
    <w:rsid w:val="0086332C"/>
    <w:rsid w:val="008668DE"/>
    <w:rsid w:val="0087037B"/>
    <w:rsid w:val="00871555"/>
    <w:rsid w:val="00875057"/>
    <w:rsid w:val="00881C03"/>
    <w:rsid w:val="0088577E"/>
    <w:rsid w:val="0089228B"/>
    <w:rsid w:val="008931C4"/>
    <w:rsid w:val="008938C7"/>
    <w:rsid w:val="00896983"/>
    <w:rsid w:val="008A16E8"/>
    <w:rsid w:val="008A18F9"/>
    <w:rsid w:val="008A6A92"/>
    <w:rsid w:val="008A7F93"/>
    <w:rsid w:val="008B4D38"/>
    <w:rsid w:val="008B6215"/>
    <w:rsid w:val="008B69EF"/>
    <w:rsid w:val="008C4397"/>
    <w:rsid w:val="008C46C0"/>
    <w:rsid w:val="008C742E"/>
    <w:rsid w:val="008D2AD3"/>
    <w:rsid w:val="008D2B43"/>
    <w:rsid w:val="008D381A"/>
    <w:rsid w:val="008D425B"/>
    <w:rsid w:val="008D6025"/>
    <w:rsid w:val="008E143D"/>
    <w:rsid w:val="008E2C3C"/>
    <w:rsid w:val="008E4EAA"/>
    <w:rsid w:val="008E64D0"/>
    <w:rsid w:val="008F2248"/>
    <w:rsid w:val="008F6E20"/>
    <w:rsid w:val="00901642"/>
    <w:rsid w:val="009107A4"/>
    <w:rsid w:val="00912291"/>
    <w:rsid w:val="009143DF"/>
    <w:rsid w:val="009237B9"/>
    <w:rsid w:val="009358BA"/>
    <w:rsid w:val="00937577"/>
    <w:rsid w:val="0094059C"/>
    <w:rsid w:val="00941175"/>
    <w:rsid w:val="00946C33"/>
    <w:rsid w:val="009654F0"/>
    <w:rsid w:val="00970C97"/>
    <w:rsid w:val="00973A01"/>
    <w:rsid w:val="009753E9"/>
    <w:rsid w:val="0098237C"/>
    <w:rsid w:val="00982EE5"/>
    <w:rsid w:val="00997B43"/>
    <w:rsid w:val="009A1DBA"/>
    <w:rsid w:val="009A232B"/>
    <w:rsid w:val="009A7C51"/>
    <w:rsid w:val="009C0BC5"/>
    <w:rsid w:val="009C185C"/>
    <w:rsid w:val="009C445E"/>
    <w:rsid w:val="009E15C5"/>
    <w:rsid w:val="009E7B9A"/>
    <w:rsid w:val="009F0958"/>
    <w:rsid w:val="009F2633"/>
    <w:rsid w:val="009F6CCB"/>
    <w:rsid w:val="00A027AB"/>
    <w:rsid w:val="00A073AC"/>
    <w:rsid w:val="00A07E93"/>
    <w:rsid w:val="00A11B55"/>
    <w:rsid w:val="00A22ED4"/>
    <w:rsid w:val="00A26DD6"/>
    <w:rsid w:val="00A32AAF"/>
    <w:rsid w:val="00A3312A"/>
    <w:rsid w:val="00A34B45"/>
    <w:rsid w:val="00A42C34"/>
    <w:rsid w:val="00A44B0F"/>
    <w:rsid w:val="00A465CE"/>
    <w:rsid w:val="00A4707C"/>
    <w:rsid w:val="00A505F9"/>
    <w:rsid w:val="00A54F0F"/>
    <w:rsid w:val="00A62277"/>
    <w:rsid w:val="00A63BBB"/>
    <w:rsid w:val="00A64169"/>
    <w:rsid w:val="00A65075"/>
    <w:rsid w:val="00A655CA"/>
    <w:rsid w:val="00A72ABE"/>
    <w:rsid w:val="00A84A9F"/>
    <w:rsid w:val="00A85112"/>
    <w:rsid w:val="00A91C71"/>
    <w:rsid w:val="00A94539"/>
    <w:rsid w:val="00AA02B1"/>
    <w:rsid w:val="00AA357C"/>
    <w:rsid w:val="00AA79A4"/>
    <w:rsid w:val="00AA7B3F"/>
    <w:rsid w:val="00AB1826"/>
    <w:rsid w:val="00AC6969"/>
    <w:rsid w:val="00AD449F"/>
    <w:rsid w:val="00AE7BCD"/>
    <w:rsid w:val="00AF0302"/>
    <w:rsid w:val="00AF4681"/>
    <w:rsid w:val="00AF65A0"/>
    <w:rsid w:val="00AF71BE"/>
    <w:rsid w:val="00B02247"/>
    <w:rsid w:val="00B03826"/>
    <w:rsid w:val="00B05D08"/>
    <w:rsid w:val="00B0666B"/>
    <w:rsid w:val="00B06BEC"/>
    <w:rsid w:val="00B07BB2"/>
    <w:rsid w:val="00B1218B"/>
    <w:rsid w:val="00B16C9F"/>
    <w:rsid w:val="00B236AE"/>
    <w:rsid w:val="00B26C27"/>
    <w:rsid w:val="00B3066C"/>
    <w:rsid w:val="00B3070A"/>
    <w:rsid w:val="00B44BA6"/>
    <w:rsid w:val="00B471A4"/>
    <w:rsid w:val="00B50099"/>
    <w:rsid w:val="00B545F1"/>
    <w:rsid w:val="00B55414"/>
    <w:rsid w:val="00B60846"/>
    <w:rsid w:val="00B6402B"/>
    <w:rsid w:val="00B6447B"/>
    <w:rsid w:val="00B71986"/>
    <w:rsid w:val="00B71A24"/>
    <w:rsid w:val="00B724F5"/>
    <w:rsid w:val="00B81AE3"/>
    <w:rsid w:val="00B83DB6"/>
    <w:rsid w:val="00B946FD"/>
    <w:rsid w:val="00BA6573"/>
    <w:rsid w:val="00BB29F2"/>
    <w:rsid w:val="00BB404A"/>
    <w:rsid w:val="00BB7858"/>
    <w:rsid w:val="00BB78AB"/>
    <w:rsid w:val="00BC6B28"/>
    <w:rsid w:val="00BD1B34"/>
    <w:rsid w:val="00BD73DE"/>
    <w:rsid w:val="00BE12DA"/>
    <w:rsid w:val="00BE14BC"/>
    <w:rsid w:val="00BE42C8"/>
    <w:rsid w:val="00BE4DD7"/>
    <w:rsid w:val="00BF2B0E"/>
    <w:rsid w:val="00BF30AF"/>
    <w:rsid w:val="00BF705B"/>
    <w:rsid w:val="00C12C26"/>
    <w:rsid w:val="00C2429E"/>
    <w:rsid w:val="00C33146"/>
    <w:rsid w:val="00C40E75"/>
    <w:rsid w:val="00C47555"/>
    <w:rsid w:val="00C52F19"/>
    <w:rsid w:val="00C54083"/>
    <w:rsid w:val="00C54EDD"/>
    <w:rsid w:val="00C57AA8"/>
    <w:rsid w:val="00C66F15"/>
    <w:rsid w:val="00C72CDF"/>
    <w:rsid w:val="00C77FBB"/>
    <w:rsid w:val="00C82822"/>
    <w:rsid w:val="00C96791"/>
    <w:rsid w:val="00CA782F"/>
    <w:rsid w:val="00CB74CA"/>
    <w:rsid w:val="00CC0B84"/>
    <w:rsid w:val="00CC375F"/>
    <w:rsid w:val="00CE3D1F"/>
    <w:rsid w:val="00CE5025"/>
    <w:rsid w:val="00CF4223"/>
    <w:rsid w:val="00CF687E"/>
    <w:rsid w:val="00D036A4"/>
    <w:rsid w:val="00D043AE"/>
    <w:rsid w:val="00D11DBD"/>
    <w:rsid w:val="00D17D03"/>
    <w:rsid w:val="00D328B0"/>
    <w:rsid w:val="00D3561A"/>
    <w:rsid w:val="00D36B5B"/>
    <w:rsid w:val="00D40118"/>
    <w:rsid w:val="00D46610"/>
    <w:rsid w:val="00D6014E"/>
    <w:rsid w:val="00D60E67"/>
    <w:rsid w:val="00D663F4"/>
    <w:rsid w:val="00D75935"/>
    <w:rsid w:val="00D814FF"/>
    <w:rsid w:val="00D852EF"/>
    <w:rsid w:val="00D87B2B"/>
    <w:rsid w:val="00D968AB"/>
    <w:rsid w:val="00D96CEE"/>
    <w:rsid w:val="00DA0AA3"/>
    <w:rsid w:val="00DA644C"/>
    <w:rsid w:val="00DB245F"/>
    <w:rsid w:val="00DB7BAA"/>
    <w:rsid w:val="00DC060F"/>
    <w:rsid w:val="00DC0D2A"/>
    <w:rsid w:val="00DC24FA"/>
    <w:rsid w:val="00DC5172"/>
    <w:rsid w:val="00DD408B"/>
    <w:rsid w:val="00DD6A5C"/>
    <w:rsid w:val="00DD7B9D"/>
    <w:rsid w:val="00DE22B8"/>
    <w:rsid w:val="00DE4C46"/>
    <w:rsid w:val="00DE651C"/>
    <w:rsid w:val="00DE7681"/>
    <w:rsid w:val="00DF34D1"/>
    <w:rsid w:val="00DF465F"/>
    <w:rsid w:val="00DF501E"/>
    <w:rsid w:val="00E02AE1"/>
    <w:rsid w:val="00E12183"/>
    <w:rsid w:val="00E1310C"/>
    <w:rsid w:val="00E165A2"/>
    <w:rsid w:val="00E24C6B"/>
    <w:rsid w:val="00E24D53"/>
    <w:rsid w:val="00E41DF8"/>
    <w:rsid w:val="00E42AE3"/>
    <w:rsid w:val="00E503D7"/>
    <w:rsid w:val="00E52A2F"/>
    <w:rsid w:val="00E56E99"/>
    <w:rsid w:val="00E57046"/>
    <w:rsid w:val="00E601D4"/>
    <w:rsid w:val="00E61899"/>
    <w:rsid w:val="00E64D98"/>
    <w:rsid w:val="00E66EEF"/>
    <w:rsid w:val="00E67C7C"/>
    <w:rsid w:val="00E74623"/>
    <w:rsid w:val="00E832B7"/>
    <w:rsid w:val="00E83EA2"/>
    <w:rsid w:val="00E84D34"/>
    <w:rsid w:val="00E92963"/>
    <w:rsid w:val="00E9559D"/>
    <w:rsid w:val="00EA0F1D"/>
    <w:rsid w:val="00EA2788"/>
    <w:rsid w:val="00EA4BF6"/>
    <w:rsid w:val="00EA6B42"/>
    <w:rsid w:val="00EC1F0A"/>
    <w:rsid w:val="00EC3BCD"/>
    <w:rsid w:val="00EC46B7"/>
    <w:rsid w:val="00ED26D1"/>
    <w:rsid w:val="00ED4A71"/>
    <w:rsid w:val="00ED6F38"/>
    <w:rsid w:val="00EE019E"/>
    <w:rsid w:val="00EE3D98"/>
    <w:rsid w:val="00EF0ED4"/>
    <w:rsid w:val="00EF16BB"/>
    <w:rsid w:val="00EF2CBF"/>
    <w:rsid w:val="00EF6AE2"/>
    <w:rsid w:val="00F23494"/>
    <w:rsid w:val="00F31113"/>
    <w:rsid w:val="00F35CD0"/>
    <w:rsid w:val="00F37B0F"/>
    <w:rsid w:val="00F40D18"/>
    <w:rsid w:val="00F43BAA"/>
    <w:rsid w:val="00F52E40"/>
    <w:rsid w:val="00F60200"/>
    <w:rsid w:val="00F83216"/>
    <w:rsid w:val="00F863DD"/>
    <w:rsid w:val="00F93B6A"/>
    <w:rsid w:val="00F94525"/>
    <w:rsid w:val="00FA5DA9"/>
    <w:rsid w:val="00FB27E9"/>
    <w:rsid w:val="00FB2FCE"/>
    <w:rsid w:val="00FD4806"/>
    <w:rsid w:val="00FE4808"/>
    <w:rsid w:val="00FE5D3A"/>
    <w:rsid w:val="00FE7B14"/>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5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rsid w:val="00D3561A"/>
    <w:rPr>
      <w:rFonts w:cs="Times New Roman"/>
      <w:color w:val="auto"/>
      <w:sz w:val="20"/>
    </w:rPr>
  </w:style>
  <w:style w:type="character" w:customStyle="1" w:styleId="FootnoteTextChar">
    <w:name w:val="Footnote Text Char"/>
    <w:basedOn w:val="DefaultParagraphFont"/>
    <w:link w:val="FootnoteText"/>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rsid w:val="00D3561A"/>
    <w:rPr>
      <w:rFonts w:cs="Times New Roman"/>
      <w:color w:val="auto"/>
      <w:sz w:val="20"/>
    </w:rPr>
  </w:style>
  <w:style w:type="character" w:customStyle="1" w:styleId="FootnoteTextChar">
    <w:name w:val="Footnote Text Char"/>
    <w:basedOn w:val="DefaultParagraphFont"/>
    <w:link w:val="FootnoteText"/>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8768">
      <w:bodyDiv w:val="1"/>
      <w:marLeft w:val="0"/>
      <w:marRight w:val="0"/>
      <w:marTop w:val="0"/>
      <w:marBottom w:val="0"/>
      <w:divBdr>
        <w:top w:val="none" w:sz="0" w:space="0" w:color="auto"/>
        <w:left w:val="none" w:sz="0" w:space="0" w:color="auto"/>
        <w:bottom w:val="none" w:sz="0" w:space="0" w:color="auto"/>
        <w:right w:val="none" w:sz="0" w:space="0" w:color="auto"/>
      </w:divBdr>
    </w:div>
    <w:div w:id="462846749">
      <w:bodyDiv w:val="1"/>
      <w:marLeft w:val="0"/>
      <w:marRight w:val="0"/>
      <w:marTop w:val="0"/>
      <w:marBottom w:val="0"/>
      <w:divBdr>
        <w:top w:val="none" w:sz="0" w:space="0" w:color="auto"/>
        <w:left w:val="none" w:sz="0" w:space="0" w:color="auto"/>
        <w:bottom w:val="none" w:sz="0" w:space="0" w:color="auto"/>
        <w:right w:val="none" w:sz="0" w:space="0" w:color="auto"/>
      </w:divBdr>
    </w:div>
    <w:div w:id="755977221">
      <w:bodyDiv w:val="1"/>
      <w:marLeft w:val="0"/>
      <w:marRight w:val="0"/>
      <w:marTop w:val="0"/>
      <w:marBottom w:val="0"/>
      <w:divBdr>
        <w:top w:val="none" w:sz="0" w:space="0" w:color="auto"/>
        <w:left w:val="none" w:sz="0" w:space="0" w:color="auto"/>
        <w:bottom w:val="none" w:sz="0" w:space="0" w:color="auto"/>
        <w:right w:val="none" w:sz="0" w:space="0" w:color="auto"/>
      </w:divBdr>
    </w:div>
    <w:div w:id="1044017450">
      <w:bodyDiv w:val="1"/>
      <w:marLeft w:val="0"/>
      <w:marRight w:val="0"/>
      <w:marTop w:val="0"/>
      <w:marBottom w:val="0"/>
      <w:divBdr>
        <w:top w:val="none" w:sz="0" w:space="0" w:color="auto"/>
        <w:left w:val="none" w:sz="0" w:space="0" w:color="auto"/>
        <w:bottom w:val="none" w:sz="0" w:space="0" w:color="auto"/>
        <w:right w:val="none" w:sz="0" w:space="0" w:color="auto"/>
      </w:divBdr>
    </w:div>
    <w:div w:id="1141575697">
      <w:bodyDiv w:val="1"/>
      <w:marLeft w:val="0"/>
      <w:marRight w:val="0"/>
      <w:marTop w:val="0"/>
      <w:marBottom w:val="0"/>
      <w:divBdr>
        <w:top w:val="none" w:sz="0" w:space="0" w:color="auto"/>
        <w:left w:val="none" w:sz="0" w:space="0" w:color="auto"/>
        <w:bottom w:val="none" w:sz="0" w:space="0" w:color="auto"/>
        <w:right w:val="none" w:sz="0" w:space="0" w:color="auto"/>
      </w:divBdr>
    </w:div>
    <w:div w:id="1191066787">
      <w:bodyDiv w:val="1"/>
      <w:marLeft w:val="0"/>
      <w:marRight w:val="0"/>
      <w:marTop w:val="0"/>
      <w:marBottom w:val="0"/>
      <w:divBdr>
        <w:top w:val="none" w:sz="0" w:space="0" w:color="auto"/>
        <w:left w:val="none" w:sz="0" w:space="0" w:color="auto"/>
        <w:bottom w:val="none" w:sz="0" w:space="0" w:color="auto"/>
        <w:right w:val="none" w:sz="0" w:space="0" w:color="auto"/>
      </w:divBdr>
    </w:div>
    <w:div w:id="1448237001">
      <w:bodyDiv w:val="1"/>
      <w:marLeft w:val="0"/>
      <w:marRight w:val="0"/>
      <w:marTop w:val="0"/>
      <w:marBottom w:val="0"/>
      <w:divBdr>
        <w:top w:val="none" w:sz="0" w:space="0" w:color="auto"/>
        <w:left w:val="none" w:sz="0" w:space="0" w:color="auto"/>
        <w:bottom w:val="none" w:sz="0" w:space="0" w:color="auto"/>
        <w:right w:val="none" w:sz="0" w:space="0" w:color="auto"/>
      </w:divBdr>
    </w:div>
    <w:div w:id="1524978478">
      <w:bodyDiv w:val="1"/>
      <w:marLeft w:val="0"/>
      <w:marRight w:val="0"/>
      <w:marTop w:val="0"/>
      <w:marBottom w:val="0"/>
      <w:divBdr>
        <w:top w:val="none" w:sz="0" w:space="0" w:color="auto"/>
        <w:left w:val="none" w:sz="0" w:space="0" w:color="auto"/>
        <w:bottom w:val="none" w:sz="0" w:space="0" w:color="auto"/>
        <w:right w:val="none" w:sz="0" w:space="0" w:color="auto"/>
      </w:divBdr>
      <w:divsChild>
        <w:div w:id="1397316016">
          <w:marLeft w:val="0"/>
          <w:marRight w:val="0"/>
          <w:marTop w:val="0"/>
          <w:marBottom w:val="0"/>
          <w:divBdr>
            <w:top w:val="none" w:sz="0" w:space="0" w:color="auto"/>
            <w:left w:val="none" w:sz="0" w:space="0" w:color="auto"/>
            <w:bottom w:val="none" w:sz="0" w:space="0" w:color="auto"/>
            <w:right w:val="none" w:sz="0" w:space="0" w:color="auto"/>
          </w:divBdr>
          <w:divsChild>
            <w:div w:id="12638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sa.gov/for-industry/surface-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2MNXFYDWMX7Y-1127488870-1494</_dlc_DocId>
    <_dlc_DocIdUrl xmlns="dcc26ded-df53-40e4-b0ec-50f0378640d6">
      <Url>https://office.ishare.tsa.dhs.gov/sites/oit/bmo/pra/_layouts/15/DocIdRedir.aspx?ID=2MNXFYDWMX7Y-1127488870-1494</Url>
      <Description>2MNXFYDWMX7Y-1127488870-1494</Description>
    </_dlc_DocIdUrl>
    <Prog_x002e__x0020_Office xmlns="b4b07245-ae5e-4f46-8beb-6f9ce3b587d9">PPE</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ICR ready for upload into ROCIS</Reviewer_x0020_Cmt_x0028_s_x0029_>
    <Doc_x002e__x0020_Type xmlns="b4b07245-ae5e-4f46-8beb-6f9ce3b587d9">SS Pt. A</Doc_x002e__x0020_Type>
    <Other_x0020_Actions xmlns="b4b07245-ae5e-4f46-8beb-6f9ce3b587d9">ROCIS</Other_x0020_Action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4645-EC4D-40BE-8114-333FD4F46357}">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2.xml><?xml version="1.0" encoding="utf-8"?>
<ds:datastoreItem xmlns:ds="http://schemas.openxmlformats.org/officeDocument/2006/customXml" ds:itemID="{C892941A-D2CC-4616-9188-472CB9BEEB98}">
  <ds:schemaRefs>
    <ds:schemaRef ds:uri="http://schemas.microsoft.com/sharepoint/events"/>
  </ds:schemaRefs>
</ds:datastoreItem>
</file>

<file path=customXml/itemProps3.xml><?xml version="1.0" encoding="utf-8"?>
<ds:datastoreItem xmlns:ds="http://schemas.openxmlformats.org/officeDocument/2006/customXml" ds:itemID="{D12A0E3A-2260-4A55-A250-B8472579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D7F51-753C-40D0-B27A-BB15D0C70A7F}">
  <ds:schemaRefs>
    <ds:schemaRef ds:uri="http://schemas.microsoft.com/office/2006/metadata/longProperties"/>
  </ds:schemaRefs>
</ds:datastoreItem>
</file>

<file path=customXml/itemProps5.xml><?xml version="1.0" encoding="utf-8"?>
<ds:datastoreItem xmlns:ds="http://schemas.openxmlformats.org/officeDocument/2006/customXml" ds:itemID="{2A43813F-76E9-45E9-9514-61172FC85043}">
  <ds:schemaRefs>
    <ds:schemaRef ds:uri="http://schemas.microsoft.com/sharepoint/v3/contenttype/forms"/>
  </ds:schemaRefs>
</ds:datastoreItem>
</file>

<file path=customXml/itemProps6.xml><?xml version="1.0" encoding="utf-8"?>
<ds:datastoreItem xmlns:ds="http://schemas.openxmlformats.org/officeDocument/2006/customXml" ds:itemID="{E6E20B53-9EE9-4B7B-A89F-0B1087C4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16175</CharactersWithSpaces>
  <SharedDoc>false</SharedDoc>
  <HLinks>
    <vt:vector size="12" baseType="variant">
      <vt:variant>
        <vt:i4>3276908</vt:i4>
      </vt:variant>
      <vt:variant>
        <vt:i4>0</vt:i4>
      </vt:variant>
      <vt:variant>
        <vt:i4>0</vt:i4>
      </vt:variant>
      <vt:variant>
        <vt:i4>5</vt:i4>
      </vt:variant>
      <vt:variant>
        <vt:lpwstr>http://edocket.access.gpo.gov/2004/04-27096.htm</vt:lpwstr>
      </vt:variant>
      <vt:variant>
        <vt:lpwstr/>
      </vt:variant>
      <vt:variant>
        <vt:i4>1048619</vt:i4>
      </vt:variant>
      <vt:variant>
        <vt:i4>0</vt:i4>
      </vt:variant>
      <vt:variant>
        <vt:i4>0</vt:i4>
      </vt:variant>
      <vt:variant>
        <vt:i4>5</vt:i4>
      </vt:variant>
      <vt:variant>
        <vt:lpwstr>http://www.bls.gov/oes/current/naics3_486000.htm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5000.22</cp:keywords>
  <cp:lastModifiedBy/>
  <cp:revision>1</cp:revision>
  <dcterms:created xsi:type="dcterms:W3CDTF">2019-04-15T19:34:00Z</dcterms:created>
  <dcterms:modified xsi:type="dcterms:W3CDTF">2019-04-15T19:34:00Z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WorkFolderID">
    <vt:lpwstr>6426</vt:lpwstr>
  </property>
  <property fmtid="{D5CDD505-2E9C-101B-9397-08002B2CF9AE}" pid="5" name="TSAControlNumber">
    <vt:lpwstr>OIT-131202-008</vt:lpwstr>
  </property>
  <property fmtid="{D5CDD505-2E9C-101B-9397-08002B2CF9AE}" pid="6" name="WorkFolderDocumentType">
    <vt:lpwstr>Attachments</vt:lpwstr>
  </property>
  <property fmtid="{D5CDD505-2E9C-101B-9397-08002B2CF9AE}" pid="7" name="ContentTypeId">
    <vt:lpwstr>0x0101007514090916F9E74382DCB387F2133766</vt:lpwstr>
  </property>
  <property fmtid="{D5CDD505-2E9C-101B-9397-08002B2CF9AE}" pid="8" name="_dlc_DocIdItemGuid">
    <vt:lpwstr>3c14689f-77ac-4552-85e6-8ccd1d57ff03</vt:lpwstr>
  </property>
  <property fmtid="{D5CDD505-2E9C-101B-9397-08002B2CF9AE}" pid="9" name="_DocHome">
    <vt:i4>-943525267</vt:i4>
  </property>
  <property fmtid="{D5CDD505-2E9C-101B-9397-08002B2CF9AE}" pid="10" name="_docset_NoMedatataSyncRequired">
    <vt:lpwstr>False</vt:lpwstr>
  </property>
</Properties>
</file>