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noProof/>
        </w:rPr>
        <w:id w:val="37707067"/>
        <w:docPartObj>
          <w:docPartGallery w:val="Cover Pages"/>
        </w:docPartObj>
      </w:sdtPr>
      <w:sdtEndPr>
        <w:rPr>
          <w:noProof w:val="0"/>
        </w:rPr>
      </w:sdtEndPr>
      <w:sdtContent>
        <w:p w14:paraId="533408E2" w14:textId="77777777" w:rsidR="00D001E4" w:rsidRDefault="00711414">
          <w:pPr>
            <w:rPr>
              <w:noProof/>
            </w:rPr>
          </w:pPr>
          <w:r>
            <w:rPr>
              <w:noProof/>
            </w:rPr>
            <mc:AlternateContent>
              <mc:Choice Requires="wps">
                <w:drawing>
                  <wp:anchor distT="0" distB="0" distL="114300" distR="114300" simplePos="0" relativeHeight="251676672" behindDoc="1" locked="0" layoutInCell="1" allowOverlap="1" wp14:anchorId="3E0780AE" wp14:editId="40E05D2A">
                    <wp:simplePos x="0" y="0"/>
                    <wp:positionH relativeFrom="column">
                      <wp:posOffset>-450850</wp:posOffset>
                    </wp:positionH>
                    <wp:positionV relativeFrom="paragraph">
                      <wp:posOffset>0</wp:posOffset>
                    </wp:positionV>
                    <wp:extent cx="6858000" cy="45720"/>
                    <wp:effectExtent l="0" t="0" r="3175" b="1905"/>
                    <wp:wrapThrough wrapText="bothSides">
                      <wp:wrapPolygon edited="0">
                        <wp:start x="-36" y="0"/>
                        <wp:lineTo x="-36" y="18600"/>
                        <wp:lineTo x="21600" y="18600"/>
                        <wp:lineTo x="21600" y="0"/>
                        <wp:lineTo x="-36" y="0"/>
                      </wp:wrapPolygon>
                    </wp:wrapThrough>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
                            </a:xfrm>
                            <a:prstGeom prst="rect">
                              <a:avLst/>
                            </a:prstGeom>
                            <a:solidFill>
                              <a:srgbClr val="0C95D3"/>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620984" id="Rectangle 27" o:spid="_x0000_s1026" style="position:absolute;margin-left:-35.5pt;margin-top:0;width:540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" fillcolor="#0c95d3" stroked="f" strokecolor="#f2f2f2 [3041]" strokeweight="3pt">
                    <v:shadow color="#50191f [1608]" opacity=".5" offset="1pt"/>
                    <w10:wrap type="through"/>
                  </v:rect>
                </w:pict>
              </mc:Fallback>
            </mc:AlternateContent>
          </w:r>
          <w:r w:rsidR="00C00590">
            <w:rPr>
              <w:noProof/>
            </w:rPr>
            <w:drawing>
              <wp:anchor distT="0" distB="0" distL="114300" distR="114300" simplePos="0" relativeHeight="251675647" behindDoc="0" locked="0" layoutInCell="1" allowOverlap="1" wp14:anchorId="7A62F8CF" wp14:editId="41F01443">
                <wp:simplePos x="0" y="0"/>
                <wp:positionH relativeFrom="column">
                  <wp:posOffset>6350</wp:posOffset>
                </wp:positionH>
                <wp:positionV relativeFrom="paragraph">
                  <wp:posOffset>50800</wp:posOffset>
                </wp:positionV>
                <wp:extent cx="3175000" cy="609600"/>
                <wp:effectExtent l="19050" t="0" r="6350" b="0"/>
                <wp:wrapThrough wrapText="bothSides">
                  <wp:wrapPolygon edited="0">
                    <wp:start x="-130" y="0"/>
                    <wp:lineTo x="-130" y="20925"/>
                    <wp:lineTo x="21643" y="20925"/>
                    <wp:lineTo x="21643" y="0"/>
                    <wp:lineTo x="-130" y="0"/>
                  </wp:wrapPolygon>
                </wp:wrapThrough>
                <wp:docPr id="5" name="Picture 4" descr="eia_logo_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a_logo_tagline.png"/>
                        <pic:cNvPicPr/>
                      </pic:nvPicPr>
                      <pic:blipFill>
                        <a:blip r:embed="rId10" cstate="print"/>
                        <a:stretch>
                          <a:fillRect/>
                        </a:stretch>
                      </pic:blipFill>
                      <pic:spPr>
                        <a:xfrm>
                          <a:off x="0" y="0"/>
                          <a:ext cx="3175000" cy="609600"/>
                        </a:xfrm>
                        <a:prstGeom prst="rect">
                          <a:avLst/>
                        </a:prstGeom>
                      </pic:spPr>
                    </pic:pic>
                  </a:graphicData>
                </a:graphic>
              </wp:anchor>
            </w:drawing>
          </w:r>
          <w:r>
            <w:rPr>
              <w:noProof/>
            </w:rPr>
            <mc:AlternateContent>
              <mc:Choice Requires="wps">
                <w:drawing>
                  <wp:anchor distT="0" distB="0" distL="114300" distR="114300" simplePos="0" relativeHeight="251678720" behindDoc="0" locked="0" layoutInCell="1" allowOverlap="1" wp14:anchorId="324619F2" wp14:editId="465E16F4">
                    <wp:simplePos x="0" y="0"/>
                    <wp:positionH relativeFrom="margin">
                      <wp:posOffset>-450850</wp:posOffset>
                    </wp:positionH>
                    <wp:positionV relativeFrom="margin">
                      <wp:posOffset>838200</wp:posOffset>
                    </wp:positionV>
                    <wp:extent cx="6858000" cy="0"/>
                    <wp:effectExtent l="6350" t="9525" r="12700" b="9525"/>
                    <wp:wrapSquare wrapText="bothSides"/>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7E8E9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2E32D18" id="_x0000_t32" coordsize="21600,21600" o:spt="32" o:oned="t" path="m,l21600,21600e" filled="f">
                    <v:path arrowok="t" fillok="f" o:connecttype="none"/>
                    <o:lock v:ext="edit" shapetype="t"/>
                  </v:shapetype>
                  <v:shape id="AutoShape 28" o:spid="_x0000_s1026" type="#_x0000_t32" style="position:absolute;margin-left:-35.5pt;margin-top:66pt;width:540pt;height:0;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" strokecolor="#7e8e9a">
                    <w10:wrap type="square" anchorx="margin" anchory="margin"/>
                  </v:shape>
                </w:pict>
              </mc:Fallback>
            </mc:AlternateContent>
          </w:r>
        </w:p>
        <w:p w14:paraId="0E45960E" w14:textId="77777777" w:rsidR="00041909" w:rsidRDefault="001F3A8F" w:rsidP="00D928FD">
          <w:pPr>
            <w:ind w:left="1080"/>
          </w:pPr>
          <w:r>
            <w:rPr>
              <w:noProof/>
            </w:rPr>
            <w:softHyphen/>
          </w:r>
          <w:r>
            <w:rPr>
              <w:noProof/>
            </w:rPr>
            <w:softHyphen/>
          </w:r>
          <w:r>
            <w:rPr>
              <w:noProof/>
            </w:rPr>
            <w:softHyphen/>
          </w:r>
        </w:p>
      </w:sdtContent>
    </w:sdt>
    <w:p w14:paraId="1E9A434C" w14:textId="77777777" w:rsidR="00D928FD" w:rsidRDefault="00D928FD" w:rsidP="00D928FD"/>
    <w:sdt>
      <w:sdtPr>
        <w:rPr>
          <w:rFonts w:ascii="Times New Roman" w:hAnsi="Times New Roman" w:cs="Times New Roman"/>
          <w:color w:val="139CD8"/>
          <w:sz w:val="56"/>
          <w:szCs w:val="52"/>
        </w:rPr>
        <w:alias w:val="Title"/>
        <w:id w:val="1705557852"/>
        <w:dataBinding w:prefixMappings="xmlns:ns0='http://purl.org/dc/elements/1.1/' xmlns:ns1='http://schemas.openxmlformats.org/package/2006/metadata/core-properties' " w:xpath="/ns1:coreProperties[1]/ns0:title[1]" w:storeItemID="{6C3C8BC8-F283-45AE-878A-BAB7291924A1}"/>
        <w:text/>
      </w:sdtPr>
      <w:sdtEndPr/>
      <w:sdtContent>
        <w:p w14:paraId="1F147488" w14:textId="77777777" w:rsidR="00711414" w:rsidRDefault="00462B3A" w:rsidP="00711414">
          <w:pPr>
            <w:spacing w:line="240" w:lineRule="auto"/>
            <w:ind w:left="90"/>
            <w:rPr>
              <w:rFonts w:ascii="Times New Roman" w:hAnsi="Times New Roman" w:cs="Times New Roman"/>
              <w:color w:val="139CD8"/>
              <w:sz w:val="56"/>
              <w:szCs w:val="52"/>
            </w:rPr>
          </w:pPr>
          <w:r>
            <w:rPr>
              <w:rFonts w:ascii="Times New Roman" w:hAnsi="Times New Roman" w:cs="Times New Roman"/>
              <w:color w:val="139CD8"/>
              <w:sz w:val="56"/>
              <w:szCs w:val="52"/>
            </w:rPr>
            <w:t>Supporting Statement for Commercial Buildings Energy Consumption Survey (CBECS)</w:t>
          </w:r>
        </w:p>
      </w:sdtContent>
    </w:sdt>
    <w:p w14:paraId="6EC7488A" w14:textId="77777777" w:rsidR="0059212D" w:rsidRPr="007E53C4" w:rsidRDefault="007E53C4" w:rsidP="007E53C4">
      <w:pPr>
        <w:pStyle w:val="Heading1"/>
      </w:pPr>
      <w:bookmarkStart w:id="1" w:name="_Toc466046933"/>
      <w:r w:rsidRPr="007E53C4">
        <w:t>Part B</w:t>
      </w:r>
      <w:r w:rsidR="00EE2CAF" w:rsidRPr="007E53C4">
        <w:t xml:space="preserve">: </w:t>
      </w:r>
      <w:r w:rsidRPr="007E53C4">
        <w:t>Collections of Information Employing Statistical Methods</w:t>
      </w:r>
      <w:bookmarkEnd w:id="1"/>
    </w:p>
    <w:p w14:paraId="6E36CCBE" w14:textId="77777777" w:rsidR="00711414" w:rsidRPr="00711414" w:rsidRDefault="00286351" w:rsidP="00D928FD">
      <w:pPr>
        <w:rPr>
          <w:b/>
          <w:sz w:val="36"/>
          <w:szCs w:val="36"/>
        </w:rPr>
      </w:pPr>
      <w:r>
        <w:rPr>
          <w:noProof/>
        </w:rPr>
        <mc:AlternateContent>
          <mc:Choice Requires="wps">
            <w:drawing>
              <wp:anchor distT="0" distB="0" distL="114300" distR="114300" simplePos="0" relativeHeight="251693056" behindDoc="0" locked="0" layoutInCell="1" allowOverlap="1" wp14:anchorId="22A377C4" wp14:editId="74366DF8">
                <wp:simplePos x="0" y="0"/>
                <wp:positionH relativeFrom="margin">
                  <wp:align>left</wp:align>
                </wp:positionH>
                <wp:positionV relativeFrom="margin">
                  <wp:posOffset>3600450</wp:posOffset>
                </wp:positionV>
                <wp:extent cx="6019800" cy="308610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08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96657" w14:textId="77777777" w:rsidR="00C63CC3" w:rsidRPr="0059212D" w:rsidRDefault="00C63CC3" w:rsidP="00C63CC3">
                            <w:pPr>
                              <w:rPr>
                                <w:i/>
                                <w:sz w:val="28"/>
                                <w:szCs w:val="28"/>
                              </w:rPr>
                            </w:pPr>
                            <w:r w:rsidRPr="0059212D">
                              <w:rPr>
                                <w:i/>
                                <w:sz w:val="28"/>
                                <w:szCs w:val="28"/>
                              </w:rPr>
                              <w:t>Form</w:t>
                            </w:r>
                            <w:r>
                              <w:rPr>
                                <w:i/>
                                <w:sz w:val="28"/>
                                <w:szCs w:val="28"/>
                              </w:rPr>
                              <w:t>s</w:t>
                            </w:r>
                            <w:r w:rsidRPr="0059212D">
                              <w:rPr>
                                <w:i/>
                                <w:sz w:val="28"/>
                                <w:szCs w:val="28"/>
                              </w:rPr>
                              <w:t xml:space="preserve"> EIA-</w:t>
                            </w:r>
                            <w:r>
                              <w:rPr>
                                <w:i/>
                                <w:sz w:val="28"/>
                                <w:szCs w:val="28"/>
                              </w:rPr>
                              <w:t>871 A, C, D, E, F, I, J</w:t>
                            </w:r>
                            <w:r w:rsidRPr="0059212D">
                              <w:rPr>
                                <w:i/>
                                <w:sz w:val="28"/>
                                <w:szCs w:val="28"/>
                              </w:rPr>
                              <w:t xml:space="preserve">, </w:t>
                            </w:r>
                            <w:r>
                              <w:rPr>
                                <w:i/>
                                <w:sz w:val="28"/>
                                <w:szCs w:val="28"/>
                              </w:rPr>
                              <w:t>Commercial Buildings Energy Consumption Survey</w:t>
                            </w:r>
                          </w:p>
                          <w:p w14:paraId="365819D5" w14:textId="77777777" w:rsidR="00FB6BF3" w:rsidRPr="0059212D" w:rsidRDefault="00FB6BF3" w:rsidP="00FB6BF3">
                            <w:pPr>
                              <w:rPr>
                                <w:i/>
                                <w:sz w:val="28"/>
                                <w:szCs w:val="28"/>
                              </w:rPr>
                            </w:pP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0;margin-top:283.5pt;width:474pt;height:243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" filled="f" stroked="f">
                <v:textbox inset="0">
                  <w:txbxContent>
                    <w:p w14:paraId="72796657" w14:textId="77777777" w:rsidR="00C63CC3" w:rsidRPr="0059212D" w:rsidRDefault="00C63CC3" w:rsidP="00C63CC3">
                      <w:pPr>
                        <w:rPr>
                          <w:i/>
                          <w:sz w:val="28"/>
                          <w:szCs w:val="28"/>
                        </w:rPr>
                      </w:pPr>
                      <w:r w:rsidRPr="0059212D">
                        <w:rPr>
                          <w:i/>
                          <w:sz w:val="28"/>
                          <w:szCs w:val="28"/>
                        </w:rPr>
                        <w:t>Form</w:t>
                      </w:r>
                      <w:r>
                        <w:rPr>
                          <w:i/>
                          <w:sz w:val="28"/>
                          <w:szCs w:val="28"/>
                        </w:rPr>
                        <w:t>s</w:t>
                      </w:r>
                      <w:r w:rsidRPr="0059212D">
                        <w:rPr>
                          <w:i/>
                          <w:sz w:val="28"/>
                          <w:szCs w:val="28"/>
                        </w:rPr>
                        <w:t xml:space="preserve"> EIA-</w:t>
                      </w:r>
                      <w:r>
                        <w:rPr>
                          <w:i/>
                          <w:sz w:val="28"/>
                          <w:szCs w:val="28"/>
                        </w:rPr>
                        <w:t>871 A, C, D, E, F, I, J</w:t>
                      </w:r>
                      <w:r w:rsidRPr="0059212D">
                        <w:rPr>
                          <w:i/>
                          <w:sz w:val="28"/>
                          <w:szCs w:val="28"/>
                        </w:rPr>
                        <w:t xml:space="preserve">, </w:t>
                      </w:r>
                      <w:r>
                        <w:rPr>
                          <w:i/>
                          <w:sz w:val="28"/>
                          <w:szCs w:val="28"/>
                        </w:rPr>
                        <w:t>Commercial Buildings Energy Consumption Survey</w:t>
                      </w:r>
                    </w:p>
                    <w:p w14:paraId="365819D5" w14:textId="77777777" w:rsidR="00FB6BF3" w:rsidRPr="0059212D" w:rsidRDefault="00FB6BF3" w:rsidP="00FB6BF3">
                      <w:pPr>
                        <w:rPr>
                          <w:i/>
                          <w:sz w:val="28"/>
                          <w:szCs w:val="28"/>
                        </w:rPr>
                      </w:pPr>
                    </w:p>
                  </w:txbxContent>
                </v:textbox>
                <w10:wrap type="square" anchorx="margin" anchory="margin"/>
              </v:shape>
            </w:pict>
          </mc:Fallback>
        </mc:AlternateContent>
      </w:r>
      <w:r w:rsidR="00711414" w:rsidRPr="00711414">
        <w:rPr>
          <w:rFonts w:ascii="Times New Roman" w:hAnsi="Times New Roman" w:cs="Times New Roman"/>
          <w:b/>
          <w:sz w:val="36"/>
          <w:szCs w:val="36"/>
        </w:rPr>
        <w:t>OMB No. 1905-0</w:t>
      </w:r>
      <w:r>
        <w:rPr>
          <w:rFonts w:ascii="Times New Roman" w:hAnsi="Times New Roman" w:cs="Times New Roman"/>
          <w:b/>
          <w:sz w:val="36"/>
          <w:szCs w:val="36"/>
        </w:rPr>
        <w:t>145</w:t>
      </w:r>
    </w:p>
    <w:p w14:paraId="4759838B" w14:textId="77777777" w:rsidR="001F3A8F" w:rsidRPr="00711414" w:rsidRDefault="00286351" w:rsidP="00711414">
      <w:pPr>
        <w:rPr>
          <w:i/>
          <w:sz w:val="28"/>
          <w:szCs w:val="28"/>
        </w:rPr>
      </w:pPr>
      <w:r>
        <w:rPr>
          <w:noProof/>
        </w:rPr>
        <w:lastRenderedPageBreak/>
        <mc:AlternateContent>
          <mc:Choice Requires="wps">
            <w:drawing>
              <wp:anchor distT="0" distB="0" distL="114300" distR="114300" simplePos="0" relativeHeight="251689984" behindDoc="1" locked="0" layoutInCell="1" allowOverlap="1" wp14:anchorId="6725C624" wp14:editId="2F2F4771">
                <wp:simplePos x="0" y="0"/>
                <wp:positionH relativeFrom="margin">
                  <wp:posOffset>-342900</wp:posOffset>
                </wp:positionH>
                <wp:positionV relativeFrom="paragraph">
                  <wp:posOffset>4131945</wp:posOffset>
                </wp:positionV>
                <wp:extent cx="6858000" cy="62865"/>
                <wp:effectExtent l="0" t="0" r="0" b="0"/>
                <wp:wrapThrough wrapText="bothSides">
                  <wp:wrapPolygon edited="0">
                    <wp:start x="0" y="0"/>
                    <wp:lineTo x="0" y="13091"/>
                    <wp:lineTo x="21540" y="13091"/>
                    <wp:lineTo x="21540" y="0"/>
                    <wp:lineTo x="0" y="0"/>
                  </wp:wrapPolygon>
                </wp:wrapThrough>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2865"/>
                        </a:xfrm>
                        <a:prstGeom prst="rect">
                          <a:avLst/>
                        </a:prstGeom>
                        <a:solidFill>
                          <a:srgbClr val="0C95D3"/>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1170F8E" id="Rectangle 34" o:spid="_x0000_s1026" style="position:absolute;margin-left:-27pt;margin-top:325.35pt;width:540pt;height:4.95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" fillcolor="#0c95d3" stroked="f" strokecolor="#f2f2f2 [3041]" strokeweight="3pt">
                <v:shadow color="#50191f [1608]" opacity=".5" offset="1pt"/>
                <w10:wrap type="through" anchorx="margin"/>
              </v:rect>
            </w:pict>
          </mc:Fallback>
        </mc:AlternateContent>
      </w:r>
      <w:r w:rsidR="00EE2CAF">
        <w:rPr>
          <w:noProof/>
        </w:rPr>
        <mc:AlternateContent>
          <mc:Choice Requires="wps">
            <w:drawing>
              <wp:anchor distT="0" distB="0" distL="114300" distR="114300" simplePos="0" relativeHeight="251681792" behindDoc="0" locked="0" layoutInCell="1" allowOverlap="1" wp14:anchorId="43D49743" wp14:editId="4DBBBDAE">
                <wp:simplePos x="0" y="0"/>
                <wp:positionH relativeFrom="margin">
                  <wp:posOffset>95250</wp:posOffset>
                </wp:positionH>
                <wp:positionV relativeFrom="margin">
                  <wp:posOffset>6477000</wp:posOffset>
                </wp:positionV>
                <wp:extent cx="2377440" cy="497205"/>
                <wp:effectExtent l="0" t="0" r="0" b="0"/>
                <wp:wrapSquare wrapText="bothSides"/>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6FC30" w14:textId="565D68D2" w:rsidR="00132F4A" w:rsidRPr="009818F9" w:rsidRDefault="0001608E">
                            <w:pPr>
                              <w:rPr>
                                <w:color w:val="A6A6A6" w:themeColor="background1" w:themeShade="A6"/>
                                <w:sz w:val="36"/>
                              </w:rPr>
                            </w:pPr>
                            <w:r>
                              <w:rPr>
                                <w:color w:val="A6A6A6" w:themeColor="background1" w:themeShade="A6"/>
                                <w:sz w:val="36"/>
                              </w:rPr>
                              <w:t>December</w:t>
                            </w:r>
                            <w:r w:rsidR="00C63CC3">
                              <w:rPr>
                                <w:color w:val="A6A6A6" w:themeColor="background1" w:themeShade="A6"/>
                                <w:sz w:val="36"/>
                              </w:rPr>
                              <w:t xml:space="preserve"> 2018</w:t>
                            </w: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0" o:spid="_x0000_s1027" type="#_x0000_t202" style="position:absolute;margin-left:7.5pt;margin-top:510pt;width:187.2pt;height:39.1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" filled="f" stroked="f">
                <v:textbox style="mso-fit-shape-to-text:t" inset="0">
                  <w:txbxContent>
                    <w:p w14:paraId="7A76FC30" w14:textId="565D68D2" w:rsidR="00132F4A" w:rsidRPr="009818F9" w:rsidRDefault="0001608E">
                      <w:pPr>
                        <w:rPr>
                          <w:color w:val="A6A6A6" w:themeColor="background1" w:themeShade="A6"/>
                          <w:sz w:val="36"/>
                        </w:rPr>
                      </w:pPr>
                      <w:r>
                        <w:rPr>
                          <w:color w:val="A6A6A6" w:themeColor="background1" w:themeShade="A6"/>
                          <w:sz w:val="36"/>
                        </w:rPr>
                        <w:t>December</w:t>
                      </w:r>
                      <w:r w:rsidR="00C63CC3">
                        <w:rPr>
                          <w:color w:val="A6A6A6" w:themeColor="background1" w:themeShade="A6"/>
                          <w:sz w:val="36"/>
                        </w:rPr>
                        <w:t xml:space="preserve"> 2018</w:t>
                      </w:r>
                    </w:p>
                  </w:txbxContent>
                </v:textbox>
                <w10:wrap type="square" anchorx="margin" anchory="margin"/>
              </v:shape>
            </w:pict>
          </mc:Fallback>
        </mc:AlternateContent>
      </w:r>
      <w:r w:rsidR="00FB6BF3">
        <w:rPr>
          <w:noProof/>
        </w:rPr>
        <w:t xml:space="preserve"> </w:t>
      </w:r>
      <w:r w:rsidR="00711414">
        <w:rPr>
          <w:noProof/>
        </w:rPr>
        <mc:AlternateContent>
          <mc:Choice Requires="wps">
            <w:drawing>
              <wp:anchor distT="0" distB="0" distL="114300" distR="114300" simplePos="0" relativeHeight="251680768" behindDoc="0" locked="0" layoutInCell="1" allowOverlap="1" wp14:anchorId="36689BF8" wp14:editId="6634582D">
                <wp:simplePos x="0" y="0"/>
                <wp:positionH relativeFrom="margin">
                  <wp:posOffset>-76200</wp:posOffset>
                </wp:positionH>
                <wp:positionV relativeFrom="paragraph">
                  <wp:posOffset>688340</wp:posOffset>
                </wp:positionV>
                <wp:extent cx="6438900" cy="709930"/>
                <wp:effectExtent l="0" t="635" r="0" b="3810"/>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91EE0" w14:textId="77777777" w:rsidR="00132F4A" w:rsidRPr="00AA3D91" w:rsidRDefault="00132F4A" w:rsidP="00D001E4">
                            <w:pPr>
                              <w:spacing w:line="240" w:lineRule="auto"/>
                              <w:ind w:left="90"/>
                              <w:rPr>
                                <w:sz w:val="52"/>
                                <w:szCs w:val="52"/>
                              </w:rPr>
                            </w:pPr>
                          </w:p>
                        </w:txbxContent>
                      </wps:txbx>
                      <wps:bodyPr rot="0" vert="horz" wrap="square" lIns="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28" type="#_x0000_t202" style="position:absolute;margin-left:-6pt;margin-top:54.2pt;width:507pt;height:55.9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0PvAIAAL0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" filled="f" stroked="f">
                <v:textbox inset="0">
                  <w:txbxContent>
                    <w:p w14:paraId="72C91EE0" w14:textId="77777777" w:rsidR="00132F4A" w:rsidRPr="00AA3D91" w:rsidRDefault="00132F4A" w:rsidP="00D001E4">
                      <w:pPr>
                        <w:spacing w:line="240" w:lineRule="auto"/>
                        <w:ind w:left="90"/>
                        <w:rPr>
                          <w:sz w:val="52"/>
                          <w:szCs w:val="52"/>
                        </w:rPr>
                      </w:pPr>
                    </w:p>
                  </w:txbxContent>
                </v:textbox>
                <w10:wrap anchorx="margin"/>
              </v:shape>
            </w:pict>
          </mc:Fallback>
        </mc:AlternateContent>
      </w:r>
      <w:r w:rsidR="002556F3">
        <w:rPr>
          <w:noProof/>
        </w:rPr>
        <w:drawing>
          <wp:anchor distT="0" distB="0" distL="114300" distR="114300" simplePos="0" relativeHeight="251658752" behindDoc="0" locked="0" layoutInCell="1" allowOverlap="1" wp14:anchorId="0127A373" wp14:editId="68B611DF">
            <wp:simplePos x="0" y="0"/>
            <wp:positionH relativeFrom="page">
              <wp:posOffset>717550</wp:posOffset>
            </wp:positionH>
            <wp:positionV relativeFrom="page">
              <wp:posOffset>7950200</wp:posOffset>
            </wp:positionV>
            <wp:extent cx="6343650" cy="647700"/>
            <wp:effectExtent l="19050" t="0" r="0" b="0"/>
            <wp:wrapThrough wrapText="bothSides">
              <wp:wrapPolygon edited="0">
                <wp:start x="-65" y="0"/>
                <wp:lineTo x="-65" y="20965"/>
                <wp:lineTo x="21600" y="20965"/>
                <wp:lineTo x="21600" y="0"/>
                <wp:lineTo x="-65" y="0"/>
              </wp:wrapPolygon>
            </wp:wrapThrough>
            <wp:docPr id="7" name="Picture 5" descr="report_title_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itle_bottom.png"/>
                    <pic:cNvPicPr/>
                  </pic:nvPicPr>
                  <pic:blipFill>
                    <a:blip r:embed="rId11" cstate="print"/>
                    <a:srcRect/>
                    <a:stretch>
                      <a:fillRect/>
                    </a:stretch>
                  </pic:blipFill>
                  <pic:spPr>
                    <a:xfrm>
                      <a:off x="0" y="0"/>
                      <a:ext cx="6343650" cy="647700"/>
                    </a:xfrm>
                    <a:prstGeom prst="rect">
                      <a:avLst/>
                    </a:prstGeom>
                  </pic:spPr>
                </pic:pic>
              </a:graphicData>
            </a:graphic>
          </wp:anchor>
        </w:drawing>
      </w:r>
      <w:r w:rsidR="00711414">
        <w:rPr>
          <w:noProof/>
          <w:color w:val="A6A6A6" w:themeColor="background1" w:themeShade="A6"/>
        </w:rPr>
        <mc:AlternateContent>
          <mc:Choice Requires="wps">
            <w:drawing>
              <wp:anchor distT="0" distB="0" distL="114300" distR="114300" simplePos="0" relativeHeight="251691008" behindDoc="0" locked="0" layoutInCell="1" allowOverlap="1" wp14:anchorId="2BD88077" wp14:editId="2BC51C1D">
                <wp:simplePos x="0" y="0"/>
                <wp:positionH relativeFrom="margin">
                  <wp:posOffset>0</wp:posOffset>
                </wp:positionH>
                <wp:positionV relativeFrom="margin">
                  <wp:posOffset>7975600</wp:posOffset>
                </wp:positionV>
                <wp:extent cx="2717800" cy="609600"/>
                <wp:effectExtent l="0" t="3175" r="0" b="0"/>
                <wp:wrapSquare wrapText="bothSides"/>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C5FE3" w14:textId="77777777" w:rsidR="00132F4A" w:rsidRPr="008F4CBD" w:rsidRDefault="00132F4A" w:rsidP="00D300F4">
                            <w:pPr>
                              <w:kinsoku w:val="0"/>
                              <w:overflowPunct w:val="0"/>
                              <w:spacing w:after="0"/>
                              <w:rPr>
                                <w:rFonts w:ascii="Times New Roman" w:eastAsia="+mn-ea" w:hAnsi="Times New Roman" w:cs="Times New Roman"/>
                                <w:i/>
                                <w:iCs/>
                                <w:color w:val="808080" w:themeColor="background1" w:themeShade="80"/>
                                <w:kern w:val="24"/>
                                <w:sz w:val="20"/>
                                <w:szCs w:val="24"/>
                              </w:rPr>
                            </w:pPr>
                            <w:r w:rsidRPr="002556F3">
                              <w:rPr>
                                <w:rFonts w:ascii="Times New Roman" w:eastAsia="+mn-ea" w:hAnsi="Times New Roman" w:cs="Times New Roman"/>
                                <w:i/>
                                <w:iCs/>
                                <w:color w:val="808080" w:themeColor="background1" w:themeShade="80"/>
                                <w:kern w:val="24"/>
                                <w:sz w:val="20"/>
                                <w:szCs w:val="24"/>
                              </w:rPr>
                              <w:t>In</w:t>
                            </w:r>
                            <w:r w:rsidRPr="008F4CBD">
                              <w:rPr>
                                <w:rFonts w:ascii="Times New Roman" w:eastAsia="+mn-ea" w:hAnsi="Times New Roman" w:cs="Times New Roman"/>
                                <w:i/>
                                <w:iCs/>
                                <w:color w:val="808080" w:themeColor="background1" w:themeShade="80"/>
                                <w:kern w:val="24"/>
                                <w:sz w:val="20"/>
                                <w:szCs w:val="24"/>
                              </w:rPr>
                              <w:t>dependent Statistics &amp; Analysis</w:t>
                            </w:r>
                          </w:p>
                          <w:p w14:paraId="7E677E4C" w14:textId="77777777" w:rsidR="00132F4A" w:rsidRPr="008F4CBD" w:rsidRDefault="00132F4A" w:rsidP="002556F3">
                            <w:pPr>
                              <w:spacing w:before="40" w:after="0"/>
                              <w:rPr>
                                <w:rFonts w:eastAsia="Times New Roman"/>
                                <w:color w:val="808080" w:themeColor="background1" w:themeShade="80"/>
                                <w:sz w:val="20"/>
                              </w:rPr>
                            </w:pPr>
                            <w:r w:rsidRPr="008F4CBD">
                              <w:rPr>
                                <w:color w:val="808080" w:themeColor="background1" w:themeShade="80"/>
                                <w:kern w:val="24"/>
                                <w:sz w:val="20"/>
                              </w:rPr>
                              <w:t>www.eia.gov</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29" type="#_x0000_t202" style="position:absolute;margin-left:0;margin-top:628pt;width:214pt;height:48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" filled="f" stroked="f">
                <v:textbox inset="0,,0">
                  <w:txbxContent>
                    <w:p w14:paraId="612C5FE3" w14:textId="77777777" w:rsidR="00132F4A" w:rsidRPr="008F4CBD" w:rsidRDefault="00132F4A" w:rsidP="00D300F4">
                      <w:pPr>
                        <w:kinsoku w:val="0"/>
                        <w:overflowPunct w:val="0"/>
                        <w:spacing w:after="0"/>
                        <w:rPr>
                          <w:rFonts w:ascii="Times New Roman" w:eastAsia="+mn-ea" w:hAnsi="Times New Roman" w:cs="Times New Roman"/>
                          <w:i/>
                          <w:iCs/>
                          <w:color w:val="808080" w:themeColor="background1" w:themeShade="80"/>
                          <w:kern w:val="24"/>
                          <w:sz w:val="20"/>
                          <w:szCs w:val="24"/>
                        </w:rPr>
                      </w:pPr>
                      <w:r w:rsidRPr="002556F3">
                        <w:rPr>
                          <w:rFonts w:ascii="Times New Roman" w:eastAsia="+mn-ea" w:hAnsi="Times New Roman" w:cs="Times New Roman"/>
                          <w:i/>
                          <w:iCs/>
                          <w:color w:val="808080" w:themeColor="background1" w:themeShade="80"/>
                          <w:kern w:val="24"/>
                          <w:sz w:val="20"/>
                          <w:szCs w:val="24"/>
                        </w:rPr>
                        <w:t>In</w:t>
                      </w:r>
                      <w:r w:rsidRPr="008F4CBD">
                        <w:rPr>
                          <w:rFonts w:ascii="Times New Roman" w:eastAsia="+mn-ea" w:hAnsi="Times New Roman" w:cs="Times New Roman"/>
                          <w:i/>
                          <w:iCs/>
                          <w:color w:val="808080" w:themeColor="background1" w:themeShade="80"/>
                          <w:kern w:val="24"/>
                          <w:sz w:val="20"/>
                          <w:szCs w:val="24"/>
                        </w:rPr>
                        <w:t>dependent Statistics &amp; Analysis</w:t>
                      </w:r>
                    </w:p>
                    <w:p w14:paraId="7E677E4C" w14:textId="77777777" w:rsidR="00132F4A" w:rsidRPr="008F4CBD" w:rsidRDefault="00132F4A" w:rsidP="002556F3">
                      <w:pPr>
                        <w:spacing w:before="40" w:after="0"/>
                        <w:rPr>
                          <w:rFonts w:eastAsia="Times New Roman"/>
                          <w:color w:val="808080" w:themeColor="background1" w:themeShade="80"/>
                          <w:sz w:val="20"/>
                        </w:rPr>
                      </w:pPr>
                      <w:r w:rsidRPr="008F4CBD">
                        <w:rPr>
                          <w:color w:val="808080" w:themeColor="background1" w:themeShade="80"/>
                          <w:kern w:val="24"/>
                          <w:sz w:val="20"/>
                        </w:rPr>
                        <w:t>www.eia.gov</w:t>
                      </w:r>
                    </w:p>
                  </w:txbxContent>
                </v:textbox>
                <w10:wrap type="square" anchorx="margin" anchory="margin"/>
              </v:shape>
            </w:pict>
          </mc:Fallback>
        </mc:AlternateContent>
      </w:r>
      <w:r w:rsidR="00711414">
        <w:rPr>
          <w:noProof/>
          <w:color w:val="A6A6A6" w:themeColor="background1" w:themeShade="A6"/>
        </w:rPr>
        <mc:AlternateContent>
          <mc:Choice Requires="wps">
            <w:drawing>
              <wp:anchor distT="0" distB="0" distL="114300" distR="114300" simplePos="0" relativeHeight="251692032" behindDoc="0" locked="0" layoutInCell="1" allowOverlap="1" wp14:anchorId="43D457EE" wp14:editId="443E25AB">
                <wp:simplePos x="0" y="0"/>
                <wp:positionH relativeFrom="margin">
                  <wp:posOffset>3270250</wp:posOffset>
                </wp:positionH>
                <wp:positionV relativeFrom="margin">
                  <wp:posOffset>7975600</wp:posOffset>
                </wp:positionV>
                <wp:extent cx="2717800" cy="609600"/>
                <wp:effectExtent l="3175" t="3175" r="3175" b="0"/>
                <wp:wrapSquare wrapText="bothSides"/>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A9CE1" w14:textId="77777777" w:rsidR="00132F4A" w:rsidRPr="008F4CBD" w:rsidRDefault="00132F4A" w:rsidP="002556F3">
                            <w:pPr>
                              <w:spacing w:after="0"/>
                              <w:jc w:val="right"/>
                              <w:rPr>
                                <w:color w:val="808080" w:themeColor="background1" w:themeShade="80"/>
                                <w:kern w:val="24"/>
                                <w:sz w:val="20"/>
                              </w:rPr>
                            </w:pPr>
                            <w:r w:rsidRPr="008F4CBD">
                              <w:rPr>
                                <w:color w:val="808080" w:themeColor="background1" w:themeShade="80"/>
                                <w:kern w:val="24"/>
                                <w:sz w:val="20"/>
                              </w:rPr>
                              <w:t>U.S. Department of Energy</w:t>
                            </w:r>
                          </w:p>
                          <w:p w14:paraId="69E13076" w14:textId="77777777" w:rsidR="00132F4A" w:rsidRPr="008F4CBD" w:rsidRDefault="00132F4A" w:rsidP="002556F3">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0" type="#_x0000_t202" style="position:absolute;margin-left:257.5pt;margin-top:628pt;width:214pt;height:48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" filled="f" stroked="f">
                <v:textbox inset="0">
                  <w:txbxContent>
                    <w:p w14:paraId="3B7A9CE1" w14:textId="77777777" w:rsidR="00132F4A" w:rsidRPr="008F4CBD" w:rsidRDefault="00132F4A" w:rsidP="002556F3">
                      <w:pPr>
                        <w:spacing w:after="0"/>
                        <w:jc w:val="right"/>
                        <w:rPr>
                          <w:color w:val="808080" w:themeColor="background1" w:themeShade="80"/>
                          <w:kern w:val="24"/>
                          <w:sz w:val="20"/>
                        </w:rPr>
                      </w:pPr>
                      <w:r w:rsidRPr="008F4CBD">
                        <w:rPr>
                          <w:color w:val="808080" w:themeColor="background1" w:themeShade="80"/>
                          <w:kern w:val="24"/>
                          <w:sz w:val="20"/>
                        </w:rPr>
                        <w:t>U.S. Department of Energy</w:t>
                      </w:r>
                    </w:p>
                    <w:p w14:paraId="69E13076" w14:textId="77777777" w:rsidR="00132F4A" w:rsidRPr="008F4CBD" w:rsidRDefault="00132F4A" w:rsidP="002556F3">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v:textbox>
                <w10:wrap type="square" anchorx="margin" anchory="margin"/>
              </v:shape>
            </w:pict>
          </mc:Fallback>
        </mc:AlternateContent>
      </w:r>
      <w:r w:rsidR="001F3A8F">
        <w:br w:type="page"/>
      </w:r>
    </w:p>
    <w:p w14:paraId="50184256" w14:textId="77777777" w:rsidR="00755C3D" w:rsidRDefault="00755C3D" w:rsidP="00D928FD">
      <w:pPr>
        <w:sectPr w:rsidR="00755C3D" w:rsidSect="001F3A8F">
          <w:headerReference w:type="default" r:id="rId12"/>
          <w:footerReference w:type="default" r:id="rId13"/>
          <w:footnotePr>
            <w:pos w:val="beneathText"/>
          </w:footnotePr>
          <w:type w:val="continuous"/>
          <w:pgSz w:w="12240" w:h="15840"/>
          <w:pgMar w:top="1440" w:right="1440" w:bottom="1440" w:left="1440" w:header="720" w:footer="720" w:gutter="0"/>
          <w:pgNumType w:fmt="lowerRoman" w:start="1"/>
          <w:cols w:space="720"/>
          <w:titlePg/>
          <w:docGrid w:linePitch="360"/>
        </w:sectPr>
      </w:pPr>
    </w:p>
    <w:sdt>
      <w:sdtPr>
        <w:rPr>
          <w:rFonts w:asciiTheme="minorHAnsi" w:eastAsiaTheme="minorHAnsi" w:hAnsiTheme="minorHAnsi" w:cstheme="minorBidi"/>
          <w:b w:val="0"/>
          <w:bCs w:val="0"/>
          <w:color w:val="auto"/>
          <w:sz w:val="22"/>
          <w:szCs w:val="22"/>
        </w:rPr>
        <w:id w:val="819469860"/>
        <w:docPartObj>
          <w:docPartGallery w:val="Table of Contents"/>
          <w:docPartUnique/>
        </w:docPartObj>
      </w:sdtPr>
      <w:sdtEndPr>
        <w:rPr>
          <w:noProof/>
        </w:rPr>
      </w:sdtEndPr>
      <w:sdtContent>
        <w:p w14:paraId="4DB5CB16" w14:textId="77777777" w:rsidR="0059212D" w:rsidRDefault="0059212D" w:rsidP="007E53C4">
          <w:pPr>
            <w:pStyle w:val="TOCHeading"/>
          </w:pPr>
          <w:r>
            <w:t>Table of Contents</w:t>
          </w:r>
        </w:p>
        <w:p w14:paraId="523CEFC5" w14:textId="77777777" w:rsidR="007E53C4" w:rsidRDefault="0059212D">
          <w:pPr>
            <w:pStyle w:val="TOC1"/>
            <w:rPr>
              <w:rFonts w:eastAsiaTheme="minorEastAsia"/>
              <w:noProof/>
              <w:color w:val="auto"/>
            </w:rPr>
          </w:pPr>
          <w:r>
            <w:fldChar w:fldCharType="begin"/>
          </w:r>
          <w:r>
            <w:instrText xml:space="preserve"> TOC \o "1-3" \h \z \u </w:instrText>
          </w:r>
          <w:r>
            <w:fldChar w:fldCharType="separate"/>
          </w:r>
          <w:hyperlink w:anchor="_Toc466046933" w:history="1">
            <w:r w:rsidR="007E53C4" w:rsidRPr="008650D1">
              <w:rPr>
                <w:rStyle w:val="Hyperlink"/>
                <w:noProof/>
              </w:rPr>
              <w:t>Part B: Collections of Information Employing Statistical Methods</w:t>
            </w:r>
            <w:r w:rsidR="007E53C4">
              <w:rPr>
                <w:noProof/>
                <w:webHidden/>
              </w:rPr>
              <w:tab/>
            </w:r>
            <w:r w:rsidR="007E53C4">
              <w:rPr>
                <w:noProof/>
                <w:webHidden/>
              </w:rPr>
              <w:fldChar w:fldCharType="begin"/>
            </w:r>
            <w:r w:rsidR="007E53C4">
              <w:rPr>
                <w:noProof/>
                <w:webHidden/>
              </w:rPr>
              <w:instrText xml:space="preserve"> PAGEREF _Toc466046933 \h </w:instrText>
            </w:r>
            <w:r w:rsidR="007E53C4">
              <w:rPr>
                <w:noProof/>
                <w:webHidden/>
              </w:rPr>
            </w:r>
            <w:r w:rsidR="007E53C4">
              <w:rPr>
                <w:noProof/>
                <w:webHidden/>
              </w:rPr>
              <w:fldChar w:fldCharType="separate"/>
            </w:r>
            <w:r w:rsidR="00570F10">
              <w:rPr>
                <w:noProof/>
                <w:webHidden/>
              </w:rPr>
              <w:t>i</w:t>
            </w:r>
            <w:r w:rsidR="007E53C4">
              <w:rPr>
                <w:noProof/>
                <w:webHidden/>
              </w:rPr>
              <w:fldChar w:fldCharType="end"/>
            </w:r>
          </w:hyperlink>
        </w:p>
        <w:p w14:paraId="06C73E2C" w14:textId="77777777" w:rsidR="007E53C4" w:rsidRDefault="006B4524">
          <w:pPr>
            <w:pStyle w:val="TOC2"/>
            <w:rPr>
              <w:rFonts w:eastAsiaTheme="minorEastAsia"/>
              <w:noProof/>
              <w:color w:val="auto"/>
            </w:rPr>
          </w:pPr>
          <w:hyperlink w:anchor="_Toc466046934" w:history="1">
            <w:r w:rsidR="007E53C4" w:rsidRPr="008650D1">
              <w:rPr>
                <w:rStyle w:val="Hyperlink"/>
                <w:noProof/>
              </w:rPr>
              <w:t>B.1. Respondent Universe</w:t>
            </w:r>
            <w:r w:rsidR="007E53C4">
              <w:rPr>
                <w:noProof/>
                <w:webHidden/>
              </w:rPr>
              <w:tab/>
            </w:r>
            <w:r w:rsidR="007E53C4">
              <w:rPr>
                <w:noProof/>
                <w:webHidden/>
              </w:rPr>
              <w:fldChar w:fldCharType="begin"/>
            </w:r>
            <w:r w:rsidR="007E53C4">
              <w:rPr>
                <w:noProof/>
                <w:webHidden/>
              </w:rPr>
              <w:instrText xml:space="preserve"> PAGEREF _Toc466046934 \h </w:instrText>
            </w:r>
            <w:r w:rsidR="007E53C4">
              <w:rPr>
                <w:noProof/>
                <w:webHidden/>
              </w:rPr>
            </w:r>
            <w:r w:rsidR="007E53C4">
              <w:rPr>
                <w:noProof/>
                <w:webHidden/>
              </w:rPr>
              <w:fldChar w:fldCharType="separate"/>
            </w:r>
            <w:r w:rsidR="00570F10">
              <w:rPr>
                <w:noProof/>
                <w:webHidden/>
              </w:rPr>
              <w:t>1</w:t>
            </w:r>
            <w:r w:rsidR="007E53C4">
              <w:rPr>
                <w:noProof/>
                <w:webHidden/>
              </w:rPr>
              <w:fldChar w:fldCharType="end"/>
            </w:r>
          </w:hyperlink>
        </w:p>
        <w:p w14:paraId="24A8DD27" w14:textId="77777777" w:rsidR="007E53C4" w:rsidRDefault="006B4524">
          <w:pPr>
            <w:pStyle w:val="TOC2"/>
            <w:rPr>
              <w:rFonts w:eastAsiaTheme="minorEastAsia"/>
              <w:noProof/>
              <w:color w:val="auto"/>
            </w:rPr>
          </w:pPr>
          <w:hyperlink w:anchor="_Toc466046935" w:history="1">
            <w:r w:rsidR="007E53C4" w:rsidRPr="008650D1">
              <w:rPr>
                <w:rStyle w:val="Hyperlink"/>
                <w:noProof/>
              </w:rPr>
              <w:t>B.2. Statistical Methods</w:t>
            </w:r>
            <w:r w:rsidR="007E53C4">
              <w:rPr>
                <w:noProof/>
                <w:webHidden/>
              </w:rPr>
              <w:tab/>
            </w:r>
            <w:r w:rsidR="007E53C4">
              <w:rPr>
                <w:noProof/>
                <w:webHidden/>
              </w:rPr>
              <w:fldChar w:fldCharType="begin"/>
            </w:r>
            <w:r w:rsidR="007E53C4">
              <w:rPr>
                <w:noProof/>
                <w:webHidden/>
              </w:rPr>
              <w:instrText xml:space="preserve"> PAGEREF _Toc466046935 \h </w:instrText>
            </w:r>
            <w:r w:rsidR="007E53C4">
              <w:rPr>
                <w:noProof/>
                <w:webHidden/>
              </w:rPr>
            </w:r>
            <w:r w:rsidR="007E53C4">
              <w:rPr>
                <w:noProof/>
                <w:webHidden/>
              </w:rPr>
              <w:fldChar w:fldCharType="separate"/>
            </w:r>
            <w:r w:rsidR="00570F10">
              <w:rPr>
                <w:noProof/>
                <w:webHidden/>
              </w:rPr>
              <w:t>1</w:t>
            </w:r>
            <w:r w:rsidR="007E53C4">
              <w:rPr>
                <w:noProof/>
                <w:webHidden/>
              </w:rPr>
              <w:fldChar w:fldCharType="end"/>
            </w:r>
          </w:hyperlink>
        </w:p>
        <w:p w14:paraId="7D38D95C" w14:textId="525D0A35" w:rsidR="007E53C4" w:rsidRDefault="006B4524">
          <w:pPr>
            <w:pStyle w:val="TOC2"/>
            <w:rPr>
              <w:rFonts w:eastAsiaTheme="minorEastAsia"/>
              <w:noProof/>
              <w:color w:val="auto"/>
            </w:rPr>
          </w:pPr>
          <w:hyperlink w:anchor="_Toc466046936" w:history="1">
            <w:r w:rsidR="007E53C4" w:rsidRPr="008650D1">
              <w:rPr>
                <w:rStyle w:val="Hyperlink"/>
                <w:noProof/>
              </w:rPr>
              <w:t>B.3. Maximizing Response Rates</w:t>
            </w:r>
            <w:r w:rsidR="007E53C4">
              <w:rPr>
                <w:noProof/>
                <w:webHidden/>
              </w:rPr>
              <w:tab/>
            </w:r>
            <w:r w:rsidR="007E53C4">
              <w:rPr>
                <w:noProof/>
                <w:webHidden/>
              </w:rPr>
              <w:fldChar w:fldCharType="begin"/>
            </w:r>
            <w:r w:rsidR="007E53C4">
              <w:rPr>
                <w:noProof/>
                <w:webHidden/>
              </w:rPr>
              <w:instrText xml:space="preserve"> PAGEREF _Toc466046936 \h </w:instrText>
            </w:r>
            <w:r w:rsidR="007E53C4">
              <w:rPr>
                <w:noProof/>
                <w:webHidden/>
              </w:rPr>
            </w:r>
            <w:r w:rsidR="007E53C4">
              <w:rPr>
                <w:noProof/>
                <w:webHidden/>
              </w:rPr>
              <w:fldChar w:fldCharType="separate"/>
            </w:r>
            <w:r w:rsidR="00570F10">
              <w:rPr>
                <w:noProof/>
                <w:webHidden/>
              </w:rPr>
              <w:t>3</w:t>
            </w:r>
            <w:r w:rsidR="007E53C4">
              <w:rPr>
                <w:noProof/>
                <w:webHidden/>
              </w:rPr>
              <w:fldChar w:fldCharType="end"/>
            </w:r>
          </w:hyperlink>
        </w:p>
        <w:p w14:paraId="08F7A778" w14:textId="6DF458F3" w:rsidR="007E53C4" w:rsidRDefault="006B4524">
          <w:pPr>
            <w:pStyle w:val="TOC2"/>
            <w:rPr>
              <w:rFonts w:eastAsiaTheme="minorEastAsia"/>
              <w:noProof/>
              <w:color w:val="auto"/>
            </w:rPr>
          </w:pPr>
          <w:hyperlink w:anchor="_Toc466046937" w:history="1">
            <w:r w:rsidR="007E53C4" w:rsidRPr="008650D1">
              <w:rPr>
                <w:rStyle w:val="Hyperlink"/>
                <w:noProof/>
              </w:rPr>
              <w:t>B.4. Test Procedures and Form Consultations</w:t>
            </w:r>
            <w:r w:rsidR="007E53C4">
              <w:rPr>
                <w:noProof/>
                <w:webHidden/>
              </w:rPr>
              <w:tab/>
            </w:r>
            <w:r w:rsidR="007E53C4">
              <w:rPr>
                <w:noProof/>
                <w:webHidden/>
              </w:rPr>
              <w:fldChar w:fldCharType="begin"/>
            </w:r>
            <w:r w:rsidR="007E53C4">
              <w:rPr>
                <w:noProof/>
                <w:webHidden/>
              </w:rPr>
              <w:instrText xml:space="preserve"> PAGEREF _Toc466046937 \h </w:instrText>
            </w:r>
            <w:r w:rsidR="007E53C4">
              <w:rPr>
                <w:noProof/>
                <w:webHidden/>
              </w:rPr>
            </w:r>
            <w:r w:rsidR="007E53C4">
              <w:rPr>
                <w:noProof/>
                <w:webHidden/>
              </w:rPr>
              <w:fldChar w:fldCharType="separate"/>
            </w:r>
            <w:r w:rsidR="00570F10">
              <w:rPr>
                <w:noProof/>
                <w:webHidden/>
              </w:rPr>
              <w:t>4</w:t>
            </w:r>
            <w:r w:rsidR="007E53C4">
              <w:rPr>
                <w:noProof/>
                <w:webHidden/>
              </w:rPr>
              <w:fldChar w:fldCharType="end"/>
            </w:r>
          </w:hyperlink>
        </w:p>
        <w:p w14:paraId="1FE0629D" w14:textId="52054183" w:rsidR="007E53C4" w:rsidRDefault="006B4524">
          <w:pPr>
            <w:pStyle w:val="TOC2"/>
            <w:rPr>
              <w:rFonts w:eastAsiaTheme="minorEastAsia"/>
              <w:noProof/>
              <w:color w:val="auto"/>
            </w:rPr>
          </w:pPr>
          <w:hyperlink w:anchor="_Toc466046938" w:history="1">
            <w:r w:rsidR="007E53C4" w:rsidRPr="008650D1">
              <w:rPr>
                <w:rStyle w:val="Hyperlink"/>
                <w:noProof/>
              </w:rPr>
              <w:t>B.5. Statistical Consultations</w:t>
            </w:r>
            <w:r w:rsidR="007E53C4">
              <w:rPr>
                <w:noProof/>
                <w:webHidden/>
              </w:rPr>
              <w:tab/>
            </w:r>
            <w:r w:rsidR="007E53C4">
              <w:rPr>
                <w:noProof/>
                <w:webHidden/>
              </w:rPr>
              <w:fldChar w:fldCharType="begin"/>
            </w:r>
            <w:r w:rsidR="007E53C4">
              <w:rPr>
                <w:noProof/>
                <w:webHidden/>
              </w:rPr>
              <w:instrText xml:space="preserve"> PAGEREF _Toc466046938 \h </w:instrText>
            </w:r>
            <w:r w:rsidR="007E53C4">
              <w:rPr>
                <w:noProof/>
                <w:webHidden/>
              </w:rPr>
            </w:r>
            <w:r w:rsidR="007E53C4">
              <w:rPr>
                <w:noProof/>
                <w:webHidden/>
              </w:rPr>
              <w:fldChar w:fldCharType="separate"/>
            </w:r>
            <w:r w:rsidR="00570F10">
              <w:rPr>
                <w:noProof/>
                <w:webHidden/>
              </w:rPr>
              <w:t>6</w:t>
            </w:r>
            <w:r w:rsidR="007E53C4">
              <w:rPr>
                <w:noProof/>
                <w:webHidden/>
              </w:rPr>
              <w:fldChar w:fldCharType="end"/>
            </w:r>
          </w:hyperlink>
        </w:p>
        <w:p w14:paraId="7E33E777" w14:textId="77777777" w:rsidR="0059212D" w:rsidRDefault="0059212D">
          <w:r>
            <w:rPr>
              <w:b/>
              <w:bCs/>
              <w:noProof/>
            </w:rPr>
            <w:fldChar w:fldCharType="end"/>
          </w:r>
        </w:p>
      </w:sdtContent>
    </w:sdt>
    <w:p w14:paraId="2843B68B" w14:textId="77777777" w:rsidR="001F3A8F" w:rsidRDefault="001F3A8F" w:rsidP="00D928FD"/>
    <w:p w14:paraId="48BEC524" w14:textId="77777777" w:rsidR="00D928FD" w:rsidRDefault="00D928FD" w:rsidP="00D928FD">
      <w:pPr>
        <w:sectPr w:rsidR="00D928FD" w:rsidSect="00725453">
          <w:footerReference w:type="first" r:id="rId14"/>
          <w:footnotePr>
            <w:pos w:val="beneathText"/>
          </w:footnotePr>
          <w:type w:val="continuous"/>
          <w:pgSz w:w="12240" w:h="15840"/>
          <w:pgMar w:top="1440" w:right="1440" w:bottom="1440" w:left="1440" w:header="720" w:footer="720" w:gutter="0"/>
          <w:pgNumType w:fmt="lowerRoman" w:start="1"/>
          <w:cols w:space="720"/>
          <w:docGrid w:linePitch="360"/>
        </w:sectPr>
      </w:pPr>
    </w:p>
    <w:p w14:paraId="599DDD54" w14:textId="77777777" w:rsidR="00041909" w:rsidRDefault="00041909" w:rsidP="00836D62">
      <w:pPr>
        <w:spacing w:line="240" w:lineRule="auto"/>
        <w:sectPr w:rsidR="00041909" w:rsidSect="00725453">
          <w:footerReference w:type="first" r:id="rId15"/>
          <w:footnotePr>
            <w:pos w:val="beneathText"/>
          </w:footnotePr>
          <w:type w:val="continuous"/>
          <w:pgSz w:w="12240" w:h="15840"/>
          <w:pgMar w:top="1440" w:right="1440" w:bottom="1440" w:left="1440" w:header="720" w:footer="720" w:gutter="0"/>
          <w:pgNumType w:fmt="lowerRoman"/>
          <w:cols w:space="720"/>
          <w:docGrid w:linePitch="360"/>
        </w:sectPr>
      </w:pPr>
    </w:p>
    <w:p w14:paraId="7B81A9EA" w14:textId="77777777" w:rsidR="007E53C4" w:rsidRDefault="00844524" w:rsidP="00BE4957">
      <w:pPr>
        <w:pStyle w:val="Heading2"/>
      </w:pPr>
      <w:bookmarkStart w:id="2" w:name="_Toc466046934"/>
      <w:r>
        <w:t>B.</w:t>
      </w:r>
      <w:r w:rsidR="00A41763" w:rsidRPr="00A41763">
        <w:t xml:space="preserve">1. </w:t>
      </w:r>
      <w:r w:rsidR="007E53C4">
        <w:t>Respondent Universe</w:t>
      </w:r>
      <w:bookmarkEnd w:id="2"/>
    </w:p>
    <w:p w14:paraId="32722916" w14:textId="15B4ED6C" w:rsidR="00B1437F" w:rsidRPr="00A83497" w:rsidRDefault="001B017E" w:rsidP="00A41763">
      <w:pPr>
        <w:rPr>
          <w:iCs/>
        </w:rPr>
      </w:pPr>
      <w:r w:rsidRPr="00A83497">
        <w:rPr>
          <w:iCs/>
        </w:rPr>
        <w:t>CBECS provides estimates on energy-related building characteristics and energy usage data (consumption and expenditure</w:t>
      </w:r>
      <w:r w:rsidR="00E64964">
        <w:rPr>
          <w:iCs/>
        </w:rPr>
        <w:t>s</w:t>
      </w:r>
      <w:r w:rsidRPr="00A83497">
        <w:rPr>
          <w:iCs/>
        </w:rPr>
        <w:t xml:space="preserve">) </w:t>
      </w:r>
      <w:r w:rsidR="00B1437F" w:rsidRPr="00A83497">
        <w:rPr>
          <w:iCs/>
        </w:rPr>
        <w:t>for U.S. commercial buildings with over 1,000 square feet of floor</w:t>
      </w:r>
      <w:r w:rsidR="003651E9">
        <w:rPr>
          <w:iCs/>
        </w:rPr>
        <w:t xml:space="preserve"> </w:t>
      </w:r>
      <w:r w:rsidR="00B1437F" w:rsidRPr="00A83497">
        <w:rPr>
          <w:iCs/>
        </w:rPr>
        <w:t>space. Commercial buildings include all buildings in which at least half of the floor</w:t>
      </w:r>
      <w:r w:rsidR="003651E9">
        <w:rPr>
          <w:iCs/>
        </w:rPr>
        <w:t xml:space="preserve"> </w:t>
      </w:r>
      <w:r w:rsidR="00B1437F" w:rsidRPr="00A83497">
        <w:rPr>
          <w:iCs/>
        </w:rPr>
        <w:t>space is used for a purpose that is not residential, industrial, or agricultural. By this definition, CBECS includes building types that might not traditionally be considered commercial, such as schools, hospitals, correctional institutions, and buildings used for religious worship, in addition to traditional commercial buildings such as stores, restaurants, warehouses, and offices buildings. The 2012 CBECS estimates that there are about 5.6 million commercial buildings in the United States.</w:t>
      </w:r>
      <w:r w:rsidR="00911724">
        <w:rPr>
          <w:iCs/>
        </w:rPr>
        <w:br/>
      </w:r>
    </w:p>
    <w:p w14:paraId="609EF733" w14:textId="77777777" w:rsidR="007E53C4" w:rsidRDefault="00844524" w:rsidP="00BE4957">
      <w:pPr>
        <w:pStyle w:val="Heading2"/>
      </w:pPr>
      <w:bookmarkStart w:id="3" w:name="_Toc466046935"/>
      <w:r>
        <w:t>B.</w:t>
      </w:r>
      <w:r w:rsidR="00A41763" w:rsidRPr="00A41763">
        <w:t xml:space="preserve">2. </w:t>
      </w:r>
      <w:r w:rsidR="007E53C4">
        <w:t>Statistical Methods</w:t>
      </w:r>
      <w:bookmarkEnd w:id="3"/>
    </w:p>
    <w:p w14:paraId="740B6F10" w14:textId="5904FA83" w:rsidR="00CE3145" w:rsidRPr="00A83497" w:rsidRDefault="00CE3145" w:rsidP="00B0603D">
      <w:pPr>
        <w:rPr>
          <w:b/>
          <w:iCs/>
        </w:rPr>
      </w:pPr>
      <w:r w:rsidRPr="00A83497">
        <w:rPr>
          <w:b/>
          <w:iCs/>
        </w:rPr>
        <w:t>Multi-stage Area Probability Frame</w:t>
      </w:r>
    </w:p>
    <w:p w14:paraId="75B0AE73" w14:textId="77777777" w:rsidR="007464F1" w:rsidRPr="00A83497" w:rsidRDefault="00B1437F" w:rsidP="00B0603D">
      <w:pPr>
        <w:rPr>
          <w:rFonts w:ascii="Calibri" w:hAnsi="Calibri"/>
          <w:sz w:val="24"/>
        </w:rPr>
      </w:pPr>
      <w:r w:rsidRPr="00A83497">
        <w:rPr>
          <w:iCs/>
        </w:rPr>
        <w:t xml:space="preserve">The CBECS sample design is a multi-stage area probability sample, supplemented by list frames of large buildings over 200,000 square feet. </w:t>
      </w:r>
      <w:r w:rsidR="007464F1" w:rsidRPr="00A83497">
        <w:rPr>
          <w:iCs/>
        </w:rPr>
        <w:t>The general approach of the multi</w:t>
      </w:r>
      <w:r w:rsidR="00E64964">
        <w:rPr>
          <w:iCs/>
        </w:rPr>
        <w:t>-</w:t>
      </w:r>
      <w:r w:rsidR="007464F1" w:rsidRPr="00A83497">
        <w:rPr>
          <w:iCs/>
        </w:rPr>
        <w:t>stage area probability sample design is to sample and subsample successively smaller geographic areas until it is feasible to list all commercial buildings in the selected areas.</w:t>
      </w:r>
      <w:r w:rsidR="007464F1" w:rsidRPr="00A83497">
        <w:rPr>
          <w:rFonts w:ascii="Calibri" w:hAnsi="Calibri"/>
          <w:sz w:val="24"/>
        </w:rPr>
        <w:t xml:space="preserve"> </w:t>
      </w:r>
    </w:p>
    <w:p w14:paraId="16216971" w14:textId="457ED633" w:rsidR="002054B2" w:rsidRPr="00A83497" w:rsidRDefault="00035020" w:rsidP="00B0603D">
      <w:pPr>
        <w:rPr>
          <w:iCs/>
        </w:rPr>
      </w:pPr>
      <w:r w:rsidRPr="00A83497">
        <w:rPr>
          <w:b/>
          <w:iCs/>
        </w:rPr>
        <w:t xml:space="preserve">Primary Sampling Units (PSUs): </w:t>
      </w:r>
      <w:r w:rsidR="00B0603D" w:rsidRPr="00A83497">
        <w:rPr>
          <w:iCs/>
        </w:rPr>
        <w:t xml:space="preserve">The first stage of the multi-stage area probability sample </w:t>
      </w:r>
      <w:r w:rsidR="00AB728C">
        <w:rPr>
          <w:iCs/>
        </w:rPr>
        <w:t>consists of</w:t>
      </w:r>
      <w:r w:rsidR="00AB728C" w:rsidRPr="00A83497">
        <w:rPr>
          <w:iCs/>
        </w:rPr>
        <w:t xml:space="preserve"> </w:t>
      </w:r>
      <w:r w:rsidR="00B0603D" w:rsidRPr="00A83497">
        <w:rPr>
          <w:iCs/>
        </w:rPr>
        <w:t>primary sampling units (PSUs)</w:t>
      </w:r>
      <w:r w:rsidR="005F31A6">
        <w:rPr>
          <w:iCs/>
        </w:rPr>
        <w:t xml:space="preserve">, which are counties or groups of </w:t>
      </w:r>
      <w:r w:rsidR="00565D8D">
        <w:rPr>
          <w:iCs/>
        </w:rPr>
        <w:t xml:space="preserve">contiguous </w:t>
      </w:r>
      <w:r w:rsidR="005F31A6">
        <w:rPr>
          <w:iCs/>
        </w:rPr>
        <w:t>counties. The country is divided up into 687 total PSUs.</w:t>
      </w:r>
      <w:r w:rsidR="00B0603D" w:rsidRPr="00A83497">
        <w:rPr>
          <w:iCs/>
        </w:rPr>
        <w:t xml:space="preserve"> </w:t>
      </w:r>
    </w:p>
    <w:p w14:paraId="1AD6CAAD" w14:textId="2265A004" w:rsidR="00B0603D" w:rsidRPr="00A83497" w:rsidRDefault="00B0603D" w:rsidP="00B0603D">
      <w:pPr>
        <w:rPr>
          <w:iCs/>
        </w:rPr>
      </w:pPr>
      <w:r w:rsidRPr="00A83497">
        <w:rPr>
          <w:iCs/>
        </w:rPr>
        <w:t>The PSUs in the frame are grouped into 65 strata that are homogeneous based on geographic characteristics such as similar climate and topography</w:t>
      </w:r>
      <w:r w:rsidR="00831BFB">
        <w:rPr>
          <w:iCs/>
        </w:rPr>
        <w:t>, but are not necessarily geographically contiguous</w:t>
      </w:r>
      <w:r w:rsidRPr="00A83497">
        <w:rPr>
          <w:iCs/>
        </w:rPr>
        <w:t xml:space="preserve">. </w:t>
      </w:r>
    </w:p>
    <w:p w14:paraId="3D2A1249" w14:textId="74A10947" w:rsidR="002054B2" w:rsidRPr="00A83497" w:rsidRDefault="00B0603D" w:rsidP="002054B2">
      <w:pPr>
        <w:rPr>
          <w:iCs/>
        </w:rPr>
      </w:pPr>
      <w:r w:rsidRPr="00A83497">
        <w:rPr>
          <w:iCs/>
        </w:rPr>
        <w:t xml:space="preserve">Twenty of the 65 strata contained only one PSU and </w:t>
      </w:r>
      <w:r w:rsidR="009817D9">
        <w:rPr>
          <w:iCs/>
        </w:rPr>
        <w:t>are</w:t>
      </w:r>
      <w:r w:rsidRPr="00A83497">
        <w:rPr>
          <w:iCs/>
        </w:rPr>
        <w:t xml:space="preserve"> sampled with certainty. </w:t>
      </w:r>
      <w:r w:rsidR="00831BFB">
        <w:rPr>
          <w:iCs/>
        </w:rPr>
        <w:t xml:space="preserve">Certainty </w:t>
      </w:r>
      <w:r w:rsidR="00831BFB" w:rsidRPr="00831BFB">
        <w:rPr>
          <w:iCs/>
        </w:rPr>
        <w:t xml:space="preserve">PSUs are in major cities with substantial commercial activity. </w:t>
      </w:r>
      <w:r w:rsidRPr="00A83497">
        <w:rPr>
          <w:iCs/>
        </w:rPr>
        <w:t>The remaining 45 non</w:t>
      </w:r>
      <w:r w:rsidR="005B5170">
        <w:rPr>
          <w:iCs/>
        </w:rPr>
        <w:t>-</w:t>
      </w:r>
      <w:r w:rsidRPr="00A83497">
        <w:rPr>
          <w:iCs/>
        </w:rPr>
        <w:t xml:space="preserve">certainty strata contain multiple PSUs. </w:t>
      </w:r>
      <w:r w:rsidR="00B1424F">
        <w:rPr>
          <w:iCs/>
        </w:rPr>
        <w:t>The</w:t>
      </w:r>
      <w:r w:rsidRPr="00A83497">
        <w:rPr>
          <w:iCs/>
        </w:rPr>
        <w:t xml:space="preserve"> PSUs </w:t>
      </w:r>
      <w:r w:rsidR="009817D9">
        <w:rPr>
          <w:iCs/>
        </w:rPr>
        <w:t>are</w:t>
      </w:r>
      <w:r w:rsidRPr="00A83497">
        <w:rPr>
          <w:iCs/>
        </w:rPr>
        <w:t xml:space="preserve"> selected using probabilities proportional to a measure of size that</w:t>
      </w:r>
      <w:r w:rsidR="00B1424F">
        <w:rPr>
          <w:iCs/>
        </w:rPr>
        <w:t xml:space="preserve"> relates to commercial activity. </w:t>
      </w:r>
      <w:r w:rsidR="002054B2" w:rsidRPr="00A83497">
        <w:rPr>
          <w:iCs/>
        </w:rPr>
        <w:t xml:space="preserve">A measure of commercial business activity within each PSU </w:t>
      </w:r>
      <w:r w:rsidR="009817D9">
        <w:rPr>
          <w:iCs/>
        </w:rPr>
        <w:t>is</w:t>
      </w:r>
      <w:r w:rsidR="002054B2" w:rsidRPr="00A83497">
        <w:rPr>
          <w:iCs/>
        </w:rPr>
        <w:t xml:space="preserve"> estimated using</w:t>
      </w:r>
      <w:r w:rsidR="00565D8D">
        <w:rPr>
          <w:iCs/>
        </w:rPr>
        <w:t xml:space="preserve"> employee counts from </w:t>
      </w:r>
      <w:r w:rsidR="002054B2" w:rsidRPr="00A83497">
        <w:rPr>
          <w:iCs/>
        </w:rPr>
        <w:t>the Census Bureau’s County Business Patterns</w:t>
      </w:r>
      <w:r w:rsidR="00565D8D">
        <w:rPr>
          <w:iCs/>
        </w:rPr>
        <w:t xml:space="preserve"> and employee per building ratio estimates from previous CBECS surveys</w:t>
      </w:r>
      <w:r w:rsidR="002054B2" w:rsidRPr="00A83497">
        <w:rPr>
          <w:iCs/>
        </w:rPr>
        <w:t xml:space="preserve">. This measure of business activity </w:t>
      </w:r>
      <w:r w:rsidR="009817D9">
        <w:rPr>
          <w:iCs/>
        </w:rPr>
        <w:t>is</w:t>
      </w:r>
      <w:r w:rsidR="002054B2" w:rsidRPr="00A83497">
        <w:rPr>
          <w:iCs/>
        </w:rPr>
        <w:t xml:space="preserve"> used as a measure of size to statistically select PSUs with probability proportionate to size (PPS) sampling. O</w:t>
      </w:r>
      <w:r w:rsidR="00DD2564" w:rsidRPr="00A83497">
        <w:rPr>
          <w:iCs/>
        </w:rPr>
        <w:t>f the 687 PSUs in the frame, 151</w:t>
      </w:r>
      <w:r w:rsidR="002054B2" w:rsidRPr="00A83497">
        <w:rPr>
          <w:iCs/>
        </w:rPr>
        <w:t xml:space="preserve"> are selected for the sample PSUs</w:t>
      </w:r>
      <w:r w:rsidR="00E4149F">
        <w:rPr>
          <w:iCs/>
        </w:rPr>
        <w:t xml:space="preserve"> – 20 selected from the certainty strata, 3 PSUs per strata in 43 of the 45 non-certainty strata, and 1 PSU each in the Alaska and Hawaii non-certainty strata</w:t>
      </w:r>
      <w:r w:rsidR="002054B2" w:rsidRPr="00A83497">
        <w:rPr>
          <w:iCs/>
        </w:rPr>
        <w:t>.</w:t>
      </w:r>
    </w:p>
    <w:p w14:paraId="120C4048" w14:textId="35E062DF" w:rsidR="00085C88" w:rsidRPr="008948FE" w:rsidRDefault="00085C88" w:rsidP="00FA6BFD">
      <w:pPr>
        <w:tabs>
          <w:tab w:val="left" w:pos="90"/>
        </w:tabs>
        <w:rPr>
          <w:iCs/>
        </w:rPr>
      </w:pPr>
      <w:r w:rsidRPr="00A83497">
        <w:rPr>
          <w:b/>
          <w:iCs/>
        </w:rPr>
        <w:t xml:space="preserve">Secondary Sampling Units (SSUs): </w:t>
      </w:r>
      <w:r w:rsidR="002054B2" w:rsidRPr="00A83497">
        <w:rPr>
          <w:iCs/>
        </w:rPr>
        <w:t>The next step in the multi</w:t>
      </w:r>
      <w:r w:rsidR="00476C89">
        <w:rPr>
          <w:iCs/>
        </w:rPr>
        <w:t>-</w:t>
      </w:r>
      <w:r w:rsidR="002054B2" w:rsidRPr="00A83497">
        <w:rPr>
          <w:iCs/>
        </w:rPr>
        <w:t xml:space="preserve">stage area sampling procedure consists of selecting subareas within </w:t>
      </w:r>
      <w:r w:rsidR="00DD2564" w:rsidRPr="00A83497">
        <w:rPr>
          <w:iCs/>
        </w:rPr>
        <w:t>each sampled PSU. Within the 151</w:t>
      </w:r>
      <w:r w:rsidR="002054B2" w:rsidRPr="00A83497">
        <w:rPr>
          <w:iCs/>
        </w:rPr>
        <w:t xml:space="preserve"> selected PSUs, 8,800 </w:t>
      </w:r>
      <w:r w:rsidR="00E4149F">
        <w:rPr>
          <w:iCs/>
        </w:rPr>
        <w:t xml:space="preserve">total </w:t>
      </w:r>
      <w:r w:rsidR="002054B2" w:rsidRPr="00A83497">
        <w:rPr>
          <w:iCs/>
        </w:rPr>
        <w:t xml:space="preserve">SSUs </w:t>
      </w:r>
      <w:r w:rsidR="009817D9">
        <w:rPr>
          <w:iCs/>
        </w:rPr>
        <w:t>are</w:t>
      </w:r>
      <w:r w:rsidR="002054B2" w:rsidRPr="00A83497">
        <w:rPr>
          <w:iCs/>
        </w:rPr>
        <w:t xml:space="preserve"> constructed by combining 23,117 </w:t>
      </w:r>
      <w:r w:rsidR="00476C89">
        <w:rPr>
          <w:iCs/>
        </w:rPr>
        <w:t>c</w:t>
      </w:r>
      <w:r w:rsidR="002054B2" w:rsidRPr="00A83497">
        <w:rPr>
          <w:iCs/>
        </w:rPr>
        <w:t xml:space="preserve">ensus tracts. </w:t>
      </w:r>
      <w:r w:rsidR="00FA6BFD">
        <w:rPr>
          <w:iCs/>
        </w:rPr>
        <w:t>To construct the SSUs, first</w:t>
      </w:r>
      <w:r w:rsidR="002054B2" w:rsidRPr="00A83497">
        <w:rPr>
          <w:iCs/>
        </w:rPr>
        <w:t xml:space="preserve"> </w:t>
      </w:r>
      <w:r w:rsidR="00476C89">
        <w:rPr>
          <w:iCs/>
        </w:rPr>
        <w:t>c</w:t>
      </w:r>
      <w:r w:rsidR="002054B2" w:rsidRPr="00A83497">
        <w:rPr>
          <w:iCs/>
        </w:rPr>
        <w:t xml:space="preserve">ensus tract tabulations </w:t>
      </w:r>
      <w:r w:rsidR="00FA6BFD">
        <w:rPr>
          <w:iCs/>
        </w:rPr>
        <w:t xml:space="preserve">were produced </w:t>
      </w:r>
      <w:r w:rsidR="002054B2" w:rsidRPr="00A83497">
        <w:rPr>
          <w:iCs/>
        </w:rPr>
        <w:t xml:space="preserve">for the number of commercial buildings by building size and use classes from the </w:t>
      </w:r>
      <w:r w:rsidR="003863D9" w:rsidRPr="00A83497">
        <w:rPr>
          <w:iCs/>
        </w:rPr>
        <w:t>Common Premises Location (</w:t>
      </w:r>
      <w:r w:rsidR="002054B2" w:rsidRPr="00A83497">
        <w:rPr>
          <w:iCs/>
        </w:rPr>
        <w:t>CPL</w:t>
      </w:r>
      <w:r w:rsidR="003863D9" w:rsidRPr="00A83497">
        <w:rPr>
          <w:iCs/>
        </w:rPr>
        <w:t>)</w:t>
      </w:r>
      <w:r w:rsidR="002054B2" w:rsidRPr="00A83497">
        <w:rPr>
          <w:iCs/>
        </w:rPr>
        <w:t xml:space="preserve"> database purchased from Dun &amp; Bradstreet. </w:t>
      </w:r>
      <w:r w:rsidR="00A65179">
        <w:rPr>
          <w:iCs/>
        </w:rPr>
        <w:t xml:space="preserve">A measure of size for each tract was calculated using </w:t>
      </w:r>
      <w:r w:rsidR="00A65179" w:rsidRPr="00FA6BFD">
        <w:rPr>
          <w:iCs/>
        </w:rPr>
        <w:t xml:space="preserve">as the expected number of interviews in the tract, which was obtained by applying the preliminary CBECS national building sampling rates to the tract-level CPL building counts by size and use strata. Small tracts were combined to provide adequate numbers of expected interviews in each SSU. </w:t>
      </w:r>
      <w:r w:rsidR="00FA6BFD" w:rsidRPr="00FA6BFD">
        <w:rPr>
          <w:iCs/>
        </w:rPr>
        <w:t>The final SSU measure of size</w:t>
      </w:r>
      <w:r w:rsidR="00A65179" w:rsidRPr="00FA6BFD">
        <w:rPr>
          <w:iCs/>
        </w:rPr>
        <w:t xml:space="preserve"> was computed by aggregating the tract-level </w:t>
      </w:r>
      <w:r w:rsidR="00FA6BFD">
        <w:rPr>
          <w:iCs/>
        </w:rPr>
        <w:t xml:space="preserve">measures of size </w:t>
      </w:r>
      <w:r w:rsidR="00A65179" w:rsidRPr="00FA6BFD">
        <w:rPr>
          <w:iCs/>
        </w:rPr>
        <w:t xml:space="preserve">across all tracts defining a given SSU. </w:t>
      </w:r>
      <w:r w:rsidR="001B1139">
        <w:rPr>
          <w:iCs/>
        </w:rPr>
        <w:t>A stratified PPS sample of SSUs was selected, with building size and use categories as strata</w:t>
      </w:r>
      <w:r w:rsidR="00EC1EEA" w:rsidRPr="00A83497">
        <w:rPr>
          <w:iCs/>
        </w:rPr>
        <w:t>. Of the 8,800 SSUs in the selected PSUs</w:t>
      </w:r>
      <w:r w:rsidR="002054B2" w:rsidRPr="00A83497">
        <w:rPr>
          <w:iCs/>
        </w:rPr>
        <w:t xml:space="preserve">, </w:t>
      </w:r>
      <w:r w:rsidR="008617FE">
        <w:rPr>
          <w:iCs/>
        </w:rPr>
        <w:t>764</w:t>
      </w:r>
      <w:r w:rsidR="00EC1EEA" w:rsidRPr="00A83497">
        <w:rPr>
          <w:iCs/>
        </w:rPr>
        <w:t xml:space="preserve"> SSUs </w:t>
      </w:r>
      <w:r w:rsidR="009817D9">
        <w:rPr>
          <w:iCs/>
        </w:rPr>
        <w:t>are</w:t>
      </w:r>
      <w:r w:rsidR="00EC1EEA" w:rsidRPr="00A83497">
        <w:rPr>
          <w:iCs/>
        </w:rPr>
        <w:t xml:space="preserve"> sampled</w:t>
      </w:r>
      <w:r w:rsidR="002054B2" w:rsidRPr="00A83497">
        <w:rPr>
          <w:iCs/>
        </w:rPr>
        <w:t xml:space="preserve">. </w:t>
      </w:r>
      <w:r w:rsidR="008E182C" w:rsidRPr="008948FE">
        <w:t>Given the 151 selected PSUs, a targeted number of completed building interviews of 8,000 for the 2018 CBECS, a desire for cluster sample sizes of 10.5 completed building interviews per SSU (similar to 2012), and similar design effects due to clustering between the 2012 and 2018 CBECS, the number of SSUs to select for the 2018 CBECS was determined to be 764.</w:t>
      </w:r>
    </w:p>
    <w:p w14:paraId="7B0AC1C0" w14:textId="77D2A950" w:rsidR="0001368A" w:rsidRPr="00A83497" w:rsidRDefault="00EC1EEA" w:rsidP="00A41763">
      <w:pPr>
        <w:rPr>
          <w:iCs/>
        </w:rPr>
      </w:pPr>
      <w:r w:rsidRPr="00A83497">
        <w:rPr>
          <w:b/>
          <w:iCs/>
        </w:rPr>
        <w:t xml:space="preserve">Buildings: </w:t>
      </w:r>
      <w:r w:rsidRPr="00A83497">
        <w:rPr>
          <w:iCs/>
        </w:rPr>
        <w:t xml:space="preserve">The final step in the multi-stage area probability sample consists of selecting buildings within each sampled SSU. A combination of field listing and virtual listing </w:t>
      </w:r>
      <w:r w:rsidR="009817D9">
        <w:rPr>
          <w:iCs/>
        </w:rPr>
        <w:t>is</w:t>
      </w:r>
      <w:r w:rsidRPr="00A83497">
        <w:rPr>
          <w:iCs/>
        </w:rPr>
        <w:t xml:space="preserve"> used to produce a list of all</w:t>
      </w:r>
      <w:r w:rsidR="008617FE">
        <w:rPr>
          <w:iCs/>
        </w:rPr>
        <w:t xml:space="preserve"> commercial buildings in the 764</w:t>
      </w:r>
      <w:r w:rsidRPr="00A83497">
        <w:rPr>
          <w:iCs/>
        </w:rPr>
        <w:t xml:space="preserve"> sampled SSUs. </w:t>
      </w:r>
      <w:r w:rsidR="0001368A" w:rsidRPr="00A83497">
        <w:rPr>
          <w:iCs/>
        </w:rPr>
        <w:t xml:space="preserve">For field listed segments, </w:t>
      </w:r>
      <w:r w:rsidRPr="00A83497">
        <w:rPr>
          <w:iCs/>
        </w:rPr>
        <w:t>trained field staff walk every block in the segment (or dr</w:t>
      </w:r>
      <w:r w:rsidR="00642E88">
        <w:rPr>
          <w:iCs/>
        </w:rPr>
        <w:t>i</w:t>
      </w:r>
      <w:r w:rsidRPr="00A83497">
        <w:rPr>
          <w:iCs/>
        </w:rPr>
        <w:t xml:space="preserve">ve in more suburban or rural areas) and </w:t>
      </w:r>
      <w:r w:rsidR="00BF1288" w:rsidRPr="00A83497">
        <w:rPr>
          <w:iCs/>
        </w:rPr>
        <w:t>record</w:t>
      </w:r>
      <w:r w:rsidRPr="00A83497">
        <w:rPr>
          <w:iCs/>
        </w:rPr>
        <w:t xml:space="preserve"> all commercial buildings within the designated segment boundaries. </w:t>
      </w:r>
      <w:r w:rsidR="0001368A" w:rsidRPr="00A83497">
        <w:rPr>
          <w:iCs/>
        </w:rPr>
        <w:t xml:space="preserve">For virtually listed segments, buildings </w:t>
      </w:r>
      <w:r w:rsidR="009817D9">
        <w:rPr>
          <w:iCs/>
        </w:rPr>
        <w:t>are</w:t>
      </w:r>
      <w:r w:rsidR="0001368A" w:rsidRPr="00A83497">
        <w:rPr>
          <w:iCs/>
        </w:rPr>
        <w:t xml:space="preserve"> listed using t</w:t>
      </w:r>
      <w:r w:rsidRPr="00A83497">
        <w:rPr>
          <w:iCs/>
        </w:rPr>
        <w:t>he web-based Virtual Listing System</w:t>
      </w:r>
      <w:r w:rsidR="0001368A" w:rsidRPr="00A83497">
        <w:rPr>
          <w:iCs/>
        </w:rPr>
        <w:t>, which</w:t>
      </w:r>
      <w:r w:rsidRPr="00A83497">
        <w:rPr>
          <w:iCs/>
        </w:rPr>
        <w:t xml:space="preserve"> incorporates GIS, satellite imagery, points of interest, and other commercial databases. The V</w:t>
      </w:r>
      <w:r w:rsidR="00903BCD">
        <w:rPr>
          <w:iCs/>
        </w:rPr>
        <w:t>irtual Listing System</w:t>
      </w:r>
      <w:r w:rsidRPr="00A83497">
        <w:rPr>
          <w:iCs/>
        </w:rPr>
        <w:t xml:space="preserve"> allows the listing of buildings from computers in a centralized location, saving time and money compared to traditional field listing.</w:t>
      </w:r>
      <w:r w:rsidR="00BF1288" w:rsidRPr="00A83497">
        <w:rPr>
          <w:iCs/>
        </w:rPr>
        <w:t xml:space="preserve"> Both listing methods produce the address, building size category, and building use category for each listed building. </w:t>
      </w:r>
    </w:p>
    <w:p w14:paraId="66B7DA69" w14:textId="53C15AE7" w:rsidR="00BF1288" w:rsidRPr="00A83497" w:rsidRDefault="00BF1288" w:rsidP="00A41763">
      <w:pPr>
        <w:rPr>
          <w:iCs/>
        </w:rPr>
      </w:pPr>
      <w:r w:rsidRPr="00A83497">
        <w:rPr>
          <w:iCs/>
        </w:rPr>
        <w:t xml:space="preserve">Buildings </w:t>
      </w:r>
      <w:r w:rsidR="009817D9">
        <w:rPr>
          <w:iCs/>
        </w:rPr>
        <w:t>are</w:t>
      </w:r>
      <w:r w:rsidRPr="00A83497">
        <w:rPr>
          <w:iCs/>
        </w:rPr>
        <w:t xml:space="preserve"> selected for inclusion in the sample from the field and virtual listings</w:t>
      </w:r>
      <w:r w:rsidR="00831BFB">
        <w:rPr>
          <w:iCs/>
        </w:rPr>
        <w:t xml:space="preserve"> using a systematic PPS selection procedure</w:t>
      </w:r>
      <w:r w:rsidRPr="00A83497">
        <w:rPr>
          <w:iCs/>
        </w:rPr>
        <w:t xml:space="preserve">. </w:t>
      </w:r>
      <w:r w:rsidR="0027488A" w:rsidRPr="0027488A">
        <w:rPr>
          <w:iCs/>
        </w:rPr>
        <w:t xml:space="preserve">The overall building sample size is allocated to building size and use strata in such a way that the expected precision for the total Btu estimate is maximized. The optimal building sampling rates </w:t>
      </w:r>
      <w:r w:rsidR="0027488A">
        <w:rPr>
          <w:iCs/>
        </w:rPr>
        <w:t>are</w:t>
      </w:r>
      <w:r w:rsidR="0027488A" w:rsidRPr="0027488A">
        <w:rPr>
          <w:iCs/>
        </w:rPr>
        <w:t xml:space="preserve"> calculated using the 2012 CBECS energy consumption data and the building population estimates. Using the 2012 CBECS data, the unit variances for total Btu among buildings within each of the use and size classes </w:t>
      </w:r>
      <w:r w:rsidR="0027488A">
        <w:rPr>
          <w:iCs/>
        </w:rPr>
        <w:t xml:space="preserve">are computed. </w:t>
      </w:r>
      <w:r w:rsidR="0027488A" w:rsidRPr="0027488A">
        <w:rPr>
          <w:iCs/>
        </w:rPr>
        <w:t>The building population size estimates and estimates of standard deviation of total Btu within each bui</w:t>
      </w:r>
      <w:r w:rsidR="0027488A">
        <w:rPr>
          <w:iCs/>
        </w:rPr>
        <w:t xml:space="preserve">lding size and use stratum </w:t>
      </w:r>
      <w:r w:rsidR="0027488A" w:rsidRPr="0027488A">
        <w:rPr>
          <w:iCs/>
        </w:rPr>
        <w:t xml:space="preserve">determine the optimal sampling rates using a Neyman allocation. </w:t>
      </w:r>
    </w:p>
    <w:p w14:paraId="3642CB22" w14:textId="77777777" w:rsidR="00CE3145" w:rsidRPr="00A83497" w:rsidRDefault="005323B7" w:rsidP="00A41763">
      <w:pPr>
        <w:rPr>
          <w:b/>
          <w:iCs/>
        </w:rPr>
      </w:pPr>
      <w:r w:rsidRPr="00A83497">
        <w:rPr>
          <w:b/>
          <w:iCs/>
        </w:rPr>
        <w:t>List Frame of Large Buildings</w:t>
      </w:r>
    </w:p>
    <w:p w14:paraId="3B779ACA" w14:textId="77777777" w:rsidR="005323B7" w:rsidRPr="00A83497" w:rsidRDefault="005323B7" w:rsidP="005323B7">
      <w:pPr>
        <w:pStyle w:val="BodyText"/>
        <w:widowControl w:val="0"/>
        <w:rPr>
          <w:iCs/>
        </w:rPr>
      </w:pPr>
      <w:r w:rsidRPr="00A83497">
        <w:rPr>
          <w:iCs/>
        </w:rPr>
        <w:t xml:space="preserve">It is desirable to sample large buildings at a higher rate than small buildings because of the relatively large amount of energy that is consumed in large buildings. However, the area probability sampling procedure cannot provide an optimally efficient mix of large and small buildings in order to guarantee that a sufficient number of very large buildings would be available for sampling. </w:t>
      </w:r>
    </w:p>
    <w:p w14:paraId="7679FD23" w14:textId="60F9ACB5" w:rsidR="005323B7" w:rsidRPr="00A83497" w:rsidRDefault="005323B7" w:rsidP="005323B7">
      <w:pPr>
        <w:rPr>
          <w:iCs/>
        </w:rPr>
      </w:pPr>
      <w:r w:rsidRPr="00A83497">
        <w:rPr>
          <w:iCs/>
        </w:rPr>
        <w:t xml:space="preserve">To compensate for this inefficiency of the area sample, special lists of government buildings, </w:t>
      </w:r>
      <w:r w:rsidR="00A95B73">
        <w:rPr>
          <w:iCs/>
        </w:rPr>
        <w:t>college and university buildings</w:t>
      </w:r>
      <w:r w:rsidRPr="00A83497">
        <w:rPr>
          <w:iCs/>
        </w:rPr>
        <w:t xml:space="preserve">, hospitals, airports, and other large buildings are used in the sample PSUs. To complete the full 2018 sample, buildings </w:t>
      </w:r>
      <w:r w:rsidR="00A95B73">
        <w:rPr>
          <w:iCs/>
        </w:rPr>
        <w:t xml:space="preserve">that are at least 200,000 square feet </w:t>
      </w:r>
      <w:r w:rsidRPr="00A83497">
        <w:rPr>
          <w:iCs/>
        </w:rPr>
        <w:t xml:space="preserve">will be sampled from these lists at the PSU level and then combined with those selected by the area sampling procedure after checking the frames for duplication. </w:t>
      </w:r>
    </w:p>
    <w:p w14:paraId="40F12C0A" w14:textId="17C4073B" w:rsidR="005323B7" w:rsidRPr="00A83497" w:rsidRDefault="005323B7" w:rsidP="005323B7">
      <w:pPr>
        <w:rPr>
          <w:iCs/>
        </w:rPr>
      </w:pPr>
      <w:r w:rsidRPr="00A83497">
        <w:rPr>
          <w:iCs/>
        </w:rPr>
        <w:t xml:space="preserve">The list frame consists of: U.S. Government buildings that are at least 200,000 square feet (from the General Services Administration Real Property Inventory); four-year colleges and universities that are estimated to have at least 1,000,000 square feet of floorspace (from the Integrated Postsecondary Education Data System); hospitals that are estimated to have at least 200,000 square feet of floorspace (purchased from </w:t>
      </w:r>
      <w:r w:rsidR="003863D9" w:rsidRPr="00A83497">
        <w:rPr>
          <w:iCs/>
        </w:rPr>
        <w:t>IQVIA</w:t>
      </w:r>
      <w:r w:rsidRPr="00A83497">
        <w:rPr>
          <w:iCs/>
        </w:rPr>
        <w:t>); a list of airports (from the Federal Aviation Administration)</w:t>
      </w:r>
      <w:r w:rsidR="009817D9">
        <w:rPr>
          <w:iCs/>
        </w:rPr>
        <w:t xml:space="preserve"> over 200,000 square feet</w:t>
      </w:r>
      <w:r w:rsidRPr="00A83497">
        <w:rPr>
          <w:iCs/>
        </w:rPr>
        <w:t xml:space="preserve">; and a list of large buildings over 200,000 square feet (from the </w:t>
      </w:r>
      <w:r w:rsidR="00F24FEF" w:rsidRPr="00A83497">
        <w:rPr>
          <w:iCs/>
        </w:rPr>
        <w:t>CPL</w:t>
      </w:r>
      <w:r w:rsidRPr="00A83497">
        <w:rPr>
          <w:iCs/>
        </w:rPr>
        <w:t xml:space="preserve"> file purchased from Dun &amp; Bradstreet).  </w:t>
      </w:r>
    </w:p>
    <w:p w14:paraId="7F334D14" w14:textId="77777777" w:rsidR="00323BDF" w:rsidRPr="00A83497" w:rsidRDefault="00323BDF" w:rsidP="00323BDF">
      <w:pPr>
        <w:rPr>
          <w:b/>
          <w:iCs/>
        </w:rPr>
      </w:pPr>
      <w:r>
        <w:rPr>
          <w:b/>
          <w:iCs/>
        </w:rPr>
        <w:t>De-duplicating the frames</w:t>
      </w:r>
    </w:p>
    <w:p w14:paraId="6E20E31C" w14:textId="5BA62DD1" w:rsidR="002711AB" w:rsidRPr="00323BDF" w:rsidRDefault="00323BDF" w:rsidP="00323BDF">
      <w:pPr>
        <w:pStyle w:val="L2-FlLSp12"/>
        <w:spacing w:after="200" w:line="300" w:lineRule="atLeast"/>
        <w:rPr>
          <w:rFonts w:asciiTheme="minorHAnsi" w:eastAsiaTheme="minorHAnsi" w:hAnsiTheme="minorHAnsi" w:cstheme="minorBidi"/>
          <w:iCs/>
          <w:sz w:val="22"/>
          <w:szCs w:val="22"/>
        </w:rPr>
      </w:pPr>
      <w:r w:rsidRPr="00323BDF">
        <w:rPr>
          <w:rFonts w:asciiTheme="minorHAnsi" w:eastAsiaTheme="minorHAnsi" w:hAnsiTheme="minorHAnsi" w:cstheme="minorBidi"/>
          <w:iCs/>
          <w:sz w:val="22"/>
          <w:szCs w:val="22"/>
        </w:rPr>
        <w:t xml:space="preserve">Because there are multiple frames, </w:t>
      </w:r>
      <w:r w:rsidR="00831BFB">
        <w:rPr>
          <w:rFonts w:asciiTheme="minorHAnsi" w:eastAsiaTheme="minorHAnsi" w:hAnsiTheme="minorHAnsi" w:cstheme="minorBidi"/>
          <w:iCs/>
          <w:sz w:val="22"/>
          <w:szCs w:val="22"/>
        </w:rPr>
        <w:t xml:space="preserve">the area frame and 5 list frame components, </w:t>
      </w:r>
      <w:r w:rsidRPr="00323BDF">
        <w:rPr>
          <w:rFonts w:asciiTheme="minorHAnsi" w:eastAsiaTheme="minorHAnsi" w:hAnsiTheme="minorHAnsi" w:cstheme="minorBidi"/>
          <w:iCs/>
          <w:sz w:val="22"/>
          <w:szCs w:val="22"/>
        </w:rPr>
        <w:t>it is possible that a b</w:t>
      </w:r>
      <w:r>
        <w:rPr>
          <w:rFonts w:asciiTheme="minorHAnsi" w:eastAsiaTheme="minorHAnsi" w:hAnsiTheme="minorHAnsi" w:cstheme="minorBidi"/>
          <w:iCs/>
          <w:sz w:val="22"/>
          <w:szCs w:val="22"/>
        </w:rPr>
        <w:t>uilding could be selected from more</w:t>
      </w:r>
      <w:r w:rsidRPr="00323BDF">
        <w:rPr>
          <w:rFonts w:asciiTheme="minorHAnsi" w:eastAsiaTheme="minorHAnsi" w:hAnsiTheme="minorHAnsi" w:cstheme="minorBidi"/>
          <w:iCs/>
          <w:sz w:val="22"/>
          <w:szCs w:val="22"/>
        </w:rPr>
        <w:t xml:space="preserve"> than one frame. The process of de-duplication ensures that sampled buildings have only one chance of selection. To control the overlap and the selection probabilities of buildings, an established hierarchy of </w:t>
      </w:r>
      <w:r w:rsidR="00422441">
        <w:rPr>
          <w:rFonts w:asciiTheme="minorHAnsi" w:eastAsiaTheme="minorHAnsi" w:hAnsiTheme="minorHAnsi" w:cstheme="minorBidi"/>
          <w:iCs/>
          <w:sz w:val="22"/>
          <w:szCs w:val="22"/>
        </w:rPr>
        <w:t>frames</w:t>
      </w:r>
      <w:r w:rsidRPr="00323BDF">
        <w:rPr>
          <w:rFonts w:asciiTheme="minorHAnsi" w:eastAsiaTheme="minorHAnsi" w:hAnsiTheme="minorHAnsi" w:cstheme="minorBidi"/>
          <w:iCs/>
          <w:sz w:val="22"/>
          <w:szCs w:val="22"/>
        </w:rPr>
        <w:t xml:space="preserve"> </w:t>
      </w:r>
      <w:r w:rsidR="002711AB">
        <w:rPr>
          <w:rFonts w:asciiTheme="minorHAnsi" w:eastAsiaTheme="minorHAnsi" w:hAnsiTheme="minorHAnsi" w:cstheme="minorBidi"/>
          <w:iCs/>
          <w:sz w:val="22"/>
          <w:szCs w:val="22"/>
        </w:rPr>
        <w:t>is used, similar to prior rounds of CBECS</w:t>
      </w:r>
      <w:r w:rsidRPr="00323BDF">
        <w:rPr>
          <w:rFonts w:asciiTheme="minorHAnsi" w:eastAsiaTheme="minorHAnsi" w:hAnsiTheme="minorHAnsi" w:cstheme="minorBidi"/>
          <w:iCs/>
          <w:sz w:val="22"/>
          <w:szCs w:val="22"/>
        </w:rPr>
        <w:t xml:space="preserve">. </w:t>
      </w:r>
      <w:r w:rsidR="008A040F">
        <w:rPr>
          <w:rFonts w:asciiTheme="minorHAnsi" w:eastAsiaTheme="minorHAnsi" w:hAnsiTheme="minorHAnsi" w:cstheme="minorBidi"/>
          <w:iCs/>
          <w:sz w:val="22"/>
          <w:szCs w:val="22"/>
        </w:rPr>
        <w:t xml:space="preserve">The frame hierarchy, from highest to lowest, is as follows: airport list, U.S. Government building list, college/university list, hospital list, CPL large building list, and the area frame. </w:t>
      </w:r>
      <w:r w:rsidRPr="00323BDF">
        <w:rPr>
          <w:rFonts w:asciiTheme="minorHAnsi" w:eastAsiaTheme="minorHAnsi" w:hAnsiTheme="minorHAnsi" w:cstheme="minorBidi"/>
          <w:iCs/>
          <w:sz w:val="22"/>
          <w:szCs w:val="22"/>
        </w:rPr>
        <w:t>A selected building will be eligible for the sample only through the highest sampling frame in the hierarchy that contains the building.</w:t>
      </w:r>
      <w:r w:rsidR="002711AB">
        <w:rPr>
          <w:rFonts w:asciiTheme="minorHAnsi" w:eastAsiaTheme="minorHAnsi" w:hAnsiTheme="minorHAnsi" w:cstheme="minorBidi"/>
          <w:iCs/>
          <w:sz w:val="22"/>
          <w:szCs w:val="22"/>
        </w:rPr>
        <w:t xml:space="preserve"> </w:t>
      </w:r>
      <w:r w:rsidR="002711AB" w:rsidRPr="002711AB">
        <w:rPr>
          <w:rFonts w:asciiTheme="minorHAnsi" w:eastAsiaTheme="minorHAnsi" w:hAnsiTheme="minorHAnsi" w:cstheme="minorBidi"/>
          <w:iCs/>
          <w:sz w:val="22"/>
          <w:szCs w:val="22"/>
        </w:rPr>
        <w:t xml:space="preserve">After selecting the samples from each frame at desired rates, </w:t>
      </w:r>
      <w:r w:rsidR="002711AB">
        <w:rPr>
          <w:rFonts w:asciiTheme="minorHAnsi" w:eastAsiaTheme="minorHAnsi" w:hAnsiTheme="minorHAnsi" w:cstheme="minorBidi"/>
          <w:iCs/>
          <w:sz w:val="22"/>
          <w:szCs w:val="22"/>
        </w:rPr>
        <w:t>the de-duplication process w</w:t>
      </w:r>
      <w:r w:rsidR="002711AB" w:rsidRPr="002711AB">
        <w:rPr>
          <w:rFonts w:asciiTheme="minorHAnsi" w:eastAsiaTheme="minorHAnsi" w:hAnsiTheme="minorHAnsi" w:cstheme="minorBidi"/>
          <w:iCs/>
          <w:sz w:val="22"/>
          <w:szCs w:val="22"/>
        </w:rPr>
        <w:t xml:space="preserve">ill identify any sample </w:t>
      </w:r>
      <w:r w:rsidR="00422441">
        <w:rPr>
          <w:rFonts w:asciiTheme="minorHAnsi" w:eastAsiaTheme="minorHAnsi" w:hAnsiTheme="minorHAnsi" w:cstheme="minorBidi"/>
          <w:iCs/>
          <w:sz w:val="22"/>
          <w:szCs w:val="22"/>
        </w:rPr>
        <w:t>building</w:t>
      </w:r>
      <w:r w:rsidR="002711AB" w:rsidRPr="002711AB">
        <w:rPr>
          <w:rFonts w:asciiTheme="minorHAnsi" w:eastAsiaTheme="minorHAnsi" w:hAnsiTheme="minorHAnsi" w:cstheme="minorBidi"/>
          <w:iCs/>
          <w:sz w:val="22"/>
          <w:szCs w:val="22"/>
        </w:rPr>
        <w:t xml:space="preserve"> that is on a higher frame. If the sample </w:t>
      </w:r>
      <w:r w:rsidR="00422441">
        <w:rPr>
          <w:rFonts w:asciiTheme="minorHAnsi" w:eastAsiaTheme="minorHAnsi" w:hAnsiTheme="minorHAnsi" w:cstheme="minorBidi"/>
          <w:iCs/>
          <w:sz w:val="22"/>
          <w:szCs w:val="22"/>
        </w:rPr>
        <w:t>building</w:t>
      </w:r>
      <w:r w:rsidR="002711AB" w:rsidRPr="002711AB">
        <w:rPr>
          <w:rFonts w:asciiTheme="minorHAnsi" w:eastAsiaTheme="minorHAnsi" w:hAnsiTheme="minorHAnsi" w:cstheme="minorBidi"/>
          <w:iCs/>
          <w:sz w:val="22"/>
          <w:szCs w:val="22"/>
        </w:rPr>
        <w:t xml:space="preserve"> is found to be in any higher frame it will be</w:t>
      </w:r>
      <w:r w:rsidR="002711AB">
        <w:rPr>
          <w:rFonts w:asciiTheme="minorHAnsi" w:eastAsiaTheme="minorHAnsi" w:hAnsiTheme="minorHAnsi" w:cstheme="minorBidi"/>
          <w:iCs/>
          <w:sz w:val="22"/>
          <w:szCs w:val="22"/>
        </w:rPr>
        <w:t xml:space="preserve"> dropped from the sample.</w:t>
      </w:r>
    </w:p>
    <w:p w14:paraId="7EB5AA45" w14:textId="77777777" w:rsidR="00733253" w:rsidRPr="00A83497" w:rsidRDefault="00733253" w:rsidP="00733253">
      <w:pPr>
        <w:rPr>
          <w:b/>
          <w:iCs/>
        </w:rPr>
      </w:pPr>
      <w:r>
        <w:rPr>
          <w:b/>
          <w:iCs/>
        </w:rPr>
        <w:t>Sample size</w:t>
      </w:r>
    </w:p>
    <w:p w14:paraId="5AE42F4C" w14:textId="5E838BD8" w:rsidR="002D03DC" w:rsidRDefault="002D03DC" w:rsidP="002D03DC">
      <w:pPr>
        <w:rPr>
          <w:iCs/>
        </w:rPr>
      </w:pPr>
      <w:bookmarkStart w:id="4" w:name="_Toc466046936"/>
      <w:r w:rsidRPr="00604ABC">
        <w:rPr>
          <w:iCs/>
        </w:rPr>
        <w:t>Approximately 14,830 buildings (including mall buildings) will be selected for the CBECS sample. Assuming an 83 percent in-scope rate and a 65 percent response rate, the 14,830 buildings selected will yield the target of 8,000 completed building interviews.</w:t>
      </w:r>
      <w:r w:rsidR="00726476">
        <w:rPr>
          <w:iCs/>
        </w:rPr>
        <w:t xml:space="preserve"> The in-scope and response rate assumptions are based on data from previous CBECS cycles.</w:t>
      </w:r>
    </w:p>
    <w:p w14:paraId="1A521813" w14:textId="66C9F17B" w:rsidR="009C5A62" w:rsidRPr="009C5A62" w:rsidRDefault="009C5A62" w:rsidP="009C5A62">
      <w:pPr>
        <w:rPr>
          <w:iCs/>
        </w:rPr>
      </w:pPr>
      <w:r w:rsidRPr="009C5A62">
        <w:rPr>
          <w:iCs/>
        </w:rPr>
        <w:t xml:space="preserve">This overall sample size will </w:t>
      </w:r>
      <w:r w:rsidR="002B49AE">
        <w:rPr>
          <w:iCs/>
        </w:rPr>
        <w:t>target</w:t>
      </w:r>
      <w:r w:rsidR="002B49AE" w:rsidRPr="009C5A62">
        <w:rPr>
          <w:iCs/>
        </w:rPr>
        <w:t xml:space="preserve"> </w:t>
      </w:r>
      <w:r w:rsidRPr="009C5A62">
        <w:rPr>
          <w:iCs/>
        </w:rPr>
        <w:t xml:space="preserve">total energy consumption estimates with relative standard errors (RSEs) at the </w:t>
      </w:r>
      <w:r w:rsidR="00BC12AA">
        <w:rPr>
          <w:iCs/>
        </w:rPr>
        <w:t>national</w:t>
      </w:r>
      <w:r w:rsidRPr="009C5A62">
        <w:rPr>
          <w:iCs/>
        </w:rPr>
        <w:t xml:space="preserve"> level of 5% or </w:t>
      </w:r>
      <w:r w:rsidR="002B49AE">
        <w:rPr>
          <w:iCs/>
        </w:rPr>
        <w:t>less</w:t>
      </w:r>
      <w:r w:rsidR="00604ABC">
        <w:rPr>
          <w:iCs/>
        </w:rPr>
        <w:t xml:space="preserve"> </w:t>
      </w:r>
      <w:r w:rsidRPr="009C5A62">
        <w:rPr>
          <w:iCs/>
        </w:rPr>
        <w:t xml:space="preserve">and at the </w:t>
      </w:r>
      <w:r w:rsidR="00BC12AA">
        <w:rPr>
          <w:iCs/>
        </w:rPr>
        <w:t>c</w:t>
      </w:r>
      <w:r w:rsidRPr="009C5A62">
        <w:rPr>
          <w:iCs/>
        </w:rPr>
        <w:t xml:space="preserve">ensus region level of 10% or </w:t>
      </w:r>
      <w:r w:rsidR="002B49AE">
        <w:rPr>
          <w:iCs/>
        </w:rPr>
        <w:t>less.</w:t>
      </w:r>
    </w:p>
    <w:p w14:paraId="5A723FE2" w14:textId="3B400BE8" w:rsidR="005A32C1" w:rsidRPr="00A83497" w:rsidRDefault="00015644" w:rsidP="005A32C1">
      <w:pPr>
        <w:rPr>
          <w:b/>
          <w:iCs/>
        </w:rPr>
      </w:pPr>
      <w:r>
        <w:rPr>
          <w:b/>
          <w:iCs/>
        </w:rPr>
        <w:t>Imputation, weighting, and e</w:t>
      </w:r>
      <w:r w:rsidR="005A32C1">
        <w:rPr>
          <w:b/>
          <w:iCs/>
        </w:rPr>
        <w:t>stimation procedures</w:t>
      </w:r>
    </w:p>
    <w:p w14:paraId="7AE129BA" w14:textId="79A836E7" w:rsidR="00A43F35" w:rsidRDefault="00A43F35" w:rsidP="004A60D6">
      <w:r>
        <w:t xml:space="preserve">Item nonresponse is filled in with imputation. Hot deck imputation is used to impute building characteristics variables. </w:t>
      </w:r>
      <w:r w:rsidR="00604A81">
        <w:t xml:space="preserve">Imputation cells are formed using frame variables and survey questionnaire variables that are related to the variable being imputed. </w:t>
      </w:r>
      <w:r>
        <w:t>An engineering based regression model is used to impute energy consumption and expenditure variables.</w:t>
      </w:r>
    </w:p>
    <w:p w14:paraId="19F1D99D" w14:textId="54671FE8" w:rsidR="005E6EB9" w:rsidRDefault="005A32C1" w:rsidP="004A60D6">
      <w:r w:rsidRPr="00604ABC">
        <w:t xml:space="preserve">Estimates of population parameters will be </w:t>
      </w:r>
      <w:r w:rsidR="002F5222" w:rsidRPr="00604ABC">
        <w:t>calculated with survey weights</w:t>
      </w:r>
      <w:r w:rsidRPr="00604ABC">
        <w:t>.</w:t>
      </w:r>
      <w:r w:rsidRPr="00F80448">
        <w:t xml:space="preserve"> For each sampled building, the base weight</w:t>
      </w:r>
      <w:r w:rsidR="00F80448">
        <w:t>,</w:t>
      </w:r>
      <w:r w:rsidRPr="00F80448">
        <w:t xml:space="preserve"> </w:t>
      </w:r>
      <w:r w:rsidR="00F80448">
        <w:t xml:space="preserve">which is </w:t>
      </w:r>
      <w:r w:rsidRPr="00F80448">
        <w:t>the inverse of the probability of selecting the building</w:t>
      </w:r>
      <w:r w:rsidR="00F80448">
        <w:t>, is first calculated</w:t>
      </w:r>
      <w:r w:rsidRPr="00F80448">
        <w:t xml:space="preserve">. </w:t>
      </w:r>
      <w:r w:rsidR="002F5222" w:rsidRPr="00F80448">
        <w:t xml:space="preserve">After excluding out of scope buildings, the </w:t>
      </w:r>
      <w:r w:rsidRPr="00F80448">
        <w:t>base weights will be adjusted to account for nonresponse.</w:t>
      </w:r>
      <w:r w:rsidR="002F5222" w:rsidRPr="00F80448">
        <w:t xml:space="preserve"> Nonresponse adjustment cells are created with the goal of independence of nonresponse with survey variables of interest (i.e. building characteristics of interest, energy consumption and expenditures)</w:t>
      </w:r>
      <w:r w:rsidR="00F80448">
        <w:t>, which yield</w:t>
      </w:r>
      <w:r w:rsidR="002F5222" w:rsidRPr="00F80448">
        <w:t xml:space="preserve"> unbiased estimates. There are </w:t>
      </w:r>
      <w:r w:rsidR="00F80448" w:rsidRPr="00F80448">
        <w:t>several</w:t>
      </w:r>
      <w:r w:rsidR="002F5222" w:rsidRPr="00F80448">
        <w:t xml:space="preserve"> methods of forming nonresponse adjustment cells to achieve this result. </w:t>
      </w:r>
      <w:r w:rsidR="00F80448" w:rsidRPr="00F80448">
        <w:t>CBECS uses</w:t>
      </w:r>
      <w:r w:rsidR="002F5222" w:rsidRPr="00F80448">
        <w:t xml:space="preserve"> Chi-Square Automatic Interaction Detector</w:t>
      </w:r>
      <w:r w:rsidR="00F80448">
        <w:t>, a decision tree</w:t>
      </w:r>
      <w:r w:rsidR="002F5222" w:rsidRPr="00F80448">
        <w:t xml:space="preserve"> </w:t>
      </w:r>
      <w:r w:rsidR="00F80448" w:rsidRPr="00F80448">
        <w:t>method</w:t>
      </w:r>
      <w:r w:rsidR="00F80448">
        <w:t>,</w:t>
      </w:r>
      <w:r w:rsidR="00F80448" w:rsidRPr="00F80448">
        <w:t xml:space="preserve"> to form</w:t>
      </w:r>
      <w:r w:rsidR="002F5222" w:rsidRPr="00F80448">
        <w:t xml:space="preserve"> the cells</w:t>
      </w:r>
      <w:r w:rsidR="00F80448" w:rsidRPr="00F80448">
        <w:t>, using information available on the frame.</w:t>
      </w:r>
      <w:r w:rsidR="0097198E">
        <w:t xml:space="preserve"> </w:t>
      </w:r>
    </w:p>
    <w:p w14:paraId="126A3EB2" w14:textId="0E3F27BF" w:rsidR="005E6EB9" w:rsidRPr="005E6EB9" w:rsidRDefault="005E6EB9" w:rsidP="000A688A">
      <w:pPr>
        <w:pStyle w:val="L2-FlLSp12"/>
        <w:spacing w:line="240" w:lineRule="auto"/>
        <w:rPr>
          <w:rFonts w:asciiTheme="minorHAnsi" w:eastAsiaTheme="minorHAnsi" w:hAnsiTheme="minorHAnsi" w:cstheme="minorBidi"/>
          <w:sz w:val="22"/>
          <w:szCs w:val="22"/>
        </w:rPr>
      </w:pPr>
      <w:r w:rsidRPr="005E6EB9">
        <w:rPr>
          <w:rFonts w:asciiTheme="minorHAnsi" w:eastAsiaTheme="minorHAnsi" w:hAnsiTheme="minorHAnsi" w:cstheme="minorBidi"/>
          <w:sz w:val="22"/>
          <w:szCs w:val="22"/>
        </w:rPr>
        <w:t>After forming th</w:t>
      </w:r>
      <w:r w:rsidR="000A688A">
        <w:rPr>
          <w:rFonts w:asciiTheme="minorHAnsi" w:eastAsiaTheme="minorHAnsi" w:hAnsiTheme="minorHAnsi" w:cstheme="minorBidi"/>
          <w:sz w:val="22"/>
          <w:szCs w:val="22"/>
        </w:rPr>
        <w:t>e nonresponse adjustment cells</w:t>
      </w:r>
      <w:r w:rsidRPr="005E6EB9">
        <w:rPr>
          <w:rFonts w:asciiTheme="minorHAnsi" w:eastAsiaTheme="minorHAnsi" w:hAnsiTheme="minorHAnsi" w:cstheme="minorBidi"/>
          <w:sz w:val="22"/>
          <w:szCs w:val="22"/>
        </w:rPr>
        <w:t xml:space="preserve">, a nonresponse adjustment factor </w:t>
      </w:r>
      <w:r w:rsidR="000A688A">
        <w:rPr>
          <w:rFonts w:asciiTheme="minorHAnsi" w:eastAsiaTheme="minorHAnsi" w:hAnsiTheme="minorHAnsi" w:cstheme="minorBidi"/>
          <w:sz w:val="22"/>
          <w:szCs w:val="22"/>
        </w:rPr>
        <w:t>is calculated for each adjustment cell</w:t>
      </w:r>
      <w:r w:rsidRPr="005E6EB9">
        <w:rPr>
          <w:rFonts w:asciiTheme="minorHAnsi" w:eastAsiaTheme="minorHAnsi" w:hAnsiTheme="minorHAnsi" w:cstheme="minorBidi"/>
          <w:sz w:val="22"/>
          <w:szCs w:val="22"/>
        </w:rPr>
        <w:t>. The building nonresponse adjustment factor for the h-th nonresponse adjustment c</w:t>
      </w:r>
      <w:r w:rsidR="000A688A">
        <w:rPr>
          <w:rFonts w:asciiTheme="minorHAnsi" w:eastAsiaTheme="minorHAnsi" w:hAnsiTheme="minorHAnsi" w:cstheme="minorBidi"/>
          <w:sz w:val="22"/>
          <w:szCs w:val="22"/>
        </w:rPr>
        <w:t>ell</w:t>
      </w:r>
      <w:r w:rsidRPr="005E6EB9">
        <w:rPr>
          <w:rFonts w:asciiTheme="minorHAnsi" w:eastAsiaTheme="minorHAnsi" w:hAnsiTheme="minorHAnsi" w:cstheme="minorBidi"/>
          <w:sz w:val="22"/>
          <w:szCs w:val="22"/>
        </w:rPr>
        <w:t xml:space="preserve">, </w:t>
      </w:r>
      <w:r w:rsidRPr="005E6EB9">
        <w:rPr>
          <w:rFonts w:asciiTheme="minorHAnsi" w:eastAsiaTheme="minorHAnsi" w:hAnsiTheme="minorHAnsi" w:cstheme="minorBidi"/>
          <w:sz w:val="22"/>
          <w:szCs w:val="22"/>
        </w:rPr>
        <w:object w:dxaOrig="279" w:dyaOrig="300" w14:anchorId="06B97D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18.6pt;mso-width-percent:0;mso-height-percent:0;mso-width-percent:0;mso-height-percent:0" o:ole="">
            <v:imagedata r:id="rId16" o:title=""/>
          </v:shape>
          <o:OLEObject Type="Embed" ProgID="Equation.2" ShapeID="_x0000_i1025" DrawAspect="Content" ObjectID="_1606133145" r:id="rId17"/>
        </w:object>
      </w:r>
      <w:r w:rsidRPr="005E6EB9">
        <w:rPr>
          <w:rFonts w:asciiTheme="minorHAnsi" w:eastAsiaTheme="minorHAnsi" w:hAnsiTheme="minorHAnsi" w:cstheme="minorBidi"/>
          <w:sz w:val="22"/>
          <w:szCs w:val="22"/>
        </w:rPr>
        <w:t>, is:</w:t>
      </w:r>
    </w:p>
    <w:p w14:paraId="10F3FB46" w14:textId="77777777" w:rsidR="005E6EB9" w:rsidRPr="005E6EB9" w:rsidRDefault="005E6EB9" w:rsidP="005E6EB9">
      <w:pPr>
        <w:pStyle w:val="E1-Equation"/>
        <w:rPr>
          <w:rFonts w:asciiTheme="minorHAnsi" w:eastAsiaTheme="minorHAnsi" w:hAnsiTheme="minorHAnsi" w:cstheme="minorBidi"/>
          <w:sz w:val="22"/>
          <w:szCs w:val="22"/>
        </w:rPr>
      </w:pPr>
      <w:r w:rsidRPr="005E6EB9">
        <w:rPr>
          <w:rFonts w:asciiTheme="minorHAnsi" w:eastAsiaTheme="minorHAnsi" w:hAnsiTheme="minorHAnsi" w:cstheme="minorBidi"/>
          <w:sz w:val="22"/>
          <w:szCs w:val="22"/>
        </w:rPr>
        <w:tab/>
      </w:r>
      <w:r w:rsidRPr="005E6EB9">
        <w:rPr>
          <w:rFonts w:asciiTheme="minorHAnsi" w:eastAsiaTheme="minorHAnsi" w:hAnsiTheme="minorHAnsi" w:cstheme="minorBidi"/>
          <w:sz w:val="22"/>
          <w:szCs w:val="22"/>
        </w:rPr>
        <w:object w:dxaOrig="2760" w:dyaOrig="920" w14:anchorId="1509DF94">
          <v:shape id="_x0000_i1026" type="#_x0000_t75" alt="" style="width:138pt;height:42pt;mso-width-percent:0;mso-height-percent:0;mso-width-percent:0;mso-height-percent:0" o:ole="">
            <v:imagedata r:id="rId18" o:title=""/>
          </v:shape>
          <o:OLEObject Type="Embed" ProgID="Equation.2" ShapeID="_x0000_i1026" DrawAspect="Content" ObjectID="_1606133146" r:id="rId19"/>
        </w:object>
      </w:r>
    </w:p>
    <w:p w14:paraId="7AFB6047" w14:textId="77777777" w:rsidR="005E6EB9" w:rsidRPr="005E6EB9" w:rsidRDefault="005E6EB9" w:rsidP="005E6EB9">
      <w:pPr>
        <w:pStyle w:val="L2-FlLSp12"/>
        <w:rPr>
          <w:rFonts w:asciiTheme="minorHAnsi" w:eastAsiaTheme="minorHAnsi" w:hAnsiTheme="minorHAnsi" w:cstheme="minorBidi"/>
          <w:sz w:val="22"/>
          <w:szCs w:val="22"/>
        </w:rPr>
      </w:pPr>
      <w:r w:rsidRPr="005E6EB9">
        <w:rPr>
          <w:rFonts w:asciiTheme="minorHAnsi" w:eastAsiaTheme="minorHAnsi" w:hAnsiTheme="minorHAnsi" w:cstheme="minorBidi"/>
          <w:sz w:val="22"/>
          <w:szCs w:val="22"/>
        </w:rPr>
        <w:t>where,</w:t>
      </w:r>
    </w:p>
    <w:p w14:paraId="18A9784F" w14:textId="66D8DA5B" w:rsidR="005E6EB9" w:rsidRPr="005E6EB9" w:rsidRDefault="005E6EB9" w:rsidP="005E6EB9">
      <w:pPr>
        <w:pStyle w:val="E2-Equation"/>
        <w:rPr>
          <w:rFonts w:asciiTheme="minorHAnsi" w:eastAsiaTheme="minorHAnsi" w:hAnsiTheme="minorHAnsi" w:cstheme="minorBidi"/>
          <w:sz w:val="22"/>
          <w:szCs w:val="22"/>
        </w:rPr>
      </w:pPr>
      <w:r w:rsidRPr="005E6EB9">
        <w:rPr>
          <w:rFonts w:asciiTheme="minorHAnsi" w:eastAsiaTheme="minorHAnsi" w:hAnsiTheme="minorHAnsi" w:cstheme="minorBidi"/>
          <w:sz w:val="22"/>
          <w:szCs w:val="22"/>
        </w:rPr>
        <w:tab/>
      </w:r>
      <w:r w:rsidRPr="005E6EB9">
        <w:rPr>
          <w:rFonts w:asciiTheme="minorHAnsi" w:eastAsiaTheme="minorHAnsi" w:hAnsiTheme="minorHAnsi" w:cstheme="minorBidi"/>
          <w:sz w:val="22"/>
          <w:szCs w:val="22"/>
        </w:rPr>
        <w:object w:dxaOrig="440" w:dyaOrig="279" w14:anchorId="36D2DEFF">
          <v:shape id="_x0000_i1027" type="#_x0000_t75" alt="" style="width:24pt;height:12pt;mso-width-percent:0;mso-height-percent:0;mso-width-percent:0;mso-height-percent:0" o:ole="">
            <v:imagedata r:id="rId20" o:title=""/>
          </v:shape>
          <o:OLEObject Type="Embed" ProgID="Equation.2" ShapeID="_x0000_i1027" DrawAspect="Content" ObjectID="_1606133147" r:id="rId21"/>
        </w:object>
      </w:r>
      <w:r w:rsidRPr="005E6EB9">
        <w:rPr>
          <w:rFonts w:asciiTheme="minorHAnsi" w:eastAsiaTheme="minorHAnsi" w:hAnsiTheme="minorHAnsi" w:cstheme="minorBidi"/>
          <w:sz w:val="22"/>
          <w:szCs w:val="22"/>
        </w:rPr>
        <w:tab/>
        <w:t>=</w:t>
      </w:r>
      <w:r w:rsidRPr="005E6EB9">
        <w:rPr>
          <w:rFonts w:asciiTheme="minorHAnsi" w:eastAsiaTheme="minorHAnsi" w:hAnsiTheme="minorHAnsi" w:cstheme="minorBidi"/>
          <w:sz w:val="22"/>
          <w:szCs w:val="22"/>
        </w:rPr>
        <w:tab/>
        <w:t>is the sampling weight (</w:t>
      </w:r>
      <w:r w:rsidR="000A688A">
        <w:rPr>
          <w:rFonts w:asciiTheme="minorHAnsi" w:eastAsiaTheme="minorHAnsi" w:hAnsiTheme="minorHAnsi" w:cstheme="minorBidi"/>
          <w:sz w:val="22"/>
          <w:szCs w:val="22"/>
        </w:rPr>
        <w:t>after adjusting for duplication</w:t>
      </w:r>
      <w:r w:rsidRPr="005E6EB9">
        <w:rPr>
          <w:rFonts w:asciiTheme="minorHAnsi" w:eastAsiaTheme="minorHAnsi" w:hAnsiTheme="minorHAnsi" w:cstheme="minorBidi"/>
          <w:sz w:val="22"/>
          <w:szCs w:val="22"/>
        </w:rPr>
        <w:t>) for the k-th building in the h-th nonresponse adjustment c</w:t>
      </w:r>
      <w:r w:rsidR="000A688A">
        <w:rPr>
          <w:rFonts w:asciiTheme="minorHAnsi" w:eastAsiaTheme="minorHAnsi" w:hAnsiTheme="minorHAnsi" w:cstheme="minorBidi"/>
          <w:sz w:val="22"/>
          <w:szCs w:val="22"/>
        </w:rPr>
        <w:t>ell</w:t>
      </w:r>
      <w:r w:rsidRPr="005E6EB9">
        <w:rPr>
          <w:rFonts w:asciiTheme="minorHAnsi" w:eastAsiaTheme="minorHAnsi" w:hAnsiTheme="minorHAnsi" w:cstheme="minorBidi"/>
          <w:sz w:val="22"/>
          <w:szCs w:val="22"/>
        </w:rPr>
        <w:t>;</w:t>
      </w:r>
    </w:p>
    <w:p w14:paraId="3879338F" w14:textId="6595EF3F" w:rsidR="005E6EB9" w:rsidRPr="005E6EB9" w:rsidRDefault="005E6EB9" w:rsidP="005E6EB9">
      <w:pPr>
        <w:pStyle w:val="E2-Equation"/>
        <w:rPr>
          <w:rFonts w:asciiTheme="minorHAnsi" w:eastAsiaTheme="minorHAnsi" w:hAnsiTheme="minorHAnsi" w:cstheme="minorBidi"/>
          <w:sz w:val="22"/>
          <w:szCs w:val="22"/>
        </w:rPr>
      </w:pPr>
      <w:r w:rsidRPr="005E6EB9">
        <w:rPr>
          <w:rFonts w:asciiTheme="minorHAnsi" w:eastAsiaTheme="minorHAnsi" w:hAnsiTheme="minorHAnsi" w:cstheme="minorBidi"/>
          <w:sz w:val="22"/>
          <w:szCs w:val="22"/>
        </w:rPr>
        <w:tab/>
      </w:r>
      <w:r w:rsidRPr="005E6EB9">
        <w:rPr>
          <w:rFonts w:asciiTheme="minorHAnsi" w:eastAsiaTheme="minorHAnsi" w:hAnsiTheme="minorHAnsi" w:cstheme="minorBidi"/>
          <w:sz w:val="22"/>
          <w:szCs w:val="22"/>
        </w:rPr>
        <w:object w:dxaOrig="320" w:dyaOrig="279" w14:anchorId="52C1B93F">
          <v:shape id="_x0000_i1028" type="#_x0000_t75" alt="" style="width:18.6pt;height:12pt;mso-width-percent:0;mso-height-percent:0;mso-width-percent:0;mso-height-percent:0" o:ole="">
            <v:imagedata r:id="rId22" o:title=""/>
          </v:shape>
          <o:OLEObject Type="Embed" ProgID="Equation.2" ShapeID="_x0000_i1028" DrawAspect="Content" ObjectID="_1606133148" r:id="rId23"/>
        </w:object>
      </w:r>
      <w:r w:rsidRPr="005E6EB9">
        <w:rPr>
          <w:rFonts w:asciiTheme="minorHAnsi" w:eastAsiaTheme="minorHAnsi" w:hAnsiTheme="minorHAnsi" w:cstheme="minorBidi"/>
          <w:sz w:val="22"/>
          <w:szCs w:val="22"/>
        </w:rPr>
        <w:tab/>
        <w:t>=</w:t>
      </w:r>
      <w:r w:rsidRPr="005E6EB9">
        <w:rPr>
          <w:rFonts w:asciiTheme="minorHAnsi" w:eastAsiaTheme="minorHAnsi" w:hAnsiTheme="minorHAnsi" w:cstheme="minorBidi"/>
          <w:sz w:val="22"/>
          <w:szCs w:val="22"/>
        </w:rPr>
        <w:tab/>
        <w:t>is the collection of buildings that were respondent and eligible in the h</w:t>
      </w:r>
      <w:r w:rsidR="000A688A">
        <w:rPr>
          <w:rFonts w:asciiTheme="minorHAnsi" w:eastAsiaTheme="minorHAnsi" w:hAnsiTheme="minorHAnsi" w:cstheme="minorBidi"/>
          <w:sz w:val="22"/>
          <w:szCs w:val="22"/>
        </w:rPr>
        <w:t>-th nonresponse adjustment cell</w:t>
      </w:r>
      <w:r w:rsidRPr="005E6EB9">
        <w:rPr>
          <w:rFonts w:asciiTheme="minorHAnsi" w:eastAsiaTheme="minorHAnsi" w:hAnsiTheme="minorHAnsi" w:cstheme="minorBidi"/>
          <w:sz w:val="22"/>
          <w:szCs w:val="22"/>
        </w:rPr>
        <w:t>;</w:t>
      </w:r>
    </w:p>
    <w:p w14:paraId="1CBBCC05" w14:textId="3C847603" w:rsidR="005E6EB9" w:rsidRPr="005E6EB9" w:rsidRDefault="005E6EB9" w:rsidP="005E6EB9">
      <w:pPr>
        <w:pStyle w:val="E2-Equation"/>
        <w:rPr>
          <w:rFonts w:asciiTheme="minorHAnsi" w:eastAsiaTheme="minorHAnsi" w:hAnsiTheme="minorHAnsi" w:cstheme="minorBidi"/>
          <w:sz w:val="22"/>
          <w:szCs w:val="22"/>
        </w:rPr>
      </w:pPr>
      <w:r w:rsidRPr="005E6EB9">
        <w:rPr>
          <w:rFonts w:asciiTheme="minorHAnsi" w:eastAsiaTheme="minorHAnsi" w:hAnsiTheme="minorHAnsi" w:cstheme="minorBidi"/>
          <w:sz w:val="22"/>
          <w:szCs w:val="22"/>
        </w:rPr>
        <w:tab/>
      </w:r>
      <w:r w:rsidRPr="005E6EB9">
        <w:rPr>
          <w:rFonts w:asciiTheme="minorHAnsi" w:eastAsiaTheme="minorHAnsi" w:hAnsiTheme="minorHAnsi" w:cstheme="minorBidi"/>
          <w:sz w:val="22"/>
          <w:szCs w:val="22"/>
        </w:rPr>
        <w:object w:dxaOrig="300" w:dyaOrig="279" w14:anchorId="6CEC9334">
          <v:shape id="_x0000_i1029" type="#_x0000_t75" alt="" style="width:18.6pt;height:12pt;mso-width-percent:0;mso-height-percent:0;mso-width-percent:0;mso-height-percent:0" o:ole="">
            <v:imagedata r:id="rId24" o:title=""/>
          </v:shape>
          <o:OLEObject Type="Embed" ProgID="Equation.2" ShapeID="_x0000_i1029" DrawAspect="Content" ObjectID="_1606133149" r:id="rId25"/>
        </w:object>
      </w:r>
      <w:r w:rsidRPr="005E6EB9">
        <w:rPr>
          <w:rFonts w:asciiTheme="minorHAnsi" w:eastAsiaTheme="minorHAnsi" w:hAnsiTheme="minorHAnsi" w:cstheme="minorBidi"/>
          <w:sz w:val="22"/>
          <w:szCs w:val="22"/>
        </w:rPr>
        <w:tab/>
        <w:t>=</w:t>
      </w:r>
      <w:r w:rsidRPr="005E6EB9">
        <w:rPr>
          <w:rFonts w:asciiTheme="minorHAnsi" w:eastAsiaTheme="minorHAnsi" w:hAnsiTheme="minorHAnsi" w:cstheme="minorBidi"/>
          <w:sz w:val="22"/>
          <w:szCs w:val="22"/>
        </w:rPr>
        <w:tab/>
        <w:t>is the collection of buildings that were declared ineligible in the h</w:t>
      </w:r>
      <w:r w:rsidR="000A688A">
        <w:rPr>
          <w:rFonts w:asciiTheme="minorHAnsi" w:eastAsiaTheme="minorHAnsi" w:hAnsiTheme="minorHAnsi" w:cstheme="minorBidi"/>
          <w:sz w:val="22"/>
          <w:szCs w:val="22"/>
        </w:rPr>
        <w:t>-th nonresponse adjustment cell</w:t>
      </w:r>
      <w:r w:rsidRPr="005E6EB9">
        <w:rPr>
          <w:rFonts w:asciiTheme="minorHAnsi" w:eastAsiaTheme="minorHAnsi" w:hAnsiTheme="minorHAnsi" w:cstheme="minorBidi"/>
          <w:sz w:val="22"/>
          <w:szCs w:val="22"/>
        </w:rPr>
        <w:t>; and</w:t>
      </w:r>
    </w:p>
    <w:p w14:paraId="6B8E91D6" w14:textId="3EFEDA11" w:rsidR="005E6EB9" w:rsidRPr="005E6EB9" w:rsidRDefault="005E6EB9" w:rsidP="005E6EB9">
      <w:pPr>
        <w:pStyle w:val="E2-Equation"/>
        <w:rPr>
          <w:rFonts w:asciiTheme="minorHAnsi" w:eastAsiaTheme="minorHAnsi" w:hAnsiTheme="minorHAnsi" w:cstheme="minorBidi"/>
          <w:sz w:val="22"/>
          <w:szCs w:val="22"/>
        </w:rPr>
      </w:pPr>
      <w:r w:rsidRPr="005E6EB9">
        <w:rPr>
          <w:rFonts w:asciiTheme="minorHAnsi" w:eastAsiaTheme="minorHAnsi" w:hAnsiTheme="minorHAnsi" w:cstheme="minorBidi"/>
          <w:sz w:val="22"/>
          <w:szCs w:val="22"/>
        </w:rPr>
        <w:tab/>
      </w:r>
      <w:r w:rsidRPr="005E6EB9">
        <w:rPr>
          <w:rFonts w:asciiTheme="minorHAnsi" w:eastAsiaTheme="minorHAnsi" w:hAnsiTheme="minorHAnsi" w:cstheme="minorBidi"/>
          <w:sz w:val="22"/>
          <w:szCs w:val="22"/>
        </w:rPr>
        <w:object w:dxaOrig="320" w:dyaOrig="279" w14:anchorId="4AD8329E">
          <v:shape id="_x0000_i1030" type="#_x0000_t75" alt="" style="width:18.6pt;height:12pt;mso-width-percent:0;mso-height-percent:0;mso-width-percent:0;mso-height-percent:0" o:ole="">
            <v:imagedata r:id="rId26" o:title=""/>
          </v:shape>
          <o:OLEObject Type="Embed" ProgID="Equation.2" ShapeID="_x0000_i1030" DrawAspect="Content" ObjectID="_1606133150" r:id="rId27"/>
        </w:object>
      </w:r>
      <w:r w:rsidRPr="005E6EB9">
        <w:rPr>
          <w:rFonts w:asciiTheme="minorHAnsi" w:eastAsiaTheme="minorHAnsi" w:hAnsiTheme="minorHAnsi" w:cstheme="minorBidi"/>
          <w:sz w:val="22"/>
          <w:szCs w:val="22"/>
        </w:rPr>
        <w:tab/>
        <w:t>=</w:t>
      </w:r>
      <w:r w:rsidRPr="005E6EB9">
        <w:rPr>
          <w:rFonts w:asciiTheme="minorHAnsi" w:eastAsiaTheme="minorHAnsi" w:hAnsiTheme="minorHAnsi" w:cstheme="minorBidi"/>
          <w:sz w:val="22"/>
          <w:szCs w:val="22"/>
        </w:rPr>
        <w:tab/>
        <w:t>is the collection of buildings that were in-scope nonrespondents in the h</w:t>
      </w:r>
      <w:r w:rsidR="000A688A">
        <w:rPr>
          <w:rFonts w:asciiTheme="minorHAnsi" w:eastAsiaTheme="minorHAnsi" w:hAnsiTheme="minorHAnsi" w:cstheme="minorBidi"/>
          <w:sz w:val="22"/>
          <w:szCs w:val="22"/>
        </w:rPr>
        <w:t>-th nonresponse adjustment cell</w:t>
      </w:r>
      <w:r w:rsidRPr="005E6EB9">
        <w:rPr>
          <w:rFonts w:asciiTheme="minorHAnsi" w:eastAsiaTheme="minorHAnsi" w:hAnsiTheme="minorHAnsi" w:cstheme="minorBidi"/>
          <w:sz w:val="22"/>
          <w:szCs w:val="22"/>
        </w:rPr>
        <w:t>.</w:t>
      </w:r>
    </w:p>
    <w:p w14:paraId="577DBD85" w14:textId="77777777" w:rsidR="005E6EB9" w:rsidRPr="005E6EB9" w:rsidRDefault="005E6EB9" w:rsidP="005E6EB9">
      <w:pPr>
        <w:pStyle w:val="L2-FlLSp12"/>
        <w:rPr>
          <w:rFonts w:asciiTheme="minorHAnsi" w:eastAsiaTheme="minorHAnsi" w:hAnsiTheme="minorHAnsi" w:cstheme="minorBidi"/>
          <w:sz w:val="22"/>
          <w:szCs w:val="22"/>
        </w:rPr>
      </w:pPr>
      <w:r w:rsidRPr="005E6EB9">
        <w:rPr>
          <w:rFonts w:asciiTheme="minorHAnsi" w:eastAsiaTheme="minorHAnsi" w:hAnsiTheme="minorHAnsi" w:cstheme="minorBidi"/>
          <w:sz w:val="22"/>
          <w:szCs w:val="22"/>
        </w:rPr>
        <w:t>The nonresponse adjusted weight for respondent buildings is:</w:t>
      </w:r>
    </w:p>
    <w:p w14:paraId="0DDC7E0C" w14:textId="77777777" w:rsidR="005E6EB9" w:rsidRPr="005E6EB9" w:rsidRDefault="005E6EB9" w:rsidP="005E6EB9">
      <w:pPr>
        <w:pStyle w:val="E1-Equation"/>
        <w:rPr>
          <w:rFonts w:asciiTheme="minorHAnsi" w:eastAsiaTheme="minorHAnsi" w:hAnsiTheme="minorHAnsi" w:cstheme="minorBidi"/>
          <w:sz w:val="22"/>
          <w:szCs w:val="22"/>
        </w:rPr>
      </w:pPr>
      <w:r w:rsidRPr="005E6EB9">
        <w:rPr>
          <w:rFonts w:asciiTheme="minorHAnsi" w:eastAsiaTheme="minorHAnsi" w:hAnsiTheme="minorHAnsi" w:cstheme="minorBidi"/>
          <w:sz w:val="22"/>
          <w:szCs w:val="22"/>
        </w:rPr>
        <w:tab/>
      </w:r>
      <w:r w:rsidRPr="005E6EB9">
        <w:rPr>
          <w:rFonts w:asciiTheme="minorHAnsi" w:eastAsiaTheme="minorHAnsi" w:hAnsiTheme="minorHAnsi" w:cstheme="minorBidi"/>
          <w:sz w:val="22"/>
          <w:szCs w:val="22"/>
        </w:rPr>
        <w:object w:dxaOrig="1600" w:dyaOrig="420" w14:anchorId="631AB3A2">
          <v:shape id="_x0000_i1031" type="#_x0000_t75" alt="" style="width:78pt;height:24pt;mso-width-percent:0;mso-height-percent:0;mso-width-percent:0;mso-height-percent:0" o:ole="">
            <v:imagedata r:id="rId28" o:title=""/>
          </v:shape>
          <o:OLEObject Type="Embed" ProgID="Equation.3" ShapeID="_x0000_i1031" DrawAspect="Content" ObjectID="_1606133151" r:id="rId29"/>
        </w:object>
      </w:r>
      <w:r w:rsidRPr="005E6EB9">
        <w:rPr>
          <w:rFonts w:asciiTheme="minorHAnsi" w:eastAsiaTheme="minorHAnsi" w:hAnsiTheme="minorHAnsi" w:cstheme="minorBidi"/>
          <w:sz w:val="22"/>
          <w:szCs w:val="22"/>
        </w:rPr>
        <w:t>.</w:t>
      </w:r>
    </w:p>
    <w:p w14:paraId="03714E34" w14:textId="6E361ABF" w:rsidR="002F5222" w:rsidRPr="00F80448" w:rsidRDefault="0097198E" w:rsidP="004A60D6">
      <w:r>
        <w:t>The resulting nonresponse adjusted weights represent the entire commercial building population.</w:t>
      </w:r>
    </w:p>
    <w:p w14:paraId="63F1D425" w14:textId="3180DC06" w:rsidR="00BE4957" w:rsidRDefault="005A32C1" w:rsidP="00BE4957">
      <w:pPr>
        <w:rPr>
          <w:i/>
          <w:iCs/>
        </w:rPr>
      </w:pPr>
      <w:r w:rsidRPr="005A32C1">
        <w:rPr>
          <w:iCs/>
        </w:rPr>
        <w:t xml:space="preserve">Variance estimates and RSE estimates will be calculated by means of </w:t>
      </w:r>
      <w:r>
        <w:rPr>
          <w:iCs/>
        </w:rPr>
        <w:t>the</w:t>
      </w:r>
      <w:r w:rsidRPr="005A32C1">
        <w:rPr>
          <w:iCs/>
        </w:rPr>
        <w:t xml:space="preserve"> </w:t>
      </w:r>
      <w:r>
        <w:rPr>
          <w:iCs/>
        </w:rPr>
        <w:t xml:space="preserve">Jackknife </w:t>
      </w:r>
      <w:r w:rsidRPr="005A32C1">
        <w:rPr>
          <w:iCs/>
        </w:rPr>
        <w:t>replication technique. The RSEs for the statistics in the cells of most CBECS report tables will be expressed in separate RSE tables.</w:t>
      </w:r>
      <w:r w:rsidR="00BE4957">
        <w:rPr>
          <w:iCs/>
        </w:rPr>
        <w:t xml:space="preserve">  </w:t>
      </w:r>
      <w:r w:rsidR="00BE4957">
        <w:rPr>
          <w:rFonts w:ascii="Calibri" w:hAnsi="Calibri"/>
        </w:rPr>
        <w:br/>
      </w:r>
    </w:p>
    <w:p w14:paraId="555EE3A8" w14:textId="2F0B48DC" w:rsidR="003476F3" w:rsidRPr="00A83497" w:rsidRDefault="00844524" w:rsidP="003476F3">
      <w:pPr>
        <w:rPr>
          <w:rFonts w:ascii="Calibri" w:hAnsi="Calibri"/>
        </w:rPr>
      </w:pPr>
      <w:r w:rsidRPr="008E4AB4">
        <w:rPr>
          <w:rFonts w:eastAsiaTheme="majorEastAsia" w:cstheme="majorBidi"/>
          <w:b/>
          <w:color w:val="1396D8"/>
          <w:sz w:val="28"/>
          <w:szCs w:val="26"/>
        </w:rPr>
        <w:t>B.</w:t>
      </w:r>
      <w:r w:rsidR="00A41763" w:rsidRPr="008E4AB4">
        <w:rPr>
          <w:rFonts w:eastAsiaTheme="majorEastAsia" w:cstheme="majorBidi"/>
          <w:b/>
          <w:color w:val="1396D8"/>
          <w:sz w:val="28"/>
          <w:szCs w:val="26"/>
        </w:rPr>
        <w:t xml:space="preserve">3. </w:t>
      </w:r>
      <w:r w:rsidR="007E53C4" w:rsidRPr="008E4AB4">
        <w:rPr>
          <w:rFonts w:eastAsiaTheme="majorEastAsia" w:cstheme="majorBidi"/>
          <w:b/>
          <w:color w:val="1396D8"/>
          <w:sz w:val="28"/>
          <w:szCs w:val="26"/>
        </w:rPr>
        <w:t>Maximizing Response Rates</w:t>
      </w:r>
      <w:bookmarkEnd w:id="4"/>
      <w:r w:rsidR="004A60D6">
        <w:rPr>
          <w:rFonts w:eastAsiaTheme="majorEastAsia" w:cstheme="majorBidi"/>
          <w:b/>
          <w:color w:val="1396D8"/>
          <w:sz w:val="28"/>
          <w:szCs w:val="26"/>
        </w:rPr>
        <w:br/>
      </w:r>
      <w:r w:rsidR="003476F3" w:rsidRPr="00A83497">
        <w:rPr>
          <w:rFonts w:ascii="Calibri" w:hAnsi="Calibri"/>
        </w:rPr>
        <w:t>Over the years, the response rates to the CBECS have been quite high</w:t>
      </w:r>
      <w:r w:rsidR="00C01B53">
        <w:rPr>
          <w:rFonts w:ascii="Calibri" w:hAnsi="Calibri"/>
        </w:rPr>
        <w:t xml:space="preserve"> for voluntary reporting on Forms EIA-871 A, I, and J.  However</w:t>
      </w:r>
      <w:r w:rsidR="003476F3" w:rsidRPr="00A83497">
        <w:rPr>
          <w:rFonts w:ascii="Calibri" w:hAnsi="Calibri"/>
          <w:color w:val="000000"/>
        </w:rPr>
        <w:t xml:space="preserve"> response rates have declin</w:t>
      </w:r>
      <w:r w:rsidR="00C01B53">
        <w:rPr>
          <w:rFonts w:ascii="Calibri" w:hAnsi="Calibri"/>
          <w:color w:val="000000"/>
        </w:rPr>
        <w:t>ed</w:t>
      </w:r>
      <w:r w:rsidR="003476F3" w:rsidRPr="00A83497">
        <w:rPr>
          <w:rFonts w:ascii="Calibri" w:hAnsi="Calibri"/>
          <w:color w:val="000000"/>
        </w:rPr>
        <w:t xml:space="preserve"> over </w:t>
      </w:r>
      <w:r w:rsidR="00C01B53">
        <w:rPr>
          <w:rFonts w:ascii="Calibri" w:hAnsi="Calibri"/>
          <w:color w:val="000000"/>
        </w:rPr>
        <w:t>20</w:t>
      </w:r>
      <w:r w:rsidR="003476F3" w:rsidRPr="00A83497">
        <w:rPr>
          <w:rFonts w:ascii="Calibri" w:hAnsi="Calibri"/>
          <w:color w:val="000000"/>
        </w:rPr>
        <w:t xml:space="preserve"> years for </w:t>
      </w:r>
      <w:r w:rsidR="00C01B53">
        <w:rPr>
          <w:rFonts w:ascii="Calibri" w:hAnsi="Calibri"/>
          <w:color w:val="000000"/>
        </w:rPr>
        <w:t xml:space="preserve">this </w:t>
      </w:r>
      <w:r w:rsidR="003476F3" w:rsidRPr="00A83497">
        <w:rPr>
          <w:rFonts w:ascii="Calibri" w:hAnsi="Calibri"/>
          <w:color w:val="000000"/>
        </w:rPr>
        <w:t xml:space="preserve">survey. The response rates on </w:t>
      </w:r>
      <w:r w:rsidR="00C01B53">
        <w:rPr>
          <w:rFonts w:ascii="Calibri" w:hAnsi="Calibri"/>
          <w:color w:val="000000"/>
        </w:rPr>
        <w:t xml:space="preserve">Forms </w:t>
      </w:r>
      <w:r w:rsidR="008E4AB4">
        <w:rPr>
          <w:rFonts w:ascii="Calibri" w:hAnsi="Calibri"/>
        </w:rPr>
        <w:t>EIA-871 A, I, and J</w:t>
      </w:r>
      <w:r w:rsidR="00C01B53">
        <w:rPr>
          <w:rFonts w:ascii="Calibri" w:hAnsi="Calibri"/>
          <w:color w:val="000000"/>
        </w:rPr>
        <w:t xml:space="preserve"> declined</w:t>
      </w:r>
      <w:r w:rsidR="003476F3" w:rsidRPr="00A83497">
        <w:rPr>
          <w:rFonts w:ascii="Calibri" w:hAnsi="Calibri"/>
          <w:color w:val="000000"/>
        </w:rPr>
        <w:t xml:space="preserve"> from 91</w:t>
      </w:r>
      <w:r w:rsidR="00906F9C">
        <w:rPr>
          <w:rFonts w:ascii="Calibri" w:hAnsi="Calibri"/>
          <w:color w:val="000000"/>
        </w:rPr>
        <w:t xml:space="preserve">% </w:t>
      </w:r>
      <w:r w:rsidR="003476F3" w:rsidRPr="00A83497">
        <w:rPr>
          <w:rFonts w:ascii="Calibri" w:hAnsi="Calibri"/>
          <w:color w:val="000000"/>
        </w:rPr>
        <w:t>in 1992 to 82</w:t>
      </w:r>
      <w:r w:rsidR="00906F9C">
        <w:rPr>
          <w:rFonts w:ascii="Calibri" w:hAnsi="Calibri"/>
          <w:color w:val="000000"/>
        </w:rPr>
        <w:t xml:space="preserve">% </w:t>
      </w:r>
      <w:r w:rsidR="003476F3" w:rsidRPr="00A83497">
        <w:rPr>
          <w:rFonts w:ascii="Calibri" w:hAnsi="Calibri"/>
          <w:color w:val="000000"/>
        </w:rPr>
        <w:t>in 2003, 81</w:t>
      </w:r>
      <w:r w:rsidR="00906F9C">
        <w:rPr>
          <w:rFonts w:ascii="Calibri" w:hAnsi="Calibri"/>
          <w:color w:val="000000"/>
        </w:rPr>
        <w:t xml:space="preserve">% </w:t>
      </w:r>
      <w:r w:rsidR="003476F3" w:rsidRPr="00A83497">
        <w:rPr>
          <w:rFonts w:ascii="Calibri" w:hAnsi="Calibri"/>
          <w:color w:val="000000"/>
        </w:rPr>
        <w:t>in 2007, and 70</w:t>
      </w:r>
      <w:r w:rsidR="00906F9C">
        <w:rPr>
          <w:rFonts w:ascii="Calibri" w:hAnsi="Calibri"/>
          <w:color w:val="000000"/>
        </w:rPr>
        <w:t>%</w:t>
      </w:r>
      <w:r w:rsidR="00906F9C" w:rsidRPr="00A83497">
        <w:rPr>
          <w:rFonts w:ascii="Calibri" w:hAnsi="Calibri"/>
          <w:color w:val="000000"/>
        </w:rPr>
        <w:t xml:space="preserve"> </w:t>
      </w:r>
      <w:r w:rsidR="003476F3" w:rsidRPr="00A83497">
        <w:rPr>
          <w:rFonts w:ascii="Calibri" w:hAnsi="Calibri"/>
          <w:color w:val="000000"/>
        </w:rPr>
        <w:t xml:space="preserve">in 2012. </w:t>
      </w:r>
      <w:r w:rsidR="008431A3">
        <w:rPr>
          <w:rFonts w:ascii="Calibri" w:hAnsi="Calibri"/>
          <w:color w:val="000000"/>
        </w:rPr>
        <w:t>E</w:t>
      </w:r>
      <w:r w:rsidR="003476F3" w:rsidRPr="00A83497">
        <w:rPr>
          <w:rFonts w:ascii="Calibri" w:hAnsi="Calibri"/>
          <w:color w:val="000000"/>
        </w:rPr>
        <w:t>ffort</w:t>
      </w:r>
      <w:r w:rsidR="008431A3">
        <w:rPr>
          <w:rFonts w:ascii="Calibri" w:hAnsi="Calibri"/>
          <w:color w:val="000000"/>
        </w:rPr>
        <w:t>s</w:t>
      </w:r>
      <w:r w:rsidR="003476F3" w:rsidRPr="00A83497">
        <w:rPr>
          <w:rFonts w:ascii="Calibri" w:hAnsi="Calibri"/>
          <w:color w:val="000000"/>
        </w:rPr>
        <w:t xml:space="preserve"> will be made in 2018 in an attempt to </w:t>
      </w:r>
      <w:r w:rsidR="00086651">
        <w:rPr>
          <w:rFonts w:ascii="Calibri" w:hAnsi="Calibri"/>
          <w:color w:val="000000"/>
        </w:rPr>
        <w:t xml:space="preserve">slow </w:t>
      </w:r>
      <w:r w:rsidR="003476F3" w:rsidRPr="00A83497">
        <w:rPr>
          <w:rFonts w:ascii="Calibri" w:hAnsi="Calibri"/>
          <w:color w:val="000000"/>
        </w:rPr>
        <w:t xml:space="preserve">that trend. </w:t>
      </w:r>
      <w:r w:rsidR="008431A3">
        <w:rPr>
          <w:rFonts w:ascii="Calibri" w:hAnsi="Calibri"/>
          <w:color w:val="000000"/>
        </w:rPr>
        <w:t>The following pre-collection procedures will be used to maximize response rates</w:t>
      </w:r>
      <w:r w:rsidR="003476F3" w:rsidRPr="00A83497">
        <w:rPr>
          <w:rFonts w:ascii="Calibri" w:hAnsi="Calibri"/>
        </w:rPr>
        <w:t>:</w:t>
      </w:r>
    </w:p>
    <w:p w14:paraId="345080A5" w14:textId="1C3E22AD" w:rsidR="000D2E40" w:rsidRDefault="00906F9C" w:rsidP="003476F3">
      <w:pPr>
        <w:numPr>
          <w:ilvl w:val="0"/>
          <w:numId w:val="49"/>
        </w:numPr>
        <w:autoSpaceDE w:val="0"/>
        <w:autoSpaceDN w:val="0"/>
        <w:adjustRightInd w:val="0"/>
        <w:spacing w:after="0" w:line="240" w:lineRule="auto"/>
        <w:rPr>
          <w:rFonts w:ascii="Calibri" w:hAnsi="Calibri"/>
        </w:rPr>
      </w:pPr>
      <w:r>
        <w:rPr>
          <w:rFonts w:ascii="Calibri" w:hAnsi="Calibri"/>
        </w:rPr>
        <w:t>The survey contractor conducted a</w:t>
      </w:r>
      <w:r w:rsidR="00445016">
        <w:rPr>
          <w:rFonts w:ascii="Calibri" w:hAnsi="Calibri"/>
        </w:rPr>
        <w:t xml:space="preserve"> field test</w:t>
      </w:r>
      <w:r w:rsidR="000D2E40">
        <w:rPr>
          <w:rFonts w:ascii="Calibri" w:hAnsi="Calibri"/>
        </w:rPr>
        <w:t xml:space="preserve"> of contact procedures</w:t>
      </w:r>
      <w:r>
        <w:rPr>
          <w:rFonts w:ascii="Calibri" w:hAnsi="Calibri"/>
        </w:rPr>
        <w:t xml:space="preserve">, as </w:t>
      </w:r>
      <w:r w:rsidR="000D2E40">
        <w:rPr>
          <w:rFonts w:ascii="Calibri" w:hAnsi="Calibri"/>
        </w:rPr>
        <w:t xml:space="preserve">described </w:t>
      </w:r>
      <w:r>
        <w:rPr>
          <w:rFonts w:ascii="Calibri" w:hAnsi="Calibri"/>
        </w:rPr>
        <w:t xml:space="preserve">further </w:t>
      </w:r>
      <w:r w:rsidR="000D2E40">
        <w:rPr>
          <w:rFonts w:ascii="Calibri" w:hAnsi="Calibri"/>
        </w:rPr>
        <w:t xml:space="preserve">in </w:t>
      </w:r>
      <w:r w:rsidR="004946DB" w:rsidRPr="004946DB">
        <w:rPr>
          <w:rFonts w:ascii="Calibri" w:hAnsi="Calibri"/>
          <w:i/>
        </w:rPr>
        <w:t>S</w:t>
      </w:r>
      <w:r w:rsidR="000D2E40" w:rsidRPr="004946DB">
        <w:rPr>
          <w:rFonts w:ascii="Calibri" w:hAnsi="Calibri"/>
          <w:i/>
        </w:rPr>
        <w:t>ection</w:t>
      </w:r>
      <w:r w:rsidR="00D35811" w:rsidRPr="004946DB">
        <w:rPr>
          <w:rFonts w:ascii="Calibri" w:hAnsi="Calibri"/>
          <w:i/>
        </w:rPr>
        <w:t xml:space="preserve"> B.4.</w:t>
      </w:r>
      <w:r w:rsidR="00D35811">
        <w:rPr>
          <w:rFonts w:ascii="Calibri" w:hAnsi="Calibri"/>
        </w:rPr>
        <w:t xml:space="preserve"> </w:t>
      </w:r>
      <w:r>
        <w:rPr>
          <w:rFonts w:ascii="Calibri" w:hAnsi="Calibri"/>
        </w:rPr>
        <w:t xml:space="preserve">The lessons learned from that test are being used to </w:t>
      </w:r>
      <w:r w:rsidR="00445016">
        <w:rPr>
          <w:rFonts w:ascii="Calibri" w:hAnsi="Calibri"/>
        </w:rPr>
        <w:t>inform strategies to identify respondents</w:t>
      </w:r>
      <w:r w:rsidR="00496B67">
        <w:rPr>
          <w:rFonts w:ascii="Calibri" w:hAnsi="Calibri"/>
        </w:rPr>
        <w:t>,</w:t>
      </w:r>
      <w:r w:rsidR="00445016">
        <w:rPr>
          <w:rFonts w:ascii="Calibri" w:hAnsi="Calibri"/>
        </w:rPr>
        <w:t xml:space="preserve"> encourage </w:t>
      </w:r>
      <w:r w:rsidR="008431A3">
        <w:rPr>
          <w:rFonts w:ascii="Calibri" w:hAnsi="Calibri"/>
        </w:rPr>
        <w:t xml:space="preserve">survey completion </w:t>
      </w:r>
      <w:r w:rsidR="00445016">
        <w:rPr>
          <w:rFonts w:ascii="Calibri" w:hAnsi="Calibri"/>
        </w:rPr>
        <w:t>on the web</w:t>
      </w:r>
      <w:r w:rsidR="00496B67">
        <w:rPr>
          <w:rFonts w:ascii="Calibri" w:hAnsi="Calibri"/>
        </w:rPr>
        <w:t>, and avoid refusals</w:t>
      </w:r>
      <w:r w:rsidR="00445016">
        <w:rPr>
          <w:rFonts w:ascii="Calibri" w:hAnsi="Calibri"/>
        </w:rPr>
        <w:t>.</w:t>
      </w:r>
    </w:p>
    <w:p w14:paraId="0A8351EC" w14:textId="4D491C1A" w:rsidR="00445016" w:rsidRDefault="00445016" w:rsidP="003476F3">
      <w:pPr>
        <w:numPr>
          <w:ilvl w:val="0"/>
          <w:numId w:val="49"/>
        </w:numPr>
        <w:autoSpaceDE w:val="0"/>
        <w:autoSpaceDN w:val="0"/>
        <w:adjustRightInd w:val="0"/>
        <w:spacing w:after="0" w:line="240" w:lineRule="auto"/>
        <w:rPr>
          <w:rFonts w:ascii="Calibri" w:hAnsi="Calibri"/>
        </w:rPr>
      </w:pPr>
      <w:r>
        <w:rPr>
          <w:rFonts w:ascii="Calibri" w:hAnsi="Calibri"/>
        </w:rPr>
        <w:t xml:space="preserve">A dedicated interviewer will be assigned to each sampled building, and will </w:t>
      </w:r>
      <w:r w:rsidR="008431A3">
        <w:rPr>
          <w:rFonts w:ascii="Calibri" w:hAnsi="Calibri"/>
        </w:rPr>
        <w:t>continue to monitor the</w:t>
      </w:r>
      <w:r>
        <w:rPr>
          <w:rFonts w:ascii="Calibri" w:hAnsi="Calibri"/>
        </w:rPr>
        <w:t xml:space="preserve"> case even if a respondent indicates that they will complete the interview via web. The interview</w:t>
      </w:r>
      <w:r w:rsidR="000D2EC2">
        <w:rPr>
          <w:rFonts w:ascii="Calibri" w:hAnsi="Calibri"/>
        </w:rPr>
        <w:t>er</w:t>
      </w:r>
      <w:r>
        <w:rPr>
          <w:rFonts w:ascii="Calibri" w:hAnsi="Calibri"/>
        </w:rPr>
        <w:t xml:space="preserve"> will follow-up with the respondent if the</w:t>
      </w:r>
      <w:r w:rsidR="000D2EC2">
        <w:rPr>
          <w:rFonts w:ascii="Calibri" w:hAnsi="Calibri"/>
        </w:rPr>
        <w:t xml:space="preserve"> respondent</w:t>
      </w:r>
      <w:r>
        <w:rPr>
          <w:rFonts w:ascii="Calibri" w:hAnsi="Calibri"/>
        </w:rPr>
        <w:t xml:space="preserve"> do</w:t>
      </w:r>
      <w:r w:rsidR="000D2EC2">
        <w:rPr>
          <w:rFonts w:ascii="Calibri" w:hAnsi="Calibri"/>
        </w:rPr>
        <w:t>es</w:t>
      </w:r>
      <w:r>
        <w:rPr>
          <w:rFonts w:ascii="Calibri" w:hAnsi="Calibri"/>
        </w:rPr>
        <w:t xml:space="preserve"> not complete the </w:t>
      </w:r>
      <w:r w:rsidR="008431A3">
        <w:rPr>
          <w:rFonts w:ascii="Calibri" w:hAnsi="Calibri"/>
        </w:rPr>
        <w:t xml:space="preserve">web </w:t>
      </w:r>
      <w:r>
        <w:rPr>
          <w:rFonts w:ascii="Calibri" w:hAnsi="Calibri"/>
        </w:rPr>
        <w:t>survey within a given time.</w:t>
      </w:r>
    </w:p>
    <w:p w14:paraId="6AEA8075" w14:textId="70EEE762" w:rsidR="003476F3" w:rsidRPr="00A83497" w:rsidRDefault="00D35811" w:rsidP="003476F3">
      <w:pPr>
        <w:numPr>
          <w:ilvl w:val="0"/>
          <w:numId w:val="49"/>
        </w:numPr>
        <w:autoSpaceDE w:val="0"/>
        <w:autoSpaceDN w:val="0"/>
        <w:adjustRightInd w:val="0"/>
        <w:spacing w:after="0" w:line="240" w:lineRule="auto"/>
        <w:rPr>
          <w:rFonts w:ascii="Calibri" w:hAnsi="Calibri"/>
        </w:rPr>
      </w:pPr>
      <w:r>
        <w:rPr>
          <w:rFonts w:ascii="Calibri" w:hAnsi="Calibri"/>
        </w:rPr>
        <w:t xml:space="preserve">EIA </w:t>
      </w:r>
      <w:r w:rsidR="00496B67">
        <w:rPr>
          <w:rFonts w:ascii="Calibri" w:hAnsi="Calibri"/>
        </w:rPr>
        <w:t>has developed</w:t>
      </w:r>
      <w:r>
        <w:rPr>
          <w:rFonts w:ascii="Calibri" w:hAnsi="Calibri"/>
        </w:rPr>
        <w:t xml:space="preserve"> materials that emphasize </w:t>
      </w:r>
      <w:r w:rsidR="003476F3" w:rsidRPr="00A83497">
        <w:rPr>
          <w:rFonts w:ascii="Calibri" w:hAnsi="Calibri"/>
        </w:rPr>
        <w:t xml:space="preserve">the importance of the content of the survey, both </w:t>
      </w:r>
      <w:r w:rsidR="00496B67">
        <w:rPr>
          <w:rFonts w:ascii="Calibri" w:hAnsi="Calibri"/>
        </w:rPr>
        <w:t>for</w:t>
      </w:r>
      <w:r w:rsidR="00496B67" w:rsidRPr="00A83497">
        <w:rPr>
          <w:rFonts w:ascii="Calibri" w:hAnsi="Calibri"/>
        </w:rPr>
        <w:t xml:space="preserve"> </w:t>
      </w:r>
      <w:r w:rsidR="003476F3" w:rsidRPr="00A83497">
        <w:rPr>
          <w:rFonts w:ascii="Calibri" w:hAnsi="Calibri"/>
        </w:rPr>
        <w:t>the interviewer</w:t>
      </w:r>
      <w:r>
        <w:rPr>
          <w:rFonts w:ascii="Calibri" w:hAnsi="Calibri"/>
        </w:rPr>
        <w:t xml:space="preserve">s and </w:t>
      </w:r>
      <w:r w:rsidR="00496B67">
        <w:rPr>
          <w:rFonts w:ascii="Calibri" w:hAnsi="Calibri"/>
        </w:rPr>
        <w:t>for</w:t>
      </w:r>
      <w:r>
        <w:rPr>
          <w:rFonts w:ascii="Calibri" w:hAnsi="Calibri"/>
        </w:rPr>
        <w:t xml:space="preserve"> the survey respondents.</w:t>
      </w:r>
    </w:p>
    <w:p w14:paraId="414EEB69" w14:textId="77777777" w:rsidR="003476F3" w:rsidRPr="00A83497" w:rsidRDefault="00D35811" w:rsidP="003476F3">
      <w:pPr>
        <w:numPr>
          <w:ilvl w:val="0"/>
          <w:numId w:val="49"/>
        </w:numPr>
        <w:autoSpaceDE w:val="0"/>
        <w:autoSpaceDN w:val="0"/>
        <w:adjustRightInd w:val="0"/>
        <w:spacing w:after="0" w:line="240" w:lineRule="auto"/>
        <w:rPr>
          <w:rFonts w:ascii="Calibri" w:hAnsi="Calibri"/>
        </w:rPr>
      </w:pPr>
      <w:r>
        <w:rPr>
          <w:rFonts w:ascii="Calibri" w:hAnsi="Calibri"/>
        </w:rPr>
        <w:t>Letters</w:t>
      </w:r>
      <w:r w:rsidR="003476F3" w:rsidRPr="00A83497">
        <w:rPr>
          <w:rFonts w:ascii="Calibri" w:hAnsi="Calibri"/>
        </w:rPr>
        <w:t xml:space="preserve"> signed by a Department of Energy official</w:t>
      </w:r>
      <w:r>
        <w:rPr>
          <w:rFonts w:ascii="Calibri" w:hAnsi="Calibri"/>
        </w:rPr>
        <w:t xml:space="preserve"> will be mailed</w:t>
      </w:r>
      <w:r w:rsidR="003476F3" w:rsidRPr="00A83497">
        <w:rPr>
          <w:rFonts w:ascii="Calibri" w:hAnsi="Calibri"/>
        </w:rPr>
        <w:t xml:space="preserve"> to the respondent </w:t>
      </w:r>
      <w:r>
        <w:rPr>
          <w:rFonts w:ascii="Calibri" w:hAnsi="Calibri"/>
        </w:rPr>
        <w:t xml:space="preserve">in advance of the first contact </w:t>
      </w:r>
      <w:r w:rsidR="003476F3" w:rsidRPr="00A83497">
        <w:rPr>
          <w:rFonts w:ascii="Calibri" w:hAnsi="Calibri"/>
        </w:rPr>
        <w:t>t</w:t>
      </w:r>
      <w:r>
        <w:rPr>
          <w:rFonts w:ascii="Calibri" w:hAnsi="Calibri"/>
        </w:rPr>
        <w:t>o inform them about the survey.</w:t>
      </w:r>
    </w:p>
    <w:p w14:paraId="0BA9EBFF" w14:textId="0BCC9D49" w:rsidR="003476F3" w:rsidRPr="004946DB" w:rsidRDefault="00D35811" w:rsidP="00E42EAC">
      <w:pPr>
        <w:numPr>
          <w:ilvl w:val="0"/>
          <w:numId w:val="49"/>
        </w:numPr>
        <w:autoSpaceDE w:val="0"/>
        <w:autoSpaceDN w:val="0"/>
        <w:adjustRightInd w:val="0"/>
        <w:spacing w:after="0" w:line="240" w:lineRule="auto"/>
        <w:rPr>
          <w:rFonts w:ascii="Calibri" w:hAnsi="Calibri"/>
        </w:rPr>
      </w:pPr>
      <w:r w:rsidRPr="004946DB">
        <w:rPr>
          <w:rFonts w:ascii="Calibri" w:hAnsi="Calibri"/>
        </w:rPr>
        <w:t xml:space="preserve">The identified </w:t>
      </w:r>
      <w:r w:rsidR="003476F3" w:rsidRPr="004946DB">
        <w:rPr>
          <w:rFonts w:ascii="Calibri" w:hAnsi="Calibri"/>
        </w:rPr>
        <w:t xml:space="preserve">respondent </w:t>
      </w:r>
      <w:r w:rsidRPr="004946DB">
        <w:rPr>
          <w:rFonts w:ascii="Calibri" w:hAnsi="Calibri"/>
        </w:rPr>
        <w:t>will be provided with background m</w:t>
      </w:r>
      <w:r w:rsidR="003476F3" w:rsidRPr="004946DB">
        <w:rPr>
          <w:rFonts w:ascii="Calibri" w:hAnsi="Calibri"/>
        </w:rPr>
        <w:t xml:space="preserve">aterials consisting of information about the survey, </w:t>
      </w:r>
      <w:r w:rsidRPr="004946DB">
        <w:rPr>
          <w:rFonts w:ascii="Calibri" w:hAnsi="Calibri"/>
        </w:rPr>
        <w:t>a list of items for which data will be collected</w:t>
      </w:r>
      <w:r w:rsidR="003476F3" w:rsidRPr="004946DB">
        <w:rPr>
          <w:rFonts w:ascii="Calibri" w:hAnsi="Calibri"/>
        </w:rPr>
        <w:t>, a</w:t>
      </w:r>
      <w:r w:rsidRPr="004946DB">
        <w:rPr>
          <w:rFonts w:ascii="Calibri" w:hAnsi="Calibri"/>
        </w:rPr>
        <w:t xml:space="preserve"> list of businesses and organizations who support the CBECS, and other information</w:t>
      </w:r>
      <w:r w:rsidR="003476F3" w:rsidRPr="004946DB">
        <w:rPr>
          <w:rFonts w:ascii="Calibri" w:hAnsi="Calibri"/>
        </w:rPr>
        <w:t xml:space="preserve"> that highlights the importance of the CBECS and why </w:t>
      </w:r>
      <w:r w:rsidRPr="004946DB">
        <w:rPr>
          <w:rFonts w:ascii="Calibri" w:hAnsi="Calibri"/>
        </w:rPr>
        <w:t>their participation is vital.</w:t>
      </w:r>
    </w:p>
    <w:p w14:paraId="10CF48BE" w14:textId="77390B62" w:rsidR="003476F3" w:rsidRPr="004946DB" w:rsidRDefault="00D35811" w:rsidP="003476F3">
      <w:pPr>
        <w:numPr>
          <w:ilvl w:val="0"/>
          <w:numId w:val="49"/>
        </w:numPr>
        <w:autoSpaceDE w:val="0"/>
        <w:autoSpaceDN w:val="0"/>
        <w:adjustRightInd w:val="0"/>
        <w:spacing w:after="0" w:line="240" w:lineRule="auto"/>
        <w:rPr>
          <w:rFonts w:ascii="Calibri" w:hAnsi="Calibri"/>
        </w:rPr>
      </w:pPr>
      <w:r w:rsidRPr="004946DB">
        <w:rPr>
          <w:rFonts w:ascii="Calibri" w:hAnsi="Calibri"/>
        </w:rPr>
        <w:t xml:space="preserve">The respondent will be </w:t>
      </w:r>
      <w:r w:rsidR="00CB1606">
        <w:rPr>
          <w:rFonts w:ascii="Calibri" w:hAnsi="Calibri"/>
        </w:rPr>
        <w:t xml:space="preserve">able to select their mode of completion, either in-person or over the phone with an interviewer, </w:t>
      </w:r>
      <w:r w:rsidRPr="004946DB">
        <w:rPr>
          <w:rFonts w:ascii="Calibri" w:hAnsi="Calibri"/>
        </w:rPr>
        <w:t xml:space="preserve">or </w:t>
      </w:r>
      <w:r w:rsidR="00CB1606">
        <w:rPr>
          <w:rFonts w:ascii="Calibri" w:hAnsi="Calibri"/>
        </w:rPr>
        <w:t xml:space="preserve">on a self-administered </w:t>
      </w:r>
      <w:r w:rsidRPr="004946DB">
        <w:rPr>
          <w:rFonts w:ascii="Calibri" w:hAnsi="Calibri"/>
        </w:rPr>
        <w:t>web instrument.</w:t>
      </w:r>
      <w:r w:rsidR="003476F3" w:rsidRPr="004946DB">
        <w:rPr>
          <w:rFonts w:ascii="Calibri" w:hAnsi="Calibri"/>
        </w:rPr>
        <w:t xml:space="preserve"> </w:t>
      </w:r>
      <w:r w:rsidR="00496B67">
        <w:rPr>
          <w:rFonts w:ascii="Calibri" w:hAnsi="Calibri"/>
        </w:rPr>
        <w:t>Debriefing with interviewers from the 2012 CBECS indicated that some respondents asked whether a web option was available.</w:t>
      </w:r>
    </w:p>
    <w:p w14:paraId="7B264FDA" w14:textId="1BA17534" w:rsidR="003476F3" w:rsidRPr="00A83497" w:rsidRDefault="00D35811" w:rsidP="003476F3">
      <w:pPr>
        <w:numPr>
          <w:ilvl w:val="0"/>
          <w:numId w:val="49"/>
        </w:numPr>
        <w:autoSpaceDE w:val="0"/>
        <w:autoSpaceDN w:val="0"/>
        <w:adjustRightInd w:val="0"/>
        <w:spacing w:after="0" w:line="240" w:lineRule="auto"/>
        <w:rPr>
          <w:rFonts w:ascii="Calibri" w:hAnsi="Calibri"/>
        </w:rPr>
      </w:pPr>
      <w:r>
        <w:rPr>
          <w:rFonts w:ascii="Calibri" w:hAnsi="Calibri"/>
        </w:rPr>
        <w:t>The survey contractor will prov</w:t>
      </w:r>
      <w:r w:rsidR="00CB1606">
        <w:rPr>
          <w:rFonts w:ascii="Calibri" w:hAnsi="Calibri"/>
        </w:rPr>
        <w:t>id</w:t>
      </w:r>
      <w:r>
        <w:rPr>
          <w:rFonts w:ascii="Calibri" w:hAnsi="Calibri"/>
        </w:rPr>
        <w:t>e</w:t>
      </w:r>
      <w:r w:rsidR="003476F3" w:rsidRPr="00A83497">
        <w:rPr>
          <w:rFonts w:ascii="Calibri" w:hAnsi="Calibri"/>
        </w:rPr>
        <w:t xml:space="preserve"> a toll-free </w:t>
      </w:r>
      <w:r w:rsidR="00CB1606" w:rsidRPr="00A83497">
        <w:rPr>
          <w:rFonts w:ascii="Calibri" w:hAnsi="Calibri"/>
        </w:rPr>
        <w:t xml:space="preserve">Help Center </w:t>
      </w:r>
      <w:r w:rsidR="003476F3" w:rsidRPr="00A83497">
        <w:rPr>
          <w:rFonts w:ascii="Calibri" w:hAnsi="Calibri"/>
        </w:rPr>
        <w:t>number for respondents to call with any questions or co</w:t>
      </w:r>
      <w:r>
        <w:rPr>
          <w:rFonts w:ascii="Calibri" w:hAnsi="Calibri"/>
        </w:rPr>
        <w:t>ncerns. Respondent</w:t>
      </w:r>
      <w:r w:rsidR="00CB1606">
        <w:rPr>
          <w:rFonts w:ascii="Calibri" w:hAnsi="Calibri"/>
        </w:rPr>
        <w:t>s</w:t>
      </w:r>
      <w:r>
        <w:rPr>
          <w:rFonts w:ascii="Calibri" w:hAnsi="Calibri"/>
        </w:rPr>
        <w:t xml:space="preserve"> will also be provided with </w:t>
      </w:r>
      <w:r w:rsidR="003476F3" w:rsidRPr="00A83497">
        <w:rPr>
          <w:rFonts w:ascii="Calibri" w:hAnsi="Calibri"/>
        </w:rPr>
        <w:t xml:space="preserve">the phone number </w:t>
      </w:r>
      <w:r>
        <w:rPr>
          <w:rFonts w:ascii="Calibri" w:hAnsi="Calibri"/>
        </w:rPr>
        <w:t xml:space="preserve">and email address of </w:t>
      </w:r>
      <w:r w:rsidR="00CB1606">
        <w:rPr>
          <w:rFonts w:ascii="Calibri" w:hAnsi="Calibri"/>
        </w:rPr>
        <w:t>the survey manager</w:t>
      </w:r>
      <w:r>
        <w:rPr>
          <w:rFonts w:ascii="Calibri" w:hAnsi="Calibri"/>
        </w:rPr>
        <w:t xml:space="preserve"> at EIA.</w:t>
      </w:r>
    </w:p>
    <w:p w14:paraId="6F57677F" w14:textId="2FE193E1" w:rsidR="00DF0353" w:rsidRDefault="00D35811" w:rsidP="003476F3">
      <w:pPr>
        <w:numPr>
          <w:ilvl w:val="0"/>
          <w:numId w:val="49"/>
        </w:numPr>
        <w:autoSpaceDE w:val="0"/>
        <w:autoSpaceDN w:val="0"/>
        <w:adjustRightInd w:val="0"/>
        <w:spacing w:after="0" w:line="240" w:lineRule="auto"/>
        <w:rPr>
          <w:rFonts w:ascii="Calibri" w:hAnsi="Calibri"/>
        </w:rPr>
      </w:pPr>
      <w:r>
        <w:rPr>
          <w:rFonts w:ascii="Calibri" w:hAnsi="Calibri"/>
        </w:rPr>
        <w:t>N</w:t>
      </w:r>
      <w:r w:rsidR="003476F3" w:rsidRPr="00A83497">
        <w:rPr>
          <w:rFonts w:ascii="Calibri" w:hAnsi="Calibri"/>
        </w:rPr>
        <w:t>onrespond</w:t>
      </w:r>
      <w:r w:rsidR="00ED352F">
        <w:rPr>
          <w:rFonts w:ascii="Calibri" w:hAnsi="Calibri"/>
        </w:rPr>
        <w:t xml:space="preserve">ing building owners and managers </w:t>
      </w:r>
      <w:r>
        <w:rPr>
          <w:rFonts w:ascii="Calibri" w:hAnsi="Calibri"/>
        </w:rPr>
        <w:t xml:space="preserve">will </w:t>
      </w:r>
      <w:r w:rsidR="00CB1606">
        <w:rPr>
          <w:rFonts w:ascii="Calibri" w:hAnsi="Calibri"/>
        </w:rPr>
        <w:t>receive</w:t>
      </w:r>
      <w:r w:rsidR="003476F3" w:rsidRPr="00A83497">
        <w:rPr>
          <w:rFonts w:ascii="Calibri" w:hAnsi="Calibri"/>
        </w:rPr>
        <w:t xml:space="preserve"> reminder letters and telephone calls</w:t>
      </w:r>
      <w:r w:rsidR="00E04E79">
        <w:rPr>
          <w:rFonts w:ascii="Calibri" w:hAnsi="Calibri"/>
        </w:rPr>
        <w:t>.</w:t>
      </w:r>
    </w:p>
    <w:p w14:paraId="5EB4F759" w14:textId="77777777" w:rsidR="00DF0353" w:rsidRDefault="00DF0353" w:rsidP="008E4AB4">
      <w:pPr>
        <w:autoSpaceDE w:val="0"/>
        <w:autoSpaceDN w:val="0"/>
        <w:adjustRightInd w:val="0"/>
        <w:spacing w:after="0" w:line="240" w:lineRule="auto"/>
        <w:rPr>
          <w:rFonts w:ascii="Calibri" w:hAnsi="Calibri"/>
        </w:rPr>
      </w:pPr>
    </w:p>
    <w:p w14:paraId="07D24C32" w14:textId="52C4D256" w:rsidR="003476F3" w:rsidRPr="00A83497" w:rsidRDefault="00DF0353" w:rsidP="008E4AB4">
      <w:pPr>
        <w:autoSpaceDE w:val="0"/>
        <w:autoSpaceDN w:val="0"/>
        <w:adjustRightInd w:val="0"/>
        <w:spacing w:after="0" w:line="240" w:lineRule="auto"/>
        <w:rPr>
          <w:rFonts w:ascii="Calibri" w:hAnsi="Calibri"/>
        </w:rPr>
      </w:pPr>
      <w:r>
        <w:rPr>
          <w:rFonts w:ascii="Calibri" w:hAnsi="Calibri"/>
        </w:rPr>
        <w:t xml:space="preserve">The response rates for the mandatory Energy Suppliers Survey (Forms EIA-871C, D, E, and F) are high. In the 2012 CBECS, </w:t>
      </w:r>
      <w:r w:rsidR="00906F9C">
        <w:rPr>
          <w:rFonts w:ascii="Calibri" w:hAnsi="Calibri"/>
        </w:rPr>
        <w:t>97% of suppliers provided data for at least one building. Most suppliers are asked to report data for more than one building. At the building-level, the response rate was 90%.</w:t>
      </w:r>
    </w:p>
    <w:p w14:paraId="4BAAA252" w14:textId="77777777" w:rsidR="007E53C4" w:rsidRDefault="00844524" w:rsidP="00BE4957">
      <w:pPr>
        <w:pStyle w:val="Heading2"/>
      </w:pPr>
      <w:bookmarkStart w:id="5" w:name="_Toc466046937"/>
      <w:r>
        <w:t>B.</w:t>
      </w:r>
      <w:r w:rsidR="00A41763" w:rsidRPr="00A41763">
        <w:t xml:space="preserve">4. </w:t>
      </w:r>
      <w:r w:rsidR="007E53C4">
        <w:t>Test Procedures and Form Consultations</w:t>
      </w:r>
      <w:bookmarkEnd w:id="5"/>
    </w:p>
    <w:p w14:paraId="32752168" w14:textId="5EF6EE85" w:rsidR="00C63CC3" w:rsidRDefault="00C63CC3" w:rsidP="00A41763">
      <w:pPr>
        <w:rPr>
          <w:iCs/>
        </w:rPr>
      </w:pPr>
      <w:r w:rsidRPr="00C63CC3">
        <w:rPr>
          <w:b/>
          <w:iCs/>
        </w:rPr>
        <w:t>Cognitive pretesting of survey questions</w:t>
      </w:r>
    </w:p>
    <w:p w14:paraId="528F5B76" w14:textId="4C554618" w:rsidR="00E3732A" w:rsidRDefault="00C63CC3" w:rsidP="00A41763">
      <w:pPr>
        <w:rPr>
          <w:iCs/>
        </w:rPr>
      </w:pPr>
      <w:r w:rsidRPr="00086651">
        <w:rPr>
          <w:iCs/>
        </w:rPr>
        <w:t xml:space="preserve">Under </w:t>
      </w:r>
      <w:r w:rsidRPr="00B84CB4">
        <w:rPr>
          <w:rFonts w:cs="ArialMT"/>
          <w:i/>
        </w:rPr>
        <w:t>EIA-882T: Generic Clearance of Questionnaire Testing, Evaluating, and Research, OMB 1905-0186 (Expiration 3/31/2019)</w:t>
      </w:r>
      <w:r w:rsidRPr="00B84CB4">
        <w:rPr>
          <w:rFonts w:cs="ArialMT"/>
        </w:rPr>
        <w:t xml:space="preserve">, </w:t>
      </w:r>
      <w:r w:rsidR="00E3732A" w:rsidRPr="00B84CB4">
        <w:rPr>
          <w:rFonts w:cs="ArialMT"/>
        </w:rPr>
        <w:t>from January 9, 2017 to February 20, 2018</w:t>
      </w:r>
      <w:r w:rsidRPr="00086651">
        <w:rPr>
          <w:iCs/>
        </w:rPr>
        <w:t>,</w:t>
      </w:r>
      <w:r>
        <w:rPr>
          <w:iCs/>
        </w:rPr>
        <w:t xml:space="preserve"> EIA’s survey contractor conducted cognitive </w:t>
      </w:r>
      <w:r w:rsidR="00E3732A">
        <w:rPr>
          <w:iCs/>
        </w:rPr>
        <w:t>pre</w:t>
      </w:r>
      <w:r>
        <w:rPr>
          <w:iCs/>
        </w:rPr>
        <w:t>testin</w:t>
      </w:r>
      <w:r w:rsidR="00E3732A">
        <w:rPr>
          <w:iCs/>
        </w:rPr>
        <w:t>g of survey questions in three CBECS content areas: building square footage, HVAC systems, and data centers and servers in buildings. This pretesting method serve</w:t>
      </w:r>
      <w:r w:rsidR="00BE4957">
        <w:rPr>
          <w:iCs/>
        </w:rPr>
        <w:t>d</w:t>
      </w:r>
      <w:r w:rsidR="00E3732A">
        <w:rPr>
          <w:iCs/>
        </w:rPr>
        <w:t xml:space="preserve"> two main purposes: identify the variety of difficulties respondents encounter in understanding and answering survey questions, and exploring whether respondents interpret the question as intended. The survey contractor recruited 20 building respondents fr</w:t>
      </w:r>
      <w:r w:rsidR="00323006">
        <w:rPr>
          <w:iCs/>
        </w:rPr>
        <w:t xml:space="preserve">om the Washington DC metro area, </w:t>
      </w:r>
      <w:r w:rsidR="00C06E5A">
        <w:rPr>
          <w:iCs/>
        </w:rPr>
        <w:t>which</w:t>
      </w:r>
      <w:r w:rsidR="00323006">
        <w:rPr>
          <w:iCs/>
        </w:rPr>
        <w:t xml:space="preserve"> represent</w:t>
      </w:r>
      <w:r w:rsidR="00C06E5A">
        <w:rPr>
          <w:iCs/>
        </w:rPr>
        <w:t>ed</w:t>
      </w:r>
      <w:r w:rsidR="00323006">
        <w:rPr>
          <w:iCs/>
        </w:rPr>
        <w:t xml:space="preserve"> building types and sizes </w:t>
      </w:r>
      <w:r w:rsidR="00C06E5A">
        <w:rPr>
          <w:iCs/>
        </w:rPr>
        <w:t>where</w:t>
      </w:r>
      <w:r w:rsidR="00323006">
        <w:rPr>
          <w:iCs/>
        </w:rPr>
        <w:t xml:space="preserve"> previous data review had shown issues with the items in question. Each building respondent took part in an approximate one-hour interview at their place of work. The survey contractor summarized the results for EIA and respondent feedback was considered as the questions were revised.</w:t>
      </w:r>
      <w:r w:rsidR="002419CC">
        <w:rPr>
          <w:iCs/>
        </w:rPr>
        <w:t xml:space="preserve"> The feedback from the respondents was especially useful for updating the definitions of heating and cooling equipment; the updated examples should better align with respondents understanding of their energy systems.</w:t>
      </w:r>
    </w:p>
    <w:p w14:paraId="60B49F0C" w14:textId="77777777" w:rsidR="00C63CC3" w:rsidRDefault="00C63CC3" w:rsidP="00A41763">
      <w:pPr>
        <w:rPr>
          <w:b/>
          <w:iCs/>
        </w:rPr>
      </w:pPr>
      <w:r w:rsidRPr="00C63CC3">
        <w:rPr>
          <w:b/>
          <w:iCs/>
        </w:rPr>
        <w:t>Usability testing of web instrument</w:t>
      </w:r>
    </w:p>
    <w:p w14:paraId="0C467FC1" w14:textId="62A8553A" w:rsidR="00C63CC3" w:rsidRDefault="00C63CC3" w:rsidP="00A41763">
      <w:pPr>
        <w:rPr>
          <w:iCs/>
        </w:rPr>
      </w:pPr>
      <w:r>
        <w:rPr>
          <w:iCs/>
        </w:rPr>
        <w:t xml:space="preserve">Because CBECS will be offered as a self-administered web survey for the first time, significant design effort has gone into the web interface. </w:t>
      </w:r>
      <w:r w:rsidR="006535C2">
        <w:rPr>
          <w:iCs/>
        </w:rPr>
        <w:t xml:space="preserve">A well-designed, intuitive interface decreases interview time and reduces cognitive burden on the respondent. </w:t>
      </w:r>
      <w:r>
        <w:rPr>
          <w:iCs/>
        </w:rPr>
        <w:t xml:space="preserve">EIA’s survey contractor developed a web prototype of a subset of questions and tested its usability in a laboratory setting. </w:t>
      </w:r>
      <w:r w:rsidRPr="00C63CC3">
        <w:rPr>
          <w:iCs/>
        </w:rPr>
        <w:t xml:space="preserve">Eight </w:t>
      </w:r>
      <w:r w:rsidR="009A1508">
        <w:rPr>
          <w:iCs/>
        </w:rPr>
        <w:t>participants</w:t>
      </w:r>
      <w:r w:rsidRPr="00C63CC3">
        <w:rPr>
          <w:iCs/>
        </w:rPr>
        <w:t xml:space="preserve"> were recruited for the </w:t>
      </w:r>
      <w:r>
        <w:rPr>
          <w:iCs/>
        </w:rPr>
        <w:t>usability testing, which was held the week of September 17, 2018</w:t>
      </w:r>
      <w:r w:rsidRPr="00C63CC3">
        <w:rPr>
          <w:iCs/>
        </w:rPr>
        <w:t xml:space="preserve">. </w:t>
      </w:r>
      <w:r w:rsidR="009A1508">
        <w:rPr>
          <w:iCs/>
        </w:rPr>
        <w:t>Participants</w:t>
      </w:r>
      <w:r w:rsidRPr="00C63CC3">
        <w:rPr>
          <w:iCs/>
        </w:rPr>
        <w:t xml:space="preserve"> followed</w:t>
      </w:r>
      <w:r>
        <w:rPr>
          <w:iCs/>
        </w:rPr>
        <w:t xml:space="preserve"> prescribed</w:t>
      </w:r>
      <w:r w:rsidRPr="00C63CC3">
        <w:rPr>
          <w:iCs/>
        </w:rPr>
        <w:t xml:space="preserve"> vignettes to ensure certain response paths were followed to test questions. In the interview, the </w:t>
      </w:r>
      <w:r w:rsidR="009A1508">
        <w:rPr>
          <w:iCs/>
        </w:rPr>
        <w:t>participant</w:t>
      </w:r>
      <w:r w:rsidRPr="00C63CC3">
        <w:rPr>
          <w:iCs/>
        </w:rPr>
        <w:t xml:space="preserve"> was instructed to read the vignette aloud and then fill out the web instrument using a laptop computer. After th</w:t>
      </w:r>
      <w:r w:rsidR="00D22CF0">
        <w:rPr>
          <w:iCs/>
        </w:rPr>
        <w:t>e interview</w:t>
      </w:r>
      <w:r w:rsidRPr="00C63CC3">
        <w:rPr>
          <w:iCs/>
        </w:rPr>
        <w:t xml:space="preserve">, the interviewer followed a testing protocol </w:t>
      </w:r>
      <w:r w:rsidR="009A1508">
        <w:rPr>
          <w:iCs/>
        </w:rPr>
        <w:t>and</w:t>
      </w:r>
      <w:r w:rsidRPr="00C63CC3">
        <w:rPr>
          <w:iCs/>
        </w:rPr>
        <w:t xml:space="preserve"> ask</w:t>
      </w:r>
      <w:r w:rsidR="009A1508">
        <w:rPr>
          <w:iCs/>
        </w:rPr>
        <w:t>ed</w:t>
      </w:r>
      <w:r w:rsidRPr="00C63CC3">
        <w:rPr>
          <w:iCs/>
        </w:rPr>
        <w:t xml:space="preserve"> the </w:t>
      </w:r>
      <w:r w:rsidR="009A1508">
        <w:rPr>
          <w:iCs/>
        </w:rPr>
        <w:t>participant</w:t>
      </w:r>
      <w:r w:rsidRPr="00C63CC3">
        <w:rPr>
          <w:iCs/>
        </w:rPr>
        <w:t xml:space="preserve"> </w:t>
      </w:r>
      <w:r>
        <w:rPr>
          <w:iCs/>
        </w:rPr>
        <w:t>about</w:t>
      </w:r>
      <w:r w:rsidRPr="00C63CC3">
        <w:rPr>
          <w:iCs/>
        </w:rPr>
        <w:t xml:space="preserve"> their thoughts and impressions about the design of the instrument.</w:t>
      </w:r>
      <w:r>
        <w:rPr>
          <w:iCs/>
        </w:rPr>
        <w:t xml:space="preserve"> </w:t>
      </w:r>
      <w:r w:rsidR="00086651">
        <w:rPr>
          <w:iCs/>
        </w:rPr>
        <w:t xml:space="preserve">Between going through the vignette and answering the follow-up questions, participants spent about </w:t>
      </w:r>
      <w:r w:rsidR="00086651" w:rsidRPr="00C63CC3">
        <w:rPr>
          <w:iCs/>
        </w:rPr>
        <w:t>45 minutes</w:t>
      </w:r>
      <w:r w:rsidR="00086651">
        <w:rPr>
          <w:iCs/>
        </w:rPr>
        <w:t xml:space="preserve"> with the cognitive interviewer</w:t>
      </w:r>
      <w:r w:rsidR="00086651" w:rsidRPr="00C63CC3">
        <w:rPr>
          <w:iCs/>
        </w:rPr>
        <w:t>.</w:t>
      </w:r>
      <w:r w:rsidR="00086651">
        <w:rPr>
          <w:iCs/>
        </w:rPr>
        <w:t xml:space="preserve"> </w:t>
      </w:r>
      <w:r>
        <w:rPr>
          <w:iCs/>
        </w:rPr>
        <w:t>EIA and the survey contractor observed all of the interviews and used the respondent’s feedback to improve the web survey</w:t>
      </w:r>
      <w:r w:rsidR="00323006">
        <w:rPr>
          <w:iCs/>
        </w:rPr>
        <w:t xml:space="preserve"> design</w:t>
      </w:r>
      <w:r>
        <w:rPr>
          <w:iCs/>
        </w:rPr>
        <w:t xml:space="preserve">. </w:t>
      </w:r>
    </w:p>
    <w:p w14:paraId="079FD447" w14:textId="77777777" w:rsidR="000D2E40" w:rsidRPr="000D2E40" w:rsidRDefault="000D2E40" w:rsidP="00A41763">
      <w:pPr>
        <w:rPr>
          <w:b/>
          <w:iCs/>
        </w:rPr>
      </w:pPr>
      <w:r w:rsidRPr="000D2E40">
        <w:rPr>
          <w:b/>
          <w:iCs/>
        </w:rPr>
        <w:t>Contact protocol testing</w:t>
      </w:r>
    </w:p>
    <w:p w14:paraId="199F4E02" w14:textId="77777777" w:rsidR="000D2E40" w:rsidRPr="00323006" w:rsidRDefault="000D2E40" w:rsidP="000D2E40">
      <w:r w:rsidRPr="00323006">
        <w:rPr>
          <w:iCs/>
        </w:rPr>
        <w:t xml:space="preserve">Under </w:t>
      </w:r>
      <w:r w:rsidRPr="00323006">
        <w:rPr>
          <w:rFonts w:cs="ArialMT"/>
          <w:i/>
        </w:rPr>
        <w:t>EIA-882T: Generic Clearance of Questionnaire Testing, Evaluating, and Research, OMB 1905-0186 (Expiration 3/31/2019)</w:t>
      </w:r>
      <w:r w:rsidRPr="00323006">
        <w:rPr>
          <w:rFonts w:cs="ArialMT"/>
        </w:rPr>
        <w:t>, EIA’s survey contractor conducted a test t</w:t>
      </w:r>
      <w:r w:rsidRPr="00323006">
        <w:t xml:space="preserve">o help inform the development of the contact procedures and materials to be used in the main CBECS data collection. The focus of the work was on the most effective strategies to identify the best respondent, gain cooperation, and encourage participation via the web. </w:t>
      </w:r>
    </w:p>
    <w:p w14:paraId="0F806EA2" w14:textId="32E6ECC8" w:rsidR="00D35811" w:rsidRDefault="004F0E01" w:rsidP="000D2E40">
      <w:r w:rsidRPr="004F0E01">
        <w:t>Field work took place in two stages from September 24 through October 19, 2018 in Rockville, MD and Reston, VA</w:t>
      </w:r>
      <w:r>
        <w:t>. F</w:t>
      </w:r>
      <w:r w:rsidR="000D2E40">
        <w:t>our i</w:t>
      </w:r>
      <w:r w:rsidR="000D2E40" w:rsidRPr="000D2E40">
        <w:t xml:space="preserve">nterviewers </w:t>
      </w:r>
      <w:r w:rsidR="000D2E40">
        <w:t xml:space="preserve">worked in pairs and </w:t>
      </w:r>
      <w:r w:rsidR="000D2E40" w:rsidRPr="000D2E40">
        <w:t>contact</w:t>
      </w:r>
      <w:r w:rsidR="007C607E">
        <w:t>ed</w:t>
      </w:r>
      <w:r w:rsidR="000D2E40" w:rsidRPr="000D2E40">
        <w:t xml:space="preserve"> respondents </w:t>
      </w:r>
      <w:r>
        <w:t xml:space="preserve">from a list of </w:t>
      </w:r>
      <w:r w:rsidR="000D2E40" w:rsidRPr="000D2E40">
        <w:t>buildings</w:t>
      </w:r>
      <w:r>
        <w:t xml:space="preserve"> that had been compiled by the contractor for these </w:t>
      </w:r>
      <w:r w:rsidR="000D2E40" w:rsidRPr="000D2E40">
        <w:t>two areas</w:t>
      </w:r>
      <w:r w:rsidR="000D2E40">
        <w:t xml:space="preserve">. The sample represented a full range of CBECS building sizes </w:t>
      </w:r>
      <w:r w:rsidR="000D2E40" w:rsidRPr="000D2E40">
        <w:t xml:space="preserve">and </w:t>
      </w:r>
      <w:r w:rsidR="000D2E40">
        <w:t>activities</w:t>
      </w:r>
      <w:r w:rsidR="000D2E40" w:rsidRPr="000D2E40">
        <w:t xml:space="preserve">. </w:t>
      </w:r>
      <w:r w:rsidR="00323006">
        <w:t xml:space="preserve">The interviewers visited each building and attempted to find a respondent knowledgeable about energy use in the building. </w:t>
      </w:r>
      <w:r>
        <w:t xml:space="preserve">They </w:t>
      </w:r>
      <w:r w:rsidRPr="004F0E01">
        <w:t>finalized 215 cases, of which 111 had completed screeners and an appropriate respondent was identified</w:t>
      </w:r>
      <w:r>
        <w:t>.</w:t>
      </w:r>
      <w:r w:rsidRPr="004F0E01">
        <w:t xml:space="preserve"> </w:t>
      </w:r>
      <w:r>
        <w:t xml:space="preserve">Interviewers </w:t>
      </w:r>
      <w:r w:rsidR="00323006">
        <w:t xml:space="preserve">were supplied with sample materials such as an authorization letter and a CBECS brochure. The goal was to have each respondent </w:t>
      </w:r>
      <w:r w:rsidR="006535C2">
        <w:t>access</w:t>
      </w:r>
      <w:r w:rsidR="00323006">
        <w:t xml:space="preserve"> a short (approximately 10 minute) web questionnaire, which consisted of a couple questions about the size and use of the building followed by some questions about the interaction with the interviewer and </w:t>
      </w:r>
      <w:r w:rsidR="006535C2">
        <w:t xml:space="preserve">the respondent’s </w:t>
      </w:r>
      <w:r w:rsidR="00323006">
        <w:t xml:space="preserve">preferences in how to complete the survey. </w:t>
      </w:r>
      <w:r w:rsidR="00D35811">
        <w:t xml:space="preserve">The interviewers were also instructed to fill out a form detailing their experiences with each building. The survey contractor held debriefings with </w:t>
      </w:r>
      <w:r w:rsidR="006535C2">
        <w:t>the interviewers twice</w:t>
      </w:r>
      <w:r w:rsidR="00D35811">
        <w:t xml:space="preserve"> during the first week of interviewing and </w:t>
      </w:r>
      <w:r w:rsidR="006535C2">
        <w:t>once</w:t>
      </w:r>
      <w:r w:rsidR="00D35811">
        <w:t xml:space="preserve"> during the second to gain a full understanding of the types of issues they were encountering in the field.</w:t>
      </w:r>
      <w:r w:rsidRPr="004F0E01">
        <w:t xml:space="preserve"> Three types of situations emerged as challenges for making contact and identifying respondents: (1) gatekeepers referring interviewers to off-site respondents; (2) high security/limited access buildings; and (3) single buildings owned by more than one entity. Procedures for overcoming these challenges </w:t>
      </w:r>
      <w:r>
        <w:t>are being developed</w:t>
      </w:r>
      <w:r w:rsidRPr="004F0E01">
        <w:t xml:space="preserve"> for the main study.</w:t>
      </w:r>
    </w:p>
    <w:p w14:paraId="03B37810" w14:textId="77777777" w:rsidR="007E53C4" w:rsidRPr="00A41763" w:rsidRDefault="007E53C4" w:rsidP="00A41763"/>
    <w:p w14:paraId="1711ACB8" w14:textId="77777777" w:rsidR="007E53C4" w:rsidRDefault="00844524" w:rsidP="00BE4957">
      <w:pPr>
        <w:pStyle w:val="Heading2"/>
      </w:pPr>
      <w:bookmarkStart w:id="6" w:name="_Toc466046938"/>
      <w:r>
        <w:t>B.</w:t>
      </w:r>
      <w:r w:rsidR="00A41763" w:rsidRPr="00A41763">
        <w:t xml:space="preserve">5. </w:t>
      </w:r>
      <w:r w:rsidR="007E53C4">
        <w:t>Statistical Consultations</w:t>
      </w:r>
      <w:bookmarkEnd w:id="6"/>
    </w:p>
    <w:p w14:paraId="6AD665AD" w14:textId="422952E9" w:rsidR="00980B6A" w:rsidRPr="00CA4015" w:rsidRDefault="005F13D3" w:rsidP="00FA6D1C">
      <w:r>
        <w:t xml:space="preserve">For questions or additional information regarding the statistical methods for this survey, contact </w:t>
      </w:r>
      <w:r w:rsidR="00915C94">
        <w:t>Katie Lewis</w:t>
      </w:r>
      <w:r>
        <w:t xml:space="preserve">, </w:t>
      </w:r>
      <w:r w:rsidR="00915C94">
        <w:t>Mathematical</w:t>
      </w:r>
      <w:r>
        <w:t xml:space="preserve"> Statistician, at (202) 586-</w:t>
      </w:r>
      <w:r w:rsidR="00915C94">
        <w:t>5138</w:t>
      </w:r>
      <w:r>
        <w:t xml:space="preserve">, email </w:t>
      </w:r>
      <w:r w:rsidR="00915C94" w:rsidRPr="00915C94">
        <w:rPr>
          <w:rStyle w:val="Hyperlink"/>
        </w:rPr>
        <w:t>K</w:t>
      </w:r>
      <w:r w:rsidR="00915C94">
        <w:rPr>
          <w:rStyle w:val="Hyperlink"/>
        </w:rPr>
        <w:t>atie.Lewis@eia.gov</w:t>
      </w:r>
      <w:r>
        <w:t xml:space="preserve">. </w:t>
      </w:r>
      <w:r w:rsidR="00550954">
        <w:rPr>
          <w:iCs/>
        </w:rPr>
        <w:t>For</w:t>
      </w:r>
      <w:r w:rsidR="00FA6D1C">
        <w:rPr>
          <w:iCs/>
        </w:rPr>
        <w:t xml:space="preserve"> further information on the collection and processing, contact the </w:t>
      </w:r>
      <w:r w:rsidR="00CA4015" w:rsidRPr="00CA4015">
        <w:rPr>
          <w:iCs/>
        </w:rPr>
        <w:t>CBECS Survey Manager</w:t>
      </w:r>
      <w:r w:rsidR="00FA6D1C">
        <w:rPr>
          <w:iCs/>
        </w:rPr>
        <w:t>,</w:t>
      </w:r>
      <w:r w:rsidR="00CA4015" w:rsidRPr="00CA4015">
        <w:rPr>
          <w:iCs/>
        </w:rPr>
        <w:t xml:space="preserve"> Joelle Michaels</w:t>
      </w:r>
      <w:r w:rsidR="00FA6D1C">
        <w:rPr>
          <w:iCs/>
        </w:rPr>
        <w:t>,</w:t>
      </w:r>
      <w:r w:rsidR="00CA4015" w:rsidRPr="00CA4015">
        <w:rPr>
          <w:iCs/>
        </w:rPr>
        <w:t xml:space="preserve"> at (202) 586-8952</w:t>
      </w:r>
      <w:r w:rsidR="00FA6D1C">
        <w:rPr>
          <w:iCs/>
        </w:rPr>
        <w:t>,</w:t>
      </w:r>
      <w:r w:rsidR="00CA4015" w:rsidRPr="00CA4015">
        <w:rPr>
          <w:iCs/>
        </w:rPr>
        <w:t xml:space="preserve"> e-mail </w:t>
      </w:r>
      <w:hyperlink r:id="rId30" w:history="1">
        <w:r w:rsidR="00915C94" w:rsidRPr="00C20C92">
          <w:rPr>
            <w:rStyle w:val="Hyperlink"/>
            <w:iCs/>
          </w:rPr>
          <w:t>Joelle.Michaels@eia.gov</w:t>
        </w:r>
      </w:hyperlink>
      <w:r w:rsidR="00CA4015" w:rsidRPr="00CA4015">
        <w:rPr>
          <w:iCs/>
        </w:rPr>
        <w:t>.</w:t>
      </w:r>
      <w:r w:rsidR="0059331C">
        <w:rPr>
          <w:iCs/>
        </w:rPr>
        <w:t xml:space="preserve"> </w:t>
      </w:r>
    </w:p>
    <w:sectPr w:rsidR="00980B6A" w:rsidRPr="00CA4015" w:rsidSect="008F4CBD">
      <w:headerReference w:type="even" r:id="rId31"/>
      <w:headerReference w:type="default" r:id="rId32"/>
      <w:footerReference w:type="even" r:id="rId33"/>
      <w:headerReference w:type="first" r:id="rId34"/>
      <w:footerReference w:type="first" r:id="rId3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D74CD4" w14:textId="77777777" w:rsidR="00462B3A" w:rsidRDefault="00462B3A" w:rsidP="00536CE1">
      <w:pPr>
        <w:spacing w:after="0" w:line="240" w:lineRule="auto"/>
      </w:pPr>
      <w:r>
        <w:separator/>
      </w:r>
    </w:p>
  </w:endnote>
  <w:endnote w:type="continuationSeparator" w:id="0">
    <w:p w14:paraId="3A52D879" w14:textId="77777777" w:rsidR="00462B3A" w:rsidRDefault="00462B3A" w:rsidP="00536CE1">
      <w:pPr>
        <w:spacing w:after="0" w:line="240" w:lineRule="auto"/>
      </w:pPr>
      <w:r>
        <w:continuationSeparator/>
      </w:r>
    </w:p>
  </w:endnote>
  <w:endnote w:type="continuationNotice" w:id="1">
    <w:p w14:paraId="47D94268" w14:textId="77777777" w:rsidR="00462B3A" w:rsidRDefault="00462B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n-ea">
    <w:panose1 w:val="00000000000000000000"/>
    <w:charset w:val="00"/>
    <w:family w:val="roman"/>
    <w:notTrueType/>
    <w:pitch w:val="default"/>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888E8" w14:textId="77777777" w:rsidR="00132F4A" w:rsidRPr="001F3A8F" w:rsidRDefault="00132F4A" w:rsidP="00616E46">
    <w:pPr>
      <w:pStyle w:val="Footer"/>
      <w:tabs>
        <w:tab w:val="clear" w:pos="9720"/>
        <w:tab w:val="left" w:pos="8655"/>
      </w:tabs>
    </w:pPr>
    <w:r w:rsidRPr="00CB180D">
      <w:t>U.S. Energy Information Administration   |</w:t>
    </w:r>
    <w:r w:rsidR="00A41763">
      <w:t xml:space="preserve">   </w:t>
    </w:r>
    <w:sdt>
      <w:sdtPr>
        <w:alias w:val="Title"/>
        <w:tag w:val=""/>
        <w:id w:val="94826136"/>
        <w:placeholder>
          <w:docPart w:val="036A28BF64E74E4AAE5509CC1F9A9881"/>
        </w:placeholder>
        <w:dataBinding w:prefixMappings="xmlns:ns0='http://purl.org/dc/elements/1.1/' xmlns:ns1='http://schemas.openxmlformats.org/package/2006/metadata/core-properties' " w:xpath="/ns1:coreProperties[1]/ns0:title[1]" w:storeItemID="{6C3C8BC8-F283-45AE-878A-BAB7291924A1}"/>
        <w:text/>
      </w:sdtPr>
      <w:sdtEndPr/>
      <w:sdtContent>
        <w:r w:rsidR="00C63CC3">
          <w:t>Supporting Statement for Commercial Buildings Energy Consumption Survey (CBECS)</w:t>
        </w:r>
      </w:sdtContent>
    </w:sdt>
    <w:r w:rsidR="00A41763">
      <w:t xml:space="preserve"> </w:t>
    </w:r>
    <w:r w:rsidR="00616E46">
      <w:tab/>
      <w:t xml:space="preserve"> </w:t>
    </w:r>
    <w:r w:rsidR="00616E46">
      <w:fldChar w:fldCharType="begin"/>
    </w:r>
    <w:r w:rsidR="00616E46">
      <w:instrText xml:space="preserve"> PAGE   \* MERGEFORMAT </w:instrText>
    </w:r>
    <w:r w:rsidR="00616E46">
      <w:fldChar w:fldCharType="separate"/>
    </w:r>
    <w:r w:rsidR="006B4524">
      <w:rPr>
        <w:noProof/>
      </w:rPr>
      <w:t>ii</w:t>
    </w:r>
    <w:r w:rsidR="00616E4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DC30D" w14:textId="77777777" w:rsidR="00132F4A" w:rsidRDefault="006B4524" w:rsidP="00760677">
    <w:pPr>
      <w:pStyle w:val="Footer"/>
    </w:pPr>
    <w:sdt>
      <w:sdtPr>
        <w:id w:val="37707256"/>
        <w:docPartObj>
          <w:docPartGallery w:val="Page Numbers (Bottom of Page)"/>
          <w:docPartUnique/>
        </w:docPartObj>
      </w:sdtPr>
      <w:sdtEndPr/>
      <w:sdtContent>
        <w:r w:rsidR="00132F4A" w:rsidRPr="00CB180D">
          <w:t xml:space="preserve">U.S. Energy Information Administration   |   </w:t>
        </w:r>
        <w:sdt>
          <w:sdtPr>
            <w:alias w:val="Subject"/>
            <w:id w:val="37707274"/>
            <w:dataBinding w:prefixMappings="xmlns:ns0='http://purl.org/dc/elements/1.1/' xmlns:ns1='http://schemas.openxmlformats.org/package/2006/metadata/core-properties' " w:xpath="/ns1:coreProperties[1]/ns0:subject[1]" w:storeItemID="{6C3C8BC8-F283-45AE-878A-BAB7291924A1}"/>
            <w:text/>
          </w:sdtPr>
          <w:sdtEndPr/>
          <w:sdtContent>
            <w:r w:rsidR="00132F4A">
              <w:t>Improving the Quality and Scope of EIA Data</w:t>
            </w:r>
          </w:sdtContent>
        </w:sdt>
        <w:r w:rsidR="00132F4A" w:rsidRPr="00CB180D">
          <w:tab/>
        </w:r>
      </w:sdtContent>
    </w:sdt>
    <w:r w:rsidR="00132F4A" w:rsidRPr="00760677">
      <w:t xml:space="preserve"> </w:t>
    </w:r>
    <w:r w:rsidR="007A0E7F">
      <w:fldChar w:fldCharType="begin"/>
    </w:r>
    <w:r w:rsidR="007A0E7F">
      <w:instrText xml:space="preserve"> PAGE   \* MERGEFORMAT </w:instrText>
    </w:r>
    <w:r w:rsidR="007A0E7F">
      <w:fldChar w:fldCharType="separate"/>
    </w:r>
    <w:r w:rsidR="00132F4A">
      <w:rPr>
        <w:noProof/>
      </w:rPr>
      <w:t>i</w:t>
    </w:r>
    <w:r w:rsidR="007A0E7F">
      <w:rPr>
        <w:noProof/>
      </w:rPr>
      <w:fldChar w:fldCharType="end"/>
    </w:r>
  </w:p>
  <w:p w14:paraId="3C809D91" w14:textId="77777777" w:rsidR="00132F4A" w:rsidRDefault="00132F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531AF" w14:textId="77777777" w:rsidR="00132F4A" w:rsidRDefault="006B4524" w:rsidP="00760677">
    <w:pPr>
      <w:pStyle w:val="Footer"/>
    </w:pPr>
    <w:sdt>
      <w:sdtPr>
        <w:id w:val="1300337987"/>
        <w:docPartObj>
          <w:docPartGallery w:val="Page Numbers (Bottom of Page)"/>
          <w:docPartUnique/>
        </w:docPartObj>
      </w:sdtPr>
      <w:sdtEndPr/>
      <w:sdtContent>
        <w:r w:rsidR="00132F4A" w:rsidRPr="00CB180D">
          <w:t xml:space="preserve">U.S. Energy Information Administration   |   </w:t>
        </w:r>
        <w:sdt>
          <w:sdtPr>
            <w:alias w:val="Subject"/>
            <w:id w:val="1300337988"/>
            <w:dataBinding w:prefixMappings="xmlns:ns0='http://purl.org/dc/elements/1.1/' xmlns:ns1='http://schemas.openxmlformats.org/package/2006/metadata/core-properties' " w:xpath="/ns1:coreProperties[1]/ns0:subject[1]" w:storeItemID="{6C3C8BC8-F283-45AE-878A-BAB7291924A1}"/>
            <w:text/>
          </w:sdtPr>
          <w:sdtEndPr/>
          <w:sdtContent>
            <w:r w:rsidR="00132F4A">
              <w:t>Improving the Quality and Scope of EIA Data</w:t>
            </w:r>
          </w:sdtContent>
        </w:sdt>
        <w:r w:rsidR="00132F4A" w:rsidRPr="00CB180D">
          <w:tab/>
        </w:r>
      </w:sdtContent>
    </w:sdt>
    <w:r w:rsidR="00132F4A" w:rsidRPr="00760677">
      <w:t xml:space="preserve"> </w:t>
    </w:r>
    <w:r w:rsidR="007A0E7F">
      <w:fldChar w:fldCharType="begin"/>
    </w:r>
    <w:r w:rsidR="007A0E7F">
      <w:instrText xml:space="preserve"> PAGE   \* MERGEFORMAT </w:instrText>
    </w:r>
    <w:r w:rsidR="007A0E7F">
      <w:fldChar w:fldCharType="separate"/>
    </w:r>
    <w:r w:rsidR="00132F4A">
      <w:rPr>
        <w:noProof/>
      </w:rPr>
      <w:t>ii</w:t>
    </w:r>
    <w:r w:rsidR="007A0E7F">
      <w:rPr>
        <w:noProof/>
      </w:rPr>
      <w:fldChar w:fldCharType="end"/>
    </w:r>
  </w:p>
  <w:p w14:paraId="0C4FDD32" w14:textId="77777777" w:rsidR="00132F4A" w:rsidRDefault="00132F4A" w:rsidP="007606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5557895"/>
      <w:docPartObj>
        <w:docPartGallery w:val="Page Numbers (Bottom of Page)"/>
        <w:docPartUnique/>
      </w:docPartObj>
    </w:sdtPr>
    <w:sdtEndPr/>
    <w:sdtContent>
      <w:p w14:paraId="1D6AD641" w14:textId="77777777" w:rsidR="00132F4A" w:rsidRDefault="007A0E7F" w:rsidP="00760677">
        <w:pPr>
          <w:pStyle w:val="Footer"/>
        </w:pPr>
        <w:r>
          <w:fldChar w:fldCharType="begin"/>
        </w:r>
        <w:r>
          <w:instrText xml:space="preserve"> PAGE   \* MERGEFORMAT </w:instrText>
        </w:r>
        <w:r>
          <w:fldChar w:fldCharType="separate"/>
        </w:r>
        <w:r w:rsidR="00132F4A">
          <w:rPr>
            <w:noProof/>
          </w:rPr>
          <w:t>14</w:t>
        </w:r>
        <w:r>
          <w:rPr>
            <w:noProof/>
          </w:rPr>
          <w:fldChar w:fldCharType="end"/>
        </w:r>
        <w:r w:rsidR="00132F4A">
          <w:tab/>
          <w:t xml:space="preserve">                                                                                             </w:t>
        </w:r>
        <w:r w:rsidR="00132F4A" w:rsidRPr="00CB180D">
          <w:t>U.S. Energy Information Administration   |   Improving the Quality and Scope of EIA Data</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F1B33" w14:textId="77777777" w:rsidR="00132F4A" w:rsidRDefault="006B4524" w:rsidP="00760677">
    <w:pPr>
      <w:pStyle w:val="Footer"/>
    </w:pPr>
    <w:sdt>
      <w:sdtPr>
        <w:id w:val="1705557553"/>
        <w:docPartObj>
          <w:docPartGallery w:val="Page Numbers (Bottom of Page)"/>
          <w:docPartUnique/>
        </w:docPartObj>
      </w:sdtPr>
      <w:sdtEndPr/>
      <w:sdtContent>
        <w:r w:rsidR="00132F4A" w:rsidRPr="00CB180D">
          <w:t xml:space="preserve">U.S. Energy Information Administration   |   </w:t>
        </w:r>
        <w:sdt>
          <w:sdtPr>
            <w:alias w:val="Subject"/>
            <w:id w:val="1705557554"/>
            <w:dataBinding w:prefixMappings="xmlns:ns0='http://purl.org/dc/elements/1.1/' xmlns:ns1='http://schemas.openxmlformats.org/package/2006/metadata/core-properties' " w:xpath="/ns1:coreProperties[1]/ns0:subject[1]" w:storeItemID="{6C3C8BC8-F283-45AE-878A-BAB7291924A1}"/>
            <w:text/>
          </w:sdtPr>
          <w:sdtEndPr/>
          <w:sdtContent>
            <w:r w:rsidR="00132F4A">
              <w:t>Improving the Quality and Scope of EIA Data</w:t>
            </w:r>
          </w:sdtContent>
        </w:sdt>
        <w:r w:rsidR="00132F4A" w:rsidRPr="00CB180D">
          <w:tab/>
        </w:r>
      </w:sdtContent>
    </w:sdt>
    <w:r w:rsidR="00132F4A" w:rsidRPr="00760677">
      <w:t xml:space="preserve"> </w:t>
    </w:r>
    <w:r w:rsidR="007A0E7F">
      <w:fldChar w:fldCharType="begin"/>
    </w:r>
    <w:r w:rsidR="007A0E7F">
      <w:instrText xml:space="preserve"> PAGE   \* MERGEFORMAT </w:instrText>
    </w:r>
    <w:r w:rsidR="007A0E7F">
      <w:fldChar w:fldCharType="separate"/>
    </w:r>
    <w:r w:rsidR="00132F4A">
      <w:rPr>
        <w:noProof/>
      </w:rPr>
      <w:t>1</w:t>
    </w:r>
    <w:r w:rsidR="007A0E7F">
      <w:rPr>
        <w:noProof/>
      </w:rPr>
      <w:fldChar w:fldCharType="end"/>
    </w:r>
  </w:p>
  <w:p w14:paraId="5EF35049" w14:textId="77777777" w:rsidR="00132F4A" w:rsidRDefault="00132F4A" w:rsidP="007606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7F3F76" w14:textId="77777777" w:rsidR="00462B3A" w:rsidRDefault="00462B3A" w:rsidP="00536CE1">
      <w:pPr>
        <w:spacing w:after="0" w:line="240" w:lineRule="auto"/>
      </w:pPr>
      <w:r>
        <w:separator/>
      </w:r>
    </w:p>
  </w:footnote>
  <w:footnote w:type="continuationSeparator" w:id="0">
    <w:p w14:paraId="1890C1D5" w14:textId="77777777" w:rsidR="00462B3A" w:rsidRDefault="00462B3A" w:rsidP="00536CE1">
      <w:pPr>
        <w:spacing w:after="0" w:line="240" w:lineRule="auto"/>
      </w:pPr>
      <w:r>
        <w:continuationSeparator/>
      </w:r>
    </w:p>
  </w:footnote>
  <w:footnote w:type="continuationNotice" w:id="1">
    <w:p w14:paraId="4B00FE80" w14:textId="77777777" w:rsidR="00462B3A" w:rsidRDefault="00462B3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F5FEA" w14:textId="77777777" w:rsidR="00132F4A" w:rsidRDefault="00132F4A" w:rsidP="00725453">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C38CD" w14:textId="77777777" w:rsidR="00132F4A" w:rsidRPr="00373208" w:rsidRDefault="00132F4A" w:rsidP="00041909">
    <w:pPr>
      <w:pStyle w:val="Header"/>
    </w:pPr>
    <w:r>
      <w:t>September 2011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6BE2F" w14:textId="6945C17F" w:rsidR="00132F4A" w:rsidRPr="00F8298C" w:rsidRDefault="0001608E" w:rsidP="00041909">
    <w:pPr>
      <w:pStyle w:val="Header"/>
    </w:pPr>
    <w:r>
      <w:t>December</w:t>
    </w:r>
    <w:r w:rsidR="00E64964">
      <w:t xml:space="preserve"> </w:t>
    </w:r>
    <w:r w:rsidR="00EE2CAF">
      <w:t>201</w:t>
    </w:r>
    <w:r w:rsidR="00E64964">
      <w:t>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D1AF6" w14:textId="77777777" w:rsidR="00132F4A" w:rsidRDefault="00132F4A" w:rsidP="00041909">
    <w:pPr>
      <w:pStyle w:val="Header"/>
    </w:pPr>
    <w:r>
      <w:t>December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94009E0"/>
    <w:lvl w:ilvl="0">
      <w:start w:val="1"/>
      <w:numFmt w:val="decimal"/>
      <w:lvlText w:val="%1."/>
      <w:lvlJc w:val="left"/>
      <w:pPr>
        <w:tabs>
          <w:tab w:val="num" w:pos="1800"/>
        </w:tabs>
        <w:ind w:left="1800" w:hanging="360"/>
      </w:pPr>
    </w:lvl>
  </w:abstractNum>
  <w:abstractNum w:abstractNumId="1">
    <w:nsid w:val="FFFFFF7D"/>
    <w:multiLevelType w:val="singleLevel"/>
    <w:tmpl w:val="7B24A21C"/>
    <w:lvl w:ilvl="0">
      <w:start w:val="1"/>
      <w:numFmt w:val="decimal"/>
      <w:lvlText w:val="%1."/>
      <w:lvlJc w:val="left"/>
      <w:pPr>
        <w:tabs>
          <w:tab w:val="num" w:pos="1440"/>
        </w:tabs>
        <w:ind w:left="1440" w:hanging="360"/>
      </w:pPr>
    </w:lvl>
  </w:abstractNum>
  <w:abstractNum w:abstractNumId="2">
    <w:nsid w:val="FFFFFF7E"/>
    <w:multiLevelType w:val="singleLevel"/>
    <w:tmpl w:val="6DFCCB4A"/>
    <w:lvl w:ilvl="0">
      <w:start w:val="1"/>
      <w:numFmt w:val="decimal"/>
      <w:lvlText w:val="%1."/>
      <w:lvlJc w:val="left"/>
      <w:pPr>
        <w:tabs>
          <w:tab w:val="num" w:pos="1080"/>
        </w:tabs>
        <w:ind w:left="1080" w:hanging="360"/>
      </w:pPr>
    </w:lvl>
  </w:abstractNum>
  <w:abstractNum w:abstractNumId="3">
    <w:nsid w:val="FFFFFF7F"/>
    <w:multiLevelType w:val="singleLevel"/>
    <w:tmpl w:val="2D9626D0"/>
    <w:lvl w:ilvl="0">
      <w:start w:val="1"/>
      <w:numFmt w:val="decimal"/>
      <w:lvlText w:val="%1."/>
      <w:lvlJc w:val="left"/>
      <w:pPr>
        <w:tabs>
          <w:tab w:val="num" w:pos="720"/>
        </w:tabs>
        <w:ind w:left="720" w:hanging="360"/>
      </w:pPr>
    </w:lvl>
  </w:abstractNum>
  <w:abstractNum w:abstractNumId="4">
    <w:nsid w:val="FFFFFF80"/>
    <w:multiLevelType w:val="singleLevel"/>
    <w:tmpl w:val="A5E02EF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406447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948091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268DBE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220A528"/>
    <w:lvl w:ilvl="0">
      <w:start w:val="1"/>
      <w:numFmt w:val="decimal"/>
      <w:pStyle w:val="ListNumber"/>
      <w:lvlText w:val="%1."/>
      <w:lvlJc w:val="left"/>
      <w:pPr>
        <w:tabs>
          <w:tab w:val="num" w:pos="360"/>
        </w:tabs>
        <w:ind w:left="360" w:hanging="360"/>
      </w:pPr>
    </w:lvl>
  </w:abstractNum>
  <w:abstractNum w:abstractNumId="9">
    <w:nsid w:val="FFFFFF89"/>
    <w:multiLevelType w:val="singleLevel"/>
    <w:tmpl w:val="56A4488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B47BD8"/>
    <w:multiLevelType w:val="multilevel"/>
    <w:tmpl w:val="1A406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11">
    <w:nsid w:val="054720A0"/>
    <w:multiLevelType w:val="multilevel"/>
    <w:tmpl w:val="940AAD72"/>
    <w:lvl w:ilvl="0">
      <w:start w:val="1"/>
      <w:numFmt w:val="decimal"/>
      <w:lvlText w:val="%1."/>
      <w:lvlJc w:val="left"/>
      <w:pPr>
        <w:ind w:left="1440" w:hanging="360"/>
      </w:pPr>
      <w:rPr>
        <w:rFonts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2">
    <w:nsid w:val="069F36C6"/>
    <w:multiLevelType w:val="multilevel"/>
    <w:tmpl w:val="E258FFEA"/>
    <w:lvl w:ilvl="0">
      <w:start w:val="1"/>
      <w:numFmt w:val="bullet"/>
      <w:pStyle w:val="ListParagraph"/>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3">
    <w:nsid w:val="3AAA5C3B"/>
    <w:multiLevelType w:val="hybridMultilevel"/>
    <w:tmpl w:val="09263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D5601C"/>
    <w:multiLevelType w:val="hybridMultilevel"/>
    <w:tmpl w:val="214CECAC"/>
    <w:lvl w:ilvl="0" w:tplc="5838D3E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CA4D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45524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1666C8F"/>
    <w:multiLevelType w:val="hybridMultilevel"/>
    <w:tmpl w:val="2EDAB452"/>
    <w:lvl w:ilvl="0" w:tplc="BDB69D9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F863061"/>
    <w:multiLevelType w:val="multilevel"/>
    <w:tmpl w:val="B22AA680"/>
    <w:lvl w:ilvl="0">
      <w:start w:val="1"/>
      <w:numFmt w:val="none"/>
      <w:pStyle w:val="Heading1"/>
      <w:suff w:val="nothing"/>
      <w:lvlText w:val=""/>
      <w:lvlJc w:val="left"/>
      <w:pPr>
        <w:ind w:left="0" w:firstLine="0"/>
      </w:pPr>
      <w:rPr>
        <w:rFonts w:hint="default"/>
      </w:rPr>
    </w:lvl>
    <w:lvl w:ilvl="1">
      <w:start w:val="1"/>
      <w:numFmt w:val="decimal"/>
      <w:lvlText w:val="%1"/>
      <w:lvlJc w:val="left"/>
      <w:pPr>
        <w:ind w:left="79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
      <w:lvlJc w:val="left"/>
      <w:pPr>
        <w:ind w:left="2736" w:hanging="936"/>
      </w:pPr>
      <w:rPr>
        <w:rFonts w:hint="default"/>
      </w:rPr>
    </w:lvl>
    <w:lvl w:ilvl="6">
      <w:start w:val="1"/>
      <w:numFmt w:val="decimal"/>
      <w:lvlText w:val="%1"/>
      <w:lvlJc w:val="left"/>
      <w:pPr>
        <w:ind w:left="3240" w:hanging="1080"/>
      </w:pPr>
      <w:rPr>
        <w:rFonts w:hint="default"/>
      </w:rPr>
    </w:lvl>
    <w:lvl w:ilvl="7">
      <w:start w:val="1"/>
      <w:numFmt w:val="decimal"/>
      <w:lvlText w:val="%1"/>
      <w:lvlJc w:val="left"/>
      <w:pPr>
        <w:ind w:left="3744" w:hanging="1224"/>
      </w:pPr>
      <w:rPr>
        <w:rFonts w:hint="default"/>
      </w:rPr>
    </w:lvl>
    <w:lvl w:ilvl="8">
      <w:numFmt w:val="decimal"/>
      <w:lvlRestart w:val="0"/>
      <w:lvlText w:val="%1"/>
      <w:lvlJc w:val="left"/>
      <w:pPr>
        <w:ind w:left="4320" w:hanging="1440"/>
      </w:pPr>
      <w:rPr>
        <w:rFonts w:hint="default"/>
      </w:rPr>
    </w:lvl>
  </w:abstractNum>
  <w:abstractNum w:abstractNumId="19">
    <w:nsid w:val="7BCC14F2"/>
    <w:multiLevelType w:val="multilevel"/>
    <w:tmpl w:val="B53AECF4"/>
    <w:lvl w:ilvl="0">
      <w:start w:val="1"/>
      <w:numFmt w:val="bullet"/>
      <w:lvlText w:val=""/>
      <w:lvlJc w:val="left"/>
      <w:pPr>
        <w:ind w:left="72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12"/>
  </w:num>
  <w:num w:numId="14">
    <w:abstractNumId w:val="13"/>
  </w:num>
  <w:num w:numId="15">
    <w:abstractNumId w:val="16"/>
  </w:num>
  <w:num w:numId="16">
    <w:abstractNumId w:val="10"/>
  </w:num>
  <w:num w:numId="17">
    <w:abstractNumId w:val="10"/>
  </w:num>
  <w:num w:numId="18">
    <w:abstractNumId w:val="15"/>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pStyle w:val="Heading7"/>
        <w:lvlText w:val="%1.%2.%3.%4.%5.%6.%7."/>
        <w:lvlJc w:val="left"/>
        <w:pPr>
          <w:ind w:left="3240" w:hanging="1080"/>
        </w:pPr>
        <w:rPr>
          <w:rFonts w:hint="default"/>
        </w:rPr>
      </w:lvl>
    </w:lvlOverride>
    <w:lvlOverride w:ilvl="7">
      <w:lvl w:ilvl="7">
        <w:start w:val="1"/>
        <w:numFmt w:val="decimal"/>
        <w:pStyle w:val="Heading8"/>
        <w:lvlText w:val="%1.%2.%3.%4.%5.%6.%7.%8."/>
        <w:lvlJc w:val="left"/>
        <w:pPr>
          <w:ind w:left="3744" w:hanging="1224"/>
        </w:pPr>
        <w:rPr>
          <w:rFonts w:hint="default"/>
        </w:rPr>
      </w:lvl>
    </w:lvlOverride>
    <w:lvlOverride w:ilvl="8">
      <w:lvl w:ilvl="8">
        <w:start w:val="1"/>
        <w:numFmt w:val="decimal"/>
        <w:pStyle w:val="Heading9"/>
        <w:lvlText w:val="%1.%2.%3.%4.%5.%6.%7.%8.%9."/>
        <w:lvlJc w:val="left"/>
        <w:pPr>
          <w:ind w:left="4320" w:hanging="1440"/>
        </w:pPr>
        <w:rPr>
          <w:rFonts w:hint="default"/>
        </w:rPr>
      </w:lvl>
    </w:lvlOverride>
  </w:num>
  <w:num w:numId="21">
    <w:abstractNumId w:val="10"/>
  </w:num>
  <w:num w:numId="22">
    <w:abstractNumId w:val="10"/>
  </w:num>
  <w:num w:numId="23">
    <w:abstractNumId w:val="10"/>
  </w:num>
  <w:num w:numId="24">
    <w:abstractNumId w:val="10"/>
  </w:num>
  <w:num w:numId="25">
    <w:abstractNumId w:val="10"/>
  </w:num>
  <w:num w:numId="26">
    <w:abstractNumId w:val="18"/>
  </w:num>
  <w:num w:numId="27">
    <w:abstractNumId w:val="10"/>
  </w:num>
  <w:num w:numId="28">
    <w:abstractNumId w:val="18"/>
  </w:num>
  <w:num w:numId="29">
    <w:abstractNumId w:val="18"/>
  </w:num>
  <w:num w:numId="30">
    <w:abstractNumId w:val="18"/>
  </w:num>
  <w:num w:numId="31">
    <w:abstractNumId w:val="10"/>
  </w:num>
  <w:num w:numId="32">
    <w:abstractNumId w:val="10"/>
  </w:num>
  <w:num w:numId="33">
    <w:abstractNumId w:val="10"/>
  </w:num>
  <w:num w:numId="34">
    <w:abstractNumId w:val="9"/>
  </w:num>
  <w:num w:numId="35">
    <w:abstractNumId w:val="7"/>
  </w:num>
  <w:num w:numId="36">
    <w:abstractNumId w:val="6"/>
  </w:num>
  <w:num w:numId="37">
    <w:abstractNumId w:val="5"/>
  </w:num>
  <w:num w:numId="38">
    <w:abstractNumId w:val="12"/>
  </w:num>
  <w:num w:numId="39">
    <w:abstractNumId w:val="18"/>
  </w:num>
  <w:num w:numId="40">
    <w:abstractNumId w:val="18"/>
  </w:num>
  <w:num w:numId="41">
    <w:abstractNumId w:val="18"/>
  </w:num>
  <w:num w:numId="42">
    <w:abstractNumId w:val="12"/>
  </w:num>
  <w:num w:numId="43">
    <w:abstractNumId w:val="12"/>
  </w:num>
  <w:num w:numId="44">
    <w:abstractNumId w:val="12"/>
  </w:num>
  <w:num w:numId="45">
    <w:abstractNumId w:val="12"/>
  </w:num>
  <w:num w:numId="46">
    <w:abstractNumId w:val="11"/>
  </w:num>
  <w:num w:numId="47">
    <w:abstractNumId w:val="19"/>
  </w:num>
  <w:num w:numId="48">
    <w:abstractNumId w:val="19"/>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formatting="1" w:enforcement="0"/>
  <w:styleLockTheme/>
  <w:styleLockQFSet/>
  <w:defaultTabStop w:val="720"/>
  <w:drawingGridHorizontalSpacing w:val="110"/>
  <w:displayHorizontalDrawingGridEvery w:val="2"/>
  <w:characterSpacingControl w:val="doNotCompress"/>
  <w:hdrShapeDefaults>
    <o:shapedefaults v:ext="edit" spidmax="22529" fill="f" fillcolor="white" stroke="f">
      <v:fill color="white" on="f"/>
      <v:stroke on="f"/>
    </o:shapedefaults>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763"/>
    <w:rsid w:val="0000019D"/>
    <w:rsid w:val="0000364C"/>
    <w:rsid w:val="00004135"/>
    <w:rsid w:val="000041A1"/>
    <w:rsid w:val="000053BB"/>
    <w:rsid w:val="00011B3F"/>
    <w:rsid w:val="00013373"/>
    <w:rsid w:val="0001368A"/>
    <w:rsid w:val="000142E5"/>
    <w:rsid w:val="00015644"/>
    <w:rsid w:val="00015DA7"/>
    <w:rsid w:val="0001608E"/>
    <w:rsid w:val="000248CE"/>
    <w:rsid w:val="00024E1E"/>
    <w:rsid w:val="00031CA1"/>
    <w:rsid w:val="00034A4B"/>
    <w:rsid w:val="00035020"/>
    <w:rsid w:val="00041909"/>
    <w:rsid w:val="00046593"/>
    <w:rsid w:val="00047C08"/>
    <w:rsid w:val="0005401F"/>
    <w:rsid w:val="00055769"/>
    <w:rsid w:val="00056EC3"/>
    <w:rsid w:val="00062CFE"/>
    <w:rsid w:val="0007129A"/>
    <w:rsid w:val="000831C4"/>
    <w:rsid w:val="000844CA"/>
    <w:rsid w:val="00085C88"/>
    <w:rsid w:val="00086651"/>
    <w:rsid w:val="000872D4"/>
    <w:rsid w:val="000A0E2C"/>
    <w:rsid w:val="000A1665"/>
    <w:rsid w:val="000A2940"/>
    <w:rsid w:val="000A688A"/>
    <w:rsid w:val="000B3FBE"/>
    <w:rsid w:val="000B587F"/>
    <w:rsid w:val="000C28E1"/>
    <w:rsid w:val="000C5311"/>
    <w:rsid w:val="000D2E40"/>
    <w:rsid w:val="000D2EC2"/>
    <w:rsid w:val="000F040A"/>
    <w:rsid w:val="000F1398"/>
    <w:rsid w:val="000F6ACD"/>
    <w:rsid w:val="001034E8"/>
    <w:rsid w:val="00112A69"/>
    <w:rsid w:val="0011541D"/>
    <w:rsid w:val="00117ADA"/>
    <w:rsid w:val="001265F5"/>
    <w:rsid w:val="001324BC"/>
    <w:rsid w:val="00132F4A"/>
    <w:rsid w:val="00154192"/>
    <w:rsid w:val="00160BC8"/>
    <w:rsid w:val="00167425"/>
    <w:rsid w:val="001807A3"/>
    <w:rsid w:val="001843B6"/>
    <w:rsid w:val="001947D5"/>
    <w:rsid w:val="001A6E1E"/>
    <w:rsid w:val="001B017E"/>
    <w:rsid w:val="001B0E69"/>
    <w:rsid w:val="001B1139"/>
    <w:rsid w:val="001B6585"/>
    <w:rsid w:val="001D03A8"/>
    <w:rsid w:val="001D425C"/>
    <w:rsid w:val="001F3A8F"/>
    <w:rsid w:val="002008B4"/>
    <w:rsid w:val="00201F24"/>
    <w:rsid w:val="002054B2"/>
    <w:rsid w:val="002127CE"/>
    <w:rsid w:val="00215842"/>
    <w:rsid w:val="002207DF"/>
    <w:rsid w:val="00221AC2"/>
    <w:rsid w:val="002236DE"/>
    <w:rsid w:val="00223EF3"/>
    <w:rsid w:val="00227E4B"/>
    <w:rsid w:val="0023015A"/>
    <w:rsid w:val="0023708A"/>
    <w:rsid w:val="002419CC"/>
    <w:rsid w:val="0025022D"/>
    <w:rsid w:val="002530BB"/>
    <w:rsid w:val="002556F3"/>
    <w:rsid w:val="00260EDF"/>
    <w:rsid w:val="00264000"/>
    <w:rsid w:val="00264148"/>
    <w:rsid w:val="002711AB"/>
    <w:rsid w:val="00274179"/>
    <w:rsid w:val="0027488A"/>
    <w:rsid w:val="00286351"/>
    <w:rsid w:val="002B0FD2"/>
    <w:rsid w:val="002B30E0"/>
    <w:rsid w:val="002B49AE"/>
    <w:rsid w:val="002C378C"/>
    <w:rsid w:val="002D03DC"/>
    <w:rsid w:val="002D664F"/>
    <w:rsid w:val="002E3FD5"/>
    <w:rsid w:val="002E7A38"/>
    <w:rsid w:val="002F5222"/>
    <w:rsid w:val="00306516"/>
    <w:rsid w:val="00323006"/>
    <w:rsid w:val="00323BDF"/>
    <w:rsid w:val="00341503"/>
    <w:rsid w:val="003469CB"/>
    <w:rsid w:val="003476F3"/>
    <w:rsid w:val="00350C8B"/>
    <w:rsid w:val="0036066E"/>
    <w:rsid w:val="003619DA"/>
    <w:rsid w:val="00363331"/>
    <w:rsid w:val="003651E9"/>
    <w:rsid w:val="00371E14"/>
    <w:rsid w:val="00373208"/>
    <w:rsid w:val="00376CA7"/>
    <w:rsid w:val="00380246"/>
    <w:rsid w:val="00383DB3"/>
    <w:rsid w:val="003854B2"/>
    <w:rsid w:val="00385AE6"/>
    <w:rsid w:val="003863D9"/>
    <w:rsid w:val="00387C8D"/>
    <w:rsid w:val="00392DD0"/>
    <w:rsid w:val="00396BCB"/>
    <w:rsid w:val="00397311"/>
    <w:rsid w:val="00397825"/>
    <w:rsid w:val="003A1073"/>
    <w:rsid w:val="003A10F3"/>
    <w:rsid w:val="003A3906"/>
    <w:rsid w:val="003B03A4"/>
    <w:rsid w:val="003C03EA"/>
    <w:rsid w:val="003C690C"/>
    <w:rsid w:val="003D30C4"/>
    <w:rsid w:val="003E40FA"/>
    <w:rsid w:val="003F24ED"/>
    <w:rsid w:val="003F529E"/>
    <w:rsid w:val="0041491E"/>
    <w:rsid w:val="00421970"/>
    <w:rsid w:val="00422441"/>
    <w:rsid w:val="00426481"/>
    <w:rsid w:val="00432966"/>
    <w:rsid w:val="00445016"/>
    <w:rsid w:val="0045005F"/>
    <w:rsid w:val="004529B0"/>
    <w:rsid w:val="0045608E"/>
    <w:rsid w:val="0045662F"/>
    <w:rsid w:val="00462B3A"/>
    <w:rsid w:val="00466959"/>
    <w:rsid w:val="00476C89"/>
    <w:rsid w:val="0047784B"/>
    <w:rsid w:val="004946DB"/>
    <w:rsid w:val="004946F0"/>
    <w:rsid w:val="00496B67"/>
    <w:rsid w:val="00497C2A"/>
    <w:rsid w:val="004A60D6"/>
    <w:rsid w:val="004B1075"/>
    <w:rsid w:val="004C277B"/>
    <w:rsid w:val="004D05FB"/>
    <w:rsid w:val="004D29C7"/>
    <w:rsid w:val="004F0E01"/>
    <w:rsid w:val="004F3281"/>
    <w:rsid w:val="005000E9"/>
    <w:rsid w:val="00504119"/>
    <w:rsid w:val="005065CF"/>
    <w:rsid w:val="00506BB4"/>
    <w:rsid w:val="0050705F"/>
    <w:rsid w:val="005170D3"/>
    <w:rsid w:val="0052493A"/>
    <w:rsid w:val="005323B7"/>
    <w:rsid w:val="00535CAF"/>
    <w:rsid w:val="00536054"/>
    <w:rsid w:val="0053654B"/>
    <w:rsid w:val="00536CE1"/>
    <w:rsid w:val="0054180D"/>
    <w:rsid w:val="00547B53"/>
    <w:rsid w:val="00547E39"/>
    <w:rsid w:val="00550954"/>
    <w:rsid w:val="0055683B"/>
    <w:rsid w:val="00565D8D"/>
    <w:rsid w:val="00570F10"/>
    <w:rsid w:val="00571D8F"/>
    <w:rsid w:val="0057367D"/>
    <w:rsid w:val="00576DB2"/>
    <w:rsid w:val="00585BE3"/>
    <w:rsid w:val="0059212D"/>
    <w:rsid w:val="0059331C"/>
    <w:rsid w:val="005A32C1"/>
    <w:rsid w:val="005B2B58"/>
    <w:rsid w:val="005B5170"/>
    <w:rsid w:val="005C00FA"/>
    <w:rsid w:val="005C0AE6"/>
    <w:rsid w:val="005C2D89"/>
    <w:rsid w:val="005C485B"/>
    <w:rsid w:val="005D1F3C"/>
    <w:rsid w:val="005D39D7"/>
    <w:rsid w:val="005D5956"/>
    <w:rsid w:val="005D6F63"/>
    <w:rsid w:val="005E28F8"/>
    <w:rsid w:val="005E6EB9"/>
    <w:rsid w:val="005F13D3"/>
    <w:rsid w:val="005F31A6"/>
    <w:rsid w:val="005F4848"/>
    <w:rsid w:val="005F719F"/>
    <w:rsid w:val="00604A81"/>
    <w:rsid w:val="00604ABC"/>
    <w:rsid w:val="00616E46"/>
    <w:rsid w:val="0062008C"/>
    <w:rsid w:val="00620797"/>
    <w:rsid w:val="00626494"/>
    <w:rsid w:val="00641DE2"/>
    <w:rsid w:val="00642E88"/>
    <w:rsid w:val="00643384"/>
    <w:rsid w:val="006535C2"/>
    <w:rsid w:val="0065406F"/>
    <w:rsid w:val="00663EC4"/>
    <w:rsid w:val="00677C5F"/>
    <w:rsid w:val="00687542"/>
    <w:rsid w:val="00695E5B"/>
    <w:rsid w:val="006966A8"/>
    <w:rsid w:val="006A0BC7"/>
    <w:rsid w:val="006B10CA"/>
    <w:rsid w:val="006B4524"/>
    <w:rsid w:val="006C0062"/>
    <w:rsid w:val="006C097E"/>
    <w:rsid w:val="006C2DC3"/>
    <w:rsid w:val="006C7783"/>
    <w:rsid w:val="006D0439"/>
    <w:rsid w:val="006D42EC"/>
    <w:rsid w:val="00704A3D"/>
    <w:rsid w:val="00711414"/>
    <w:rsid w:val="00725453"/>
    <w:rsid w:val="00726476"/>
    <w:rsid w:val="00730DA0"/>
    <w:rsid w:val="00733253"/>
    <w:rsid w:val="00737591"/>
    <w:rsid w:val="007438F2"/>
    <w:rsid w:val="007464F1"/>
    <w:rsid w:val="00754421"/>
    <w:rsid w:val="00755C3D"/>
    <w:rsid w:val="007576EF"/>
    <w:rsid w:val="00760677"/>
    <w:rsid w:val="00761C12"/>
    <w:rsid w:val="007658BA"/>
    <w:rsid w:val="00776CF4"/>
    <w:rsid w:val="00784F89"/>
    <w:rsid w:val="00786336"/>
    <w:rsid w:val="007A0E7F"/>
    <w:rsid w:val="007A4378"/>
    <w:rsid w:val="007C5CE9"/>
    <w:rsid w:val="007C607E"/>
    <w:rsid w:val="007D39CC"/>
    <w:rsid w:val="007D6AAF"/>
    <w:rsid w:val="007E3CB5"/>
    <w:rsid w:val="007E53C4"/>
    <w:rsid w:val="007E5A11"/>
    <w:rsid w:val="007E73E6"/>
    <w:rsid w:val="007F1719"/>
    <w:rsid w:val="007F1954"/>
    <w:rsid w:val="007F21D7"/>
    <w:rsid w:val="007F59DB"/>
    <w:rsid w:val="008057F8"/>
    <w:rsid w:val="008213F9"/>
    <w:rsid w:val="008307E1"/>
    <w:rsid w:val="00831BFB"/>
    <w:rsid w:val="00836D62"/>
    <w:rsid w:val="008377CC"/>
    <w:rsid w:val="008431A3"/>
    <w:rsid w:val="00844524"/>
    <w:rsid w:val="008617FE"/>
    <w:rsid w:val="00867160"/>
    <w:rsid w:val="008671EB"/>
    <w:rsid w:val="0087205B"/>
    <w:rsid w:val="00874FB8"/>
    <w:rsid w:val="008948FE"/>
    <w:rsid w:val="00895669"/>
    <w:rsid w:val="00897946"/>
    <w:rsid w:val="008A040F"/>
    <w:rsid w:val="008A226C"/>
    <w:rsid w:val="008A3276"/>
    <w:rsid w:val="008A3447"/>
    <w:rsid w:val="008C734C"/>
    <w:rsid w:val="008D564C"/>
    <w:rsid w:val="008E182C"/>
    <w:rsid w:val="008E4AB4"/>
    <w:rsid w:val="008E4BF2"/>
    <w:rsid w:val="008F4CBD"/>
    <w:rsid w:val="009017AD"/>
    <w:rsid w:val="00901BED"/>
    <w:rsid w:val="00903BCD"/>
    <w:rsid w:val="009042A7"/>
    <w:rsid w:val="00905735"/>
    <w:rsid w:val="00906F9C"/>
    <w:rsid w:val="00911724"/>
    <w:rsid w:val="009131B9"/>
    <w:rsid w:val="00915C94"/>
    <w:rsid w:val="00930025"/>
    <w:rsid w:val="00935805"/>
    <w:rsid w:val="009368F3"/>
    <w:rsid w:val="00947C42"/>
    <w:rsid w:val="00950489"/>
    <w:rsid w:val="00957DE9"/>
    <w:rsid w:val="00965A44"/>
    <w:rsid w:val="0096747A"/>
    <w:rsid w:val="00967D7C"/>
    <w:rsid w:val="0097198E"/>
    <w:rsid w:val="009757AD"/>
    <w:rsid w:val="00980B6A"/>
    <w:rsid w:val="009817D9"/>
    <w:rsid w:val="009818F9"/>
    <w:rsid w:val="0098618F"/>
    <w:rsid w:val="00987C32"/>
    <w:rsid w:val="00991646"/>
    <w:rsid w:val="0099448B"/>
    <w:rsid w:val="00997347"/>
    <w:rsid w:val="009A1508"/>
    <w:rsid w:val="009B19CE"/>
    <w:rsid w:val="009C202F"/>
    <w:rsid w:val="009C5A62"/>
    <w:rsid w:val="009C702C"/>
    <w:rsid w:val="009C77F7"/>
    <w:rsid w:val="009D6289"/>
    <w:rsid w:val="009E4A4B"/>
    <w:rsid w:val="009E5ABC"/>
    <w:rsid w:val="009E5B9C"/>
    <w:rsid w:val="009F4ED1"/>
    <w:rsid w:val="00A00D71"/>
    <w:rsid w:val="00A00EDF"/>
    <w:rsid w:val="00A26A17"/>
    <w:rsid w:val="00A30169"/>
    <w:rsid w:val="00A312A3"/>
    <w:rsid w:val="00A33D9F"/>
    <w:rsid w:val="00A35D26"/>
    <w:rsid w:val="00A37229"/>
    <w:rsid w:val="00A41763"/>
    <w:rsid w:val="00A418C9"/>
    <w:rsid w:val="00A43F35"/>
    <w:rsid w:val="00A53559"/>
    <w:rsid w:val="00A6219B"/>
    <w:rsid w:val="00A65179"/>
    <w:rsid w:val="00A725A4"/>
    <w:rsid w:val="00A74C9B"/>
    <w:rsid w:val="00A82998"/>
    <w:rsid w:val="00A83497"/>
    <w:rsid w:val="00A9327C"/>
    <w:rsid w:val="00A93478"/>
    <w:rsid w:val="00A95B73"/>
    <w:rsid w:val="00A97FE7"/>
    <w:rsid w:val="00AA1ED8"/>
    <w:rsid w:val="00AA46CA"/>
    <w:rsid w:val="00AA7EFA"/>
    <w:rsid w:val="00AB61B3"/>
    <w:rsid w:val="00AB728C"/>
    <w:rsid w:val="00AC323A"/>
    <w:rsid w:val="00AC4648"/>
    <w:rsid w:val="00AD6357"/>
    <w:rsid w:val="00AD7F81"/>
    <w:rsid w:val="00AE00B5"/>
    <w:rsid w:val="00AE4CA9"/>
    <w:rsid w:val="00AF283B"/>
    <w:rsid w:val="00AF367D"/>
    <w:rsid w:val="00AF45FD"/>
    <w:rsid w:val="00AF5694"/>
    <w:rsid w:val="00B0414A"/>
    <w:rsid w:val="00B0603D"/>
    <w:rsid w:val="00B1424F"/>
    <w:rsid w:val="00B1437F"/>
    <w:rsid w:val="00B14A92"/>
    <w:rsid w:val="00B35E2A"/>
    <w:rsid w:val="00B4263D"/>
    <w:rsid w:val="00B52BF9"/>
    <w:rsid w:val="00B56F49"/>
    <w:rsid w:val="00B7442A"/>
    <w:rsid w:val="00B84CB4"/>
    <w:rsid w:val="00B97002"/>
    <w:rsid w:val="00BB2F70"/>
    <w:rsid w:val="00BB4C3D"/>
    <w:rsid w:val="00BB6CF4"/>
    <w:rsid w:val="00BC12AA"/>
    <w:rsid w:val="00BC14C3"/>
    <w:rsid w:val="00BC1ABE"/>
    <w:rsid w:val="00BC252C"/>
    <w:rsid w:val="00BD2F20"/>
    <w:rsid w:val="00BD4F62"/>
    <w:rsid w:val="00BE4957"/>
    <w:rsid w:val="00BE4AFD"/>
    <w:rsid w:val="00BF1288"/>
    <w:rsid w:val="00C00590"/>
    <w:rsid w:val="00C01B53"/>
    <w:rsid w:val="00C04647"/>
    <w:rsid w:val="00C058CF"/>
    <w:rsid w:val="00C06E5A"/>
    <w:rsid w:val="00C12551"/>
    <w:rsid w:val="00C211CD"/>
    <w:rsid w:val="00C25328"/>
    <w:rsid w:val="00C3744D"/>
    <w:rsid w:val="00C43A84"/>
    <w:rsid w:val="00C62DD5"/>
    <w:rsid w:val="00C63CC3"/>
    <w:rsid w:val="00C64137"/>
    <w:rsid w:val="00C658E4"/>
    <w:rsid w:val="00C7266E"/>
    <w:rsid w:val="00C76C66"/>
    <w:rsid w:val="00C82DF9"/>
    <w:rsid w:val="00C84186"/>
    <w:rsid w:val="00C87190"/>
    <w:rsid w:val="00C961B3"/>
    <w:rsid w:val="00CA1564"/>
    <w:rsid w:val="00CA4015"/>
    <w:rsid w:val="00CA7C8A"/>
    <w:rsid w:val="00CB1606"/>
    <w:rsid w:val="00CB44E8"/>
    <w:rsid w:val="00CB7978"/>
    <w:rsid w:val="00CC1D12"/>
    <w:rsid w:val="00CE3145"/>
    <w:rsid w:val="00CE42E9"/>
    <w:rsid w:val="00D001E4"/>
    <w:rsid w:val="00D00AA8"/>
    <w:rsid w:val="00D02778"/>
    <w:rsid w:val="00D058B2"/>
    <w:rsid w:val="00D13E84"/>
    <w:rsid w:val="00D22CF0"/>
    <w:rsid w:val="00D26855"/>
    <w:rsid w:val="00D300F4"/>
    <w:rsid w:val="00D3344B"/>
    <w:rsid w:val="00D35811"/>
    <w:rsid w:val="00D40175"/>
    <w:rsid w:val="00D55243"/>
    <w:rsid w:val="00D62F90"/>
    <w:rsid w:val="00D63E74"/>
    <w:rsid w:val="00D715C4"/>
    <w:rsid w:val="00D928FD"/>
    <w:rsid w:val="00D9724D"/>
    <w:rsid w:val="00DB53C4"/>
    <w:rsid w:val="00DC79E3"/>
    <w:rsid w:val="00DD2564"/>
    <w:rsid w:val="00DD51E1"/>
    <w:rsid w:val="00DD734C"/>
    <w:rsid w:val="00DE2D54"/>
    <w:rsid w:val="00DF0353"/>
    <w:rsid w:val="00E02BB0"/>
    <w:rsid w:val="00E03CE6"/>
    <w:rsid w:val="00E04E79"/>
    <w:rsid w:val="00E13716"/>
    <w:rsid w:val="00E266FF"/>
    <w:rsid w:val="00E27661"/>
    <w:rsid w:val="00E3732A"/>
    <w:rsid w:val="00E377AB"/>
    <w:rsid w:val="00E4149F"/>
    <w:rsid w:val="00E47DB3"/>
    <w:rsid w:val="00E509A9"/>
    <w:rsid w:val="00E51F8B"/>
    <w:rsid w:val="00E5242A"/>
    <w:rsid w:val="00E53398"/>
    <w:rsid w:val="00E64964"/>
    <w:rsid w:val="00E64A2A"/>
    <w:rsid w:val="00E66AE2"/>
    <w:rsid w:val="00E74DA4"/>
    <w:rsid w:val="00E81B89"/>
    <w:rsid w:val="00E91432"/>
    <w:rsid w:val="00E91B5A"/>
    <w:rsid w:val="00E97EBC"/>
    <w:rsid w:val="00EC1EEA"/>
    <w:rsid w:val="00ED352F"/>
    <w:rsid w:val="00ED3669"/>
    <w:rsid w:val="00ED507F"/>
    <w:rsid w:val="00ED6E45"/>
    <w:rsid w:val="00EE2CAF"/>
    <w:rsid w:val="00EE43E4"/>
    <w:rsid w:val="00F001EA"/>
    <w:rsid w:val="00F056C3"/>
    <w:rsid w:val="00F13624"/>
    <w:rsid w:val="00F16B90"/>
    <w:rsid w:val="00F24972"/>
    <w:rsid w:val="00F24FEF"/>
    <w:rsid w:val="00F34F19"/>
    <w:rsid w:val="00F43DB6"/>
    <w:rsid w:val="00F44A21"/>
    <w:rsid w:val="00F575F0"/>
    <w:rsid w:val="00F6664C"/>
    <w:rsid w:val="00F70CB9"/>
    <w:rsid w:val="00F80448"/>
    <w:rsid w:val="00F80AF1"/>
    <w:rsid w:val="00F8298C"/>
    <w:rsid w:val="00F90245"/>
    <w:rsid w:val="00F920D9"/>
    <w:rsid w:val="00F94781"/>
    <w:rsid w:val="00F96095"/>
    <w:rsid w:val="00FA5388"/>
    <w:rsid w:val="00FA6BFD"/>
    <w:rsid w:val="00FA6D1C"/>
    <w:rsid w:val="00FB08E3"/>
    <w:rsid w:val="00FB6BF3"/>
    <w:rsid w:val="00FD397B"/>
    <w:rsid w:val="00FD4B01"/>
    <w:rsid w:val="00FD52F2"/>
    <w:rsid w:val="00FD7CDC"/>
    <w:rsid w:val="00FE58E0"/>
    <w:rsid w:val="00FE7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fill="f" fillcolor="white" stroke="f">
      <v:fill color="white" on="f"/>
      <v:stroke on="f"/>
    </o:shapedefaults>
    <o:shapelayout v:ext="edit">
      <o:idmap v:ext="edit" data="1"/>
    </o:shapelayout>
  </w:shapeDefaults>
  <w:decimalSymbol w:val="."/>
  <w:listSeparator w:val=","/>
  <w14:docId w14:val="0590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1" w:unhideWhenUsed="0" w:qFormat="1"/>
    <w:lsdException w:name="heading 2" w:locked="0" w:uiPriority="1" w:qFormat="1"/>
    <w:lsdException w:name="heading 3" w:locked="0" w:uiPriority="1" w:qFormat="1"/>
    <w:lsdException w:name="heading 4" w:locked="0"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0" w:uiPriority="39" w:qFormat="1"/>
    <w:lsdException w:name="toc 2" w:locked="0" w:uiPriority="39" w:qFormat="1"/>
    <w:lsdException w:name="toc 3" w:locked="0" w:uiPriority="39" w:qFormat="1"/>
    <w:lsdException w:name="toc 4" w:locked="0" w:uiPriority="39" w:qFormat="1"/>
    <w:lsdException w:name="toc 5" w:uiPriority="39"/>
    <w:lsdException w:name="toc 6" w:uiPriority="39"/>
    <w:lsdException w:name="toc 7" w:uiPriority="39"/>
    <w:lsdException w:name="toc 8" w:uiPriority="39"/>
    <w:lsdException w:name="toc 9" w:uiPriority="39"/>
    <w:lsdException w:name="footnote text" w:locked="0" w:uiPriority="7" w:qFormat="1"/>
    <w:lsdException w:name="header" w:locked="0" w:qFormat="1"/>
    <w:lsdException w:name="footer" w:locked="0" w:qFormat="1"/>
    <w:lsdException w:name="caption" w:locked="0" w:uiPriority="3" w:qFormat="1"/>
    <w:lsdException w:name="table of figures" w:locked="0"/>
    <w:lsdException w:name="footnote reference" w:locked="0" w:uiPriority="8"/>
    <w:lsdException w:name="List Number" w:uiPriority="20"/>
    <w:lsdException w:name="Title" w:semiHidden="0" w:unhideWhenUsed="0" w:qFormat="1"/>
    <w:lsdException w:name="Default Paragraph Font" w:locked="0" w:uiPriority="1"/>
    <w:lsdException w:name="Body Text" w:uiPriority="0"/>
    <w:lsdException w:name="Subtitle" w:uiPriority="11" w:unhideWhenUsed="0"/>
    <w:lsdException w:name="Date" w:uiPriority="4" w:qFormat="1"/>
    <w:lsdException w:name="Body Text First Indent" w:qFormat="1"/>
    <w:lsdException w:name="Note Heading" w:uiPriority="13" w:qFormat="1"/>
    <w:lsdException w:name="Body Text Indent 3" w:qFormat="1"/>
    <w:lsdException w:name="Hyperlink" w:locked="0" w:qFormat="1"/>
    <w:lsdException w:name="Strong" w:semiHidden="0" w:uiPriority="22" w:unhideWhenUsed="0" w:qFormat="1"/>
    <w:lsdException w:name="Emphasis" w:locked="0" w:semiHidden="0" w:uiPriority="5"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unhideWhenUsed="0"/>
    <w:lsdException w:name="No Spacing" w:locked="0" w:semiHidden="0"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14"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5" w:unhideWhenUsed="0" w:qFormat="1"/>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locked="0" w:uiPriority="39" w:qFormat="1"/>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uiPriority w:val="1"/>
    <w:qFormat/>
    <w:rsid w:val="007E53C4"/>
    <w:pPr>
      <w:keepNext/>
      <w:keepLines/>
      <w:numPr>
        <w:numId w:val="41"/>
      </w:numPr>
      <w:pBdr>
        <w:bottom w:val="single" w:sz="8" w:space="1" w:color="A6A6A6" w:themeColor="background1" w:themeShade="A6"/>
      </w:pBdr>
      <w:spacing w:after="120" w:line="380" w:lineRule="atLeast"/>
      <w:outlineLvl w:val="0"/>
    </w:pPr>
    <w:rPr>
      <w:rFonts w:asciiTheme="majorHAnsi" w:eastAsiaTheme="majorEastAsia" w:hAnsiTheme="majorHAnsi" w:cstheme="majorBidi"/>
      <w:b/>
      <w:bCs/>
      <w:sz w:val="44"/>
      <w:szCs w:val="44"/>
    </w:rPr>
  </w:style>
  <w:style w:type="paragraph" w:styleId="Heading2">
    <w:name w:val="heading 2"/>
    <w:next w:val="Normal"/>
    <w:link w:val="Heading2Char"/>
    <w:autoRedefine/>
    <w:uiPriority w:val="1"/>
    <w:qFormat/>
    <w:rsid w:val="00BE4957"/>
    <w:pPr>
      <w:keepNext/>
      <w:keepLines/>
      <w:spacing w:before="200" w:after="0"/>
      <w:outlineLvl w:val="1"/>
    </w:pPr>
    <w:rPr>
      <w:rFonts w:eastAsiaTheme="majorEastAsia" w:cstheme="majorBidi"/>
      <w:b/>
      <w:color w:val="1396D8"/>
      <w:sz w:val="28"/>
      <w:szCs w:val="26"/>
    </w:rPr>
  </w:style>
  <w:style w:type="paragraph" w:styleId="Heading3">
    <w:name w:val="heading 3"/>
    <w:basedOn w:val="Heading2"/>
    <w:next w:val="Normal"/>
    <w:link w:val="Heading3Char"/>
    <w:autoRedefine/>
    <w:uiPriority w:val="1"/>
    <w:qFormat/>
    <w:rsid w:val="00FD7CDC"/>
    <w:pPr>
      <w:outlineLvl w:val="2"/>
    </w:pPr>
    <w:rPr>
      <w:rFonts w:asciiTheme="majorHAnsi" w:hAnsiTheme="majorHAnsi"/>
      <w:bCs/>
      <w:i/>
      <w:color w:val="595959" w:themeColor="text1" w:themeTint="A6"/>
      <w:sz w:val="24"/>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3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3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3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E53C4"/>
    <w:rPr>
      <w:rFonts w:asciiTheme="majorHAnsi" w:eastAsiaTheme="majorEastAsia" w:hAnsiTheme="majorHAnsi" w:cstheme="majorBidi"/>
      <w:b/>
      <w:bCs/>
      <w:sz w:val="44"/>
      <w:szCs w:val="44"/>
    </w:rPr>
  </w:style>
  <w:style w:type="paragraph" w:styleId="NoSpacing">
    <w:name w:val="No Spacing"/>
    <w:uiPriority w:val="2"/>
    <w:qFormat/>
    <w:rsid w:val="00112A69"/>
    <w:pPr>
      <w:spacing w:after="0"/>
      <w:jc w:val="both"/>
    </w:pPr>
  </w:style>
  <w:style w:type="character" w:customStyle="1" w:styleId="Heading2Char">
    <w:name w:val="Heading 2 Char"/>
    <w:basedOn w:val="DefaultParagraphFont"/>
    <w:link w:val="Heading2"/>
    <w:uiPriority w:val="1"/>
    <w:rsid w:val="00BE4957"/>
    <w:rPr>
      <w:rFonts w:eastAsiaTheme="majorEastAsia" w:cstheme="majorBidi"/>
      <w:b/>
      <w:color w:val="1396D8"/>
      <w:sz w:val="28"/>
      <w:szCs w:val="26"/>
    </w:rPr>
  </w:style>
  <w:style w:type="character" w:customStyle="1" w:styleId="Heading3Char">
    <w:name w:val="Heading 3 Char"/>
    <w:basedOn w:val="DefaultParagraphFont"/>
    <w:link w:val="Heading3"/>
    <w:uiPriority w:val="1"/>
    <w:rsid w:val="00FD7CDC"/>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semiHidden/>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
    <w:qFormat/>
    <w:rsid w:val="005170D3"/>
    <w:pPr>
      <w:keepNext/>
      <w:spacing w:before="140" w:after="80" w:line="240" w:lineRule="auto"/>
    </w:pPr>
    <w:rPr>
      <w:b/>
      <w:bCs/>
      <w:color w:val="1396D8"/>
      <w:szCs w:val="18"/>
    </w:rPr>
  </w:style>
  <w:style w:type="paragraph" w:styleId="Header">
    <w:name w:val="header"/>
    <w:basedOn w:val="Normal"/>
    <w:link w:val="HeaderChar"/>
    <w:autoRedefine/>
    <w:uiPriority w:val="99"/>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041909"/>
    <w:rPr>
      <w:i/>
    </w:rPr>
  </w:style>
  <w:style w:type="paragraph" w:styleId="Footer">
    <w:name w:val="footer"/>
    <w:basedOn w:val="Normal"/>
    <w:link w:val="FooterChar"/>
    <w:autoRedefine/>
    <w:uiPriority w:val="99"/>
    <w:qFormat/>
    <w:rsid w:val="00760677"/>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sid w:val="00760677"/>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uiPriority w:val="5"/>
    <w:qFormat/>
    <w:rsid w:val="00F80AF1"/>
    <w:rPr>
      <w:rFonts w:asciiTheme="minorHAnsi" w:hAnsiTheme="minorHAnsi"/>
      <w:b/>
      <w:iCs/>
      <w:sz w:val="22"/>
    </w:rPr>
  </w:style>
  <w:style w:type="paragraph" w:styleId="BodyText">
    <w:name w:val="Body Text"/>
    <w:basedOn w:val="Normal"/>
    <w:link w:val="BodyTextChar"/>
    <w:unhideWhenUsed/>
    <w:locked/>
    <w:rsid w:val="00015DA7"/>
    <w:pPr>
      <w:spacing w:after="120"/>
    </w:pPr>
  </w:style>
  <w:style w:type="character" w:customStyle="1" w:styleId="BodyTextChar">
    <w:name w:val="Body Text Char"/>
    <w:basedOn w:val="DefaultParagraphFont"/>
    <w:link w:val="BodyText"/>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uiPriority w:val="34"/>
    <w:qFormat/>
    <w:rsid w:val="00F80AF1"/>
    <w:pPr>
      <w:numPr>
        <w:numId w:val="13"/>
      </w:numPr>
      <w:ind w:left="720"/>
      <w:contextualSpacing/>
    </w:pPr>
  </w:style>
  <w:style w:type="paragraph" w:styleId="TOCHeading">
    <w:name w:val="TOC Heading"/>
    <w:basedOn w:val="Heading1"/>
    <w:next w:val="Normal"/>
    <w:autoRedefine/>
    <w:uiPriority w:val="39"/>
    <w:qFormat/>
    <w:rsid w:val="005B2B58"/>
    <w:pPr>
      <w:numPr>
        <w:numId w:val="0"/>
      </w:numPr>
      <w:pBdr>
        <w:bottom w:val="single" w:sz="4" w:space="1" w:color="BFBFBF" w:themeColor="background1" w:themeShade="BF"/>
      </w:pBdr>
      <w:spacing w:before="480" w:line="240" w:lineRule="auto"/>
      <w:outlineLvl w:val="9"/>
    </w:pPr>
    <w:rPr>
      <w:color w:val="0096D7" w:themeColor="accent1"/>
    </w:rPr>
  </w:style>
  <w:style w:type="paragraph" w:styleId="TOC1">
    <w:name w:val="toc 1"/>
    <w:basedOn w:val="Normal"/>
    <w:next w:val="Normal"/>
    <w:autoRedefine/>
    <w:uiPriority w:val="39"/>
    <w:qFormat/>
    <w:rsid w:val="00047C08"/>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eastAsiaTheme="minorEastAsia" w:hAnsi="Arial"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eastAsiaTheme="minorEastAsia" w:hAnsi="Arial" w:cs="Arial"/>
      <w:color w:val="000000"/>
      <w:sz w:val="16"/>
      <w:szCs w:val="16"/>
    </w:rPr>
  </w:style>
  <w:style w:type="paragraph" w:styleId="FootnoteText">
    <w:name w:val="footnote text"/>
    <w:basedOn w:val="Normal"/>
    <w:link w:val="FootnoteTextChar"/>
    <w:autoRedefine/>
    <w:uiPriority w:val="7"/>
    <w:qFormat/>
    <w:rsid w:val="00C7266E"/>
    <w:pPr>
      <w:spacing w:after="0" w:line="240" w:lineRule="atLeast"/>
      <w:contextualSpacing/>
    </w:pPr>
    <w:rPr>
      <w:sz w:val="18"/>
    </w:rPr>
  </w:style>
  <w:style w:type="character" w:customStyle="1" w:styleId="FootnoteTextChar">
    <w:name w:val="Footnote Text Char"/>
    <w:basedOn w:val="DefaultParagraphFont"/>
    <w:link w:val="FootnoteText"/>
    <w:uiPriority w:val="7"/>
    <w:rsid w:val="00C7266E"/>
    <w:rPr>
      <w:sz w:val="18"/>
    </w:rPr>
  </w:style>
  <w:style w:type="character" w:styleId="FootnoteReference">
    <w:name w:val="footnote reference"/>
    <w:basedOn w:val="DefaultParagraphFont"/>
    <w:uiPriority w:val="8"/>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34"/>
      </w:numPr>
      <w:contextualSpacing/>
    </w:pPr>
  </w:style>
  <w:style w:type="paragraph" w:styleId="ListBullet2">
    <w:name w:val="List Bullet 2"/>
    <w:basedOn w:val="Normal"/>
    <w:uiPriority w:val="99"/>
    <w:semiHidden/>
    <w:locked/>
    <w:rsid w:val="00112A69"/>
    <w:pPr>
      <w:numPr>
        <w:numId w:val="35"/>
      </w:numPr>
      <w:contextualSpacing/>
    </w:pPr>
  </w:style>
  <w:style w:type="paragraph" w:styleId="ListBullet3">
    <w:name w:val="List Bullet 3"/>
    <w:basedOn w:val="Normal"/>
    <w:uiPriority w:val="99"/>
    <w:semiHidden/>
    <w:locked/>
    <w:rsid w:val="00112A69"/>
    <w:pPr>
      <w:numPr>
        <w:numId w:val="36"/>
      </w:numPr>
      <w:contextualSpacing/>
    </w:pPr>
  </w:style>
  <w:style w:type="paragraph" w:styleId="ListBullet4">
    <w:name w:val="List Bullet 4"/>
    <w:basedOn w:val="Normal"/>
    <w:uiPriority w:val="99"/>
    <w:semiHidden/>
    <w:locked/>
    <w:rsid w:val="00112A69"/>
    <w:pPr>
      <w:numPr>
        <w:numId w:val="37"/>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7"/>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59"/>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paragraph" w:customStyle="1" w:styleId="L2-FlLSp12">
    <w:name w:val="L2-FlL Sp&amp;1/2"/>
    <w:basedOn w:val="Normal"/>
    <w:qFormat/>
    <w:rsid w:val="00323BDF"/>
    <w:pPr>
      <w:keepNext/>
      <w:tabs>
        <w:tab w:val="left" w:pos="1152"/>
      </w:tabs>
      <w:spacing w:after="120" w:line="360" w:lineRule="auto"/>
    </w:pPr>
    <w:rPr>
      <w:rFonts w:ascii="Garamond" w:eastAsia="Times New Roman" w:hAnsi="Garamond" w:cs="Times New Roman"/>
      <w:sz w:val="24"/>
      <w:szCs w:val="20"/>
    </w:rPr>
  </w:style>
  <w:style w:type="paragraph" w:customStyle="1" w:styleId="L1-FlLSp12">
    <w:name w:val="L1-FlL Sp&amp;1/2"/>
    <w:basedOn w:val="Normal"/>
    <w:uiPriority w:val="99"/>
    <w:rsid w:val="009C5A62"/>
    <w:pPr>
      <w:tabs>
        <w:tab w:val="left" w:pos="1152"/>
      </w:tabs>
      <w:spacing w:after="240" w:line="360" w:lineRule="auto"/>
    </w:pPr>
    <w:rPr>
      <w:rFonts w:ascii="Garamond" w:eastAsia="Times New Roman" w:hAnsi="Garamond" w:cs="Times New Roman"/>
      <w:sz w:val="24"/>
      <w:szCs w:val="20"/>
    </w:rPr>
  </w:style>
  <w:style w:type="character" w:styleId="CommentReference">
    <w:name w:val="annotation reference"/>
    <w:basedOn w:val="DefaultParagraphFont"/>
    <w:uiPriority w:val="99"/>
    <w:semiHidden/>
    <w:unhideWhenUsed/>
    <w:locked/>
    <w:rsid w:val="00AB728C"/>
    <w:rPr>
      <w:sz w:val="16"/>
      <w:szCs w:val="16"/>
    </w:rPr>
  </w:style>
  <w:style w:type="paragraph" w:styleId="CommentText">
    <w:name w:val="annotation text"/>
    <w:basedOn w:val="Normal"/>
    <w:link w:val="CommentTextChar"/>
    <w:uiPriority w:val="99"/>
    <w:unhideWhenUsed/>
    <w:locked/>
    <w:rsid w:val="00AB728C"/>
    <w:pPr>
      <w:spacing w:line="240" w:lineRule="auto"/>
    </w:pPr>
    <w:rPr>
      <w:sz w:val="20"/>
      <w:szCs w:val="20"/>
    </w:rPr>
  </w:style>
  <w:style w:type="character" w:customStyle="1" w:styleId="CommentTextChar">
    <w:name w:val="Comment Text Char"/>
    <w:basedOn w:val="DefaultParagraphFont"/>
    <w:link w:val="CommentText"/>
    <w:uiPriority w:val="99"/>
    <w:rsid w:val="00AB728C"/>
    <w:rPr>
      <w:sz w:val="20"/>
      <w:szCs w:val="20"/>
    </w:rPr>
  </w:style>
  <w:style w:type="paragraph" w:styleId="CommentSubject">
    <w:name w:val="annotation subject"/>
    <w:basedOn w:val="CommentText"/>
    <w:next w:val="CommentText"/>
    <w:link w:val="CommentSubjectChar"/>
    <w:uiPriority w:val="99"/>
    <w:semiHidden/>
    <w:unhideWhenUsed/>
    <w:locked/>
    <w:rsid w:val="00AB728C"/>
    <w:rPr>
      <w:b/>
      <w:bCs/>
    </w:rPr>
  </w:style>
  <w:style w:type="character" w:customStyle="1" w:styleId="CommentSubjectChar">
    <w:name w:val="Comment Subject Char"/>
    <w:basedOn w:val="CommentTextChar"/>
    <w:link w:val="CommentSubject"/>
    <w:uiPriority w:val="99"/>
    <w:semiHidden/>
    <w:rsid w:val="00AB728C"/>
    <w:rPr>
      <w:b/>
      <w:bCs/>
      <w:sz w:val="20"/>
      <w:szCs w:val="20"/>
    </w:rPr>
  </w:style>
  <w:style w:type="paragraph" w:styleId="Revision">
    <w:name w:val="Revision"/>
    <w:hidden/>
    <w:uiPriority w:val="99"/>
    <w:semiHidden/>
    <w:rsid w:val="002D03DC"/>
    <w:pPr>
      <w:spacing w:after="0"/>
    </w:pPr>
  </w:style>
  <w:style w:type="paragraph" w:customStyle="1" w:styleId="E1-Equation">
    <w:name w:val="E1-Equation"/>
    <w:basedOn w:val="Normal"/>
    <w:rsid w:val="005E6EB9"/>
    <w:pPr>
      <w:tabs>
        <w:tab w:val="center" w:pos="4680"/>
        <w:tab w:val="right" w:pos="9360"/>
      </w:tabs>
      <w:spacing w:after="240" w:line="240" w:lineRule="auto"/>
    </w:pPr>
    <w:rPr>
      <w:rFonts w:ascii="Garamond" w:eastAsia="Times New Roman" w:hAnsi="Garamond" w:cs="Times New Roman"/>
      <w:sz w:val="24"/>
      <w:szCs w:val="20"/>
    </w:rPr>
  </w:style>
  <w:style w:type="paragraph" w:customStyle="1" w:styleId="E2-Equation">
    <w:name w:val="E2-Equation"/>
    <w:basedOn w:val="Normal"/>
    <w:rsid w:val="005E6EB9"/>
    <w:pPr>
      <w:tabs>
        <w:tab w:val="right" w:pos="1152"/>
        <w:tab w:val="center" w:pos="1440"/>
        <w:tab w:val="left" w:pos="1728"/>
      </w:tabs>
      <w:spacing w:after="240" w:line="240" w:lineRule="auto"/>
      <w:ind w:left="1728" w:hanging="1728"/>
    </w:pPr>
    <w:rPr>
      <w:rFonts w:ascii="Garamond" w:eastAsia="Times New Roman" w:hAnsi="Garamond"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1" w:unhideWhenUsed="0" w:qFormat="1"/>
    <w:lsdException w:name="heading 2" w:locked="0" w:uiPriority="1" w:qFormat="1"/>
    <w:lsdException w:name="heading 3" w:locked="0" w:uiPriority="1" w:qFormat="1"/>
    <w:lsdException w:name="heading 4" w:locked="0"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0" w:uiPriority="39" w:qFormat="1"/>
    <w:lsdException w:name="toc 2" w:locked="0" w:uiPriority="39" w:qFormat="1"/>
    <w:lsdException w:name="toc 3" w:locked="0" w:uiPriority="39" w:qFormat="1"/>
    <w:lsdException w:name="toc 4" w:locked="0" w:uiPriority="39" w:qFormat="1"/>
    <w:lsdException w:name="toc 5" w:uiPriority="39"/>
    <w:lsdException w:name="toc 6" w:uiPriority="39"/>
    <w:lsdException w:name="toc 7" w:uiPriority="39"/>
    <w:lsdException w:name="toc 8" w:uiPriority="39"/>
    <w:lsdException w:name="toc 9" w:uiPriority="39"/>
    <w:lsdException w:name="footnote text" w:locked="0" w:uiPriority="7" w:qFormat="1"/>
    <w:lsdException w:name="header" w:locked="0" w:qFormat="1"/>
    <w:lsdException w:name="footer" w:locked="0" w:qFormat="1"/>
    <w:lsdException w:name="caption" w:locked="0" w:uiPriority="3" w:qFormat="1"/>
    <w:lsdException w:name="table of figures" w:locked="0"/>
    <w:lsdException w:name="footnote reference" w:locked="0" w:uiPriority="8"/>
    <w:lsdException w:name="List Number" w:uiPriority="20"/>
    <w:lsdException w:name="Title" w:semiHidden="0" w:unhideWhenUsed="0" w:qFormat="1"/>
    <w:lsdException w:name="Default Paragraph Font" w:locked="0" w:uiPriority="1"/>
    <w:lsdException w:name="Body Text" w:uiPriority="0"/>
    <w:lsdException w:name="Subtitle" w:uiPriority="11" w:unhideWhenUsed="0"/>
    <w:lsdException w:name="Date" w:uiPriority="4" w:qFormat="1"/>
    <w:lsdException w:name="Body Text First Indent" w:qFormat="1"/>
    <w:lsdException w:name="Note Heading" w:uiPriority="13" w:qFormat="1"/>
    <w:lsdException w:name="Body Text Indent 3" w:qFormat="1"/>
    <w:lsdException w:name="Hyperlink" w:locked="0" w:qFormat="1"/>
    <w:lsdException w:name="Strong" w:semiHidden="0" w:uiPriority="22" w:unhideWhenUsed="0" w:qFormat="1"/>
    <w:lsdException w:name="Emphasis" w:locked="0" w:semiHidden="0" w:uiPriority="5"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unhideWhenUsed="0"/>
    <w:lsdException w:name="No Spacing" w:locked="0" w:semiHidden="0"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14"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5" w:unhideWhenUsed="0" w:qFormat="1"/>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locked="0" w:uiPriority="39" w:qFormat="1"/>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uiPriority w:val="1"/>
    <w:qFormat/>
    <w:rsid w:val="007E53C4"/>
    <w:pPr>
      <w:keepNext/>
      <w:keepLines/>
      <w:numPr>
        <w:numId w:val="41"/>
      </w:numPr>
      <w:pBdr>
        <w:bottom w:val="single" w:sz="8" w:space="1" w:color="A6A6A6" w:themeColor="background1" w:themeShade="A6"/>
      </w:pBdr>
      <w:spacing w:after="120" w:line="380" w:lineRule="atLeast"/>
      <w:outlineLvl w:val="0"/>
    </w:pPr>
    <w:rPr>
      <w:rFonts w:asciiTheme="majorHAnsi" w:eastAsiaTheme="majorEastAsia" w:hAnsiTheme="majorHAnsi" w:cstheme="majorBidi"/>
      <w:b/>
      <w:bCs/>
      <w:sz w:val="44"/>
      <w:szCs w:val="44"/>
    </w:rPr>
  </w:style>
  <w:style w:type="paragraph" w:styleId="Heading2">
    <w:name w:val="heading 2"/>
    <w:next w:val="Normal"/>
    <w:link w:val="Heading2Char"/>
    <w:autoRedefine/>
    <w:uiPriority w:val="1"/>
    <w:qFormat/>
    <w:rsid w:val="00BE4957"/>
    <w:pPr>
      <w:keepNext/>
      <w:keepLines/>
      <w:spacing w:before="200" w:after="0"/>
      <w:outlineLvl w:val="1"/>
    </w:pPr>
    <w:rPr>
      <w:rFonts w:eastAsiaTheme="majorEastAsia" w:cstheme="majorBidi"/>
      <w:b/>
      <w:color w:val="1396D8"/>
      <w:sz w:val="28"/>
      <w:szCs w:val="26"/>
    </w:rPr>
  </w:style>
  <w:style w:type="paragraph" w:styleId="Heading3">
    <w:name w:val="heading 3"/>
    <w:basedOn w:val="Heading2"/>
    <w:next w:val="Normal"/>
    <w:link w:val="Heading3Char"/>
    <w:autoRedefine/>
    <w:uiPriority w:val="1"/>
    <w:qFormat/>
    <w:rsid w:val="00FD7CDC"/>
    <w:pPr>
      <w:outlineLvl w:val="2"/>
    </w:pPr>
    <w:rPr>
      <w:rFonts w:asciiTheme="majorHAnsi" w:hAnsiTheme="majorHAnsi"/>
      <w:bCs/>
      <w:i/>
      <w:color w:val="595959" w:themeColor="text1" w:themeTint="A6"/>
      <w:sz w:val="24"/>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3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3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3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E53C4"/>
    <w:rPr>
      <w:rFonts w:asciiTheme="majorHAnsi" w:eastAsiaTheme="majorEastAsia" w:hAnsiTheme="majorHAnsi" w:cstheme="majorBidi"/>
      <w:b/>
      <w:bCs/>
      <w:sz w:val="44"/>
      <w:szCs w:val="44"/>
    </w:rPr>
  </w:style>
  <w:style w:type="paragraph" w:styleId="NoSpacing">
    <w:name w:val="No Spacing"/>
    <w:uiPriority w:val="2"/>
    <w:qFormat/>
    <w:rsid w:val="00112A69"/>
    <w:pPr>
      <w:spacing w:after="0"/>
      <w:jc w:val="both"/>
    </w:pPr>
  </w:style>
  <w:style w:type="character" w:customStyle="1" w:styleId="Heading2Char">
    <w:name w:val="Heading 2 Char"/>
    <w:basedOn w:val="DefaultParagraphFont"/>
    <w:link w:val="Heading2"/>
    <w:uiPriority w:val="1"/>
    <w:rsid w:val="00BE4957"/>
    <w:rPr>
      <w:rFonts w:eastAsiaTheme="majorEastAsia" w:cstheme="majorBidi"/>
      <w:b/>
      <w:color w:val="1396D8"/>
      <w:sz w:val="28"/>
      <w:szCs w:val="26"/>
    </w:rPr>
  </w:style>
  <w:style w:type="character" w:customStyle="1" w:styleId="Heading3Char">
    <w:name w:val="Heading 3 Char"/>
    <w:basedOn w:val="DefaultParagraphFont"/>
    <w:link w:val="Heading3"/>
    <w:uiPriority w:val="1"/>
    <w:rsid w:val="00FD7CDC"/>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semiHidden/>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
    <w:qFormat/>
    <w:rsid w:val="005170D3"/>
    <w:pPr>
      <w:keepNext/>
      <w:spacing w:before="140" w:after="80" w:line="240" w:lineRule="auto"/>
    </w:pPr>
    <w:rPr>
      <w:b/>
      <w:bCs/>
      <w:color w:val="1396D8"/>
      <w:szCs w:val="18"/>
    </w:rPr>
  </w:style>
  <w:style w:type="paragraph" w:styleId="Header">
    <w:name w:val="header"/>
    <w:basedOn w:val="Normal"/>
    <w:link w:val="HeaderChar"/>
    <w:autoRedefine/>
    <w:uiPriority w:val="99"/>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041909"/>
    <w:rPr>
      <w:i/>
    </w:rPr>
  </w:style>
  <w:style w:type="paragraph" w:styleId="Footer">
    <w:name w:val="footer"/>
    <w:basedOn w:val="Normal"/>
    <w:link w:val="FooterChar"/>
    <w:autoRedefine/>
    <w:uiPriority w:val="99"/>
    <w:qFormat/>
    <w:rsid w:val="00760677"/>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sid w:val="00760677"/>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uiPriority w:val="5"/>
    <w:qFormat/>
    <w:rsid w:val="00F80AF1"/>
    <w:rPr>
      <w:rFonts w:asciiTheme="minorHAnsi" w:hAnsiTheme="minorHAnsi"/>
      <w:b/>
      <w:iCs/>
      <w:sz w:val="22"/>
    </w:rPr>
  </w:style>
  <w:style w:type="paragraph" w:styleId="BodyText">
    <w:name w:val="Body Text"/>
    <w:basedOn w:val="Normal"/>
    <w:link w:val="BodyTextChar"/>
    <w:unhideWhenUsed/>
    <w:locked/>
    <w:rsid w:val="00015DA7"/>
    <w:pPr>
      <w:spacing w:after="120"/>
    </w:pPr>
  </w:style>
  <w:style w:type="character" w:customStyle="1" w:styleId="BodyTextChar">
    <w:name w:val="Body Text Char"/>
    <w:basedOn w:val="DefaultParagraphFont"/>
    <w:link w:val="BodyText"/>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uiPriority w:val="34"/>
    <w:qFormat/>
    <w:rsid w:val="00F80AF1"/>
    <w:pPr>
      <w:numPr>
        <w:numId w:val="13"/>
      </w:numPr>
      <w:ind w:left="720"/>
      <w:contextualSpacing/>
    </w:pPr>
  </w:style>
  <w:style w:type="paragraph" w:styleId="TOCHeading">
    <w:name w:val="TOC Heading"/>
    <w:basedOn w:val="Heading1"/>
    <w:next w:val="Normal"/>
    <w:autoRedefine/>
    <w:uiPriority w:val="39"/>
    <w:qFormat/>
    <w:rsid w:val="005B2B58"/>
    <w:pPr>
      <w:numPr>
        <w:numId w:val="0"/>
      </w:numPr>
      <w:pBdr>
        <w:bottom w:val="single" w:sz="4" w:space="1" w:color="BFBFBF" w:themeColor="background1" w:themeShade="BF"/>
      </w:pBdr>
      <w:spacing w:before="480" w:line="240" w:lineRule="auto"/>
      <w:outlineLvl w:val="9"/>
    </w:pPr>
    <w:rPr>
      <w:color w:val="0096D7" w:themeColor="accent1"/>
    </w:rPr>
  </w:style>
  <w:style w:type="paragraph" w:styleId="TOC1">
    <w:name w:val="toc 1"/>
    <w:basedOn w:val="Normal"/>
    <w:next w:val="Normal"/>
    <w:autoRedefine/>
    <w:uiPriority w:val="39"/>
    <w:qFormat/>
    <w:rsid w:val="00047C08"/>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eastAsiaTheme="minorEastAsia" w:hAnsi="Arial"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eastAsiaTheme="minorEastAsia" w:hAnsi="Arial" w:cs="Arial"/>
      <w:color w:val="000000"/>
      <w:sz w:val="16"/>
      <w:szCs w:val="16"/>
    </w:rPr>
  </w:style>
  <w:style w:type="paragraph" w:styleId="FootnoteText">
    <w:name w:val="footnote text"/>
    <w:basedOn w:val="Normal"/>
    <w:link w:val="FootnoteTextChar"/>
    <w:autoRedefine/>
    <w:uiPriority w:val="7"/>
    <w:qFormat/>
    <w:rsid w:val="00C7266E"/>
    <w:pPr>
      <w:spacing w:after="0" w:line="240" w:lineRule="atLeast"/>
      <w:contextualSpacing/>
    </w:pPr>
    <w:rPr>
      <w:sz w:val="18"/>
    </w:rPr>
  </w:style>
  <w:style w:type="character" w:customStyle="1" w:styleId="FootnoteTextChar">
    <w:name w:val="Footnote Text Char"/>
    <w:basedOn w:val="DefaultParagraphFont"/>
    <w:link w:val="FootnoteText"/>
    <w:uiPriority w:val="7"/>
    <w:rsid w:val="00C7266E"/>
    <w:rPr>
      <w:sz w:val="18"/>
    </w:rPr>
  </w:style>
  <w:style w:type="character" w:styleId="FootnoteReference">
    <w:name w:val="footnote reference"/>
    <w:basedOn w:val="DefaultParagraphFont"/>
    <w:uiPriority w:val="8"/>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34"/>
      </w:numPr>
      <w:contextualSpacing/>
    </w:pPr>
  </w:style>
  <w:style w:type="paragraph" w:styleId="ListBullet2">
    <w:name w:val="List Bullet 2"/>
    <w:basedOn w:val="Normal"/>
    <w:uiPriority w:val="99"/>
    <w:semiHidden/>
    <w:locked/>
    <w:rsid w:val="00112A69"/>
    <w:pPr>
      <w:numPr>
        <w:numId w:val="35"/>
      </w:numPr>
      <w:contextualSpacing/>
    </w:pPr>
  </w:style>
  <w:style w:type="paragraph" w:styleId="ListBullet3">
    <w:name w:val="List Bullet 3"/>
    <w:basedOn w:val="Normal"/>
    <w:uiPriority w:val="99"/>
    <w:semiHidden/>
    <w:locked/>
    <w:rsid w:val="00112A69"/>
    <w:pPr>
      <w:numPr>
        <w:numId w:val="36"/>
      </w:numPr>
      <w:contextualSpacing/>
    </w:pPr>
  </w:style>
  <w:style w:type="paragraph" w:styleId="ListBullet4">
    <w:name w:val="List Bullet 4"/>
    <w:basedOn w:val="Normal"/>
    <w:uiPriority w:val="99"/>
    <w:semiHidden/>
    <w:locked/>
    <w:rsid w:val="00112A69"/>
    <w:pPr>
      <w:numPr>
        <w:numId w:val="37"/>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7"/>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59"/>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paragraph" w:customStyle="1" w:styleId="L2-FlLSp12">
    <w:name w:val="L2-FlL Sp&amp;1/2"/>
    <w:basedOn w:val="Normal"/>
    <w:qFormat/>
    <w:rsid w:val="00323BDF"/>
    <w:pPr>
      <w:keepNext/>
      <w:tabs>
        <w:tab w:val="left" w:pos="1152"/>
      </w:tabs>
      <w:spacing w:after="120" w:line="360" w:lineRule="auto"/>
    </w:pPr>
    <w:rPr>
      <w:rFonts w:ascii="Garamond" w:eastAsia="Times New Roman" w:hAnsi="Garamond" w:cs="Times New Roman"/>
      <w:sz w:val="24"/>
      <w:szCs w:val="20"/>
    </w:rPr>
  </w:style>
  <w:style w:type="paragraph" w:customStyle="1" w:styleId="L1-FlLSp12">
    <w:name w:val="L1-FlL Sp&amp;1/2"/>
    <w:basedOn w:val="Normal"/>
    <w:uiPriority w:val="99"/>
    <w:rsid w:val="009C5A62"/>
    <w:pPr>
      <w:tabs>
        <w:tab w:val="left" w:pos="1152"/>
      </w:tabs>
      <w:spacing w:after="240" w:line="360" w:lineRule="auto"/>
    </w:pPr>
    <w:rPr>
      <w:rFonts w:ascii="Garamond" w:eastAsia="Times New Roman" w:hAnsi="Garamond" w:cs="Times New Roman"/>
      <w:sz w:val="24"/>
      <w:szCs w:val="20"/>
    </w:rPr>
  </w:style>
  <w:style w:type="character" w:styleId="CommentReference">
    <w:name w:val="annotation reference"/>
    <w:basedOn w:val="DefaultParagraphFont"/>
    <w:uiPriority w:val="99"/>
    <w:semiHidden/>
    <w:unhideWhenUsed/>
    <w:locked/>
    <w:rsid w:val="00AB728C"/>
    <w:rPr>
      <w:sz w:val="16"/>
      <w:szCs w:val="16"/>
    </w:rPr>
  </w:style>
  <w:style w:type="paragraph" w:styleId="CommentText">
    <w:name w:val="annotation text"/>
    <w:basedOn w:val="Normal"/>
    <w:link w:val="CommentTextChar"/>
    <w:uiPriority w:val="99"/>
    <w:unhideWhenUsed/>
    <w:locked/>
    <w:rsid w:val="00AB728C"/>
    <w:pPr>
      <w:spacing w:line="240" w:lineRule="auto"/>
    </w:pPr>
    <w:rPr>
      <w:sz w:val="20"/>
      <w:szCs w:val="20"/>
    </w:rPr>
  </w:style>
  <w:style w:type="character" w:customStyle="1" w:styleId="CommentTextChar">
    <w:name w:val="Comment Text Char"/>
    <w:basedOn w:val="DefaultParagraphFont"/>
    <w:link w:val="CommentText"/>
    <w:uiPriority w:val="99"/>
    <w:rsid w:val="00AB728C"/>
    <w:rPr>
      <w:sz w:val="20"/>
      <w:szCs w:val="20"/>
    </w:rPr>
  </w:style>
  <w:style w:type="paragraph" w:styleId="CommentSubject">
    <w:name w:val="annotation subject"/>
    <w:basedOn w:val="CommentText"/>
    <w:next w:val="CommentText"/>
    <w:link w:val="CommentSubjectChar"/>
    <w:uiPriority w:val="99"/>
    <w:semiHidden/>
    <w:unhideWhenUsed/>
    <w:locked/>
    <w:rsid w:val="00AB728C"/>
    <w:rPr>
      <w:b/>
      <w:bCs/>
    </w:rPr>
  </w:style>
  <w:style w:type="character" w:customStyle="1" w:styleId="CommentSubjectChar">
    <w:name w:val="Comment Subject Char"/>
    <w:basedOn w:val="CommentTextChar"/>
    <w:link w:val="CommentSubject"/>
    <w:uiPriority w:val="99"/>
    <w:semiHidden/>
    <w:rsid w:val="00AB728C"/>
    <w:rPr>
      <w:b/>
      <w:bCs/>
      <w:sz w:val="20"/>
      <w:szCs w:val="20"/>
    </w:rPr>
  </w:style>
  <w:style w:type="paragraph" w:styleId="Revision">
    <w:name w:val="Revision"/>
    <w:hidden/>
    <w:uiPriority w:val="99"/>
    <w:semiHidden/>
    <w:rsid w:val="002D03DC"/>
    <w:pPr>
      <w:spacing w:after="0"/>
    </w:pPr>
  </w:style>
  <w:style w:type="paragraph" w:customStyle="1" w:styleId="E1-Equation">
    <w:name w:val="E1-Equation"/>
    <w:basedOn w:val="Normal"/>
    <w:rsid w:val="005E6EB9"/>
    <w:pPr>
      <w:tabs>
        <w:tab w:val="center" w:pos="4680"/>
        <w:tab w:val="right" w:pos="9360"/>
      </w:tabs>
      <w:spacing w:after="240" w:line="240" w:lineRule="auto"/>
    </w:pPr>
    <w:rPr>
      <w:rFonts w:ascii="Garamond" w:eastAsia="Times New Roman" w:hAnsi="Garamond" w:cs="Times New Roman"/>
      <w:sz w:val="24"/>
      <w:szCs w:val="20"/>
    </w:rPr>
  </w:style>
  <w:style w:type="paragraph" w:customStyle="1" w:styleId="E2-Equation">
    <w:name w:val="E2-Equation"/>
    <w:basedOn w:val="Normal"/>
    <w:rsid w:val="005E6EB9"/>
    <w:pPr>
      <w:tabs>
        <w:tab w:val="right" w:pos="1152"/>
        <w:tab w:val="center" w:pos="1440"/>
        <w:tab w:val="left" w:pos="1728"/>
      </w:tabs>
      <w:spacing w:after="240" w:line="240" w:lineRule="auto"/>
      <w:ind w:left="1728" w:hanging="1728"/>
    </w:pPr>
    <w:rPr>
      <w:rFonts w:ascii="Garamond" w:eastAsia="Times New Roman" w:hAnsi="Garamond"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77035">
      <w:bodyDiv w:val="1"/>
      <w:marLeft w:val="0"/>
      <w:marRight w:val="0"/>
      <w:marTop w:val="0"/>
      <w:marBottom w:val="0"/>
      <w:divBdr>
        <w:top w:val="none" w:sz="0" w:space="0" w:color="auto"/>
        <w:left w:val="none" w:sz="0" w:space="0" w:color="auto"/>
        <w:bottom w:val="none" w:sz="0" w:space="0" w:color="auto"/>
        <w:right w:val="none" w:sz="0" w:space="0" w:color="auto"/>
      </w:divBdr>
    </w:div>
    <w:div w:id="163906382">
      <w:bodyDiv w:val="1"/>
      <w:marLeft w:val="0"/>
      <w:marRight w:val="0"/>
      <w:marTop w:val="0"/>
      <w:marBottom w:val="0"/>
      <w:divBdr>
        <w:top w:val="none" w:sz="0" w:space="0" w:color="auto"/>
        <w:left w:val="none" w:sz="0" w:space="0" w:color="auto"/>
        <w:bottom w:val="none" w:sz="0" w:space="0" w:color="auto"/>
        <w:right w:val="none" w:sz="0" w:space="0" w:color="auto"/>
      </w:divBdr>
    </w:div>
    <w:div w:id="250704288">
      <w:bodyDiv w:val="1"/>
      <w:marLeft w:val="0"/>
      <w:marRight w:val="0"/>
      <w:marTop w:val="0"/>
      <w:marBottom w:val="0"/>
      <w:divBdr>
        <w:top w:val="none" w:sz="0" w:space="0" w:color="auto"/>
        <w:left w:val="none" w:sz="0" w:space="0" w:color="auto"/>
        <w:bottom w:val="none" w:sz="0" w:space="0" w:color="auto"/>
        <w:right w:val="none" w:sz="0" w:space="0" w:color="auto"/>
      </w:divBdr>
    </w:div>
    <w:div w:id="335571170">
      <w:bodyDiv w:val="1"/>
      <w:marLeft w:val="0"/>
      <w:marRight w:val="0"/>
      <w:marTop w:val="0"/>
      <w:marBottom w:val="0"/>
      <w:divBdr>
        <w:top w:val="none" w:sz="0" w:space="0" w:color="auto"/>
        <w:left w:val="none" w:sz="0" w:space="0" w:color="auto"/>
        <w:bottom w:val="none" w:sz="0" w:space="0" w:color="auto"/>
        <w:right w:val="none" w:sz="0" w:space="0" w:color="auto"/>
      </w:divBdr>
    </w:div>
    <w:div w:id="339814673">
      <w:bodyDiv w:val="1"/>
      <w:marLeft w:val="0"/>
      <w:marRight w:val="0"/>
      <w:marTop w:val="0"/>
      <w:marBottom w:val="0"/>
      <w:divBdr>
        <w:top w:val="none" w:sz="0" w:space="0" w:color="auto"/>
        <w:left w:val="none" w:sz="0" w:space="0" w:color="auto"/>
        <w:bottom w:val="none" w:sz="0" w:space="0" w:color="auto"/>
        <w:right w:val="none" w:sz="0" w:space="0" w:color="auto"/>
      </w:divBdr>
    </w:div>
    <w:div w:id="343021889">
      <w:bodyDiv w:val="1"/>
      <w:marLeft w:val="0"/>
      <w:marRight w:val="0"/>
      <w:marTop w:val="0"/>
      <w:marBottom w:val="0"/>
      <w:divBdr>
        <w:top w:val="none" w:sz="0" w:space="0" w:color="auto"/>
        <w:left w:val="none" w:sz="0" w:space="0" w:color="auto"/>
        <w:bottom w:val="none" w:sz="0" w:space="0" w:color="auto"/>
        <w:right w:val="none" w:sz="0" w:space="0" w:color="auto"/>
      </w:divBdr>
    </w:div>
    <w:div w:id="364253291">
      <w:bodyDiv w:val="1"/>
      <w:marLeft w:val="0"/>
      <w:marRight w:val="0"/>
      <w:marTop w:val="0"/>
      <w:marBottom w:val="0"/>
      <w:divBdr>
        <w:top w:val="none" w:sz="0" w:space="0" w:color="auto"/>
        <w:left w:val="none" w:sz="0" w:space="0" w:color="auto"/>
        <w:bottom w:val="none" w:sz="0" w:space="0" w:color="auto"/>
        <w:right w:val="none" w:sz="0" w:space="0" w:color="auto"/>
      </w:divBdr>
    </w:div>
    <w:div w:id="443424165">
      <w:bodyDiv w:val="1"/>
      <w:marLeft w:val="0"/>
      <w:marRight w:val="0"/>
      <w:marTop w:val="0"/>
      <w:marBottom w:val="0"/>
      <w:divBdr>
        <w:top w:val="none" w:sz="0" w:space="0" w:color="auto"/>
        <w:left w:val="none" w:sz="0" w:space="0" w:color="auto"/>
        <w:bottom w:val="none" w:sz="0" w:space="0" w:color="auto"/>
        <w:right w:val="none" w:sz="0" w:space="0" w:color="auto"/>
      </w:divBdr>
    </w:div>
    <w:div w:id="468868123">
      <w:bodyDiv w:val="1"/>
      <w:marLeft w:val="0"/>
      <w:marRight w:val="0"/>
      <w:marTop w:val="0"/>
      <w:marBottom w:val="0"/>
      <w:divBdr>
        <w:top w:val="none" w:sz="0" w:space="0" w:color="auto"/>
        <w:left w:val="none" w:sz="0" w:space="0" w:color="auto"/>
        <w:bottom w:val="none" w:sz="0" w:space="0" w:color="auto"/>
        <w:right w:val="none" w:sz="0" w:space="0" w:color="auto"/>
      </w:divBdr>
    </w:div>
    <w:div w:id="479076218">
      <w:bodyDiv w:val="1"/>
      <w:marLeft w:val="0"/>
      <w:marRight w:val="0"/>
      <w:marTop w:val="0"/>
      <w:marBottom w:val="0"/>
      <w:divBdr>
        <w:top w:val="none" w:sz="0" w:space="0" w:color="auto"/>
        <w:left w:val="none" w:sz="0" w:space="0" w:color="auto"/>
        <w:bottom w:val="none" w:sz="0" w:space="0" w:color="auto"/>
        <w:right w:val="none" w:sz="0" w:space="0" w:color="auto"/>
      </w:divBdr>
      <w:divsChild>
        <w:div w:id="866480587">
          <w:marLeft w:val="0"/>
          <w:marRight w:val="0"/>
          <w:marTop w:val="0"/>
          <w:marBottom w:val="0"/>
          <w:divBdr>
            <w:top w:val="none" w:sz="0" w:space="0" w:color="auto"/>
            <w:left w:val="none" w:sz="0" w:space="0" w:color="auto"/>
            <w:bottom w:val="none" w:sz="0" w:space="0" w:color="auto"/>
            <w:right w:val="none" w:sz="0" w:space="0" w:color="auto"/>
          </w:divBdr>
          <w:divsChild>
            <w:div w:id="1725057898">
              <w:marLeft w:val="0"/>
              <w:marRight w:val="0"/>
              <w:marTop w:val="125"/>
              <w:marBottom w:val="0"/>
              <w:divBdr>
                <w:top w:val="single" w:sz="8" w:space="6" w:color="666666"/>
                <w:left w:val="none" w:sz="0" w:space="0" w:color="auto"/>
                <w:bottom w:val="none" w:sz="0" w:space="0" w:color="auto"/>
                <w:right w:val="none" w:sz="0" w:space="0" w:color="auto"/>
              </w:divBdr>
            </w:div>
          </w:divsChild>
        </w:div>
      </w:divsChild>
    </w:div>
    <w:div w:id="523061490">
      <w:bodyDiv w:val="1"/>
      <w:marLeft w:val="0"/>
      <w:marRight w:val="0"/>
      <w:marTop w:val="0"/>
      <w:marBottom w:val="0"/>
      <w:divBdr>
        <w:top w:val="none" w:sz="0" w:space="0" w:color="auto"/>
        <w:left w:val="none" w:sz="0" w:space="0" w:color="auto"/>
        <w:bottom w:val="none" w:sz="0" w:space="0" w:color="auto"/>
        <w:right w:val="none" w:sz="0" w:space="0" w:color="auto"/>
      </w:divBdr>
    </w:div>
    <w:div w:id="571240497">
      <w:bodyDiv w:val="1"/>
      <w:marLeft w:val="0"/>
      <w:marRight w:val="0"/>
      <w:marTop w:val="0"/>
      <w:marBottom w:val="0"/>
      <w:divBdr>
        <w:top w:val="none" w:sz="0" w:space="0" w:color="auto"/>
        <w:left w:val="none" w:sz="0" w:space="0" w:color="auto"/>
        <w:bottom w:val="none" w:sz="0" w:space="0" w:color="auto"/>
        <w:right w:val="none" w:sz="0" w:space="0" w:color="auto"/>
      </w:divBdr>
    </w:div>
    <w:div w:id="577128761">
      <w:bodyDiv w:val="1"/>
      <w:marLeft w:val="0"/>
      <w:marRight w:val="0"/>
      <w:marTop w:val="0"/>
      <w:marBottom w:val="0"/>
      <w:divBdr>
        <w:top w:val="none" w:sz="0" w:space="0" w:color="auto"/>
        <w:left w:val="none" w:sz="0" w:space="0" w:color="auto"/>
        <w:bottom w:val="none" w:sz="0" w:space="0" w:color="auto"/>
        <w:right w:val="none" w:sz="0" w:space="0" w:color="auto"/>
      </w:divBdr>
    </w:div>
    <w:div w:id="603344179">
      <w:bodyDiv w:val="1"/>
      <w:marLeft w:val="0"/>
      <w:marRight w:val="0"/>
      <w:marTop w:val="0"/>
      <w:marBottom w:val="0"/>
      <w:divBdr>
        <w:top w:val="none" w:sz="0" w:space="0" w:color="auto"/>
        <w:left w:val="none" w:sz="0" w:space="0" w:color="auto"/>
        <w:bottom w:val="none" w:sz="0" w:space="0" w:color="auto"/>
        <w:right w:val="none" w:sz="0" w:space="0" w:color="auto"/>
      </w:divBdr>
    </w:div>
    <w:div w:id="741760865">
      <w:bodyDiv w:val="1"/>
      <w:marLeft w:val="0"/>
      <w:marRight w:val="0"/>
      <w:marTop w:val="0"/>
      <w:marBottom w:val="0"/>
      <w:divBdr>
        <w:top w:val="none" w:sz="0" w:space="0" w:color="auto"/>
        <w:left w:val="none" w:sz="0" w:space="0" w:color="auto"/>
        <w:bottom w:val="none" w:sz="0" w:space="0" w:color="auto"/>
        <w:right w:val="none" w:sz="0" w:space="0" w:color="auto"/>
      </w:divBdr>
    </w:div>
    <w:div w:id="800999263">
      <w:bodyDiv w:val="1"/>
      <w:marLeft w:val="0"/>
      <w:marRight w:val="0"/>
      <w:marTop w:val="0"/>
      <w:marBottom w:val="0"/>
      <w:divBdr>
        <w:top w:val="none" w:sz="0" w:space="0" w:color="auto"/>
        <w:left w:val="none" w:sz="0" w:space="0" w:color="auto"/>
        <w:bottom w:val="none" w:sz="0" w:space="0" w:color="auto"/>
        <w:right w:val="none" w:sz="0" w:space="0" w:color="auto"/>
      </w:divBdr>
    </w:div>
    <w:div w:id="802045184">
      <w:bodyDiv w:val="1"/>
      <w:marLeft w:val="0"/>
      <w:marRight w:val="0"/>
      <w:marTop w:val="0"/>
      <w:marBottom w:val="0"/>
      <w:divBdr>
        <w:top w:val="none" w:sz="0" w:space="0" w:color="auto"/>
        <w:left w:val="none" w:sz="0" w:space="0" w:color="auto"/>
        <w:bottom w:val="none" w:sz="0" w:space="0" w:color="auto"/>
        <w:right w:val="none" w:sz="0" w:space="0" w:color="auto"/>
      </w:divBdr>
    </w:div>
    <w:div w:id="806044680">
      <w:bodyDiv w:val="1"/>
      <w:marLeft w:val="0"/>
      <w:marRight w:val="0"/>
      <w:marTop w:val="0"/>
      <w:marBottom w:val="0"/>
      <w:divBdr>
        <w:top w:val="none" w:sz="0" w:space="0" w:color="auto"/>
        <w:left w:val="none" w:sz="0" w:space="0" w:color="auto"/>
        <w:bottom w:val="none" w:sz="0" w:space="0" w:color="auto"/>
        <w:right w:val="none" w:sz="0" w:space="0" w:color="auto"/>
      </w:divBdr>
    </w:div>
    <w:div w:id="809785599">
      <w:bodyDiv w:val="1"/>
      <w:marLeft w:val="0"/>
      <w:marRight w:val="0"/>
      <w:marTop w:val="0"/>
      <w:marBottom w:val="0"/>
      <w:divBdr>
        <w:top w:val="none" w:sz="0" w:space="0" w:color="auto"/>
        <w:left w:val="none" w:sz="0" w:space="0" w:color="auto"/>
        <w:bottom w:val="none" w:sz="0" w:space="0" w:color="auto"/>
        <w:right w:val="none" w:sz="0" w:space="0" w:color="auto"/>
      </w:divBdr>
    </w:div>
    <w:div w:id="884754839">
      <w:bodyDiv w:val="1"/>
      <w:marLeft w:val="0"/>
      <w:marRight w:val="0"/>
      <w:marTop w:val="0"/>
      <w:marBottom w:val="0"/>
      <w:divBdr>
        <w:top w:val="none" w:sz="0" w:space="0" w:color="auto"/>
        <w:left w:val="none" w:sz="0" w:space="0" w:color="auto"/>
        <w:bottom w:val="none" w:sz="0" w:space="0" w:color="auto"/>
        <w:right w:val="none" w:sz="0" w:space="0" w:color="auto"/>
      </w:divBdr>
    </w:div>
    <w:div w:id="890195221">
      <w:bodyDiv w:val="1"/>
      <w:marLeft w:val="0"/>
      <w:marRight w:val="0"/>
      <w:marTop w:val="0"/>
      <w:marBottom w:val="0"/>
      <w:divBdr>
        <w:top w:val="none" w:sz="0" w:space="0" w:color="auto"/>
        <w:left w:val="none" w:sz="0" w:space="0" w:color="auto"/>
        <w:bottom w:val="none" w:sz="0" w:space="0" w:color="auto"/>
        <w:right w:val="none" w:sz="0" w:space="0" w:color="auto"/>
      </w:divBdr>
    </w:div>
    <w:div w:id="962074558">
      <w:bodyDiv w:val="1"/>
      <w:marLeft w:val="0"/>
      <w:marRight w:val="0"/>
      <w:marTop w:val="0"/>
      <w:marBottom w:val="0"/>
      <w:divBdr>
        <w:top w:val="none" w:sz="0" w:space="0" w:color="auto"/>
        <w:left w:val="none" w:sz="0" w:space="0" w:color="auto"/>
        <w:bottom w:val="none" w:sz="0" w:space="0" w:color="auto"/>
        <w:right w:val="none" w:sz="0" w:space="0" w:color="auto"/>
      </w:divBdr>
    </w:div>
    <w:div w:id="1193618531">
      <w:bodyDiv w:val="1"/>
      <w:marLeft w:val="0"/>
      <w:marRight w:val="0"/>
      <w:marTop w:val="0"/>
      <w:marBottom w:val="0"/>
      <w:divBdr>
        <w:top w:val="none" w:sz="0" w:space="0" w:color="auto"/>
        <w:left w:val="none" w:sz="0" w:space="0" w:color="auto"/>
        <w:bottom w:val="none" w:sz="0" w:space="0" w:color="auto"/>
        <w:right w:val="none" w:sz="0" w:space="0" w:color="auto"/>
      </w:divBdr>
    </w:div>
    <w:div w:id="1249660238">
      <w:bodyDiv w:val="1"/>
      <w:marLeft w:val="0"/>
      <w:marRight w:val="0"/>
      <w:marTop w:val="0"/>
      <w:marBottom w:val="0"/>
      <w:divBdr>
        <w:top w:val="none" w:sz="0" w:space="0" w:color="auto"/>
        <w:left w:val="none" w:sz="0" w:space="0" w:color="auto"/>
        <w:bottom w:val="none" w:sz="0" w:space="0" w:color="auto"/>
        <w:right w:val="none" w:sz="0" w:space="0" w:color="auto"/>
      </w:divBdr>
    </w:div>
    <w:div w:id="1308437928">
      <w:bodyDiv w:val="1"/>
      <w:marLeft w:val="0"/>
      <w:marRight w:val="0"/>
      <w:marTop w:val="0"/>
      <w:marBottom w:val="0"/>
      <w:divBdr>
        <w:top w:val="none" w:sz="0" w:space="0" w:color="auto"/>
        <w:left w:val="none" w:sz="0" w:space="0" w:color="auto"/>
        <w:bottom w:val="none" w:sz="0" w:space="0" w:color="auto"/>
        <w:right w:val="none" w:sz="0" w:space="0" w:color="auto"/>
      </w:divBdr>
    </w:div>
    <w:div w:id="1345211228">
      <w:bodyDiv w:val="1"/>
      <w:marLeft w:val="0"/>
      <w:marRight w:val="0"/>
      <w:marTop w:val="0"/>
      <w:marBottom w:val="0"/>
      <w:divBdr>
        <w:top w:val="none" w:sz="0" w:space="0" w:color="auto"/>
        <w:left w:val="none" w:sz="0" w:space="0" w:color="auto"/>
        <w:bottom w:val="none" w:sz="0" w:space="0" w:color="auto"/>
        <w:right w:val="none" w:sz="0" w:space="0" w:color="auto"/>
      </w:divBdr>
    </w:div>
    <w:div w:id="1382097448">
      <w:bodyDiv w:val="1"/>
      <w:marLeft w:val="0"/>
      <w:marRight w:val="0"/>
      <w:marTop w:val="0"/>
      <w:marBottom w:val="0"/>
      <w:divBdr>
        <w:top w:val="none" w:sz="0" w:space="0" w:color="auto"/>
        <w:left w:val="none" w:sz="0" w:space="0" w:color="auto"/>
        <w:bottom w:val="none" w:sz="0" w:space="0" w:color="auto"/>
        <w:right w:val="none" w:sz="0" w:space="0" w:color="auto"/>
      </w:divBdr>
    </w:div>
    <w:div w:id="1390759981">
      <w:bodyDiv w:val="1"/>
      <w:marLeft w:val="0"/>
      <w:marRight w:val="0"/>
      <w:marTop w:val="0"/>
      <w:marBottom w:val="0"/>
      <w:divBdr>
        <w:top w:val="none" w:sz="0" w:space="0" w:color="auto"/>
        <w:left w:val="none" w:sz="0" w:space="0" w:color="auto"/>
        <w:bottom w:val="none" w:sz="0" w:space="0" w:color="auto"/>
        <w:right w:val="none" w:sz="0" w:space="0" w:color="auto"/>
      </w:divBdr>
    </w:div>
    <w:div w:id="1450853045">
      <w:bodyDiv w:val="1"/>
      <w:marLeft w:val="0"/>
      <w:marRight w:val="0"/>
      <w:marTop w:val="0"/>
      <w:marBottom w:val="0"/>
      <w:divBdr>
        <w:top w:val="none" w:sz="0" w:space="0" w:color="auto"/>
        <w:left w:val="none" w:sz="0" w:space="0" w:color="auto"/>
        <w:bottom w:val="none" w:sz="0" w:space="0" w:color="auto"/>
        <w:right w:val="none" w:sz="0" w:space="0" w:color="auto"/>
      </w:divBdr>
    </w:div>
    <w:div w:id="1535968415">
      <w:bodyDiv w:val="1"/>
      <w:marLeft w:val="0"/>
      <w:marRight w:val="0"/>
      <w:marTop w:val="0"/>
      <w:marBottom w:val="0"/>
      <w:divBdr>
        <w:top w:val="none" w:sz="0" w:space="0" w:color="auto"/>
        <w:left w:val="none" w:sz="0" w:space="0" w:color="auto"/>
        <w:bottom w:val="none" w:sz="0" w:space="0" w:color="auto"/>
        <w:right w:val="none" w:sz="0" w:space="0" w:color="auto"/>
      </w:divBdr>
    </w:div>
    <w:div w:id="1615743633">
      <w:bodyDiv w:val="1"/>
      <w:marLeft w:val="0"/>
      <w:marRight w:val="0"/>
      <w:marTop w:val="0"/>
      <w:marBottom w:val="0"/>
      <w:divBdr>
        <w:top w:val="none" w:sz="0" w:space="0" w:color="auto"/>
        <w:left w:val="none" w:sz="0" w:space="0" w:color="auto"/>
        <w:bottom w:val="none" w:sz="0" w:space="0" w:color="auto"/>
        <w:right w:val="none" w:sz="0" w:space="0" w:color="auto"/>
      </w:divBdr>
    </w:div>
    <w:div w:id="1655571971">
      <w:bodyDiv w:val="1"/>
      <w:marLeft w:val="0"/>
      <w:marRight w:val="0"/>
      <w:marTop w:val="0"/>
      <w:marBottom w:val="0"/>
      <w:divBdr>
        <w:top w:val="none" w:sz="0" w:space="0" w:color="auto"/>
        <w:left w:val="none" w:sz="0" w:space="0" w:color="auto"/>
        <w:bottom w:val="none" w:sz="0" w:space="0" w:color="auto"/>
        <w:right w:val="none" w:sz="0" w:space="0" w:color="auto"/>
      </w:divBdr>
    </w:div>
    <w:div w:id="1715544069">
      <w:bodyDiv w:val="1"/>
      <w:marLeft w:val="0"/>
      <w:marRight w:val="0"/>
      <w:marTop w:val="0"/>
      <w:marBottom w:val="0"/>
      <w:divBdr>
        <w:top w:val="none" w:sz="0" w:space="0" w:color="auto"/>
        <w:left w:val="none" w:sz="0" w:space="0" w:color="auto"/>
        <w:bottom w:val="none" w:sz="0" w:space="0" w:color="auto"/>
        <w:right w:val="none" w:sz="0" w:space="0" w:color="auto"/>
      </w:divBdr>
    </w:div>
    <w:div w:id="1732581147">
      <w:bodyDiv w:val="1"/>
      <w:marLeft w:val="0"/>
      <w:marRight w:val="0"/>
      <w:marTop w:val="0"/>
      <w:marBottom w:val="0"/>
      <w:divBdr>
        <w:top w:val="none" w:sz="0" w:space="0" w:color="auto"/>
        <w:left w:val="none" w:sz="0" w:space="0" w:color="auto"/>
        <w:bottom w:val="none" w:sz="0" w:space="0" w:color="auto"/>
        <w:right w:val="none" w:sz="0" w:space="0" w:color="auto"/>
      </w:divBdr>
    </w:div>
    <w:div w:id="1771194752">
      <w:bodyDiv w:val="1"/>
      <w:marLeft w:val="0"/>
      <w:marRight w:val="0"/>
      <w:marTop w:val="0"/>
      <w:marBottom w:val="0"/>
      <w:divBdr>
        <w:top w:val="none" w:sz="0" w:space="0" w:color="auto"/>
        <w:left w:val="none" w:sz="0" w:space="0" w:color="auto"/>
        <w:bottom w:val="none" w:sz="0" w:space="0" w:color="auto"/>
        <w:right w:val="none" w:sz="0" w:space="0" w:color="auto"/>
      </w:divBdr>
    </w:div>
    <w:div w:id="1790667053">
      <w:bodyDiv w:val="1"/>
      <w:marLeft w:val="0"/>
      <w:marRight w:val="0"/>
      <w:marTop w:val="0"/>
      <w:marBottom w:val="0"/>
      <w:divBdr>
        <w:top w:val="none" w:sz="0" w:space="0" w:color="auto"/>
        <w:left w:val="none" w:sz="0" w:space="0" w:color="auto"/>
        <w:bottom w:val="none" w:sz="0" w:space="0" w:color="auto"/>
        <w:right w:val="none" w:sz="0" w:space="0" w:color="auto"/>
      </w:divBdr>
    </w:div>
    <w:div w:id="1793356520">
      <w:bodyDiv w:val="1"/>
      <w:marLeft w:val="0"/>
      <w:marRight w:val="0"/>
      <w:marTop w:val="0"/>
      <w:marBottom w:val="0"/>
      <w:divBdr>
        <w:top w:val="none" w:sz="0" w:space="0" w:color="auto"/>
        <w:left w:val="none" w:sz="0" w:space="0" w:color="auto"/>
        <w:bottom w:val="none" w:sz="0" w:space="0" w:color="auto"/>
        <w:right w:val="none" w:sz="0" w:space="0" w:color="auto"/>
      </w:divBdr>
    </w:div>
    <w:div w:id="1878622013">
      <w:bodyDiv w:val="1"/>
      <w:marLeft w:val="0"/>
      <w:marRight w:val="0"/>
      <w:marTop w:val="0"/>
      <w:marBottom w:val="0"/>
      <w:divBdr>
        <w:top w:val="none" w:sz="0" w:space="0" w:color="auto"/>
        <w:left w:val="none" w:sz="0" w:space="0" w:color="auto"/>
        <w:bottom w:val="none" w:sz="0" w:space="0" w:color="auto"/>
        <w:right w:val="none" w:sz="0" w:space="0" w:color="auto"/>
      </w:divBdr>
    </w:div>
    <w:div w:id="1933469558">
      <w:bodyDiv w:val="1"/>
      <w:marLeft w:val="0"/>
      <w:marRight w:val="0"/>
      <w:marTop w:val="0"/>
      <w:marBottom w:val="0"/>
      <w:divBdr>
        <w:top w:val="none" w:sz="0" w:space="0" w:color="auto"/>
        <w:left w:val="none" w:sz="0" w:space="0" w:color="auto"/>
        <w:bottom w:val="none" w:sz="0" w:space="0" w:color="auto"/>
        <w:right w:val="none" w:sz="0" w:space="0" w:color="auto"/>
      </w:divBdr>
    </w:div>
    <w:div w:id="1948543027">
      <w:bodyDiv w:val="1"/>
      <w:marLeft w:val="0"/>
      <w:marRight w:val="0"/>
      <w:marTop w:val="0"/>
      <w:marBottom w:val="0"/>
      <w:divBdr>
        <w:top w:val="none" w:sz="0" w:space="0" w:color="auto"/>
        <w:left w:val="none" w:sz="0" w:space="0" w:color="auto"/>
        <w:bottom w:val="none" w:sz="0" w:space="0" w:color="auto"/>
        <w:right w:val="none" w:sz="0" w:space="0" w:color="auto"/>
      </w:divBdr>
    </w:div>
    <w:div w:id="1971128916">
      <w:bodyDiv w:val="1"/>
      <w:marLeft w:val="0"/>
      <w:marRight w:val="0"/>
      <w:marTop w:val="0"/>
      <w:marBottom w:val="0"/>
      <w:divBdr>
        <w:top w:val="none" w:sz="0" w:space="0" w:color="auto"/>
        <w:left w:val="none" w:sz="0" w:space="0" w:color="auto"/>
        <w:bottom w:val="none" w:sz="0" w:space="0" w:color="auto"/>
        <w:right w:val="none" w:sz="0" w:space="0" w:color="auto"/>
      </w:divBdr>
    </w:div>
    <w:div w:id="2027442359">
      <w:bodyDiv w:val="1"/>
      <w:marLeft w:val="0"/>
      <w:marRight w:val="0"/>
      <w:marTop w:val="0"/>
      <w:marBottom w:val="0"/>
      <w:divBdr>
        <w:top w:val="none" w:sz="0" w:space="0" w:color="auto"/>
        <w:left w:val="none" w:sz="0" w:space="0" w:color="auto"/>
        <w:bottom w:val="none" w:sz="0" w:space="0" w:color="auto"/>
        <w:right w:val="none" w:sz="0" w:space="0" w:color="auto"/>
      </w:divBdr>
    </w:div>
    <w:div w:id="2033263050">
      <w:bodyDiv w:val="1"/>
      <w:marLeft w:val="0"/>
      <w:marRight w:val="0"/>
      <w:marTop w:val="0"/>
      <w:marBottom w:val="0"/>
      <w:divBdr>
        <w:top w:val="none" w:sz="0" w:space="0" w:color="auto"/>
        <w:left w:val="none" w:sz="0" w:space="0" w:color="auto"/>
        <w:bottom w:val="none" w:sz="0" w:space="0" w:color="auto"/>
        <w:right w:val="none" w:sz="0" w:space="0" w:color="auto"/>
      </w:divBdr>
    </w:div>
    <w:div w:id="207562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4.wmf"/><Relationship Id="rId26" Type="http://schemas.openxmlformats.org/officeDocument/2006/relationships/image" Target="media/image8.wmf"/><Relationship Id="rId3" Type="http://schemas.openxmlformats.org/officeDocument/2006/relationships/numbering" Target="numbering.xml"/><Relationship Id="rId21" Type="http://schemas.openxmlformats.org/officeDocument/2006/relationships/oleObject" Target="embeddings/oleObject3.bin"/><Relationship Id="rId34"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7.wmf"/><Relationship Id="rId32" Type="http://schemas.openxmlformats.org/officeDocument/2006/relationships/header" Target="header3.xml"/><Relationship Id="rId37" Type="http://schemas.openxmlformats.org/officeDocument/2006/relationships/glossaryDocument" Target="glossary/document.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oleObject" Target="embeddings/oleObject4.bin"/><Relationship Id="rId28" Type="http://schemas.openxmlformats.org/officeDocument/2006/relationships/image" Target="media/image9.wmf"/><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oleObject" Target="embeddings/oleObject2.bin"/><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hyperlink" Target="mailto:Joelle.Michaels@eia.gov" TargetMode="External"/><Relationship Id="rId35"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s\AppData\Roaming\Microsoft\Templates\eia_report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n-ea">
    <w:panose1 w:val="00000000000000000000"/>
    <w:charset w:val="00"/>
    <w:family w:val="roman"/>
    <w:notTrueType/>
    <w:pitch w:val="default"/>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48D"/>
    <w:rsid w:val="000652F2"/>
    <w:rsid w:val="0097548D"/>
    <w:rsid w:val="009E7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48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548D"/>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48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548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5611A4-CB42-4CE4-8CE8-FC803433D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eia_report_template</Template>
  <TotalTime>0</TotalTime>
  <Pages>3</Pages>
  <Words>2924</Words>
  <Characters>16670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Supporting Statement for Commercial Buildings Energy Consumption Survey (CBECS)</vt:lpstr>
    </vt:vector>
  </TitlesOfParts>
  <Company/>
  <LinksUpToDate>false</LinksUpToDate>
  <CharactersWithSpaces>19555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Commercial Buildings Energy Consumption Survey (CBECS)</dc:title>
  <dc:subject>Improving the Quality and Scope of EIA Data</dc:subject>
  <dc:creator>Stroud, Lawrence</dc:creator>
  <cp:keywords/>
  <dc:description/>
  <cp:lastModifiedBy>SYSTEM</cp:lastModifiedBy>
  <cp:revision>2</cp:revision>
  <cp:lastPrinted>2011-12-12T20:42:00Z</cp:lastPrinted>
  <dcterms:created xsi:type="dcterms:W3CDTF">2018-12-12T20:19:00Z</dcterms:created>
  <dcterms:modified xsi:type="dcterms:W3CDTF">2018-12-12T20:19:00Z</dcterms:modified>
</cp:coreProperties>
</file>