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4CDD7" w14:textId="77777777" w:rsidR="00D23AD4" w:rsidRPr="00F243DE" w:rsidRDefault="00D23AD4" w:rsidP="00EE1050">
      <w:pPr>
        <w:jc w:val="center"/>
        <w:outlineLvl w:val="0"/>
        <w:rPr>
          <w:rFonts w:ascii="Times New Roman" w:hAnsi="Times New Roman"/>
          <w:b/>
          <w:sz w:val="28"/>
          <w:szCs w:val="28"/>
        </w:rPr>
      </w:pPr>
      <w:bookmarkStart w:id="0" w:name="_GoBack"/>
      <w:bookmarkEnd w:id="0"/>
      <w:r w:rsidRPr="00F243DE">
        <w:rPr>
          <w:rFonts w:ascii="Times New Roman" w:hAnsi="Times New Roman"/>
          <w:b/>
          <w:sz w:val="28"/>
          <w:szCs w:val="28"/>
        </w:rPr>
        <w:t>Department of Transportation</w:t>
      </w:r>
    </w:p>
    <w:p w14:paraId="1EF957EC" w14:textId="77777777" w:rsidR="00D23AD4" w:rsidRPr="00F243DE" w:rsidRDefault="00D23AD4" w:rsidP="00EE1050">
      <w:pPr>
        <w:jc w:val="center"/>
        <w:outlineLvl w:val="0"/>
        <w:rPr>
          <w:rFonts w:ascii="Times New Roman" w:hAnsi="Times New Roman"/>
          <w:b/>
          <w:sz w:val="28"/>
          <w:szCs w:val="28"/>
        </w:rPr>
      </w:pPr>
      <w:r w:rsidRPr="00F243DE">
        <w:rPr>
          <w:rFonts w:ascii="Times New Roman" w:hAnsi="Times New Roman"/>
          <w:b/>
          <w:sz w:val="28"/>
          <w:szCs w:val="28"/>
        </w:rPr>
        <w:t>Office of the Chief Information Officer</w:t>
      </w:r>
    </w:p>
    <w:p w14:paraId="5EAEAFA8" w14:textId="77777777" w:rsidR="00D23AD4" w:rsidRPr="00F243DE" w:rsidRDefault="00D23AD4" w:rsidP="00D23AD4">
      <w:pPr>
        <w:jc w:val="center"/>
        <w:rPr>
          <w:rFonts w:ascii="Times New Roman" w:hAnsi="Times New Roman"/>
          <w:b/>
          <w:sz w:val="28"/>
          <w:szCs w:val="28"/>
        </w:rPr>
      </w:pPr>
    </w:p>
    <w:p w14:paraId="6E95ADB9" w14:textId="77777777" w:rsidR="00D23AD4" w:rsidRPr="00F243DE" w:rsidRDefault="00D23AD4" w:rsidP="00923862">
      <w:pPr>
        <w:jc w:val="center"/>
        <w:outlineLvl w:val="0"/>
        <w:rPr>
          <w:rFonts w:ascii="Times New Roman" w:hAnsi="Times New Roman"/>
          <w:b/>
          <w:sz w:val="28"/>
          <w:szCs w:val="28"/>
        </w:rPr>
      </w:pPr>
      <w:r w:rsidRPr="00F243DE">
        <w:rPr>
          <w:rFonts w:ascii="Times New Roman" w:hAnsi="Times New Roman"/>
          <w:b/>
          <w:sz w:val="28"/>
          <w:szCs w:val="28"/>
          <w:u w:val="single"/>
        </w:rPr>
        <w:t>SUPPORTING STATEMENT</w:t>
      </w:r>
    </w:p>
    <w:p w14:paraId="7F368F69" w14:textId="77777777" w:rsidR="00746030" w:rsidRPr="00F243DE" w:rsidRDefault="00746030" w:rsidP="007C5DF7">
      <w:pPr>
        <w:jc w:val="center"/>
        <w:rPr>
          <w:rFonts w:ascii="Times New Roman" w:hAnsi="Times New Roman"/>
          <w:b/>
        </w:rPr>
      </w:pPr>
    </w:p>
    <w:p w14:paraId="6B289D10" w14:textId="554B0C8B" w:rsidR="00C73645" w:rsidRDefault="00746030" w:rsidP="00923862">
      <w:pPr>
        <w:jc w:val="center"/>
        <w:outlineLvl w:val="0"/>
        <w:rPr>
          <w:rFonts w:ascii="Times New Roman" w:hAnsi="Times New Roman"/>
          <w:b/>
        </w:rPr>
      </w:pPr>
      <w:r w:rsidRPr="000B5383">
        <w:rPr>
          <w:rFonts w:ascii="Times New Roman" w:hAnsi="Times New Roman"/>
          <w:b/>
        </w:rPr>
        <w:t xml:space="preserve">Annual Report of Class I </w:t>
      </w:r>
      <w:r w:rsidR="00C73645">
        <w:rPr>
          <w:rFonts w:ascii="Times New Roman" w:hAnsi="Times New Roman"/>
          <w:b/>
        </w:rPr>
        <w:t xml:space="preserve">and Class II </w:t>
      </w:r>
      <w:r w:rsidRPr="000B5383">
        <w:rPr>
          <w:rFonts w:ascii="Times New Roman" w:hAnsi="Times New Roman"/>
          <w:b/>
        </w:rPr>
        <w:t>Motor Carriers of Property</w:t>
      </w:r>
    </w:p>
    <w:p w14:paraId="101E5AA3" w14:textId="77777777" w:rsidR="005B3817" w:rsidRPr="000B5383" w:rsidRDefault="005B3817" w:rsidP="007C5DF7">
      <w:pPr>
        <w:jc w:val="center"/>
        <w:rPr>
          <w:rFonts w:ascii="Times New Roman" w:hAnsi="Times New Roman"/>
        </w:rPr>
      </w:pPr>
    </w:p>
    <w:p w14:paraId="7787E160" w14:textId="77777777" w:rsidR="00AF06C1" w:rsidRPr="000B5383" w:rsidRDefault="00AF06C1" w:rsidP="005B3817">
      <w:pPr>
        <w:rPr>
          <w:rFonts w:ascii="Times New Roman" w:hAnsi="Times New Roman"/>
          <w:b/>
        </w:rPr>
      </w:pPr>
    </w:p>
    <w:p w14:paraId="32DE08A0" w14:textId="39147B74" w:rsidR="00706E88" w:rsidRPr="00706E88" w:rsidRDefault="00746030" w:rsidP="00706E88">
      <w:pPr>
        <w:rPr>
          <w:rFonts w:ascii="Times New Roman" w:hAnsi="Times New Roman"/>
        </w:rPr>
      </w:pPr>
      <w:r w:rsidRPr="000B5383">
        <w:rPr>
          <w:rFonts w:ascii="Times New Roman" w:hAnsi="Times New Roman"/>
          <w:b/>
          <w:u w:val="single"/>
        </w:rPr>
        <w:t>Introduction</w:t>
      </w:r>
      <w:r w:rsidRPr="000B5383">
        <w:rPr>
          <w:rFonts w:ascii="Times New Roman" w:hAnsi="Times New Roman"/>
          <w:b/>
        </w:rPr>
        <w:t>:</w:t>
      </w:r>
      <w:r w:rsidRPr="000B5383">
        <w:rPr>
          <w:rFonts w:ascii="Times New Roman" w:hAnsi="Times New Roman"/>
        </w:rPr>
        <w:t xml:space="preserve">  The</w:t>
      </w:r>
      <w:r w:rsidR="00AF06C1" w:rsidRPr="000B5383">
        <w:rPr>
          <w:rFonts w:ascii="Times New Roman" w:hAnsi="Times New Roman"/>
        </w:rPr>
        <w:t xml:space="preserve"> </w:t>
      </w:r>
      <w:r w:rsidR="00FD237D" w:rsidRPr="000B5383">
        <w:rPr>
          <w:rFonts w:ascii="Times New Roman" w:hAnsi="Times New Roman"/>
        </w:rPr>
        <w:t>Federal Motor Carrier Safety</w:t>
      </w:r>
      <w:r w:rsidR="00D25DEC" w:rsidRPr="000B5383">
        <w:rPr>
          <w:rFonts w:ascii="Times New Roman" w:hAnsi="Times New Roman"/>
        </w:rPr>
        <w:t xml:space="preserve"> Administration (FMCSA) submit</w:t>
      </w:r>
      <w:r w:rsidR="00B35FD9">
        <w:rPr>
          <w:rFonts w:ascii="Times New Roman" w:hAnsi="Times New Roman"/>
        </w:rPr>
        <w:t xml:space="preserve">s to the Office of Management and Budget its request to </w:t>
      </w:r>
      <w:r w:rsidR="00BA14C4">
        <w:rPr>
          <w:rFonts w:ascii="Times New Roman" w:hAnsi="Times New Roman"/>
        </w:rPr>
        <w:t>extend</w:t>
      </w:r>
      <w:r w:rsidR="00DA47E0">
        <w:rPr>
          <w:rFonts w:ascii="Times New Roman" w:hAnsi="Times New Roman"/>
        </w:rPr>
        <w:t xml:space="preserve"> </w:t>
      </w:r>
      <w:r w:rsidR="00B35FD9">
        <w:rPr>
          <w:rFonts w:ascii="Times New Roman" w:hAnsi="Times New Roman"/>
        </w:rPr>
        <w:t xml:space="preserve">a </w:t>
      </w:r>
      <w:r w:rsidR="00FD237D" w:rsidRPr="000B5383">
        <w:rPr>
          <w:rFonts w:ascii="Times New Roman" w:hAnsi="Times New Roman"/>
        </w:rPr>
        <w:t>currently-approved information collection</w:t>
      </w:r>
      <w:r w:rsidR="00DA47E0">
        <w:rPr>
          <w:rFonts w:ascii="Times New Roman" w:hAnsi="Times New Roman"/>
        </w:rPr>
        <w:t xml:space="preserve"> request (ICR)</w:t>
      </w:r>
      <w:r w:rsidR="00D25DEC" w:rsidRPr="000B5383">
        <w:rPr>
          <w:rFonts w:ascii="Times New Roman" w:hAnsi="Times New Roman"/>
        </w:rPr>
        <w:t xml:space="preserve"> titled, “</w:t>
      </w:r>
      <w:r w:rsidR="00FD237D" w:rsidRPr="000B5383">
        <w:rPr>
          <w:rFonts w:ascii="Times New Roman" w:hAnsi="Times New Roman"/>
        </w:rPr>
        <w:t xml:space="preserve">Annual Report of Class I </w:t>
      </w:r>
      <w:r w:rsidR="00C73645">
        <w:rPr>
          <w:rFonts w:ascii="Times New Roman" w:hAnsi="Times New Roman"/>
        </w:rPr>
        <w:t xml:space="preserve">and Class II </w:t>
      </w:r>
      <w:r w:rsidR="00FD237D" w:rsidRPr="000B5383">
        <w:rPr>
          <w:rFonts w:ascii="Times New Roman" w:hAnsi="Times New Roman"/>
        </w:rPr>
        <w:t>Motor Carriers of Property</w:t>
      </w:r>
      <w:r w:rsidR="0026343B">
        <w:rPr>
          <w:rFonts w:ascii="Times New Roman" w:hAnsi="Times New Roman"/>
        </w:rPr>
        <w:t>,”</w:t>
      </w:r>
      <w:r w:rsidR="00C73645">
        <w:rPr>
          <w:rFonts w:ascii="Times New Roman" w:hAnsi="Times New Roman"/>
        </w:rPr>
        <w:t xml:space="preserve"> (Including </w:t>
      </w:r>
      <w:r w:rsidR="00513C7D">
        <w:rPr>
          <w:rFonts w:ascii="Times New Roman" w:hAnsi="Times New Roman"/>
        </w:rPr>
        <w:t>h</w:t>
      </w:r>
      <w:r w:rsidR="00C73645">
        <w:rPr>
          <w:rFonts w:ascii="Times New Roman" w:hAnsi="Times New Roman"/>
        </w:rPr>
        <w:t xml:space="preserve">ousehold </w:t>
      </w:r>
      <w:r w:rsidR="00513C7D">
        <w:rPr>
          <w:rFonts w:ascii="Times New Roman" w:hAnsi="Times New Roman"/>
        </w:rPr>
        <w:t>g</w:t>
      </w:r>
      <w:r w:rsidR="00C73645">
        <w:rPr>
          <w:rFonts w:ascii="Times New Roman" w:hAnsi="Times New Roman"/>
        </w:rPr>
        <w:t xml:space="preserve">oods and </w:t>
      </w:r>
      <w:r w:rsidR="00513C7D">
        <w:rPr>
          <w:rFonts w:ascii="Times New Roman" w:hAnsi="Times New Roman"/>
        </w:rPr>
        <w:t>d</w:t>
      </w:r>
      <w:r w:rsidR="00C73645">
        <w:rPr>
          <w:rFonts w:ascii="Times New Roman" w:hAnsi="Times New Roman"/>
        </w:rPr>
        <w:t xml:space="preserve">ual </w:t>
      </w:r>
      <w:r w:rsidR="00513C7D">
        <w:rPr>
          <w:rFonts w:ascii="Times New Roman" w:hAnsi="Times New Roman"/>
        </w:rPr>
        <w:t>p</w:t>
      </w:r>
      <w:r w:rsidR="00C73645">
        <w:rPr>
          <w:rFonts w:ascii="Times New Roman" w:hAnsi="Times New Roman"/>
        </w:rPr>
        <w:t xml:space="preserve">roperty </w:t>
      </w:r>
      <w:r w:rsidR="00513C7D">
        <w:rPr>
          <w:rFonts w:ascii="Times New Roman" w:hAnsi="Times New Roman"/>
        </w:rPr>
        <w:t>m</w:t>
      </w:r>
      <w:r w:rsidR="00C73645">
        <w:rPr>
          <w:rFonts w:ascii="Times New Roman" w:hAnsi="Times New Roman"/>
        </w:rPr>
        <w:t xml:space="preserve">otor </w:t>
      </w:r>
      <w:r w:rsidR="00513C7D">
        <w:rPr>
          <w:rFonts w:ascii="Times New Roman" w:hAnsi="Times New Roman"/>
        </w:rPr>
        <w:t>c</w:t>
      </w:r>
      <w:r w:rsidR="00C73645">
        <w:rPr>
          <w:rFonts w:ascii="Times New Roman" w:hAnsi="Times New Roman"/>
        </w:rPr>
        <w:t>arriers)</w:t>
      </w:r>
      <w:r w:rsidR="0026343B">
        <w:rPr>
          <w:rFonts w:ascii="Times New Roman" w:hAnsi="Times New Roman"/>
        </w:rPr>
        <w:t>,</w:t>
      </w:r>
      <w:r w:rsidR="00D25DEC" w:rsidRPr="000B5383">
        <w:rPr>
          <w:rFonts w:ascii="Times New Roman" w:hAnsi="Times New Roman"/>
        </w:rPr>
        <w:t xml:space="preserve"> covered by </w:t>
      </w:r>
      <w:r w:rsidR="00FD237D" w:rsidRPr="000B5383">
        <w:rPr>
          <w:rFonts w:ascii="Times New Roman" w:hAnsi="Times New Roman"/>
        </w:rPr>
        <w:t>OMB Control N</w:t>
      </w:r>
      <w:r w:rsidR="00D25DEC" w:rsidRPr="000B5383">
        <w:rPr>
          <w:rFonts w:ascii="Times New Roman" w:hAnsi="Times New Roman"/>
        </w:rPr>
        <w:t>umber</w:t>
      </w:r>
      <w:r w:rsidR="00FD237D" w:rsidRPr="000B5383">
        <w:rPr>
          <w:rFonts w:ascii="Times New Roman" w:hAnsi="Times New Roman"/>
        </w:rPr>
        <w:t xml:space="preserve"> 2126-00</w:t>
      </w:r>
      <w:r w:rsidR="000B5383">
        <w:rPr>
          <w:rFonts w:ascii="Times New Roman" w:hAnsi="Times New Roman"/>
        </w:rPr>
        <w:t>32</w:t>
      </w:r>
      <w:r w:rsidR="00D25DEC" w:rsidRPr="000B5383">
        <w:rPr>
          <w:rFonts w:ascii="Times New Roman" w:hAnsi="Times New Roman"/>
        </w:rPr>
        <w:t>.  This IC</w:t>
      </w:r>
      <w:r w:rsidR="00DA47E0">
        <w:rPr>
          <w:rFonts w:ascii="Times New Roman" w:hAnsi="Times New Roman"/>
        </w:rPr>
        <w:t>R</w:t>
      </w:r>
      <w:r w:rsidR="00D25DEC" w:rsidRPr="000B5383">
        <w:rPr>
          <w:rFonts w:ascii="Times New Roman" w:hAnsi="Times New Roman"/>
        </w:rPr>
        <w:t xml:space="preserve"> is due to expire on</w:t>
      </w:r>
      <w:r w:rsidR="00451B12">
        <w:rPr>
          <w:rFonts w:ascii="Times New Roman" w:hAnsi="Times New Roman"/>
        </w:rPr>
        <w:t xml:space="preserve"> </w:t>
      </w:r>
      <w:r w:rsidR="00D50005">
        <w:rPr>
          <w:rFonts w:ascii="Times New Roman" w:hAnsi="Times New Roman"/>
        </w:rPr>
        <w:t xml:space="preserve">December </w:t>
      </w:r>
      <w:r w:rsidR="00FD5861">
        <w:rPr>
          <w:rFonts w:ascii="Times New Roman" w:hAnsi="Times New Roman"/>
        </w:rPr>
        <w:t>31</w:t>
      </w:r>
      <w:r w:rsidR="00E322EA" w:rsidRPr="00817A6A">
        <w:rPr>
          <w:rFonts w:ascii="Times New Roman" w:hAnsi="Times New Roman"/>
        </w:rPr>
        <w:t>, 20</w:t>
      </w:r>
      <w:r w:rsidR="00451B12">
        <w:rPr>
          <w:rFonts w:ascii="Times New Roman" w:hAnsi="Times New Roman"/>
        </w:rPr>
        <w:t>1</w:t>
      </w:r>
      <w:r w:rsidR="00D50005">
        <w:rPr>
          <w:rFonts w:ascii="Times New Roman" w:hAnsi="Times New Roman"/>
        </w:rPr>
        <w:t>8</w:t>
      </w:r>
      <w:r w:rsidR="00FD237D" w:rsidRPr="00817A6A">
        <w:rPr>
          <w:rFonts w:ascii="Times New Roman" w:hAnsi="Times New Roman"/>
        </w:rPr>
        <w:t>.</w:t>
      </w:r>
      <w:r w:rsidR="00451B12">
        <w:rPr>
          <w:rFonts w:ascii="Times New Roman" w:hAnsi="Times New Roman"/>
        </w:rPr>
        <w:t xml:space="preserve">  </w:t>
      </w:r>
      <w:r w:rsidR="00451B12" w:rsidRPr="00E43F75">
        <w:rPr>
          <w:rFonts w:ascii="Times New Roman" w:hAnsi="Times New Roman"/>
        </w:rPr>
        <w:t xml:space="preserve">FMCSA also requests approval of a minor modification of its estimate of the total burden hours for this ICR due </w:t>
      </w:r>
      <w:r w:rsidR="006168A5">
        <w:rPr>
          <w:rFonts w:ascii="Times New Roman" w:hAnsi="Times New Roman"/>
        </w:rPr>
        <w:t xml:space="preserve">primarily </w:t>
      </w:r>
      <w:r w:rsidR="00451B12" w:rsidRPr="00E43F75">
        <w:rPr>
          <w:rFonts w:ascii="Times New Roman" w:hAnsi="Times New Roman"/>
        </w:rPr>
        <w:t>to changes in the number of annual responses</w:t>
      </w:r>
      <w:r w:rsidR="0046194F">
        <w:rPr>
          <w:rFonts w:ascii="Times New Roman" w:hAnsi="Times New Roman"/>
        </w:rPr>
        <w:t>.</w:t>
      </w:r>
      <w:r w:rsidR="0046194F" w:rsidDel="0046194F">
        <w:rPr>
          <w:rFonts w:ascii="Times New Roman" w:hAnsi="Times New Roman"/>
        </w:rPr>
        <w:t xml:space="preserve"> </w:t>
      </w:r>
      <w:r w:rsidR="00E1283D" w:rsidRPr="00706E88">
        <w:rPr>
          <w:rFonts w:ascii="Times New Roman" w:hAnsi="Times New Roman"/>
        </w:rPr>
        <w:t xml:space="preserve">This ICR is being revised to incorporate the OMB approved “Annual Report of Class I Motor Carriers of Passengers” ICR, OMB Control No. 2126-0031, for use of the MP-1 form, the “Annual Report Form (Motor Carriers of </w:t>
      </w:r>
      <w:r w:rsidR="00513C7D">
        <w:rPr>
          <w:rFonts w:ascii="Times New Roman" w:hAnsi="Times New Roman"/>
        </w:rPr>
        <w:t>Passengers</w:t>
      </w:r>
      <w:r w:rsidR="00E1283D" w:rsidRPr="00706E88">
        <w:rPr>
          <w:rFonts w:ascii="Times New Roman" w:hAnsi="Times New Roman"/>
        </w:rPr>
        <w:t>)</w:t>
      </w:r>
      <w:r w:rsidR="00D50005">
        <w:rPr>
          <w:rFonts w:ascii="Times New Roman" w:hAnsi="Times New Roman"/>
        </w:rPr>
        <w:t>,</w:t>
      </w:r>
      <w:r w:rsidR="00E1283D" w:rsidRPr="00706E88">
        <w:rPr>
          <w:rFonts w:ascii="Times New Roman" w:hAnsi="Times New Roman"/>
        </w:rPr>
        <w:t xml:space="preserve">” which resulted in only two respondents </w:t>
      </w:r>
      <w:r w:rsidR="00391AC6">
        <w:rPr>
          <w:rFonts w:ascii="Times New Roman" w:hAnsi="Times New Roman"/>
        </w:rPr>
        <w:t>and one burden hour per year.</w:t>
      </w:r>
      <w:r w:rsidR="00D50005">
        <w:rPr>
          <w:rFonts w:ascii="Times New Roman" w:hAnsi="Times New Roman"/>
        </w:rPr>
        <w:t xml:space="preserve"> The 2126-0031 ICR is due to expire October 31, 2020.</w:t>
      </w:r>
      <w:r w:rsidR="00391AC6">
        <w:rPr>
          <w:rFonts w:ascii="Times New Roman" w:hAnsi="Times New Roman"/>
        </w:rPr>
        <w:t xml:space="preserve">  </w:t>
      </w:r>
      <w:r w:rsidR="00E1283D" w:rsidRPr="00706E88">
        <w:rPr>
          <w:rFonts w:ascii="Times New Roman" w:hAnsi="Times New Roman"/>
        </w:rPr>
        <w:t xml:space="preserve">FMCSA </w:t>
      </w:r>
      <w:r w:rsidR="00D50005">
        <w:rPr>
          <w:rFonts w:ascii="Times New Roman" w:hAnsi="Times New Roman"/>
        </w:rPr>
        <w:t>proposes</w:t>
      </w:r>
      <w:r w:rsidR="00391AC6">
        <w:rPr>
          <w:rFonts w:ascii="Times New Roman" w:hAnsi="Times New Roman"/>
        </w:rPr>
        <w:t xml:space="preserve"> renam</w:t>
      </w:r>
      <w:r w:rsidR="00D50005">
        <w:rPr>
          <w:rFonts w:ascii="Times New Roman" w:hAnsi="Times New Roman"/>
        </w:rPr>
        <w:t>ing</w:t>
      </w:r>
      <w:r w:rsidR="00391AC6">
        <w:rPr>
          <w:rFonts w:ascii="Times New Roman" w:hAnsi="Times New Roman"/>
        </w:rPr>
        <w:t xml:space="preserve"> the 2126-0032 ICR</w:t>
      </w:r>
      <w:r w:rsidR="00E1283D" w:rsidRPr="00706E88">
        <w:rPr>
          <w:rFonts w:ascii="Times New Roman" w:hAnsi="Times New Roman"/>
        </w:rPr>
        <w:t xml:space="preserve"> as the “Annual Report of Class I and Class </w:t>
      </w:r>
      <w:r w:rsidR="00706E88" w:rsidRPr="00706E88">
        <w:rPr>
          <w:rFonts w:ascii="Times New Roman" w:hAnsi="Times New Roman"/>
        </w:rPr>
        <w:t>II For-Hire Motor Carriers” ICR</w:t>
      </w:r>
      <w:r w:rsidR="00D50005">
        <w:rPr>
          <w:rFonts w:ascii="Times New Roman" w:hAnsi="Times New Roman"/>
        </w:rPr>
        <w:t xml:space="preserve">. </w:t>
      </w:r>
      <w:r w:rsidR="00513C7D">
        <w:rPr>
          <w:rFonts w:ascii="Times New Roman" w:hAnsi="Times New Roman"/>
        </w:rPr>
        <w:t>S</w:t>
      </w:r>
      <w:r w:rsidR="00D50005" w:rsidRPr="00D50005">
        <w:rPr>
          <w:rFonts w:ascii="Times New Roman" w:hAnsi="Times New Roman"/>
        </w:rPr>
        <w:t>uch a merger with the new</w:t>
      </w:r>
      <w:r w:rsidR="003C3F5B">
        <w:rPr>
          <w:rFonts w:ascii="Times New Roman" w:hAnsi="Times New Roman"/>
        </w:rPr>
        <w:t>, broader</w:t>
      </w:r>
      <w:r w:rsidR="00D50005" w:rsidRPr="00D50005">
        <w:rPr>
          <w:rFonts w:ascii="Times New Roman" w:hAnsi="Times New Roman"/>
        </w:rPr>
        <w:t xml:space="preserve"> title will clarify that the combined ICR addresses both for-hire property and passenger carriers, but not private carriers</w:t>
      </w:r>
      <w:r w:rsidR="00706E88" w:rsidRPr="00706E88">
        <w:rPr>
          <w:rFonts w:ascii="Times New Roman" w:hAnsi="Times New Roman"/>
        </w:rPr>
        <w:t>.</w:t>
      </w:r>
      <w:r w:rsidR="00391AC6">
        <w:rPr>
          <w:rFonts w:ascii="Times New Roman" w:hAnsi="Times New Roman"/>
        </w:rPr>
        <w:t xml:space="preserve">  </w:t>
      </w:r>
      <w:r w:rsidR="00391AC6" w:rsidRPr="00391AC6">
        <w:rPr>
          <w:rFonts w:ascii="Times New Roman" w:hAnsi="Times New Roman"/>
        </w:rPr>
        <w:t xml:space="preserve">After </w:t>
      </w:r>
      <w:r w:rsidR="00391AC6">
        <w:rPr>
          <w:rFonts w:ascii="Times New Roman" w:hAnsi="Times New Roman"/>
        </w:rPr>
        <w:t xml:space="preserve">OMB </w:t>
      </w:r>
      <w:r w:rsidR="00391AC6" w:rsidRPr="00391AC6">
        <w:rPr>
          <w:rFonts w:ascii="Times New Roman" w:hAnsi="Times New Roman"/>
        </w:rPr>
        <w:t>approval</w:t>
      </w:r>
      <w:r w:rsidR="00391AC6">
        <w:rPr>
          <w:rFonts w:ascii="Times New Roman" w:hAnsi="Times New Roman"/>
        </w:rPr>
        <w:t xml:space="preserve"> of the merged ICR</w:t>
      </w:r>
      <w:r w:rsidR="00391AC6" w:rsidRPr="00391AC6">
        <w:rPr>
          <w:rFonts w:ascii="Times New Roman" w:hAnsi="Times New Roman"/>
        </w:rPr>
        <w:t xml:space="preserve">, </w:t>
      </w:r>
      <w:r w:rsidR="009B564B">
        <w:rPr>
          <w:rFonts w:ascii="Times New Roman" w:hAnsi="Times New Roman"/>
        </w:rPr>
        <w:t xml:space="preserve">FMCSA </w:t>
      </w:r>
      <w:r w:rsidR="00D50005">
        <w:rPr>
          <w:rFonts w:ascii="Times New Roman" w:hAnsi="Times New Roman"/>
        </w:rPr>
        <w:t>proposes to</w:t>
      </w:r>
      <w:r w:rsidR="009B564B">
        <w:rPr>
          <w:rFonts w:ascii="Times New Roman" w:hAnsi="Times New Roman"/>
        </w:rPr>
        <w:t xml:space="preserve"> submit </w:t>
      </w:r>
      <w:r w:rsidR="003524F8">
        <w:rPr>
          <w:rFonts w:ascii="Times New Roman" w:hAnsi="Times New Roman"/>
        </w:rPr>
        <w:t>a</w:t>
      </w:r>
      <w:r w:rsidR="00391AC6" w:rsidRPr="00391AC6">
        <w:rPr>
          <w:rFonts w:ascii="Times New Roman" w:hAnsi="Times New Roman"/>
        </w:rPr>
        <w:t xml:space="preserve"> request to withdraw the </w:t>
      </w:r>
      <w:r w:rsidR="00D9083D">
        <w:rPr>
          <w:rFonts w:ascii="Times New Roman" w:hAnsi="Times New Roman"/>
        </w:rPr>
        <w:t xml:space="preserve">previously approved </w:t>
      </w:r>
      <w:r w:rsidR="00391AC6" w:rsidRPr="00391AC6">
        <w:rPr>
          <w:rFonts w:ascii="Times New Roman" w:hAnsi="Times New Roman"/>
        </w:rPr>
        <w:t>“Annual Report of Class I Motor Carriers of Passengers” ICR, OMB</w:t>
      </w:r>
      <w:r w:rsidR="009B564B">
        <w:rPr>
          <w:rFonts w:ascii="Times New Roman" w:hAnsi="Times New Roman"/>
        </w:rPr>
        <w:t xml:space="preserve"> Control No. 2126-0031, </w:t>
      </w:r>
      <w:r w:rsidR="00391AC6" w:rsidRPr="00391AC6">
        <w:rPr>
          <w:rFonts w:ascii="Times New Roman" w:hAnsi="Times New Roman"/>
        </w:rPr>
        <w:t>to OMB.</w:t>
      </w:r>
    </w:p>
    <w:p w14:paraId="0AFDB992" w14:textId="77777777" w:rsidR="00451B12" w:rsidRDefault="00451B12" w:rsidP="00923862">
      <w:pPr>
        <w:outlineLvl w:val="0"/>
        <w:rPr>
          <w:rFonts w:ascii="Times New Roman" w:hAnsi="Times New Roman"/>
        </w:rPr>
      </w:pPr>
    </w:p>
    <w:p w14:paraId="42C4C88A" w14:textId="77777777" w:rsidR="006168A5" w:rsidRDefault="006168A5" w:rsidP="00923862">
      <w:pPr>
        <w:outlineLvl w:val="0"/>
        <w:rPr>
          <w:rFonts w:ascii="Times New Roman" w:hAnsi="Times New Roman"/>
        </w:rPr>
      </w:pPr>
    </w:p>
    <w:p w14:paraId="124E404F" w14:textId="77777777" w:rsidR="00AF06C1" w:rsidRPr="000B5383" w:rsidRDefault="00C13DD8" w:rsidP="00923862">
      <w:pPr>
        <w:outlineLvl w:val="0"/>
        <w:rPr>
          <w:rFonts w:ascii="Times New Roman" w:hAnsi="Times New Roman"/>
        </w:rPr>
      </w:pPr>
      <w:r>
        <w:rPr>
          <w:rFonts w:ascii="Times New Roman" w:hAnsi="Times New Roman"/>
          <w:b/>
        </w:rPr>
        <w:t>Part</w:t>
      </w:r>
      <w:r w:rsidR="00FD237D" w:rsidRPr="000B5383">
        <w:rPr>
          <w:rFonts w:ascii="Times New Roman" w:hAnsi="Times New Roman"/>
          <w:b/>
        </w:rPr>
        <w:t xml:space="preserve"> </w:t>
      </w:r>
      <w:r w:rsidR="00AF06C1" w:rsidRPr="000B5383">
        <w:rPr>
          <w:rFonts w:ascii="Times New Roman" w:hAnsi="Times New Roman"/>
          <w:b/>
        </w:rPr>
        <w:t xml:space="preserve">A.  </w:t>
      </w:r>
      <w:r w:rsidR="00AF06C1" w:rsidRPr="000B5383">
        <w:rPr>
          <w:rFonts w:ascii="Times New Roman" w:hAnsi="Times New Roman"/>
          <w:b/>
          <w:u w:val="single"/>
        </w:rPr>
        <w:t>Justification</w:t>
      </w:r>
      <w:r>
        <w:rPr>
          <w:rFonts w:ascii="Times New Roman" w:hAnsi="Times New Roman"/>
          <w:b/>
          <w:u w:val="single"/>
        </w:rPr>
        <w:t>.</w:t>
      </w:r>
    </w:p>
    <w:p w14:paraId="5F05D8EF" w14:textId="77777777" w:rsidR="00AF06C1" w:rsidRPr="000B5383" w:rsidRDefault="00AF06C1" w:rsidP="005B3817">
      <w:pPr>
        <w:rPr>
          <w:rFonts w:ascii="Times New Roman" w:hAnsi="Times New Roman"/>
        </w:rPr>
      </w:pPr>
    </w:p>
    <w:p w14:paraId="7E60388A" w14:textId="77777777" w:rsidR="00AF06C1" w:rsidRPr="000B5383" w:rsidRDefault="00AF06C1" w:rsidP="005B3817">
      <w:pPr>
        <w:rPr>
          <w:rFonts w:ascii="Times New Roman" w:hAnsi="Times New Roman"/>
          <w:b/>
        </w:rPr>
      </w:pPr>
      <w:r w:rsidRPr="000B5383">
        <w:rPr>
          <w:rFonts w:ascii="Times New Roman" w:hAnsi="Times New Roman"/>
          <w:b/>
        </w:rPr>
        <w:t>1.</w:t>
      </w:r>
      <w:r w:rsidRPr="000B5383">
        <w:rPr>
          <w:rFonts w:ascii="Times New Roman" w:hAnsi="Times New Roman"/>
          <w:b/>
        </w:rPr>
        <w:tab/>
      </w:r>
      <w:r w:rsidRPr="000B5383">
        <w:rPr>
          <w:rFonts w:ascii="Times New Roman" w:hAnsi="Times New Roman"/>
          <w:b/>
          <w:u w:val="single"/>
        </w:rPr>
        <w:t>Circumstances That Make the Collection of Information Necessary</w:t>
      </w:r>
    </w:p>
    <w:p w14:paraId="4C65FFAB" w14:textId="77777777" w:rsidR="00AF06C1" w:rsidRPr="000B5383" w:rsidRDefault="00AF06C1" w:rsidP="005B3817">
      <w:pPr>
        <w:rPr>
          <w:rFonts w:ascii="Times New Roman" w:hAnsi="Times New Roman"/>
        </w:rPr>
      </w:pPr>
    </w:p>
    <w:p w14:paraId="000E0E94" w14:textId="7D193856" w:rsidR="000B5383" w:rsidRDefault="00E03012" w:rsidP="00AF06C1">
      <w:pPr>
        <w:ind w:left="720"/>
        <w:rPr>
          <w:rFonts w:ascii="Times New Roman" w:hAnsi="Times New Roman"/>
        </w:rPr>
      </w:pPr>
      <w:r>
        <w:rPr>
          <w:rFonts w:ascii="Times New Roman" w:hAnsi="Times New Roman"/>
        </w:rPr>
        <w:t>49</w:t>
      </w:r>
      <w:r w:rsidR="00AF06C1" w:rsidRPr="000B5383">
        <w:rPr>
          <w:rFonts w:ascii="Times New Roman" w:hAnsi="Times New Roman"/>
        </w:rPr>
        <w:t xml:space="preserve"> </w:t>
      </w:r>
      <w:r w:rsidR="00B35FD9">
        <w:rPr>
          <w:rFonts w:ascii="Times New Roman" w:hAnsi="Times New Roman"/>
        </w:rPr>
        <w:t>U.S.C.</w:t>
      </w:r>
      <w:r>
        <w:rPr>
          <w:rFonts w:ascii="Times New Roman" w:hAnsi="Times New Roman"/>
        </w:rPr>
        <w:t xml:space="preserve"> </w:t>
      </w:r>
      <w:r w:rsidR="00AF06C1" w:rsidRPr="000B5383">
        <w:rPr>
          <w:rFonts w:ascii="Times New Roman" w:hAnsi="Times New Roman"/>
        </w:rPr>
        <w:t>14123</w:t>
      </w:r>
      <w:r w:rsidR="00F65654">
        <w:rPr>
          <w:rFonts w:ascii="Times New Roman" w:hAnsi="Times New Roman"/>
        </w:rPr>
        <w:t xml:space="preserve"> </w:t>
      </w:r>
      <w:r w:rsidR="00B35FD9">
        <w:rPr>
          <w:rFonts w:ascii="Times New Roman" w:hAnsi="Times New Roman"/>
        </w:rPr>
        <w:t>(</w:t>
      </w:r>
      <w:r w:rsidR="00F65654">
        <w:rPr>
          <w:rFonts w:ascii="Times New Roman" w:hAnsi="Times New Roman"/>
        </w:rPr>
        <w:t xml:space="preserve">Attachment </w:t>
      </w:r>
      <w:r w:rsidR="00CB4711">
        <w:rPr>
          <w:rFonts w:ascii="Times New Roman" w:hAnsi="Times New Roman"/>
        </w:rPr>
        <w:t>A</w:t>
      </w:r>
      <w:r w:rsidR="00AF06C1" w:rsidRPr="000B5383">
        <w:rPr>
          <w:rFonts w:ascii="Times New Roman" w:hAnsi="Times New Roman"/>
        </w:rPr>
        <w:t>)</w:t>
      </w:r>
      <w:r w:rsidR="00137378" w:rsidRPr="000B5383">
        <w:rPr>
          <w:rFonts w:ascii="Times New Roman" w:hAnsi="Times New Roman"/>
        </w:rPr>
        <w:t>,</w:t>
      </w:r>
      <w:r w:rsidR="00AF06C1" w:rsidRPr="000B5383">
        <w:rPr>
          <w:rFonts w:ascii="Times New Roman" w:hAnsi="Times New Roman"/>
        </w:rPr>
        <w:t xml:space="preserve"> transferred </w:t>
      </w:r>
      <w:r w:rsidR="00B35FD9">
        <w:rPr>
          <w:rFonts w:ascii="Times New Roman" w:hAnsi="Times New Roman"/>
        </w:rPr>
        <w:t xml:space="preserve">to the Secretary of Transportation (Secretary) the </w:t>
      </w:r>
      <w:r w:rsidR="00AF06C1" w:rsidRPr="000B5383">
        <w:rPr>
          <w:rFonts w:ascii="Times New Roman" w:hAnsi="Times New Roman"/>
        </w:rPr>
        <w:t xml:space="preserve">responsibility </w:t>
      </w:r>
      <w:r w:rsidR="00B35FD9">
        <w:rPr>
          <w:rFonts w:ascii="Times New Roman" w:hAnsi="Times New Roman"/>
        </w:rPr>
        <w:t xml:space="preserve">to require Class I and Class II motor carriers to file annual </w:t>
      </w:r>
      <w:r w:rsidR="00AF06C1" w:rsidRPr="000B5383">
        <w:rPr>
          <w:rFonts w:ascii="Times New Roman" w:hAnsi="Times New Roman"/>
        </w:rPr>
        <w:t xml:space="preserve">financial and </w:t>
      </w:r>
      <w:r w:rsidR="00B35FD9">
        <w:rPr>
          <w:rFonts w:ascii="Times New Roman" w:hAnsi="Times New Roman"/>
        </w:rPr>
        <w:t xml:space="preserve">safety reports that include balance sheets and income statements.  Under </w:t>
      </w:r>
      <w:r w:rsidR="00F477D3">
        <w:rPr>
          <w:rFonts w:ascii="Times New Roman" w:hAnsi="Times New Roman"/>
        </w:rPr>
        <w:t xml:space="preserve">section 14123, </w:t>
      </w:r>
      <w:r w:rsidR="00AF06C1" w:rsidRPr="000B5383">
        <w:rPr>
          <w:rFonts w:ascii="Times New Roman" w:hAnsi="Times New Roman"/>
        </w:rPr>
        <w:t xml:space="preserve">the Secretary </w:t>
      </w:r>
      <w:r w:rsidR="00B35FD9">
        <w:rPr>
          <w:rFonts w:ascii="Times New Roman" w:hAnsi="Times New Roman"/>
        </w:rPr>
        <w:t xml:space="preserve">may also require </w:t>
      </w:r>
      <w:r w:rsidR="00AF06C1" w:rsidRPr="000B5383">
        <w:rPr>
          <w:rFonts w:ascii="Times New Roman" w:hAnsi="Times New Roman"/>
        </w:rPr>
        <w:t>motor carriers, freight forwarders, brokers, lessors, and associations</w:t>
      </w:r>
      <w:r w:rsidR="00B35FD9">
        <w:rPr>
          <w:rFonts w:ascii="Times New Roman" w:hAnsi="Times New Roman"/>
        </w:rPr>
        <w:t>, or classes of them</w:t>
      </w:r>
      <w:r w:rsidR="00760D46">
        <w:rPr>
          <w:rFonts w:ascii="Times New Roman" w:hAnsi="Times New Roman"/>
        </w:rPr>
        <w:t>,</w:t>
      </w:r>
      <w:r w:rsidR="00B35FD9">
        <w:rPr>
          <w:rFonts w:ascii="Times New Roman" w:hAnsi="Times New Roman"/>
        </w:rPr>
        <w:t xml:space="preserve"> to file quarterly, periodic, or special reports with the Secretary and respond to surveys concerning their operations</w:t>
      </w:r>
      <w:r w:rsidR="00AF06C1" w:rsidRPr="000B5383">
        <w:rPr>
          <w:rFonts w:ascii="Times New Roman" w:hAnsi="Times New Roman"/>
        </w:rPr>
        <w:t xml:space="preserve">.  </w:t>
      </w:r>
    </w:p>
    <w:p w14:paraId="3651F3DF" w14:textId="77777777" w:rsidR="000B5383" w:rsidRDefault="000B5383" w:rsidP="00AF06C1">
      <w:pPr>
        <w:ind w:left="720"/>
        <w:rPr>
          <w:rFonts w:ascii="Times New Roman" w:hAnsi="Times New Roman"/>
        </w:rPr>
      </w:pPr>
    </w:p>
    <w:p w14:paraId="01057D05" w14:textId="20051EC5" w:rsidR="000C4B79" w:rsidRDefault="00B504B6" w:rsidP="000C4B79">
      <w:pPr>
        <w:ind w:left="720"/>
        <w:rPr>
          <w:rFonts w:ascii="Times New Roman" w:hAnsi="Times New Roman"/>
        </w:rPr>
      </w:pPr>
      <w:r>
        <w:rPr>
          <w:rFonts w:ascii="Times New Roman" w:hAnsi="Times New Roman"/>
        </w:rPr>
        <w:t>Initially, t</w:t>
      </w:r>
      <w:r w:rsidR="000B5383" w:rsidRPr="000B5383">
        <w:rPr>
          <w:rFonts w:ascii="Times New Roman" w:hAnsi="Times New Roman"/>
        </w:rPr>
        <w:t>he Secretary transferred th</w:t>
      </w:r>
      <w:r w:rsidR="00F477D3">
        <w:rPr>
          <w:rFonts w:ascii="Times New Roman" w:hAnsi="Times New Roman"/>
        </w:rPr>
        <w:t xml:space="preserve">is reporting </w:t>
      </w:r>
      <w:r w:rsidR="000B5383" w:rsidRPr="000B5383">
        <w:rPr>
          <w:rFonts w:ascii="Times New Roman" w:hAnsi="Times New Roman"/>
        </w:rPr>
        <w:t>authority to administer the F</w:t>
      </w:r>
      <w:r w:rsidR="00F477D3">
        <w:rPr>
          <w:rFonts w:ascii="Times New Roman" w:hAnsi="Times New Roman"/>
        </w:rPr>
        <w:t>inancial and Operating Statistics (F</w:t>
      </w:r>
      <w:r w:rsidR="000B5383" w:rsidRPr="000B5383">
        <w:rPr>
          <w:rFonts w:ascii="Times New Roman" w:hAnsi="Times New Roman"/>
        </w:rPr>
        <w:t>&amp;OS</w:t>
      </w:r>
      <w:r w:rsidR="00F477D3">
        <w:rPr>
          <w:rFonts w:ascii="Times New Roman" w:hAnsi="Times New Roman"/>
        </w:rPr>
        <w:t>)</w:t>
      </w:r>
      <w:r w:rsidR="000B5383" w:rsidRPr="000B5383">
        <w:rPr>
          <w:rFonts w:ascii="Times New Roman" w:hAnsi="Times New Roman"/>
        </w:rPr>
        <w:t xml:space="preserve"> program to the </w:t>
      </w:r>
      <w:r w:rsidR="00F477D3">
        <w:rPr>
          <w:rFonts w:ascii="Times New Roman" w:hAnsi="Times New Roman"/>
        </w:rPr>
        <w:t xml:space="preserve">former </w:t>
      </w:r>
      <w:r w:rsidR="000B5383" w:rsidRPr="000B5383">
        <w:rPr>
          <w:rFonts w:ascii="Times New Roman" w:hAnsi="Times New Roman"/>
        </w:rPr>
        <w:t>Bureau of Transportation Statistics (BTS) on September 30, 1998 (63</w:t>
      </w:r>
      <w:r w:rsidR="00F477D3">
        <w:rPr>
          <w:rFonts w:ascii="Times New Roman" w:hAnsi="Times New Roman"/>
        </w:rPr>
        <w:t xml:space="preserve"> </w:t>
      </w:r>
      <w:r w:rsidR="000B5383" w:rsidRPr="000B5383">
        <w:rPr>
          <w:rFonts w:ascii="Times New Roman" w:hAnsi="Times New Roman"/>
        </w:rPr>
        <w:t>FR 52192)</w:t>
      </w:r>
      <w:r w:rsidR="00F477D3">
        <w:rPr>
          <w:rFonts w:ascii="Times New Roman" w:hAnsi="Times New Roman"/>
        </w:rPr>
        <w:t xml:space="preserve"> (</w:t>
      </w:r>
      <w:r w:rsidR="00F65654">
        <w:rPr>
          <w:rFonts w:ascii="Times New Roman" w:hAnsi="Times New Roman"/>
        </w:rPr>
        <w:t xml:space="preserve">Attachment </w:t>
      </w:r>
      <w:r w:rsidR="00CB4711">
        <w:rPr>
          <w:rFonts w:ascii="Times New Roman" w:hAnsi="Times New Roman"/>
        </w:rPr>
        <w:t>B</w:t>
      </w:r>
      <w:r w:rsidR="00F477D3">
        <w:rPr>
          <w:rFonts w:ascii="Times New Roman" w:hAnsi="Times New Roman"/>
        </w:rPr>
        <w:t>)</w:t>
      </w:r>
      <w:r w:rsidR="00F65654">
        <w:rPr>
          <w:rFonts w:ascii="Times New Roman" w:hAnsi="Times New Roman"/>
        </w:rPr>
        <w:t>.</w:t>
      </w:r>
      <w:r w:rsidR="000B5383" w:rsidRPr="000B5383">
        <w:rPr>
          <w:rFonts w:ascii="Times New Roman" w:hAnsi="Times New Roman"/>
        </w:rPr>
        <w:t xml:space="preserve">  Pursuant to this authority, the BTS</w:t>
      </w:r>
      <w:r w:rsidR="00545704">
        <w:rPr>
          <w:rFonts w:ascii="Times New Roman" w:hAnsi="Times New Roman"/>
        </w:rPr>
        <w:t xml:space="preserve"> in the Research and Innovative Technology Administration (RITA), now </w:t>
      </w:r>
      <w:r w:rsidR="00C93034" w:rsidRPr="00C93034">
        <w:rPr>
          <w:rFonts w:ascii="Times New Roman" w:hAnsi="Times New Roman"/>
        </w:rPr>
        <w:t>Office of the Assistant Secretary for Research and Technology</w:t>
      </w:r>
      <w:r w:rsidR="00C93034">
        <w:rPr>
          <w:rFonts w:ascii="Times New Roman" w:hAnsi="Times New Roman"/>
        </w:rPr>
        <w:t>,</w:t>
      </w:r>
      <w:r w:rsidR="000B5383" w:rsidRPr="000B5383">
        <w:rPr>
          <w:rFonts w:ascii="Times New Roman" w:hAnsi="Times New Roman"/>
        </w:rPr>
        <w:t xml:space="preserve"> became the responsible DOT administration for implementing the F&amp;OS program and requirements </w:t>
      </w:r>
      <w:r w:rsidR="00F477D3">
        <w:rPr>
          <w:rFonts w:ascii="Times New Roman" w:hAnsi="Times New Roman"/>
        </w:rPr>
        <w:t xml:space="preserve">set forth </w:t>
      </w:r>
      <w:r w:rsidR="000B5383" w:rsidRPr="000B5383">
        <w:rPr>
          <w:rFonts w:ascii="Times New Roman" w:hAnsi="Times New Roman"/>
        </w:rPr>
        <w:t>in</w:t>
      </w:r>
      <w:r w:rsidR="00C73645">
        <w:rPr>
          <w:rFonts w:ascii="Times New Roman" w:hAnsi="Times New Roman"/>
        </w:rPr>
        <w:t xml:space="preserve"> title 49</w:t>
      </w:r>
      <w:r w:rsidR="009B0E94">
        <w:rPr>
          <w:rFonts w:ascii="Times New Roman" w:hAnsi="Times New Roman"/>
        </w:rPr>
        <w:t xml:space="preserve"> </w:t>
      </w:r>
      <w:r w:rsidR="00C73645">
        <w:rPr>
          <w:rFonts w:ascii="Times New Roman" w:hAnsi="Times New Roman"/>
        </w:rPr>
        <w:t>CFR</w:t>
      </w:r>
      <w:r w:rsidR="009B0E94">
        <w:rPr>
          <w:rFonts w:ascii="Times New Roman" w:hAnsi="Times New Roman"/>
        </w:rPr>
        <w:t xml:space="preserve"> part 1420</w:t>
      </w:r>
      <w:r w:rsidR="00C73645">
        <w:rPr>
          <w:rFonts w:ascii="Times New Roman" w:hAnsi="Times New Roman"/>
        </w:rPr>
        <w:t xml:space="preserve"> </w:t>
      </w:r>
      <w:r w:rsidR="00F477D3">
        <w:rPr>
          <w:rFonts w:ascii="Times New Roman" w:hAnsi="Times New Roman"/>
        </w:rPr>
        <w:t>(</w:t>
      </w:r>
      <w:r w:rsidR="00F65654">
        <w:rPr>
          <w:rFonts w:ascii="Times New Roman" w:hAnsi="Times New Roman"/>
        </w:rPr>
        <w:t xml:space="preserve">Attachment </w:t>
      </w:r>
      <w:r w:rsidR="00CB4711">
        <w:rPr>
          <w:rFonts w:ascii="Times New Roman" w:hAnsi="Times New Roman"/>
        </w:rPr>
        <w:t>C</w:t>
      </w:r>
      <w:r w:rsidR="00F477D3">
        <w:rPr>
          <w:rFonts w:ascii="Times New Roman" w:hAnsi="Times New Roman"/>
        </w:rPr>
        <w:t>)</w:t>
      </w:r>
      <w:r w:rsidR="000B5383" w:rsidRPr="000B5383">
        <w:rPr>
          <w:rFonts w:ascii="Times New Roman" w:hAnsi="Times New Roman"/>
        </w:rPr>
        <w:t>.  On September 29, 2004, the Secretary transferred the responsibility for the F&amp;OS program from BTS to FMCSA (69 FR 51009</w:t>
      </w:r>
      <w:r w:rsidR="00F477D3">
        <w:rPr>
          <w:rFonts w:ascii="Times New Roman" w:hAnsi="Times New Roman"/>
        </w:rPr>
        <w:t>) (</w:t>
      </w:r>
      <w:r w:rsidR="00F65654">
        <w:rPr>
          <w:rFonts w:ascii="Times New Roman" w:hAnsi="Times New Roman"/>
        </w:rPr>
        <w:t xml:space="preserve">Attachment </w:t>
      </w:r>
      <w:r w:rsidR="00CB4711">
        <w:rPr>
          <w:rFonts w:ascii="Times New Roman" w:hAnsi="Times New Roman"/>
        </w:rPr>
        <w:t>D</w:t>
      </w:r>
      <w:r w:rsidR="000B5383" w:rsidRPr="000B5383">
        <w:rPr>
          <w:rFonts w:ascii="Times New Roman" w:hAnsi="Times New Roman"/>
        </w:rPr>
        <w:t xml:space="preserve">). </w:t>
      </w:r>
      <w:r w:rsidR="00F921DD">
        <w:rPr>
          <w:rFonts w:ascii="Times New Roman" w:hAnsi="Times New Roman"/>
        </w:rPr>
        <w:t xml:space="preserve"> </w:t>
      </w:r>
      <w:r w:rsidR="000C4B79" w:rsidRPr="00817A6A">
        <w:rPr>
          <w:rFonts w:ascii="Times New Roman" w:hAnsi="Times New Roman"/>
        </w:rPr>
        <w:t>On August 10, 2006</w:t>
      </w:r>
      <w:r w:rsidR="00FB04AA">
        <w:rPr>
          <w:rFonts w:ascii="Times New Roman" w:hAnsi="Times New Roman"/>
        </w:rPr>
        <w:t>,</w:t>
      </w:r>
      <w:r w:rsidR="000C4B79" w:rsidRPr="00817A6A">
        <w:rPr>
          <w:rFonts w:ascii="Times New Roman" w:hAnsi="Times New Roman"/>
        </w:rPr>
        <w:t xml:space="preserve"> DOT published a final rule</w:t>
      </w:r>
      <w:r w:rsidR="00EA1316">
        <w:rPr>
          <w:rFonts w:ascii="Times New Roman" w:hAnsi="Times New Roman"/>
        </w:rPr>
        <w:t xml:space="preserve"> (71 FR </w:t>
      </w:r>
      <w:r w:rsidR="00DF1B78">
        <w:rPr>
          <w:rFonts w:ascii="Times New Roman" w:hAnsi="Times New Roman"/>
        </w:rPr>
        <w:t>45740</w:t>
      </w:r>
      <w:r w:rsidR="00EA1316">
        <w:rPr>
          <w:rFonts w:ascii="Times New Roman" w:hAnsi="Times New Roman"/>
        </w:rPr>
        <w:t>)</w:t>
      </w:r>
      <w:r w:rsidR="000C4B79" w:rsidRPr="00817A6A">
        <w:rPr>
          <w:rFonts w:ascii="Times New Roman" w:hAnsi="Times New Roman"/>
        </w:rPr>
        <w:t xml:space="preserve"> </w:t>
      </w:r>
      <w:r w:rsidR="00F921DD">
        <w:rPr>
          <w:rFonts w:ascii="Times New Roman" w:hAnsi="Times New Roman"/>
        </w:rPr>
        <w:t xml:space="preserve">(Attachment </w:t>
      </w:r>
      <w:r w:rsidR="00CB4711">
        <w:rPr>
          <w:rFonts w:ascii="Times New Roman" w:hAnsi="Times New Roman"/>
        </w:rPr>
        <w:t>E</w:t>
      </w:r>
      <w:r w:rsidR="00F921DD">
        <w:rPr>
          <w:rFonts w:ascii="Times New Roman" w:hAnsi="Times New Roman"/>
        </w:rPr>
        <w:t xml:space="preserve">) </w:t>
      </w:r>
      <w:r w:rsidR="000C4B79" w:rsidRPr="00817A6A">
        <w:rPr>
          <w:rFonts w:ascii="Times New Roman" w:hAnsi="Times New Roman"/>
        </w:rPr>
        <w:t xml:space="preserve">that </w:t>
      </w:r>
      <w:r w:rsidR="000C4B79" w:rsidRPr="00817A6A">
        <w:rPr>
          <w:rFonts w:ascii="Times New Roman" w:hAnsi="Times New Roman"/>
        </w:rPr>
        <w:lastRenderedPageBreak/>
        <w:t>transferred and re</w:t>
      </w:r>
      <w:r w:rsidR="00E959A7">
        <w:rPr>
          <w:rFonts w:ascii="Times New Roman" w:hAnsi="Times New Roman"/>
        </w:rPr>
        <w:t>-</w:t>
      </w:r>
      <w:r w:rsidR="000C4B79" w:rsidRPr="00817A6A">
        <w:rPr>
          <w:rFonts w:ascii="Times New Roman" w:hAnsi="Times New Roman"/>
        </w:rPr>
        <w:t xml:space="preserve">designated certain motor carrier financial and statistical reporting regulations </w:t>
      </w:r>
      <w:r w:rsidR="00923862">
        <w:rPr>
          <w:rFonts w:ascii="Times New Roman" w:hAnsi="Times New Roman"/>
        </w:rPr>
        <w:t xml:space="preserve">of BTS, that were </w:t>
      </w:r>
      <w:r w:rsidR="00FB04AA">
        <w:rPr>
          <w:rFonts w:ascii="Times New Roman" w:hAnsi="Times New Roman"/>
        </w:rPr>
        <w:t>formerly located</w:t>
      </w:r>
      <w:r w:rsidR="000C4B79" w:rsidRPr="00817A6A">
        <w:rPr>
          <w:rFonts w:ascii="Times New Roman" w:hAnsi="Times New Roman"/>
        </w:rPr>
        <w:t xml:space="preserve"> in </w:t>
      </w:r>
      <w:r w:rsidR="00923862">
        <w:rPr>
          <w:rFonts w:ascii="Times New Roman" w:hAnsi="Times New Roman"/>
        </w:rPr>
        <w:t xml:space="preserve">chapter XI of title </w:t>
      </w:r>
      <w:r w:rsidR="000C4B79" w:rsidRPr="00817A6A">
        <w:rPr>
          <w:rFonts w:ascii="Times New Roman" w:hAnsi="Times New Roman"/>
        </w:rPr>
        <w:t xml:space="preserve">49 CFR </w:t>
      </w:r>
      <w:r w:rsidR="00923862">
        <w:rPr>
          <w:rFonts w:ascii="Times New Roman" w:hAnsi="Times New Roman"/>
        </w:rPr>
        <w:t>p</w:t>
      </w:r>
      <w:r w:rsidR="000C4B79" w:rsidRPr="00817A6A">
        <w:rPr>
          <w:rFonts w:ascii="Times New Roman" w:hAnsi="Times New Roman"/>
        </w:rPr>
        <w:t>art 1420</w:t>
      </w:r>
      <w:r w:rsidR="00923862">
        <w:rPr>
          <w:rFonts w:ascii="Times New Roman" w:hAnsi="Times New Roman"/>
        </w:rPr>
        <w:t>,</w:t>
      </w:r>
      <w:r w:rsidR="000C4B79" w:rsidRPr="00817A6A">
        <w:rPr>
          <w:rFonts w:ascii="Times New Roman" w:hAnsi="Times New Roman"/>
        </w:rPr>
        <w:t xml:space="preserve"> to FMCSA under </w:t>
      </w:r>
      <w:r w:rsidR="00923862">
        <w:rPr>
          <w:rFonts w:ascii="Times New Roman" w:hAnsi="Times New Roman"/>
        </w:rPr>
        <w:t xml:space="preserve">chapter III of title </w:t>
      </w:r>
      <w:r w:rsidR="000C4B79" w:rsidRPr="00817A6A">
        <w:rPr>
          <w:rFonts w:ascii="Times New Roman" w:hAnsi="Times New Roman"/>
        </w:rPr>
        <w:t xml:space="preserve">49 CFR, and established a new part 369 </w:t>
      </w:r>
      <w:r w:rsidR="00C14651">
        <w:rPr>
          <w:rFonts w:ascii="Times New Roman" w:hAnsi="Times New Roman"/>
        </w:rPr>
        <w:t>(Attachment</w:t>
      </w:r>
      <w:r w:rsidR="00CB4711">
        <w:rPr>
          <w:rFonts w:ascii="Times New Roman" w:hAnsi="Times New Roman"/>
        </w:rPr>
        <w:t xml:space="preserve"> </w:t>
      </w:r>
      <w:r w:rsidR="007457D9">
        <w:rPr>
          <w:rFonts w:ascii="Times New Roman" w:hAnsi="Times New Roman"/>
        </w:rPr>
        <w:t>C</w:t>
      </w:r>
      <w:r w:rsidR="00C14651">
        <w:rPr>
          <w:rFonts w:ascii="Times New Roman" w:hAnsi="Times New Roman"/>
        </w:rPr>
        <w:t xml:space="preserve">) </w:t>
      </w:r>
      <w:r w:rsidR="000C4B79" w:rsidRPr="00817A6A">
        <w:rPr>
          <w:rFonts w:ascii="Times New Roman" w:hAnsi="Times New Roman"/>
        </w:rPr>
        <w:t>to accommodate the re</w:t>
      </w:r>
      <w:r w:rsidR="00E959A7">
        <w:rPr>
          <w:rFonts w:ascii="Times New Roman" w:hAnsi="Times New Roman"/>
        </w:rPr>
        <w:t>-</w:t>
      </w:r>
      <w:r w:rsidR="000C4B79" w:rsidRPr="00817A6A">
        <w:rPr>
          <w:rFonts w:ascii="Times New Roman" w:hAnsi="Times New Roman"/>
        </w:rPr>
        <w:t>designated regulations.</w:t>
      </w:r>
    </w:p>
    <w:p w14:paraId="4A99E31C" w14:textId="77777777" w:rsidR="00CE1E34" w:rsidRDefault="00CE1E34" w:rsidP="000B5383">
      <w:pPr>
        <w:ind w:left="720"/>
        <w:rPr>
          <w:rFonts w:ascii="Times New Roman" w:hAnsi="Times New Roman"/>
        </w:rPr>
      </w:pPr>
    </w:p>
    <w:p w14:paraId="0CAA8F27" w14:textId="4EBFCB87" w:rsidR="00CE1E34" w:rsidRPr="00CE1E34" w:rsidRDefault="00CE1E34" w:rsidP="00CE1E34">
      <w:pPr>
        <w:ind w:left="720"/>
        <w:rPr>
          <w:rFonts w:ascii="Times New Roman" w:hAnsi="Times New Roman"/>
        </w:rPr>
      </w:pPr>
      <w:r>
        <w:rPr>
          <w:rFonts w:ascii="Times New Roman" w:hAnsi="Times New Roman"/>
        </w:rPr>
        <w:t xml:space="preserve">On </w:t>
      </w:r>
      <w:r w:rsidRPr="00CE1E34">
        <w:rPr>
          <w:rFonts w:ascii="Times New Roman" w:hAnsi="Times New Roman"/>
        </w:rPr>
        <w:t>December 17</w:t>
      </w:r>
      <w:r>
        <w:rPr>
          <w:rFonts w:ascii="Times New Roman" w:hAnsi="Times New Roman"/>
        </w:rPr>
        <w:t xml:space="preserve">, 2013, FMCSA eliminated a quarterly reporting requirement </w:t>
      </w:r>
      <w:r w:rsidRPr="00CE1E34">
        <w:rPr>
          <w:rFonts w:ascii="Times New Roman" w:hAnsi="Times New Roman"/>
        </w:rPr>
        <w:t>for certain for-hire motor carriers of property (</w:t>
      </w:r>
      <w:r>
        <w:rPr>
          <w:rFonts w:ascii="Times New Roman" w:hAnsi="Times New Roman"/>
        </w:rPr>
        <w:t>former f</w:t>
      </w:r>
      <w:r w:rsidRPr="00CE1E34">
        <w:rPr>
          <w:rFonts w:ascii="Times New Roman" w:hAnsi="Times New Roman"/>
        </w:rPr>
        <w:t>orm QFR) and for-hire motor carriers of passengers (Form MP-1)</w:t>
      </w:r>
      <w:r w:rsidRPr="00CE1E34">
        <w:t xml:space="preserve"> </w:t>
      </w:r>
      <w:r>
        <w:t>(</w:t>
      </w:r>
      <w:r w:rsidRPr="00CE1E34">
        <w:rPr>
          <w:rFonts w:ascii="Times New Roman" w:hAnsi="Times New Roman"/>
        </w:rPr>
        <w:t>78 FR 76241</w:t>
      </w:r>
      <w:r>
        <w:rPr>
          <w:rFonts w:ascii="Times New Roman" w:hAnsi="Times New Roman"/>
        </w:rPr>
        <w:t>)</w:t>
      </w:r>
      <w:r w:rsidRPr="00CE1E34">
        <w:rPr>
          <w:rFonts w:ascii="Times New Roman" w:hAnsi="Times New Roman"/>
        </w:rPr>
        <w:t xml:space="preserve">. </w:t>
      </w:r>
      <w:r>
        <w:rPr>
          <w:rFonts w:ascii="Times New Roman" w:hAnsi="Times New Roman"/>
        </w:rPr>
        <w:t>This</w:t>
      </w:r>
      <w:r w:rsidR="00F84068">
        <w:rPr>
          <w:rFonts w:ascii="Times New Roman" w:hAnsi="Times New Roman"/>
        </w:rPr>
        <w:t xml:space="preserve"> burden</w:t>
      </w:r>
      <w:r>
        <w:rPr>
          <w:rFonts w:ascii="Times New Roman" w:hAnsi="Times New Roman"/>
        </w:rPr>
        <w:t xml:space="preserve"> elimination, effective January 16, 2014, was based on the agency’s conclusion that it could </w:t>
      </w:r>
      <w:r w:rsidRPr="00CE1E34">
        <w:rPr>
          <w:rFonts w:ascii="Times New Roman" w:hAnsi="Times New Roman"/>
        </w:rPr>
        <w:t>maintain effective commercial regulatory oversight over the for-hire trucking and passenger-carrying industries</w:t>
      </w:r>
      <w:r>
        <w:rPr>
          <w:rFonts w:ascii="Times New Roman" w:hAnsi="Times New Roman"/>
        </w:rPr>
        <w:t xml:space="preserve"> with only the </w:t>
      </w:r>
      <w:r w:rsidRPr="00CE1E34">
        <w:rPr>
          <w:rFonts w:ascii="Times New Roman" w:hAnsi="Times New Roman"/>
        </w:rPr>
        <w:t xml:space="preserve">annual reporting requirements </w:t>
      </w:r>
      <w:r>
        <w:rPr>
          <w:rFonts w:ascii="Times New Roman" w:hAnsi="Times New Roman"/>
        </w:rPr>
        <w:t>in place</w:t>
      </w:r>
      <w:r w:rsidRPr="00CE1E34">
        <w:rPr>
          <w:rFonts w:ascii="Times New Roman" w:hAnsi="Times New Roman"/>
        </w:rPr>
        <w:t>.</w:t>
      </w:r>
    </w:p>
    <w:p w14:paraId="06429247" w14:textId="77777777" w:rsidR="000B5383" w:rsidRPr="000B5383" w:rsidRDefault="000B5383" w:rsidP="000B5383">
      <w:pPr>
        <w:ind w:left="720"/>
        <w:rPr>
          <w:rFonts w:ascii="Times New Roman" w:hAnsi="Times New Roman"/>
        </w:rPr>
      </w:pPr>
      <w:r w:rsidRPr="000B5383">
        <w:rPr>
          <w:rFonts w:ascii="Times New Roman" w:hAnsi="Times New Roman"/>
        </w:rPr>
        <w:t xml:space="preserve"> </w:t>
      </w:r>
    </w:p>
    <w:p w14:paraId="42F26FBB" w14:textId="77777777" w:rsidR="000B5383" w:rsidRPr="000B5383" w:rsidRDefault="000B5383" w:rsidP="000B5383">
      <w:pPr>
        <w:pStyle w:val="HTMLPreformatted"/>
        <w:ind w:left="720"/>
        <w:rPr>
          <w:rFonts w:ascii="Times New Roman" w:hAnsi="Times New Roman" w:cs="Times New Roman"/>
          <w:sz w:val="24"/>
          <w:szCs w:val="24"/>
        </w:rPr>
      </w:pPr>
      <w:r w:rsidRPr="000B5383">
        <w:rPr>
          <w:rFonts w:ascii="Times New Roman" w:hAnsi="Times New Roman" w:cs="Times New Roman"/>
          <w:sz w:val="24"/>
          <w:szCs w:val="24"/>
        </w:rPr>
        <w:t xml:space="preserve">Under the </w:t>
      </w:r>
      <w:r w:rsidR="00B504B6">
        <w:rPr>
          <w:rFonts w:ascii="Times New Roman" w:hAnsi="Times New Roman" w:cs="Times New Roman"/>
          <w:sz w:val="24"/>
          <w:szCs w:val="24"/>
        </w:rPr>
        <w:t xml:space="preserve">F&amp;OS </w:t>
      </w:r>
      <w:r w:rsidRPr="000B5383">
        <w:rPr>
          <w:rFonts w:ascii="Times New Roman" w:hAnsi="Times New Roman" w:cs="Times New Roman"/>
          <w:sz w:val="24"/>
          <w:szCs w:val="24"/>
        </w:rPr>
        <w:t xml:space="preserve">program, FMCSA collects balance sheet and income statement data, along with information on safety needs, tonnage, mileage, employees, transportation equipment and other related data.  FMCSA may also ask carriers to respond to surveys concerning their operations.  The data and information collected will be made publicly available and used by FMCSA to determine a motor carrier’s compliance with the F&amp;OS program requirements prescribed at 49 CFR </w:t>
      </w:r>
      <w:r w:rsidR="00C14651">
        <w:rPr>
          <w:rFonts w:ascii="Times New Roman" w:hAnsi="Times New Roman" w:cs="Times New Roman"/>
          <w:sz w:val="24"/>
          <w:szCs w:val="24"/>
        </w:rPr>
        <w:t>369</w:t>
      </w:r>
      <w:r w:rsidR="00D23647">
        <w:rPr>
          <w:rFonts w:ascii="Times New Roman" w:hAnsi="Times New Roman" w:cs="Times New Roman"/>
          <w:sz w:val="24"/>
          <w:szCs w:val="24"/>
        </w:rPr>
        <w:t>.1(a)</w:t>
      </w:r>
      <w:r w:rsidRPr="000B5383">
        <w:rPr>
          <w:rFonts w:ascii="Times New Roman" w:hAnsi="Times New Roman" w:cs="Times New Roman"/>
          <w:sz w:val="24"/>
          <w:szCs w:val="24"/>
        </w:rPr>
        <w:t xml:space="preserve">.  </w:t>
      </w:r>
    </w:p>
    <w:p w14:paraId="69B52CC7" w14:textId="77777777" w:rsidR="000B5383" w:rsidRDefault="000B5383" w:rsidP="000B5383">
      <w:pPr>
        <w:ind w:left="720"/>
        <w:rPr>
          <w:rFonts w:ascii="Times New Roman" w:hAnsi="Times New Roman"/>
        </w:rPr>
      </w:pPr>
    </w:p>
    <w:p w14:paraId="6683B1F2" w14:textId="77777777" w:rsidR="00591835" w:rsidRDefault="00591835" w:rsidP="00AF06C1">
      <w:pPr>
        <w:ind w:left="720"/>
        <w:rPr>
          <w:rFonts w:ascii="Times New Roman" w:hAnsi="Times New Roman"/>
        </w:rPr>
      </w:pPr>
      <w:r w:rsidRPr="00817A6A">
        <w:rPr>
          <w:rFonts w:ascii="Times New Roman" w:hAnsi="Times New Roman"/>
        </w:rPr>
        <w:t xml:space="preserve">FMCSA is requesting OMB’s approval to renew </w:t>
      </w:r>
      <w:r w:rsidR="006A2A83" w:rsidRPr="00817A6A">
        <w:rPr>
          <w:rFonts w:ascii="Times New Roman" w:hAnsi="Times New Roman"/>
        </w:rPr>
        <w:t>this information</w:t>
      </w:r>
      <w:r w:rsidR="00686824" w:rsidRPr="00817A6A">
        <w:rPr>
          <w:rFonts w:ascii="Times New Roman" w:hAnsi="Times New Roman"/>
        </w:rPr>
        <w:t xml:space="preserve"> collection </w:t>
      </w:r>
      <w:r w:rsidR="00EA1316">
        <w:rPr>
          <w:rFonts w:ascii="Times New Roman" w:hAnsi="Times New Roman"/>
        </w:rPr>
        <w:t>for</w:t>
      </w:r>
      <w:r w:rsidR="006A2A83" w:rsidRPr="00817A6A">
        <w:rPr>
          <w:rFonts w:ascii="Times New Roman" w:hAnsi="Times New Roman"/>
        </w:rPr>
        <w:t xml:space="preserve"> </w:t>
      </w:r>
      <w:r w:rsidR="00686824" w:rsidRPr="00817A6A">
        <w:rPr>
          <w:rFonts w:ascii="Times New Roman" w:hAnsi="Times New Roman"/>
        </w:rPr>
        <w:t>motor carriers reporting th</w:t>
      </w:r>
      <w:r w:rsidR="00137378" w:rsidRPr="00817A6A">
        <w:rPr>
          <w:rFonts w:ascii="Times New Roman" w:hAnsi="Times New Roman"/>
        </w:rPr>
        <w:t xml:space="preserve">eir </w:t>
      </w:r>
      <w:r w:rsidRPr="00817A6A">
        <w:rPr>
          <w:rFonts w:ascii="Times New Roman" w:hAnsi="Times New Roman"/>
        </w:rPr>
        <w:t>annual financial and operating data.</w:t>
      </w:r>
    </w:p>
    <w:p w14:paraId="654E8114" w14:textId="77777777" w:rsidR="004E1D5B" w:rsidRDefault="004E1D5B" w:rsidP="00AF06C1">
      <w:pPr>
        <w:ind w:left="720"/>
        <w:rPr>
          <w:rFonts w:ascii="Times New Roman" w:hAnsi="Times New Roman"/>
        </w:rPr>
      </w:pPr>
    </w:p>
    <w:p w14:paraId="0DACFD02" w14:textId="18EDE2FD" w:rsidR="007C267C" w:rsidRPr="00DB02BC" w:rsidRDefault="00F0790B" w:rsidP="007C267C">
      <w:pPr>
        <w:ind w:left="720"/>
        <w:rPr>
          <w:rFonts w:ascii="Times New Roman" w:hAnsi="Times New Roman"/>
        </w:rPr>
      </w:pPr>
      <w:r>
        <w:rPr>
          <w:rFonts w:ascii="Times New Roman" w:hAnsi="Times New Roman"/>
        </w:rPr>
        <w:t>49 U.S.C.</w:t>
      </w:r>
      <w:r w:rsidR="004E1D5B">
        <w:rPr>
          <w:rFonts w:ascii="Times New Roman" w:hAnsi="Times New Roman"/>
        </w:rPr>
        <w:t xml:space="preserve"> 14123 requires that the Secretary of Transportation collect annual financial reports from certain for-hire motor carriers of passengers.  </w:t>
      </w:r>
      <w:r w:rsidR="004E1D5B">
        <w:rPr>
          <w:rFonts w:ascii="Times New Roman" w:hAnsi="Times New Roman"/>
          <w:i/>
        </w:rPr>
        <w:t>See</w:t>
      </w:r>
      <w:r w:rsidR="004E1D5B">
        <w:rPr>
          <w:rFonts w:ascii="Times New Roman" w:hAnsi="Times New Roman"/>
        </w:rPr>
        <w:t xml:space="preserve"> Attachment A.  All Class I for-hire motor carriers of passengers are required to complete and file a Motor Carrier Annual Report Form MP-1 for Motor Carriers of Passengers (Form MP-1).  </w:t>
      </w:r>
      <w:r w:rsidR="004E1D5B">
        <w:rPr>
          <w:rFonts w:ascii="Times New Roman" w:hAnsi="Times New Roman"/>
          <w:i/>
        </w:rPr>
        <w:t>See</w:t>
      </w:r>
      <w:r w:rsidR="004E1D5B">
        <w:rPr>
          <w:rFonts w:ascii="Times New Roman" w:hAnsi="Times New Roman"/>
        </w:rPr>
        <w:t xml:space="preserve"> 49 CFR 369.4 (Attachment </w:t>
      </w:r>
      <w:r w:rsidR="007457D9">
        <w:rPr>
          <w:rFonts w:ascii="Times New Roman" w:hAnsi="Times New Roman"/>
        </w:rPr>
        <w:t>F</w:t>
      </w:r>
      <w:r w:rsidR="004E1D5B">
        <w:rPr>
          <w:rFonts w:ascii="Times New Roman" w:hAnsi="Times New Roman"/>
        </w:rPr>
        <w:t xml:space="preserve">).  </w:t>
      </w:r>
      <w:r w:rsidR="007C267C" w:rsidRPr="00DB02BC">
        <w:rPr>
          <w:rFonts w:ascii="Times New Roman" w:hAnsi="Times New Roman"/>
        </w:rPr>
        <w:t>FMCSA estimates there are approximately 60 to 80 Class I passenger carriers and currently, the Agency has received financial information on Form MP-1 from 2 passenger carriers.</w:t>
      </w:r>
    </w:p>
    <w:p w14:paraId="0E2D1ED4" w14:textId="7D2E00B0" w:rsidR="00D25DEC" w:rsidRPr="000B5383" w:rsidRDefault="00D25DEC" w:rsidP="00BC2D04">
      <w:pPr>
        <w:rPr>
          <w:rFonts w:ascii="Times New Roman" w:hAnsi="Times New Roman"/>
        </w:rPr>
      </w:pPr>
    </w:p>
    <w:p w14:paraId="740475CB" w14:textId="4FD2F572" w:rsidR="00D25DEC" w:rsidRDefault="00D25DEC" w:rsidP="00923862">
      <w:pPr>
        <w:ind w:left="720"/>
        <w:outlineLvl w:val="0"/>
        <w:rPr>
          <w:rFonts w:ascii="Times New Roman" w:hAnsi="Times New Roman"/>
        </w:rPr>
      </w:pPr>
      <w:r w:rsidRPr="000B5383">
        <w:rPr>
          <w:rFonts w:ascii="Times New Roman" w:hAnsi="Times New Roman"/>
        </w:rPr>
        <w:t>This IC</w:t>
      </w:r>
      <w:r w:rsidR="00DA47E0">
        <w:rPr>
          <w:rFonts w:ascii="Times New Roman" w:hAnsi="Times New Roman"/>
        </w:rPr>
        <w:t>R</w:t>
      </w:r>
      <w:r w:rsidRPr="000B5383">
        <w:rPr>
          <w:rFonts w:ascii="Times New Roman" w:hAnsi="Times New Roman"/>
        </w:rPr>
        <w:t xml:space="preserve"> supports the Department</w:t>
      </w:r>
      <w:r w:rsidR="007546A0" w:rsidRPr="000B5383">
        <w:rPr>
          <w:rFonts w:ascii="Times New Roman" w:hAnsi="Times New Roman"/>
        </w:rPr>
        <w:t xml:space="preserve"> of Transportation’s strategic goal of safety</w:t>
      </w:r>
      <w:r w:rsidR="00451B12">
        <w:rPr>
          <w:rFonts w:ascii="Times New Roman" w:hAnsi="Times New Roman"/>
        </w:rPr>
        <w:t xml:space="preserve"> by collecting information </w:t>
      </w:r>
      <w:r w:rsidR="00150BD0">
        <w:rPr>
          <w:rFonts w:ascii="Times New Roman" w:hAnsi="Times New Roman"/>
        </w:rPr>
        <w:t xml:space="preserve">used </w:t>
      </w:r>
      <w:r w:rsidR="00451B12">
        <w:rPr>
          <w:rFonts w:ascii="Times New Roman" w:hAnsi="Times New Roman"/>
        </w:rPr>
        <w:t xml:space="preserve">for </w:t>
      </w:r>
      <w:r w:rsidR="00451B12" w:rsidRPr="000B5383">
        <w:rPr>
          <w:rFonts w:ascii="Times New Roman" w:hAnsi="Times New Roman"/>
        </w:rPr>
        <w:t>review</w:t>
      </w:r>
      <w:r w:rsidR="00451B12">
        <w:rPr>
          <w:rFonts w:ascii="Times New Roman" w:hAnsi="Times New Roman"/>
        </w:rPr>
        <w:t xml:space="preserve">ing </w:t>
      </w:r>
      <w:r w:rsidR="00451B12" w:rsidRPr="000B5383">
        <w:rPr>
          <w:rFonts w:ascii="Times New Roman" w:hAnsi="Times New Roman"/>
        </w:rPr>
        <w:t xml:space="preserve">the financial status of </w:t>
      </w:r>
      <w:r w:rsidR="00451B12">
        <w:rPr>
          <w:rFonts w:ascii="Times New Roman" w:hAnsi="Times New Roman"/>
        </w:rPr>
        <w:t xml:space="preserve">Class I and </w:t>
      </w:r>
      <w:r w:rsidR="00451B12" w:rsidRPr="000B5383">
        <w:rPr>
          <w:rFonts w:ascii="Times New Roman" w:hAnsi="Times New Roman"/>
        </w:rPr>
        <w:t xml:space="preserve">Class II motor </w:t>
      </w:r>
      <w:r w:rsidR="00451B12">
        <w:rPr>
          <w:rFonts w:ascii="Times New Roman" w:hAnsi="Times New Roman"/>
        </w:rPr>
        <w:t>carriers</w:t>
      </w:r>
      <w:r w:rsidR="007C267C">
        <w:rPr>
          <w:rFonts w:ascii="Times New Roman" w:hAnsi="Times New Roman"/>
        </w:rPr>
        <w:t>.</w:t>
      </w:r>
      <w:r w:rsidR="00451B12" w:rsidRPr="000B5383">
        <w:rPr>
          <w:rFonts w:ascii="Times New Roman" w:hAnsi="Times New Roman"/>
        </w:rPr>
        <w:t xml:space="preserve">  </w:t>
      </w:r>
      <w:r w:rsidR="00451B12">
        <w:rPr>
          <w:rFonts w:ascii="Times New Roman" w:hAnsi="Times New Roman"/>
        </w:rPr>
        <w:t xml:space="preserve"> </w:t>
      </w:r>
    </w:p>
    <w:p w14:paraId="6A27D139" w14:textId="77777777" w:rsidR="00BC4E4C" w:rsidRDefault="00BC4E4C" w:rsidP="00923862">
      <w:pPr>
        <w:ind w:left="720"/>
        <w:outlineLvl w:val="0"/>
        <w:rPr>
          <w:rFonts w:ascii="Times New Roman" w:hAnsi="Times New Roman"/>
        </w:rPr>
      </w:pPr>
    </w:p>
    <w:p w14:paraId="149267E1" w14:textId="2EEFDD40" w:rsidR="00BC4E4C" w:rsidRPr="00BC4E4C" w:rsidRDefault="00BC4E4C" w:rsidP="00C3778F">
      <w:pPr>
        <w:ind w:left="720"/>
        <w:rPr>
          <w:rFonts w:ascii="Times New Roman" w:hAnsi="Times New Roman"/>
        </w:rPr>
      </w:pPr>
      <w:r w:rsidRPr="00BC4E4C">
        <w:rPr>
          <w:rFonts w:ascii="Times New Roman" w:hAnsi="Times New Roman"/>
        </w:rPr>
        <w:t xml:space="preserve">FMCSA has created electronic forms that may be prepared, signed electronically, and submitted to FMCSA </w:t>
      </w:r>
      <w:r w:rsidR="00C3778F">
        <w:rPr>
          <w:rFonts w:ascii="Times New Roman" w:hAnsi="Times New Roman"/>
        </w:rPr>
        <w:t xml:space="preserve">via </w:t>
      </w:r>
      <w:hyperlink r:id="rId9" w:history="1">
        <w:r w:rsidR="00C3778F" w:rsidRPr="00C3778F">
          <w:rPr>
            <w:rStyle w:val="Hyperlink"/>
            <w:rFonts w:ascii="Times New Roman" w:hAnsi="Times New Roman"/>
          </w:rPr>
          <w:t>https://ask.fmcsa.dot.gov/app/ask/</w:t>
        </w:r>
      </w:hyperlink>
      <w:r w:rsidR="00C3778F">
        <w:rPr>
          <w:color w:val="002060"/>
        </w:rPr>
        <w:t xml:space="preserve"> </w:t>
      </w:r>
      <w:r w:rsidR="00C3778F">
        <w:rPr>
          <w:rFonts w:ascii="Times New Roman" w:hAnsi="Times New Roman"/>
        </w:rPr>
        <w:t xml:space="preserve"> </w:t>
      </w:r>
      <w:r w:rsidRPr="00BC4E4C">
        <w:rPr>
          <w:rFonts w:ascii="Times New Roman" w:hAnsi="Times New Roman"/>
        </w:rPr>
        <w:t>in accordance with the Agency’s April 28, 2014 (79 FR 23306), rulemaking  in RIN 2126-AB47, Electronic Signatures and Documents</w:t>
      </w:r>
      <w:r>
        <w:rPr>
          <w:rFonts w:ascii="Times New Roman" w:hAnsi="Times New Roman"/>
        </w:rPr>
        <w:t>.</w:t>
      </w:r>
    </w:p>
    <w:p w14:paraId="4FA7D2FE" w14:textId="77777777" w:rsidR="00591835" w:rsidRPr="000B5383" w:rsidRDefault="00591835" w:rsidP="00591835">
      <w:pPr>
        <w:rPr>
          <w:rFonts w:ascii="Times New Roman" w:hAnsi="Times New Roman"/>
        </w:rPr>
      </w:pPr>
    </w:p>
    <w:p w14:paraId="74563336" w14:textId="77777777" w:rsidR="00591835" w:rsidRPr="000B5383" w:rsidRDefault="00591835" w:rsidP="00591835">
      <w:pPr>
        <w:rPr>
          <w:rFonts w:ascii="Times New Roman" w:hAnsi="Times New Roman"/>
          <w:b/>
        </w:rPr>
      </w:pPr>
      <w:r w:rsidRPr="000B5383">
        <w:rPr>
          <w:rFonts w:ascii="Times New Roman" w:hAnsi="Times New Roman"/>
          <w:b/>
        </w:rPr>
        <w:t>2.</w:t>
      </w:r>
      <w:r w:rsidRPr="000B5383">
        <w:rPr>
          <w:rFonts w:ascii="Times New Roman" w:hAnsi="Times New Roman"/>
          <w:b/>
        </w:rPr>
        <w:tab/>
      </w:r>
      <w:r w:rsidRPr="000B5383">
        <w:rPr>
          <w:rFonts w:ascii="Times New Roman" w:hAnsi="Times New Roman"/>
          <w:b/>
          <w:u w:val="single"/>
        </w:rPr>
        <w:t>How, by Whom, and for Wh</w:t>
      </w:r>
      <w:r w:rsidR="0064680C" w:rsidRPr="000B5383">
        <w:rPr>
          <w:rFonts w:ascii="Times New Roman" w:hAnsi="Times New Roman"/>
          <w:b/>
          <w:u w:val="single"/>
        </w:rPr>
        <w:t>a</w:t>
      </w:r>
      <w:r w:rsidRPr="000B5383">
        <w:rPr>
          <w:rFonts w:ascii="Times New Roman" w:hAnsi="Times New Roman"/>
          <w:b/>
          <w:u w:val="single"/>
        </w:rPr>
        <w:t>t Purpose is the Information Used</w:t>
      </w:r>
    </w:p>
    <w:p w14:paraId="29F78FC3" w14:textId="77777777" w:rsidR="00591835" w:rsidRPr="000B5383" w:rsidRDefault="00591835" w:rsidP="00591835">
      <w:pPr>
        <w:rPr>
          <w:rFonts w:ascii="Times New Roman" w:hAnsi="Times New Roman"/>
        </w:rPr>
      </w:pPr>
    </w:p>
    <w:p w14:paraId="1952EA1C" w14:textId="77777777" w:rsidR="00591835" w:rsidRPr="000B5383" w:rsidRDefault="00591835" w:rsidP="00591835">
      <w:pPr>
        <w:ind w:left="720"/>
        <w:rPr>
          <w:rFonts w:ascii="Times New Roman" w:hAnsi="Times New Roman"/>
        </w:rPr>
      </w:pPr>
      <w:r w:rsidRPr="000B5383">
        <w:rPr>
          <w:rFonts w:ascii="Times New Roman" w:hAnsi="Times New Roman"/>
        </w:rPr>
        <w:t xml:space="preserve">The annual report (Form M) will be used to collect financial, operating, equipment and employment data from individual motor carriers of property and household goods.  All for-hire (common and contract) motor carriers of property with gross annual operating revenue of $3 million or more must file </w:t>
      </w:r>
      <w:r w:rsidR="00B504B6">
        <w:rPr>
          <w:rFonts w:ascii="Times New Roman" w:hAnsi="Times New Roman"/>
        </w:rPr>
        <w:t xml:space="preserve">the </w:t>
      </w:r>
      <w:r w:rsidRPr="000B5383">
        <w:rPr>
          <w:rFonts w:ascii="Times New Roman" w:hAnsi="Times New Roman"/>
        </w:rPr>
        <w:t>annual report Form M.</w:t>
      </w:r>
      <w:r w:rsidR="00175442">
        <w:rPr>
          <w:rFonts w:ascii="Times New Roman" w:hAnsi="Times New Roman"/>
        </w:rPr>
        <w:t xml:space="preserve">  The annual report (Form MP-1) </w:t>
      </w:r>
      <w:r w:rsidR="00175442" w:rsidRPr="000B5383">
        <w:rPr>
          <w:rFonts w:ascii="Times New Roman" w:hAnsi="Times New Roman"/>
        </w:rPr>
        <w:t xml:space="preserve">will be used to collect financial, operating, equipment and employment data </w:t>
      </w:r>
      <w:r w:rsidR="00175442" w:rsidRPr="000B5383">
        <w:rPr>
          <w:rFonts w:ascii="Times New Roman" w:hAnsi="Times New Roman"/>
        </w:rPr>
        <w:lastRenderedPageBreak/>
        <w:t>from individual motor carriers</w:t>
      </w:r>
      <w:r w:rsidR="00175442">
        <w:rPr>
          <w:rFonts w:ascii="Times New Roman" w:hAnsi="Times New Roman"/>
        </w:rPr>
        <w:t xml:space="preserve"> of passengers.  All Class I for-hire motor carriers of passengers with gross annual operating revenues of $5 million or more are required to file annual reports.</w:t>
      </w:r>
    </w:p>
    <w:p w14:paraId="1CEBE57A" w14:textId="77777777" w:rsidR="00591835" w:rsidRPr="000B5383" w:rsidRDefault="00591835" w:rsidP="00591835">
      <w:pPr>
        <w:ind w:left="720"/>
        <w:rPr>
          <w:rFonts w:ascii="Times New Roman" w:hAnsi="Times New Roman"/>
        </w:rPr>
      </w:pPr>
    </w:p>
    <w:p w14:paraId="4944DDF4" w14:textId="77777777" w:rsidR="00D91B97" w:rsidRDefault="004E1D5B" w:rsidP="009B31A5">
      <w:pPr>
        <w:ind w:left="720"/>
        <w:rPr>
          <w:rFonts w:ascii="Times New Roman" w:hAnsi="Times New Roman"/>
        </w:rPr>
      </w:pPr>
      <w:r>
        <w:rPr>
          <w:rFonts w:ascii="Times New Roman" w:hAnsi="Times New Roman"/>
        </w:rPr>
        <w:t xml:space="preserve">The data collected will be available to users in its original form.  The data are not used by the U.S. Department of Transportation, and, based on a comment to a proposed rule finalized on December 17, 2013 (78 FR 76241), the data are no longer used by trucking associations.  Insurance companies, consultants, law firms, academia, trade publications and others may use the data to assess industry growth and its impact on the economy, to identify industry changes that may affect national transportation, and to monitor company financial stability.  </w:t>
      </w:r>
      <w:r w:rsidR="00D91B97">
        <w:rPr>
          <w:rFonts w:ascii="Times New Roman" w:hAnsi="Times New Roman"/>
        </w:rPr>
        <w:t>The Bureau of Economic Analysis (</w:t>
      </w:r>
      <w:r>
        <w:rPr>
          <w:rFonts w:ascii="Times New Roman" w:hAnsi="Times New Roman"/>
        </w:rPr>
        <w:t>BEA</w:t>
      </w:r>
      <w:r w:rsidR="00D91B97">
        <w:rPr>
          <w:rFonts w:ascii="Times New Roman" w:hAnsi="Times New Roman"/>
        </w:rPr>
        <w:t>)</w:t>
      </w:r>
      <w:r w:rsidR="00583A0B">
        <w:rPr>
          <w:rFonts w:ascii="Times New Roman" w:hAnsi="Times New Roman"/>
        </w:rPr>
        <w:t xml:space="preserve"> also</w:t>
      </w:r>
      <w:r>
        <w:rPr>
          <w:rFonts w:ascii="Times New Roman" w:hAnsi="Times New Roman"/>
        </w:rPr>
        <w:t xml:space="preserve"> uses the data to inform the national annual input-output and Gross Domestic Product (GDP)</w:t>
      </w:r>
      <w:r>
        <w:rPr>
          <w:rStyle w:val="FootnoteReference"/>
          <w:rFonts w:ascii="Times New Roman" w:hAnsi="Times New Roman"/>
        </w:rPr>
        <w:footnoteReference w:id="1"/>
      </w:r>
      <w:r>
        <w:rPr>
          <w:rFonts w:ascii="Times New Roman" w:hAnsi="Times New Roman"/>
        </w:rPr>
        <w:t xml:space="preserve"> estimates.  </w:t>
      </w:r>
      <w:r w:rsidR="00583A0B">
        <w:rPr>
          <w:rFonts w:ascii="Times New Roman" w:hAnsi="Times New Roman"/>
        </w:rPr>
        <w:t xml:space="preserve">And </w:t>
      </w:r>
      <w:r>
        <w:rPr>
          <w:rFonts w:ascii="Times New Roman" w:hAnsi="Times New Roman"/>
        </w:rPr>
        <w:t>BEA uses the data to prepare estimates of industry output and provide details on inputs to supplement the information on motor carriers of passengers collected by the U.S. Census Bureau.</w:t>
      </w:r>
      <w:r w:rsidR="009B31A5" w:rsidRPr="009B31A5">
        <w:rPr>
          <w:rFonts w:ascii="Times New Roman" w:hAnsi="Times New Roman"/>
        </w:rPr>
        <w:t xml:space="preserve"> </w:t>
      </w:r>
    </w:p>
    <w:p w14:paraId="1508F057" w14:textId="77777777" w:rsidR="00D91B97" w:rsidRDefault="00D91B97" w:rsidP="009B31A5">
      <w:pPr>
        <w:ind w:left="720"/>
        <w:rPr>
          <w:rFonts w:ascii="Times New Roman" w:hAnsi="Times New Roman"/>
        </w:rPr>
      </w:pPr>
    </w:p>
    <w:p w14:paraId="5AF7C2FA" w14:textId="2DA970D7" w:rsidR="009B31A5" w:rsidRDefault="009B31A5" w:rsidP="009B31A5">
      <w:pPr>
        <w:ind w:left="720"/>
        <w:rPr>
          <w:rFonts w:ascii="Times New Roman" w:hAnsi="Times New Roman"/>
        </w:rPr>
      </w:pPr>
      <w:r>
        <w:rPr>
          <w:rFonts w:ascii="Times New Roman" w:hAnsi="Times New Roman"/>
        </w:rPr>
        <w:t xml:space="preserve">On March 16, 2017, FMCSA published a 60-day Federal Register notice (82 FR 14103, Attachment </w:t>
      </w:r>
      <w:r w:rsidR="007457D9">
        <w:rPr>
          <w:rFonts w:ascii="Times New Roman" w:hAnsi="Times New Roman"/>
        </w:rPr>
        <w:t>G</w:t>
      </w:r>
      <w:r>
        <w:rPr>
          <w:rFonts w:ascii="Times New Roman" w:hAnsi="Times New Roman"/>
        </w:rPr>
        <w:t xml:space="preserve">) and received two comments </w:t>
      </w:r>
      <w:r w:rsidR="00D91B97">
        <w:rPr>
          <w:rFonts w:ascii="Times New Roman" w:hAnsi="Times New Roman"/>
        </w:rPr>
        <w:t xml:space="preserve">from </w:t>
      </w:r>
      <w:r>
        <w:rPr>
          <w:rFonts w:ascii="Times New Roman" w:hAnsi="Times New Roman"/>
        </w:rPr>
        <w:t xml:space="preserve">Greyhounds Lines, Inc. and the American Bus Association (ABA)).  Greyhound opposed continuation of the Form MP-1 filing requirement for the simple reason that FMCSA has explicitly stated that it does not use the data contained in these filings.  Greyhound respectfully suggests that FMCSA’s limited resources are better utilized on its core safety function rather than on collecting financial and operational data that it does not use.  Moreover, the impacted carriers should not be burdened by a requirement to file data that is not used by the Federal regulatory entity imposing the requirement.  ABA stated that the FMCSA requirement set forth in 49 CFR 396.4, represented by the annual submission of the Form MP-1, is outdated and should not be continued.  The continuation of this limited reporting of a small number of carriers is both burdensome to the affected operators and inconsistent with FMCSA’s important safety mission. The Agency responded to these comments in a 30-day Federal Register notice (82 FR 35027) published on July 27, 2017 by stating that FMCSA is statutorily required to collect such financial reports annually.  </w:t>
      </w:r>
      <w:r>
        <w:rPr>
          <w:rFonts w:ascii="Times New Roman" w:hAnsi="Times New Roman"/>
          <w:i/>
        </w:rPr>
        <w:t>See</w:t>
      </w:r>
      <w:r>
        <w:rPr>
          <w:rFonts w:ascii="Times New Roman" w:hAnsi="Times New Roman"/>
        </w:rPr>
        <w:t xml:space="preserve"> Attachment </w:t>
      </w:r>
      <w:r w:rsidR="004A4246">
        <w:rPr>
          <w:rFonts w:ascii="Times New Roman" w:hAnsi="Times New Roman"/>
        </w:rPr>
        <w:t>I</w:t>
      </w:r>
      <w:r>
        <w:rPr>
          <w:rFonts w:ascii="Times New Roman" w:hAnsi="Times New Roman"/>
        </w:rPr>
        <w:t xml:space="preserve">. </w:t>
      </w:r>
    </w:p>
    <w:p w14:paraId="6A0C8A7C" w14:textId="77777777" w:rsidR="00386579" w:rsidRPr="000B5383" w:rsidRDefault="00386579" w:rsidP="00F01C9E">
      <w:pPr>
        <w:ind w:left="720"/>
        <w:rPr>
          <w:rFonts w:ascii="Times New Roman" w:hAnsi="Times New Roman"/>
        </w:rPr>
      </w:pPr>
    </w:p>
    <w:p w14:paraId="7E299E12" w14:textId="77777777" w:rsidR="0064680C" w:rsidRPr="000B5383" w:rsidRDefault="0064680C" w:rsidP="00F65654">
      <w:pPr>
        <w:rPr>
          <w:rFonts w:ascii="Times New Roman" w:hAnsi="Times New Roman"/>
          <w:b/>
        </w:rPr>
      </w:pPr>
      <w:r w:rsidRPr="000B5383">
        <w:rPr>
          <w:rFonts w:ascii="Times New Roman" w:hAnsi="Times New Roman"/>
          <w:b/>
        </w:rPr>
        <w:t>3.</w:t>
      </w:r>
      <w:r w:rsidRPr="000B5383">
        <w:rPr>
          <w:rFonts w:ascii="Times New Roman" w:hAnsi="Times New Roman"/>
          <w:b/>
        </w:rPr>
        <w:tab/>
      </w:r>
      <w:r w:rsidRPr="000B5383">
        <w:rPr>
          <w:rFonts w:ascii="Times New Roman" w:hAnsi="Times New Roman"/>
          <w:b/>
          <w:u w:val="single"/>
        </w:rPr>
        <w:t>Extent of Automated Information Collection</w:t>
      </w:r>
    </w:p>
    <w:p w14:paraId="1DA20F61" w14:textId="77777777" w:rsidR="0064680C" w:rsidRPr="000B5383" w:rsidRDefault="0064680C" w:rsidP="0064680C">
      <w:pPr>
        <w:ind w:left="360" w:hanging="720"/>
        <w:rPr>
          <w:rFonts w:ascii="Times New Roman" w:hAnsi="Times New Roman"/>
        </w:rPr>
      </w:pPr>
    </w:p>
    <w:p w14:paraId="0276C33C" w14:textId="4A2FAF52" w:rsidR="00E603F2" w:rsidRPr="00E603F2" w:rsidRDefault="0064680C" w:rsidP="00E603F2">
      <w:pPr>
        <w:ind w:left="720"/>
        <w:rPr>
          <w:rFonts w:ascii="Times New Roman" w:hAnsi="Times New Roman"/>
          <w:sz w:val="22"/>
          <w:szCs w:val="22"/>
        </w:rPr>
      </w:pPr>
      <w:r w:rsidRPr="000B5383">
        <w:rPr>
          <w:rFonts w:ascii="Times New Roman" w:hAnsi="Times New Roman"/>
        </w:rPr>
        <w:t>Information rel</w:t>
      </w:r>
      <w:r w:rsidR="00F15AAD">
        <w:rPr>
          <w:rFonts w:ascii="Times New Roman" w:hAnsi="Times New Roman"/>
        </w:rPr>
        <w:t>evant</w:t>
      </w:r>
      <w:r w:rsidRPr="000B5383">
        <w:rPr>
          <w:rFonts w:ascii="Times New Roman" w:hAnsi="Times New Roman"/>
        </w:rPr>
        <w:t xml:space="preserve"> to collection of the data and the necessary forms are available on FMCSA’s website, </w:t>
      </w:r>
      <w:r w:rsidRPr="004C6F0A">
        <w:rPr>
          <w:rFonts w:ascii="Times New Roman" w:hAnsi="Times New Roman"/>
        </w:rPr>
        <w:t>http://www.fmcsa.dot.gov/</w:t>
      </w:r>
      <w:r w:rsidR="004C6F0A" w:rsidRPr="00B1642E">
        <w:rPr>
          <w:rFonts w:ascii="Times New Roman" w:hAnsi="Times New Roman"/>
        </w:rPr>
        <w:t>forms/reporting/mcs_info.htm#fos</w:t>
      </w:r>
      <w:r w:rsidRPr="000B5383">
        <w:rPr>
          <w:rFonts w:ascii="Times New Roman" w:hAnsi="Times New Roman"/>
        </w:rPr>
        <w:t>. The forms can be printed and mailed to FMCSA</w:t>
      </w:r>
      <w:r w:rsidR="00AB52B5">
        <w:rPr>
          <w:rFonts w:ascii="Times New Roman" w:hAnsi="Times New Roman"/>
        </w:rPr>
        <w:t xml:space="preserve">. </w:t>
      </w:r>
      <w:r w:rsidR="00E603F2" w:rsidRPr="00E603F2">
        <w:rPr>
          <w:rFonts w:ascii="Times New Roman" w:hAnsi="Times New Roman"/>
        </w:rPr>
        <w:t xml:space="preserve">Electronic submission of Form M and Form MP-1 is not available at this time.  FMCSA will consider identifying the appropriate actions needed to update the Agency’s information technology systems and platforms, including the estimated costs required to make these changes.  Once this has been completed, FMCSA will decide whether or not to implement system changes which would allow those carriers required to submit this data to do so electronically.”  </w:t>
      </w:r>
    </w:p>
    <w:p w14:paraId="212C90D1" w14:textId="77777777" w:rsidR="00E603F2" w:rsidRDefault="00E603F2" w:rsidP="00E603F2">
      <w:pPr>
        <w:ind w:left="360"/>
      </w:pPr>
    </w:p>
    <w:p w14:paraId="6D34B302" w14:textId="429D9C21" w:rsidR="0064680C" w:rsidRPr="000B5383" w:rsidRDefault="0064680C" w:rsidP="0064680C">
      <w:pPr>
        <w:ind w:left="720"/>
        <w:rPr>
          <w:rFonts w:ascii="Times New Roman" w:hAnsi="Times New Roman"/>
        </w:rPr>
      </w:pPr>
    </w:p>
    <w:p w14:paraId="19C44B77" w14:textId="77777777" w:rsidR="00F65654" w:rsidRDefault="00F65654" w:rsidP="00F65654">
      <w:pPr>
        <w:rPr>
          <w:rFonts w:ascii="Times New Roman" w:hAnsi="Times New Roman"/>
        </w:rPr>
      </w:pPr>
    </w:p>
    <w:p w14:paraId="1A8FD1E6" w14:textId="77777777" w:rsidR="0064680C" w:rsidRPr="000B5383" w:rsidRDefault="00F65654" w:rsidP="00F65654">
      <w:pPr>
        <w:numPr>
          <w:ilvl w:val="0"/>
          <w:numId w:val="2"/>
        </w:numPr>
        <w:tabs>
          <w:tab w:val="clear" w:pos="720"/>
          <w:tab w:val="num" w:pos="0"/>
        </w:tabs>
        <w:ind w:left="0" w:firstLine="0"/>
        <w:rPr>
          <w:rFonts w:ascii="Times New Roman" w:hAnsi="Times New Roman"/>
          <w:b/>
          <w:u w:val="single"/>
        </w:rPr>
      </w:pPr>
      <w:r>
        <w:rPr>
          <w:rFonts w:ascii="Times New Roman" w:hAnsi="Times New Roman"/>
          <w:b/>
          <w:u w:val="single"/>
        </w:rPr>
        <w:t>Effo</w:t>
      </w:r>
      <w:r w:rsidR="0064680C" w:rsidRPr="000B5383">
        <w:rPr>
          <w:rFonts w:ascii="Times New Roman" w:hAnsi="Times New Roman"/>
          <w:b/>
          <w:u w:val="single"/>
        </w:rPr>
        <w:t>rt</w:t>
      </w:r>
      <w:r>
        <w:rPr>
          <w:rFonts w:ascii="Times New Roman" w:hAnsi="Times New Roman"/>
          <w:b/>
          <w:u w:val="single"/>
        </w:rPr>
        <w:t>s</w:t>
      </w:r>
      <w:r w:rsidR="0064680C" w:rsidRPr="000B5383">
        <w:rPr>
          <w:rFonts w:ascii="Times New Roman" w:hAnsi="Times New Roman"/>
          <w:b/>
          <w:u w:val="single"/>
        </w:rPr>
        <w:t xml:space="preserve"> to Identify Duplication</w:t>
      </w:r>
    </w:p>
    <w:p w14:paraId="1A742AD7" w14:textId="77777777" w:rsidR="0064680C" w:rsidRPr="000B5383" w:rsidRDefault="0064680C" w:rsidP="0064680C">
      <w:pPr>
        <w:ind w:left="360" w:hanging="720"/>
        <w:rPr>
          <w:rFonts w:ascii="Times New Roman" w:hAnsi="Times New Roman"/>
        </w:rPr>
      </w:pPr>
    </w:p>
    <w:p w14:paraId="759C3C1D" w14:textId="77777777" w:rsidR="0064680C" w:rsidRPr="000B5383" w:rsidRDefault="0064680C" w:rsidP="0064680C">
      <w:pPr>
        <w:ind w:left="720"/>
        <w:rPr>
          <w:rFonts w:ascii="Times New Roman" w:hAnsi="Times New Roman"/>
        </w:rPr>
      </w:pPr>
      <w:r w:rsidRPr="000B5383">
        <w:rPr>
          <w:rFonts w:ascii="Times New Roman" w:hAnsi="Times New Roman"/>
        </w:rPr>
        <w:t>The Census</w:t>
      </w:r>
      <w:r w:rsidR="00150BD0" w:rsidRPr="00150BD0">
        <w:rPr>
          <w:rFonts w:ascii="Times New Roman" w:hAnsi="Times New Roman"/>
        </w:rPr>
        <w:t xml:space="preserve"> </w:t>
      </w:r>
      <w:r w:rsidR="00150BD0" w:rsidRPr="000B5383">
        <w:rPr>
          <w:rFonts w:ascii="Times New Roman" w:hAnsi="Times New Roman"/>
        </w:rPr>
        <w:t>Bureau</w:t>
      </w:r>
      <w:r w:rsidR="00BB4BCA">
        <w:rPr>
          <w:rFonts w:ascii="Times New Roman" w:hAnsi="Times New Roman"/>
        </w:rPr>
        <w:t>,</w:t>
      </w:r>
      <w:r w:rsidRPr="000B5383">
        <w:rPr>
          <w:rFonts w:ascii="Times New Roman" w:hAnsi="Times New Roman"/>
        </w:rPr>
        <w:t xml:space="preserve"> through its Services Annual Survey</w:t>
      </w:r>
      <w:r w:rsidR="00BB4BCA">
        <w:rPr>
          <w:rFonts w:ascii="Times New Roman" w:hAnsi="Times New Roman"/>
        </w:rPr>
        <w:t>,</w:t>
      </w:r>
      <w:r w:rsidRPr="000B5383">
        <w:rPr>
          <w:rFonts w:ascii="Times New Roman" w:hAnsi="Times New Roman"/>
        </w:rPr>
        <w:t xml:space="preserve"> provides similar statistical data for the transportation industry.  However, the Census Bureau does not collect the</w:t>
      </w:r>
      <w:r w:rsidR="007D6EE2">
        <w:rPr>
          <w:rFonts w:ascii="Times New Roman" w:hAnsi="Times New Roman"/>
        </w:rPr>
        <w:t xml:space="preserve"> same</w:t>
      </w:r>
      <w:r w:rsidRPr="000B5383">
        <w:rPr>
          <w:rFonts w:ascii="Times New Roman" w:hAnsi="Times New Roman"/>
        </w:rPr>
        <w:t xml:space="preserve"> information as FMCSA.  The </w:t>
      </w:r>
      <w:r w:rsidR="00495C0B" w:rsidRPr="000B5383">
        <w:rPr>
          <w:rFonts w:ascii="Times New Roman" w:hAnsi="Times New Roman"/>
        </w:rPr>
        <w:t>Bureau</w:t>
      </w:r>
      <w:r w:rsidR="00495C0B">
        <w:rPr>
          <w:rFonts w:ascii="Times New Roman" w:hAnsi="Times New Roman"/>
        </w:rPr>
        <w:t xml:space="preserve"> </w:t>
      </w:r>
      <w:r w:rsidR="00495C0B" w:rsidRPr="000B5383">
        <w:rPr>
          <w:rFonts w:ascii="Times New Roman" w:hAnsi="Times New Roman"/>
        </w:rPr>
        <w:t>is</w:t>
      </w:r>
      <w:r w:rsidRPr="000B5383">
        <w:rPr>
          <w:rFonts w:ascii="Times New Roman" w:hAnsi="Times New Roman"/>
        </w:rPr>
        <w:t xml:space="preserve"> prohibited </w:t>
      </w:r>
      <w:r w:rsidR="00150BD0">
        <w:rPr>
          <w:rFonts w:ascii="Times New Roman" w:hAnsi="Times New Roman"/>
        </w:rPr>
        <w:t>by</w:t>
      </w:r>
      <w:r w:rsidRPr="000B5383">
        <w:rPr>
          <w:rFonts w:ascii="Times New Roman" w:hAnsi="Times New Roman"/>
        </w:rPr>
        <w:t xml:space="preserve"> law from providing data about individual carriers to the public.  Further, some Federal agencies, </w:t>
      </w:r>
      <w:r w:rsidR="00BB4BCA">
        <w:rPr>
          <w:rFonts w:ascii="Times New Roman" w:hAnsi="Times New Roman"/>
        </w:rPr>
        <w:t xml:space="preserve">such as </w:t>
      </w:r>
      <w:r w:rsidR="00817A6A">
        <w:rPr>
          <w:rFonts w:ascii="Times New Roman" w:hAnsi="Times New Roman"/>
        </w:rPr>
        <w:t>Department of Defense (</w:t>
      </w:r>
      <w:r w:rsidRPr="000B5383">
        <w:rPr>
          <w:rFonts w:ascii="Times New Roman" w:hAnsi="Times New Roman"/>
        </w:rPr>
        <w:t>D</w:t>
      </w:r>
      <w:r w:rsidR="00817A6A">
        <w:rPr>
          <w:rFonts w:ascii="Times New Roman" w:hAnsi="Times New Roman"/>
        </w:rPr>
        <w:t>o</w:t>
      </w:r>
      <w:r w:rsidRPr="000B5383">
        <w:rPr>
          <w:rFonts w:ascii="Times New Roman" w:hAnsi="Times New Roman"/>
        </w:rPr>
        <w:t>D</w:t>
      </w:r>
      <w:r w:rsidR="00817A6A">
        <w:rPr>
          <w:rFonts w:ascii="Times New Roman" w:hAnsi="Times New Roman"/>
        </w:rPr>
        <w:t>)</w:t>
      </w:r>
      <w:r w:rsidRPr="000B5383">
        <w:rPr>
          <w:rFonts w:ascii="Times New Roman" w:hAnsi="Times New Roman"/>
        </w:rPr>
        <w:t xml:space="preserve"> and </w:t>
      </w:r>
      <w:r w:rsidR="00817A6A">
        <w:rPr>
          <w:rFonts w:ascii="Times New Roman" w:hAnsi="Times New Roman"/>
        </w:rPr>
        <w:t>General Services Administration</w:t>
      </w:r>
      <w:r w:rsidR="00F15AAD">
        <w:rPr>
          <w:rFonts w:ascii="Times New Roman" w:hAnsi="Times New Roman"/>
        </w:rPr>
        <w:t xml:space="preserve"> </w:t>
      </w:r>
      <w:r w:rsidR="00817A6A">
        <w:rPr>
          <w:rFonts w:ascii="Times New Roman" w:hAnsi="Times New Roman"/>
        </w:rPr>
        <w:t>(</w:t>
      </w:r>
      <w:r w:rsidRPr="000B5383">
        <w:rPr>
          <w:rFonts w:ascii="Times New Roman" w:hAnsi="Times New Roman"/>
        </w:rPr>
        <w:t>GSA</w:t>
      </w:r>
      <w:r w:rsidR="00817A6A">
        <w:rPr>
          <w:rFonts w:ascii="Times New Roman" w:hAnsi="Times New Roman"/>
        </w:rPr>
        <w:t>)</w:t>
      </w:r>
      <w:r w:rsidRPr="000B5383">
        <w:rPr>
          <w:rFonts w:ascii="Times New Roman" w:hAnsi="Times New Roman"/>
        </w:rPr>
        <w:t>, and private entities have requested continued</w:t>
      </w:r>
      <w:r w:rsidR="0098189A">
        <w:rPr>
          <w:rFonts w:ascii="Times New Roman" w:hAnsi="Times New Roman"/>
        </w:rPr>
        <w:t xml:space="preserve"> </w:t>
      </w:r>
      <w:r w:rsidRPr="000B5383">
        <w:rPr>
          <w:rFonts w:ascii="Times New Roman" w:hAnsi="Times New Roman"/>
        </w:rPr>
        <w:t>public access to carrier-level data that would enable monitoring financial and operating measures of particular carriers.</w:t>
      </w:r>
    </w:p>
    <w:p w14:paraId="05BB25B7" w14:textId="77777777" w:rsidR="00322A7A" w:rsidRPr="000B5383" w:rsidRDefault="00322A7A" w:rsidP="00322A7A">
      <w:pPr>
        <w:rPr>
          <w:rFonts w:ascii="Times New Roman" w:hAnsi="Times New Roman"/>
        </w:rPr>
      </w:pPr>
    </w:p>
    <w:p w14:paraId="77A296A6" w14:textId="77777777" w:rsidR="0064680C" w:rsidRPr="000B5383" w:rsidRDefault="0064680C" w:rsidP="0064680C">
      <w:pPr>
        <w:ind w:hanging="720"/>
        <w:rPr>
          <w:rFonts w:ascii="Times New Roman" w:hAnsi="Times New Roman"/>
        </w:rPr>
      </w:pPr>
      <w:r w:rsidRPr="000B5383">
        <w:rPr>
          <w:rFonts w:ascii="Times New Roman" w:hAnsi="Times New Roman"/>
          <w:b/>
        </w:rPr>
        <w:t xml:space="preserve">    </w:t>
      </w:r>
      <w:r w:rsidRPr="000B5383">
        <w:rPr>
          <w:rFonts w:ascii="Times New Roman" w:hAnsi="Times New Roman"/>
          <w:b/>
        </w:rPr>
        <w:tab/>
        <w:t xml:space="preserve"> 5.      </w:t>
      </w:r>
      <w:r w:rsidRPr="000B5383">
        <w:rPr>
          <w:rFonts w:ascii="Times New Roman" w:hAnsi="Times New Roman"/>
          <w:b/>
          <w:u w:val="single"/>
        </w:rPr>
        <w:t>Efforts to Minimize the Burden on Small Businesses</w:t>
      </w:r>
    </w:p>
    <w:p w14:paraId="337A4ED9" w14:textId="77777777" w:rsidR="0064680C" w:rsidRPr="000B5383" w:rsidRDefault="0064680C" w:rsidP="0064680C">
      <w:pPr>
        <w:ind w:hanging="720"/>
        <w:rPr>
          <w:rFonts w:ascii="Times New Roman" w:hAnsi="Times New Roman"/>
        </w:rPr>
      </w:pPr>
    </w:p>
    <w:p w14:paraId="762FAE13" w14:textId="77777777" w:rsidR="00545704" w:rsidRDefault="0064680C" w:rsidP="00D454CD">
      <w:pPr>
        <w:ind w:left="720" w:hanging="720"/>
        <w:outlineLvl w:val="0"/>
        <w:rPr>
          <w:rFonts w:ascii="Times New Roman" w:hAnsi="Times New Roman"/>
        </w:rPr>
      </w:pPr>
      <w:r w:rsidRPr="000B5383">
        <w:rPr>
          <w:rFonts w:ascii="Times New Roman" w:hAnsi="Times New Roman"/>
        </w:rPr>
        <w:tab/>
        <w:t xml:space="preserve">For motor carriers of property, the Small Business Administration </w:t>
      </w:r>
      <w:r w:rsidR="002B3F12">
        <w:rPr>
          <w:rFonts w:ascii="Times New Roman" w:hAnsi="Times New Roman"/>
        </w:rPr>
        <w:t xml:space="preserve">(SBA) </w:t>
      </w:r>
      <w:r w:rsidRPr="000B5383">
        <w:rPr>
          <w:rFonts w:ascii="Times New Roman" w:hAnsi="Times New Roman"/>
        </w:rPr>
        <w:t>defines small trucking business</w:t>
      </w:r>
      <w:r w:rsidR="002A7BED">
        <w:rPr>
          <w:rFonts w:ascii="Times New Roman" w:hAnsi="Times New Roman"/>
        </w:rPr>
        <w:t>es</w:t>
      </w:r>
      <w:r w:rsidRPr="000B5383">
        <w:rPr>
          <w:rFonts w:ascii="Times New Roman" w:hAnsi="Times New Roman"/>
        </w:rPr>
        <w:t xml:space="preserve"> as those with annual revenues or receipts up </w:t>
      </w:r>
      <w:r w:rsidRPr="00E43F75">
        <w:rPr>
          <w:rFonts w:ascii="Times New Roman" w:hAnsi="Times New Roman"/>
        </w:rPr>
        <w:t>to $2</w:t>
      </w:r>
      <w:r w:rsidR="008C5347" w:rsidRPr="00E43F75">
        <w:rPr>
          <w:rFonts w:ascii="Times New Roman" w:hAnsi="Times New Roman"/>
        </w:rPr>
        <w:t>7</w:t>
      </w:r>
      <w:r w:rsidRPr="00E43F75">
        <w:rPr>
          <w:rFonts w:ascii="Times New Roman" w:hAnsi="Times New Roman"/>
        </w:rPr>
        <w:t>.5 million.</w:t>
      </w:r>
      <w:r w:rsidRPr="000B5383">
        <w:rPr>
          <w:rFonts w:ascii="Times New Roman" w:hAnsi="Times New Roman"/>
        </w:rPr>
        <w:t xml:space="preserve">  </w:t>
      </w:r>
      <w:r w:rsidR="0052250B">
        <w:rPr>
          <w:rFonts w:ascii="Times New Roman" w:hAnsi="Times New Roman"/>
        </w:rPr>
        <w:t xml:space="preserve">A majority of the </w:t>
      </w:r>
      <w:r w:rsidRPr="000B5383">
        <w:rPr>
          <w:rFonts w:ascii="Times New Roman" w:hAnsi="Times New Roman"/>
        </w:rPr>
        <w:t>companies that file F</w:t>
      </w:r>
      <w:r w:rsidR="002B3F12">
        <w:rPr>
          <w:rFonts w:ascii="Times New Roman" w:hAnsi="Times New Roman"/>
        </w:rPr>
        <w:t xml:space="preserve">orm </w:t>
      </w:r>
      <w:r w:rsidR="005558D1">
        <w:rPr>
          <w:rFonts w:ascii="Times New Roman" w:hAnsi="Times New Roman"/>
        </w:rPr>
        <w:t>M</w:t>
      </w:r>
      <w:r w:rsidR="002B3F12">
        <w:rPr>
          <w:rFonts w:ascii="Times New Roman" w:hAnsi="Times New Roman"/>
        </w:rPr>
        <w:t xml:space="preserve"> would be considered small businesses under SBA guidelines. </w:t>
      </w:r>
      <w:r w:rsidR="007A4051">
        <w:rPr>
          <w:rFonts w:ascii="Times New Roman" w:hAnsi="Times New Roman"/>
        </w:rPr>
        <w:t xml:space="preserve"> </w:t>
      </w:r>
      <w:r w:rsidR="00567BB5">
        <w:rPr>
          <w:rFonts w:ascii="Times New Roman" w:hAnsi="Times New Roman"/>
        </w:rPr>
        <w:t xml:space="preserve">The Agency estimates that </w:t>
      </w:r>
      <w:r w:rsidR="00EA5EF3">
        <w:rPr>
          <w:rFonts w:ascii="Times New Roman" w:hAnsi="Times New Roman"/>
        </w:rPr>
        <w:t>about</w:t>
      </w:r>
      <w:r w:rsidR="00567BB5">
        <w:rPr>
          <w:rFonts w:ascii="Times New Roman" w:hAnsi="Times New Roman"/>
        </w:rPr>
        <w:t xml:space="preserve"> </w:t>
      </w:r>
      <w:r w:rsidR="00EA5EF3">
        <w:rPr>
          <w:rFonts w:ascii="Times New Roman" w:hAnsi="Times New Roman"/>
        </w:rPr>
        <w:t>155,000</w:t>
      </w:r>
      <w:r w:rsidR="00567BB5">
        <w:rPr>
          <w:rFonts w:ascii="Times New Roman" w:hAnsi="Times New Roman"/>
        </w:rPr>
        <w:t xml:space="preserve"> </w:t>
      </w:r>
      <w:r w:rsidR="00EA5EF3">
        <w:rPr>
          <w:rFonts w:ascii="Times New Roman" w:hAnsi="Times New Roman"/>
        </w:rPr>
        <w:t>for-hire</w:t>
      </w:r>
      <w:r w:rsidR="00567BB5">
        <w:rPr>
          <w:rFonts w:ascii="Times New Roman" w:hAnsi="Times New Roman"/>
        </w:rPr>
        <w:t xml:space="preserve"> </w:t>
      </w:r>
      <w:r w:rsidR="00EA5EF3">
        <w:rPr>
          <w:rFonts w:ascii="Times New Roman" w:hAnsi="Times New Roman"/>
        </w:rPr>
        <w:t>property carriers</w:t>
      </w:r>
      <w:r w:rsidR="00567BB5">
        <w:rPr>
          <w:rFonts w:ascii="Times New Roman" w:hAnsi="Times New Roman"/>
        </w:rPr>
        <w:t xml:space="preserve"> operate in the United States</w:t>
      </w:r>
      <w:r w:rsidR="00EA5EF3">
        <w:rPr>
          <w:rFonts w:ascii="Times New Roman" w:hAnsi="Times New Roman"/>
        </w:rPr>
        <w:t xml:space="preserve"> and that over 100,000 of them would be considered small businesses.  T</w:t>
      </w:r>
      <w:r w:rsidR="00567BB5">
        <w:rPr>
          <w:rFonts w:ascii="Times New Roman" w:hAnsi="Times New Roman"/>
        </w:rPr>
        <w:t xml:space="preserve">he </w:t>
      </w:r>
      <w:r w:rsidR="00EA5EF3">
        <w:rPr>
          <w:rFonts w:ascii="Times New Roman" w:hAnsi="Times New Roman"/>
        </w:rPr>
        <w:t xml:space="preserve">small businesses </w:t>
      </w:r>
      <w:r w:rsidR="00567BB5">
        <w:rPr>
          <w:rFonts w:ascii="Times New Roman" w:hAnsi="Times New Roman"/>
        </w:rPr>
        <w:t xml:space="preserve">that file Form M </w:t>
      </w:r>
      <w:r w:rsidRPr="000B5383">
        <w:rPr>
          <w:rFonts w:ascii="Times New Roman" w:hAnsi="Times New Roman"/>
        </w:rPr>
        <w:t xml:space="preserve">represent </w:t>
      </w:r>
      <w:r w:rsidR="002B3F12">
        <w:rPr>
          <w:rFonts w:ascii="Times New Roman" w:hAnsi="Times New Roman"/>
        </w:rPr>
        <w:t>a</w:t>
      </w:r>
      <w:r w:rsidR="00EA5EF3">
        <w:rPr>
          <w:rFonts w:ascii="Times New Roman" w:hAnsi="Times New Roman"/>
        </w:rPr>
        <w:t xml:space="preserve"> minor</w:t>
      </w:r>
      <w:r w:rsidR="002B3F12">
        <w:rPr>
          <w:rFonts w:ascii="Times New Roman" w:hAnsi="Times New Roman"/>
        </w:rPr>
        <w:t xml:space="preserve"> fraction</w:t>
      </w:r>
      <w:r w:rsidRPr="000B5383">
        <w:rPr>
          <w:rFonts w:ascii="Times New Roman" w:hAnsi="Times New Roman"/>
        </w:rPr>
        <w:t xml:space="preserve"> of th</w:t>
      </w:r>
      <w:r w:rsidR="00567BB5">
        <w:rPr>
          <w:rFonts w:ascii="Times New Roman" w:hAnsi="Times New Roman"/>
        </w:rPr>
        <w:t>is</w:t>
      </w:r>
      <w:r w:rsidRPr="000B5383">
        <w:rPr>
          <w:rFonts w:ascii="Times New Roman" w:hAnsi="Times New Roman"/>
        </w:rPr>
        <w:t xml:space="preserve"> total.</w:t>
      </w:r>
      <w:r w:rsidR="0036237B">
        <w:rPr>
          <w:rFonts w:ascii="Times New Roman" w:hAnsi="Times New Roman"/>
        </w:rPr>
        <w:t xml:space="preserve"> </w:t>
      </w:r>
    </w:p>
    <w:p w14:paraId="1E36078A" w14:textId="77777777" w:rsidR="00545704" w:rsidRDefault="00545704" w:rsidP="00D454CD">
      <w:pPr>
        <w:ind w:left="720" w:hanging="720"/>
        <w:outlineLvl w:val="0"/>
        <w:rPr>
          <w:rFonts w:ascii="Times New Roman" w:hAnsi="Times New Roman"/>
        </w:rPr>
      </w:pPr>
    </w:p>
    <w:p w14:paraId="19CBFDB2" w14:textId="77777777" w:rsidR="0036237B" w:rsidRDefault="002423C8" w:rsidP="00545704">
      <w:pPr>
        <w:ind w:left="720"/>
        <w:outlineLvl w:val="0"/>
        <w:rPr>
          <w:rFonts w:ascii="Times New Roman" w:hAnsi="Times New Roman"/>
        </w:rPr>
      </w:pPr>
      <w:r w:rsidRPr="007D6EE2">
        <w:rPr>
          <w:rFonts w:ascii="Times New Roman" w:hAnsi="Times New Roman"/>
        </w:rPr>
        <w:t>Form M was reduced to eight pages in 1999, which reduced burden hours for all carriers.</w:t>
      </w:r>
    </w:p>
    <w:p w14:paraId="41D050DC" w14:textId="77777777" w:rsidR="00D454CD" w:rsidRDefault="00D454CD" w:rsidP="00FD5861">
      <w:pPr>
        <w:ind w:left="720" w:hanging="720"/>
        <w:rPr>
          <w:rFonts w:ascii="Times New Roman" w:hAnsi="Times New Roman"/>
        </w:rPr>
      </w:pPr>
    </w:p>
    <w:p w14:paraId="6FBACE6D" w14:textId="0C0B53F1" w:rsidR="004E1D5B" w:rsidRDefault="00583A0B" w:rsidP="00D454CD">
      <w:pPr>
        <w:ind w:left="720"/>
        <w:rPr>
          <w:rFonts w:ascii="Times New Roman" w:hAnsi="Times New Roman"/>
        </w:rPr>
      </w:pPr>
      <w:r>
        <w:rPr>
          <w:rFonts w:ascii="Times New Roman" w:hAnsi="Times New Roman"/>
        </w:rPr>
        <w:t>As noted above, o</w:t>
      </w:r>
      <w:r w:rsidR="00E43F75">
        <w:rPr>
          <w:rFonts w:ascii="Times New Roman" w:hAnsi="Times New Roman"/>
        </w:rPr>
        <w:t>n December 17, 2013</w:t>
      </w:r>
      <w:r w:rsidR="00272A5A">
        <w:rPr>
          <w:rFonts w:ascii="Times New Roman" w:hAnsi="Times New Roman"/>
        </w:rPr>
        <w:t>,</w:t>
      </w:r>
      <w:r w:rsidR="00E43F75">
        <w:rPr>
          <w:rFonts w:ascii="Times New Roman" w:hAnsi="Times New Roman"/>
        </w:rPr>
        <w:t xml:space="preserve"> </w:t>
      </w:r>
      <w:r w:rsidR="00972F15">
        <w:rPr>
          <w:rFonts w:ascii="Times New Roman" w:hAnsi="Times New Roman"/>
        </w:rPr>
        <w:t>FMCSA</w:t>
      </w:r>
      <w:r w:rsidR="00972F15" w:rsidRPr="005B783E">
        <w:rPr>
          <w:rFonts w:ascii="Times New Roman" w:hAnsi="Times New Roman"/>
        </w:rPr>
        <w:t xml:space="preserve"> eliminat</w:t>
      </w:r>
      <w:r w:rsidR="00E43F75">
        <w:rPr>
          <w:rFonts w:ascii="Times New Roman" w:hAnsi="Times New Roman"/>
        </w:rPr>
        <w:t>e</w:t>
      </w:r>
      <w:r>
        <w:rPr>
          <w:rFonts w:ascii="Times New Roman" w:hAnsi="Times New Roman"/>
        </w:rPr>
        <w:t>d</w:t>
      </w:r>
      <w:r w:rsidR="00BC2D04">
        <w:rPr>
          <w:rFonts w:ascii="Times New Roman" w:hAnsi="Times New Roman"/>
        </w:rPr>
        <w:t xml:space="preserve"> two quarterly reports </w:t>
      </w:r>
      <w:r w:rsidR="00972F15" w:rsidRPr="005B783E">
        <w:rPr>
          <w:rFonts w:ascii="Times New Roman" w:hAnsi="Times New Roman"/>
        </w:rPr>
        <w:t>includ</w:t>
      </w:r>
      <w:r>
        <w:rPr>
          <w:rFonts w:ascii="Times New Roman" w:hAnsi="Times New Roman"/>
        </w:rPr>
        <w:t>ing</w:t>
      </w:r>
      <w:r w:rsidR="00972F15" w:rsidRPr="005B783E">
        <w:rPr>
          <w:rFonts w:ascii="Times New Roman" w:hAnsi="Times New Roman"/>
        </w:rPr>
        <w:t xml:space="preserve">: </w:t>
      </w:r>
      <w:r w:rsidR="00972F15" w:rsidRPr="00D454CD">
        <w:rPr>
          <w:rFonts w:ascii="Times New Roman" w:hAnsi="Times New Roman"/>
        </w:rPr>
        <w:t xml:space="preserve">(1) Form QFR Quarterly for property carriers, authorized by </w:t>
      </w:r>
      <w:r w:rsidR="00F0055A">
        <w:rPr>
          <w:rFonts w:ascii="Times New Roman" w:hAnsi="Times New Roman"/>
        </w:rPr>
        <w:t xml:space="preserve">the </w:t>
      </w:r>
      <w:r w:rsidR="00972F15" w:rsidRPr="00D454CD">
        <w:rPr>
          <w:rFonts w:ascii="Times New Roman" w:hAnsi="Times New Roman"/>
        </w:rPr>
        <w:t xml:space="preserve">OMB </w:t>
      </w:r>
      <w:r w:rsidR="00F0055A">
        <w:rPr>
          <w:rFonts w:ascii="Times New Roman" w:hAnsi="Times New Roman"/>
        </w:rPr>
        <w:t xml:space="preserve">Control Number </w:t>
      </w:r>
      <w:r w:rsidR="00972F15" w:rsidRPr="00D454CD">
        <w:rPr>
          <w:rFonts w:ascii="Times New Roman" w:hAnsi="Times New Roman"/>
        </w:rPr>
        <w:t>2126-003</w:t>
      </w:r>
      <w:r w:rsidR="00F01C9E">
        <w:rPr>
          <w:rFonts w:ascii="Times New Roman" w:hAnsi="Times New Roman"/>
        </w:rPr>
        <w:t>2</w:t>
      </w:r>
      <w:r w:rsidR="00F0055A">
        <w:rPr>
          <w:rFonts w:ascii="Times New Roman" w:hAnsi="Times New Roman"/>
        </w:rPr>
        <w:t xml:space="preserve"> ICR</w:t>
      </w:r>
      <w:r w:rsidR="00972F15" w:rsidRPr="00D454CD">
        <w:rPr>
          <w:rFonts w:ascii="Times New Roman" w:hAnsi="Times New Roman"/>
        </w:rPr>
        <w:t xml:space="preserve">; and (2) the Class I passenger carrier financial </w:t>
      </w:r>
      <w:r w:rsidR="00972F15" w:rsidRPr="00FB7B74">
        <w:rPr>
          <w:rFonts w:ascii="Times New Roman" w:hAnsi="Times New Roman"/>
        </w:rPr>
        <w:t>quarterly survey (</w:t>
      </w:r>
      <w:r w:rsidR="00F0055A">
        <w:rPr>
          <w:rFonts w:ascii="Times New Roman" w:hAnsi="Times New Roman"/>
        </w:rPr>
        <w:t xml:space="preserve">Form </w:t>
      </w:r>
      <w:r w:rsidR="00972F15" w:rsidRPr="00FB7B74">
        <w:rPr>
          <w:rFonts w:ascii="Times New Roman" w:hAnsi="Times New Roman"/>
        </w:rPr>
        <w:t>MP-1 Quarterly), authorized by</w:t>
      </w:r>
      <w:r w:rsidR="00F0055A">
        <w:rPr>
          <w:rFonts w:ascii="Times New Roman" w:hAnsi="Times New Roman"/>
        </w:rPr>
        <w:t xml:space="preserve"> the</w:t>
      </w:r>
      <w:r w:rsidR="00972F15" w:rsidRPr="00FB7B74">
        <w:rPr>
          <w:rFonts w:ascii="Times New Roman" w:hAnsi="Times New Roman"/>
        </w:rPr>
        <w:t xml:space="preserve"> OMB </w:t>
      </w:r>
      <w:r w:rsidR="00F0055A">
        <w:rPr>
          <w:rFonts w:ascii="Times New Roman" w:hAnsi="Times New Roman"/>
        </w:rPr>
        <w:t>Control Number</w:t>
      </w:r>
      <w:r w:rsidR="00972F15" w:rsidRPr="00FB7B74">
        <w:rPr>
          <w:rFonts w:ascii="Times New Roman" w:hAnsi="Times New Roman"/>
        </w:rPr>
        <w:t xml:space="preserve"> 2126-0031</w:t>
      </w:r>
      <w:r w:rsidR="00F0055A">
        <w:rPr>
          <w:rFonts w:ascii="Times New Roman" w:hAnsi="Times New Roman"/>
        </w:rPr>
        <w:t xml:space="preserve"> ICR</w:t>
      </w:r>
      <w:r w:rsidR="005049FC">
        <w:rPr>
          <w:rFonts w:ascii="Times New Roman" w:hAnsi="Times New Roman"/>
        </w:rPr>
        <w:t xml:space="preserve">. </w:t>
      </w:r>
      <w:r w:rsidR="00972F15" w:rsidRPr="005B783E">
        <w:rPr>
          <w:rFonts w:ascii="Times New Roman" w:hAnsi="Times New Roman"/>
        </w:rPr>
        <w:t>The FMCSA does not have the statutory</w:t>
      </w:r>
      <w:r w:rsidR="00972F15">
        <w:rPr>
          <w:rFonts w:ascii="Times New Roman" w:hAnsi="Times New Roman"/>
        </w:rPr>
        <w:t xml:space="preserve"> </w:t>
      </w:r>
      <w:r w:rsidR="00972F15" w:rsidRPr="005B783E">
        <w:rPr>
          <w:rFonts w:ascii="Times New Roman" w:hAnsi="Times New Roman"/>
        </w:rPr>
        <w:t>authority to eliminate the annual reporting requirements for property or passenger carriers</w:t>
      </w:r>
      <w:r w:rsidR="00F0055A">
        <w:rPr>
          <w:rFonts w:ascii="Times New Roman" w:hAnsi="Times New Roman"/>
        </w:rPr>
        <w:t xml:space="preserve"> in this ICR</w:t>
      </w:r>
      <w:r w:rsidR="00972F15" w:rsidRPr="005B783E">
        <w:rPr>
          <w:rFonts w:ascii="Times New Roman" w:hAnsi="Times New Roman"/>
        </w:rPr>
        <w:t>.</w:t>
      </w:r>
    </w:p>
    <w:p w14:paraId="6C8E28E0" w14:textId="77777777" w:rsidR="004E1D5B" w:rsidRDefault="004E1D5B" w:rsidP="00D454CD">
      <w:pPr>
        <w:ind w:left="720"/>
        <w:rPr>
          <w:rFonts w:ascii="Times New Roman" w:hAnsi="Times New Roman"/>
        </w:rPr>
      </w:pPr>
    </w:p>
    <w:p w14:paraId="24C30E31" w14:textId="4D4EC0C2" w:rsidR="004E1D5B" w:rsidRDefault="004E1D5B" w:rsidP="004E1D5B">
      <w:pPr>
        <w:ind w:left="720"/>
        <w:rPr>
          <w:rFonts w:ascii="Times New Roman" w:hAnsi="Times New Roman"/>
        </w:rPr>
      </w:pPr>
      <w:r>
        <w:rPr>
          <w:rFonts w:ascii="Times New Roman" w:hAnsi="Times New Roman"/>
        </w:rPr>
        <w:t xml:space="preserve">Form MP-1 data are collected only from the largest carriers.  Class I motor carriers of passengers with annual operating revenue of $5 million or more, adjusted to account for the impact of inflation using the Producer Price Index for Finished Goods, are subject to the reporting requirements.  </w:t>
      </w:r>
    </w:p>
    <w:p w14:paraId="6A04282B" w14:textId="77777777" w:rsidR="004E1D5B" w:rsidRDefault="004E1D5B" w:rsidP="004E1D5B">
      <w:pPr>
        <w:ind w:left="720"/>
        <w:rPr>
          <w:rFonts w:ascii="Times New Roman" w:hAnsi="Times New Roman"/>
        </w:rPr>
      </w:pPr>
    </w:p>
    <w:p w14:paraId="13332CA5" w14:textId="77777777" w:rsidR="0064680C" w:rsidRPr="000B5383" w:rsidRDefault="0064680C" w:rsidP="0064680C">
      <w:pPr>
        <w:ind w:left="360" w:hanging="360"/>
        <w:rPr>
          <w:rFonts w:ascii="Times New Roman" w:hAnsi="Times New Roman"/>
        </w:rPr>
      </w:pPr>
      <w:r w:rsidRPr="000B5383">
        <w:rPr>
          <w:rFonts w:ascii="Times New Roman" w:hAnsi="Times New Roman"/>
          <w:b/>
        </w:rPr>
        <w:t xml:space="preserve">6.       </w:t>
      </w:r>
      <w:r w:rsidRPr="000B5383">
        <w:rPr>
          <w:rFonts w:ascii="Times New Roman" w:hAnsi="Times New Roman"/>
          <w:b/>
          <w:u w:val="single"/>
        </w:rPr>
        <w:t>Impact of Less Frequent Collection of Information</w:t>
      </w:r>
    </w:p>
    <w:p w14:paraId="2D44709D" w14:textId="77777777" w:rsidR="0064680C" w:rsidRPr="000B5383" w:rsidRDefault="0064680C" w:rsidP="0064680C">
      <w:pPr>
        <w:ind w:left="360" w:hanging="720"/>
        <w:rPr>
          <w:rFonts w:ascii="Times New Roman" w:hAnsi="Times New Roman"/>
        </w:rPr>
      </w:pPr>
    </w:p>
    <w:p w14:paraId="35A0F321" w14:textId="77777777" w:rsidR="007D6EE2" w:rsidRDefault="00583A0B" w:rsidP="0034105B">
      <w:pPr>
        <w:widowControl w:val="0"/>
        <w:ind w:left="720"/>
        <w:rPr>
          <w:rFonts w:ascii="Times New Roman" w:hAnsi="Times New Roman"/>
        </w:rPr>
      </w:pPr>
      <w:r>
        <w:rPr>
          <w:rFonts w:ascii="Times New Roman" w:hAnsi="Times New Roman"/>
        </w:rPr>
        <w:t>T</w:t>
      </w:r>
      <w:r w:rsidR="007D6EE2">
        <w:rPr>
          <w:rFonts w:ascii="Times New Roman" w:hAnsi="Times New Roman"/>
        </w:rPr>
        <w:t>he annual survey provides useful information</w:t>
      </w:r>
      <w:r>
        <w:rPr>
          <w:rFonts w:ascii="Times New Roman" w:hAnsi="Times New Roman"/>
        </w:rPr>
        <w:t xml:space="preserve"> and is required by 49 U.S.C. 14123</w:t>
      </w:r>
      <w:r w:rsidR="007D6EE2">
        <w:rPr>
          <w:rFonts w:ascii="Times New Roman" w:hAnsi="Times New Roman"/>
        </w:rPr>
        <w:t>,</w:t>
      </w:r>
      <w:r>
        <w:rPr>
          <w:rFonts w:ascii="Times New Roman" w:hAnsi="Times New Roman"/>
        </w:rPr>
        <w:t xml:space="preserve"> as discussed above. </w:t>
      </w:r>
      <w:r w:rsidR="007D6EE2">
        <w:rPr>
          <w:rFonts w:ascii="Times New Roman" w:hAnsi="Times New Roman"/>
        </w:rPr>
        <w:t xml:space="preserve"> </w:t>
      </w:r>
    </w:p>
    <w:p w14:paraId="7A9C0663" w14:textId="77777777" w:rsidR="00ED37E8" w:rsidRDefault="00ED37E8" w:rsidP="0034105B">
      <w:pPr>
        <w:widowControl w:val="0"/>
        <w:ind w:left="720"/>
        <w:rPr>
          <w:rFonts w:ascii="Times New Roman" w:hAnsi="Times New Roman"/>
        </w:rPr>
      </w:pPr>
    </w:p>
    <w:p w14:paraId="4EADF628" w14:textId="77777777" w:rsidR="0064680C" w:rsidRPr="000B5383" w:rsidRDefault="0064680C" w:rsidP="0064680C">
      <w:pPr>
        <w:rPr>
          <w:rFonts w:ascii="Times New Roman" w:hAnsi="Times New Roman"/>
        </w:rPr>
      </w:pPr>
      <w:r w:rsidRPr="000B5383">
        <w:rPr>
          <w:rFonts w:ascii="Times New Roman" w:hAnsi="Times New Roman"/>
          <w:b/>
        </w:rPr>
        <w:t xml:space="preserve">7. </w:t>
      </w:r>
      <w:r w:rsidRPr="000B5383">
        <w:rPr>
          <w:rFonts w:ascii="Times New Roman" w:hAnsi="Times New Roman"/>
          <w:b/>
        </w:rPr>
        <w:tab/>
        <w:t xml:space="preserve"> </w:t>
      </w:r>
      <w:r w:rsidRPr="000B5383">
        <w:rPr>
          <w:rFonts w:ascii="Times New Roman" w:hAnsi="Times New Roman"/>
          <w:b/>
          <w:u w:val="single"/>
        </w:rPr>
        <w:t>Special Circumstances</w:t>
      </w:r>
    </w:p>
    <w:p w14:paraId="02C92F7B" w14:textId="77777777" w:rsidR="0064680C" w:rsidRPr="000B5383" w:rsidRDefault="0064680C" w:rsidP="0064680C">
      <w:pPr>
        <w:ind w:hanging="720"/>
        <w:rPr>
          <w:rFonts w:ascii="Times New Roman" w:hAnsi="Times New Roman"/>
          <w:u w:val="single"/>
        </w:rPr>
      </w:pPr>
    </w:p>
    <w:p w14:paraId="7B2F3814" w14:textId="77777777" w:rsidR="008D6E95" w:rsidRDefault="0064680C" w:rsidP="00DB3957">
      <w:pPr>
        <w:ind w:firstLine="720"/>
        <w:outlineLvl w:val="0"/>
        <w:rPr>
          <w:rFonts w:ascii="Times New Roman" w:hAnsi="Times New Roman"/>
        </w:rPr>
      </w:pPr>
      <w:r w:rsidRPr="000B5383">
        <w:rPr>
          <w:rFonts w:ascii="Times New Roman" w:hAnsi="Times New Roman"/>
        </w:rPr>
        <w:t>There are no special circumstances.</w:t>
      </w:r>
    </w:p>
    <w:p w14:paraId="5D875286" w14:textId="77777777" w:rsidR="004403A3" w:rsidRDefault="004403A3" w:rsidP="00DB3957">
      <w:pPr>
        <w:ind w:firstLine="720"/>
        <w:outlineLvl w:val="0"/>
        <w:rPr>
          <w:rFonts w:ascii="Times New Roman" w:hAnsi="Times New Roman"/>
          <w:b/>
        </w:rPr>
      </w:pPr>
    </w:p>
    <w:p w14:paraId="2B75C7CE" w14:textId="77777777" w:rsidR="0064680C" w:rsidRPr="000B5383" w:rsidRDefault="0064680C" w:rsidP="0064680C">
      <w:pPr>
        <w:keepNext/>
        <w:rPr>
          <w:rFonts w:ascii="Times New Roman" w:hAnsi="Times New Roman"/>
          <w:b/>
          <w:u w:val="single"/>
        </w:rPr>
      </w:pPr>
      <w:r w:rsidRPr="000B5383">
        <w:rPr>
          <w:rFonts w:ascii="Times New Roman" w:hAnsi="Times New Roman"/>
          <w:b/>
        </w:rPr>
        <w:t xml:space="preserve">8.  </w:t>
      </w:r>
      <w:r w:rsidRPr="000B5383">
        <w:rPr>
          <w:rFonts w:ascii="Times New Roman" w:hAnsi="Times New Roman"/>
          <w:b/>
        </w:rPr>
        <w:tab/>
      </w:r>
      <w:r w:rsidRPr="000B5383">
        <w:rPr>
          <w:rFonts w:ascii="Times New Roman" w:hAnsi="Times New Roman"/>
          <w:b/>
          <w:u w:val="single"/>
        </w:rPr>
        <w:t>Compliance with 4 CFR 1320.8</w:t>
      </w:r>
    </w:p>
    <w:p w14:paraId="607EFD9B" w14:textId="77777777" w:rsidR="0064680C" w:rsidRPr="000B5383" w:rsidRDefault="0064680C" w:rsidP="0064680C">
      <w:pPr>
        <w:ind w:hanging="720"/>
        <w:rPr>
          <w:rFonts w:ascii="Times New Roman" w:hAnsi="Times New Roman"/>
          <w:u w:val="single"/>
        </w:rPr>
      </w:pPr>
    </w:p>
    <w:p w14:paraId="02D40000" w14:textId="17977083" w:rsidR="00F834CB" w:rsidRPr="00F834CB" w:rsidRDefault="008B0EB3" w:rsidP="0046194F">
      <w:pPr>
        <w:widowControl w:val="0"/>
        <w:autoSpaceDE w:val="0"/>
        <w:autoSpaceDN w:val="0"/>
        <w:adjustRightInd w:val="0"/>
        <w:ind w:left="720"/>
        <w:rPr>
          <w:rFonts w:ascii="Times New Roman" w:hAnsi="Times New Roman"/>
        </w:rPr>
      </w:pPr>
      <w:r w:rsidRPr="0034105B">
        <w:rPr>
          <w:rFonts w:ascii="Times New Roman" w:hAnsi="Times New Roman"/>
        </w:rPr>
        <w:t xml:space="preserve">On </w:t>
      </w:r>
      <w:r w:rsidR="00551D80">
        <w:rPr>
          <w:rFonts w:ascii="Times New Roman" w:hAnsi="Times New Roman"/>
        </w:rPr>
        <w:t>April 24, 2018</w:t>
      </w:r>
      <w:r w:rsidR="00583A0B">
        <w:rPr>
          <w:rFonts w:ascii="Times New Roman" w:hAnsi="Times New Roman"/>
        </w:rPr>
        <w:t xml:space="preserve"> </w:t>
      </w:r>
      <w:r w:rsidRPr="0034105B">
        <w:rPr>
          <w:rFonts w:ascii="Times New Roman" w:hAnsi="Times New Roman"/>
        </w:rPr>
        <w:t>(</w:t>
      </w:r>
      <w:r w:rsidR="00D91B97">
        <w:rPr>
          <w:rFonts w:ascii="Times New Roman" w:hAnsi="Times New Roman"/>
        </w:rPr>
        <w:t>8</w:t>
      </w:r>
      <w:r w:rsidR="00822E4B">
        <w:rPr>
          <w:rFonts w:ascii="Times New Roman" w:hAnsi="Times New Roman"/>
        </w:rPr>
        <w:t>3</w:t>
      </w:r>
      <w:r w:rsidRPr="0034105B">
        <w:rPr>
          <w:rFonts w:ascii="Times New Roman" w:hAnsi="Times New Roman"/>
        </w:rPr>
        <w:t xml:space="preserve"> FR </w:t>
      </w:r>
      <w:r w:rsidR="00D91B97">
        <w:rPr>
          <w:rFonts w:ascii="Times New Roman" w:hAnsi="Times New Roman"/>
        </w:rPr>
        <w:t>17894</w:t>
      </w:r>
      <w:r w:rsidR="00BB4BCA" w:rsidRPr="0034105B">
        <w:rPr>
          <w:rFonts w:ascii="Times New Roman" w:hAnsi="Times New Roman"/>
        </w:rPr>
        <w:t>) (</w:t>
      </w:r>
      <w:r w:rsidRPr="0034105B">
        <w:rPr>
          <w:rFonts w:ascii="Times New Roman" w:hAnsi="Times New Roman"/>
        </w:rPr>
        <w:t xml:space="preserve">Attachment </w:t>
      </w:r>
      <w:r w:rsidR="005049FC">
        <w:rPr>
          <w:rFonts w:ascii="Times New Roman" w:hAnsi="Times New Roman"/>
        </w:rPr>
        <w:t>I</w:t>
      </w:r>
      <w:r w:rsidRPr="0034105B">
        <w:rPr>
          <w:rFonts w:ascii="Times New Roman" w:hAnsi="Times New Roman"/>
        </w:rPr>
        <w:t>)</w:t>
      </w:r>
      <w:r w:rsidR="00BB4BCA" w:rsidRPr="0034105B">
        <w:rPr>
          <w:rFonts w:ascii="Times New Roman" w:hAnsi="Times New Roman"/>
        </w:rPr>
        <w:t xml:space="preserve">, </w:t>
      </w:r>
      <w:r w:rsidRPr="0034105B">
        <w:rPr>
          <w:rFonts w:ascii="Times New Roman" w:hAnsi="Times New Roman"/>
        </w:rPr>
        <w:t xml:space="preserve">FMCSA published a notice in the Federal Register </w:t>
      </w:r>
      <w:r w:rsidR="007B405D" w:rsidRPr="0034105B">
        <w:rPr>
          <w:rFonts w:ascii="Times New Roman" w:hAnsi="Times New Roman"/>
        </w:rPr>
        <w:t xml:space="preserve">with a 60-day public comment period to announce </w:t>
      </w:r>
      <w:r w:rsidR="00495C0B" w:rsidRPr="0034105B">
        <w:rPr>
          <w:rFonts w:ascii="Times New Roman" w:hAnsi="Times New Roman"/>
        </w:rPr>
        <w:t>this proposed</w:t>
      </w:r>
      <w:r w:rsidRPr="0034105B">
        <w:rPr>
          <w:rFonts w:ascii="Times New Roman" w:hAnsi="Times New Roman"/>
        </w:rPr>
        <w:t xml:space="preserve"> information collection</w:t>
      </w:r>
      <w:r w:rsidR="007B405D" w:rsidRPr="0034105B">
        <w:rPr>
          <w:rFonts w:ascii="Times New Roman" w:hAnsi="Times New Roman"/>
        </w:rPr>
        <w:t xml:space="preserve"> request</w:t>
      </w:r>
      <w:r w:rsidR="003524F8">
        <w:rPr>
          <w:rFonts w:ascii="Times New Roman" w:hAnsi="Times New Roman"/>
        </w:rPr>
        <w:t xml:space="preserve"> revision</w:t>
      </w:r>
      <w:r w:rsidRPr="0034105B">
        <w:rPr>
          <w:rFonts w:ascii="Times New Roman" w:hAnsi="Times New Roman"/>
        </w:rPr>
        <w:t xml:space="preserve">.  </w:t>
      </w:r>
      <w:r w:rsidR="005941DA">
        <w:rPr>
          <w:rFonts w:ascii="Times New Roman" w:hAnsi="Times New Roman"/>
        </w:rPr>
        <w:t xml:space="preserve">The agency received no </w:t>
      </w:r>
      <w:r w:rsidR="00A36E18">
        <w:rPr>
          <w:rFonts w:ascii="Times New Roman" w:hAnsi="Times New Roman"/>
        </w:rPr>
        <w:t>comments in</w:t>
      </w:r>
      <w:r w:rsidR="0046194F">
        <w:rPr>
          <w:rFonts w:ascii="Times New Roman" w:hAnsi="Times New Roman"/>
        </w:rPr>
        <w:t xml:space="preserve"> response to this notice.</w:t>
      </w:r>
    </w:p>
    <w:p w14:paraId="1A10A791" w14:textId="77777777" w:rsidR="0098189A" w:rsidRPr="0034105B" w:rsidRDefault="0098189A" w:rsidP="008B0EB3">
      <w:pPr>
        <w:ind w:left="720"/>
        <w:rPr>
          <w:rFonts w:ascii="Times New Roman" w:hAnsi="Times New Roman"/>
        </w:rPr>
      </w:pPr>
    </w:p>
    <w:p w14:paraId="0BF91590" w14:textId="067BC47C" w:rsidR="004E1D5B" w:rsidRDefault="004E1D5B" w:rsidP="008B0EB3">
      <w:pPr>
        <w:ind w:left="720"/>
        <w:rPr>
          <w:rFonts w:ascii="Times New Roman" w:hAnsi="Times New Roman"/>
        </w:rPr>
      </w:pPr>
    </w:p>
    <w:p w14:paraId="0152B50B" w14:textId="77777777" w:rsidR="0064680C" w:rsidRPr="000B5383" w:rsidRDefault="0064680C" w:rsidP="0064680C">
      <w:pPr>
        <w:ind w:left="720" w:hanging="720"/>
        <w:rPr>
          <w:rFonts w:ascii="Times New Roman" w:hAnsi="Times New Roman"/>
        </w:rPr>
      </w:pPr>
      <w:r w:rsidRPr="000B5383">
        <w:rPr>
          <w:rFonts w:ascii="Times New Roman" w:hAnsi="Times New Roman"/>
          <w:b/>
        </w:rPr>
        <w:t>9.</w:t>
      </w:r>
      <w:r w:rsidRPr="000B5383">
        <w:rPr>
          <w:rFonts w:ascii="Times New Roman" w:hAnsi="Times New Roman"/>
          <w:b/>
        </w:rPr>
        <w:tab/>
      </w:r>
      <w:r w:rsidRPr="000B5383">
        <w:rPr>
          <w:rFonts w:ascii="Times New Roman" w:hAnsi="Times New Roman"/>
          <w:b/>
          <w:u w:val="single"/>
        </w:rPr>
        <w:t>Payments or Gifts to Respondents</w:t>
      </w:r>
    </w:p>
    <w:p w14:paraId="5CF82410" w14:textId="77777777" w:rsidR="0064680C" w:rsidRPr="000B5383" w:rsidRDefault="0064680C" w:rsidP="0064680C">
      <w:pPr>
        <w:ind w:left="720" w:hanging="720"/>
        <w:rPr>
          <w:rFonts w:ascii="Times New Roman" w:hAnsi="Times New Roman"/>
        </w:rPr>
      </w:pPr>
    </w:p>
    <w:p w14:paraId="368C5514" w14:textId="77777777" w:rsidR="0064680C" w:rsidRPr="000B5383" w:rsidRDefault="0064680C" w:rsidP="00923862">
      <w:pPr>
        <w:ind w:left="720" w:hanging="720"/>
        <w:outlineLvl w:val="0"/>
        <w:rPr>
          <w:rFonts w:ascii="Times New Roman" w:hAnsi="Times New Roman"/>
        </w:rPr>
      </w:pPr>
      <w:r w:rsidRPr="000B5383">
        <w:rPr>
          <w:rFonts w:ascii="Times New Roman" w:hAnsi="Times New Roman"/>
        </w:rPr>
        <w:tab/>
        <w:t>There are no payments or gifts to respondents.</w:t>
      </w:r>
    </w:p>
    <w:p w14:paraId="40A8A859" w14:textId="77777777" w:rsidR="0064680C" w:rsidRPr="000B5383" w:rsidRDefault="0064680C" w:rsidP="0064680C">
      <w:pPr>
        <w:ind w:left="720" w:hanging="720"/>
        <w:rPr>
          <w:rFonts w:ascii="Times New Roman" w:hAnsi="Times New Roman"/>
        </w:rPr>
      </w:pPr>
    </w:p>
    <w:p w14:paraId="214F2E22" w14:textId="77777777" w:rsidR="0064680C" w:rsidRPr="000B5383" w:rsidRDefault="0064680C" w:rsidP="0064680C">
      <w:pPr>
        <w:ind w:left="720" w:hanging="720"/>
        <w:rPr>
          <w:rFonts w:ascii="Times New Roman" w:hAnsi="Times New Roman"/>
        </w:rPr>
      </w:pPr>
      <w:r w:rsidRPr="000B5383">
        <w:rPr>
          <w:rFonts w:ascii="Times New Roman" w:hAnsi="Times New Roman"/>
          <w:b/>
        </w:rPr>
        <w:t>10.</w:t>
      </w:r>
      <w:r w:rsidRPr="000B5383">
        <w:rPr>
          <w:rFonts w:ascii="Times New Roman" w:hAnsi="Times New Roman"/>
          <w:b/>
        </w:rPr>
        <w:tab/>
      </w:r>
      <w:r w:rsidRPr="000B5383">
        <w:rPr>
          <w:rFonts w:ascii="Times New Roman" w:hAnsi="Times New Roman"/>
          <w:b/>
          <w:u w:val="single"/>
        </w:rPr>
        <w:t>Assurance of Confidentiality:</w:t>
      </w:r>
    </w:p>
    <w:p w14:paraId="75A992FC" w14:textId="77777777" w:rsidR="0064680C" w:rsidRPr="000B5383" w:rsidRDefault="0064680C" w:rsidP="0064680C">
      <w:pPr>
        <w:ind w:left="720" w:hanging="720"/>
        <w:rPr>
          <w:rFonts w:ascii="Times New Roman" w:hAnsi="Times New Roman"/>
        </w:rPr>
      </w:pPr>
    </w:p>
    <w:p w14:paraId="0578B613" w14:textId="2540CCB9" w:rsidR="0064680C" w:rsidRPr="000B5383" w:rsidRDefault="0064680C" w:rsidP="0064680C">
      <w:pPr>
        <w:ind w:left="720" w:hanging="720"/>
        <w:rPr>
          <w:rFonts w:ascii="Times New Roman" w:hAnsi="Times New Roman"/>
        </w:rPr>
      </w:pPr>
      <w:r w:rsidRPr="000B5383">
        <w:rPr>
          <w:rFonts w:ascii="Times New Roman" w:hAnsi="Times New Roman"/>
        </w:rPr>
        <w:tab/>
        <w:t>Currently</w:t>
      </w:r>
      <w:r w:rsidR="00BB4BCA">
        <w:rPr>
          <w:rFonts w:ascii="Times New Roman" w:hAnsi="Times New Roman"/>
        </w:rPr>
        <w:t>,</w:t>
      </w:r>
      <w:r w:rsidRPr="000B5383">
        <w:rPr>
          <w:rFonts w:ascii="Times New Roman" w:hAnsi="Times New Roman"/>
        </w:rPr>
        <w:t xml:space="preserve"> all data are made available at the respondent level.  </w:t>
      </w:r>
      <w:r w:rsidR="00BB4BCA">
        <w:rPr>
          <w:rFonts w:ascii="Times New Roman" w:hAnsi="Times New Roman"/>
        </w:rPr>
        <w:t xml:space="preserve"> </w:t>
      </w:r>
      <w:r w:rsidR="003524F8">
        <w:rPr>
          <w:rFonts w:ascii="Times New Roman" w:hAnsi="Times New Roman"/>
        </w:rPr>
        <w:t>R</w:t>
      </w:r>
      <w:r w:rsidRPr="000B5383">
        <w:rPr>
          <w:rFonts w:ascii="Times New Roman" w:hAnsi="Times New Roman"/>
        </w:rPr>
        <w:t>egulation</w:t>
      </w:r>
      <w:r w:rsidR="00BB4BCA">
        <w:rPr>
          <w:rFonts w:ascii="Times New Roman" w:hAnsi="Times New Roman"/>
        </w:rPr>
        <w:t>s</w:t>
      </w:r>
      <w:r w:rsidRPr="000B5383">
        <w:rPr>
          <w:rFonts w:ascii="Times New Roman" w:hAnsi="Times New Roman"/>
        </w:rPr>
        <w:t xml:space="preserve"> </w:t>
      </w:r>
      <w:r w:rsidR="00BB4BCA">
        <w:rPr>
          <w:rFonts w:ascii="Times New Roman" w:hAnsi="Times New Roman"/>
        </w:rPr>
        <w:t xml:space="preserve">at </w:t>
      </w:r>
      <w:r w:rsidRPr="000B5383">
        <w:rPr>
          <w:rFonts w:ascii="Times New Roman" w:hAnsi="Times New Roman"/>
        </w:rPr>
        <w:t xml:space="preserve">49 CFR </w:t>
      </w:r>
      <w:r w:rsidR="00150BD0">
        <w:rPr>
          <w:rFonts w:ascii="Times New Roman" w:hAnsi="Times New Roman"/>
        </w:rPr>
        <w:t>p</w:t>
      </w:r>
      <w:r w:rsidR="00F15AAD">
        <w:rPr>
          <w:rFonts w:ascii="Times New Roman" w:hAnsi="Times New Roman"/>
        </w:rPr>
        <w:t>art 369</w:t>
      </w:r>
      <w:r w:rsidRPr="000B5383">
        <w:rPr>
          <w:rFonts w:ascii="Times New Roman" w:hAnsi="Times New Roman"/>
        </w:rPr>
        <w:t xml:space="preserve"> allow a motor carrier to request </w:t>
      </w:r>
      <w:r w:rsidR="00F15AAD">
        <w:rPr>
          <w:rFonts w:ascii="Times New Roman" w:hAnsi="Times New Roman"/>
        </w:rPr>
        <w:t xml:space="preserve">an exemption from filing (369.8) or </w:t>
      </w:r>
      <w:r w:rsidR="00BF5C80">
        <w:rPr>
          <w:rFonts w:ascii="Times New Roman" w:hAnsi="Times New Roman"/>
        </w:rPr>
        <w:t>public release</w:t>
      </w:r>
      <w:r w:rsidR="00F15AAD">
        <w:rPr>
          <w:rFonts w:ascii="Times New Roman" w:hAnsi="Times New Roman"/>
        </w:rPr>
        <w:t xml:space="preserve"> (369.9)</w:t>
      </w:r>
      <w:r w:rsidRPr="000B5383">
        <w:rPr>
          <w:rFonts w:ascii="Times New Roman" w:hAnsi="Times New Roman"/>
        </w:rPr>
        <w:t xml:space="preserve">.  The decision to grant the exemptions is based on the criteria established </w:t>
      </w:r>
      <w:r w:rsidR="00583A0B">
        <w:rPr>
          <w:rFonts w:ascii="Times New Roman" w:hAnsi="Times New Roman"/>
        </w:rPr>
        <w:t xml:space="preserve">by </w:t>
      </w:r>
      <w:r w:rsidRPr="000B5383">
        <w:rPr>
          <w:rFonts w:ascii="Times New Roman" w:hAnsi="Times New Roman"/>
        </w:rPr>
        <w:t>those regulations.</w:t>
      </w:r>
    </w:p>
    <w:p w14:paraId="02EDB95E" w14:textId="77777777" w:rsidR="0064680C" w:rsidRPr="000B5383" w:rsidRDefault="0064680C" w:rsidP="0064680C">
      <w:pPr>
        <w:ind w:left="720" w:hanging="720"/>
        <w:rPr>
          <w:rFonts w:ascii="Times New Roman" w:hAnsi="Times New Roman"/>
          <w:b/>
        </w:rPr>
      </w:pPr>
    </w:p>
    <w:p w14:paraId="74ED030B" w14:textId="77777777" w:rsidR="0064680C" w:rsidRPr="000B5383" w:rsidRDefault="0064680C" w:rsidP="0064680C">
      <w:pPr>
        <w:ind w:left="720" w:hanging="720"/>
        <w:rPr>
          <w:rFonts w:ascii="Times New Roman" w:hAnsi="Times New Roman"/>
        </w:rPr>
      </w:pPr>
      <w:r w:rsidRPr="000B5383">
        <w:rPr>
          <w:rFonts w:ascii="Times New Roman" w:hAnsi="Times New Roman"/>
          <w:b/>
        </w:rPr>
        <w:t>11.</w:t>
      </w:r>
      <w:r w:rsidRPr="000B5383">
        <w:rPr>
          <w:rFonts w:ascii="Times New Roman" w:hAnsi="Times New Roman"/>
          <w:b/>
        </w:rPr>
        <w:tab/>
      </w:r>
      <w:r w:rsidRPr="000B5383">
        <w:rPr>
          <w:rFonts w:ascii="Times New Roman" w:hAnsi="Times New Roman"/>
          <w:b/>
          <w:u w:val="single"/>
        </w:rPr>
        <w:t>Justification for Collection of Sensitive Information</w:t>
      </w:r>
    </w:p>
    <w:p w14:paraId="439AAA2B" w14:textId="77777777" w:rsidR="0064680C" w:rsidRPr="000B5383" w:rsidRDefault="0064680C" w:rsidP="0064680C">
      <w:pPr>
        <w:ind w:left="720" w:hanging="720"/>
        <w:rPr>
          <w:rFonts w:ascii="Times New Roman" w:hAnsi="Times New Roman"/>
        </w:rPr>
      </w:pPr>
    </w:p>
    <w:p w14:paraId="1F7F170E" w14:textId="77777777" w:rsidR="00FB7B74" w:rsidRPr="000B5383" w:rsidRDefault="0064680C" w:rsidP="00923862">
      <w:pPr>
        <w:ind w:left="720" w:hanging="720"/>
        <w:outlineLvl w:val="0"/>
        <w:rPr>
          <w:rFonts w:ascii="Times New Roman" w:hAnsi="Times New Roman"/>
        </w:rPr>
      </w:pPr>
      <w:r w:rsidRPr="000B5383">
        <w:rPr>
          <w:rFonts w:ascii="Times New Roman" w:hAnsi="Times New Roman"/>
        </w:rPr>
        <w:tab/>
      </w:r>
      <w:r w:rsidR="00643AE6">
        <w:rPr>
          <w:rFonts w:ascii="Times New Roman" w:hAnsi="Times New Roman"/>
        </w:rPr>
        <w:t xml:space="preserve">There are no questions of a sensitive </w:t>
      </w:r>
      <w:r w:rsidRPr="000B5383">
        <w:rPr>
          <w:rFonts w:ascii="Times New Roman" w:hAnsi="Times New Roman"/>
        </w:rPr>
        <w:t>nature.</w:t>
      </w:r>
    </w:p>
    <w:p w14:paraId="69A428FC" w14:textId="77777777" w:rsidR="0064680C" w:rsidRPr="000B5383" w:rsidRDefault="0064680C" w:rsidP="0064680C">
      <w:pPr>
        <w:ind w:left="720" w:hanging="720"/>
        <w:rPr>
          <w:rFonts w:ascii="Times New Roman" w:hAnsi="Times New Roman"/>
        </w:rPr>
      </w:pPr>
    </w:p>
    <w:p w14:paraId="59C52E87" w14:textId="77777777" w:rsidR="0064680C" w:rsidRPr="000B5383" w:rsidRDefault="0064680C" w:rsidP="0064680C">
      <w:pPr>
        <w:ind w:left="720" w:hanging="720"/>
        <w:rPr>
          <w:rFonts w:ascii="Times New Roman" w:hAnsi="Times New Roman"/>
        </w:rPr>
      </w:pPr>
      <w:r w:rsidRPr="000B5383">
        <w:rPr>
          <w:rFonts w:ascii="Times New Roman" w:hAnsi="Times New Roman"/>
          <w:b/>
        </w:rPr>
        <w:t>12.</w:t>
      </w:r>
      <w:r w:rsidRPr="000B5383">
        <w:rPr>
          <w:rFonts w:ascii="Times New Roman" w:hAnsi="Times New Roman"/>
          <w:b/>
        </w:rPr>
        <w:tab/>
      </w:r>
      <w:r w:rsidRPr="000B5383">
        <w:rPr>
          <w:rFonts w:ascii="Times New Roman" w:hAnsi="Times New Roman"/>
          <w:b/>
          <w:u w:val="single"/>
        </w:rPr>
        <w:t>Estimate of Burden Hours for Information Requested</w:t>
      </w:r>
    </w:p>
    <w:p w14:paraId="7C96C8DB" w14:textId="77777777" w:rsidR="0064680C" w:rsidRPr="000B5383" w:rsidRDefault="0064680C" w:rsidP="0064680C">
      <w:pPr>
        <w:ind w:left="720" w:hanging="720"/>
        <w:rPr>
          <w:rFonts w:ascii="Times New Roman" w:hAnsi="Times New Roman"/>
        </w:rPr>
      </w:pPr>
    </w:p>
    <w:p w14:paraId="3FA47544" w14:textId="77777777" w:rsidR="00246BDE" w:rsidRDefault="00246BDE" w:rsidP="0064680C">
      <w:pPr>
        <w:ind w:left="720" w:hanging="720"/>
        <w:rPr>
          <w:rFonts w:ascii="Times New Roman" w:hAnsi="Times New Roman"/>
        </w:rPr>
      </w:pPr>
      <w:r>
        <w:rPr>
          <w:rFonts w:ascii="Times New Roman" w:hAnsi="Times New Roman"/>
        </w:rPr>
        <w:tab/>
        <w:t>This ICR covers two information collections:</w:t>
      </w:r>
      <w:r w:rsidR="007D2B4B">
        <w:rPr>
          <w:rFonts w:ascii="Times New Roman" w:hAnsi="Times New Roman"/>
        </w:rPr>
        <w:t xml:space="preserve"> </w:t>
      </w:r>
      <w:r>
        <w:rPr>
          <w:rFonts w:ascii="Times New Roman" w:hAnsi="Times New Roman"/>
        </w:rPr>
        <w:t xml:space="preserve">Form M filed by </w:t>
      </w:r>
      <w:r w:rsidRPr="00567BB5">
        <w:rPr>
          <w:rFonts w:ascii="Times New Roman" w:hAnsi="Times New Roman"/>
        </w:rPr>
        <w:t>Clas</w:t>
      </w:r>
      <w:r>
        <w:rPr>
          <w:rFonts w:ascii="Times New Roman" w:hAnsi="Times New Roman"/>
        </w:rPr>
        <w:t>s I and Class II motor carriers of property</w:t>
      </w:r>
      <w:r w:rsidR="007D2B4B">
        <w:rPr>
          <w:rFonts w:ascii="Times New Roman" w:hAnsi="Times New Roman"/>
        </w:rPr>
        <w:t xml:space="preserve"> and Form MP-1 filed by </w:t>
      </w:r>
      <w:r w:rsidR="007D2B4B" w:rsidRPr="00BF77FF">
        <w:rPr>
          <w:rFonts w:ascii="Times New Roman" w:hAnsi="Times New Roman"/>
        </w:rPr>
        <w:t>Class I motor carriers of passengers</w:t>
      </w:r>
      <w:r w:rsidR="007D2B4B">
        <w:rPr>
          <w:rFonts w:ascii="Times New Roman" w:hAnsi="Times New Roman"/>
        </w:rPr>
        <w:t>.</w:t>
      </w:r>
    </w:p>
    <w:p w14:paraId="23338759" w14:textId="77777777" w:rsidR="00246BDE" w:rsidRDefault="00246BDE" w:rsidP="0064680C">
      <w:pPr>
        <w:ind w:left="720" w:hanging="720"/>
        <w:rPr>
          <w:rFonts w:ascii="Times New Roman" w:hAnsi="Times New Roman"/>
        </w:rPr>
      </w:pPr>
    </w:p>
    <w:p w14:paraId="0ADC2C6A" w14:textId="77777777" w:rsidR="00BF77FF" w:rsidRPr="00F01C9E" w:rsidRDefault="00BF77FF" w:rsidP="00F01C9E">
      <w:pPr>
        <w:ind w:left="720"/>
        <w:rPr>
          <w:rFonts w:ascii="Times New Roman" w:hAnsi="Times New Roman"/>
          <w:u w:val="single"/>
        </w:rPr>
      </w:pPr>
      <w:r w:rsidRPr="00F01C9E">
        <w:rPr>
          <w:rFonts w:ascii="Times New Roman" w:hAnsi="Times New Roman"/>
          <w:u w:val="single"/>
        </w:rPr>
        <w:t>Information Collection 1</w:t>
      </w:r>
      <w:r w:rsidR="00707F09">
        <w:rPr>
          <w:rFonts w:ascii="Times New Roman" w:hAnsi="Times New Roman"/>
          <w:u w:val="single"/>
        </w:rPr>
        <w:t>: Form M</w:t>
      </w:r>
    </w:p>
    <w:p w14:paraId="3BA09222" w14:textId="7FEF5C59" w:rsidR="008A3A57" w:rsidRDefault="00567BB5" w:rsidP="00F01C9E">
      <w:pPr>
        <w:ind w:left="720"/>
        <w:rPr>
          <w:rFonts w:ascii="Times New Roman" w:hAnsi="Times New Roman"/>
        </w:rPr>
      </w:pPr>
      <w:r w:rsidRPr="00567BB5">
        <w:rPr>
          <w:rFonts w:ascii="Times New Roman" w:hAnsi="Times New Roman"/>
        </w:rPr>
        <w:t>Clas</w:t>
      </w:r>
      <w:r>
        <w:rPr>
          <w:rFonts w:ascii="Times New Roman" w:hAnsi="Times New Roman"/>
        </w:rPr>
        <w:t>s I</w:t>
      </w:r>
      <w:r w:rsidR="00865F2D">
        <w:rPr>
          <w:rFonts w:ascii="Times New Roman" w:hAnsi="Times New Roman"/>
        </w:rPr>
        <w:t xml:space="preserve"> and Class II</w:t>
      </w:r>
      <w:r>
        <w:rPr>
          <w:rFonts w:ascii="Times New Roman" w:hAnsi="Times New Roman"/>
        </w:rPr>
        <w:t xml:space="preserve"> motor carriers of property</w:t>
      </w:r>
      <w:r w:rsidRPr="00567BB5">
        <w:rPr>
          <w:rFonts w:ascii="Times New Roman" w:hAnsi="Times New Roman"/>
        </w:rPr>
        <w:t xml:space="preserve"> are required to file Form M.  Class I carriers are those </w:t>
      </w:r>
      <w:r w:rsidR="0001389C" w:rsidRPr="00567BB5">
        <w:rPr>
          <w:rFonts w:ascii="Times New Roman" w:hAnsi="Times New Roman"/>
        </w:rPr>
        <w:t>with $</w:t>
      </w:r>
      <w:r>
        <w:rPr>
          <w:rFonts w:ascii="Times New Roman" w:hAnsi="Times New Roman"/>
        </w:rPr>
        <w:t>10</w:t>
      </w:r>
      <w:r w:rsidRPr="00567BB5">
        <w:rPr>
          <w:rFonts w:ascii="Times New Roman" w:hAnsi="Times New Roman"/>
        </w:rPr>
        <w:t xml:space="preserve"> million</w:t>
      </w:r>
      <w:r w:rsidR="007074ED">
        <w:rPr>
          <w:rFonts w:ascii="Times New Roman" w:hAnsi="Times New Roman"/>
        </w:rPr>
        <w:t xml:space="preserve"> or more average annual gross transportation </w:t>
      </w:r>
      <w:r w:rsidRPr="00567BB5">
        <w:rPr>
          <w:rFonts w:ascii="Times New Roman" w:hAnsi="Times New Roman"/>
        </w:rPr>
        <w:t>operating revenue</w:t>
      </w:r>
      <w:r w:rsidR="00070263">
        <w:rPr>
          <w:rFonts w:ascii="Times New Roman" w:hAnsi="Times New Roman"/>
        </w:rPr>
        <w:t xml:space="preserve"> (including interstate and </w:t>
      </w:r>
      <w:r w:rsidR="0001389C">
        <w:rPr>
          <w:rFonts w:ascii="Times New Roman" w:hAnsi="Times New Roman"/>
        </w:rPr>
        <w:t>intrastate</w:t>
      </w:r>
      <w:r w:rsidR="00070263">
        <w:rPr>
          <w:rFonts w:ascii="Times New Roman" w:hAnsi="Times New Roman"/>
        </w:rPr>
        <w:t>)</w:t>
      </w:r>
      <w:r w:rsidR="00865F2D">
        <w:rPr>
          <w:rFonts w:ascii="Times New Roman" w:hAnsi="Times New Roman"/>
        </w:rPr>
        <w:t>, and Class II motor carriers are those with $3 million</w:t>
      </w:r>
      <w:r w:rsidR="007074ED">
        <w:rPr>
          <w:rFonts w:ascii="Times New Roman" w:hAnsi="Times New Roman"/>
        </w:rPr>
        <w:t xml:space="preserve"> or more, but less than </w:t>
      </w:r>
      <w:r w:rsidR="00865F2D">
        <w:rPr>
          <w:rFonts w:ascii="Times New Roman" w:hAnsi="Times New Roman"/>
        </w:rPr>
        <w:t>$10 million in operating revenue</w:t>
      </w:r>
      <w:r w:rsidR="00070263">
        <w:rPr>
          <w:rFonts w:ascii="Times New Roman" w:hAnsi="Times New Roman"/>
        </w:rPr>
        <w:t xml:space="preserve"> (including interstate and </w:t>
      </w:r>
      <w:r w:rsidR="0001389C">
        <w:rPr>
          <w:rFonts w:ascii="Times New Roman" w:hAnsi="Times New Roman"/>
        </w:rPr>
        <w:t>intrastate</w:t>
      </w:r>
      <w:r w:rsidR="00070263">
        <w:rPr>
          <w:rFonts w:ascii="Times New Roman" w:hAnsi="Times New Roman"/>
        </w:rPr>
        <w:t>)</w:t>
      </w:r>
      <w:r w:rsidRPr="00567BB5">
        <w:rPr>
          <w:rFonts w:ascii="Times New Roman" w:hAnsi="Times New Roman"/>
        </w:rPr>
        <w:t>.  Revenue is adjusted to account for inflation</w:t>
      </w:r>
      <w:r w:rsidR="002C0A31">
        <w:rPr>
          <w:rFonts w:ascii="Times New Roman" w:hAnsi="Times New Roman"/>
        </w:rPr>
        <w:t>, using a formula in 49 CFR 369.2,</w:t>
      </w:r>
      <w:r>
        <w:rPr>
          <w:rFonts w:ascii="Times New Roman" w:hAnsi="Times New Roman"/>
        </w:rPr>
        <w:t xml:space="preserve"> </w:t>
      </w:r>
      <w:r w:rsidR="007074ED">
        <w:rPr>
          <w:rFonts w:ascii="Times New Roman" w:hAnsi="Times New Roman"/>
        </w:rPr>
        <w:t xml:space="preserve">because </w:t>
      </w:r>
      <w:r w:rsidRPr="00567BB5">
        <w:rPr>
          <w:rFonts w:ascii="Times New Roman" w:hAnsi="Times New Roman"/>
        </w:rPr>
        <w:t>the $</w:t>
      </w:r>
      <w:r>
        <w:rPr>
          <w:rFonts w:ascii="Times New Roman" w:hAnsi="Times New Roman"/>
        </w:rPr>
        <w:t>10</w:t>
      </w:r>
      <w:r w:rsidRPr="00567BB5">
        <w:rPr>
          <w:rFonts w:ascii="Times New Roman" w:hAnsi="Times New Roman"/>
        </w:rPr>
        <w:t xml:space="preserve"> million</w:t>
      </w:r>
      <w:r w:rsidR="00865F2D">
        <w:rPr>
          <w:rFonts w:ascii="Times New Roman" w:hAnsi="Times New Roman"/>
        </w:rPr>
        <w:t xml:space="preserve"> and $3 million</w:t>
      </w:r>
      <w:r w:rsidRPr="00567BB5">
        <w:rPr>
          <w:rFonts w:ascii="Times New Roman" w:hAnsi="Times New Roman"/>
        </w:rPr>
        <w:t xml:space="preserve"> threshold</w:t>
      </w:r>
      <w:r w:rsidR="00865F2D">
        <w:rPr>
          <w:rFonts w:ascii="Times New Roman" w:hAnsi="Times New Roman"/>
        </w:rPr>
        <w:t>s</w:t>
      </w:r>
      <w:r w:rsidRPr="00567BB5">
        <w:rPr>
          <w:rFonts w:ascii="Times New Roman" w:hAnsi="Times New Roman"/>
        </w:rPr>
        <w:t xml:space="preserve"> w</w:t>
      </w:r>
      <w:r w:rsidR="00865F2D">
        <w:rPr>
          <w:rFonts w:ascii="Times New Roman" w:hAnsi="Times New Roman"/>
        </w:rPr>
        <w:t>ere</w:t>
      </w:r>
      <w:r w:rsidRPr="00567BB5">
        <w:rPr>
          <w:rFonts w:ascii="Times New Roman" w:hAnsi="Times New Roman"/>
        </w:rPr>
        <w:t xml:space="preserve"> implemented in 1994.  </w:t>
      </w:r>
      <w:r w:rsidR="0036237B">
        <w:rPr>
          <w:rFonts w:ascii="Times New Roman" w:hAnsi="Times New Roman"/>
        </w:rPr>
        <w:t xml:space="preserve">In </w:t>
      </w:r>
      <w:r w:rsidR="00BA0678">
        <w:rPr>
          <w:rFonts w:ascii="Times New Roman" w:hAnsi="Times New Roman"/>
        </w:rPr>
        <w:t>2016</w:t>
      </w:r>
      <w:r w:rsidRPr="00567BB5">
        <w:rPr>
          <w:rFonts w:ascii="Times New Roman" w:hAnsi="Times New Roman"/>
        </w:rPr>
        <w:t xml:space="preserve">, </w:t>
      </w:r>
      <w:r w:rsidR="00BA0678">
        <w:rPr>
          <w:rFonts w:ascii="Times New Roman" w:hAnsi="Times New Roman"/>
        </w:rPr>
        <w:t xml:space="preserve">96 </w:t>
      </w:r>
      <w:r w:rsidRPr="00567BB5">
        <w:rPr>
          <w:rFonts w:ascii="Times New Roman" w:hAnsi="Times New Roman"/>
        </w:rPr>
        <w:t>carrier</w:t>
      </w:r>
      <w:r>
        <w:rPr>
          <w:rFonts w:ascii="Times New Roman" w:hAnsi="Times New Roman"/>
        </w:rPr>
        <w:t>s</w:t>
      </w:r>
      <w:r w:rsidRPr="00567BB5">
        <w:rPr>
          <w:rFonts w:ascii="Times New Roman" w:hAnsi="Times New Roman"/>
        </w:rPr>
        <w:t xml:space="preserve"> submit</w:t>
      </w:r>
      <w:r w:rsidR="00070263">
        <w:rPr>
          <w:rFonts w:ascii="Times New Roman" w:hAnsi="Times New Roman"/>
        </w:rPr>
        <w:t>ted</w:t>
      </w:r>
      <w:r w:rsidRPr="00567BB5">
        <w:rPr>
          <w:rFonts w:ascii="Times New Roman" w:hAnsi="Times New Roman"/>
        </w:rPr>
        <w:t xml:space="preserve"> this report.  The data for completing reports are available from carrier records.  FMCSA estimate</w:t>
      </w:r>
      <w:r>
        <w:rPr>
          <w:rFonts w:ascii="Times New Roman" w:hAnsi="Times New Roman"/>
        </w:rPr>
        <w:t>s</w:t>
      </w:r>
      <w:r w:rsidR="004B26D1">
        <w:rPr>
          <w:rFonts w:ascii="Times New Roman" w:hAnsi="Times New Roman"/>
        </w:rPr>
        <w:t xml:space="preserve"> that</w:t>
      </w:r>
      <w:r w:rsidRPr="00567BB5">
        <w:rPr>
          <w:rFonts w:ascii="Times New Roman" w:hAnsi="Times New Roman"/>
        </w:rPr>
        <w:t xml:space="preserve"> </w:t>
      </w:r>
      <w:r>
        <w:rPr>
          <w:rFonts w:ascii="Times New Roman" w:hAnsi="Times New Roman"/>
        </w:rPr>
        <w:t>each</w:t>
      </w:r>
      <w:r w:rsidRPr="00567BB5">
        <w:rPr>
          <w:rFonts w:ascii="Times New Roman" w:hAnsi="Times New Roman"/>
        </w:rPr>
        <w:t xml:space="preserve"> carrier will </w:t>
      </w:r>
      <w:r>
        <w:rPr>
          <w:rFonts w:ascii="Times New Roman" w:hAnsi="Times New Roman"/>
        </w:rPr>
        <w:t>spend</w:t>
      </w:r>
      <w:r w:rsidRPr="00567BB5">
        <w:rPr>
          <w:rFonts w:ascii="Times New Roman" w:hAnsi="Times New Roman"/>
        </w:rPr>
        <w:t xml:space="preserve"> an average of </w:t>
      </w:r>
      <w:r w:rsidRPr="0036237B">
        <w:rPr>
          <w:rFonts w:ascii="Times New Roman" w:hAnsi="Times New Roman"/>
        </w:rPr>
        <w:t>9</w:t>
      </w:r>
      <w:r>
        <w:rPr>
          <w:rFonts w:ascii="Times New Roman" w:hAnsi="Times New Roman"/>
        </w:rPr>
        <w:t xml:space="preserve"> </w:t>
      </w:r>
      <w:r w:rsidRPr="00567BB5">
        <w:rPr>
          <w:rFonts w:ascii="Times New Roman" w:hAnsi="Times New Roman"/>
        </w:rPr>
        <w:t>hours complet</w:t>
      </w:r>
      <w:r>
        <w:rPr>
          <w:rFonts w:ascii="Times New Roman" w:hAnsi="Times New Roman"/>
        </w:rPr>
        <w:t>ing</w:t>
      </w:r>
      <w:r w:rsidRPr="00567BB5">
        <w:rPr>
          <w:rFonts w:ascii="Times New Roman" w:hAnsi="Times New Roman"/>
        </w:rPr>
        <w:t xml:space="preserve"> </w:t>
      </w:r>
      <w:r w:rsidR="004B26D1">
        <w:rPr>
          <w:rFonts w:ascii="Times New Roman" w:hAnsi="Times New Roman"/>
        </w:rPr>
        <w:t xml:space="preserve">Form M, resulting in a total of </w:t>
      </w:r>
      <w:r w:rsidR="00E95416">
        <w:rPr>
          <w:rFonts w:ascii="Times New Roman" w:hAnsi="Times New Roman"/>
        </w:rPr>
        <w:t>864</w:t>
      </w:r>
      <w:r w:rsidR="0036237B">
        <w:rPr>
          <w:rFonts w:ascii="Times New Roman" w:hAnsi="Times New Roman"/>
        </w:rPr>
        <w:t xml:space="preserve"> </w:t>
      </w:r>
      <w:r w:rsidR="004B26D1">
        <w:rPr>
          <w:rFonts w:ascii="Times New Roman" w:hAnsi="Times New Roman"/>
        </w:rPr>
        <w:t>burden hours per year for all carriers.</w:t>
      </w:r>
      <w:r w:rsidR="004B26D1" w:rsidRPr="00567BB5" w:rsidDel="004B26D1">
        <w:rPr>
          <w:rFonts w:ascii="Times New Roman" w:hAnsi="Times New Roman"/>
        </w:rPr>
        <w:t xml:space="preserve"> </w:t>
      </w:r>
    </w:p>
    <w:p w14:paraId="1A1301F6" w14:textId="77777777" w:rsidR="00E95416" w:rsidRDefault="00E95416" w:rsidP="0064680C">
      <w:pPr>
        <w:ind w:left="720" w:hanging="720"/>
        <w:rPr>
          <w:rFonts w:ascii="Times New Roman" w:hAnsi="Times New Roman"/>
        </w:rPr>
      </w:pPr>
    </w:p>
    <w:p w14:paraId="663F0B83" w14:textId="77777777" w:rsidR="00E95416" w:rsidRPr="003A4FBD" w:rsidRDefault="00E95416">
      <w:pPr>
        <w:ind w:left="720"/>
        <w:rPr>
          <w:rFonts w:ascii="Times New Roman" w:hAnsi="Times New Roman"/>
          <w:b/>
        </w:rPr>
      </w:pPr>
      <w:r w:rsidRPr="002F4688">
        <w:rPr>
          <w:rFonts w:ascii="Times New Roman" w:hAnsi="Times New Roman"/>
        </w:rPr>
        <w:t xml:space="preserve">FMCSA expects completion and submission of Form </w:t>
      </w:r>
      <w:r>
        <w:rPr>
          <w:rFonts w:ascii="Times New Roman" w:hAnsi="Times New Roman"/>
        </w:rPr>
        <w:t xml:space="preserve">M </w:t>
      </w:r>
      <w:r w:rsidRPr="002F4688">
        <w:rPr>
          <w:rFonts w:ascii="Times New Roman" w:hAnsi="Times New Roman"/>
        </w:rPr>
        <w:t>to be performed by a</w:t>
      </w:r>
      <w:r>
        <w:rPr>
          <w:rFonts w:ascii="Times New Roman" w:hAnsi="Times New Roman"/>
        </w:rPr>
        <w:t>n</w:t>
      </w:r>
      <w:r w:rsidRPr="002F4688">
        <w:rPr>
          <w:rFonts w:ascii="Times New Roman" w:hAnsi="Times New Roman"/>
        </w:rPr>
        <w:t xml:space="preserve"> </w:t>
      </w:r>
      <w:r>
        <w:rPr>
          <w:rFonts w:ascii="Times New Roman" w:hAnsi="Times New Roman"/>
        </w:rPr>
        <w:t xml:space="preserve">accountant designated by the </w:t>
      </w:r>
      <w:r w:rsidRPr="002F4688">
        <w:rPr>
          <w:rFonts w:ascii="Times New Roman" w:hAnsi="Times New Roman"/>
        </w:rPr>
        <w:t>business entity.  The median salary of a</w:t>
      </w:r>
      <w:r>
        <w:rPr>
          <w:rFonts w:ascii="Times New Roman" w:hAnsi="Times New Roman"/>
        </w:rPr>
        <w:t>n accountant</w:t>
      </w:r>
      <w:r w:rsidRPr="002F4688">
        <w:rPr>
          <w:rFonts w:ascii="Times New Roman" w:hAnsi="Times New Roman"/>
        </w:rPr>
        <w:t xml:space="preserve"> in the</w:t>
      </w:r>
      <w:r>
        <w:rPr>
          <w:rFonts w:ascii="Times New Roman" w:hAnsi="Times New Roman"/>
        </w:rPr>
        <w:t xml:space="preserve"> truck transportation industry</w:t>
      </w:r>
      <w:r w:rsidRPr="002F4688">
        <w:rPr>
          <w:rFonts w:ascii="Times New Roman" w:hAnsi="Times New Roman"/>
        </w:rPr>
        <w:t xml:space="preserve"> is $</w:t>
      </w:r>
      <w:r>
        <w:rPr>
          <w:rFonts w:ascii="Times New Roman" w:hAnsi="Times New Roman"/>
        </w:rPr>
        <w:t>31.61 per hour.</w:t>
      </w:r>
      <w:r>
        <w:rPr>
          <w:rStyle w:val="FootnoteReference"/>
          <w:rFonts w:ascii="Times New Roman" w:hAnsi="Times New Roman"/>
        </w:rPr>
        <w:footnoteReference w:id="2"/>
      </w:r>
      <w:r>
        <w:rPr>
          <w:rFonts w:ascii="Times New Roman" w:hAnsi="Times New Roman"/>
        </w:rPr>
        <w:t xml:space="preserve"> </w:t>
      </w:r>
      <w:r w:rsidRPr="00001AC4">
        <w:rPr>
          <w:rFonts w:ascii="Times New Roman" w:hAnsi="Times New Roman"/>
        </w:rPr>
        <w:t xml:space="preserve">To arrive at a loaded wage, we 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w:t>
      </w:r>
      <w:r>
        <w:rPr>
          <w:rFonts w:ascii="Times New Roman" w:hAnsi="Times New Roman"/>
        </w:rPr>
        <w:t>Compensation for March 2017.</w:t>
      </w:r>
      <w:r>
        <w:rPr>
          <w:rStyle w:val="FootnoteReference"/>
          <w:rFonts w:ascii="Times New Roman" w:hAnsi="Times New Roman"/>
        </w:rPr>
        <w:footnoteReference w:id="3"/>
      </w:r>
      <w:r w:rsidRPr="00001AC4">
        <w:rPr>
          <w:rFonts w:ascii="Times New Roman" w:hAnsi="Times New Roman"/>
        </w:rPr>
        <w:t xml:space="preserve"> Multiplying the mean hourly wage by the load factor results i</w:t>
      </w:r>
      <w:r>
        <w:rPr>
          <w:rFonts w:ascii="Times New Roman" w:hAnsi="Times New Roman"/>
        </w:rPr>
        <w:t>n a loaded hourly wage of $44.92</w:t>
      </w:r>
      <w:r w:rsidRPr="00001AC4">
        <w:rPr>
          <w:rFonts w:ascii="Times New Roman" w:hAnsi="Times New Roman"/>
        </w:rPr>
        <w:t>.</w:t>
      </w:r>
      <w:r>
        <w:rPr>
          <w:rFonts w:ascii="Times New Roman" w:hAnsi="Times New Roman"/>
          <w:b/>
        </w:rPr>
        <w:t xml:space="preserve">  </w:t>
      </w:r>
      <w:r w:rsidRPr="002F4688">
        <w:rPr>
          <w:rFonts w:ascii="Times New Roman" w:hAnsi="Times New Roman"/>
        </w:rPr>
        <w:t>The total annual salary cost burden associated with the filings is $</w:t>
      </w:r>
      <w:r>
        <w:rPr>
          <w:rFonts w:ascii="Times New Roman" w:hAnsi="Times New Roman"/>
        </w:rPr>
        <w:t>38,811</w:t>
      </w:r>
      <w:r w:rsidRPr="002F4688">
        <w:rPr>
          <w:rFonts w:ascii="Times New Roman" w:hAnsi="Times New Roman"/>
        </w:rPr>
        <w:t xml:space="preserve"> ($</w:t>
      </w:r>
      <w:r>
        <w:rPr>
          <w:rFonts w:ascii="Times New Roman" w:hAnsi="Times New Roman"/>
        </w:rPr>
        <w:t xml:space="preserve">44.92 </w:t>
      </w:r>
      <w:r w:rsidRPr="002F4688">
        <w:rPr>
          <w:rFonts w:ascii="Times New Roman" w:hAnsi="Times New Roman"/>
        </w:rPr>
        <w:t xml:space="preserve">× </w:t>
      </w:r>
      <w:r w:rsidR="009A2FA8">
        <w:rPr>
          <w:rFonts w:ascii="Times New Roman" w:hAnsi="Times New Roman"/>
        </w:rPr>
        <w:t>864</w:t>
      </w:r>
      <w:r w:rsidRPr="002F4688">
        <w:rPr>
          <w:rFonts w:ascii="Times New Roman" w:hAnsi="Times New Roman"/>
        </w:rPr>
        <w:t xml:space="preserve"> hours).</w:t>
      </w:r>
    </w:p>
    <w:p w14:paraId="1BA995EE" w14:textId="77777777" w:rsidR="004403A3" w:rsidRDefault="004403A3" w:rsidP="00817A6A">
      <w:pPr>
        <w:ind w:left="720" w:hanging="720"/>
        <w:rPr>
          <w:rFonts w:ascii="Times New Roman" w:hAnsi="Times New Roman"/>
        </w:rPr>
      </w:pPr>
    </w:p>
    <w:p w14:paraId="53E9902B" w14:textId="7789E743" w:rsidR="00E95416" w:rsidRPr="003524F8" w:rsidRDefault="00E95416" w:rsidP="003524F8">
      <w:pPr>
        <w:pStyle w:val="Caption"/>
        <w:keepNext/>
        <w:spacing w:after="0"/>
        <w:ind w:left="720"/>
        <w:rPr>
          <w:rFonts w:ascii="Times New Roman" w:hAnsi="Times New Roman"/>
          <w:b/>
          <w:sz w:val="20"/>
          <w:szCs w:val="20"/>
        </w:rPr>
      </w:pPr>
      <w:r w:rsidRPr="003524F8">
        <w:rPr>
          <w:rFonts w:ascii="Times New Roman" w:hAnsi="Times New Roman"/>
          <w:b/>
          <w:i w:val="0"/>
          <w:color w:val="auto"/>
          <w:sz w:val="20"/>
          <w:szCs w:val="20"/>
        </w:rPr>
        <w:t xml:space="preserve">Table </w:t>
      </w:r>
      <w:r w:rsidRPr="003524F8">
        <w:rPr>
          <w:rFonts w:ascii="Times New Roman" w:hAnsi="Times New Roman"/>
          <w:b/>
          <w:i w:val="0"/>
          <w:color w:val="auto"/>
          <w:sz w:val="20"/>
          <w:szCs w:val="20"/>
        </w:rPr>
        <w:fldChar w:fldCharType="begin"/>
      </w:r>
      <w:r w:rsidRPr="003524F8">
        <w:rPr>
          <w:rFonts w:ascii="Times New Roman" w:hAnsi="Times New Roman"/>
          <w:b/>
          <w:i w:val="0"/>
          <w:color w:val="auto"/>
          <w:sz w:val="20"/>
          <w:szCs w:val="20"/>
        </w:rPr>
        <w:instrText xml:space="preserve"> SEQ Table \* ARABIC </w:instrText>
      </w:r>
      <w:r w:rsidRPr="003524F8">
        <w:rPr>
          <w:rFonts w:ascii="Times New Roman" w:hAnsi="Times New Roman"/>
          <w:b/>
          <w:i w:val="0"/>
          <w:color w:val="auto"/>
          <w:sz w:val="20"/>
          <w:szCs w:val="20"/>
        </w:rPr>
        <w:fldChar w:fldCharType="separate"/>
      </w:r>
      <w:r w:rsidR="007D6BE0">
        <w:rPr>
          <w:rFonts w:ascii="Times New Roman" w:hAnsi="Times New Roman"/>
          <w:b/>
          <w:i w:val="0"/>
          <w:noProof/>
          <w:color w:val="auto"/>
          <w:sz w:val="20"/>
          <w:szCs w:val="20"/>
        </w:rPr>
        <w:t>1</w:t>
      </w:r>
      <w:r w:rsidRPr="003524F8">
        <w:rPr>
          <w:rFonts w:ascii="Times New Roman" w:hAnsi="Times New Roman"/>
          <w:b/>
          <w:i w:val="0"/>
          <w:color w:val="auto"/>
          <w:sz w:val="20"/>
          <w:szCs w:val="20"/>
        </w:rPr>
        <w:fldChar w:fldCharType="end"/>
      </w:r>
      <w:r w:rsidRPr="003524F8">
        <w:rPr>
          <w:rFonts w:ascii="Times New Roman" w:hAnsi="Times New Roman"/>
          <w:b/>
          <w:i w:val="0"/>
          <w:color w:val="auto"/>
          <w:sz w:val="20"/>
          <w:szCs w:val="20"/>
        </w:rPr>
        <w:t xml:space="preserve">. </w:t>
      </w:r>
      <w:r w:rsidR="00BF77FF" w:rsidRPr="003524F8">
        <w:rPr>
          <w:rFonts w:ascii="Times New Roman" w:hAnsi="Times New Roman"/>
          <w:b/>
          <w:i w:val="0"/>
          <w:color w:val="auto"/>
          <w:sz w:val="20"/>
          <w:szCs w:val="20"/>
        </w:rPr>
        <w:t xml:space="preserve">Information Collection 1: </w:t>
      </w:r>
      <w:r w:rsidRPr="003524F8">
        <w:rPr>
          <w:rFonts w:ascii="Times New Roman" w:hAnsi="Times New Roman"/>
          <w:b/>
          <w:i w:val="0"/>
          <w:color w:val="auto"/>
          <w:sz w:val="20"/>
          <w:szCs w:val="20"/>
        </w:rPr>
        <w:t>Respondents, Responses, Burden Hour, and Burden Hour Cost Estimates</w:t>
      </w:r>
    </w:p>
    <w:tbl>
      <w:tblPr>
        <w:tblW w:w="8871" w:type="dxa"/>
        <w:tblInd w:w="705" w:type="dxa"/>
        <w:tblLayout w:type="fixed"/>
        <w:tblLook w:val="04A0" w:firstRow="1" w:lastRow="0" w:firstColumn="1" w:lastColumn="0" w:noHBand="0" w:noVBand="1"/>
      </w:tblPr>
      <w:tblGrid>
        <w:gridCol w:w="1260"/>
        <w:gridCol w:w="1465"/>
        <w:gridCol w:w="1465"/>
        <w:gridCol w:w="1465"/>
        <w:gridCol w:w="1556"/>
        <w:gridCol w:w="1660"/>
      </w:tblGrid>
      <w:tr w:rsidR="00F12FE9" w:rsidRPr="00001AC4" w14:paraId="6C8CBA18" w14:textId="77777777" w:rsidTr="00F12FE9">
        <w:trPr>
          <w:trHeight w:val="276"/>
        </w:trPr>
        <w:tc>
          <w:tcPr>
            <w:tcW w:w="1260" w:type="dxa"/>
            <w:vMerge w:val="restart"/>
            <w:tcBorders>
              <w:top w:val="single" w:sz="12" w:space="0" w:color="auto"/>
              <w:left w:val="single" w:sz="12" w:space="0" w:color="auto"/>
              <w:bottom w:val="single" w:sz="12" w:space="0" w:color="000000"/>
              <w:right w:val="single" w:sz="8" w:space="0" w:color="auto"/>
            </w:tcBorders>
            <w:shd w:val="clear" w:color="000000" w:fill="E0E0E0"/>
            <w:vAlign w:val="bottom"/>
            <w:hideMark/>
          </w:tcPr>
          <w:p w14:paraId="424CB11D"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Year</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13338A2B"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Number of Respondents</w:t>
            </w:r>
          </w:p>
          <w:p w14:paraId="3B4844ED"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(a)</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5E88FF81"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Number of Responses</w:t>
            </w:r>
          </w:p>
          <w:p w14:paraId="48BED5AC"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(a × 1 = b)</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5C181135"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Average Burden Hours per Response</w:t>
            </w:r>
          </w:p>
          <w:p w14:paraId="22590369"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(c)</w:t>
            </w:r>
          </w:p>
        </w:tc>
        <w:tc>
          <w:tcPr>
            <w:tcW w:w="1556"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4BE48EDD"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Total Burden Hours</w:t>
            </w:r>
          </w:p>
          <w:p w14:paraId="1A498536"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(b × c = d)</w:t>
            </w:r>
          </w:p>
        </w:tc>
        <w:tc>
          <w:tcPr>
            <w:tcW w:w="1660" w:type="dxa"/>
            <w:vMerge w:val="restart"/>
            <w:tcBorders>
              <w:top w:val="single" w:sz="12" w:space="0" w:color="auto"/>
              <w:left w:val="single" w:sz="8" w:space="0" w:color="auto"/>
              <w:bottom w:val="single" w:sz="12" w:space="0" w:color="000000"/>
              <w:right w:val="single" w:sz="12" w:space="0" w:color="auto"/>
            </w:tcBorders>
            <w:shd w:val="clear" w:color="000000" w:fill="E0E0E0"/>
            <w:vAlign w:val="bottom"/>
            <w:hideMark/>
          </w:tcPr>
          <w:p w14:paraId="118822B1" w14:textId="77777777" w:rsidR="00001AC4" w:rsidRPr="003A4FBD" w:rsidRDefault="00001AC4" w:rsidP="00CC24C8">
            <w:pPr>
              <w:jc w:val="center"/>
              <w:rPr>
                <w:rFonts w:ascii="Times New Roman" w:hAnsi="Times New Roman"/>
                <w:b/>
                <w:bCs/>
                <w:color w:val="000000"/>
                <w:sz w:val="22"/>
                <w:szCs w:val="22"/>
              </w:rPr>
            </w:pPr>
            <w:r w:rsidRPr="003A4FBD">
              <w:rPr>
                <w:rFonts w:ascii="Times New Roman" w:hAnsi="Times New Roman"/>
                <w:b/>
                <w:bCs/>
                <w:color w:val="000000"/>
                <w:sz w:val="22"/>
                <w:szCs w:val="22"/>
              </w:rPr>
              <w:t>Total Respondent Cost</w:t>
            </w:r>
          </w:p>
          <w:p w14:paraId="2EA78B03" w14:textId="77777777" w:rsidR="00001AC4" w:rsidRPr="003A4FBD" w:rsidRDefault="00E95416" w:rsidP="00CC24C8">
            <w:pPr>
              <w:jc w:val="center"/>
              <w:rPr>
                <w:rFonts w:ascii="Times New Roman" w:hAnsi="Times New Roman"/>
                <w:b/>
                <w:bCs/>
                <w:color w:val="000000"/>
                <w:sz w:val="22"/>
                <w:szCs w:val="22"/>
              </w:rPr>
            </w:pPr>
            <w:r>
              <w:rPr>
                <w:rFonts w:ascii="Times New Roman" w:hAnsi="Times New Roman"/>
                <w:b/>
                <w:bCs/>
                <w:color w:val="000000"/>
                <w:sz w:val="22"/>
                <w:szCs w:val="22"/>
              </w:rPr>
              <w:t>(d × $44.92</w:t>
            </w:r>
            <w:r w:rsidR="00001AC4" w:rsidRPr="003A4FBD">
              <w:rPr>
                <w:rFonts w:ascii="Times New Roman" w:hAnsi="Times New Roman"/>
                <w:b/>
                <w:bCs/>
                <w:color w:val="000000"/>
                <w:sz w:val="22"/>
                <w:szCs w:val="22"/>
              </w:rPr>
              <w:t xml:space="preserve"> = e)</w:t>
            </w:r>
          </w:p>
        </w:tc>
      </w:tr>
      <w:tr w:rsidR="00001AC4" w:rsidRPr="00001AC4" w14:paraId="07797911" w14:textId="77777777" w:rsidTr="003A4FBD">
        <w:trPr>
          <w:trHeight w:val="636"/>
        </w:trPr>
        <w:tc>
          <w:tcPr>
            <w:tcW w:w="1260" w:type="dxa"/>
            <w:vMerge/>
            <w:tcBorders>
              <w:top w:val="single" w:sz="12" w:space="0" w:color="auto"/>
              <w:left w:val="single" w:sz="12" w:space="0" w:color="auto"/>
              <w:bottom w:val="single" w:sz="12" w:space="0" w:color="000000"/>
              <w:right w:val="single" w:sz="8" w:space="0" w:color="auto"/>
            </w:tcBorders>
            <w:vAlign w:val="bottom"/>
            <w:hideMark/>
          </w:tcPr>
          <w:p w14:paraId="6DCC19E9" w14:textId="77777777" w:rsidR="00001AC4" w:rsidRPr="003A4FBD" w:rsidRDefault="00001AC4" w:rsidP="00CC24C8">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4A0AEEC3" w14:textId="77777777" w:rsidR="00001AC4" w:rsidRPr="003A4FBD" w:rsidRDefault="00001AC4" w:rsidP="00CC24C8">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20769711" w14:textId="77777777" w:rsidR="00001AC4" w:rsidRPr="003A4FBD" w:rsidRDefault="00001AC4" w:rsidP="00CC24C8">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008E340E" w14:textId="77777777" w:rsidR="00001AC4" w:rsidRPr="003A4FBD" w:rsidRDefault="00001AC4" w:rsidP="00CC24C8">
            <w:pPr>
              <w:jc w:val="center"/>
              <w:rPr>
                <w:rFonts w:ascii="Times New Roman" w:hAnsi="Times New Roman"/>
                <w:b/>
                <w:bCs/>
                <w:color w:val="000000"/>
                <w:sz w:val="22"/>
                <w:szCs w:val="22"/>
              </w:rPr>
            </w:pPr>
          </w:p>
        </w:tc>
        <w:tc>
          <w:tcPr>
            <w:tcW w:w="1556" w:type="dxa"/>
            <w:vMerge/>
            <w:tcBorders>
              <w:top w:val="single" w:sz="12" w:space="0" w:color="auto"/>
              <w:left w:val="single" w:sz="8" w:space="0" w:color="auto"/>
              <w:bottom w:val="single" w:sz="12" w:space="0" w:color="000000"/>
              <w:right w:val="single" w:sz="8" w:space="0" w:color="auto"/>
            </w:tcBorders>
            <w:vAlign w:val="bottom"/>
            <w:hideMark/>
          </w:tcPr>
          <w:p w14:paraId="6A6FBE7F" w14:textId="77777777" w:rsidR="00001AC4" w:rsidRPr="003A4FBD" w:rsidRDefault="00001AC4" w:rsidP="00CC24C8">
            <w:pPr>
              <w:jc w:val="center"/>
              <w:rPr>
                <w:rFonts w:ascii="Times New Roman" w:hAnsi="Times New Roman"/>
                <w:b/>
                <w:bCs/>
                <w:color w:val="000000"/>
                <w:sz w:val="22"/>
                <w:szCs w:val="22"/>
              </w:rPr>
            </w:pPr>
          </w:p>
        </w:tc>
        <w:tc>
          <w:tcPr>
            <w:tcW w:w="1660" w:type="dxa"/>
            <w:vMerge/>
            <w:tcBorders>
              <w:top w:val="single" w:sz="12" w:space="0" w:color="auto"/>
              <w:left w:val="single" w:sz="8" w:space="0" w:color="auto"/>
              <w:bottom w:val="single" w:sz="12" w:space="0" w:color="000000"/>
              <w:right w:val="single" w:sz="12" w:space="0" w:color="auto"/>
            </w:tcBorders>
            <w:vAlign w:val="bottom"/>
            <w:hideMark/>
          </w:tcPr>
          <w:p w14:paraId="5BEBFDEE" w14:textId="77777777" w:rsidR="00001AC4" w:rsidRPr="003A4FBD" w:rsidRDefault="00001AC4" w:rsidP="00CC24C8">
            <w:pPr>
              <w:jc w:val="center"/>
              <w:rPr>
                <w:rFonts w:ascii="Times New Roman" w:hAnsi="Times New Roman"/>
                <w:b/>
                <w:bCs/>
                <w:color w:val="000000"/>
                <w:sz w:val="22"/>
                <w:szCs w:val="22"/>
              </w:rPr>
            </w:pPr>
          </w:p>
        </w:tc>
      </w:tr>
      <w:tr w:rsidR="00E95416" w:rsidRPr="00001AC4" w14:paraId="73BDF4A6" w14:textId="77777777" w:rsidTr="003A4FBD">
        <w:trPr>
          <w:cantSplit/>
          <w:trHeight w:val="28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5A264057" w14:textId="77777777" w:rsidR="00E95416" w:rsidRPr="003A4FBD" w:rsidRDefault="00E95416" w:rsidP="00E95416">
            <w:pPr>
              <w:jc w:val="center"/>
              <w:rPr>
                <w:rFonts w:ascii="Times New Roman" w:hAnsi="Times New Roman"/>
                <w:color w:val="000000"/>
                <w:sz w:val="22"/>
                <w:szCs w:val="22"/>
              </w:rPr>
            </w:pPr>
            <w:r w:rsidRPr="003A4FBD">
              <w:rPr>
                <w:rFonts w:ascii="Times New Roman" w:hAnsi="Times New Roman"/>
                <w:color w:val="000000"/>
                <w:sz w:val="22"/>
                <w:szCs w:val="22"/>
              </w:rPr>
              <w:t>1</w:t>
            </w:r>
          </w:p>
        </w:tc>
        <w:tc>
          <w:tcPr>
            <w:tcW w:w="1465" w:type="dxa"/>
            <w:tcBorders>
              <w:top w:val="nil"/>
              <w:left w:val="nil"/>
              <w:bottom w:val="single" w:sz="8" w:space="0" w:color="auto"/>
              <w:right w:val="single" w:sz="8" w:space="0" w:color="auto"/>
            </w:tcBorders>
            <w:shd w:val="clear" w:color="auto" w:fill="auto"/>
            <w:vAlign w:val="bottom"/>
            <w:hideMark/>
          </w:tcPr>
          <w:p w14:paraId="087F282B"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1134B5F1"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2E349A7F"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w:t>
            </w:r>
          </w:p>
        </w:tc>
        <w:tc>
          <w:tcPr>
            <w:tcW w:w="1556" w:type="dxa"/>
            <w:tcBorders>
              <w:top w:val="nil"/>
              <w:left w:val="nil"/>
              <w:bottom w:val="single" w:sz="8" w:space="0" w:color="auto"/>
              <w:right w:val="single" w:sz="8" w:space="0" w:color="auto"/>
            </w:tcBorders>
            <w:shd w:val="clear" w:color="auto" w:fill="auto"/>
            <w:vAlign w:val="bottom"/>
            <w:hideMark/>
          </w:tcPr>
          <w:p w14:paraId="3317B99A" w14:textId="77777777" w:rsidR="00E95416" w:rsidRPr="003A4FBD" w:rsidRDefault="00E95416">
            <w:pPr>
              <w:jc w:val="center"/>
              <w:rPr>
                <w:rFonts w:ascii="Times New Roman" w:hAnsi="Times New Roman"/>
                <w:color w:val="000000"/>
                <w:sz w:val="22"/>
                <w:szCs w:val="22"/>
              </w:rPr>
            </w:pPr>
            <w:r w:rsidRPr="009C6C21">
              <w:rPr>
                <w:rFonts w:ascii="Times New Roman" w:hAnsi="Times New Roman"/>
                <w:color w:val="000000"/>
                <w:sz w:val="22"/>
                <w:szCs w:val="22"/>
              </w:rPr>
              <w:t>864</w:t>
            </w:r>
          </w:p>
        </w:tc>
        <w:tc>
          <w:tcPr>
            <w:tcW w:w="1660" w:type="dxa"/>
            <w:tcBorders>
              <w:top w:val="nil"/>
              <w:left w:val="nil"/>
              <w:bottom w:val="single" w:sz="8" w:space="0" w:color="auto"/>
              <w:right w:val="single" w:sz="12" w:space="0" w:color="auto"/>
            </w:tcBorders>
            <w:shd w:val="clear" w:color="auto" w:fill="auto"/>
            <w:vAlign w:val="bottom"/>
            <w:hideMark/>
          </w:tcPr>
          <w:p w14:paraId="30381D04" w14:textId="77777777" w:rsidR="00E95416" w:rsidRPr="003A4FBD" w:rsidRDefault="00E95416">
            <w:pPr>
              <w:jc w:val="center"/>
              <w:rPr>
                <w:rFonts w:ascii="Times New Roman" w:hAnsi="Times New Roman"/>
                <w:color w:val="000000"/>
                <w:sz w:val="22"/>
                <w:szCs w:val="22"/>
              </w:rPr>
            </w:pPr>
            <w:r w:rsidRPr="00B93351">
              <w:rPr>
                <w:rFonts w:ascii="Times New Roman" w:hAnsi="Times New Roman"/>
                <w:color w:val="000000"/>
                <w:sz w:val="22"/>
                <w:szCs w:val="22"/>
              </w:rPr>
              <w:t>$38,811</w:t>
            </w:r>
          </w:p>
        </w:tc>
      </w:tr>
      <w:tr w:rsidR="00E95416" w:rsidRPr="00001AC4" w14:paraId="39A21E67" w14:textId="77777777" w:rsidTr="003A4FBD">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595F681C" w14:textId="77777777" w:rsidR="00E95416" w:rsidRPr="003A4FBD" w:rsidRDefault="00E95416" w:rsidP="00E95416">
            <w:pPr>
              <w:jc w:val="center"/>
              <w:rPr>
                <w:rFonts w:ascii="Times New Roman" w:hAnsi="Times New Roman"/>
                <w:color w:val="000000"/>
                <w:sz w:val="22"/>
                <w:szCs w:val="22"/>
              </w:rPr>
            </w:pPr>
            <w:r w:rsidRPr="003A4FBD">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hideMark/>
          </w:tcPr>
          <w:p w14:paraId="3C29D1EA"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2B66CC62"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21BBA54B" w14:textId="77777777" w:rsidR="00E95416" w:rsidRPr="003A4FBD" w:rsidRDefault="00E95416">
            <w:pPr>
              <w:jc w:val="center"/>
              <w:rPr>
                <w:rFonts w:ascii="Times New Roman" w:hAnsi="Times New Roman"/>
                <w:color w:val="000000"/>
                <w:sz w:val="22"/>
                <w:szCs w:val="22"/>
              </w:rPr>
            </w:pPr>
            <w:r>
              <w:rPr>
                <w:rFonts w:ascii="Times New Roman" w:hAnsi="Times New Roman"/>
                <w:color w:val="000000"/>
                <w:sz w:val="22"/>
                <w:szCs w:val="22"/>
              </w:rPr>
              <w:t>9</w:t>
            </w:r>
          </w:p>
        </w:tc>
        <w:tc>
          <w:tcPr>
            <w:tcW w:w="1556" w:type="dxa"/>
            <w:tcBorders>
              <w:top w:val="nil"/>
              <w:left w:val="nil"/>
              <w:bottom w:val="single" w:sz="8" w:space="0" w:color="auto"/>
              <w:right w:val="single" w:sz="8" w:space="0" w:color="auto"/>
            </w:tcBorders>
            <w:shd w:val="clear" w:color="auto" w:fill="auto"/>
            <w:vAlign w:val="bottom"/>
            <w:hideMark/>
          </w:tcPr>
          <w:p w14:paraId="36C0F1FB" w14:textId="77777777" w:rsidR="00E95416" w:rsidRPr="003A4FBD" w:rsidRDefault="00E95416">
            <w:pPr>
              <w:jc w:val="center"/>
              <w:rPr>
                <w:rFonts w:ascii="Times New Roman" w:hAnsi="Times New Roman"/>
                <w:color w:val="000000"/>
                <w:sz w:val="22"/>
                <w:szCs w:val="22"/>
              </w:rPr>
            </w:pPr>
            <w:r w:rsidRPr="009C6C21">
              <w:rPr>
                <w:rFonts w:ascii="Times New Roman" w:hAnsi="Times New Roman"/>
                <w:color w:val="000000"/>
                <w:sz w:val="22"/>
                <w:szCs w:val="22"/>
              </w:rPr>
              <w:t>864</w:t>
            </w:r>
          </w:p>
        </w:tc>
        <w:tc>
          <w:tcPr>
            <w:tcW w:w="1660" w:type="dxa"/>
            <w:tcBorders>
              <w:top w:val="nil"/>
              <w:left w:val="nil"/>
              <w:bottom w:val="single" w:sz="8" w:space="0" w:color="auto"/>
              <w:right w:val="single" w:sz="12" w:space="0" w:color="auto"/>
            </w:tcBorders>
            <w:shd w:val="clear" w:color="auto" w:fill="auto"/>
            <w:vAlign w:val="bottom"/>
            <w:hideMark/>
          </w:tcPr>
          <w:p w14:paraId="23100BD1" w14:textId="77777777" w:rsidR="00E95416" w:rsidRPr="003A4FBD" w:rsidRDefault="00E95416">
            <w:pPr>
              <w:jc w:val="center"/>
              <w:rPr>
                <w:rFonts w:ascii="Times New Roman" w:hAnsi="Times New Roman"/>
                <w:color w:val="000000"/>
                <w:sz w:val="22"/>
                <w:szCs w:val="22"/>
              </w:rPr>
            </w:pPr>
            <w:r w:rsidRPr="00B93351">
              <w:rPr>
                <w:rFonts w:ascii="Times New Roman" w:hAnsi="Times New Roman"/>
                <w:color w:val="000000"/>
                <w:sz w:val="22"/>
                <w:szCs w:val="22"/>
              </w:rPr>
              <w:t>$38,811</w:t>
            </w:r>
          </w:p>
        </w:tc>
      </w:tr>
      <w:tr w:rsidR="00001AC4" w:rsidRPr="00001AC4" w14:paraId="75E8716A" w14:textId="77777777" w:rsidTr="003A4FBD">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1B752837" w14:textId="77777777" w:rsidR="00001AC4" w:rsidRPr="003A4FBD" w:rsidRDefault="00001AC4" w:rsidP="00CC24C8">
            <w:pPr>
              <w:jc w:val="center"/>
              <w:rPr>
                <w:rFonts w:ascii="Times New Roman" w:hAnsi="Times New Roman"/>
                <w:color w:val="000000"/>
                <w:sz w:val="22"/>
                <w:szCs w:val="22"/>
              </w:rPr>
            </w:pPr>
            <w:r w:rsidRPr="003A4FBD">
              <w:rPr>
                <w:rFonts w:ascii="Times New Roman" w:hAnsi="Times New Roman"/>
                <w:color w:val="000000"/>
                <w:sz w:val="22"/>
                <w:szCs w:val="22"/>
              </w:rPr>
              <w:t>3</w:t>
            </w:r>
          </w:p>
        </w:tc>
        <w:tc>
          <w:tcPr>
            <w:tcW w:w="1465" w:type="dxa"/>
            <w:tcBorders>
              <w:top w:val="nil"/>
              <w:left w:val="nil"/>
              <w:bottom w:val="single" w:sz="8" w:space="0" w:color="auto"/>
              <w:right w:val="single" w:sz="8" w:space="0" w:color="auto"/>
            </w:tcBorders>
            <w:shd w:val="clear" w:color="auto" w:fill="auto"/>
            <w:vAlign w:val="bottom"/>
            <w:hideMark/>
          </w:tcPr>
          <w:p w14:paraId="789494CD" w14:textId="77777777" w:rsidR="00001AC4" w:rsidRPr="003A4FBD" w:rsidRDefault="00001AC4">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771D7FF8" w14:textId="77777777" w:rsidR="00001AC4" w:rsidRPr="003A4FBD" w:rsidRDefault="00E95416">
            <w:pPr>
              <w:jc w:val="center"/>
              <w:rPr>
                <w:rFonts w:ascii="Times New Roman" w:hAnsi="Times New Roman"/>
                <w:color w:val="000000"/>
                <w:sz w:val="22"/>
                <w:szCs w:val="22"/>
              </w:rPr>
            </w:pPr>
            <w:r>
              <w:rPr>
                <w:rFonts w:ascii="Times New Roman" w:hAnsi="Times New Roman"/>
                <w:color w:val="000000"/>
                <w:sz w:val="22"/>
                <w:szCs w:val="22"/>
              </w:rPr>
              <w:t>96</w:t>
            </w:r>
          </w:p>
        </w:tc>
        <w:tc>
          <w:tcPr>
            <w:tcW w:w="1465" w:type="dxa"/>
            <w:tcBorders>
              <w:top w:val="nil"/>
              <w:left w:val="nil"/>
              <w:bottom w:val="single" w:sz="8" w:space="0" w:color="auto"/>
              <w:right w:val="single" w:sz="8" w:space="0" w:color="auto"/>
            </w:tcBorders>
            <w:shd w:val="clear" w:color="auto" w:fill="auto"/>
            <w:vAlign w:val="bottom"/>
            <w:hideMark/>
          </w:tcPr>
          <w:p w14:paraId="41C344E8" w14:textId="77777777" w:rsidR="00001AC4" w:rsidRPr="003A4FBD" w:rsidRDefault="00E95416">
            <w:pPr>
              <w:jc w:val="center"/>
              <w:rPr>
                <w:rFonts w:ascii="Times New Roman" w:hAnsi="Times New Roman"/>
                <w:color w:val="000000"/>
                <w:sz w:val="22"/>
                <w:szCs w:val="22"/>
              </w:rPr>
            </w:pPr>
            <w:r>
              <w:rPr>
                <w:rFonts w:ascii="Times New Roman" w:hAnsi="Times New Roman"/>
                <w:color w:val="000000"/>
                <w:sz w:val="22"/>
                <w:szCs w:val="22"/>
              </w:rPr>
              <w:t>9</w:t>
            </w:r>
          </w:p>
        </w:tc>
        <w:tc>
          <w:tcPr>
            <w:tcW w:w="1556" w:type="dxa"/>
            <w:tcBorders>
              <w:top w:val="nil"/>
              <w:left w:val="nil"/>
              <w:bottom w:val="single" w:sz="8" w:space="0" w:color="auto"/>
              <w:right w:val="single" w:sz="8" w:space="0" w:color="auto"/>
            </w:tcBorders>
            <w:shd w:val="clear" w:color="auto" w:fill="auto"/>
            <w:vAlign w:val="bottom"/>
            <w:hideMark/>
          </w:tcPr>
          <w:p w14:paraId="7B373CD6" w14:textId="77777777" w:rsidR="00001AC4" w:rsidRPr="003A4FBD" w:rsidRDefault="00E95416">
            <w:pPr>
              <w:jc w:val="center"/>
              <w:rPr>
                <w:rFonts w:ascii="Times New Roman" w:hAnsi="Times New Roman"/>
                <w:color w:val="000000"/>
                <w:sz w:val="22"/>
                <w:szCs w:val="22"/>
              </w:rPr>
            </w:pPr>
            <w:r w:rsidRPr="00CC24C8">
              <w:rPr>
                <w:rFonts w:ascii="Times New Roman" w:hAnsi="Times New Roman"/>
                <w:color w:val="000000"/>
                <w:sz w:val="22"/>
                <w:szCs w:val="22"/>
              </w:rPr>
              <w:t>864</w:t>
            </w:r>
          </w:p>
        </w:tc>
        <w:tc>
          <w:tcPr>
            <w:tcW w:w="1660" w:type="dxa"/>
            <w:tcBorders>
              <w:top w:val="nil"/>
              <w:left w:val="nil"/>
              <w:bottom w:val="single" w:sz="8" w:space="0" w:color="auto"/>
              <w:right w:val="single" w:sz="12" w:space="0" w:color="auto"/>
            </w:tcBorders>
            <w:shd w:val="clear" w:color="auto" w:fill="auto"/>
            <w:vAlign w:val="bottom"/>
            <w:hideMark/>
          </w:tcPr>
          <w:p w14:paraId="1125E5AA" w14:textId="77777777" w:rsidR="00001AC4" w:rsidRPr="003A4FBD" w:rsidRDefault="00E95416">
            <w:pPr>
              <w:jc w:val="center"/>
              <w:rPr>
                <w:rFonts w:ascii="Times New Roman" w:hAnsi="Times New Roman"/>
                <w:color w:val="000000"/>
                <w:sz w:val="22"/>
                <w:szCs w:val="22"/>
              </w:rPr>
            </w:pPr>
            <w:r w:rsidRPr="00CC24C8">
              <w:rPr>
                <w:rFonts w:ascii="Times New Roman" w:hAnsi="Times New Roman"/>
                <w:color w:val="000000"/>
                <w:sz w:val="22"/>
                <w:szCs w:val="22"/>
              </w:rPr>
              <w:t>$38,811</w:t>
            </w:r>
          </w:p>
        </w:tc>
      </w:tr>
      <w:tr w:rsidR="00E95416" w:rsidRPr="00001AC4" w14:paraId="78BB899A" w14:textId="77777777" w:rsidTr="00E95416">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7153D45C" w14:textId="77777777" w:rsidR="00F12FE9" w:rsidRPr="003A4FBD" w:rsidRDefault="00F12FE9" w:rsidP="00F12FE9">
            <w:pPr>
              <w:jc w:val="right"/>
              <w:rPr>
                <w:rFonts w:ascii="Times New Roman" w:hAnsi="Times New Roman"/>
                <w:color w:val="000000"/>
                <w:sz w:val="22"/>
                <w:szCs w:val="22"/>
              </w:rPr>
            </w:pPr>
            <w:r w:rsidRPr="003A4FBD">
              <w:rPr>
                <w:rFonts w:ascii="Times New Roman" w:hAnsi="Times New Roman"/>
                <w:color w:val="000000"/>
                <w:sz w:val="22"/>
                <w:szCs w:val="22"/>
              </w:rPr>
              <w:t>Total</w:t>
            </w:r>
          </w:p>
        </w:tc>
        <w:tc>
          <w:tcPr>
            <w:tcW w:w="1465" w:type="dxa"/>
            <w:tcBorders>
              <w:top w:val="nil"/>
              <w:left w:val="nil"/>
              <w:bottom w:val="single" w:sz="8" w:space="0" w:color="auto"/>
              <w:right w:val="single" w:sz="8" w:space="0" w:color="auto"/>
            </w:tcBorders>
            <w:shd w:val="clear" w:color="auto" w:fill="auto"/>
            <w:vAlign w:val="bottom"/>
          </w:tcPr>
          <w:p w14:paraId="3806BA25"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288</w:t>
            </w:r>
          </w:p>
        </w:tc>
        <w:tc>
          <w:tcPr>
            <w:tcW w:w="1465" w:type="dxa"/>
            <w:tcBorders>
              <w:top w:val="nil"/>
              <w:left w:val="nil"/>
              <w:bottom w:val="single" w:sz="8" w:space="0" w:color="auto"/>
              <w:right w:val="single" w:sz="8" w:space="0" w:color="auto"/>
            </w:tcBorders>
            <w:shd w:val="clear" w:color="auto" w:fill="auto"/>
            <w:vAlign w:val="bottom"/>
          </w:tcPr>
          <w:p w14:paraId="751FE67E"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288</w:t>
            </w:r>
          </w:p>
        </w:tc>
        <w:tc>
          <w:tcPr>
            <w:tcW w:w="1465" w:type="dxa"/>
            <w:tcBorders>
              <w:top w:val="nil"/>
              <w:left w:val="nil"/>
              <w:bottom w:val="single" w:sz="8" w:space="0" w:color="auto"/>
              <w:right w:val="single" w:sz="8" w:space="0" w:color="auto"/>
            </w:tcBorders>
            <w:shd w:val="clear" w:color="auto" w:fill="auto"/>
            <w:vAlign w:val="bottom"/>
            <w:hideMark/>
          </w:tcPr>
          <w:p w14:paraId="63DA73CC"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w:t>
            </w:r>
          </w:p>
        </w:tc>
        <w:tc>
          <w:tcPr>
            <w:tcW w:w="1556" w:type="dxa"/>
            <w:tcBorders>
              <w:top w:val="nil"/>
              <w:left w:val="nil"/>
              <w:bottom w:val="single" w:sz="8" w:space="0" w:color="auto"/>
              <w:right w:val="single" w:sz="8" w:space="0" w:color="auto"/>
            </w:tcBorders>
            <w:shd w:val="clear" w:color="auto" w:fill="auto"/>
            <w:vAlign w:val="bottom"/>
          </w:tcPr>
          <w:p w14:paraId="4E99350C"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2,592</w:t>
            </w:r>
          </w:p>
        </w:tc>
        <w:tc>
          <w:tcPr>
            <w:tcW w:w="1660" w:type="dxa"/>
            <w:tcBorders>
              <w:top w:val="nil"/>
              <w:left w:val="nil"/>
              <w:bottom w:val="single" w:sz="8" w:space="0" w:color="auto"/>
              <w:right w:val="single" w:sz="8" w:space="0" w:color="auto"/>
            </w:tcBorders>
            <w:shd w:val="clear" w:color="auto" w:fill="auto"/>
            <w:vAlign w:val="bottom"/>
          </w:tcPr>
          <w:p w14:paraId="6694E253"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$116,433</w:t>
            </w:r>
          </w:p>
        </w:tc>
      </w:tr>
      <w:tr w:rsidR="00F12FE9" w:rsidRPr="00001AC4" w14:paraId="72E7DAA3" w14:textId="77777777" w:rsidTr="003A4FBD">
        <w:trPr>
          <w:cantSplit/>
          <w:trHeight w:val="270"/>
        </w:trPr>
        <w:tc>
          <w:tcPr>
            <w:tcW w:w="1260" w:type="dxa"/>
            <w:tcBorders>
              <w:top w:val="nil"/>
              <w:left w:val="single" w:sz="12" w:space="0" w:color="auto"/>
              <w:bottom w:val="single" w:sz="12" w:space="0" w:color="auto"/>
              <w:right w:val="single" w:sz="8" w:space="0" w:color="auto"/>
            </w:tcBorders>
            <w:shd w:val="clear" w:color="auto" w:fill="auto"/>
            <w:vAlign w:val="bottom"/>
            <w:hideMark/>
          </w:tcPr>
          <w:p w14:paraId="4D9AD806" w14:textId="77777777" w:rsidR="00F12FE9" w:rsidRPr="003A4FBD" w:rsidRDefault="00F12FE9" w:rsidP="00F12FE9">
            <w:pPr>
              <w:jc w:val="right"/>
              <w:rPr>
                <w:rFonts w:ascii="Times New Roman" w:hAnsi="Times New Roman"/>
                <w:color w:val="000000"/>
                <w:sz w:val="22"/>
                <w:szCs w:val="22"/>
              </w:rPr>
            </w:pPr>
            <w:r w:rsidRPr="003A4FBD">
              <w:rPr>
                <w:rFonts w:ascii="Times New Roman" w:hAnsi="Times New Roman"/>
                <w:color w:val="000000"/>
                <w:sz w:val="22"/>
                <w:szCs w:val="22"/>
              </w:rPr>
              <w:t>Annualized</w:t>
            </w:r>
          </w:p>
        </w:tc>
        <w:tc>
          <w:tcPr>
            <w:tcW w:w="1465" w:type="dxa"/>
            <w:tcBorders>
              <w:top w:val="nil"/>
              <w:left w:val="nil"/>
              <w:bottom w:val="single" w:sz="12" w:space="0" w:color="auto"/>
              <w:right w:val="single" w:sz="8" w:space="0" w:color="auto"/>
            </w:tcBorders>
            <w:shd w:val="clear" w:color="auto" w:fill="auto"/>
            <w:vAlign w:val="bottom"/>
          </w:tcPr>
          <w:p w14:paraId="485E3A6B"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96</w:t>
            </w:r>
          </w:p>
        </w:tc>
        <w:tc>
          <w:tcPr>
            <w:tcW w:w="1465" w:type="dxa"/>
            <w:tcBorders>
              <w:top w:val="nil"/>
              <w:left w:val="nil"/>
              <w:bottom w:val="single" w:sz="12" w:space="0" w:color="auto"/>
              <w:right w:val="single" w:sz="8" w:space="0" w:color="auto"/>
            </w:tcBorders>
            <w:shd w:val="clear" w:color="auto" w:fill="auto"/>
            <w:vAlign w:val="bottom"/>
          </w:tcPr>
          <w:p w14:paraId="61F3E559"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96</w:t>
            </w:r>
          </w:p>
        </w:tc>
        <w:tc>
          <w:tcPr>
            <w:tcW w:w="1465" w:type="dxa"/>
            <w:tcBorders>
              <w:top w:val="nil"/>
              <w:left w:val="nil"/>
              <w:bottom w:val="single" w:sz="12" w:space="0" w:color="auto"/>
              <w:right w:val="single" w:sz="8" w:space="0" w:color="auto"/>
            </w:tcBorders>
            <w:shd w:val="clear" w:color="auto" w:fill="auto"/>
            <w:vAlign w:val="bottom"/>
            <w:hideMark/>
          </w:tcPr>
          <w:p w14:paraId="64B2764D"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w:t>
            </w:r>
          </w:p>
        </w:tc>
        <w:tc>
          <w:tcPr>
            <w:tcW w:w="1556" w:type="dxa"/>
            <w:tcBorders>
              <w:top w:val="nil"/>
              <w:left w:val="nil"/>
              <w:bottom w:val="single" w:sz="12" w:space="0" w:color="auto"/>
              <w:right w:val="single" w:sz="8" w:space="0" w:color="auto"/>
            </w:tcBorders>
            <w:shd w:val="clear" w:color="auto" w:fill="auto"/>
            <w:vAlign w:val="bottom"/>
          </w:tcPr>
          <w:p w14:paraId="2D714230"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864</w:t>
            </w:r>
          </w:p>
        </w:tc>
        <w:tc>
          <w:tcPr>
            <w:tcW w:w="1660" w:type="dxa"/>
            <w:tcBorders>
              <w:top w:val="nil"/>
              <w:left w:val="nil"/>
              <w:bottom w:val="single" w:sz="12" w:space="0" w:color="auto"/>
              <w:right w:val="single" w:sz="8" w:space="0" w:color="auto"/>
            </w:tcBorders>
            <w:shd w:val="clear" w:color="auto" w:fill="auto"/>
            <w:vAlign w:val="bottom"/>
          </w:tcPr>
          <w:p w14:paraId="6D04F996" w14:textId="77777777" w:rsidR="00F12FE9" w:rsidRPr="003A4FBD" w:rsidRDefault="00F12FE9">
            <w:pPr>
              <w:jc w:val="center"/>
              <w:rPr>
                <w:rFonts w:ascii="Times New Roman" w:hAnsi="Times New Roman"/>
                <w:color w:val="000000"/>
                <w:sz w:val="22"/>
                <w:szCs w:val="22"/>
              </w:rPr>
            </w:pPr>
            <w:r w:rsidRPr="003A4FBD">
              <w:rPr>
                <w:rFonts w:ascii="Times New Roman" w:hAnsi="Times New Roman"/>
                <w:color w:val="000000"/>
                <w:sz w:val="22"/>
                <w:szCs w:val="22"/>
              </w:rPr>
              <w:t>$38,811</w:t>
            </w:r>
          </w:p>
        </w:tc>
      </w:tr>
    </w:tbl>
    <w:p w14:paraId="43BB95D4" w14:textId="77777777" w:rsidR="00001AC4" w:rsidRDefault="00001AC4" w:rsidP="003A4FBD">
      <w:pPr>
        <w:ind w:left="720" w:hanging="720"/>
        <w:rPr>
          <w:rFonts w:ascii="Times New Roman" w:hAnsi="Times New Roman"/>
          <w:b/>
        </w:rPr>
      </w:pPr>
    </w:p>
    <w:p w14:paraId="0E6FAE2D" w14:textId="77777777" w:rsidR="00BF77FF" w:rsidRPr="00B2118B" w:rsidRDefault="00BF77FF" w:rsidP="003A4FBD">
      <w:pPr>
        <w:ind w:left="720"/>
        <w:outlineLvl w:val="0"/>
        <w:rPr>
          <w:rFonts w:ascii="Times New Roman" w:hAnsi="Times New Roman"/>
          <w:b/>
          <w:u w:val="single"/>
        </w:rPr>
      </w:pPr>
      <w:r w:rsidRPr="00B2118B">
        <w:rPr>
          <w:rFonts w:ascii="Times New Roman" w:hAnsi="Times New Roman"/>
          <w:b/>
          <w:u w:val="single"/>
        </w:rPr>
        <w:t>Information Collection 1 Summary</w:t>
      </w:r>
    </w:p>
    <w:p w14:paraId="6D79A4C0" w14:textId="77777777" w:rsidR="00001AC4" w:rsidRPr="00B2118B" w:rsidRDefault="00001AC4" w:rsidP="003A4FBD">
      <w:pPr>
        <w:ind w:left="720"/>
        <w:outlineLvl w:val="0"/>
        <w:rPr>
          <w:rFonts w:ascii="Times New Roman" w:hAnsi="Times New Roman"/>
          <w:b/>
        </w:rPr>
      </w:pPr>
      <w:r w:rsidRPr="00B2118B">
        <w:rPr>
          <w:rFonts w:ascii="Times New Roman" w:hAnsi="Times New Roman"/>
          <w:b/>
        </w:rPr>
        <w:t xml:space="preserve">Estimated Number of Annual Respondents:  </w:t>
      </w:r>
      <w:r w:rsidR="00E95416" w:rsidRPr="00B2118B">
        <w:rPr>
          <w:rFonts w:ascii="Times New Roman" w:hAnsi="Times New Roman"/>
          <w:b/>
        </w:rPr>
        <w:t>96</w:t>
      </w:r>
      <w:r w:rsidRPr="00B2118B">
        <w:rPr>
          <w:rFonts w:ascii="Times New Roman" w:hAnsi="Times New Roman"/>
          <w:b/>
        </w:rPr>
        <w:t>.</w:t>
      </w:r>
    </w:p>
    <w:p w14:paraId="6EB240A0" w14:textId="77777777" w:rsidR="00001AC4" w:rsidRPr="00B2118B" w:rsidRDefault="00001AC4" w:rsidP="00001AC4">
      <w:pPr>
        <w:ind w:left="720" w:hanging="720"/>
        <w:outlineLvl w:val="0"/>
        <w:rPr>
          <w:rFonts w:ascii="Times New Roman" w:hAnsi="Times New Roman"/>
          <w:b/>
        </w:rPr>
      </w:pPr>
      <w:r w:rsidRPr="00B2118B">
        <w:rPr>
          <w:rFonts w:ascii="Times New Roman" w:hAnsi="Times New Roman"/>
          <w:b/>
        </w:rPr>
        <w:tab/>
        <w:t xml:space="preserve">Estimated Number of Annual Responses:  </w:t>
      </w:r>
      <w:r w:rsidR="00E95416" w:rsidRPr="00B2118B">
        <w:rPr>
          <w:rFonts w:ascii="Times New Roman" w:hAnsi="Times New Roman"/>
          <w:b/>
        </w:rPr>
        <w:t>96</w:t>
      </w:r>
      <w:r w:rsidRPr="00B2118B">
        <w:rPr>
          <w:rFonts w:ascii="Times New Roman" w:hAnsi="Times New Roman"/>
          <w:b/>
        </w:rPr>
        <w:t>.</w:t>
      </w:r>
    </w:p>
    <w:p w14:paraId="47662319" w14:textId="77777777" w:rsidR="00001AC4" w:rsidRPr="007D6BE0" w:rsidRDefault="00001AC4" w:rsidP="00001AC4">
      <w:pPr>
        <w:ind w:left="720" w:hanging="720"/>
        <w:rPr>
          <w:rFonts w:ascii="Times New Roman" w:hAnsi="Times New Roman"/>
        </w:rPr>
      </w:pPr>
      <w:r w:rsidRPr="00B2118B">
        <w:rPr>
          <w:rFonts w:ascii="Times New Roman" w:hAnsi="Times New Roman"/>
          <w:b/>
        </w:rPr>
        <w:tab/>
        <w:t xml:space="preserve">Estimated Total Annual Burden Hours:  </w:t>
      </w:r>
      <w:r w:rsidR="00E95416" w:rsidRPr="00B2118B">
        <w:rPr>
          <w:rFonts w:ascii="Times New Roman" w:hAnsi="Times New Roman"/>
          <w:b/>
        </w:rPr>
        <w:t>864</w:t>
      </w:r>
      <w:r w:rsidRPr="00B2118B">
        <w:rPr>
          <w:rFonts w:ascii="Times New Roman" w:hAnsi="Times New Roman"/>
          <w:b/>
        </w:rPr>
        <w:t xml:space="preserve"> hours </w:t>
      </w:r>
      <w:r w:rsidRPr="007D6BE0">
        <w:rPr>
          <w:rFonts w:ascii="Times New Roman" w:hAnsi="Times New Roman"/>
        </w:rPr>
        <w:t>[</w:t>
      </w:r>
      <w:r w:rsidR="00E95416" w:rsidRPr="007D6BE0">
        <w:rPr>
          <w:rFonts w:ascii="Times New Roman" w:hAnsi="Times New Roman"/>
        </w:rPr>
        <w:t>96</w:t>
      </w:r>
      <w:r w:rsidRPr="007D6BE0">
        <w:rPr>
          <w:rFonts w:ascii="Times New Roman" w:hAnsi="Times New Roman"/>
        </w:rPr>
        <w:t xml:space="preserve"> respondents x 9 hours per response].</w:t>
      </w:r>
    </w:p>
    <w:p w14:paraId="345D625B" w14:textId="77777777" w:rsidR="00BF77FF" w:rsidRDefault="00BF77FF" w:rsidP="00001AC4">
      <w:pPr>
        <w:ind w:left="720" w:hanging="720"/>
        <w:rPr>
          <w:rFonts w:ascii="Times New Roman" w:hAnsi="Times New Roman"/>
        </w:rPr>
      </w:pPr>
    </w:p>
    <w:p w14:paraId="7D930297" w14:textId="77777777" w:rsidR="00BF77FF" w:rsidRPr="00F01C9E" w:rsidRDefault="00BF77FF" w:rsidP="00001AC4">
      <w:pPr>
        <w:ind w:left="720" w:hanging="720"/>
        <w:rPr>
          <w:rFonts w:ascii="Times New Roman" w:hAnsi="Times New Roman"/>
          <w:u w:val="single"/>
        </w:rPr>
      </w:pPr>
      <w:r>
        <w:rPr>
          <w:rFonts w:ascii="Times New Roman" w:hAnsi="Times New Roman"/>
        </w:rPr>
        <w:tab/>
      </w:r>
      <w:r w:rsidRPr="00F01C9E">
        <w:rPr>
          <w:rFonts w:ascii="Times New Roman" w:hAnsi="Times New Roman"/>
          <w:u w:val="single"/>
        </w:rPr>
        <w:t>Information Collection 2</w:t>
      </w:r>
      <w:r w:rsidR="00707F09">
        <w:rPr>
          <w:rFonts w:ascii="Times New Roman" w:hAnsi="Times New Roman"/>
          <w:u w:val="single"/>
        </w:rPr>
        <w:t>: Form MP-1</w:t>
      </w:r>
    </w:p>
    <w:p w14:paraId="0BD74A47" w14:textId="77777777" w:rsidR="00BF77FF" w:rsidRDefault="00BF77FF" w:rsidP="00001AC4">
      <w:pPr>
        <w:ind w:left="720" w:hanging="720"/>
        <w:rPr>
          <w:rFonts w:ascii="Times New Roman" w:hAnsi="Times New Roman"/>
        </w:rPr>
      </w:pPr>
      <w:r>
        <w:rPr>
          <w:rFonts w:ascii="Times New Roman" w:hAnsi="Times New Roman"/>
        </w:rPr>
        <w:tab/>
      </w:r>
      <w:r w:rsidRPr="00BF77FF">
        <w:rPr>
          <w:rFonts w:ascii="Times New Roman" w:hAnsi="Times New Roman"/>
        </w:rPr>
        <w:t>Class I motor carriers of passengers are required to file Form MP-1.  Class I carriers are those with $5 million or more in operating revenue.  Revenue is adjusted to account for inflation since the $5 million threshold was implemented in 1994.  Currently, 2 carriers submit this report.  The data for completing reports are available from carrier records.  FMCSA estimates that the 2 carri</w:t>
      </w:r>
      <w:r>
        <w:rPr>
          <w:rFonts w:ascii="Times New Roman" w:hAnsi="Times New Roman"/>
        </w:rPr>
        <w:t xml:space="preserve">ers will each spend 18 minutes </w:t>
      </w:r>
      <w:r w:rsidRPr="00BF77FF">
        <w:rPr>
          <w:rFonts w:ascii="Times New Roman" w:hAnsi="Times New Roman"/>
        </w:rPr>
        <w:t>c</w:t>
      </w:r>
      <w:r>
        <w:rPr>
          <w:rFonts w:ascii="Times New Roman" w:hAnsi="Times New Roman"/>
        </w:rPr>
        <w:t>ompleting 1 report, each year.</w:t>
      </w:r>
    </w:p>
    <w:p w14:paraId="5D493D2A" w14:textId="77777777" w:rsidR="00BF77FF" w:rsidRDefault="00BF77FF" w:rsidP="00001AC4">
      <w:pPr>
        <w:ind w:left="720" w:hanging="720"/>
        <w:rPr>
          <w:rFonts w:ascii="Times New Roman" w:hAnsi="Times New Roman"/>
        </w:rPr>
      </w:pPr>
    </w:p>
    <w:p w14:paraId="5DBC5703" w14:textId="77777777" w:rsidR="00BF77FF" w:rsidRPr="00BF77FF" w:rsidRDefault="00BF77FF" w:rsidP="00F01C9E">
      <w:pPr>
        <w:ind w:left="720"/>
        <w:rPr>
          <w:rFonts w:ascii="Times New Roman" w:hAnsi="Times New Roman"/>
        </w:rPr>
      </w:pPr>
      <w:r w:rsidRPr="00BF77FF">
        <w:rPr>
          <w:rFonts w:ascii="Times New Roman" w:hAnsi="Times New Roman"/>
        </w:rPr>
        <w:t xml:space="preserve">FMCSA expects completion and submission of Form MP-1 to be performed by a business and financial operations expert designated by the business entity.  The median salary of a business and financial operations expert in the </w:t>
      </w:r>
      <w:r w:rsidR="009B31A5">
        <w:rPr>
          <w:rFonts w:ascii="Times New Roman" w:hAnsi="Times New Roman"/>
        </w:rPr>
        <w:t xml:space="preserve"> </w:t>
      </w:r>
      <w:r w:rsidRPr="00BF77FF">
        <w:rPr>
          <w:rFonts w:ascii="Times New Roman" w:hAnsi="Times New Roman"/>
        </w:rPr>
        <w:t>urban and rural transportation industry is $31.00 per hour (BLS, May 2015).</w:t>
      </w:r>
      <w:r w:rsidRPr="00BF77FF">
        <w:rPr>
          <w:rFonts w:ascii="Times New Roman" w:hAnsi="Times New Roman"/>
          <w:vertAlign w:val="superscript"/>
        </w:rPr>
        <w:footnoteReference w:id="4"/>
      </w:r>
      <w:r w:rsidRPr="00BF77FF">
        <w:rPr>
          <w:rFonts w:ascii="Times New Roman" w:hAnsi="Times New Roman"/>
        </w:rPr>
        <w:t xml:space="preserve"> Two adjustments are made to this hourly compensation estimate.  First, employee benefits are estimated at 51.0 percent of the employee wage.</w:t>
      </w:r>
      <w:r w:rsidRPr="00BF77FF">
        <w:rPr>
          <w:rFonts w:ascii="Times New Roman" w:hAnsi="Times New Roman"/>
          <w:vertAlign w:val="superscript"/>
        </w:rPr>
        <w:footnoteReference w:id="5"/>
      </w:r>
      <w:r w:rsidRPr="00BF77FF">
        <w:rPr>
          <w:rFonts w:ascii="Times New Roman" w:hAnsi="Times New Roman"/>
        </w:rPr>
        <w:t xml:space="preserve"> Second, employee wage and benefits are increased by 27 percent to include relevant firm overhead.</w:t>
      </w:r>
      <w:r w:rsidRPr="00BF77FF">
        <w:rPr>
          <w:rFonts w:ascii="Times New Roman" w:hAnsi="Times New Roman"/>
          <w:vertAlign w:val="superscript"/>
        </w:rPr>
        <w:footnoteReference w:id="6"/>
      </w:r>
      <w:r w:rsidRPr="00BF77FF">
        <w:rPr>
          <w:rFonts w:ascii="Times New Roman" w:hAnsi="Times New Roman"/>
        </w:rPr>
        <w:t xml:space="preserve"> Applying the estimated 51 percent factor for employee benefits and 27 percent for overhead results in $59.45 in hourly compensation for the business and financial operations expert [$31.00 × (1 + 0.51) × (1 + 0.27)].  The estimated total annual labor cost burden associated with these reports is $59 [$59.45 × 1 hour]</w:t>
      </w:r>
      <w:r w:rsidR="00253ED7">
        <w:rPr>
          <w:rFonts w:ascii="Times New Roman" w:hAnsi="Times New Roman"/>
        </w:rPr>
        <w:t>.</w:t>
      </w:r>
    </w:p>
    <w:p w14:paraId="1D62F75E" w14:textId="77777777" w:rsidR="00BF77FF" w:rsidRDefault="00BF77FF" w:rsidP="00001AC4">
      <w:pPr>
        <w:ind w:left="720" w:hanging="720"/>
        <w:rPr>
          <w:rFonts w:ascii="Times New Roman" w:hAnsi="Times New Roman"/>
        </w:rPr>
      </w:pPr>
    </w:p>
    <w:p w14:paraId="78B88C7D" w14:textId="1D14FEF4" w:rsidR="00BF77FF" w:rsidRPr="003524F8" w:rsidRDefault="00BF77FF" w:rsidP="003524F8">
      <w:pPr>
        <w:pStyle w:val="Caption"/>
        <w:keepNext/>
        <w:spacing w:after="0"/>
        <w:ind w:left="720"/>
        <w:rPr>
          <w:rFonts w:ascii="Times New Roman" w:hAnsi="Times New Roman"/>
          <w:b/>
          <w:sz w:val="22"/>
          <w:szCs w:val="22"/>
        </w:rPr>
      </w:pPr>
      <w:r w:rsidRPr="003524F8">
        <w:rPr>
          <w:rFonts w:ascii="Times New Roman" w:hAnsi="Times New Roman"/>
          <w:b/>
          <w:i w:val="0"/>
          <w:color w:val="auto"/>
          <w:sz w:val="22"/>
          <w:szCs w:val="22"/>
        </w:rPr>
        <w:t xml:space="preserve">Table </w:t>
      </w:r>
      <w:r w:rsidRPr="003524F8">
        <w:rPr>
          <w:rFonts w:ascii="Times New Roman" w:hAnsi="Times New Roman"/>
          <w:b/>
          <w:i w:val="0"/>
          <w:color w:val="auto"/>
          <w:sz w:val="22"/>
          <w:szCs w:val="22"/>
        </w:rPr>
        <w:fldChar w:fldCharType="begin"/>
      </w:r>
      <w:r w:rsidRPr="003524F8">
        <w:rPr>
          <w:rFonts w:ascii="Times New Roman" w:hAnsi="Times New Roman"/>
          <w:b/>
          <w:i w:val="0"/>
          <w:color w:val="auto"/>
          <w:sz w:val="22"/>
          <w:szCs w:val="22"/>
        </w:rPr>
        <w:instrText xml:space="preserve"> SEQ Table \* ARABIC </w:instrText>
      </w:r>
      <w:r w:rsidRPr="003524F8">
        <w:rPr>
          <w:rFonts w:ascii="Times New Roman" w:hAnsi="Times New Roman"/>
          <w:b/>
          <w:i w:val="0"/>
          <w:color w:val="auto"/>
          <w:sz w:val="22"/>
          <w:szCs w:val="22"/>
        </w:rPr>
        <w:fldChar w:fldCharType="separate"/>
      </w:r>
      <w:r w:rsidR="007D6BE0">
        <w:rPr>
          <w:rFonts w:ascii="Times New Roman" w:hAnsi="Times New Roman"/>
          <w:b/>
          <w:i w:val="0"/>
          <w:noProof/>
          <w:color w:val="auto"/>
          <w:sz w:val="22"/>
          <w:szCs w:val="22"/>
        </w:rPr>
        <w:t>2</w:t>
      </w:r>
      <w:r w:rsidRPr="003524F8">
        <w:rPr>
          <w:rFonts w:ascii="Times New Roman" w:hAnsi="Times New Roman"/>
          <w:b/>
          <w:i w:val="0"/>
          <w:color w:val="auto"/>
          <w:sz w:val="22"/>
          <w:szCs w:val="22"/>
        </w:rPr>
        <w:fldChar w:fldCharType="end"/>
      </w:r>
      <w:r w:rsidRPr="003524F8">
        <w:rPr>
          <w:rFonts w:ascii="Times New Roman" w:hAnsi="Times New Roman"/>
          <w:b/>
          <w:i w:val="0"/>
          <w:color w:val="auto"/>
          <w:sz w:val="22"/>
          <w:szCs w:val="22"/>
        </w:rPr>
        <w:t>. Information Collection 2: Respondents, Responses, Burden Hour, and Burden Hour Cost Estimates</w:t>
      </w:r>
    </w:p>
    <w:tbl>
      <w:tblPr>
        <w:tblW w:w="8871" w:type="dxa"/>
        <w:tblInd w:w="705" w:type="dxa"/>
        <w:tblLayout w:type="fixed"/>
        <w:tblLook w:val="04A0" w:firstRow="1" w:lastRow="0" w:firstColumn="1" w:lastColumn="0" w:noHBand="0" w:noVBand="1"/>
      </w:tblPr>
      <w:tblGrid>
        <w:gridCol w:w="1260"/>
        <w:gridCol w:w="1465"/>
        <w:gridCol w:w="1465"/>
        <w:gridCol w:w="1465"/>
        <w:gridCol w:w="1556"/>
        <w:gridCol w:w="1660"/>
      </w:tblGrid>
      <w:tr w:rsidR="00BF77FF" w:rsidRPr="00001AC4" w14:paraId="7E60EE12" w14:textId="77777777" w:rsidTr="00F612B7">
        <w:trPr>
          <w:trHeight w:val="276"/>
        </w:trPr>
        <w:tc>
          <w:tcPr>
            <w:tcW w:w="1260" w:type="dxa"/>
            <w:vMerge w:val="restart"/>
            <w:tcBorders>
              <w:top w:val="single" w:sz="12" w:space="0" w:color="auto"/>
              <w:left w:val="single" w:sz="12" w:space="0" w:color="auto"/>
              <w:bottom w:val="single" w:sz="12" w:space="0" w:color="000000"/>
              <w:right w:val="single" w:sz="8" w:space="0" w:color="auto"/>
            </w:tcBorders>
            <w:shd w:val="clear" w:color="000000" w:fill="E0E0E0"/>
            <w:vAlign w:val="bottom"/>
            <w:hideMark/>
          </w:tcPr>
          <w:p w14:paraId="5AF29237"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Year</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26E03D18"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Number of Respondents</w:t>
            </w:r>
          </w:p>
          <w:p w14:paraId="039497E4"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(a)</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7693B4F4"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Number of Responses</w:t>
            </w:r>
          </w:p>
          <w:p w14:paraId="1B91FE83"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(a × 1 = b)</w:t>
            </w:r>
          </w:p>
        </w:tc>
        <w:tc>
          <w:tcPr>
            <w:tcW w:w="1465"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4ADDA375"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Average Burden Hours per Response</w:t>
            </w:r>
          </w:p>
          <w:p w14:paraId="33D49E5D"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(c)</w:t>
            </w:r>
          </w:p>
        </w:tc>
        <w:tc>
          <w:tcPr>
            <w:tcW w:w="1556" w:type="dxa"/>
            <w:vMerge w:val="restart"/>
            <w:tcBorders>
              <w:top w:val="single" w:sz="12" w:space="0" w:color="auto"/>
              <w:left w:val="single" w:sz="8" w:space="0" w:color="auto"/>
              <w:bottom w:val="single" w:sz="12" w:space="0" w:color="000000"/>
              <w:right w:val="single" w:sz="8" w:space="0" w:color="auto"/>
            </w:tcBorders>
            <w:shd w:val="clear" w:color="000000" w:fill="E0E0E0"/>
            <w:vAlign w:val="bottom"/>
            <w:hideMark/>
          </w:tcPr>
          <w:p w14:paraId="7ECC2DF9"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Total Burden Hours</w:t>
            </w:r>
          </w:p>
          <w:p w14:paraId="7A0CA1A4"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(b × c = d)</w:t>
            </w:r>
          </w:p>
        </w:tc>
        <w:tc>
          <w:tcPr>
            <w:tcW w:w="1660" w:type="dxa"/>
            <w:vMerge w:val="restart"/>
            <w:tcBorders>
              <w:top w:val="single" w:sz="12" w:space="0" w:color="auto"/>
              <w:left w:val="single" w:sz="8" w:space="0" w:color="auto"/>
              <w:bottom w:val="single" w:sz="12" w:space="0" w:color="000000"/>
              <w:right w:val="single" w:sz="12" w:space="0" w:color="auto"/>
            </w:tcBorders>
            <w:shd w:val="clear" w:color="000000" w:fill="E0E0E0"/>
            <w:vAlign w:val="bottom"/>
            <w:hideMark/>
          </w:tcPr>
          <w:p w14:paraId="51A1F7E7" w14:textId="77777777" w:rsidR="00BF77FF" w:rsidRPr="003A4FBD" w:rsidRDefault="00BF77FF" w:rsidP="00F612B7">
            <w:pPr>
              <w:jc w:val="center"/>
              <w:rPr>
                <w:rFonts w:ascii="Times New Roman" w:hAnsi="Times New Roman"/>
                <w:b/>
                <w:bCs/>
                <w:color w:val="000000"/>
                <w:sz w:val="22"/>
                <w:szCs w:val="22"/>
              </w:rPr>
            </w:pPr>
            <w:r w:rsidRPr="003A4FBD">
              <w:rPr>
                <w:rFonts w:ascii="Times New Roman" w:hAnsi="Times New Roman"/>
                <w:b/>
                <w:bCs/>
                <w:color w:val="000000"/>
                <w:sz w:val="22"/>
                <w:szCs w:val="22"/>
              </w:rPr>
              <w:t>Total Respondent Cost</w:t>
            </w:r>
          </w:p>
          <w:p w14:paraId="4DB04557" w14:textId="77777777" w:rsidR="00BF77FF" w:rsidRPr="003A4FBD" w:rsidRDefault="00BF77FF" w:rsidP="00F612B7">
            <w:pPr>
              <w:jc w:val="center"/>
              <w:rPr>
                <w:rFonts w:ascii="Times New Roman" w:hAnsi="Times New Roman"/>
                <w:b/>
                <w:bCs/>
                <w:color w:val="000000"/>
                <w:sz w:val="22"/>
                <w:szCs w:val="22"/>
              </w:rPr>
            </w:pPr>
            <w:r>
              <w:rPr>
                <w:rFonts w:ascii="Times New Roman" w:hAnsi="Times New Roman"/>
                <w:b/>
                <w:bCs/>
                <w:color w:val="000000"/>
                <w:sz w:val="22"/>
                <w:szCs w:val="22"/>
              </w:rPr>
              <w:t>(d × $59.45</w:t>
            </w:r>
            <w:r w:rsidRPr="003A4FBD">
              <w:rPr>
                <w:rFonts w:ascii="Times New Roman" w:hAnsi="Times New Roman"/>
                <w:b/>
                <w:bCs/>
                <w:color w:val="000000"/>
                <w:sz w:val="22"/>
                <w:szCs w:val="22"/>
              </w:rPr>
              <w:t xml:space="preserve"> = e)</w:t>
            </w:r>
          </w:p>
        </w:tc>
      </w:tr>
      <w:tr w:rsidR="00BF77FF" w:rsidRPr="00001AC4" w14:paraId="7A855833" w14:textId="77777777" w:rsidTr="00F612B7">
        <w:trPr>
          <w:trHeight w:val="636"/>
        </w:trPr>
        <w:tc>
          <w:tcPr>
            <w:tcW w:w="1260" w:type="dxa"/>
            <w:vMerge/>
            <w:tcBorders>
              <w:top w:val="single" w:sz="12" w:space="0" w:color="auto"/>
              <w:left w:val="single" w:sz="12" w:space="0" w:color="auto"/>
              <w:bottom w:val="single" w:sz="12" w:space="0" w:color="000000"/>
              <w:right w:val="single" w:sz="8" w:space="0" w:color="auto"/>
            </w:tcBorders>
            <w:vAlign w:val="bottom"/>
            <w:hideMark/>
          </w:tcPr>
          <w:p w14:paraId="679A3614" w14:textId="77777777" w:rsidR="00BF77FF" w:rsidRPr="003A4FBD" w:rsidRDefault="00BF77FF" w:rsidP="00F612B7">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22197BC1" w14:textId="77777777" w:rsidR="00BF77FF" w:rsidRPr="003A4FBD" w:rsidRDefault="00BF77FF" w:rsidP="00F612B7">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46AD5076" w14:textId="77777777" w:rsidR="00BF77FF" w:rsidRPr="003A4FBD" w:rsidRDefault="00BF77FF" w:rsidP="00F612B7">
            <w:pPr>
              <w:jc w:val="center"/>
              <w:rPr>
                <w:rFonts w:ascii="Times New Roman" w:hAnsi="Times New Roman"/>
                <w:b/>
                <w:bCs/>
                <w:color w:val="000000"/>
                <w:sz w:val="22"/>
                <w:szCs w:val="22"/>
              </w:rPr>
            </w:pPr>
          </w:p>
        </w:tc>
        <w:tc>
          <w:tcPr>
            <w:tcW w:w="1465" w:type="dxa"/>
            <w:vMerge/>
            <w:tcBorders>
              <w:top w:val="single" w:sz="12" w:space="0" w:color="auto"/>
              <w:left w:val="single" w:sz="8" w:space="0" w:color="auto"/>
              <w:bottom w:val="single" w:sz="12" w:space="0" w:color="000000"/>
              <w:right w:val="single" w:sz="8" w:space="0" w:color="auto"/>
            </w:tcBorders>
            <w:vAlign w:val="bottom"/>
            <w:hideMark/>
          </w:tcPr>
          <w:p w14:paraId="01F4A54C" w14:textId="77777777" w:rsidR="00BF77FF" w:rsidRPr="003A4FBD" w:rsidRDefault="00BF77FF" w:rsidP="00F612B7">
            <w:pPr>
              <w:jc w:val="center"/>
              <w:rPr>
                <w:rFonts w:ascii="Times New Roman" w:hAnsi="Times New Roman"/>
                <w:b/>
                <w:bCs/>
                <w:color w:val="000000"/>
                <w:sz w:val="22"/>
                <w:szCs w:val="22"/>
              </w:rPr>
            </w:pPr>
          </w:p>
        </w:tc>
        <w:tc>
          <w:tcPr>
            <w:tcW w:w="1556" w:type="dxa"/>
            <w:vMerge/>
            <w:tcBorders>
              <w:top w:val="single" w:sz="12" w:space="0" w:color="auto"/>
              <w:left w:val="single" w:sz="8" w:space="0" w:color="auto"/>
              <w:bottom w:val="single" w:sz="12" w:space="0" w:color="000000"/>
              <w:right w:val="single" w:sz="8" w:space="0" w:color="auto"/>
            </w:tcBorders>
            <w:vAlign w:val="bottom"/>
            <w:hideMark/>
          </w:tcPr>
          <w:p w14:paraId="217613B4" w14:textId="77777777" w:rsidR="00BF77FF" w:rsidRPr="003A4FBD" w:rsidRDefault="00BF77FF" w:rsidP="00F612B7">
            <w:pPr>
              <w:jc w:val="center"/>
              <w:rPr>
                <w:rFonts w:ascii="Times New Roman" w:hAnsi="Times New Roman"/>
                <w:b/>
                <w:bCs/>
                <w:color w:val="000000"/>
                <w:sz w:val="22"/>
                <w:szCs w:val="22"/>
              </w:rPr>
            </w:pPr>
          </w:p>
        </w:tc>
        <w:tc>
          <w:tcPr>
            <w:tcW w:w="1660" w:type="dxa"/>
            <w:vMerge/>
            <w:tcBorders>
              <w:top w:val="single" w:sz="12" w:space="0" w:color="auto"/>
              <w:left w:val="single" w:sz="8" w:space="0" w:color="auto"/>
              <w:bottom w:val="single" w:sz="12" w:space="0" w:color="000000"/>
              <w:right w:val="single" w:sz="12" w:space="0" w:color="auto"/>
            </w:tcBorders>
            <w:vAlign w:val="bottom"/>
            <w:hideMark/>
          </w:tcPr>
          <w:p w14:paraId="49DE919F" w14:textId="77777777" w:rsidR="00BF77FF" w:rsidRPr="003A4FBD" w:rsidRDefault="00BF77FF" w:rsidP="00F612B7">
            <w:pPr>
              <w:jc w:val="center"/>
              <w:rPr>
                <w:rFonts w:ascii="Times New Roman" w:hAnsi="Times New Roman"/>
                <w:b/>
                <w:bCs/>
                <w:color w:val="000000"/>
                <w:sz w:val="22"/>
                <w:szCs w:val="22"/>
              </w:rPr>
            </w:pPr>
          </w:p>
        </w:tc>
      </w:tr>
      <w:tr w:rsidR="00BF77FF" w:rsidRPr="00001AC4" w14:paraId="33AD0A50" w14:textId="77777777" w:rsidTr="00F01C9E">
        <w:trPr>
          <w:cantSplit/>
          <w:trHeight w:val="28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68959BC1" w14:textId="77777777" w:rsidR="00BF77FF" w:rsidRPr="003A4FBD" w:rsidRDefault="00BF77FF" w:rsidP="00F612B7">
            <w:pPr>
              <w:jc w:val="center"/>
              <w:rPr>
                <w:rFonts w:ascii="Times New Roman" w:hAnsi="Times New Roman"/>
                <w:color w:val="000000"/>
                <w:sz w:val="22"/>
                <w:szCs w:val="22"/>
              </w:rPr>
            </w:pPr>
            <w:r w:rsidRPr="003A4FBD">
              <w:rPr>
                <w:rFonts w:ascii="Times New Roman" w:hAnsi="Times New Roman"/>
                <w:color w:val="000000"/>
                <w:sz w:val="22"/>
                <w:szCs w:val="22"/>
              </w:rPr>
              <w:t>1</w:t>
            </w:r>
          </w:p>
        </w:tc>
        <w:tc>
          <w:tcPr>
            <w:tcW w:w="1465" w:type="dxa"/>
            <w:tcBorders>
              <w:top w:val="nil"/>
              <w:left w:val="nil"/>
              <w:bottom w:val="single" w:sz="8" w:space="0" w:color="auto"/>
              <w:right w:val="single" w:sz="8" w:space="0" w:color="auto"/>
            </w:tcBorders>
            <w:shd w:val="clear" w:color="auto" w:fill="auto"/>
            <w:vAlign w:val="bottom"/>
          </w:tcPr>
          <w:p w14:paraId="4E852570" w14:textId="77777777" w:rsidR="00BF77FF" w:rsidRPr="003A4FBD" w:rsidRDefault="00BF77FF" w:rsidP="00F612B7">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64FA09DC" w14:textId="77777777" w:rsidR="00BF77FF" w:rsidRPr="003A4FBD" w:rsidRDefault="00BF77FF" w:rsidP="00F612B7">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67592465" w14:textId="77777777" w:rsidR="00BF77FF" w:rsidRPr="003A4FBD" w:rsidRDefault="00BF77FF" w:rsidP="00F612B7">
            <w:pPr>
              <w:jc w:val="center"/>
              <w:rPr>
                <w:rFonts w:ascii="Times New Roman" w:hAnsi="Times New Roman"/>
                <w:color w:val="000000"/>
                <w:sz w:val="22"/>
                <w:szCs w:val="22"/>
              </w:rPr>
            </w:pPr>
            <w:r>
              <w:rPr>
                <w:rFonts w:ascii="Times New Roman" w:hAnsi="Times New Roman"/>
                <w:color w:val="000000"/>
                <w:sz w:val="22"/>
                <w:szCs w:val="22"/>
              </w:rPr>
              <w:t>0.3</w:t>
            </w:r>
          </w:p>
        </w:tc>
        <w:tc>
          <w:tcPr>
            <w:tcW w:w="1556" w:type="dxa"/>
            <w:tcBorders>
              <w:top w:val="nil"/>
              <w:left w:val="nil"/>
              <w:bottom w:val="single" w:sz="8" w:space="0" w:color="auto"/>
              <w:right w:val="single" w:sz="8" w:space="0" w:color="auto"/>
            </w:tcBorders>
            <w:shd w:val="clear" w:color="auto" w:fill="auto"/>
            <w:vAlign w:val="bottom"/>
          </w:tcPr>
          <w:p w14:paraId="61D630F9" w14:textId="77777777" w:rsidR="00BF77FF" w:rsidRPr="003A4FBD" w:rsidRDefault="00BF77FF" w:rsidP="00F612B7">
            <w:pPr>
              <w:jc w:val="center"/>
              <w:rPr>
                <w:rFonts w:ascii="Times New Roman" w:hAnsi="Times New Roman"/>
                <w:color w:val="000000"/>
                <w:sz w:val="22"/>
                <w:szCs w:val="22"/>
              </w:rPr>
            </w:pPr>
            <w:r>
              <w:rPr>
                <w:rFonts w:ascii="Times New Roman" w:hAnsi="Times New Roman"/>
                <w:color w:val="000000"/>
                <w:sz w:val="22"/>
                <w:szCs w:val="22"/>
              </w:rPr>
              <w:t>1</w:t>
            </w:r>
          </w:p>
        </w:tc>
        <w:tc>
          <w:tcPr>
            <w:tcW w:w="1660" w:type="dxa"/>
            <w:tcBorders>
              <w:top w:val="nil"/>
              <w:left w:val="nil"/>
              <w:bottom w:val="single" w:sz="8" w:space="0" w:color="auto"/>
              <w:right w:val="single" w:sz="12" w:space="0" w:color="auto"/>
            </w:tcBorders>
            <w:shd w:val="clear" w:color="auto" w:fill="auto"/>
            <w:vAlign w:val="bottom"/>
          </w:tcPr>
          <w:p w14:paraId="7121AB14" w14:textId="77777777" w:rsidR="00BF77FF" w:rsidRPr="003A4FBD" w:rsidRDefault="00BF77FF" w:rsidP="00F612B7">
            <w:pPr>
              <w:jc w:val="center"/>
              <w:rPr>
                <w:rFonts w:ascii="Times New Roman" w:hAnsi="Times New Roman"/>
                <w:color w:val="000000"/>
                <w:sz w:val="22"/>
                <w:szCs w:val="22"/>
              </w:rPr>
            </w:pPr>
            <w:r>
              <w:rPr>
                <w:rFonts w:ascii="Times New Roman" w:hAnsi="Times New Roman"/>
                <w:color w:val="000000"/>
                <w:sz w:val="22"/>
                <w:szCs w:val="22"/>
              </w:rPr>
              <w:t>$59</w:t>
            </w:r>
          </w:p>
        </w:tc>
      </w:tr>
      <w:tr w:rsidR="00BF77FF" w:rsidRPr="00001AC4" w14:paraId="1187D186" w14:textId="77777777" w:rsidTr="00F01C9E">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10717635" w14:textId="77777777" w:rsidR="00BF77FF" w:rsidRPr="003A4FBD" w:rsidRDefault="00BF77FF" w:rsidP="00BF77FF">
            <w:pPr>
              <w:jc w:val="center"/>
              <w:rPr>
                <w:rFonts w:ascii="Times New Roman" w:hAnsi="Times New Roman"/>
                <w:color w:val="000000"/>
                <w:sz w:val="22"/>
                <w:szCs w:val="22"/>
              </w:rPr>
            </w:pPr>
            <w:r w:rsidRPr="003A4FBD">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6BD08C3E"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3AA1212F"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5282C8E3"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0.3</w:t>
            </w:r>
          </w:p>
        </w:tc>
        <w:tc>
          <w:tcPr>
            <w:tcW w:w="1556" w:type="dxa"/>
            <w:tcBorders>
              <w:top w:val="nil"/>
              <w:left w:val="nil"/>
              <w:bottom w:val="single" w:sz="8" w:space="0" w:color="auto"/>
              <w:right w:val="single" w:sz="8" w:space="0" w:color="auto"/>
            </w:tcBorders>
            <w:shd w:val="clear" w:color="auto" w:fill="auto"/>
            <w:vAlign w:val="bottom"/>
          </w:tcPr>
          <w:p w14:paraId="7E618ADF"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1</w:t>
            </w:r>
          </w:p>
        </w:tc>
        <w:tc>
          <w:tcPr>
            <w:tcW w:w="1660" w:type="dxa"/>
            <w:tcBorders>
              <w:top w:val="nil"/>
              <w:left w:val="nil"/>
              <w:bottom w:val="single" w:sz="8" w:space="0" w:color="auto"/>
              <w:right w:val="single" w:sz="12" w:space="0" w:color="auto"/>
            </w:tcBorders>
            <w:shd w:val="clear" w:color="auto" w:fill="auto"/>
            <w:vAlign w:val="bottom"/>
          </w:tcPr>
          <w:p w14:paraId="7F19881E"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$59</w:t>
            </w:r>
          </w:p>
        </w:tc>
      </w:tr>
      <w:tr w:rsidR="00BF77FF" w:rsidRPr="00001AC4" w14:paraId="7AD95ED6" w14:textId="77777777" w:rsidTr="00F01C9E">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227DC771" w14:textId="77777777" w:rsidR="00BF77FF" w:rsidRPr="003A4FBD" w:rsidRDefault="00BF77FF" w:rsidP="00BF77FF">
            <w:pPr>
              <w:jc w:val="center"/>
              <w:rPr>
                <w:rFonts w:ascii="Times New Roman" w:hAnsi="Times New Roman"/>
                <w:color w:val="000000"/>
                <w:sz w:val="22"/>
                <w:szCs w:val="22"/>
              </w:rPr>
            </w:pPr>
            <w:r w:rsidRPr="003A4FBD">
              <w:rPr>
                <w:rFonts w:ascii="Times New Roman" w:hAnsi="Times New Roman"/>
                <w:color w:val="000000"/>
                <w:sz w:val="22"/>
                <w:szCs w:val="22"/>
              </w:rPr>
              <w:t>3</w:t>
            </w:r>
          </w:p>
        </w:tc>
        <w:tc>
          <w:tcPr>
            <w:tcW w:w="1465" w:type="dxa"/>
            <w:tcBorders>
              <w:top w:val="nil"/>
              <w:left w:val="nil"/>
              <w:bottom w:val="single" w:sz="8" w:space="0" w:color="auto"/>
              <w:right w:val="single" w:sz="8" w:space="0" w:color="auto"/>
            </w:tcBorders>
            <w:shd w:val="clear" w:color="auto" w:fill="auto"/>
            <w:vAlign w:val="bottom"/>
          </w:tcPr>
          <w:p w14:paraId="4E58F1A6"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453B3E9A"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8" w:space="0" w:color="auto"/>
              <w:right w:val="single" w:sz="8" w:space="0" w:color="auto"/>
            </w:tcBorders>
            <w:shd w:val="clear" w:color="auto" w:fill="auto"/>
            <w:vAlign w:val="bottom"/>
          </w:tcPr>
          <w:p w14:paraId="0CDD76DC"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0.3</w:t>
            </w:r>
          </w:p>
        </w:tc>
        <w:tc>
          <w:tcPr>
            <w:tcW w:w="1556" w:type="dxa"/>
            <w:tcBorders>
              <w:top w:val="nil"/>
              <w:left w:val="nil"/>
              <w:bottom w:val="single" w:sz="8" w:space="0" w:color="auto"/>
              <w:right w:val="single" w:sz="8" w:space="0" w:color="auto"/>
            </w:tcBorders>
            <w:shd w:val="clear" w:color="auto" w:fill="auto"/>
            <w:vAlign w:val="bottom"/>
          </w:tcPr>
          <w:p w14:paraId="27259264"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1</w:t>
            </w:r>
          </w:p>
        </w:tc>
        <w:tc>
          <w:tcPr>
            <w:tcW w:w="1660" w:type="dxa"/>
            <w:tcBorders>
              <w:top w:val="nil"/>
              <w:left w:val="nil"/>
              <w:bottom w:val="single" w:sz="8" w:space="0" w:color="auto"/>
              <w:right w:val="single" w:sz="12" w:space="0" w:color="auto"/>
            </w:tcBorders>
            <w:shd w:val="clear" w:color="auto" w:fill="auto"/>
            <w:vAlign w:val="bottom"/>
          </w:tcPr>
          <w:p w14:paraId="676DD035"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$59</w:t>
            </w:r>
          </w:p>
        </w:tc>
      </w:tr>
      <w:tr w:rsidR="00BF77FF" w:rsidRPr="00001AC4" w14:paraId="6631D96E" w14:textId="77777777" w:rsidTr="00F01C9E">
        <w:trPr>
          <w:cantSplit/>
          <w:trHeight w:val="270"/>
        </w:trPr>
        <w:tc>
          <w:tcPr>
            <w:tcW w:w="1260" w:type="dxa"/>
            <w:tcBorders>
              <w:top w:val="nil"/>
              <w:left w:val="single" w:sz="12" w:space="0" w:color="auto"/>
              <w:bottom w:val="single" w:sz="8" w:space="0" w:color="auto"/>
              <w:right w:val="single" w:sz="8" w:space="0" w:color="auto"/>
            </w:tcBorders>
            <w:shd w:val="clear" w:color="auto" w:fill="auto"/>
            <w:vAlign w:val="bottom"/>
            <w:hideMark/>
          </w:tcPr>
          <w:p w14:paraId="001832EE" w14:textId="77777777" w:rsidR="00BF77FF" w:rsidRPr="003A4FBD" w:rsidRDefault="00BF77FF" w:rsidP="00BF77FF">
            <w:pPr>
              <w:jc w:val="right"/>
              <w:rPr>
                <w:rFonts w:ascii="Times New Roman" w:hAnsi="Times New Roman"/>
                <w:color w:val="000000"/>
                <w:sz w:val="22"/>
                <w:szCs w:val="22"/>
              </w:rPr>
            </w:pPr>
            <w:r w:rsidRPr="003A4FBD">
              <w:rPr>
                <w:rFonts w:ascii="Times New Roman" w:hAnsi="Times New Roman"/>
                <w:color w:val="000000"/>
                <w:sz w:val="22"/>
                <w:szCs w:val="22"/>
              </w:rPr>
              <w:t>Total</w:t>
            </w:r>
          </w:p>
        </w:tc>
        <w:tc>
          <w:tcPr>
            <w:tcW w:w="1465" w:type="dxa"/>
            <w:tcBorders>
              <w:top w:val="nil"/>
              <w:left w:val="nil"/>
              <w:bottom w:val="single" w:sz="8" w:space="0" w:color="auto"/>
              <w:right w:val="single" w:sz="8" w:space="0" w:color="auto"/>
            </w:tcBorders>
            <w:shd w:val="clear" w:color="auto" w:fill="auto"/>
            <w:vAlign w:val="bottom"/>
          </w:tcPr>
          <w:p w14:paraId="3B667940"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6</w:t>
            </w:r>
          </w:p>
        </w:tc>
        <w:tc>
          <w:tcPr>
            <w:tcW w:w="1465" w:type="dxa"/>
            <w:tcBorders>
              <w:top w:val="nil"/>
              <w:left w:val="nil"/>
              <w:bottom w:val="single" w:sz="8" w:space="0" w:color="auto"/>
              <w:right w:val="single" w:sz="8" w:space="0" w:color="auto"/>
            </w:tcBorders>
            <w:shd w:val="clear" w:color="auto" w:fill="auto"/>
            <w:vAlign w:val="bottom"/>
          </w:tcPr>
          <w:p w14:paraId="65466D35"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6</w:t>
            </w:r>
          </w:p>
        </w:tc>
        <w:tc>
          <w:tcPr>
            <w:tcW w:w="1465" w:type="dxa"/>
            <w:tcBorders>
              <w:top w:val="nil"/>
              <w:left w:val="nil"/>
              <w:bottom w:val="single" w:sz="8" w:space="0" w:color="auto"/>
              <w:right w:val="single" w:sz="8" w:space="0" w:color="auto"/>
            </w:tcBorders>
            <w:shd w:val="clear" w:color="auto" w:fill="auto"/>
            <w:vAlign w:val="bottom"/>
          </w:tcPr>
          <w:p w14:paraId="59D87361"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w:t>
            </w:r>
          </w:p>
        </w:tc>
        <w:tc>
          <w:tcPr>
            <w:tcW w:w="1556" w:type="dxa"/>
            <w:tcBorders>
              <w:top w:val="nil"/>
              <w:left w:val="nil"/>
              <w:bottom w:val="single" w:sz="8" w:space="0" w:color="auto"/>
              <w:right w:val="single" w:sz="8" w:space="0" w:color="auto"/>
            </w:tcBorders>
            <w:shd w:val="clear" w:color="auto" w:fill="auto"/>
            <w:vAlign w:val="bottom"/>
          </w:tcPr>
          <w:p w14:paraId="5FCF2402"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3</w:t>
            </w:r>
          </w:p>
        </w:tc>
        <w:tc>
          <w:tcPr>
            <w:tcW w:w="1660" w:type="dxa"/>
            <w:tcBorders>
              <w:top w:val="nil"/>
              <w:left w:val="nil"/>
              <w:bottom w:val="single" w:sz="8" w:space="0" w:color="auto"/>
              <w:right w:val="single" w:sz="8" w:space="0" w:color="auto"/>
            </w:tcBorders>
            <w:shd w:val="clear" w:color="auto" w:fill="auto"/>
            <w:vAlign w:val="bottom"/>
          </w:tcPr>
          <w:p w14:paraId="28A53D6A"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$177</w:t>
            </w:r>
          </w:p>
        </w:tc>
      </w:tr>
      <w:tr w:rsidR="00BF77FF" w:rsidRPr="00001AC4" w14:paraId="70920DEE" w14:textId="77777777" w:rsidTr="00F01C9E">
        <w:trPr>
          <w:cantSplit/>
          <w:trHeight w:val="270"/>
        </w:trPr>
        <w:tc>
          <w:tcPr>
            <w:tcW w:w="1260" w:type="dxa"/>
            <w:tcBorders>
              <w:top w:val="nil"/>
              <w:left w:val="single" w:sz="12" w:space="0" w:color="auto"/>
              <w:bottom w:val="single" w:sz="12" w:space="0" w:color="auto"/>
              <w:right w:val="single" w:sz="8" w:space="0" w:color="auto"/>
            </w:tcBorders>
            <w:shd w:val="clear" w:color="auto" w:fill="auto"/>
            <w:vAlign w:val="bottom"/>
            <w:hideMark/>
          </w:tcPr>
          <w:p w14:paraId="216F4D92" w14:textId="77777777" w:rsidR="00BF77FF" w:rsidRPr="003A4FBD" w:rsidRDefault="00BF77FF" w:rsidP="00BF77FF">
            <w:pPr>
              <w:jc w:val="right"/>
              <w:rPr>
                <w:rFonts w:ascii="Times New Roman" w:hAnsi="Times New Roman"/>
                <w:color w:val="000000"/>
                <w:sz w:val="22"/>
                <w:szCs w:val="22"/>
              </w:rPr>
            </w:pPr>
            <w:r w:rsidRPr="003A4FBD">
              <w:rPr>
                <w:rFonts w:ascii="Times New Roman" w:hAnsi="Times New Roman"/>
                <w:color w:val="000000"/>
                <w:sz w:val="22"/>
                <w:szCs w:val="22"/>
              </w:rPr>
              <w:t>Annualized</w:t>
            </w:r>
          </w:p>
        </w:tc>
        <w:tc>
          <w:tcPr>
            <w:tcW w:w="1465" w:type="dxa"/>
            <w:tcBorders>
              <w:top w:val="nil"/>
              <w:left w:val="nil"/>
              <w:bottom w:val="single" w:sz="12" w:space="0" w:color="auto"/>
              <w:right w:val="single" w:sz="8" w:space="0" w:color="auto"/>
            </w:tcBorders>
            <w:shd w:val="clear" w:color="auto" w:fill="auto"/>
            <w:vAlign w:val="bottom"/>
          </w:tcPr>
          <w:p w14:paraId="45FF9023"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12" w:space="0" w:color="auto"/>
              <w:right w:val="single" w:sz="8" w:space="0" w:color="auto"/>
            </w:tcBorders>
            <w:shd w:val="clear" w:color="auto" w:fill="auto"/>
            <w:vAlign w:val="bottom"/>
          </w:tcPr>
          <w:p w14:paraId="78496E18"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2</w:t>
            </w:r>
          </w:p>
        </w:tc>
        <w:tc>
          <w:tcPr>
            <w:tcW w:w="1465" w:type="dxa"/>
            <w:tcBorders>
              <w:top w:val="nil"/>
              <w:left w:val="nil"/>
              <w:bottom w:val="single" w:sz="12" w:space="0" w:color="auto"/>
              <w:right w:val="single" w:sz="8" w:space="0" w:color="auto"/>
            </w:tcBorders>
            <w:shd w:val="clear" w:color="auto" w:fill="auto"/>
            <w:vAlign w:val="bottom"/>
          </w:tcPr>
          <w:p w14:paraId="341197B0"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0.3</w:t>
            </w:r>
          </w:p>
        </w:tc>
        <w:tc>
          <w:tcPr>
            <w:tcW w:w="1556" w:type="dxa"/>
            <w:tcBorders>
              <w:top w:val="nil"/>
              <w:left w:val="nil"/>
              <w:bottom w:val="single" w:sz="12" w:space="0" w:color="auto"/>
              <w:right w:val="single" w:sz="8" w:space="0" w:color="auto"/>
            </w:tcBorders>
            <w:shd w:val="clear" w:color="auto" w:fill="auto"/>
            <w:vAlign w:val="bottom"/>
          </w:tcPr>
          <w:p w14:paraId="21F51647"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1</w:t>
            </w:r>
          </w:p>
        </w:tc>
        <w:tc>
          <w:tcPr>
            <w:tcW w:w="1660" w:type="dxa"/>
            <w:tcBorders>
              <w:top w:val="nil"/>
              <w:left w:val="nil"/>
              <w:bottom w:val="single" w:sz="12" w:space="0" w:color="auto"/>
              <w:right w:val="single" w:sz="8" w:space="0" w:color="auto"/>
            </w:tcBorders>
            <w:shd w:val="clear" w:color="auto" w:fill="auto"/>
            <w:vAlign w:val="bottom"/>
          </w:tcPr>
          <w:p w14:paraId="52646561" w14:textId="77777777" w:rsidR="00BF77FF" w:rsidRPr="003A4FBD" w:rsidRDefault="00BF77FF" w:rsidP="00BF77FF">
            <w:pPr>
              <w:jc w:val="center"/>
              <w:rPr>
                <w:rFonts w:ascii="Times New Roman" w:hAnsi="Times New Roman"/>
                <w:color w:val="000000"/>
                <w:sz w:val="22"/>
                <w:szCs w:val="22"/>
              </w:rPr>
            </w:pPr>
            <w:r>
              <w:rPr>
                <w:rFonts w:ascii="Times New Roman" w:hAnsi="Times New Roman"/>
                <w:color w:val="000000"/>
                <w:sz w:val="22"/>
                <w:szCs w:val="22"/>
              </w:rPr>
              <w:t>$59</w:t>
            </w:r>
          </w:p>
        </w:tc>
      </w:tr>
    </w:tbl>
    <w:p w14:paraId="2E2D5F8B" w14:textId="77777777" w:rsidR="00BF77FF" w:rsidRDefault="00BF77FF" w:rsidP="00001AC4">
      <w:pPr>
        <w:ind w:left="720" w:hanging="720"/>
        <w:rPr>
          <w:rFonts w:ascii="Times New Roman" w:hAnsi="Times New Roman"/>
        </w:rPr>
      </w:pPr>
    </w:p>
    <w:p w14:paraId="1DB7298C" w14:textId="77777777" w:rsidR="00F243DE" w:rsidRDefault="00F243DE" w:rsidP="00BF77FF">
      <w:pPr>
        <w:ind w:left="720"/>
        <w:outlineLvl w:val="0"/>
        <w:rPr>
          <w:rFonts w:ascii="Times New Roman" w:hAnsi="Times New Roman"/>
          <w:b/>
          <w:u w:val="single"/>
        </w:rPr>
      </w:pPr>
    </w:p>
    <w:p w14:paraId="16C18F5E" w14:textId="77777777" w:rsidR="00BF77FF" w:rsidRPr="00B2118B" w:rsidRDefault="00BF77FF" w:rsidP="00BF77FF">
      <w:pPr>
        <w:ind w:left="720"/>
        <w:outlineLvl w:val="0"/>
        <w:rPr>
          <w:rFonts w:ascii="Times New Roman" w:hAnsi="Times New Roman"/>
          <w:b/>
          <w:u w:val="single"/>
        </w:rPr>
      </w:pPr>
      <w:r w:rsidRPr="00B2118B">
        <w:rPr>
          <w:rFonts w:ascii="Times New Roman" w:hAnsi="Times New Roman"/>
          <w:b/>
          <w:u w:val="single"/>
        </w:rPr>
        <w:t>Information Collection 2 Summary</w:t>
      </w:r>
    </w:p>
    <w:p w14:paraId="1AA5C2C5" w14:textId="77777777" w:rsidR="00BF77FF" w:rsidRPr="00B2118B" w:rsidRDefault="00BF77FF" w:rsidP="00BF77FF">
      <w:pPr>
        <w:ind w:left="720"/>
        <w:outlineLvl w:val="0"/>
        <w:rPr>
          <w:rFonts w:ascii="Times New Roman" w:hAnsi="Times New Roman"/>
          <w:b/>
        </w:rPr>
      </w:pPr>
      <w:r w:rsidRPr="00B2118B">
        <w:rPr>
          <w:rFonts w:ascii="Times New Roman" w:hAnsi="Times New Roman"/>
          <w:b/>
        </w:rPr>
        <w:t>Estimated Number of Annual Respondents:  2.</w:t>
      </w:r>
    </w:p>
    <w:p w14:paraId="642DCD31" w14:textId="77777777" w:rsidR="00BF77FF" w:rsidRPr="00B2118B" w:rsidRDefault="00BF77FF" w:rsidP="00BF77FF">
      <w:pPr>
        <w:ind w:left="720" w:hanging="720"/>
        <w:outlineLvl w:val="0"/>
        <w:rPr>
          <w:rFonts w:ascii="Times New Roman" w:hAnsi="Times New Roman"/>
          <w:b/>
        </w:rPr>
      </w:pPr>
      <w:r w:rsidRPr="00B2118B">
        <w:rPr>
          <w:rFonts w:ascii="Times New Roman" w:hAnsi="Times New Roman"/>
          <w:b/>
        </w:rPr>
        <w:tab/>
        <w:t>Estimated Number of Annual Responses:  2.</w:t>
      </w:r>
    </w:p>
    <w:p w14:paraId="4C25B188" w14:textId="77777777" w:rsidR="00BF77FF" w:rsidRPr="00B2118B" w:rsidRDefault="00BF77FF" w:rsidP="00BF77FF">
      <w:pPr>
        <w:ind w:left="720" w:hanging="720"/>
        <w:rPr>
          <w:rFonts w:ascii="Times New Roman" w:hAnsi="Times New Roman"/>
          <w:b/>
        </w:rPr>
      </w:pPr>
      <w:r w:rsidRPr="00B2118B">
        <w:rPr>
          <w:rFonts w:ascii="Times New Roman" w:hAnsi="Times New Roman"/>
          <w:b/>
        </w:rPr>
        <w:tab/>
        <w:t>Estimated Total Annual Burden Hours:  1</w:t>
      </w:r>
      <w:r w:rsidRPr="007D6BE0">
        <w:rPr>
          <w:rFonts w:ascii="Times New Roman" w:hAnsi="Times New Roman"/>
        </w:rPr>
        <w:t xml:space="preserve"> [2 respondents x 0.3 hours per response].</w:t>
      </w:r>
    </w:p>
    <w:p w14:paraId="5D189B5A" w14:textId="77777777" w:rsidR="00BF77FF" w:rsidRPr="00BF77FF" w:rsidRDefault="00BF77FF" w:rsidP="00001AC4">
      <w:pPr>
        <w:ind w:left="720" w:hanging="720"/>
        <w:rPr>
          <w:rFonts w:ascii="Times New Roman" w:hAnsi="Times New Roman"/>
        </w:rPr>
      </w:pPr>
    </w:p>
    <w:p w14:paraId="140CA995" w14:textId="77777777" w:rsidR="008A3A57" w:rsidRPr="007D6BE0" w:rsidRDefault="00990CED" w:rsidP="0064680C">
      <w:pPr>
        <w:ind w:left="720" w:hanging="720"/>
        <w:rPr>
          <w:rFonts w:ascii="Times New Roman" w:hAnsi="Times New Roman"/>
          <w:b/>
          <w:u w:val="single"/>
        </w:rPr>
      </w:pPr>
      <w:r>
        <w:rPr>
          <w:rFonts w:ascii="Times New Roman" w:hAnsi="Times New Roman"/>
          <w:b/>
        </w:rPr>
        <w:tab/>
      </w:r>
      <w:r w:rsidRPr="007D6BE0">
        <w:rPr>
          <w:rFonts w:ascii="Times New Roman" w:hAnsi="Times New Roman"/>
          <w:b/>
          <w:u w:val="single"/>
        </w:rPr>
        <w:t>Summary</w:t>
      </w:r>
    </w:p>
    <w:p w14:paraId="44D28375" w14:textId="08F19235" w:rsidR="00990CED" w:rsidRPr="007D6BE0" w:rsidRDefault="00990CED" w:rsidP="00990CED">
      <w:pPr>
        <w:ind w:left="720"/>
        <w:outlineLvl w:val="0"/>
        <w:rPr>
          <w:rFonts w:ascii="Times New Roman" w:hAnsi="Times New Roman"/>
        </w:rPr>
      </w:pPr>
      <w:r w:rsidRPr="00F01C9E">
        <w:rPr>
          <w:rFonts w:ascii="Times New Roman" w:hAnsi="Times New Roman"/>
          <w:b/>
        </w:rPr>
        <w:t>Estimate</w:t>
      </w:r>
      <w:r w:rsidR="00E02E73">
        <w:rPr>
          <w:rFonts w:ascii="Times New Roman" w:hAnsi="Times New Roman"/>
          <w:b/>
        </w:rPr>
        <w:t>d Number of Annual Respondents:</w:t>
      </w:r>
      <w:r w:rsidRPr="00F01C9E">
        <w:rPr>
          <w:rFonts w:ascii="Times New Roman" w:hAnsi="Times New Roman"/>
          <w:b/>
        </w:rPr>
        <w:t xml:space="preserve"> </w:t>
      </w:r>
      <w:r w:rsidR="00E02E73">
        <w:rPr>
          <w:rFonts w:ascii="Times New Roman" w:hAnsi="Times New Roman"/>
          <w:b/>
        </w:rPr>
        <w:t xml:space="preserve">(96 + 2 = </w:t>
      </w:r>
      <w:r w:rsidRPr="00F01C9E">
        <w:rPr>
          <w:rFonts w:ascii="Times New Roman" w:hAnsi="Times New Roman"/>
          <w:b/>
        </w:rPr>
        <w:t>98</w:t>
      </w:r>
      <w:r w:rsidR="00E02E73">
        <w:rPr>
          <w:rFonts w:ascii="Times New Roman" w:hAnsi="Times New Roman"/>
          <w:b/>
        </w:rPr>
        <w:t xml:space="preserve">) </w:t>
      </w:r>
      <w:r w:rsidRPr="00F01C9E">
        <w:rPr>
          <w:rFonts w:ascii="Times New Roman" w:hAnsi="Times New Roman"/>
          <w:b/>
        </w:rPr>
        <w:t xml:space="preserve"> </w:t>
      </w:r>
      <w:r w:rsidRPr="007D6BE0">
        <w:rPr>
          <w:rFonts w:ascii="Times New Roman" w:hAnsi="Times New Roman"/>
        </w:rPr>
        <w:t xml:space="preserve">[96 Class I and Class II motor carriers of property </w:t>
      </w:r>
      <w:r w:rsidR="006E687E" w:rsidRPr="007D6BE0">
        <w:rPr>
          <w:rFonts w:ascii="Times New Roman" w:hAnsi="Times New Roman"/>
        </w:rPr>
        <w:t xml:space="preserve">(Form M) </w:t>
      </w:r>
      <w:r w:rsidRPr="007D6BE0">
        <w:rPr>
          <w:rFonts w:ascii="Times New Roman" w:hAnsi="Times New Roman"/>
        </w:rPr>
        <w:t>+ 2 Class I motor carriers of passengers</w:t>
      </w:r>
      <w:r w:rsidR="006E687E" w:rsidRPr="007D6BE0">
        <w:rPr>
          <w:rFonts w:ascii="Times New Roman" w:hAnsi="Times New Roman"/>
        </w:rPr>
        <w:t xml:space="preserve"> (Form MP-1)</w:t>
      </w:r>
      <w:r w:rsidRPr="007D6BE0">
        <w:rPr>
          <w:rFonts w:ascii="Times New Roman" w:hAnsi="Times New Roman"/>
        </w:rPr>
        <w:t>].</w:t>
      </w:r>
    </w:p>
    <w:p w14:paraId="5B0A0089" w14:textId="77777777" w:rsidR="00990CED" w:rsidRPr="00F01C9E" w:rsidRDefault="00990CED" w:rsidP="00990CED">
      <w:pPr>
        <w:ind w:left="720" w:hanging="720"/>
        <w:outlineLvl w:val="0"/>
        <w:rPr>
          <w:rFonts w:ascii="Times New Roman" w:hAnsi="Times New Roman"/>
          <w:b/>
        </w:rPr>
      </w:pPr>
      <w:r w:rsidRPr="00F01C9E">
        <w:rPr>
          <w:rFonts w:ascii="Times New Roman" w:hAnsi="Times New Roman"/>
          <w:b/>
        </w:rPr>
        <w:tab/>
        <w:t xml:space="preserve">Estimated Number of Annual Responses:  98 </w:t>
      </w:r>
      <w:r w:rsidRPr="007D6BE0">
        <w:rPr>
          <w:rFonts w:ascii="Times New Roman" w:hAnsi="Times New Roman"/>
        </w:rPr>
        <w:t xml:space="preserve">[96 </w:t>
      </w:r>
      <w:r w:rsidR="00A02CD6" w:rsidRPr="007D6BE0">
        <w:rPr>
          <w:rFonts w:ascii="Times New Roman" w:hAnsi="Times New Roman"/>
        </w:rPr>
        <w:t>(</w:t>
      </w:r>
      <w:r w:rsidR="006E687E" w:rsidRPr="007D6BE0">
        <w:rPr>
          <w:rFonts w:ascii="Times New Roman" w:hAnsi="Times New Roman"/>
        </w:rPr>
        <w:t>Form M</w:t>
      </w:r>
      <w:r w:rsidR="00A02CD6" w:rsidRPr="007D6BE0">
        <w:rPr>
          <w:rFonts w:ascii="Times New Roman" w:hAnsi="Times New Roman"/>
        </w:rPr>
        <w:t>)</w:t>
      </w:r>
      <w:r w:rsidRPr="007D6BE0">
        <w:rPr>
          <w:rFonts w:ascii="Times New Roman" w:hAnsi="Times New Roman"/>
        </w:rPr>
        <w:t xml:space="preserve"> + 2 </w:t>
      </w:r>
      <w:r w:rsidR="00A02CD6" w:rsidRPr="007D6BE0">
        <w:rPr>
          <w:rFonts w:ascii="Times New Roman" w:hAnsi="Times New Roman"/>
        </w:rPr>
        <w:t>(</w:t>
      </w:r>
      <w:r w:rsidR="006E687E" w:rsidRPr="007D6BE0">
        <w:rPr>
          <w:rFonts w:ascii="Times New Roman" w:hAnsi="Times New Roman"/>
        </w:rPr>
        <w:t>Form MP-1</w:t>
      </w:r>
      <w:r w:rsidR="00A02CD6" w:rsidRPr="007D6BE0">
        <w:rPr>
          <w:rFonts w:ascii="Times New Roman" w:hAnsi="Times New Roman"/>
        </w:rPr>
        <w:t>)</w:t>
      </w:r>
      <w:r w:rsidRPr="007D6BE0">
        <w:rPr>
          <w:rFonts w:ascii="Times New Roman" w:hAnsi="Times New Roman"/>
        </w:rPr>
        <w:t>].</w:t>
      </w:r>
    </w:p>
    <w:p w14:paraId="29C36A3A" w14:textId="77777777" w:rsidR="00990CED" w:rsidRPr="007D6BE0" w:rsidRDefault="00990CED" w:rsidP="00990CED">
      <w:pPr>
        <w:ind w:left="720" w:hanging="720"/>
        <w:rPr>
          <w:rFonts w:ascii="Times New Roman" w:hAnsi="Times New Roman"/>
        </w:rPr>
      </w:pPr>
      <w:r w:rsidRPr="00F01C9E">
        <w:rPr>
          <w:rFonts w:ascii="Times New Roman" w:hAnsi="Times New Roman"/>
          <w:b/>
        </w:rPr>
        <w:tab/>
        <w:t xml:space="preserve">Estimated Total Annual Burden Hours:  865 hours </w:t>
      </w:r>
      <w:r w:rsidRPr="007D6BE0">
        <w:rPr>
          <w:rFonts w:ascii="Times New Roman" w:hAnsi="Times New Roman"/>
        </w:rPr>
        <w:t>[</w:t>
      </w:r>
      <w:bookmarkStart w:id="1" w:name="_Hlk505608544"/>
      <w:r w:rsidRPr="007D6BE0">
        <w:rPr>
          <w:rFonts w:ascii="Times New Roman" w:hAnsi="Times New Roman"/>
        </w:rPr>
        <w:t xml:space="preserve">864 hours </w:t>
      </w:r>
      <w:r w:rsidR="00A02CD6" w:rsidRPr="007D6BE0">
        <w:rPr>
          <w:rFonts w:ascii="Times New Roman" w:hAnsi="Times New Roman"/>
        </w:rPr>
        <w:t>(</w:t>
      </w:r>
      <w:r w:rsidRPr="007D6BE0">
        <w:rPr>
          <w:rFonts w:ascii="Times New Roman" w:hAnsi="Times New Roman"/>
        </w:rPr>
        <w:t>Form M</w:t>
      </w:r>
      <w:r w:rsidR="00A02CD6" w:rsidRPr="007D6BE0">
        <w:rPr>
          <w:rFonts w:ascii="Times New Roman" w:hAnsi="Times New Roman"/>
        </w:rPr>
        <w:t>)</w:t>
      </w:r>
      <w:r w:rsidRPr="007D6BE0">
        <w:rPr>
          <w:rFonts w:ascii="Times New Roman" w:hAnsi="Times New Roman"/>
        </w:rPr>
        <w:t xml:space="preserve"> + 1 hour </w:t>
      </w:r>
      <w:r w:rsidR="00A02CD6" w:rsidRPr="007D6BE0">
        <w:rPr>
          <w:rFonts w:ascii="Times New Roman" w:hAnsi="Times New Roman"/>
        </w:rPr>
        <w:t>(F</w:t>
      </w:r>
      <w:r w:rsidRPr="007D6BE0">
        <w:rPr>
          <w:rFonts w:ascii="Times New Roman" w:hAnsi="Times New Roman"/>
        </w:rPr>
        <w:t>orm MP-1</w:t>
      </w:r>
      <w:r w:rsidR="00A02CD6" w:rsidRPr="007D6BE0">
        <w:rPr>
          <w:rFonts w:ascii="Times New Roman" w:hAnsi="Times New Roman"/>
        </w:rPr>
        <w:t>)</w:t>
      </w:r>
      <w:r w:rsidRPr="007D6BE0">
        <w:rPr>
          <w:rFonts w:ascii="Times New Roman" w:hAnsi="Times New Roman"/>
        </w:rPr>
        <w:t>]</w:t>
      </w:r>
      <w:bookmarkEnd w:id="1"/>
      <w:r w:rsidRPr="007D6BE0">
        <w:rPr>
          <w:rFonts w:ascii="Times New Roman" w:hAnsi="Times New Roman"/>
        </w:rPr>
        <w:t>.</w:t>
      </w:r>
    </w:p>
    <w:p w14:paraId="48CF0079" w14:textId="77777777" w:rsidR="00990CED" w:rsidRDefault="00990CED" w:rsidP="0064680C">
      <w:pPr>
        <w:ind w:left="720" w:hanging="720"/>
        <w:rPr>
          <w:rFonts w:ascii="Times New Roman" w:hAnsi="Times New Roman"/>
          <w:b/>
        </w:rPr>
      </w:pPr>
    </w:p>
    <w:p w14:paraId="4851EDC9" w14:textId="77777777" w:rsidR="0064680C" w:rsidRPr="000B5383" w:rsidRDefault="0064680C" w:rsidP="0064680C">
      <w:pPr>
        <w:ind w:left="720" w:hanging="720"/>
        <w:rPr>
          <w:rFonts w:ascii="Times New Roman" w:hAnsi="Times New Roman"/>
        </w:rPr>
      </w:pPr>
      <w:r w:rsidRPr="000B5383">
        <w:rPr>
          <w:rFonts w:ascii="Times New Roman" w:hAnsi="Times New Roman"/>
          <w:b/>
        </w:rPr>
        <w:t>13.</w:t>
      </w:r>
      <w:r w:rsidRPr="000B5383">
        <w:rPr>
          <w:rFonts w:ascii="Times New Roman" w:hAnsi="Times New Roman"/>
          <w:b/>
        </w:rPr>
        <w:tab/>
      </w:r>
      <w:r w:rsidRPr="000B5383">
        <w:rPr>
          <w:rFonts w:ascii="Times New Roman" w:hAnsi="Times New Roman"/>
          <w:b/>
          <w:u w:val="single"/>
        </w:rPr>
        <w:t>Estimate of Total Annual Cost to Respondents</w:t>
      </w:r>
    </w:p>
    <w:p w14:paraId="0A1C0AF8" w14:textId="77777777" w:rsidR="0064680C" w:rsidRPr="000B5383" w:rsidRDefault="0064680C" w:rsidP="0064680C">
      <w:pPr>
        <w:ind w:left="720" w:hanging="720"/>
        <w:rPr>
          <w:rFonts w:ascii="Times New Roman" w:hAnsi="Times New Roman"/>
        </w:rPr>
      </w:pPr>
    </w:p>
    <w:p w14:paraId="70DD827D" w14:textId="77777777" w:rsidR="007D2B4B" w:rsidRPr="00F01C9E" w:rsidRDefault="007D2B4B" w:rsidP="00FC505B">
      <w:pPr>
        <w:ind w:left="720" w:hanging="720"/>
        <w:rPr>
          <w:rFonts w:ascii="Times New Roman" w:hAnsi="Times New Roman"/>
          <w:u w:val="single"/>
        </w:rPr>
      </w:pPr>
      <w:r>
        <w:rPr>
          <w:rFonts w:ascii="Times New Roman" w:hAnsi="Times New Roman"/>
        </w:rPr>
        <w:tab/>
      </w:r>
      <w:r w:rsidRPr="00F01C9E">
        <w:rPr>
          <w:rFonts w:ascii="Times New Roman" w:hAnsi="Times New Roman"/>
          <w:u w:val="single"/>
        </w:rPr>
        <w:t>Information Collection 1: Form M</w:t>
      </w:r>
    </w:p>
    <w:p w14:paraId="7CE3F0AA" w14:textId="77777777" w:rsidR="00FC505B" w:rsidRDefault="00FC505B" w:rsidP="00F01C9E">
      <w:pPr>
        <w:ind w:left="720"/>
        <w:rPr>
          <w:rFonts w:ascii="Times New Roman" w:hAnsi="Times New Roman"/>
        </w:rPr>
      </w:pPr>
      <w:r w:rsidRPr="00E07583">
        <w:rPr>
          <w:rFonts w:ascii="Times New Roman" w:hAnsi="Times New Roman"/>
        </w:rPr>
        <w:t xml:space="preserve">Approximately </w:t>
      </w:r>
      <w:r w:rsidR="006919FD">
        <w:rPr>
          <w:rFonts w:ascii="Times New Roman" w:hAnsi="Times New Roman"/>
        </w:rPr>
        <w:t xml:space="preserve">96 </w:t>
      </w:r>
      <w:r>
        <w:rPr>
          <w:rFonts w:ascii="Times New Roman" w:hAnsi="Times New Roman"/>
        </w:rPr>
        <w:t>M forms</w:t>
      </w:r>
      <w:r w:rsidRPr="00E07583">
        <w:rPr>
          <w:rFonts w:ascii="Times New Roman" w:hAnsi="Times New Roman"/>
        </w:rPr>
        <w:t xml:space="preserve"> filed annually are</w:t>
      </w:r>
      <w:r>
        <w:rPr>
          <w:rFonts w:ascii="Times New Roman" w:hAnsi="Times New Roman"/>
        </w:rPr>
        <w:t xml:space="preserve"> expected to be</w:t>
      </w:r>
      <w:r w:rsidRPr="00E07583">
        <w:rPr>
          <w:rFonts w:ascii="Times New Roman" w:hAnsi="Times New Roman"/>
        </w:rPr>
        <w:t xml:space="preserve"> mailed to FMCSA.  FMCSA estimates a flat cost of $</w:t>
      </w:r>
      <w:r>
        <w:rPr>
          <w:rFonts w:ascii="Times New Roman" w:hAnsi="Times New Roman"/>
        </w:rPr>
        <w:t>1</w:t>
      </w:r>
      <w:r w:rsidRPr="00E07583">
        <w:rPr>
          <w:rFonts w:ascii="Times New Roman" w:hAnsi="Times New Roman"/>
        </w:rPr>
        <w:t>.</w:t>
      </w:r>
      <w:r>
        <w:rPr>
          <w:rFonts w:ascii="Times New Roman" w:hAnsi="Times New Roman"/>
        </w:rPr>
        <w:t>0</w:t>
      </w:r>
      <w:r w:rsidRPr="00E07583">
        <w:rPr>
          <w:rFonts w:ascii="Times New Roman" w:hAnsi="Times New Roman"/>
        </w:rPr>
        <w:t xml:space="preserve">0 for an envelope and postage.  The total cost of envelopes and postage for motor carriers </w:t>
      </w:r>
      <w:r>
        <w:rPr>
          <w:rFonts w:ascii="Times New Roman" w:hAnsi="Times New Roman"/>
        </w:rPr>
        <w:t>mailing</w:t>
      </w:r>
      <w:r w:rsidRPr="00E07583">
        <w:rPr>
          <w:rFonts w:ascii="Times New Roman" w:hAnsi="Times New Roman"/>
        </w:rPr>
        <w:t xml:space="preserve"> Form </w:t>
      </w:r>
      <w:r>
        <w:rPr>
          <w:rFonts w:ascii="Times New Roman" w:hAnsi="Times New Roman"/>
        </w:rPr>
        <w:t xml:space="preserve">M </w:t>
      </w:r>
      <w:r w:rsidRPr="00E07583">
        <w:rPr>
          <w:rFonts w:ascii="Times New Roman" w:hAnsi="Times New Roman"/>
        </w:rPr>
        <w:t>to the FMCSA would be $</w:t>
      </w:r>
      <w:r w:rsidR="006919FD">
        <w:rPr>
          <w:rFonts w:ascii="Times New Roman" w:hAnsi="Times New Roman"/>
        </w:rPr>
        <w:t>96</w:t>
      </w:r>
      <w:r w:rsidR="006919FD" w:rsidRPr="00E07583">
        <w:rPr>
          <w:rFonts w:ascii="Times New Roman" w:hAnsi="Times New Roman"/>
        </w:rPr>
        <w:t xml:space="preserve"> </w:t>
      </w:r>
      <w:r w:rsidRPr="00E07583">
        <w:rPr>
          <w:rFonts w:ascii="Times New Roman" w:hAnsi="Times New Roman"/>
        </w:rPr>
        <w:t>($</w:t>
      </w:r>
      <w:r>
        <w:rPr>
          <w:rFonts w:ascii="Times New Roman" w:hAnsi="Times New Roman"/>
        </w:rPr>
        <w:t>1.0</w:t>
      </w:r>
      <w:r w:rsidRPr="00E07583">
        <w:rPr>
          <w:rFonts w:ascii="Times New Roman" w:hAnsi="Times New Roman"/>
        </w:rPr>
        <w:t xml:space="preserve">0 </w:t>
      </w:r>
      <w:r w:rsidR="007D2B4B">
        <w:rPr>
          <w:rFonts w:ascii="Times New Roman" w:hAnsi="Times New Roman"/>
        </w:rPr>
        <w:t>×</w:t>
      </w:r>
      <w:r w:rsidRPr="00E07583">
        <w:rPr>
          <w:rFonts w:ascii="Times New Roman" w:hAnsi="Times New Roman"/>
        </w:rPr>
        <w:t xml:space="preserve"> </w:t>
      </w:r>
      <w:r w:rsidR="006919FD">
        <w:rPr>
          <w:rFonts w:ascii="Times New Roman" w:hAnsi="Times New Roman"/>
        </w:rPr>
        <w:t>96</w:t>
      </w:r>
      <w:r w:rsidRPr="00E07583">
        <w:rPr>
          <w:rFonts w:ascii="Times New Roman" w:hAnsi="Times New Roman"/>
        </w:rPr>
        <w:t xml:space="preserve"> forms).</w:t>
      </w:r>
    </w:p>
    <w:p w14:paraId="073D9250" w14:textId="02A47FF9" w:rsidR="007D6BE0" w:rsidRDefault="007D6BE0" w:rsidP="00E02E73">
      <w:pPr>
        <w:rPr>
          <w:rFonts w:ascii="Times New Roman" w:hAnsi="Times New Roman"/>
        </w:rPr>
      </w:pPr>
    </w:p>
    <w:p w14:paraId="1423E14F" w14:textId="77777777" w:rsidR="007D2B4B" w:rsidRDefault="007D2B4B" w:rsidP="00F01C9E">
      <w:pPr>
        <w:ind w:left="720"/>
        <w:rPr>
          <w:rFonts w:ascii="Times New Roman" w:hAnsi="Times New Roman"/>
        </w:rPr>
      </w:pPr>
      <w:r>
        <w:rPr>
          <w:rFonts w:ascii="Times New Roman" w:hAnsi="Times New Roman"/>
        </w:rPr>
        <w:t>I</w:t>
      </w:r>
      <w:r w:rsidRPr="00F01C9E">
        <w:rPr>
          <w:rFonts w:ascii="Times New Roman" w:hAnsi="Times New Roman"/>
          <w:u w:val="single"/>
        </w:rPr>
        <w:t>nformation Collection 2: Form MP-1</w:t>
      </w:r>
    </w:p>
    <w:p w14:paraId="3F874C0C" w14:textId="77777777" w:rsidR="007D2B4B" w:rsidRDefault="007D2B4B" w:rsidP="007D2B4B">
      <w:pPr>
        <w:ind w:left="720"/>
        <w:rPr>
          <w:rFonts w:ascii="Times New Roman" w:hAnsi="Times New Roman"/>
          <w:b/>
          <w:bCs/>
        </w:rPr>
      </w:pPr>
      <w:r>
        <w:rPr>
          <w:rFonts w:ascii="Times New Roman" w:hAnsi="Times New Roman"/>
        </w:rPr>
        <w:t>Approximately 2 reports are expected to be mailed to FMCSA annually.  FMCSA conservatively estimates a flat cost of $1.00 for an envelope and postage.  The total cost of envelopes and postage for motor carriers mailing Form MP-1 to FMCSA would be $2 ($1.00 × 2 forms).</w:t>
      </w:r>
    </w:p>
    <w:p w14:paraId="447D329D" w14:textId="77777777" w:rsidR="007D2B4B" w:rsidRDefault="007D2B4B" w:rsidP="00F01C9E">
      <w:pPr>
        <w:ind w:left="720"/>
        <w:rPr>
          <w:rFonts w:ascii="Times New Roman" w:hAnsi="Times New Roman"/>
          <w:b/>
          <w:bCs/>
        </w:rPr>
      </w:pPr>
    </w:p>
    <w:p w14:paraId="120B8B1A" w14:textId="77777777" w:rsidR="00FC505B" w:rsidRPr="00A94A34" w:rsidRDefault="00FC505B" w:rsidP="00FC505B">
      <w:pPr>
        <w:ind w:left="720"/>
        <w:rPr>
          <w:rFonts w:ascii="Times New Roman" w:hAnsi="Times New Roman"/>
          <w:b/>
          <w:bCs/>
        </w:rPr>
      </w:pPr>
      <w:r>
        <w:rPr>
          <w:rFonts w:ascii="Times New Roman" w:hAnsi="Times New Roman"/>
          <w:b/>
          <w:bCs/>
        </w:rPr>
        <w:t>Estimated Annual Cost</w:t>
      </w:r>
      <w:r w:rsidRPr="00A94A34">
        <w:rPr>
          <w:rFonts w:ascii="Times New Roman" w:hAnsi="Times New Roman"/>
          <w:b/>
          <w:bCs/>
        </w:rPr>
        <w:t xml:space="preserve"> to Respondents:</w:t>
      </w:r>
      <w:r w:rsidRPr="00A94A34">
        <w:rPr>
          <w:rFonts w:ascii="Times New Roman" w:hAnsi="Times New Roman"/>
          <w:bCs/>
        </w:rPr>
        <w:t xml:space="preserve"> </w:t>
      </w:r>
      <w:r w:rsidRPr="004E7A3C">
        <w:rPr>
          <w:rFonts w:ascii="Times New Roman" w:hAnsi="Times New Roman"/>
          <w:bCs/>
        </w:rPr>
        <w:t>$</w:t>
      </w:r>
      <w:r w:rsidR="006919FD">
        <w:rPr>
          <w:rFonts w:ascii="Times New Roman" w:hAnsi="Times New Roman"/>
          <w:bCs/>
        </w:rPr>
        <w:t>9</w:t>
      </w:r>
      <w:r w:rsidR="007D2B4B">
        <w:rPr>
          <w:rFonts w:ascii="Times New Roman" w:hAnsi="Times New Roman"/>
          <w:bCs/>
        </w:rPr>
        <w:t>8</w:t>
      </w:r>
      <w:r w:rsidR="006919FD">
        <w:rPr>
          <w:rFonts w:ascii="Times New Roman" w:hAnsi="Times New Roman"/>
          <w:bCs/>
        </w:rPr>
        <w:t xml:space="preserve"> </w:t>
      </w:r>
      <w:r w:rsidR="0001389C">
        <w:rPr>
          <w:rFonts w:ascii="Times New Roman" w:hAnsi="Times New Roman"/>
          <w:bCs/>
        </w:rPr>
        <w:t>[$</w:t>
      </w:r>
      <w:r w:rsidR="006919FD">
        <w:rPr>
          <w:rFonts w:ascii="Times New Roman" w:hAnsi="Times New Roman"/>
          <w:bCs/>
        </w:rPr>
        <w:t>96</w:t>
      </w:r>
      <w:r w:rsidR="0001389C">
        <w:rPr>
          <w:rFonts w:ascii="Times New Roman" w:hAnsi="Times New Roman"/>
          <w:bCs/>
        </w:rPr>
        <w:t xml:space="preserve"> </w:t>
      </w:r>
      <w:r w:rsidR="007D2B4B">
        <w:rPr>
          <w:rFonts w:ascii="Times New Roman" w:hAnsi="Times New Roman"/>
          <w:bCs/>
        </w:rPr>
        <w:t>for Form M + $2 for Form MP-1</w:t>
      </w:r>
      <w:r w:rsidR="0001389C">
        <w:rPr>
          <w:rFonts w:ascii="Times New Roman" w:hAnsi="Times New Roman"/>
          <w:bCs/>
        </w:rPr>
        <w:t>]</w:t>
      </w:r>
      <w:r w:rsidR="006919FD">
        <w:rPr>
          <w:rFonts w:ascii="Times New Roman" w:hAnsi="Times New Roman"/>
          <w:bCs/>
        </w:rPr>
        <w:t>.</w:t>
      </w:r>
    </w:p>
    <w:p w14:paraId="5FE424A8" w14:textId="77777777" w:rsidR="0001389C" w:rsidRDefault="0001389C" w:rsidP="0064680C">
      <w:pPr>
        <w:ind w:left="720" w:hanging="720"/>
        <w:rPr>
          <w:rFonts w:ascii="Times New Roman" w:hAnsi="Times New Roman"/>
        </w:rPr>
      </w:pPr>
    </w:p>
    <w:p w14:paraId="4E5F346C" w14:textId="77777777" w:rsidR="0064680C" w:rsidRPr="000B5383" w:rsidRDefault="0064680C" w:rsidP="0064680C">
      <w:pPr>
        <w:ind w:left="720" w:hanging="720"/>
        <w:rPr>
          <w:rFonts w:ascii="Times New Roman" w:hAnsi="Times New Roman"/>
        </w:rPr>
      </w:pPr>
      <w:r w:rsidRPr="000B5383">
        <w:rPr>
          <w:rFonts w:ascii="Times New Roman" w:hAnsi="Times New Roman"/>
          <w:b/>
        </w:rPr>
        <w:t>14.</w:t>
      </w:r>
      <w:r w:rsidRPr="000B5383">
        <w:rPr>
          <w:rFonts w:ascii="Times New Roman" w:hAnsi="Times New Roman"/>
          <w:b/>
        </w:rPr>
        <w:tab/>
      </w:r>
      <w:r w:rsidRPr="000B5383">
        <w:rPr>
          <w:rFonts w:ascii="Times New Roman" w:hAnsi="Times New Roman"/>
          <w:b/>
          <w:u w:val="single"/>
        </w:rPr>
        <w:t>Estimate of Cost to the Federal Government</w:t>
      </w:r>
    </w:p>
    <w:p w14:paraId="356AE296" w14:textId="77777777" w:rsidR="0064680C" w:rsidRPr="000B5383" w:rsidRDefault="0064680C" w:rsidP="0064680C">
      <w:pPr>
        <w:ind w:left="720" w:hanging="720"/>
        <w:rPr>
          <w:rFonts w:ascii="Times New Roman" w:hAnsi="Times New Roman"/>
        </w:rPr>
      </w:pPr>
    </w:p>
    <w:p w14:paraId="608355AE" w14:textId="41FA9BCA" w:rsidR="0064680C" w:rsidRDefault="0064680C" w:rsidP="0064680C">
      <w:pPr>
        <w:ind w:left="720" w:hanging="720"/>
        <w:rPr>
          <w:rFonts w:ascii="Times New Roman" w:hAnsi="Times New Roman"/>
        </w:rPr>
      </w:pPr>
      <w:r w:rsidRPr="000B5383">
        <w:rPr>
          <w:rFonts w:ascii="Times New Roman" w:hAnsi="Times New Roman"/>
        </w:rPr>
        <w:tab/>
        <w:t xml:space="preserve">The </w:t>
      </w:r>
      <w:bookmarkStart w:id="2" w:name="_Hlk504485614"/>
      <w:r w:rsidRPr="000B5383">
        <w:rPr>
          <w:rFonts w:ascii="Times New Roman" w:hAnsi="Times New Roman"/>
        </w:rPr>
        <w:t xml:space="preserve">estimated </w:t>
      </w:r>
      <w:r w:rsidR="00C75BFA">
        <w:rPr>
          <w:rFonts w:ascii="Times New Roman" w:hAnsi="Times New Roman"/>
        </w:rPr>
        <w:t xml:space="preserve">annual </w:t>
      </w:r>
      <w:r w:rsidRPr="000B5383">
        <w:rPr>
          <w:rFonts w:ascii="Times New Roman" w:hAnsi="Times New Roman"/>
        </w:rPr>
        <w:t xml:space="preserve">cost to the </w:t>
      </w:r>
      <w:r w:rsidR="00000E2D">
        <w:rPr>
          <w:rFonts w:ascii="Times New Roman" w:hAnsi="Times New Roman"/>
        </w:rPr>
        <w:t xml:space="preserve">Federal </w:t>
      </w:r>
      <w:r w:rsidRPr="000B5383">
        <w:rPr>
          <w:rFonts w:ascii="Times New Roman" w:hAnsi="Times New Roman"/>
        </w:rPr>
        <w:t xml:space="preserve">government </w:t>
      </w:r>
      <w:r w:rsidR="00000E2D" w:rsidRPr="000B5383">
        <w:rPr>
          <w:rFonts w:ascii="Times New Roman" w:hAnsi="Times New Roman"/>
        </w:rPr>
        <w:t>for Form M</w:t>
      </w:r>
      <w:r w:rsidR="00000E2D">
        <w:rPr>
          <w:rFonts w:ascii="Times New Roman" w:hAnsi="Times New Roman"/>
        </w:rPr>
        <w:t xml:space="preserve"> </w:t>
      </w:r>
      <w:r w:rsidRPr="000B5383">
        <w:rPr>
          <w:rFonts w:ascii="Times New Roman" w:hAnsi="Times New Roman"/>
        </w:rPr>
        <w:t>is $</w:t>
      </w:r>
      <w:r w:rsidR="003179AE">
        <w:rPr>
          <w:rFonts w:ascii="Times New Roman" w:hAnsi="Times New Roman"/>
        </w:rPr>
        <w:t>165</w:t>
      </w:r>
      <w:r w:rsidRPr="000B5383">
        <w:rPr>
          <w:rFonts w:ascii="Times New Roman" w:hAnsi="Times New Roman"/>
        </w:rPr>
        <w:t xml:space="preserve"> </w:t>
      </w:r>
      <w:r w:rsidR="004255D2">
        <w:rPr>
          <w:rFonts w:ascii="Times New Roman" w:hAnsi="Times New Roman"/>
        </w:rPr>
        <w:t>(</w:t>
      </w:r>
      <w:r w:rsidR="00FC7036">
        <w:rPr>
          <w:rFonts w:ascii="Times New Roman" w:hAnsi="Times New Roman"/>
        </w:rPr>
        <w:t xml:space="preserve">96 forms × </w:t>
      </w:r>
      <w:r w:rsidR="003179AE">
        <w:rPr>
          <w:rFonts w:ascii="Times New Roman" w:hAnsi="Times New Roman"/>
        </w:rPr>
        <w:t xml:space="preserve">4 minutes </w:t>
      </w:r>
      <w:r w:rsidR="00FC7036">
        <w:rPr>
          <w:rFonts w:ascii="Times New Roman" w:hAnsi="Times New Roman"/>
        </w:rPr>
        <w:t>per form ÷ 60 minutes per hour × $25.71 per hour</w:t>
      </w:r>
      <w:r w:rsidR="004255D2">
        <w:rPr>
          <w:rFonts w:ascii="Times New Roman" w:hAnsi="Times New Roman"/>
        </w:rPr>
        <w:t>)</w:t>
      </w:r>
      <w:r w:rsidRPr="000B5383">
        <w:rPr>
          <w:rFonts w:ascii="Times New Roman" w:hAnsi="Times New Roman"/>
        </w:rPr>
        <w:t xml:space="preserve">.  This </w:t>
      </w:r>
      <w:r w:rsidR="004255D2">
        <w:rPr>
          <w:rFonts w:ascii="Times New Roman" w:hAnsi="Times New Roman"/>
        </w:rPr>
        <w:t xml:space="preserve">$25.71 per hour </w:t>
      </w:r>
      <w:r w:rsidRPr="000B5383">
        <w:rPr>
          <w:rFonts w:ascii="Times New Roman" w:hAnsi="Times New Roman"/>
        </w:rPr>
        <w:t>figure includes salary cost based on hours, overhead, printing and payment to contractors.</w:t>
      </w:r>
      <w:bookmarkEnd w:id="2"/>
      <w:r w:rsidR="003524F8">
        <w:rPr>
          <w:rFonts w:ascii="Times New Roman" w:hAnsi="Times New Roman"/>
        </w:rPr>
        <w:t xml:space="preserve">  The Contracting Officer Representative is minimal and has no impact on the cost to the government.</w:t>
      </w:r>
    </w:p>
    <w:p w14:paraId="297ACF1A" w14:textId="77777777" w:rsidR="007D2B4B" w:rsidRDefault="007D2B4B" w:rsidP="0064680C">
      <w:pPr>
        <w:ind w:left="720" w:hanging="720"/>
        <w:rPr>
          <w:rFonts w:ascii="Times New Roman" w:hAnsi="Times New Roman"/>
        </w:rPr>
      </w:pPr>
    </w:p>
    <w:p w14:paraId="6767D895" w14:textId="7BF2FA2C" w:rsidR="007D2B4B" w:rsidRDefault="007D2B4B" w:rsidP="007D2B4B">
      <w:pPr>
        <w:ind w:left="720"/>
        <w:rPr>
          <w:rFonts w:ascii="Times New Roman" w:hAnsi="Times New Roman"/>
        </w:rPr>
      </w:pPr>
      <w:r>
        <w:rPr>
          <w:rFonts w:ascii="Times New Roman" w:hAnsi="Times New Roman"/>
        </w:rPr>
        <w:t xml:space="preserve">The estimated total annual cost to the Federal </w:t>
      </w:r>
      <w:r w:rsidR="00000E2D">
        <w:rPr>
          <w:rFonts w:ascii="Times New Roman" w:hAnsi="Times New Roman"/>
        </w:rPr>
        <w:t>g</w:t>
      </w:r>
      <w:r>
        <w:rPr>
          <w:rFonts w:ascii="Times New Roman" w:hAnsi="Times New Roman"/>
        </w:rPr>
        <w:t xml:space="preserve">overnment </w:t>
      </w:r>
      <w:r w:rsidR="00000E2D">
        <w:rPr>
          <w:rFonts w:ascii="Times New Roman" w:hAnsi="Times New Roman"/>
        </w:rPr>
        <w:t xml:space="preserve">for Form MP-1 </w:t>
      </w:r>
      <w:r>
        <w:rPr>
          <w:rFonts w:ascii="Times New Roman" w:hAnsi="Times New Roman"/>
        </w:rPr>
        <w:t>is $</w:t>
      </w:r>
      <w:r w:rsidR="00800079">
        <w:rPr>
          <w:rFonts w:ascii="Times New Roman" w:hAnsi="Times New Roman"/>
        </w:rPr>
        <w:t>2</w:t>
      </w:r>
      <w:r w:rsidR="00000E2D">
        <w:rPr>
          <w:rFonts w:ascii="Times New Roman" w:hAnsi="Times New Roman"/>
        </w:rPr>
        <w:t xml:space="preserve"> (</w:t>
      </w:r>
      <w:r w:rsidR="00FC7036">
        <w:rPr>
          <w:rFonts w:ascii="Times New Roman" w:hAnsi="Times New Roman"/>
        </w:rPr>
        <w:t>2 forms × 2 minutes per form</w:t>
      </w:r>
      <w:r w:rsidR="00000E2D">
        <w:rPr>
          <w:rFonts w:ascii="Times New Roman" w:hAnsi="Times New Roman"/>
        </w:rPr>
        <w:t xml:space="preserve"> ÷ 60 minutes per hour × $25.71 per hour).</w:t>
      </w:r>
      <w:r w:rsidR="00A8066E">
        <w:rPr>
          <w:rFonts w:ascii="Times New Roman" w:hAnsi="Times New Roman"/>
        </w:rPr>
        <w:t xml:space="preserve"> This </w:t>
      </w:r>
      <w:r>
        <w:rPr>
          <w:rFonts w:ascii="Times New Roman" w:hAnsi="Times New Roman"/>
        </w:rPr>
        <w:t xml:space="preserve">figure includes overhead, printing and contracting. </w:t>
      </w:r>
    </w:p>
    <w:p w14:paraId="15ECB88E" w14:textId="77777777" w:rsidR="00707E8B" w:rsidRDefault="00707E8B" w:rsidP="0064680C">
      <w:pPr>
        <w:ind w:left="720" w:hanging="720"/>
        <w:rPr>
          <w:rFonts w:ascii="Times New Roman" w:hAnsi="Times New Roman"/>
        </w:rPr>
      </w:pPr>
    </w:p>
    <w:p w14:paraId="3570CCB2" w14:textId="1F98EF47" w:rsidR="008D6E95" w:rsidRDefault="00707E8B" w:rsidP="0064680C">
      <w:pPr>
        <w:ind w:left="720" w:hanging="720"/>
        <w:rPr>
          <w:rFonts w:ascii="Times New Roman" w:hAnsi="Times New Roman"/>
          <w:b/>
        </w:rPr>
      </w:pPr>
      <w:r>
        <w:rPr>
          <w:rFonts w:ascii="Times New Roman" w:hAnsi="Times New Roman"/>
        </w:rPr>
        <w:tab/>
      </w:r>
      <w:r w:rsidRPr="007833CB">
        <w:rPr>
          <w:rFonts w:ascii="Times New Roman" w:hAnsi="Times New Roman"/>
          <w:b/>
        </w:rPr>
        <w:t>Estim</w:t>
      </w:r>
      <w:r w:rsidRPr="00707E8B">
        <w:rPr>
          <w:rFonts w:ascii="Times New Roman" w:hAnsi="Times New Roman"/>
          <w:b/>
        </w:rPr>
        <w:t xml:space="preserve">ate of Annual Cost to Federal Government:  </w:t>
      </w:r>
      <w:r>
        <w:rPr>
          <w:rFonts w:ascii="Times New Roman" w:hAnsi="Times New Roman"/>
        </w:rPr>
        <w:t>$</w:t>
      </w:r>
      <w:r w:rsidR="003179AE">
        <w:rPr>
          <w:rFonts w:ascii="Times New Roman" w:hAnsi="Times New Roman"/>
        </w:rPr>
        <w:t>167</w:t>
      </w:r>
      <w:r w:rsidR="007D2B4B">
        <w:rPr>
          <w:rFonts w:ascii="Times New Roman" w:hAnsi="Times New Roman"/>
        </w:rPr>
        <w:t xml:space="preserve"> [</w:t>
      </w:r>
      <w:r w:rsidR="007D2B4B">
        <w:rPr>
          <w:rFonts w:ascii="Times New Roman" w:hAnsi="Times New Roman"/>
          <w:bCs/>
        </w:rPr>
        <w:t>$</w:t>
      </w:r>
      <w:r w:rsidR="003179AE">
        <w:rPr>
          <w:rFonts w:ascii="Times New Roman" w:hAnsi="Times New Roman"/>
          <w:bCs/>
        </w:rPr>
        <w:t xml:space="preserve">165 </w:t>
      </w:r>
      <w:r w:rsidR="007D2B4B">
        <w:rPr>
          <w:rFonts w:ascii="Times New Roman" w:hAnsi="Times New Roman"/>
          <w:bCs/>
        </w:rPr>
        <w:t>for Form M + $</w:t>
      </w:r>
      <w:r w:rsidR="00800079">
        <w:rPr>
          <w:rFonts w:ascii="Times New Roman" w:hAnsi="Times New Roman"/>
          <w:bCs/>
        </w:rPr>
        <w:t>2</w:t>
      </w:r>
      <w:r w:rsidR="007D2B4B">
        <w:rPr>
          <w:rFonts w:ascii="Times New Roman" w:hAnsi="Times New Roman"/>
          <w:bCs/>
        </w:rPr>
        <w:t xml:space="preserve"> for Form MP-1].</w:t>
      </w:r>
    </w:p>
    <w:p w14:paraId="4369897A" w14:textId="77777777" w:rsidR="00D57C9D" w:rsidRDefault="00D57C9D" w:rsidP="0064680C">
      <w:pPr>
        <w:ind w:left="720" w:hanging="720"/>
        <w:rPr>
          <w:rFonts w:ascii="Times New Roman" w:hAnsi="Times New Roman"/>
          <w:b/>
        </w:rPr>
      </w:pPr>
    </w:p>
    <w:p w14:paraId="42CBEBBB" w14:textId="77777777" w:rsidR="008A3A57" w:rsidRDefault="0064680C" w:rsidP="0064680C">
      <w:pPr>
        <w:ind w:left="720" w:hanging="720"/>
        <w:rPr>
          <w:rFonts w:ascii="Times New Roman" w:hAnsi="Times New Roman"/>
          <w:b/>
          <w:u w:val="single"/>
        </w:rPr>
      </w:pPr>
      <w:r w:rsidRPr="000B5383">
        <w:rPr>
          <w:rFonts w:ascii="Times New Roman" w:hAnsi="Times New Roman"/>
          <w:b/>
        </w:rPr>
        <w:t>15.</w:t>
      </w:r>
      <w:r w:rsidRPr="000B5383">
        <w:rPr>
          <w:rFonts w:ascii="Times New Roman" w:hAnsi="Times New Roman"/>
          <w:b/>
        </w:rPr>
        <w:tab/>
      </w:r>
      <w:r w:rsidR="008A3A57" w:rsidRPr="008A3A57">
        <w:rPr>
          <w:rFonts w:ascii="Times New Roman" w:hAnsi="Times New Roman"/>
          <w:b/>
          <w:u w:val="single"/>
        </w:rPr>
        <w:t>Explanation of Program Changes or Adjustments</w:t>
      </w:r>
    </w:p>
    <w:p w14:paraId="241F39AE" w14:textId="77777777" w:rsidR="008A3A57" w:rsidRDefault="008A3A57" w:rsidP="0064680C">
      <w:pPr>
        <w:ind w:left="720" w:hanging="720"/>
        <w:rPr>
          <w:rFonts w:ascii="Times New Roman" w:hAnsi="Times New Roman"/>
          <w:u w:val="single"/>
        </w:rPr>
      </w:pPr>
    </w:p>
    <w:p w14:paraId="5CF48C65" w14:textId="6E6C4C31" w:rsidR="00322A7A" w:rsidRPr="00322A7A" w:rsidRDefault="00AB52B5" w:rsidP="00322A7A">
      <w:pPr>
        <w:ind w:left="720"/>
        <w:rPr>
          <w:rFonts w:ascii="Times New Roman" w:hAnsi="Times New Roman"/>
        </w:rPr>
      </w:pPr>
      <w:r>
        <w:rPr>
          <w:rFonts w:ascii="Times New Roman" w:hAnsi="Times New Roman"/>
        </w:rPr>
        <w:t xml:space="preserve">The estimates changed for the number of respondents </w:t>
      </w:r>
      <w:r w:rsidRPr="00AB52B5">
        <w:rPr>
          <w:rFonts w:ascii="Times New Roman" w:hAnsi="Times New Roman"/>
        </w:rPr>
        <w:t>required to file the Form M (Class I and Class II motor carriers of property) from 308 in the previously approved ICR to 96.</w:t>
      </w:r>
      <w:r>
        <w:rPr>
          <w:rFonts w:ascii="Times New Roman" w:hAnsi="Times New Roman"/>
        </w:rPr>
        <w:t xml:space="preserve"> </w:t>
      </w:r>
      <w:r w:rsidR="00FC3CF7">
        <w:rPr>
          <w:rFonts w:ascii="Times New Roman" w:hAnsi="Times New Roman"/>
        </w:rPr>
        <w:t>Th</w:t>
      </w:r>
      <w:r w:rsidR="00DE1F4D">
        <w:rPr>
          <w:rFonts w:ascii="Times New Roman" w:hAnsi="Times New Roman"/>
        </w:rPr>
        <w:t>e program adjustment</w:t>
      </w:r>
      <w:r w:rsidR="00B15383">
        <w:rPr>
          <w:rFonts w:ascii="Times New Roman" w:hAnsi="Times New Roman"/>
        </w:rPr>
        <w:t xml:space="preserve"> </w:t>
      </w:r>
      <w:r w:rsidR="0052250B">
        <w:rPr>
          <w:rFonts w:ascii="Times New Roman" w:hAnsi="Times New Roman"/>
        </w:rPr>
        <w:t xml:space="preserve">decrease of </w:t>
      </w:r>
      <w:r w:rsidR="006E5F30">
        <w:rPr>
          <w:rFonts w:ascii="Times New Roman" w:hAnsi="Times New Roman"/>
        </w:rPr>
        <w:t>1,908</w:t>
      </w:r>
      <w:r w:rsidR="00D409B6">
        <w:rPr>
          <w:rFonts w:ascii="Times New Roman" w:hAnsi="Times New Roman"/>
        </w:rPr>
        <w:t xml:space="preserve"> estimated </w:t>
      </w:r>
      <w:r w:rsidR="00DE1F4D">
        <w:rPr>
          <w:rFonts w:ascii="Times New Roman" w:hAnsi="Times New Roman"/>
        </w:rPr>
        <w:t xml:space="preserve">annual burden </w:t>
      </w:r>
      <w:r w:rsidR="00D409B6">
        <w:rPr>
          <w:rFonts w:ascii="Times New Roman" w:hAnsi="Times New Roman"/>
        </w:rPr>
        <w:t>hours [</w:t>
      </w:r>
      <w:r w:rsidR="007A1AFD">
        <w:rPr>
          <w:rFonts w:ascii="Times New Roman" w:hAnsi="Times New Roman"/>
        </w:rPr>
        <w:t xml:space="preserve">2,772 </w:t>
      </w:r>
      <w:r w:rsidR="0052250B">
        <w:rPr>
          <w:rFonts w:ascii="Times New Roman" w:hAnsi="Times New Roman"/>
        </w:rPr>
        <w:t xml:space="preserve">currently approved hours – 864 </w:t>
      </w:r>
      <w:r w:rsidR="007A1AFD">
        <w:rPr>
          <w:rFonts w:ascii="Times New Roman" w:hAnsi="Times New Roman"/>
        </w:rPr>
        <w:t>proposed hours</w:t>
      </w:r>
      <w:r w:rsidR="00D409B6">
        <w:rPr>
          <w:rFonts w:ascii="Times New Roman" w:hAnsi="Times New Roman"/>
        </w:rPr>
        <w:t>]</w:t>
      </w:r>
      <w:r w:rsidR="00DE1F4D">
        <w:rPr>
          <w:rFonts w:ascii="Times New Roman" w:hAnsi="Times New Roman"/>
        </w:rPr>
        <w:t xml:space="preserve"> for </w:t>
      </w:r>
      <w:r w:rsidR="007D2B4B">
        <w:rPr>
          <w:rFonts w:ascii="Times New Roman" w:hAnsi="Times New Roman"/>
        </w:rPr>
        <w:t>information collection 1 (Form M)</w:t>
      </w:r>
      <w:r w:rsidR="00DE1F4D">
        <w:rPr>
          <w:rFonts w:ascii="Times New Roman" w:hAnsi="Times New Roman"/>
        </w:rPr>
        <w:t xml:space="preserve"> is due</w:t>
      </w:r>
      <w:r w:rsidR="002C0A31">
        <w:rPr>
          <w:rFonts w:ascii="Times New Roman" w:hAnsi="Times New Roman"/>
        </w:rPr>
        <w:t xml:space="preserve"> to </w:t>
      </w:r>
      <w:r w:rsidR="0052250B">
        <w:rPr>
          <w:rFonts w:ascii="Times New Roman" w:hAnsi="Times New Roman"/>
        </w:rPr>
        <w:t xml:space="preserve">updated </w:t>
      </w:r>
      <w:r w:rsidR="006E5F30">
        <w:rPr>
          <w:rFonts w:ascii="Times New Roman" w:hAnsi="Times New Roman"/>
        </w:rPr>
        <w:t xml:space="preserve">information </w:t>
      </w:r>
      <w:r w:rsidR="00E10A26">
        <w:rPr>
          <w:rFonts w:ascii="Times New Roman" w:hAnsi="Times New Roman"/>
        </w:rPr>
        <w:t xml:space="preserve">and estimates of </w:t>
      </w:r>
      <w:r w:rsidR="006E5F30">
        <w:rPr>
          <w:rFonts w:ascii="Times New Roman" w:hAnsi="Times New Roman"/>
        </w:rPr>
        <w:t>the</w:t>
      </w:r>
      <w:r w:rsidR="00DE1F4D">
        <w:rPr>
          <w:rFonts w:ascii="Times New Roman" w:hAnsi="Times New Roman"/>
        </w:rPr>
        <w:t xml:space="preserve"> number of respon</w:t>
      </w:r>
      <w:r w:rsidR="00525CE4">
        <w:rPr>
          <w:rFonts w:ascii="Times New Roman" w:hAnsi="Times New Roman"/>
        </w:rPr>
        <w:t>ses</w:t>
      </w:r>
      <w:r w:rsidR="00E10A26">
        <w:rPr>
          <w:rFonts w:ascii="Times New Roman" w:hAnsi="Times New Roman"/>
        </w:rPr>
        <w:t xml:space="preserve">. Estimated respondents </w:t>
      </w:r>
      <w:r w:rsidR="0052250B">
        <w:rPr>
          <w:rFonts w:ascii="Times New Roman" w:hAnsi="Times New Roman"/>
        </w:rPr>
        <w:t xml:space="preserve">decreased </w:t>
      </w:r>
      <w:r w:rsidR="00FC3CF7">
        <w:rPr>
          <w:rFonts w:ascii="Times New Roman" w:hAnsi="Times New Roman"/>
        </w:rPr>
        <w:t xml:space="preserve">from </w:t>
      </w:r>
      <w:r w:rsidR="007A1AFD">
        <w:rPr>
          <w:rFonts w:ascii="Times New Roman" w:hAnsi="Times New Roman"/>
        </w:rPr>
        <w:t>308</w:t>
      </w:r>
      <w:r w:rsidR="0052250B">
        <w:rPr>
          <w:rFonts w:ascii="Times New Roman" w:hAnsi="Times New Roman"/>
        </w:rPr>
        <w:t xml:space="preserve"> in the previously approved ICR to 96</w:t>
      </w:r>
      <w:r w:rsidR="004255D2">
        <w:rPr>
          <w:rFonts w:ascii="Times New Roman" w:hAnsi="Times New Roman"/>
        </w:rPr>
        <w:t>.</w:t>
      </w:r>
      <w:r w:rsidR="007D2B4B">
        <w:rPr>
          <w:rFonts w:ascii="Times New Roman" w:hAnsi="Times New Roman"/>
        </w:rPr>
        <w:t xml:space="preserve">  No program adjustments were made for information collection 2 (Form MP-2).</w:t>
      </w:r>
    </w:p>
    <w:p w14:paraId="2CBAE3C5" w14:textId="77777777" w:rsidR="00322A7A" w:rsidRDefault="00322A7A" w:rsidP="0064680C">
      <w:pPr>
        <w:ind w:left="720" w:hanging="720"/>
        <w:rPr>
          <w:rFonts w:ascii="Times New Roman" w:hAnsi="Times New Roman"/>
          <w:b/>
        </w:rPr>
      </w:pPr>
    </w:p>
    <w:p w14:paraId="18C0D7AF" w14:textId="77777777" w:rsidR="0064680C" w:rsidRPr="000B5383" w:rsidRDefault="005D022C" w:rsidP="005D022C">
      <w:pPr>
        <w:rPr>
          <w:rFonts w:ascii="Times New Roman" w:hAnsi="Times New Roman"/>
        </w:rPr>
      </w:pPr>
      <w:r w:rsidRPr="000B5383">
        <w:rPr>
          <w:rFonts w:ascii="Times New Roman" w:hAnsi="Times New Roman"/>
          <w:b/>
        </w:rPr>
        <w:t>16.</w:t>
      </w:r>
      <w:r w:rsidRPr="000B5383">
        <w:rPr>
          <w:rFonts w:ascii="Times New Roman" w:hAnsi="Times New Roman"/>
          <w:b/>
        </w:rPr>
        <w:tab/>
      </w:r>
      <w:r w:rsidR="0064680C" w:rsidRPr="000B5383">
        <w:rPr>
          <w:rFonts w:ascii="Times New Roman" w:hAnsi="Times New Roman"/>
          <w:b/>
          <w:u w:val="single"/>
        </w:rPr>
        <w:t>Publication of Results of Data Collection</w:t>
      </w:r>
    </w:p>
    <w:p w14:paraId="391F0341" w14:textId="77777777" w:rsidR="0064680C" w:rsidRPr="000B5383" w:rsidRDefault="0064680C" w:rsidP="0064680C">
      <w:pPr>
        <w:ind w:left="720" w:hanging="720"/>
        <w:rPr>
          <w:rFonts w:ascii="Times New Roman" w:hAnsi="Times New Roman"/>
        </w:rPr>
      </w:pPr>
    </w:p>
    <w:p w14:paraId="75CCB4AB" w14:textId="53A2BE07" w:rsidR="00BC4E4C" w:rsidRDefault="0064680C" w:rsidP="00322A7A">
      <w:pPr>
        <w:ind w:left="720" w:hanging="720"/>
        <w:rPr>
          <w:rFonts w:ascii="Times New Roman" w:hAnsi="Times New Roman"/>
        </w:rPr>
      </w:pPr>
      <w:r w:rsidRPr="000B5383">
        <w:rPr>
          <w:rFonts w:ascii="Times New Roman" w:hAnsi="Times New Roman"/>
        </w:rPr>
        <w:t xml:space="preserve"> </w:t>
      </w:r>
      <w:r w:rsidRPr="000B5383">
        <w:rPr>
          <w:rFonts w:ascii="Times New Roman" w:hAnsi="Times New Roman"/>
        </w:rPr>
        <w:tab/>
      </w:r>
      <w:r w:rsidR="004E7A3C">
        <w:rPr>
          <w:rFonts w:ascii="Times New Roman" w:hAnsi="Times New Roman"/>
        </w:rPr>
        <w:t xml:space="preserve">The </w:t>
      </w:r>
      <w:r w:rsidR="008A3A57">
        <w:rPr>
          <w:rFonts w:ascii="Times New Roman" w:hAnsi="Times New Roman"/>
        </w:rPr>
        <w:t xml:space="preserve">FMCSA </w:t>
      </w:r>
      <w:r w:rsidRPr="000B5383">
        <w:rPr>
          <w:rFonts w:ascii="Times New Roman" w:hAnsi="Times New Roman"/>
        </w:rPr>
        <w:t>is required by Federal law to make the data collection information publicly available</w:t>
      </w:r>
      <w:r w:rsidR="00BF5C80">
        <w:rPr>
          <w:rFonts w:ascii="Times New Roman" w:hAnsi="Times New Roman"/>
        </w:rPr>
        <w:t xml:space="preserve"> subject to the exemption described in Question 2 above</w:t>
      </w:r>
      <w:r w:rsidR="00FD5861">
        <w:rPr>
          <w:rFonts w:ascii="Times New Roman" w:hAnsi="Times New Roman"/>
        </w:rPr>
        <w:t xml:space="preserve">. </w:t>
      </w:r>
      <w:r w:rsidR="00DB02BC">
        <w:rPr>
          <w:rFonts w:ascii="Times New Roman" w:hAnsi="Times New Roman"/>
        </w:rPr>
        <w:t xml:space="preserve">There are no plans at </w:t>
      </w:r>
      <w:r w:rsidRPr="000B5383">
        <w:rPr>
          <w:rFonts w:ascii="Times New Roman" w:hAnsi="Times New Roman"/>
        </w:rPr>
        <w:t xml:space="preserve">this time </w:t>
      </w:r>
      <w:r w:rsidR="008A3A57">
        <w:rPr>
          <w:rFonts w:ascii="Times New Roman" w:hAnsi="Times New Roman"/>
        </w:rPr>
        <w:t xml:space="preserve">for the agency </w:t>
      </w:r>
      <w:r w:rsidRPr="000B5383">
        <w:rPr>
          <w:rFonts w:ascii="Times New Roman" w:hAnsi="Times New Roman"/>
        </w:rPr>
        <w:t>to publish analytical reports.</w:t>
      </w:r>
    </w:p>
    <w:p w14:paraId="493BFF14" w14:textId="77777777" w:rsidR="00B2118B" w:rsidRPr="00322A7A" w:rsidRDefault="00B2118B" w:rsidP="00322A7A">
      <w:pPr>
        <w:ind w:left="720" w:hanging="720"/>
        <w:rPr>
          <w:rFonts w:ascii="Times New Roman" w:hAnsi="Times New Roman"/>
        </w:rPr>
      </w:pPr>
    </w:p>
    <w:p w14:paraId="1DB57EF4" w14:textId="5AB89EE0" w:rsidR="00BC4E4C" w:rsidRDefault="00D91B97" w:rsidP="00B2118B">
      <w:pPr>
        <w:ind w:left="720"/>
        <w:rPr>
          <w:rFonts w:ascii="Times New Roman" w:hAnsi="Times New Roman"/>
          <w:b/>
        </w:rPr>
      </w:pPr>
      <w:r>
        <w:rPr>
          <w:rFonts w:ascii="Times New Roman" w:hAnsi="Times New Roman"/>
        </w:rPr>
        <w:t>As noted above, t</w:t>
      </w:r>
      <w:r w:rsidR="00B2118B" w:rsidRPr="00B2118B">
        <w:rPr>
          <w:rFonts w:ascii="Times New Roman" w:hAnsi="Times New Roman"/>
        </w:rPr>
        <w:t>hrough the proposed merger of the tw</w:t>
      </w:r>
      <w:r w:rsidR="00DB02BC">
        <w:rPr>
          <w:rFonts w:ascii="Times New Roman" w:hAnsi="Times New Roman"/>
        </w:rPr>
        <w:t xml:space="preserve">o ICRs, FMCSA would rename the </w:t>
      </w:r>
      <w:r w:rsidR="00B2118B" w:rsidRPr="00B2118B">
        <w:rPr>
          <w:rFonts w:ascii="Times New Roman" w:hAnsi="Times New Roman"/>
        </w:rPr>
        <w:t>2126-0032 ICR as the “Annual Report of Class I and Class II For-Hire Motor Carriers” ICR. And such a merger with the new title will clarify that the combined ICR addresses both for-hire property and passenger carriers, but not private motor carriers.  Additionally, after the mer</w:t>
      </w:r>
      <w:r w:rsidR="00DB02BC">
        <w:rPr>
          <w:rFonts w:ascii="Times New Roman" w:hAnsi="Times New Roman"/>
        </w:rPr>
        <w:t xml:space="preserve">ger of the ICRs, FMCSA intends </w:t>
      </w:r>
      <w:r w:rsidR="00B2118B" w:rsidRPr="00B2118B">
        <w:rPr>
          <w:rFonts w:ascii="Times New Roman" w:hAnsi="Times New Roman"/>
        </w:rPr>
        <w:t>to request withdrawal of the previously approved “Annual Report of Class I Motor Carriers of Passengers” ICR, OMB Control No. 2126-0031.</w:t>
      </w:r>
    </w:p>
    <w:p w14:paraId="56D42491" w14:textId="2B27A59D" w:rsidR="00322A7A" w:rsidRDefault="00322A7A" w:rsidP="0064680C">
      <w:pPr>
        <w:ind w:left="720" w:hanging="720"/>
        <w:rPr>
          <w:rFonts w:ascii="Times New Roman" w:hAnsi="Times New Roman"/>
          <w:b/>
        </w:rPr>
      </w:pPr>
    </w:p>
    <w:p w14:paraId="2B094177" w14:textId="77777777" w:rsidR="007D6BE0" w:rsidRDefault="007D6BE0" w:rsidP="0064680C">
      <w:pPr>
        <w:ind w:left="720" w:hanging="720"/>
        <w:rPr>
          <w:rFonts w:ascii="Times New Roman" w:hAnsi="Times New Roman"/>
          <w:b/>
        </w:rPr>
      </w:pPr>
    </w:p>
    <w:p w14:paraId="238BA4EC" w14:textId="77777777" w:rsidR="005D022C" w:rsidRPr="000B5383" w:rsidRDefault="0064680C" w:rsidP="0064680C">
      <w:pPr>
        <w:ind w:left="720" w:hanging="720"/>
        <w:rPr>
          <w:rFonts w:ascii="Times New Roman" w:hAnsi="Times New Roman"/>
        </w:rPr>
      </w:pPr>
      <w:r w:rsidRPr="000B5383">
        <w:rPr>
          <w:rFonts w:ascii="Times New Roman" w:hAnsi="Times New Roman"/>
          <w:b/>
        </w:rPr>
        <w:t>1</w:t>
      </w:r>
      <w:r w:rsidR="005D022C" w:rsidRPr="000B5383">
        <w:rPr>
          <w:rFonts w:ascii="Times New Roman" w:hAnsi="Times New Roman"/>
          <w:b/>
        </w:rPr>
        <w:t>7</w:t>
      </w:r>
      <w:r w:rsidRPr="000B5383">
        <w:rPr>
          <w:rFonts w:ascii="Times New Roman" w:hAnsi="Times New Roman"/>
          <w:b/>
        </w:rPr>
        <w:t>.</w:t>
      </w:r>
      <w:r w:rsidRPr="000B5383">
        <w:rPr>
          <w:rFonts w:ascii="Times New Roman" w:hAnsi="Times New Roman"/>
        </w:rPr>
        <w:tab/>
      </w:r>
      <w:r w:rsidR="005D022C" w:rsidRPr="000B5383">
        <w:rPr>
          <w:rFonts w:ascii="Times New Roman" w:hAnsi="Times New Roman"/>
          <w:b/>
          <w:u w:val="single"/>
        </w:rPr>
        <w:t>Approval for not Displaying the Exemp</w:t>
      </w:r>
      <w:r w:rsidR="00137378" w:rsidRPr="000B5383">
        <w:rPr>
          <w:rFonts w:ascii="Times New Roman" w:hAnsi="Times New Roman"/>
          <w:b/>
          <w:u w:val="single"/>
        </w:rPr>
        <w:t>ti</w:t>
      </w:r>
      <w:r w:rsidR="005D022C" w:rsidRPr="000B5383">
        <w:rPr>
          <w:rFonts w:ascii="Times New Roman" w:hAnsi="Times New Roman"/>
          <w:b/>
          <w:u w:val="single"/>
        </w:rPr>
        <w:t>on Date of OMB Approval</w:t>
      </w:r>
    </w:p>
    <w:p w14:paraId="3F42A7D5" w14:textId="77777777" w:rsidR="005D022C" w:rsidRPr="000B5383" w:rsidRDefault="005D022C" w:rsidP="0064680C">
      <w:pPr>
        <w:ind w:left="720" w:hanging="720"/>
        <w:rPr>
          <w:rFonts w:ascii="Times New Roman" w:hAnsi="Times New Roman"/>
        </w:rPr>
      </w:pPr>
    </w:p>
    <w:p w14:paraId="7B2D75C2" w14:textId="77777777" w:rsidR="005D022C" w:rsidRPr="000B5383" w:rsidRDefault="005D022C" w:rsidP="0064680C">
      <w:pPr>
        <w:ind w:left="720" w:hanging="720"/>
        <w:rPr>
          <w:rFonts w:ascii="Times New Roman" w:hAnsi="Times New Roman"/>
        </w:rPr>
      </w:pPr>
      <w:r w:rsidRPr="000B5383">
        <w:rPr>
          <w:rFonts w:ascii="Times New Roman" w:hAnsi="Times New Roman"/>
        </w:rPr>
        <w:tab/>
        <w:t>The FMCSA is not seeking approval to not display the expiration date of the OMB approval number.</w:t>
      </w:r>
    </w:p>
    <w:p w14:paraId="1A0B9C73" w14:textId="77777777" w:rsidR="008A3A57" w:rsidRDefault="008A3A57" w:rsidP="0064680C">
      <w:pPr>
        <w:ind w:left="720" w:hanging="720"/>
        <w:rPr>
          <w:rFonts w:ascii="Times New Roman" w:hAnsi="Times New Roman"/>
          <w:b/>
        </w:rPr>
      </w:pPr>
    </w:p>
    <w:p w14:paraId="4A7D9CC0" w14:textId="77777777" w:rsidR="0064680C" w:rsidRPr="000B5383" w:rsidRDefault="005D022C" w:rsidP="0064680C">
      <w:pPr>
        <w:ind w:left="720" w:hanging="720"/>
        <w:rPr>
          <w:rFonts w:ascii="Times New Roman" w:hAnsi="Times New Roman"/>
        </w:rPr>
      </w:pPr>
      <w:r w:rsidRPr="000B5383">
        <w:rPr>
          <w:rFonts w:ascii="Times New Roman" w:hAnsi="Times New Roman"/>
          <w:b/>
        </w:rPr>
        <w:t>18.</w:t>
      </w:r>
      <w:r w:rsidRPr="000B5383">
        <w:rPr>
          <w:rFonts w:ascii="Times New Roman" w:hAnsi="Times New Roman"/>
          <w:b/>
        </w:rPr>
        <w:tab/>
      </w:r>
      <w:r w:rsidR="0064680C" w:rsidRPr="000B5383">
        <w:rPr>
          <w:rFonts w:ascii="Times New Roman" w:hAnsi="Times New Roman"/>
          <w:b/>
          <w:u w:val="single"/>
        </w:rPr>
        <w:t>Exceptions to Certification Statement</w:t>
      </w:r>
    </w:p>
    <w:p w14:paraId="4FF35BB3" w14:textId="77777777" w:rsidR="0064680C" w:rsidRPr="000B5383" w:rsidRDefault="0064680C" w:rsidP="0064680C">
      <w:pPr>
        <w:ind w:left="720" w:hanging="720"/>
        <w:rPr>
          <w:rFonts w:ascii="Times New Roman" w:hAnsi="Times New Roman"/>
        </w:rPr>
      </w:pPr>
    </w:p>
    <w:p w14:paraId="4611B5B9" w14:textId="77777777" w:rsidR="004E1D5B" w:rsidRDefault="0064680C" w:rsidP="00923862">
      <w:pPr>
        <w:ind w:left="720" w:hanging="720"/>
        <w:outlineLvl w:val="0"/>
        <w:rPr>
          <w:rFonts w:ascii="Times New Roman" w:hAnsi="Times New Roman"/>
        </w:rPr>
      </w:pPr>
      <w:r w:rsidRPr="000B5383">
        <w:rPr>
          <w:rFonts w:ascii="Times New Roman" w:hAnsi="Times New Roman"/>
        </w:rPr>
        <w:tab/>
        <w:t>No</w:t>
      </w:r>
      <w:r w:rsidR="008A3A57">
        <w:rPr>
          <w:rFonts w:ascii="Times New Roman" w:hAnsi="Times New Roman"/>
        </w:rPr>
        <w:t>ne.</w:t>
      </w:r>
    </w:p>
    <w:p w14:paraId="30754FED" w14:textId="77777777" w:rsidR="004E1D5B" w:rsidRDefault="004E1D5B" w:rsidP="00923862">
      <w:pPr>
        <w:ind w:left="720" w:hanging="720"/>
        <w:outlineLvl w:val="0"/>
        <w:rPr>
          <w:rFonts w:ascii="Times New Roman" w:hAnsi="Times New Roman"/>
        </w:rPr>
      </w:pPr>
    </w:p>
    <w:p w14:paraId="1F880925" w14:textId="77777777" w:rsidR="004E1D5B" w:rsidRDefault="004E1D5B" w:rsidP="004E1D5B">
      <w:pPr>
        <w:ind w:left="630"/>
        <w:rPr>
          <w:rFonts w:ascii="Times New Roman" w:hAnsi="Times New Roman"/>
          <w:b/>
        </w:rPr>
      </w:pPr>
      <w:r>
        <w:rPr>
          <w:rFonts w:ascii="Times New Roman" w:hAnsi="Times New Roman"/>
          <w:b/>
        </w:rPr>
        <w:t>Attachments</w:t>
      </w:r>
    </w:p>
    <w:p w14:paraId="40D3A64F" w14:textId="77777777" w:rsidR="004E1D5B" w:rsidRDefault="004E1D5B" w:rsidP="004E1D5B">
      <w:pPr>
        <w:ind w:left="630"/>
        <w:rPr>
          <w:rFonts w:ascii="Times New Roman" w:hAnsi="Times New Roman"/>
        </w:rPr>
      </w:pPr>
    </w:p>
    <w:p w14:paraId="12A004AF" w14:textId="77777777" w:rsidR="004E1D5B" w:rsidRDefault="004E1D5B" w:rsidP="004E1D5B">
      <w:pPr>
        <w:numPr>
          <w:ilvl w:val="0"/>
          <w:numId w:val="3"/>
        </w:numPr>
        <w:ind w:left="630" w:firstLine="0"/>
        <w:rPr>
          <w:rFonts w:ascii="Times New Roman" w:hAnsi="Times New Roman"/>
        </w:rPr>
      </w:pPr>
      <w:r>
        <w:rPr>
          <w:rFonts w:ascii="Times New Roman" w:hAnsi="Times New Roman"/>
        </w:rPr>
        <w:t>49 U.S.C. 14123, Financial reporting.</w:t>
      </w:r>
    </w:p>
    <w:p w14:paraId="594FE653" w14:textId="77777777" w:rsidR="006711A3" w:rsidRPr="006711A3" w:rsidRDefault="006711A3" w:rsidP="005049FC">
      <w:pPr>
        <w:numPr>
          <w:ilvl w:val="0"/>
          <w:numId w:val="3"/>
        </w:numPr>
        <w:ind w:hanging="450"/>
        <w:rPr>
          <w:rFonts w:ascii="Times New Roman" w:hAnsi="Times New Roman"/>
        </w:rPr>
      </w:pPr>
      <w:r w:rsidRPr="006711A3">
        <w:rPr>
          <w:rFonts w:ascii="Times New Roman" w:hAnsi="Times New Roman"/>
        </w:rPr>
        <w:t xml:space="preserve">Reports of Motor Carriers; Redesignation of Regulations Pursuant </w:t>
      </w:r>
    </w:p>
    <w:p w14:paraId="596A914E" w14:textId="2159F449" w:rsidR="00E959A7" w:rsidRDefault="006711A3" w:rsidP="006711A3">
      <w:pPr>
        <w:ind w:left="1080"/>
        <w:rPr>
          <w:rFonts w:ascii="Times New Roman" w:hAnsi="Times New Roman"/>
        </w:rPr>
      </w:pPr>
      <w:r w:rsidRPr="006711A3">
        <w:rPr>
          <w:rFonts w:ascii="Times New Roman" w:hAnsi="Times New Roman"/>
        </w:rPr>
        <w:t>to the ICC Termination Act of 199</w:t>
      </w:r>
      <w:r>
        <w:rPr>
          <w:rFonts w:ascii="Times New Roman" w:hAnsi="Times New Roman"/>
        </w:rPr>
        <w:t xml:space="preserve">, </w:t>
      </w:r>
      <w:r w:rsidR="00E959A7" w:rsidRPr="000B5383">
        <w:rPr>
          <w:rFonts w:ascii="Times New Roman" w:hAnsi="Times New Roman"/>
        </w:rPr>
        <w:t>September 30, 1998 (63</w:t>
      </w:r>
      <w:r w:rsidR="00E959A7">
        <w:rPr>
          <w:rFonts w:ascii="Times New Roman" w:hAnsi="Times New Roman"/>
        </w:rPr>
        <w:t xml:space="preserve"> </w:t>
      </w:r>
      <w:r w:rsidR="00E959A7" w:rsidRPr="000B5383">
        <w:rPr>
          <w:rFonts w:ascii="Times New Roman" w:hAnsi="Times New Roman"/>
        </w:rPr>
        <w:t>FR 52192</w:t>
      </w:r>
      <w:r w:rsidR="00E959A7">
        <w:rPr>
          <w:rFonts w:ascii="Times New Roman" w:hAnsi="Times New Roman"/>
        </w:rPr>
        <w:t>).</w:t>
      </w:r>
    </w:p>
    <w:p w14:paraId="43D8D94E" w14:textId="3F4DF9AE" w:rsidR="00E959A7" w:rsidRPr="006711A3" w:rsidRDefault="00E959A7" w:rsidP="00E959A7">
      <w:pPr>
        <w:numPr>
          <w:ilvl w:val="0"/>
          <w:numId w:val="3"/>
        </w:numPr>
        <w:ind w:left="630" w:firstLine="0"/>
        <w:rPr>
          <w:rFonts w:ascii="Times New Roman" w:hAnsi="Times New Roman"/>
        </w:rPr>
      </w:pPr>
      <w:r>
        <w:rPr>
          <w:rFonts w:ascii="Times New Roman" w:hAnsi="Times New Roman"/>
        </w:rPr>
        <w:t xml:space="preserve">Title </w:t>
      </w:r>
      <w:r w:rsidRPr="00817A6A">
        <w:rPr>
          <w:rFonts w:ascii="Times New Roman" w:hAnsi="Times New Roman"/>
        </w:rPr>
        <w:t xml:space="preserve">49 CFR </w:t>
      </w:r>
      <w:r w:rsidR="006711A3">
        <w:rPr>
          <w:rFonts w:ascii="Times New Roman" w:hAnsi="Times New Roman"/>
        </w:rPr>
        <w:t>P</w:t>
      </w:r>
      <w:r w:rsidRPr="00817A6A">
        <w:rPr>
          <w:rFonts w:ascii="Times New Roman" w:hAnsi="Times New Roman"/>
        </w:rPr>
        <w:t xml:space="preserve">art </w:t>
      </w:r>
      <w:r w:rsidRPr="006711A3">
        <w:rPr>
          <w:rFonts w:ascii="Times New Roman" w:hAnsi="Times New Roman"/>
        </w:rPr>
        <w:t>1420</w:t>
      </w:r>
      <w:r w:rsidR="006711A3" w:rsidRPr="006711A3">
        <w:rPr>
          <w:rFonts w:ascii="Times New Roman" w:hAnsi="Times New Roman"/>
        </w:rPr>
        <w:t xml:space="preserve">, </w:t>
      </w:r>
      <w:r w:rsidR="00E730A7" w:rsidRPr="006711A3">
        <w:rPr>
          <w:rFonts w:ascii="Times New Roman" w:hAnsi="Times New Roman"/>
        </w:rPr>
        <w:t>Reports of Motor Carriers</w:t>
      </w:r>
      <w:r w:rsidR="006711A3" w:rsidRPr="006711A3">
        <w:rPr>
          <w:rFonts w:ascii="Times New Roman" w:hAnsi="Times New Roman"/>
          <w:color w:val="000000"/>
          <w:shd w:val="clear" w:color="auto" w:fill="FFFFFF"/>
        </w:rPr>
        <w:t>, October 1, 1998.</w:t>
      </w:r>
    </w:p>
    <w:p w14:paraId="0D50A040" w14:textId="11604C6A" w:rsidR="00E959A7" w:rsidRDefault="00E959A7" w:rsidP="00E959A7">
      <w:pPr>
        <w:numPr>
          <w:ilvl w:val="0"/>
          <w:numId w:val="3"/>
        </w:numPr>
        <w:ind w:left="630" w:firstLine="0"/>
        <w:rPr>
          <w:rFonts w:ascii="Times New Roman" w:hAnsi="Times New Roman"/>
        </w:rPr>
      </w:pPr>
      <w:r w:rsidRPr="000B5383">
        <w:rPr>
          <w:rFonts w:ascii="Times New Roman" w:hAnsi="Times New Roman"/>
        </w:rPr>
        <w:t>F&amp;OS program from BTS to FMCSA (69 FR 51009</w:t>
      </w:r>
      <w:r>
        <w:rPr>
          <w:rFonts w:ascii="Times New Roman" w:hAnsi="Times New Roman"/>
        </w:rPr>
        <w:t>)</w:t>
      </w:r>
      <w:r w:rsidR="006711A3">
        <w:rPr>
          <w:rFonts w:ascii="Times New Roman" w:hAnsi="Times New Roman"/>
        </w:rPr>
        <w:t>, August 17, 2004.</w:t>
      </w:r>
    </w:p>
    <w:p w14:paraId="43CBA69D" w14:textId="79B0D89D" w:rsidR="00E959A7" w:rsidRDefault="006711A3" w:rsidP="006711A3">
      <w:pPr>
        <w:numPr>
          <w:ilvl w:val="0"/>
          <w:numId w:val="3"/>
        </w:numPr>
        <w:tabs>
          <w:tab w:val="clear" w:pos="1080"/>
          <w:tab w:val="num" w:pos="1170"/>
        </w:tabs>
        <w:ind w:hanging="450"/>
        <w:rPr>
          <w:rFonts w:ascii="Times New Roman" w:hAnsi="Times New Roman"/>
        </w:rPr>
      </w:pPr>
      <w:r w:rsidRPr="006711A3">
        <w:rPr>
          <w:rFonts w:ascii="Times New Roman" w:hAnsi="Times New Roman"/>
        </w:rPr>
        <w:t>Redesignation of Regulations</w:t>
      </w:r>
      <w:r>
        <w:rPr>
          <w:rFonts w:ascii="Times New Roman" w:hAnsi="Times New Roman"/>
        </w:rPr>
        <w:t>,</w:t>
      </w:r>
      <w:r w:rsidRPr="006711A3">
        <w:rPr>
          <w:rFonts w:ascii="Times New Roman" w:hAnsi="Times New Roman"/>
        </w:rPr>
        <w:t xml:space="preserve"> </w:t>
      </w:r>
      <w:r w:rsidR="00E959A7">
        <w:rPr>
          <w:rFonts w:ascii="Times New Roman" w:hAnsi="Times New Roman"/>
        </w:rPr>
        <w:t>(71 FR 45740)</w:t>
      </w:r>
      <w:r>
        <w:rPr>
          <w:rFonts w:ascii="Times New Roman" w:hAnsi="Times New Roman"/>
        </w:rPr>
        <w:t>,</w:t>
      </w:r>
      <w:r w:rsidR="00224A69">
        <w:rPr>
          <w:rFonts w:ascii="Times New Roman" w:hAnsi="Times New Roman"/>
        </w:rPr>
        <w:t xml:space="preserve"> August 10, 2006.</w:t>
      </w:r>
    </w:p>
    <w:p w14:paraId="1FE07B34" w14:textId="35D4290C" w:rsidR="004E1D5B" w:rsidRDefault="004E1D5B" w:rsidP="004E1D5B">
      <w:pPr>
        <w:numPr>
          <w:ilvl w:val="0"/>
          <w:numId w:val="3"/>
        </w:numPr>
        <w:ind w:left="630" w:firstLine="0"/>
        <w:rPr>
          <w:rFonts w:ascii="Times New Roman" w:hAnsi="Times New Roman"/>
        </w:rPr>
      </w:pPr>
      <w:r>
        <w:rPr>
          <w:rFonts w:ascii="Times New Roman" w:hAnsi="Times New Roman"/>
        </w:rPr>
        <w:t>Annual reports of</w:t>
      </w:r>
      <w:r w:rsidR="006711A3">
        <w:rPr>
          <w:rFonts w:ascii="Times New Roman" w:hAnsi="Times New Roman"/>
        </w:rPr>
        <w:t xml:space="preserve"> Class I carriers of passengers, 49 CFR 369.4.</w:t>
      </w:r>
    </w:p>
    <w:p w14:paraId="01E33444" w14:textId="49D2916A" w:rsidR="004E1D5B" w:rsidRDefault="004E1D5B" w:rsidP="004E1D5B">
      <w:pPr>
        <w:numPr>
          <w:ilvl w:val="0"/>
          <w:numId w:val="3"/>
        </w:numPr>
        <w:ind w:left="630" w:firstLine="0"/>
        <w:rPr>
          <w:rFonts w:ascii="Times New Roman" w:hAnsi="Times New Roman"/>
        </w:rPr>
      </w:pPr>
      <w:r>
        <w:rPr>
          <w:rFonts w:ascii="Times New Roman" w:hAnsi="Times New Roman"/>
        </w:rPr>
        <w:t xml:space="preserve">60-day </w:t>
      </w:r>
      <w:r w:rsidR="00EA14CF">
        <w:rPr>
          <w:rFonts w:ascii="Times New Roman" w:hAnsi="Times New Roman"/>
        </w:rPr>
        <w:t xml:space="preserve">FR, </w:t>
      </w:r>
      <w:r w:rsidR="007457D9">
        <w:rPr>
          <w:rFonts w:ascii="Times New Roman" w:hAnsi="Times New Roman"/>
        </w:rPr>
        <w:t>(82 FR 14103), March 16, 2017.</w:t>
      </w:r>
    </w:p>
    <w:p w14:paraId="4DB3DED6" w14:textId="77777777" w:rsidR="005049FC" w:rsidRDefault="004E1D5B" w:rsidP="005049FC">
      <w:pPr>
        <w:numPr>
          <w:ilvl w:val="0"/>
          <w:numId w:val="3"/>
        </w:numPr>
        <w:ind w:left="630" w:firstLine="0"/>
        <w:rPr>
          <w:rFonts w:ascii="Times New Roman" w:hAnsi="Times New Roman"/>
        </w:rPr>
      </w:pPr>
      <w:r>
        <w:rPr>
          <w:rFonts w:ascii="Times New Roman" w:hAnsi="Times New Roman"/>
        </w:rPr>
        <w:t xml:space="preserve">30-day </w:t>
      </w:r>
      <w:r w:rsidR="00EA14CF">
        <w:rPr>
          <w:rFonts w:ascii="Times New Roman" w:hAnsi="Times New Roman"/>
        </w:rPr>
        <w:t xml:space="preserve">FR, </w:t>
      </w:r>
      <w:r w:rsidR="007457D9">
        <w:rPr>
          <w:rFonts w:ascii="Times New Roman" w:hAnsi="Times New Roman"/>
        </w:rPr>
        <w:t>(82 FR 35027), July 27, 2017.</w:t>
      </w:r>
    </w:p>
    <w:p w14:paraId="722D4D39" w14:textId="767A524A" w:rsidR="007457D9" w:rsidRPr="005049FC" w:rsidRDefault="00EA14CF" w:rsidP="005049FC">
      <w:pPr>
        <w:numPr>
          <w:ilvl w:val="0"/>
          <w:numId w:val="3"/>
        </w:numPr>
        <w:ind w:left="630" w:firstLine="0"/>
        <w:rPr>
          <w:rFonts w:ascii="Times New Roman" w:hAnsi="Times New Roman"/>
        </w:rPr>
      </w:pPr>
      <w:r w:rsidRPr="005049FC">
        <w:rPr>
          <w:rFonts w:ascii="Times New Roman" w:hAnsi="Times New Roman"/>
        </w:rPr>
        <w:t xml:space="preserve">60-day FR, (83 FR 17894), </w:t>
      </w:r>
      <w:r w:rsidR="007457D9" w:rsidRPr="005049FC">
        <w:rPr>
          <w:rFonts w:ascii="Times New Roman" w:hAnsi="Times New Roman"/>
        </w:rPr>
        <w:t xml:space="preserve">April 24, 2018 </w:t>
      </w:r>
    </w:p>
    <w:p w14:paraId="65055F24" w14:textId="33C2B822" w:rsidR="00665019" w:rsidRDefault="00EA14CF" w:rsidP="004E1D5B">
      <w:pPr>
        <w:numPr>
          <w:ilvl w:val="0"/>
          <w:numId w:val="3"/>
        </w:numPr>
        <w:ind w:left="630" w:firstLine="0"/>
        <w:rPr>
          <w:rFonts w:ascii="Times New Roman" w:hAnsi="Times New Roman"/>
        </w:rPr>
      </w:pPr>
      <w:r>
        <w:rPr>
          <w:rFonts w:ascii="Times New Roman" w:hAnsi="Times New Roman"/>
        </w:rPr>
        <w:t xml:space="preserve">30-day FR, (83 FR </w:t>
      </w:r>
      <w:r w:rsidR="00AB52B5">
        <w:rPr>
          <w:rFonts w:ascii="Times New Roman" w:hAnsi="Times New Roman"/>
        </w:rPr>
        <w:t>668</w:t>
      </w:r>
      <w:r w:rsidR="00582F7D">
        <w:rPr>
          <w:rFonts w:ascii="Times New Roman" w:hAnsi="Times New Roman"/>
        </w:rPr>
        <w:t>36), December 27</w:t>
      </w:r>
      <w:r>
        <w:rPr>
          <w:rFonts w:ascii="Times New Roman" w:hAnsi="Times New Roman"/>
        </w:rPr>
        <w:t>, 2018.</w:t>
      </w:r>
    </w:p>
    <w:p w14:paraId="657CED78" w14:textId="77777777" w:rsidR="008C7481" w:rsidRDefault="008C7481" w:rsidP="008C7481">
      <w:pPr>
        <w:ind w:left="630"/>
        <w:rPr>
          <w:rFonts w:ascii="Times New Roman" w:hAnsi="Times New Roman"/>
        </w:rPr>
      </w:pPr>
    </w:p>
    <w:p w14:paraId="5A219F9F" w14:textId="77777777" w:rsidR="004E1D5B" w:rsidRPr="000B5383" w:rsidRDefault="004E1D5B" w:rsidP="00923862">
      <w:pPr>
        <w:ind w:left="720" w:hanging="720"/>
        <w:outlineLvl w:val="0"/>
        <w:rPr>
          <w:rFonts w:ascii="Times New Roman" w:hAnsi="Times New Roman"/>
        </w:rPr>
      </w:pPr>
    </w:p>
    <w:p w14:paraId="56F57815" w14:textId="77777777" w:rsidR="00591835" w:rsidRPr="000B5383" w:rsidRDefault="00591835" w:rsidP="00F01C9E">
      <w:pPr>
        <w:ind w:left="720" w:hanging="720"/>
        <w:outlineLvl w:val="0"/>
        <w:rPr>
          <w:rFonts w:ascii="Times New Roman" w:hAnsi="Times New Roman"/>
        </w:rPr>
      </w:pPr>
    </w:p>
    <w:sectPr w:rsidR="00591835" w:rsidRPr="000B5383" w:rsidSect="00FB6D6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4891C" w14:textId="77777777" w:rsidR="00DE0EF4" w:rsidRDefault="00DE0EF4">
      <w:r>
        <w:separator/>
      </w:r>
    </w:p>
  </w:endnote>
  <w:endnote w:type="continuationSeparator" w:id="0">
    <w:p w14:paraId="79AC0F8F" w14:textId="77777777" w:rsidR="00DE0EF4" w:rsidRDefault="00DE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5343C" w14:textId="77777777" w:rsidR="00070263" w:rsidRDefault="00004DE8" w:rsidP="00FB6D66">
    <w:pPr>
      <w:pStyle w:val="Footer"/>
      <w:framePr w:wrap="around" w:vAnchor="text" w:hAnchor="margin" w:xAlign="center" w:y="1"/>
      <w:rPr>
        <w:rStyle w:val="PageNumber"/>
      </w:rPr>
    </w:pPr>
    <w:r>
      <w:rPr>
        <w:rStyle w:val="PageNumber"/>
      </w:rPr>
      <w:fldChar w:fldCharType="begin"/>
    </w:r>
    <w:r w:rsidR="00070263">
      <w:rPr>
        <w:rStyle w:val="PageNumber"/>
      </w:rPr>
      <w:instrText xml:space="preserve">PAGE  </w:instrText>
    </w:r>
    <w:r>
      <w:rPr>
        <w:rStyle w:val="PageNumber"/>
      </w:rPr>
      <w:fldChar w:fldCharType="end"/>
    </w:r>
  </w:p>
  <w:p w14:paraId="24C18BAF" w14:textId="77777777" w:rsidR="00070263" w:rsidRDefault="00070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C7CD5" w14:textId="39D99E4F" w:rsidR="00070263" w:rsidRDefault="00004DE8" w:rsidP="00FB6D66">
    <w:pPr>
      <w:pStyle w:val="Footer"/>
      <w:framePr w:wrap="around" w:vAnchor="text" w:hAnchor="margin" w:xAlign="center" w:y="1"/>
      <w:rPr>
        <w:rStyle w:val="PageNumber"/>
      </w:rPr>
    </w:pPr>
    <w:r>
      <w:rPr>
        <w:rStyle w:val="PageNumber"/>
      </w:rPr>
      <w:fldChar w:fldCharType="begin"/>
    </w:r>
    <w:r w:rsidR="00070263">
      <w:rPr>
        <w:rStyle w:val="PageNumber"/>
      </w:rPr>
      <w:instrText xml:space="preserve">PAGE  </w:instrText>
    </w:r>
    <w:r>
      <w:rPr>
        <w:rStyle w:val="PageNumber"/>
      </w:rPr>
      <w:fldChar w:fldCharType="separate"/>
    </w:r>
    <w:r w:rsidR="00406DF6">
      <w:rPr>
        <w:rStyle w:val="PageNumber"/>
        <w:noProof/>
      </w:rPr>
      <w:t>2</w:t>
    </w:r>
    <w:r>
      <w:rPr>
        <w:rStyle w:val="PageNumber"/>
      </w:rPr>
      <w:fldChar w:fldCharType="end"/>
    </w:r>
  </w:p>
  <w:p w14:paraId="751DBC03" w14:textId="77777777" w:rsidR="00070263" w:rsidRDefault="0007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B621" w14:textId="77777777" w:rsidR="00DE0EF4" w:rsidRDefault="00DE0EF4">
      <w:r>
        <w:separator/>
      </w:r>
    </w:p>
  </w:footnote>
  <w:footnote w:type="continuationSeparator" w:id="0">
    <w:p w14:paraId="13F093CD" w14:textId="77777777" w:rsidR="00DE0EF4" w:rsidRDefault="00DE0EF4">
      <w:r>
        <w:continuationSeparator/>
      </w:r>
    </w:p>
  </w:footnote>
  <w:footnote w:id="1">
    <w:p w14:paraId="5704482E" w14:textId="77777777" w:rsidR="004E1D5B" w:rsidRDefault="004E1D5B" w:rsidP="004E1D5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gross domestic product is the market value of all officially recognized final goods and services produced within a country in a given period.</w:t>
      </w:r>
    </w:p>
  </w:footnote>
  <w:footnote w:id="2">
    <w:p w14:paraId="5A51F9E1" w14:textId="08C9F63A" w:rsidR="00E95416" w:rsidRPr="00F01C9E" w:rsidRDefault="00E95416" w:rsidP="00E95416">
      <w:pPr>
        <w:pStyle w:val="FootnoteText"/>
        <w:rPr>
          <w:rFonts w:ascii="Times New Roman" w:hAnsi="Times New Roman"/>
        </w:rPr>
      </w:pPr>
      <w:r w:rsidRPr="00F01C9E">
        <w:rPr>
          <w:rStyle w:val="FootnoteReference"/>
          <w:rFonts w:ascii="Times New Roman" w:hAnsi="Times New Roman"/>
        </w:rPr>
        <w:footnoteRef/>
      </w:r>
      <w:r w:rsidRPr="00F01C9E">
        <w:rPr>
          <w:rFonts w:ascii="Times New Roman" w:hAnsi="Times New Roman"/>
        </w:rPr>
        <w:t xml:space="preserve"> Bureau of Labor Statistics. “Occupational Employment and Wages, May 2016, NAICS 484100 - General Freight Trucking.” Available at </w:t>
      </w:r>
      <w:hyperlink r:id="rId1" w:history="1">
        <w:r w:rsidRPr="00F01C9E">
          <w:rPr>
            <w:rStyle w:val="Hyperlink"/>
            <w:rFonts w:ascii="Times New Roman" w:hAnsi="Times New Roman"/>
          </w:rPr>
          <w:t>www.bls.gov/oes/current/naics4_484100.htm</w:t>
        </w:r>
      </w:hyperlink>
      <w:r w:rsidRPr="00F01C9E">
        <w:rPr>
          <w:rFonts w:ascii="Times New Roman" w:hAnsi="Times New Roman"/>
        </w:rPr>
        <w:t xml:space="preserve"> </w:t>
      </w:r>
      <w:r w:rsidR="00D91B97">
        <w:rPr>
          <w:rFonts w:ascii="Times New Roman" w:hAnsi="Times New Roman"/>
        </w:rPr>
        <w:t>(a</w:t>
      </w:r>
      <w:r w:rsidRPr="00F01C9E">
        <w:rPr>
          <w:rFonts w:ascii="Times New Roman" w:hAnsi="Times New Roman"/>
        </w:rPr>
        <w:t>ccessed January 17, 2017</w:t>
      </w:r>
      <w:r w:rsidR="00D91B97">
        <w:rPr>
          <w:rFonts w:ascii="Times New Roman" w:hAnsi="Times New Roman"/>
        </w:rPr>
        <w:t>)</w:t>
      </w:r>
      <w:r w:rsidRPr="00F01C9E">
        <w:rPr>
          <w:rFonts w:ascii="Times New Roman" w:hAnsi="Times New Roman"/>
        </w:rPr>
        <w:t>.</w:t>
      </w:r>
    </w:p>
  </w:footnote>
  <w:footnote w:id="3">
    <w:p w14:paraId="15EC1F88" w14:textId="2868581F" w:rsidR="00E95416" w:rsidRPr="00F01C9E" w:rsidRDefault="00E95416" w:rsidP="00E95416">
      <w:pPr>
        <w:pStyle w:val="FootnoteText"/>
        <w:rPr>
          <w:rFonts w:ascii="Times New Roman" w:hAnsi="Times New Roman"/>
        </w:rPr>
      </w:pPr>
      <w:r w:rsidRPr="00F01C9E">
        <w:rPr>
          <w:rStyle w:val="FootnoteReference"/>
          <w:rFonts w:ascii="Times New Roman" w:hAnsi="Times New Roman"/>
        </w:rPr>
        <w:footnoteRef/>
      </w:r>
      <w:r w:rsidRPr="00F01C9E">
        <w:rPr>
          <w:rFonts w:ascii="Times New Roman" w:hAnsi="Times New Roman"/>
        </w:rPr>
        <w:t xml:space="preserve"> Bureau of Labor Statistics. “Table 10. Employer costs per hour worked for employee compensation and costs as a percentage of total compensation: private industry workers, by industry group, March 2017.” </w:t>
      </w:r>
      <w:hyperlink r:id="rId2" w:history="1">
        <w:r w:rsidRPr="00F01C9E">
          <w:rPr>
            <w:rStyle w:val="Hyperlink"/>
            <w:rFonts w:ascii="Times New Roman" w:hAnsi="Times New Roman"/>
          </w:rPr>
          <w:t>https://www.bls.gov/news.release/ecec.t10.htm</w:t>
        </w:r>
      </w:hyperlink>
      <w:r w:rsidRPr="00F01C9E">
        <w:rPr>
          <w:rFonts w:ascii="Times New Roman" w:hAnsi="Times New Roman"/>
        </w:rPr>
        <w:t xml:space="preserve"> </w:t>
      </w:r>
      <w:r w:rsidR="00D91B97">
        <w:rPr>
          <w:rFonts w:ascii="Times New Roman" w:hAnsi="Times New Roman"/>
        </w:rPr>
        <w:t>(a</w:t>
      </w:r>
      <w:r w:rsidRPr="00F01C9E">
        <w:rPr>
          <w:rFonts w:ascii="Times New Roman" w:hAnsi="Times New Roman"/>
        </w:rPr>
        <w:t>ccessed January 17, 2018</w:t>
      </w:r>
      <w:r w:rsidR="00D91B97">
        <w:rPr>
          <w:rFonts w:ascii="Times New Roman" w:hAnsi="Times New Roman"/>
        </w:rPr>
        <w:t>)</w:t>
      </w:r>
      <w:r w:rsidRPr="00F01C9E">
        <w:rPr>
          <w:rFonts w:ascii="Times New Roman" w:hAnsi="Times New Roman"/>
        </w:rPr>
        <w:t>.</w:t>
      </w:r>
    </w:p>
  </w:footnote>
  <w:footnote w:id="4">
    <w:p w14:paraId="1E826260" w14:textId="77777777" w:rsidR="00BF77FF" w:rsidRPr="00BF77FF" w:rsidRDefault="00BF77FF" w:rsidP="00BF77FF">
      <w:pPr>
        <w:pStyle w:val="FootnoteText"/>
        <w:rPr>
          <w:rFonts w:ascii="Times New Roman" w:hAnsi="Times New Roman"/>
        </w:rPr>
      </w:pPr>
      <w:r w:rsidRPr="00BF77FF">
        <w:rPr>
          <w:rStyle w:val="FootnoteReference"/>
          <w:rFonts w:ascii="Times New Roman" w:hAnsi="Times New Roman"/>
        </w:rPr>
        <w:footnoteRef/>
      </w:r>
      <w:r w:rsidRPr="00BF77FF">
        <w:rPr>
          <w:rFonts w:ascii="Times New Roman" w:hAnsi="Times New Roman"/>
        </w:rPr>
        <w:t xml:space="preserve"> Bureau of Labor Statistics, “Occupational Employment Survey,” May 2015. </w:t>
      </w:r>
      <w:hyperlink r:id="rId3" w:history="1">
        <w:r w:rsidRPr="00BF77FF">
          <w:rPr>
            <w:rStyle w:val="Hyperlink"/>
            <w:rFonts w:ascii="Times New Roman" w:hAnsi="Times New Roman"/>
          </w:rPr>
          <w:t>http://www.bls.gov/oes/current/naics4_485200.htm</w:t>
        </w:r>
      </w:hyperlink>
      <w:r w:rsidRPr="00BF77FF">
        <w:rPr>
          <w:rFonts w:ascii="Times New Roman" w:hAnsi="Times New Roman"/>
        </w:rPr>
        <w:t xml:space="preserve"> (accessed December 16, 2016).  North American Industry Classification System (NAICS) 485200, Interurban and Rural Bus Transportation Standard Occupational Classification (SOC) 13-2000, Business and Financial Operations Occupations.</w:t>
      </w:r>
    </w:p>
  </w:footnote>
  <w:footnote w:id="5">
    <w:p w14:paraId="0B04B8AC" w14:textId="71DACCC1" w:rsidR="00BF77FF" w:rsidRDefault="00BF77FF" w:rsidP="00BF77FF">
      <w:pPr>
        <w:pStyle w:val="FootnoteText"/>
        <w:rPr>
          <w:rFonts w:ascii="Times New Roman" w:hAnsi="Times New Roman"/>
        </w:rPr>
      </w:pPr>
      <w:r w:rsidRPr="00BF77FF">
        <w:rPr>
          <w:rStyle w:val="FootnoteReference"/>
          <w:rFonts w:ascii="Times New Roman" w:hAnsi="Times New Roman"/>
        </w:rPr>
        <w:footnoteRef/>
      </w:r>
      <w:r w:rsidRPr="00BF77FF">
        <w:rPr>
          <w:rFonts w:ascii="Times New Roman" w:hAnsi="Times New Roman"/>
        </w:rPr>
        <w:t xml:space="preserve"> FMCSA estimates this 51 percent employee benefit rate by using the private industry average wage ($17.99 per hour) and benefit information ($9.18 per hour) for production, transportation, and moving material workers. Benefits</w:t>
      </w:r>
      <w:r>
        <w:rPr>
          <w:rFonts w:ascii="Times New Roman" w:hAnsi="Times New Roman"/>
        </w:rPr>
        <w:t xml:space="preserve"> thus amount to 51.0 percent of wages (0.510 = $9.18 / $17.99). From “Employer Costs for Employee Compensation—September 2016” </w:t>
      </w:r>
      <w:r w:rsidR="00D91B97">
        <w:rPr>
          <w:rFonts w:ascii="Times New Roman" w:hAnsi="Times New Roman"/>
        </w:rPr>
        <w:t>(a</w:t>
      </w:r>
      <w:r>
        <w:rPr>
          <w:rFonts w:ascii="Times New Roman" w:hAnsi="Times New Roman"/>
        </w:rPr>
        <w:t xml:space="preserve">ccessed on December 16, 2016 at </w:t>
      </w:r>
      <w:hyperlink r:id="rId4" w:history="1">
        <w:r>
          <w:rPr>
            <w:rStyle w:val="Hyperlink"/>
            <w:rFonts w:ascii="Times New Roman" w:hAnsi="Times New Roman"/>
          </w:rPr>
          <w:t>https://www.bls.gov/news.release/pdf/ecec.pdf</w:t>
        </w:r>
      </w:hyperlink>
      <w:r w:rsidR="00D91B97">
        <w:rPr>
          <w:rStyle w:val="Hyperlink"/>
          <w:rFonts w:ascii="Times New Roman" w:hAnsi="Times New Roman"/>
        </w:rPr>
        <w:t>)</w:t>
      </w:r>
      <w:r>
        <w:rPr>
          <w:rFonts w:ascii="Times New Roman" w:hAnsi="Times New Roman"/>
        </w:rPr>
        <w:t xml:space="preserve">. </w:t>
      </w:r>
    </w:p>
  </w:footnote>
  <w:footnote w:id="6">
    <w:p w14:paraId="4F2D5003" w14:textId="546E5569" w:rsidR="00BF77FF" w:rsidRDefault="00BF77FF" w:rsidP="00BF77F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Berwick, Farooq. Truck Costing Model for Transportation Managers,” Upper Great Plains Transportation Institute, North Dakota State University (2003) </w:t>
      </w:r>
      <w:r w:rsidR="00D91B97">
        <w:rPr>
          <w:rFonts w:ascii="Times New Roman" w:hAnsi="Times New Roman"/>
        </w:rPr>
        <w:t>(a</w:t>
      </w:r>
      <w:r>
        <w:rPr>
          <w:rFonts w:ascii="Times New Roman" w:hAnsi="Times New Roman"/>
        </w:rPr>
        <w:t xml:space="preserve">ccessed on December 16, 2016 at </w:t>
      </w:r>
      <w:hyperlink r:id="rId5" w:history="1">
        <w:r>
          <w:rPr>
            <w:rStyle w:val="Hyperlink"/>
            <w:rFonts w:ascii="Times New Roman" w:hAnsi="Times New Roman"/>
          </w:rPr>
          <w:t>http://ntl.bts.gov/lib/24000/24200/24223/24223.pdf</w:t>
        </w:r>
      </w:hyperlink>
      <w:r w:rsidR="00D91B97">
        <w:rPr>
          <w:rStyle w:val="Hyperlink"/>
          <w:rFonts w:ascii="Times New Roman" w:hAnsi="Times New Roman"/>
        </w:rPr>
        <w:t>)</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718D"/>
    <w:multiLevelType w:val="hybridMultilevel"/>
    <w:tmpl w:val="1756B304"/>
    <w:lvl w:ilvl="0" w:tplc="9488915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53227E15"/>
    <w:multiLevelType w:val="hybridMultilevel"/>
    <w:tmpl w:val="5B041B8A"/>
    <w:lvl w:ilvl="0" w:tplc="0409000F">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BB3F2B"/>
    <w:multiLevelType w:val="hybridMultilevel"/>
    <w:tmpl w:val="9702B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35"/>
    <w:rsid w:val="00000E2D"/>
    <w:rsid w:val="00001AC4"/>
    <w:rsid w:val="0000363B"/>
    <w:rsid w:val="00004DE8"/>
    <w:rsid w:val="00007F83"/>
    <w:rsid w:val="00012372"/>
    <w:rsid w:val="0001389C"/>
    <w:rsid w:val="00015523"/>
    <w:rsid w:val="00016023"/>
    <w:rsid w:val="00024A5D"/>
    <w:rsid w:val="00025993"/>
    <w:rsid w:val="000547CD"/>
    <w:rsid w:val="00070263"/>
    <w:rsid w:val="00077CE8"/>
    <w:rsid w:val="000835D1"/>
    <w:rsid w:val="00095FB3"/>
    <w:rsid w:val="000A190A"/>
    <w:rsid w:val="000A3464"/>
    <w:rsid w:val="000B5383"/>
    <w:rsid w:val="000C4B79"/>
    <w:rsid w:val="000C74DA"/>
    <w:rsid w:val="000F4142"/>
    <w:rsid w:val="000F46EB"/>
    <w:rsid w:val="001050A0"/>
    <w:rsid w:val="001110A9"/>
    <w:rsid w:val="00112D16"/>
    <w:rsid w:val="00115F33"/>
    <w:rsid w:val="00127DA2"/>
    <w:rsid w:val="00137378"/>
    <w:rsid w:val="00150BD0"/>
    <w:rsid w:val="0016338C"/>
    <w:rsid w:val="00170486"/>
    <w:rsid w:val="00171960"/>
    <w:rsid w:val="00175442"/>
    <w:rsid w:val="00175C93"/>
    <w:rsid w:val="001764DB"/>
    <w:rsid w:val="001851E1"/>
    <w:rsid w:val="00191ADA"/>
    <w:rsid w:val="001A2740"/>
    <w:rsid w:val="001A2CB3"/>
    <w:rsid w:val="001B4D13"/>
    <w:rsid w:val="001D27B5"/>
    <w:rsid w:val="001E3946"/>
    <w:rsid w:val="001E7294"/>
    <w:rsid w:val="001F4543"/>
    <w:rsid w:val="00216452"/>
    <w:rsid w:val="00224A69"/>
    <w:rsid w:val="002423C8"/>
    <w:rsid w:val="00244E58"/>
    <w:rsid w:val="00246BDE"/>
    <w:rsid w:val="0025118F"/>
    <w:rsid w:val="00253ED7"/>
    <w:rsid w:val="00262A6D"/>
    <w:rsid w:val="0026343B"/>
    <w:rsid w:val="00272A5A"/>
    <w:rsid w:val="00274779"/>
    <w:rsid w:val="0027744F"/>
    <w:rsid w:val="00282A5B"/>
    <w:rsid w:val="002919EA"/>
    <w:rsid w:val="002976AD"/>
    <w:rsid w:val="00297D23"/>
    <w:rsid w:val="002A5C2C"/>
    <w:rsid w:val="002A7BED"/>
    <w:rsid w:val="002B3F12"/>
    <w:rsid w:val="002B56AB"/>
    <w:rsid w:val="002C0A31"/>
    <w:rsid w:val="002C3A4A"/>
    <w:rsid w:val="002C7219"/>
    <w:rsid w:val="002E56B2"/>
    <w:rsid w:val="002E5767"/>
    <w:rsid w:val="002E62EE"/>
    <w:rsid w:val="002F0039"/>
    <w:rsid w:val="00304718"/>
    <w:rsid w:val="00315BCB"/>
    <w:rsid w:val="003179AE"/>
    <w:rsid w:val="00322A7A"/>
    <w:rsid w:val="00331523"/>
    <w:rsid w:val="003356D2"/>
    <w:rsid w:val="0034105B"/>
    <w:rsid w:val="003411F3"/>
    <w:rsid w:val="003523D7"/>
    <w:rsid w:val="003524F8"/>
    <w:rsid w:val="0036237B"/>
    <w:rsid w:val="00363FC1"/>
    <w:rsid w:val="00364378"/>
    <w:rsid w:val="00365D45"/>
    <w:rsid w:val="003753CA"/>
    <w:rsid w:val="00375B2F"/>
    <w:rsid w:val="00382665"/>
    <w:rsid w:val="00386579"/>
    <w:rsid w:val="0038680F"/>
    <w:rsid w:val="00391614"/>
    <w:rsid w:val="00391AC6"/>
    <w:rsid w:val="00395D0B"/>
    <w:rsid w:val="00395EF4"/>
    <w:rsid w:val="0039661F"/>
    <w:rsid w:val="003A4FBD"/>
    <w:rsid w:val="003B1082"/>
    <w:rsid w:val="003B548E"/>
    <w:rsid w:val="003C3F5B"/>
    <w:rsid w:val="003C7D8C"/>
    <w:rsid w:val="003F7ECE"/>
    <w:rsid w:val="00406DF6"/>
    <w:rsid w:val="004255D2"/>
    <w:rsid w:val="0042757E"/>
    <w:rsid w:val="00430AF1"/>
    <w:rsid w:val="00436F11"/>
    <w:rsid w:val="004403A3"/>
    <w:rsid w:val="00451B12"/>
    <w:rsid w:val="00456052"/>
    <w:rsid w:val="0046194F"/>
    <w:rsid w:val="0046432E"/>
    <w:rsid w:val="00475CD7"/>
    <w:rsid w:val="004900E9"/>
    <w:rsid w:val="00491B4A"/>
    <w:rsid w:val="00495C0B"/>
    <w:rsid w:val="00497C21"/>
    <w:rsid w:val="004A266F"/>
    <w:rsid w:val="004A4246"/>
    <w:rsid w:val="004B26D1"/>
    <w:rsid w:val="004B363A"/>
    <w:rsid w:val="004B724B"/>
    <w:rsid w:val="004C3E66"/>
    <w:rsid w:val="004C44F9"/>
    <w:rsid w:val="004C6C5E"/>
    <w:rsid w:val="004C6F0A"/>
    <w:rsid w:val="004D0A34"/>
    <w:rsid w:val="004D39F6"/>
    <w:rsid w:val="004D6857"/>
    <w:rsid w:val="004E1D5B"/>
    <w:rsid w:val="004E30EE"/>
    <w:rsid w:val="004E7A3C"/>
    <w:rsid w:val="004F2687"/>
    <w:rsid w:val="004F669E"/>
    <w:rsid w:val="005049FC"/>
    <w:rsid w:val="00513C7D"/>
    <w:rsid w:val="0052250B"/>
    <w:rsid w:val="00525CE4"/>
    <w:rsid w:val="00530C23"/>
    <w:rsid w:val="00535951"/>
    <w:rsid w:val="00540CE2"/>
    <w:rsid w:val="00545704"/>
    <w:rsid w:val="00551D80"/>
    <w:rsid w:val="00552470"/>
    <w:rsid w:val="00553298"/>
    <w:rsid w:val="005558D1"/>
    <w:rsid w:val="00567BB5"/>
    <w:rsid w:val="005721EA"/>
    <w:rsid w:val="00582F7D"/>
    <w:rsid w:val="00583670"/>
    <w:rsid w:val="00583A0B"/>
    <w:rsid w:val="005910D8"/>
    <w:rsid w:val="00591835"/>
    <w:rsid w:val="005941DA"/>
    <w:rsid w:val="005A6634"/>
    <w:rsid w:val="005B3817"/>
    <w:rsid w:val="005B5A71"/>
    <w:rsid w:val="005B6D8B"/>
    <w:rsid w:val="005C5B57"/>
    <w:rsid w:val="005D022C"/>
    <w:rsid w:val="0060381C"/>
    <w:rsid w:val="006168A5"/>
    <w:rsid w:val="0063277E"/>
    <w:rsid w:val="0064310B"/>
    <w:rsid w:val="00643AE6"/>
    <w:rsid w:val="0064680C"/>
    <w:rsid w:val="006569A9"/>
    <w:rsid w:val="00656D85"/>
    <w:rsid w:val="00663026"/>
    <w:rsid w:val="00663A30"/>
    <w:rsid w:val="00665019"/>
    <w:rsid w:val="006711A3"/>
    <w:rsid w:val="00676F16"/>
    <w:rsid w:val="006813F1"/>
    <w:rsid w:val="00686824"/>
    <w:rsid w:val="006902DB"/>
    <w:rsid w:val="006919FD"/>
    <w:rsid w:val="006A2A83"/>
    <w:rsid w:val="006B235D"/>
    <w:rsid w:val="006C4962"/>
    <w:rsid w:val="006C5C3B"/>
    <w:rsid w:val="006D15CB"/>
    <w:rsid w:val="006E5F30"/>
    <w:rsid w:val="006E687E"/>
    <w:rsid w:val="006E7D1F"/>
    <w:rsid w:val="006F4BB8"/>
    <w:rsid w:val="00706E88"/>
    <w:rsid w:val="007074ED"/>
    <w:rsid w:val="00707E8B"/>
    <w:rsid w:val="00707F09"/>
    <w:rsid w:val="00712B44"/>
    <w:rsid w:val="00721352"/>
    <w:rsid w:val="007234ED"/>
    <w:rsid w:val="00733248"/>
    <w:rsid w:val="00741E0A"/>
    <w:rsid w:val="007457D9"/>
    <w:rsid w:val="00746030"/>
    <w:rsid w:val="007527A2"/>
    <w:rsid w:val="007546A0"/>
    <w:rsid w:val="00760D46"/>
    <w:rsid w:val="007833CB"/>
    <w:rsid w:val="007918E3"/>
    <w:rsid w:val="007A1AFD"/>
    <w:rsid w:val="007A4051"/>
    <w:rsid w:val="007A5E69"/>
    <w:rsid w:val="007B1203"/>
    <w:rsid w:val="007B17BE"/>
    <w:rsid w:val="007B405D"/>
    <w:rsid w:val="007C267C"/>
    <w:rsid w:val="007C5DF7"/>
    <w:rsid w:val="007D149D"/>
    <w:rsid w:val="007D2B4B"/>
    <w:rsid w:val="007D55B9"/>
    <w:rsid w:val="007D5EC5"/>
    <w:rsid w:val="007D6BE0"/>
    <w:rsid w:val="007D6EE2"/>
    <w:rsid w:val="007E2735"/>
    <w:rsid w:val="007E6937"/>
    <w:rsid w:val="00800079"/>
    <w:rsid w:val="00800839"/>
    <w:rsid w:val="008138DF"/>
    <w:rsid w:val="00817A6A"/>
    <w:rsid w:val="00817C19"/>
    <w:rsid w:val="00817E85"/>
    <w:rsid w:val="00822E4B"/>
    <w:rsid w:val="008261E7"/>
    <w:rsid w:val="008371C6"/>
    <w:rsid w:val="008434D1"/>
    <w:rsid w:val="00850549"/>
    <w:rsid w:val="00865F2D"/>
    <w:rsid w:val="00873162"/>
    <w:rsid w:val="008765EE"/>
    <w:rsid w:val="008819F9"/>
    <w:rsid w:val="00882201"/>
    <w:rsid w:val="00890ED4"/>
    <w:rsid w:val="008A21D5"/>
    <w:rsid w:val="008A3A57"/>
    <w:rsid w:val="008B0EB3"/>
    <w:rsid w:val="008C0C0C"/>
    <w:rsid w:val="008C49DB"/>
    <w:rsid w:val="008C5347"/>
    <w:rsid w:val="008C7481"/>
    <w:rsid w:val="008D0187"/>
    <w:rsid w:val="008D6E95"/>
    <w:rsid w:val="008E70CF"/>
    <w:rsid w:val="008F2A9E"/>
    <w:rsid w:val="00901333"/>
    <w:rsid w:val="0090178A"/>
    <w:rsid w:val="009104FE"/>
    <w:rsid w:val="00916414"/>
    <w:rsid w:val="00923862"/>
    <w:rsid w:val="009536E6"/>
    <w:rsid w:val="00957FF1"/>
    <w:rsid w:val="00962D9C"/>
    <w:rsid w:val="00966BFC"/>
    <w:rsid w:val="00972F15"/>
    <w:rsid w:val="0098189A"/>
    <w:rsid w:val="009841DB"/>
    <w:rsid w:val="00990CED"/>
    <w:rsid w:val="00991D01"/>
    <w:rsid w:val="0099334D"/>
    <w:rsid w:val="009A2FA8"/>
    <w:rsid w:val="009B0E94"/>
    <w:rsid w:val="009B2878"/>
    <w:rsid w:val="009B31A5"/>
    <w:rsid w:val="009B564B"/>
    <w:rsid w:val="009E52E5"/>
    <w:rsid w:val="00A02CD6"/>
    <w:rsid w:val="00A0573E"/>
    <w:rsid w:val="00A26DAC"/>
    <w:rsid w:val="00A27FF2"/>
    <w:rsid w:val="00A34128"/>
    <w:rsid w:val="00A35FA6"/>
    <w:rsid w:val="00A36C50"/>
    <w:rsid w:val="00A36E18"/>
    <w:rsid w:val="00A5034F"/>
    <w:rsid w:val="00A721B8"/>
    <w:rsid w:val="00A8066E"/>
    <w:rsid w:val="00A8657C"/>
    <w:rsid w:val="00A86E1D"/>
    <w:rsid w:val="00AB0432"/>
    <w:rsid w:val="00AB2D11"/>
    <w:rsid w:val="00AB52B5"/>
    <w:rsid w:val="00AC5F86"/>
    <w:rsid w:val="00AC7A78"/>
    <w:rsid w:val="00AD0E4A"/>
    <w:rsid w:val="00AD4187"/>
    <w:rsid w:val="00AF06C1"/>
    <w:rsid w:val="00B137EC"/>
    <w:rsid w:val="00B15383"/>
    <w:rsid w:val="00B2118B"/>
    <w:rsid w:val="00B21B77"/>
    <w:rsid w:val="00B2214A"/>
    <w:rsid w:val="00B24A2E"/>
    <w:rsid w:val="00B27FAB"/>
    <w:rsid w:val="00B31D6D"/>
    <w:rsid w:val="00B35FD9"/>
    <w:rsid w:val="00B41788"/>
    <w:rsid w:val="00B504B6"/>
    <w:rsid w:val="00B51E90"/>
    <w:rsid w:val="00B63778"/>
    <w:rsid w:val="00B63AB4"/>
    <w:rsid w:val="00B8686D"/>
    <w:rsid w:val="00BA0678"/>
    <w:rsid w:val="00BA14C4"/>
    <w:rsid w:val="00BA2D1F"/>
    <w:rsid w:val="00BB1845"/>
    <w:rsid w:val="00BB4BCA"/>
    <w:rsid w:val="00BB7F12"/>
    <w:rsid w:val="00BC2D04"/>
    <w:rsid w:val="00BC4E4C"/>
    <w:rsid w:val="00BD0875"/>
    <w:rsid w:val="00BD23AB"/>
    <w:rsid w:val="00BF20EF"/>
    <w:rsid w:val="00BF3414"/>
    <w:rsid w:val="00BF4FFB"/>
    <w:rsid w:val="00BF5BC0"/>
    <w:rsid w:val="00BF5C80"/>
    <w:rsid w:val="00BF77FF"/>
    <w:rsid w:val="00C0187D"/>
    <w:rsid w:val="00C04E07"/>
    <w:rsid w:val="00C07A95"/>
    <w:rsid w:val="00C13DD8"/>
    <w:rsid w:val="00C14651"/>
    <w:rsid w:val="00C23A75"/>
    <w:rsid w:val="00C24CEF"/>
    <w:rsid w:val="00C3778F"/>
    <w:rsid w:val="00C448DA"/>
    <w:rsid w:val="00C44DD1"/>
    <w:rsid w:val="00C73645"/>
    <w:rsid w:val="00C73730"/>
    <w:rsid w:val="00C75BFA"/>
    <w:rsid w:val="00C93034"/>
    <w:rsid w:val="00C94EBC"/>
    <w:rsid w:val="00CB07FD"/>
    <w:rsid w:val="00CB4711"/>
    <w:rsid w:val="00CC6AED"/>
    <w:rsid w:val="00CD477D"/>
    <w:rsid w:val="00CE1E34"/>
    <w:rsid w:val="00D23647"/>
    <w:rsid w:val="00D23AD4"/>
    <w:rsid w:val="00D25DEC"/>
    <w:rsid w:val="00D406BB"/>
    <w:rsid w:val="00D409B6"/>
    <w:rsid w:val="00D43387"/>
    <w:rsid w:val="00D454CD"/>
    <w:rsid w:val="00D46CBC"/>
    <w:rsid w:val="00D50005"/>
    <w:rsid w:val="00D50C91"/>
    <w:rsid w:val="00D564DC"/>
    <w:rsid w:val="00D57C9D"/>
    <w:rsid w:val="00D71666"/>
    <w:rsid w:val="00D77525"/>
    <w:rsid w:val="00D84E36"/>
    <w:rsid w:val="00D9083D"/>
    <w:rsid w:val="00D91B97"/>
    <w:rsid w:val="00DA47E0"/>
    <w:rsid w:val="00DA791B"/>
    <w:rsid w:val="00DB02BC"/>
    <w:rsid w:val="00DB3957"/>
    <w:rsid w:val="00DB3DB4"/>
    <w:rsid w:val="00DB415B"/>
    <w:rsid w:val="00DC79CC"/>
    <w:rsid w:val="00DE0A00"/>
    <w:rsid w:val="00DE0EF4"/>
    <w:rsid w:val="00DE1F4D"/>
    <w:rsid w:val="00DE5198"/>
    <w:rsid w:val="00DE7999"/>
    <w:rsid w:val="00DF1B78"/>
    <w:rsid w:val="00E02E73"/>
    <w:rsid w:val="00E03012"/>
    <w:rsid w:val="00E10650"/>
    <w:rsid w:val="00E10A26"/>
    <w:rsid w:val="00E1283D"/>
    <w:rsid w:val="00E20B95"/>
    <w:rsid w:val="00E322EA"/>
    <w:rsid w:val="00E363CF"/>
    <w:rsid w:val="00E43F75"/>
    <w:rsid w:val="00E603F2"/>
    <w:rsid w:val="00E62040"/>
    <w:rsid w:val="00E730A7"/>
    <w:rsid w:val="00E8700B"/>
    <w:rsid w:val="00E91A83"/>
    <w:rsid w:val="00E95416"/>
    <w:rsid w:val="00E959A7"/>
    <w:rsid w:val="00EA1316"/>
    <w:rsid w:val="00EA14CF"/>
    <w:rsid w:val="00EA5EF3"/>
    <w:rsid w:val="00EB344B"/>
    <w:rsid w:val="00EB6B9C"/>
    <w:rsid w:val="00EC11C6"/>
    <w:rsid w:val="00EC2011"/>
    <w:rsid w:val="00EC254D"/>
    <w:rsid w:val="00ED37E8"/>
    <w:rsid w:val="00EE1050"/>
    <w:rsid w:val="00EF25C3"/>
    <w:rsid w:val="00EF523D"/>
    <w:rsid w:val="00EF5900"/>
    <w:rsid w:val="00F0055A"/>
    <w:rsid w:val="00F0076A"/>
    <w:rsid w:val="00F01153"/>
    <w:rsid w:val="00F01C9E"/>
    <w:rsid w:val="00F021A2"/>
    <w:rsid w:val="00F032B6"/>
    <w:rsid w:val="00F04575"/>
    <w:rsid w:val="00F05FA0"/>
    <w:rsid w:val="00F0790B"/>
    <w:rsid w:val="00F12FE9"/>
    <w:rsid w:val="00F15AAD"/>
    <w:rsid w:val="00F16439"/>
    <w:rsid w:val="00F243DE"/>
    <w:rsid w:val="00F4054D"/>
    <w:rsid w:val="00F477D3"/>
    <w:rsid w:val="00F548E8"/>
    <w:rsid w:val="00F65654"/>
    <w:rsid w:val="00F767D6"/>
    <w:rsid w:val="00F834CB"/>
    <w:rsid w:val="00F84068"/>
    <w:rsid w:val="00F921DD"/>
    <w:rsid w:val="00FB04AA"/>
    <w:rsid w:val="00FB4F2A"/>
    <w:rsid w:val="00FB5775"/>
    <w:rsid w:val="00FB6D66"/>
    <w:rsid w:val="00FB7B74"/>
    <w:rsid w:val="00FC3CF7"/>
    <w:rsid w:val="00FC505B"/>
    <w:rsid w:val="00FC7036"/>
    <w:rsid w:val="00FC7BE1"/>
    <w:rsid w:val="00FD237D"/>
    <w:rsid w:val="00FD5861"/>
    <w:rsid w:val="00FE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2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2">
    <w:name w:val="heading 2"/>
    <w:basedOn w:val="Normal"/>
    <w:link w:val="Heading2Char"/>
    <w:uiPriority w:val="9"/>
    <w:qFormat/>
    <w:rsid w:val="00FB7B74"/>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80C"/>
    <w:rPr>
      <w:color w:val="0000FF"/>
      <w:u w:val="single"/>
    </w:rPr>
  </w:style>
  <w:style w:type="table" w:styleId="TableGrid">
    <w:name w:val="Table Grid"/>
    <w:basedOn w:val="TableNormal"/>
    <w:rsid w:val="0064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B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35FD9"/>
    <w:rPr>
      <w:rFonts w:ascii="Tahoma" w:hAnsi="Tahoma" w:cs="Tahoma"/>
      <w:sz w:val="16"/>
      <w:szCs w:val="16"/>
    </w:rPr>
  </w:style>
  <w:style w:type="character" w:styleId="CommentReference">
    <w:name w:val="annotation reference"/>
    <w:rsid w:val="00FB6D66"/>
    <w:rPr>
      <w:sz w:val="16"/>
      <w:szCs w:val="16"/>
    </w:rPr>
  </w:style>
  <w:style w:type="paragraph" w:styleId="CommentText">
    <w:name w:val="annotation text"/>
    <w:basedOn w:val="Normal"/>
    <w:semiHidden/>
    <w:rsid w:val="00FB6D66"/>
    <w:rPr>
      <w:sz w:val="20"/>
      <w:szCs w:val="20"/>
    </w:rPr>
  </w:style>
  <w:style w:type="paragraph" w:styleId="CommentSubject">
    <w:name w:val="annotation subject"/>
    <w:basedOn w:val="CommentText"/>
    <w:next w:val="CommentText"/>
    <w:semiHidden/>
    <w:rsid w:val="00FB6D66"/>
    <w:rPr>
      <w:b/>
      <w:bCs/>
    </w:rPr>
  </w:style>
  <w:style w:type="paragraph" w:styleId="Footer">
    <w:name w:val="footer"/>
    <w:basedOn w:val="Normal"/>
    <w:rsid w:val="00FB6D66"/>
    <w:pPr>
      <w:tabs>
        <w:tab w:val="center" w:pos="4320"/>
        <w:tab w:val="right" w:pos="8640"/>
      </w:tabs>
    </w:pPr>
  </w:style>
  <w:style w:type="character" w:styleId="PageNumber">
    <w:name w:val="page number"/>
    <w:basedOn w:val="DefaultParagraphFont"/>
    <w:rsid w:val="00FB6D66"/>
  </w:style>
  <w:style w:type="paragraph" w:styleId="FootnoteText">
    <w:name w:val="footnote text"/>
    <w:basedOn w:val="Normal"/>
    <w:link w:val="FootnoteTextChar"/>
    <w:semiHidden/>
    <w:rsid w:val="008A21D5"/>
    <w:rPr>
      <w:sz w:val="20"/>
      <w:szCs w:val="20"/>
    </w:rPr>
  </w:style>
  <w:style w:type="character" w:styleId="FootnoteReference">
    <w:name w:val="footnote reference"/>
    <w:uiPriority w:val="99"/>
    <w:rsid w:val="008A21D5"/>
    <w:rPr>
      <w:vertAlign w:val="superscript"/>
    </w:rPr>
  </w:style>
  <w:style w:type="paragraph" w:styleId="DocumentMap">
    <w:name w:val="Document Map"/>
    <w:basedOn w:val="Normal"/>
    <w:semiHidden/>
    <w:rsid w:val="00923862"/>
    <w:pPr>
      <w:shd w:val="clear" w:color="auto" w:fill="000080"/>
    </w:pPr>
    <w:rPr>
      <w:rFonts w:ascii="Tahoma" w:hAnsi="Tahoma" w:cs="Tahoma"/>
      <w:sz w:val="20"/>
      <w:szCs w:val="20"/>
    </w:rPr>
  </w:style>
  <w:style w:type="character" w:styleId="FollowedHyperlink">
    <w:name w:val="FollowedHyperlink"/>
    <w:rsid w:val="00817C19"/>
    <w:rPr>
      <w:color w:val="800080"/>
      <w:u w:val="single"/>
    </w:rPr>
  </w:style>
  <w:style w:type="character" w:customStyle="1" w:styleId="Heading2Char">
    <w:name w:val="Heading 2 Char"/>
    <w:link w:val="Heading2"/>
    <w:uiPriority w:val="9"/>
    <w:rsid w:val="00FB7B74"/>
    <w:rPr>
      <w:b/>
      <w:bCs/>
      <w:sz w:val="36"/>
      <w:szCs w:val="36"/>
    </w:rPr>
  </w:style>
  <w:style w:type="paragraph" w:styleId="Revision">
    <w:name w:val="Revision"/>
    <w:hidden/>
    <w:uiPriority w:val="99"/>
    <w:semiHidden/>
    <w:rsid w:val="00FB7B74"/>
    <w:rPr>
      <w:rFonts w:ascii="Arial" w:hAnsi="Arial"/>
      <w:sz w:val="24"/>
      <w:szCs w:val="24"/>
    </w:rPr>
  </w:style>
  <w:style w:type="character" w:customStyle="1" w:styleId="UnresolvedMention1">
    <w:name w:val="Unresolved Mention1"/>
    <w:basedOn w:val="DefaultParagraphFont"/>
    <w:uiPriority w:val="99"/>
    <w:semiHidden/>
    <w:unhideWhenUsed/>
    <w:rsid w:val="00C73730"/>
    <w:rPr>
      <w:color w:val="808080"/>
      <w:shd w:val="clear" w:color="auto" w:fill="E6E6E6"/>
    </w:rPr>
  </w:style>
  <w:style w:type="paragraph" w:styleId="Caption">
    <w:name w:val="caption"/>
    <w:basedOn w:val="Normal"/>
    <w:next w:val="Normal"/>
    <w:unhideWhenUsed/>
    <w:qFormat/>
    <w:rsid w:val="00E95416"/>
    <w:pPr>
      <w:spacing w:after="200"/>
    </w:pPr>
    <w:rPr>
      <w:i/>
      <w:iCs/>
      <w:color w:val="1F497D" w:themeColor="text2"/>
      <w:sz w:val="18"/>
      <w:szCs w:val="18"/>
    </w:rPr>
  </w:style>
  <w:style w:type="character" w:styleId="PlaceholderText">
    <w:name w:val="Placeholder Text"/>
    <w:basedOn w:val="DefaultParagraphFont"/>
    <w:uiPriority w:val="99"/>
    <w:semiHidden/>
    <w:rsid w:val="004255D2"/>
    <w:rPr>
      <w:color w:val="808080"/>
    </w:rPr>
  </w:style>
  <w:style w:type="character" w:customStyle="1" w:styleId="FootnoteTextChar">
    <w:name w:val="Footnote Text Char"/>
    <w:basedOn w:val="DefaultParagraphFont"/>
    <w:link w:val="FootnoteText"/>
    <w:semiHidden/>
    <w:rsid w:val="004E1D5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2">
    <w:name w:val="heading 2"/>
    <w:basedOn w:val="Normal"/>
    <w:link w:val="Heading2Char"/>
    <w:uiPriority w:val="9"/>
    <w:qFormat/>
    <w:rsid w:val="00FB7B74"/>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680C"/>
    <w:rPr>
      <w:color w:val="0000FF"/>
      <w:u w:val="single"/>
    </w:rPr>
  </w:style>
  <w:style w:type="table" w:styleId="TableGrid">
    <w:name w:val="Table Grid"/>
    <w:basedOn w:val="TableNormal"/>
    <w:rsid w:val="0064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B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35FD9"/>
    <w:rPr>
      <w:rFonts w:ascii="Tahoma" w:hAnsi="Tahoma" w:cs="Tahoma"/>
      <w:sz w:val="16"/>
      <w:szCs w:val="16"/>
    </w:rPr>
  </w:style>
  <w:style w:type="character" w:styleId="CommentReference">
    <w:name w:val="annotation reference"/>
    <w:rsid w:val="00FB6D66"/>
    <w:rPr>
      <w:sz w:val="16"/>
      <w:szCs w:val="16"/>
    </w:rPr>
  </w:style>
  <w:style w:type="paragraph" w:styleId="CommentText">
    <w:name w:val="annotation text"/>
    <w:basedOn w:val="Normal"/>
    <w:semiHidden/>
    <w:rsid w:val="00FB6D66"/>
    <w:rPr>
      <w:sz w:val="20"/>
      <w:szCs w:val="20"/>
    </w:rPr>
  </w:style>
  <w:style w:type="paragraph" w:styleId="CommentSubject">
    <w:name w:val="annotation subject"/>
    <w:basedOn w:val="CommentText"/>
    <w:next w:val="CommentText"/>
    <w:semiHidden/>
    <w:rsid w:val="00FB6D66"/>
    <w:rPr>
      <w:b/>
      <w:bCs/>
    </w:rPr>
  </w:style>
  <w:style w:type="paragraph" w:styleId="Footer">
    <w:name w:val="footer"/>
    <w:basedOn w:val="Normal"/>
    <w:rsid w:val="00FB6D66"/>
    <w:pPr>
      <w:tabs>
        <w:tab w:val="center" w:pos="4320"/>
        <w:tab w:val="right" w:pos="8640"/>
      </w:tabs>
    </w:pPr>
  </w:style>
  <w:style w:type="character" w:styleId="PageNumber">
    <w:name w:val="page number"/>
    <w:basedOn w:val="DefaultParagraphFont"/>
    <w:rsid w:val="00FB6D66"/>
  </w:style>
  <w:style w:type="paragraph" w:styleId="FootnoteText">
    <w:name w:val="footnote text"/>
    <w:basedOn w:val="Normal"/>
    <w:link w:val="FootnoteTextChar"/>
    <w:semiHidden/>
    <w:rsid w:val="008A21D5"/>
    <w:rPr>
      <w:sz w:val="20"/>
      <w:szCs w:val="20"/>
    </w:rPr>
  </w:style>
  <w:style w:type="character" w:styleId="FootnoteReference">
    <w:name w:val="footnote reference"/>
    <w:uiPriority w:val="99"/>
    <w:rsid w:val="008A21D5"/>
    <w:rPr>
      <w:vertAlign w:val="superscript"/>
    </w:rPr>
  </w:style>
  <w:style w:type="paragraph" w:styleId="DocumentMap">
    <w:name w:val="Document Map"/>
    <w:basedOn w:val="Normal"/>
    <w:semiHidden/>
    <w:rsid w:val="00923862"/>
    <w:pPr>
      <w:shd w:val="clear" w:color="auto" w:fill="000080"/>
    </w:pPr>
    <w:rPr>
      <w:rFonts w:ascii="Tahoma" w:hAnsi="Tahoma" w:cs="Tahoma"/>
      <w:sz w:val="20"/>
      <w:szCs w:val="20"/>
    </w:rPr>
  </w:style>
  <w:style w:type="character" w:styleId="FollowedHyperlink">
    <w:name w:val="FollowedHyperlink"/>
    <w:rsid w:val="00817C19"/>
    <w:rPr>
      <w:color w:val="800080"/>
      <w:u w:val="single"/>
    </w:rPr>
  </w:style>
  <w:style w:type="character" w:customStyle="1" w:styleId="Heading2Char">
    <w:name w:val="Heading 2 Char"/>
    <w:link w:val="Heading2"/>
    <w:uiPriority w:val="9"/>
    <w:rsid w:val="00FB7B74"/>
    <w:rPr>
      <w:b/>
      <w:bCs/>
      <w:sz w:val="36"/>
      <w:szCs w:val="36"/>
    </w:rPr>
  </w:style>
  <w:style w:type="paragraph" w:styleId="Revision">
    <w:name w:val="Revision"/>
    <w:hidden/>
    <w:uiPriority w:val="99"/>
    <w:semiHidden/>
    <w:rsid w:val="00FB7B74"/>
    <w:rPr>
      <w:rFonts w:ascii="Arial" w:hAnsi="Arial"/>
      <w:sz w:val="24"/>
      <w:szCs w:val="24"/>
    </w:rPr>
  </w:style>
  <w:style w:type="character" w:customStyle="1" w:styleId="UnresolvedMention1">
    <w:name w:val="Unresolved Mention1"/>
    <w:basedOn w:val="DefaultParagraphFont"/>
    <w:uiPriority w:val="99"/>
    <w:semiHidden/>
    <w:unhideWhenUsed/>
    <w:rsid w:val="00C73730"/>
    <w:rPr>
      <w:color w:val="808080"/>
      <w:shd w:val="clear" w:color="auto" w:fill="E6E6E6"/>
    </w:rPr>
  </w:style>
  <w:style w:type="paragraph" w:styleId="Caption">
    <w:name w:val="caption"/>
    <w:basedOn w:val="Normal"/>
    <w:next w:val="Normal"/>
    <w:unhideWhenUsed/>
    <w:qFormat/>
    <w:rsid w:val="00E95416"/>
    <w:pPr>
      <w:spacing w:after="200"/>
    </w:pPr>
    <w:rPr>
      <w:i/>
      <w:iCs/>
      <w:color w:val="1F497D" w:themeColor="text2"/>
      <w:sz w:val="18"/>
      <w:szCs w:val="18"/>
    </w:rPr>
  </w:style>
  <w:style w:type="character" w:styleId="PlaceholderText">
    <w:name w:val="Placeholder Text"/>
    <w:basedOn w:val="DefaultParagraphFont"/>
    <w:uiPriority w:val="99"/>
    <w:semiHidden/>
    <w:rsid w:val="004255D2"/>
    <w:rPr>
      <w:color w:val="808080"/>
    </w:rPr>
  </w:style>
  <w:style w:type="character" w:customStyle="1" w:styleId="FootnoteTextChar">
    <w:name w:val="Footnote Text Char"/>
    <w:basedOn w:val="DefaultParagraphFont"/>
    <w:link w:val="FootnoteText"/>
    <w:semiHidden/>
    <w:rsid w:val="004E1D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772">
      <w:bodyDiv w:val="1"/>
      <w:marLeft w:val="0"/>
      <w:marRight w:val="0"/>
      <w:marTop w:val="0"/>
      <w:marBottom w:val="0"/>
      <w:divBdr>
        <w:top w:val="none" w:sz="0" w:space="0" w:color="auto"/>
        <w:left w:val="none" w:sz="0" w:space="0" w:color="auto"/>
        <w:bottom w:val="none" w:sz="0" w:space="0" w:color="auto"/>
        <w:right w:val="none" w:sz="0" w:space="0" w:color="auto"/>
      </w:divBdr>
    </w:div>
    <w:div w:id="131563234">
      <w:bodyDiv w:val="1"/>
      <w:marLeft w:val="0"/>
      <w:marRight w:val="0"/>
      <w:marTop w:val="0"/>
      <w:marBottom w:val="0"/>
      <w:divBdr>
        <w:top w:val="none" w:sz="0" w:space="0" w:color="auto"/>
        <w:left w:val="none" w:sz="0" w:space="0" w:color="auto"/>
        <w:bottom w:val="none" w:sz="0" w:space="0" w:color="auto"/>
        <w:right w:val="none" w:sz="0" w:space="0" w:color="auto"/>
      </w:divBdr>
    </w:div>
    <w:div w:id="158271880">
      <w:bodyDiv w:val="1"/>
      <w:marLeft w:val="0"/>
      <w:marRight w:val="0"/>
      <w:marTop w:val="0"/>
      <w:marBottom w:val="0"/>
      <w:divBdr>
        <w:top w:val="none" w:sz="0" w:space="0" w:color="auto"/>
        <w:left w:val="none" w:sz="0" w:space="0" w:color="auto"/>
        <w:bottom w:val="none" w:sz="0" w:space="0" w:color="auto"/>
        <w:right w:val="none" w:sz="0" w:space="0" w:color="auto"/>
      </w:divBdr>
    </w:div>
    <w:div w:id="176429165">
      <w:bodyDiv w:val="1"/>
      <w:marLeft w:val="0"/>
      <w:marRight w:val="0"/>
      <w:marTop w:val="0"/>
      <w:marBottom w:val="0"/>
      <w:divBdr>
        <w:top w:val="none" w:sz="0" w:space="0" w:color="auto"/>
        <w:left w:val="none" w:sz="0" w:space="0" w:color="auto"/>
        <w:bottom w:val="none" w:sz="0" w:space="0" w:color="auto"/>
        <w:right w:val="none" w:sz="0" w:space="0" w:color="auto"/>
      </w:divBdr>
    </w:div>
    <w:div w:id="538669101">
      <w:bodyDiv w:val="1"/>
      <w:marLeft w:val="0"/>
      <w:marRight w:val="0"/>
      <w:marTop w:val="0"/>
      <w:marBottom w:val="0"/>
      <w:divBdr>
        <w:top w:val="none" w:sz="0" w:space="0" w:color="auto"/>
        <w:left w:val="none" w:sz="0" w:space="0" w:color="auto"/>
        <w:bottom w:val="none" w:sz="0" w:space="0" w:color="auto"/>
        <w:right w:val="none" w:sz="0" w:space="0" w:color="auto"/>
      </w:divBdr>
    </w:div>
    <w:div w:id="570044114">
      <w:bodyDiv w:val="1"/>
      <w:marLeft w:val="0"/>
      <w:marRight w:val="0"/>
      <w:marTop w:val="0"/>
      <w:marBottom w:val="0"/>
      <w:divBdr>
        <w:top w:val="none" w:sz="0" w:space="0" w:color="auto"/>
        <w:left w:val="none" w:sz="0" w:space="0" w:color="auto"/>
        <w:bottom w:val="none" w:sz="0" w:space="0" w:color="auto"/>
        <w:right w:val="none" w:sz="0" w:space="0" w:color="auto"/>
      </w:divBdr>
    </w:div>
    <w:div w:id="581961007">
      <w:bodyDiv w:val="1"/>
      <w:marLeft w:val="0"/>
      <w:marRight w:val="0"/>
      <w:marTop w:val="0"/>
      <w:marBottom w:val="0"/>
      <w:divBdr>
        <w:top w:val="none" w:sz="0" w:space="0" w:color="auto"/>
        <w:left w:val="none" w:sz="0" w:space="0" w:color="auto"/>
        <w:bottom w:val="none" w:sz="0" w:space="0" w:color="auto"/>
        <w:right w:val="none" w:sz="0" w:space="0" w:color="auto"/>
      </w:divBdr>
    </w:div>
    <w:div w:id="741878840">
      <w:bodyDiv w:val="1"/>
      <w:marLeft w:val="0"/>
      <w:marRight w:val="0"/>
      <w:marTop w:val="0"/>
      <w:marBottom w:val="0"/>
      <w:divBdr>
        <w:top w:val="none" w:sz="0" w:space="0" w:color="auto"/>
        <w:left w:val="none" w:sz="0" w:space="0" w:color="auto"/>
        <w:bottom w:val="none" w:sz="0" w:space="0" w:color="auto"/>
        <w:right w:val="none" w:sz="0" w:space="0" w:color="auto"/>
      </w:divBdr>
    </w:div>
    <w:div w:id="903176174">
      <w:bodyDiv w:val="1"/>
      <w:marLeft w:val="0"/>
      <w:marRight w:val="0"/>
      <w:marTop w:val="0"/>
      <w:marBottom w:val="0"/>
      <w:divBdr>
        <w:top w:val="none" w:sz="0" w:space="0" w:color="auto"/>
        <w:left w:val="none" w:sz="0" w:space="0" w:color="auto"/>
        <w:bottom w:val="none" w:sz="0" w:space="0" w:color="auto"/>
        <w:right w:val="none" w:sz="0" w:space="0" w:color="auto"/>
      </w:divBdr>
    </w:div>
    <w:div w:id="1046101365">
      <w:bodyDiv w:val="1"/>
      <w:marLeft w:val="0"/>
      <w:marRight w:val="0"/>
      <w:marTop w:val="0"/>
      <w:marBottom w:val="0"/>
      <w:divBdr>
        <w:top w:val="none" w:sz="0" w:space="0" w:color="auto"/>
        <w:left w:val="none" w:sz="0" w:space="0" w:color="auto"/>
        <w:bottom w:val="none" w:sz="0" w:space="0" w:color="auto"/>
        <w:right w:val="none" w:sz="0" w:space="0" w:color="auto"/>
      </w:divBdr>
    </w:div>
    <w:div w:id="1176531063">
      <w:bodyDiv w:val="1"/>
      <w:marLeft w:val="0"/>
      <w:marRight w:val="0"/>
      <w:marTop w:val="0"/>
      <w:marBottom w:val="0"/>
      <w:divBdr>
        <w:top w:val="none" w:sz="0" w:space="0" w:color="auto"/>
        <w:left w:val="none" w:sz="0" w:space="0" w:color="auto"/>
        <w:bottom w:val="none" w:sz="0" w:space="0" w:color="auto"/>
        <w:right w:val="none" w:sz="0" w:space="0" w:color="auto"/>
      </w:divBdr>
    </w:div>
    <w:div w:id="1227109550">
      <w:bodyDiv w:val="1"/>
      <w:marLeft w:val="0"/>
      <w:marRight w:val="0"/>
      <w:marTop w:val="0"/>
      <w:marBottom w:val="0"/>
      <w:divBdr>
        <w:top w:val="none" w:sz="0" w:space="0" w:color="auto"/>
        <w:left w:val="none" w:sz="0" w:space="0" w:color="auto"/>
        <w:bottom w:val="none" w:sz="0" w:space="0" w:color="auto"/>
        <w:right w:val="none" w:sz="0" w:space="0" w:color="auto"/>
      </w:divBdr>
    </w:div>
    <w:div w:id="1327897989">
      <w:bodyDiv w:val="1"/>
      <w:marLeft w:val="0"/>
      <w:marRight w:val="0"/>
      <w:marTop w:val="0"/>
      <w:marBottom w:val="0"/>
      <w:divBdr>
        <w:top w:val="none" w:sz="0" w:space="0" w:color="auto"/>
        <w:left w:val="none" w:sz="0" w:space="0" w:color="auto"/>
        <w:bottom w:val="none" w:sz="0" w:space="0" w:color="auto"/>
        <w:right w:val="none" w:sz="0" w:space="0" w:color="auto"/>
      </w:divBdr>
    </w:div>
    <w:div w:id="1442147518">
      <w:bodyDiv w:val="1"/>
      <w:marLeft w:val="0"/>
      <w:marRight w:val="0"/>
      <w:marTop w:val="0"/>
      <w:marBottom w:val="0"/>
      <w:divBdr>
        <w:top w:val="none" w:sz="0" w:space="0" w:color="auto"/>
        <w:left w:val="none" w:sz="0" w:space="0" w:color="auto"/>
        <w:bottom w:val="none" w:sz="0" w:space="0" w:color="auto"/>
        <w:right w:val="none" w:sz="0" w:space="0" w:color="auto"/>
      </w:divBdr>
    </w:div>
    <w:div w:id="1660235546">
      <w:bodyDiv w:val="1"/>
      <w:marLeft w:val="0"/>
      <w:marRight w:val="0"/>
      <w:marTop w:val="0"/>
      <w:marBottom w:val="0"/>
      <w:divBdr>
        <w:top w:val="none" w:sz="0" w:space="0" w:color="auto"/>
        <w:left w:val="none" w:sz="0" w:space="0" w:color="auto"/>
        <w:bottom w:val="none" w:sz="0" w:space="0" w:color="auto"/>
        <w:right w:val="none" w:sz="0" w:space="0" w:color="auto"/>
      </w:divBdr>
    </w:div>
    <w:div w:id="1799835093">
      <w:bodyDiv w:val="1"/>
      <w:marLeft w:val="0"/>
      <w:marRight w:val="0"/>
      <w:marTop w:val="0"/>
      <w:marBottom w:val="0"/>
      <w:divBdr>
        <w:top w:val="none" w:sz="0" w:space="0" w:color="auto"/>
        <w:left w:val="none" w:sz="0" w:space="0" w:color="auto"/>
        <w:bottom w:val="none" w:sz="0" w:space="0" w:color="auto"/>
        <w:right w:val="none" w:sz="0" w:space="0" w:color="auto"/>
      </w:divBdr>
    </w:div>
    <w:div w:id="1965840701">
      <w:bodyDiv w:val="1"/>
      <w:marLeft w:val="0"/>
      <w:marRight w:val="0"/>
      <w:marTop w:val="0"/>
      <w:marBottom w:val="0"/>
      <w:divBdr>
        <w:top w:val="none" w:sz="0" w:space="0" w:color="auto"/>
        <w:left w:val="none" w:sz="0" w:space="0" w:color="auto"/>
        <w:bottom w:val="none" w:sz="0" w:space="0" w:color="auto"/>
        <w:right w:val="none" w:sz="0" w:space="0" w:color="auto"/>
      </w:divBdr>
    </w:div>
    <w:div w:id="1998725109">
      <w:bodyDiv w:val="1"/>
      <w:marLeft w:val="0"/>
      <w:marRight w:val="0"/>
      <w:marTop w:val="0"/>
      <w:marBottom w:val="0"/>
      <w:divBdr>
        <w:top w:val="none" w:sz="0" w:space="0" w:color="auto"/>
        <w:left w:val="none" w:sz="0" w:space="0" w:color="auto"/>
        <w:bottom w:val="none" w:sz="0" w:space="0" w:color="auto"/>
        <w:right w:val="none" w:sz="0" w:space="0" w:color="auto"/>
      </w:divBdr>
    </w:div>
    <w:div w:id="2010332637">
      <w:bodyDiv w:val="1"/>
      <w:marLeft w:val="0"/>
      <w:marRight w:val="0"/>
      <w:marTop w:val="0"/>
      <w:marBottom w:val="0"/>
      <w:divBdr>
        <w:top w:val="none" w:sz="0" w:space="0" w:color="auto"/>
        <w:left w:val="none" w:sz="0" w:space="0" w:color="auto"/>
        <w:bottom w:val="none" w:sz="0" w:space="0" w:color="auto"/>
        <w:right w:val="none" w:sz="0" w:space="0" w:color="auto"/>
      </w:divBdr>
    </w:div>
    <w:div w:id="20913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sk.fmcsa.dot.gov/app/as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485200.htm" TargetMode="External"/><Relationship Id="rId2" Type="http://schemas.openxmlformats.org/officeDocument/2006/relationships/hyperlink" Target="https://www.bls.gov/news.release/ecec.t10.htm" TargetMode="External"/><Relationship Id="rId1" Type="http://schemas.openxmlformats.org/officeDocument/2006/relationships/hyperlink" Target="http://www.bls.gov/oes/current/naics4_484100.htm" TargetMode="External"/><Relationship Id="rId5" Type="http://schemas.openxmlformats.org/officeDocument/2006/relationships/hyperlink" Target="http://ntl.bts.gov/lib/24000/24200/24223/24223.pdf" TargetMode="External"/><Relationship Id="rId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8F4A9-F566-427B-828E-BE544D56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FMCSA</Company>
  <LinksUpToDate>false</LinksUpToDate>
  <CharactersWithSpaces>20598</CharactersWithSpaces>
  <SharedDoc>false</SharedDoc>
  <HLinks>
    <vt:vector size="12" baseType="variant">
      <vt:variant>
        <vt:i4>3342442</vt:i4>
      </vt:variant>
      <vt:variant>
        <vt:i4>3</vt:i4>
      </vt:variant>
      <vt:variant>
        <vt:i4>0</vt:i4>
      </vt:variant>
      <vt:variant>
        <vt:i4>5</vt:i4>
      </vt:variant>
      <vt:variant>
        <vt:lpwstr>http://ntl.bts.gov/lib/24000/24200/24223/24223.pdf</vt:lpwstr>
      </vt:variant>
      <vt:variant>
        <vt:lpwstr/>
      </vt:variant>
      <vt:variant>
        <vt:i4>2162693</vt:i4>
      </vt:variant>
      <vt:variant>
        <vt:i4>0</vt:i4>
      </vt:variant>
      <vt:variant>
        <vt:i4>0</vt:i4>
      </vt:variant>
      <vt:variant>
        <vt:i4>5</vt:i4>
      </vt:variant>
      <vt:variant>
        <vt:lpwstr>http://www.bls.gov/oes/current/naics3_484000.htm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toni.proctor</dc:creator>
  <cp:lastModifiedBy>SYSTEM</cp:lastModifiedBy>
  <cp:revision>2</cp:revision>
  <cp:lastPrinted>2018-12-06T20:13:00Z</cp:lastPrinted>
  <dcterms:created xsi:type="dcterms:W3CDTF">2019-02-22T22:25:00Z</dcterms:created>
  <dcterms:modified xsi:type="dcterms:W3CDTF">2019-02-22T22:25:00Z</dcterms:modified>
</cp:coreProperties>
</file>