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43" w:rsidRPr="00563543" w:rsidRDefault="00563543" w:rsidP="0056354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63543">
        <w:rPr>
          <w:b/>
          <w:sz w:val="28"/>
          <w:szCs w:val="28"/>
        </w:rPr>
        <w:t>IC LIST For OMB Docket No. 0572-0079</w:t>
      </w:r>
    </w:p>
    <w:p w:rsidR="00563543" w:rsidRDefault="00563543" w:rsidP="00563543">
      <w:pPr>
        <w:jc w:val="center"/>
        <w:rPr>
          <w:b/>
          <w:sz w:val="28"/>
          <w:szCs w:val="28"/>
        </w:rPr>
      </w:pPr>
      <w:r w:rsidRPr="00563543">
        <w:rPr>
          <w:b/>
          <w:sz w:val="28"/>
          <w:szCs w:val="28"/>
        </w:rPr>
        <w:t>Preloan Procedures and Requirements for Telecommunications Programs</w:t>
      </w:r>
    </w:p>
    <w:p w:rsidR="00563543" w:rsidRDefault="00563543" w:rsidP="005635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Acquisitions and Mergers</w:t>
      </w:r>
    </w:p>
    <w:p w:rsidR="00563543" w:rsidRDefault="00563543" w:rsidP="00563543">
      <w:pPr>
        <w:jc w:val="center"/>
      </w:pPr>
    </w:p>
    <w:tbl>
      <w:tblPr>
        <w:tblW w:w="6366" w:type="dxa"/>
        <w:tblLook w:val="04A0" w:firstRow="1" w:lastRow="0" w:firstColumn="1" w:lastColumn="0" w:noHBand="0" w:noVBand="1"/>
      </w:tblPr>
      <w:tblGrid>
        <w:gridCol w:w="5360"/>
        <w:gridCol w:w="1006"/>
      </w:tblGrid>
      <w:tr w:rsidR="00563543" w:rsidTr="00563543">
        <w:trPr>
          <w:trHeight w:val="403"/>
        </w:trPr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63543" w:rsidRDefault="00563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Acquisitions and Mergers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63543" w:rsidRDefault="00563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RDApply</w:t>
            </w:r>
          </w:p>
        </w:tc>
      </w:tr>
      <w:tr w:rsidR="00563543" w:rsidTr="00563543">
        <w:trPr>
          <w:trHeight w:val="1100"/>
        </w:trPr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63543" w:rsidRDefault="00563543">
            <w:pPr>
              <w:spacing w:after="0" w:line="240" w:lineRule="auto"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>
              <w:rPr>
                <w:rFonts w:ascii="TMSRMN" w:eastAsia="Times New Roman" w:hAnsi="TMSRMN" w:cs="Arial"/>
                <w:i/>
                <w:iCs/>
                <w:color w:val="000000"/>
                <w:sz w:val="20"/>
                <w:szCs w:val="20"/>
              </w:rPr>
              <w:t xml:space="preserve">NOTE:  </w:t>
            </w:r>
            <w:r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 xml:space="preserve">Applicants must complete the eight (8) requirements listed below. Per response time of 275.5 hours is a combined total of each requirement's individual per response time.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63543" w:rsidRDefault="00563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63543" w:rsidTr="00563543">
        <w:trPr>
          <w:trHeight w:val="300"/>
        </w:trPr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3543" w:rsidRDefault="00563543">
            <w:pPr>
              <w:spacing w:after="0" w:line="240" w:lineRule="auto"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63543" w:rsidRDefault="00563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63543" w:rsidTr="00563543">
        <w:trPr>
          <w:trHeight w:val="250"/>
        </w:trPr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63543" w:rsidRDefault="00563543">
            <w:pPr>
              <w:spacing w:after="0" w:line="240" w:lineRule="auto"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Submission of Data, Report on Telephone Acquision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63543" w:rsidRDefault="00563543">
            <w:pPr>
              <w:spacing w:after="0" w:line="240" w:lineRule="auto"/>
              <w:jc w:val="center"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 </w:t>
            </w:r>
          </w:p>
        </w:tc>
      </w:tr>
      <w:tr w:rsidR="00563543" w:rsidTr="00563543">
        <w:trPr>
          <w:trHeight w:val="2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3543" w:rsidRDefault="00563543">
            <w:pPr>
              <w:spacing w:after="0"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63543" w:rsidRDefault="00563543">
            <w:pPr>
              <w:spacing w:after="0" w:line="240" w:lineRule="auto"/>
              <w:jc w:val="center"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none</w:t>
            </w:r>
          </w:p>
        </w:tc>
      </w:tr>
      <w:tr w:rsidR="00563543" w:rsidTr="00563543">
        <w:trPr>
          <w:trHeight w:val="2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3543" w:rsidRDefault="00563543">
            <w:pPr>
              <w:spacing w:after="0"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63543" w:rsidRDefault="00563543">
            <w:pPr>
              <w:spacing w:after="0" w:line="240" w:lineRule="auto"/>
              <w:jc w:val="center"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 </w:t>
            </w:r>
          </w:p>
        </w:tc>
      </w:tr>
      <w:tr w:rsidR="00563543" w:rsidTr="00563543">
        <w:trPr>
          <w:trHeight w:val="250"/>
        </w:trPr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63543" w:rsidRDefault="00563543">
            <w:pPr>
              <w:spacing w:after="0" w:line="240" w:lineRule="auto"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63543" w:rsidRDefault="00563543">
            <w:pPr>
              <w:spacing w:after="0" w:line="240" w:lineRule="auto"/>
              <w:jc w:val="center"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 </w:t>
            </w:r>
          </w:p>
        </w:tc>
      </w:tr>
      <w:tr w:rsidR="00563543" w:rsidTr="00563543">
        <w:trPr>
          <w:trHeight w:val="260"/>
        </w:trPr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63543" w:rsidRDefault="00563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Loan Requirements &amp; Preloan Procedures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63543" w:rsidRDefault="00563543">
            <w:pPr>
              <w:spacing w:after="0" w:line="240" w:lineRule="auto"/>
              <w:jc w:val="center"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 </w:t>
            </w:r>
          </w:p>
        </w:tc>
      </w:tr>
      <w:tr w:rsidR="00563543" w:rsidTr="00563543">
        <w:trPr>
          <w:trHeight w:val="250"/>
        </w:trPr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63543" w:rsidRDefault="00563543">
            <w:pPr>
              <w:spacing w:after="0" w:line="240" w:lineRule="auto"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The completed loan application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63543" w:rsidRDefault="00563543">
            <w:pPr>
              <w:spacing w:after="0" w:line="240" w:lineRule="auto"/>
              <w:jc w:val="center"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 </w:t>
            </w:r>
          </w:p>
        </w:tc>
      </w:tr>
      <w:tr w:rsidR="00563543" w:rsidTr="00563543">
        <w:trPr>
          <w:trHeight w:val="250"/>
        </w:trPr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63543" w:rsidRDefault="00563543">
            <w:pPr>
              <w:spacing w:after="0" w:line="240" w:lineRule="auto"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Loan appplication form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63543" w:rsidRDefault="00563543">
            <w:pPr>
              <w:spacing w:after="0" w:line="240" w:lineRule="auto"/>
              <w:jc w:val="center"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none</w:t>
            </w:r>
          </w:p>
        </w:tc>
      </w:tr>
      <w:tr w:rsidR="00563543" w:rsidTr="00563543">
        <w:trPr>
          <w:trHeight w:val="500"/>
        </w:trPr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63543" w:rsidRDefault="00563543">
            <w:pPr>
              <w:spacing w:after="0" w:line="240" w:lineRule="auto"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Supplementary information and toll settlement data (includes RUS 291)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63543" w:rsidRDefault="00563543">
            <w:pPr>
              <w:spacing w:after="0" w:line="240" w:lineRule="auto"/>
              <w:jc w:val="center"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none</w:t>
            </w:r>
          </w:p>
        </w:tc>
      </w:tr>
      <w:tr w:rsidR="00563543" w:rsidTr="00563543">
        <w:trPr>
          <w:trHeight w:val="500"/>
        </w:trPr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63543" w:rsidRDefault="00563543">
            <w:pPr>
              <w:spacing w:after="0" w:line="240" w:lineRule="auto"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General Information &amp; Area Coverage Survey (ACS)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63543" w:rsidRDefault="00563543">
            <w:pPr>
              <w:spacing w:after="0" w:line="240" w:lineRule="auto"/>
              <w:jc w:val="center"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none</w:t>
            </w:r>
          </w:p>
        </w:tc>
      </w:tr>
      <w:tr w:rsidR="00563543" w:rsidTr="00563543">
        <w:trPr>
          <w:trHeight w:val="250"/>
        </w:trPr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63543" w:rsidRDefault="00563543">
            <w:pPr>
              <w:spacing w:after="0" w:line="240" w:lineRule="auto"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Loan Design Summary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63543" w:rsidRDefault="00563543">
            <w:pPr>
              <w:spacing w:after="0" w:line="240" w:lineRule="auto"/>
              <w:jc w:val="center"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none</w:t>
            </w:r>
          </w:p>
        </w:tc>
      </w:tr>
      <w:tr w:rsidR="00563543" w:rsidTr="00563543">
        <w:trPr>
          <w:trHeight w:val="250"/>
        </w:trPr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63543" w:rsidRDefault="00563543">
            <w:pPr>
              <w:spacing w:after="0" w:line="240" w:lineRule="auto"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Construction Cost Estimates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63543" w:rsidRDefault="00563543">
            <w:pPr>
              <w:spacing w:after="0" w:line="240" w:lineRule="auto"/>
              <w:jc w:val="center"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none</w:t>
            </w:r>
          </w:p>
        </w:tc>
      </w:tr>
      <w:tr w:rsidR="00563543" w:rsidTr="00563543">
        <w:trPr>
          <w:trHeight w:val="250"/>
        </w:trPr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63543" w:rsidRDefault="00563543">
            <w:pPr>
              <w:spacing w:after="0" w:line="240" w:lineRule="auto"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Narrative portion of Loan Design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63543" w:rsidRDefault="00563543">
            <w:pPr>
              <w:spacing w:after="0" w:line="240" w:lineRule="auto"/>
              <w:jc w:val="center"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none</w:t>
            </w:r>
          </w:p>
        </w:tc>
      </w:tr>
      <w:tr w:rsidR="00563543" w:rsidTr="00563543">
        <w:trPr>
          <w:trHeight w:val="250"/>
        </w:trPr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63543" w:rsidRDefault="00563543">
            <w:pPr>
              <w:spacing w:after="0" w:line="240" w:lineRule="auto"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63543" w:rsidRDefault="00563543">
            <w:pPr>
              <w:spacing w:after="0" w:line="240" w:lineRule="auto"/>
              <w:jc w:val="center"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 </w:t>
            </w:r>
          </w:p>
        </w:tc>
      </w:tr>
      <w:tr w:rsidR="00563543" w:rsidTr="00563543">
        <w:trPr>
          <w:trHeight w:val="260"/>
        </w:trPr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63543" w:rsidRDefault="00563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Loan Processing Procedures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63543" w:rsidRDefault="00563543">
            <w:pPr>
              <w:spacing w:after="0" w:line="240" w:lineRule="auto"/>
              <w:jc w:val="center"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 </w:t>
            </w:r>
          </w:p>
        </w:tc>
      </w:tr>
      <w:tr w:rsidR="00563543" w:rsidTr="00563543">
        <w:trPr>
          <w:trHeight w:val="250"/>
        </w:trPr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63543" w:rsidRDefault="00563543">
            <w:pPr>
              <w:spacing w:after="0" w:line="240" w:lineRule="auto"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Prerequisites to Release and Advance of Funds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63543" w:rsidRDefault="00563543">
            <w:pPr>
              <w:spacing w:after="0" w:line="240" w:lineRule="auto"/>
              <w:jc w:val="center"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none</w:t>
            </w:r>
          </w:p>
        </w:tc>
      </w:tr>
      <w:tr w:rsidR="00563543" w:rsidTr="00563543">
        <w:trPr>
          <w:trHeight w:val="260"/>
        </w:trPr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63543" w:rsidRDefault="00563543">
            <w:pPr>
              <w:spacing w:after="0" w:line="240" w:lineRule="auto"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63543" w:rsidRDefault="00563543">
            <w:pPr>
              <w:spacing w:after="0" w:line="240" w:lineRule="auto"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563543" w:rsidRDefault="00563543" w:rsidP="00563543"/>
    <w:p w:rsidR="00563543" w:rsidRDefault="00563543" w:rsidP="00563543"/>
    <w:p w:rsidR="00563543" w:rsidRDefault="00563543"/>
    <w:p w:rsidR="00563543" w:rsidRDefault="00563543"/>
    <w:p w:rsidR="00563543" w:rsidRDefault="00563543"/>
    <w:sectPr w:rsidR="00563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RM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43"/>
    <w:rsid w:val="00563543"/>
    <w:rsid w:val="00CD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Daskal, MaryPat - RD, Washington, DC</dc:creator>
  <cp:keywords/>
  <dc:description/>
  <cp:lastModifiedBy>SYSTEM</cp:lastModifiedBy>
  <cp:revision>2</cp:revision>
  <dcterms:created xsi:type="dcterms:W3CDTF">2019-05-17T15:11:00Z</dcterms:created>
  <dcterms:modified xsi:type="dcterms:W3CDTF">2019-05-17T15:11:00Z</dcterms:modified>
</cp:coreProperties>
</file>