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81681" w14:textId="77777777" w:rsidR="004759E8" w:rsidRDefault="004759E8" w:rsidP="00803D1E">
      <w:pPr>
        <w:pStyle w:val="Header"/>
      </w:pPr>
      <w:bookmarkStart w:id="0" w:name="_GoBack"/>
      <w:bookmarkEnd w:id="0"/>
      <w:r w:rsidRPr="006967DB">
        <w:rPr>
          <w:b/>
          <w:sz w:val="22"/>
        </w:rPr>
        <w:t>Quantitative Study of Tobacco Facts Designed to Inform Youth Tobacco Prevention Messaging</w:t>
      </w:r>
    </w:p>
    <w:p w14:paraId="79740DD4" w14:textId="77777777" w:rsidR="00004CB9" w:rsidRDefault="00004CB9" w:rsidP="00803D1E">
      <w:pPr>
        <w:jc w:val="center"/>
        <w:outlineLvl w:val="0"/>
        <w:rPr>
          <w:b/>
          <w:sz w:val="24"/>
          <w:szCs w:val="24"/>
        </w:rPr>
      </w:pPr>
      <w:r>
        <w:rPr>
          <w:b/>
          <w:sz w:val="24"/>
          <w:szCs w:val="24"/>
        </w:rPr>
        <w:t>09</w:t>
      </w:r>
      <w:r w:rsidR="0083493E">
        <w:rPr>
          <w:b/>
          <w:sz w:val="24"/>
          <w:szCs w:val="24"/>
        </w:rPr>
        <w:t>10</w:t>
      </w:r>
      <w:r>
        <w:rPr>
          <w:b/>
          <w:sz w:val="24"/>
          <w:szCs w:val="24"/>
        </w:rPr>
        <w:t>-</w:t>
      </w:r>
      <w:r w:rsidR="00AF4C7F">
        <w:rPr>
          <w:b/>
          <w:sz w:val="24"/>
          <w:szCs w:val="24"/>
        </w:rPr>
        <w:t>08</w:t>
      </w:r>
      <w:r w:rsidR="004775CD">
        <w:rPr>
          <w:b/>
          <w:sz w:val="24"/>
          <w:szCs w:val="24"/>
        </w:rPr>
        <w:t>10</w:t>
      </w:r>
    </w:p>
    <w:p w14:paraId="74437C58" w14:textId="77777777" w:rsidR="00B76AF7" w:rsidRDefault="00B76AF7" w:rsidP="00803D1E">
      <w:pPr>
        <w:jc w:val="center"/>
        <w:rPr>
          <w:b/>
          <w:sz w:val="24"/>
          <w:szCs w:val="24"/>
        </w:rPr>
      </w:pPr>
      <w:r>
        <w:rPr>
          <w:b/>
          <w:sz w:val="24"/>
          <w:szCs w:val="24"/>
        </w:rPr>
        <w:t>Supporting Statement: Part B</w:t>
      </w:r>
    </w:p>
    <w:p w14:paraId="5C061F66" w14:textId="77777777" w:rsidR="00803D1E" w:rsidRDefault="00803D1E" w:rsidP="00803D1E">
      <w:pPr>
        <w:jc w:val="center"/>
        <w:rPr>
          <w:b/>
          <w:sz w:val="24"/>
          <w:szCs w:val="24"/>
        </w:rPr>
      </w:pPr>
    </w:p>
    <w:p w14:paraId="71EF6764" w14:textId="77777777" w:rsidR="00AD116C" w:rsidRDefault="00B76AF7" w:rsidP="00803D1E">
      <w:pPr>
        <w:rPr>
          <w:caps/>
          <w:sz w:val="24"/>
          <w:szCs w:val="24"/>
        </w:rPr>
      </w:pPr>
      <w:r>
        <w:rPr>
          <w:b/>
          <w:bCs/>
          <w:caps/>
          <w:sz w:val="24"/>
          <w:szCs w:val="24"/>
        </w:rPr>
        <w:t>B.</w:t>
      </w:r>
      <w:r w:rsidR="008E416F" w:rsidRPr="00A77197">
        <w:rPr>
          <w:b/>
          <w:bCs/>
          <w:caps/>
          <w:sz w:val="24"/>
          <w:szCs w:val="24"/>
        </w:rPr>
        <w:t xml:space="preserve"> Statistical Methods</w:t>
      </w:r>
      <w:r w:rsidR="008E416F" w:rsidRPr="00A77197">
        <w:rPr>
          <w:caps/>
          <w:sz w:val="24"/>
          <w:szCs w:val="24"/>
        </w:rPr>
        <w:t xml:space="preserve"> </w:t>
      </w:r>
    </w:p>
    <w:p w14:paraId="085E5148" w14:textId="77777777" w:rsidR="00803D1E" w:rsidRPr="00A77197" w:rsidRDefault="00803D1E" w:rsidP="00803D1E">
      <w:pPr>
        <w:rPr>
          <w:b/>
          <w:bCs/>
          <w:caps/>
          <w:sz w:val="24"/>
          <w:szCs w:val="24"/>
        </w:rPr>
      </w:pPr>
    </w:p>
    <w:p w14:paraId="2560E4A4" w14:textId="77777777" w:rsidR="008E416F" w:rsidRDefault="008E416F" w:rsidP="00803D1E">
      <w:pPr>
        <w:rPr>
          <w:b/>
          <w:sz w:val="24"/>
          <w:szCs w:val="24"/>
          <w:u w:val="single"/>
        </w:rPr>
      </w:pPr>
      <w:r w:rsidRPr="00C343FC">
        <w:rPr>
          <w:b/>
          <w:sz w:val="24"/>
          <w:szCs w:val="24"/>
        </w:rPr>
        <w:t xml:space="preserve">1. </w:t>
      </w:r>
      <w:r w:rsidRPr="00A77197">
        <w:rPr>
          <w:b/>
          <w:sz w:val="24"/>
          <w:szCs w:val="24"/>
          <w:u w:val="single"/>
        </w:rPr>
        <w:t xml:space="preserve">Respondent Universe and Sampling Methods </w:t>
      </w:r>
    </w:p>
    <w:p w14:paraId="113024DF" w14:textId="77777777" w:rsidR="00803D1E" w:rsidRDefault="00803D1E" w:rsidP="00803D1E">
      <w:pPr>
        <w:rPr>
          <w:b/>
          <w:sz w:val="24"/>
          <w:szCs w:val="24"/>
          <w:u w:val="single"/>
        </w:rPr>
      </w:pPr>
    </w:p>
    <w:p w14:paraId="4907CC99" w14:textId="77777777" w:rsidR="00AE7290" w:rsidRDefault="004759E8" w:rsidP="00803D1E">
      <w:pPr>
        <w:rPr>
          <w:sz w:val="24"/>
          <w:szCs w:val="24"/>
        </w:rPr>
      </w:pPr>
      <w:r w:rsidRPr="002E054D">
        <w:rPr>
          <w:sz w:val="24"/>
          <w:szCs w:val="24"/>
        </w:rPr>
        <w:t xml:space="preserve">The one-time actual burden figures are listed in </w:t>
      </w:r>
      <w:r w:rsidR="00803D1E">
        <w:rPr>
          <w:sz w:val="24"/>
          <w:szCs w:val="24"/>
        </w:rPr>
        <w:t xml:space="preserve">the tables in the Part A Supporting Statement </w:t>
      </w:r>
    </w:p>
    <w:p w14:paraId="7F0348D0" w14:textId="38AFBD8E" w:rsidR="004759E8" w:rsidRDefault="00803D1E" w:rsidP="00803D1E">
      <w:pPr>
        <w:rPr>
          <w:sz w:val="24"/>
          <w:szCs w:val="24"/>
        </w:rPr>
      </w:pPr>
      <w:r>
        <w:rPr>
          <w:sz w:val="24"/>
          <w:szCs w:val="24"/>
        </w:rPr>
        <w:t>(p. 9–10).</w:t>
      </w:r>
    </w:p>
    <w:p w14:paraId="3C0D508B" w14:textId="77777777" w:rsidR="00872E78" w:rsidRDefault="00872E78" w:rsidP="00803D1E">
      <w:pPr>
        <w:rPr>
          <w:sz w:val="24"/>
          <w:szCs w:val="24"/>
        </w:rPr>
      </w:pPr>
    </w:p>
    <w:p w14:paraId="13B1F44A" w14:textId="77777777" w:rsidR="00AE7290" w:rsidRDefault="00B376E4" w:rsidP="00500890">
      <w:pPr>
        <w:rPr>
          <w:sz w:val="24"/>
          <w:szCs w:val="24"/>
        </w:rPr>
      </w:pPr>
      <w:r>
        <w:rPr>
          <w:sz w:val="24"/>
          <w:szCs w:val="24"/>
        </w:rPr>
        <w:t xml:space="preserve">For this study, we plan to obtain </w:t>
      </w:r>
      <w:r w:rsidR="00656EBA">
        <w:rPr>
          <w:sz w:val="24"/>
          <w:szCs w:val="24"/>
        </w:rPr>
        <w:t xml:space="preserve">approximately </w:t>
      </w:r>
      <w:r>
        <w:rPr>
          <w:sz w:val="24"/>
          <w:szCs w:val="24"/>
        </w:rPr>
        <w:t>1,</w:t>
      </w:r>
      <w:r w:rsidR="00656EBA">
        <w:rPr>
          <w:sz w:val="24"/>
          <w:szCs w:val="24"/>
        </w:rPr>
        <w:t>6</w:t>
      </w:r>
      <w:r>
        <w:rPr>
          <w:sz w:val="24"/>
          <w:szCs w:val="24"/>
        </w:rPr>
        <w:t xml:space="preserve">00 survey completes among youth ages </w:t>
      </w:r>
    </w:p>
    <w:p w14:paraId="65D7BD6F" w14:textId="4B40E585" w:rsidR="00B376E4" w:rsidRDefault="00B376E4" w:rsidP="00500890">
      <w:pPr>
        <w:rPr>
          <w:sz w:val="24"/>
          <w:szCs w:val="24"/>
        </w:rPr>
      </w:pPr>
      <w:r>
        <w:rPr>
          <w:sz w:val="24"/>
          <w:szCs w:val="24"/>
        </w:rPr>
        <w:t>13–17</w:t>
      </w:r>
      <w:r w:rsidR="00656EBA">
        <w:rPr>
          <w:sz w:val="24"/>
          <w:szCs w:val="24"/>
        </w:rPr>
        <w:t>.</w:t>
      </w:r>
      <w:r w:rsidR="00713BD6">
        <w:rPr>
          <w:sz w:val="24"/>
          <w:szCs w:val="24"/>
        </w:rPr>
        <w:t xml:space="preserve"> </w:t>
      </w:r>
      <w:r w:rsidR="00656EBA">
        <w:rPr>
          <w:sz w:val="24"/>
          <w:szCs w:val="24"/>
        </w:rPr>
        <w:t xml:space="preserve">Approximately </w:t>
      </w:r>
      <w:r>
        <w:rPr>
          <w:sz w:val="24"/>
          <w:szCs w:val="24"/>
        </w:rPr>
        <w:t xml:space="preserve">800 of the survey completes will </w:t>
      </w:r>
      <w:r w:rsidR="009C5366">
        <w:rPr>
          <w:sz w:val="24"/>
          <w:szCs w:val="24"/>
        </w:rPr>
        <w:t xml:space="preserve">be </w:t>
      </w:r>
      <w:r>
        <w:rPr>
          <w:sz w:val="24"/>
          <w:szCs w:val="24"/>
        </w:rPr>
        <w:t>obtained from multicultural youth who have experimented with or are at risk for using cigarettes</w:t>
      </w:r>
      <w:r w:rsidR="00656EBA">
        <w:rPr>
          <w:sz w:val="24"/>
          <w:szCs w:val="24"/>
        </w:rPr>
        <w:t xml:space="preserve"> or have ever used </w:t>
      </w:r>
      <w:r>
        <w:rPr>
          <w:sz w:val="24"/>
          <w:szCs w:val="24"/>
        </w:rPr>
        <w:t xml:space="preserve">cigars, or hookah. </w:t>
      </w:r>
      <w:r w:rsidR="00656EBA">
        <w:rPr>
          <w:sz w:val="24"/>
          <w:szCs w:val="24"/>
        </w:rPr>
        <w:t xml:space="preserve">Approximately </w:t>
      </w:r>
      <w:r>
        <w:rPr>
          <w:sz w:val="24"/>
          <w:szCs w:val="24"/>
        </w:rPr>
        <w:t xml:space="preserve">400 of the survey completes will be obtained from White, Non-Hispanic males living in rural areas who are experimenting with or at risk for smokeless tobacco use. </w:t>
      </w:r>
      <w:r w:rsidR="00656EBA">
        <w:rPr>
          <w:sz w:val="24"/>
          <w:szCs w:val="24"/>
        </w:rPr>
        <w:t xml:space="preserve">Approximately 400 of the survey completes will be obtained from American Indian/Alaska Native youth ages 13-17 who have experimented with or are at risk of using cigarettes or e-cigarettes. </w:t>
      </w:r>
      <w:r>
        <w:rPr>
          <w:sz w:val="24"/>
          <w:szCs w:val="24"/>
        </w:rPr>
        <w:t xml:space="preserve">The survey is a cross-sectional design using a non-probability sample. </w:t>
      </w:r>
      <w:r w:rsidR="00500890">
        <w:rPr>
          <w:sz w:val="24"/>
          <w:szCs w:val="24"/>
        </w:rPr>
        <w:t xml:space="preserve">Approximately 1,400 </w:t>
      </w:r>
      <w:r w:rsidR="00500890" w:rsidRPr="00713BD6">
        <w:rPr>
          <w:sz w:val="24"/>
          <w:szCs w:val="24"/>
        </w:rPr>
        <w:t>p</w:t>
      </w:r>
      <w:r w:rsidRPr="00713BD6">
        <w:rPr>
          <w:sz w:val="24"/>
          <w:szCs w:val="24"/>
        </w:rPr>
        <w:t>articipants</w:t>
      </w:r>
      <w:r w:rsidR="00713BD6">
        <w:rPr>
          <w:sz w:val="24"/>
          <w:szCs w:val="24"/>
        </w:rPr>
        <w:t xml:space="preserve">. </w:t>
      </w:r>
      <w:r w:rsidRPr="00713BD6">
        <w:rPr>
          <w:sz w:val="24"/>
          <w:szCs w:val="24"/>
        </w:rPr>
        <w:t>As this study is considered part of formative research for campaign development and planning, these methods are not intended to generate nationally representative samples or precise estimates of population parameters. The sample is designed primarily to provide information on the perceived effectiveness of tobacco-related facts that may be used in future tobacco prevention campaigns.</w:t>
      </w:r>
      <w:r>
        <w:rPr>
          <w:sz w:val="24"/>
          <w:szCs w:val="24"/>
        </w:rPr>
        <w:t xml:space="preserve"> </w:t>
      </w:r>
    </w:p>
    <w:p w14:paraId="208B3C78" w14:textId="77777777" w:rsidR="004759E8" w:rsidRPr="002E054D" w:rsidRDefault="004759E8" w:rsidP="00500890">
      <w:pPr>
        <w:rPr>
          <w:sz w:val="24"/>
          <w:szCs w:val="24"/>
        </w:rPr>
      </w:pPr>
      <w:bookmarkStart w:id="1" w:name="OLE_LINK1"/>
      <w:bookmarkStart w:id="2" w:name="OLE_LINK2"/>
    </w:p>
    <w:p w14:paraId="189B85B6" w14:textId="5344E067" w:rsidR="004759E8" w:rsidRDefault="004759E8" w:rsidP="00500890">
      <w:pPr>
        <w:rPr>
          <w:i/>
          <w:sz w:val="24"/>
        </w:rPr>
      </w:pPr>
      <w:r w:rsidRPr="002E054D">
        <w:rPr>
          <w:i/>
          <w:sz w:val="24"/>
        </w:rPr>
        <w:t>Sampling Methods</w:t>
      </w:r>
    </w:p>
    <w:p w14:paraId="1461A8E3" w14:textId="77777777" w:rsidR="00523049" w:rsidRPr="002E054D" w:rsidRDefault="00523049" w:rsidP="00500890">
      <w:pPr>
        <w:rPr>
          <w:i/>
          <w:sz w:val="24"/>
        </w:rPr>
      </w:pPr>
    </w:p>
    <w:p w14:paraId="216560D9" w14:textId="096E08C4" w:rsidR="005B3350" w:rsidRDefault="005B3350" w:rsidP="00500890">
      <w:pPr>
        <w:rPr>
          <w:sz w:val="24"/>
        </w:rPr>
      </w:pPr>
      <w:r>
        <w:rPr>
          <w:sz w:val="24"/>
        </w:rPr>
        <w:t xml:space="preserve">The study sample will be comprised of </w:t>
      </w:r>
      <w:r w:rsidR="00F33A9D">
        <w:rPr>
          <w:sz w:val="24"/>
        </w:rPr>
        <w:t xml:space="preserve">participants between the ages of 13 and 17 years who (1) identify as multicultural (races and ethnicities such as Hispanic/Latino, African American, Asian/Pacific Islander, or a mix of various races and ethnicities) and </w:t>
      </w:r>
      <w:r w:rsidR="00A9670E">
        <w:rPr>
          <w:sz w:val="24"/>
        </w:rPr>
        <w:t>have</w:t>
      </w:r>
      <w:r w:rsidR="00F33A9D">
        <w:rPr>
          <w:sz w:val="24"/>
        </w:rPr>
        <w:t xml:space="preserve"> experiment</w:t>
      </w:r>
      <w:r w:rsidR="00A9670E">
        <w:rPr>
          <w:sz w:val="24"/>
        </w:rPr>
        <w:t>ed</w:t>
      </w:r>
      <w:r w:rsidR="00F33A9D">
        <w:rPr>
          <w:sz w:val="24"/>
        </w:rPr>
        <w:t xml:space="preserve"> with or</w:t>
      </w:r>
      <w:r w:rsidR="00A9670E">
        <w:rPr>
          <w:sz w:val="24"/>
        </w:rPr>
        <w:t xml:space="preserve"> are</w:t>
      </w:r>
      <w:r w:rsidR="00F33A9D">
        <w:rPr>
          <w:sz w:val="24"/>
        </w:rPr>
        <w:t xml:space="preserve"> at risk for using cigarettes</w:t>
      </w:r>
      <w:r w:rsidR="00A9670E">
        <w:rPr>
          <w:sz w:val="24"/>
        </w:rPr>
        <w:t xml:space="preserve"> or have ever used </w:t>
      </w:r>
      <w:r w:rsidR="00F33A9D">
        <w:rPr>
          <w:sz w:val="24"/>
        </w:rPr>
        <w:t xml:space="preserve">cigars, or hookah; or (2) identify as White males living in rural areas and </w:t>
      </w:r>
      <w:r w:rsidR="00A9670E">
        <w:rPr>
          <w:sz w:val="24"/>
        </w:rPr>
        <w:t>have</w:t>
      </w:r>
      <w:r w:rsidR="00F33A9D">
        <w:rPr>
          <w:sz w:val="24"/>
        </w:rPr>
        <w:t xml:space="preserve"> experiment</w:t>
      </w:r>
      <w:r w:rsidR="00A9670E">
        <w:rPr>
          <w:sz w:val="24"/>
        </w:rPr>
        <w:t>ed</w:t>
      </w:r>
      <w:r w:rsidR="00F33A9D">
        <w:rPr>
          <w:sz w:val="24"/>
        </w:rPr>
        <w:t xml:space="preserve"> with or </w:t>
      </w:r>
      <w:r w:rsidR="00A9670E">
        <w:rPr>
          <w:sz w:val="24"/>
        </w:rPr>
        <w:t xml:space="preserve">are </w:t>
      </w:r>
      <w:r w:rsidR="00F33A9D">
        <w:rPr>
          <w:sz w:val="24"/>
        </w:rPr>
        <w:t>at risk for smokeless tobacco use</w:t>
      </w:r>
      <w:r w:rsidR="00A9670E">
        <w:rPr>
          <w:sz w:val="24"/>
        </w:rPr>
        <w:t>; or (3) identify as American Indian/Alaska Native and have experimented with or are at risk of using cigarettes or e-cigarettes</w:t>
      </w:r>
      <w:r w:rsidR="00F33A9D">
        <w:rPr>
          <w:sz w:val="24"/>
        </w:rPr>
        <w:t xml:space="preserve">. This study is considered part of formative research for campaign development and planning, and these methods are not intended to generate nationally representative samples or precise estimates of population parameters. The sample is designed primarily to provide information on the perceived effectiveness of tobacco-related facts. </w:t>
      </w:r>
    </w:p>
    <w:p w14:paraId="4941347B" w14:textId="77777777" w:rsidR="00F33A9D" w:rsidRDefault="00F33A9D" w:rsidP="00803D1E">
      <w:pPr>
        <w:rPr>
          <w:sz w:val="24"/>
        </w:rPr>
      </w:pPr>
    </w:p>
    <w:p w14:paraId="65872FBE" w14:textId="462A149C" w:rsidR="00F33A9D" w:rsidRDefault="00F33A9D" w:rsidP="00803D1E">
      <w:pPr>
        <w:rPr>
          <w:sz w:val="24"/>
          <w:szCs w:val="24"/>
        </w:rPr>
      </w:pPr>
      <w:r>
        <w:rPr>
          <w:sz w:val="24"/>
        </w:rPr>
        <w:t>Participants will be recruited through targeted social media advertising on Facebook and Instagram. The contractor, Fors Marsh Group (FMG), is responsible for creating the advertisements to encourage participation</w:t>
      </w:r>
      <w:r w:rsidR="00433C44">
        <w:rPr>
          <w:sz w:val="24"/>
        </w:rPr>
        <w:t xml:space="preserve"> (see</w:t>
      </w:r>
      <w:r w:rsidR="00A9670E">
        <w:rPr>
          <w:sz w:val="24"/>
        </w:rPr>
        <w:t xml:space="preserve"> </w:t>
      </w:r>
      <w:r w:rsidR="00A9670E">
        <w:rPr>
          <w:sz w:val="24"/>
          <w:szCs w:val="24"/>
        </w:rPr>
        <w:t>A</w:t>
      </w:r>
      <w:r w:rsidR="00A9670E" w:rsidRPr="00A9670E">
        <w:rPr>
          <w:sz w:val="24"/>
          <w:szCs w:val="24"/>
        </w:rPr>
        <w:t xml:space="preserve">ttachment C4 for </w:t>
      </w:r>
      <w:r w:rsidR="00A9670E" w:rsidRPr="00A9670E">
        <w:rPr>
          <w:i/>
          <w:sz w:val="24"/>
          <w:szCs w:val="24"/>
        </w:rPr>
        <w:t>Fresh Empire</w:t>
      </w:r>
      <w:r w:rsidR="00A9670E" w:rsidRPr="00A9670E">
        <w:rPr>
          <w:sz w:val="24"/>
          <w:szCs w:val="24"/>
        </w:rPr>
        <w:t xml:space="preserve">, </w:t>
      </w:r>
      <w:r w:rsidR="00A9670E">
        <w:rPr>
          <w:sz w:val="24"/>
          <w:szCs w:val="24"/>
        </w:rPr>
        <w:t xml:space="preserve">Attachment </w:t>
      </w:r>
      <w:r w:rsidR="00A9670E" w:rsidRPr="00A9670E">
        <w:rPr>
          <w:sz w:val="24"/>
          <w:szCs w:val="24"/>
        </w:rPr>
        <w:t xml:space="preserve">D4 for </w:t>
      </w:r>
      <w:r w:rsidR="00A9670E" w:rsidRPr="00A9670E">
        <w:rPr>
          <w:i/>
          <w:sz w:val="24"/>
          <w:szCs w:val="24"/>
        </w:rPr>
        <w:t>TRC Smokeless</w:t>
      </w:r>
      <w:r w:rsidR="00A9670E" w:rsidRPr="00A9670E">
        <w:rPr>
          <w:sz w:val="24"/>
          <w:szCs w:val="24"/>
        </w:rPr>
        <w:t xml:space="preserve">, and </w:t>
      </w:r>
      <w:r w:rsidR="00A9670E">
        <w:rPr>
          <w:sz w:val="24"/>
          <w:szCs w:val="24"/>
        </w:rPr>
        <w:t xml:space="preserve">Attachment </w:t>
      </w:r>
      <w:r w:rsidR="00A9670E" w:rsidRPr="00A9670E">
        <w:rPr>
          <w:sz w:val="24"/>
          <w:szCs w:val="24"/>
        </w:rPr>
        <w:t xml:space="preserve">E4 for </w:t>
      </w:r>
      <w:r w:rsidR="00A9670E" w:rsidRPr="00A9670E">
        <w:rPr>
          <w:i/>
          <w:sz w:val="24"/>
          <w:szCs w:val="24"/>
        </w:rPr>
        <w:t>AI/AN</w:t>
      </w:r>
      <w:r w:rsidR="00433C44">
        <w:rPr>
          <w:sz w:val="24"/>
        </w:rPr>
        <w:t>)</w:t>
      </w:r>
      <w:r>
        <w:rPr>
          <w:sz w:val="24"/>
        </w:rPr>
        <w:t>. After clicking on the advertisement, participants will be directed to the screener</w:t>
      </w:r>
      <w:r w:rsidR="00F311EE">
        <w:rPr>
          <w:sz w:val="24"/>
        </w:rPr>
        <w:t xml:space="preserve"> (See Attachments</w:t>
      </w:r>
      <w:r w:rsidR="00A9670E">
        <w:rPr>
          <w:sz w:val="24"/>
        </w:rPr>
        <w:t xml:space="preserve"> </w:t>
      </w:r>
      <w:r w:rsidR="00A9670E" w:rsidRPr="00A9670E">
        <w:rPr>
          <w:sz w:val="24"/>
          <w:szCs w:val="24"/>
        </w:rPr>
        <w:t xml:space="preserve">C3 for </w:t>
      </w:r>
      <w:r w:rsidR="00A9670E" w:rsidRPr="00A9670E">
        <w:rPr>
          <w:i/>
          <w:sz w:val="24"/>
          <w:szCs w:val="24"/>
        </w:rPr>
        <w:t>Fresh Empire</w:t>
      </w:r>
      <w:r w:rsidR="00A9670E" w:rsidRPr="00A9670E">
        <w:rPr>
          <w:sz w:val="24"/>
          <w:szCs w:val="24"/>
        </w:rPr>
        <w:t xml:space="preserve">, D3 for </w:t>
      </w:r>
      <w:r w:rsidR="00A9670E" w:rsidRPr="00A9670E">
        <w:rPr>
          <w:i/>
          <w:sz w:val="24"/>
          <w:szCs w:val="24"/>
        </w:rPr>
        <w:t>TRC Smokeless</w:t>
      </w:r>
      <w:r w:rsidR="00A9670E" w:rsidRPr="00A9670E">
        <w:rPr>
          <w:sz w:val="24"/>
          <w:szCs w:val="24"/>
        </w:rPr>
        <w:t xml:space="preserve">, and E3 for </w:t>
      </w:r>
      <w:r w:rsidR="00A9670E" w:rsidRPr="00A9670E">
        <w:rPr>
          <w:i/>
          <w:sz w:val="24"/>
          <w:szCs w:val="24"/>
        </w:rPr>
        <w:t>AI/AN</w:t>
      </w:r>
      <w:r w:rsidR="00F311EE">
        <w:rPr>
          <w:sz w:val="24"/>
        </w:rPr>
        <w:t>)</w:t>
      </w:r>
      <w:r>
        <w:rPr>
          <w:sz w:val="24"/>
        </w:rPr>
        <w:t>. After completing the screener, participants will be asked to include a personal email address and an email address for their parent/guardian. The parent/guardian of the potential participant will receive a notification</w:t>
      </w:r>
      <w:r w:rsidR="00A9670E">
        <w:rPr>
          <w:sz w:val="24"/>
        </w:rPr>
        <w:t>/opt-out form via email</w:t>
      </w:r>
      <w:r>
        <w:rPr>
          <w:sz w:val="24"/>
        </w:rPr>
        <w:t xml:space="preserve">. The parent/guardian will have 24 hours to notify the project team that the youth is not allowed to </w:t>
      </w:r>
      <w:r>
        <w:rPr>
          <w:sz w:val="24"/>
        </w:rPr>
        <w:lastRenderedPageBreak/>
        <w:t xml:space="preserve">participate (i.e., take the survey). </w:t>
      </w:r>
      <w:r w:rsidR="006C5F28">
        <w:rPr>
          <w:sz w:val="24"/>
        </w:rPr>
        <w:t xml:space="preserve">If the 24-hour period passes without notification, the participant will be emailed a link to </w:t>
      </w:r>
      <w:r w:rsidR="00A9670E">
        <w:rPr>
          <w:sz w:val="24"/>
        </w:rPr>
        <w:t>c</w:t>
      </w:r>
      <w:r w:rsidR="00A9670E" w:rsidRPr="00A9670E">
        <w:rPr>
          <w:sz w:val="24"/>
          <w:szCs w:val="24"/>
        </w:rPr>
        <w:t xml:space="preserve">omplete the assent form (see attachments C1 for </w:t>
      </w:r>
      <w:r w:rsidR="00A9670E" w:rsidRPr="00A9670E">
        <w:rPr>
          <w:i/>
          <w:sz w:val="24"/>
          <w:szCs w:val="24"/>
        </w:rPr>
        <w:t>Fresh Empire</w:t>
      </w:r>
      <w:r w:rsidR="00A9670E" w:rsidRPr="00A9670E">
        <w:rPr>
          <w:sz w:val="24"/>
          <w:szCs w:val="24"/>
        </w:rPr>
        <w:t xml:space="preserve">, D1 for </w:t>
      </w:r>
      <w:r w:rsidR="00A9670E" w:rsidRPr="00A9670E">
        <w:rPr>
          <w:i/>
          <w:sz w:val="24"/>
          <w:szCs w:val="24"/>
        </w:rPr>
        <w:t>TRC Smokeless</w:t>
      </w:r>
      <w:r w:rsidR="00A9670E" w:rsidRPr="00A9670E">
        <w:rPr>
          <w:sz w:val="24"/>
          <w:szCs w:val="24"/>
        </w:rPr>
        <w:t xml:space="preserve">, and E1 for </w:t>
      </w:r>
      <w:r w:rsidR="00A9670E" w:rsidRPr="00A9670E">
        <w:rPr>
          <w:i/>
          <w:sz w:val="24"/>
          <w:szCs w:val="24"/>
        </w:rPr>
        <w:t>AI/AN</w:t>
      </w:r>
      <w:r w:rsidR="00A9670E" w:rsidRPr="00A9670E">
        <w:rPr>
          <w:sz w:val="24"/>
          <w:szCs w:val="24"/>
        </w:rPr>
        <w:t xml:space="preserve">) then take the survey (see attachments A5 for </w:t>
      </w:r>
      <w:r w:rsidR="00A9670E" w:rsidRPr="00A9670E">
        <w:rPr>
          <w:i/>
          <w:sz w:val="24"/>
          <w:szCs w:val="24"/>
        </w:rPr>
        <w:t>Fresh Empire</w:t>
      </w:r>
      <w:r w:rsidR="00A9670E" w:rsidRPr="00A9670E">
        <w:rPr>
          <w:sz w:val="24"/>
          <w:szCs w:val="24"/>
        </w:rPr>
        <w:t xml:space="preserve">, B5 for </w:t>
      </w:r>
      <w:r w:rsidR="00A9670E" w:rsidRPr="00A9670E">
        <w:rPr>
          <w:i/>
          <w:sz w:val="24"/>
          <w:szCs w:val="24"/>
        </w:rPr>
        <w:t>TRC Smokeless</w:t>
      </w:r>
      <w:r w:rsidR="00A9670E" w:rsidRPr="00A9670E">
        <w:rPr>
          <w:sz w:val="24"/>
          <w:szCs w:val="24"/>
        </w:rPr>
        <w:t xml:space="preserve">, and E5 for </w:t>
      </w:r>
      <w:r w:rsidR="00A9670E" w:rsidRPr="00A9670E">
        <w:rPr>
          <w:i/>
          <w:sz w:val="24"/>
          <w:szCs w:val="24"/>
        </w:rPr>
        <w:t>AI/AN</w:t>
      </w:r>
      <w:r w:rsidR="00A9670E" w:rsidRPr="00A9670E">
        <w:rPr>
          <w:sz w:val="24"/>
          <w:szCs w:val="24"/>
        </w:rPr>
        <w:t xml:space="preserve">) where they will be shown approximately 15 tobacco-related facts (see Attachments  A6 for </w:t>
      </w:r>
      <w:r w:rsidR="00A9670E" w:rsidRPr="00A9670E">
        <w:rPr>
          <w:i/>
          <w:sz w:val="24"/>
          <w:szCs w:val="24"/>
        </w:rPr>
        <w:t>Fresh Empire</w:t>
      </w:r>
      <w:r w:rsidR="00A9670E" w:rsidRPr="00A9670E">
        <w:rPr>
          <w:sz w:val="24"/>
          <w:szCs w:val="24"/>
        </w:rPr>
        <w:t xml:space="preserve">, B6 for </w:t>
      </w:r>
      <w:r w:rsidR="00A9670E" w:rsidRPr="00A9670E">
        <w:rPr>
          <w:i/>
          <w:sz w:val="24"/>
          <w:szCs w:val="24"/>
        </w:rPr>
        <w:t>TRC Smokeless</w:t>
      </w:r>
      <w:r w:rsidR="00A9670E" w:rsidRPr="00A9670E">
        <w:rPr>
          <w:sz w:val="24"/>
          <w:szCs w:val="24"/>
        </w:rPr>
        <w:t xml:space="preserve">, and E6 for </w:t>
      </w:r>
      <w:r w:rsidR="00A9670E" w:rsidRPr="00A9670E">
        <w:rPr>
          <w:i/>
          <w:sz w:val="24"/>
          <w:szCs w:val="24"/>
        </w:rPr>
        <w:t>AI/AN</w:t>
      </w:r>
      <w:r w:rsidR="00A9670E" w:rsidRPr="00A9670E">
        <w:rPr>
          <w:sz w:val="24"/>
          <w:szCs w:val="24"/>
        </w:rPr>
        <w:t xml:space="preserve">) and provide feedback about those facts. </w:t>
      </w:r>
    </w:p>
    <w:p w14:paraId="3641198B" w14:textId="7A7DC73A" w:rsidR="00CA7776" w:rsidRDefault="00CA7776" w:rsidP="00803D1E">
      <w:pPr>
        <w:rPr>
          <w:sz w:val="24"/>
          <w:szCs w:val="24"/>
        </w:rPr>
      </w:pPr>
    </w:p>
    <w:p w14:paraId="2D40EBDD" w14:textId="77777777" w:rsidR="00CA7776" w:rsidRPr="005B6575" w:rsidRDefault="00CA7776" w:rsidP="005B657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Times"/>
          <w:sz w:val="24"/>
          <w:szCs w:val="24"/>
        </w:rPr>
      </w:pPr>
      <w:r w:rsidRPr="005B6575">
        <w:rPr>
          <w:rFonts w:ascii="Times" w:hAnsi="Times" w:cs="Times"/>
          <w:sz w:val="24"/>
          <w:szCs w:val="24"/>
        </w:rPr>
        <w:t xml:space="preserve">In addition to recruiting participants through social media, approximately </w:t>
      </w:r>
      <w:r w:rsidRPr="005B6575">
        <w:rPr>
          <w:rFonts w:ascii="Times" w:hAnsi="Times" w:cs="Times"/>
          <w:i/>
          <w:sz w:val="24"/>
          <w:szCs w:val="24"/>
        </w:rPr>
        <w:t>200 of the 400 AI/AN</w:t>
      </w:r>
      <w:r w:rsidRPr="005B6575">
        <w:rPr>
          <w:rFonts w:ascii="Times" w:hAnsi="Times" w:cs="Times"/>
          <w:sz w:val="24"/>
          <w:szCs w:val="24"/>
        </w:rPr>
        <w:t xml:space="preserve"> participants will be recruited through Lucid, an existing online panel of adults with children ages 13-17 who have been prescreened for their willingness to have their child to participate in online surveys.  Adult panelists will receive an initial email invitation from Lucid that indicates their child has been invited to participate in a new survey (see Attachment F1). If the parent determines that they would like their child to participate in this particular survey, they will be asked to provide parental permission and an email address for the child. An introductory email will then be sent to the youth inviting them to participate in the study and requesting their assent (Attachment F2).   If the youth gives their assent, they will be redirected to the online screener portion of the survey (Attachment F3). If they qualify to participate in the study, they will begin the survey (Attachment E5).  </w:t>
      </w:r>
    </w:p>
    <w:p w14:paraId="34A33962" w14:textId="77777777" w:rsidR="004759E8" w:rsidRPr="002E054D" w:rsidRDefault="004759E8" w:rsidP="00803D1E">
      <w:pPr>
        <w:rPr>
          <w:sz w:val="24"/>
        </w:rPr>
      </w:pPr>
    </w:p>
    <w:p w14:paraId="74DD42EF" w14:textId="6AF8E127" w:rsidR="004759E8" w:rsidRDefault="004759E8" w:rsidP="00803D1E">
      <w:pPr>
        <w:rPr>
          <w:i/>
          <w:sz w:val="24"/>
        </w:rPr>
      </w:pPr>
      <w:r w:rsidRPr="00AE00C0">
        <w:rPr>
          <w:i/>
          <w:sz w:val="24"/>
        </w:rPr>
        <w:t>Sample Size</w:t>
      </w:r>
    </w:p>
    <w:p w14:paraId="68E278E5" w14:textId="77777777" w:rsidR="00523049" w:rsidRPr="00AE00C0" w:rsidRDefault="00523049" w:rsidP="00803D1E">
      <w:pPr>
        <w:rPr>
          <w:i/>
          <w:sz w:val="24"/>
        </w:rPr>
      </w:pPr>
    </w:p>
    <w:p w14:paraId="675DBEF6" w14:textId="377EC408" w:rsidR="002252B5" w:rsidRDefault="00FD15E4" w:rsidP="00803D1E">
      <w:pPr>
        <w:rPr>
          <w:sz w:val="24"/>
        </w:rPr>
      </w:pPr>
      <w:r>
        <w:rPr>
          <w:sz w:val="24"/>
        </w:rPr>
        <w:t>To obtain a final sample of 800 multicultural youth ages 13–</w:t>
      </w:r>
      <w:r w:rsidR="004759E8" w:rsidRPr="002E054D">
        <w:rPr>
          <w:sz w:val="24"/>
        </w:rPr>
        <w:t xml:space="preserve">17 </w:t>
      </w:r>
      <w:r w:rsidR="002252B5" w:rsidRPr="002E054D">
        <w:rPr>
          <w:sz w:val="24"/>
        </w:rPr>
        <w:t>that</w:t>
      </w:r>
      <w:r w:rsidR="004759E8" w:rsidRPr="002E054D">
        <w:rPr>
          <w:sz w:val="24"/>
        </w:rPr>
        <w:t xml:space="preserve"> have experimented with </w:t>
      </w:r>
      <w:r w:rsidR="002252B5">
        <w:rPr>
          <w:sz w:val="24"/>
        </w:rPr>
        <w:t>or are at risk for using cigarettes</w:t>
      </w:r>
      <w:r w:rsidR="00713BD6">
        <w:rPr>
          <w:sz w:val="24"/>
        </w:rPr>
        <w:t xml:space="preserve"> </w:t>
      </w:r>
      <w:r w:rsidR="00A9670E">
        <w:rPr>
          <w:sz w:val="24"/>
        </w:rPr>
        <w:t xml:space="preserve">or have ever used </w:t>
      </w:r>
      <w:r w:rsidR="002252B5">
        <w:rPr>
          <w:sz w:val="24"/>
        </w:rPr>
        <w:t xml:space="preserve">cigars, or hookah, we will </w:t>
      </w:r>
      <w:r w:rsidR="00576928">
        <w:rPr>
          <w:sz w:val="24"/>
        </w:rPr>
        <w:t>need to screen approximately 3,5</w:t>
      </w:r>
      <w:r w:rsidR="002252B5">
        <w:rPr>
          <w:sz w:val="24"/>
        </w:rPr>
        <w:t xml:space="preserve">00 potential participants. </w:t>
      </w:r>
      <w:r w:rsidR="00576928">
        <w:rPr>
          <w:sz w:val="24"/>
        </w:rPr>
        <w:t xml:space="preserve">This estimate is based on recent data that indicates approximately 23% of multicultural youth were either experimenting with or at risk for cigarette use (Walker et al., 2018). </w:t>
      </w:r>
      <w:r w:rsidR="002252B5">
        <w:rPr>
          <w:sz w:val="24"/>
        </w:rPr>
        <w:t>To obtain a final sample of 400 White, Non-Hispanic male youth ages 13–</w:t>
      </w:r>
      <w:r w:rsidR="002252B5" w:rsidRPr="002E054D">
        <w:rPr>
          <w:sz w:val="24"/>
        </w:rPr>
        <w:t>17</w:t>
      </w:r>
      <w:r w:rsidR="002252B5">
        <w:rPr>
          <w:sz w:val="24"/>
        </w:rPr>
        <w:t xml:space="preserve"> that have experimented with or are at risk for using smokeless tobacco, we will need to screen approximately 1,2</w:t>
      </w:r>
      <w:r w:rsidR="001805B6">
        <w:rPr>
          <w:sz w:val="24"/>
        </w:rPr>
        <w:t>6</w:t>
      </w:r>
      <w:r w:rsidR="002252B5">
        <w:rPr>
          <w:sz w:val="24"/>
        </w:rPr>
        <w:t xml:space="preserve">0 participants. </w:t>
      </w:r>
      <w:r w:rsidR="00D16C82">
        <w:rPr>
          <w:sz w:val="24"/>
        </w:rPr>
        <w:t xml:space="preserve"> </w:t>
      </w:r>
      <w:r w:rsidR="00D50EED">
        <w:rPr>
          <w:sz w:val="24"/>
        </w:rPr>
        <w:t>This estimate is based on the most recent data from FDA’s Population Assessment of Tobacco and Health (PATH) study</w:t>
      </w:r>
      <w:r w:rsidR="001805B6">
        <w:rPr>
          <w:sz w:val="24"/>
        </w:rPr>
        <w:t xml:space="preserve"> that reports 31.8% of rural, White males 12–17 years of age are either experimenting with or at risk for using smokeless tobacco (NIH, FDA, 2016)</w:t>
      </w:r>
      <w:r w:rsidR="00D50EED">
        <w:rPr>
          <w:sz w:val="24"/>
        </w:rPr>
        <w:t xml:space="preserve">. </w:t>
      </w:r>
      <w:r w:rsidR="00D16C82" w:rsidRPr="00713BD6">
        <w:rPr>
          <w:sz w:val="24"/>
        </w:rPr>
        <w:t>To obtain a final sample of 400 AI/AN youth</w:t>
      </w:r>
      <w:r w:rsidR="00410B80" w:rsidRPr="00713BD6">
        <w:rPr>
          <w:sz w:val="24"/>
        </w:rPr>
        <w:t xml:space="preserve"> who have experimented with or are at risk of using cigarettes or e-cigarettes, we expect to screen approximately </w:t>
      </w:r>
      <w:r w:rsidR="00BA36D1" w:rsidRPr="00713BD6">
        <w:rPr>
          <w:sz w:val="24"/>
        </w:rPr>
        <w:t>1,</w:t>
      </w:r>
      <w:r w:rsidR="00EB4EE5" w:rsidRPr="00713BD6">
        <w:rPr>
          <w:sz w:val="24"/>
        </w:rPr>
        <w:t>100</w:t>
      </w:r>
      <w:r w:rsidR="00BA36D1" w:rsidRPr="00713BD6">
        <w:rPr>
          <w:sz w:val="24"/>
        </w:rPr>
        <w:t xml:space="preserve"> youth. </w:t>
      </w:r>
      <w:r w:rsidR="00D16C82" w:rsidRPr="00713BD6">
        <w:rPr>
          <w:sz w:val="24"/>
        </w:rPr>
        <w:t>This is based on</w:t>
      </w:r>
      <w:r w:rsidR="00BA36D1" w:rsidRPr="00713BD6">
        <w:rPr>
          <w:sz w:val="24"/>
        </w:rPr>
        <w:t xml:space="preserve"> data from the 2018 National Youth Tobacco survey that suggest approximately 3</w:t>
      </w:r>
      <w:r w:rsidR="00EB4EE5" w:rsidRPr="00713BD6">
        <w:rPr>
          <w:sz w:val="24"/>
        </w:rPr>
        <w:t>6</w:t>
      </w:r>
      <w:r w:rsidR="00BA36D1" w:rsidRPr="00713BD6">
        <w:rPr>
          <w:sz w:val="24"/>
        </w:rPr>
        <w:t>% of AI/AN youth age 13-17 have experimented with or are at risk of using cigarettes.</w:t>
      </w:r>
    </w:p>
    <w:p w14:paraId="1273D230" w14:textId="77777777" w:rsidR="00ED7ABC" w:rsidRPr="00ED7ABC" w:rsidRDefault="00ED7ABC" w:rsidP="0080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bookmarkEnd w:id="1"/>
    <w:bookmarkEnd w:id="2"/>
    <w:p w14:paraId="005347B8" w14:textId="77777777" w:rsidR="008E416F" w:rsidRPr="00A77197" w:rsidRDefault="008E416F" w:rsidP="00803D1E">
      <w:pPr>
        <w:rPr>
          <w:b/>
          <w:sz w:val="24"/>
          <w:szCs w:val="24"/>
          <w:u w:val="single"/>
        </w:rPr>
      </w:pPr>
      <w:r w:rsidRPr="00C343FC">
        <w:rPr>
          <w:b/>
          <w:sz w:val="24"/>
          <w:szCs w:val="24"/>
        </w:rPr>
        <w:t xml:space="preserve">2. </w:t>
      </w:r>
      <w:r w:rsidRPr="00A77197">
        <w:rPr>
          <w:b/>
          <w:sz w:val="24"/>
          <w:szCs w:val="24"/>
          <w:u w:val="single"/>
        </w:rPr>
        <w:t xml:space="preserve">Procedures for the Collection of Information </w:t>
      </w:r>
    </w:p>
    <w:p w14:paraId="15F30DE0" w14:textId="77777777" w:rsidR="00872E78" w:rsidRDefault="00872E78" w:rsidP="00803D1E">
      <w:pPr>
        <w:rPr>
          <w:sz w:val="24"/>
          <w:szCs w:val="24"/>
        </w:rPr>
      </w:pPr>
    </w:p>
    <w:p w14:paraId="28680E6A" w14:textId="1D383740" w:rsidR="00E725BA" w:rsidRDefault="00DD73FD" w:rsidP="00803D1E">
      <w:pPr>
        <w:rPr>
          <w:sz w:val="24"/>
          <w:szCs w:val="24"/>
        </w:rPr>
      </w:pPr>
      <w:r w:rsidRPr="002E054D">
        <w:rPr>
          <w:sz w:val="24"/>
          <w:szCs w:val="24"/>
        </w:rPr>
        <w:t>This section describes the procedures for the survey data collection. The survey will be conducted via a web-based survey disseminated by</w:t>
      </w:r>
      <w:r w:rsidR="00E725BA">
        <w:rPr>
          <w:sz w:val="24"/>
          <w:szCs w:val="24"/>
        </w:rPr>
        <w:t xml:space="preserve"> FMG</w:t>
      </w:r>
      <w:r w:rsidRPr="002E054D">
        <w:rPr>
          <w:sz w:val="24"/>
          <w:szCs w:val="24"/>
        </w:rPr>
        <w:t>.</w:t>
      </w:r>
      <w:r w:rsidR="00E725BA">
        <w:rPr>
          <w:sz w:val="24"/>
          <w:szCs w:val="24"/>
        </w:rPr>
        <w:t xml:space="preserve"> To be eligible, </w:t>
      </w:r>
      <w:r w:rsidR="001F7CF1">
        <w:rPr>
          <w:sz w:val="24"/>
          <w:szCs w:val="24"/>
        </w:rPr>
        <w:t xml:space="preserve">the parent must give their permission (for youth recruited through the online panel) or </w:t>
      </w:r>
      <w:r w:rsidR="00E725BA">
        <w:rPr>
          <w:sz w:val="24"/>
          <w:szCs w:val="24"/>
        </w:rPr>
        <w:t xml:space="preserve">the </w:t>
      </w:r>
      <w:r w:rsidR="00DC31F7">
        <w:rPr>
          <w:sz w:val="24"/>
          <w:szCs w:val="24"/>
        </w:rPr>
        <w:t xml:space="preserve">parent email must not bounce back and the </w:t>
      </w:r>
      <w:r w:rsidR="00E725BA">
        <w:rPr>
          <w:sz w:val="24"/>
          <w:szCs w:val="24"/>
        </w:rPr>
        <w:t>parent must</w:t>
      </w:r>
      <w:r w:rsidR="00DC31F7">
        <w:rPr>
          <w:sz w:val="24"/>
          <w:szCs w:val="24"/>
        </w:rPr>
        <w:t xml:space="preserve"> not opt out their youth from the study</w:t>
      </w:r>
      <w:r w:rsidR="001F7CF1">
        <w:rPr>
          <w:sz w:val="24"/>
          <w:szCs w:val="24"/>
        </w:rPr>
        <w:t xml:space="preserve"> (for all youth recruited through social media)</w:t>
      </w:r>
      <w:r w:rsidR="00DC31F7">
        <w:rPr>
          <w:sz w:val="24"/>
          <w:szCs w:val="24"/>
        </w:rPr>
        <w:t xml:space="preserve"> </w:t>
      </w:r>
      <w:r w:rsidR="00E725BA">
        <w:rPr>
          <w:sz w:val="24"/>
          <w:szCs w:val="24"/>
        </w:rPr>
        <w:t>, the youth must give their assent, and the youth (ages 13</w:t>
      </w:r>
      <w:r w:rsidR="00E725BA">
        <w:rPr>
          <w:sz w:val="24"/>
        </w:rPr>
        <w:t>–17)</w:t>
      </w:r>
      <w:r w:rsidR="00E725BA">
        <w:rPr>
          <w:sz w:val="24"/>
          <w:szCs w:val="24"/>
        </w:rPr>
        <w:t xml:space="preserve"> must be either multicultural, experimenting with or at risk for cigarette </w:t>
      </w:r>
      <w:r w:rsidR="00D16C82">
        <w:rPr>
          <w:sz w:val="24"/>
          <w:szCs w:val="24"/>
        </w:rPr>
        <w:t xml:space="preserve">or have ever used </w:t>
      </w:r>
      <w:r w:rsidR="00E725BA">
        <w:rPr>
          <w:sz w:val="24"/>
          <w:szCs w:val="24"/>
        </w:rPr>
        <w:t>cigar</w:t>
      </w:r>
      <w:r w:rsidR="00D16C82">
        <w:rPr>
          <w:sz w:val="24"/>
          <w:szCs w:val="24"/>
        </w:rPr>
        <w:t>s</w:t>
      </w:r>
      <w:r w:rsidR="00E725BA">
        <w:rPr>
          <w:sz w:val="24"/>
          <w:szCs w:val="24"/>
        </w:rPr>
        <w:t xml:space="preserve"> or hookah, </w:t>
      </w:r>
      <w:r w:rsidR="00E725BA" w:rsidRPr="00713BD6">
        <w:rPr>
          <w:sz w:val="24"/>
          <w:szCs w:val="24"/>
        </w:rPr>
        <w:t>or</w:t>
      </w:r>
      <w:r w:rsidR="00E725BA">
        <w:rPr>
          <w:sz w:val="24"/>
          <w:szCs w:val="24"/>
        </w:rPr>
        <w:t xml:space="preserve"> a White male living in a rural area that </w:t>
      </w:r>
      <w:r w:rsidR="00D16C82">
        <w:rPr>
          <w:sz w:val="24"/>
          <w:szCs w:val="24"/>
        </w:rPr>
        <w:t>has</w:t>
      </w:r>
      <w:r w:rsidR="00E725BA">
        <w:rPr>
          <w:sz w:val="24"/>
          <w:szCs w:val="24"/>
        </w:rPr>
        <w:t xml:space="preserve"> experiment</w:t>
      </w:r>
      <w:r w:rsidR="00D16C82">
        <w:rPr>
          <w:sz w:val="24"/>
          <w:szCs w:val="24"/>
        </w:rPr>
        <w:t>ed</w:t>
      </w:r>
      <w:r w:rsidR="00E725BA">
        <w:rPr>
          <w:sz w:val="24"/>
          <w:szCs w:val="24"/>
        </w:rPr>
        <w:t xml:space="preserve"> with or</w:t>
      </w:r>
      <w:r w:rsidR="00D16C82">
        <w:rPr>
          <w:sz w:val="24"/>
          <w:szCs w:val="24"/>
        </w:rPr>
        <w:t xml:space="preserve"> is</w:t>
      </w:r>
      <w:r w:rsidR="00E725BA">
        <w:rPr>
          <w:sz w:val="24"/>
          <w:szCs w:val="24"/>
        </w:rPr>
        <w:t xml:space="preserve"> at risk for smokeless tobacco use</w:t>
      </w:r>
      <w:r w:rsidR="00D16C82">
        <w:rPr>
          <w:sz w:val="24"/>
          <w:szCs w:val="24"/>
        </w:rPr>
        <w:t>, or AI/AN who</w:t>
      </w:r>
      <w:r w:rsidR="00CA7776">
        <w:rPr>
          <w:sz w:val="24"/>
          <w:szCs w:val="24"/>
        </w:rPr>
        <w:t xml:space="preserve"> </w:t>
      </w:r>
      <w:r w:rsidR="00D16C82">
        <w:rPr>
          <w:sz w:val="24"/>
          <w:szCs w:val="24"/>
        </w:rPr>
        <w:t>has experimented with or at risk of using cigarettes or e-</w:t>
      </w:r>
      <w:r w:rsidR="00D16C82">
        <w:rPr>
          <w:sz w:val="24"/>
          <w:szCs w:val="24"/>
        </w:rPr>
        <w:lastRenderedPageBreak/>
        <w:t xml:space="preserve">cigarettes </w:t>
      </w:r>
      <w:r w:rsidR="00E725BA">
        <w:rPr>
          <w:sz w:val="24"/>
          <w:szCs w:val="24"/>
        </w:rPr>
        <w:t xml:space="preserve">. </w:t>
      </w:r>
      <w:r w:rsidR="00E76392">
        <w:rPr>
          <w:sz w:val="24"/>
          <w:szCs w:val="24"/>
        </w:rPr>
        <w:t>The screeners are included as</w:t>
      </w:r>
      <w:r w:rsidR="00D16C82" w:rsidRPr="00D16C82">
        <w:rPr>
          <w:szCs w:val="24"/>
        </w:rPr>
        <w:t xml:space="preserve"> </w:t>
      </w:r>
      <w:r w:rsidR="00D16C82" w:rsidRPr="00D16C82">
        <w:rPr>
          <w:sz w:val="24"/>
          <w:szCs w:val="24"/>
        </w:rPr>
        <w:t xml:space="preserve">C3 for </w:t>
      </w:r>
      <w:r w:rsidR="00D16C82" w:rsidRPr="00D16C82">
        <w:rPr>
          <w:i/>
          <w:sz w:val="24"/>
          <w:szCs w:val="24"/>
        </w:rPr>
        <w:t>Fresh Empire</w:t>
      </w:r>
      <w:r w:rsidR="00D16C82" w:rsidRPr="00D16C82">
        <w:rPr>
          <w:sz w:val="24"/>
          <w:szCs w:val="24"/>
        </w:rPr>
        <w:t xml:space="preserve">, D3 for </w:t>
      </w:r>
      <w:r w:rsidR="00D16C82" w:rsidRPr="00D16C82">
        <w:rPr>
          <w:i/>
          <w:sz w:val="24"/>
          <w:szCs w:val="24"/>
        </w:rPr>
        <w:t>TRC Smokeless</w:t>
      </w:r>
      <w:r w:rsidR="00D16C82" w:rsidRPr="00D16C82">
        <w:rPr>
          <w:sz w:val="24"/>
          <w:szCs w:val="24"/>
        </w:rPr>
        <w:t xml:space="preserve">, and E3 for </w:t>
      </w:r>
      <w:r w:rsidR="00D16C82" w:rsidRPr="00D16C82">
        <w:rPr>
          <w:i/>
          <w:sz w:val="24"/>
          <w:szCs w:val="24"/>
        </w:rPr>
        <w:t>AI/AN</w:t>
      </w:r>
      <w:r w:rsidR="00E76392">
        <w:rPr>
          <w:sz w:val="24"/>
          <w:szCs w:val="24"/>
        </w:rPr>
        <w:t>. Links to the survey instruments (</w:t>
      </w:r>
      <w:r w:rsidR="00620AE2">
        <w:rPr>
          <w:sz w:val="24"/>
          <w:szCs w:val="24"/>
        </w:rPr>
        <w:t>A</w:t>
      </w:r>
      <w:r w:rsidR="00E76392">
        <w:rPr>
          <w:sz w:val="24"/>
          <w:szCs w:val="24"/>
        </w:rPr>
        <w:t>ttachments</w:t>
      </w:r>
      <w:r w:rsidR="00D16C82" w:rsidRPr="00D16C82">
        <w:rPr>
          <w:szCs w:val="24"/>
        </w:rPr>
        <w:t xml:space="preserve"> </w:t>
      </w:r>
      <w:r w:rsidR="00D16C82" w:rsidRPr="00D16C82">
        <w:rPr>
          <w:sz w:val="24"/>
          <w:szCs w:val="24"/>
        </w:rPr>
        <w:t xml:space="preserve">A5 for </w:t>
      </w:r>
      <w:r w:rsidR="00D16C82" w:rsidRPr="00D16C82">
        <w:rPr>
          <w:i/>
          <w:sz w:val="24"/>
          <w:szCs w:val="24"/>
        </w:rPr>
        <w:t>Fresh Empire</w:t>
      </w:r>
      <w:r w:rsidR="00D16C82" w:rsidRPr="00D16C82">
        <w:rPr>
          <w:sz w:val="24"/>
          <w:szCs w:val="24"/>
        </w:rPr>
        <w:t xml:space="preserve">, B5 for </w:t>
      </w:r>
      <w:r w:rsidR="00D16C82" w:rsidRPr="00D16C82">
        <w:rPr>
          <w:i/>
          <w:sz w:val="24"/>
          <w:szCs w:val="24"/>
        </w:rPr>
        <w:t>TRC Smokeless</w:t>
      </w:r>
      <w:r w:rsidR="00D16C82" w:rsidRPr="00D16C82">
        <w:rPr>
          <w:sz w:val="24"/>
          <w:szCs w:val="24"/>
        </w:rPr>
        <w:t xml:space="preserve">, and E5 for </w:t>
      </w:r>
      <w:r w:rsidR="00D16C82" w:rsidRPr="00D16C82">
        <w:rPr>
          <w:i/>
          <w:sz w:val="24"/>
          <w:szCs w:val="24"/>
        </w:rPr>
        <w:t>AI/AN</w:t>
      </w:r>
      <w:r w:rsidR="00E76392">
        <w:rPr>
          <w:sz w:val="24"/>
          <w:szCs w:val="24"/>
        </w:rPr>
        <w:t>) will only be provided to youth participants after the 24-hour period passes with no</w:t>
      </w:r>
      <w:r w:rsidR="00D16C82">
        <w:rPr>
          <w:sz w:val="24"/>
          <w:szCs w:val="24"/>
        </w:rPr>
        <w:t xml:space="preserve"> opt-out</w:t>
      </w:r>
      <w:r w:rsidR="00E76392">
        <w:rPr>
          <w:sz w:val="24"/>
          <w:szCs w:val="24"/>
        </w:rPr>
        <w:t xml:space="preserve"> notice from the parent/guardian. All surveys will be conducted using a self-administered, online questionnaire.  </w:t>
      </w:r>
    </w:p>
    <w:p w14:paraId="3AFDB7A7" w14:textId="77777777" w:rsidR="00DD73FD" w:rsidRPr="00DD73FD" w:rsidRDefault="00DD73FD" w:rsidP="00803D1E">
      <w:pPr>
        <w:pStyle w:val="bodytextpsg"/>
        <w:spacing w:before="0" w:after="0"/>
        <w:ind w:firstLine="0"/>
        <w:rPr>
          <w:bCs/>
          <w:iCs/>
          <w:sz w:val="24"/>
          <w:szCs w:val="24"/>
        </w:rPr>
      </w:pPr>
    </w:p>
    <w:p w14:paraId="327B6819" w14:textId="0198BB4D" w:rsidR="009D35CF" w:rsidRDefault="009D35CF" w:rsidP="00803D1E">
      <w:pPr>
        <w:pStyle w:val="bodytextpsg"/>
        <w:spacing w:before="0" w:after="0"/>
        <w:ind w:firstLine="0"/>
        <w:rPr>
          <w:b/>
          <w:bCs/>
          <w:i/>
          <w:iCs/>
          <w:sz w:val="24"/>
          <w:szCs w:val="24"/>
        </w:rPr>
      </w:pPr>
      <w:r w:rsidRPr="00E378E8">
        <w:rPr>
          <w:b/>
          <w:bCs/>
          <w:i/>
          <w:iCs/>
          <w:sz w:val="24"/>
          <w:szCs w:val="24"/>
        </w:rPr>
        <w:t xml:space="preserve">Summary of </w:t>
      </w:r>
      <w:r w:rsidR="00273CAA">
        <w:rPr>
          <w:b/>
          <w:bCs/>
          <w:i/>
          <w:iCs/>
          <w:sz w:val="24"/>
          <w:szCs w:val="24"/>
        </w:rPr>
        <w:t>P</w:t>
      </w:r>
      <w:r w:rsidRPr="00E378E8">
        <w:rPr>
          <w:b/>
          <w:bCs/>
          <w:i/>
          <w:iCs/>
          <w:sz w:val="24"/>
          <w:szCs w:val="24"/>
        </w:rPr>
        <w:t xml:space="preserve">rotocol </w:t>
      </w:r>
    </w:p>
    <w:p w14:paraId="5B561A3D" w14:textId="77777777" w:rsidR="00523049" w:rsidRDefault="00523049" w:rsidP="00803D1E">
      <w:pPr>
        <w:pStyle w:val="bodytextpsg"/>
        <w:spacing w:before="0" w:after="0"/>
        <w:ind w:firstLine="0"/>
        <w:rPr>
          <w:b/>
          <w:bCs/>
          <w:i/>
          <w:iCs/>
          <w:sz w:val="24"/>
          <w:szCs w:val="24"/>
        </w:rPr>
      </w:pPr>
    </w:p>
    <w:p w14:paraId="4355462C" w14:textId="77777777" w:rsidR="00DD73FD" w:rsidRPr="002E054D" w:rsidRDefault="00DD73FD" w:rsidP="00803D1E">
      <w:pPr>
        <w:rPr>
          <w:sz w:val="24"/>
          <w:szCs w:val="24"/>
        </w:rPr>
      </w:pPr>
      <w:r w:rsidRPr="002E054D">
        <w:rPr>
          <w:sz w:val="24"/>
          <w:szCs w:val="24"/>
        </w:rPr>
        <w:t>The list of study procedures is as follows:</w:t>
      </w:r>
    </w:p>
    <w:p w14:paraId="3971DD94" w14:textId="704C70FC" w:rsidR="00DD73FD" w:rsidRDefault="00DD73FD" w:rsidP="00803D1E">
      <w:pPr>
        <w:rPr>
          <w:sz w:val="24"/>
          <w:szCs w:val="24"/>
        </w:rPr>
      </w:pPr>
    </w:p>
    <w:p w14:paraId="3F975614" w14:textId="7BC2A135" w:rsidR="00CA7776" w:rsidRPr="00CA7776" w:rsidRDefault="00CA7776" w:rsidP="00C343FC">
      <w:pPr>
        <w:spacing w:after="240"/>
        <w:rPr>
          <w:b/>
          <w:sz w:val="24"/>
          <w:szCs w:val="24"/>
          <w:u w:val="single"/>
        </w:rPr>
      </w:pPr>
      <w:r w:rsidRPr="00CA7776">
        <w:rPr>
          <w:b/>
          <w:sz w:val="24"/>
          <w:szCs w:val="24"/>
          <w:u w:val="single"/>
        </w:rPr>
        <w:t>Fresh Empire, TRC Smokeless, and AI/AN participants recruited through social media</w:t>
      </w:r>
    </w:p>
    <w:p w14:paraId="604E3734" w14:textId="77777777" w:rsidR="00E76392" w:rsidRDefault="00E76392" w:rsidP="00803D1E">
      <w:pPr>
        <w:numPr>
          <w:ilvl w:val="0"/>
          <w:numId w:val="32"/>
        </w:numPr>
        <w:ind w:left="1440"/>
        <w:rPr>
          <w:sz w:val="24"/>
          <w:szCs w:val="24"/>
        </w:rPr>
      </w:pPr>
      <w:r>
        <w:rPr>
          <w:sz w:val="24"/>
          <w:szCs w:val="24"/>
        </w:rPr>
        <w:t xml:space="preserve">Participants are recruited through targeted social media advertising on Facebook and Instagram. </w:t>
      </w:r>
    </w:p>
    <w:p w14:paraId="33A8A7D3" w14:textId="77777777" w:rsidR="00E76392" w:rsidRDefault="00E76392" w:rsidP="00803D1E">
      <w:pPr>
        <w:numPr>
          <w:ilvl w:val="0"/>
          <w:numId w:val="32"/>
        </w:numPr>
        <w:ind w:left="1440"/>
        <w:rPr>
          <w:sz w:val="24"/>
          <w:szCs w:val="24"/>
        </w:rPr>
      </w:pPr>
      <w:r>
        <w:rPr>
          <w:sz w:val="24"/>
          <w:szCs w:val="24"/>
        </w:rPr>
        <w:t xml:space="preserve">After clicking the link in one of the social media advertisements, participants will be directed to the screener link. </w:t>
      </w:r>
    </w:p>
    <w:p w14:paraId="683B0CA3" w14:textId="5DF92063" w:rsidR="00E76392" w:rsidRDefault="00E76392" w:rsidP="00803D1E">
      <w:pPr>
        <w:numPr>
          <w:ilvl w:val="0"/>
          <w:numId w:val="32"/>
        </w:numPr>
        <w:ind w:left="1440"/>
        <w:rPr>
          <w:sz w:val="24"/>
          <w:szCs w:val="24"/>
        </w:rPr>
      </w:pPr>
      <w:r>
        <w:rPr>
          <w:sz w:val="24"/>
          <w:szCs w:val="24"/>
        </w:rPr>
        <w:t>Participants will complete the screener and</w:t>
      </w:r>
      <w:r w:rsidR="00D16C82">
        <w:rPr>
          <w:sz w:val="24"/>
          <w:szCs w:val="24"/>
        </w:rPr>
        <w:t>, if they qualify, will</w:t>
      </w:r>
      <w:r>
        <w:rPr>
          <w:sz w:val="24"/>
          <w:szCs w:val="24"/>
        </w:rPr>
        <w:t xml:space="preserve"> provide a personal email address and an email address for their parent/guardian</w:t>
      </w:r>
      <w:r w:rsidR="00D16C82">
        <w:rPr>
          <w:sz w:val="24"/>
          <w:szCs w:val="24"/>
        </w:rPr>
        <w:t xml:space="preserve"> to receive the notification/opt-out form</w:t>
      </w:r>
      <w:r>
        <w:rPr>
          <w:sz w:val="24"/>
          <w:szCs w:val="24"/>
        </w:rPr>
        <w:t xml:space="preserve">. </w:t>
      </w:r>
    </w:p>
    <w:p w14:paraId="3C60B1E4" w14:textId="3B85E78C" w:rsidR="00E76392" w:rsidRDefault="00E76392" w:rsidP="00E76392">
      <w:pPr>
        <w:numPr>
          <w:ilvl w:val="0"/>
          <w:numId w:val="32"/>
        </w:numPr>
        <w:ind w:left="1440"/>
        <w:rPr>
          <w:sz w:val="24"/>
          <w:szCs w:val="24"/>
        </w:rPr>
      </w:pPr>
      <w:r>
        <w:rPr>
          <w:sz w:val="24"/>
          <w:szCs w:val="24"/>
        </w:rPr>
        <w:t xml:space="preserve">Parents/guardians will receive </w:t>
      </w:r>
      <w:r w:rsidR="00D16C82">
        <w:rPr>
          <w:sz w:val="24"/>
          <w:szCs w:val="24"/>
        </w:rPr>
        <w:t xml:space="preserve">a notification/opt-out form via email that </w:t>
      </w:r>
      <w:r>
        <w:rPr>
          <w:sz w:val="24"/>
          <w:szCs w:val="24"/>
        </w:rPr>
        <w:t xml:space="preserve">provides information about the length of the survey, confidentiality measures, and incentive that the child will receive upon submitting the survey. </w:t>
      </w:r>
    </w:p>
    <w:p w14:paraId="64954826" w14:textId="77777777" w:rsidR="00DD73FD" w:rsidRDefault="00E76392" w:rsidP="00E76392">
      <w:pPr>
        <w:numPr>
          <w:ilvl w:val="0"/>
          <w:numId w:val="32"/>
        </w:numPr>
        <w:ind w:left="1440"/>
        <w:rPr>
          <w:sz w:val="24"/>
          <w:szCs w:val="24"/>
        </w:rPr>
      </w:pPr>
      <w:r>
        <w:rPr>
          <w:sz w:val="24"/>
          <w:szCs w:val="24"/>
        </w:rPr>
        <w:t xml:space="preserve">Parents/guardians will have 24 hours to notify the project team that the youth participant does not have permission to complete the survey. </w:t>
      </w:r>
    </w:p>
    <w:p w14:paraId="4DFDCF37" w14:textId="4B387C6B" w:rsidR="00E76392" w:rsidRDefault="00DC31F7" w:rsidP="00E76392">
      <w:pPr>
        <w:numPr>
          <w:ilvl w:val="0"/>
          <w:numId w:val="32"/>
        </w:numPr>
        <w:ind w:left="1440"/>
        <w:rPr>
          <w:sz w:val="24"/>
          <w:szCs w:val="24"/>
        </w:rPr>
      </w:pPr>
      <w:r>
        <w:rPr>
          <w:sz w:val="24"/>
          <w:szCs w:val="24"/>
        </w:rPr>
        <w:t>If the parent email doesn’t bounce back and 24 hours pass without the parent opting out their youth from the study, the y</w:t>
      </w:r>
      <w:r w:rsidR="00E76392">
        <w:rPr>
          <w:sz w:val="24"/>
          <w:szCs w:val="24"/>
        </w:rPr>
        <w:t>outh will receive a link via email to complete the assent</w:t>
      </w:r>
      <w:r w:rsidR="00D16C82">
        <w:rPr>
          <w:sz w:val="24"/>
          <w:szCs w:val="24"/>
        </w:rPr>
        <w:t xml:space="preserve"> form</w:t>
      </w:r>
      <w:r w:rsidR="00E76392">
        <w:rPr>
          <w:sz w:val="24"/>
          <w:szCs w:val="24"/>
        </w:rPr>
        <w:t xml:space="preserve"> (see attachments</w:t>
      </w:r>
      <w:r w:rsidR="00D16C82" w:rsidRPr="00D16C82">
        <w:rPr>
          <w:szCs w:val="24"/>
        </w:rPr>
        <w:t xml:space="preserve"> </w:t>
      </w:r>
      <w:r w:rsidR="00D16C82" w:rsidRPr="00D16C82">
        <w:rPr>
          <w:sz w:val="24"/>
          <w:szCs w:val="24"/>
        </w:rPr>
        <w:t xml:space="preserve">C1 for </w:t>
      </w:r>
      <w:r w:rsidR="00D16C82" w:rsidRPr="00D16C82">
        <w:rPr>
          <w:i/>
          <w:sz w:val="24"/>
          <w:szCs w:val="24"/>
        </w:rPr>
        <w:t>Fresh Empire</w:t>
      </w:r>
      <w:r w:rsidR="00D16C82" w:rsidRPr="00D16C82">
        <w:rPr>
          <w:sz w:val="24"/>
          <w:szCs w:val="24"/>
        </w:rPr>
        <w:t xml:space="preserve">, D1 for </w:t>
      </w:r>
      <w:r w:rsidR="00D16C82" w:rsidRPr="00D16C82">
        <w:rPr>
          <w:i/>
          <w:sz w:val="24"/>
          <w:szCs w:val="24"/>
        </w:rPr>
        <w:t>TRC Smokeless</w:t>
      </w:r>
      <w:r w:rsidR="00D16C82" w:rsidRPr="00D16C82">
        <w:rPr>
          <w:sz w:val="24"/>
          <w:szCs w:val="24"/>
        </w:rPr>
        <w:t xml:space="preserve">, and E1 for </w:t>
      </w:r>
      <w:r w:rsidR="00D16C82" w:rsidRPr="00D16C82">
        <w:rPr>
          <w:i/>
          <w:sz w:val="24"/>
          <w:szCs w:val="24"/>
        </w:rPr>
        <w:t>AI/AN</w:t>
      </w:r>
      <w:r w:rsidR="00E76392">
        <w:rPr>
          <w:sz w:val="24"/>
          <w:szCs w:val="24"/>
        </w:rPr>
        <w:t>) and begin the survey (see attachments</w:t>
      </w:r>
      <w:r w:rsidR="00D16C82" w:rsidRPr="00D16C82">
        <w:rPr>
          <w:szCs w:val="24"/>
        </w:rPr>
        <w:t xml:space="preserve"> </w:t>
      </w:r>
      <w:r w:rsidR="00D16C82" w:rsidRPr="00D16C82">
        <w:rPr>
          <w:sz w:val="24"/>
          <w:szCs w:val="24"/>
        </w:rPr>
        <w:t xml:space="preserve">A5 for </w:t>
      </w:r>
      <w:r w:rsidR="00D16C82" w:rsidRPr="00D16C82">
        <w:rPr>
          <w:i/>
          <w:sz w:val="24"/>
          <w:szCs w:val="24"/>
        </w:rPr>
        <w:t>Fresh Empire</w:t>
      </w:r>
      <w:r w:rsidR="00D16C82" w:rsidRPr="00D16C82">
        <w:rPr>
          <w:sz w:val="24"/>
          <w:szCs w:val="24"/>
        </w:rPr>
        <w:t xml:space="preserve">, B5 for </w:t>
      </w:r>
      <w:r w:rsidR="00D16C82" w:rsidRPr="00D16C82">
        <w:rPr>
          <w:i/>
          <w:sz w:val="24"/>
          <w:szCs w:val="24"/>
        </w:rPr>
        <w:t>TRC Smokeless</w:t>
      </w:r>
      <w:r w:rsidR="00D16C82" w:rsidRPr="00D16C82">
        <w:rPr>
          <w:sz w:val="24"/>
          <w:szCs w:val="24"/>
        </w:rPr>
        <w:t xml:space="preserve">, and E5 for </w:t>
      </w:r>
      <w:r w:rsidR="00D16C82" w:rsidRPr="00D16C82">
        <w:rPr>
          <w:i/>
          <w:sz w:val="24"/>
          <w:szCs w:val="24"/>
        </w:rPr>
        <w:t>AI/AN</w:t>
      </w:r>
      <w:r w:rsidR="00E76392">
        <w:rPr>
          <w:sz w:val="24"/>
          <w:szCs w:val="24"/>
        </w:rPr>
        <w:t xml:space="preserve">). </w:t>
      </w:r>
    </w:p>
    <w:p w14:paraId="5109F30E" w14:textId="77777777" w:rsidR="00713BD6" w:rsidRPr="00E76392" w:rsidRDefault="00713BD6" w:rsidP="00713BD6">
      <w:pPr>
        <w:ind w:left="1440"/>
        <w:rPr>
          <w:sz w:val="24"/>
          <w:szCs w:val="24"/>
        </w:rPr>
      </w:pPr>
    </w:p>
    <w:p w14:paraId="25FAA231" w14:textId="23B88CE8" w:rsidR="0060014A" w:rsidRDefault="00CA7776" w:rsidP="00803D1E">
      <w:pPr>
        <w:pStyle w:val="bodytextpsg"/>
        <w:autoSpaceDE w:val="0"/>
        <w:autoSpaceDN w:val="0"/>
        <w:adjustRightInd w:val="0"/>
        <w:spacing w:before="0" w:after="0"/>
        <w:ind w:firstLine="0"/>
        <w:rPr>
          <w:b/>
          <w:sz w:val="24"/>
          <w:szCs w:val="24"/>
          <w:u w:val="single"/>
        </w:rPr>
      </w:pPr>
      <w:r w:rsidRPr="00CA7776">
        <w:rPr>
          <w:b/>
          <w:sz w:val="24"/>
          <w:szCs w:val="24"/>
          <w:u w:val="single"/>
        </w:rPr>
        <w:t xml:space="preserve">AI/AN participants recruited through </w:t>
      </w:r>
      <w:r>
        <w:rPr>
          <w:b/>
          <w:sz w:val="24"/>
          <w:szCs w:val="24"/>
          <w:u w:val="single"/>
        </w:rPr>
        <w:t>online panel</w:t>
      </w:r>
    </w:p>
    <w:p w14:paraId="757987DC" w14:textId="525E0A51" w:rsidR="00CA7776" w:rsidRPr="005A43E3" w:rsidRDefault="00CA7776" w:rsidP="005B6575">
      <w:pPr>
        <w:pStyle w:val="bodytextpsg"/>
        <w:autoSpaceDE w:val="0"/>
        <w:autoSpaceDN w:val="0"/>
        <w:adjustRightInd w:val="0"/>
        <w:spacing w:before="0" w:after="0"/>
        <w:ind w:left="1440" w:hanging="720"/>
        <w:rPr>
          <w:b/>
          <w:i/>
          <w:sz w:val="24"/>
          <w:szCs w:val="24"/>
        </w:rPr>
      </w:pPr>
    </w:p>
    <w:p w14:paraId="11B1A74D" w14:textId="77777777" w:rsidR="00CA7776" w:rsidRPr="005B6575" w:rsidRDefault="00CA7776" w:rsidP="005B6575">
      <w:pPr>
        <w:pStyle w:val="bodytextpsg"/>
        <w:numPr>
          <w:ilvl w:val="0"/>
          <w:numId w:val="35"/>
        </w:numPr>
        <w:autoSpaceDE w:val="0"/>
        <w:autoSpaceDN w:val="0"/>
        <w:adjustRightInd w:val="0"/>
        <w:spacing w:before="0" w:after="0"/>
        <w:ind w:left="1440" w:hanging="720"/>
        <w:rPr>
          <w:rFonts w:ascii="Times" w:hAnsi="Times" w:cs="Times"/>
          <w:sz w:val="24"/>
          <w:szCs w:val="24"/>
        </w:rPr>
      </w:pPr>
      <w:r w:rsidRPr="005B6575">
        <w:rPr>
          <w:rFonts w:ascii="Times" w:hAnsi="Times" w:cs="Times"/>
          <w:sz w:val="24"/>
          <w:szCs w:val="24"/>
        </w:rPr>
        <w:t xml:space="preserve">Adult panelists will receive an initial email invitation from Lucid that indicates their child has been invited to participate in a new survey (see Attachment F1). </w:t>
      </w:r>
    </w:p>
    <w:p w14:paraId="32E3A863" w14:textId="77777777" w:rsidR="00CA7776" w:rsidRPr="005B6575" w:rsidRDefault="00CA7776" w:rsidP="005B6575">
      <w:pPr>
        <w:pStyle w:val="bodytextpsg"/>
        <w:numPr>
          <w:ilvl w:val="0"/>
          <w:numId w:val="35"/>
        </w:numPr>
        <w:autoSpaceDE w:val="0"/>
        <w:autoSpaceDN w:val="0"/>
        <w:adjustRightInd w:val="0"/>
        <w:spacing w:before="0" w:after="0"/>
        <w:ind w:left="1440" w:hanging="720"/>
        <w:rPr>
          <w:rFonts w:ascii="Times" w:hAnsi="Times" w:cs="Times"/>
          <w:sz w:val="24"/>
          <w:szCs w:val="24"/>
        </w:rPr>
      </w:pPr>
      <w:r w:rsidRPr="005B6575">
        <w:rPr>
          <w:rFonts w:ascii="Times" w:hAnsi="Times" w:cs="Times"/>
          <w:sz w:val="24"/>
          <w:szCs w:val="24"/>
        </w:rPr>
        <w:t xml:space="preserve">If the parent determines that they would like their child to participate in this particular survey, they will be asked to provide parental permission and an email address for the child. An introductory email will then be sent to the youth inviting them to participate in the study and requesting their assent (Attachment F2).   </w:t>
      </w:r>
    </w:p>
    <w:p w14:paraId="70C74253" w14:textId="77777777" w:rsidR="00CA7776" w:rsidRPr="005B6575" w:rsidRDefault="00CA7776" w:rsidP="005B6575">
      <w:pPr>
        <w:pStyle w:val="bodytextpsg"/>
        <w:numPr>
          <w:ilvl w:val="0"/>
          <w:numId w:val="35"/>
        </w:numPr>
        <w:autoSpaceDE w:val="0"/>
        <w:autoSpaceDN w:val="0"/>
        <w:adjustRightInd w:val="0"/>
        <w:spacing w:before="0" w:after="0"/>
        <w:ind w:left="1440" w:hanging="720"/>
        <w:rPr>
          <w:rFonts w:ascii="Times" w:hAnsi="Times" w:cs="Times"/>
          <w:sz w:val="24"/>
          <w:szCs w:val="24"/>
        </w:rPr>
      </w:pPr>
      <w:r w:rsidRPr="005B6575">
        <w:rPr>
          <w:rFonts w:ascii="Times" w:hAnsi="Times" w:cs="Times"/>
          <w:sz w:val="24"/>
          <w:szCs w:val="24"/>
        </w:rPr>
        <w:t xml:space="preserve">If the youth gives their assent, they will be redirected to the online screener portion of the survey (Attachment F3). </w:t>
      </w:r>
    </w:p>
    <w:p w14:paraId="7CBEA7F4" w14:textId="1C4BE7C4" w:rsidR="00CA7776" w:rsidRPr="00713BD6" w:rsidRDefault="00CA7776" w:rsidP="005B6575">
      <w:pPr>
        <w:pStyle w:val="bodytextpsg"/>
        <w:numPr>
          <w:ilvl w:val="0"/>
          <w:numId w:val="35"/>
        </w:numPr>
        <w:autoSpaceDE w:val="0"/>
        <w:autoSpaceDN w:val="0"/>
        <w:adjustRightInd w:val="0"/>
        <w:spacing w:before="0" w:after="0"/>
        <w:ind w:left="1440" w:hanging="720"/>
        <w:rPr>
          <w:sz w:val="24"/>
          <w:szCs w:val="24"/>
        </w:rPr>
      </w:pPr>
      <w:r w:rsidRPr="005B6575">
        <w:rPr>
          <w:rFonts w:ascii="Times" w:hAnsi="Times" w:cs="Times"/>
          <w:sz w:val="24"/>
          <w:szCs w:val="24"/>
        </w:rPr>
        <w:t xml:space="preserve">If the youth qualify to participate in the study, they will begin the survey (Attachment E5).  </w:t>
      </w:r>
    </w:p>
    <w:p w14:paraId="22B8C8BC" w14:textId="77777777" w:rsidR="00CA7776" w:rsidRDefault="00CA7776" w:rsidP="00803D1E">
      <w:pPr>
        <w:pStyle w:val="bodytextpsg"/>
        <w:autoSpaceDE w:val="0"/>
        <w:autoSpaceDN w:val="0"/>
        <w:adjustRightInd w:val="0"/>
        <w:spacing w:before="0" w:after="0"/>
        <w:ind w:firstLine="0"/>
        <w:rPr>
          <w:b/>
          <w:i/>
          <w:sz w:val="24"/>
        </w:rPr>
      </w:pPr>
    </w:p>
    <w:p w14:paraId="1B2CF072" w14:textId="1447C898" w:rsidR="005E020E" w:rsidRDefault="005E020E" w:rsidP="00803D1E">
      <w:pPr>
        <w:pStyle w:val="bodytextpsg"/>
        <w:autoSpaceDE w:val="0"/>
        <w:autoSpaceDN w:val="0"/>
        <w:adjustRightInd w:val="0"/>
        <w:spacing w:before="0" w:after="0"/>
        <w:ind w:firstLine="0"/>
        <w:rPr>
          <w:b/>
          <w:i/>
          <w:sz w:val="24"/>
        </w:rPr>
      </w:pPr>
      <w:r w:rsidRPr="00CD24D2">
        <w:rPr>
          <w:b/>
          <w:i/>
          <w:sz w:val="24"/>
        </w:rPr>
        <w:t>Unusual Problems Requiring Specialized Sampling Procedures</w:t>
      </w:r>
    </w:p>
    <w:p w14:paraId="20E727A4" w14:textId="77777777" w:rsidR="00523049" w:rsidRPr="00CD24D2" w:rsidRDefault="00523049" w:rsidP="00803D1E">
      <w:pPr>
        <w:pStyle w:val="bodytextpsg"/>
        <w:autoSpaceDE w:val="0"/>
        <w:autoSpaceDN w:val="0"/>
        <w:adjustRightInd w:val="0"/>
        <w:spacing w:before="0" w:after="0"/>
        <w:ind w:firstLine="0"/>
        <w:rPr>
          <w:b/>
          <w:i/>
          <w:sz w:val="24"/>
        </w:rPr>
      </w:pPr>
    </w:p>
    <w:p w14:paraId="2610F332" w14:textId="77777777" w:rsidR="005E020E" w:rsidRPr="00E378E8" w:rsidRDefault="005E020E" w:rsidP="00803D1E">
      <w:pPr>
        <w:autoSpaceDE w:val="0"/>
        <w:autoSpaceDN w:val="0"/>
        <w:adjustRightInd w:val="0"/>
        <w:rPr>
          <w:sz w:val="24"/>
          <w:szCs w:val="24"/>
        </w:rPr>
      </w:pPr>
      <w:r w:rsidRPr="00E378E8">
        <w:rPr>
          <w:sz w:val="24"/>
          <w:szCs w:val="24"/>
        </w:rPr>
        <w:t>No specialized sampling procedures are involved.</w:t>
      </w:r>
    </w:p>
    <w:p w14:paraId="734E9E53" w14:textId="77777777" w:rsidR="00872E78" w:rsidRDefault="00872E78" w:rsidP="00803D1E">
      <w:pPr>
        <w:autoSpaceDE w:val="0"/>
        <w:autoSpaceDN w:val="0"/>
        <w:adjustRightInd w:val="0"/>
        <w:rPr>
          <w:b/>
          <w:i/>
          <w:sz w:val="24"/>
        </w:rPr>
      </w:pPr>
    </w:p>
    <w:p w14:paraId="2A1CDC33" w14:textId="5EE88FCD" w:rsidR="005E020E" w:rsidRDefault="005E020E" w:rsidP="00803D1E">
      <w:pPr>
        <w:autoSpaceDE w:val="0"/>
        <w:autoSpaceDN w:val="0"/>
        <w:adjustRightInd w:val="0"/>
        <w:rPr>
          <w:b/>
          <w:i/>
          <w:sz w:val="24"/>
        </w:rPr>
      </w:pPr>
      <w:r w:rsidRPr="00CD24D2">
        <w:rPr>
          <w:b/>
          <w:i/>
          <w:sz w:val="24"/>
        </w:rPr>
        <w:t>Use of Periodic Data Collection Cycles to Reduce Burden</w:t>
      </w:r>
    </w:p>
    <w:p w14:paraId="1AE1816B" w14:textId="77777777" w:rsidR="00523049" w:rsidRPr="00CD24D2" w:rsidRDefault="00523049" w:rsidP="00803D1E">
      <w:pPr>
        <w:autoSpaceDE w:val="0"/>
        <w:autoSpaceDN w:val="0"/>
        <w:adjustRightInd w:val="0"/>
        <w:rPr>
          <w:b/>
          <w:i/>
          <w:sz w:val="24"/>
        </w:rPr>
      </w:pPr>
    </w:p>
    <w:p w14:paraId="303868B8" w14:textId="77777777" w:rsidR="008E416F" w:rsidRPr="00E378E8" w:rsidRDefault="005E020E" w:rsidP="00803D1E">
      <w:pPr>
        <w:autoSpaceDE w:val="0"/>
        <w:autoSpaceDN w:val="0"/>
        <w:adjustRightInd w:val="0"/>
        <w:rPr>
          <w:sz w:val="24"/>
          <w:szCs w:val="24"/>
        </w:rPr>
      </w:pPr>
      <w:r w:rsidRPr="00E378E8">
        <w:rPr>
          <w:sz w:val="24"/>
          <w:szCs w:val="24"/>
        </w:rPr>
        <w:t>This is a one-time survey data collection effort.</w:t>
      </w:r>
    </w:p>
    <w:p w14:paraId="7F162CA9" w14:textId="77777777" w:rsidR="00872E78" w:rsidRDefault="00872E78" w:rsidP="00803D1E">
      <w:pPr>
        <w:pStyle w:val="Heading4"/>
        <w:rPr>
          <w:rFonts w:ascii="Times New Roman" w:hAnsi="Times New Roman" w:cs="Times New Roman"/>
          <w:szCs w:val="24"/>
          <w:u w:val="single"/>
        </w:rPr>
      </w:pPr>
    </w:p>
    <w:p w14:paraId="10BC5D16" w14:textId="77777777" w:rsidR="008E416F" w:rsidRPr="00A77197" w:rsidRDefault="008E416F" w:rsidP="00803D1E">
      <w:pPr>
        <w:pStyle w:val="Heading4"/>
        <w:rPr>
          <w:rFonts w:ascii="Times New Roman" w:hAnsi="Times New Roman" w:cs="Times New Roman"/>
          <w:szCs w:val="24"/>
          <w:u w:val="single"/>
        </w:rPr>
      </w:pPr>
      <w:r w:rsidRPr="00C343FC">
        <w:rPr>
          <w:rFonts w:ascii="Times New Roman" w:hAnsi="Times New Roman" w:cs="Times New Roman"/>
          <w:szCs w:val="24"/>
        </w:rPr>
        <w:t xml:space="preserve">3. </w:t>
      </w:r>
      <w:r w:rsidRPr="00A77197">
        <w:rPr>
          <w:rFonts w:ascii="Times New Roman" w:hAnsi="Times New Roman" w:cs="Times New Roman"/>
          <w:szCs w:val="24"/>
          <w:u w:val="single"/>
        </w:rPr>
        <w:t>Methods to Maximize Response Rates</w:t>
      </w:r>
    </w:p>
    <w:p w14:paraId="254BDB0D" w14:textId="77777777" w:rsidR="00DD73FD" w:rsidRDefault="00DD73FD" w:rsidP="00803D1E">
      <w:pPr>
        <w:rPr>
          <w:b/>
          <w:sz w:val="24"/>
          <w:szCs w:val="24"/>
          <w:u w:val="single"/>
        </w:rPr>
      </w:pPr>
    </w:p>
    <w:p w14:paraId="6A1F5531" w14:textId="582EA675" w:rsidR="00DD73FD" w:rsidRDefault="00DD73FD" w:rsidP="00803D1E">
      <w:pPr>
        <w:rPr>
          <w:sz w:val="24"/>
          <w:szCs w:val="24"/>
        </w:rPr>
      </w:pPr>
      <w:r w:rsidRPr="002E054D">
        <w:rPr>
          <w:sz w:val="24"/>
          <w:szCs w:val="24"/>
        </w:rPr>
        <w:t xml:space="preserve">The ability to obtain the cooperation of potential respondents in the survey will be important to the success of this study. </w:t>
      </w:r>
      <w:r w:rsidR="00832536">
        <w:rPr>
          <w:sz w:val="24"/>
          <w:szCs w:val="24"/>
        </w:rPr>
        <w:t>FMG</w:t>
      </w:r>
      <w:r w:rsidRPr="002E054D">
        <w:rPr>
          <w:sz w:val="24"/>
          <w:szCs w:val="24"/>
        </w:rPr>
        <w:t xml:space="preserve"> will minimize the non-response rate by employing the following measures:</w:t>
      </w:r>
    </w:p>
    <w:p w14:paraId="10B4C660" w14:textId="77777777" w:rsidR="00523049" w:rsidRPr="002E054D" w:rsidRDefault="00523049" w:rsidP="00803D1E">
      <w:pPr>
        <w:rPr>
          <w:sz w:val="24"/>
          <w:szCs w:val="24"/>
        </w:rPr>
      </w:pPr>
    </w:p>
    <w:p w14:paraId="4F141FFA" w14:textId="77777777" w:rsidR="00DD73FD" w:rsidRPr="00832536" w:rsidRDefault="00832536" w:rsidP="00832536">
      <w:pPr>
        <w:numPr>
          <w:ilvl w:val="0"/>
          <w:numId w:val="33"/>
        </w:numPr>
        <w:ind w:left="720"/>
        <w:rPr>
          <w:sz w:val="24"/>
          <w:szCs w:val="24"/>
        </w:rPr>
      </w:pPr>
      <w:r>
        <w:rPr>
          <w:sz w:val="24"/>
          <w:szCs w:val="24"/>
        </w:rPr>
        <w:t>Employ targeted advertising to best reach the desired sample</w:t>
      </w:r>
    </w:p>
    <w:p w14:paraId="521B983B" w14:textId="7A0265C6" w:rsidR="00DD73FD" w:rsidRPr="002E054D" w:rsidRDefault="00DD73FD" w:rsidP="00803D1E">
      <w:pPr>
        <w:numPr>
          <w:ilvl w:val="0"/>
          <w:numId w:val="33"/>
        </w:numPr>
        <w:ind w:left="720"/>
        <w:rPr>
          <w:sz w:val="24"/>
          <w:szCs w:val="24"/>
        </w:rPr>
      </w:pPr>
      <w:r w:rsidRPr="002E054D">
        <w:rPr>
          <w:sz w:val="24"/>
          <w:szCs w:val="24"/>
        </w:rPr>
        <w:t xml:space="preserve">Provide </w:t>
      </w:r>
      <w:r w:rsidR="00D16C82">
        <w:rPr>
          <w:sz w:val="24"/>
          <w:szCs w:val="24"/>
        </w:rPr>
        <w:t xml:space="preserve">a token of appreciation in the form of a $10 gift card </w:t>
      </w:r>
      <w:r w:rsidR="00CA7776">
        <w:rPr>
          <w:sz w:val="24"/>
          <w:szCs w:val="24"/>
        </w:rPr>
        <w:t xml:space="preserve">or ‘points’ equivalent to $10 </w:t>
      </w:r>
      <w:r w:rsidR="00D16C82">
        <w:rPr>
          <w:sz w:val="24"/>
          <w:szCs w:val="24"/>
        </w:rPr>
        <w:t>to participants who complete and submit the survey</w:t>
      </w:r>
    </w:p>
    <w:p w14:paraId="07ABE42E" w14:textId="77777777" w:rsidR="00DD73FD" w:rsidRPr="002E054D" w:rsidRDefault="00DD73FD" w:rsidP="00803D1E">
      <w:pPr>
        <w:rPr>
          <w:sz w:val="24"/>
          <w:szCs w:val="24"/>
        </w:rPr>
      </w:pPr>
    </w:p>
    <w:p w14:paraId="44E131C8" w14:textId="738D94C2" w:rsidR="003744F3" w:rsidRPr="003C27C8" w:rsidRDefault="00832536" w:rsidP="00C343F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r>
        <w:rPr>
          <w:sz w:val="24"/>
          <w:szCs w:val="24"/>
        </w:rPr>
        <w:t xml:space="preserve">We will use targeted advertising on Facebook and Instagram (see </w:t>
      </w:r>
      <w:r w:rsidR="008867E2" w:rsidRPr="00713BD6">
        <w:rPr>
          <w:sz w:val="24"/>
          <w:szCs w:val="24"/>
        </w:rPr>
        <w:t xml:space="preserve">attachments C4 for </w:t>
      </w:r>
      <w:r w:rsidR="008867E2" w:rsidRPr="00713BD6">
        <w:rPr>
          <w:i/>
          <w:sz w:val="24"/>
          <w:szCs w:val="24"/>
        </w:rPr>
        <w:t>Fresh Empire</w:t>
      </w:r>
      <w:r w:rsidR="008867E2" w:rsidRPr="00713BD6">
        <w:rPr>
          <w:sz w:val="24"/>
          <w:szCs w:val="24"/>
        </w:rPr>
        <w:t xml:space="preserve">, D4 for </w:t>
      </w:r>
      <w:r w:rsidR="008867E2" w:rsidRPr="00713BD6">
        <w:rPr>
          <w:i/>
          <w:sz w:val="24"/>
          <w:szCs w:val="24"/>
        </w:rPr>
        <w:t>TRC Smokeless</w:t>
      </w:r>
      <w:r w:rsidR="008867E2" w:rsidRPr="00713BD6">
        <w:rPr>
          <w:sz w:val="24"/>
          <w:szCs w:val="24"/>
        </w:rPr>
        <w:t xml:space="preserve">, and E4 for </w:t>
      </w:r>
      <w:r w:rsidR="008867E2" w:rsidRPr="00713BD6">
        <w:rPr>
          <w:i/>
          <w:sz w:val="24"/>
          <w:szCs w:val="24"/>
        </w:rPr>
        <w:t>AI/AN</w:t>
      </w:r>
      <w:r>
        <w:rPr>
          <w:sz w:val="24"/>
          <w:szCs w:val="24"/>
        </w:rPr>
        <w:t>) to reach multicultural youth</w:t>
      </w:r>
      <w:r w:rsidR="008867E2">
        <w:rPr>
          <w:sz w:val="24"/>
          <w:szCs w:val="24"/>
        </w:rPr>
        <w:t>,</w:t>
      </w:r>
      <w:r>
        <w:rPr>
          <w:sz w:val="24"/>
          <w:szCs w:val="24"/>
        </w:rPr>
        <w:t xml:space="preserve"> White male rural youth</w:t>
      </w:r>
      <w:r w:rsidR="008867E2">
        <w:rPr>
          <w:sz w:val="24"/>
          <w:szCs w:val="24"/>
        </w:rPr>
        <w:t>, and AI/AN youth</w:t>
      </w:r>
      <w:r>
        <w:rPr>
          <w:sz w:val="24"/>
          <w:szCs w:val="24"/>
        </w:rPr>
        <w:t xml:space="preserve">. The images and messages were selected for the purpose of appealing to </w:t>
      </w:r>
      <w:r w:rsidR="008867E2">
        <w:rPr>
          <w:sz w:val="24"/>
          <w:szCs w:val="24"/>
        </w:rPr>
        <w:t>the three</w:t>
      </w:r>
      <w:r>
        <w:rPr>
          <w:sz w:val="24"/>
          <w:szCs w:val="24"/>
        </w:rPr>
        <w:t xml:space="preserve"> samples. We estimate that the survey will take 20 minutes to compete. </w:t>
      </w:r>
      <w:r w:rsidR="008867E2">
        <w:t xml:space="preserve"> </w:t>
      </w:r>
      <w:r w:rsidR="003744F3" w:rsidRPr="003C27C8">
        <w:rPr>
          <w:bCs/>
          <w:sz w:val="24"/>
          <w:szCs w:val="24"/>
        </w:rPr>
        <w:t>As a token of appreciation, participants recruited through social media who complete and submit</w:t>
      </w:r>
      <w:r w:rsidR="003744F3" w:rsidRPr="0054144A">
        <w:rPr>
          <w:bCs/>
          <w:sz w:val="24"/>
          <w:szCs w:val="24"/>
        </w:rPr>
        <w:t xml:space="preserve"> t</w:t>
      </w:r>
      <w:r w:rsidR="003744F3" w:rsidRPr="00751AA4">
        <w:rPr>
          <w:bCs/>
          <w:sz w:val="24"/>
          <w:szCs w:val="24"/>
        </w:rPr>
        <w:t xml:space="preserve">he survey will receive a $10 electronic gift card.  </w:t>
      </w:r>
      <w:r w:rsidR="003744F3" w:rsidRPr="00751AA4">
        <w:rPr>
          <w:sz w:val="24"/>
          <w:szCs w:val="24"/>
        </w:rPr>
        <w:t xml:space="preserve">AI/AN participants recruited through the online panel </w:t>
      </w:r>
      <w:r w:rsidR="003744F3">
        <w:rPr>
          <w:sz w:val="24"/>
          <w:szCs w:val="24"/>
        </w:rPr>
        <w:t xml:space="preserve">who complete and submit the survey </w:t>
      </w:r>
      <w:r w:rsidR="003744F3" w:rsidRPr="00751AA4">
        <w:rPr>
          <w:sz w:val="24"/>
          <w:szCs w:val="24"/>
        </w:rPr>
        <w:t xml:space="preserve">will receive non-monetary ‘points’ through the parent’s Lucid account.  Points can later be redeemed by the parent on behalf of their child.  These points can be redeemed by the parent through Lucid’s system for goods or gift cards. The approximate value of the points is $10 per survey.  We estimate that the survey will take about 20 minutes to complete.  In this study, we are using the $10 gift card and ‘points’ equivalent to $10 as a token of appreciation to equalize the burden placed on participants with respect to their time, and to reduce overall burden by increasing questionnaire completion rates among youth who qualify on the screener. As participants often have competing demands for their time, a token of appreciation for participation in research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Pforr, &amp; Krieger, 2008; Shettle &amp; Mooney, 1999; Singer, 2002). Additionally, evidence indicates that at-risk and multicultural populations may be particularly difficult to recruit and retain in health research (Hooven, Walsh, Willgerodt, &amp; Salazar, 2011; Zand et al., 2006; Post, Gilljam, Bremberg, &amp; Galanti, 2012; Patel, Doku, &amp; Tennakoon, 2003; Siddiqui, Flay, &amp; Hu, 1996; Giuliano et al., 2000; Murthy, Krumholz, &amp; Gross, 2004), but that the use of a token of appreciation can be an effective means of recruiting and retaining participants from these populations (Martinson et al., 2000; Booker, Harding, &amp; Benzeval, 2011; Caldwell, Hamilton, Tan, &amp; Craig, 2010; Walter, Burke, &amp; Davis, 2013). </w:t>
      </w:r>
    </w:p>
    <w:p w14:paraId="094F9D4E" w14:textId="34DAFB2B" w:rsidR="008867E2" w:rsidRPr="00AE7814" w:rsidRDefault="008867E2" w:rsidP="00713BD6">
      <w:pPr>
        <w:rPr>
          <w:i/>
        </w:rPr>
      </w:pPr>
    </w:p>
    <w:p w14:paraId="2D56F15B" w14:textId="77777777" w:rsidR="00CA7776" w:rsidRPr="002E054D" w:rsidRDefault="00CA7776" w:rsidP="00803D1E">
      <w:pPr>
        <w:rPr>
          <w:sz w:val="24"/>
          <w:szCs w:val="24"/>
        </w:rPr>
      </w:pPr>
    </w:p>
    <w:p w14:paraId="658D4245" w14:textId="77777777" w:rsidR="00DD73FD" w:rsidRPr="002E054D" w:rsidRDefault="00DD73FD" w:rsidP="00803D1E">
      <w:pPr>
        <w:rPr>
          <w:sz w:val="24"/>
          <w:szCs w:val="24"/>
        </w:rPr>
      </w:pPr>
    </w:p>
    <w:p w14:paraId="77342C2D" w14:textId="77777777" w:rsidR="008E416F" w:rsidRPr="00A77197" w:rsidRDefault="008E416F" w:rsidP="00803D1E">
      <w:pPr>
        <w:rPr>
          <w:b/>
          <w:sz w:val="24"/>
          <w:szCs w:val="24"/>
          <w:u w:val="single"/>
        </w:rPr>
      </w:pPr>
      <w:r w:rsidRPr="00C343FC">
        <w:rPr>
          <w:b/>
          <w:sz w:val="24"/>
          <w:szCs w:val="24"/>
        </w:rPr>
        <w:t>4</w:t>
      </w:r>
      <w:r w:rsidRPr="00C343FC">
        <w:rPr>
          <w:sz w:val="24"/>
          <w:szCs w:val="24"/>
        </w:rPr>
        <w:t xml:space="preserve">. </w:t>
      </w:r>
      <w:r w:rsidRPr="00A77197">
        <w:rPr>
          <w:b/>
          <w:sz w:val="24"/>
          <w:szCs w:val="24"/>
          <w:u w:val="single"/>
        </w:rPr>
        <w:t>Tests of Procedures or Methods</w:t>
      </w:r>
    </w:p>
    <w:p w14:paraId="278FB5C2" w14:textId="77777777" w:rsidR="00DD73FD" w:rsidRDefault="00DD73FD" w:rsidP="00803D1E">
      <w:pPr>
        <w:ind w:left="720" w:hanging="720"/>
        <w:rPr>
          <w:b/>
          <w:sz w:val="24"/>
          <w:szCs w:val="24"/>
          <w:u w:val="single"/>
        </w:rPr>
      </w:pPr>
    </w:p>
    <w:p w14:paraId="4F3C8D3F" w14:textId="60D40F43" w:rsidR="00DD73FD" w:rsidRDefault="00333E05" w:rsidP="00803D1E">
      <w:pPr>
        <w:rPr>
          <w:sz w:val="24"/>
          <w:szCs w:val="24"/>
        </w:rPr>
      </w:pPr>
      <w:r>
        <w:rPr>
          <w:sz w:val="24"/>
          <w:szCs w:val="24"/>
        </w:rPr>
        <w:t>The contractor, FMG,</w:t>
      </w:r>
      <w:r w:rsidR="00DD73FD" w:rsidRPr="002E054D">
        <w:rPr>
          <w:sz w:val="24"/>
          <w:szCs w:val="24"/>
        </w:rPr>
        <w:t xml:space="preserve"> will conduct rigorous internal testing of the online survey instrument prior to its fielding. </w:t>
      </w:r>
      <w:r>
        <w:rPr>
          <w:sz w:val="24"/>
          <w:szCs w:val="24"/>
        </w:rPr>
        <w:t xml:space="preserve">Survey testers </w:t>
      </w:r>
      <w:r w:rsidR="00DD73FD" w:rsidRPr="002E054D">
        <w:rPr>
          <w:sz w:val="24"/>
          <w:szCs w:val="24"/>
        </w:rPr>
        <w:t xml:space="preserve">will review the online test version of the instrument that we will use to verify that instrument skip patterns are functioning properly, delivery of </w:t>
      </w:r>
      <w:r w:rsidR="008867E2">
        <w:rPr>
          <w:sz w:val="24"/>
          <w:szCs w:val="24"/>
        </w:rPr>
        <w:t>the $10</w:t>
      </w:r>
      <w:r w:rsidR="005A43E3">
        <w:rPr>
          <w:sz w:val="24"/>
          <w:szCs w:val="24"/>
        </w:rPr>
        <w:t xml:space="preserve"> gift card or ‘points’</w:t>
      </w:r>
      <w:r w:rsidR="008867E2">
        <w:rPr>
          <w:sz w:val="24"/>
          <w:szCs w:val="24"/>
        </w:rPr>
        <w:t xml:space="preserve"> </w:t>
      </w:r>
      <w:r w:rsidR="00FF77CC">
        <w:rPr>
          <w:sz w:val="24"/>
          <w:szCs w:val="24"/>
        </w:rPr>
        <w:t xml:space="preserve">as a </w:t>
      </w:r>
      <w:r w:rsidR="008867E2">
        <w:rPr>
          <w:sz w:val="24"/>
          <w:szCs w:val="24"/>
        </w:rPr>
        <w:t>token of appreciation</w:t>
      </w:r>
      <w:r w:rsidR="00090184">
        <w:rPr>
          <w:sz w:val="24"/>
          <w:szCs w:val="24"/>
        </w:rPr>
        <w:t xml:space="preserve"> </w:t>
      </w:r>
      <w:r w:rsidR="00DD73FD" w:rsidRPr="002E054D">
        <w:rPr>
          <w:sz w:val="24"/>
          <w:szCs w:val="24"/>
        </w:rPr>
        <w:t>is working properly, and that all survey questions are worded correctly and are in accordance with the instrument approved by OMB.</w:t>
      </w:r>
    </w:p>
    <w:p w14:paraId="61038573" w14:textId="77777777" w:rsidR="00DD73FD" w:rsidRDefault="00DD73FD" w:rsidP="00803D1E">
      <w:pPr>
        <w:ind w:left="720" w:hanging="720"/>
        <w:rPr>
          <w:b/>
          <w:sz w:val="24"/>
          <w:szCs w:val="24"/>
          <w:u w:val="single"/>
        </w:rPr>
      </w:pPr>
    </w:p>
    <w:p w14:paraId="5F236544" w14:textId="77777777" w:rsidR="008E416F" w:rsidRPr="00A77197" w:rsidRDefault="008E416F" w:rsidP="00803D1E">
      <w:pPr>
        <w:ind w:left="720" w:hanging="720"/>
        <w:rPr>
          <w:b/>
          <w:sz w:val="24"/>
          <w:szCs w:val="24"/>
          <w:u w:val="single"/>
        </w:rPr>
      </w:pPr>
      <w:r w:rsidRPr="00C343FC">
        <w:rPr>
          <w:b/>
          <w:sz w:val="24"/>
          <w:szCs w:val="24"/>
        </w:rPr>
        <w:t xml:space="preserve">5. </w:t>
      </w:r>
      <w:r w:rsidRPr="00A77197">
        <w:rPr>
          <w:b/>
          <w:sz w:val="24"/>
          <w:szCs w:val="24"/>
          <w:u w:val="single"/>
        </w:rPr>
        <w:t>Individuals Involved in Statistical Consultation and Information Collection</w:t>
      </w:r>
    </w:p>
    <w:p w14:paraId="6BF0CF65" w14:textId="77777777" w:rsidR="00F26E7B" w:rsidRDefault="00F26E7B" w:rsidP="00803D1E">
      <w:pPr>
        <w:rPr>
          <w:sz w:val="24"/>
          <w:szCs w:val="24"/>
        </w:rPr>
      </w:pPr>
    </w:p>
    <w:p w14:paraId="105152E6" w14:textId="77777777" w:rsidR="00DD73FD" w:rsidRPr="002E054D" w:rsidRDefault="00DD73FD" w:rsidP="00803D1E">
      <w:pPr>
        <w:rPr>
          <w:sz w:val="24"/>
          <w:szCs w:val="24"/>
        </w:rPr>
      </w:pPr>
      <w:bookmarkStart w:id="3" w:name="_Toc361824168"/>
      <w:bookmarkStart w:id="4" w:name="_Toc365037510"/>
      <w:r w:rsidRPr="002E054D">
        <w:rPr>
          <w:sz w:val="24"/>
          <w:szCs w:val="24"/>
        </w:rPr>
        <w:t>The following individuals inside the agency have been consulted on the design of the campaign evaluation plan, audience questionnaire development, or intra-agency coordination of information collection efforts:</w:t>
      </w:r>
    </w:p>
    <w:p w14:paraId="1AE6091D" w14:textId="77777777" w:rsidR="00DD73FD" w:rsidRPr="002E054D" w:rsidRDefault="00DD73FD" w:rsidP="00803D1E">
      <w:pPr>
        <w:rPr>
          <w:sz w:val="24"/>
          <w:szCs w:val="24"/>
        </w:rPr>
      </w:pPr>
    </w:p>
    <w:p w14:paraId="05F862EC" w14:textId="77777777" w:rsidR="00DD73FD" w:rsidRPr="002E054D" w:rsidRDefault="00DD73FD" w:rsidP="00803D1E">
      <w:pPr>
        <w:rPr>
          <w:sz w:val="24"/>
          <w:szCs w:val="24"/>
        </w:rPr>
      </w:pPr>
      <w:r w:rsidRPr="002E054D">
        <w:rPr>
          <w:sz w:val="24"/>
          <w:szCs w:val="24"/>
        </w:rPr>
        <w:t>Atanaska (Nasi) Dineva</w:t>
      </w:r>
    </w:p>
    <w:p w14:paraId="24F7B2DB" w14:textId="77777777" w:rsidR="00DD73FD" w:rsidRPr="002E054D" w:rsidRDefault="00DD73FD" w:rsidP="00803D1E">
      <w:pPr>
        <w:rPr>
          <w:sz w:val="24"/>
          <w:szCs w:val="24"/>
        </w:rPr>
      </w:pPr>
      <w:r w:rsidRPr="002E054D">
        <w:rPr>
          <w:sz w:val="24"/>
          <w:szCs w:val="24"/>
        </w:rPr>
        <w:t>Office of Health Communication &amp; Education</w:t>
      </w:r>
    </w:p>
    <w:p w14:paraId="4D953B19" w14:textId="77777777" w:rsidR="00DD73FD" w:rsidRPr="002E054D" w:rsidRDefault="00DD73FD" w:rsidP="00803D1E">
      <w:pPr>
        <w:rPr>
          <w:sz w:val="24"/>
          <w:szCs w:val="24"/>
        </w:rPr>
      </w:pPr>
      <w:r w:rsidRPr="002E054D">
        <w:rPr>
          <w:sz w:val="24"/>
          <w:szCs w:val="24"/>
        </w:rPr>
        <w:t>Center for Tobacco Products</w:t>
      </w:r>
    </w:p>
    <w:p w14:paraId="7109091E" w14:textId="77777777" w:rsidR="00DD73FD" w:rsidRPr="002E054D" w:rsidRDefault="00DD73FD" w:rsidP="00803D1E">
      <w:pPr>
        <w:rPr>
          <w:sz w:val="24"/>
          <w:szCs w:val="24"/>
        </w:rPr>
      </w:pPr>
      <w:r w:rsidRPr="002E054D">
        <w:rPr>
          <w:sz w:val="24"/>
          <w:szCs w:val="24"/>
        </w:rPr>
        <w:t>Food and Drug Administration</w:t>
      </w:r>
    </w:p>
    <w:p w14:paraId="02AFB857" w14:textId="77777777" w:rsidR="00DD73FD" w:rsidRPr="002E054D" w:rsidRDefault="00DD73FD" w:rsidP="00803D1E">
      <w:pPr>
        <w:rPr>
          <w:sz w:val="24"/>
          <w:szCs w:val="24"/>
        </w:rPr>
      </w:pPr>
      <w:r w:rsidRPr="002E054D">
        <w:rPr>
          <w:sz w:val="24"/>
          <w:szCs w:val="24"/>
        </w:rPr>
        <w:t>10903 New Hampshire Avenue</w:t>
      </w:r>
    </w:p>
    <w:p w14:paraId="2A3F9F93" w14:textId="77777777" w:rsidR="00DD73FD" w:rsidRPr="002E054D" w:rsidRDefault="00DD73FD" w:rsidP="00803D1E">
      <w:pPr>
        <w:rPr>
          <w:sz w:val="24"/>
          <w:szCs w:val="24"/>
        </w:rPr>
      </w:pPr>
      <w:r w:rsidRPr="002E054D">
        <w:rPr>
          <w:sz w:val="24"/>
          <w:szCs w:val="24"/>
        </w:rPr>
        <w:t>Silver Spring, MD 20993-0002</w:t>
      </w:r>
    </w:p>
    <w:p w14:paraId="65D98632" w14:textId="77777777" w:rsidR="00DD73FD" w:rsidRPr="002E054D" w:rsidRDefault="00DD73FD" w:rsidP="00803D1E">
      <w:pPr>
        <w:rPr>
          <w:sz w:val="24"/>
          <w:szCs w:val="24"/>
        </w:rPr>
      </w:pPr>
      <w:r w:rsidRPr="002E054D">
        <w:rPr>
          <w:sz w:val="24"/>
          <w:szCs w:val="24"/>
        </w:rPr>
        <w:t>Phone:</w:t>
      </w:r>
      <w:r w:rsidRPr="002E054D">
        <w:rPr>
          <w:sz w:val="24"/>
          <w:szCs w:val="24"/>
        </w:rPr>
        <w:tab/>
      </w:r>
      <w:r w:rsidR="00EE6EE9">
        <w:rPr>
          <w:sz w:val="24"/>
          <w:szCs w:val="24"/>
        </w:rPr>
        <w:t>(</w:t>
      </w:r>
      <w:r w:rsidRPr="002E054D">
        <w:rPr>
          <w:sz w:val="24"/>
          <w:szCs w:val="24"/>
        </w:rPr>
        <w:t>301</w:t>
      </w:r>
      <w:r w:rsidR="00EE6EE9">
        <w:rPr>
          <w:sz w:val="24"/>
          <w:szCs w:val="24"/>
        </w:rPr>
        <w:t xml:space="preserve">) </w:t>
      </w:r>
      <w:r w:rsidRPr="002E054D">
        <w:rPr>
          <w:sz w:val="24"/>
          <w:szCs w:val="24"/>
        </w:rPr>
        <w:t>796-4498</w:t>
      </w:r>
    </w:p>
    <w:p w14:paraId="64FE1B0E" w14:textId="77777777" w:rsidR="00DD73FD" w:rsidRPr="002E054D" w:rsidRDefault="00EE6EE9" w:rsidP="00803D1E">
      <w:pPr>
        <w:rPr>
          <w:sz w:val="24"/>
          <w:szCs w:val="24"/>
        </w:rPr>
      </w:pPr>
      <w:r>
        <w:rPr>
          <w:sz w:val="24"/>
          <w:szCs w:val="24"/>
        </w:rPr>
        <w:t>E</w:t>
      </w:r>
      <w:r w:rsidR="00DD73FD" w:rsidRPr="002E054D">
        <w:rPr>
          <w:sz w:val="24"/>
          <w:szCs w:val="24"/>
        </w:rPr>
        <w:t>mail:</w:t>
      </w:r>
      <w:r>
        <w:rPr>
          <w:sz w:val="24"/>
          <w:szCs w:val="24"/>
        </w:rPr>
        <w:t xml:space="preserve"> </w:t>
      </w:r>
      <w:hyperlink r:id="rId8" w:history="1">
        <w:r w:rsidRPr="001443E6">
          <w:rPr>
            <w:rStyle w:val="Hyperlink"/>
            <w:sz w:val="24"/>
            <w:szCs w:val="24"/>
          </w:rPr>
          <w:t>Atanaska.Dineva@fda.hhs.gov</w:t>
        </w:r>
      </w:hyperlink>
      <w:r>
        <w:rPr>
          <w:sz w:val="24"/>
          <w:szCs w:val="24"/>
        </w:rPr>
        <w:t xml:space="preserve"> </w:t>
      </w:r>
    </w:p>
    <w:p w14:paraId="0360E1B3" w14:textId="77777777" w:rsidR="00DD73FD" w:rsidRPr="002E054D" w:rsidRDefault="00DD73FD" w:rsidP="00803D1E">
      <w:pPr>
        <w:rPr>
          <w:sz w:val="24"/>
          <w:szCs w:val="24"/>
        </w:rPr>
      </w:pPr>
    </w:p>
    <w:p w14:paraId="36BF3BF0" w14:textId="77777777" w:rsidR="00DD73FD" w:rsidRPr="002E054D" w:rsidRDefault="00DD73FD" w:rsidP="00803D1E">
      <w:pPr>
        <w:rPr>
          <w:sz w:val="24"/>
          <w:szCs w:val="24"/>
        </w:rPr>
      </w:pPr>
      <w:r w:rsidRPr="002E054D">
        <w:rPr>
          <w:sz w:val="24"/>
          <w:szCs w:val="24"/>
        </w:rPr>
        <w:t>Chaunetta Jones</w:t>
      </w:r>
    </w:p>
    <w:p w14:paraId="616B2A98" w14:textId="77777777" w:rsidR="00DD73FD" w:rsidRPr="002E054D" w:rsidRDefault="00DD73FD" w:rsidP="00803D1E">
      <w:pPr>
        <w:rPr>
          <w:sz w:val="24"/>
          <w:szCs w:val="24"/>
        </w:rPr>
      </w:pPr>
      <w:r w:rsidRPr="002E054D">
        <w:rPr>
          <w:sz w:val="24"/>
          <w:szCs w:val="24"/>
        </w:rPr>
        <w:t>Office of Health Communication &amp; Education</w:t>
      </w:r>
    </w:p>
    <w:p w14:paraId="674E0333" w14:textId="77777777" w:rsidR="00DD73FD" w:rsidRPr="002E054D" w:rsidRDefault="00DD73FD" w:rsidP="00803D1E">
      <w:pPr>
        <w:rPr>
          <w:sz w:val="24"/>
          <w:szCs w:val="24"/>
        </w:rPr>
      </w:pPr>
      <w:r w:rsidRPr="002E054D">
        <w:rPr>
          <w:sz w:val="24"/>
          <w:szCs w:val="24"/>
        </w:rPr>
        <w:t>Center for Tobacco Products</w:t>
      </w:r>
    </w:p>
    <w:p w14:paraId="36DDB0A4" w14:textId="77777777" w:rsidR="00DD73FD" w:rsidRPr="002E054D" w:rsidRDefault="00DD73FD" w:rsidP="00803D1E">
      <w:pPr>
        <w:rPr>
          <w:sz w:val="24"/>
          <w:szCs w:val="24"/>
        </w:rPr>
      </w:pPr>
      <w:r w:rsidRPr="002E054D">
        <w:rPr>
          <w:sz w:val="24"/>
          <w:szCs w:val="24"/>
        </w:rPr>
        <w:t>Food and Drug Administration</w:t>
      </w:r>
    </w:p>
    <w:p w14:paraId="71CE59BE" w14:textId="77777777" w:rsidR="00DD73FD" w:rsidRPr="002E054D" w:rsidRDefault="00DD73FD" w:rsidP="00803D1E">
      <w:pPr>
        <w:rPr>
          <w:sz w:val="24"/>
          <w:szCs w:val="24"/>
        </w:rPr>
      </w:pPr>
      <w:r w:rsidRPr="002E054D">
        <w:rPr>
          <w:sz w:val="24"/>
          <w:szCs w:val="24"/>
        </w:rPr>
        <w:t>10903 New Hampshire Avenue</w:t>
      </w:r>
    </w:p>
    <w:p w14:paraId="1455C9E2" w14:textId="77777777" w:rsidR="00DD73FD" w:rsidRPr="002E054D" w:rsidRDefault="00DD73FD" w:rsidP="00803D1E">
      <w:pPr>
        <w:rPr>
          <w:sz w:val="24"/>
          <w:szCs w:val="24"/>
        </w:rPr>
      </w:pPr>
      <w:r w:rsidRPr="002E054D">
        <w:rPr>
          <w:sz w:val="24"/>
          <w:szCs w:val="24"/>
        </w:rPr>
        <w:t>Silver Spring, MD 20993-0002</w:t>
      </w:r>
    </w:p>
    <w:p w14:paraId="3A2EA052" w14:textId="77777777" w:rsidR="00DD73FD" w:rsidRPr="002E054D" w:rsidRDefault="00EE6EE9" w:rsidP="00803D1E">
      <w:pPr>
        <w:rPr>
          <w:sz w:val="24"/>
          <w:szCs w:val="24"/>
        </w:rPr>
      </w:pPr>
      <w:r>
        <w:rPr>
          <w:sz w:val="24"/>
          <w:szCs w:val="24"/>
        </w:rPr>
        <w:t>Phone:</w:t>
      </w:r>
      <w:r>
        <w:rPr>
          <w:sz w:val="24"/>
          <w:szCs w:val="24"/>
        </w:rPr>
        <w:tab/>
        <w:t xml:space="preserve">(240) </w:t>
      </w:r>
      <w:r w:rsidR="00DD73FD" w:rsidRPr="002E054D">
        <w:rPr>
          <w:sz w:val="24"/>
          <w:szCs w:val="24"/>
        </w:rPr>
        <w:t>402-0427</w:t>
      </w:r>
    </w:p>
    <w:p w14:paraId="29C92CA0" w14:textId="77777777" w:rsidR="00DD73FD" w:rsidRDefault="00EE6EE9" w:rsidP="00803D1E">
      <w:pPr>
        <w:rPr>
          <w:sz w:val="24"/>
          <w:szCs w:val="24"/>
        </w:rPr>
      </w:pPr>
      <w:r>
        <w:rPr>
          <w:sz w:val="24"/>
          <w:szCs w:val="24"/>
        </w:rPr>
        <w:t>Email:</w:t>
      </w:r>
      <w:r w:rsidR="00DD73FD" w:rsidRPr="002E054D">
        <w:rPr>
          <w:sz w:val="24"/>
          <w:szCs w:val="24"/>
        </w:rPr>
        <w:t xml:space="preserve"> </w:t>
      </w:r>
      <w:hyperlink r:id="rId9" w:history="1">
        <w:r w:rsidRPr="001443E6">
          <w:rPr>
            <w:rStyle w:val="Hyperlink"/>
            <w:sz w:val="24"/>
            <w:szCs w:val="24"/>
          </w:rPr>
          <w:t>Chaunetta.Jones@fda.hhs.gov</w:t>
        </w:r>
      </w:hyperlink>
      <w:r>
        <w:rPr>
          <w:sz w:val="24"/>
          <w:szCs w:val="24"/>
        </w:rPr>
        <w:t xml:space="preserve"> </w:t>
      </w:r>
    </w:p>
    <w:p w14:paraId="25C1D0DD" w14:textId="77777777" w:rsidR="00DD73FD" w:rsidRDefault="00DD73FD" w:rsidP="00803D1E">
      <w:pPr>
        <w:rPr>
          <w:sz w:val="24"/>
          <w:szCs w:val="24"/>
        </w:rPr>
      </w:pPr>
    </w:p>
    <w:p w14:paraId="177686DA" w14:textId="77777777" w:rsidR="00DD73FD" w:rsidRPr="002E054D" w:rsidRDefault="00DD73FD" w:rsidP="00803D1E">
      <w:pPr>
        <w:rPr>
          <w:sz w:val="24"/>
          <w:szCs w:val="24"/>
        </w:rPr>
      </w:pPr>
      <w:r w:rsidRPr="002E054D">
        <w:rPr>
          <w:sz w:val="24"/>
          <w:szCs w:val="24"/>
        </w:rPr>
        <w:t>Xiaoquan Zhao</w:t>
      </w:r>
    </w:p>
    <w:p w14:paraId="3920277F" w14:textId="77777777" w:rsidR="00DD73FD" w:rsidRPr="002E054D" w:rsidRDefault="00DD73FD" w:rsidP="00803D1E">
      <w:pPr>
        <w:rPr>
          <w:sz w:val="24"/>
          <w:szCs w:val="24"/>
        </w:rPr>
      </w:pPr>
      <w:r w:rsidRPr="002E054D">
        <w:rPr>
          <w:sz w:val="24"/>
          <w:szCs w:val="24"/>
        </w:rPr>
        <w:t>Office of Health Communication &amp; Education</w:t>
      </w:r>
    </w:p>
    <w:p w14:paraId="219805DC" w14:textId="77777777" w:rsidR="00DD73FD" w:rsidRPr="002E054D" w:rsidRDefault="00DD73FD" w:rsidP="00803D1E">
      <w:pPr>
        <w:rPr>
          <w:sz w:val="24"/>
          <w:szCs w:val="24"/>
        </w:rPr>
      </w:pPr>
      <w:r w:rsidRPr="002E054D">
        <w:rPr>
          <w:sz w:val="24"/>
          <w:szCs w:val="24"/>
        </w:rPr>
        <w:t>Center for Tobacco Products</w:t>
      </w:r>
    </w:p>
    <w:p w14:paraId="602590C7" w14:textId="77777777" w:rsidR="00DD73FD" w:rsidRPr="002E054D" w:rsidRDefault="00DD73FD" w:rsidP="00803D1E">
      <w:pPr>
        <w:rPr>
          <w:sz w:val="24"/>
          <w:szCs w:val="24"/>
        </w:rPr>
      </w:pPr>
      <w:r w:rsidRPr="002E054D">
        <w:rPr>
          <w:sz w:val="24"/>
          <w:szCs w:val="24"/>
        </w:rPr>
        <w:t>Food and Drug Administration</w:t>
      </w:r>
    </w:p>
    <w:p w14:paraId="1C30038D" w14:textId="77777777" w:rsidR="00DD73FD" w:rsidRPr="002E054D" w:rsidRDefault="00DD73FD" w:rsidP="00803D1E">
      <w:pPr>
        <w:rPr>
          <w:sz w:val="24"/>
          <w:szCs w:val="24"/>
        </w:rPr>
      </w:pPr>
      <w:r w:rsidRPr="002E054D">
        <w:rPr>
          <w:sz w:val="24"/>
          <w:szCs w:val="24"/>
        </w:rPr>
        <w:t>10903 New Hampshire Avenue</w:t>
      </w:r>
    </w:p>
    <w:p w14:paraId="79050938" w14:textId="77777777" w:rsidR="00DD73FD" w:rsidRPr="002E054D" w:rsidRDefault="00DD73FD" w:rsidP="00803D1E">
      <w:pPr>
        <w:rPr>
          <w:sz w:val="24"/>
          <w:szCs w:val="24"/>
        </w:rPr>
      </w:pPr>
      <w:r w:rsidRPr="002E054D">
        <w:rPr>
          <w:sz w:val="24"/>
          <w:szCs w:val="24"/>
        </w:rPr>
        <w:t>Silver Spring, MD 20993-0002</w:t>
      </w:r>
    </w:p>
    <w:p w14:paraId="513F90BE" w14:textId="77777777" w:rsidR="00DD73FD" w:rsidRPr="002E054D" w:rsidRDefault="00EE6EE9" w:rsidP="00803D1E">
      <w:pPr>
        <w:rPr>
          <w:sz w:val="24"/>
          <w:szCs w:val="24"/>
        </w:rPr>
      </w:pPr>
      <w:r>
        <w:rPr>
          <w:sz w:val="24"/>
          <w:szCs w:val="24"/>
        </w:rPr>
        <w:t>Phone:</w:t>
      </w:r>
      <w:r>
        <w:rPr>
          <w:sz w:val="24"/>
          <w:szCs w:val="24"/>
        </w:rPr>
        <w:tab/>
        <w:t xml:space="preserve">(240) </w:t>
      </w:r>
      <w:r w:rsidR="00DD73FD" w:rsidRPr="002E054D">
        <w:rPr>
          <w:sz w:val="24"/>
          <w:szCs w:val="24"/>
        </w:rPr>
        <w:t>402-0296</w:t>
      </w:r>
    </w:p>
    <w:p w14:paraId="0EA0BC57" w14:textId="77777777" w:rsidR="00DD73FD" w:rsidRPr="002E054D" w:rsidRDefault="00EE6EE9" w:rsidP="00803D1E">
      <w:pPr>
        <w:rPr>
          <w:sz w:val="24"/>
          <w:szCs w:val="24"/>
        </w:rPr>
      </w:pPr>
      <w:r>
        <w:rPr>
          <w:sz w:val="24"/>
          <w:szCs w:val="24"/>
        </w:rPr>
        <w:t>E</w:t>
      </w:r>
      <w:r w:rsidR="00DD73FD" w:rsidRPr="002E054D">
        <w:rPr>
          <w:sz w:val="24"/>
          <w:szCs w:val="24"/>
        </w:rPr>
        <w:t>mail:</w:t>
      </w:r>
      <w:r w:rsidR="00DD73FD" w:rsidRPr="002E054D">
        <w:rPr>
          <w:sz w:val="24"/>
          <w:szCs w:val="24"/>
        </w:rPr>
        <w:tab/>
      </w:r>
      <w:hyperlink r:id="rId10" w:history="1">
        <w:r w:rsidRPr="001443E6">
          <w:rPr>
            <w:rStyle w:val="Hyperlink"/>
            <w:sz w:val="24"/>
            <w:szCs w:val="24"/>
          </w:rPr>
          <w:t>Xiaoquan.Zhao@fda.hhs.gov</w:t>
        </w:r>
      </w:hyperlink>
      <w:r>
        <w:rPr>
          <w:sz w:val="24"/>
          <w:szCs w:val="24"/>
        </w:rPr>
        <w:t xml:space="preserve"> </w:t>
      </w:r>
    </w:p>
    <w:p w14:paraId="47661DFC" w14:textId="77777777" w:rsidR="00DD73FD" w:rsidRDefault="00DD73FD" w:rsidP="00803D1E">
      <w:pPr>
        <w:rPr>
          <w:sz w:val="24"/>
          <w:szCs w:val="24"/>
        </w:rPr>
      </w:pPr>
    </w:p>
    <w:p w14:paraId="33993838" w14:textId="77777777" w:rsidR="00EE6EE9" w:rsidRDefault="00EE6EE9" w:rsidP="00803D1E">
      <w:pPr>
        <w:rPr>
          <w:sz w:val="24"/>
          <w:szCs w:val="24"/>
        </w:rPr>
      </w:pPr>
      <w:r>
        <w:rPr>
          <w:sz w:val="24"/>
          <w:szCs w:val="24"/>
        </w:rPr>
        <w:t>Mario Navarro</w:t>
      </w:r>
    </w:p>
    <w:p w14:paraId="180E96DC" w14:textId="77777777" w:rsidR="00EE6EE9" w:rsidRDefault="00EE6EE9" w:rsidP="00803D1E">
      <w:pPr>
        <w:rPr>
          <w:sz w:val="24"/>
          <w:szCs w:val="24"/>
        </w:rPr>
      </w:pPr>
      <w:r>
        <w:rPr>
          <w:sz w:val="24"/>
          <w:szCs w:val="24"/>
        </w:rPr>
        <w:t xml:space="preserve">Office of Health Communication &amp; Education </w:t>
      </w:r>
    </w:p>
    <w:p w14:paraId="02BE3996" w14:textId="77777777" w:rsidR="00EE6EE9" w:rsidRDefault="00EE6EE9" w:rsidP="00803D1E">
      <w:pPr>
        <w:rPr>
          <w:sz w:val="24"/>
          <w:szCs w:val="24"/>
        </w:rPr>
      </w:pPr>
      <w:r>
        <w:rPr>
          <w:sz w:val="24"/>
          <w:szCs w:val="24"/>
        </w:rPr>
        <w:t>Center for Tobacco Products</w:t>
      </w:r>
    </w:p>
    <w:p w14:paraId="56B3E3CB" w14:textId="77777777" w:rsidR="00EE6EE9" w:rsidRPr="002E054D" w:rsidRDefault="00EE6EE9" w:rsidP="00803D1E">
      <w:pPr>
        <w:rPr>
          <w:sz w:val="24"/>
          <w:szCs w:val="24"/>
        </w:rPr>
      </w:pPr>
      <w:r>
        <w:rPr>
          <w:sz w:val="24"/>
          <w:szCs w:val="24"/>
        </w:rPr>
        <w:t xml:space="preserve">Food and Drug Administration </w:t>
      </w:r>
    </w:p>
    <w:p w14:paraId="4E36B458" w14:textId="77777777" w:rsidR="00EE6EE9" w:rsidRPr="002E054D" w:rsidRDefault="00EE6EE9" w:rsidP="00803D1E">
      <w:pPr>
        <w:rPr>
          <w:sz w:val="24"/>
          <w:szCs w:val="24"/>
        </w:rPr>
      </w:pPr>
      <w:r w:rsidRPr="002E054D">
        <w:rPr>
          <w:sz w:val="24"/>
          <w:szCs w:val="24"/>
        </w:rPr>
        <w:t>10903 New Hampshire Avenue</w:t>
      </w:r>
    </w:p>
    <w:p w14:paraId="23B17D65" w14:textId="77777777" w:rsidR="00EE6EE9" w:rsidRPr="002E054D" w:rsidRDefault="00EE6EE9" w:rsidP="00803D1E">
      <w:pPr>
        <w:rPr>
          <w:sz w:val="24"/>
          <w:szCs w:val="24"/>
        </w:rPr>
      </w:pPr>
      <w:r w:rsidRPr="002E054D">
        <w:rPr>
          <w:sz w:val="24"/>
          <w:szCs w:val="24"/>
        </w:rPr>
        <w:t>Silver Spring, MD 20993-0002</w:t>
      </w:r>
    </w:p>
    <w:p w14:paraId="6B2454F8" w14:textId="77777777" w:rsidR="00EE6EE9" w:rsidRDefault="00EE6EE9" w:rsidP="00803D1E">
      <w:pPr>
        <w:rPr>
          <w:sz w:val="24"/>
          <w:szCs w:val="24"/>
        </w:rPr>
      </w:pPr>
      <w:r>
        <w:rPr>
          <w:sz w:val="24"/>
          <w:szCs w:val="24"/>
        </w:rPr>
        <w:t>Phone:</w:t>
      </w:r>
      <w:r>
        <w:rPr>
          <w:sz w:val="24"/>
          <w:szCs w:val="24"/>
        </w:rPr>
        <w:tab/>
        <w:t>(240) 402-4963</w:t>
      </w:r>
    </w:p>
    <w:p w14:paraId="6BDCA0A8" w14:textId="77777777" w:rsidR="00EE6EE9" w:rsidRDefault="00EE6EE9" w:rsidP="00803D1E">
      <w:pPr>
        <w:rPr>
          <w:sz w:val="24"/>
          <w:szCs w:val="24"/>
        </w:rPr>
      </w:pPr>
      <w:r>
        <w:rPr>
          <w:sz w:val="24"/>
          <w:szCs w:val="24"/>
        </w:rPr>
        <w:t xml:space="preserve">Email: </w:t>
      </w:r>
      <w:hyperlink r:id="rId11" w:history="1">
        <w:r w:rsidRPr="001443E6">
          <w:rPr>
            <w:rStyle w:val="Hyperlink"/>
            <w:sz w:val="24"/>
            <w:szCs w:val="24"/>
          </w:rPr>
          <w:t>Mario.Navarro@fda.hhs.gov</w:t>
        </w:r>
      </w:hyperlink>
      <w:r>
        <w:rPr>
          <w:sz w:val="24"/>
          <w:szCs w:val="24"/>
        </w:rPr>
        <w:t xml:space="preserve"> </w:t>
      </w:r>
    </w:p>
    <w:p w14:paraId="0A0C42E6" w14:textId="77777777" w:rsidR="00EE6EE9" w:rsidRDefault="00EE6EE9" w:rsidP="00803D1E">
      <w:pPr>
        <w:rPr>
          <w:sz w:val="24"/>
          <w:szCs w:val="24"/>
        </w:rPr>
      </w:pPr>
    </w:p>
    <w:p w14:paraId="1A09215F" w14:textId="77777777" w:rsidR="00AE7290" w:rsidRDefault="00AE7290" w:rsidP="00803D1E">
      <w:pPr>
        <w:rPr>
          <w:sz w:val="24"/>
          <w:szCs w:val="24"/>
        </w:rPr>
      </w:pPr>
    </w:p>
    <w:p w14:paraId="4428131D" w14:textId="77777777" w:rsidR="00AE7290" w:rsidRDefault="00AE7290" w:rsidP="00803D1E">
      <w:pPr>
        <w:rPr>
          <w:sz w:val="24"/>
          <w:szCs w:val="24"/>
        </w:rPr>
      </w:pPr>
    </w:p>
    <w:p w14:paraId="136F1A65" w14:textId="6B52021D" w:rsidR="00EE6EE9" w:rsidRDefault="00EE6EE9" w:rsidP="00803D1E">
      <w:pPr>
        <w:rPr>
          <w:sz w:val="24"/>
          <w:szCs w:val="24"/>
        </w:rPr>
      </w:pPr>
      <w:r>
        <w:rPr>
          <w:sz w:val="24"/>
          <w:szCs w:val="24"/>
        </w:rPr>
        <w:t xml:space="preserve">Suzanne Lim </w:t>
      </w:r>
    </w:p>
    <w:p w14:paraId="285447F2" w14:textId="77777777" w:rsidR="00EE6EE9" w:rsidRDefault="00EE6EE9" w:rsidP="00803D1E">
      <w:pPr>
        <w:rPr>
          <w:sz w:val="24"/>
          <w:szCs w:val="24"/>
        </w:rPr>
      </w:pPr>
      <w:r>
        <w:rPr>
          <w:sz w:val="24"/>
          <w:szCs w:val="24"/>
        </w:rPr>
        <w:t>Office of Health Communication &amp; Education</w:t>
      </w:r>
    </w:p>
    <w:p w14:paraId="4458CBAE" w14:textId="77777777" w:rsidR="00EE6EE9" w:rsidRDefault="00EE6EE9" w:rsidP="00803D1E">
      <w:pPr>
        <w:rPr>
          <w:sz w:val="24"/>
          <w:szCs w:val="24"/>
        </w:rPr>
      </w:pPr>
      <w:r>
        <w:rPr>
          <w:sz w:val="24"/>
          <w:szCs w:val="24"/>
        </w:rPr>
        <w:t>Center for Tobacco Products</w:t>
      </w:r>
    </w:p>
    <w:p w14:paraId="1D8AB7F7" w14:textId="77777777" w:rsidR="00EE6EE9" w:rsidRPr="002E054D" w:rsidRDefault="00EE6EE9" w:rsidP="00803D1E">
      <w:pPr>
        <w:rPr>
          <w:sz w:val="24"/>
          <w:szCs w:val="24"/>
        </w:rPr>
      </w:pPr>
      <w:r>
        <w:rPr>
          <w:sz w:val="24"/>
          <w:szCs w:val="24"/>
        </w:rPr>
        <w:t xml:space="preserve">Food and Drug Administration   </w:t>
      </w:r>
    </w:p>
    <w:p w14:paraId="6DC04BD4" w14:textId="77777777" w:rsidR="00EE6EE9" w:rsidRPr="002E054D" w:rsidRDefault="00EE6EE9" w:rsidP="00803D1E">
      <w:pPr>
        <w:rPr>
          <w:sz w:val="24"/>
          <w:szCs w:val="24"/>
        </w:rPr>
      </w:pPr>
      <w:r w:rsidRPr="002E054D">
        <w:rPr>
          <w:sz w:val="24"/>
          <w:szCs w:val="24"/>
        </w:rPr>
        <w:t>10903 New Hampshire Avenue</w:t>
      </w:r>
    </w:p>
    <w:p w14:paraId="052A00B3" w14:textId="77777777" w:rsidR="00EE6EE9" w:rsidRPr="002E054D" w:rsidRDefault="00EE6EE9" w:rsidP="00803D1E">
      <w:pPr>
        <w:rPr>
          <w:sz w:val="24"/>
          <w:szCs w:val="24"/>
        </w:rPr>
      </w:pPr>
      <w:r w:rsidRPr="002E054D">
        <w:rPr>
          <w:sz w:val="24"/>
          <w:szCs w:val="24"/>
        </w:rPr>
        <w:t>Silver Spring, MD 20993-0002</w:t>
      </w:r>
    </w:p>
    <w:p w14:paraId="37699018" w14:textId="77777777" w:rsidR="00EE6EE9" w:rsidRDefault="00EE6EE9" w:rsidP="00832536">
      <w:pPr>
        <w:rPr>
          <w:sz w:val="24"/>
          <w:szCs w:val="24"/>
        </w:rPr>
      </w:pPr>
      <w:r>
        <w:rPr>
          <w:sz w:val="24"/>
          <w:szCs w:val="24"/>
        </w:rPr>
        <w:t>Phone:</w:t>
      </w:r>
      <w:r>
        <w:rPr>
          <w:sz w:val="24"/>
          <w:szCs w:val="24"/>
        </w:rPr>
        <w:tab/>
        <w:t>(240) 402-1712</w:t>
      </w:r>
    </w:p>
    <w:p w14:paraId="67C9C3FB" w14:textId="77777777" w:rsidR="00EE6EE9" w:rsidRDefault="00EE6EE9" w:rsidP="00832536">
      <w:pPr>
        <w:rPr>
          <w:sz w:val="24"/>
          <w:szCs w:val="24"/>
        </w:rPr>
      </w:pPr>
      <w:r>
        <w:rPr>
          <w:sz w:val="24"/>
          <w:szCs w:val="24"/>
        </w:rPr>
        <w:t xml:space="preserve">Email: </w:t>
      </w:r>
      <w:hyperlink r:id="rId12" w:history="1">
        <w:r w:rsidRPr="001443E6">
          <w:rPr>
            <w:rStyle w:val="Hyperlink"/>
            <w:sz w:val="24"/>
            <w:szCs w:val="24"/>
          </w:rPr>
          <w:t>Suzanne.Lim@fda.hhs.gov</w:t>
        </w:r>
      </w:hyperlink>
      <w:r>
        <w:rPr>
          <w:sz w:val="24"/>
          <w:szCs w:val="24"/>
        </w:rPr>
        <w:t xml:space="preserve"> </w:t>
      </w:r>
    </w:p>
    <w:p w14:paraId="4270572A" w14:textId="77777777" w:rsidR="00DD73FD" w:rsidRPr="002E054D" w:rsidRDefault="00DD73FD" w:rsidP="00832536">
      <w:pPr>
        <w:rPr>
          <w:sz w:val="24"/>
          <w:szCs w:val="24"/>
        </w:rPr>
      </w:pPr>
    </w:p>
    <w:p w14:paraId="6ACCBE12" w14:textId="50720DAF" w:rsidR="00333E05" w:rsidRDefault="00333E05" w:rsidP="00832536">
      <w:pPr>
        <w:rPr>
          <w:sz w:val="24"/>
          <w:szCs w:val="24"/>
        </w:rPr>
      </w:pPr>
    </w:p>
    <w:p w14:paraId="4BA4B43F" w14:textId="77777777" w:rsidR="00DD73FD" w:rsidRPr="002E054D" w:rsidRDefault="00DD73FD" w:rsidP="00832536">
      <w:pPr>
        <w:rPr>
          <w:sz w:val="24"/>
          <w:szCs w:val="24"/>
        </w:rPr>
      </w:pPr>
      <w:r w:rsidRPr="002E054D">
        <w:rPr>
          <w:sz w:val="24"/>
          <w:szCs w:val="24"/>
        </w:rPr>
        <w:t>The following individuals outside of the agency have been consulted on questionnaire development.</w:t>
      </w:r>
    </w:p>
    <w:p w14:paraId="08A3AA89" w14:textId="77777777" w:rsidR="00DD73FD" w:rsidRPr="002E054D" w:rsidRDefault="00DD73FD" w:rsidP="00832536">
      <w:pPr>
        <w:rPr>
          <w:sz w:val="24"/>
          <w:szCs w:val="24"/>
        </w:rPr>
      </w:pPr>
    </w:p>
    <w:p w14:paraId="09D1EE7D" w14:textId="77777777" w:rsidR="00EE6EE9" w:rsidRDefault="00EE6EE9" w:rsidP="00832536">
      <w:pPr>
        <w:rPr>
          <w:sz w:val="24"/>
          <w:szCs w:val="24"/>
        </w:rPr>
      </w:pPr>
      <w:r>
        <w:rPr>
          <w:sz w:val="24"/>
          <w:szCs w:val="24"/>
        </w:rPr>
        <w:t>Amanda Carpenter</w:t>
      </w:r>
    </w:p>
    <w:p w14:paraId="55B6E509" w14:textId="77777777" w:rsidR="00EE6EE9" w:rsidRDefault="00EE6EE9" w:rsidP="00832536">
      <w:pPr>
        <w:rPr>
          <w:sz w:val="24"/>
          <w:szCs w:val="24"/>
        </w:rPr>
      </w:pPr>
      <w:r>
        <w:rPr>
          <w:sz w:val="24"/>
          <w:szCs w:val="24"/>
        </w:rPr>
        <w:t>Fors Marsh Group</w:t>
      </w:r>
    </w:p>
    <w:p w14:paraId="647D69E0" w14:textId="77777777" w:rsidR="00EE6EE9" w:rsidRDefault="00EE6EE9" w:rsidP="00832536">
      <w:pPr>
        <w:rPr>
          <w:sz w:val="24"/>
          <w:szCs w:val="24"/>
        </w:rPr>
      </w:pPr>
      <w:r>
        <w:rPr>
          <w:sz w:val="24"/>
          <w:szCs w:val="24"/>
        </w:rPr>
        <w:t xml:space="preserve">1010 N. Glebe Rd. </w:t>
      </w:r>
    </w:p>
    <w:p w14:paraId="3A53ADE3" w14:textId="77777777" w:rsidR="00EE6EE9" w:rsidRDefault="00EE6EE9" w:rsidP="00832536">
      <w:pPr>
        <w:rPr>
          <w:sz w:val="24"/>
          <w:szCs w:val="24"/>
        </w:rPr>
      </w:pPr>
      <w:r>
        <w:rPr>
          <w:sz w:val="24"/>
          <w:szCs w:val="24"/>
        </w:rPr>
        <w:t>Suite 510</w:t>
      </w:r>
    </w:p>
    <w:p w14:paraId="3742AC71" w14:textId="77777777" w:rsidR="00EE6EE9" w:rsidRDefault="00EE6EE9" w:rsidP="00832536">
      <w:pPr>
        <w:rPr>
          <w:sz w:val="24"/>
          <w:szCs w:val="24"/>
        </w:rPr>
      </w:pPr>
      <w:r>
        <w:rPr>
          <w:sz w:val="24"/>
          <w:szCs w:val="24"/>
        </w:rPr>
        <w:t xml:space="preserve">Arlington, VA 22201 </w:t>
      </w:r>
    </w:p>
    <w:p w14:paraId="13DE2FC3" w14:textId="77777777" w:rsidR="00EE6EE9" w:rsidRDefault="00EE6EE9" w:rsidP="00832536">
      <w:pPr>
        <w:rPr>
          <w:sz w:val="24"/>
          <w:szCs w:val="24"/>
        </w:rPr>
      </w:pPr>
      <w:r>
        <w:rPr>
          <w:sz w:val="24"/>
          <w:szCs w:val="24"/>
        </w:rPr>
        <w:t>Phone: (571) 858-3765</w:t>
      </w:r>
    </w:p>
    <w:p w14:paraId="4DDB14F8" w14:textId="77777777" w:rsidR="00EE6EE9" w:rsidRDefault="00EE6EE9" w:rsidP="00832536">
      <w:pPr>
        <w:rPr>
          <w:sz w:val="24"/>
          <w:szCs w:val="24"/>
        </w:rPr>
      </w:pPr>
      <w:r>
        <w:rPr>
          <w:sz w:val="24"/>
          <w:szCs w:val="24"/>
        </w:rPr>
        <w:t xml:space="preserve">Email: </w:t>
      </w:r>
      <w:hyperlink r:id="rId13" w:history="1">
        <w:r w:rsidRPr="001443E6">
          <w:rPr>
            <w:rStyle w:val="Hyperlink"/>
            <w:sz w:val="24"/>
            <w:szCs w:val="24"/>
          </w:rPr>
          <w:t>acarpenter@forsmarshgroup.com</w:t>
        </w:r>
      </w:hyperlink>
      <w:r>
        <w:rPr>
          <w:sz w:val="24"/>
          <w:szCs w:val="24"/>
        </w:rPr>
        <w:t xml:space="preserve"> </w:t>
      </w:r>
    </w:p>
    <w:bookmarkEnd w:id="3"/>
    <w:bookmarkEnd w:id="4"/>
    <w:p w14:paraId="68C052B8" w14:textId="77777777" w:rsidR="00EE6EE9" w:rsidRDefault="00EE6EE9" w:rsidP="00832536">
      <w:pPr>
        <w:rPr>
          <w:sz w:val="24"/>
          <w:szCs w:val="24"/>
        </w:rPr>
      </w:pPr>
    </w:p>
    <w:p w14:paraId="35325AE0" w14:textId="77777777" w:rsidR="00EE6EE9" w:rsidRDefault="00EE6EE9" w:rsidP="00832536">
      <w:pPr>
        <w:rPr>
          <w:sz w:val="24"/>
          <w:szCs w:val="24"/>
        </w:rPr>
      </w:pPr>
      <w:r>
        <w:rPr>
          <w:sz w:val="24"/>
          <w:szCs w:val="24"/>
        </w:rPr>
        <w:t xml:space="preserve">Shane Mannis </w:t>
      </w:r>
    </w:p>
    <w:p w14:paraId="67D50AC8" w14:textId="77777777" w:rsidR="00EE6EE9" w:rsidRDefault="00EE6EE9" w:rsidP="00832536">
      <w:pPr>
        <w:rPr>
          <w:sz w:val="24"/>
          <w:szCs w:val="24"/>
        </w:rPr>
      </w:pPr>
      <w:r>
        <w:rPr>
          <w:sz w:val="24"/>
          <w:szCs w:val="24"/>
        </w:rPr>
        <w:t xml:space="preserve">Fors Marsh Group </w:t>
      </w:r>
    </w:p>
    <w:p w14:paraId="730B7877" w14:textId="77777777" w:rsidR="00EE6EE9" w:rsidRDefault="00EE6EE9" w:rsidP="00832536">
      <w:pPr>
        <w:rPr>
          <w:sz w:val="24"/>
          <w:szCs w:val="24"/>
        </w:rPr>
      </w:pPr>
      <w:r>
        <w:rPr>
          <w:sz w:val="24"/>
          <w:szCs w:val="24"/>
        </w:rPr>
        <w:t>1010 N. Glebe Rd.</w:t>
      </w:r>
    </w:p>
    <w:p w14:paraId="1A1956F5" w14:textId="77777777" w:rsidR="00EE6EE9" w:rsidRDefault="00EE6EE9" w:rsidP="00832536">
      <w:pPr>
        <w:rPr>
          <w:sz w:val="24"/>
          <w:szCs w:val="24"/>
        </w:rPr>
      </w:pPr>
      <w:r>
        <w:rPr>
          <w:sz w:val="24"/>
          <w:szCs w:val="24"/>
        </w:rPr>
        <w:t>Suite 510</w:t>
      </w:r>
    </w:p>
    <w:p w14:paraId="5929B3DE" w14:textId="77777777" w:rsidR="00EE6EE9" w:rsidRDefault="00EE6EE9" w:rsidP="00832536">
      <w:pPr>
        <w:rPr>
          <w:sz w:val="24"/>
          <w:szCs w:val="24"/>
        </w:rPr>
      </w:pPr>
      <w:r>
        <w:rPr>
          <w:sz w:val="24"/>
          <w:szCs w:val="24"/>
        </w:rPr>
        <w:t>Arlington, VA 22201</w:t>
      </w:r>
    </w:p>
    <w:p w14:paraId="2FE634B3" w14:textId="77777777" w:rsidR="00EE6EE9" w:rsidRDefault="00EE6EE9" w:rsidP="00832536">
      <w:pPr>
        <w:rPr>
          <w:sz w:val="24"/>
          <w:szCs w:val="24"/>
        </w:rPr>
      </w:pPr>
      <w:r>
        <w:rPr>
          <w:sz w:val="24"/>
          <w:szCs w:val="24"/>
        </w:rPr>
        <w:t>Phone: (571) 444-1109</w:t>
      </w:r>
    </w:p>
    <w:p w14:paraId="2D8083D5" w14:textId="77777777" w:rsidR="00DD73FD" w:rsidRPr="002E054D" w:rsidRDefault="00EE6EE9" w:rsidP="00832536">
      <w:pPr>
        <w:rPr>
          <w:b/>
          <w:sz w:val="24"/>
          <w:szCs w:val="24"/>
        </w:rPr>
      </w:pPr>
      <w:r>
        <w:rPr>
          <w:sz w:val="24"/>
          <w:szCs w:val="24"/>
        </w:rPr>
        <w:t xml:space="preserve">Email: </w:t>
      </w:r>
      <w:hyperlink r:id="rId14" w:history="1">
        <w:r w:rsidRPr="001443E6">
          <w:rPr>
            <w:rStyle w:val="Hyperlink"/>
            <w:sz w:val="24"/>
            <w:szCs w:val="24"/>
          </w:rPr>
          <w:t>smannis@forsmarshgroup.com</w:t>
        </w:r>
      </w:hyperlink>
      <w:r>
        <w:rPr>
          <w:sz w:val="24"/>
          <w:szCs w:val="24"/>
        </w:rPr>
        <w:t xml:space="preserve"> </w:t>
      </w:r>
      <w:r w:rsidR="00DD73FD" w:rsidRPr="002E054D">
        <w:rPr>
          <w:b/>
          <w:sz w:val="24"/>
          <w:szCs w:val="24"/>
        </w:rPr>
        <w:br w:type="page"/>
        <w:t>References</w:t>
      </w:r>
    </w:p>
    <w:p w14:paraId="364E3CD3" w14:textId="77777777" w:rsidR="00DD73FD" w:rsidRDefault="00DD73FD" w:rsidP="00832536">
      <w:pPr>
        <w:rPr>
          <w:sz w:val="24"/>
          <w:szCs w:val="24"/>
        </w:rPr>
      </w:pPr>
    </w:p>
    <w:p w14:paraId="21678DF3" w14:textId="77777777" w:rsidR="00AC7AF7" w:rsidRPr="00713BD6" w:rsidRDefault="00AC7AF7" w:rsidP="00713BD6">
      <w:pPr>
        <w:spacing w:after="200"/>
        <w:ind w:left="720" w:hanging="720"/>
        <w:rPr>
          <w:color w:val="000000" w:themeColor="text1"/>
          <w:sz w:val="24"/>
          <w:szCs w:val="24"/>
          <w:shd w:val="clear" w:color="auto" w:fill="FFFFFF"/>
        </w:rPr>
      </w:pPr>
      <w:r w:rsidRPr="00713BD6">
        <w:rPr>
          <w:color w:val="000000" w:themeColor="text1"/>
          <w:sz w:val="24"/>
          <w:szCs w:val="24"/>
          <w:shd w:val="clear" w:color="auto" w:fill="FFFFFF"/>
        </w:rPr>
        <w:t xml:space="preserve">Abreu, D. A., &amp; Winters, F. (1999). Using monetary incentives to reduce attrition in the survey of income and program participation. In: U.S. Census Bureau. </w:t>
      </w:r>
      <w:r w:rsidRPr="00713BD6">
        <w:rPr>
          <w:i/>
          <w:iCs/>
          <w:color w:val="000000" w:themeColor="text1"/>
          <w:sz w:val="24"/>
          <w:szCs w:val="24"/>
          <w:shd w:val="clear" w:color="auto" w:fill="FFFFFF"/>
        </w:rPr>
        <w:t>Proceedings of the Survey Research Methods</w:t>
      </w:r>
      <w:r w:rsidRPr="00713BD6">
        <w:rPr>
          <w:iCs/>
          <w:color w:val="000000" w:themeColor="text1"/>
          <w:sz w:val="24"/>
          <w:szCs w:val="24"/>
          <w:shd w:val="clear" w:color="auto" w:fill="FFFFFF"/>
        </w:rPr>
        <w:t>,</w:t>
      </w:r>
      <w:r w:rsidRPr="00713BD6" w:rsidDel="00906383">
        <w:rPr>
          <w:iCs/>
          <w:color w:val="000000" w:themeColor="text1"/>
          <w:sz w:val="24"/>
          <w:szCs w:val="24"/>
          <w:shd w:val="clear" w:color="auto" w:fill="FFFFFF"/>
        </w:rPr>
        <w:t xml:space="preserve"> </w:t>
      </w:r>
      <w:r w:rsidRPr="00713BD6">
        <w:rPr>
          <w:color w:val="000000" w:themeColor="text1"/>
          <w:sz w:val="24"/>
          <w:szCs w:val="24"/>
          <w:shd w:val="clear" w:color="auto" w:fill="FFFFFF"/>
        </w:rPr>
        <w:t>533-538.</w:t>
      </w:r>
    </w:p>
    <w:p w14:paraId="0067C7DE" w14:textId="77777777" w:rsidR="003A3F3F" w:rsidRPr="00713BD6" w:rsidRDefault="003A3F3F" w:rsidP="00713BD6">
      <w:pPr>
        <w:spacing w:after="240"/>
        <w:ind w:left="720" w:hanging="720"/>
        <w:rPr>
          <w:color w:val="000000" w:themeColor="text1"/>
          <w:sz w:val="24"/>
          <w:szCs w:val="24"/>
          <w:shd w:val="clear" w:color="auto" w:fill="FFFFFF"/>
        </w:rPr>
      </w:pPr>
      <w:r w:rsidRPr="00713BD6">
        <w:rPr>
          <w:color w:val="000000" w:themeColor="text1"/>
          <w:sz w:val="24"/>
          <w:szCs w:val="24"/>
          <w:shd w:val="clear" w:color="auto" w:fill="FFFFFF"/>
        </w:rPr>
        <w:t xml:space="preserve">Booker, C.L., Harding, S., Benzeval, M. (2011). A systematic review of the effect of retention methods in population-based cohort studies. </w:t>
      </w:r>
      <w:r w:rsidRPr="00713BD6">
        <w:rPr>
          <w:i/>
          <w:color w:val="000000" w:themeColor="text1"/>
          <w:sz w:val="24"/>
          <w:szCs w:val="24"/>
          <w:shd w:val="clear" w:color="auto" w:fill="FFFFFF"/>
        </w:rPr>
        <w:t>BMC Public Health, 11</w:t>
      </w:r>
      <w:r w:rsidRPr="00713BD6">
        <w:rPr>
          <w:color w:val="000000" w:themeColor="text1"/>
          <w:sz w:val="24"/>
          <w:szCs w:val="24"/>
          <w:shd w:val="clear" w:color="auto" w:fill="FFFFFF"/>
        </w:rPr>
        <w:t>, 249.</w:t>
      </w:r>
    </w:p>
    <w:p w14:paraId="286B3C88" w14:textId="77777777" w:rsidR="003A3F3F" w:rsidRPr="00713BD6" w:rsidRDefault="003A3F3F" w:rsidP="00713BD6">
      <w:pPr>
        <w:spacing w:after="200"/>
        <w:ind w:left="720" w:hanging="720"/>
        <w:rPr>
          <w:color w:val="000000" w:themeColor="text1"/>
          <w:sz w:val="24"/>
          <w:szCs w:val="24"/>
          <w:shd w:val="clear" w:color="auto" w:fill="FFFFFF"/>
        </w:rPr>
      </w:pPr>
      <w:r w:rsidRPr="00713BD6">
        <w:rPr>
          <w:color w:val="000000" w:themeColor="text1"/>
          <w:sz w:val="24"/>
          <w:szCs w:val="24"/>
          <w:shd w:val="clear" w:color="auto" w:fill="FFFFFF"/>
        </w:rPr>
        <w:t xml:space="preserve">Caldwell, P.H., Hamilton, S., Tan, A., &amp; Craig, J.C. (2010). Strategies for increasing recruitment to randomised controlled trials: Systematic review. </w:t>
      </w:r>
      <w:r w:rsidRPr="00713BD6">
        <w:rPr>
          <w:i/>
          <w:color w:val="000000" w:themeColor="text1"/>
          <w:sz w:val="24"/>
          <w:szCs w:val="24"/>
          <w:shd w:val="clear" w:color="auto" w:fill="FFFFFF"/>
        </w:rPr>
        <w:t>PLoS Medicine, 7</w:t>
      </w:r>
      <w:r w:rsidRPr="00713BD6">
        <w:rPr>
          <w:color w:val="000000" w:themeColor="text1"/>
          <w:sz w:val="24"/>
          <w:szCs w:val="24"/>
          <w:shd w:val="clear" w:color="auto" w:fill="FFFFFF"/>
        </w:rPr>
        <w:t>(11), e1000368.</w:t>
      </w:r>
    </w:p>
    <w:p w14:paraId="34FDFFAE" w14:textId="77777777" w:rsidR="003A3F3F" w:rsidRPr="00713BD6" w:rsidRDefault="003A3F3F" w:rsidP="00713BD6">
      <w:pPr>
        <w:spacing w:after="200"/>
        <w:ind w:left="720" w:hanging="720"/>
        <w:rPr>
          <w:color w:val="000000" w:themeColor="text1"/>
          <w:sz w:val="24"/>
          <w:szCs w:val="24"/>
          <w:shd w:val="clear" w:color="auto" w:fill="FFFFFF"/>
        </w:rPr>
      </w:pPr>
      <w:r w:rsidRPr="00713BD6">
        <w:rPr>
          <w:color w:val="000000" w:themeColor="text1"/>
          <w:sz w:val="24"/>
          <w:szCs w:val="24"/>
          <w:shd w:val="clear" w:color="auto" w:fill="FFFFFF"/>
        </w:rPr>
        <w:t>Castiglioni, L., Pforr, K., Krieger, U. (2008). The effect of incentives on response rates and panel attrition: Results of a controlled experiment.</w:t>
      </w:r>
      <w:r w:rsidRPr="00713BD6" w:rsidDel="00D42CBC">
        <w:rPr>
          <w:color w:val="000000" w:themeColor="text1"/>
          <w:sz w:val="24"/>
          <w:szCs w:val="24"/>
          <w:shd w:val="clear" w:color="auto" w:fill="FFFFFF"/>
        </w:rPr>
        <w:t xml:space="preserve"> </w:t>
      </w:r>
      <w:r w:rsidRPr="00713BD6">
        <w:rPr>
          <w:i/>
          <w:iCs/>
          <w:color w:val="000000" w:themeColor="text1"/>
          <w:sz w:val="24"/>
          <w:szCs w:val="24"/>
          <w:shd w:val="clear" w:color="auto" w:fill="FFFFFF"/>
        </w:rPr>
        <w:t xml:space="preserve">Survey Research Methods, </w:t>
      </w:r>
      <w:r w:rsidRPr="00713BD6">
        <w:rPr>
          <w:i/>
          <w:color w:val="000000" w:themeColor="text1"/>
          <w:sz w:val="24"/>
          <w:szCs w:val="24"/>
          <w:shd w:val="clear" w:color="auto" w:fill="FFFFFF"/>
        </w:rPr>
        <w:t>2</w:t>
      </w:r>
      <w:r w:rsidRPr="00713BD6">
        <w:rPr>
          <w:color w:val="000000" w:themeColor="text1"/>
          <w:sz w:val="24"/>
          <w:szCs w:val="24"/>
          <w:shd w:val="clear" w:color="auto" w:fill="FFFFFF"/>
        </w:rPr>
        <w:t>(3), 151-158.</w:t>
      </w:r>
    </w:p>
    <w:p w14:paraId="296D5E5C" w14:textId="77777777" w:rsidR="003A3F3F" w:rsidRPr="00713BD6" w:rsidRDefault="003A3F3F" w:rsidP="00713BD6">
      <w:pPr>
        <w:widowControl w:val="0"/>
        <w:autoSpaceDE w:val="0"/>
        <w:autoSpaceDN w:val="0"/>
        <w:adjustRightInd w:val="0"/>
        <w:spacing w:after="240"/>
        <w:ind w:left="720" w:hanging="720"/>
        <w:rPr>
          <w:color w:val="000000" w:themeColor="text1"/>
          <w:sz w:val="24"/>
          <w:szCs w:val="24"/>
        </w:rPr>
      </w:pPr>
      <w:r w:rsidRPr="00713BD6">
        <w:rPr>
          <w:color w:val="000000" w:themeColor="text1"/>
          <w:sz w:val="24"/>
          <w:szCs w:val="24"/>
        </w:rPr>
        <w:t xml:space="preserve">Giuliano, A.R., Mokuau, N., Hughes, C., Tortolero-Luna, G., Risendal, B., Ho, R.C.S., … McCaskill-Stevens, W.J. (2000). Participation of miniorities in cancer research. </w:t>
      </w:r>
      <w:r w:rsidRPr="00713BD6">
        <w:rPr>
          <w:i/>
          <w:color w:val="000000" w:themeColor="text1"/>
          <w:sz w:val="24"/>
          <w:szCs w:val="24"/>
        </w:rPr>
        <w:t>Annals of Epidemiology, 10</w:t>
      </w:r>
      <w:r w:rsidRPr="00713BD6">
        <w:rPr>
          <w:color w:val="000000" w:themeColor="text1"/>
          <w:sz w:val="24"/>
          <w:szCs w:val="24"/>
        </w:rPr>
        <w:t>(8 Suppl 1), S22-S34.</w:t>
      </w:r>
    </w:p>
    <w:p w14:paraId="63C9C0CB" w14:textId="77777777" w:rsidR="003A3F3F" w:rsidRPr="00713BD6" w:rsidRDefault="003A3F3F" w:rsidP="00713BD6">
      <w:pPr>
        <w:spacing w:before="100" w:beforeAutospacing="1" w:after="100" w:afterAutospacing="1"/>
        <w:ind w:left="720" w:hanging="720"/>
        <w:rPr>
          <w:sz w:val="24"/>
          <w:szCs w:val="24"/>
        </w:rPr>
      </w:pPr>
      <w:r w:rsidRPr="00713BD6">
        <w:rPr>
          <w:color w:val="000000" w:themeColor="text1"/>
          <w:sz w:val="24"/>
          <w:szCs w:val="24"/>
        </w:rPr>
        <w:t xml:space="preserve">Hooven, C., Walsh, E., Willgerodt, M., &amp; Salazar, A. (2011). Increasing participation in prevention research: Strategies for youth, parents, and schools. </w:t>
      </w:r>
      <w:r w:rsidRPr="00713BD6">
        <w:rPr>
          <w:i/>
          <w:color w:val="000000" w:themeColor="text1"/>
          <w:sz w:val="24"/>
          <w:szCs w:val="24"/>
        </w:rPr>
        <w:t>Journal of Child and Adolescent Psychiatric Nursing, 24</w:t>
      </w:r>
      <w:r w:rsidRPr="00713BD6">
        <w:rPr>
          <w:color w:val="000000" w:themeColor="text1"/>
          <w:sz w:val="24"/>
          <w:szCs w:val="24"/>
        </w:rPr>
        <w:t>(3), 137-149.</w:t>
      </w:r>
    </w:p>
    <w:p w14:paraId="6CEC82C6" w14:textId="77777777" w:rsidR="003A3F3F" w:rsidRPr="00713BD6" w:rsidRDefault="003A3F3F" w:rsidP="00713BD6">
      <w:pPr>
        <w:widowControl w:val="0"/>
        <w:autoSpaceDE w:val="0"/>
        <w:autoSpaceDN w:val="0"/>
        <w:adjustRightInd w:val="0"/>
        <w:spacing w:after="240"/>
        <w:ind w:left="720" w:hanging="720"/>
        <w:rPr>
          <w:color w:val="000000" w:themeColor="text1"/>
          <w:sz w:val="24"/>
          <w:szCs w:val="24"/>
        </w:rPr>
      </w:pPr>
      <w:r w:rsidRPr="00713BD6">
        <w:rPr>
          <w:color w:val="000000" w:themeColor="text1"/>
          <w:sz w:val="24"/>
          <w:szCs w:val="24"/>
        </w:rPr>
        <w:t xml:space="preserve">Martinson, B.C., Lazovich, D., Lando, H.A., Perry, C.L., McGovern, P.G., &amp; Boyle, R.G. (2000). Effectiveness of monetary incentives for recruiting adolescents to an intervention trial to reduce smoking. </w:t>
      </w:r>
      <w:r w:rsidRPr="00713BD6">
        <w:rPr>
          <w:i/>
          <w:color w:val="000000" w:themeColor="text1"/>
          <w:sz w:val="24"/>
          <w:szCs w:val="24"/>
        </w:rPr>
        <w:t>Preventive Medicine, 31</w:t>
      </w:r>
      <w:r w:rsidRPr="00713BD6">
        <w:rPr>
          <w:color w:val="000000" w:themeColor="text1"/>
          <w:sz w:val="24"/>
          <w:szCs w:val="24"/>
        </w:rPr>
        <w:t>(6), 706-713.</w:t>
      </w:r>
    </w:p>
    <w:p w14:paraId="3BF8FCA8" w14:textId="604733E5" w:rsidR="00832536" w:rsidRPr="00713BD6" w:rsidRDefault="003A3F3F" w:rsidP="00713BD6">
      <w:pPr>
        <w:widowControl w:val="0"/>
        <w:autoSpaceDE w:val="0"/>
        <w:autoSpaceDN w:val="0"/>
        <w:adjustRightInd w:val="0"/>
        <w:spacing w:after="240"/>
        <w:ind w:left="720" w:hanging="720"/>
        <w:rPr>
          <w:color w:val="000000" w:themeColor="text1"/>
          <w:sz w:val="24"/>
          <w:szCs w:val="24"/>
        </w:rPr>
      </w:pPr>
      <w:r w:rsidRPr="00713BD6">
        <w:rPr>
          <w:color w:val="000000" w:themeColor="text1"/>
          <w:sz w:val="24"/>
          <w:szCs w:val="24"/>
        </w:rPr>
        <w:t xml:space="preserve">Murthy, V.H., Krumholz, H.M., &amp; Gross, C.P. (2004). Participation in cancer clinical trials: Race-, sex-, and age-based disparities. </w:t>
      </w:r>
      <w:r w:rsidRPr="00713BD6">
        <w:rPr>
          <w:i/>
          <w:color w:val="000000" w:themeColor="text1"/>
          <w:sz w:val="24"/>
          <w:szCs w:val="24"/>
        </w:rPr>
        <w:t>Journal of the American Medical Association, 291</w:t>
      </w:r>
      <w:r w:rsidRPr="00713BD6">
        <w:rPr>
          <w:color w:val="000000" w:themeColor="text1"/>
          <w:sz w:val="24"/>
          <w:szCs w:val="24"/>
        </w:rPr>
        <w:t>(22), 2720-2726.</w:t>
      </w:r>
    </w:p>
    <w:p w14:paraId="5A0183E2" w14:textId="576FC65C" w:rsidR="001805B6" w:rsidRPr="003A3F3F" w:rsidRDefault="001805B6">
      <w:pPr>
        <w:ind w:left="720" w:hanging="720"/>
        <w:rPr>
          <w:sz w:val="24"/>
          <w:szCs w:val="24"/>
        </w:rPr>
      </w:pPr>
      <w:r w:rsidRPr="003A3F3F">
        <w:rPr>
          <w:sz w:val="24"/>
          <w:szCs w:val="24"/>
        </w:rPr>
        <w:t>National Institutes of Health (NIH), Food and Drug Administration (FDA). (2016) Population Assessment of Tobacco and Health (PATH) Study 2013-2016 [United States] Restricted-Use Files. ICPSR36231-v3. Ann Arbor, MI: Inter-university Consortium for Political and Social Research. Updated April 18, 2016. http://doi.org/10.3886/ICPSR36231.v3. Accessed May 26, 2016.</w:t>
      </w:r>
    </w:p>
    <w:p w14:paraId="4F847663" w14:textId="77777777" w:rsidR="003A3F3F" w:rsidRPr="00713BD6" w:rsidRDefault="003A3F3F" w:rsidP="00713BD6">
      <w:pPr>
        <w:spacing w:before="100" w:beforeAutospacing="1" w:after="100" w:afterAutospacing="1"/>
        <w:ind w:left="720" w:hanging="720"/>
        <w:rPr>
          <w:color w:val="000000" w:themeColor="text1"/>
          <w:sz w:val="24"/>
          <w:szCs w:val="24"/>
        </w:rPr>
      </w:pPr>
      <w:r w:rsidRPr="00713BD6">
        <w:rPr>
          <w:color w:val="000000" w:themeColor="text1"/>
          <w:sz w:val="24"/>
          <w:szCs w:val="24"/>
        </w:rPr>
        <w:t xml:space="preserve">Patel, M.X., Doku, V., Tennakoon, L. (2003). Challenges in recruitment of research participants. </w:t>
      </w:r>
      <w:r w:rsidRPr="00713BD6">
        <w:rPr>
          <w:i/>
          <w:color w:val="000000" w:themeColor="text1"/>
          <w:sz w:val="24"/>
          <w:szCs w:val="24"/>
        </w:rPr>
        <w:t>Advances in Psychiatric Treathment, 9</w:t>
      </w:r>
      <w:r w:rsidRPr="00713BD6">
        <w:rPr>
          <w:color w:val="000000" w:themeColor="text1"/>
          <w:sz w:val="24"/>
          <w:szCs w:val="24"/>
        </w:rPr>
        <w:t>(3), 229-238.</w:t>
      </w:r>
    </w:p>
    <w:p w14:paraId="76199C0C" w14:textId="269ECCEE" w:rsidR="003A3F3F" w:rsidRPr="00713BD6" w:rsidRDefault="003A3F3F" w:rsidP="00713BD6">
      <w:pPr>
        <w:widowControl w:val="0"/>
        <w:autoSpaceDE w:val="0"/>
        <w:autoSpaceDN w:val="0"/>
        <w:adjustRightInd w:val="0"/>
        <w:spacing w:after="240"/>
        <w:ind w:left="720" w:hanging="720"/>
        <w:rPr>
          <w:color w:val="000000" w:themeColor="text1"/>
          <w:sz w:val="24"/>
          <w:szCs w:val="24"/>
        </w:rPr>
      </w:pPr>
      <w:r w:rsidRPr="00713BD6">
        <w:rPr>
          <w:color w:val="000000" w:themeColor="text1"/>
          <w:sz w:val="24"/>
          <w:szCs w:val="24"/>
        </w:rPr>
        <w:t xml:space="preserve">Post, A., Gilljam, H., Bremberg, S., &amp; Galanti, M.R. (2012). Psychosocial determinants of attrition in a longitudinal study of tobacco use in youth. </w:t>
      </w:r>
      <w:r w:rsidRPr="00713BD6">
        <w:rPr>
          <w:i/>
          <w:color w:val="000000" w:themeColor="text1"/>
          <w:sz w:val="24"/>
          <w:szCs w:val="24"/>
        </w:rPr>
        <w:t>Scientific World Journal, 2012</w:t>
      </w:r>
      <w:r w:rsidRPr="00713BD6">
        <w:rPr>
          <w:color w:val="000000" w:themeColor="text1"/>
          <w:sz w:val="24"/>
          <w:szCs w:val="24"/>
        </w:rPr>
        <w:t>, 654030.</w:t>
      </w:r>
    </w:p>
    <w:p w14:paraId="4121A967" w14:textId="7422BCB4" w:rsidR="00832536" w:rsidRPr="003A3F3F" w:rsidRDefault="00832536">
      <w:pPr>
        <w:ind w:left="720" w:hanging="720"/>
        <w:rPr>
          <w:sz w:val="24"/>
          <w:szCs w:val="24"/>
        </w:rPr>
      </w:pPr>
    </w:p>
    <w:p w14:paraId="7BB437CC" w14:textId="77777777" w:rsidR="003A3F3F" w:rsidRPr="00713BD6" w:rsidRDefault="003A3F3F" w:rsidP="00713BD6">
      <w:pPr>
        <w:spacing w:after="240"/>
        <w:ind w:left="720" w:hanging="720"/>
        <w:rPr>
          <w:color w:val="000000" w:themeColor="text1"/>
          <w:sz w:val="24"/>
          <w:szCs w:val="24"/>
          <w:shd w:val="clear" w:color="auto" w:fill="FFFFFF"/>
        </w:rPr>
      </w:pPr>
      <w:r w:rsidRPr="00713BD6">
        <w:rPr>
          <w:color w:val="000000" w:themeColor="text1"/>
          <w:sz w:val="24"/>
          <w:szCs w:val="24"/>
          <w:shd w:val="clear" w:color="auto" w:fill="FFFFFF"/>
        </w:rPr>
        <w:t xml:space="preserve">Siddiqui, O., Flay, B.R., &amp; Hu, F.B. (1996). Factors affecting attrition in a longitudinal smoking prevention study. </w:t>
      </w:r>
      <w:r w:rsidRPr="00713BD6">
        <w:rPr>
          <w:i/>
          <w:color w:val="000000" w:themeColor="text1"/>
          <w:sz w:val="24"/>
          <w:szCs w:val="24"/>
          <w:shd w:val="clear" w:color="auto" w:fill="FFFFFF"/>
        </w:rPr>
        <w:t>Preventive Medicine, 25</w:t>
      </w:r>
      <w:r w:rsidRPr="00713BD6">
        <w:rPr>
          <w:color w:val="000000" w:themeColor="text1"/>
          <w:sz w:val="24"/>
          <w:szCs w:val="24"/>
          <w:shd w:val="clear" w:color="auto" w:fill="FFFFFF"/>
        </w:rPr>
        <w:t>(5), 554-560.</w:t>
      </w:r>
    </w:p>
    <w:p w14:paraId="4BCD921B" w14:textId="77777777" w:rsidR="003A3F3F" w:rsidRPr="00713BD6" w:rsidRDefault="003A3F3F" w:rsidP="00713BD6">
      <w:pPr>
        <w:spacing w:after="200"/>
        <w:ind w:left="720" w:hanging="720"/>
        <w:rPr>
          <w:color w:val="000000" w:themeColor="text1"/>
          <w:sz w:val="24"/>
          <w:szCs w:val="24"/>
          <w:shd w:val="clear" w:color="auto" w:fill="FFFFFF"/>
        </w:rPr>
      </w:pPr>
      <w:r w:rsidRPr="00713BD6">
        <w:rPr>
          <w:color w:val="000000" w:themeColor="text1"/>
          <w:sz w:val="24"/>
          <w:szCs w:val="24"/>
          <w:shd w:val="clear" w:color="auto" w:fill="FFFFFF"/>
        </w:rPr>
        <w:t xml:space="preserve">Singer, E. (2002). The use of incentives to reduce nonresponse in household surveys. In: Wiley, ed. </w:t>
      </w:r>
      <w:r w:rsidRPr="00713BD6">
        <w:rPr>
          <w:i/>
          <w:iCs/>
          <w:color w:val="000000" w:themeColor="text1"/>
          <w:sz w:val="24"/>
          <w:szCs w:val="24"/>
          <w:shd w:val="clear" w:color="auto" w:fill="FFFFFF"/>
        </w:rPr>
        <w:t>Survey nonresponse</w:t>
      </w:r>
      <w:r w:rsidRPr="00713BD6">
        <w:rPr>
          <w:color w:val="000000" w:themeColor="text1"/>
          <w:sz w:val="24"/>
          <w:szCs w:val="24"/>
          <w:shd w:val="clear" w:color="auto" w:fill="FFFFFF"/>
        </w:rPr>
        <w:t>, </w:t>
      </w:r>
      <w:r w:rsidRPr="00713BD6">
        <w:rPr>
          <w:i/>
          <w:iCs/>
          <w:color w:val="000000" w:themeColor="text1"/>
          <w:sz w:val="24"/>
          <w:szCs w:val="24"/>
          <w:shd w:val="clear" w:color="auto" w:fill="FFFFFF"/>
        </w:rPr>
        <w:t>51</w:t>
      </w:r>
      <w:r w:rsidRPr="00713BD6">
        <w:rPr>
          <w:color w:val="000000" w:themeColor="text1"/>
          <w:sz w:val="24"/>
          <w:szCs w:val="24"/>
          <w:shd w:val="clear" w:color="auto" w:fill="FFFFFF"/>
        </w:rPr>
        <w:t>, 163-177.</w:t>
      </w:r>
    </w:p>
    <w:p w14:paraId="73AE2AFE" w14:textId="3528A027" w:rsidR="003A3F3F" w:rsidRPr="00713BD6" w:rsidRDefault="003A3F3F" w:rsidP="00713BD6">
      <w:pPr>
        <w:spacing w:after="200"/>
        <w:ind w:left="720" w:hanging="720"/>
        <w:rPr>
          <w:color w:val="000000" w:themeColor="text1"/>
          <w:sz w:val="24"/>
          <w:szCs w:val="24"/>
          <w:shd w:val="clear" w:color="auto" w:fill="FFFFFF"/>
        </w:rPr>
      </w:pPr>
      <w:r w:rsidRPr="00713BD6">
        <w:rPr>
          <w:color w:val="000000" w:themeColor="text1"/>
          <w:sz w:val="24"/>
          <w:szCs w:val="24"/>
          <w:shd w:val="clear" w:color="auto" w:fill="FFFFFF"/>
        </w:rPr>
        <w:t>Shettle, C., &amp; Mooney, G. (1999). Monetary incentives in US government surveys. </w:t>
      </w:r>
      <w:r w:rsidRPr="00713BD6">
        <w:rPr>
          <w:i/>
          <w:iCs/>
          <w:color w:val="000000" w:themeColor="text1"/>
          <w:sz w:val="24"/>
          <w:szCs w:val="24"/>
          <w:shd w:val="clear" w:color="auto" w:fill="FFFFFF"/>
        </w:rPr>
        <w:t>Journal of Official Statistics, 15</w:t>
      </w:r>
      <w:r w:rsidRPr="00713BD6">
        <w:rPr>
          <w:color w:val="000000" w:themeColor="text1"/>
          <w:sz w:val="24"/>
          <w:szCs w:val="24"/>
          <w:shd w:val="clear" w:color="auto" w:fill="FFFFFF"/>
        </w:rPr>
        <w:t>(2), 231.</w:t>
      </w:r>
    </w:p>
    <w:p w14:paraId="436CADF5" w14:textId="3CAB0376" w:rsidR="00E725BA" w:rsidRPr="003A3F3F" w:rsidRDefault="00E725BA">
      <w:pPr>
        <w:ind w:left="720" w:hanging="720"/>
        <w:rPr>
          <w:sz w:val="24"/>
          <w:szCs w:val="24"/>
        </w:rPr>
      </w:pPr>
      <w:r w:rsidRPr="003A3F3F">
        <w:rPr>
          <w:sz w:val="24"/>
          <w:szCs w:val="24"/>
        </w:rPr>
        <w:t xml:space="preserve">Walker, M. W., Navarro, M. A., Hoffman, L., Wagner, D. E., Stalgaitis, C. A., &amp; Jordan, J. W. (2018). The Hip Hop peer crowd: An opportunity for intervention to reduce tobacco use among at-risk youth. </w:t>
      </w:r>
      <w:r w:rsidRPr="003A3F3F">
        <w:rPr>
          <w:i/>
          <w:sz w:val="24"/>
          <w:szCs w:val="24"/>
        </w:rPr>
        <w:t xml:space="preserve">Addictive Behaviors, 82, </w:t>
      </w:r>
      <w:r w:rsidRPr="003A3F3F">
        <w:rPr>
          <w:sz w:val="24"/>
          <w:szCs w:val="24"/>
        </w:rPr>
        <w:t>28–34.</w:t>
      </w:r>
    </w:p>
    <w:p w14:paraId="07B0ACBF" w14:textId="77777777" w:rsidR="003A3F3F" w:rsidRPr="003A3F3F" w:rsidRDefault="003A3F3F">
      <w:pPr>
        <w:ind w:left="720" w:hanging="720"/>
        <w:rPr>
          <w:sz w:val="24"/>
          <w:szCs w:val="24"/>
        </w:rPr>
      </w:pPr>
    </w:p>
    <w:p w14:paraId="4DDD21D9" w14:textId="77777777" w:rsidR="003A3F3F" w:rsidRPr="00713BD6" w:rsidRDefault="003A3F3F" w:rsidP="00713BD6">
      <w:pPr>
        <w:spacing w:after="240"/>
        <w:ind w:left="720" w:hanging="720"/>
        <w:rPr>
          <w:color w:val="000000" w:themeColor="text1"/>
          <w:sz w:val="24"/>
          <w:szCs w:val="24"/>
        </w:rPr>
      </w:pPr>
      <w:r w:rsidRPr="00713BD6">
        <w:rPr>
          <w:color w:val="000000" w:themeColor="text1"/>
          <w:sz w:val="24"/>
          <w:szCs w:val="24"/>
        </w:rPr>
        <w:t xml:space="preserve">Walter, J.K., Burke, J.F., &amp; Davis, M.M. (2013). Research participation by low-income and racial/ethnic minority groups: How payment may change the balance. </w:t>
      </w:r>
      <w:r w:rsidRPr="00713BD6">
        <w:rPr>
          <w:i/>
          <w:color w:val="000000" w:themeColor="text1"/>
          <w:sz w:val="24"/>
          <w:szCs w:val="24"/>
        </w:rPr>
        <w:t>Clinical and Translational Science, 6</w:t>
      </w:r>
      <w:r w:rsidRPr="00713BD6">
        <w:rPr>
          <w:color w:val="000000" w:themeColor="text1"/>
          <w:sz w:val="24"/>
          <w:szCs w:val="24"/>
        </w:rPr>
        <w:t>, 363-371.</w:t>
      </w:r>
    </w:p>
    <w:p w14:paraId="3768705A" w14:textId="77777777" w:rsidR="003A3F3F" w:rsidRPr="00713BD6" w:rsidRDefault="003A3F3F" w:rsidP="00713BD6">
      <w:pPr>
        <w:spacing w:before="100" w:beforeAutospacing="1" w:after="100" w:afterAutospacing="1"/>
        <w:ind w:left="720" w:hanging="720"/>
        <w:rPr>
          <w:sz w:val="24"/>
          <w:szCs w:val="24"/>
        </w:rPr>
      </w:pPr>
      <w:r w:rsidRPr="00713BD6">
        <w:rPr>
          <w:color w:val="000000" w:themeColor="text1"/>
          <w:sz w:val="24"/>
          <w:szCs w:val="24"/>
        </w:rPr>
        <w:t xml:space="preserve">Zand, D., Thomson, N.R., Budan, M., Braun, J.A., Holterman-Hommes, P., &amp; Hunter, P.L. (2006). Predictors of retention in an alcohol, tobacco, and other drug prevention study. </w:t>
      </w:r>
      <w:r w:rsidRPr="00713BD6">
        <w:rPr>
          <w:i/>
          <w:color w:val="000000" w:themeColor="text1"/>
          <w:sz w:val="24"/>
          <w:szCs w:val="24"/>
        </w:rPr>
        <w:t>Evaluation Review, 30</w:t>
      </w:r>
      <w:r w:rsidRPr="00713BD6">
        <w:rPr>
          <w:color w:val="000000" w:themeColor="text1"/>
          <w:sz w:val="24"/>
          <w:szCs w:val="24"/>
        </w:rPr>
        <w:t>(2), 209-222.</w:t>
      </w:r>
    </w:p>
    <w:p w14:paraId="7B001972" w14:textId="77777777" w:rsidR="003A3F3F" w:rsidRDefault="003A3F3F" w:rsidP="00832536">
      <w:pPr>
        <w:ind w:left="720" w:hanging="720"/>
        <w:rPr>
          <w:sz w:val="24"/>
          <w:szCs w:val="24"/>
        </w:rPr>
      </w:pPr>
    </w:p>
    <w:p w14:paraId="3B5A6C2B" w14:textId="77777777" w:rsidR="00E725BA" w:rsidRDefault="00E725BA">
      <w:pPr>
        <w:spacing w:line="300" w:lineRule="exact"/>
        <w:rPr>
          <w:sz w:val="24"/>
          <w:szCs w:val="24"/>
        </w:rPr>
      </w:pPr>
    </w:p>
    <w:sectPr w:rsidR="00E725BA" w:rsidSect="00B97F03">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0DFA4" w14:textId="77777777" w:rsidR="008E69D2" w:rsidRDefault="008E69D2">
      <w:r>
        <w:separator/>
      </w:r>
    </w:p>
  </w:endnote>
  <w:endnote w:type="continuationSeparator" w:id="0">
    <w:p w14:paraId="7B25D728" w14:textId="77777777" w:rsidR="008E69D2" w:rsidRDefault="008E69D2">
      <w:r>
        <w:continuationSeparator/>
      </w:r>
    </w:p>
  </w:endnote>
  <w:endnote w:type="continuationNotice" w:id="1">
    <w:p w14:paraId="4C7BEFBC" w14:textId="77777777" w:rsidR="008E69D2" w:rsidRDefault="008E6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2568" w14:textId="77777777"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7D888" w14:textId="77777777" w:rsidR="00CF4AE2" w:rsidRDefault="00CF4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A085" w14:textId="4B9C0627"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DD9">
      <w:rPr>
        <w:rStyle w:val="PageNumber"/>
        <w:noProof/>
      </w:rPr>
      <w:t>2</w:t>
    </w:r>
    <w:r>
      <w:rPr>
        <w:rStyle w:val="PageNumber"/>
      </w:rPr>
      <w:fldChar w:fldCharType="end"/>
    </w:r>
  </w:p>
  <w:p w14:paraId="5B7C00CE" w14:textId="77777777" w:rsidR="00CF4AE2" w:rsidRDefault="00CF4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9B7C2" w14:textId="77777777" w:rsidR="001F05AF" w:rsidRDefault="001F05AF">
    <w:pPr>
      <w:pStyle w:val="Footer"/>
    </w:pPr>
  </w:p>
  <w:p w14:paraId="0C2B3E42" w14:textId="77777777" w:rsidR="001F05AF" w:rsidRDefault="001F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9EC2A" w14:textId="77777777" w:rsidR="008E69D2" w:rsidRDefault="008E69D2">
      <w:r>
        <w:separator/>
      </w:r>
    </w:p>
  </w:footnote>
  <w:footnote w:type="continuationSeparator" w:id="0">
    <w:p w14:paraId="60B5F5C1" w14:textId="77777777" w:rsidR="008E69D2" w:rsidRDefault="008E69D2">
      <w:r>
        <w:continuationSeparator/>
      </w:r>
    </w:p>
  </w:footnote>
  <w:footnote w:type="continuationNotice" w:id="1">
    <w:p w14:paraId="3F14D0E3" w14:textId="77777777" w:rsidR="008E69D2" w:rsidRDefault="008E69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01A8" w14:textId="77777777" w:rsidR="00CD24D2" w:rsidRDefault="00CD2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9724F" w14:textId="77777777" w:rsidR="001F05AF" w:rsidRDefault="001F0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38F"/>
    <w:multiLevelType w:val="hybridMultilevel"/>
    <w:tmpl w:val="B8F4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0792"/>
    <w:multiLevelType w:val="hybridMultilevel"/>
    <w:tmpl w:val="47F85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350952"/>
    <w:multiLevelType w:val="hybridMultilevel"/>
    <w:tmpl w:val="88022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F00299"/>
    <w:multiLevelType w:val="hybridMultilevel"/>
    <w:tmpl w:val="B3A43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C36A1E"/>
    <w:multiLevelType w:val="hybridMultilevel"/>
    <w:tmpl w:val="C03A2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26477"/>
    <w:multiLevelType w:val="hybridMultilevel"/>
    <w:tmpl w:val="FA8EC2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945BD0"/>
    <w:multiLevelType w:val="hybridMultilevel"/>
    <w:tmpl w:val="18749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B8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D95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042A7B"/>
    <w:multiLevelType w:val="hybridMultilevel"/>
    <w:tmpl w:val="EC2CF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04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73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1A71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563E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7035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2D3155"/>
    <w:multiLevelType w:val="hybridMultilevel"/>
    <w:tmpl w:val="4F5E39C6"/>
    <w:lvl w:ilvl="0" w:tplc="ECBA3B78">
      <w:start w:val="1"/>
      <w:numFmt w:val="decimal"/>
      <w:lvlText w:val="%1."/>
      <w:lvlJc w:val="left"/>
      <w:pPr>
        <w:tabs>
          <w:tab w:val="num" w:pos="648"/>
        </w:tabs>
        <w:ind w:left="648" w:hanging="432"/>
      </w:pPr>
      <w:rPr>
        <w:rFonts w:ascii="Times New Roman" w:hAnsi="Times New Roman" w:cs="Times New Roman" w:hint="default"/>
        <w:b/>
        <w:i w:val="0"/>
      </w:rPr>
    </w:lvl>
    <w:lvl w:ilvl="1" w:tplc="AA16A1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C31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2C0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FD76BE"/>
    <w:multiLevelType w:val="hybridMultilevel"/>
    <w:tmpl w:val="5DE45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732190"/>
    <w:multiLevelType w:val="hybridMultilevel"/>
    <w:tmpl w:val="6ED8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C2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0B23204"/>
    <w:multiLevelType w:val="hybridMultilevel"/>
    <w:tmpl w:val="DF46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FD64A3"/>
    <w:multiLevelType w:val="hybridMultilevel"/>
    <w:tmpl w:val="36B2D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BA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B24C8D"/>
    <w:multiLevelType w:val="hybridMultilevel"/>
    <w:tmpl w:val="10EC786C"/>
    <w:lvl w:ilvl="0" w:tplc="06A40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D8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567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8"/>
  </w:num>
  <w:num w:numId="4">
    <w:abstractNumId w:val="5"/>
  </w:num>
  <w:num w:numId="5">
    <w:abstractNumId w:val="24"/>
  </w:num>
  <w:num w:numId="6">
    <w:abstractNumId w:val="23"/>
  </w:num>
  <w:num w:numId="7">
    <w:abstractNumId w:val="30"/>
  </w:num>
  <w:num w:numId="8">
    <w:abstractNumId w:val="12"/>
  </w:num>
  <w:num w:numId="9">
    <w:abstractNumId w:val="20"/>
  </w:num>
  <w:num w:numId="10">
    <w:abstractNumId w:val="18"/>
  </w:num>
  <w:num w:numId="11">
    <w:abstractNumId w:val="27"/>
  </w:num>
  <w:num w:numId="12">
    <w:abstractNumId w:val="17"/>
  </w:num>
  <w:num w:numId="13">
    <w:abstractNumId w:val="32"/>
  </w:num>
  <w:num w:numId="14">
    <w:abstractNumId w:val="4"/>
  </w:num>
  <w:num w:numId="15">
    <w:abstractNumId w:val="33"/>
  </w:num>
  <w:num w:numId="16">
    <w:abstractNumId w:val="10"/>
  </w:num>
  <w:num w:numId="17">
    <w:abstractNumId w:val="22"/>
  </w:num>
  <w:num w:numId="18">
    <w:abstractNumId w:val="9"/>
  </w:num>
  <w:num w:numId="19">
    <w:abstractNumId w:val="15"/>
  </w:num>
  <w:num w:numId="20">
    <w:abstractNumId w:val="0"/>
  </w:num>
  <w:num w:numId="21">
    <w:abstractNumId w:val="6"/>
  </w:num>
  <w:num w:numId="22">
    <w:abstractNumId w:val="25"/>
  </w:num>
  <w:num w:numId="23">
    <w:abstractNumId w:val="19"/>
  </w:num>
  <w:num w:numId="24">
    <w:abstractNumId w:val="34"/>
  </w:num>
  <w:num w:numId="25">
    <w:abstractNumId w:val="3"/>
  </w:num>
  <w:num w:numId="26">
    <w:abstractNumId w:val="2"/>
  </w:num>
  <w:num w:numId="27">
    <w:abstractNumId w:val="11"/>
  </w:num>
  <w:num w:numId="28">
    <w:abstractNumId w:val="7"/>
  </w:num>
  <w:num w:numId="29">
    <w:abstractNumId w:val="1"/>
  </w:num>
  <w:num w:numId="30">
    <w:abstractNumId w:val="29"/>
  </w:num>
  <w:num w:numId="31">
    <w:abstractNumId w:val="31"/>
  </w:num>
  <w:num w:numId="32">
    <w:abstractNumId w:val="14"/>
  </w:num>
  <w:num w:numId="33">
    <w:abstractNumId w:val="13"/>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92"/>
    <w:rsid w:val="00002109"/>
    <w:rsid w:val="00003534"/>
    <w:rsid w:val="00004CB9"/>
    <w:rsid w:val="00011155"/>
    <w:rsid w:val="00017A3A"/>
    <w:rsid w:val="00020F1A"/>
    <w:rsid w:val="00022157"/>
    <w:rsid w:val="00031D86"/>
    <w:rsid w:val="00037FFE"/>
    <w:rsid w:val="000523FE"/>
    <w:rsid w:val="00056A18"/>
    <w:rsid w:val="00060D66"/>
    <w:rsid w:val="00063309"/>
    <w:rsid w:val="00066495"/>
    <w:rsid w:val="00076FAA"/>
    <w:rsid w:val="00083716"/>
    <w:rsid w:val="000838B6"/>
    <w:rsid w:val="00090184"/>
    <w:rsid w:val="00090285"/>
    <w:rsid w:val="000953C5"/>
    <w:rsid w:val="000A0700"/>
    <w:rsid w:val="000A0FBD"/>
    <w:rsid w:val="000B66B7"/>
    <w:rsid w:val="000D1E23"/>
    <w:rsid w:val="000E6E57"/>
    <w:rsid w:val="00101F00"/>
    <w:rsid w:val="00110429"/>
    <w:rsid w:val="00112A2B"/>
    <w:rsid w:val="00115B76"/>
    <w:rsid w:val="001354A1"/>
    <w:rsid w:val="001370F1"/>
    <w:rsid w:val="00140CF4"/>
    <w:rsid w:val="0015175E"/>
    <w:rsid w:val="0015263C"/>
    <w:rsid w:val="00152DCD"/>
    <w:rsid w:val="00153DE9"/>
    <w:rsid w:val="00155C79"/>
    <w:rsid w:val="0016368A"/>
    <w:rsid w:val="001638BC"/>
    <w:rsid w:val="00167544"/>
    <w:rsid w:val="001757C5"/>
    <w:rsid w:val="001805B6"/>
    <w:rsid w:val="00180965"/>
    <w:rsid w:val="00181CD8"/>
    <w:rsid w:val="00182C46"/>
    <w:rsid w:val="00184AA1"/>
    <w:rsid w:val="0019208E"/>
    <w:rsid w:val="00195152"/>
    <w:rsid w:val="001953F8"/>
    <w:rsid w:val="00197456"/>
    <w:rsid w:val="001B3F2F"/>
    <w:rsid w:val="001C0F4F"/>
    <w:rsid w:val="001C7902"/>
    <w:rsid w:val="001D1299"/>
    <w:rsid w:val="001D1D12"/>
    <w:rsid w:val="001D4362"/>
    <w:rsid w:val="001E196C"/>
    <w:rsid w:val="001E48B9"/>
    <w:rsid w:val="001F05AF"/>
    <w:rsid w:val="001F2575"/>
    <w:rsid w:val="001F2941"/>
    <w:rsid w:val="001F5346"/>
    <w:rsid w:val="001F72E3"/>
    <w:rsid w:val="001F7CF1"/>
    <w:rsid w:val="00202045"/>
    <w:rsid w:val="00210EA6"/>
    <w:rsid w:val="00217364"/>
    <w:rsid w:val="00220958"/>
    <w:rsid w:val="002252B5"/>
    <w:rsid w:val="002304B2"/>
    <w:rsid w:val="002305E9"/>
    <w:rsid w:val="002326FE"/>
    <w:rsid w:val="002367AA"/>
    <w:rsid w:val="002371E9"/>
    <w:rsid w:val="002649A5"/>
    <w:rsid w:val="00265A6A"/>
    <w:rsid w:val="00273CAA"/>
    <w:rsid w:val="00275587"/>
    <w:rsid w:val="00281FBD"/>
    <w:rsid w:val="00285B6D"/>
    <w:rsid w:val="0028766C"/>
    <w:rsid w:val="00295FCA"/>
    <w:rsid w:val="002A2B78"/>
    <w:rsid w:val="002A6940"/>
    <w:rsid w:val="002A6EF6"/>
    <w:rsid w:val="002B28FC"/>
    <w:rsid w:val="002D65D8"/>
    <w:rsid w:val="002D6E43"/>
    <w:rsid w:val="002E6268"/>
    <w:rsid w:val="00302C6C"/>
    <w:rsid w:val="00305341"/>
    <w:rsid w:val="00307C9C"/>
    <w:rsid w:val="003166CA"/>
    <w:rsid w:val="003212DB"/>
    <w:rsid w:val="00325FD6"/>
    <w:rsid w:val="00332A45"/>
    <w:rsid w:val="00333E05"/>
    <w:rsid w:val="00344B08"/>
    <w:rsid w:val="003744F3"/>
    <w:rsid w:val="0037776A"/>
    <w:rsid w:val="00380E0F"/>
    <w:rsid w:val="00393013"/>
    <w:rsid w:val="00396E69"/>
    <w:rsid w:val="003A11E2"/>
    <w:rsid w:val="003A167E"/>
    <w:rsid w:val="003A3F3F"/>
    <w:rsid w:val="003C5F95"/>
    <w:rsid w:val="003C6CEE"/>
    <w:rsid w:val="003D4A92"/>
    <w:rsid w:val="003F07C9"/>
    <w:rsid w:val="003F5AAC"/>
    <w:rsid w:val="003F72C8"/>
    <w:rsid w:val="0040065F"/>
    <w:rsid w:val="004012FD"/>
    <w:rsid w:val="00410B80"/>
    <w:rsid w:val="00416639"/>
    <w:rsid w:val="00420133"/>
    <w:rsid w:val="004315F0"/>
    <w:rsid w:val="00433C44"/>
    <w:rsid w:val="00440950"/>
    <w:rsid w:val="00443037"/>
    <w:rsid w:val="004565FA"/>
    <w:rsid w:val="0046623F"/>
    <w:rsid w:val="004710CD"/>
    <w:rsid w:val="00471382"/>
    <w:rsid w:val="00473B40"/>
    <w:rsid w:val="004759E8"/>
    <w:rsid w:val="004775CD"/>
    <w:rsid w:val="00477AFC"/>
    <w:rsid w:val="00477E3A"/>
    <w:rsid w:val="00483AA4"/>
    <w:rsid w:val="0048687C"/>
    <w:rsid w:val="004955B4"/>
    <w:rsid w:val="00496E07"/>
    <w:rsid w:val="004B28AC"/>
    <w:rsid w:val="004B37C4"/>
    <w:rsid w:val="004C2EA1"/>
    <w:rsid w:val="004C529D"/>
    <w:rsid w:val="004C575A"/>
    <w:rsid w:val="004D115A"/>
    <w:rsid w:val="004D53AE"/>
    <w:rsid w:val="004D5F4A"/>
    <w:rsid w:val="004E0C61"/>
    <w:rsid w:val="004E2E60"/>
    <w:rsid w:val="004E4690"/>
    <w:rsid w:val="004E6D5C"/>
    <w:rsid w:val="004F15D0"/>
    <w:rsid w:val="004F1744"/>
    <w:rsid w:val="004F5308"/>
    <w:rsid w:val="00500890"/>
    <w:rsid w:val="005040C2"/>
    <w:rsid w:val="00505A1F"/>
    <w:rsid w:val="005062D6"/>
    <w:rsid w:val="00510514"/>
    <w:rsid w:val="005164FF"/>
    <w:rsid w:val="00523049"/>
    <w:rsid w:val="0052680C"/>
    <w:rsid w:val="00532CA5"/>
    <w:rsid w:val="00537EE1"/>
    <w:rsid w:val="00537F89"/>
    <w:rsid w:val="00540014"/>
    <w:rsid w:val="005452FC"/>
    <w:rsid w:val="00557CB8"/>
    <w:rsid w:val="00576928"/>
    <w:rsid w:val="00580281"/>
    <w:rsid w:val="00580300"/>
    <w:rsid w:val="00580666"/>
    <w:rsid w:val="0058082C"/>
    <w:rsid w:val="005818D7"/>
    <w:rsid w:val="00583894"/>
    <w:rsid w:val="00597252"/>
    <w:rsid w:val="00597309"/>
    <w:rsid w:val="005A414F"/>
    <w:rsid w:val="005A43E3"/>
    <w:rsid w:val="005A74F0"/>
    <w:rsid w:val="005A7CC3"/>
    <w:rsid w:val="005B2773"/>
    <w:rsid w:val="005B3350"/>
    <w:rsid w:val="005B6575"/>
    <w:rsid w:val="005C788A"/>
    <w:rsid w:val="005D1E6E"/>
    <w:rsid w:val="005D2E14"/>
    <w:rsid w:val="005E020E"/>
    <w:rsid w:val="005F05E5"/>
    <w:rsid w:val="005F4159"/>
    <w:rsid w:val="0060014A"/>
    <w:rsid w:val="00602743"/>
    <w:rsid w:val="00610F99"/>
    <w:rsid w:val="00614856"/>
    <w:rsid w:val="00620AE2"/>
    <w:rsid w:val="006247FC"/>
    <w:rsid w:val="00624C4C"/>
    <w:rsid w:val="00625D64"/>
    <w:rsid w:val="00640E9C"/>
    <w:rsid w:val="00656EBA"/>
    <w:rsid w:val="00657283"/>
    <w:rsid w:val="006638C7"/>
    <w:rsid w:val="00684674"/>
    <w:rsid w:val="006859FA"/>
    <w:rsid w:val="00695AD4"/>
    <w:rsid w:val="006B07C5"/>
    <w:rsid w:val="006B1328"/>
    <w:rsid w:val="006C0F7F"/>
    <w:rsid w:val="006C570B"/>
    <w:rsid w:val="006C5F28"/>
    <w:rsid w:val="006D1316"/>
    <w:rsid w:val="006D2E1E"/>
    <w:rsid w:val="006D334C"/>
    <w:rsid w:val="006D5522"/>
    <w:rsid w:val="006E023F"/>
    <w:rsid w:val="006E13BF"/>
    <w:rsid w:val="00704BAD"/>
    <w:rsid w:val="007136A7"/>
    <w:rsid w:val="00713BD6"/>
    <w:rsid w:val="00741C0A"/>
    <w:rsid w:val="007470E1"/>
    <w:rsid w:val="00762D85"/>
    <w:rsid w:val="007635DF"/>
    <w:rsid w:val="0076376E"/>
    <w:rsid w:val="00766A9B"/>
    <w:rsid w:val="00785E53"/>
    <w:rsid w:val="00786EFB"/>
    <w:rsid w:val="007972C0"/>
    <w:rsid w:val="007A532E"/>
    <w:rsid w:val="007B1C27"/>
    <w:rsid w:val="007D40AD"/>
    <w:rsid w:val="007D7CA2"/>
    <w:rsid w:val="007F261F"/>
    <w:rsid w:val="007F7396"/>
    <w:rsid w:val="00803D1E"/>
    <w:rsid w:val="00823FE6"/>
    <w:rsid w:val="00825BE2"/>
    <w:rsid w:val="00825DFD"/>
    <w:rsid w:val="00827285"/>
    <w:rsid w:val="00832536"/>
    <w:rsid w:val="0083493E"/>
    <w:rsid w:val="00834C57"/>
    <w:rsid w:val="008362D6"/>
    <w:rsid w:val="00842293"/>
    <w:rsid w:val="00843AE2"/>
    <w:rsid w:val="00847E40"/>
    <w:rsid w:val="00852F71"/>
    <w:rsid w:val="00852FD1"/>
    <w:rsid w:val="00853D41"/>
    <w:rsid w:val="0085658A"/>
    <w:rsid w:val="00860E6B"/>
    <w:rsid w:val="00864BB1"/>
    <w:rsid w:val="00870749"/>
    <w:rsid w:val="008712A4"/>
    <w:rsid w:val="00872E78"/>
    <w:rsid w:val="0087537C"/>
    <w:rsid w:val="00880C92"/>
    <w:rsid w:val="00884E19"/>
    <w:rsid w:val="00886464"/>
    <w:rsid w:val="008867E2"/>
    <w:rsid w:val="00886E24"/>
    <w:rsid w:val="008A64DD"/>
    <w:rsid w:val="008B28C8"/>
    <w:rsid w:val="008B2C5F"/>
    <w:rsid w:val="008B5BCD"/>
    <w:rsid w:val="008C329E"/>
    <w:rsid w:val="008C5251"/>
    <w:rsid w:val="008C778E"/>
    <w:rsid w:val="008E1253"/>
    <w:rsid w:val="008E409C"/>
    <w:rsid w:val="008E416F"/>
    <w:rsid w:val="008E5753"/>
    <w:rsid w:val="008E59A5"/>
    <w:rsid w:val="008E6090"/>
    <w:rsid w:val="008E69D2"/>
    <w:rsid w:val="008F01E9"/>
    <w:rsid w:val="008F021A"/>
    <w:rsid w:val="00900938"/>
    <w:rsid w:val="0090395A"/>
    <w:rsid w:val="00912AE8"/>
    <w:rsid w:val="00917C08"/>
    <w:rsid w:val="00926423"/>
    <w:rsid w:val="00926654"/>
    <w:rsid w:val="009430F5"/>
    <w:rsid w:val="009452F1"/>
    <w:rsid w:val="00950FC4"/>
    <w:rsid w:val="00954EC9"/>
    <w:rsid w:val="00960407"/>
    <w:rsid w:val="00963F9E"/>
    <w:rsid w:val="00972A9F"/>
    <w:rsid w:val="00974D78"/>
    <w:rsid w:val="00976C1F"/>
    <w:rsid w:val="00981622"/>
    <w:rsid w:val="009907C2"/>
    <w:rsid w:val="00996C92"/>
    <w:rsid w:val="00997A23"/>
    <w:rsid w:val="009B26FF"/>
    <w:rsid w:val="009B7DD9"/>
    <w:rsid w:val="009C0267"/>
    <w:rsid w:val="009C05D4"/>
    <w:rsid w:val="009C398A"/>
    <w:rsid w:val="009C5366"/>
    <w:rsid w:val="009C5B5B"/>
    <w:rsid w:val="009D1F48"/>
    <w:rsid w:val="009D1FDB"/>
    <w:rsid w:val="009D35CF"/>
    <w:rsid w:val="009F27BB"/>
    <w:rsid w:val="00A0060D"/>
    <w:rsid w:val="00A062AA"/>
    <w:rsid w:val="00A06CAD"/>
    <w:rsid w:val="00A239EE"/>
    <w:rsid w:val="00A23C81"/>
    <w:rsid w:val="00A271A5"/>
    <w:rsid w:val="00A33242"/>
    <w:rsid w:val="00A517DD"/>
    <w:rsid w:val="00A577FB"/>
    <w:rsid w:val="00A7231C"/>
    <w:rsid w:val="00A73B19"/>
    <w:rsid w:val="00A77197"/>
    <w:rsid w:val="00A93D98"/>
    <w:rsid w:val="00A95E8C"/>
    <w:rsid w:val="00A9670E"/>
    <w:rsid w:val="00A96E7A"/>
    <w:rsid w:val="00AA0288"/>
    <w:rsid w:val="00AA0E61"/>
    <w:rsid w:val="00AA2DE1"/>
    <w:rsid w:val="00AC20AF"/>
    <w:rsid w:val="00AC7AF7"/>
    <w:rsid w:val="00AD116C"/>
    <w:rsid w:val="00AD12A9"/>
    <w:rsid w:val="00AD5691"/>
    <w:rsid w:val="00AD7667"/>
    <w:rsid w:val="00AE1C7E"/>
    <w:rsid w:val="00AE7290"/>
    <w:rsid w:val="00AF4C7F"/>
    <w:rsid w:val="00AF75CF"/>
    <w:rsid w:val="00AF7D20"/>
    <w:rsid w:val="00B04E42"/>
    <w:rsid w:val="00B0646D"/>
    <w:rsid w:val="00B07FB9"/>
    <w:rsid w:val="00B12150"/>
    <w:rsid w:val="00B13D94"/>
    <w:rsid w:val="00B16B90"/>
    <w:rsid w:val="00B244CF"/>
    <w:rsid w:val="00B2681B"/>
    <w:rsid w:val="00B272C5"/>
    <w:rsid w:val="00B27DD3"/>
    <w:rsid w:val="00B36D55"/>
    <w:rsid w:val="00B376E4"/>
    <w:rsid w:val="00B43B6A"/>
    <w:rsid w:val="00B53F73"/>
    <w:rsid w:val="00B60692"/>
    <w:rsid w:val="00B636FF"/>
    <w:rsid w:val="00B65725"/>
    <w:rsid w:val="00B6786D"/>
    <w:rsid w:val="00B76AAE"/>
    <w:rsid w:val="00B76AF7"/>
    <w:rsid w:val="00B843F0"/>
    <w:rsid w:val="00B85F0C"/>
    <w:rsid w:val="00B94BFD"/>
    <w:rsid w:val="00B95FEC"/>
    <w:rsid w:val="00B97F03"/>
    <w:rsid w:val="00BA36D1"/>
    <w:rsid w:val="00BB0F6F"/>
    <w:rsid w:val="00BD1573"/>
    <w:rsid w:val="00BD1D43"/>
    <w:rsid w:val="00BD27D5"/>
    <w:rsid w:val="00BD489B"/>
    <w:rsid w:val="00BE0268"/>
    <w:rsid w:val="00BE2203"/>
    <w:rsid w:val="00BF4A03"/>
    <w:rsid w:val="00BF6F74"/>
    <w:rsid w:val="00C05FB3"/>
    <w:rsid w:val="00C202F1"/>
    <w:rsid w:val="00C23782"/>
    <w:rsid w:val="00C24789"/>
    <w:rsid w:val="00C32F5A"/>
    <w:rsid w:val="00C33EDF"/>
    <w:rsid w:val="00C343FC"/>
    <w:rsid w:val="00C46206"/>
    <w:rsid w:val="00C47033"/>
    <w:rsid w:val="00C60567"/>
    <w:rsid w:val="00C6449E"/>
    <w:rsid w:val="00C711C0"/>
    <w:rsid w:val="00C83B67"/>
    <w:rsid w:val="00C865CA"/>
    <w:rsid w:val="00C94CFE"/>
    <w:rsid w:val="00CA4430"/>
    <w:rsid w:val="00CA4FF2"/>
    <w:rsid w:val="00CA5BBE"/>
    <w:rsid w:val="00CA7776"/>
    <w:rsid w:val="00CB1323"/>
    <w:rsid w:val="00CB75A3"/>
    <w:rsid w:val="00CC027F"/>
    <w:rsid w:val="00CC178D"/>
    <w:rsid w:val="00CC7546"/>
    <w:rsid w:val="00CD24D2"/>
    <w:rsid w:val="00CF4AE2"/>
    <w:rsid w:val="00D017E6"/>
    <w:rsid w:val="00D16C82"/>
    <w:rsid w:val="00D20703"/>
    <w:rsid w:val="00D23F04"/>
    <w:rsid w:val="00D257E4"/>
    <w:rsid w:val="00D260A9"/>
    <w:rsid w:val="00D26AEB"/>
    <w:rsid w:val="00D34E58"/>
    <w:rsid w:val="00D36B7B"/>
    <w:rsid w:val="00D4420B"/>
    <w:rsid w:val="00D50EED"/>
    <w:rsid w:val="00D544B9"/>
    <w:rsid w:val="00D627B2"/>
    <w:rsid w:val="00D7532D"/>
    <w:rsid w:val="00D923BF"/>
    <w:rsid w:val="00DA505D"/>
    <w:rsid w:val="00DB2913"/>
    <w:rsid w:val="00DB42D5"/>
    <w:rsid w:val="00DC252D"/>
    <w:rsid w:val="00DC31F7"/>
    <w:rsid w:val="00DC5CFF"/>
    <w:rsid w:val="00DD680B"/>
    <w:rsid w:val="00DD72FE"/>
    <w:rsid w:val="00DD73FD"/>
    <w:rsid w:val="00DE11F3"/>
    <w:rsid w:val="00DE19D2"/>
    <w:rsid w:val="00DE4FCE"/>
    <w:rsid w:val="00DE56B1"/>
    <w:rsid w:val="00DF30F2"/>
    <w:rsid w:val="00DF7376"/>
    <w:rsid w:val="00E002A3"/>
    <w:rsid w:val="00E00426"/>
    <w:rsid w:val="00E07BE6"/>
    <w:rsid w:val="00E1199E"/>
    <w:rsid w:val="00E21DE2"/>
    <w:rsid w:val="00E2222E"/>
    <w:rsid w:val="00E26CD4"/>
    <w:rsid w:val="00E3756D"/>
    <w:rsid w:val="00E378E8"/>
    <w:rsid w:val="00E4021A"/>
    <w:rsid w:val="00E42652"/>
    <w:rsid w:val="00E45D30"/>
    <w:rsid w:val="00E50375"/>
    <w:rsid w:val="00E516D2"/>
    <w:rsid w:val="00E51865"/>
    <w:rsid w:val="00E51AA7"/>
    <w:rsid w:val="00E63EE9"/>
    <w:rsid w:val="00E64601"/>
    <w:rsid w:val="00E658C4"/>
    <w:rsid w:val="00E725BA"/>
    <w:rsid w:val="00E76392"/>
    <w:rsid w:val="00E765B4"/>
    <w:rsid w:val="00E8186D"/>
    <w:rsid w:val="00E81F75"/>
    <w:rsid w:val="00E864C2"/>
    <w:rsid w:val="00E87208"/>
    <w:rsid w:val="00E90276"/>
    <w:rsid w:val="00E942DF"/>
    <w:rsid w:val="00E959D0"/>
    <w:rsid w:val="00EA2751"/>
    <w:rsid w:val="00EA2BEE"/>
    <w:rsid w:val="00EB47B9"/>
    <w:rsid w:val="00EB491B"/>
    <w:rsid w:val="00EB4EE5"/>
    <w:rsid w:val="00EB6B9F"/>
    <w:rsid w:val="00EC1B70"/>
    <w:rsid w:val="00EC346E"/>
    <w:rsid w:val="00ED7ABC"/>
    <w:rsid w:val="00EE0E60"/>
    <w:rsid w:val="00EE3E4E"/>
    <w:rsid w:val="00EE6EE9"/>
    <w:rsid w:val="00EF1EE8"/>
    <w:rsid w:val="00F00F1A"/>
    <w:rsid w:val="00F015D0"/>
    <w:rsid w:val="00F022BB"/>
    <w:rsid w:val="00F22B04"/>
    <w:rsid w:val="00F25EFA"/>
    <w:rsid w:val="00F26E7B"/>
    <w:rsid w:val="00F311EE"/>
    <w:rsid w:val="00F33A9D"/>
    <w:rsid w:val="00F36EA6"/>
    <w:rsid w:val="00F443EF"/>
    <w:rsid w:val="00F53D95"/>
    <w:rsid w:val="00F54825"/>
    <w:rsid w:val="00F573B9"/>
    <w:rsid w:val="00F665C0"/>
    <w:rsid w:val="00F70460"/>
    <w:rsid w:val="00F86555"/>
    <w:rsid w:val="00FA3D54"/>
    <w:rsid w:val="00FB0D32"/>
    <w:rsid w:val="00FB5930"/>
    <w:rsid w:val="00FD1450"/>
    <w:rsid w:val="00FD15E4"/>
    <w:rsid w:val="00FD5736"/>
    <w:rsid w:val="00FD5F64"/>
    <w:rsid w:val="00FD6031"/>
    <w:rsid w:val="00FD626D"/>
    <w:rsid w:val="00FE08C3"/>
    <w:rsid w:val="00FF0007"/>
    <w:rsid w:val="00FF35E9"/>
    <w:rsid w:val="00FF4A9F"/>
    <w:rsid w:val="00FF5C26"/>
    <w:rsid w:val="00FF5F01"/>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AB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 w:type="paragraph" w:styleId="ListParagraph">
    <w:name w:val="List Paragraph"/>
    <w:basedOn w:val="Normal"/>
    <w:uiPriority w:val="34"/>
    <w:qFormat/>
    <w:rsid w:val="00803D1E"/>
    <w:pPr>
      <w:ind w:left="720"/>
      <w:contextualSpacing/>
    </w:pPr>
  </w:style>
  <w:style w:type="character" w:customStyle="1" w:styleId="BalloonTextChar">
    <w:name w:val="Balloon Text Char"/>
    <w:basedOn w:val="DefaultParagraphFont"/>
    <w:link w:val="BalloonText"/>
    <w:uiPriority w:val="99"/>
    <w:semiHidden/>
    <w:rsid w:val="00500890"/>
    <w:rPr>
      <w:rFonts w:ascii="Tahoma" w:hAnsi="Tahoma" w:cs="Tahoma"/>
      <w:sz w:val="16"/>
      <w:szCs w:val="16"/>
    </w:rPr>
  </w:style>
  <w:style w:type="paragraph" w:customStyle="1" w:styleId="FigureTitle">
    <w:name w:val="Figure Title"/>
    <w:basedOn w:val="Normal"/>
    <w:uiPriority w:val="99"/>
    <w:rsid w:val="00500890"/>
    <w:pPr>
      <w:keepNext/>
      <w:keepLines/>
      <w:spacing w:before="240" w:after="240"/>
    </w:pPr>
    <w:rPr>
      <w:b/>
      <w:sz w:val="24"/>
    </w:rPr>
  </w:style>
  <w:style w:type="paragraph" w:styleId="Revision">
    <w:name w:val="Revision"/>
    <w:hidden/>
    <w:uiPriority w:val="99"/>
    <w:semiHidden/>
    <w:rsid w:val="00500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 w:type="paragraph" w:styleId="ListParagraph">
    <w:name w:val="List Paragraph"/>
    <w:basedOn w:val="Normal"/>
    <w:uiPriority w:val="34"/>
    <w:qFormat/>
    <w:rsid w:val="00803D1E"/>
    <w:pPr>
      <w:ind w:left="720"/>
      <w:contextualSpacing/>
    </w:pPr>
  </w:style>
  <w:style w:type="character" w:customStyle="1" w:styleId="BalloonTextChar">
    <w:name w:val="Balloon Text Char"/>
    <w:basedOn w:val="DefaultParagraphFont"/>
    <w:link w:val="BalloonText"/>
    <w:uiPriority w:val="99"/>
    <w:semiHidden/>
    <w:rsid w:val="00500890"/>
    <w:rPr>
      <w:rFonts w:ascii="Tahoma" w:hAnsi="Tahoma" w:cs="Tahoma"/>
      <w:sz w:val="16"/>
      <w:szCs w:val="16"/>
    </w:rPr>
  </w:style>
  <w:style w:type="paragraph" w:customStyle="1" w:styleId="FigureTitle">
    <w:name w:val="Figure Title"/>
    <w:basedOn w:val="Normal"/>
    <w:uiPriority w:val="99"/>
    <w:rsid w:val="00500890"/>
    <w:pPr>
      <w:keepNext/>
      <w:keepLines/>
      <w:spacing w:before="240" w:after="240"/>
    </w:pPr>
    <w:rPr>
      <w:b/>
      <w:sz w:val="24"/>
    </w:rPr>
  </w:style>
  <w:style w:type="paragraph" w:styleId="Revision">
    <w:name w:val="Revision"/>
    <w:hidden/>
    <w:uiPriority w:val="99"/>
    <w:semiHidden/>
    <w:rsid w:val="0050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7613">
      <w:bodyDiv w:val="1"/>
      <w:marLeft w:val="0"/>
      <w:marRight w:val="0"/>
      <w:marTop w:val="0"/>
      <w:marBottom w:val="0"/>
      <w:divBdr>
        <w:top w:val="none" w:sz="0" w:space="0" w:color="auto"/>
        <w:left w:val="none" w:sz="0" w:space="0" w:color="auto"/>
        <w:bottom w:val="none" w:sz="0" w:space="0" w:color="auto"/>
        <w:right w:val="none" w:sz="0" w:space="0" w:color="auto"/>
      </w:divBdr>
    </w:div>
    <w:div w:id="402064652">
      <w:bodyDiv w:val="1"/>
      <w:marLeft w:val="0"/>
      <w:marRight w:val="0"/>
      <w:marTop w:val="0"/>
      <w:marBottom w:val="0"/>
      <w:divBdr>
        <w:top w:val="none" w:sz="0" w:space="0" w:color="auto"/>
        <w:left w:val="none" w:sz="0" w:space="0" w:color="auto"/>
        <w:bottom w:val="none" w:sz="0" w:space="0" w:color="auto"/>
        <w:right w:val="none" w:sz="0" w:space="0" w:color="auto"/>
      </w:divBdr>
    </w:div>
    <w:div w:id="484204881">
      <w:bodyDiv w:val="1"/>
      <w:marLeft w:val="0"/>
      <w:marRight w:val="0"/>
      <w:marTop w:val="0"/>
      <w:marBottom w:val="0"/>
      <w:divBdr>
        <w:top w:val="none" w:sz="0" w:space="0" w:color="auto"/>
        <w:left w:val="none" w:sz="0" w:space="0" w:color="auto"/>
        <w:bottom w:val="none" w:sz="0" w:space="0" w:color="auto"/>
        <w:right w:val="none" w:sz="0" w:space="0" w:color="auto"/>
      </w:divBdr>
    </w:div>
    <w:div w:id="548229914">
      <w:bodyDiv w:val="1"/>
      <w:marLeft w:val="0"/>
      <w:marRight w:val="0"/>
      <w:marTop w:val="0"/>
      <w:marBottom w:val="0"/>
      <w:divBdr>
        <w:top w:val="none" w:sz="0" w:space="0" w:color="auto"/>
        <w:left w:val="none" w:sz="0" w:space="0" w:color="auto"/>
        <w:bottom w:val="none" w:sz="0" w:space="0" w:color="auto"/>
        <w:right w:val="none" w:sz="0" w:space="0" w:color="auto"/>
      </w:divBdr>
    </w:div>
    <w:div w:id="749812578">
      <w:bodyDiv w:val="1"/>
      <w:marLeft w:val="0"/>
      <w:marRight w:val="0"/>
      <w:marTop w:val="0"/>
      <w:marBottom w:val="0"/>
      <w:divBdr>
        <w:top w:val="none" w:sz="0" w:space="0" w:color="auto"/>
        <w:left w:val="none" w:sz="0" w:space="0" w:color="auto"/>
        <w:bottom w:val="none" w:sz="0" w:space="0" w:color="auto"/>
        <w:right w:val="none" w:sz="0" w:space="0" w:color="auto"/>
      </w:divBdr>
    </w:div>
    <w:div w:id="1070805007">
      <w:bodyDiv w:val="1"/>
      <w:marLeft w:val="0"/>
      <w:marRight w:val="0"/>
      <w:marTop w:val="0"/>
      <w:marBottom w:val="0"/>
      <w:divBdr>
        <w:top w:val="none" w:sz="0" w:space="0" w:color="auto"/>
        <w:left w:val="none" w:sz="0" w:space="0" w:color="auto"/>
        <w:bottom w:val="none" w:sz="0" w:space="0" w:color="auto"/>
        <w:right w:val="none" w:sz="0" w:space="0" w:color="auto"/>
      </w:divBdr>
    </w:div>
    <w:div w:id="1210190157">
      <w:bodyDiv w:val="1"/>
      <w:marLeft w:val="0"/>
      <w:marRight w:val="0"/>
      <w:marTop w:val="0"/>
      <w:marBottom w:val="0"/>
      <w:divBdr>
        <w:top w:val="none" w:sz="0" w:space="0" w:color="auto"/>
        <w:left w:val="none" w:sz="0" w:space="0" w:color="auto"/>
        <w:bottom w:val="none" w:sz="0" w:space="0" w:color="auto"/>
        <w:right w:val="none" w:sz="0" w:space="0" w:color="auto"/>
      </w:divBdr>
    </w:div>
    <w:div w:id="1429691198">
      <w:bodyDiv w:val="1"/>
      <w:marLeft w:val="0"/>
      <w:marRight w:val="0"/>
      <w:marTop w:val="0"/>
      <w:marBottom w:val="0"/>
      <w:divBdr>
        <w:top w:val="none" w:sz="0" w:space="0" w:color="auto"/>
        <w:left w:val="none" w:sz="0" w:space="0" w:color="auto"/>
        <w:bottom w:val="none" w:sz="0" w:space="0" w:color="auto"/>
        <w:right w:val="none" w:sz="0" w:space="0" w:color="auto"/>
      </w:divBdr>
    </w:div>
    <w:div w:id="1503542081">
      <w:bodyDiv w:val="1"/>
      <w:marLeft w:val="0"/>
      <w:marRight w:val="0"/>
      <w:marTop w:val="0"/>
      <w:marBottom w:val="0"/>
      <w:divBdr>
        <w:top w:val="none" w:sz="0" w:space="0" w:color="auto"/>
        <w:left w:val="none" w:sz="0" w:space="0" w:color="auto"/>
        <w:bottom w:val="none" w:sz="0" w:space="0" w:color="auto"/>
        <w:right w:val="none" w:sz="0" w:space="0" w:color="auto"/>
      </w:divBdr>
    </w:div>
    <w:div w:id="1710839595">
      <w:bodyDiv w:val="1"/>
      <w:marLeft w:val="0"/>
      <w:marRight w:val="0"/>
      <w:marTop w:val="0"/>
      <w:marBottom w:val="0"/>
      <w:divBdr>
        <w:top w:val="none" w:sz="0" w:space="0" w:color="auto"/>
        <w:left w:val="none" w:sz="0" w:space="0" w:color="auto"/>
        <w:bottom w:val="none" w:sz="0" w:space="0" w:color="auto"/>
        <w:right w:val="none" w:sz="0" w:space="0" w:color="auto"/>
      </w:divBdr>
    </w:div>
    <w:div w:id="1842158089">
      <w:bodyDiv w:val="1"/>
      <w:marLeft w:val="0"/>
      <w:marRight w:val="0"/>
      <w:marTop w:val="0"/>
      <w:marBottom w:val="0"/>
      <w:divBdr>
        <w:top w:val="none" w:sz="0" w:space="0" w:color="auto"/>
        <w:left w:val="none" w:sz="0" w:space="0" w:color="auto"/>
        <w:bottom w:val="none" w:sz="0" w:space="0" w:color="auto"/>
        <w:right w:val="none" w:sz="0" w:space="0" w:color="auto"/>
      </w:divBdr>
    </w:div>
    <w:div w:id="2007900198">
      <w:bodyDiv w:val="1"/>
      <w:marLeft w:val="0"/>
      <w:marRight w:val="0"/>
      <w:marTop w:val="0"/>
      <w:marBottom w:val="0"/>
      <w:divBdr>
        <w:top w:val="none" w:sz="0" w:space="0" w:color="auto"/>
        <w:left w:val="none" w:sz="0" w:space="0" w:color="auto"/>
        <w:bottom w:val="none" w:sz="0" w:space="0" w:color="auto"/>
        <w:right w:val="none" w:sz="0" w:space="0" w:color="auto"/>
      </w:divBdr>
      <w:divsChild>
        <w:div w:id="168182588">
          <w:marLeft w:val="0"/>
          <w:marRight w:val="0"/>
          <w:marTop w:val="0"/>
          <w:marBottom w:val="0"/>
          <w:divBdr>
            <w:top w:val="none" w:sz="0" w:space="0" w:color="auto"/>
            <w:left w:val="none" w:sz="0" w:space="0" w:color="auto"/>
            <w:bottom w:val="none" w:sz="0" w:space="0" w:color="auto"/>
            <w:right w:val="none" w:sz="0" w:space="0" w:color="auto"/>
          </w:divBdr>
          <w:divsChild>
            <w:div w:id="4347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90405">
      <w:bodyDiv w:val="1"/>
      <w:marLeft w:val="0"/>
      <w:marRight w:val="0"/>
      <w:marTop w:val="0"/>
      <w:marBottom w:val="0"/>
      <w:divBdr>
        <w:top w:val="none" w:sz="0" w:space="0" w:color="auto"/>
        <w:left w:val="none" w:sz="0" w:space="0" w:color="auto"/>
        <w:bottom w:val="none" w:sz="0" w:space="0" w:color="auto"/>
        <w:right w:val="none" w:sz="0" w:space="0" w:color="auto"/>
      </w:divBdr>
    </w:div>
    <w:div w:id="2043165188">
      <w:bodyDiv w:val="1"/>
      <w:marLeft w:val="0"/>
      <w:marRight w:val="0"/>
      <w:marTop w:val="0"/>
      <w:marBottom w:val="0"/>
      <w:divBdr>
        <w:top w:val="none" w:sz="0" w:space="0" w:color="auto"/>
        <w:left w:val="none" w:sz="0" w:space="0" w:color="auto"/>
        <w:bottom w:val="none" w:sz="0" w:space="0" w:color="auto"/>
        <w:right w:val="none" w:sz="0" w:space="0" w:color="auto"/>
      </w:divBdr>
    </w:div>
    <w:div w:id="2077899515">
      <w:bodyDiv w:val="1"/>
      <w:marLeft w:val="0"/>
      <w:marRight w:val="0"/>
      <w:marTop w:val="0"/>
      <w:marBottom w:val="0"/>
      <w:divBdr>
        <w:top w:val="none" w:sz="0" w:space="0" w:color="auto"/>
        <w:left w:val="none" w:sz="0" w:space="0" w:color="auto"/>
        <w:bottom w:val="none" w:sz="0" w:space="0" w:color="auto"/>
        <w:right w:val="none" w:sz="0" w:space="0" w:color="auto"/>
      </w:divBdr>
      <w:divsChild>
        <w:div w:id="1309624331">
          <w:marLeft w:val="0"/>
          <w:marRight w:val="0"/>
          <w:marTop w:val="0"/>
          <w:marBottom w:val="0"/>
          <w:divBdr>
            <w:top w:val="none" w:sz="0" w:space="0" w:color="auto"/>
            <w:left w:val="single" w:sz="6" w:space="0" w:color="444444"/>
            <w:bottom w:val="none" w:sz="0" w:space="0" w:color="auto"/>
            <w:right w:val="single" w:sz="6" w:space="0" w:color="444444"/>
          </w:divBdr>
          <w:divsChild>
            <w:div w:id="1969703236">
              <w:marLeft w:val="0"/>
              <w:marRight w:val="0"/>
              <w:marTop w:val="0"/>
              <w:marBottom w:val="0"/>
              <w:divBdr>
                <w:top w:val="none" w:sz="0" w:space="0" w:color="auto"/>
                <w:left w:val="none" w:sz="0" w:space="0" w:color="auto"/>
                <w:bottom w:val="none" w:sz="0" w:space="0" w:color="auto"/>
                <w:right w:val="none" w:sz="0" w:space="0" w:color="auto"/>
              </w:divBdr>
              <w:divsChild>
                <w:div w:id="1033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anaska.Dineva@fda.hhs.gov" TargetMode="External"/><Relationship Id="rId13" Type="http://schemas.openxmlformats.org/officeDocument/2006/relationships/hyperlink" Target="mailto:acarpenter@forsmarshgroup.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zanne.Lim@fda.hh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o.Navarro@fda.hh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iaoquan.Zhao@fda.hhs.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unetta.Jones@fda.hhs.gov" TargetMode="External"/><Relationship Id="rId14" Type="http://schemas.openxmlformats.org/officeDocument/2006/relationships/hyperlink" Target="mailto:smannis@forsmarsh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FDA</Company>
  <LinksUpToDate>false</LinksUpToDate>
  <CharactersWithSpaces>18424</CharactersWithSpaces>
  <SharedDoc>false</SharedDoc>
  <HLinks>
    <vt:vector size="30" baseType="variant">
      <vt:variant>
        <vt:i4>1179681</vt:i4>
      </vt:variant>
      <vt:variant>
        <vt:i4>15</vt:i4>
      </vt:variant>
      <vt:variant>
        <vt:i4>0</vt:i4>
      </vt:variant>
      <vt:variant>
        <vt:i4>5</vt:i4>
      </vt:variant>
      <vt:variant>
        <vt:lpwstr>mailto:bonniehepler@rti.org</vt:lpwstr>
      </vt:variant>
      <vt:variant>
        <vt:lpwstr/>
      </vt:variant>
      <vt:variant>
        <vt:i4>5177455</vt:i4>
      </vt:variant>
      <vt:variant>
        <vt:i4>12</vt:i4>
      </vt:variant>
      <vt:variant>
        <vt:i4>0</vt:i4>
      </vt:variant>
      <vt:variant>
        <vt:i4>5</vt:i4>
      </vt:variant>
      <vt:variant>
        <vt:lpwstr>mailto:Xiaoquan.Zhao@fda.hhs.gov</vt:lpwstr>
      </vt:variant>
      <vt:variant>
        <vt:lpwstr/>
      </vt:variant>
      <vt:variant>
        <vt:i4>6946890</vt:i4>
      </vt:variant>
      <vt:variant>
        <vt:i4>9</vt:i4>
      </vt:variant>
      <vt:variant>
        <vt:i4>0</vt:i4>
      </vt:variant>
      <vt:variant>
        <vt:i4>5</vt:i4>
      </vt:variant>
      <vt:variant>
        <vt:lpwstr>mailto:Chauentta.Jones@fda.hhs.gov</vt:lpwstr>
      </vt:variant>
      <vt:variant>
        <vt:lpwstr/>
      </vt:variant>
      <vt:variant>
        <vt:i4>2490397</vt:i4>
      </vt:variant>
      <vt:variant>
        <vt:i4>6</vt:i4>
      </vt:variant>
      <vt:variant>
        <vt:i4>0</vt:i4>
      </vt:variant>
      <vt:variant>
        <vt:i4>5</vt:i4>
      </vt:variant>
      <vt:variant>
        <vt:lpwstr>mailto:Atanaska.Dineva@fda.hhs.gov</vt:lpwstr>
      </vt:variant>
      <vt:variant>
        <vt:lpwstr/>
      </vt:variant>
      <vt:variant>
        <vt:i4>7995483</vt:i4>
      </vt:variant>
      <vt:variant>
        <vt:i4>3</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Pritzlaff, Olivia *</dc:creator>
  <cp:lastModifiedBy>SYSTEM</cp:lastModifiedBy>
  <cp:revision>2</cp:revision>
  <cp:lastPrinted>2014-10-28T19:53:00Z</cp:lastPrinted>
  <dcterms:created xsi:type="dcterms:W3CDTF">2019-04-12T17:14:00Z</dcterms:created>
  <dcterms:modified xsi:type="dcterms:W3CDTF">2019-04-12T17:14:00Z</dcterms:modified>
</cp:coreProperties>
</file>