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54F7" w:rsidR="00E34861" w:rsidP="009F7507" w:rsidRDefault="000526FB" w14:paraId="2192D44A" w14:textId="77777777">
      <w:pPr>
        <w:spacing w:after="0" w:line="240" w:lineRule="auto"/>
        <w:jc w:val="center"/>
        <w:rPr>
          <w:rFonts w:cstheme="minorHAnsi"/>
          <w:b/>
        </w:rPr>
      </w:pPr>
      <w:r w:rsidRPr="008A54F7">
        <w:rPr>
          <w:rFonts w:cstheme="minorHAnsi"/>
          <w:b/>
        </w:rPr>
        <w:t xml:space="preserve">Generic Information Collection (GenIC) </w:t>
      </w:r>
      <w:r w:rsidRPr="008A54F7" w:rsidR="00A73148">
        <w:rPr>
          <w:rFonts w:cstheme="minorHAnsi"/>
          <w:b/>
        </w:rPr>
        <w:t>Submitt</w:t>
      </w:r>
      <w:r w:rsidRPr="008A54F7" w:rsidR="00BB5A4C">
        <w:rPr>
          <w:rFonts w:cstheme="minorHAnsi"/>
          <w:b/>
        </w:rPr>
        <w:t>al Form</w:t>
      </w:r>
      <w:r w:rsidRPr="008A54F7" w:rsidR="00A73148">
        <w:rPr>
          <w:rFonts w:cstheme="minorHAnsi"/>
          <w:b/>
        </w:rPr>
        <w:t xml:space="preserve"> for </w:t>
      </w:r>
    </w:p>
    <w:p w:rsidRPr="008A54F7" w:rsidR="00990609" w:rsidRDefault="00A73148" w14:paraId="18E6D2A2" w14:textId="77777777">
      <w:pPr>
        <w:spacing w:after="0" w:line="240" w:lineRule="auto"/>
        <w:jc w:val="center"/>
        <w:rPr>
          <w:rFonts w:cstheme="minorHAnsi"/>
          <w:b/>
        </w:rPr>
      </w:pPr>
      <w:r w:rsidRPr="008A54F7">
        <w:rPr>
          <w:rFonts w:cstheme="minorHAnsi"/>
          <w:b/>
        </w:rPr>
        <w:t>OMB Rev</w:t>
      </w:r>
      <w:r w:rsidRPr="008A54F7" w:rsidR="002268E8">
        <w:rPr>
          <w:rFonts w:cstheme="minorHAnsi"/>
          <w:b/>
        </w:rPr>
        <w:t xml:space="preserve">iew of </w:t>
      </w:r>
      <w:r w:rsidRPr="008A54F7" w:rsidR="00C8371F">
        <w:rPr>
          <w:rFonts w:cstheme="minorHAnsi"/>
          <w:b/>
        </w:rPr>
        <w:t xml:space="preserve">ATSDR </w:t>
      </w:r>
      <w:r w:rsidRPr="008A54F7" w:rsidR="002268E8">
        <w:rPr>
          <w:rFonts w:cstheme="minorHAnsi"/>
          <w:b/>
        </w:rPr>
        <w:t>Exposure Investigation</w:t>
      </w:r>
      <w:r w:rsidRPr="008A54F7" w:rsidR="00BB5A4C">
        <w:rPr>
          <w:rFonts w:cstheme="minorHAnsi"/>
          <w:b/>
        </w:rPr>
        <w:t>s</w:t>
      </w:r>
      <w:r w:rsidRPr="008A54F7" w:rsidR="002268E8">
        <w:rPr>
          <w:rFonts w:cstheme="minorHAnsi"/>
          <w:b/>
        </w:rPr>
        <w:t xml:space="preserve"> (EI</w:t>
      </w:r>
      <w:r w:rsidRPr="008A54F7" w:rsidR="00BB5A4C">
        <w:rPr>
          <w:rFonts w:cstheme="minorHAnsi"/>
          <w:b/>
        </w:rPr>
        <w:t>s</w:t>
      </w:r>
      <w:r w:rsidRPr="008A54F7" w:rsidR="002268E8">
        <w:rPr>
          <w:rFonts w:cstheme="minorHAnsi"/>
          <w:b/>
        </w:rPr>
        <w:t xml:space="preserve">) </w:t>
      </w:r>
      <w:r w:rsidRPr="008A54F7" w:rsidR="00990609">
        <w:rPr>
          <w:rFonts w:cstheme="minorHAnsi"/>
          <w:b/>
        </w:rPr>
        <w:t>(0923-004</w:t>
      </w:r>
      <w:r w:rsidRPr="008A54F7" w:rsidR="00066D15">
        <w:rPr>
          <w:rFonts w:cstheme="minorHAnsi"/>
          <w:b/>
        </w:rPr>
        <w:t>8</w:t>
      </w:r>
      <w:r w:rsidRPr="008A54F7" w:rsidR="00990609">
        <w:rPr>
          <w:rFonts w:cstheme="minorHAnsi"/>
          <w:b/>
        </w:rPr>
        <w:t>)</w:t>
      </w:r>
    </w:p>
    <w:p w:rsidRPr="008A54F7" w:rsidR="00990609" w:rsidP="009F7507" w:rsidRDefault="00990609" w14:paraId="6A2B49B8" w14:textId="77777777">
      <w:pPr>
        <w:spacing w:after="0" w:line="240" w:lineRule="auto"/>
        <w:jc w:val="center"/>
        <w:rPr>
          <w:rFonts w:cstheme="minorHAnsi"/>
          <w:b/>
        </w:rPr>
      </w:pPr>
    </w:p>
    <w:p w:rsidRPr="008A54F7" w:rsidR="002268E8" w:rsidRDefault="002268E8" w14:paraId="19B812E1" w14:textId="63F26AC1">
      <w:pPr>
        <w:rPr>
          <w:rFonts w:cstheme="minorHAnsi"/>
          <w:b/>
        </w:rPr>
      </w:pPr>
      <w:r w:rsidRPr="008A54F7">
        <w:rPr>
          <w:rFonts w:cstheme="minorHAnsi"/>
          <w:b/>
        </w:rPr>
        <w:t>PROJECT TITLE</w:t>
      </w:r>
      <w:r w:rsidRPr="008A54F7" w:rsidR="00952433">
        <w:rPr>
          <w:rFonts w:cstheme="minorHAnsi"/>
          <w:b/>
        </w:rPr>
        <w:t xml:space="preserve">:  </w:t>
      </w:r>
      <w:r w:rsidRPr="008A54F7" w:rsidR="00744787">
        <w:rPr>
          <w:rFonts w:cstheme="minorHAnsi"/>
          <w:b/>
        </w:rPr>
        <w:t>Supplemental Exposure Investigation at Select PFAS Exposure Assessment Sites</w:t>
      </w:r>
    </w:p>
    <w:p w:rsidRPr="008A54F7" w:rsidR="00146801" w:rsidRDefault="005119AF" w14:paraId="45B8FEF4" w14:textId="70F6E170">
      <w:pPr>
        <w:rPr>
          <w:rFonts w:cstheme="minorHAnsi"/>
          <w:b/>
        </w:rPr>
      </w:pPr>
      <w:r w:rsidRPr="008A54F7">
        <w:rPr>
          <w:rFonts w:cstheme="minorHAnsi"/>
          <w:b/>
        </w:rPr>
        <w:t xml:space="preserve">SITE </w:t>
      </w:r>
      <w:r w:rsidRPr="008A54F7" w:rsidR="00146801">
        <w:rPr>
          <w:rFonts w:cstheme="minorHAnsi"/>
          <w:b/>
        </w:rPr>
        <w:t>LOCATION</w:t>
      </w:r>
      <w:r w:rsidRPr="008A54F7" w:rsidR="00952433">
        <w:rPr>
          <w:rFonts w:cstheme="minorHAnsi"/>
          <w:b/>
        </w:rPr>
        <w:t xml:space="preserve">:  </w:t>
      </w:r>
      <w:r w:rsidRPr="008A54F7" w:rsidR="00744787">
        <w:rPr>
          <w:rFonts w:cstheme="minorHAnsi"/>
          <w:b/>
        </w:rPr>
        <w:t>Hampden County, MA and New Castle County, DE</w:t>
      </w:r>
    </w:p>
    <w:p w:rsidRPr="008A54F7" w:rsidR="002C3309" w:rsidRDefault="002C3309" w14:paraId="6519BFD7" w14:textId="0504B5C5">
      <w:pPr>
        <w:rPr>
          <w:rFonts w:cstheme="minorHAnsi"/>
          <w:b/>
        </w:rPr>
      </w:pPr>
      <w:r w:rsidRPr="008A54F7">
        <w:rPr>
          <w:rFonts w:cstheme="minorHAnsi"/>
          <w:b/>
        </w:rPr>
        <w:t>REQUESTED BURDEN HOURS</w:t>
      </w:r>
      <w:r w:rsidRPr="008A54F7" w:rsidR="00245FE8">
        <w:rPr>
          <w:rFonts w:cstheme="minorHAnsi"/>
          <w:b/>
        </w:rPr>
        <w:t xml:space="preserve">:    </w:t>
      </w:r>
      <w:r w:rsidRPr="008A54F7" w:rsidR="00C6751F">
        <w:rPr>
          <w:rFonts w:cstheme="minorHAnsi"/>
          <w:b/>
        </w:rPr>
        <w:t>3</w:t>
      </w:r>
      <w:r w:rsidR="00C6751F">
        <w:rPr>
          <w:rFonts w:cstheme="minorHAnsi"/>
          <w:b/>
        </w:rPr>
        <w:t>50</w:t>
      </w:r>
    </w:p>
    <w:p w:rsidRPr="008A54F7" w:rsidR="00977D5F" w:rsidRDefault="00AD12BA" w14:paraId="27E175D8" w14:textId="77777777">
      <w:pPr>
        <w:rPr>
          <w:rFonts w:cstheme="minorHAnsi"/>
          <w:b/>
        </w:rPr>
      </w:pPr>
      <w:r w:rsidRPr="008A54F7">
        <w:rPr>
          <w:rFonts w:cstheme="minorHAnsi"/>
          <w:b/>
        </w:rPr>
        <w:t xml:space="preserve">PROJECT </w:t>
      </w:r>
      <w:r w:rsidRPr="008A54F7" w:rsidR="008C26C6">
        <w:rPr>
          <w:rFonts w:cstheme="minorHAnsi"/>
          <w:b/>
        </w:rPr>
        <w:t>SUMMARY</w:t>
      </w:r>
    </w:p>
    <w:tbl>
      <w:tblPr>
        <w:tblStyle w:val="TableGrid"/>
        <w:tblW w:w="9967" w:type="dxa"/>
        <w:tblInd w:w="108" w:type="dxa"/>
        <w:tblLook w:val="04A0" w:firstRow="1" w:lastRow="0" w:firstColumn="1" w:lastColumn="0" w:noHBand="0" w:noVBand="1"/>
      </w:tblPr>
      <w:tblGrid>
        <w:gridCol w:w="3168"/>
        <w:gridCol w:w="6799"/>
      </w:tblGrid>
      <w:tr w:rsidRPr="00A44AB3" w:rsidR="00977D5F" w:rsidTr="002631FE" w14:paraId="1E8F15E2" w14:textId="77777777">
        <w:tc>
          <w:tcPr>
            <w:tcW w:w="3168" w:type="dxa"/>
            <w:vAlign w:val="center"/>
          </w:tcPr>
          <w:p w:rsidRPr="002631FE" w:rsidR="00977D5F" w:rsidP="002631FE" w:rsidRDefault="00977D5F" w14:paraId="0F72B80A" w14:textId="77777777">
            <w:pPr>
              <w:rPr>
                <w:rFonts w:cstheme="minorHAnsi"/>
                <w:b/>
              </w:rPr>
            </w:pPr>
            <w:r w:rsidRPr="002631FE">
              <w:rPr>
                <w:rFonts w:cstheme="minorHAnsi"/>
                <w:b/>
              </w:rPr>
              <w:t>Principal Investigator(s):</w:t>
            </w:r>
          </w:p>
        </w:tc>
        <w:tc>
          <w:tcPr>
            <w:tcW w:w="6799" w:type="dxa"/>
            <w:vAlign w:val="center"/>
          </w:tcPr>
          <w:p w:rsidRPr="002631FE" w:rsidR="00FB52D0" w:rsidP="002631FE" w:rsidRDefault="00FB52D0" w14:paraId="23FB56C3" w14:textId="77777777">
            <w:pPr>
              <w:pStyle w:val="ListParagraph"/>
              <w:numPr>
                <w:ilvl w:val="0"/>
                <w:numId w:val="3"/>
              </w:numPr>
              <w:ind w:left="414"/>
              <w:contextualSpacing w:val="0"/>
              <w:rPr>
                <w:rFonts w:cstheme="minorHAnsi"/>
              </w:rPr>
            </w:pPr>
            <w:r w:rsidRPr="002631FE">
              <w:rPr>
                <w:rFonts w:cstheme="minorHAnsi"/>
              </w:rPr>
              <w:t>Karen Scruton (ATSDR Headquarters)</w:t>
            </w:r>
          </w:p>
          <w:p w:rsidRPr="002631FE" w:rsidR="00EF14AC" w:rsidP="002631FE" w:rsidRDefault="00744787" w14:paraId="771F4832" w14:textId="047F6D33">
            <w:pPr>
              <w:pStyle w:val="ListParagraph"/>
              <w:numPr>
                <w:ilvl w:val="0"/>
                <w:numId w:val="3"/>
              </w:numPr>
              <w:ind w:left="414"/>
              <w:contextualSpacing w:val="0"/>
              <w:rPr>
                <w:rFonts w:cstheme="minorHAnsi"/>
              </w:rPr>
            </w:pPr>
            <w:r w:rsidRPr="002631FE">
              <w:rPr>
                <w:rFonts w:cstheme="minorHAnsi"/>
              </w:rPr>
              <w:t>Peter Kowalski</w:t>
            </w:r>
            <w:r w:rsidRPr="002631FE" w:rsidR="00EF14AC">
              <w:rPr>
                <w:rFonts w:cstheme="minorHAnsi"/>
              </w:rPr>
              <w:t xml:space="preserve"> (ATSDR Headquarters)</w:t>
            </w:r>
          </w:p>
          <w:p w:rsidRPr="002631FE" w:rsidR="00FB52D0" w:rsidP="002631FE" w:rsidRDefault="00744787" w14:paraId="0C6D0D5C" w14:textId="77777777">
            <w:pPr>
              <w:pStyle w:val="ListParagraph"/>
              <w:numPr>
                <w:ilvl w:val="0"/>
                <w:numId w:val="3"/>
              </w:numPr>
              <w:ind w:left="414"/>
              <w:contextualSpacing w:val="0"/>
              <w:rPr>
                <w:rFonts w:cstheme="minorHAnsi"/>
              </w:rPr>
            </w:pPr>
            <w:r w:rsidRPr="002631FE">
              <w:rPr>
                <w:rFonts w:cstheme="minorHAnsi"/>
              </w:rPr>
              <w:t>Elaine Hubal</w:t>
            </w:r>
            <w:r w:rsidRPr="002631FE" w:rsidR="00977D5F">
              <w:rPr>
                <w:rFonts w:cstheme="minorHAnsi"/>
              </w:rPr>
              <w:t xml:space="preserve"> (</w:t>
            </w:r>
            <w:r w:rsidRPr="002631FE">
              <w:rPr>
                <w:rFonts w:cstheme="minorHAnsi"/>
              </w:rPr>
              <w:t>EPA ORD</w:t>
            </w:r>
            <w:r w:rsidRPr="002631FE" w:rsidR="00977D5F">
              <w:rPr>
                <w:rFonts w:cstheme="minorHAnsi"/>
              </w:rPr>
              <w:t>)</w:t>
            </w:r>
          </w:p>
          <w:p w:rsidRPr="002631FE" w:rsidR="00744787" w:rsidP="002631FE" w:rsidRDefault="00744787" w14:paraId="2E3E13EC" w14:textId="199B9555">
            <w:pPr>
              <w:pStyle w:val="ListParagraph"/>
              <w:numPr>
                <w:ilvl w:val="0"/>
                <w:numId w:val="3"/>
              </w:numPr>
              <w:ind w:left="414"/>
              <w:contextualSpacing w:val="0"/>
              <w:rPr>
                <w:rFonts w:cstheme="minorHAnsi"/>
              </w:rPr>
            </w:pPr>
            <w:r w:rsidRPr="002631FE">
              <w:rPr>
                <w:rFonts w:cstheme="minorHAnsi"/>
              </w:rPr>
              <w:t>Kent Thomas (EPA ORD)</w:t>
            </w:r>
          </w:p>
        </w:tc>
      </w:tr>
      <w:tr w:rsidRPr="00A44AB3" w:rsidR="00977D5F" w:rsidTr="002631FE" w14:paraId="34E8B2E3" w14:textId="77777777">
        <w:tc>
          <w:tcPr>
            <w:tcW w:w="3168" w:type="dxa"/>
            <w:vAlign w:val="center"/>
          </w:tcPr>
          <w:p w:rsidRPr="002631FE" w:rsidR="00977D5F" w:rsidP="002631FE" w:rsidRDefault="00977D5F" w14:paraId="72474E13" w14:textId="77777777">
            <w:pPr>
              <w:rPr>
                <w:rFonts w:cstheme="minorHAnsi"/>
                <w:b/>
              </w:rPr>
            </w:pPr>
            <w:r w:rsidRPr="002631FE">
              <w:rPr>
                <w:rFonts w:cstheme="minorHAnsi"/>
                <w:b/>
              </w:rPr>
              <w:t>Technical Assistance:</w:t>
            </w:r>
          </w:p>
        </w:tc>
        <w:tc>
          <w:tcPr>
            <w:tcW w:w="6799" w:type="dxa"/>
            <w:vAlign w:val="center"/>
          </w:tcPr>
          <w:p w:rsidRPr="002631FE" w:rsidR="00977D5F" w:rsidP="002631FE" w:rsidRDefault="00FB52D0" w14:paraId="348B19FA" w14:textId="7593DC46">
            <w:pPr>
              <w:pStyle w:val="ListParagraph"/>
              <w:numPr>
                <w:ilvl w:val="0"/>
                <w:numId w:val="2"/>
              </w:numPr>
              <w:ind w:left="414"/>
              <w:contextualSpacing w:val="0"/>
              <w:rPr>
                <w:rFonts w:cstheme="minorHAnsi"/>
                <w:b/>
              </w:rPr>
            </w:pPr>
            <w:r w:rsidRPr="002631FE">
              <w:rPr>
                <w:rFonts w:cstheme="minorHAnsi"/>
              </w:rPr>
              <w:t xml:space="preserve">Region </w:t>
            </w:r>
            <w:r w:rsidRPr="002631FE" w:rsidR="00744787">
              <w:rPr>
                <w:rFonts w:cstheme="minorHAnsi"/>
              </w:rPr>
              <w:t>1 ATSDR</w:t>
            </w:r>
            <w:r w:rsidRPr="002631FE" w:rsidR="00977D5F">
              <w:rPr>
                <w:rFonts w:cstheme="minorHAnsi"/>
              </w:rPr>
              <w:t xml:space="preserve"> </w:t>
            </w:r>
          </w:p>
          <w:p w:rsidRPr="002631FE" w:rsidR="00744787" w:rsidP="002631FE" w:rsidRDefault="00744787" w14:paraId="447651E1" w14:textId="530A7E38">
            <w:pPr>
              <w:pStyle w:val="ListParagraph"/>
              <w:numPr>
                <w:ilvl w:val="0"/>
                <w:numId w:val="2"/>
              </w:numPr>
              <w:ind w:left="414"/>
              <w:contextualSpacing w:val="0"/>
              <w:rPr>
                <w:rFonts w:cstheme="minorHAnsi"/>
                <w:bCs/>
              </w:rPr>
            </w:pPr>
            <w:r w:rsidRPr="002631FE">
              <w:rPr>
                <w:rFonts w:cstheme="minorHAnsi"/>
                <w:bCs/>
              </w:rPr>
              <w:t>Region 3 ATSDR</w:t>
            </w:r>
          </w:p>
          <w:p w:rsidRPr="002631FE" w:rsidR="00977D5F" w:rsidP="002631FE" w:rsidRDefault="00744787" w14:paraId="7D294FD6" w14:textId="473FF310">
            <w:pPr>
              <w:pStyle w:val="ListParagraph"/>
              <w:numPr>
                <w:ilvl w:val="0"/>
                <w:numId w:val="2"/>
              </w:numPr>
              <w:ind w:left="414"/>
              <w:contextualSpacing w:val="0"/>
              <w:rPr>
                <w:rFonts w:cstheme="minorHAnsi"/>
                <w:b/>
              </w:rPr>
            </w:pPr>
            <w:r w:rsidRPr="002631FE">
              <w:rPr>
                <w:rFonts w:cstheme="minorHAnsi"/>
              </w:rPr>
              <w:t>Laboratory (TBD)</w:t>
            </w:r>
          </w:p>
        </w:tc>
      </w:tr>
      <w:tr w:rsidRPr="00A44AB3" w:rsidR="00977D5F" w:rsidTr="002631FE" w14:paraId="25C1773E" w14:textId="77777777">
        <w:tc>
          <w:tcPr>
            <w:tcW w:w="3168" w:type="dxa"/>
            <w:vAlign w:val="center"/>
          </w:tcPr>
          <w:p w:rsidRPr="002631FE" w:rsidR="00977D5F" w:rsidP="002631FE" w:rsidRDefault="00977D5F" w14:paraId="5E2388E7" w14:textId="77777777">
            <w:pPr>
              <w:rPr>
                <w:rFonts w:cstheme="minorHAnsi"/>
                <w:b/>
              </w:rPr>
            </w:pPr>
            <w:r w:rsidRPr="002631FE">
              <w:rPr>
                <w:rFonts w:cstheme="minorHAnsi"/>
                <w:b/>
              </w:rPr>
              <w:t>Source of Request (state, petition, etc.):</w:t>
            </w:r>
          </w:p>
        </w:tc>
        <w:tc>
          <w:tcPr>
            <w:tcW w:w="6799" w:type="dxa"/>
            <w:vAlign w:val="center"/>
          </w:tcPr>
          <w:p w:rsidRPr="002631FE" w:rsidR="00977D5F" w:rsidP="002631FE" w:rsidRDefault="00627597" w14:paraId="1447E8FA" w14:textId="68257F50">
            <w:pPr>
              <w:rPr>
                <w:rFonts w:cstheme="minorHAnsi"/>
              </w:rPr>
            </w:pPr>
            <w:r w:rsidRPr="002631FE">
              <w:rPr>
                <w:rFonts w:cstheme="minorHAnsi"/>
              </w:rPr>
              <w:t xml:space="preserve">ATSDR EI </w:t>
            </w:r>
            <w:r w:rsidRPr="002631FE" w:rsidR="001079E3">
              <w:rPr>
                <w:rFonts w:cstheme="minorHAnsi"/>
              </w:rPr>
              <w:t xml:space="preserve">will be conducted </w:t>
            </w:r>
            <w:r w:rsidRPr="002631FE" w:rsidR="00744787">
              <w:rPr>
                <w:rFonts w:cstheme="minorHAnsi"/>
              </w:rPr>
              <w:t>in collaboration with</w:t>
            </w:r>
            <w:r w:rsidRPr="002631FE">
              <w:rPr>
                <w:rFonts w:cstheme="minorHAnsi"/>
              </w:rPr>
              <w:t xml:space="preserve"> </w:t>
            </w:r>
            <w:r w:rsidRPr="002631FE" w:rsidR="001079E3">
              <w:rPr>
                <w:rFonts w:cstheme="minorHAnsi"/>
              </w:rPr>
              <w:t>EPA</w:t>
            </w:r>
            <w:r w:rsidRPr="002631FE" w:rsidR="00744787">
              <w:rPr>
                <w:rFonts w:cstheme="minorHAnsi"/>
              </w:rPr>
              <w:t xml:space="preserve"> ORD</w:t>
            </w:r>
            <w:r w:rsidRPr="002631FE" w:rsidR="001079E3">
              <w:rPr>
                <w:rFonts w:cstheme="minorHAnsi"/>
              </w:rPr>
              <w:t>.</w:t>
            </w:r>
          </w:p>
        </w:tc>
      </w:tr>
      <w:tr w:rsidRPr="00A44AB3" w:rsidR="00977D5F" w:rsidTr="002631FE" w14:paraId="61AA36E6" w14:textId="77777777">
        <w:trPr>
          <w:trHeight w:val="710"/>
        </w:trPr>
        <w:tc>
          <w:tcPr>
            <w:tcW w:w="3168" w:type="dxa"/>
            <w:vAlign w:val="center"/>
          </w:tcPr>
          <w:p w:rsidRPr="002631FE" w:rsidR="00977D5F" w:rsidP="002631FE" w:rsidRDefault="00977D5F" w14:paraId="0A0856C0" w14:textId="77777777">
            <w:pPr>
              <w:rPr>
                <w:rFonts w:cstheme="minorHAnsi"/>
                <w:b/>
              </w:rPr>
            </w:pPr>
            <w:r w:rsidRPr="002631FE">
              <w:rPr>
                <w:rFonts w:cstheme="minorHAnsi"/>
                <w:b/>
              </w:rPr>
              <w:t>Project Goals:</w:t>
            </w:r>
          </w:p>
        </w:tc>
        <w:tc>
          <w:tcPr>
            <w:tcW w:w="6799" w:type="dxa"/>
            <w:vAlign w:val="center"/>
          </w:tcPr>
          <w:p w:rsidRPr="002631FE" w:rsidR="00744787" w:rsidP="002631FE" w:rsidRDefault="007E175D" w14:paraId="5AF6F331" w14:textId="0B721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bookmarkStart w:name="_Hlk74048550" w:id="0"/>
            <w:r w:rsidRPr="002631FE">
              <w:rPr>
                <w:rFonts w:cstheme="minorHAnsi"/>
              </w:rPr>
              <w:t>From 2019 to 2020</w:t>
            </w:r>
            <w:r w:rsidRPr="002631FE" w:rsidR="00744787">
              <w:rPr>
                <w:rFonts w:cstheme="minorHAnsi"/>
              </w:rPr>
              <w:t>, CDC/ATSDR conduc</w:t>
            </w:r>
            <w:r w:rsidRPr="002631FE" w:rsidR="00ED6711">
              <w:rPr>
                <w:rFonts w:cstheme="minorHAnsi"/>
              </w:rPr>
              <w:t xml:space="preserve">ed eight </w:t>
            </w:r>
            <w:r w:rsidRPr="002631FE" w:rsidR="00744787">
              <w:rPr>
                <w:rFonts w:cstheme="minorHAnsi"/>
              </w:rPr>
              <w:t xml:space="preserve">statistically based biomonitoring exposure assessments (EAs) domestic military installations that have or have had documented exposures to Per- and Polyfluoroalkyl Substances (PFAS) in drinking water. </w:t>
            </w:r>
          </w:p>
          <w:p w:rsidRPr="002631FE" w:rsidR="00744787" w:rsidP="002631FE" w:rsidRDefault="00744787" w14:paraId="49E3C7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Pr="002631FE" w:rsidR="00744787" w:rsidP="002631FE" w:rsidRDefault="00744787" w14:paraId="4EDC9470" w14:textId="42735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2631FE">
              <w:rPr>
                <w:rFonts w:cstheme="minorHAnsi"/>
              </w:rPr>
              <w:t>The intention of the EAs was to determine how exposure to PFAS in drinking water in communities nearby the military installations may have impacted levels of PFAS in serum and urine. In addition to serum and urine testing, tap water and indoor dust were also sampled in a subset of homes.</w:t>
            </w:r>
          </w:p>
          <w:p w:rsidRPr="002631FE" w:rsidR="00744787" w:rsidP="002631FE" w:rsidRDefault="00744787" w14:paraId="5CE0E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Pr="002631FE" w:rsidR="00744787" w:rsidP="002631FE" w:rsidRDefault="00744787" w14:paraId="5A448C1C" w14:textId="77777777">
            <w:pPr>
              <w:rPr>
                <w:rFonts w:cstheme="minorHAnsi"/>
              </w:rPr>
            </w:pPr>
            <w:r w:rsidRPr="002631FE">
              <w:rPr>
                <w:rFonts w:cstheme="minorHAnsi"/>
              </w:rPr>
              <w:t xml:space="preserve">Exposure to PFAS can result from exposure to both drinking water and non-drinking water sources. Although there is information indicating additional sources of exposure to PFAS, information on the contribution of these sources to PFAS body burden levels is sparse.  </w:t>
            </w:r>
          </w:p>
          <w:p w:rsidRPr="002631FE" w:rsidR="00744787" w:rsidP="002631FE" w:rsidRDefault="00744787" w14:paraId="668534A6" w14:textId="77777777">
            <w:pPr>
              <w:rPr>
                <w:rFonts w:cstheme="minorHAnsi"/>
              </w:rPr>
            </w:pPr>
          </w:p>
          <w:p w:rsidRPr="002631FE" w:rsidR="00744787" w:rsidP="002631FE" w:rsidRDefault="000B1AA9" w14:paraId="7F376D44" w14:textId="61C6D90B">
            <w:pPr>
              <w:rPr>
                <w:rFonts w:cstheme="minorHAnsi"/>
              </w:rPr>
            </w:pPr>
            <w:r w:rsidRPr="002631FE">
              <w:rPr>
                <w:rFonts w:cstheme="minorHAnsi"/>
              </w:rPr>
              <w:t xml:space="preserve">Under CERCLA, </w:t>
            </w:r>
            <w:r w:rsidRPr="002631FE" w:rsidR="00744787">
              <w:rPr>
                <w:rFonts w:cstheme="minorHAnsi"/>
              </w:rPr>
              <w:t>CDC/ATSDR and EPA are conducting this environmental sampling exposure investigation (EI) to identify potential non-drinking water contributors to PFAS body burdens</w:t>
            </w:r>
            <w:r w:rsidRPr="002631FE" w:rsidR="00A44AB3">
              <w:rPr>
                <w:rFonts w:cstheme="minorHAnsi"/>
              </w:rPr>
              <w:t xml:space="preserve"> at two PFAS EA communities</w:t>
            </w:r>
            <w:r w:rsidRPr="002631FE" w:rsidR="00744787">
              <w:rPr>
                <w:rFonts w:cstheme="minorHAnsi"/>
              </w:rPr>
              <w:t xml:space="preserve">. </w:t>
            </w:r>
          </w:p>
          <w:p w:rsidRPr="002631FE" w:rsidR="00744787" w:rsidP="002631FE" w:rsidRDefault="00744787" w14:paraId="3678FF4A" w14:textId="77777777">
            <w:pPr>
              <w:rPr>
                <w:rFonts w:cstheme="minorHAnsi"/>
              </w:rPr>
            </w:pPr>
          </w:p>
          <w:bookmarkEnd w:id="0"/>
          <w:p w:rsidRPr="002631FE" w:rsidR="00744787" w:rsidP="002631FE" w:rsidRDefault="00ED6711" w14:paraId="57BB0B1F" w14:textId="5FAEB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2631FE">
              <w:rPr>
                <w:rFonts w:cstheme="minorHAnsi"/>
              </w:rPr>
              <w:t>This EI</w:t>
            </w:r>
            <w:r w:rsidRPr="002631FE" w:rsidR="00744787">
              <w:rPr>
                <w:rFonts w:cstheme="minorHAnsi"/>
              </w:rPr>
              <w:t xml:space="preserve"> will include sampling environmental media at the homes of a sub-set of </w:t>
            </w:r>
            <w:r w:rsidRPr="002631FE" w:rsidR="00D86500">
              <w:rPr>
                <w:rFonts w:cstheme="minorHAnsi"/>
              </w:rPr>
              <w:t xml:space="preserve">EA </w:t>
            </w:r>
            <w:r w:rsidRPr="002631FE" w:rsidR="00744787">
              <w:rPr>
                <w:rFonts w:cstheme="minorHAnsi"/>
              </w:rPr>
              <w:t xml:space="preserve">participants </w:t>
            </w:r>
            <w:r w:rsidRPr="002631FE" w:rsidR="00A44AB3">
              <w:rPr>
                <w:rFonts w:cstheme="minorHAnsi"/>
              </w:rPr>
              <w:t xml:space="preserve">who </w:t>
            </w:r>
            <w:r w:rsidRPr="002631FE" w:rsidR="00D86500">
              <w:rPr>
                <w:rFonts w:cstheme="minorHAnsi"/>
              </w:rPr>
              <w:t xml:space="preserve">had </w:t>
            </w:r>
            <w:r w:rsidRPr="002631FE" w:rsidR="00A44AB3">
              <w:rPr>
                <w:rFonts w:cstheme="minorHAnsi"/>
              </w:rPr>
              <w:t>agreed to future recontact</w:t>
            </w:r>
            <w:r w:rsidRPr="002631FE" w:rsidR="00744787">
              <w:rPr>
                <w:rFonts w:cstheme="minorHAnsi"/>
              </w:rPr>
              <w:t xml:space="preserve">.  </w:t>
            </w:r>
            <w:r w:rsidRPr="002631FE">
              <w:rPr>
                <w:rFonts w:cstheme="minorHAnsi"/>
              </w:rPr>
              <w:t>The E</w:t>
            </w:r>
            <w:r w:rsidRPr="002631FE" w:rsidR="00F77756">
              <w:rPr>
                <w:rFonts w:cstheme="minorHAnsi"/>
              </w:rPr>
              <w:t>I</w:t>
            </w:r>
            <w:r w:rsidRPr="002631FE">
              <w:rPr>
                <w:rFonts w:cstheme="minorHAnsi"/>
              </w:rPr>
              <w:t xml:space="preserve"> will include the sampling of </w:t>
            </w:r>
            <w:r w:rsidRPr="002631FE" w:rsidR="00F77756">
              <w:rPr>
                <w:rFonts w:cstheme="minorHAnsi"/>
              </w:rPr>
              <w:t>additional</w:t>
            </w:r>
            <w:r w:rsidRPr="002631FE">
              <w:rPr>
                <w:rFonts w:cstheme="minorHAnsi"/>
              </w:rPr>
              <w:t xml:space="preserve"> environmental media and the administration of appropriate consent forms and questionnaires to evaluate non-drinking water exposure to PFAS. </w:t>
            </w:r>
            <w:r w:rsidRPr="002631FE" w:rsidR="00744787">
              <w:rPr>
                <w:rFonts w:cstheme="minorHAnsi"/>
              </w:rPr>
              <w:t xml:space="preserve"> </w:t>
            </w:r>
          </w:p>
          <w:p w:rsidRPr="002631FE" w:rsidR="00ED6711" w:rsidP="002631FE" w:rsidRDefault="00ED6711" w14:paraId="4CA1A5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Pr="002631FE" w:rsidR="00744787" w:rsidP="002631FE" w:rsidRDefault="00744787" w14:paraId="3DA68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heme="minorHAnsi"/>
                <w:bCs/>
              </w:rPr>
            </w:pPr>
            <w:r w:rsidRPr="002631FE">
              <w:rPr>
                <w:rFonts w:cstheme="minorHAnsi"/>
              </w:rPr>
              <w:t>The goals of this environmental sampling EI are to evaluate:</w:t>
            </w:r>
          </w:p>
          <w:p w:rsidRPr="002631FE" w:rsidR="00744787" w:rsidP="002631FE" w:rsidRDefault="00744787" w14:paraId="38F84955" w14:textId="77777777">
            <w:pPr>
              <w:numPr>
                <w:ilvl w:val="0"/>
                <w:numId w:val="22"/>
              </w:numPr>
              <w:rPr>
                <w:rFonts w:cstheme="minorHAnsi"/>
              </w:rPr>
            </w:pPr>
            <w:r w:rsidRPr="002631FE">
              <w:rPr>
                <w:rFonts w:cstheme="minorHAnsi"/>
              </w:rPr>
              <w:t>Whether PFAS are detectable in various non-drinking water environmental media;</w:t>
            </w:r>
          </w:p>
          <w:p w:rsidRPr="002631FE" w:rsidR="00744787" w:rsidP="002631FE" w:rsidRDefault="00F77756" w14:paraId="28220A90" w14:textId="36EBD92B">
            <w:pPr>
              <w:numPr>
                <w:ilvl w:val="0"/>
                <w:numId w:val="22"/>
              </w:numPr>
              <w:rPr>
                <w:rFonts w:cstheme="minorHAnsi"/>
              </w:rPr>
            </w:pPr>
            <w:r w:rsidRPr="002631FE">
              <w:rPr>
                <w:rFonts w:cstheme="minorHAnsi"/>
              </w:rPr>
              <w:lastRenderedPageBreak/>
              <w:t>If detectable, w</w:t>
            </w:r>
            <w:r w:rsidRPr="002631FE" w:rsidR="00744787">
              <w:rPr>
                <w:rFonts w:cstheme="minorHAnsi"/>
              </w:rPr>
              <w:t>hat the levels of PFAS in environmental media are; and</w:t>
            </w:r>
          </w:p>
          <w:p w:rsidRPr="002631FE" w:rsidR="00977D5F" w:rsidP="002631FE" w:rsidRDefault="00744787" w14:paraId="00DE0D20" w14:textId="382C6893">
            <w:pPr>
              <w:numPr>
                <w:ilvl w:val="0"/>
                <w:numId w:val="22"/>
              </w:numPr>
              <w:rPr>
                <w:rFonts w:cstheme="minorHAnsi"/>
              </w:rPr>
            </w:pPr>
            <w:r w:rsidRPr="002631FE">
              <w:rPr>
                <w:rFonts w:cstheme="minorHAnsi"/>
              </w:rPr>
              <w:t xml:space="preserve">Whether these detectable levels of PFAS may be associated with the existing measured body burden levels of PFAS identified during the EA. </w:t>
            </w:r>
          </w:p>
        </w:tc>
      </w:tr>
      <w:tr w:rsidRPr="00A44AB3" w:rsidR="00977D5F" w:rsidTr="002631FE" w14:paraId="5726654A" w14:textId="77777777">
        <w:tc>
          <w:tcPr>
            <w:tcW w:w="3168" w:type="dxa"/>
            <w:vAlign w:val="center"/>
          </w:tcPr>
          <w:p w:rsidRPr="002631FE" w:rsidR="00977D5F" w:rsidP="002631FE" w:rsidRDefault="00977D5F" w14:paraId="5A091130" w14:textId="77777777">
            <w:pPr>
              <w:rPr>
                <w:rFonts w:cstheme="minorHAnsi"/>
                <w:b/>
              </w:rPr>
            </w:pPr>
            <w:r w:rsidRPr="002631FE">
              <w:rPr>
                <w:rFonts w:cstheme="minorHAnsi"/>
                <w:b/>
              </w:rPr>
              <w:lastRenderedPageBreak/>
              <w:t>Project Objectives:</w:t>
            </w:r>
          </w:p>
        </w:tc>
        <w:tc>
          <w:tcPr>
            <w:tcW w:w="6799" w:type="dxa"/>
            <w:vAlign w:val="center"/>
          </w:tcPr>
          <w:p w:rsidRPr="002631FE" w:rsidR="00ED6711" w:rsidP="002631FE" w:rsidRDefault="00771A77" w14:paraId="64059123" w14:textId="324B1CF3">
            <w:pPr>
              <w:rPr>
                <w:rFonts w:cstheme="minorHAnsi"/>
              </w:rPr>
            </w:pPr>
            <w:r w:rsidRPr="002631FE">
              <w:rPr>
                <w:rFonts w:cstheme="minorHAnsi"/>
              </w:rPr>
              <w:t>Th</w:t>
            </w:r>
            <w:r w:rsidRPr="002631FE" w:rsidR="00E04405">
              <w:rPr>
                <w:rFonts w:cstheme="minorHAnsi"/>
              </w:rPr>
              <w:t xml:space="preserve">is </w:t>
            </w:r>
            <w:r w:rsidRPr="002631FE" w:rsidR="00ED6711">
              <w:rPr>
                <w:rFonts w:cstheme="minorHAnsi"/>
              </w:rPr>
              <w:t xml:space="preserve">environmental sampling </w:t>
            </w:r>
            <w:r w:rsidRPr="002631FE" w:rsidR="00E04405">
              <w:rPr>
                <w:rFonts w:cstheme="minorHAnsi"/>
              </w:rPr>
              <w:t xml:space="preserve">exposure investigation will recruit </w:t>
            </w:r>
            <w:r w:rsidRPr="002631FE" w:rsidR="00F77756">
              <w:rPr>
                <w:rFonts w:cstheme="minorHAnsi"/>
              </w:rPr>
              <w:t xml:space="preserve">former </w:t>
            </w:r>
            <w:r w:rsidRPr="002631FE" w:rsidR="00ED6711">
              <w:rPr>
                <w:rFonts w:cstheme="minorHAnsi"/>
              </w:rPr>
              <w:t xml:space="preserve">EA participants at two locations: 80 households from the Hampden County, MA community and 40 households from the New Castle County, DE community, which represent approximately 30% of the EA households. </w:t>
            </w:r>
          </w:p>
          <w:p w:rsidRPr="002631FE" w:rsidR="00A44AB3" w:rsidP="002631FE" w:rsidRDefault="00A44AB3" w14:paraId="342D3304" w14:textId="77777777">
            <w:pPr>
              <w:rPr>
                <w:rFonts w:cstheme="minorHAnsi"/>
              </w:rPr>
            </w:pPr>
          </w:p>
          <w:p w:rsidRPr="002631FE" w:rsidR="00977D5F" w:rsidP="002631FE" w:rsidRDefault="00ED6711" w14:paraId="64204082" w14:textId="65DD9BE5">
            <w:pPr>
              <w:rPr>
                <w:rFonts w:cstheme="minorHAnsi"/>
              </w:rPr>
            </w:pPr>
            <w:r w:rsidRPr="002631FE">
              <w:rPr>
                <w:rFonts w:cstheme="minorHAnsi"/>
              </w:rPr>
              <w:t xml:space="preserve">The households will be sampled for </w:t>
            </w:r>
            <w:r w:rsidRPr="002631FE" w:rsidR="000E3870">
              <w:rPr>
                <w:rFonts w:cstheme="minorHAnsi"/>
              </w:rPr>
              <w:t xml:space="preserve">additional </w:t>
            </w:r>
            <w:r w:rsidRPr="002631FE">
              <w:rPr>
                <w:rFonts w:cstheme="minorHAnsi"/>
              </w:rPr>
              <w:t xml:space="preserve">environmental media to evaluate levels of PFAS in </w:t>
            </w:r>
            <w:r w:rsidRPr="002631FE" w:rsidR="0057746B">
              <w:rPr>
                <w:rFonts w:cstheme="minorHAnsi"/>
              </w:rPr>
              <w:t xml:space="preserve">the </w:t>
            </w:r>
            <w:r w:rsidRPr="002631FE">
              <w:rPr>
                <w:rFonts w:cstheme="minorHAnsi"/>
              </w:rPr>
              <w:t>various media</w:t>
            </w:r>
            <w:r w:rsidRPr="002631FE" w:rsidR="0063667F">
              <w:rPr>
                <w:rFonts w:cstheme="minorHAnsi"/>
              </w:rPr>
              <w:t>.</w:t>
            </w:r>
            <w:r w:rsidRPr="002631FE">
              <w:rPr>
                <w:rFonts w:cstheme="minorHAnsi"/>
              </w:rPr>
              <w:t xml:space="preserve"> The </w:t>
            </w:r>
            <w:r w:rsidRPr="002631FE" w:rsidR="004B192D">
              <w:rPr>
                <w:rFonts w:cstheme="minorHAnsi"/>
              </w:rPr>
              <w:t xml:space="preserve">prior EA </w:t>
            </w:r>
            <w:r w:rsidRPr="002631FE">
              <w:rPr>
                <w:rFonts w:cstheme="minorHAnsi"/>
              </w:rPr>
              <w:t xml:space="preserve">serum PFAS results will be further evaluated </w:t>
            </w:r>
            <w:r w:rsidRPr="002631FE" w:rsidR="004B192D">
              <w:rPr>
                <w:rFonts w:cstheme="minorHAnsi"/>
              </w:rPr>
              <w:t>with</w:t>
            </w:r>
            <w:r w:rsidRPr="002631FE">
              <w:rPr>
                <w:rFonts w:cstheme="minorHAnsi"/>
              </w:rPr>
              <w:t xml:space="preserve"> the results of the environmental sampling as well as the results of the questionnaires administered during both the EA and this environmental sampling EI. </w:t>
            </w:r>
            <w:r w:rsidRPr="002631FE" w:rsidR="002B7FAF">
              <w:rPr>
                <w:rFonts w:cstheme="minorHAnsi"/>
              </w:rPr>
              <w:t xml:space="preserve"> </w:t>
            </w:r>
          </w:p>
          <w:p w:rsidRPr="002631FE" w:rsidR="00A44AB3" w:rsidP="002631FE" w:rsidRDefault="00A44AB3" w14:paraId="4F17591A" w14:textId="77777777">
            <w:pPr>
              <w:rPr>
                <w:rFonts w:cstheme="minorHAnsi"/>
              </w:rPr>
            </w:pPr>
          </w:p>
          <w:p w:rsidRPr="002631FE" w:rsidR="00275434" w:rsidP="002631FE" w:rsidRDefault="00275434" w14:paraId="7CB56D13" w14:textId="450AEC48">
            <w:pPr>
              <w:rPr>
                <w:rFonts w:cstheme="minorHAnsi"/>
              </w:rPr>
            </w:pPr>
            <w:r w:rsidRPr="002631FE">
              <w:rPr>
                <w:rFonts w:cstheme="minorHAnsi"/>
              </w:rPr>
              <w:t>Participants will receive their household sampling results and an EI report will be prepared at each location and presented to the community in a public meeting.</w:t>
            </w:r>
          </w:p>
        </w:tc>
      </w:tr>
      <w:tr w:rsidRPr="00A44AB3" w:rsidR="00977D5F" w:rsidTr="002631FE" w14:paraId="2F59FB9B" w14:textId="77777777">
        <w:tc>
          <w:tcPr>
            <w:tcW w:w="3168" w:type="dxa"/>
            <w:vAlign w:val="center"/>
          </w:tcPr>
          <w:p w:rsidRPr="002631FE" w:rsidR="00977D5F" w:rsidP="002631FE" w:rsidRDefault="00977D5F" w14:paraId="7708BD98" w14:textId="77777777">
            <w:pPr>
              <w:rPr>
                <w:rFonts w:cstheme="minorHAnsi"/>
                <w:b/>
              </w:rPr>
            </w:pPr>
            <w:r w:rsidRPr="002631FE">
              <w:rPr>
                <w:rFonts w:cstheme="minorHAnsi"/>
                <w:b/>
              </w:rPr>
              <w:t>Environmental Sampling to be Completed:</w:t>
            </w:r>
          </w:p>
        </w:tc>
        <w:tc>
          <w:tcPr>
            <w:tcW w:w="6799" w:type="dxa"/>
            <w:vAlign w:val="center"/>
          </w:tcPr>
          <w:p w:rsidRPr="002631FE" w:rsidR="00977D5F" w:rsidP="002631FE" w:rsidRDefault="00275434" w14:paraId="255E57C6" w14:textId="38C68225">
            <w:pPr>
              <w:rPr>
                <w:rFonts w:cstheme="minorHAnsi"/>
              </w:rPr>
            </w:pPr>
            <w:r w:rsidRPr="002631FE">
              <w:rPr>
                <w:rFonts w:cstheme="minorHAnsi"/>
              </w:rPr>
              <w:t xml:space="preserve">All households will be sampled for indoor dust (filtered sample) and will be administered a household and exposure questionnaire. In addition, 20 homes at each location will also be sampled for: indoor air, bulk dust (from a vacuum cleaner bag), indoor wipe samples, and soil. Personal exposure to PFAS will be evaluated by having one participant in each of the 20 households wear a silicone wristband. In addition, outdoor air samples will be taken at a central location within the community and samples of locally-grown produce will be collected and analyzed for PFAS. </w:t>
            </w:r>
          </w:p>
        </w:tc>
      </w:tr>
      <w:tr w:rsidRPr="00A44AB3" w:rsidR="00977D5F" w:rsidTr="002631FE" w14:paraId="14823B1C" w14:textId="77777777">
        <w:tc>
          <w:tcPr>
            <w:tcW w:w="3168" w:type="dxa"/>
            <w:vAlign w:val="center"/>
          </w:tcPr>
          <w:p w:rsidRPr="002631FE" w:rsidR="00977D5F" w:rsidP="002631FE" w:rsidRDefault="00977D5F" w14:paraId="2A163763" w14:textId="77777777">
            <w:pPr>
              <w:rPr>
                <w:rFonts w:cstheme="minorHAnsi"/>
                <w:b/>
              </w:rPr>
            </w:pPr>
            <w:r w:rsidRPr="002631FE">
              <w:rPr>
                <w:rFonts w:cstheme="minorHAnsi"/>
                <w:b/>
              </w:rPr>
              <w:t>Biological Sampling to be Completed:</w:t>
            </w:r>
          </w:p>
        </w:tc>
        <w:tc>
          <w:tcPr>
            <w:tcW w:w="6799" w:type="dxa"/>
            <w:vAlign w:val="center"/>
          </w:tcPr>
          <w:p w:rsidRPr="002631FE" w:rsidR="00EB0D65" w:rsidP="002631FE" w:rsidRDefault="00275434" w14:paraId="004FE7F4" w14:textId="71DA8BD3">
            <w:pPr>
              <w:rPr>
                <w:rFonts w:cstheme="minorHAnsi"/>
              </w:rPr>
            </w:pPr>
            <w:r w:rsidRPr="002631FE">
              <w:rPr>
                <w:rFonts w:cstheme="minorHAnsi"/>
              </w:rPr>
              <w:t xml:space="preserve">None. The </w:t>
            </w:r>
            <w:r w:rsidRPr="002631FE" w:rsidR="00A44AB3">
              <w:rPr>
                <w:rFonts w:cstheme="minorHAnsi"/>
              </w:rPr>
              <w:t xml:space="preserve">existing </w:t>
            </w:r>
            <w:r w:rsidRPr="002631FE">
              <w:rPr>
                <w:rFonts w:cstheme="minorHAnsi"/>
              </w:rPr>
              <w:t xml:space="preserve">serum PFAS results from the </w:t>
            </w:r>
            <w:r w:rsidRPr="002631FE" w:rsidR="00BD4B9F">
              <w:rPr>
                <w:rFonts w:cstheme="minorHAnsi"/>
              </w:rPr>
              <w:t xml:space="preserve">prior </w:t>
            </w:r>
            <w:r w:rsidRPr="002631FE">
              <w:rPr>
                <w:rFonts w:cstheme="minorHAnsi"/>
              </w:rPr>
              <w:t>EA</w:t>
            </w:r>
            <w:r w:rsidRPr="002631FE" w:rsidR="00A44AB3">
              <w:rPr>
                <w:rFonts w:cstheme="minorHAnsi"/>
              </w:rPr>
              <w:t>,</w:t>
            </w:r>
            <w:r w:rsidRPr="002631FE" w:rsidR="001465E7">
              <w:rPr>
                <w:rFonts w:cstheme="minorHAnsi"/>
              </w:rPr>
              <w:t xml:space="preserve"> </w:t>
            </w:r>
            <w:r w:rsidRPr="002631FE">
              <w:rPr>
                <w:rFonts w:cstheme="minorHAnsi"/>
              </w:rPr>
              <w:t xml:space="preserve">the </w:t>
            </w:r>
            <w:r w:rsidRPr="002631FE" w:rsidR="000E3870">
              <w:rPr>
                <w:rFonts w:cstheme="minorHAnsi"/>
              </w:rPr>
              <w:t xml:space="preserve">current </w:t>
            </w:r>
            <w:r w:rsidRPr="002631FE">
              <w:rPr>
                <w:rFonts w:cstheme="minorHAnsi"/>
              </w:rPr>
              <w:t xml:space="preserve">environmental </w:t>
            </w:r>
            <w:r w:rsidRPr="002631FE" w:rsidR="00BD4B9F">
              <w:rPr>
                <w:rFonts w:cstheme="minorHAnsi"/>
              </w:rPr>
              <w:t xml:space="preserve">EI </w:t>
            </w:r>
            <w:r w:rsidRPr="002631FE">
              <w:rPr>
                <w:rFonts w:cstheme="minorHAnsi"/>
              </w:rPr>
              <w:t>sampling</w:t>
            </w:r>
            <w:r w:rsidRPr="002631FE" w:rsidR="001465E7">
              <w:rPr>
                <w:rFonts w:cstheme="minorHAnsi"/>
              </w:rPr>
              <w:t xml:space="preserve"> results,</w:t>
            </w:r>
            <w:r w:rsidRPr="002631FE">
              <w:rPr>
                <w:rFonts w:cstheme="minorHAnsi"/>
              </w:rPr>
              <w:t xml:space="preserve"> and the </w:t>
            </w:r>
            <w:r w:rsidRPr="002631FE" w:rsidR="00BD4B9F">
              <w:rPr>
                <w:rFonts w:cstheme="minorHAnsi"/>
              </w:rPr>
              <w:t xml:space="preserve">prior and current </w:t>
            </w:r>
            <w:r w:rsidRPr="002631FE">
              <w:rPr>
                <w:rFonts w:cstheme="minorHAnsi"/>
              </w:rPr>
              <w:t>questionnaire</w:t>
            </w:r>
            <w:r w:rsidRPr="002631FE" w:rsidR="001465E7">
              <w:rPr>
                <w:rFonts w:cstheme="minorHAnsi"/>
              </w:rPr>
              <w:t xml:space="preserve"> response</w:t>
            </w:r>
            <w:r w:rsidRPr="002631FE">
              <w:rPr>
                <w:rFonts w:cstheme="minorHAnsi"/>
              </w:rPr>
              <w:t>s</w:t>
            </w:r>
            <w:r w:rsidRPr="002631FE" w:rsidR="00BD4B9F">
              <w:rPr>
                <w:rFonts w:cstheme="minorHAnsi"/>
              </w:rPr>
              <w:t xml:space="preserve"> </w:t>
            </w:r>
            <w:r w:rsidRPr="002631FE" w:rsidR="00A44AB3">
              <w:rPr>
                <w:rFonts w:cstheme="minorHAnsi"/>
              </w:rPr>
              <w:t>will be evaluated</w:t>
            </w:r>
            <w:r w:rsidRPr="002631FE">
              <w:rPr>
                <w:rFonts w:cstheme="minorHAnsi"/>
              </w:rPr>
              <w:t>.</w:t>
            </w:r>
          </w:p>
        </w:tc>
      </w:tr>
      <w:tr w:rsidRPr="00A44AB3" w:rsidR="00977D5F" w:rsidTr="002631FE" w14:paraId="30C36960" w14:textId="77777777">
        <w:tc>
          <w:tcPr>
            <w:tcW w:w="3168" w:type="dxa"/>
            <w:vAlign w:val="center"/>
          </w:tcPr>
          <w:p w:rsidRPr="002631FE" w:rsidR="00977D5F" w:rsidP="002631FE" w:rsidRDefault="00977D5F" w14:paraId="63224EE1" w14:textId="77777777">
            <w:pPr>
              <w:rPr>
                <w:rFonts w:cstheme="minorHAnsi"/>
                <w:b/>
              </w:rPr>
            </w:pPr>
            <w:r w:rsidRPr="002631FE">
              <w:rPr>
                <w:rFonts w:cstheme="minorHAnsi"/>
                <w:b/>
              </w:rPr>
              <w:t>Data Collection and Analysis Procedures:</w:t>
            </w:r>
          </w:p>
        </w:tc>
        <w:tc>
          <w:tcPr>
            <w:tcW w:w="6799" w:type="dxa"/>
            <w:vAlign w:val="center"/>
          </w:tcPr>
          <w:p w:rsidRPr="002631FE" w:rsidR="00C559A7" w:rsidP="002631FE" w:rsidRDefault="00B65000" w14:paraId="3638EE4E" w14:textId="77777777">
            <w:pPr>
              <w:rPr>
                <w:rFonts w:cstheme="minorHAnsi"/>
              </w:rPr>
            </w:pPr>
            <w:r w:rsidRPr="002631FE">
              <w:rPr>
                <w:rFonts w:cstheme="minorHAnsi"/>
                <w:b/>
                <w:bCs/>
                <w:u w:val="single"/>
              </w:rPr>
              <w:t>Recruitment of Participants</w:t>
            </w:r>
            <w:r w:rsidRPr="002631FE">
              <w:rPr>
                <w:rFonts w:cstheme="minorHAnsi"/>
                <w:b/>
                <w:bCs/>
              </w:rPr>
              <w:t>:</w:t>
            </w:r>
            <w:r w:rsidRPr="002631FE" w:rsidR="004B0DC0">
              <w:rPr>
                <w:rFonts w:cstheme="minorHAnsi"/>
              </w:rPr>
              <w:t xml:space="preserve"> Supporting Statements A and B are provided in Attachments 1 and 2. The Supporting Statements outline the EI data collection and analysis procedures. </w:t>
            </w:r>
          </w:p>
          <w:p w:rsidRPr="002631FE" w:rsidR="00C559A7" w:rsidP="002631FE" w:rsidRDefault="00C559A7" w14:paraId="411AE6D9" w14:textId="77777777">
            <w:pPr>
              <w:rPr>
                <w:rFonts w:cstheme="minorHAnsi"/>
              </w:rPr>
            </w:pPr>
          </w:p>
          <w:p w:rsidRPr="002631FE" w:rsidR="006C1A3E" w:rsidP="002631FE" w:rsidRDefault="006C1A3E" w14:paraId="2BDD24F3" w14:textId="52BF9DBD">
            <w:pPr>
              <w:tabs>
                <w:tab w:val="left" w:pos="1545"/>
              </w:tabs>
              <w:rPr>
                <w:rFonts w:cstheme="minorHAnsi"/>
                <w:b/>
                <w:bCs/>
                <w:u w:val="single"/>
              </w:rPr>
            </w:pPr>
            <w:r w:rsidRPr="002631FE">
              <w:rPr>
                <w:rFonts w:cstheme="minorHAnsi"/>
                <w:b/>
                <w:bCs/>
                <w:u w:val="single"/>
              </w:rPr>
              <w:t>Recruitment</w:t>
            </w:r>
          </w:p>
          <w:p w:rsidRPr="002631FE" w:rsidR="006C1A3E" w:rsidP="002631FE" w:rsidRDefault="006C1A3E" w14:paraId="427F0540" w14:textId="6833160F">
            <w:pPr>
              <w:tabs>
                <w:tab w:val="left" w:pos="1545"/>
              </w:tabs>
              <w:rPr>
                <w:rFonts w:cstheme="minorHAnsi"/>
              </w:rPr>
            </w:pPr>
            <w:r w:rsidRPr="002631FE">
              <w:rPr>
                <w:rFonts w:cstheme="minorHAnsi"/>
              </w:rPr>
              <w:t>Recruitment for the EI will be conducted in the summer of 2021 and will include:</w:t>
            </w:r>
          </w:p>
          <w:p w:rsidRPr="002631FE" w:rsidR="006C1A3E" w:rsidP="002631FE" w:rsidRDefault="006C1A3E" w14:paraId="1DF94B75" w14:textId="0AE239C2">
            <w:pPr>
              <w:pStyle w:val="ListParagraph"/>
              <w:numPr>
                <w:ilvl w:val="0"/>
                <w:numId w:val="13"/>
              </w:numPr>
              <w:tabs>
                <w:tab w:val="left" w:pos="1545"/>
              </w:tabs>
              <w:contextualSpacing w:val="0"/>
              <w:rPr>
                <w:rFonts w:cstheme="minorHAnsi"/>
              </w:rPr>
            </w:pPr>
            <w:r w:rsidRPr="002631FE">
              <w:rPr>
                <w:rFonts w:cstheme="minorHAnsi"/>
              </w:rPr>
              <w:t xml:space="preserve">Sending a letter to </w:t>
            </w:r>
            <w:r w:rsidRPr="002631FE" w:rsidR="00B7689B">
              <w:rPr>
                <w:rFonts w:cstheme="minorHAnsi"/>
              </w:rPr>
              <w:t xml:space="preserve">former </w:t>
            </w:r>
            <w:r w:rsidRPr="002631FE">
              <w:rPr>
                <w:rFonts w:cstheme="minorHAnsi"/>
              </w:rPr>
              <w:t xml:space="preserve">EA participants in MA and DE inviting them to participate. </w:t>
            </w:r>
            <w:r w:rsidRPr="002631FE" w:rsidR="001465E7">
              <w:rPr>
                <w:rFonts w:cstheme="minorHAnsi"/>
              </w:rPr>
              <w:t>T</w:t>
            </w:r>
            <w:r w:rsidRPr="002631FE">
              <w:rPr>
                <w:rFonts w:cstheme="minorHAnsi"/>
              </w:rPr>
              <w:t xml:space="preserve">he </w:t>
            </w:r>
            <w:r w:rsidRPr="002631FE" w:rsidR="001465E7">
              <w:rPr>
                <w:rFonts w:cstheme="minorHAnsi"/>
              </w:rPr>
              <w:t xml:space="preserve">EA </w:t>
            </w:r>
            <w:r w:rsidRPr="002631FE">
              <w:rPr>
                <w:rFonts w:cstheme="minorHAnsi"/>
              </w:rPr>
              <w:t>participants agreed to allow the results of the biological (serum, urine) and environmental sampling (tap water, dust) along with the EA questionnaire to be used for future PFAS evaluation in the community. They also agreed to allow ATSDR to retain their contact information and contact them in the future for PFAS work within the community.</w:t>
            </w:r>
          </w:p>
          <w:p w:rsidRPr="002631FE" w:rsidR="006C1A3E" w:rsidP="002631FE" w:rsidRDefault="006C1A3E" w14:paraId="7FD08DDC" w14:textId="652D0C4E">
            <w:pPr>
              <w:pStyle w:val="ListParagraph"/>
              <w:numPr>
                <w:ilvl w:val="0"/>
                <w:numId w:val="13"/>
              </w:numPr>
              <w:tabs>
                <w:tab w:val="left" w:pos="1545"/>
              </w:tabs>
              <w:contextualSpacing w:val="0"/>
              <w:rPr>
                <w:rFonts w:cstheme="minorHAnsi"/>
              </w:rPr>
            </w:pPr>
            <w:r w:rsidRPr="002631FE">
              <w:rPr>
                <w:rFonts w:cstheme="minorHAnsi"/>
              </w:rPr>
              <w:t>There are 247 households in MA and 134 households in DE that will be sent an invitation letter. Participants are asked in the letter to call to make an appointment on a first-come-first</w:t>
            </w:r>
            <w:r w:rsidRPr="002631FE" w:rsidR="002631FE">
              <w:rPr>
                <w:rFonts w:cstheme="minorHAnsi"/>
              </w:rPr>
              <w:t>-</w:t>
            </w:r>
            <w:r w:rsidRPr="002631FE">
              <w:rPr>
                <w:rFonts w:cstheme="minorHAnsi"/>
              </w:rPr>
              <w:t>serve</w:t>
            </w:r>
            <w:r w:rsidRPr="002631FE" w:rsidR="000E3870">
              <w:rPr>
                <w:rFonts w:cstheme="minorHAnsi"/>
              </w:rPr>
              <w:t>d</w:t>
            </w:r>
            <w:r w:rsidRPr="002631FE">
              <w:rPr>
                <w:rFonts w:cstheme="minorHAnsi"/>
              </w:rPr>
              <w:t xml:space="preserve"> basis: participation will be limited to 80 households in MA and 40 households in DE. Of the households to be sampled, 20 at each </w:t>
            </w:r>
            <w:r w:rsidRPr="002631FE">
              <w:rPr>
                <w:rFonts w:cstheme="minorHAnsi"/>
              </w:rPr>
              <w:lastRenderedPageBreak/>
              <w:t>location will be identified for more robust sampling (indoor air, bulk dust, indoor wipes, soil, silicone wristbands) on a first-come-first serve basis; the remaining households will be have a filtered dust sample collected and all households will complete appropriate consent forms and questionnaires.</w:t>
            </w:r>
          </w:p>
          <w:p w:rsidRPr="002631FE" w:rsidR="006C1A3E" w:rsidP="002631FE" w:rsidRDefault="006C1A3E" w14:paraId="7EDF2043" w14:textId="5E1849D7">
            <w:pPr>
              <w:pStyle w:val="ListParagraph"/>
              <w:numPr>
                <w:ilvl w:val="0"/>
                <w:numId w:val="13"/>
              </w:numPr>
              <w:tabs>
                <w:tab w:val="left" w:pos="1545"/>
              </w:tabs>
              <w:contextualSpacing w:val="0"/>
              <w:rPr>
                <w:rFonts w:cstheme="minorHAnsi"/>
              </w:rPr>
            </w:pPr>
            <w:r w:rsidRPr="002631FE">
              <w:rPr>
                <w:rFonts w:cstheme="minorHAnsi"/>
              </w:rPr>
              <w:t xml:space="preserve">Households will be sent an appointment verification letter which will include appropriate consent forms and questionnaires for </w:t>
            </w:r>
            <w:r w:rsidRPr="002631FE" w:rsidR="001465E7">
              <w:rPr>
                <w:rFonts w:cstheme="minorHAnsi"/>
              </w:rPr>
              <w:t xml:space="preserve">former </w:t>
            </w:r>
            <w:r w:rsidRPr="002631FE">
              <w:rPr>
                <w:rFonts w:cstheme="minorHAnsi"/>
              </w:rPr>
              <w:t xml:space="preserve">EA participants that live in the household. Sending the forms prior to the sampling will allow </w:t>
            </w:r>
            <w:r w:rsidRPr="002631FE" w:rsidR="000B26F9">
              <w:rPr>
                <w:rFonts w:cstheme="minorHAnsi"/>
              </w:rPr>
              <w:t xml:space="preserve">some </w:t>
            </w:r>
            <w:r w:rsidRPr="002631FE">
              <w:rPr>
                <w:rFonts w:cstheme="minorHAnsi"/>
              </w:rPr>
              <w:t xml:space="preserve">participants to complete consents and questionnaires without being required to be at home for the </w:t>
            </w:r>
            <w:r w:rsidRPr="002631FE" w:rsidR="00014A79">
              <w:rPr>
                <w:rFonts w:cstheme="minorHAnsi"/>
              </w:rPr>
              <w:t>environmental</w:t>
            </w:r>
            <w:r w:rsidRPr="002631FE" w:rsidR="001465E7">
              <w:rPr>
                <w:rFonts w:cstheme="minorHAnsi"/>
              </w:rPr>
              <w:t xml:space="preserve"> </w:t>
            </w:r>
            <w:r w:rsidRPr="002631FE">
              <w:rPr>
                <w:rFonts w:cstheme="minorHAnsi"/>
              </w:rPr>
              <w:t xml:space="preserve">sampling. </w:t>
            </w:r>
            <w:r w:rsidRPr="002631FE" w:rsidR="006C1C52">
              <w:rPr>
                <w:rFonts w:cstheme="minorHAnsi"/>
              </w:rPr>
              <w:t xml:space="preserve">The </w:t>
            </w:r>
            <w:r w:rsidRPr="002631FE" w:rsidR="00B809EB">
              <w:rPr>
                <w:rFonts w:cstheme="minorHAnsi"/>
              </w:rPr>
              <w:t xml:space="preserve">EI </w:t>
            </w:r>
            <w:r w:rsidRPr="002631FE" w:rsidR="006C1C52">
              <w:rPr>
                <w:rFonts w:cstheme="minorHAnsi"/>
              </w:rPr>
              <w:t>participant who will be responding for the household will need to be present for the environmental sampling.</w:t>
            </w:r>
          </w:p>
          <w:p w:rsidR="002631FE" w:rsidP="002631FE" w:rsidRDefault="002631FE" w14:paraId="02E90ABD" w14:textId="77777777">
            <w:pPr>
              <w:tabs>
                <w:tab w:val="left" w:pos="1545"/>
              </w:tabs>
              <w:rPr>
                <w:rFonts w:cstheme="minorHAnsi"/>
                <w:b/>
                <w:bCs/>
                <w:u w:val="single"/>
              </w:rPr>
            </w:pPr>
          </w:p>
          <w:p w:rsidRPr="002631FE" w:rsidR="006C1A3E" w:rsidP="006B7FF2" w:rsidRDefault="006C1A3E" w14:paraId="474E0E68" w14:textId="40AE89CB">
            <w:pPr>
              <w:tabs>
                <w:tab w:val="left" w:pos="1545"/>
              </w:tabs>
              <w:rPr>
                <w:rFonts w:cstheme="minorHAnsi"/>
                <w:b/>
                <w:bCs/>
                <w:u w:val="single"/>
              </w:rPr>
            </w:pPr>
            <w:r w:rsidRPr="002631FE">
              <w:rPr>
                <w:rFonts w:cstheme="minorHAnsi"/>
                <w:b/>
                <w:bCs/>
                <w:u w:val="single"/>
              </w:rPr>
              <w:t xml:space="preserve">Sampling  </w:t>
            </w:r>
          </w:p>
          <w:p w:rsidRPr="002631FE" w:rsidR="006C1A3E" w:rsidP="006B7FF2" w:rsidRDefault="006C1A3E" w14:paraId="095B70B3" w14:textId="7FFF7F5F">
            <w:pPr>
              <w:tabs>
                <w:tab w:val="left" w:pos="1545"/>
              </w:tabs>
              <w:rPr>
                <w:rFonts w:cstheme="minorHAnsi"/>
                <w:b/>
                <w:bCs/>
                <w:u w:val="single"/>
              </w:rPr>
            </w:pPr>
            <w:r w:rsidRPr="002631FE">
              <w:rPr>
                <w:rFonts w:cstheme="minorHAnsi"/>
              </w:rPr>
              <w:t xml:space="preserve">On the day of the environmental sampling, the completeness of the consent forms and questionnaires will be </w:t>
            </w:r>
            <w:r w:rsidRPr="002631FE" w:rsidR="002631FE">
              <w:rPr>
                <w:rFonts w:cstheme="minorHAnsi"/>
              </w:rPr>
              <w:t>verified,</w:t>
            </w:r>
            <w:r w:rsidRPr="002631FE">
              <w:rPr>
                <w:rFonts w:cstheme="minorHAnsi"/>
              </w:rPr>
              <w:t xml:space="preserve"> and sampling will be completed per the Sampling and Analysis Plan. Samples will be sent to an accredited laboratory for analysis and participants will be sent their sampling results. ATSDR will complete a</w:t>
            </w:r>
            <w:r w:rsidRPr="002631FE" w:rsidR="006C1C52">
              <w:rPr>
                <w:rFonts w:cstheme="minorHAnsi"/>
              </w:rPr>
              <w:t xml:space="preserve"> location-specific</w:t>
            </w:r>
            <w:r w:rsidRPr="002631FE">
              <w:rPr>
                <w:rFonts w:cstheme="minorHAnsi"/>
              </w:rPr>
              <w:t xml:space="preserve"> EI report that will be presented to </w:t>
            </w:r>
            <w:r w:rsidRPr="002631FE" w:rsidR="006C1C52">
              <w:rPr>
                <w:rFonts w:cstheme="minorHAnsi"/>
              </w:rPr>
              <w:t>each</w:t>
            </w:r>
            <w:r w:rsidRPr="002631FE">
              <w:rPr>
                <w:rFonts w:cstheme="minorHAnsi"/>
              </w:rPr>
              <w:t xml:space="preserve"> community. </w:t>
            </w:r>
          </w:p>
          <w:p w:rsidR="002631FE" w:rsidP="006B7FF2" w:rsidRDefault="002631FE" w14:paraId="19468023" w14:textId="77777777">
            <w:pPr>
              <w:tabs>
                <w:tab w:val="left" w:pos="1545"/>
              </w:tabs>
              <w:rPr>
                <w:rFonts w:cstheme="minorHAnsi"/>
                <w:b/>
                <w:bCs/>
                <w:u w:val="single"/>
              </w:rPr>
            </w:pPr>
          </w:p>
          <w:p w:rsidRPr="002631FE" w:rsidR="006C1A3E" w:rsidP="006B7FF2" w:rsidRDefault="006C1A3E" w14:paraId="0373B7B6" w14:textId="481CF096">
            <w:pPr>
              <w:tabs>
                <w:tab w:val="left" w:pos="1545"/>
              </w:tabs>
              <w:rPr>
                <w:rFonts w:cstheme="minorHAnsi"/>
                <w:b/>
                <w:bCs/>
                <w:u w:val="single"/>
              </w:rPr>
            </w:pPr>
            <w:r w:rsidRPr="002631FE">
              <w:rPr>
                <w:rFonts w:cstheme="minorHAnsi"/>
                <w:b/>
                <w:bCs/>
                <w:u w:val="single"/>
              </w:rPr>
              <w:t>Human Subject Determination</w:t>
            </w:r>
          </w:p>
          <w:p w:rsidRPr="002631FE" w:rsidR="001C2596" w:rsidP="006B7FF2" w:rsidRDefault="001C2596" w14:paraId="6995E86E" w14:textId="04D0A2EB">
            <w:pPr>
              <w:pStyle w:val="ListParagraph"/>
              <w:numPr>
                <w:ilvl w:val="0"/>
                <w:numId w:val="13"/>
              </w:numPr>
              <w:contextualSpacing w:val="0"/>
              <w:rPr>
                <w:rFonts w:cstheme="minorHAnsi"/>
              </w:rPr>
            </w:pPr>
            <w:r w:rsidRPr="002631FE">
              <w:rPr>
                <w:rFonts w:cstheme="minorHAnsi"/>
              </w:rPr>
              <w:t xml:space="preserve">The </w:t>
            </w:r>
            <w:r w:rsidRPr="002631FE" w:rsidR="00AC57A7">
              <w:rPr>
                <w:rFonts w:cstheme="minorHAnsi"/>
              </w:rPr>
              <w:t>human subjects</w:t>
            </w:r>
            <w:r w:rsidRPr="002631FE">
              <w:rPr>
                <w:rFonts w:cstheme="minorHAnsi"/>
              </w:rPr>
              <w:t xml:space="preserve"> d</w:t>
            </w:r>
            <w:r w:rsidRPr="002631FE" w:rsidR="00D32CFC">
              <w:rPr>
                <w:rFonts w:cstheme="minorHAnsi"/>
              </w:rPr>
              <w:t>etermination</w:t>
            </w:r>
            <w:r w:rsidRPr="002631FE">
              <w:rPr>
                <w:rFonts w:cstheme="minorHAnsi"/>
              </w:rPr>
              <w:t xml:space="preserve"> is provided in Attachment </w:t>
            </w:r>
            <w:r w:rsidRPr="002631FE" w:rsidR="006C1A3E">
              <w:rPr>
                <w:rFonts w:cstheme="minorHAnsi"/>
              </w:rPr>
              <w:t>8</w:t>
            </w:r>
            <w:r w:rsidRPr="002631FE">
              <w:rPr>
                <w:rFonts w:cstheme="minorHAnsi"/>
              </w:rPr>
              <w:t xml:space="preserve">. </w:t>
            </w:r>
            <w:bookmarkStart w:name="_Hlk75864531" w:id="3"/>
            <w:r w:rsidRPr="002631FE" w:rsidR="00245FE8">
              <w:rPr>
                <w:rFonts w:cstheme="minorHAnsi"/>
              </w:rPr>
              <w:t>The EI</w:t>
            </w:r>
            <w:r w:rsidRPr="002631FE">
              <w:rPr>
                <w:rFonts w:cstheme="minorHAnsi"/>
              </w:rPr>
              <w:t xml:space="preserve"> is not considered a research study</w:t>
            </w:r>
            <w:r w:rsidRPr="002631FE" w:rsidR="008529CA">
              <w:rPr>
                <w:rFonts w:cstheme="minorHAnsi"/>
              </w:rPr>
              <w:t>;</w:t>
            </w:r>
            <w:r w:rsidRPr="002631FE">
              <w:rPr>
                <w:rFonts w:cstheme="minorHAnsi"/>
              </w:rPr>
              <w:t xml:space="preserve"> </w:t>
            </w:r>
            <w:r w:rsidRPr="002631FE" w:rsidR="008529CA">
              <w:rPr>
                <w:rFonts w:cstheme="minorHAnsi"/>
              </w:rPr>
              <w:t>i</w:t>
            </w:r>
            <w:r w:rsidRPr="002631FE">
              <w:rPr>
                <w:rFonts w:cstheme="minorHAnsi"/>
              </w:rPr>
              <w:t xml:space="preserve">ts primary intent is </w:t>
            </w:r>
            <w:r w:rsidRPr="002631FE" w:rsidR="00995A52">
              <w:rPr>
                <w:rFonts w:cstheme="minorHAnsi"/>
              </w:rPr>
              <w:t>to provide</w:t>
            </w:r>
            <w:r w:rsidRPr="002631FE" w:rsidR="006C1C52">
              <w:rPr>
                <w:rFonts w:cstheme="minorHAnsi"/>
              </w:rPr>
              <w:t xml:space="preserve"> or improve</w:t>
            </w:r>
            <w:r w:rsidRPr="002631FE" w:rsidR="00995A52">
              <w:rPr>
                <w:rFonts w:cstheme="minorHAnsi"/>
              </w:rPr>
              <w:t xml:space="preserve"> a </w:t>
            </w:r>
            <w:r w:rsidRPr="002631FE">
              <w:rPr>
                <w:rFonts w:cstheme="minorHAnsi"/>
              </w:rPr>
              <w:t xml:space="preserve">public health </w:t>
            </w:r>
            <w:r w:rsidRPr="002631FE" w:rsidR="006C1C52">
              <w:rPr>
                <w:rFonts w:cstheme="minorHAnsi"/>
              </w:rPr>
              <w:t xml:space="preserve">program or </w:t>
            </w:r>
            <w:r w:rsidRPr="002631FE" w:rsidR="00995A52">
              <w:rPr>
                <w:rFonts w:cstheme="minorHAnsi"/>
              </w:rPr>
              <w:t>service for the community</w:t>
            </w:r>
            <w:r w:rsidRPr="002631FE">
              <w:rPr>
                <w:rFonts w:cstheme="minorHAnsi"/>
              </w:rPr>
              <w:t>.</w:t>
            </w:r>
            <w:bookmarkEnd w:id="3"/>
          </w:p>
          <w:p w:rsidRPr="002631FE" w:rsidR="001465E7" w:rsidRDefault="001465E7" w14:paraId="44B155B0" w14:textId="77777777">
            <w:pPr>
              <w:pStyle w:val="ListParagraph"/>
              <w:contextualSpacing w:val="0"/>
              <w:rPr>
                <w:rFonts w:cstheme="minorHAnsi"/>
              </w:rPr>
            </w:pPr>
          </w:p>
          <w:p w:rsidRPr="002631FE" w:rsidR="00E002BF" w:rsidRDefault="006C2E1C" w14:paraId="435048B9" w14:textId="414DADE8">
            <w:pPr>
              <w:rPr>
                <w:rFonts w:cstheme="minorHAnsi"/>
                <w:b/>
                <w:bCs/>
                <w:u w:val="single"/>
              </w:rPr>
            </w:pPr>
            <w:r w:rsidRPr="002631FE">
              <w:rPr>
                <w:rFonts w:cstheme="minorHAnsi"/>
                <w:b/>
                <w:bCs/>
                <w:u w:val="single"/>
              </w:rPr>
              <w:t>Analysis:</w:t>
            </w:r>
          </w:p>
          <w:p w:rsidRPr="002631FE" w:rsidR="006C2E1C" w:rsidRDefault="006C2E1C" w14:paraId="3919E06C" w14:textId="74AF8CB8">
            <w:pPr>
              <w:pStyle w:val="ListParagraph"/>
              <w:numPr>
                <w:ilvl w:val="0"/>
                <w:numId w:val="13"/>
              </w:numPr>
              <w:contextualSpacing w:val="0"/>
              <w:rPr>
                <w:rFonts w:cstheme="minorHAnsi"/>
              </w:rPr>
            </w:pPr>
            <w:r w:rsidRPr="002631FE">
              <w:rPr>
                <w:rFonts w:cstheme="minorHAnsi"/>
              </w:rPr>
              <w:t xml:space="preserve">The </w:t>
            </w:r>
            <w:r w:rsidRPr="002631FE" w:rsidR="006C1A3E">
              <w:rPr>
                <w:rFonts w:cstheme="minorHAnsi"/>
              </w:rPr>
              <w:t>environmental samples</w:t>
            </w:r>
            <w:r w:rsidRPr="002631FE">
              <w:rPr>
                <w:rFonts w:cstheme="minorHAnsi"/>
              </w:rPr>
              <w:t xml:space="preserve"> will be </w:t>
            </w:r>
            <w:r w:rsidRPr="002631FE" w:rsidR="00BA09ED">
              <w:rPr>
                <w:rFonts w:cstheme="minorHAnsi"/>
              </w:rPr>
              <w:t>analy</w:t>
            </w:r>
            <w:r w:rsidRPr="002631FE" w:rsidR="00E36E2D">
              <w:rPr>
                <w:rFonts w:cstheme="minorHAnsi"/>
              </w:rPr>
              <w:t>z</w:t>
            </w:r>
            <w:r w:rsidRPr="002631FE" w:rsidR="00BA09ED">
              <w:rPr>
                <w:rFonts w:cstheme="minorHAnsi"/>
              </w:rPr>
              <w:t xml:space="preserve">ed </w:t>
            </w:r>
            <w:r w:rsidRPr="002631FE">
              <w:rPr>
                <w:rFonts w:cstheme="minorHAnsi"/>
              </w:rPr>
              <w:t xml:space="preserve">by </w:t>
            </w:r>
            <w:r w:rsidRPr="002631FE" w:rsidR="006C1A3E">
              <w:rPr>
                <w:rFonts w:cstheme="minorHAnsi"/>
              </w:rPr>
              <w:t xml:space="preserve">an accredited </w:t>
            </w:r>
            <w:r w:rsidRPr="002631FE">
              <w:rPr>
                <w:rFonts w:cstheme="minorHAnsi"/>
              </w:rPr>
              <w:t xml:space="preserve"> laboratory </w:t>
            </w:r>
            <w:r w:rsidRPr="002631FE" w:rsidR="00AC47D1">
              <w:rPr>
                <w:rFonts w:cstheme="minorHAnsi"/>
              </w:rPr>
              <w:t>using state-of-art laboratory methods</w:t>
            </w:r>
            <w:r w:rsidRPr="002631FE" w:rsidR="00CE22E8">
              <w:rPr>
                <w:rFonts w:cstheme="minorHAnsi"/>
              </w:rPr>
              <w:t>.</w:t>
            </w:r>
          </w:p>
        </w:tc>
      </w:tr>
      <w:tr w:rsidRPr="00A44AB3" w:rsidR="00977D5F" w:rsidTr="002631FE" w14:paraId="7FEF61C7" w14:textId="77777777">
        <w:tc>
          <w:tcPr>
            <w:tcW w:w="3168" w:type="dxa"/>
            <w:vAlign w:val="center"/>
          </w:tcPr>
          <w:p w:rsidRPr="002631FE" w:rsidR="00977D5F" w:rsidP="002631FE" w:rsidRDefault="00977D5F" w14:paraId="53AE4F0E" w14:textId="77777777">
            <w:pPr>
              <w:rPr>
                <w:rFonts w:cstheme="minorHAnsi"/>
                <w:b/>
              </w:rPr>
            </w:pPr>
            <w:r w:rsidRPr="002631FE">
              <w:rPr>
                <w:rFonts w:cstheme="minorHAnsi"/>
                <w:b/>
              </w:rPr>
              <w:lastRenderedPageBreak/>
              <w:t>Information Collection Mode (in-person or remote):</w:t>
            </w:r>
          </w:p>
        </w:tc>
        <w:tc>
          <w:tcPr>
            <w:tcW w:w="6799" w:type="dxa"/>
            <w:vAlign w:val="center"/>
          </w:tcPr>
          <w:p w:rsidRPr="002631FE" w:rsidR="008663F9" w:rsidP="002631FE" w:rsidRDefault="006C1A3E" w14:paraId="611BBB5A" w14:textId="03B3BA02">
            <w:pPr>
              <w:rPr>
                <w:rFonts w:cstheme="minorHAnsi"/>
              </w:rPr>
            </w:pPr>
            <w:r w:rsidRPr="002631FE">
              <w:rPr>
                <w:rFonts w:cstheme="minorHAnsi"/>
              </w:rPr>
              <w:t>In-perso</w:t>
            </w:r>
            <w:r w:rsidRPr="002631FE" w:rsidR="001465E7">
              <w:rPr>
                <w:rFonts w:cstheme="minorHAnsi"/>
              </w:rPr>
              <w:t>n</w:t>
            </w:r>
            <w:r w:rsidRPr="002631FE">
              <w:rPr>
                <w:rFonts w:cstheme="minorHAnsi"/>
              </w:rPr>
              <w:t xml:space="preserve">. </w:t>
            </w:r>
            <w:r w:rsidRPr="002631FE" w:rsidR="000D405C">
              <w:rPr>
                <w:rFonts w:cstheme="minorHAnsi"/>
              </w:rPr>
              <w:t>EI c</w:t>
            </w:r>
            <w:r w:rsidRPr="002631FE">
              <w:rPr>
                <w:rFonts w:cstheme="minorHAnsi"/>
              </w:rPr>
              <w:t>onsent form</w:t>
            </w:r>
            <w:r w:rsidRPr="002631FE" w:rsidR="006C1C52">
              <w:rPr>
                <w:rFonts w:cstheme="minorHAnsi"/>
              </w:rPr>
              <w:t>s</w:t>
            </w:r>
            <w:r w:rsidRPr="002631FE">
              <w:rPr>
                <w:rFonts w:cstheme="minorHAnsi"/>
              </w:rPr>
              <w:t xml:space="preserve"> and questionnaires will be provided to </w:t>
            </w:r>
            <w:r w:rsidRPr="002631FE" w:rsidR="000D405C">
              <w:rPr>
                <w:rFonts w:cstheme="minorHAnsi"/>
              </w:rPr>
              <w:t>invited</w:t>
            </w:r>
            <w:r w:rsidRPr="002631FE" w:rsidR="006C1C52">
              <w:rPr>
                <w:rFonts w:cstheme="minorHAnsi"/>
              </w:rPr>
              <w:t xml:space="preserve"> </w:t>
            </w:r>
            <w:r w:rsidRPr="002631FE">
              <w:rPr>
                <w:rFonts w:cstheme="minorHAnsi"/>
              </w:rPr>
              <w:t>participants prior to the sampling</w:t>
            </w:r>
            <w:r w:rsidRPr="002631FE" w:rsidR="006C1C52">
              <w:rPr>
                <w:rFonts w:cstheme="minorHAnsi"/>
              </w:rPr>
              <w:t>. This will</w:t>
            </w:r>
            <w:r w:rsidRPr="002631FE">
              <w:rPr>
                <w:rFonts w:cstheme="minorHAnsi"/>
              </w:rPr>
              <w:t xml:space="preserve"> allow all</w:t>
            </w:r>
            <w:r w:rsidRPr="002631FE" w:rsidR="006C1C52">
              <w:rPr>
                <w:rFonts w:cstheme="minorHAnsi"/>
              </w:rPr>
              <w:t xml:space="preserve"> former</w:t>
            </w:r>
            <w:r w:rsidRPr="002631FE">
              <w:rPr>
                <w:rFonts w:cstheme="minorHAnsi"/>
              </w:rPr>
              <w:t xml:space="preserve"> EA participants living in the household to be able to complete them and </w:t>
            </w:r>
            <w:r w:rsidRPr="002631FE" w:rsidR="006C1C52">
              <w:rPr>
                <w:rFonts w:cstheme="minorHAnsi"/>
              </w:rPr>
              <w:t xml:space="preserve">to </w:t>
            </w:r>
            <w:r w:rsidRPr="002631FE">
              <w:rPr>
                <w:rFonts w:cstheme="minorHAnsi"/>
              </w:rPr>
              <w:t xml:space="preserve">be included in the EI. When the sampling is conducted at the participants’ homes, the consent and questionnaire forms will be evaluated for completeness. </w:t>
            </w:r>
            <w:r w:rsidRPr="002631FE" w:rsidR="008663F9">
              <w:rPr>
                <w:rFonts w:cstheme="minorHAnsi"/>
              </w:rPr>
              <w:t>COVID precautions to be undertaken in the field are described in the Sampling and Analysis Plan.</w:t>
            </w:r>
          </w:p>
        </w:tc>
      </w:tr>
      <w:tr w:rsidRPr="00A44AB3" w:rsidR="00977D5F" w:rsidTr="002631FE" w14:paraId="5B7C9B97" w14:textId="77777777">
        <w:tc>
          <w:tcPr>
            <w:tcW w:w="3168" w:type="dxa"/>
            <w:vAlign w:val="center"/>
          </w:tcPr>
          <w:p w:rsidRPr="002631FE" w:rsidR="00977D5F" w:rsidP="002631FE" w:rsidRDefault="00977D5F" w14:paraId="1D8719B0" w14:textId="77777777">
            <w:pPr>
              <w:rPr>
                <w:rFonts w:cstheme="minorHAnsi"/>
                <w:b/>
              </w:rPr>
            </w:pPr>
            <w:r w:rsidRPr="002631FE">
              <w:rPr>
                <w:rFonts w:cstheme="minorHAnsi"/>
                <w:b/>
              </w:rPr>
              <w:t>Plans for Payment to Participant (if applicable):</w:t>
            </w:r>
          </w:p>
        </w:tc>
        <w:tc>
          <w:tcPr>
            <w:tcW w:w="6799" w:type="dxa"/>
            <w:vAlign w:val="center"/>
          </w:tcPr>
          <w:p w:rsidRPr="002631FE" w:rsidR="00977D5F" w:rsidP="002631FE" w:rsidRDefault="006C1A3E" w14:paraId="62F13B4B" w14:textId="1EB6CD72">
            <w:pPr>
              <w:tabs>
                <w:tab w:val="left" w:pos="1545"/>
              </w:tabs>
              <w:rPr>
                <w:rFonts w:cstheme="minorHAnsi"/>
              </w:rPr>
            </w:pPr>
            <w:r w:rsidRPr="002631FE">
              <w:rPr>
                <w:rFonts w:cstheme="minorHAnsi"/>
              </w:rPr>
              <w:t>ATSDR will provide</w:t>
            </w:r>
            <w:r w:rsidRPr="002631FE" w:rsidR="00094350">
              <w:rPr>
                <w:rFonts w:cstheme="minorHAnsi"/>
              </w:rPr>
              <w:t xml:space="preserve"> incentives</w:t>
            </w:r>
            <w:r w:rsidRPr="002631FE">
              <w:rPr>
                <w:rFonts w:cstheme="minorHAnsi"/>
              </w:rPr>
              <w:t xml:space="preserve"> to participants </w:t>
            </w:r>
            <w:r w:rsidRPr="002631FE" w:rsidR="00094350">
              <w:rPr>
                <w:rFonts w:cstheme="minorHAnsi"/>
              </w:rPr>
              <w:t>in</w:t>
            </w:r>
            <w:r w:rsidRPr="002631FE">
              <w:rPr>
                <w:rFonts w:cstheme="minorHAnsi"/>
              </w:rPr>
              <w:t xml:space="preserve"> appreciation for the time it will take to allow ATSDR to conduct the environmental sampling. A gift card will be provided when the sampling is conducted: $2</w:t>
            </w:r>
            <w:r w:rsidRPr="002631FE" w:rsidR="000D405C">
              <w:rPr>
                <w:rFonts w:cstheme="minorHAnsi"/>
              </w:rPr>
              <w:t>0</w:t>
            </w:r>
            <w:r w:rsidRPr="002631FE">
              <w:rPr>
                <w:rFonts w:cstheme="minorHAnsi"/>
              </w:rPr>
              <w:t xml:space="preserve"> per household per appointment. Those homes that have the additional sampling requiring two appointments will receive a total of $</w:t>
            </w:r>
            <w:r w:rsidRPr="002631FE" w:rsidR="0078067E">
              <w:rPr>
                <w:rFonts w:cstheme="minorHAnsi"/>
              </w:rPr>
              <w:t>4</w:t>
            </w:r>
            <w:r w:rsidRPr="002631FE">
              <w:rPr>
                <w:rFonts w:cstheme="minorHAnsi"/>
              </w:rPr>
              <w:t>0 for participating.</w:t>
            </w:r>
          </w:p>
        </w:tc>
      </w:tr>
      <w:tr w:rsidRPr="00A44AB3" w:rsidR="00977D5F" w:rsidTr="002631FE" w14:paraId="270CF43A" w14:textId="77777777">
        <w:tc>
          <w:tcPr>
            <w:tcW w:w="3168" w:type="dxa"/>
            <w:vAlign w:val="center"/>
          </w:tcPr>
          <w:p w:rsidRPr="002631FE" w:rsidR="00977D5F" w:rsidP="002631FE" w:rsidRDefault="00DD64AD" w14:paraId="5669C68C" w14:textId="77777777">
            <w:pPr>
              <w:rPr>
                <w:rFonts w:cstheme="minorHAnsi"/>
                <w:b/>
              </w:rPr>
            </w:pPr>
            <w:r w:rsidRPr="002631FE">
              <w:rPr>
                <w:rFonts w:cstheme="minorHAnsi"/>
                <w:b/>
              </w:rPr>
              <w:t>Privacy</w:t>
            </w:r>
            <w:r w:rsidRPr="002631FE" w:rsidR="00977D5F">
              <w:rPr>
                <w:rFonts w:cstheme="minorHAnsi"/>
                <w:b/>
              </w:rPr>
              <w:t xml:space="preserve"> Protections:</w:t>
            </w:r>
          </w:p>
        </w:tc>
        <w:tc>
          <w:tcPr>
            <w:tcW w:w="6799" w:type="dxa"/>
            <w:vAlign w:val="center"/>
          </w:tcPr>
          <w:p w:rsidRPr="006B7FF2" w:rsidR="00977D5F" w:rsidP="002631FE" w:rsidRDefault="00DD64AD" w14:paraId="32F2C8C5" w14:textId="1E49F41F">
            <w:pPr>
              <w:rPr>
                <w:rFonts w:cstheme="minorHAnsi"/>
              </w:rPr>
            </w:pPr>
            <w:r w:rsidRPr="002631FE">
              <w:rPr>
                <w:rFonts w:cstheme="minorHAnsi"/>
              </w:rPr>
              <w:t>Privacy</w:t>
            </w:r>
            <w:r w:rsidRPr="002631FE" w:rsidR="00446811">
              <w:rPr>
                <w:rFonts w:cstheme="minorHAnsi"/>
              </w:rPr>
              <w:t xml:space="preserve"> will be pr</w:t>
            </w:r>
            <w:r w:rsidRPr="002631FE" w:rsidR="001F71D9">
              <w:rPr>
                <w:rFonts w:cstheme="minorHAnsi"/>
              </w:rPr>
              <w:t>otected to the fullest extent allowable by</w:t>
            </w:r>
            <w:r w:rsidRPr="002631FE" w:rsidR="00446811">
              <w:rPr>
                <w:rFonts w:cstheme="minorHAnsi"/>
              </w:rPr>
              <w:t xml:space="preserve"> law.  </w:t>
            </w:r>
            <w:r w:rsidRPr="006B7FF2" w:rsidR="00797694">
              <w:rPr>
                <w:rFonts w:cstheme="minorHAnsi"/>
              </w:rPr>
              <w:t xml:space="preserve">The consent forms contain information about </w:t>
            </w:r>
            <w:r w:rsidRPr="006B7FF2">
              <w:rPr>
                <w:rFonts w:cstheme="minorHAnsi"/>
              </w:rPr>
              <w:t>privacy</w:t>
            </w:r>
            <w:r w:rsidRPr="006B7FF2" w:rsidR="00797694">
              <w:rPr>
                <w:rFonts w:cstheme="minorHAnsi"/>
              </w:rPr>
              <w:t xml:space="preserve"> </w:t>
            </w:r>
            <w:r w:rsidRPr="006B7FF2" w:rsidR="000E2BF4">
              <w:rPr>
                <w:rFonts w:cstheme="minorHAnsi"/>
              </w:rPr>
              <w:t>protections</w:t>
            </w:r>
            <w:r w:rsidRPr="006B7FF2" w:rsidR="00797694">
              <w:rPr>
                <w:rFonts w:cstheme="minorHAnsi"/>
              </w:rPr>
              <w:t>.</w:t>
            </w:r>
          </w:p>
        </w:tc>
      </w:tr>
      <w:tr w:rsidRPr="00A44AB3" w:rsidR="00977D5F" w:rsidTr="002631FE" w14:paraId="759F6CB8" w14:textId="77777777">
        <w:tc>
          <w:tcPr>
            <w:tcW w:w="3168" w:type="dxa"/>
            <w:vAlign w:val="center"/>
          </w:tcPr>
          <w:p w:rsidRPr="002631FE" w:rsidR="00977D5F" w:rsidP="002631FE" w:rsidRDefault="00977D5F" w14:paraId="37021390" w14:textId="77777777">
            <w:pPr>
              <w:rPr>
                <w:rFonts w:cstheme="minorHAnsi"/>
                <w:b/>
              </w:rPr>
            </w:pPr>
            <w:r w:rsidRPr="002631FE">
              <w:rPr>
                <w:rFonts w:cstheme="minorHAnsi"/>
                <w:b/>
              </w:rPr>
              <w:t>Other Ethical Concerns/Issues:</w:t>
            </w:r>
          </w:p>
        </w:tc>
        <w:tc>
          <w:tcPr>
            <w:tcW w:w="6799" w:type="dxa"/>
            <w:vAlign w:val="center"/>
          </w:tcPr>
          <w:p w:rsidRPr="002631FE" w:rsidR="00977D5F" w:rsidP="002631FE" w:rsidRDefault="006C1A3E" w14:paraId="65B54185" w14:textId="5F951AB2">
            <w:pPr>
              <w:rPr>
                <w:rFonts w:cstheme="minorHAnsi"/>
              </w:rPr>
            </w:pPr>
            <w:r w:rsidRPr="002631FE">
              <w:rPr>
                <w:rFonts w:cstheme="minorHAnsi"/>
              </w:rPr>
              <w:t>None</w:t>
            </w:r>
          </w:p>
        </w:tc>
      </w:tr>
      <w:tr w:rsidRPr="00A44AB3" w:rsidR="00977D5F" w:rsidTr="002631FE" w14:paraId="4F3297F5" w14:textId="77777777">
        <w:tc>
          <w:tcPr>
            <w:tcW w:w="3168" w:type="dxa"/>
            <w:vAlign w:val="center"/>
          </w:tcPr>
          <w:p w:rsidRPr="002631FE" w:rsidR="00977D5F" w:rsidP="002631FE" w:rsidRDefault="00977D5F" w14:paraId="001AD425" w14:textId="77777777">
            <w:pPr>
              <w:rPr>
                <w:rFonts w:cstheme="minorHAnsi"/>
                <w:b/>
              </w:rPr>
            </w:pPr>
            <w:r w:rsidRPr="002631FE">
              <w:rPr>
                <w:rFonts w:cstheme="minorHAnsi"/>
                <w:b/>
              </w:rPr>
              <w:t>Projected Time Frame:</w:t>
            </w:r>
          </w:p>
        </w:tc>
        <w:tc>
          <w:tcPr>
            <w:tcW w:w="6799" w:type="dxa"/>
            <w:vAlign w:val="center"/>
          </w:tcPr>
          <w:p w:rsidRPr="002631FE" w:rsidR="00977D5F" w:rsidP="002631FE" w:rsidRDefault="005202A1" w14:paraId="20494850" w14:textId="60C2F08E">
            <w:pPr>
              <w:pStyle w:val="ListParagraph"/>
              <w:numPr>
                <w:ilvl w:val="0"/>
                <w:numId w:val="9"/>
              </w:numPr>
              <w:contextualSpacing w:val="0"/>
              <w:rPr>
                <w:rFonts w:cstheme="minorHAnsi"/>
              </w:rPr>
            </w:pPr>
            <w:r w:rsidRPr="002631FE">
              <w:rPr>
                <w:rFonts w:cstheme="minorHAnsi"/>
              </w:rPr>
              <w:t xml:space="preserve">The EI </w:t>
            </w:r>
            <w:r w:rsidRPr="002631FE" w:rsidR="006936BC">
              <w:rPr>
                <w:rFonts w:cstheme="minorHAnsi"/>
              </w:rPr>
              <w:t xml:space="preserve">is expected to be conducted in the </w:t>
            </w:r>
            <w:r w:rsidRPr="002631FE" w:rsidR="0078067E">
              <w:rPr>
                <w:rFonts w:cstheme="minorHAnsi"/>
              </w:rPr>
              <w:t>summer</w:t>
            </w:r>
            <w:r w:rsidRPr="002631FE" w:rsidR="006936BC">
              <w:rPr>
                <w:rFonts w:cstheme="minorHAnsi"/>
              </w:rPr>
              <w:t xml:space="preserve"> of 2021</w:t>
            </w:r>
            <w:r w:rsidRPr="002631FE" w:rsidR="00C6751F">
              <w:rPr>
                <w:rFonts w:cstheme="minorHAnsi"/>
              </w:rPr>
              <w:t xml:space="preserve"> and to be completed by September 30, 2021</w:t>
            </w:r>
            <w:r w:rsidRPr="002631FE" w:rsidR="00B619CB">
              <w:rPr>
                <w:rFonts w:cstheme="minorHAnsi"/>
              </w:rPr>
              <w:t xml:space="preserve">, the end of fiscal year </w:t>
            </w:r>
            <w:r w:rsidRPr="002631FE" w:rsidR="00B619CB">
              <w:rPr>
                <w:rFonts w:cstheme="minorHAnsi"/>
              </w:rPr>
              <w:lastRenderedPageBreak/>
              <w:t>2021</w:t>
            </w:r>
            <w:r w:rsidRPr="002631FE" w:rsidR="006936BC">
              <w:rPr>
                <w:rFonts w:cstheme="minorHAnsi"/>
              </w:rPr>
              <w:t>. The sampling effort at each location is expected to take approximately 2 weeks.</w:t>
            </w:r>
            <w:r w:rsidRPr="002631FE" w:rsidR="0078067E">
              <w:rPr>
                <w:rFonts w:cstheme="minorHAnsi"/>
              </w:rPr>
              <w:t xml:space="preserve"> </w:t>
            </w:r>
          </w:p>
          <w:p w:rsidRPr="002631FE" w:rsidR="0053447F" w:rsidP="002631FE" w:rsidRDefault="0053447F" w14:paraId="4DE46CE6" w14:textId="3CC406A6">
            <w:pPr>
              <w:pStyle w:val="ListParagraph"/>
              <w:numPr>
                <w:ilvl w:val="0"/>
                <w:numId w:val="9"/>
              </w:numPr>
              <w:contextualSpacing w:val="0"/>
              <w:rPr>
                <w:rFonts w:cstheme="minorHAnsi"/>
              </w:rPr>
            </w:pPr>
            <w:r w:rsidRPr="002631FE">
              <w:rPr>
                <w:rFonts w:cstheme="minorHAnsi"/>
              </w:rPr>
              <w:t>T</w:t>
            </w:r>
            <w:r w:rsidRPr="002631FE" w:rsidR="006936BC">
              <w:rPr>
                <w:rFonts w:cstheme="minorHAnsi"/>
              </w:rPr>
              <w:t>he laboratory is expected to take 3 months to analyze the samples</w:t>
            </w:r>
            <w:r w:rsidRPr="002631FE">
              <w:rPr>
                <w:rFonts w:cstheme="minorHAnsi"/>
              </w:rPr>
              <w:t>.</w:t>
            </w:r>
          </w:p>
        </w:tc>
      </w:tr>
      <w:tr w:rsidRPr="00A44AB3" w:rsidR="00977D5F" w:rsidTr="002631FE" w14:paraId="6EF7E150" w14:textId="77777777">
        <w:tc>
          <w:tcPr>
            <w:tcW w:w="3168" w:type="dxa"/>
            <w:vAlign w:val="center"/>
          </w:tcPr>
          <w:p w:rsidRPr="002631FE" w:rsidR="00977D5F" w:rsidP="002631FE" w:rsidRDefault="00977D5F" w14:paraId="62FC7B20" w14:textId="77777777">
            <w:pPr>
              <w:rPr>
                <w:rFonts w:cstheme="minorHAnsi"/>
                <w:b/>
              </w:rPr>
            </w:pPr>
            <w:r w:rsidRPr="002631FE">
              <w:rPr>
                <w:rFonts w:cstheme="minorHAnsi"/>
                <w:b/>
              </w:rPr>
              <w:lastRenderedPageBreak/>
              <w:t>Plans for Publication and Dissemination of Results:</w:t>
            </w:r>
          </w:p>
        </w:tc>
        <w:tc>
          <w:tcPr>
            <w:tcW w:w="6799" w:type="dxa"/>
            <w:vAlign w:val="center"/>
          </w:tcPr>
          <w:p w:rsidRPr="002631FE" w:rsidR="00245FE8" w:rsidP="002631FE" w:rsidRDefault="006936BC" w14:paraId="77E81329" w14:textId="473FEA9E">
            <w:pPr>
              <w:pStyle w:val="ListParagraph"/>
              <w:numPr>
                <w:ilvl w:val="0"/>
                <w:numId w:val="6"/>
              </w:numPr>
              <w:contextualSpacing w:val="0"/>
              <w:rPr>
                <w:rFonts w:cstheme="minorHAnsi"/>
              </w:rPr>
            </w:pPr>
            <w:r w:rsidRPr="002631FE">
              <w:rPr>
                <w:rFonts w:cstheme="minorHAnsi"/>
              </w:rPr>
              <w:t xml:space="preserve">The participants will be provided </w:t>
            </w:r>
            <w:r w:rsidRPr="002631FE" w:rsidR="008663F9">
              <w:rPr>
                <w:rFonts w:cstheme="minorHAnsi"/>
              </w:rPr>
              <w:t xml:space="preserve">their household </w:t>
            </w:r>
            <w:r w:rsidRPr="002631FE">
              <w:rPr>
                <w:rFonts w:cstheme="minorHAnsi"/>
              </w:rPr>
              <w:t xml:space="preserve">results of the environmental sampling approximately 4-6 months after </w:t>
            </w:r>
            <w:r w:rsidRPr="002631FE" w:rsidR="008663F9">
              <w:rPr>
                <w:rFonts w:cstheme="minorHAnsi"/>
              </w:rPr>
              <w:t xml:space="preserve">sample </w:t>
            </w:r>
            <w:r w:rsidRPr="002631FE">
              <w:rPr>
                <w:rFonts w:cstheme="minorHAnsi"/>
              </w:rPr>
              <w:t>collection since the laboratory is expected to take 3 months to analyze the samples.</w:t>
            </w:r>
          </w:p>
          <w:p w:rsidRPr="002631FE" w:rsidR="00C2426C" w:rsidP="002631FE" w:rsidRDefault="0053447F" w14:paraId="1D340030" w14:textId="2865B8F6">
            <w:pPr>
              <w:pStyle w:val="ListParagraph"/>
              <w:numPr>
                <w:ilvl w:val="0"/>
                <w:numId w:val="6"/>
              </w:numPr>
              <w:contextualSpacing w:val="0"/>
              <w:rPr>
                <w:rFonts w:cstheme="minorHAnsi"/>
              </w:rPr>
            </w:pPr>
            <w:r w:rsidRPr="002631FE">
              <w:rPr>
                <w:rFonts w:cstheme="minorHAnsi"/>
              </w:rPr>
              <w:t>The</w:t>
            </w:r>
            <w:r w:rsidRPr="002631FE" w:rsidR="00C2426C">
              <w:rPr>
                <w:rFonts w:cstheme="minorHAnsi"/>
              </w:rPr>
              <w:t xml:space="preserve"> EI report will be prepared</w:t>
            </w:r>
            <w:r w:rsidRPr="002631FE" w:rsidR="00245FE8">
              <w:rPr>
                <w:rFonts w:cstheme="minorHAnsi"/>
              </w:rPr>
              <w:t>,</w:t>
            </w:r>
            <w:r w:rsidRPr="002631FE" w:rsidR="00C2426C">
              <w:rPr>
                <w:rFonts w:cstheme="minorHAnsi"/>
              </w:rPr>
              <w:t xml:space="preserve"> </w:t>
            </w:r>
            <w:r w:rsidRPr="002631FE" w:rsidR="001A5953">
              <w:rPr>
                <w:rFonts w:cstheme="minorHAnsi"/>
              </w:rPr>
              <w:t>cleared</w:t>
            </w:r>
            <w:r w:rsidRPr="002631FE" w:rsidR="00F046A3">
              <w:rPr>
                <w:rFonts w:cstheme="minorHAnsi"/>
              </w:rPr>
              <w:t>,</w:t>
            </w:r>
            <w:r w:rsidRPr="002631FE" w:rsidR="00245FE8">
              <w:rPr>
                <w:rFonts w:cstheme="minorHAnsi"/>
              </w:rPr>
              <w:t xml:space="preserve"> and released</w:t>
            </w:r>
            <w:r w:rsidRPr="002631FE" w:rsidR="001A5953">
              <w:rPr>
                <w:rFonts w:cstheme="minorHAnsi"/>
              </w:rPr>
              <w:t xml:space="preserve"> </w:t>
            </w:r>
            <w:r w:rsidRPr="002631FE" w:rsidR="004B192D">
              <w:rPr>
                <w:rFonts w:cstheme="minorHAnsi"/>
              </w:rPr>
              <w:t xml:space="preserve">to each community </w:t>
            </w:r>
            <w:r w:rsidRPr="002631FE" w:rsidR="001A5953">
              <w:rPr>
                <w:rFonts w:cstheme="minorHAnsi"/>
              </w:rPr>
              <w:t>as soon as possible.</w:t>
            </w:r>
          </w:p>
        </w:tc>
      </w:tr>
      <w:tr w:rsidRPr="00A44AB3" w:rsidR="00977D5F" w:rsidTr="002631FE" w14:paraId="32703A2E" w14:textId="77777777">
        <w:tc>
          <w:tcPr>
            <w:tcW w:w="3168" w:type="dxa"/>
            <w:vAlign w:val="center"/>
          </w:tcPr>
          <w:p w:rsidRPr="002631FE" w:rsidR="00977D5F" w:rsidP="002631FE" w:rsidRDefault="00977D5F" w14:paraId="368BBCE3" w14:textId="77777777">
            <w:pPr>
              <w:rPr>
                <w:rFonts w:cstheme="minorHAnsi"/>
                <w:b/>
              </w:rPr>
            </w:pPr>
            <w:r w:rsidRPr="002631FE">
              <w:rPr>
                <w:rFonts w:cstheme="minorHAnsi"/>
                <w:b/>
              </w:rPr>
              <w:t>Burden Hours Requested:</w:t>
            </w:r>
          </w:p>
        </w:tc>
        <w:tc>
          <w:tcPr>
            <w:tcW w:w="6799" w:type="dxa"/>
            <w:vAlign w:val="center"/>
          </w:tcPr>
          <w:p w:rsidRPr="006B7FF2" w:rsidR="00977D5F" w:rsidP="002631FE" w:rsidRDefault="00B619CB" w14:paraId="29DA3000" w14:textId="62CA6227">
            <w:pPr>
              <w:rPr>
                <w:rFonts w:cstheme="minorHAnsi"/>
              </w:rPr>
            </w:pPr>
            <w:r w:rsidRPr="002631FE">
              <w:rPr>
                <w:rFonts w:cstheme="minorHAnsi"/>
              </w:rPr>
              <w:t>35</w:t>
            </w:r>
            <w:r w:rsidR="009C3322">
              <w:rPr>
                <w:rFonts w:cstheme="minorHAnsi"/>
              </w:rPr>
              <w:t>1</w:t>
            </w:r>
            <w:r w:rsidRPr="002631FE">
              <w:rPr>
                <w:rFonts w:cstheme="minorHAnsi"/>
              </w:rPr>
              <w:t xml:space="preserve"> </w:t>
            </w:r>
            <w:r w:rsidRPr="002631FE" w:rsidR="006936BC">
              <w:rPr>
                <w:rFonts w:cstheme="minorHAnsi"/>
              </w:rPr>
              <w:t xml:space="preserve">hours – </w:t>
            </w:r>
            <w:r w:rsidRPr="006B7FF2">
              <w:rPr>
                <w:rFonts w:cstheme="minorHAnsi"/>
              </w:rPr>
              <w:t xml:space="preserve">per the burden hours outlined in </w:t>
            </w:r>
            <w:r w:rsidRPr="006B7FF2" w:rsidR="006936BC">
              <w:rPr>
                <w:rFonts w:cstheme="minorHAnsi"/>
              </w:rPr>
              <w:t xml:space="preserve">Supporting </w:t>
            </w:r>
            <w:r w:rsidRPr="006B7FF2" w:rsidR="00B94D5B">
              <w:rPr>
                <w:rFonts w:cstheme="minorHAnsi"/>
              </w:rPr>
              <w:t>S</w:t>
            </w:r>
            <w:r w:rsidRPr="006B7FF2" w:rsidR="006936BC">
              <w:rPr>
                <w:rFonts w:cstheme="minorHAnsi"/>
              </w:rPr>
              <w:t xml:space="preserve">tatement </w:t>
            </w:r>
            <w:r w:rsidRPr="006B7FF2">
              <w:rPr>
                <w:rFonts w:cstheme="minorHAnsi"/>
              </w:rPr>
              <w:t>A</w:t>
            </w:r>
          </w:p>
        </w:tc>
      </w:tr>
    </w:tbl>
    <w:p w:rsidRPr="008A54F7" w:rsidR="00977D5F" w:rsidRDefault="00977D5F" w14:paraId="1674C9CF" w14:textId="099BA95D">
      <w:pPr>
        <w:rPr>
          <w:rFonts w:cstheme="minorHAnsi"/>
          <w:b/>
        </w:rPr>
      </w:pPr>
    </w:p>
    <w:p w:rsidR="00CD06AA" w:rsidP="00CD06AA" w:rsidRDefault="00E17505" w14:paraId="196ECE89" w14:textId="1F153C49">
      <w:pPr>
        <w:rPr>
          <w:rFonts w:cstheme="minorHAnsi"/>
          <w:b/>
        </w:rPr>
      </w:pPr>
      <w:r>
        <w:rPr>
          <w:rFonts w:cstheme="minorHAnsi"/>
          <w:b/>
        </w:rPr>
        <w:t xml:space="preserve">List of </w:t>
      </w:r>
      <w:r w:rsidRPr="00A44AB3" w:rsidR="00CD06AA">
        <w:rPr>
          <w:rFonts w:cstheme="minorHAnsi"/>
          <w:b/>
        </w:rPr>
        <w:t>Attachments:</w:t>
      </w:r>
    </w:p>
    <w:p w:rsidR="006B7FF2" w:rsidP="006B7FF2" w:rsidRDefault="006B7FF2" w14:paraId="4E1B997F" w14:textId="77777777">
      <w:pPr>
        <w:spacing w:after="0" w:line="240" w:lineRule="auto"/>
      </w:pPr>
      <w:r>
        <w:t>Att1_PFAS Environmental Sampling EI SSA 0923-0048</w:t>
      </w:r>
    </w:p>
    <w:p w:rsidR="006B7FF2" w:rsidP="006B7FF2" w:rsidRDefault="006B7FF2" w14:paraId="13DC8990" w14:textId="77777777">
      <w:pPr>
        <w:spacing w:after="0" w:line="240" w:lineRule="auto"/>
      </w:pPr>
      <w:r>
        <w:t>Att2_PFAS Environmental Sampling EI SSB 0928-0048</w:t>
      </w:r>
    </w:p>
    <w:p w:rsidR="006B7FF2" w:rsidP="006B7FF2" w:rsidRDefault="006B7FF2" w14:paraId="0E96066C" w14:textId="77777777">
      <w:pPr>
        <w:spacing w:after="0" w:line="240" w:lineRule="auto"/>
      </w:pPr>
      <w:r>
        <w:t>Att3_STARS Determination Form</w:t>
      </w:r>
    </w:p>
    <w:p w:rsidR="006B7FF2" w:rsidP="006B7FF2" w:rsidRDefault="006B7FF2" w14:paraId="2C811E0D" w14:textId="77777777">
      <w:pPr>
        <w:spacing w:after="0" w:line="240" w:lineRule="auto"/>
      </w:pPr>
      <w:r>
        <w:t>Att4_Example EI Report</w:t>
      </w:r>
    </w:p>
    <w:p w:rsidR="006B7FF2" w:rsidP="006B7FF2" w:rsidRDefault="006B7FF2" w14:paraId="706A90C4" w14:textId="77777777">
      <w:pPr>
        <w:spacing w:after="0" w:line="240" w:lineRule="auto"/>
      </w:pPr>
      <w:r>
        <w:t>Att5_PFAS Environmental Sampling EI Protocol Text</w:t>
      </w:r>
    </w:p>
    <w:p w:rsidR="006B7FF2" w:rsidP="006B7FF2" w:rsidRDefault="006B7FF2" w14:paraId="4340AA4F" w14:textId="77777777">
      <w:pPr>
        <w:spacing w:after="0" w:line="240" w:lineRule="auto"/>
      </w:pPr>
      <w:r>
        <w:t>Att6_Apx A1_Household Recruitment Letter</w:t>
      </w:r>
    </w:p>
    <w:p w:rsidR="006B7FF2" w:rsidP="006B7FF2" w:rsidRDefault="006B7FF2" w14:paraId="22D28353" w14:textId="77777777">
      <w:pPr>
        <w:spacing w:after="0" w:line="240" w:lineRule="auto"/>
      </w:pPr>
      <w:r>
        <w:t>Att7_Apx A2_Recruitment Scripts</w:t>
      </w:r>
    </w:p>
    <w:p w:rsidR="006B7FF2" w:rsidP="006B7FF2" w:rsidRDefault="006B7FF2" w14:paraId="0104CCD7" w14:textId="77777777">
      <w:pPr>
        <w:spacing w:after="0" w:line="240" w:lineRule="auto"/>
      </w:pPr>
      <w:r>
        <w:t>Att8_Apx A3_Appointment Verification Letter</w:t>
      </w:r>
    </w:p>
    <w:p w:rsidR="006B7FF2" w:rsidP="006B7FF2" w:rsidRDefault="006B7FF2" w14:paraId="303304BC" w14:textId="77777777">
      <w:pPr>
        <w:spacing w:after="0" w:line="240" w:lineRule="auto"/>
      </w:pPr>
      <w:r>
        <w:t>Att9_Apx B1_Privacy Act Statement</w:t>
      </w:r>
    </w:p>
    <w:p w:rsidR="006B7FF2" w:rsidP="006B7FF2" w:rsidRDefault="006B7FF2" w14:paraId="304975B8" w14:textId="77777777">
      <w:pPr>
        <w:spacing w:after="0" w:line="240" w:lineRule="auto"/>
      </w:pPr>
      <w:r>
        <w:t>Att10_Apx B2_Adult Consent1 - Sampling and Questionnaire</w:t>
      </w:r>
    </w:p>
    <w:p w:rsidR="006B7FF2" w:rsidP="006B7FF2" w:rsidRDefault="006B7FF2" w14:paraId="0D35D586" w14:textId="77777777">
      <w:pPr>
        <w:spacing w:after="0" w:line="240" w:lineRule="auto"/>
      </w:pPr>
      <w:r>
        <w:t>Att11_Apx B3_Adult Consent2 Questionnaire only</w:t>
      </w:r>
    </w:p>
    <w:p w:rsidR="006B7FF2" w:rsidP="006B7FF2" w:rsidRDefault="006B7FF2" w14:paraId="654D1DF4" w14:textId="77777777">
      <w:pPr>
        <w:spacing w:after="0" w:line="240" w:lineRule="auto"/>
      </w:pPr>
      <w:r>
        <w:t>Att12_Apx B4_Parental Permission Form</w:t>
      </w:r>
    </w:p>
    <w:p w:rsidR="006B7FF2" w:rsidP="006B7FF2" w:rsidRDefault="006B7FF2" w14:paraId="5A82F889" w14:textId="77777777">
      <w:pPr>
        <w:spacing w:after="0" w:line="240" w:lineRule="auto"/>
      </w:pPr>
      <w:r>
        <w:t>Att13_Apx B5_Assent Form</w:t>
      </w:r>
    </w:p>
    <w:p w:rsidR="006B7FF2" w:rsidP="006B7FF2" w:rsidRDefault="006B7FF2" w14:paraId="6D858EA9" w14:textId="77777777">
      <w:pPr>
        <w:spacing w:after="0" w:line="240" w:lineRule="auto"/>
      </w:pPr>
      <w:r>
        <w:t>Att14_ApxC1_Household Questionnaire</w:t>
      </w:r>
    </w:p>
    <w:p w:rsidR="006B7FF2" w:rsidP="006B7FF2" w:rsidRDefault="006B7FF2" w14:paraId="37BEE301" w14:textId="77777777">
      <w:pPr>
        <w:spacing w:after="0" w:line="240" w:lineRule="auto"/>
      </w:pPr>
      <w:r>
        <w:t>Att15_ApxC2_Personal Exposure Questionnaire - Adult</w:t>
      </w:r>
    </w:p>
    <w:p w:rsidR="006B7FF2" w:rsidP="006B7FF2" w:rsidRDefault="006B7FF2" w14:paraId="31176FB6" w14:textId="77777777">
      <w:pPr>
        <w:spacing w:after="0" w:line="240" w:lineRule="auto"/>
      </w:pPr>
      <w:r>
        <w:t>Att16_ApxC3_Personal Exp Questionnaire - Child</w:t>
      </w:r>
    </w:p>
    <w:p w:rsidR="006B7FF2" w:rsidP="006B7FF2" w:rsidRDefault="006B7FF2" w14:paraId="6B25647E" w14:textId="77777777">
      <w:pPr>
        <w:spacing w:after="0" w:line="240" w:lineRule="auto"/>
      </w:pPr>
      <w:r>
        <w:t>Att17_ApxD_Sampling and Analysis Plan</w:t>
      </w:r>
    </w:p>
    <w:p w:rsidR="006B7FF2" w:rsidP="006B7FF2" w:rsidRDefault="006B7FF2" w14:paraId="148D2BA3" w14:textId="77777777">
      <w:pPr>
        <w:spacing w:after="0" w:line="240" w:lineRule="auto"/>
      </w:pPr>
      <w:r>
        <w:t>Att18_Apx D1_PFAS Sampling Collection Form (Dust Only)</w:t>
      </w:r>
    </w:p>
    <w:p w:rsidR="006B7FF2" w:rsidP="006B7FF2" w:rsidRDefault="006B7FF2" w14:paraId="06CFDB6B" w14:textId="77777777">
      <w:pPr>
        <w:spacing w:after="0" w:line="240" w:lineRule="auto"/>
      </w:pPr>
      <w:r>
        <w:t>Att19_Apx D2_PFAS Sampling Collection Form (Robust Sampling)</w:t>
      </w:r>
    </w:p>
    <w:p w:rsidR="006B7FF2" w:rsidP="006B7FF2" w:rsidRDefault="006B7FF2" w14:paraId="6F214B1F" w14:textId="79483911">
      <w:pPr>
        <w:spacing w:after="0" w:line="240" w:lineRule="auto"/>
      </w:pPr>
      <w:r>
        <w:t>Att20_Apx E _Health and Safety Plan</w:t>
      </w:r>
    </w:p>
    <w:p w:rsidR="006B7FF2" w:rsidP="006B7FF2" w:rsidRDefault="006B7FF2" w14:paraId="6B4BC764" w14:textId="77777777">
      <w:pPr>
        <w:spacing w:after="0" w:line="240" w:lineRule="auto"/>
      </w:pPr>
      <w:r>
        <w:t>Att21_Apx F1_Results Letter- Dust only</w:t>
      </w:r>
    </w:p>
    <w:p w:rsidR="006B7FF2" w:rsidP="006B7FF2" w:rsidRDefault="006B7FF2" w14:paraId="552D2D28" w14:textId="10B45F26">
      <w:pPr>
        <w:spacing w:after="160" w:line="259" w:lineRule="auto"/>
      </w:pPr>
      <w:r>
        <w:t>Att22_ApxF2_Results Letter-Robust Sampling</w:t>
      </w:r>
    </w:p>
    <w:p w:rsidRPr="00A44AB3" w:rsidR="006B7FF2" w:rsidP="00CD06AA" w:rsidRDefault="006B7FF2" w14:paraId="0CB6710C" w14:textId="77777777">
      <w:pPr>
        <w:rPr>
          <w:rFonts w:cstheme="minorHAnsi"/>
          <w:b/>
        </w:rPr>
      </w:pPr>
    </w:p>
    <w:p w:rsidRPr="00E17505" w:rsidR="00DC218D" w:rsidP="008A54F7" w:rsidRDefault="00DC218D" w14:paraId="39F7ECE1" w14:textId="183DAA20">
      <w:pPr>
        <w:rPr>
          <w:rFonts w:cstheme="minorHAnsi"/>
        </w:rPr>
      </w:pPr>
    </w:p>
    <w:sectPr w:rsidRPr="00E17505" w:rsidR="00DC218D" w:rsidSect="00D809E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DAB74" w14:textId="77777777" w:rsidR="00B30462" w:rsidRDefault="00B30462" w:rsidP="00B30462">
      <w:pPr>
        <w:spacing w:after="0" w:line="240" w:lineRule="auto"/>
      </w:pPr>
      <w:r>
        <w:separator/>
      </w:r>
    </w:p>
  </w:endnote>
  <w:endnote w:type="continuationSeparator" w:id="0">
    <w:p w14:paraId="3CB658B5" w14:textId="77777777" w:rsidR="00B30462" w:rsidRDefault="00B30462" w:rsidP="00B3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0B84C" w14:textId="77777777" w:rsidR="00B30462" w:rsidRDefault="00B30462" w:rsidP="00B30462">
      <w:pPr>
        <w:spacing w:after="0" w:line="240" w:lineRule="auto"/>
      </w:pPr>
      <w:r>
        <w:separator/>
      </w:r>
    </w:p>
  </w:footnote>
  <w:footnote w:type="continuationSeparator" w:id="0">
    <w:p w14:paraId="288730B1" w14:textId="77777777" w:rsidR="00B30462" w:rsidRDefault="00B30462" w:rsidP="00B30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3554"/>
    <w:multiLevelType w:val="hybridMultilevel"/>
    <w:tmpl w:val="1DF0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F59"/>
    <w:multiLevelType w:val="hybridMultilevel"/>
    <w:tmpl w:val="907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09FB"/>
    <w:multiLevelType w:val="hybridMultilevel"/>
    <w:tmpl w:val="2FD2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E52E8"/>
    <w:multiLevelType w:val="hybridMultilevel"/>
    <w:tmpl w:val="5CFE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63CB8"/>
    <w:multiLevelType w:val="hybridMultilevel"/>
    <w:tmpl w:val="60CE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2861"/>
    <w:multiLevelType w:val="hybridMultilevel"/>
    <w:tmpl w:val="8C2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857A5"/>
    <w:multiLevelType w:val="hybridMultilevel"/>
    <w:tmpl w:val="36F24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C436F"/>
    <w:multiLevelType w:val="hybridMultilevel"/>
    <w:tmpl w:val="7B46C880"/>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86289"/>
    <w:multiLevelType w:val="hybridMultilevel"/>
    <w:tmpl w:val="FB2A211A"/>
    <w:lvl w:ilvl="0" w:tplc="8BCEFDF0">
      <w:start w:val="4"/>
      <w:numFmt w:val="decimal"/>
      <w:lvlText w:val="%1."/>
      <w:lvlJc w:val="left"/>
      <w:pPr>
        <w:ind w:left="108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69339E2"/>
    <w:multiLevelType w:val="hybridMultilevel"/>
    <w:tmpl w:val="B170A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E6C96"/>
    <w:multiLevelType w:val="hybridMultilevel"/>
    <w:tmpl w:val="AF54E0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95B21"/>
    <w:multiLevelType w:val="hybridMultilevel"/>
    <w:tmpl w:val="7D5A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A3333"/>
    <w:multiLevelType w:val="hybridMultilevel"/>
    <w:tmpl w:val="4EA69DEA"/>
    <w:lvl w:ilvl="0" w:tplc="EBB891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02673"/>
    <w:multiLevelType w:val="hybridMultilevel"/>
    <w:tmpl w:val="711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30953"/>
    <w:multiLevelType w:val="hybridMultilevel"/>
    <w:tmpl w:val="E178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5605E70"/>
    <w:multiLevelType w:val="hybridMultilevel"/>
    <w:tmpl w:val="92F8D0E4"/>
    <w:lvl w:ilvl="0" w:tplc="04090001">
      <w:start w:val="1"/>
      <w:numFmt w:val="bullet"/>
      <w:lvlText w:val=""/>
      <w:lvlJc w:val="left"/>
      <w:pPr>
        <w:ind w:left="1260" w:hanging="360"/>
      </w:pPr>
      <w:rPr>
        <w:rFonts w:ascii="Symbol" w:hAnsi="Symbol" w:hint="default"/>
        <w:b w:val="0"/>
      </w:rPr>
    </w:lvl>
    <w:lvl w:ilvl="1" w:tplc="04090001">
      <w:start w:val="1"/>
      <w:numFmt w:val="bullet"/>
      <w:lvlText w:val=""/>
      <w:lvlJc w:val="left"/>
      <w:pPr>
        <w:ind w:left="2070" w:hanging="360"/>
      </w:pPr>
      <w:rPr>
        <w:rFonts w:ascii="Symbol" w:hAnsi="Symbol" w:hint="default"/>
      </w:rPr>
    </w:lvl>
    <w:lvl w:ilvl="2" w:tplc="04090003">
      <w:start w:val="1"/>
      <w:numFmt w:val="bullet"/>
      <w:lvlText w:val="o"/>
      <w:lvlJc w:val="left"/>
      <w:pPr>
        <w:ind w:left="2790" w:hanging="180"/>
      </w:pPr>
      <w:rPr>
        <w:rFonts w:ascii="Courier New" w:hAnsi="Courier New" w:cs="Courier New" w:hint="default"/>
      </w:rPr>
    </w:lvl>
    <w:lvl w:ilvl="3" w:tplc="0409000F">
      <w:start w:val="1"/>
      <w:numFmt w:val="decimal"/>
      <w:lvlText w:val="%4."/>
      <w:lvlJc w:val="left"/>
      <w:pPr>
        <w:ind w:left="3510" w:hanging="360"/>
      </w:pPr>
    </w:lvl>
    <w:lvl w:ilvl="4" w:tplc="04090003">
      <w:start w:val="1"/>
      <w:numFmt w:val="bullet"/>
      <w:lvlText w:val="o"/>
      <w:lvlJc w:val="left"/>
      <w:pPr>
        <w:ind w:left="4230" w:hanging="360"/>
      </w:pPr>
      <w:rPr>
        <w:rFonts w:ascii="Courier New" w:hAnsi="Courier New" w:cs="Courier New"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94DE5"/>
    <w:multiLevelType w:val="hybridMultilevel"/>
    <w:tmpl w:val="18A4A920"/>
    <w:lvl w:ilvl="0" w:tplc="04090001">
      <w:start w:val="1"/>
      <w:numFmt w:val="bullet"/>
      <w:lvlText w:val=""/>
      <w:lvlJc w:val="left"/>
      <w:pPr>
        <w:ind w:left="3384" w:hanging="360"/>
      </w:pPr>
      <w:rPr>
        <w:rFonts w:ascii="Symbol" w:hAnsi="Symbol" w:hint="default"/>
      </w:rPr>
    </w:lvl>
    <w:lvl w:ilvl="1" w:tplc="04090003">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21" w15:restartNumberingAfterBreak="0">
    <w:nsid w:val="705F3F5D"/>
    <w:multiLevelType w:val="hybridMultilevel"/>
    <w:tmpl w:val="2F10FD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95694C"/>
    <w:multiLevelType w:val="hybridMultilevel"/>
    <w:tmpl w:val="88C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22"/>
  </w:num>
  <w:num w:numId="6">
    <w:abstractNumId w:val="12"/>
  </w:num>
  <w:num w:numId="7">
    <w:abstractNumId w:val="2"/>
  </w:num>
  <w:num w:numId="8">
    <w:abstractNumId w:val="18"/>
  </w:num>
  <w:num w:numId="9">
    <w:abstractNumId w:val="0"/>
  </w:num>
  <w:num w:numId="10">
    <w:abstractNumId w:val="4"/>
  </w:num>
  <w:num w:numId="11">
    <w:abstractNumId w:val="14"/>
  </w:num>
  <w:num w:numId="12">
    <w:abstractNumId w:val="15"/>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20"/>
  </w:num>
  <w:num w:numId="18">
    <w:abstractNumId w:val="9"/>
  </w:num>
  <w:num w:numId="19">
    <w:abstractNumId w:val="11"/>
  </w:num>
  <w:num w:numId="20">
    <w:abstractNumId w:val="17"/>
  </w:num>
  <w:num w:numId="21">
    <w:abstractNumId w:val="21"/>
  </w:num>
  <w:num w:numId="22">
    <w:abstractNumId w:val="13"/>
  </w:num>
  <w:num w:numId="23">
    <w:abstractNumId w:val="19"/>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CEH/ATSDR Office of Science">
    <w15:presenceInfo w15:providerId="None" w15:userId="NCEH/ATSDR Office of Scie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48"/>
    <w:rsid w:val="000005DE"/>
    <w:rsid w:val="00000DF3"/>
    <w:rsid w:val="0000462E"/>
    <w:rsid w:val="00006CCB"/>
    <w:rsid w:val="00007543"/>
    <w:rsid w:val="00010464"/>
    <w:rsid w:val="00014A79"/>
    <w:rsid w:val="000168A2"/>
    <w:rsid w:val="00036452"/>
    <w:rsid w:val="0004565A"/>
    <w:rsid w:val="000457B7"/>
    <w:rsid w:val="000526FB"/>
    <w:rsid w:val="00054688"/>
    <w:rsid w:val="00054D50"/>
    <w:rsid w:val="0005599C"/>
    <w:rsid w:val="00057001"/>
    <w:rsid w:val="00066D15"/>
    <w:rsid w:val="0007663C"/>
    <w:rsid w:val="00081384"/>
    <w:rsid w:val="00083053"/>
    <w:rsid w:val="00083AD1"/>
    <w:rsid w:val="00085879"/>
    <w:rsid w:val="00094350"/>
    <w:rsid w:val="000967F1"/>
    <w:rsid w:val="000A030D"/>
    <w:rsid w:val="000A79DA"/>
    <w:rsid w:val="000B1AA9"/>
    <w:rsid w:val="000B26F9"/>
    <w:rsid w:val="000B7EE5"/>
    <w:rsid w:val="000C7E3D"/>
    <w:rsid w:val="000D405C"/>
    <w:rsid w:val="000E2BF4"/>
    <w:rsid w:val="000E3870"/>
    <w:rsid w:val="000F454D"/>
    <w:rsid w:val="00105B25"/>
    <w:rsid w:val="00106C97"/>
    <w:rsid w:val="001079E3"/>
    <w:rsid w:val="0011153A"/>
    <w:rsid w:val="00114DF9"/>
    <w:rsid w:val="001224B6"/>
    <w:rsid w:val="00134B62"/>
    <w:rsid w:val="001465E7"/>
    <w:rsid w:val="00146801"/>
    <w:rsid w:val="00147B01"/>
    <w:rsid w:val="00153F94"/>
    <w:rsid w:val="001564CF"/>
    <w:rsid w:val="00157EA0"/>
    <w:rsid w:val="00183C90"/>
    <w:rsid w:val="001A5953"/>
    <w:rsid w:val="001B5953"/>
    <w:rsid w:val="001C2596"/>
    <w:rsid w:val="001C4AD2"/>
    <w:rsid w:val="001D268C"/>
    <w:rsid w:val="001E03FD"/>
    <w:rsid w:val="001E4DEE"/>
    <w:rsid w:val="001E5273"/>
    <w:rsid w:val="001E7826"/>
    <w:rsid w:val="001F2650"/>
    <w:rsid w:val="001F3964"/>
    <w:rsid w:val="001F71D9"/>
    <w:rsid w:val="002101B5"/>
    <w:rsid w:val="0021261C"/>
    <w:rsid w:val="00222880"/>
    <w:rsid w:val="002268E8"/>
    <w:rsid w:val="00241D1E"/>
    <w:rsid w:val="00245FE8"/>
    <w:rsid w:val="00255B07"/>
    <w:rsid w:val="002631FE"/>
    <w:rsid w:val="00275434"/>
    <w:rsid w:val="00276B88"/>
    <w:rsid w:val="00281057"/>
    <w:rsid w:val="0028500F"/>
    <w:rsid w:val="00293CDF"/>
    <w:rsid w:val="002A2531"/>
    <w:rsid w:val="002A5D89"/>
    <w:rsid w:val="002B1BC4"/>
    <w:rsid w:val="002B7FAF"/>
    <w:rsid w:val="002C1792"/>
    <w:rsid w:val="002C3309"/>
    <w:rsid w:val="002C53DE"/>
    <w:rsid w:val="002C5F6F"/>
    <w:rsid w:val="002C6A5F"/>
    <w:rsid w:val="002D2DA8"/>
    <w:rsid w:val="002E0FE9"/>
    <w:rsid w:val="003025C4"/>
    <w:rsid w:val="00303828"/>
    <w:rsid w:val="00314173"/>
    <w:rsid w:val="0032501F"/>
    <w:rsid w:val="003266CE"/>
    <w:rsid w:val="00340746"/>
    <w:rsid w:val="00356B9F"/>
    <w:rsid w:val="00366F48"/>
    <w:rsid w:val="003711F5"/>
    <w:rsid w:val="00372C81"/>
    <w:rsid w:val="003A2015"/>
    <w:rsid w:val="003A3692"/>
    <w:rsid w:val="003A3868"/>
    <w:rsid w:val="003A4425"/>
    <w:rsid w:val="003B366F"/>
    <w:rsid w:val="003B7C8F"/>
    <w:rsid w:val="003D408F"/>
    <w:rsid w:val="003F6968"/>
    <w:rsid w:val="00423EF7"/>
    <w:rsid w:val="0042709C"/>
    <w:rsid w:val="00431C36"/>
    <w:rsid w:val="00435CB0"/>
    <w:rsid w:val="00437501"/>
    <w:rsid w:val="00446811"/>
    <w:rsid w:val="00450BF4"/>
    <w:rsid w:val="00456DD7"/>
    <w:rsid w:val="004579F8"/>
    <w:rsid w:val="00465806"/>
    <w:rsid w:val="00473F86"/>
    <w:rsid w:val="00485305"/>
    <w:rsid w:val="0049518C"/>
    <w:rsid w:val="004A3986"/>
    <w:rsid w:val="004A462F"/>
    <w:rsid w:val="004B0DC0"/>
    <w:rsid w:val="004B192D"/>
    <w:rsid w:val="004B252F"/>
    <w:rsid w:val="004C6181"/>
    <w:rsid w:val="004D64A2"/>
    <w:rsid w:val="004F4797"/>
    <w:rsid w:val="005119AF"/>
    <w:rsid w:val="005202A1"/>
    <w:rsid w:val="00524231"/>
    <w:rsid w:val="0053447F"/>
    <w:rsid w:val="00536341"/>
    <w:rsid w:val="00544D0B"/>
    <w:rsid w:val="00573044"/>
    <w:rsid w:val="0057746B"/>
    <w:rsid w:val="00593097"/>
    <w:rsid w:val="0059309D"/>
    <w:rsid w:val="00593A63"/>
    <w:rsid w:val="00594706"/>
    <w:rsid w:val="005956AA"/>
    <w:rsid w:val="005961E9"/>
    <w:rsid w:val="005A3D6B"/>
    <w:rsid w:val="005A6D67"/>
    <w:rsid w:val="005B348D"/>
    <w:rsid w:val="005C389D"/>
    <w:rsid w:val="005D2153"/>
    <w:rsid w:val="005D258E"/>
    <w:rsid w:val="005E1D60"/>
    <w:rsid w:val="005F093E"/>
    <w:rsid w:val="005F62B4"/>
    <w:rsid w:val="00611BBC"/>
    <w:rsid w:val="0061349B"/>
    <w:rsid w:val="00627597"/>
    <w:rsid w:val="0063667F"/>
    <w:rsid w:val="00652BD7"/>
    <w:rsid w:val="006565F3"/>
    <w:rsid w:val="006936BC"/>
    <w:rsid w:val="006A1C2A"/>
    <w:rsid w:val="006A77B4"/>
    <w:rsid w:val="006B4CA3"/>
    <w:rsid w:val="006B5535"/>
    <w:rsid w:val="006B74A2"/>
    <w:rsid w:val="006B7FF2"/>
    <w:rsid w:val="006C1A3E"/>
    <w:rsid w:val="006C1C52"/>
    <w:rsid w:val="006C23C0"/>
    <w:rsid w:val="006C2D55"/>
    <w:rsid w:val="006C2E1C"/>
    <w:rsid w:val="006D1E61"/>
    <w:rsid w:val="006F4D54"/>
    <w:rsid w:val="006F6D2F"/>
    <w:rsid w:val="00700B89"/>
    <w:rsid w:val="00722659"/>
    <w:rsid w:val="00732ABB"/>
    <w:rsid w:val="00744787"/>
    <w:rsid w:val="00752494"/>
    <w:rsid w:val="00761B07"/>
    <w:rsid w:val="0076482D"/>
    <w:rsid w:val="00771A77"/>
    <w:rsid w:val="007741F6"/>
    <w:rsid w:val="0078067E"/>
    <w:rsid w:val="0078138E"/>
    <w:rsid w:val="00797694"/>
    <w:rsid w:val="007A07A6"/>
    <w:rsid w:val="007A2157"/>
    <w:rsid w:val="007A595C"/>
    <w:rsid w:val="007A7A7D"/>
    <w:rsid w:val="007B07B7"/>
    <w:rsid w:val="007B4833"/>
    <w:rsid w:val="007B53F4"/>
    <w:rsid w:val="007E175D"/>
    <w:rsid w:val="007E60F2"/>
    <w:rsid w:val="00804F11"/>
    <w:rsid w:val="0083060B"/>
    <w:rsid w:val="00834789"/>
    <w:rsid w:val="00835250"/>
    <w:rsid w:val="00836FD3"/>
    <w:rsid w:val="008529CA"/>
    <w:rsid w:val="00854A8B"/>
    <w:rsid w:val="00855572"/>
    <w:rsid w:val="00862CCB"/>
    <w:rsid w:val="008663E3"/>
    <w:rsid w:val="008663F9"/>
    <w:rsid w:val="00881AA6"/>
    <w:rsid w:val="00885DD4"/>
    <w:rsid w:val="0089680C"/>
    <w:rsid w:val="008A1595"/>
    <w:rsid w:val="008A54F7"/>
    <w:rsid w:val="008B54E4"/>
    <w:rsid w:val="008C1299"/>
    <w:rsid w:val="008C26C6"/>
    <w:rsid w:val="008D593A"/>
    <w:rsid w:val="008D5F47"/>
    <w:rsid w:val="008E286E"/>
    <w:rsid w:val="00920DBD"/>
    <w:rsid w:val="00923E3E"/>
    <w:rsid w:val="009316B4"/>
    <w:rsid w:val="00933EF0"/>
    <w:rsid w:val="00935ED2"/>
    <w:rsid w:val="009402B9"/>
    <w:rsid w:val="00940E93"/>
    <w:rsid w:val="00944EB4"/>
    <w:rsid w:val="00952433"/>
    <w:rsid w:val="00956EF2"/>
    <w:rsid w:val="0096136C"/>
    <w:rsid w:val="00972778"/>
    <w:rsid w:val="009730FC"/>
    <w:rsid w:val="00977D5F"/>
    <w:rsid w:val="00990609"/>
    <w:rsid w:val="00992031"/>
    <w:rsid w:val="00992967"/>
    <w:rsid w:val="00995A52"/>
    <w:rsid w:val="00996E9F"/>
    <w:rsid w:val="009A02AB"/>
    <w:rsid w:val="009A4C91"/>
    <w:rsid w:val="009A5708"/>
    <w:rsid w:val="009A5ADA"/>
    <w:rsid w:val="009B7398"/>
    <w:rsid w:val="009C1673"/>
    <w:rsid w:val="009C3322"/>
    <w:rsid w:val="009E2696"/>
    <w:rsid w:val="009E4287"/>
    <w:rsid w:val="009E491C"/>
    <w:rsid w:val="009F4E67"/>
    <w:rsid w:val="009F7507"/>
    <w:rsid w:val="00A128D9"/>
    <w:rsid w:val="00A3626C"/>
    <w:rsid w:val="00A42E0B"/>
    <w:rsid w:val="00A44AB3"/>
    <w:rsid w:val="00A50513"/>
    <w:rsid w:val="00A56EAC"/>
    <w:rsid w:val="00A60004"/>
    <w:rsid w:val="00A6657C"/>
    <w:rsid w:val="00A73148"/>
    <w:rsid w:val="00AA7DE7"/>
    <w:rsid w:val="00AB6175"/>
    <w:rsid w:val="00AB78DD"/>
    <w:rsid w:val="00AC3F36"/>
    <w:rsid w:val="00AC47D1"/>
    <w:rsid w:val="00AC57A7"/>
    <w:rsid w:val="00AD12BA"/>
    <w:rsid w:val="00AD2FF0"/>
    <w:rsid w:val="00B135C2"/>
    <w:rsid w:val="00B22001"/>
    <w:rsid w:val="00B30462"/>
    <w:rsid w:val="00B3092E"/>
    <w:rsid w:val="00B348E2"/>
    <w:rsid w:val="00B50EEF"/>
    <w:rsid w:val="00B512C3"/>
    <w:rsid w:val="00B54838"/>
    <w:rsid w:val="00B619CB"/>
    <w:rsid w:val="00B65000"/>
    <w:rsid w:val="00B7689B"/>
    <w:rsid w:val="00B76ACB"/>
    <w:rsid w:val="00B809EB"/>
    <w:rsid w:val="00B94D5B"/>
    <w:rsid w:val="00B95400"/>
    <w:rsid w:val="00BA09ED"/>
    <w:rsid w:val="00BA4320"/>
    <w:rsid w:val="00BA68DA"/>
    <w:rsid w:val="00BB3ABB"/>
    <w:rsid w:val="00BB3C08"/>
    <w:rsid w:val="00BB5A4C"/>
    <w:rsid w:val="00BC6B98"/>
    <w:rsid w:val="00BD2DDB"/>
    <w:rsid w:val="00BD4B9F"/>
    <w:rsid w:val="00BF05F8"/>
    <w:rsid w:val="00BF1A54"/>
    <w:rsid w:val="00C23DF8"/>
    <w:rsid w:val="00C2426C"/>
    <w:rsid w:val="00C406EF"/>
    <w:rsid w:val="00C53B06"/>
    <w:rsid w:val="00C559A7"/>
    <w:rsid w:val="00C55B5E"/>
    <w:rsid w:val="00C6751F"/>
    <w:rsid w:val="00C8371F"/>
    <w:rsid w:val="00CB69F1"/>
    <w:rsid w:val="00CB72A3"/>
    <w:rsid w:val="00CC0157"/>
    <w:rsid w:val="00CC6774"/>
    <w:rsid w:val="00CC6823"/>
    <w:rsid w:val="00CD06AA"/>
    <w:rsid w:val="00CD256A"/>
    <w:rsid w:val="00CE22E8"/>
    <w:rsid w:val="00D239D3"/>
    <w:rsid w:val="00D2641F"/>
    <w:rsid w:val="00D30BB2"/>
    <w:rsid w:val="00D312D7"/>
    <w:rsid w:val="00D32CFC"/>
    <w:rsid w:val="00D33409"/>
    <w:rsid w:val="00D3577B"/>
    <w:rsid w:val="00D41F21"/>
    <w:rsid w:val="00D43C37"/>
    <w:rsid w:val="00D56F90"/>
    <w:rsid w:val="00D642BE"/>
    <w:rsid w:val="00D7177D"/>
    <w:rsid w:val="00D745E2"/>
    <w:rsid w:val="00D7489E"/>
    <w:rsid w:val="00D809E7"/>
    <w:rsid w:val="00D86500"/>
    <w:rsid w:val="00DA3458"/>
    <w:rsid w:val="00DA45A1"/>
    <w:rsid w:val="00DB5A15"/>
    <w:rsid w:val="00DC0C83"/>
    <w:rsid w:val="00DC218D"/>
    <w:rsid w:val="00DD34BD"/>
    <w:rsid w:val="00DD64AD"/>
    <w:rsid w:val="00DE1390"/>
    <w:rsid w:val="00DE13BE"/>
    <w:rsid w:val="00DF48D0"/>
    <w:rsid w:val="00E002BF"/>
    <w:rsid w:val="00E04405"/>
    <w:rsid w:val="00E17505"/>
    <w:rsid w:val="00E27222"/>
    <w:rsid w:val="00E34861"/>
    <w:rsid w:val="00E36E2D"/>
    <w:rsid w:val="00E40471"/>
    <w:rsid w:val="00E41AC1"/>
    <w:rsid w:val="00E5214B"/>
    <w:rsid w:val="00E5729B"/>
    <w:rsid w:val="00E60946"/>
    <w:rsid w:val="00E72879"/>
    <w:rsid w:val="00E84F8D"/>
    <w:rsid w:val="00E87DC9"/>
    <w:rsid w:val="00EA4036"/>
    <w:rsid w:val="00EB0AD6"/>
    <w:rsid w:val="00EB0D65"/>
    <w:rsid w:val="00ED6711"/>
    <w:rsid w:val="00ED7345"/>
    <w:rsid w:val="00EF05E1"/>
    <w:rsid w:val="00EF14AC"/>
    <w:rsid w:val="00EF656A"/>
    <w:rsid w:val="00EF6B0B"/>
    <w:rsid w:val="00EF6EF2"/>
    <w:rsid w:val="00F00F23"/>
    <w:rsid w:val="00F027EC"/>
    <w:rsid w:val="00F040A9"/>
    <w:rsid w:val="00F046A3"/>
    <w:rsid w:val="00F0550F"/>
    <w:rsid w:val="00F20D02"/>
    <w:rsid w:val="00F22D8E"/>
    <w:rsid w:val="00F2662B"/>
    <w:rsid w:val="00F32AA2"/>
    <w:rsid w:val="00F432BE"/>
    <w:rsid w:val="00F57FB7"/>
    <w:rsid w:val="00F60B52"/>
    <w:rsid w:val="00F77756"/>
    <w:rsid w:val="00F8454C"/>
    <w:rsid w:val="00F94491"/>
    <w:rsid w:val="00F95EF6"/>
    <w:rsid w:val="00FB2ED6"/>
    <w:rsid w:val="00FB52D0"/>
    <w:rsid w:val="00FB57DA"/>
    <w:rsid w:val="00FE704C"/>
    <w:rsid w:val="00FE73B0"/>
    <w:rsid w:val="00F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982E3E"/>
  <w15:docId w15:val="{2B45D3A3-7FCA-47D4-8A10-0ADF2785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00F23"/>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E8"/>
    <w:pPr>
      <w:ind w:left="720"/>
      <w:contextualSpacing/>
    </w:pPr>
  </w:style>
  <w:style w:type="character" w:styleId="CommentReference">
    <w:name w:val="annotation reference"/>
    <w:basedOn w:val="DefaultParagraphFont"/>
    <w:semiHidden/>
    <w:unhideWhenUsed/>
    <w:rsid w:val="00146801"/>
    <w:rPr>
      <w:sz w:val="16"/>
      <w:szCs w:val="16"/>
    </w:rPr>
  </w:style>
  <w:style w:type="paragraph" w:styleId="CommentText">
    <w:name w:val="annotation text"/>
    <w:basedOn w:val="Normal"/>
    <w:link w:val="CommentTextChar"/>
    <w:semiHidden/>
    <w:unhideWhenUsed/>
    <w:rsid w:val="00146801"/>
    <w:pPr>
      <w:spacing w:line="240" w:lineRule="auto"/>
    </w:pPr>
    <w:rPr>
      <w:sz w:val="20"/>
      <w:szCs w:val="20"/>
    </w:rPr>
  </w:style>
  <w:style w:type="character" w:customStyle="1" w:styleId="CommentTextChar">
    <w:name w:val="Comment Text Char"/>
    <w:basedOn w:val="DefaultParagraphFont"/>
    <w:link w:val="CommentText"/>
    <w:semiHidden/>
    <w:rsid w:val="00146801"/>
    <w:rPr>
      <w:sz w:val="20"/>
      <w:szCs w:val="20"/>
    </w:rPr>
  </w:style>
  <w:style w:type="paragraph" w:styleId="CommentSubject">
    <w:name w:val="annotation subject"/>
    <w:basedOn w:val="CommentText"/>
    <w:next w:val="CommentText"/>
    <w:link w:val="CommentSubjectChar"/>
    <w:uiPriority w:val="99"/>
    <w:semiHidden/>
    <w:unhideWhenUsed/>
    <w:rsid w:val="00146801"/>
    <w:rPr>
      <w:b/>
      <w:bCs/>
    </w:rPr>
  </w:style>
  <w:style w:type="character" w:customStyle="1" w:styleId="CommentSubjectChar">
    <w:name w:val="Comment Subject Char"/>
    <w:basedOn w:val="CommentTextChar"/>
    <w:link w:val="CommentSubject"/>
    <w:uiPriority w:val="99"/>
    <w:semiHidden/>
    <w:rsid w:val="00146801"/>
    <w:rPr>
      <w:b/>
      <w:bCs/>
      <w:sz w:val="20"/>
      <w:szCs w:val="20"/>
    </w:rPr>
  </w:style>
  <w:style w:type="paragraph" w:styleId="BalloonText">
    <w:name w:val="Balloon Text"/>
    <w:basedOn w:val="Normal"/>
    <w:link w:val="BalloonTextChar"/>
    <w:uiPriority w:val="99"/>
    <w:semiHidden/>
    <w:unhideWhenUsed/>
    <w:rsid w:val="0014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01"/>
    <w:rPr>
      <w:rFonts w:ascii="Tahoma" w:hAnsi="Tahoma" w:cs="Tahoma"/>
      <w:sz w:val="16"/>
      <w:szCs w:val="16"/>
    </w:rPr>
  </w:style>
  <w:style w:type="paragraph" w:customStyle="1" w:styleId="Default">
    <w:name w:val="Default"/>
    <w:rsid w:val="008C26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D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7DA"/>
    <w:rPr>
      <w:b/>
      <w:bCs/>
    </w:rPr>
  </w:style>
  <w:style w:type="character" w:styleId="FootnoteReference">
    <w:name w:val="footnote reference"/>
    <w:aliases w:val="fr"/>
    <w:basedOn w:val="DefaultParagraphFont"/>
    <w:uiPriority w:val="99"/>
    <w:rsid w:val="00FB57DA"/>
    <w:rPr>
      <w:rFonts w:cs="Times New Roman"/>
      <w:vertAlign w:val="superscript"/>
    </w:rPr>
  </w:style>
  <w:style w:type="paragraph" w:styleId="NormalWeb">
    <w:name w:val="Normal (Web)"/>
    <w:basedOn w:val="Normal"/>
    <w:uiPriority w:val="99"/>
    <w:unhideWhenUsed/>
    <w:rsid w:val="00FB57DA"/>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595C"/>
    <w:rPr>
      <w:color w:val="0000FF" w:themeColor="hyperlink"/>
      <w:u w:val="single"/>
    </w:rPr>
  </w:style>
  <w:style w:type="character" w:customStyle="1" w:styleId="Heading2Char">
    <w:name w:val="Heading 2 Char"/>
    <w:basedOn w:val="DefaultParagraphFont"/>
    <w:link w:val="Heading2"/>
    <w:uiPriority w:val="9"/>
    <w:rsid w:val="00F00F23"/>
    <w:rPr>
      <w:rFonts w:ascii="Times New Roman" w:eastAsiaTheme="majorEastAsia" w:hAnsi="Times New Roman" w:cstheme="majorBidi"/>
      <w:b/>
      <w:bCs/>
      <w:sz w:val="24"/>
      <w:szCs w:val="26"/>
    </w:rPr>
  </w:style>
  <w:style w:type="paragraph" w:styleId="Footer">
    <w:name w:val="footer"/>
    <w:basedOn w:val="Normal"/>
    <w:link w:val="FooterChar"/>
    <w:rsid w:val="004270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270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Scruton, Karen M. (ATSDR/DHAC/EISAB)</dc:creator>
  <cp:lastModifiedBy>NCEH/ATSDR Office of Science</cp:lastModifiedBy>
  <cp:revision>28</cp:revision>
  <cp:lastPrinted>2016-11-09T19:07:00Z</cp:lastPrinted>
  <dcterms:created xsi:type="dcterms:W3CDTF">2021-06-27T01:19:00Z</dcterms:created>
  <dcterms:modified xsi:type="dcterms:W3CDTF">2021-07-10T00:43:00Z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2021-06-27T01:19:02Z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9707c445-5baa-48b4-b2f6-8c34733751bc</vt:lpwstr>
  </property>
  <property fmtid="{D5CDD505-2E9C-101B-9397-08002B2CF9AE}" pid="8" name="MSIP_Label_7b94a7b8-f06c-4dfe-bdcc-9b548fd58c31_ContentBits">
    <vt:lpwstr>0</vt:lpwstr>
  </property>
</Properties>
</file>