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73E" w:rsidR="008544D1" w:rsidP="003D773E" w:rsidRDefault="008544D1" w14:paraId="5CD073B4" w14:textId="77777777">
      <w:pPr>
        <w:rPr>
          <w:sz w:val="20"/>
          <w:szCs w:val="20"/>
        </w:rPr>
      </w:pPr>
    </w:p>
    <w:p w:rsidR="008544D1" w:rsidP="008544D1" w:rsidRDefault="008544D1" w14:paraId="43F395F5" w14:textId="77777777">
      <w:pPr>
        <w:jc w:val="center"/>
        <w:rPr>
          <w:b/>
        </w:rPr>
      </w:pPr>
    </w:p>
    <w:p w:rsidRPr="00BC290E" w:rsidR="00BC290E" w:rsidP="008544D1" w:rsidRDefault="00573548" w14:paraId="344DA06E" w14:textId="18545B1F">
      <w:pPr>
        <w:jc w:val="center"/>
        <w:rPr>
          <w:b/>
          <w:sz w:val="40"/>
          <w:szCs w:val="40"/>
        </w:rPr>
      </w:pPr>
      <w:r>
        <w:rPr>
          <w:b/>
          <w:sz w:val="40"/>
          <w:szCs w:val="40"/>
        </w:rPr>
        <w:t>Supplemental Exposure Investigation (EI) at Select PFAS Exposure Assessment Sites</w:t>
      </w:r>
    </w:p>
    <w:p w:rsidR="00BC290E" w:rsidP="008544D1" w:rsidRDefault="00BC290E" w14:paraId="21107B32" w14:textId="77777777">
      <w:pPr>
        <w:jc w:val="center"/>
      </w:pPr>
    </w:p>
    <w:p w:rsidR="00BC290E" w:rsidP="008544D1" w:rsidRDefault="00BC290E" w14:paraId="105301D6" w14:textId="77777777">
      <w:pPr>
        <w:jc w:val="center"/>
      </w:pPr>
      <w:r w:rsidRPr="00BC290E">
        <w:t>ATSDR</w:t>
      </w:r>
      <w:r>
        <w:t xml:space="preserve"> Exposure Investigations (EI) Generic Information Collection Request</w:t>
      </w:r>
    </w:p>
    <w:p w:rsidRPr="00BC290E" w:rsidR="00BC290E" w:rsidP="008544D1" w:rsidRDefault="00BC290E" w14:paraId="5B7A2BF5" w14:textId="77777777">
      <w:pPr>
        <w:jc w:val="center"/>
      </w:pPr>
      <w:r>
        <w:t xml:space="preserve">OMB No. </w:t>
      </w:r>
      <w:r w:rsidR="008E4769">
        <w:rPr>
          <w:color w:val="000000"/>
        </w:rPr>
        <w:t>0923-0048</w:t>
      </w:r>
    </w:p>
    <w:p w:rsidRPr="00EC4AE2" w:rsidR="00BC290E" w:rsidP="008544D1" w:rsidRDefault="00BD6895" w14:paraId="78F53F33" w14:textId="2D6C453B">
      <w:pPr>
        <w:jc w:val="center"/>
      </w:pPr>
      <w:r>
        <w:rPr>
          <w:color w:val="000000"/>
        </w:rPr>
        <w:t>Expiration Date</w:t>
      </w:r>
      <w:r w:rsidR="004C00CE">
        <w:rPr>
          <w:color w:val="000000"/>
        </w:rPr>
        <w:t>:</w:t>
      </w:r>
      <w:r>
        <w:rPr>
          <w:color w:val="000000"/>
        </w:rPr>
        <w:t xml:space="preserve"> </w:t>
      </w:r>
      <w:r w:rsidR="00573548">
        <w:rPr>
          <w:color w:val="000000"/>
        </w:rPr>
        <w:t>04/30/2022</w:t>
      </w:r>
    </w:p>
    <w:p w:rsidR="00BC290E" w:rsidP="008544D1" w:rsidRDefault="00BC290E" w14:paraId="738688A0" w14:textId="77777777">
      <w:pPr>
        <w:jc w:val="center"/>
        <w:rPr>
          <w:b/>
        </w:rPr>
      </w:pPr>
    </w:p>
    <w:p w:rsidR="00BC290E" w:rsidP="008544D1" w:rsidRDefault="00BC290E" w14:paraId="0B346122" w14:textId="77777777">
      <w:pPr>
        <w:jc w:val="center"/>
        <w:rPr>
          <w:b/>
        </w:rPr>
      </w:pPr>
    </w:p>
    <w:p w:rsidR="00380EA1" w:rsidP="008544D1" w:rsidRDefault="008544D1" w14:paraId="737F0454" w14:textId="77777777">
      <w:pPr>
        <w:jc w:val="center"/>
        <w:rPr>
          <w:b/>
        </w:rPr>
      </w:pPr>
      <w:r>
        <w:rPr>
          <w:b/>
        </w:rPr>
        <w:t xml:space="preserve">Supporting Statement </w:t>
      </w:r>
      <w:proofErr w:type="gramStart"/>
      <w:r w:rsidR="00BC290E">
        <w:rPr>
          <w:b/>
        </w:rPr>
        <w:t>Part</w:t>
      </w:r>
      <w:proofErr w:type="gramEnd"/>
      <w:r w:rsidR="00BC290E">
        <w:rPr>
          <w:b/>
        </w:rPr>
        <w:t xml:space="preserve"> A</w:t>
      </w:r>
      <w:r w:rsidR="00016C0E">
        <w:rPr>
          <w:b/>
        </w:rPr>
        <w:t xml:space="preserve"> </w:t>
      </w:r>
    </w:p>
    <w:p w:rsidR="008544D1" w:rsidP="008544D1" w:rsidRDefault="008544D1" w14:paraId="6AD60672" w14:textId="77777777">
      <w:pPr>
        <w:jc w:val="center"/>
        <w:rPr>
          <w:b/>
        </w:rPr>
      </w:pPr>
    </w:p>
    <w:p w:rsidR="008544D1" w:rsidP="008544D1" w:rsidRDefault="008544D1" w14:paraId="2FC22E0A" w14:textId="77777777">
      <w:pPr>
        <w:jc w:val="center"/>
        <w:rPr>
          <w:b/>
        </w:rPr>
      </w:pPr>
    </w:p>
    <w:p w:rsidR="008544D1" w:rsidP="008544D1" w:rsidRDefault="00BC290E" w14:paraId="476CFB64" w14:textId="5C24366D">
      <w:pPr>
        <w:jc w:val="center"/>
        <w:rPr>
          <w:b/>
        </w:rPr>
      </w:pPr>
      <w:r>
        <w:rPr>
          <w:b/>
        </w:rPr>
        <w:t>Submitted</w:t>
      </w:r>
      <w:r w:rsidR="00230A57">
        <w:rPr>
          <w:b/>
        </w:rPr>
        <w:t xml:space="preserve"> July </w:t>
      </w:r>
      <w:r w:rsidR="00950EAE">
        <w:rPr>
          <w:b/>
        </w:rPr>
        <w:t>9</w:t>
      </w:r>
      <w:r w:rsidR="00573548">
        <w:rPr>
          <w:b/>
        </w:rPr>
        <w:t>, 2021</w:t>
      </w:r>
    </w:p>
    <w:p w:rsidR="00583F53" w:rsidP="008544D1" w:rsidRDefault="00583F53" w14:paraId="3AF5094A" w14:textId="77777777">
      <w:pPr>
        <w:jc w:val="center"/>
        <w:rPr>
          <w:b/>
        </w:rPr>
      </w:pPr>
    </w:p>
    <w:p w:rsidR="00583F53" w:rsidP="00584A53" w:rsidRDefault="00583F53" w14:paraId="65722D2E" w14:textId="77777777">
      <w:pPr>
        <w:rPr>
          <w:b/>
        </w:rPr>
      </w:pPr>
    </w:p>
    <w:p w:rsidR="00583F53" w:rsidP="008544D1" w:rsidRDefault="00583F53" w14:paraId="683C1A9F" w14:textId="77777777">
      <w:pPr>
        <w:jc w:val="center"/>
        <w:rPr>
          <w:b/>
        </w:rPr>
      </w:pPr>
    </w:p>
    <w:p w:rsidR="00C84428" w:rsidP="00C84428" w:rsidRDefault="00573548" w14:paraId="64D62897" w14:textId="5AC3E3AF">
      <w:pPr>
        <w:jc w:val="center"/>
      </w:pPr>
      <w:r>
        <w:t>Exposure Investigation</w:t>
      </w:r>
      <w:r w:rsidR="00C84428">
        <w:t xml:space="preserve"> </w:t>
      </w:r>
      <w:r w:rsidR="00A67DC9">
        <w:t>Section</w:t>
      </w:r>
    </w:p>
    <w:p w:rsidR="00583F53" w:rsidP="00C84428" w:rsidRDefault="00573548" w14:paraId="06E0191A" w14:textId="2EF7CA72">
      <w:pPr>
        <w:jc w:val="center"/>
      </w:pPr>
      <w:r>
        <w:t>Office of Community Health and Hazard Assessment (OCHHA</w:t>
      </w:r>
      <w:r w:rsidR="00C84428">
        <w:t>)</w:t>
      </w:r>
    </w:p>
    <w:p w:rsidRPr="007A429D" w:rsidR="00C84428" w:rsidP="00C84428" w:rsidRDefault="00C84428" w14:paraId="5E2FB1AA" w14:textId="77777777">
      <w:pPr>
        <w:jc w:val="center"/>
      </w:pPr>
      <w:r>
        <w:t>Agency for Toxic Substances and Disease Registry (ATSDR)</w:t>
      </w:r>
    </w:p>
    <w:p w:rsidR="005856AA" w:rsidP="00583F53" w:rsidRDefault="005856AA" w14:paraId="66BFC1F0" w14:textId="77777777">
      <w:pPr>
        <w:rPr>
          <w:b/>
        </w:rPr>
      </w:pPr>
    </w:p>
    <w:p w:rsidR="00583F53" w:rsidP="00583F53" w:rsidRDefault="00583F53" w14:paraId="658005B4" w14:textId="77777777">
      <w:pPr>
        <w:rPr>
          <w:b/>
        </w:rPr>
      </w:pPr>
    </w:p>
    <w:p w:rsidR="00DE30C6" w:rsidP="00C84428" w:rsidRDefault="00DE30C6" w14:paraId="176E238D" w14:textId="77777777">
      <w:pPr>
        <w:tabs>
          <w:tab w:val="left" w:pos="1545"/>
        </w:tabs>
        <w:rPr>
          <w:b/>
        </w:rPr>
      </w:pPr>
    </w:p>
    <w:p w:rsidR="00DE30C6" w:rsidP="00C84428" w:rsidRDefault="00DE30C6" w14:paraId="7756A1E0" w14:textId="77777777">
      <w:pPr>
        <w:tabs>
          <w:tab w:val="left" w:pos="1545"/>
        </w:tabs>
        <w:rPr>
          <w:b/>
        </w:rPr>
      </w:pPr>
    </w:p>
    <w:p w:rsidR="00DE30C6" w:rsidP="00C84428" w:rsidRDefault="00DE30C6" w14:paraId="518CFD6B" w14:textId="77777777">
      <w:pPr>
        <w:tabs>
          <w:tab w:val="left" w:pos="1545"/>
        </w:tabs>
        <w:rPr>
          <w:b/>
        </w:rPr>
      </w:pPr>
    </w:p>
    <w:p w:rsidR="00DE30C6" w:rsidP="00C84428" w:rsidRDefault="00DE30C6" w14:paraId="28E2D334" w14:textId="77777777">
      <w:pPr>
        <w:tabs>
          <w:tab w:val="left" w:pos="1545"/>
        </w:tabs>
        <w:rPr>
          <w:b/>
        </w:rPr>
      </w:pPr>
    </w:p>
    <w:p w:rsidR="00DE30C6" w:rsidP="00C84428" w:rsidRDefault="00DE30C6" w14:paraId="20CD49DC" w14:textId="77777777">
      <w:pPr>
        <w:tabs>
          <w:tab w:val="left" w:pos="1545"/>
        </w:tabs>
        <w:rPr>
          <w:b/>
        </w:rPr>
      </w:pPr>
    </w:p>
    <w:p w:rsidR="00DE30C6" w:rsidP="00C84428" w:rsidRDefault="00DE30C6" w14:paraId="0A92BA6F" w14:textId="77777777">
      <w:pPr>
        <w:tabs>
          <w:tab w:val="left" w:pos="1545"/>
        </w:tabs>
        <w:rPr>
          <w:b/>
        </w:rPr>
      </w:pPr>
    </w:p>
    <w:p w:rsidR="00DE30C6" w:rsidP="00C84428" w:rsidRDefault="00DE30C6" w14:paraId="3A06F92F" w14:textId="77777777">
      <w:pPr>
        <w:tabs>
          <w:tab w:val="left" w:pos="1545"/>
        </w:tabs>
        <w:rPr>
          <w:b/>
        </w:rPr>
      </w:pPr>
    </w:p>
    <w:p w:rsidR="00DE30C6" w:rsidP="00C84428" w:rsidRDefault="00DE30C6" w14:paraId="38925724" w14:textId="77777777">
      <w:pPr>
        <w:tabs>
          <w:tab w:val="left" w:pos="1545"/>
        </w:tabs>
        <w:rPr>
          <w:b/>
        </w:rPr>
      </w:pPr>
    </w:p>
    <w:p w:rsidR="00DE30C6" w:rsidP="00C84428" w:rsidRDefault="00DE30C6" w14:paraId="6125DC77" w14:textId="77777777">
      <w:pPr>
        <w:tabs>
          <w:tab w:val="left" w:pos="1545"/>
        </w:tabs>
        <w:rPr>
          <w:b/>
        </w:rPr>
      </w:pPr>
    </w:p>
    <w:p w:rsidR="00DE30C6" w:rsidP="00C84428" w:rsidRDefault="00DE30C6" w14:paraId="048799A6" w14:textId="77777777">
      <w:pPr>
        <w:tabs>
          <w:tab w:val="left" w:pos="1545"/>
        </w:tabs>
        <w:rPr>
          <w:b/>
        </w:rPr>
      </w:pPr>
    </w:p>
    <w:p w:rsidR="00DE30C6" w:rsidP="00C84428" w:rsidRDefault="00DE30C6" w14:paraId="611E35AB" w14:textId="77777777">
      <w:pPr>
        <w:tabs>
          <w:tab w:val="left" w:pos="1545"/>
        </w:tabs>
        <w:rPr>
          <w:b/>
        </w:rPr>
      </w:pPr>
    </w:p>
    <w:p w:rsidRPr="00C84428" w:rsidR="00C84428" w:rsidP="00C84428" w:rsidRDefault="00C84428" w14:paraId="7B67AB58" w14:textId="77777777">
      <w:pPr>
        <w:tabs>
          <w:tab w:val="left" w:pos="1545"/>
        </w:tabs>
        <w:rPr>
          <w:b/>
        </w:rPr>
      </w:pPr>
      <w:r w:rsidRPr="00C84428">
        <w:rPr>
          <w:b/>
        </w:rPr>
        <w:t>Program Official:</w:t>
      </w:r>
    </w:p>
    <w:p w:rsidR="00C84428" w:rsidP="00C84428" w:rsidRDefault="00CC027D" w14:paraId="532550D2" w14:textId="77777777">
      <w:pPr>
        <w:autoSpaceDE w:val="0"/>
        <w:autoSpaceDN w:val="0"/>
        <w:adjustRightInd w:val="0"/>
        <w:ind w:left="720"/>
      </w:pPr>
      <w:r>
        <w:t>Peter J. Kowalski</w:t>
      </w:r>
      <w:r w:rsidR="00C84428">
        <w:t>, M</w:t>
      </w:r>
      <w:r>
        <w:t>PH</w:t>
      </w:r>
      <w:r w:rsidR="00C84428">
        <w:t xml:space="preserve">, </w:t>
      </w:r>
      <w:r>
        <w:t>CI</w:t>
      </w:r>
      <w:r w:rsidR="00C84428">
        <w:t>H</w:t>
      </w:r>
    </w:p>
    <w:p w:rsidR="00C84428" w:rsidP="00C84428" w:rsidRDefault="00C84428" w14:paraId="599A59E2" w14:textId="517463F6">
      <w:pPr>
        <w:autoSpaceDE w:val="0"/>
        <w:autoSpaceDN w:val="0"/>
        <w:adjustRightInd w:val="0"/>
        <w:ind w:left="720"/>
      </w:pPr>
      <w:r>
        <w:t xml:space="preserve">Lead, Exposure Investigations </w:t>
      </w:r>
      <w:r w:rsidR="00750F44">
        <w:t>Group</w:t>
      </w:r>
    </w:p>
    <w:p w:rsidR="00C84428" w:rsidP="00C84428" w:rsidRDefault="00750F44" w14:paraId="23DB75D0" w14:textId="48E2471D">
      <w:pPr>
        <w:autoSpaceDE w:val="0"/>
        <w:autoSpaceDN w:val="0"/>
        <w:adjustRightInd w:val="0"/>
        <w:ind w:left="720"/>
      </w:pPr>
      <w:r>
        <w:t>Office of Community Health and Hazard Assessment</w:t>
      </w:r>
    </w:p>
    <w:p w:rsidR="00C84428" w:rsidP="00C84428" w:rsidRDefault="00C84428" w14:paraId="354377F1" w14:textId="77777777">
      <w:pPr>
        <w:autoSpaceDE w:val="0"/>
        <w:autoSpaceDN w:val="0"/>
        <w:adjustRightInd w:val="0"/>
        <w:ind w:left="720"/>
      </w:pPr>
      <w:r>
        <w:t>Agency for Toxic Substances and Disease Registry</w:t>
      </w:r>
    </w:p>
    <w:p w:rsidR="00C84428" w:rsidP="00C84428" w:rsidRDefault="00C84428" w14:paraId="785D280C" w14:textId="77777777">
      <w:pPr>
        <w:autoSpaceDE w:val="0"/>
        <w:autoSpaceDN w:val="0"/>
        <w:adjustRightInd w:val="0"/>
        <w:ind w:left="720"/>
        <w:rPr>
          <w:szCs w:val="20"/>
        </w:rPr>
      </w:pPr>
      <w:r>
        <w:rPr>
          <w:szCs w:val="20"/>
        </w:rPr>
        <w:t>4770 Buford Hwy NE, MS F59</w:t>
      </w:r>
      <w:r>
        <w:rPr>
          <w:szCs w:val="20"/>
        </w:rPr>
        <w:br/>
        <w:t>Atlanta, GA 30341</w:t>
      </w:r>
    </w:p>
    <w:p w:rsidR="00C84428" w:rsidP="00C84428" w:rsidRDefault="00C84428" w14:paraId="28D649D9" w14:textId="77777777">
      <w:pPr>
        <w:autoSpaceDE w:val="0"/>
        <w:autoSpaceDN w:val="0"/>
        <w:adjustRightInd w:val="0"/>
        <w:ind w:left="720"/>
      </w:pPr>
      <w:r>
        <w:t>Phone: 770-488-</w:t>
      </w:r>
      <w:r w:rsidR="00CC027D">
        <w:t>0776</w:t>
      </w:r>
    </w:p>
    <w:p w:rsidR="00C84428" w:rsidP="00C84428" w:rsidRDefault="00C84428" w14:paraId="3FDBDC7A" w14:textId="77777777">
      <w:pPr>
        <w:autoSpaceDE w:val="0"/>
        <w:autoSpaceDN w:val="0"/>
        <w:adjustRightInd w:val="0"/>
        <w:ind w:left="720"/>
      </w:pPr>
      <w:r>
        <w:t>Fax:  770-488-1542</w:t>
      </w:r>
    </w:p>
    <w:p w:rsidR="001142C7" w:rsidP="00AB317D" w:rsidRDefault="00C84428" w14:paraId="3141521E" w14:textId="521D0F1A">
      <w:pPr>
        <w:autoSpaceDE w:val="0"/>
        <w:autoSpaceDN w:val="0"/>
        <w:adjustRightInd w:val="0"/>
        <w:ind w:firstLine="720"/>
        <w:rPr>
          <w:b/>
          <w:color w:val="1F497D" w:themeColor="text2"/>
        </w:rPr>
      </w:pPr>
      <w:r>
        <w:t xml:space="preserve">Email: </w:t>
      </w:r>
      <w:hyperlink w:history="1" r:id="rId8">
        <w:r w:rsidRPr="00CC027D" w:rsidR="00CC027D">
          <w:rPr>
            <w:rStyle w:val="Hyperlink"/>
          </w:rPr>
          <w:t>PKowalski@cdc.gov</w:t>
        </w:r>
      </w:hyperlink>
      <w:r w:rsidR="00FD74D2">
        <w:rPr>
          <w:b/>
          <w:color w:val="1F497D" w:themeColor="text2"/>
        </w:rPr>
        <w:br w:type="page"/>
      </w:r>
    </w:p>
    <w:p w:rsidR="001142C7" w:rsidP="00AB317D" w:rsidRDefault="001142C7" w14:paraId="1850B336" w14:textId="77777777">
      <w:pPr>
        <w:autoSpaceDE w:val="0"/>
        <w:autoSpaceDN w:val="0"/>
        <w:adjustRightInd w:val="0"/>
        <w:rPr>
          <w:b/>
          <w:color w:val="1F497D" w:themeColor="text2"/>
        </w:rPr>
      </w:pPr>
    </w:p>
    <w:sdt>
      <w:sdtPr>
        <w:rPr>
          <w:rFonts w:ascii="Times New Roman" w:hAnsi="Times New Roman" w:eastAsia="Times New Roman" w:cs="Times New Roman"/>
          <w:b w:val="0"/>
          <w:bCs w:val="0"/>
          <w:color w:val="auto"/>
          <w:sz w:val="24"/>
          <w:szCs w:val="24"/>
        </w:rPr>
        <w:id w:val="-145825428"/>
        <w:docPartObj>
          <w:docPartGallery w:val="Table of Contents"/>
          <w:docPartUnique/>
        </w:docPartObj>
      </w:sdtPr>
      <w:sdtEndPr>
        <w:rPr>
          <w:noProof/>
        </w:rPr>
      </w:sdtEndPr>
      <w:sdtContent>
        <w:p w:rsidR="00923C00" w:rsidRDefault="00923C00" w14:paraId="7152AB72" w14:textId="44E49455">
          <w:pPr>
            <w:pStyle w:val="TOCHeading"/>
          </w:pPr>
          <w:r>
            <w:t>Table of Contents</w:t>
          </w:r>
        </w:p>
        <w:p w:rsidR="00923C00" w:rsidRDefault="00923C00" w14:paraId="79CAE9F4" w14:textId="78B48759">
          <w:pPr>
            <w:pStyle w:val="TOC1"/>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76650781">
            <w:r w:rsidRPr="00C56C8C">
              <w:rPr>
                <w:rStyle w:val="Hyperlink"/>
                <w:noProof/>
              </w:rPr>
              <w:t>A. Justification</w:t>
            </w:r>
            <w:r>
              <w:rPr>
                <w:noProof/>
                <w:webHidden/>
              </w:rPr>
              <w:tab/>
            </w:r>
            <w:r>
              <w:rPr>
                <w:noProof/>
                <w:webHidden/>
              </w:rPr>
              <w:fldChar w:fldCharType="begin"/>
            </w:r>
            <w:r>
              <w:rPr>
                <w:noProof/>
                <w:webHidden/>
              </w:rPr>
              <w:instrText xml:space="preserve"> PAGEREF _Toc76650781 \h </w:instrText>
            </w:r>
            <w:r>
              <w:rPr>
                <w:noProof/>
                <w:webHidden/>
              </w:rPr>
            </w:r>
            <w:r>
              <w:rPr>
                <w:noProof/>
                <w:webHidden/>
              </w:rPr>
              <w:fldChar w:fldCharType="separate"/>
            </w:r>
            <w:r w:rsidR="002501C1">
              <w:rPr>
                <w:noProof/>
                <w:webHidden/>
              </w:rPr>
              <w:t>4</w:t>
            </w:r>
            <w:r>
              <w:rPr>
                <w:noProof/>
                <w:webHidden/>
              </w:rPr>
              <w:fldChar w:fldCharType="end"/>
            </w:r>
          </w:hyperlink>
        </w:p>
        <w:p w:rsidR="00923C00" w:rsidRDefault="00D46AE6" w14:paraId="787E2834" w14:textId="51A44D38">
          <w:pPr>
            <w:pStyle w:val="TOC2"/>
            <w:rPr>
              <w:rFonts w:asciiTheme="minorHAnsi" w:hAnsiTheme="minorHAnsi" w:cstheme="minorBidi"/>
              <w:bCs w:val="0"/>
              <w:sz w:val="22"/>
              <w:szCs w:val="22"/>
            </w:rPr>
          </w:pPr>
          <w:hyperlink w:history="1" w:anchor="_Toc76650782">
            <w:r w:rsidRPr="00C56C8C" w:rsidR="00923C00">
              <w:rPr>
                <w:rStyle w:val="Hyperlink"/>
              </w:rPr>
              <w:t>A.1 Circumstances Making the Collection of Information Necessary</w:t>
            </w:r>
            <w:r w:rsidR="00923C00">
              <w:rPr>
                <w:webHidden/>
              </w:rPr>
              <w:tab/>
            </w:r>
            <w:r w:rsidR="00923C00">
              <w:rPr>
                <w:webHidden/>
              </w:rPr>
              <w:fldChar w:fldCharType="begin"/>
            </w:r>
            <w:r w:rsidR="00923C00">
              <w:rPr>
                <w:webHidden/>
              </w:rPr>
              <w:instrText xml:space="preserve"> PAGEREF _Toc76650782 \h </w:instrText>
            </w:r>
            <w:r w:rsidR="00923C00">
              <w:rPr>
                <w:webHidden/>
              </w:rPr>
            </w:r>
            <w:r w:rsidR="00923C00">
              <w:rPr>
                <w:webHidden/>
              </w:rPr>
              <w:fldChar w:fldCharType="separate"/>
            </w:r>
            <w:r w:rsidR="002501C1">
              <w:rPr>
                <w:webHidden/>
              </w:rPr>
              <w:t>4</w:t>
            </w:r>
            <w:r w:rsidR="00923C00">
              <w:rPr>
                <w:webHidden/>
              </w:rPr>
              <w:fldChar w:fldCharType="end"/>
            </w:r>
          </w:hyperlink>
        </w:p>
        <w:p w:rsidR="00923C00" w:rsidRDefault="00D46AE6" w14:paraId="1AD948C1" w14:textId="4A81B200">
          <w:pPr>
            <w:pStyle w:val="TOC2"/>
            <w:rPr>
              <w:rFonts w:asciiTheme="minorHAnsi" w:hAnsiTheme="minorHAnsi" w:cstheme="minorBidi"/>
              <w:bCs w:val="0"/>
              <w:sz w:val="22"/>
              <w:szCs w:val="22"/>
            </w:rPr>
          </w:pPr>
          <w:hyperlink w:history="1" w:anchor="_Toc76650783">
            <w:r w:rsidRPr="00C56C8C" w:rsidR="00923C00">
              <w:rPr>
                <w:rStyle w:val="Hyperlink"/>
              </w:rPr>
              <w:t>A.2. Purpose and Use of Information Collection</w:t>
            </w:r>
            <w:r w:rsidR="00923C00">
              <w:rPr>
                <w:webHidden/>
              </w:rPr>
              <w:tab/>
            </w:r>
            <w:r w:rsidR="00923C00">
              <w:rPr>
                <w:webHidden/>
              </w:rPr>
              <w:fldChar w:fldCharType="begin"/>
            </w:r>
            <w:r w:rsidR="00923C00">
              <w:rPr>
                <w:webHidden/>
              </w:rPr>
              <w:instrText xml:space="preserve"> PAGEREF _Toc76650783 \h </w:instrText>
            </w:r>
            <w:r w:rsidR="00923C00">
              <w:rPr>
                <w:webHidden/>
              </w:rPr>
            </w:r>
            <w:r w:rsidR="00923C00">
              <w:rPr>
                <w:webHidden/>
              </w:rPr>
              <w:fldChar w:fldCharType="separate"/>
            </w:r>
            <w:r w:rsidR="002501C1">
              <w:rPr>
                <w:webHidden/>
              </w:rPr>
              <w:t>6</w:t>
            </w:r>
            <w:r w:rsidR="00923C00">
              <w:rPr>
                <w:webHidden/>
              </w:rPr>
              <w:fldChar w:fldCharType="end"/>
            </w:r>
          </w:hyperlink>
        </w:p>
        <w:p w:rsidR="00923C00" w:rsidRDefault="00D46AE6" w14:paraId="1CC8E351" w14:textId="17D6E6CB">
          <w:pPr>
            <w:pStyle w:val="TOC2"/>
            <w:rPr>
              <w:rFonts w:asciiTheme="minorHAnsi" w:hAnsiTheme="minorHAnsi" w:cstheme="minorBidi"/>
              <w:bCs w:val="0"/>
              <w:sz w:val="22"/>
              <w:szCs w:val="22"/>
            </w:rPr>
          </w:pPr>
          <w:hyperlink w:history="1" w:anchor="_Toc76650784">
            <w:r w:rsidRPr="00C56C8C" w:rsidR="00923C00">
              <w:rPr>
                <w:rStyle w:val="Hyperlink"/>
              </w:rPr>
              <w:t>A.3. Use of Improved Information Technology and Burden Reduction</w:t>
            </w:r>
            <w:r w:rsidR="00923C00">
              <w:rPr>
                <w:webHidden/>
              </w:rPr>
              <w:tab/>
            </w:r>
            <w:r w:rsidR="00923C00">
              <w:rPr>
                <w:webHidden/>
              </w:rPr>
              <w:fldChar w:fldCharType="begin"/>
            </w:r>
            <w:r w:rsidR="00923C00">
              <w:rPr>
                <w:webHidden/>
              </w:rPr>
              <w:instrText xml:space="preserve"> PAGEREF _Toc76650784 \h </w:instrText>
            </w:r>
            <w:r w:rsidR="00923C00">
              <w:rPr>
                <w:webHidden/>
              </w:rPr>
            </w:r>
            <w:r w:rsidR="00923C00">
              <w:rPr>
                <w:webHidden/>
              </w:rPr>
              <w:fldChar w:fldCharType="separate"/>
            </w:r>
            <w:r w:rsidR="002501C1">
              <w:rPr>
                <w:webHidden/>
              </w:rPr>
              <w:t>6</w:t>
            </w:r>
            <w:r w:rsidR="00923C00">
              <w:rPr>
                <w:webHidden/>
              </w:rPr>
              <w:fldChar w:fldCharType="end"/>
            </w:r>
          </w:hyperlink>
        </w:p>
        <w:p w:rsidR="00923C00" w:rsidRDefault="00D46AE6" w14:paraId="61C54DAD" w14:textId="528FFCB9">
          <w:pPr>
            <w:pStyle w:val="TOC2"/>
            <w:rPr>
              <w:rFonts w:asciiTheme="minorHAnsi" w:hAnsiTheme="minorHAnsi" w:cstheme="minorBidi"/>
              <w:bCs w:val="0"/>
              <w:sz w:val="22"/>
              <w:szCs w:val="22"/>
            </w:rPr>
          </w:pPr>
          <w:hyperlink w:history="1" w:anchor="_Toc76650785">
            <w:r w:rsidRPr="00C56C8C" w:rsidR="00923C00">
              <w:rPr>
                <w:rStyle w:val="Hyperlink"/>
              </w:rPr>
              <w:t>A.4. Efforts to Identify Duplication and Use of Similar Information</w:t>
            </w:r>
            <w:r w:rsidR="00923C00">
              <w:rPr>
                <w:webHidden/>
              </w:rPr>
              <w:tab/>
            </w:r>
            <w:r w:rsidR="00923C00">
              <w:rPr>
                <w:webHidden/>
              </w:rPr>
              <w:fldChar w:fldCharType="begin"/>
            </w:r>
            <w:r w:rsidR="00923C00">
              <w:rPr>
                <w:webHidden/>
              </w:rPr>
              <w:instrText xml:space="preserve"> PAGEREF _Toc76650785 \h </w:instrText>
            </w:r>
            <w:r w:rsidR="00923C00">
              <w:rPr>
                <w:webHidden/>
              </w:rPr>
            </w:r>
            <w:r w:rsidR="00923C00">
              <w:rPr>
                <w:webHidden/>
              </w:rPr>
              <w:fldChar w:fldCharType="separate"/>
            </w:r>
            <w:r w:rsidR="002501C1">
              <w:rPr>
                <w:webHidden/>
              </w:rPr>
              <w:t>7</w:t>
            </w:r>
            <w:r w:rsidR="00923C00">
              <w:rPr>
                <w:webHidden/>
              </w:rPr>
              <w:fldChar w:fldCharType="end"/>
            </w:r>
          </w:hyperlink>
        </w:p>
        <w:p w:rsidR="00923C00" w:rsidRDefault="00D46AE6" w14:paraId="6941C8FA" w14:textId="12108BB4">
          <w:pPr>
            <w:pStyle w:val="TOC2"/>
            <w:rPr>
              <w:rFonts w:asciiTheme="minorHAnsi" w:hAnsiTheme="minorHAnsi" w:cstheme="minorBidi"/>
              <w:bCs w:val="0"/>
              <w:sz w:val="22"/>
              <w:szCs w:val="22"/>
            </w:rPr>
          </w:pPr>
          <w:hyperlink w:history="1" w:anchor="_Toc76650786">
            <w:r w:rsidRPr="00C56C8C" w:rsidR="00923C00">
              <w:rPr>
                <w:rStyle w:val="Hyperlink"/>
              </w:rPr>
              <w:t>A.5. Impact on Small Businesses or Other Small Entities</w:t>
            </w:r>
            <w:r w:rsidR="00923C00">
              <w:rPr>
                <w:webHidden/>
              </w:rPr>
              <w:tab/>
            </w:r>
            <w:r w:rsidR="00923C00">
              <w:rPr>
                <w:webHidden/>
              </w:rPr>
              <w:fldChar w:fldCharType="begin"/>
            </w:r>
            <w:r w:rsidR="00923C00">
              <w:rPr>
                <w:webHidden/>
              </w:rPr>
              <w:instrText xml:space="preserve"> PAGEREF _Toc76650786 \h </w:instrText>
            </w:r>
            <w:r w:rsidR="00923C00">
              <w:rPr>
                <w:webHidden/>
              </w:rPr>
            </w:r>
            <w:r w:rsidR="00923C00">
              <w:rPr>
                <w:webHidden/>
              </w:rPr>
              <w:fldChar w:fldCharType="separate"/>
            </w:r>
            <w:r w:rsidR="002501C1">
              <w:rPr>
                <w:webHidden/>
              </w:rPr>
              <w:t>7</w:t>
            </w:r>
            <w:r w:rsidR="00923C00">
              <w:rPr>
                <w:webHidden/>
              </w:rPr>
              <w:fldChar w:fldCharType="end"/>
            </w:r>
          </w:hyperlink>
        </w:p>
        <w:p w:rsidR="00923C00" w:rsidRDefault="00D46AE6" w14:paraId="1BC80493" w14:textId="6EFA0A98">
          <w:pPr>
            <w:pStyle w:val="TOC2"/>
            <w:rPr>
              <w:rFonts w:asciiTheme="minorHAnsi" w:hAnsiTheme="minorHAnsi" w:cstheme="minorBidi"/>
              <w:bCs w:val="0"/>
              <w:sz w:val="22"/>
              <w:szCs w:val="22"/>
            </w:rPr>
          </w:pPr>
          <w:hyperlink w:history="1" w:anchor="_Toc76650787">
            <w:r w:rsidRPr="00C56C8C" w:rsidR="00923C00">
              <w:rPr>
                <w:rStyle w:val="Hyperlink"/>
              </w:rPr>
              <w:t>A.6. Consequences of Collecting the Information Less Frequently</w:t>
            </w:r>
            <w:r w:rsidR="00923C00">
              <w:rPr>
                <w:webHidden/>
              </w:rPr>
              <w:tab/>
            </w:r>
            <w:r w:rsidR="00923C00">
              <w:rPr>
                <w:webHidden/>
              </w:rPr>
              <w:fldChar w:fldCharType="begin"/>
            </w:r>
            <w:r w:rsidR="00923C00">
              <w:rPr>
                <w:webHidden/>
              </w:rPr>
              <w:instrText xml:space="preserve"> PAGEREF _Toc76650787 \h </w:instrText>
            </w:r>
            <w:r w:rsidR="00923C00">
              <w:rPr>
                <w:webHidden/>
              </w:rPr>
            </w:r>
            <w:r w:rsidR="00923C00">
              <w:rPr>
                <w:webHidden/>
              </w:rPr>
              <w:fldChar w:fldCharType="separate"/>
            </w:r>
            <w:r w:rsidR="002501C1">
              <w:rPr>
                <w:webHidden/>
              </w:rPr>
              <w:t>7</w:t>
            </w:r>
            <w:r w:rsidR="00923C00">
              <w:rPr>
                <w:webHidden/>
              </w:rPr>
              <w:fldChar w:fldCharType="end"/>
            </w:r>
          </w:hyperlink>
        </w:p>
        <w:p w:rsidR="00923C00" w:rsidRDefault="00D46AE6" w14:paraId="63644880" w14:textId="2A60C174">
          <w:pPr>
            <w:pStyle w:val="TOC2"/>
            <w:rPr>
              <w:rFonts w:asciiTheme="minorHAnsi" w:hAnsiTheme="minorHAnsi" w:cstheme="minorBidi"/>
              <w:bCs w:val="0"/>
              <w:sz w:val="22"/>
              <w:szCs w:val="22"/>
            </w:rPr>
          </w:pPr>
          <w:hyperlink w:history="1" w:anchor="_Toc76650788">
            <w:r w:rsidRPr="00C56C8C" w:rsidR="00923C00">
              <w:rPr>
                <w:rStyle w:val="Hyperlink"/>
              </w:rPr>
              <w:t>A.7. Special Circumstances Relating to the Guidelines of 5 CFR 1320.5</w:t>
            </w:r>
            <w:r w:rsidR="00923C00">
              <w:rPr>
                <w:webHidden/>
              </w:rPr>
              <w:tab/>
            </w:r>
            <w:r w:rsidR="00923C00">
              <w:rPr>
                <w:webHidden/>
              </w:rPr>
              <w:fldChar w:fldCharType="begin"/>
            </w:r>
            <w:r w:rsidR="00923C00">
              <w:rPr>
                <w:webHidden/>
              </w:rPr>
              <w:instrText xml:space="preserve"> PAGEREF _Toc76650788 \h </w:instrText>
            </w:r>
            <w:r w:rsidR="00923C00">
              <w:rPr>
                <w:webHidden/>
              </w:rPr>
            </w:r>
            <w:r w:rsidR="00923C00">
              <w:rPr>
                <w:webHidden/>
              </w:rPr>
              <w:fldChar w:fldCharType="separate"/>
            </w:r>
            <w:r w:rsidR="002501C1">
              <w:rPr>
                <w:webHidden/>
              </w:rPr>
              <w:t>7</w:t>
            </w:r>
            <w:r w:rsidR="00923C00">
              <w:rPr>
                <w:webHidden/>
              </w:rPr>
              <w:fldChar w:fldCharType="end"/>
            </w:r>
          </w:hyperlink>
        </w:p>
        <w:p w:rsidR="00923C00" w:rsidRDefault="00D46AE6" w14:paraId="193E532F" w14:textId="63D4557B">
          <w:pPr>
            <w:pStyle w:val="TOC2"/>
            <w:rPr>
              <w:rFonts w:asciiTheme="minorHAnsi" w:hAnsiTheme="minorHAnsi" w:cstheme="minorBidi"/>
              <w:bCs w:val="0"/>
              <w:sz w:val="22"/>
              <w:szCs w:val="22"/>
            </w:rPr>
          </w:pPr>
          <w:hyperlink w:history="1" w:anchor="_Toc76650789">
            <w:r w:rsidRPr="00C56C8C" w:rsidR="00923C00">
              <w:rPr>
                <w:rStyle w:val="Hyperlink"/>
              </w:rPr>
              <w:t>A.8. Comments in Response to the Federal Register Notice and Efforts to Consult Outside the Agency</w:t>
            </w:r>
            <w:r w:rsidR="00923C00">
              <w:rPr>
                <w:webHidden/>
              </w:rPr>
              <w:tab/>
            </w:r>
            <w:r w:rsidR="00923C00">
              <w:rPr>
                <w:webHidden/>
              </w:rPr>
              <w:fldChar w:fldCharType="begin"/>
            </w:r>
            <w:r w:rsidR="00923C00">
              <w:rPr>
                <w:webHidden/>
              </w:rPr>
              <w:instrText xml:space="preserve"> PAGEREF _Toc76650789 \h </w:instrText>
            </w:r>
            <w:r w:rsidR="00923C00">
              <w:rPr>
                <w:webHidden/>
              </w:rPr>
            </w:r>
            <w:r w:rsidR="00923C00">
              <w:rPr>
                <w:webHidden/>
              </w:rPr>
              <w:fldChar w:fldCharType="separate"/>
            </w:r>
            <w:r w:rsidR="002501C1">
              <w:rPr>
                <w:webHidden/>
              </w:rPr>
              <w:t>8</w:t>
            </w:r>
            <w:r w:rsidR="00923C00">
              <w:rPr>
                <w:webHidden/>
              </w:rPr>
              <w:fldChar w:fldCharType="end"/>
            </w:r>
          </w:hyperlink>
        </w:p>
        <w:p w:rsidR="00923C00" w:rsidRDefault="00D46AE6" w14:paraId="0709EF25" w14:textId="30B9AC50">
          <w:pPr>
            <w:pStyle w:val="TOC2"/>
            <w:rPr>
              <w:rFonts w:asciiTheme="minorHAnsi" w:hAnsiTheme="minorHAnsi" w:cstheme="minorBidi"/>
              <w:bCs w:val="0"/>
              <w:sz w:val="22"/>
              <w:szCs w:val="22"/>
            </w:rPr>
          </w:pPr>
          <w:hyperlink w:history="1" w:anchor="_Toc76650790">
            <w:r w:rsidRPr="00C56C8C" w:rsidR="00923C00">
              <w:rPr>
                <w:rStyle w:val="Hyperlink"/>
              </w:rPr>
              <w:t>A.9. Explanation of Any Payment or Gift to Respondents</w:t>
            </w:r>
            <w:r w:rsidR="00923C00">
              <w:rPr>
                <w:webHidden/>
              </w:rPr>
              <w:tab/>
            </w:r>
            <w:r w:rsidR="00923C00">
              <w:rPr>
                <w:webHidden/>
              </w:rPr>
              <w:fldChar w:fldCharType="begin"/>
            </w:r>
            <w:r w:rsidR="00923C00">
              <w:rPr>
                <w:webHidden/>
              </w:rPr>
              <w:instrText xml:space="preserve"> PAGEREF _Toc76650790 \h </w:instrText>
            </w:r>
            <w:r w:rsidR="00923C00">
              <w:rPr>
                <w:webHidden/>
              </w:rPr>
            </w:r>
            <w:r w:rsidR="00923C00">
              <w:rPr>
                <w:webHidden/>
              </w:rPr>
              <w:fldChar w:fldCharType="separate"/>
            </w:r>
            <w:r w:rsidR="002501C1">
              <w:rPr>
                <w:webHidden/>
              </w:rPr>
              <w:t>8</w:t>
            </w:r>
            <w:r w:rsidR="00923C00">
              <w:rPr>
                <w:webHidden/>
              </w:rPr>
              <w:fldChar w:fldCharType="end"/>
            </w:r>
          </w:hyperlink>
        </w:p>
        <w:p w:rsidR="00923C00" w:rsidRDefault="00D46AE6" w14:paraId="23281358" w14:textId="6D5A7648">
          <w:pPr>
            <w:pStyle w:val="TOC2"/>
            <w:rPr>
              <w:rFonts w:asciiTheme="minorHAnsi" w:hAnsiTheme="minorHAnsi" w:cstheme="minorBidi"/>
              <w:bCs w:val="0"/>
              <w:sz w:val="22"/>
              <w:szCs w:val="22"/>
            </w:rPr>
          </w:pPr>
          <w:hyperlink w:history="1" w:anchor="_Toc76650791">
            <w:r w:rsidRPr="00C56C8C" w:rsidR="00923C00">
              <w:rPr>
                <w:rStyle w:val="Hyperlink"/>
              </w:rPr>
              <w:t>A.10. Protection of the Privacy and Confidentiality of Information Provided by Respondents</w:t>
            </w:r>
            <w:r w:rsidR="00923C00">
              <w:rPr>
                <w:webHidden/>
              </w:rPr>
              <w:tab/>
            </w:r>
            <w:r w:rsidR="00923C00">
              <w:rPr>
                <w:webHidden/>
              </w:rPr>
              <w:fldChar w:fldCharType="begin"/>
            </w:r>
            <w:r w:rsidR="00923C00">
              <w:rPr>
                <w:webHidden/>
              </w:rPr>
              <w:instrText xml:space="preserve"> PAGEREF _Toc76650791 \h </w:instrText>
            </w:r>
            <w:r w:rsidR="00923C00">
              <w:rPr>
                <w:webHidden/>
              </w:rPr>
            </w:r>
            <w:r w:rsidR="00923C00">
              <w:rPr>
                <w:webHidden/>
              </w:rPr>
              <w:fldChar w:fldCharType="separate"/>
            </w:r>
            <w:r w:rsidR="002501C1">
              <w:rPr>
                <w:webHidden/>
              </w:rPr>
              <w:t>8</w:t>
            </w:r>
            <w:r w:rsidR="00923C00">
              <w:rPr>
                <w:webHidden/>
              </w:rPr>
              <w:fldChar w:fldCharType="end"/>
            </w:r>
          </w:hyperlink>
        </w:p>
        <w:p w:rsidR="00923C00" w:rsidRDefault="00D46AE6" w14:paraId="537AD396" w14:textId="1F995F28">
          <w:pPr>
            <w:pStyle w:val="TOC3"/>
            <w:tabs>
              <w:tab w:val="right" w:leader="dot" w:pos="9350"/>
            </w:tabs>
            <w:rPr>
              <w:noProof/>
            </w:rPr>
          </w:pPr>
          <w:hyperlink w:history="1" w:anchor="_Toc76650792">
            <w:r w:rsidRPr="00C56C8C" w:rsidR="00923C00">
              <w:rPr>
                <w:rStyle w:val="Hyperlink"/>
                <w:noProof/>
              </w:rPr>
              <w:t>A.10.1. Privacy Impact Assessment Information</w:t>
            </w:r>
            <w:r w:rsidR="00923C00">
              <w:rPr>
                <w:noProof/>
                <w:webHidden/>
              </w:rPr>
              <w:tab/>
            </w:r>
            <w:r w:rsidR="00923C00">
              <w:rPr>
                <w:noProof/>
                <w:webHidden/>
              </w:rPr>
              <w:fldChar w:fldCharType="begin"/>
            </w:r>
            <w:r w:rsidR="00923C00">
              <w:rPr>
                <w:noProof/>
                <w:webHidden/>
              </w:rPr>
              <w:instrText xml:space="preserve"> PAGEREF _Toc76650792 \h </w:instrText>
            </w:r>
            <w:r w:rsidR="00923C00">
              <w:rPr>
                <w:noProof/>
                <w:webHidden/>
              </w:rPr>
            </w:r>
            <w:r w:rsidR="00923C00">
              <w:rPr>
                <w:noProof/>
                <w:webHidden/>
              </w:rPr>
              <w:fldChar w:fldCharType="separate"/>
            </w:r>
            <w:r w:rsidR="002501C1">
              <w:rPr>
                <w:noProof/>
                <w:webHidden/>
              </w:rPr>
              <w:t>8</w:t>
            </w:r>
            <w:r w:rsidR="00923C00">
              <w:rPr>
                <w:noProof/>
                <w:webHidden/>
              </w:rPr>
              <w:fldChar w:fldCharType="end"/>
            </w:r>
          </w:hyperlink>
        </w:p>
        <w:p w:rsidR="00923C00" w:rsidRDefault="00D46AE6" w14:paraId="2A13F94F" w14:textId="459C175E">
          <w:pPr>
            <w:pStyle w:val="TOC2"/>
            <w:rPr>
              <w:rFonts w:asciiTheme="minorHAnsi" w:hAnsiTheme="minorHAnsi" w:cstheme="minorBidi"/>
              <w:bCs w:val="0"/>
              <w:sz w:val="22"/>
              <w:szCs w:val="22"/>
            </w:rPr>
          </w:pPr>
          <w:hyperlink w:history="1" w:anchor="_Toc76650793">
            <w:r w:rsidRPr="00C56C8C" w:rsidR="00923C00">
              <w:rPr>
                <w:rStyle w:val="Hyperlink"/>
              </w:rPr>
              <w:t>A.11. Institutional Review Board (IRB) and Justification for Sensitive Questions</w:t>
            </w:r>
            <w:r w:rsidR="00923C00">
              <w:rPr>
                <w:webHidden/>
              </w:rPr>
              <w:tab/>
            </w:r>
            <w:r w:rsidR="00923C00">
              <w:rPr>
                <w:webHidden/>
              </w:rPr>
              <w:fldChar w:fldCharType="begin"/>
            </w:r>
            <w:r w:rsidR="00923C00">
              <w:rPr>
                <w:webHidden/>
              </w:rPr>
              <w:instrText xml:space="preserve"> PAGEREF _Toc76650793 \h </w:instrText>
            </w:r>
            <w:r w:rsidR="00923C00">
              <w:rPr>
                <w:webHidden/>
              </w:rPr>
            </w:r>
            <w:r w:rsidR="00923C00">
              <w:rPr>
                <w:webHidden/>
              </w:rPr>
              <w:fldChar w:fldCharType="separate"/>
            </w:r>
            <w:r w:rsidR="002501C1">
              <w:rPr>
                <w:webHidden/>
              </w:rPr>
              <w:t>11</w:t>
            </w:r>
            <w:r w:rsidR="00923C00">
              <w:rPr>
                <w:webHidden/>
              </w:rPr>
              <w:fldChar w:fldCharType="end"/>
            </w:r>
          </w:hyperlink>
        </w:p>
        <w:p w:rsidR="00923C00" w:rsidRDefault="00D46AE6" w14:paraId="5B50210B" w14:textId="3CDE3302">
          <w:pPr>
            <w:pStyle w:val="TOC2"/>
            <w:rPr>
              <w:rFonts w:asciiTheme="minorHAnsi" w:hAnsiTheme="minorHAnsi" w:cstheme="minorBidi"/>
              <w:bCs w:val="0"/>
              <w:sz w:val="22"/>
              <w:szCs w:val="22"/>
            </w:rPr>
          </w:pPr>
          <w:hyperlink w:history="1" w:anchor="_Toc76650794">
            <w:r w:rsidRPr="00C56C8C" w:rsidR="00923C00">
              <w:rPr>
                <w:rStyle w:val="Hyperlink"/>
              </w:rPr>
              <w:t>A.12. Estimates of Annualized Burden Hours and Costs</w:t>
            </w:r>
            <w:r w:rsidR="00923C00">
              <w:rPr>
                <w:webHidden/>
              </w:rPr>
              <w:tab/>
            </w:r>
            <w:r w:rsidR="00923C00">
              <w:rPr>
                <w:webHidden/>
              </w:rPr>
              <w:fldChar w:fldCharType="begin"/>
            </w:r>
            <w:r w:rsidR="00923C00">
              <w:rPr>
                <w:webHidden/>
              </w:rPr>
              <w:instrText xml:space="preserve"> PAGEREF _Toc76650794 \h </w:instrText>
            </w:r>
            <w:r w:rsidR="00923C00">
              <w:rPr>
                <w:webHidden/>
              </w:rPr>
            </w:r>
            <w:r w:rsidR="00923C00">
              <w:rPr>
                <w:webHidden/>
              </w:rPr>
              <w:fldChar w:fldCharType="separate"/>
            </w:r>
            <w:r w:rsidR="002501C1">
              <w:rPr>
                <w:webHidden/>
              </w:rPr>
              <w:t>12</w:t>
            </w:r>
            <w:r w:rsidR="00923C00">
              <w:rPr>
                <w:webHidden/>
              </w:rPr>
              <w:fldChar w:fldCharType="end"/>
            </w:r>
          </w:hyperlink>
        </w:p>
        <w:p w:rsidR="00923C00" w:rsidRDefault="00D46AE6" w14:paraId="2C107891" w14:textId="48A16262">
          <w:pPr>
            <w:pStyle w:val="TOC3"/>
            <w:tabs>
              <w:tab w:val="right" w:leader="dot" w:pos="9350"/>
            </w:tabs>
            <w:rPr>
              <w:noProof/>
            </w:rPr>
          </w:pPr>
          <w:hyperlink w:history="1" w:anchor="_Toc76650795">
            <w:r w:rsidRPr="00C56C8C" w:rsidR="00923C00">
              <w:rPr>
                <w:rStyle w:val="Hyperlink"/>
                <w:noProof/>
              </w:rPr>
              <w:t>A.12.1. Estimates of Annualized Burden Hours</w:t>
            </w:r>
            <w:r w:rsidR="00923C00">
              <w:rPr>
                <w:noProof/>
                <w:webHidden/>
              </w:rPr>
              <w:tab/>
            </w:r>
            <w:r w:rsidR="00923C00">
              <w:rPr>
                <w:noProof/>
                <w:webHidden/>
              </w:rPr>
              <w:fldChar w:fldCharType="begin"/>
            </w:r>
            <w:r w:rsidR="00923C00">
              <w:rPr>
                <w:noProof/>
                <w:webHidden/>
              </w:rPr>
              <w:instrText xml:space="preserve"> PAGEREF _Toc76650795 \h </w:instrText>
            </w:r>
            <w:r w:rsidR="00923C00">
              <w:rPr>
                <w:noProof/>
                <w:webHidden/>
              </w:rPr>
            </w:r>
            <w:r w:rsidR="00923C00">
              <w:rPr>
                <w:noProof/>
                <w:webHidden/>
              </w:rPr>
              <w:fldChar w:fldCharType="separate"/>
            </w:r>
            <w:r w:rsidR="002501C1">
              <w:rPr>
                <w:noProof/>
                <w:webHidden/>
              </w:rPr>
              <w:t>12</w:t>
            </w:r>
            <w:r w:rsidR="00923C00">
              <w:rPr>
                <w:noProof/>
                <w:webHidden/>
              </w:rPr>
              <w:fldChar w:fldCharType="end"/>
            </w:r>
          </w:hyperlink>
        </w:p>
        <w:p w:rsidR="00923C00" w:rsidRDefault="00D46AE6" w14:paraId="0EEE16CA" w14:textId="68C1C461">
          <w:pPr>
            <w:pStyle w:val="TOC3"/>
            <w:tabs>
              <w:tab w:val="right" w:leader="dot" w:pos="9350"/>
            </w:tabs>
            <w:rPr>
              <w:noProof/>
            </w:rPr>
          </w:pPr>
          <w:hyperlink w:history="1" w:anchor="_Toc76650796">
            <w:r w:rsidRPr="00C56C8C" w:rsidR="00923C00">
              <w:rPr>
                <w:rStyle w:val="Hyperlink"/>
                <w:noProof/>
              </w:rPr>
              <w:t>A.12.2. Annualized Cost to Respondents</w:t>
            </w:r>
            <w:r w:rsidR="00923C00">
              <w:rPr>
                <w:noProof/>
                <w:webHidden/>
              </w:rPr>
              <w:tab/>
            </w:r>
            <w:r w:rsidR="00923C00">
              <w:rPr>
                <w:noProof/>
                <w:webHidden/>
              </w:rPr>
              <w:fldChar w:fldCharType="begin"/>
            </w:r>
            <w:r w:rsidR="00923C00">
              <w:rPr>
                <w:noProof/>
                <w:webHidden/>
              </w:rPr>
              <w:instrText xml:space="preserve"> PAGEREF _Toc76650796 \h </w:instrText>
            </w:r>
            <w:r w:rsidR="00923C00">
              <w:rPr>
                <w:noProof/>
                <w:webHidden/>
              </w:rPr>
            </w:r>
            <w:r w:rsidR="00923C00">
              <w:rPr>
                <w:noProof/>
                <w:webHidden/>
              </w:rPr>
              <w:fldChar w:fldCharType="separate"/>
            </w:r>
            <w:r w:rsidR="002501C1">
              <w:rPr>
                <w:noProof/>
                <w:webHidden/>
              </w:rPr>
              <w:t>15</w:t>
            </w:r>
            <w:r w:rsidR="00923C00">
              <w:rPr>
                <w:noProof/>
                <w:webHidden/>
              </w:rPr>
              <w:fldChar w:fldCharType="end"/>
            </w:r>
          </w:hyperlink>
        </w:p>
        <w:p w:rsidR="00923C00" w:rsidRDefault="00D46AE6" w14:paraId="5EECFB21" w14:textId="0D4864C2">
          <w:pPr>
            <w:pStyle w:val="TOC2"/>
            <w:rPr>
              <w:rFonts w:asciiTheme="minorHAnsi" w:hAnsiTheme="minorHAnsi" w:cstheme="minorBidi"/>
              <w:bCs w:val="0"/>
              <w:sz w:val="22"/>
              <w:szCs w:val="22"/>
            </w:rPr>
          </w:pPr>
          <w:hyperlink w:history="1" w:anchor="_Toc76650797">
            <w:r w:rsidRPr="00C56C8C" w:rsidR="00923C00">
              <w:rPr>
                <w:rStyle w:val="Hyperlink"/>
              </w:rPr>
              <w:t>A.13. Estimates of Other Total Annual Cost Burden to Respondents or Record Keepers</w:t>
            </w:r>
            <w:r w:rsidR="00923C00">
              <w:rPr>
                <w:webHidden/>
              </w:rPr>
              <w:tab/>
            </w:r>
            <w:r w:rsidR="00923C00">
              <w:rPr>
                <w:webHidden/>
              </w:rPr>
              <w:fldChar w:fldCharType="begin"/>
            </w:r>
            <w:r w:rsidR="00923C00">
              <w:rPr>
                <w:webHidden/>
              </w:rPr>
              <w:instrText xml:space="preserve"> PAGEREF _Toc76650797 \h </w:instrText>
            </w:r>
            <w:r w:rsidR="00923C00">
              <w:rPr>
                <w:webHidden/>
              </w:rPr>
            </w:r>
            <w:r w:rsidR="00923C00">
              <w:rPr>
                <w:webHidden/>
              </w:rPr>
              <w:fldChar w:fldCharType="separate"/>
            </w:r>
            <w:r w:rsidR="002501C1">
              <w:rPr>
                <w:webHidden/>
              </w:rPr>
              <w:t>17</w:t>
            </w:r>
            <w:r w:rsidR="00923C00">
              <w:rPr>
                <w:webHidden/>
              </w:rPr>
              <w:fldChar w:fldCharType="end"/>
            </w:r>
          </w:hyperlink>
        </w:p>
        <w:p w:rsidR="00923C00" w:rsidRDefault="00D46AE6" w14:paraId="446B0039" w14:textId="53929A8A">
          <w:pPr>
            <w:pStyle w:val="TOC2"/>
            <w:rPr>
              <w:rFonts w:asciiTheme="minorHAnsi" w:hAnsiTheme="minorHAnsi" w:cstheme="minorBidi"/>
              <w:bCs w:val="0"/>
              <w:sz w:val="22"/>
              <w:szCs w:val="22"/>
            </w:rPr>
          </w:pPr>
          <w:hyperlink w:history="1" w:anchor="_Toc76650798">
            <w:r w:rsidRPr="00C56C8C" w:rsidR="00923C00">
              <w:rPr>
                <w:rStyle w:val="Hyperlink"/>
              </w:rPr>
              <w:t>A.14. Annualized Cost to the Government</w:t>
            </w:r>
            <w:r w:rsidR="00923C00">
              <w:rPr>
                <w:webHidden/>
              </w:rPr>
              <w:tab/>
            </w:r>
            <w:r w:rsidR="00923C00">
              <w:rPr>
                <w:webHidden/>
              </w:rPr>
              <w:fldChar w:fldCharType="begin"/>
            </w:r>
            <w:r w:rsidR="00923C00">
              <w:rPr>
                <w:webHidden/>
              </w:rPr>
              <w:instrText xml:space="preserve"> PAGEREF _Toc76650798 \h </w:instrText>
            </w:r>
            <w:r w:rsidR="00923C00">
              <w:rPr>
                <w:webHidden/>
              </w:rPr>
            </w:r>
            <w:r w:rsidR="00923C00">
              <w:rPr>
                <w:webHidden/>
              </w:rPr>
              <w:fldChar w:fldCharType="separate"/>
            </w:r>
            <w:r w:rsidR="002501C1">
              <w:rPr>
                <w:webHidden/>
              </w:rPr>
              <w:t>17</w:t>
            </w:r>
            <w:r w:rsidR="00923C00">
              <w:rPr>
                <w:webHidden/>
              </w:rPr>
              <w:fldChar w:fldCharType="end"/>
            </w:r>
          </w:hyperlink>
        </w:p>
        <w:p w:rsidR="00923C00" w:rsidRDefault="00D46AE6" w14:paraId="57F45F60" w14:textId="75E53900">
          <w:pPr>
            <w:pStyle w:val="TOC2"/>
            <w:rPr>
              <w:rFonts w:asciiTheme="minorHAnsi" w:hAnsiTheme="minorHAnsi" w:cstheme="minorBidi"/>
              <w:bCs w:val="0"/>
              <w:sz w:val="22"/>
              <w:szCs w:val="22"/>
            </w:rPr>
          </w:pPr>
          <w:hyperlink w:history="1" w:anchor="_Toc76650799">
            <w:r w:rsidRPr="00C56C8C" w:rsidR="00923C00">
              <w:rPr>
                <w:rStyle w:val="Hyperlink"/>
              </w:rPr>
              <w:t>A.15. Explanation for Program Changes or Adjustments</w:t>
            </w:r>
            <w:r w:rsidR="00923C00">
              <w:rPr>
                <w:webHidden/>
              </w:rPr>
              <w:tab/>
            </w:r>
            <w:r w:rsidR="00923C00">
              <w:rPr>
                <w:webHidden/>
              </w:rPr>
              <w:fldChar w:fldCharType="begin"/>
            </w:r>
            <w:r w:rsidR="00923C00">
              <w:rPr>
                <w:webHidden/>
              </w:rPr>
              <w:instrText xml:space="preserve"> PAGEREF _Toc76650799 \h </w:instrText>
            </w:r>
            <w:r w:rsidR="00923C00">
              <w:rPr>
                <w:webHidden/>
              </w:rPr>
            </w:r>
            <w:r w:rsidR="00923C00">
              <w:rPr>
                <w:webHidden/>
              </w:rPr>
              <w:fldChar w:fldCharType="separate"/>
            </w:r>
            <w:r w:rsidR="002501C1">
              <w:rPr>
                <w:webHidden/>
              </w:rPr>
              <w:t>17</w:t>
            </w:r>
            <w:r w:rsidR="00923C00">
              <w:rPr>
                <w:webHidden/>
              </w:rPr>
              <w:fldChar w:fldCharType="end"/>
            </w:r>
          </w:hyperlink>
        </w:p>
        <w:p w:rsidR="00923C00" w:rsidRDefault="00D46AE6" w14:paraId="54FBC974" w14:textId="3E5A76D8">
          <w:pPr>
            <w:pStyle w:val="TOC2"/>
            <w:rPr>
              <w:rFonts w:asciiTheme="minorHAnsi" w:hAnsiTheme="minorHAnsi" w:cstheme="minorBidi"/>
              <w:bCs w:val="0"/>
              <w:sz w:val="22"/>
              <w:szCs w:val="22"/>
            </w:rPr>
          </w:pPr>
          <w:hyperlink w:history="1" w:anchor="_Toc76650800">
            <w:r w:rsidRPr="00C56C8C" w:rsidR="00923C00">
              <w:rPr>
                <w:rStyle w:val="Hyperlink"/>
              </w:rPr>
              <w:t>A.16. Plans for Tabulation and Publication and Project Time Schedule</w:t>
            </w:r>
            <w:r w:rsidR="00923C00">
              <w:rPr>
                <w:webHidden/>
              </w:rPr>
              <w:tab/>
            </w:r>
            <w:r w:rsidR="00923C00">
              <w:rPr>
                <w:webHidden/>
              </w:rPr>
              <w:fldChar w:fldCharType="begin"/>
            </w:r>
            <w:r w:rsidR="00923C00">
              <w:rPr>
                <w:webHidden/>
              </w:rPr>
              <w:instrText xml:space="preserve"> PAGEREF _Toc76650800 \h </w:instrText>
            </w:r>
            <w:r w:rsidR="00923C00">
              <w:rPr>
                <w:webHidden/>
              </w:rPr>
            </w:r>
            <w:r w:rsidR="00923C00">
              <w:rPr>
                <w:webHidden/>
              </w:rPr>
              <w:fldChar w:fldCharType="separate"/>
            </w:r>
            <w:r w:rsidR="002501C1">
              <w:rPr>
                <w:webHidden/>
              </w:rPr>
              <w:t>17</w:t>
            </w:r>
            <w:r w:rsidR="00923C00">
              <w:rPr>
                <w:webHidden/>
              </w:rPr>
              <w:fldChar w:fldCharType="end"/>
            </w:r>
          </w:hyperlink>
        </w:p>
        <w:p w:rsidR="00923C00" w:rsidRDefault="00D46AE6" w14:paraId="5A6C5057" w14:textId="2CC98A40">
          <w:pPr>
            <w:pStyle w:val="TOC2"/>
            <w:rPr>
              <w:rFonts w:asciiTheme="minorHAnsi" w:hAnsiTheme="minorHAnsi" w:cstheme="minorBidi"/>
              <w:bCs w:val="0"/>
              <w:sz w:val="22"/>
              <w:szCs w:val="22"/>
            </w:rPr>
          </w:pPr>
          <w:hyperlink w:history="1" w:anchor="_Toc76650801">
            <w:r w:rsidRPr="00C56C8C" w:rsidR="00923C00">
              <w:rPr>
                <w:rStyle w:val="Hyperlink"/>
              </w:rPr>
              <w:t>A.17. Reason(s) Display of OMB Expiration Date is Inappropriate</w:t>
            </w:r>
            <w:r w:rsidR="00923C00">
              <w:rPr>
                <w:webHidden/>
              </w:rPr>
              <w:tab/>
            </w:r>
            <w:r w:rsidR="00923C00">
              <w:rPr>
                <w:webHidden/>
              </w:rPr>
              <w:fldChar w:fldCharType="begin"/>
            </w:r>
            <w:r w:rsidR="00923C00">
              <w:rPr>
                <w:webHidden/>
              </w:rPr>
              <w:instrText xml:space="preserve"> PAGEREF _Toc76650801 \h </w:instrText>
            </w:r>
            <w:r w:rsidR="00923C00">
              <w:rPr>
                <w:webHidden/>
              </w:rPr>
            </w:r>
            <w:r w:rsidR="00923C00">
              <w:rPr>
                <w:webHidden/>
              </w:rPr>
              <w:fldChar w:fldCharType="separate"/>
            </w:r>
            <w:r w:rsidR="002501C1">
              <w:rPr>
                <w:webHidden/>
              </w:rPr>
              <w:t>18</w:t>
            </w:r>
            <w:r w:rsidR="00923C00">
              <w:rPr>
                <w:webHidden/>
              </w:rPr>
              <w:fldChar w:fldCharType="end"/>
            </w:r>
          </w:hyperlink>
        </w:p>
        <w:p w:rsidR="00923C00" w:rsidRDefault="00D46AE6" w14:paraId="0852F459" w14:textId="4AC9805B">
          <w:pPr>
            <w:pStyle w:val="TOC2"/>
            <w:rPr>
              <w:rFonts w:asciiTheme="minorHAnsi" w:hAnsiTheme="minorHAnsi" w:cstheme="minorBidi"/>
              <w:bCs w:val="0"/>
              <w:sz w:val="22"/>
              <w:szCs w:val="22"/>
            </w:rPr>
          </w:pPr>
          <w:hyperlink w:history="1" w:anchor="_Toc76650802">
            <w:r w:rsidRPr="00C56C8C" w:rsidR="00923C00">
              <w:rPr>
                <w:rStyle w:val="Hyperlink"/>
              </w:rPr>
              <w:t>A.18. Exceptions to Certification for Paperwork Reduction Act Submissions</w:t>
            </w:r>
            <w:r w:rsidR="00923C00">
              <w:rPr>
                <w:webHidden/>
              </w:rPr>
              <w:tab/>
            </w:r>
            <w:r w:rsidR="00923C00">
              <w:rPr>
                <w:webHidden/>
              </w:rPr>
              <w:fldChar w:fldCharType="begin"/>
            </w:r>
            <w:r w:rsidR="00923C00">
              <w:rPr>
                <w:webHidden/>
              </w:rPr>
              <w:instrText xml:space="preserve"> PAGEREF _Toc76650802 \h </w:instrText>
            </w:r>
            <w:r w:rsidR="00923C00">
              <w:rPr>
                <w:webHidden/>
              </w:rPr>
            </w:r>
            <w:r w:rsidR="00923C00">
              <w:rPr>
                <w:webHidden/>
              </w:rPr>
              <w:fldChar w:fldCharType="separate"/>
            </w:r>
            <w:r w:rsidR="002501C1">
              <w:rPr>
                <w:webHidden/>
              </w:rPr>
              <w:t>18</w:t>
            </w:r>
            <w:r w:rsidR="00923C00">
              <w:rPr>
                <w:webHidden/>
              </w:rPr>
              <w:fldChar w:fldCharType="end"/>
            </w:r>
          </w:hyperlink>
        </w:p>
        <w:p w:rsidR="00923C00" w:rsidRDefault="00923C00" w14:paraId="0B8828B5" w14:textId="7EC84C70">
          <w:r>
            <w:rPr>
              <w:b/>
              <w:bCs/>
              <w:noProof/>
            </w:rPr>
            <w:fldChar w:fldCharType="end"/>
          </w:r>
        </w:p>
      </w:sdtContent>
    </w:sdt>
    <w:p w:rsidR="003B2430" w:rsidRDefault="003B2430" w14:paraId="4E21554D" w14:textId="77777777">
      <w:pPr>
        <w:rPr>
          <w:b/>
        </w:rPr>
      </w:pPr>
    </w:p>
    <w:p w:rsidR="003B2430" w:rsidRDefault="003B2430" w14:paraId="6FD23FB7" w14:textId="77777777">
      <w:pPr>
        <w:rPr>
          <w:b/>
        </w:rPr>
      </w:pPr>
    </w:p>
    <w:p w:rsidR="003B2430" w:rsidRDefault="00923C00" w14:paraId="6FE33A07" w14:textId="0388F892">
      <w:pPr>
        <w:rPr>
          <w:b/>
        </w:rPr>
      </w:pPr>
      <w:r>
        <w:rPr>
          <w:noProof/>
        </w:rPr>
        <w:lastRenderedPageBreak/>
        <mc:AlternateContent>
          <mc:Choice Requires="wps">
            <w:drawing>
              <wp:inline distT="0" distB="0" distL="0" distR="0" wp14:anchorId="38B4B80E" wp14:editId="64DCF7BE">
                <wp:extent cx="5943600" cy="7969250"/>
                <wp:effectExtent l="0" t="0" r="1905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969250"/>
                        </a:xfrm>
                        <a:prstGeom prst="rect">
                          <a:avLst/>
                        </a:prstGeom>
                        <a:solidFill>
                          <a:srgbClr val="FFFFFF"/>
                        </a:solidFill>
                        <a:ln w="9525">
                          <a:solidFill>
                            <a:srgbClr val="000000"/>
                          </a:solidFill>
                          <a:miter lim="800000"/>
                          <a:headEnd/>
                          <a:tailEnd/>
                        </a:ln>
                      </wps:spPr>
                      <wps:txbx>
                        <w:txbxContent>
                          <w:p w:rsidRPr="009A3219" w:rsidR="00957D87" w:rsidP="00923C00" w:rsidRDefault="00957D87" w14:paraId="3857D991" w14:textId="5BAC12DF">
                            <w:pPr>
                              <w:spacing w:before="60"/>
                              <w:rPr>
                                <w:sz w:val="22"/>
                                <w:szCs w:val="22"/>
                              </w:rPr>
                            </w:pPr>
                            <w:r w:rsidRPr="00AE6427">
                              <w:rPr>
                                <w:b/>
                                <w:sz w:val="22"/>
                                <w:szCs w:val="22"/>
                              </w:rPr>
                              <w:t>Goal of the Exposure Investigation:</w:t>
                            </w:r>
                            <w:r w:rsidRPr="00AE6427">
                              <w:rPr>
                                <w:sz w:val="22"/>
                                <w:szCs w:val="22"/>
                              </w:rPr>
                              <w:t xml:space="preserve"> Exposure Assessments (EAs) were completed at locations around the country in 2019 and 2020 to </w:t>
                            </w:r>
                            <w:r w:rsidRPr="009A3219">
                              <w:rPr>
                                <w:sz w:val="22"/>
                                <w:szCs w:val="22"/>
                              </w:rPr>
                              <w:t>evaluate per- and polyfluoroalkyl substances (PFAS</w:t>
                            </w:r>
                            <w:r w:rsidRPr="00AE6427">
                              <w:rPr>
                                <w:sz w:val="22"/>
                                <w:szCs w:val="22"/>
                              </w:rPr>
                              <w:t xml:space="preserve">) body burden (serum and urine) in </w:t>
                            </w:r>
                            <w:r w:rsidRPr="009A3219">
                              <w:rPr>
                                <w:sz w:val="22"/>
                                <w:szCs w:val="22"/>
                              </w:rPr>
                              <w:t xml:space="preserve">residents exposed to PFAS in drinking water. In a subset of participants’ homes, samples of tap water and indoor dust were collected and analyzed for PFAS. </w:t>
                            </w:r>
                          </w:p>
                          <w:p w:rsidRPr="00AE6427" w:rsidR="00957D87" w:rsidP="00923C00" w:rsidRDefault="00957D87" w14:paraId="1D4264DF" w14:textId="7ED0029E">
                            <w:pPr>
                              <w:spacing w:before="60"/>
                              <w:rPr>
                                <w:sz w:val="22"/>
                                <w:szCs w:val="22"/>
                              </w:rPr>
                            </w:pPr>
                            <w:r w:rsidRPr="009A3219">
                              <w:rPr>
                                <w:sz w:val="22"/>
                                <w:szCs w:val="22"/>
                              </w:rPr>
                              <w:t>To better evaluate non-drinking water contributions to PFAS body burden, ATSDR and EPA are conducting this “Supplemental Exposure Investigation (EI) at Select Exposure Assessment Sites”</w:t>
                            </w:r>
                            <w:r>
                              <w:rPr>
                                <w:sz w:val="22"/>
                                <w:szCs w:val="22"/>
                              </w:rPr>
                              <w:t>”</w:t>
                            </w:r>
                            <w:r w:rsidRPr="009A3219">
                              <w:rPr>
                                <w:sz w:val="22"/>
                                <w:szCs w:val="22"/>
                              </w:rPr>
                              <w:t xml:space="preserve"> (called </w:t>
                            </w:r>
                            <w:r>
                              <w:rPr>
                                <w:sz w:val="22"/>
                                <w:szCs w:val="22"/>
                              </w:rPr>
                              <w:t>E</w:t>
                            </w:r>
                            <w:r w:rsidRPr="009A3219">
                              <w:rPr>
                                <w:sz w:val="22"/>
                                <w:szCs w:val="22"/>
                              </w:rPr>
                              <w:t xml:space="preserve">nvironmental </w:t>
                            </w:r>
                            <w:r>
                              <w:rPr>
                                <w:sz w:val="22"/>
                                <w:szCs w:val="22"/>
                              </w:rPr>
                              <w:t>S</w:t>
                            </w:r>
                            <w:r w:rsidRPr="009A3219">
                              <w:rPr>
                                <w:sz w:val="22"/>
                                <w:szCs w:val="22"/>
                              </w:rPr>
                              <w:t>ampling EI) to collect and analyze samples of various environmental media for PFAS. Both the EA and EI include administration of a questionnaire. This environmental sampling EI has three primary objectives</w:t>
                            </w:r>
                            <w:r w:rsidRPr="00AE6427">
                              <w:rPr>
                                <w:sz w:val="22"/>
                                <w:szCs w:val="22"/>
                              </w:rPr>
                              <w:t>:</w:t>
                            </w:r>
                          </w:p>
                          <w:p w:rsidRPr="00AE6427" w:rsidR="00957D87" w:rsidP="004043A3" w:rsidRDefault="00957D87" w14:paraId="172486A5" w14:textId="77777777">
                            <w:pPr>
                              <w:numPr>
                                <w:ilvl w:val="0"/>
                                <w:numId w:val="33"/>
                              </w:numPr>
                              <w:spacing w:before="60"/>
                              <w:rPr>
                                <w:rFonts w:cstheme="minorHAnsi"/>
                                <w:sz w:val="22"/>
                                <w:szCs w:val="22"/>
                              </w:rPr>
                            </w:pPr>
                            <w:r w:rsidRPr="00AE6427">
                              <w:rPr>
                                <w:rFonts w:cstheme="minorHAnsi"/>
                                <w:sz w:val="22"/>
                                <w:szCs w:val="22"/>
                              </w:rPr>
                              <w:t xml:space="preserve">Whether PFAS are detectable in various non-drinking water environmental </w:t>
                            </w:r>
                            <w:proofErr w:type="gramStart"/>
                            <w:r w:rsidRPr="00AE6427">
                              <w:rPr>
                                <w:rFonts w:cstheme="minorHAnsi"/>
                                <w:sz w:val="22"/>
                                <w:szCs w:val="22"/>
                              </w:rPr>
                              <w:t>media;</w:t>
                            </w:r>
                            <w:proofErr w:type="gramEnd"/>
                          </w:p>
                          <w:p w:rsidRPr="00AE6427" w:rsidR="00957D87" w:rsidP="004043A3" w:rsidRDefault="00957D87" w14:paraId="6F4E344A" w14:textId="77777777">
                            <w:pPr>
                              <w:numPr>
                                <w:ilvl w:val="0"/>
                                <w:numId w:val="33"/>
                              </w:numPr>
                              <w:spacing w:before="60"/>
                              <w:rPr>
                                <w:rFonts w:cstheme="minorHAnsi"/>
                                <w:sz w:val="22"/>
                                <w:szCs w:val="22"/>
                              </w:rPr>
                            </w:pPr>
                            <w:r w:rsidRPr="00AE6427">
                              <w:rPr>
                                <w:rFonts w:cstheme="minorHAnsi"/>
                                <w:sz w:val="22"/>
                                <w:szCs w:val="22"/>
                              </w:rPr>
                              <w:t>What the detectable levels of PFAS in environmental media are; and</w:t>
                            </w:r>
                          </w:p>
                          <w:p w:rsidRPr="00AE6427" w:rsidR="00957D87" w:rsidP="004043A3" w:rsidRDefault="00957D87" w14:paraId="2638FE9C" w14:textId="77777777">
                            <w:pPr>
                              <w:numPr>
                                <w:ilvl w:val="0"/>
                                <w:numId w:val="33"/>
                              </w:numPr>
                              <w:spacing w:before="60" w:after="120"/>
                              <w:rPr>
                                <w:rFonts w:cstheme="minorHAnsi"/>
                                <w:sz w:val="22"/>
                                <w:szCs w:val="22"/>
                              </w:rPr>
                            </w:pPr>
                            <w:r w:rsidRPr="00AE6427">
                              <w:rPr>
                                <w:rFonts w:cstheme="minorHAnsi"/>
                                <w:sz w:val="22"/>
                                <w:szCs w:val="22"/>
                              </w:rPr>
                              <w:t xml:space="preserve">Whether these detectable levels of PFAS may be associated with the existing measured body burden levels of PFAS identified during the EA. </w:t>
                            </w:r>
                          </w:p>
                          <w:p w:rsidRPr="00AE6427" w:rsidR="00957D87" w:rsidP="00923C00" w:rsidRDefault="00957D87" w14:paraId="738C66BC" w14:textId="2E5B5276">
                            <w:pPr>
                              <w:spacing w:before="120"/>
                              <w:rPr>
                                <w:sz w:val="22"/>
                                <w:szCs w:val="22"/>
                              </w:rPr>
                            </w:pPr>
                            <w:r w:rsidRPr="00AE6427">
                              <w:rPr>
                                <w:b/>
                                <w:sz w:val="22"/>
                                <w:szCs w:val="22"/>
                              </w:rPr>
                              <w:t>Intended Use of the Resulting Data</w:t>
                            </w:r>
                            <w:r w:rsidRPr="00AE6427">
                              <w:rPr>
                                <w:sz w:val="22"/>
                                <w:szCs w:val="22"/>
                              </w:rPr>
                              <w:t xml:space="preserve">: The EA and environmental sampling EI questionnaire results will be used to better interpret the </w:t>
                            </w:r>
                            <w:r>
                              <w:rPr>
                                <w:sz w:val="22"/>
                                <w:szCs w:val="22"/>
                              </w:rPr>
                              <w:t>human exposure profile</w:t>
                            </w:r>
                            <w:r w:rsidRPr="00AE6427">
                              <w:rPr>
                                <w:sz w:val="22"/>
                                <w:szCs w:val="22"/>
                              </w:rPr>
                              <w:t xml:space="preserve"> obtained during the EAs at the New Castle, DE and Hampton County, MA locations. </w:t>
                            </w:r>
                          </w:p>
                          <w:p w:rsidRPr="00AE6427" w:rsidR="00957D87" w:rsidP="00923C00" w:rsidRDefault="00957D87" w14:paraId="6C4E1FBF" w14:textId="77777777">
                            <w:pPr>
                              <w:spacing w:before="120"/>
                              <w:rPr>
                                <w:rFonts w:ascii="Arial" w:hAnsi="Arial"/>
                                <w:sz w:val="22"/>
                                <w:szCs w:val="22"/>
                              </w:rPr>
                            </w:pPr>
                            <w:r w:rsidRPr="00AE6427">
                              <w:rPr>
                                <w:sz w:val="22"/>
                                <w:szCs w:val="22"/>
                              </w:rPr>
                              <w:t xml:space="preserve">Federal and state regulations or guidelines are not available for PFAS in any of the media that will be sampled. Therefore, the results of the sampling can only be used to evaluate the presence or absence, and if detected, to identify the amount of PFAS that may be present in each of the sampled media. ATSDR Minimal Risk Levels (MRLs) are available for four PFAS (i.e., PFOA, PFOS, PFNA, </w:t>
                            </w:r>
                            <w:proofErr w:type="spellStart"/>
                            <w:r w:rsidRPr="00AE6427">
                              <w:rPr>
                                <w:sz w:val="22"/>
                                <w:szCs w:val="22"/>
                              </w:rPr>
                              <w:t>PFHxS</w:t>
                            </w:r>
                            <w:proofErr w:type="spellEnd"/>
                            <w:r w:rsidRPr="00AE6427">
                              <w:rPr>
                                <w:sz w:val="22"/>
                                <w:szCs w:val="22"/>
                              </w:rPr>
                              <w:t xml:space="preserve">) and may be used to evaluate PFAS in appropriate media (e.g., soil). </w:t>
                            </w:r>
                            <w:r w:rsidRPr="00AE6427" w:rsidDel="006A7FE1">
                              <w:rPr>
                                <w:rFonts w:ascii="Arial" w:hAnsi="Arial"/>
                                <w:sz w:val="22"/>
                                <w:szCs w:val="22"/>
                              </w:rPr>
                              <w:t xml:space="preserve"> </w:t>
                            </w:r>
                          </w:p>
                          <w:p w:rsidRPr="00AE6427" w:rsidR="00957D87" w:rsidP="00923C00" w:rsidRDefault="00957D87" w14:paraId="0C24E07F" w14:textId="77777777">
                            <w:pPr>
                              <w:spacing w:before="120"/>
                              <w:rPr>
                                <w:sz w:val="22"/>
                                <w:szCs w:val="22"/>
                              </w:rPr>
                            </w:pPr>
                            <w:r w:rsidRPr="00AE6427">
                              <w:rPr>
                                <w:sz w:val="22"/>
                                <w:szCs w:val="22"/>
                              </w:rPr>
                              <w:t xml:space="preserve">The results of the serum testing available from the EAs will be evaluated using the results of the environmental sampling completed for this EI and the questionnaire results from both the EA and this environmental sampling EI. The results and conclusions from the environmental sampling EI will be released as a report for the </w:t>
                            </w:r>
                            <w:proofErr w:type="gramStart"/>
                            <w:r w:rsidRPr="00AE6427">
                              <w:rPr>
                                <w:sz w:val="22"/>
                                <w:szCs w:val="22"/>
                              </w:rPr>
                              <w:t>general public</w:t>
                            </w:r>
                            <w:proofErr w:type="gramEnd"/>
                            <w:r w:rsidRPr="00AE6427">
                              <w:rPr>
                                <w:sz w:val="22"/>
                                <w:szCs w:val="22"/>
                              </w:rPr>
                              <w:t xml:space="preserve"> as soon as is possible, and findings may be submitted for publication in the peer-reviewed scientific literature. </w:t>
                            </w:r>
                          </w:p>
                          <w:p w:rsidRPr="00AE6427" w:rsidR="00957D87" w:rsidP="00923C00" w:rsidRDefault="00957D87" w14:paraId="7DC51038" w14:textId="1E88119F">
                            <w:pPr>
                              <w:spacing w:before="120"/>
                              <w:rPr>
                                <w:sz w:val="22"/>
                                <w:szCs w:val="22"/>
                              </w:rPr>
                            </w:pPr>
                            <w:r w:rsidRPr="00AE6427">
                              <w:rPr>
                                <w:b/>
                                <w:sz w:val="22"/>
                                <w:szCs w:val="22"/>
                              </w:rPr>
                              <w:t>Methods to be Used to Collect</w:t>
                            </w:r>
                            <w:r w:rsidRPr="00AE6427">
                              <w:rPr>
                                <w:sz w:val="22"/>
                                <w:szCs w:val="22"/>
                              </w:rPr>
                              <w:t xml:space="preserve">: Environmental samples will be taken at the New Castle County, DE and Hampden County, MA EA locations. A maximum of 40 and 80 households will be sampled in New Castle County and Hampden County, respectively, which represent approximately 30% of the EA households at each location. All households will be sampled for indoor dust and will be administered a household and exposure questionnaire. In addition, 20 homes at each location will also be sampled for: indoor air, bulk dust (from a vacuum cleaner bag), indoor wipe samples, and soil. Personal exposure to PFAS will be evaluated by having one participant in each of the 20 households wear a silicone wristband. In addition, outdoor air samples will be taken at a central location within the community and </w:t>
                            </w:r>
                            <w:r w:rsidRPr="009A3219">
                              <w:rPr>
                                <w:sz w:val="22"/>
                                <w:szCs w:val="22"/>
                              </w:rPr>
                              <w:t xml:space="preserve">samples of </w:t>
                            </w:r>
                            <w:r w:rsidRPr="004043A3">
                              <w:rPr>
                                <w:sz w:val="22"/>
                                <w:szCs w:val="22"/>
                              </w:rPr>
                              <w:t>locally grown</w:t>
                            </w:r>
                            <w:r w:rsidRPr="009A3219">
                              <w:rPr>
                                <w:sz w:val="22"/>
                                <w:szCs w:val="22"/>
                              </w:rPr>
                              <w:t xml:space="preserve"> produce </w:t>
                            </w:r>
                            <w:r w:rsidRPr="00AE6427">
                              <w:rPr>
                                <w:sz w:val="22"/>
                                <w:szCs w:val="22"/>
                              </w:rPr>
                              <w:t xml:space="preserve">will be collected and analyzed for PFAS. </w:t>
                            </w:r>
                          </w:p>
                          <w:p w:rsidRPr="00AE6427" w:rsidR="00957D87" w:rsidP="00923C00" w:rsidRDefault="00957D87" w14:paraId="0C0C3B5E" w14:textId="0C192099">
                            <w:pPr>
                              <w:spacing w:before="120"/>
                              <w:rPr>
                                <w:sz w:val="22"/>
                                <w:szCs w:val="22"/>
                              </w:rPr>
                            </w:pPr>
                            <w:r w:rsidRPr="00AE6427">
                              <w:rPr>
                                <w:b/>
                                <w:sz w:val="22"/>
                                <w:szCs w:val="22"/>
                              </w:rPr>
                              <w:t>Subpopulation to be Studied</w:t>
                            </w:r>
                            <w:r w:rsidRPr="00AE6427">
                              <w:rPr>
                                <w:sz w:val="22"/>
                                <w:szCs w:val="22"/>
                              </w:rPr>
                              <w:t>: Participants of the EA at two of the locations, New Castle County, DE and Hampden County, MA, will be invited to participate in the EI. The results of the serum testing available from the EAs will be evaluated using the results of the environmental sampling completed for this EI and the questionnaire results from both the EA and this environmental sampling</w:t>
                            </w:r>
                            <w:r>
                              <w:rPr>
                                <w:sz w:val="22"/>
                                <w:szCs w:val="22"/>
                              </w:rPr>
                              <w:t xml:space="preserve"> </w:t>
                            </w:r>
                            <w:r w:rsidRPr="00AE6427">
                              <w:rPr>
                                <w:sz w:val="22"/>
                                <w:szCs w:val="22"/>
                              </w:rPr>
                              <w:t xml:space="preserve">EI. </w:t>
                            </w:r>
                          </w:p>
                          <w:p w:rsidRPr="00AE6427" w:rsidR="00957D87" w:rsidP="00923C00" w:rsidRDefault="00957D87" w14:paraId="4C4E44E9" w14:textId="77777777">
                            <w:pPr>
                              <w:spacing w:before="120"/>
                              <w:rPr>
                                <w:sz w:val="22"/>
                                <w:szCs w:val="22"/>
                              </w:rPr>
                            </w:pPr>
                            <w:r w:rsidRPr="00AE6427">
                              <w:rPr>
                                <w:b/>
                                <w:sz w:val="22"/>
                                <w:szCs w:val="22"/>
                              </w:rPr>
                              <w:t>How Data will be Analyzed</w:t>
                            </w:r>
                            <w:r w:rsidRPr="00AE6427">
                              <w:rPr>
                                <w:sz w:val="22"/>
                                <w:szCs w:val="22"/>
                              </w:rPr>
                              <w:t>: The environmental samples will be analyzed by an accredited laboratory and the results provided to the EI team. The participants will be provided their individual results via a letter sent electronically or via US mail. A summary report for each location will be completed that will provide an analysis of the serum results from the EA using the results of the environmental sampling and questionnaires from the EA and this environmental sampling EI.</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8B4B80E">
                <v:stroke joinstyle="miter"/>
                <v:path gradientshapeok="t" o:connecttype="rect"/>
              </v:shapetype>
              <v:shape id="Text Box 2" style="width:468pt;height:62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1AJQIAAEUEAAAOAAAAZHJzL2Uyb0RvYy54bWysU9uO2yAQfa/Uf0C8N3bcJLux4qy22aaq&#10;tL1Iu/0AjHGMCgwFEnv79TvgbGq1farqBwTMcHzmnJnNzaAVOQnnJZiKzmc5JcJwaKQ5VPTb4/7N&#10;NSU+MNMwBUZU9El4erN9/WrT21IU0IFqhCMIYnzZ24p2IdgyyzzvhGZ+BlYYDLbgNAt4dIescaxH&#10;dK2yIs9XWQ+usQ648B5v78Yg3Sb8thU8fGlbLwJRFUVuIa0urXVcs+2GlQfHbCf5mQb7BxaaSYM/&#10;vUDdscDI0ck/oLTkDjy0YcZBZ9C2kotUA1Yzz3+r5qFjVqRaUBxvLzL5/wfLP5++OiIb9I4SwzRa&#10;9CiGQN7BQIqoTm99iUkPFtPCgNcxM1bq7T3w754Y2HXMHMStc9B3gjXIbh5fZpOnI46PIHX/CRr8&#10;DTsGSEBD63QERDEIoqNLTxdnIhWOl8v14u0qxxDH2NV6tS6WybuMlS/PrfPhgwBN4qaiDq1P8Ox0&#10;70Okw8qXlEQflGz2Uql0cId6pxw5MWyTffpSBVjlNE0Z0ld0vSyWowLTmJ9C5On7G4SWAftdSV3R&#10;60sSK6Nu702TujEwqcY9UlbmLGTUblQxDPVwNqaG5gkldTD2Nc4hbjpwPynpsacr6n8cmROUqI8G&#10;bVnPF4s4BOmwWF4VeHDTSD2NMMMRqqKBknG7C2lwomAGbtG+ViZho88jkzNX7NWk93mu4jBMzynr&#10;1/RvnwEAAP//AwBQSwMEFAAGAAgAAAAhAIS7QIPcAAAABgEAAA8AAABkcnMvZG93bnJldi54bWxM&#10;j8FOwzAQRO9I/IO1SFwQdWhpaEOcCiGB4AZtBVc33iYR9jrYbhr+noULXFYazWj2TbkanRUDhth5&#10;UnA1yUAg1d501CjYbh4uFyBi0mS09YQKvjDCqjo9KXVh/JFecVinRnAJxUIraFPqCylj3aLTceJ7&#10;JPb2PjidWIZGmqCPXO6snGZZLp3uiD+0usf7FuuP9cEpWFw/De/xefbyVud7u0wXN8PjZ1Dq/Gy8&#10;uwWRcEx/YfjBZ3SomGnnD2SisAp4SPq97C1nOcsdh6bzeQayKuV//OobAAD//wMAUEsBAi0AFAAG&#10;AAgAAAAhALaDOJL+AAAA4QEAABMAAAAAAAAAAAAAAAAAAAAAAFtDb250ZW50X1R5cGVzXS54bWxQ&#10;SwECLQAUAAYACAAAACEAOP0h/9YAAACUAQAACwAAAAAAAAAAAAAAAAAvAQAAX3JlbHMvLnJlbHNQ&#10;SwECLQAUAAYACAAAACEApiktQCUCAABFBAAADgAAAAAAAAAAAAAAAAAuAgAAZHJzL2Uyb0RvYy54&#10;bWxQSwECLQAUAAYACAAAACEAhLtAg9wAAAAGAQAADwAAAAAAAAAAAAAAAAB/BAAAZHJzL2Rvd25y&#10;ZXYueG1sUEsFBgAAAAAEAAQA8wAAAIgFAAAAAA==&#10;">
                <v:textbox>
                  <w:txbxContent>
                    <w:p w:rsidRPr="009A3219" w:rsidR="00957D87" w:rsidP="00923C00" w:rsidRDefault="00957D87" w14:paraId="3857D991" w14:textId="5BAC12DF">
                      <w:pPr>
                        <w:spacing w:before="60"/>
                        <w:rPr>
                          <w:sz w:val="22"/>
                          <w:szCs w:val="22"/>
                        </w:rPr>
                      </w:pPr>
                      <w:r w:rsidRPr="00AE6427">
                        <w:rPr>
                          <w:b/>
                          <w:sz w:val="22"/>
                          <w:szCs w:val="22"/>
                        </w:rPr>
                        <w:t>Goal of the Exposure Investigation:</w:t>
                      </w:r>
                      <w:r w:rsidRPr="00AE6427">
                        <w:rPr>
                          <w:sz w:val="22"/>
                          <w:szCs w:val="22"/>
                        </w:rPr>
                        <w:t xml:space="preserve"> Exposure Assessments (EAs) were completed at locations around the country in 2019 and 2020 to </w:t>
                      </w:r>
                      <w:r w:rsidRPr="009A3219">
                        <w:rPr>
                          <w:sz w:val="22"/>
                          <w:szCs w:val="22"/>
                        </w:rPr>
                        <w:t>evaluate per- and polyfluoroalkyl substances (PFAS</w:t>
                      </w:r>
                      <w:r w:rsidRPr="00AE6427">
                        <w:rPr>
                          <w:sz w:val="22"/>
                          <w:szCs w:val="22"/>
                        </w:rPr>
                        <w:t xml:space="preserve">) body burden (serum and urine) in </w:t>
                      </w:r>
                      <w:r w:rsidRPr="009A3219">
                        <w:rPr>
                          <w:sz w:val="22"/>
                          <w:szCs w:val="22"/>
                        </w:rPr>
                        <w:t xml:space="preserve">residents exposed to PFAS in drinking water. In a subset of participants’ homes, samples of tap water and indoor dust were collected and analyzed for PFAS. </w:t>
                      </w:r>
                    </w:p>
                    <w:p w:rsidRPr="00AE6427" w:rsidR="00957D87" w:rsidP="00923C00" w:rsidRDefault="00957D87" w14:paraId="1D4264DF" w14:textId="7ED0029E">
                      <w:pPr>
                        <w:spacing w:before="60"/>
                        <w:rPr>
                          <w:sz w:val="22"/>
                          <w:szCs w:val="22"/>
                        </w:rPr>
                      </w:pPr>
                      <w:r w:rsidRPr="009A3219">
                        <w:rPr>
                          <w:sz w:val="22"/>
                          <w:szCs w:val="22"/>
                        </w:rPr>
                        <w:t>To better evaluate non-drinking water contributions to PFAS body burden, ATSDR and EPA are conducting this “Supplemental Exposure Investigation (EI) at Select Exposure Assessment Sites”</w:t>
                      </w:r>
                      <w:r>
                        <w:rPr>
                          <w:sz w:val="22"/>
                          <w:szCs w:val="22"/>
                        </w:rPr>
                        <w:t>”</w:t>
                      </w:r>
                      <w:r w:rsidRPr="009A3219">
                        <w:rPr>
                          <w:sz w:val="22"/>
                          <w:szCs w:val="22"/>
                        </w:rPr>
                        <w:t xml:space="preserve"> (called </w:t>
                      </w:r>
                      <w:r>
                        <w:rPr>
                          <w:sz w:val="22"/>
                          <w:szCs w:val="22"/>
                        </w:rPr>
                        <w:t>E</w:t>
                      </w:r>
                      <w:r w:rsidRPr="009A3219">
                        <w:rPr>
                          <w:sz w:val="22"/>
                          <w:szCs w:val="22"/>
                        </w:rPr>
                        <w:t xml:space="preserve">nvironmental </w:t>
                      </w:r>
                      <w:r>
                        <w:rPr>
                          <w:sz w:val="22"/>
                          <w:szCs w:val="22"/>
                        </w:rPr>
                        <w:t>S</w:t>
                      </w:r>
                      <w:r w:rsidRPr="009A3219">
                        <w:rPr>
                          <w:sz w:val="22"/>
                          <w:szCs w:val="22"/>
                        </w:rPr>
                        <w:t>ampling EI) to collect and analyze samples of various environmental media for PFAS. Both the EA and EI include administration of a questionnaire. This environmental sampling EI has three primary objectives</w:t>
                      </w:r>
                      <w:r w:rsidRPr="00AE6427">
                        <w:rPr>
                          <w:sz w:val="22"/>
                          <w:szCs w:val="22"/>
                        </w:rPr>
                        <w:t>:</w:t>
                      </w:r>
                    </w:p>
                    <w:p w:rsidRPr="00AE6427" w:rsidR="00957D87" w:rsidP="004043A3" w:rsidRDefault="00957D87" w14:paraId="172486A5" w14:textId="77777777">
                      <w:pPr>
                        <w:numPr>
                          <w:ilvl w:val="0"/>
                          <w:numId w:val="33"/>
                        </w:numPr>
                        <w:spacing w:before="60"/>
                        <w:rPr>
                          <w:rFonts w:cstheme="minorHAnsi"/>
                          <w:sz w:val="22"/>
                          <w:szCs w:val="22"/>
                        </w:rPr>
                      </w:pPr>
                      <w:r w:rsidRPr="00AE6427">
                        <w:rPr>
                          <w:rFonts w:cstheme="minorHAnsi"/>
                          <w:sz w:val="22"/>
                          <w:szCs w:val="22"/>
                        </w:rPr>
                        <w:t>Whether PFAS are detectable in various non-drinking water environmental media;</w:t>
                      </w:r>
                    </w:p>
                    <w:p w:rsidRPr="00AE6427" w:rsidR="00957D87" w:rsidP="004043A3" w:rsidRDefault="00957D87" w14:paraId="6F4E344A" w14:textId="77777777">
                      <w:pPr>
                        <w:numPr>
                          <w:ilvl w:val="0"/>
                          <w:numId w:val="33"/>
                        </w:numPr>
                        <w:spacing w:before="60"/>
                        <w:rPr>
                          <w:rFonts w:cstheme="minorHAnsi"/>
                          <w:sz w:val="22"/>
                          <w:szCs w:val="22"/>
                        </w:rPr>
                      </w:pPr>
                      <w:r w:rsidRPr="00AE6427">
                        <w:rPr>
                          <w:rFonts w:cstheme="minorHAnsi"/>
                          <w:sz w:val="22"/>
                          <w:szCs w:val="22"/>
                        </w:rPr>
                        <w:t>What the detectable levels of PFAS in environmental media are; and</w:t>
                      </w:r>
                    </w:p>
                    <w:p w:rsidRPr="00AE6427" w:rsidR="00957D87" w:rsidP="004043A3" w:rsidRDefault="00957D87" w14:paraId="2638FE9C" w14:textId="77777777">
                      <w:pPr>
                        <w:numPr>
                          <w:ilvl w:val="0"/>
                          <w:numId w:val="33"/>
                        </w:numPr>
                        <w:spacing w:before="60" w:after="120"/>
                        <w:rPr>
                          <w:rFonts w:cstheme="minorHAnsi"/>
                          <w:sz w:val="22"/>
                          <w:szCs w:val="22"/>
                        </w:rPr>
                      </w:pPr>
                      <w:r w:rsidRPr="00AE6427">
                        <w:rPr>
                          <w:rFonts w:cstheme="minorHAnsi"/>
                          <w:sz w:val="22"/>
                          <w:szCs w:val="22"/>
                        </w:rPr>
                        <w:t xml:space="preserve">Whether these detectable levels of PFAS may be associated with the existing measured body burden levels of PFAS identified during the EA. </w:t>
                      </w:r>
                    </w:p>
                    <w:p w:rsidRPr="00AE6427" w:rsidR="00957D87" w:rsidP="00923C00" w:rsidRDefault="00957D87" w14:paraId="738C66BC" w14:textId="2E5B5276">
                      <w:pPr>
                        <w:spacing w:before="120"/>
                        <w:rPr>
                          <w:sz w:val="22"/>
                          <w:szCs w:val="22"/>
                        </w:rPr>
                      </w:pPr>
                      <w:r w:rsidRPr="00AE6427">
                        <w:rPr>
                          <w:b/>
                          <w:sz w:val="22"/>
                          <w:szCs w:val="22"/>
                        </w:rPr>
                        <w:t>Intended Use of the Resulting Data</w:t>
                      </w:r>
                      <w:r w:rsidRPr="00AE6427">
                        <w:rPr>
                          <w:sz w:val="22"/>
                          <w:szCs w:val="22"/>
                        </w:rPr>
                        <w:t xml:space="preserve">: The EA and environmental sampling EI questionnaire results will be used to better interpret the </w:t>
                      </w:r>
                      <w:r>
                        <w:rPr>
                          <w:sz w:val="22"/>
                          <w:szCs w:val="22"/>
                        </w:rPr>
                        <w:t>human exposure profile</w:t>
                      </w:r>
                      <w:r w:rsidRPr="00AE6427">
                        <w:rPr>
                          <w:sz w:val="22"/>
                          <w:szCs w:val="22"/>
                        </w:rPr>
                        <w:t xml:space="preserve"> obtained during the EAs at the New Castle, DE and Hampton County, MA locations. </w:t>
                      </w:r>
                    </w:p>
                    <w:p w:rsidRPr="00AE6427" w:rsidR="00957D87" w:rsidP="00923C00" w:rsidRDefault="00957D87" w14:paraId="6C4E1FBF" w14:textId="77777777">
                      <w:pPr>
                        <w:spacing w:before="120"/>
                        <w:rPr>
                          <w:rFonts w:ascii="Arial" w:hAnsi="Arial"/>
                          <w:sz w:val="22"/>
                          <w:szCs w:val="22"/>
                        </w:rPr>
                      </w:pPr>
                      <w:r w:rsidRPr="00AE6427">
                        <w:rPr>
                          <w:sz w:val="22"/>
                          <w:szCs w:val="22"/>
                        </w:rPr>
                        <w:t xml:space="preserve">Federal and state regulations or guidelines are not available for PFAS in any of the media that will be sampled. Therefore, the results of the sampling can only be used to evaluate the presence or absence, and if detected, to identify the amount of PFAS that may be present in each of the sampled media. ATSDR Minimal Risk Levels (MRLs) are available for four PFAS (i.e., PFOA, PFOS, PFNA, PFHxS) and may be used to evaluate PFAS in appropriate media (e.g., soil). </w:t>
                      </w:r>
                      <w:r w:rsidRPr="00AE6427" w:rsidDel="006A7FE1">
                        <w:rPr>
                          <w:rFonts w:ascii="Arial" w:hAnsi="Arial"/>
                          <w:sz w:val="22"/>
                          <w:szCs w:val="22"/>
                        </w:rPr>
                        <w:t xml:space="preserve"> </w:t>
                      </w:r>
                    </w:p>
                    <w:p w:rsidRPr="00AE6427" w:rsidR="00957D87" w:rsidP="00923C00" w:rsidRDefault="00957D87" w14:paraId="0C24E07F" w14:textId="77777777">
                      <w:pPr>
                        <w:spacing w:before="120"/>
                        <w:rPr>
                          <w:sz w:val="22"/>
                          <w:szCs w:val="22"/>
                        </w:rPr>
                      </w:pPr>
                      <w:r w:rsidRPr="00AE6427">
                        <w:rPr>
                          <w:sz w:val="22"/>
                          <w:szCs w:val="22"/>
                        </w:rPr>
                        <w:t xml:space="preserve">The results of the serum testing available from the EAs will be evaluated using the results of the environmental sampling completed for this EI and the questionnaire results from both the EA and this environmental sampling EI. The results and conclusions from the environmental sampling EI will be released as a report for the general public as soon as is possible, and findings may be submitted for publication in the peer-reviewed scientific literature. </w:t>
                      </w:r>
                    </w:p>
                    <w:p w:rsidRPr="00AE6427" w:rsidR="00957D87" w:rsidP="00923C00" w:rsidRDefault="00957D87" w14:paraId="7DC51038" w14:textId="1E88119F">
                      <w:pPr>
                        <w:spacing w:before="120"/>
                        <w:rPr>
                          <w:sz w:val="22"/>
                          <w:szCs w:val="22"/>
                        </w:rPr>
                      </w:pPr>
                      <w:r w:rsidRPr="00AE6427">
                        <w:rPr>
                          <w:b/>
                          <w:sz w:val="22"/>
                          <w:szCs w:val="22"/>
                        </w:rPr>
                        <w:t>Methods to be Used to Collect</w:t>
                      </w:r>
                      <w:r w:rsidRPr="00AE6427">
                        <w:rPr>
                          <w:sz w:val="22"/>
                          <w:szCs w:val="22"/>
                        </w:rPr>
                        <w:t xml:space="preserve">: Environmental samples will be taken at the New Castle County, DE and Hampden County, MA EA locations. A maximum of 40 and 80 households will be sampled in New Castle County and Hampden County, respectively, which represent approximately 30% of the EA households at each location. All households will be sampled for indoor dust and will be administered a household and exposure questionnaire. In addition, 20 homes at each location will also be sampled for: indoor air, bulk dust (from a vacuum cleaner bag), indoor wipe samples, and soil. Personal exposure to PFAS will be evaluated by having one participant in each of the 20 households wear a silicone wristband. In addition, outdoor air samples will be taken at a central location within the community and </w:t>
                      </w:r>
                      <w:r w:rsidRPr="009A3219">
                        <w:rPr>
                          <w:sz w:val="22"/>
                          <w:szCs w:val="22"/>
                        </w:rPr>
                        <w:t xml:space="preserve">samples of </w:t>
                      </w:r>
                      <w:r w:rsidRPr="004043A3">
                        <w:rPr>
                          <w:sz w:val="22"/>
                          <w:szCs w:val="22"/>
                        </w:rPr>
                        <w:t>locally grown</w:t>
                      </w:r>
                      <w:r w:rsidRPr="009A3219">
                        <w:rPr>
                          <w:sz w:val="22"/>
                          <w:szCs w:val="22"/>
                        </w:rPr>
                        <w:t xml:space="preserve"> produce </w:t>
                      </w:r>
                      <w:r w:rsidRPr="00AE6427">
                        <w:rPr>
                          <w:sz w:val="22"/>
                          <w:szCs w:val="22"/>
                        </w:rPr>
                        <w:t xml:space="preserve">will be collected and analyzed for PFAS. </w:t>
                      </w:r>
                    </w:p>
                    <w:p w:rsidRPr="00AE6427" w:rsidR="00957D87" w:rsidP="00923C00" w:rsidRDefault="00957D87" w14:paraId="0C0C3B5E" w14:textId="0C192099">
                      <w:pPr>
                        <w:spacing w:before="120"/>
                        <w:rPr>
                          <w:sz w:val="22"/>
                          <w:szCs w:val="22"/>
                        </w:rPr>
                      </w:pPr>
                      <w:r w:rsidRPr="00AE6427">
                        <w:rPr>
                          <w:b/>
                          <w:sz w:val="22"/>
                          <w:szCs w:val="22"/>
                        </w:rPr>
                        <w:t>Subpopulation to be Studied</w:t>
                      </w:r>
                      <w:r w:rsidRPr="00AE6427">
                        <w:rPr>
                          <w:sz w:val="22"/>
                          <w:szCs w:val="22"/>
                        </w:rPr>
                        <w:t>: Participants of the EA at two of the locations, New Castle County, DE and Hampden County, MA, will be invited to participate in the EI. The results of the serum testing available from the EAs will be evaluated using the results of the environmental sampling completed for this EI and the questionnaire results from both the EA and this environmental sampling</w:t>
                      </w:r>
                      <w:r>
                        <w:rPr>
                          <w:sz w:val="22"/>
                          <w:szCs w:val="22"/>
                        </w:rPr>
                        <w:t xml:space="preserve"> </w:t>
                      </w:r>
                      <w:r w:rsidRPr="00AE6427">
                        <w:rPr>
                          <w:sz w:val="22"/>
                          <w:szCs w:val="22"/>
                        </w:rPr>
                        <w:t xml:space="preserve">EI. </w:t>
                      </w:r>
                    </w:p>
                    <w:p w:rsidRPr="00AE6427" w:rsidR="00957D87" w:rsidP="00923C00" w:rsidRDefault="00957D87" w14:paraId="4C4E44E9" w14:textId="77777777">
                      <w:pPr>
                        <w:spacing w:before="120"/>
                        <w:rPr>
                          <w:sz w:val="22"/>
                          <w:szCs w:val="22"/>
                        </w:rPr>
                      </w:pPr>
                      <w:r w:rsidRPr="00AE6427">
                        <w:rPr>
                          <w:b/>
                          <w:sz w:val="22"/>
                          <w:szCs w:val="22"/>
                        </w:rPr>
                        <w:t>How Data will be Analyzed</w:t>
                      </w:r>
                      <w:r w:rsidRPr="00AE6427">
                        <w:rPr>
                          <w:sz w:val="22"/>
                          <w:szCs w:val="22"/>
                        </w:rPr>
                        <w:t>: The environmental samples will be analyzed by an accredited laboratory and the results provided to the EI team. The participants will be provided their individual results via a letter sent electronically or via US mail. A summary report for each location will be completed that will provide an analysis of the serum results from the EA using the results of the environmental sampling and questionnaires from the EA and this environmental sampling EI.</w:t>
                      </w:r>
                    </w:p>
                  </w:txbxContent>
                </v:textbox>
                <w10:anchorlock/>
              </v:shape>
            </w:pict>
          </mc:Fallback>
        </mc:AlternateContent>
      </w:r>
    </w:p>
    <w:p w:rsidR="003B2430" w:rsidRDefault="003B2430" w14:paraId="7B3603C5" w14:textId="77777777">
      <w:pPr>
        <w:rPr>
          <w:b/>
        </w:rPr>
      </w:pPr>
    </w:p>
    <w:p w:rsidR="003B2430" w:rsidRDefault="003B2430" w14:paraId="623B85B0" w14:textId="77777777">
      <w:pPr>
        <w:rPr>
          <w:b/>
        </w:rPr>
      </w:pPr>
    </w:p>
    <w:p w:rsidRPr="00C635E7" w:rsidR="00EC4AE2" w:rsidP="00C635E7" w:rsidRDefault="00312D79" w14:paraId="2A7B3EE2" w14:textId="4B001D7E">
      <w:pPr>
        <w:pStyle w:val="Heading1"/>
      </w:pPr>
      <w:bookmarkStart w:name="_Toc76650781" w:id="0"/>
      <w:r w:rsidRPr="00C635E7">
        <w:t>A. Justification</w:t>
      </w:r>
      <w:bookmarkEnd w:id="0"/>
    </w:p>
    <w:p w:rsidR="00311E38" w:rsidP="001C226F" w:rsidRDefault="00DE0214" w14:paraId="55283E8A" w14:textId="3F450EF6">
      <w:pPr>
        <w:pStyle w:val="Heading2"/>
      </w:pPr>
      <w:bookmarkStart w:name="_Toc76650782" w:id="1"/>
      <w:r>
        <w:t xml:space="preserve">A.1 Circumstances </w:t>
      </w:r>
      <w:r w:rsidRPr="001C226F">
        <w:t>Making</w:t>
      </w:r>
      <w:r>
        <w:t xml:space="preserve"> the Collection of Information Necessary</w:t>
      </w:r>
      <w:bookmarkEnd w:id="1"/>
    </w:p>
    <w:p w:rsidR="0069469D" w:rsidP="00D141BB" w:rsidRDefault="00BC290E" w14:paraId="462A6B39" w14:textId="7FC944CD">
      <w:pPr>
        <w:spacing w:before="100" w:beforeAutospacing="1"/>
        <w:rPr>
          <w:bCs/>
        </w:rPr>
      </w:pPr>
      <w:r>
        <w:rPr>
          <w:bCs/>
        </w:rPr>
        <w:t xml:space="preserve">This data collection is being conducted using the Generic Information Collection </w:t>
      </w:r>
      <w:r w:rsidR="00453F76">
        <w:rPr>
          <w:bCs/>
        </w:rPr>
        <w:t xml:space="preserve">Request </w:t>
      </w:r>
      <w:r>
        <w:rPr>
          <w:bCs/>
        </w:rPr>
        <w:t xml:space="preserve">mechanism of the </w:t>
      </w:r>
      <w:r w:rsidR="000244F3">
        <w:rPr>
          <w:bCs/>
        </w:rPr>
        <w:t>Agency for Toxic Substances an</w:t>
      </w:r>
      <w:r w:rsidR="005452C7">
        <w:rPr>
          <w:bCs/>
        </w:rPr>
        <w:t>d</w:t>
      </w:r>
      <w:r w:rsidR="000244F3">
        <w:rPr>
          <w:bCs/>
        </w:rPr>
        <w:t xml:space="preserve"> Disease Registry (</w:t>
      </w:r>
      <w:r>
        <w:rPr>
          <w:bCs/>
        </w:rPr>
        <w:t>ATSDR</w:t>
      </w:r>
      <w:r w:rsidR="000244F3">
        <w:rPr>
          <w:bCs/>
        </w:rPr>
        <w:t>)</w:t>
      </w:r>
      <w:r>
        <w:rPr>
          <w:bCs/>
        </w:rPr>
        <w:t xml:space="preserve"> Exposure Investigations (EIs) – OMB </w:t>
      </w:r>
      <w:r w:rsidR="00EB2D9F">
        <w:rPr>
          <w:bCs/>
        </w:rPr>
        <w:t xml:space="preserve">Control </w:t>
      </w:r>
      <w:r>
        <w:rPr>
          <w:bCs/>
        </w:rPr>
        <w:t>No.0923-0048</w:t>
      </w:r>
      <w:r w:rsidR="00EB2D9F">
        <w:rPr>
          <w:bCs/>
        </w:rPr>
        <w:t>,</w:t>
      </w:r>
      <w:r w:rsidR="00E734E7">
        <w:rPr>
          <w:bCs/>
        </w:rPr>
        <w:t xml:space="preserve"> exp</w:t>
      </w:r>
      <w:r w:rsidR="000B7F02">
        <w:rPr>
          <w:bCs/>
        </w:rPr>
        <w:t>iration date</w:t>
      </w:r>
      <w:r w:rsidR="00E734E7">
        <w:rPr>
          <w:bCs/>
        </w:rPr>
        <w:t xml:space="preserve"> </w:t>
      </w:r>
      <w:r w:rsidR="005D2A1F">
        <w:rPr>
          <w:bCs/>
        </w:rPr>
        <w:t>04/30/2022</w:t>
      </w:r>
      <w:r>
        <w:rPr>
          <w:bCs/>
        </w:rPr>
        <w:t xml:space="preserve">. The data collection for the </w:t>
      </w:r>
      <w:r w:rsidR="00AC3669">
        <w:rPr>
          <w:rStyle w:val="Strong"/>
          <w:b w:val="0"/>
        </w:rPr>
        <w:t>environmental sampling</w:t>
      </w:r>
      <w:r w:rsidR="005D2A1F">
        <w:rPr>
          <w:rStyle w:val="Strong"/>
          <w:b w:val="0"/>
        </w:rPr>
        <w:t xml:space="preserve"> </w:t>
      </w:r>
      <w:r>
        <w:rPr>
          <w:bCs/>
        </w:rPr>
        <w:t xml:space="preserve">EI aligns with the </w:t>
      </w:r>
      <w:r w:rsidR="00827296">
        <w:rPr>
          <w:bCs/>
        </w:rPr>
        <w:t>a</w:t>
      </w:r>
      <w:r w:rsidR="00905D07">
        <w:rPr>
          <w:bCs/>
        </w:rPr>
        <w:t xml:space="preserve">gency’s </w:t>
      </w:r>
      <w:r>
        <w:rPr>
          <w:bCs/>
        </w:rPr>
        <w:t>mission.</w:t>
      </w:r>
    </w:p>
    <w:p w:rsidRPr="007F6ADC" w:rsidR="00363D95" w:rsidP="00CD3DB9" w:rsidRDefault="00363D95" w14:paraId="5AC19267" w14:textId="77777777">
      <w:pPr>
        <w:spacing w:before="100" w:beforeAutospacing="1"/>
        <w:rPr>
          <w:color w:val="000000"/>
          <w:szCs w:val="20"/>
        </w:rPr>
      </w:pPr>
      <w:r>
        <w:rPr>
          <w:color w:val="000000"/>
          <w:szCs w:val="20"/>
        </w:rPr>
        <w:t>The data collection is authorized by the Comprehensive Environmental Response, Compensation, and Liability Act of 1980 (CERCLA), commonly known as the “Superfund” Act, as amended by the Superfund Amendments and Reauthorization Act (SARA) of 1986.</w:t>
      </w:r>
    </w:p>
    <w:p w:rsidR="00BC290E" w:rsidP="00CD3DB9" w:rsidRDefault="00BC290E" w14:paraId="4F1A605E" w14:textId="77777777"/>
    <w:p w:rsidRPr="005B1CE6" w:rsidR="005B1CE6" w:rsidP="007E5790" w:rsidRDefault="005B1CE6" w14:paraId="41EFE604" w14:textId="77777777">
      <w:pPr>
        <w:rPr>
          <w:rStyle w:val="Strong"/>
          <w:rFonts w:asciiTheme="majorHAnsi" w:hAnsiTheme="majorHAnsi"/>
          <w:color w:val="4F81BD"/>
        </w:rPr>
      </w:pPr>
      <w:r w:rsidRPr="005B1CE6">
        <w:rPr>
          <w:rStyle w:val="Strong"/>
          <w:rFonts w:asciiTheme="majorHAnsi" w:hAnsiTheme="majorHAnsi"/>
          <w:color w:val="4F81BD"/>
        </w:rPr>
        <w:t>ATSDR Public Health Assessment Process</w:t>
      </w:r>
      <w:r w:rsidR="00C15C5B">
        <w:rPr>
          <w:rStyle w:val="Strong"/>
          <w:rFonts w:asciiTheme="majorHAnsi" w:hAnsiTheme="majorHAnsi"/>
          <w:color w:val="4F81BD"/>
        </w:rPr>
        <w:t xml:space="preserve"> and the Role of the Exposure Investigation</w:t>
      </w:r>
    </w:p>
    <w:p w:rsidRPr="00772A0F" w:rsidR="003262BE" w:rsidP="003262BE" w:rsidRDefault="004043A3" w14:paraId="3769DA7B" w14:textId="64763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pPr>
      <w:r>
        <w:t>Previously</w:t>
      </w:r>
      <w:r w:rsidR="009A3219">
        <w:t>,</w:t>
      </w:r>
      <w:r>
        <w:t xml:space="preserve"> u</w:t>
      </w:r>
      <w:r w:rsidRPr="009E45D1" w:rsidR="00A65C7C">
        <w:t xml:space="preserve">nder Section 8006 of the Consolidated Appropriations Act, 2018, ATSDR was required to conduct statistically based biomonitoring exposure assessments (EAs) at “no less than eight current or former domestic military installations” that have or have had documented exposures to PFAS in drinking water. </w:t>
      </w:r>
      <w:r w:rsidRPr="00772A0F" w:rsidR="003262BE">
        <w:t xml:space="preserve">From 2019 to 2020, ATSDR conducted EAs in </w:t>
      </w:r>
      <w:r w:rsidR="003262BE">
        <w:t xml:space="preserve">eight </w:t>
      </w:r>
      <w:r w:rsidRPr="00772A0F" w:rsidR="003262BE">
        <w:t>communities throughout the United States.</w:t>
      </w:r>
      <w:r w:rsidRPr="00112D2C" w:rsidR="003262BE">
        <w:t xml:space="preserve"> </w:t>
      </w:r>
    </w:p>
    <w:p w:rsidR="00112D2C" w:rsidP="00CD3DB9" w:rsidRDefault="00A65C7C" w14:paraId="04A21680" w14:textId="4B54A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pPr>
      <w:r w:rsidRPr="009E45D1">
        <w:t xml:space="preserve">The intention of the EAs was to determine how exposure to PFAS in drinking water in communities nearby the military installations may have </w:t>
      </w:r>
      <w:r w:rsidR="00453F76">
        <w:t xml:space="preserve">contributed to </w:t>
      </w:r>
      <w:r w:rsidRPr="009E45D1">
        <w:t>levels of PFAS in blood and urine</w:t>
      </w:r>
      <w:r w:rsidR="00453F76">
        <w:t xml:space="preserve"> of members of the community</w:t>
      </w:r>
      <w:r w:rsidRPr="009E45D1">
        <w:t>. In addition to blood and urine testing, tap water and indoor dust were also sampled in a subset of homes.</w:t>
      </w:r>
      <w:r w:rsidRPr="00713169" w:rsidR="00713169">
        <w:t xml:space="preserve"> </w:t>
      </w:r>
      <w:r w:rsidR="003262BE">
        <w:t>A questionnaire to evaluate potential exposure to PFAS, resulting from water intake, use of consumer products and potential exposure in the workplace, was administered to both adults and children in each participating household.</w:t>
      </w:r>
    </w:p>
    <w:p w:rsidR="00373E0B" w:rsidP="00CD3DB9" w:rsidRDefault="00C64049" w14:paraId="47FDF8F0" w14:textId="4287F885">
      <w:pPr>
        <w:spacing w:before="100" w:beforeAutospacing="1"/>
        <w:rPr>
          <w:rFonts w:cstheme="minorHAnsi"/>
        </w:rPr>
      </w:pPr>
      <w:r w:rsidRPr="009E45D1">
        <w:t>Exposure to PFAS can result from exposure to both drinking water and non-drinking water sources. Although there</w:t>
      </w:r>
      <w:r w:rsidRPr="00F66B83">
        <w:rPr>
          <w:rFonts w:cstheme="minorHAnsi"/>
        </w:rPr>
        <w:t xml:space="preserve"> is information indicating additional sources of exposure to PFAS, information on the contribution of these sources to PFAS body burden</w:t>
      </w:r>
      <w:r>
        <w:rPr>
          <w:rFonts w:cstheme="minorHAnsi"/>
        </w:rPr>
        <w:t xml:space="preserve"> levels</w:t>
      </w:r>
      <w:r w:rsidRPr="00F66B83">
        <w:rPr>
          <w:rFonts w:cstheme="minorHAnsi"/>
        </w:rPr>
        <w:t xml:space="preserve"> is sparse.</w:t>
      </w:r>
      <w:r w:rsidR="00373E0B">
        <w:rPr>
          <w:rFonts w:cstheme="minorHAnsi"/>
        </w:rPr>
        <w:t xml:space="preserve"> </w:t>
      </w:r>
      <w:r w:rsidR="00BE79F4">
        <w:rPr>
          <w:rFonts w:cstheme="minorHAnsi"/>
        </w:rPr>
        <w:t xml:space="preserve">To </w:t>
      </w:r>
      <w:r w:rsidR="00373E0B">
        <w:rPr>
          <w:rFonts w:cstheme="minorHAnsi"/>
        </w:rPr>
        <w:t xml:space="preserve">better </w:t>
      </w:r>
      <w:r w:rsidR="00BE79F4">
        <w:rPr>
          <w:rFonts w:cstheme="minorHAnsi"/>
        </w:rPr>
        <w:t xml:space="preserve">evaluate non-drinking water sources of PFAS that result in contributions to PFAS body burden, </w:t>
      </w:r>
      <w:r w:rsidRPr="00F66B83">
        <w:rPr>
          <w:rFonts w:cstheme="minorHAnsi"/>
        </w:rPr>
        <w:t>ATSDR and EPA are conduct</w:t>
      </w:r>
      <w:r>
        <w:rPr>
          <w:rFonts w:cstheme="minorHAnsi"/>
        </w:rPr>
        <w:t>ing</w:t>
      </w:r>
      <w:r w:rsidRPr="00F66B83">
        <w:rPr>
          <w:rFonts w:cstheme="minorHAnsi"/>
        </w:rPr>
        <w:t xml:space="preserve"> this supplemental E</w:t>
      </w:r>
      <w:r w:rsidR="005E6FDB">
        <w:rPr>
          <w:rFonts w:cstheme="minorHAnsi"/>
        </w:rPr>
        <w:t>xposure Investigation</w:t>
      </w:r>
      <w:r w:rsidR="006A6E98">
        <w:rPr>
          <w:rFonts w:cstheme="minorHAnsi"/>
        </w:rPr>
        <w:t xml:space="preserve"> at Select PFAS EA Sites (called environmental sampling EI)</w:t>
      </w:r>
      <w:r w:rsidR="00BE79F4">
        <w:rPr>
          <w:rFonts w:cstheme="minorHAnsi"/>
        </w:rPr>
        <w:t>.</w:t>
      </w:r>
    </w:p>
    <w:p w:rsidR="00E149FC" w:rsidP="00C34DE4" w:rsidRDefault="00C354A0" w14:paraId="04E3F13F" w14:textId="2267E7E4">
      <w:pPr>
        <w:spacing w:before="100" w:beforeAutospacing="1"/>
      </w:pPr>
      <w:r>
        <w:t xml:space="preserve">All households will be sampled for indoor dust (filtered sample) and will be administered a household and exposure questionnaire. In addition, 20 homes at each location will also be sampled for: indoor air, bulk dust (from a vacuum cleaner bag), indoor wipe samples, and soil. Personal exposure to PFAS will be evaluated by having one participant in each of the 20 households wear a silicone wristband. In addition, outdoor air samples will be taken at a central location within the community and samples of </w:t>
      </w:r>
      <w:r w:rsidR="00160F55">
        <w:t>locally grown</w:t>
      </w:r>
      <w:r>
        <w:t xml:space="preserve"> produce will be collected and analyzed for PFAS.</w:t>
      </w:r>
      <w:r w:rsidR="00373E0B">
        <w:t xml:space="preserve"> </w:t>
      </w:r>
      <w:r w:rsidR="00C34DE4">
        <w:t xml:space="preserve">The results of the environmental sampling and the results of the questionnaires from both the EA and this </w:t>
      </w:r>
      <w:r w:rsidR="006A6E98">
        <w:t xml:space="preserve">environmental sampling </w:t>
      </w:r>
      <w:r w:rsidR="005E6FDB">
        <w:t>EI</w:t>
      </w:r>
      <w:r w:rsidR="00C34DE4">
        <w:t xml:space="preserve"> will be used to better interpret the results of the </w:t>
      </w:r>
      <w:r>
        <w:t>serum</w:t>
      </w:r>
      <w:r w:rsidR="00C34DE4">
        <w:t xml:space="preserve"> sampling collected during the EA.</w:t>
      </w:r>
    </w:p>
    <w:p w:rsidR="00363D95" w:rsidP="00C34DE4" w:rsidRDefault="00363D95" w14:paraId="084862E8" w14:textId="77777777">
      <w:pPr>
        <w:spacing w:before="100" w:beforeAutospacing="1"/>
        <w:rPr>
          <w:rStyle w:val="Strong"/>
          <w:rFonts w:asciiTheme="majorHAnsi" w:hAnsiTheme="majorHAnsi"/>
          <w:color w:val="4F81BD"/>
        </w:rPr>
      </w:pPr>
      <w:r>
        <w:rPr>
          <w:rStyle w:val="Strong"/>
          <w:rFonts w:asciiTheme="majorHAnsi" w:hAnsiTheme="majorHAnsi"/>
          <w:color w:val="4F81BD"/>
        </w:rPr>
        <w:lastRenderedPageBreak/>
        <w:t>The Exposure Investigation Criteria and Recommendation Process</w:t>
      </w:r>
    </w:p>
    <w:p w:rsidR="00363D95" w:rsidP="00363D95" w:rsidRDefault="00363D95" w14:paraId="5C0725EA" w14:textId="77777777"/>
    <w:p w:rsidR="00074222" w:rsidP="009A5A05" w:rsidRDefault="00074222" w14:paraId="25CAB8C5" w14:textId="537CCE4A">
      <w:r>
        <w:t>Four</w:t>
      </w:r>
      <w:r w:rsidR="007E282F">
        <w:t xml:space="preserve"> criteria must be met for the </w:t>
      </w:r>
      <w:r w:rsidR="005E6FDB">
        <w:t>Exposure Investigation</w:t>
      </w:r>
      <w:r w:rsidR="007E282F">
        <w:t xml:space="preserve"> to be approved</w:t>
      </w:r>
      <w:r>
        <w:t xml:space="preserve"> and conducted</w:t>
      </w:r>
      <w:r w:rsidR="007E282F">
        <w:t>.</w:t>
      </w:r>
      <w:r w:rsidR="00160F55">
        <w:rPr>
          <w:color w:val="000000"/>
        </w:rPr>
        <w:t xml:space="preserve"> </w:t>
      </w:r>
      <w:r w:rsidR="007E282F">
        <w:rPr>
          <w:color w:val="000000"/>
        </w:rPr>
        <w:t xml:space="preserve">If the answers to these questions indicate that an </w:t>
      </w:r>
      <w:r w:rsidR="005E6FDB">
        <w:rPr>
          <w:color w:val="000000"/>
        </w:rPr>
        <w:t>Exposure Investigation</w:t>
      </w:r>
      <w:r w:rsidR="007E282F">
        <w:rPr>
          <w:color w:val="000000"/>
        </w:rPr>
        <w:t xml:space="preserve"> would allow ATSDR to make a better-informed public health call, </w:t>
      </w:r>
      <w:r w:rsidRPr="00A471FA" w:rsidR="007E282F">
        <w:t xml:space="preserve">the </w:t>
      </w:r>
      <w:r w:rsidR="00BE79F4">
        <w:t>Office of Community Health and Hazard Assessment (</w:t>
      </w:r>
      <w:r w:rsidR="009C6DC1">
        <w:t>OCHHA</w:t>
      </w:r>
      <w:r w:rsidR="00BE79F4">
        <w:t xml:space="preserve">) </w:t>
      </w:r>
      <w:r w:rsidR="007E282F">
        <w:t>EI Team</w:t>
      </w:r>
      <w:r w:rsidRPr="00A471FA" w:rsidR="007E282F">
        <w:t xml:space="preserve"> </w:t>
      </w:r>
      <w:r w:rsidR="007E282F">
        <w:t>may conduct</w:t>
      </w:r>
      <w:r w:rsidRPr="00A471FA" w:rsidR="007E282F">
        <w:t xml:space="preserve"> </w:t>
      </w:r>
      <w:proofErr w:type="gramStart"/>
      <w:r w:rsidR="007E282F">
        <w:t>agency-led</w:t>
      </w:r>
      <w:proofErr w:type="gramEnd"/>
      <w:r w:rsidR="007E282F">
        <w:t xml:space="preserve"> EIs</w:t>
      </w:r>
      <w:r w:rsidRPr="00A471FA" w:rsidR="007E282F">
        <w:t>.</w:t>
      </w:r>
      <w:r w:rsidRPr="001352D8" w:rsidR="001352D8">
        <w:t xml:space="preserve"> </w:t>
      </w:r>
      <w:r w:rsidR="009C6DC1">
        <w:t xml:space="preserve">At the EA sites, </w:t>
      </w:r>
      <w:r>
        <w:t xml:space="preserve">the responses to the four questions (provided below) indicated that an </w:t>
      </w:r>
      <w:r w:rsidR="006A6E98">
        <w:t xml:space="preserve">environmental sampling </w:t>
      </w:r>
      <w:r>
        <w:t>EI is warranted.</w:t>
      </w:r>
    </w:p>
    <w:p w:rsidR="00074222" w:rsidP="007E282F" w:rsidRDefault="00074222" w14:paraId="6D1F22A6" w14:textId="77777777"/>
    <w:p w:rsidR="007E282F" w:rsidP="007E282F" w:rsidRDefault="001352D8" w14:paraId="5E812646" w14:textId="7A40CB35">
      <w:pPr>
        <w:rPr>
          <w:color w:val="000000"/>
          <w:szCs w:val="20"/>
        </w:rPr>
      </w:pPr>
      <w:r>
        <w:t xml:space="preserve">The EI Team from </w:t>
      </w:r>
      <w:r w:rsidR="00BE79F4">
        <w:t xml:space="preserve">OCHHA and </w:t>
      </w:r>
      <w:r>
        <w:t>ATSDR Region</w:t>
      </w:r>
      <w:r w:rsidR="00BE79F4">
        <w:t>s 1 and 3</w:t>
      </w:r>
      <w:r>
        <w:t xml:space="preserve"> will lead the investigation</w:t>
      </w:r>
      <w:r w:rsidR="00BE79F4">
        <w:t xml:space="preserve"> with input from EPA’s Office of Research and Development (ORD</w:t>
      </w:r>
      <w:r>
        <w:t>)</w:t>
      </w:r>
      <w:r w:rsidR="00C34DE4">
        <w:t>.</w:t>
      </w:r>
      <w:r>
        <w:rPr>
          <w:rFonts w:eastAsiaTheme="minorHAnsi"/>
        </w:rPr>
        <w:t xml:space="preserve"> </w:t>
      </w:r>
      <w:r w:rsidR="007E282F">
        <w:t xml:space="preserve"> </w:t>
      </w:r>
    </w:p>
    <w:p w:rsidR="001977A4" w:rsidP="00363D95" w:rsidRDefault="001977A4" w14:paraId="1BA641E5" w14:textId="77777777"/>
    <w:p w:rsidR="00BC290E" w:rsidP="006A6E98" w:rsidRDefault="00AD1623" w14:paraId="543AA856" w14:textId="3905F524">
      <w:pPr>
        <w:spacing w:before="120"/>
      </w:pPr>
      <w:r>
        <w:rPr>
          <w:rStyle w:val="Strong"/>
          <w:rFonts w:asciiTheme="majorHAnsi" w:hAnsiTheme="majorHAnsi"/>
          <w:color w:val="4F81BD"/>
        </w:rPr>
        <w:t>Environmental Sampling</w:t>
      </w:r>
      <w:r w:rsidR="00C34DE4">
        <w:rPr>
          <w:rStyle w:val="Strong"/>
          <w:rFonts w:asciiTheme="majorHAnsi" w:hAnsiTheme="majorHAnsi"/>
          <w:color w:val="4F81BD"/>
        </w:rPr>
        <w:t xml:space="preserve"> Exposure Investigation (EI) </w:t>
      </w:r>
    </w:p>
    <w:p w:rsidR="00160F55" w:rsidP="00160F55" w:rsidRDefault="00160F55" w14:paraId="464F0EC0" w14:textId="77777777">
      <w:pPr>
        <w:rPr>
          <w:color w:val="000000"/>
          <w:szCs w:val="20"/>
        </w:rPr>
      </w:pPr>
    </w:p>
    <w:p w:rsidR="00C34DE4" w:rsidP="00160F55" w:rsidRDefault="00C354A0" w14:paraId="32AB20D9" w14:textId="7602D8DB">
      <w:r>
        <w:rPr>
          <w:color w:val="000000"/>
          <w:szCs w:val="20"/>
        </w:rPr>
        <w:t xml:space="preserve">ATSDR was </w:t>
      </w:r>
      <w:r w:rsidR="00160F55">
        <w:rPr>
          <w:color w:val="000000"/>
          <w:szCs w:val="20"/>
        </w:rPr>
        <w:t xml:space="preserve">previously </w:t>
      </w:r>
      <w:r>
        <w:rPr>
          <w:color w:val="000000"/>
          <w:szCs w:val="20"/>
        </w:rPr>
        <w:t>directed to conduct the E</w:t>
      </w:r>
      <w:r w:rsidR="00160F55">
        <w:rPr>
          <w:color w:val="000000"/>
          <w:szCs w:val="20"/>
        </w:rPr>
        <w:t>A</w:t>
      </w:r>
      <w:r>
        <w:rPr>
          <w:color w:val="000000"/>
          <w:szCs w:val="20"/>
        </w:rPr>
        <w:t>s</w:t>
      </w:r>
      <w:r w:rsidR="00160F55">
        <w:rPr>
          <w:color w:val="000000"/>
          <w:szCs w:val="20"/>
        </w:rPr>
        <w:t>,</w:t>
      </w:r>
      <w:r>
        <w:rPr>
          <w:color w:val="000000"/>
          <w:szCs w:val="20"/>
        </w:rPr>
        <w:t xml:space="preserve"> and the </w:t>
      </w:r>
      <w:r w:rsidR="006A6E98">
        <w:rPr>
          <w:color w:val="000000"/>
          <w:szCs w:val="20"/>
        </w:rPr>
        <w:t>environmental sampling EI</w:t>
      </w:r>
      <w:r>
        <w:rPr>
          <w:color w:val="000000"/>
          <w:szCs w:val="20"/>
        </w:rPr>
        <w:t xml:space="preserve"> was </w:t>
      </w:r>
      <w:r w:rsidR="00160F55">
        <w:rPr>
          <w:color w:val="000000"/>
          <w:szCs w:val="20"/>
        </w:rPr>
        <w:t xml:space="preserve">further </w:t>
      </w:r>
      <w:r w:rsidR="00DD23B4">
        <w:rPr>
          <w:color w:val="000000"/>
          <w:szCs w:val="20"/>
        </w:rPr>
        <w:t xml:space="preserve">funded by an Inter-agency Agreement with EPA to conduct environmental sampling at appropriate EA locations. This </w:t>
      </w:r>
      <w:r w:rsidR="006A6E98">
        <w:rPr>
          <w:color w:val="000000"/>
          <w:szCs w:val="20"/>
        </w:rPr>
        <w:t>environmental sampling</w:t>
      </w:r>
      <w:r w:rsidR="00DD23B4">
        <w:rPr>
          <w:color w:val="000000"/>
          <w:szCs w:val="20"/>
        </w:rPr>
        <w:t xml:space="preserve"> EI meets the criteria for completion of an EI. </w:t>
      </w:r>
      <w:r w:rsidR="00363D95">
        <w:rPr>
          <w:color w:val="000000"/>
          <w:szCs w:val="20"/>
        </w:rPr>
        <w:t>The four questions used to establish whether it was appropriate to conduct a</w:t>
      </w:r>
      <w:r w:rsidR="006A6E98">
        <w:rPr>
          <w:color w:val="000000"/>
          <w:szCs w:val="20"/>
        </w:rPr>
        <w:t xml:space="preserve">n environmental sampling </w:t>
      </w:r>
      <w:r w:rsidR="00363D95">
        <w:rPr>
          <w:color w:val="000000"/>
          <w:szCs w:val="20"/>
        </w:rPr>
        <w:t xml:space="preserve">EI for the </w:t>
      </w:r>
      <w:r w:rsidR="00C34DE4">
        <w:rPr>
          <w:color w:val="000000"/>
          <w:szCs w:val="20"/>
        </w:rPr>
        <w:t xml:space="preserve">selected EA </w:t>
      </w:r>
      <w:r w:rsidR="00363D95">
        <w:rPr>
          <w:color w:val="000000"/>
          <w:szCs w:val="20"/>
        </w:rPr>
        <w:t>site were as follows:</w:t>
      </w:r>
      <w:r w:rsidRPr="00D20679" w:rsidR="00D20679">
        <w:t xml:space="preserve"> </w:t>
      </w:r>
    </w:p>
    <w:p w:rsidR="00160F55" w:rsidP="00AE6427" w:rsidRDefault="00160F55" w14:paraId="292A8034" w14:textId="77777777"/>
    <w:p w:rsidRPr="002252F1" w:rsidR="008F5CF3" w:rsidP="006F62B8" w:rsidRDefault="008F5CF3" w14:paraId="676F2A3A" w14:textId="77777777">
      <w:pPr>
        <w:numPr>
          <w:ilvl w:val="0"/>
          <w:numId w:val="8"/>
        </w:numPr>
        <w:spacing w:after="100" w:afterAutospacing="1" w:line="276" w:lineRule="auto"/>
        <w:ind w:left="360"/>
        <w:contextualSpacing/>
        <w:rPr>
          <w:rFonts w:eastAsia="Calibri"/>
          <w:i/>
        </w:rPr>
      </w:pPr>
      <w:r w:rsidRPr="002252F1">
        <w:rPr>
          <w:rFonts w:eastAsia="Calibri"/>
          <w:i/>
        </w:rPr>
        <w:t>Can an exposed population be identified?</w:t>
      </w:r>
    </w:p>
    <w:p w:rsidR="00B13F64" w:rsidP="00160F55" w:rsidRDefault="008F5CF3" w14:paraId="42949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F5CF3">
        <w:rPr>
          <w:rFonts w:eastAsia="Calibri"/>
        </w:rPr>
        <w:t xml:space="preserve"> </w:t>
      </w:r>
      <w:r w:rsidRPr="00FF2327" w:rsidR="002252F1">
        <w:rPr>
          <w:rFonts w:eastAsiaTheme="minorHAnsi"/>
        </w:rPr>
        <w:t xml:space="preserve">Yes. </w:t>
      </w:r>
      <w:r w:rsidR="00C34DE4">
        <w:rPr>
          <w:rFonts w:eastAsiaTheme="minorHAnsi"/>
        </w:rPr>
        <w:t>Drinking water levels in the two EA communities were know</w:t>
      </w:r>
      <w:r w:rsidR="009938DC">
        <w:rPr>
          <w:rFonts w:eastAsiaTheme="minorHAnsi"/>
        </w:rPr>
        <w:t>n</w:t>
      </w:r>
      <w:r w:rsidR="00C34DE4">
        <w:rPr>
          <w:rFonts w:eastAsiaTheme="minorHAnsi"/>
        </w:rPr>
        <w:t xml:space="preserve"> to be above the EPA Health Advisory of 70 ppt (for the sum of PFOA and PFOS) at some point in the past. </w:t>
      </w:r>
      <w:r w:rsidR="009A5A05">
        <w:rPr>
          <w:rFonts w:eastAsiaTheme="minorHAnsi"/>
        </w:rPr>
        <w:t>The serum samples analyzed for PFAS as part of the EA</w:t>
      </w:r>
      <w:r w:rsidRPr="00772A0F" w:rsidR="009A5A05">
        <w:t xml:space="preserve"> were compared to nationally representative data, specifically, to data collected by CDC as part of its National Health and Nutrition Examination Survey (NHANES)</w:t>
      </w:r>
      <w:r w:rsidR="00344A13">
        <w:t xml:space="preserve"> and the serum PFAS levels were found to be elevated above NHANES at all eight locations, including MA and DE, for </w:t>
      </w:r>
      <w:r w:rsidR="00B13F64">
        <w:t xml:space="preserve">several PFAS, primarily </w:t>
      </w:r>
      <w:proofErr w:type="spellStart"/>
      <w:r w:rsidR="00B13F64">
        <w:t>PFHxS</w:t>
      </w:r>
      <w:proofErr w:type="spellEnd"/>
      <w:r w:rsidR="00B13F64">
        <w:t xml:space="preserve">, PFOS and/or PFOA. </w:t>
      </w:r>
      <w:r w:rsidR="00AB16D2">
        <w:t>Low levels of PFAS were detected in few urine samples</w:t>
      </w:r>
      <w:r w:rsidR="00B13F64">
        <w:t>.</w:t>
      </w:r>
    </w:p>
    <w:p w:rsidR="00B13F64" w:rsidP="00BE2013" w:rsidRDefault="00B13F64" w14:paraId="0860D9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Pr="00772A0F" w:rsidR="009A5A05" w:rsidP="00BE2013" w:rsidRDefault="00B13F64" w14:paraId="79126A51" w14:textId="6F1439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PFAS may be present in drinking water as well as non-drinking water given that numerous consumer products used routinely in households may contain PFAS given </w:t>
      </w:r>
      <w:r w:rsidR="00066922">
        <w:t xml:space="preserve">PFAS’s stain-, water- and grease-resistant properties. </w:t>
      </w:r>
      <w:r w:rsidR="00AB16D2">
        <w:t xml:space="preserve"> </w:t>
      </w:r>
    </w:p>
    <w:p w:rsidRPr="00C34DE4" w:rsidR="008F5CF3" w:rsidP="00BE2013" w:rsidRDefault="002252F1" w14:paraId="2EB3DAB3" w14:textId="67AF17F2">
      <w:pPr>
        <w:ind w:left="360"/>
        <w:rPr>
          <w:rFonts w:eastAsiaTheme="minorHAnsi"/>
        </w:rPr>
      </w:pPr>
      <w:r w:rsidRPr="00FF2327">
        <w:rPr>
          <w:rFonts w:eastAsiaTheme="minorHAnsi"/>
        </w:rPr>
        <w:t xml:space="preserve">.  </w:t>
      </w:r>
    </w:p>
    <w:p w:rsidRPr="008F5CF3" w:rsidR="008F5CF3" w:rsidP="00AE6427" w:rsidRDefault="008F5CF3" w14:paraId="44D9C085" w14:textId="43C3D19A">
      <w:pPr>
        <w:numPr>
          <w:ilvl w:val="0"/>
          <w:numId w:val="8"/>
        </w:numPr>
        <w:ind w:left="360"/>
        <w:rPr>
          <w:rFonts w:eastAsia="Calibri"/>
        </w:rPr>
      </w:pPr>
      <w:r w:rsidRPr="008F5CF3">
        <w:rPr>
          <w:rFonts w:eastAsia="Calibri"/>
          <w:i/>
        </w:rPr>
        <w:t>Does a data gap exist that affects our ability to decide that a public health hazard exists?</w:t>
      </w:r>
    </w:p>
    <w:p w:rsidR="008F5CF3" w:rsidP="00AE6427" w:rsidRDefault="009A5A05" w14:paraId="70BB90B2" w14:textId="633F6E7D">
      <w:pPr>
        <w:ind w:left="360"/>
        <w:rPr>
          <w:rFonts w:eastAsiaTheme="minorHAnsi"/>
        </w:rPr>
      </w:pPr>
      <w:r>
        <w:rPr>
          <w:rFonts w:eastAsiaTheme="minorHAnsi"/>
        </w:rPr>
        <w:t xml:space="preserve">Yes, very little is known about the levels of PFAS in non-drinking water environmental media that may contribute to the body burden of PFAS. Given that serum levels are available in the EA communities, sampling of non-drinking water sources of PFAS may </w:t>
      </w:r>
      <w:r w:rsidR="00580672">
        <w:rPr>
          <w:rFonts w:eastAsiaTheme="minorHAnsi"/>
        </w:rPr>
        <w:t>better define potential exposure, resulting in better recommendations for reducing PFAS exposure.</w:t>
      </w:r>
    </w:p>
    <w:p w:rsidRPr="008F5CF3" w:rsidR="002252F1" w:rsidP="00AE6427" w:rsidRDefault="002252F1" w14:paraId="51905052" w14:textId="77777777">
      <w:pPr>
        <w:ind w:left="360"/>
        <w:rPr>
          <w:rFonts w:eastAsia="Calibri"/>
        </w:rPr>
      </w:pPr>
    </w:p>
    <w:p w:rsidRPr="008F5CF3" w:rsidR="008F5CF3" w:rsidP="00AE6427" w:rsidRDefault="008F5CF3" w14:paraId="66AAE975" w14:textId="77777777">
      <w:pPr>
        <w:numPr>
          <w:ilvl w:val="0"/>
          <w:numId w:val="8"/>
        </w:numPr>
        <w:ind w:left="360"/>
        <w:rPr>
          <w:rFonts w:eastAsia="Calibri"/>
          <w:i/>
        </w:rPr>
      </w:pPr>
      <w:r w:rsidRPr="008F5CF3">
        <w:rPr>
          <w:rFonts w:eastAsia="Calibri"/>
          <w:i/>
        </w:rPr>
        <w:t>Can an Exposure Investigation address the data gap?</w:t>
      </w:r>
    </w:p>
    <w:p w:rsidRPr="008F5CF3" w:rsidR="008F5CF3" w:rsidP="00AE6427" w:rsidRDefault="002252F1" w14:paraId="45CB23D1" w14:textId="204F0928">
      <w:pPr>
        <w:ind w:left="360"/>
        <w:rPr>
          <w:rFonts w:eastAsia="Calibri"/>
        </w:rPr>
      </w:pPr>
      <w:r w:rsidRPr="00FF2327">
        <w:rPr>
          <w:rFonts w:eastAsiaTheme="minorHAnsi"/>
        </w:rPr>
        <w:t>Yes</w:t>
      </w:r>
      <w:r>
        <w:rPr>
          <w:rFonts w:eastAsiaTheme="minorHAnsi"/>
        </w:rPr>
        <w:t>.</w:t>
      </w:r>
      <w:r w:rsidRPr="00FF2327">
        <w:rPr>
          <w:rFonts w:eastAsiaTheme="minorHAnsi"/>
        </w:rPr>
        <w:t xml:space="preserve"> </w:t>
      </w:r>
      <w:r w:rsidR="00580672">
        <w:rPr>
          <w:rFonts w:eastAsiaTheme="minorHAnsi"/>
        </w:rPr>
        <w:t xml:space="preserve">Environmental sampling, including media to evaluate indoor exposure (air, dust, wipe samples), outdoor exposure (soil), personal exposure (silicone wristbands) and exposure within the community (outdoor air in a central location and </w:t>
      </w:r>
      <w:proofErr w:type="gramStart"/>
      <w:r w:rsidR="00580672">
        <w:rPr>
          <w:rFonts w:eastAsiaTheme="minorHAnsi"/>
        </w:rPr>
        <w:t>locally-grown</w:t>
      </w:r>
      <w:proofErr w:type="gramEnd"/>
      <w:r w:rsidR="00580672">
        <w:rPr>
          <w:rFonts w:eastAsiaTheme="minorHAnsi"/>
        </w:rPr>
        <w:t xml:space="preserve"> produce) at the home will allow ATSDR to better interpret the serum PFAS results obtained during the EA</w:t>
      </w:r>
      <w:r w:rsidR="00AB16D2">
        <w:rPr>
          <w:rFonts w:eastAsiaTheme="minorHAnsi"/>
        </w:rPr>
        <w:t>.</w:t>
      </w:r>
    </w:p>
    <w:p w:rsidRPr="008F5CF3" w:rsidR="008F5CF3" w:rsidP="00AE6427" w:rsidRDefault="008F5CF3" w14:paraId="1D29DB80" w14:textId="77777777">
      <w:pPr>
        <w:ind w:left="360"/>
        <w:rPr>
          <w:rFonts w:eastAsia="Calibri"/>
        </w:rPr>
      </w:pPr>
    </w:p>
    <w:p w:rsidRPr="008F5CF3" w:rsidR="008F5CF3" w:rsidP="00AE6427" w:rsidRDefault="008F5CF3" w14:paraId="69D6776B" w14:textId="77777777">
      <w:pPr>
        <w:numPr>
          <w:ilvl w:val="0"/>
          <w:numId w:val="8"/>
        </w:numPr>
        <w:ind w:left="360"/>
        <w:rPr>
          <w:rFonts w:eastAsia="Calibri"/>
          <w:i/>
        </w:rPr>
      </w:pPr>
      <w:r w:rsidRPr="008F5CF3">
        <w:rPr>
          <w:rFonts w:eastAsia="Calibri"/>
          <w:i/>
        </w:rPr>
        <w:t>How will the Exposure Investigation results impact public health decision making?</w:t>
      </w:r>
    </w:p>
    <w:p w:rsidRPr="008F5CF3" w:rsidR="008F5CF3" w:rsidP="00AE6427" w:rsidRDefault="00E771D7" w14:paraId="63B02D5E" w14:textId="5FAC6955">
      <w:pPr>
        <w:ind w:left="360"/>
        <w:rPr>
          <w:rFonts w:eastAsia="Calibri"/>
        </w:rPr>
      </w:pPr>
      <w:r>
        <w:rPr>
          <w:rFonts w:eastAsiaTheme="minorHAnsi"/>
        </w:rPr>
        <w:lastRenderedPageBreak/>
        <w:t>The results of the environmental sampling and EI questionnaire will allow ATSDR to provide participants with better recommendations for reducing exposure to PFAS</w:t>
      </w:r>
      <w:r w:rsidR="00066922">
        <w:rPr>
          <w:rFonts w:eastAsiaTheme="minorHAnsi"/>
        </w:rPr>
        <w:t xml:space="preserve"> in non-drinking water sources</w:t>
      </w:r>
      <w:r>
        <w:rPr>
          <w:rFonts w:eastAsiaTheme="minorHAnsi"/>
        </w:rPr>
        <w:t>.</w:t>
      </w:r>
    </w:p>
    <w:p w:rsidR="00D20679" w:rsidP="00AE6427" w:rsidRDefault="00D20679" w14:paraId="15F54EFC" w14:textId="77777777"/>
    <w:p w:rsidR="00156A60" w:rsidP="00AE6427" w:rsidRDefault="00245495" w14:paraId="66393203" w14:textId="2A10BB49">
      <w:r>
        <w:rPr>
          <w:rFonts w:eastAsiaTheme="minorHAnsi"/>
        </w:rPr>
        <w:t xml:space="preserve">Once the </w:t>
      </w:r>
      <w:r w:rsidR="006A6E98">
        <w:rPr>
          <w:rFonts w:eastAsiaTheme="minorHAnsi"/>
        </w:rPr>
        <w:t xml:space="preserve">environmental sampling </w:t>
      </w:r>
      <w:r w:rsidR="00E43DA9">
        <w:rPr>
          <w:rFonts w:eastAsiaTheme="minorHAnsi"/>
        </w:rPr>
        <w:t>EI</w:t>
      </w:r>
      <w:r>
        <w:rPr>
          <w:rFonts w:eastAsiaTheme="minorHAnsi"/>
        </w:rPr>
        <w:t xml:space="preserve"> data collection and analysis </w:t>
      </w:r>
      <w:r w:rsidR="00236A25">
        <w:rPr>
          <w:rFonts w:eastAsiaTheme="minorHAnsi"/>
        </w:rPr>
        <w:t>are</w:t>
      </w:r>
      <w:r>
        <w:rPr>
          <w:rFonts w:eastAsiaTheme="minorHAnsi"/>
        </w:rPr>
        <w:t xml:space="preserve"> complete</w:t>
      </w:r>
      <w:r w:rsidR="00E771D7">
        <w:rPr>
          <w:rFonts w:eastAsiaTheme="minorHAnsi"/>
        </w:rPr>
        <w:t>d</w:t>
      </w:r>
      <w:r>
        <w:rPr>
          <w:rFonts w:eastAsiaTheme="minorHAnsi"/>
        </w:rPr>
        <w:t xml:space="preserve">, </w:t>
      </w:r>
      <w:r w:rsidR="00E771D7">
        <w:rPr>
          <w:rFonts w:eastAsiaTheme="minorHAnsi"/>
        </w:rPr>
        <w:t xml:space="preserve">a final EI report will be prepared for each community and the results will be presented to the communities in a public meeting. </w:t>
      </w:r>
    </w:p>
    <w:p w:rsidRPr="003E4C15" w:rsidR="00067EF1" w:rsidP="00844EC5" w:rsidRDefault="00067EF1" w14:paraId="00028A43" w14:textId="4837CF88">
      <w:pPr>
        <w:pStyle w:val="Heading2"/>
      </w:pPr>
      <w:bookmarkStart w:name="_Toc305153413" w:id="2"/>
      <w:bookmarkStart w:name="_Toc305153631" w:id="3"/>
      <w:bookmarkStart w:name="_Toc305154207" w:id="4"/>
      <w:bookmarkStart w:name="_Toc305155361" w:id="5"/>
      <w:bookmarkStart w:name="_Toc306341891" w:id="6"/>
      <w:bookmarkStart w:name="_Toc306344144" w:id="7"/>
      <w:bookmarkStart w:name="_Toc306344785" w:id="8"/>
      <w:bookmarkStart w:name="_Toc306345026" w:id="9"/>
      <w:bookmarkStart w:name="_Toc311445495" w:id="10"/>
      <w:bookmarkStart w:name="_Toc76650783" w:id="11"/>
      <w:r w:rsidRPr="003E4C15">
        <w:t>A.2</w:t>
      </w:r>
      <w:r w:rsidR="002A0056">
        <w:t>.</w:t>
      </w:r>
      <w:r w:rsidRPr="003E4C15">
        <w:t xml:space="preserve"> Purpose and Use of Information</w:t>
      </w:r>
      <w:bookmarkEnd w:id="2"/>
      <w:bookmarkEnd w:id="3"/>
      <w:bookmarkEnd w:id="4"/>
      <w:bookmarkEnd w:id="5"/>
      <w:bookmarkEnd w:id="6"/>
      <w:bookmarkEnd w:id="7"/>
      <w:bookmarkEnd w:id="8"/>
      <w:bookmarkEnd w:id="9"/>
      <w:bookmarkEnd w:id="10"/>
      <w:r w:rsidR="00186982">
        <w:t xml:space="preserve"> Collection</w:t>
      </w:r>
      <w:bookmarkEnd w:id="11"/>
    </w:p>
    <w:p w:rsidRPr="002D0805" w:rsidR="0068197A" w:rsidP="002F40AB" w:rsidRDefault="0068197A" w14:paraId="7C7ED2A0" w14:textId="77777777">
      <w:pPr>
        <w:autoSpaceDE w:val="0"/>
        <w:autoSpaceDN w:val="0"/>
        <w:adjustRightInd w:val="0"/>
      </w:pPr>
    </w:p>
    <w:p w:rsidRPr="000E4F76" w:rsidR="00066922" w:rsidP="00066922" w:rsidRDefault="00066922" w14:paraId="2EFB8134" w14:textId="140964E4">
      <w:pPr>
        <w:spacing w:after="120"/>
        <w:rPr>
          <w:rFonts w:cstheme="minorHAnsi"/>
        </w:rPr>
      </w:pPr>
      <w:r w:rsidRPr="000E4F76">
        <w:rPr>
          <w:rFonts w:cstheme="minorHAnsi"/>
        </w:rPr>
        <w:t>The goal</w:t>
      </w:r>
      <w:r>
        <w:rPr>
          <w:rFonts w:cstheme="minorHAnsi"/>
        </w:rPr>
        <w:t>s</w:t>
      </w:r>
      <w:r w:rsidRPr="000E4F76">
        <w:rPr>
          <w:rFonts w:cstheme="minorHAnsi"/>
        </w:rPr>
        <w:t xml:space="preserve"> of this </w:t>
      </w:r>
      <w:r>
        <w:rPr>
          <w:rFonts w:cstheme="minorHAnsi"/>
        </w:rPr>
        <w:t>environmental sampling</w:t>
      </w:r>
      <w:r w:rsidRPr="000E4F76">
        <w:rPr>
          <w:rFonts w:cstheme="minorHAnsi"/>
        </w:rPr>
        <w:t xml:space="preserve"> EI </w:t>
      </w:r>
      <w:r>
        <w:rPr>
          <w:rFonts w:cstheme="minorHAnsi"/>
        </w:rPr>
        <w:t>for at PFAS EA locations are</w:t>
      </w:r>
      <w:r w:rsidRPr="000E4F76">
        <w:rPr>
          <w:rFonts w:cstheme="minorHAnsi"/>
        </w:rPr>
        <w:t xml:space="preserve"> to </w:t>
      </w:r>
      <w:r>
        <w:rPr>
          <w:rFonts w:cstheme="minorHAnsi"/>
        </w:rPr>
        <w:t>evaluate</w:t>
      </w:r>
      <w:r w:rsidRPr="000E4F76">
        <w:rPr>
          <w:rFonts w:cstheme="minorHAnsi"/>
        </w:rPr>
        <w:t>:</w:t>
      </w:r>
    </w:p>
    <w:p w:rsidRPr="000E4F76" w:rsidR="00066922" w:rsidP="00066922" w:rsidRDefault="00066922" w14:paraId="01987F1C" w14:textId="77777777">
      <w:pPr>
        <w:numPr>
          <w:ilvl w:val="0"/>
          <w:numId w:val="19"/>
        </w:numPr>
        <w:spacing w:after="120"/>
        <w:contextualSpacing/>
        <w:rPr>
          <w:rFonts w:cstheme="minorHAnsi"/>
        </w:rPr>
      </w:pPr>
      <w:r w:rsidRPr="000E4F76">
        <w:rPr>
          <w:rFonts w:cstheme="minorHAnsi"/>
        </w:rPr>
        <w:t xml:space="preserve">Whether PFAS are detectable in various non-drinking water environmental </w:t>
      </w:r>
      <w:proofErr w:type="gramStart"/>
      <w:r w:rsidRPr="000E4F76">
        <w:rPr>
          <w:rFonts w:cstheme="minorHAnsi"/>
        </w:rPr>
        <w:t>media;</w:t>
      </w:r>
      <w:proofErr w:type="gramEnd"/>
    </w:p>
    <w:p w:rsidRPr="000E4F76" w:rsidR="00066922" w:rsidP="00066922" w:rsidRDefault="00066922" w14:paraId="52511922" w14:textId="77777777">
      <w:pPr>
        <w:numPr>
          <w:ilvl w:val="0"/>
          <w:numId w:val="19"/>
        </w:numPr>
        <w:spacing w:after="120"/>
        <w:contextualSpacing/>
        <w:rPr>
          <w:rFonts w:cstheme="minorHAnsi"/>
        </w:rPr>
      </w:pPr>
      <w:r w:rsidRPr="000E4F76">
        <w:rPr>
          <w:rFonts w:cstheme="minorHAnsi"/>
        </w:rPr>
        <w:t>What the detectable levels of PFAS are in environmental media; and</w:t>
      </w:r>
    </w:p>
    <w:p w:rsidRPr="000E4F76" w:rsidR="00066922" w:rsidP="00066922" w:rsidRDefault="00066922" w14:paraId="0C3DFD88" w14:textId="77777777">
      <w:pPr>
        <w:numPr>
          <w:ilvl w:val="0"/>
          <w:numId w:val="19"/>
        </w:numPr>
        <w:spacing w:before="100" w:beforeAutospacing="1" w:after="120"/>
        <w:contextualSpacing/>
        <w:rPr>
          <w:rFonts w:cstheme="minorHAnsi"/>
        </w:rPr>
      </w:pPr>
      <w:r w:rsidRPr="000E4F76">
        <w:rPr>
          <w:rFonts w:cstheme="minorHAnsi"/>
        </w:rPr>
        <w:t>Whether these detectable levels of PFAS may be associated with the existing measured body burdens of PFAS.</w:t>
      </w:r>
    </w:p>
    <w:p w:rsidR="000B7DD8" w:rsidP="000B7DD8" w:rsidRDefault="000B7DD8" w14:paraId="39F7281C" w14:textId="77777777">
      <w:pPr>
        <w:tabs>
          <w:tab w:val="left" w:pos="1545"/>
        </w:tabs>
      </w:pPr>
    </w:p>
    <w:p w:rsidR="00453F76" w:rsidP="00453F76" w:rsidRDefault="00F31C3D" w14:paraId="32055587" w14:textId="4C636C45">
      <w:pPr>
        <w:rPr>
          <w:i/>
          <w:sz w:val="22"/>
          <w:szCs w:val="22"/>
        </w:rPr>
      </w:pPr>
      <w:r>
        <w:t>Data</w:t>
      </w:r>
      <w:r w:rsidR="0075380A">
        <w:t xml:space="preserve"> </w:t>
      </w:r>
      <w:r w:rsidR="0070071C">
        <w:t xml:space="preserve">from </w:t>
      </w:r>
      <w:r w:rsidR="00DD23B4">
        <w:t xml:space="preserve">the </w:t>
      </w:r>
      <w:r w:rsidR="006A6E98">
        <w:t xml:space="preserve">environmental sampling </w:t>
      </w:r>
      <w:r w:rsidR="00DD23B4">
        <w:t>EI</w:t>
      </w:r>
      <w:r w:rsidRPr="00C91A37" w:rsidR="00154C0F">
        <w:t xml:space="preserve"> report</w:t>
      </w:r>
      <w:r w:rsidR="00B21F21">
        <w:t xml:space="preserve"> may </w:t>
      </w:r>
      <w:r w:rsidR="00DD23B4">
        <w:t>be</w:t>
      </w:r>
      <w:r w:rsidRPr="00C91A37" w:rsidR="00154C0F">
        <w:t xml:space="preserve"> used by public health professionals, environmental risk managers, and other decision makers in </w:t>
      </w:r>
      <w:r w:rsidR="00453F76">
        <w:t xml:space="preserve">the communities that participate in the EI in </w:t>
      </w:r>
      <w:r w:rsidRPr="00C91A37" w:rsidR="00154C0F">
        <w:t xml:space="preserve">determining the source and extent of </w:t>
      </w:r>
      <w:r w:rsidR="00DD23B4">
        <w:t>PFAS exposure from non-drinking water sources</w:t>
      </w:r>
      <w:r w:rsidRPr="00C91A37" w:rsidR="00154C0F">
        <w:t>.</w:t>
      </w:r>
      <w:r w:rsidR="008553BA">
        <w:t xml:space="preserve">  </w:t>
      </w:r>
      <w:bookmarkStart w:name="_Hlk78987572" w:id="12"/>
      <w:r w:rsidR="00453F76">
        <w:rPr>
          <w:sz w:val="22"/>
          <w:szCs w:val="22"/>
        </w:rPr>
        <w:t xml:space="preserve">ATSDR will not generalize the results of each EA beyond the defined boundaries of the investigation. </w:t>
      </w:r>
      <w:r w:rsidR="00453F76">
        <w:rPr>
          <w:rFonts w:eastAsiaTheme="minorHAnsi"/>
          <w:color w:val="000000" w:themeColor="text1"/>
          <w:sz w:val="22"/>
          <w:szCs w:val="22"/>
        </w:rPr>
        <w:t>The results of the EAs may be used to inform a future health study on PFAS exposure.</w:t>
      </w:r>
    </w:p>
    <w:bookmarkEnd w:id="12"/>
    <w:p w:rsidRPr="004025FF" w:rsidR="00255CE9" w:rsidP="00D94910" w:rsidRDefault="00255CE9" w14:paraId="325007C4" w14:textId="77777777">
      <w:pPr>
        <w:autoSpaceDE w:val="0"/>
        <w:autoSpaceDN w:val="0"/>
        <w:adjustRightInd w:val="0"/>
        <w:spacing w:line="276" w:lineRule="auto"/>
      </w:pPr>
    </w:p>
    <w:p w:rsidR="00A821CE" w:rsidP="00D94910" w:rsidRDefault="009901D9" w14:paraId="40C9505B" w14:textId="77777777">
      <w:pPr>
        <w:tabs>
          <w:tab w:val="left" w:pos="1545"/>
        </w:tabs>
        <w:spacing w:line="276" w:lineRule="auto"/>
        <w:rPr>
          <w:i/>
        </w:rPr>
      </w:pPr>
      <w:bookmarkStart w:name="_Toc305153414" w:id="13"/>
      <w:bookmarkStart w:name="_Toc305153632" w:id="14"/>
      <w:bookmarkStart w:name="_Toc305154208" w:id="15"/>
      <w:bookmarkStart w:name="_Toc305155362" w:id="16"/>
      <w:bookmarkStart w:name="_Toc306341892" w:id="17"/>
      <w:bookmarkStart w:name="_Toc306344145" w:id="18"/>
      <w:bookmarkStart w:name="_Toc306344786" w:id="19"/>
      <w:bookmarkStart w:name="_Toc306345027" w:id="20"/>
      <w:bookmarkStart w:name="_Toc311445496" w:id="21"/>
      <w:r>
        <w:t xml:space="preserve">ATSDR only collects information that will help us interpret the laboratory data and recognize likely exposure scenarios. </w:t>
      </w:r>
      <w:r w:rsidR="00A821CE">
        <w:t xml:space="preserve">Once we conduct an EI, we match the unique answers given by participants with their laboratory results or environmental samples to determine whether intervention is needed on an individual level. The information collection is therefore </w:t>
      </w:r>
      <w:r w:rsidR="00A821CE">
        <w:rPr>
          <w:i/>
        </w:rPr>
        <w:t>inherently person- or location-specific</w:t>
      </w:r>
      <w:r w:rsidR="00DD4D45">
        <w:rPr>
          <w:i/>
        </w:rPr>
        <w:t>.</w:t>
      </w:r>
    </w:p>
    <w:p w:rsidR="000664AD" w:rsidP="00D94910" w:rsidRDefault="000664AD" w14:paraId="061C8F86" w14:textId="77777777">
      <w:pPr>
        <w:tabs>
          <w:tab w:val="left" w:pos="1545"/>
        </w:tabs>
        <w:spacing w:line="276" w:lineRule="auto"/>
        <w:rPr>
          <w:i/>
        </w:rPr>
      </w:pPr>
    </w:p>
    <w:p w:rsidR="00A821CE" w:rsidP="00D94910" w:rsidRDefault="00A821CE" w14:paraId="10BAC0B4" w14:textId="77777777">
      <w:pPr>
        <w:spacing w:line="276" w:lineRule="auto"/>
      </w:pPr>
      <w:r>
        <w:t xml:space="preserve">Data are treated </w:t>
      </w:r>
      <w:r w:rsidR="003A5B61">
        <w:t>to protect privacy</w:t>
      </w:r>
      <w:r>
        <w:t>; access to computer files is password-protected and access is limited to authorized EI personnel</w:t>
      </w:r>
      <w:r w:rsidR="00167F85">
        <w:t>, including contracto</w:t>
      </w:r>
      <w:r w:rsidR="0039614F">
        <w:t>r</w:t>
      </w:r>
      <w:r w:rsidR="00167F85">
        <w:t>s</w:t>
      </w:r>
      <w:r>
        <w:t>. All staff working on the project agrees to safeguard the data and not to make unauthorized disclosures. Published reports may present responses in aggregate form and no individuals are identified by name.</w:t>
      </w:r>
    </w:p>
    <w:p w:rsidR="006D3381" w:rsidP="00D94910" w:rsidRDefault="006D3381" w14:paraId="13032280" w14:textId="77777777">
      <w:pPr>
        <w:spacing w:line="276" w:lineRule="auto"/>
      </w:pPr>
    </w:p>
    <w:p w:rsidRPr="00D531DA" w:rsidR="00322A9F" w:rsidP="00216DEF" w:rsidRDefault="00322A9F" w14:paraId="677F75A2" w14:textId="3E579DB6">
      <w:pPr>
        <w:pStyle w:val="Heading2"/>
      </w:pPr>
      <w:bookmarkStart w:name="_Toc76650784" w:id="22"/>
      <w:r w:rsidRPr="00D531DA">
        <w:t>A.3</w:t>
      </w:r>
      <w:r w:rsidR="002A0056">
        <w:t>.</w:t>
      </w:r>
      <w:r w:rsidRPr="00D531DA">
        <w:t xml:space="preserve"> Use of Improved Information Technology and Burden Reduction</w:t>
      </w:r>
      <w:bookmarkEnd w:id="13"/>
      <w:bookmarkEnd w:id="14"/>
      <w:bookmarkEnd w:id="15"/>
      <w:bookmarkEnd w:id="16"/>
      <w:bookmarkEnd w:id="17"/>
      <w:bookmarkEnd w:id="18"/>
      <w:bookmarkEnd w:id="19"/>
      <w:bookmarkEnd w:id="20"/>
      <w:bookmarkEnd w:id="21"/>
      <w:bookmarkEnd w:id="22"/>
    </w:p>
    <w:p w:rsidR="00F01A85" w:rsidP="00167F85" w:rsidRDefault="00F01A85" w14:paraId="1FD0A331" w14:textId="77777777">
      <w:pPr>
        <w:tabs>
          <w:tab w:val="left" w:pos="1545"/>
        </w:tabs>
      </w:pPr>
    </w:p>
    <w:p w:rsidR="009704E2" w:rsidP="00D94910" w:rsidRDefault="00990892" w14:paraId="22115263" w14:textId="612162B3">
      <w:pPr>
        <w:tabs>
          <w:tab w:val="left" w:pos="1545"/>
        </w:tabs>
        <w:spacing w:line="276" w:lineRule="auto"/>
      </w:pPr>
      <w:r>
        <w:t>ATSDR will provide appropriate consent/parental permission/assent forms and questionnaires to participants prior to the sample collection</w:t>
      </w:r>
      <w:r w:rsidR="003359E6">
        <w:t xml:space="preserve"> for completion prior to the sampling event</w:t>
      </w:r>
      <w:r>
        <w:t xml:space="preserve">. This is intended to allow </w:t>
      </w:r>
      <w:r w:rsidR="003359E6">
        <w:t xml:space="preserve">EA participants to be included in the </w:t>
      </w:r>
      <w:r w:rsidR="006A6E98">
        <w:t>environmental sampling EI</w:t>
      </w:r>
      <w:r w:rsidR="003359E6">
        <w:t xml:space="preserve"> even if they are unable to be present in the home during the environmental sampling. After the sampling is completed, the information gathered from the questionnaire will be entered into Epi-Info to allow for evaluation of results. </w:t>
      </w:r>
    </w:p>
    <w:p w:rsidR="0068197A" w:rsidP="00186982" w:rsidRDefault="0068197A" w14:paraId="0D9273AA" w14:textId="0191857B">
      <w:pPr>
        <w:pStyle w:val="Heading2"/>
      </w:pPr>
      <w:bookmarkStart w:name="_Toc305153415" w:id="23"/>
      <w:bookmarkStart w:name="_Toc305153633" w:id="24"/>
      <w:bookmarkStart w:name="_Toc305154209" w:id="25"/>
      <w:bookmarkStart w:name="_Toc305155363" w:id="26"/>
      <w:bookmarkStart w:name="_Toc306341893" w:id="27"/>
      <w:bookmarkStart w:name="_Toc306344146" w:id="28"/>
      <w:bookmarkStart w:name="_Toc306344787" w:id="29"/>
      <w:bookmarkStart w:name="_Toc306345028" w:id="30"/>
      <w:bookmarkStart w:name="_Toc311445497" w:id="31"/>
      <w:bookmarkStart w:name="_Toc76650785" w:id="32"/>
      <w:r w:rsidRPr="004F54A8">
        <w:lastRenderedPageBreak/>
        <w:t>A.4</w:t>
      </w:r>
      <w:r w:rsidR="002A0056">
        <w:t>.</w:t>
      </w:r>
      <w:r w:rsidRPr="004F54A8">
        <w:t xml:space="preserve"> Efforts </w:t>
      </w:r>
      <w:r w:rsidR="00261215">
        <w:t xml:space="preserve">to </w:t>
      </w:r>
      <w:r w:rsidRPr="004F54A8">
        <w:t>Identify Duplication and Use of Similar Information</w:t>
      </w:r>
      <w:bookmarkEnd w:id="23"/>
      <w:bookmarkEnd w:id="24"/>
      <w:bookmarkEnd w:id="25"/>
      <w:bookmarkEnd w:id="26"/>
      <w:bookmarkEnd w:id="27"/>
      <w:bookmarkEnd w:id="28"/>
      <w:bookmarkEnd w:id="29"/>
      <w:bookmarkEnd w:id="30"/>
      <w:bookmarkEnd w:id="31"/>
      <w:bookmarkEnd w:id="32"/>
    </w:p>
    <w:p w:rsidRPr="004F54A8" w:rsidR="004F54A8" w:rsidP="004F54A8" w:rsidRDefault="004F54A8" w14:paraId="466BF01D" w14:textId="77777777"/>
    <w:p w:rsidR="00005927" w:rsidP="00005927" w:rsidRDefault="00005927" w14:paraId="75E7ED98" w14:textId="7C58A55D">
      <w:pPr>
        <w:tabs>
          <w:tab w:val="left" w:pos="1545"/>
        </w:tabs>
        <w:spacing w:line="276" w:lineRule="auto"/>
      </w:pPr>
      <w:r w:rsidRPr="00E44724">
        <w:t xml:space="preserve">ATSDR/NCEH </w:t>
      </w:r>
      <w:r>
        <w:t>has evaluated other agency initiatives to evaluate PFAS exposure through</w:t>
      </w:r>
      <w:r w:rsidRPr="00E44724">
        <w:t xml:space="preserve"> literature and internet searches, discussions with other public health and environmental professionals, and attendance at </w:t>
      </w:r>
      <w:r w:rsidR="0001289A">
        <w:t xml:space="preserve">interagency, national, and international scientific </w:t>
      </w:r>
      <w:r w:rsidRPr="00E44724">
        <w:t xml:space="preserve">meetings that other </w:t>
      </w:r>
      <w:r w:rsidR="0001289A">
        <w:t xml:space="preserve">U.S. Federal </w:t>
      </w:r>
      <w:r w:rsidRPr="00E44724">
        <w:t xml:space="preserve">agencies are asking or have asked similar </w:t>
      </w:r>
      <w:r w:rsidRPr="00CB64CC">
        <w:t xml:space="preserve">questions about PFAS exposure. </w:t>
      </w:r>
    </w:p>
    <w:p w:rsidR="005E6FDB" w:rsidP="00005927" w:rsidRDefault="005E6FDB" w14:paraId="2C5D494B" w14:textId="77777777">
      <w:pPr>
        <w:tabs>
          <w:tab w:val="left" w:pos="1545"/>
        </w:tabs>
        <w:spacing w:line="276" w:lineRule="auto"/>
      </w:pPr>
    </w:p>
    <w:p w:rsidRPr="00C65BCB" w:rsidR="00005927" w:rsidP="00005927" w:rsidRDefault="00005927" w14:paraId="5D92CCA3" w14:textId="77777777">
      <w:pPr>
        <w:tabs>
          <w:tab w:val="left" w:pos="1545"/>
        </w:tabs>
        <w:spacing w:line="276" w:lineRule="auto"/>
        <w:rPr>
          <w:rStyle w:val="Hyperlink"/>
          <w:rFonts w:eastAsia="SimSun"/>
        </w:rPr>
      </w:pPr>
      <w:r w:rsidRPr="00C65BCB">
        <w:t xml:space="preserve">The National Institute of Environmental Health Sciences (NIEHS) funds PFAS related projects, including grants led by Dr. Jane </w:t>
      </w:r>
      <w:proofErr w:type="spellStart"/>
      <w:r w:rsidRPr="00C65BCB">
        <w:t>Hoppin</w:t>
      </w:r>
      <w:proofErr w:type="spellEnd"/>
      <w:r w:rsidRPr="00C65BCB">
        <w:t xml:space="preserve"> (</w:t>
      </w:r>
      <w:proofErr w:type="spellStart"/>
      <w:r w:rsidRPr="00C65BCB">
        <w:t>GenX</w:t>
      </w:r>
      <w:proofErr w:type="spellEnd"/>
      <w:r w:rsidRPr="00C65BCB">
        <w:t xml:space="preserve"> biomonitoring in North Carolina: (</w:t>
      </w:r>
      <w:hyperlink w:history="1" r:id="rId9">
        <w:r w:rsidRPr="00C65BCB">
          <w:rPr>
            <w:rStyle w:val="Hyperlink"/>
            <w:rFonts w:eastAsia="SimSun"/>
          </w:rPr>
          <w:t>https://tools.niehs.nih.gov/portfolio/index.cfm/portfolio/grantDetail/grant_number/R21ES029353</w:t>
        </w:r>
      </w:hyperlink>
      <w:r w:rsidRPr="00C65BCB">
        <w:t>); and Dr. John Adgate (blood sampling for PFAS in Colorado: (</w:t>
      </w:r>
      <w:hyperlink w:history="1" r:id="rId10">
        <w:r w:rsidRPr="00C65BCB">
          <w:rPr>
            <w:rStyle w:val="Hyperlink"/>
            <w:rFonts w:eastAsia="SimSun"/>
          </w:rPr>
          <w:t>https://tools.niehs.nih.gov/portfolio/index.cfm/portfolio/grantDetail/grant_number/R21ES029394</w:t>
        </w:r>
      </w:hyperlink>
      <w:r w:rsidRPr="00C65BCB">
        <w:t>). These are the major PFAS projects being sponsored by NIEHS, but others may be available at: (</w:t>
      </w:r>
      <w:hyperlink w:history="1" r:id="rId11">
        <w:r w:rsidRPr="00C65BCB">
          <w:rPr>
            <w:rStyle w:val="Hyperlink"/>
            <w:rFonts w:eastAsia="SimSun"/>
          </w:rPr>
          <w:t>https://tools.niehs.nih.gov/portfolio/index.cfm/portfolio/searchResults</w:t>
        </w:r>
      </w:hyperlink>
      <w:r w:rsidRPr="00C65BCB">
        <w:t>)</w:t>
      </w:r>
      <w:r w:rsidRPr="00C65BCB">
        <w:rPr>
          <w:rStyle w:val="Hyperlink"/>
          <w:rFonts w:eastAsia="SimSun"/>
        </w:rPr>
        <w:t xml:space="preserve">. </w:t>
      </w:r>
    </w:p>
    <w:p w:rsidR="004545D8" w:rsidP="005E6FDB" w:rsidRDefault="004545D8" w14:paraId="389942D0" w14:textId="77777777">
      <w:pPr>
        <w:tabs>
          <w:tab w:val="left" w:pos="1545"/>
        </w:tabs>
        <w:spacing w:line="276" w:lineRule="auto"/>
        <w:rPr>
          <w:rStyle w:val="Hyperlink"/>
          <w:rFonts w:eastAsia="SimSun"/>
          <w:color w:val="auto"/>
          <w:u w:val="none"/>
        </w:rPr>
      </w:pPr>
    </w:p>
    <w:p w:rsidR="00005927" w:rsidP="005E6FDB" w:rsidRDefault="00005927" w14:paraId="63C1831F" w14:textId="4BD0FEB6">
      <w:pPr>
        <w:tabs>
          <w:tab w:val="left" w:pos="1545"/>
        </w:tabs>
        <w:spacing w:line="276" w:lineRule="auto"/>
        <w:rPr>
          <w:rStyle w:val="Hyperlink"/>
          <w:rFonts w:eastAsia="SimSun"/>
          <w:color w:val="auto"/>
          <w:u w:val="none"/>
        </w:rPr>
      </w:pPr>
      <w:r w:rsidRPr="00AE6427">
        <w:rPr>
          <w:rStyle w:val="Hyperlink"/>
          <w:rFonts w:eastAsia="SimSun"/>
          <w:color w:val="auto"/>
          <w:u w:val="none"/>
        </w:rPr>
        <w:t>In addition, from 2005-2013, a C8 Science Panel carried out exposure and health studies in the Mid-Ohio Valley communities that had been potentially affected by the release of perfluorooctanoate acid (PFOA) (a.k.a. C8) to drinking water. The Panel has completed its work and no longer exists, but the effort concluded that there was a probable link between C8 exposure and health effects (</w:t>
      </w:r>
      <w:hyperlink w:history="1" r:id="rId12">
        <w:r w:rsidRPr="004545D8" w:rsidR="004545D8">
          <w:rPr>
            <w:rStyle w:val="Hyperlink"/>
            <w:rFonts w:eastAsia="SimSun"/>
          </w:rPr>
          <w:t>http://www.c8sciencepanel.org/index.html</w:t>
        </w:r>
      </w:hyperlink>
      <w:r w:rsidRPr="00AE6427">
        <w:rPr>
          <w:rStyle w:val="Hyperlink"/>
          <w:rFonts w:eastAsia="SimSun"/>
          <w:color w:val="auto"/>
          <w:u w:val="none"/>
        </w:rPr>
        <w:t>). The panel published more than 40 peer-reviewed articles describing their findings.</w:t>
      </w:r>
    </w:p>
    <w:p w:rsidR="00453F76" w:rsidP="005E6FDB" w:rsidRDefault="00453F76" w14:paraId="2BC86535" w14:textId="41DF7AF8">
      <w:pPr>
        <w:tabs>
          <w:tab w:val="left" w:pos="1545"/>
        </w:tabs>
        <w:spacing w:line="276" w:lineRule="auto"/>
      </w:pPr>
    </w:p>
    <w:p w:rsidRPr="00326C68" w:rsidR="00C77DFC" w:rsidP="00326C68" w:rsidRDefault="00453F76" w14:paraId="62363D92" w14:textId="20F1472B">
      <w:pPr>
        <w:pStyle w:val="CommentText"/>
        <w:spacing w:line="276" w:lineRule="auto"/>
        <w:rPr>
          <w:sz w:val="24"/>
          <w:szCs w:val="24"/>
        </w:rPr>
      </w:pPr>
      <w:r w:rsidRPr="00326C68">
        <w:rPr>
          <w:sz w:val="24"/>
          <w:szCs w:val="24"/>
        </w:rPr>
        <w:t xml:space="preserve">The </w:t>
      </w:r>
      <w:r w:rsidRPr="00326C68" w:rsidR="007843A7">
        <w:rPr>
          <w:sz w:val="24"/>
          <w:szCs w:val="24"/>
        </w:rPr>
        <w:t xml:space="preserve">U.S. Food and Drug Administration (FDA) has been testing food for PFAS in the general food supply </w:t>
      </w:r>
      <w:r w:rsidR="00116F0C">
        <w:rPr>
          <w:sz w:val="24"/>
          <w:szCs w:val="24"/>
        </w:rPr>
        <w:t xml:space="preserve">and in foods grown or produced in area with known PFAS contamination </w:t>
      </w:r>
      <w:r w:rsidRPr="00326C68" w:rsidR="007843A7">
        <w:rPr>
          <w:sz w:val="24"/>
          <w:szCs w:val="24"/>
        </w:rPr>
        <w:t>since 2019 as part of the Total Diet Study (TDS)</w:t>
      </w:r>
      <w:r w:rsidRPr="00326C68" w:rsidR="00C77DFC">
        <w:rPr>
          <w:sz w:val="24"/>
          <w:szCs w:val="24"/>
        </w:rPr>
        <w:t xml:space="preserve"> (</w:t>
      </w:r>
      <w:hyperlink w:history="1" r:id="rId13">
        <w:r w:rsidRPr="00326C68" w:rsidR="00C77DFC">
          <w:rPr>
            <w:rStyle w:val="Hyperlink"/>
            <w:sz w:val="24"/>
            <w:szCs w:val="24"/>
          </w:rPr>
          <w:t>https://www.fda.gov/food/chemical-contaminants-food/testing-food-pfas-and-assessing-dietary-exposure</w:t>
        </w:r>
      </w:hyperlink>
      <w:r w:rsidRPr="00326C68" w:rsidR="00C77DFC">
        <w:rPr>
          <w:rStyle w:val="Hyperlink"/>
          <w:sz w:val="24"/>
          <w:szCs w:val="24"/>
        </w:rPr>
        <w:t>)</w:t>
      </w:r>
      <w:r w:rsidR="00C77DFC">
        <w:rPr>
          <w:rStyle w:val="Hyperlink"/>
          <w:sz w:val="24"/>
          <w:szCs w:val="24"/>
        </w:rPr>
        <w:t xml:space="preserve">. </w:t>
      </w:r>
      <w:r w:rsidR="00116F0C">
        <w:rPr>
          <w:rStyle w:val="Hyperlink"/>
          <w:sz w:val="24"/>
          <w:szCs w:val="24"/>
        </w:rPr>
        <w:t>When PFAS is detected in foods, the FDA conducts a safety assessment to evaluate whether the levels may present a potential human health concern.</w:t>
      </w:r>
    </w:p>
    <w:p w:rsidRPr="004545D8" w:rsidR="00453F76" w:rsidP="005E6FDB" w:rsidRDefault="00453F76" w14:paraId="357D5855" w14:textId="55E4F8EF">
      <w:pPr>
        <w:tabs>
          <w:tab w:val="left" w:pos="1545"/>
        </w:tabs>
        <w:spacing w:line="276" w:lineRule="auto"/>
      </w:pPr>
    </w:p>
    <w:p w:rsidR="00005927" w:rsidP="005E6FDB" w:rsidRDefault="00005927" w14:paraId="11D02A69" w14:textId="75FACF31">
      <w:pPr>
        <w:tabs>
          <w:tab w:val="left" w:pos="1545"/>
        </w:tabs>
        <w:spacing w:before="120" w:line="276" w:lineRule="auto"/>
      </w:pPr>
      <w:r w:rsidRPr="00915667">
        <w:t xml:space="preserve">This ICR differs from the projects cited above in that </w:t>
      </w:r>
      <w:r w:rsidR="005E6FDB">
        <w:t>this</w:t>
      </w:r>
      <w:r w:rsidRPr="00915667">
        <w:t xml:space="preserve"> </w:t>
      </w:r>
      <w:r w:rsidR="006A6E98">
        <w:t>environmental sampling</w:t>
      </w:r>
      <w:r w:rsidR="005E6FDB">
        <w:t xml:space="preserve"> EI is</w:t>
      </w:r>
      <w:r w:rsidRPr="00915667">
        <w:t xml:space="preserve"> </w:t>
      </w:r>
      <w:r>
        <w:t xml:space="preserve">intended to address data gaps regarding </w:t>
      </w:r>
      <w:r w:rsidR="005E6FDB">
        <w:t xml:space="preserve">non-drinking water exposures at </w:t>
      </w:r>
      <w:r>
        <w:t xml:space="preserve">PFAS </w:t>
      </w:r>
      <w:r w:rsidR="005E6FDB">
        <w:t>EA sites located near</w:t>
      </w:r>
      <w:r>
        <w:t xml:space="preserve"> military installations.</w:t>
      </w:r>
      <w:r w:rsidR="00116F0C">
        <w:t xml:space="preserve"> Although the FDA continues to test PFAS in food within the U.S., locally grown food at the two EA locations will be tested to provide a more complete assessment of non-drinking water exposure to PFAS.</w:t>
      </w:r>
    </w:p>
    <w:p w:rsidRPr="00D20211" w:rsidR="004545D8" w:rsidP="005E6FDB" w:rsidRDefault="004545D8" w14:paraId="7383703B" w14:textId="77777777">
      <w:pPr>
        <w:tabs>
          <w:tab w:val="left" w:pos="1545"/>
        </w:tabs>
        <w:spacing w:before="120" w:line="276" w:lineRule="auto"/>
        <w:rPr>
          <w:rFonts w:cs="ITCFranklinGothicStd-Book"/>
        </w:rPr>
      </w:pPr>
    </w:p>
    <w:p w:rsidRPr="004F54A8" w:rsidR="00322A9F" w:rsidP="00844EC5" w:rsidRDefault="00322A9F" w14:paraId="0ACB9390" w14:textId="2BA1DBEC">
      <w:pPr>
        <w:pStyle w:val="Heading2"/>
        <w:spacing w:before="0"/>
      </w:pPr>
      <w:bookmarkStart w:name="_Toc305153416" w:id="33"/>
      <w:bookmarkStart w:name="_Toc305153634" w:id="34"/>
      <w:bookmarkStart w:name="_Toc305154210" w:id="35"/>
      <w:bookmarkStart w:name="_Toc305155364" w:id="36"/>
      <w:bookmarkStart w:name="_Toc306341894" w:id="37"/>
      <w:bookmarkStart w:name="_Toc306344147" w:id="38"/>
      <w:bookmarkStart w:name="_Toc306344788" w:id="39"/>
      <w:bookmarkStart w:name="_Toc306345029" w:id="40"/>
      <w:bookmarkStart w:name="_Toc311445498" w:id="41"/>
      <w:bookmarkStart w:name="_Toc76650786" w:id="42"/>
      <w:r w:rsidRPr="004F54A8">
        <w:t>A.5</w:t>
      </w:r>
      <w:r w:rsidR="002A0056">
        <w:t>.</w:t>
      </w:r>
      <w:r w:rsidRPr="004F54A8">
        <w:t xml:space="preserve"> Impact on Small Business</w:t>
      </w:r>
      <w:r w:rsidR="00261215">
        <w:t>es</w:t>
      </w:r>
      <w:r w:rsidRPr="004F54A8">
        <w:t xml:space="preserve"> or Other Small Entities</w:t>
      </w:r>
      <w:bookmarkEnd w:id="33"/>
      <w:bookmarkEnd w:id="34"/>
      <w:bookmarkEnd w:id="35"/>
      <w:bookmarkEnd w:id="36"/>
      <w:bookmarkEnd w:id="37"/>
      <w:bookmarkEnd w:id="38"/>
      <w:bookmarkEnd w:id="39"/>
      <w:bookmarkEnd w:id="40"/>
      <w:bookmarkEnd w:id="41"/>
      <w:bookmarkEnd w:id="42"/>
    </w:p>
    <w:p w:rsidR="004F54A8" w:rsidP="002F40AB" w:rsidRDefault="004F54A8" w14:paraId="3EE89F47" w14:textId="77777777">
      <w:pPr>
        <w:autoSpaceDE w:val="0"/>
        <w:autoSpaceDN w:val="0"/>
        <w:adjustRightInd w:val="0"/>
        <w:rPr>
          <w:rFonts w:ascii="TimesNewRoman" w:hAnsi="TimesNewRoman" w:cs="TimesNewRoman"/>
        </w:rPr>
      </w:pPr>
    </w:p>
    <w:p w:rsidR="00D55B9B" w:rsidP="00D94910" w:rsidRDefault="009B777A" w14:paraId="7D3347D2" w14:textId="7993BAA4">
      <w:pPr>
        <w:tabs>
          <w:tab w:val="left" w:pos="1545"/>
        </w:tabs>
        <w:spacing w:line="276" w:lineRule="auto"/>
      </w:pPr>
      <w:bookmarkStart w:name="_Toc305153417" w:id="43"/>
      <w:bookmarkStart w:name="_Toc305153635" w:id="44"/>
      <w:bookmarkStart w:name="_Toc305154211" w:id="45"/>
      <w:bookmarkStart w:name="_Toc305155365" w:id="46"/>
      <w:bookmarkStart w:name="_Toc306341895" w:id="47"/>
      <w:bookmarkStart w:name="_Toc306344148" w:id="48"/>
      <w:bookmarkStart w:name="_Toc306344789" w:id="49"/>
      <w:bookmarkStart w:name="_Toc306345030" w:id="50"/>
      <w:bookmarkStart w:name="_Toc311445499" w:id="51"/>
      <w:r>
        <w:t>Small businesses are not applicable since all the sampling will be residential.</w:t>
      </w:r>
    </w:p>
    <w:p w:rsidRPr="004F54A8" w:rsidR="00322A9F" w:rsidP="00186982" w:rsidRDefault="00322A9F" w14:paraId="33574C1C" w14:textId="6B930E95">
      <w:pPr>
        <w:pStyle w:val="Heading2"/>
      </w:pPr>
      <w:bookmarkStart w:name="_Toc76650787" w:id="52"/>
      <w:r w:rsidRPr="004F54A8">
        <w:lastRenderedPageBreak/>
        <w:t>A.6</w:t>
      </w:r>
      <w:r w:rsidR="002A0056">
        <w:t>.</w:t>
      </w:r>
      <w:r w:rsidRPr="004F54A8">
        <w:t xml:space="preserve"> Consequences of Collecting the Information Less Frequently</w:t>
      </w:r>
      <w:bookmarkEnd w:id="43"/>
      <w:bookmarkEnd w:id="44"/>
      <w:bookmarkEnd w:id="45"/>
      <w:bookmarkEnd w:id="46"/>
      <w:bookmarkEnd w:id="47"/>
      <w:bookmarkEnd w:id="48"/>
      <w:bookmarkEnd w:id="49"/>
      <w:bookmarkEnd w:id="50"/>
      <w:bookmarkEnd w:id="51"/>
      <w:bookmarkEnd w:id="52"/>
    </w:p>
    <w:p w:rsidRPr="002D0805" w:rsidR="004F54A8" w:rsidP="004F54A8" w:rsidRDefault="004F54A8" w14:paraId="370F9BB9" w14:textId="77777777">
      <w:pPr>
        <w:autoSpaceDE w:val="0"/>
        <w:autoSpaceDN w:val="0"/>
        <w:adjustRightInd w:val="0"/>
        <w:rPr>
          <w:b/>
          <w:bCs/>
        </w:rPr>
      </w:pPr>
    </w:p>
    <w:p w:rsidR="00164F2C" w:rsidP="00D94910" w:rsidRDefault="000A2598" w14:paraId="6CD5E1F8" w14:textId="66463095">
      <w:pPr>
        <w:tabs>
          <w:tab w:val="left" w:pos="1545"/>
        </w:tabs>
        <w:spacing w:line="276" w:lineRule="auto"/>
      </w:pPr>
      <w:r>
        <w:t xml:space="preserve">This request is for a </w:t>
      </w:r>
      <w:r w:rsidR="006F62B8">
        <w:t>one</w:t>
      </w:r>
      <w:r w:rsidR="00DD5453">
        <w:t>-time</w:t>
      </w:r>
      <w:r>
        <w:t xml:space="preserve"> data collection</w:t>
      </w:r>
      <w:r w:rsidR="006F62B8">
        <w:t xml:space="preserve"> in the </w:t>
      </w:r>
      <w:r w:rsidR="004545D8">
        <w:t>summer</w:t>
      </w:r>
      <w:r w:rsidR="006F62B8">
        <w:t xml:space="preserve"> of 20</w:t>
      </w:r>
      <w:r w:rsidR="00781EC9">
        <w:t>21</w:t>
      </w:r>
      <w:r>
        <w:t xml:space="preserve">. </w:t>
      </w:r>
      <w:r w:rsidR="00A6396B">
        <w:t>There are no legal obstacles to reduce the burden.</w:t>
      </w:r>
      <w:bookmarkStart w:name="_Toc305155366" w:id="53"/>
      <w:bookmarkStart w:name="_Toc306341896" w:id="54"/>
      <w:bookmarkStart w:name="_Toc306344149" w:id="55"/>
      <w:bookmarkStart w:name="_Toc306344790" w:id="56"/>
      <w:bookmarkStart w:name="_Toc306345031" w:id="57"/>
      <w:bookmarkStart w:name="_Toc311445500" w:id="58"/>
    </w:p>
    <w:p w:rsidRPr="00266092" w:rsidR="00322A9F" w:rsidP="00D94910" w:rsidRDefault="00322A9F" w14:paraId="644AD829" w14:textId="4722C310">
      <w:pPr>
        <w:pStyle w:val="Heading2"/>
        <w:spacing w:line="276" w:lineRule="auto"/>
      </w:pPr>
      <w:bookmarkStart w:name="_Toc76650788" w:id="59"/>
      <w:r w:rsidRPr="00266092">
        <w:t>A.7</w:t>
      </w:r>
      <w:r w:rsidR="002A0056">
        <w:t>.</w:t>
      </w:r>
      <w:r w:rsidRPr="00266092">
        <w:t xml:space="preserve"> Special Circumstances Relating to the Guidelines of 5 CFR 1320.5</w:t>
      </w:r>
      <w:bookmarkEnd w:id="53"/>
      <w:bookmarkEnd w:id="54"/>
      <w:bookmarkEnd w:id="55"/>
      <w:bookmarkEnd w:id="56"/>
      <w:bookmarkEnd w:id="57"/>
      <w:bookmarkEnd w:id="58"/>
      <w:bookmarkEnd w:id="59"/>
    </w:p>
    <w:p w:rsidR="004F54A8" w:rsidP="00D94910" w:rsidRDefault="004F54A8" w14:paraId="26537A7B" w14:textId="77777777">
      <w:pPr>
        <w:autoSpaceDE w:val="0"/>
        <w:autoSpaceDN w:val="0"/>
        <w:adjustRightInd w:val="0"/>
        <w:spacing w:line="276" w:lineRule="auto"/>
        <w:rPr>
          <w:rFonts w:ascii="TimesNewRoman" w:hAnsi="TimesNewRoman" w:cs="TimesNewRoman"/>
        </w:rPr>
      </w:pPr>
    </w:p>
    <w:p w:rsidRPr="002D0805" w:rsidR="0073591C" w:rsidP="00D94910" w:rsidRDefault="00322A9F" w14:paraId="6B8E9580" w14:textId="77777777">
      <w:pPr>
        <w:autoSpaceDE w:val="0"/>
        <w:autoSpaceDN w:val="0"/>
        <w:adjustRightInd w:val="0"/>
        <w:spacing w:line="276" w:lineRule="auto"/>
        <w:rPr>
          <w:b/>
          <w:bCs/>
        </w:rPr>
      </w:pPr>
      <w:r w:rsidRPr="002D0805">
        <w:rPr>
          <w:rFonts w:ascii="TimesNewRoman" w:hAnsi="TimesNewRoman" w:cs="TimesNewRoman"/>
        </w:rPr>
        <w:t>There are no special circumstances associated with this data collection. The data</w:t>
      </w:r>
      <w:r w:rsidRPr="002D0805" w:rsidR="00E34DE4">
        <w:rPr>
          <w:rFonts w:ascii="TimesNewRoman" w:hAnsi="TimesNewRoman" w:cs="TimesNewRoman"/>
        </w:rPr>
        <w:t xml:space="preserve"> collection will fully comply</w:t>
      </w:r>
      <w:r w:rsidRPr="002D0805">
        <w:rPr>
          <w:rFonts w:ascii="TimesNewRoman" w:hAnsi="TimesNewRoman" w:cs="TimesNewRoman"/>
        </w:rPr>
        <w:t xml:space="preserve"> with the guidelines of 5 CFR 1320.5</w:t>
      </w:r>
      <w:r w:rsidR="000A2598">
        <w:rPr>
          <w:rFonts w:ascii="TimesNewRoman" w:hAnsi="TimesNewRoman" w:cs="TimesNewRoman"/>
        </w:rPr>
        <w:t xml:space="preserve"> and will be voluntary</w:t>
      </w:r>
      <w:r w:rsidRPr="002D0805">
        <w:rPr>
          <w:rFonts w:ascii="TimesNewRoman" w:hAnsi="TimesNewRoman" w:cs="TimesNewRoman"/>
        </w:rPr>
        <w:t>.</w:t>
      </w:r>
    </w:p>
    <w:p w:rsidR="00A077EB" w:rsidP="00D94910" w:rsidRDefault="00A077EB" w14:paraId="580A4104" w14:textId="77777777">
      <w:pPr>
        <w:pStyle w:val="Heading2"/>
        <w:spacing w:before="0" w:line="276" w:lineRule="auto"/>
      </w:pPr>
      <w:bookmarkStart w:name="_Toc305155367" w:id="60"/>
      <w:bookmarkStart w:name="_Toc306341897" w:id="61"/>
      <w:bookmarkStart w:name="_Toc306344150" w:id="62"/>
      <w:bookmarkStart w:name="_Toc306344791" w:id="63"/>
      <w:bookmarkStart w:name="_Toc306345032" w:id="64"/>
      <w:bookmarkStart w:name="_Toc311445501" w:id="65"/>
    </w:p>
    <w:p w:rsidRPr="003934D6" w:rsidR="007E0E75" w:rsidP="00D94910" w:rsidRDefault="00322A9F" w14:paraId="1C6D177D" w14:textId="710490E8">
      <w:pPr>
        <w:pStyle w:val="Heading2"/>
        <w:spacing w:before="0" w:line="276" w:lineRule="auto"/>
      </w:pPr>
      <w:bookmarkStart w:name="_Toc76650789" w:id="66"/>
      <w:r w:rsidRPr="003934D6">
        <w:t>A.8</w:t>
      </w:r>
      <w:r w:rsidR="002A0056">
        <w:t>.</w:t>
      </w:r>
      <w:r w:rsidRPr="003934D6">
        <w:t xml:space="preserve"> Comments in Response to the Federal Register Notice and Efforts to Consult Outside</w:t>
      </w:r>
      <w:bookmarkEnd w:id="60"/>
      <w:bookmarkEnd w:id="61"/>
      <w:bookmarkEnd w:id="62"/>
      <w:bookmarkEnd w:id="63"/>
      <w:bookmarkEnd w:id="64"/>
      <w:bookmarkEnd w:id="65"/>
      <w:r w:rsidRPr="003934D6" w:rsidR="00186982">
        <w:t xml:space="preserve"> the Agency</w:t>
      </w:r>
      <w:bookmarkEnd w:id="66"/>
      <w:r w:rsidRPr="003934D6" w:rsidR="00186982">
        <w:t xml:space="preserve"> </w:t>
      </w:r>
    </w:p>
    <w:p w:rsidRPr="003934D6" w:rsidR="003934D6" w:rsidP="00D94910" w:rsidRDefault="003934D6" w14:paraId="202AD281" w14:textId="77777777">
      <w:pPr>
        <w:autoSpaceDE w:val="0"/>
        <w:autoSpaceDN w:val="0"/>
        <w:adjustRightInd w:val="0"/>
        <w:spacing w:line="276" w:lineRule="auto"/>
        <w:rPr>
          <w:rFonts w:asciiTheme="majorHAnsi" w:hAnsiTheme="majorHAnsi"/>
          <w:b/>
          <w:bCs/>
          <w:sz w:val="26"/>
          <w:szCs w:val="26"/>
        </w:rPr>
      </w:pPr>
    </w:p>
    <w:p w:rsidR="00DD5453" w:rsidP="00D94910" w:rsidRDefault="000A2598" w14:paraId="25DA6C44" w14:textId="3817BB4C">
      <w:pPr>
        <w:tabs>
          <w:tab w:val="left" w:pos="1545"/>
        </w:tabs>
        <w:spacing w:line="276" w:lineRule="auto"/>
        <w:rPr>
          <w:color w:val="000000"/>
        </w:rPr>
      </w:pPr>
      <w:r>
        <w:rPr>
          <w:color w:val="000000"/>
        </w:rPr>
        <w:t xml:space="preserve">This data collection is being conducted using the Generic Information Collection mechanism for Exposure Investigations – OMB </w:t>
      </w:r>
      <w:r w:rsidR="00CB584F">
        <w:rPr>
          <w:color w:val="000000"/>
        </w:rPr>
        <w:t xml:space="preserve">Control </w:t>
      </w:r>
      <w:r>
        <w:rPr>
          <w:color w:val="000000"/>
        </w:rPr>
        <w:t>No. 0923-0048</w:t>
      </w:r>
      <w:r w:rsidR="001A7EA9">
        <w:rPr>
          <w:color w:val="000000"/>
        </w:rPr>
        <w:t xml:space="preserve"> (expiration date: </w:t>
      </w:r>
      <w:r w:rsidR="00781EC9">
        <w:rPr>
          <w:color w:val="000000"/>
        </w:rPr>
        <w:t>4/30/2022</w:t>
      </w:r>
      <w:r w:rsidR="001A7EA9">
        <w:rPr>
          <w:color w:val="000000"/>
        </w:rPr>
        <w:t>)</w:t>
      </w:r>
      <w:r>
        <w:rPr>
          <w:color w:val="000000"/>
        </w:rPr>
        <w:t xml:space="preserve">.  A </w:t>
      </w:r>
      <w:r w:rsidR="00A6396B">
        <w:t xml:space="preserve">60-day Federal Register </w:t>
      </w:r>
      <w:r w:rsidR="00DD5453">
        <w:t>N</w:t>
      </w:r>
      <w:r w:rsidR="00A6396B">
        <w:t xml:space="preserve">otice was published in the </w:t>
      </w:r>
      <w:r w:rsidRPr="0039614F" w:rsidR="00A6396B">
        <w:rPr>
          <w:i/>
        </w:rPr>
        <w:t>Federal Register</w:t>
      </w:r>
      <w:r w:rsidR="00A6396B">
        <w:t xml:space="preserve">, Vol. </w:t>
      </w:r>
      <w:r w:rsidR="00C96CF6">
        <w:t>8</w:t>
      </w:r>
      <w:r w:rsidR="003E4F71">
        <w:t>3</w:t>
      </w:r>
      <w:r w:rsidR="00A6396B">
        <w:t xml:space="preserve">, No. </w:t>
      </w:r>
      <w:r w:rsidR="003E4F71">
        <w:t>215</w:t>
      </w:r>
      <w:r w:rsidR="00A6396B">
        <w:t xml:space="preserve"> on </w:t>
      </w:r>
      <w:r w:rsidR="003E4F71">
        <w:t>Tue</w:t>
      </w:r>
      <w:r w:rsidR="00C96CF6">
        <w:t>sday</w:t>
      </w:r>
      <w:r w:rsidR="00A6396B">
        <w:t xml:space="preserve">, </w:t>
      </w:r>
      <w:r w:rsidR="003E4F71">
        <w:t>November 6, 2018</w:t>
      </w:r>
      <w:r w:rsidRPr="0039614F" w:rsidR="00A6396B">
        <w:rPr>
          <w:color w:val="000000"/>
        </w:rPr>
        <w:t xml:space="preserve">. </w:t>
      </w:r>
      <w:r>
        <w:rPr>
          <w:color w:val="000000"/>
        </w:rPr>
        <w:t>No comments were received.</w:t>
      </w:r>
      <w:bookmarkStart w:name="_Toc305155369" w:id="67"/>
      <w:bookmarkStart w:name="_Toc306341899" w:id="68"/>
      <w:bookmarkStart w:name="_Toc306344152" w:id="69"/>
      <w:bookmarkStart w:name="_Toc306344793" w:id="70"/>
      <w:bookmarkStart w:name="_Toc306345034" w:id="71"/>
      <w:bookmarkStart w:name="_Toc311445503" w:id="72"/>
    </w:p>
    <w:p w:rsidR="008C45E6" w:rsidP="00D94910" w:rsidRDefault="008C45E6" w14:paraId="30CAFCE8" w14:textId="77777777">
      <w:pPr>
        <w:tabs>
          <w:tab w:val="left" w:pos="1545"/>
        </w:tabs>
        <w:spacing w:line="276" w:lineRule="auto"/>
        <w:rPr>
          <w:color w:val="000000"/>
        </w:rPr>
      </w:pPr>
    </w:p>
    <w:p w:rsidR="008C45E6" w:rsidP="0066329B" w:rsidRDefault="008C45E6" w14:paraId="63642ACE" w14:textId="6C687BE0">
      <w:pPr>
        <w:tabs>
          <w:tab w:val="left" w:pos="1545"/>
        </w:tabs>
        <w:spacing w:line="276" w:lineRule="auto"/>
        <w:rPr>
          <w:rFonts w:asciiTheme="majorHAnsi" w:hAnsiTheme="majorHAnsi" w:eastAsiaTheme="majorEastAsia" w:cstheme="majorBidi"/>
          <w:b/>
          <w:bCs/>
          <w:color w:val="4F81BD" w:themeColor="accent1"/>
          <w:sz w:val="26"/>
          <w:szCs w:val="26"/>
        </w:rPr>
      </w:pPr>
      <w:r>
        <w:rPr>
          <w:color w:val="000000"/>
        </w:rPr>
        <w:t>ATSDR is conducting this EI in collaboration with</w:t>
      </w:r>
      <w:r w:rsidR="00801157">
        <w:rPr>
          <w:color w:val="000000"/>
        </w:rPr>
        <w:t xml:space="preserve"> </w:t>
      </w:r>
      <w:r w:rsidR="00781EC9">
        <w:rPr>
          <w:color w:val="000000"/>
        </w:rPr>
        <w:t xml:space="preserve">ATSDR Regions 1 and 3 and with EPA Office of Research and Development (ORD). </w:t>
      </w:r>
    </w:p>
    <w:p w:rsidRPr="00266092" w:rsidR="0068197A" w:rsidP="00186982" w:rsidRDefault="0068197A" w14:paraId="47783888" w14:textId="7968C1C3">
      <w:pPr>
        <w:pStyle w:val="Heading2"/>
      </w:pPr>
      <w:bookmarkStart w:name="_Toc76650790" w:id="73"/>
      <w:r w:rsidRPr="00266092">
        <w:t>A.9</w:t>
      </w:r>
      <w:r w:rsidR="002A0056">
        <w:t>.</w:t>
      </w:r>
      <w:r w:rsidRPr="00266092">
        <w:t xml:space="preserve"> </w:t>
      </w:r>
      <w:r w:rsidRPr="007F446A">
        <w:t>Explanation</w:t>
      </w:r>
      <w:r w:rsidRPr="00266092">
        <w:t xml:space="preserve"> of Any Payment or Gift to </w:t>
      </w:r>
      <w:r w:rsidRPr="00266092" w:rsidR="001E683D">
        <w:t>Respondents</w:t>
      </w:r>
      <w:bookmarkEnd w:id="67"/>
      <w:bookmarkEnd w:id="68"/>
      <w:bookmarkEnd w:id="69"/>
      <w:bookmarkEnd w:id="70"/>
      <w:bookmarkEnd w:id="71"/>
      <w:bookmarkEnd w:id="72"/>
      <w:bookmarkEnd w:id="73"/>
    </w:p>
    <w:p w:rsidRPr="002D0805" w:rsidR="0068197A" w:rsidP="002F40AB" w:rsidRDefault="0068197A" w14:paraId="6A1D8C5A" w14:textId="77777777">
      <w:pPr>
        <w:autoSpaceDE w:val="0"/>
        <w:autoSpaceDN w:val="0"/>
        <w:adjustRightInd w:val="0"/>
      </w:pPr>
    </w:p>
    <w:p w:rsidR="00BA56FB" w:rsidP="0066329B" w:rsidRDefault="00980401" w14:paraId="0A9E3576" w14:textId="01793166">
      <w:pPr>
        <w:tabs>
          <w:tab w:val="left" w:pos="1545"/>
        </w:tabs>
        <w:spacing w:line="276" w:lineRule="auto"/>
      </w:pPr>
      <w:bookmarkStart w:name="_Toc305155370" w:id="74"/>
      <w:bookmarkStart w:name="_Toc306341900" w:id="75"/>
      <w:bookmarkStart w:name="_Toc306344153" w:id="76"/>
      <w:bookmarkStart w:name="_Toc306344794" w:id="77"/>
      <w:bookmarkStart w:name="_Toc306345035" w:id="78"/>
      <w:bookmarkStart w:name="_Toc311445504" w:id="79"/>
      <w:r>
        <w:t xml:space="preserve">ATSDR will provide </w:t>
      </w:r>
      <w:r w:rsidR="00781EC9">
        <w:t xml:space="preserve">a payment to participants to show appreciation for the time it will take to allow ATSDR to conduct the </w:t>
      </w:r>
      <w:r w:rsidR="0066329B">
        <w:t xml:space="preserve">environmental </w:t>
      </w:r>
      <w:r w:rsidR="00781EC9">
        <w:t>sampling. A</w:t>
      </w:r>
      <w:r w:rsidR="00A01F3F">
        <w:t xml:space="preserve"> </w:t>
      </w:r>
      <w:r w:rsidR="00781EC9">
        <w:t>gift card will be provided when the sampling is conducted: $2</w:t>
      </w:r>
      <w:r w:rsidR="00594DE2">
        <w:t>0</w:t>
      </w:r>
      <w:r w:rsidR="00781EC9">
        <w:t xml:space="preserve"> per household per appointment. Those homes that have the additional </w:t>
      </w:r>
      <w:r w:rsidR="00A01F3F">
        <w:t xml:space="preserve">robust </w:t>
      </w:r>
      <w:r w:rsidR="00781EC9">
        <w:t>sampling requiring two appointments will receive a total of $</w:t>
      </w:r>
      <w:r w:rsidR="00594DE2">
        <w:t>4</w:t>
      </w:r>
      <w:r w:rsidR="00781EC9">
        <w:t>0 for participating.</w:t>
      </w:r>
    </w:p>
    <w:p w:rsidR="00EA3580" w:rsidP="00C41444" w:rsidRDefault="00EA3580" w14:paraId="72759E65" w14:textId="20A4A4D5">
      <w:pPr>
        <w:pStyle w:val="Heading2"/>
      </w:pPr>
      <w:bookmarkStart w:name="_Toc76650791" w:id="80"/>
      <w:r>
        <w:t xml:space="preserve">A.10. </w:t>
      </w:r>
      <w:r w:rsidRPr="0037198B" w:rsidR="0037198B">
        <w:t>Protection of the Privacy and Confidentiality of Information Provided by Respondents</w:t>
      </w:r>
      <w:bookmarkEnd w:id="80"/>
    </w:p>
    <w:p w:rsidRPr="0047002D" w:rsidR="0047002D" w:rsidP="00C41444" w:rsidRDefault="0047002D" w14:paraId="254A812E" w14:textId="77777777"/>
    <w:bookmarkEnd w:id="74"/>
    <w:bookmarkEnd w:id="75"/>
    <w:bookmarkEnd w:id="76"/>
    <w:bookmarkEnd w:id="77"/>
    <w:bookmarkEnd w:id="78"/>
    <w:bookmarkEnd w:id="79"/>
    <w:p w:rsidR="006A07AF" w:rsidP="00D94910" w:rsidRDefault="00A01F3F" w14:paraId="5DF04B41" w14:textId="68F6A40C">
      <w:pPr>
        <w:spacing w:line="276" w:lineRule="auto"/>
      </w:pPr>
      <w:r>
        <w:t xml:space="preserve">The </w:t>
      </w:r>
      <w:r w:rsidR="004C1327">
        <w:t>ATSDR/</w:t>
      </w:r>
      <w:r w:rsidRPr="000A7CAB" w:rsidR="00A96A4D">
        <w:t xml:space="preserve">NCEH Information Systems Security </w:t>
      </w:r>
      <w:r>
        <w:t>O</w:t>
      </w:r>
      <w:r w:rsidRPr="000A7CAB" w:rsidR="00A96A4D">
        <w:t>fficer (ISSO)</w:t>
      </w:r>
      <w:r w:rsidRPr="000A7CAB" w:rsidR="00B7549D">
        <w:t xml:space="preserve"> </w:t>
      </w:r>
      <w:r w:rsidR="004C1327">
        <w:t>has</w:t>
      </w:r>
      <w:r w:rsidRPr="000A7CAB" w:rsidR="004C1327">
        <w:t xml:space="preserve"> </w:t>
      </w:r>
      <w:r w:rsidRPr="000A7CAB" w:rsidR="00B7549D">
        <w:t>determined that the Privacy Act does apply</w:t>
      </w:r>
      <w:r w:rsidR="004C1327">
        <w:t xml:space="preserve"> for the </w:t>
      </w:r>
      <w:r w:rsidR="00616335">
        <w:t>“Supplemental Exposure Investigation (EI) at Select Exposure Assessment Sites” (called Environmental Sampling EI)</w:t>
      </w:r>
      <w:r w:rsidRPr="000A7CAB" w:rsidR="00B7549D">
        <w:t>. The relevant Privacy Act Syste</w:t>
      </w:r>
      <w:r w:rsidRPr="00B4500F" w:rsidR="00B7549D">
        <w:t xml:space="preserve">m of Records Notice (SORN) for this EI is </w:t>
      </w:r>
      <w:r w:rsidRPr="00AB317D" w:rsidR="00A96A4D">
        <w:t xml:space="preserve">Privacy Act System Notice 09-19-0001, </w:t>
      </w:r>
      <w:r w:rsidRPr="000A7CAB" w:rsidR="00B7549D">
        <w:t>Records of Persons Exposed or Potentially Exposed to Toxic</w:t>
      </w:r>
      <w:r w:rsidRPr="00C41444" w:rsidR="00B7549D">
        <w:t xml:space="preserve"> or Hazardous Substances (HHS/ATSDR).</w:t>
      </w:r>
      <w:r>
        <w:t xml:space="preserve"> </w:t>
      </w:r>
      <w:r w:rsidR="00B06ACC">
        <w:t xml:space="preserve">A Privacy Act Statement is included in the consent package (Attachment </w:t>
      </w:r>
      <w:r w:rsidR="006767E7">
        <w:t>9</w:t>
      </w:r>
      <w:r w:rsidR="00B06ACC">
        <w:t>).</w:t>
      </w:r>
    </w:p>
    <w:p w:rsidRPr="0082063A" w:rsidR="006A07AF" w:rsidP="0082063A" w:rsidRDefault="006A07AF" w14:paraId="38D051AD" w14:textId="43012B62">
      <w:pPr>
        <w:spacing w:line="276" w:lineRule="auto"/>
        <w:rPr>
          <w:color w:val="000000"/>
          <w:szCs w:val="20"/>
        </w:rPr>
      </w:pPr>
    </w:p>
    <w:p w:rsidR="00B7549D" w:rsidP="0082063A" w:rsidRDefault="00B7549D" w14:paraId="089F8B31" w14:textId="296E4A5E">
      <w:pPr>
        <w:tabs>
          <w:tab w:val="left" w:pos="1545"/>
        </w:tabs>
        <w:spacing w:line="276" w:lineRule="auto"/>
      </w:pPr>
      <w:r>
        <w:rPr>
          <w:color w:val="000000"/>
          <w:szCs w:val="20"/>
        </w:rPr>
        <w:t xml:space="preserve">Data obtained during the </w:t>
      </w:r>
      <w:r w:rsidR="006A6E98">
        <w:rPr>
          <w:color w:val="000000"/>
          <w:szCs w:val="20"/>
        </w:rPr>
        <w:t xml:space="preserve">environmental sampling </w:t>
      </w:r>
      <w:r w:rsidR="00A12A64">
        <w:rPr>
          <w:color w:val="000000"/>
          <w:szCs w:val="20"/>
        </w:rPr>
        <w:t>EI</w:t>
      </w:r>
      <w:r>
        <w:rPr>
          <w:color w:val="000000"/>
          <w:szCs w:val="20"/>
        </w:rPr>
        <w:t xml:space="preserve"> will be treated in a secure manner and will not be disclosed, unless otherwise compelled by law.</w:t>
      </w:r>
      <w:r>
        <w:t xml:space="preserve"> The EI will comply with all appropriate </w:t>
      </w:r>
      <w:r w:rsidR="00781EC9">
        <w:t xml:space="preserve">federal and state </w:t>
      </w:r>
      <w:r>
        <w:t>requirements.</w:t>
      </w:r>
    </w:p>
    <w:p w:rsidR="00F14206" w:rsidP="00C41444" w:rsidRDefault="00F14206" w14:paraId="38EF094F" w14:textId="77777777">
      <w:pPr>
        <w:rPr>
          <w:i/>
        </w:rPr>
      </w:pPr>
    </w:p>
    <w:p w:rsidRPr="00B7549D" w:rsidR="00A6396B" w:rsidRDefault="000C2177" w14:paraId="4544EF78" w14:textId="0BF98ED8">
      <w:pPr>
        <w:pStyle w:val="Heading3"/>
      </w:pPr>
      <w:bookmarkStart w:name="_Toc76650792" w:id="81"/>
      <w:r w:rsidRPr="00B7549D">
        <w:t xml:space="preserve">A.10.1. </w:t>
      </w:r>
      <w:r w:rsidRPr="00B7549D" w:rsidR="00A6396B">
        <w:t>Privacy Impact Assessment Information</w:t>
      </w:r>
      <w:bookmarkEnd w:id="81"/>
    </w:p>
    <w:p w:rsidR="00F14206" w:rsidP="00A6396B" w:rsidRDefault="00F14206" w14:paraId="00A3AB49" w14:textId="77777777">
      <w:pPr>
        <w:tabs>
          <w:tab w:val="left" w:pos="1545"/>
        </w:tabs>
      </w:pPr>
    </w:p>
    <w:p w:rsidR="00B7549D" w:rsidP="0082063A" w:rsidRDefault="00B7549D" w14:paraId="21EEB715" w14:textId="13EDDFCF">
      <w:pPr>
        <w:tabs>
          <w:tab w:val="left" w:pos="1545"/>
        </w:tabs>
        <w:spacing w:line="276" w:lineRule="auto"/>
        <w:rPr>
          <w:bCs/>
          <w:iCs/>
        </w:rPr>
      </w:pPr>
      <w:r>
        <w:rPr>
          <w:bCs/>
          <w:iCs/>
        </w:rPr>
        <w:t xml:space="preserve">The </w:t>
      </w:r>
      <w:r w:rsidR="006A6E98">
        <w:rPr>
          <w:bCs/>
          <w:iCs/>
        </w:rPr>
        <w:t>environmental sampling</w:t>
      </w:r>
      <w:r>
        <w:rPr>
          <w:bCs/>
          <w:iCs/>
        </w:rPr>
        <w:t xml:space="preserve"> EI </w:t>
      </w:r>
      <w:r w:rsidR="00781EC9">
        <w:rPr>
          <w:bCs/>
          <w:iCs/>
        </w:rPr>
        <w:t xml:space="preserve">at the PFAS EA sites </w:t>
      </w:r>
      <w:r>
        <w:rPr>
          <w:bCs/>
          <w:iCs/>
        </w:rPr>
        <w:t xml:space="preserve">will involve </w:t>
      </w:r>
      <w:r w:rsidR="006C6DFE">
        <w:rPr>
          <w:bCs/>
          <w:iCs/>
        </w:rPr>
        <w:t xml:space="preserve">up to </w:t>
      </w:r>
      <w:r w:rsidR="00781EC9">
        <w:rPr>
          <w:bCs/>
          <w:iCs/>
        </w:rPr>
        <w:t>120</w:t>
      </w:r>
      <w:r w:rsidR="006C6DFE">
        <w:rPr>
          <w:bCs/>
          <w:iCs/>
        </w:rPr>
        <w:t xml:space="preserve"> </w:t>
      </w:r>
      <w:r w:rsidR="00781EC9">
        <w:rPr>
          <w:bCs/>
          <w:iCs/>
        </w:rPr>
        <w:t xml:space="preserve">EA </w:t>
      </w:r>
      <w:r w:rsidR="006C0984">
        <w:rPr>
          <w:bCs/>
          <w:iCs/>
        </w:rPr>
        <w:t>households</w:t>
      </w:r>
      <w:r w:rsidR="00781EC9">
        <w:rPr>
          <w:bCs/>
          <w:iCs/>
        </w:rPr>
        <w:t>: 40 in New Castle County, DE and 80 in Hampden County, MA</w:t>
      </w:r>
      <w:r>
        <w:rPr>
          <w:bCs/>
          <w:iCs/>
        </w:rPr>
        <w:t xml:space="preserve">. ATSDR provides participants with information on the EI process and what it can and cannot determine. </w:t>
      </w:r>
      <w:r w:rsidR="00AD1623">
        <w:rPr>
          <w:bCs/>
          <w:iCs/>
        </w:rPr>
        <w:t xml:space="preserve">Recruitment materials, including an invitation to participate letter and fact sheet, phone scripts to allow ATSDR to identify participants who may be scheduled for the robust sampling and an appointment reminder letter are provided in Attachment </w:t>
      </w:r>
      <w:r w:rsidR="006767E7">
        <w:rPr>
          <w:bCs/>
          <w:iCs/>
        </w:rPr>
        <w:t>8</w:t>
      </w:r>
      <w:r w:rsidR="00AD1623">
        <w:rPr>
          <w:bCs/>
          <w:iCs/>
        </w:rPr>
        <w:t xml:space="preserve">. </w:t>
      </w:r>
      <w:r>
        <w:rPr>
          <w:bCs/>
          <w:iCs/>
        </w:rPr>
        <w:t>After providing the participants this information, ATSDR will ask for consent</w:t>
      </w:r>
      <w:r w:rsidR="006A6E98">
        <w:rPr>
          <w:bCs/>
          <w:iCs/>
        </w:rPr>
        <w:t>/parental permission/assent</w:t>
      </w:r>
      <w:r>
        <w:rPr>
          <w:bCs/>
          <w:iCs/>
        </w:rPr>
        <w:t xml:space="preserve"> to participate in the EI</w:t>
      </w:r>
      <w:r w:rsidR="00430F47">
        <w:rPr>
          <w:bCs/>
          <w:iCs/>
        </w:rPr>
        <w:t xml:space="preserve"> (</w:t>
      </w:r>
      <w:r w:rsidR="006A6E98">
        <w:rPr>
          <w:bCs/>
          <w:iCs/>
        </w:rPr>
        <w:t xml:space="preserve">forms in </w:t>
      </w:r>
      <w:r w:rsidR="00430F47">
        <w:rPr>
          <w:bCs/>
          <w:iCs/>
        </w:rPr>
        <w:t>Attachment</w:t>
      </w:r>
      <w:r w:rsidR="006767E7">
        <w:rPr>
          <w:bCs/>
          <w:iCs/>
        </w:rPr>
        <w:t>s</w:t>
      </w:r>
      <w:r w:rsidR="00430F47">
        <w:rPr>
          <w:bCs/>
          <w:iCs/>
        </w:rPr>
        <w:t xml:space="preserve"> </w:t>
      </w:r>
      <w:r w:rsidR="006767E7">
        <w:rPr>
          <w:bCs/>
          <w:iCs/>
        </w:rPr>
        <w:t>10, 11, 12,</w:t>
      </w:r>
      <w:r w:rsidR="00C6788F">
        <w:rPr>
          <w:bCs/>
          <w:iCs/>
        </w:rPr>
        <w:t xml:space="preserve"> and</w:t>
      </w:r>
      <w:r w:rsidR="006767E7">
        <w:rPr>
          <w:bCs/>
          <w:iCs/>
        </w:rPr>
        <w:t xml:space="preserve"> 13</w:t>
      </w:r>
      <w:r w:rsidR="00430F47">
        <w:rPr>
          <w:bCs/>
          <w:iCs/>
        </w:rPr>
        <w:t>)</w:t>
      </w:r>
      <w:r>
        <w:rPr>
          <w:bCs/>
          <w:iCs/>
        </w:rPr>
        <w:t xml:space="preserve">. Participation is completely voluntary; participants can stop participating in the EI at any time.  </w:t>
      </w:r>
    </w:p>
    <w:p w:rsidR="00B7549D" w:rsidP="00D94910" w:rsidRDefault="00B7549D" w14:paraId="5DF276DF" w14:textId="77777777">
      <w:pPr>
        <w:tabs>
          <w:tab w:val="left" w:pos="1545"/>
        </w:tabs>
        <w:spacing w:line="276" w:lineRule="auto"/>
        <w:rPr>
          <w:bCs/>
          <w:iCs/>
        </w:rPr>
      </w:pPr>
    </w:p>
    <w:p w:rsidR="00495623" w:rsidP="00D94910" w:rsidRDefault="00495623" w14:paraId="72871322" w14:textId="77777777">
      <w:pPr>
        <w:spacing w:line="276" w:lineRule="auto"/>
      </w:pPr>
      <w:r>
        <w:rPr>
          <w:rStyle w:val="Strong"/>
          <w:rFonts w:asciiTheme="majorHAnsi" w:hAnsiTheme="majorHAnsi"/>
          <w:color w:val="4F81BD"/>
        </w:rPr>
        <w:t>Overview of the Data Collection System</w:t>
      </w:r>
    </w:p>
    <w:p w:rsidR="00D607C6" w:rsidDel="0036112F" w:rsidP="00D94910" w:rsidRDefault="00D607C6" w14:paraId="42F5E5A1" w14:textId="77777777">
      <w:pPr>
        <w:tabs>
          <w:tab w:val="left" w:pos="1545"/>
        </w:tabs>
        <w:spacing w:line="276" w:lineRule="auto"/>
      </w:pPr>
    </w:p>
    <w:p w:rsidR="00D607C6" w:rsidDel="0036112F" w:rsidP="00D94910" w:rsidRDefault="00D607C6" w14:paraId="6E772914" w14:textId="096E9E53">
      <w:pPr>
        <w:tabs>
          <w:tab w:val="left" w:pos="1545"/>
        </w:tabs>
        <w:spacing w:line="276" w:lineRule="auto"/>
      </w:pPr>
      <w:r w:rsidRPr="00F272FD" w:rsidDel="0036112F">
        <w:t>The primary objective of the</w:t>
      </w:r>
      <w:r w:rsidDel="0036112F">
        <w:t xml:space="preserve"> information collected for the </w:t>
      </w:r>
      <w:r w:rsidR="006A6E98">
        <w:t>environmental sampling</w:t>
      </w:r>
      <w:r w:rsidDel="0036112F">
        <w:t xml:space="preserve"> EI is to assess </w:t>
      </w:r>
      <w:r w:rsidR="00A9453E">
        <w:t>non-drinking water exposure to PFAS</w:t>
      </w:r>
      <w:r w:rsidDel="0036112F">
        <w:t xml:space="preserve">. Data obtained during this </w:t>
      </w:r>
      <w:r w:rsidR="006A6E98">
        <w:t xml:space="preserve">environmental sampling </w:t>
      </w:r>
      <w:r w:rsidDel="0036112F">
        <w:t xml:space="preserve">EI will include analytical measures of </w:t>
      </w:r>
      <w:r w:rsidR="00A9453E">
        <w:t>PFAS in various environmental media that will provide information to better interpret the PFAS EA serum results</w:t>
      </w:r>
      <w:r w:rsidDel="0036112F">
        <w:t xml:space="preserve">. </w:t>
      </w:r>
    </w:p>
    <w:p w:rsidR="00D607C6" w:rsidDel="0036112F" w:rsidP="00D607C6" w:rsidRDefault="00D607C6" w14:paraId="6C6FCB11" w14:textId="77777777">
      <w:pPr>
        <w:tabs>
          <w:tab w:val="left" w:pos="1545"/>
        </w:tabs>
      </w:pPr>
    </w:p>
    <w:p w:rsidR="00D607C6" w:rsidDel="0036112F" w:rsidP="00D94910" w:rsidRDefault="00D607C6" w14:paraId="17CE2D1C" w14:textId="77777777">
      <w:pPr>
        <w:tabs>
          <w:tab w:val="left" w:pos="1545"/>
        </w:tabs>
        <w:spacing w:line="276" w:lineRule="auto"/>
      </w:pPr>
      <w:r w:rsidDel="0036112F">
        <w:t>The data collection system for this EI will be characterized by the following:</w:t>
      </w:r>
    </w:p>
    <w:p w:rsidR="00D607C6" w:rsidDel="0036112F" w:rsidP="00D94910" w:rsidRDefault="00D607C6" w14:paraId="5BA54E3B" w14:textId="77777777">
      <w:pPr>
        <w:tabs>
          <w:tab w:val="left" w:pos="1545"/>
        </w:tabs>
        <w:spacing w:line="276" w:lineRule="auto"/>
      </w:pPr>
    </w:p>
    <w:p w:rsidRPr="00DB10B4" w:rsidR="00D607C6" w:rsidDel="0036112F" w:rsidP="006F62B8" w:rsidRDefault="00D607C6" w14:paraId="6FB71D13" w14:textId="77777777">
      <w:pPr>
        <w:pStyle w:val="ListParagraph"/>
        <w:numPr>
          <w:ilvl w:val="0"/>
          <w:numId w:val="1"/>
        </w:numPr>
        <w:tabs>
          <w:tab w:val="left" w:pos="1545"/>
        </w:tabs>
        <w:spacing w:line="276" w:lineRule="auto"/>
        <w:rPr>
          <w:u w:val="single"/>
        </w:rPr>
      </w:pPr>
      <w:r w:rsidRPr="00DB10B4" w:rsidDel="0036112F">
        <w:rPr>
          <w:u w:val="single"/>
        </w:rPr>
        <w:t xml:space="preserve">Who </w:t>
      </w:r>
      <w:r w:rsidDel="0036112F">
        <w:rPr>
          <w:u w:val="single"/>
        </w:rPr>
        <w:t>will use the</w:t>
      </w:r>
      <w:r w:rsidRPr="00DB10B4" w:rsidDel="0036112F">
        <w:rPr>
          <w:u w:val="single"/>
        </w:rPr>
        <w:t xml:space="preserve"> EI </w:t>
      </w:r>
      <w:r w:rsidDel="0036112F">
        <w:rPr>
          <w:u w:val="single"/>
        </w:rPr>
        <w:t>Data Collection System?</w:t>
      </w:r>
    </w:p>
    <w:p w:rsidR="00D607C6" w:rsidDel="0036112F" w:rsidP="00D94910" w:rsidRDefault="00D607C6" w14:paraId="5EE35477" w14:textId="1B823BDA">
      <w:pPr>
        <w:pStyle w:val="ListParagraph"/>
        <w:spacing w:line="276" w:lineRule="auto"/>
      </w:pPr>
      <w:r w:rsidRPr="00DB10B4" w:rsidDel="0036112F">
        <w:t xml:space="preserve">The </w:t>
      </w:r>
      <w:r w:rsidR="00A432AF">
        <w:t>OCHHA</w:t>
      </w:r>
      <w:r w:rsidDel="0036112F">
        <w:t xml:space="preserve"> </w:t>
      </w:r>
      <w:r w:rsidRPr="00DB10B4" w:rsidDel="0036112F">
        <w:t xml:space="preserve">EI </w:t>
      </w:r>
      <w:r w:rsidDel="0036112F">
        <w:t>T</w:t>
      </w:r>
      <w:r w:rsidRPr="00DB10B4" w:rsidDel="0036112F">
        <w:t>eam</w:t>
      </w:r>
      <w:r w:rsidR="00A432AF">
        <w:t>, including ATSDR regional personnel, along with EPA ORD</w:t>
      </w:r>
      <w:r w:rsidDel="0036112F">
        <w:t xml:space="preserve"> </w:t>
      </w:r>
      <w:r w:rsidRPr="00DB10B4" w:rsidDel="0036112F">
        <w:t xml:space="preserve">will use the </w:t>
      </w:r>
      <w:r w:rsidDel="0036112F">
        <w:t xml:space="preserve">Data Collection System to </w:t>
      </w:r>
      <w:r w:rsidR="00A432AF">
        <w:t>collect and analyze PFAS in various environmental media at the New Castle County, DE and Hampden County, MA EA locations.</w:t>
      </w:r>
      <w:r w:rsidDel="0036112F">
        <w:t xml:space="preserve"> </w:t>
      </w:r>
    </w:p>
    <w:p w:rsidR="00D607C6" w:rsidDel="0036112F" w:rsidP="00D94910" w:rsidRDefault="00D607C6" w14:paraId="522C4F18" w14:textId="77777777">
      <w:pPr>
        <w:pStyle w:val="ListParagraph"/>
        <w:spacing w:line="276" w:lineRule="auto"/>
      </w:pPr>
    </w:p>
    <w:p w:rsidRPr="00DB10B4" w:rsidR="00D607C6" w:rsidDel="0036112F" w:rsidP="006F62B8" w:rsidRDefault="00D607C6" w14:paraId="08E31AD9" w14:textId="77777777">
      <w:pPr>
        <w:pStyle w:val="ListParagraph"/>
        <w:numPr>
          <w:ilvl w:val="0"/>
          <w:numId w:val="1"/>
        </w:numPr>
        <w:spacing w:line="276" w:lineRule="auto"/>
        <w:rPr>
          <w:u w:val="single"/>
        </w:rPr>
      </w:pPr>
      <w:r w:rsidRPr="00DB10B4" w:rsidDel="0036112F">
        <w:rPr>
          <w:u w:val="single"/>
        </w:rPr>
        <w:t>Who can be included as part of the EI</w:t>
      </w:r>
      <w:r w:rsidDel="0036112F">
        <w:rPr>
          <w:u w:val="single"/>
        </w:rPr>
        <w:t xml:space="preserve"> Generic Clearance?</w:t>
      </w:r>
    </w:p>
    <w:p w:rsidR="00D607C6" w:rsidP="00587FF2" w:rsidRDefault="00D607C6" w14:paraId="4F398D33" w14:textId="35063E6E">
      <w:pPr>
        <w:spacing w:line="276" w:lineRule="auto"/>
        <w:ind w:left="720"/>
      </w:pPr>
      <w:r w:rsidDel="0036112F">
        <w:t>EI participants for the</w:t>
      </w:r>
      <w:r w:rsidR="00835B5F">
        <w:t xml:space="preserve"> </w:t>
      </w:r>
      <w:r w:rsidR="006A6E98">
        <w:t>environmental sampling</w:t>
      </w:r>
      <w:r w:rsidDel="0036112F">
        <w:t xml:space="preserve"> EI</w:t>
      </w:r>
      <w:r w:rsidDel="0036112F">
        <w:rPr>
          <w:bCs/>
        </w:rPr>
        <w:t xml:space="preserve"> are identified </w:t>
      </w:r>
      <w:r w:rsidR="00A432AF">
        <w:rPr>
          <w:bCs/>
        </w:rPr>
        <w:t>as EA participants from the New Castle County, DE and Hampden Country, MA EA locations.</w:t>
      </w:r>
    </w:p>
    <w:p w:rsidR="00EC3A9E" w:rsidP="00D94910" w:rsidRDefault="00EC3A9E" w14:paraId="06470DA1" w14:textId="5AF4CAD6">
      <w:pPr>
        <w:spacing w:line="276" w:lineRule="auto"/>
        <w:ind w:left="720"/>
      </w:pPr>
    </w:p>
    <w:p w:rsidRPr="009175DC" w:rsidR="00D607C6" w:rsidDel="0036112F" w:rsidP="006F62B8" w:rsidRDefault="00D607C6" w14:paraId="5797EFAB" w14:textId="77777777">
      <w:pPr>
        <w:pStyle w:val="ListParagraph"/>
        <w:numPr>
          <w:ilvl w:val="0"/>
          <w:numId w:val="1"/>
        </w:numPr>
        <w:spacing w:line="276" w:lineRule="auto"/>
        <w:rPr>
          <w:u w:val="single"/>
        </w:rPr>
      </w:pPr>
      <w:r w:rsidRPr="009175DC" w:rsidDel="0036112F">
        <w:rPr>
          <w:u w:val="single"/>
        </w:rPr>
        <w:t>What types of questions may be asked as part of the EI Generic Clearance?</w:t>
      </w:r>
    </w:p>
    <w:p w:rsidRPr="00584A53" w:rsidR="00D607C6" w:rsidDel="0036112F" w:rsidP="00D94910" w:rsidRDefault="00D607C6" w14:paraId="7AD24E4E" w14:textId="34D0B315">
      <w:pPr>
        <w:pStyle w:val="ListParagraph"/>
        <w:spacing w:line="276" w:lineRule="auto"/>
        <w:rPr>
          <w:b/>
          <w:bCs/>
        </w:rPr>
      </w:pPr>
      <w:r w:rsidDel="0036112F">
        <w:t xml:space="preserve">For the </w:t>
      </w:r>
      <w:r w:rsidR="006A6E98">
        <w:t>environmental sampling</w:t>
      </w:r>
      <w:r w:rsidDel="0036112F">
        <w:t xml:space="preserve"> EI, </w:t>
      </w:r>
      <w:r w:rsidR="00A432AF">
        <w:t xml:space="preserve">environmental media will be sampled and questions relating to </w:t>
      </w:r>
      <w:r w:rsidR="00E96EF6">
        <w:t xml:space="preserve">water intake, household condition, use of consumer products containing PFAS and dietary intake are included in the questionnaire. </w:t>
      </w:r>
      <w:r w:rsidDel="0036112F">
        <w:t>Attachment</w:t>
      </w:r>
      <w:r w:rsidR="006767E7">
        <w:t>s 14, 15 and 16</w:t>
      </w:r>
      <w:r w:rsidDel="0036112F">
        <w:t xml:space="preserve"> provide the </w:t>
      </w:r>
      <w:r w:rsidR="00AD1623">
        <w:t>household and personal exposure questionnaires</w:t>
      </w:r>
      <w:r w:rsidDel="0036112F">
        <w:t xml:space="preserve"> that will be used </w:t>
      </w:r>
      <w:r w:rsidR="00AD1623">
        <w:t>for the environmental sampling EI</w:t>
      </w:r>
      <w:r w:rsidDel="0036112F">
        <w:t xml:space="preserve">. </w:t>
      </w:r>
    </w:p>
    <w:p w:rsidR="00D607C6" w:rsidDel="0036112F" w:rsidP="00D94910" w:rsidRDefault="00D607C6" w14:paraId="711308B5" w14:textId="77777777">
      <w:pPr>
        <w:pStyle w:val="Heading3"/>
        <w:spacing w:before="0" w:line="276" w:lineRule="auto"/>
        <w:rPr>
          <w:rFonts w:ascii="Times New Roman" w:hAnsi="Times New Roman" w:cs="Times New Roman"/>
          <w:b w:val="0"/>
          <w:color w:val="auto"/>
          <w:u w:val="single"/>
        </w:rPr>
      </w:pPr>
    </w:p>
    <w:p w:rsidR="00495623" w:rsidP="00D94910" w:rsidRDefault="00495623" w14:paraId="02420A0F" w14:textId="77777777">
      <w:pPr>
        <w:spacing w:line="276" w:lineRule="auto"/>
      </w:pPr>
      <w:r>
        <w:rPr>
          <w:rStyle w:val="Strong"/>
          <w:rFonts w:asciiTheme="majorHAnsi" w:hAnsiTheme="majorHAnsi"/>
          <w:color w:val="4F81BD"/>
        </w:rPr>
        <w:t>Items of Information to be Collected</w:t>
      </w:r>
    </w:p>
    <w:p w:rsidR="00D607C6" w:rsidDel="0036112F" w:rsidP="00D94910" w:rsidRDefault="00D607C6" w14:paraId="3A889021" w14:textId="77777777">
      <w:pPr>
        <w:tabs>
          <w:tab w:val="left" w:pos="1545"/>
        </w:tabs>
        <w:spacing w:line="276" w:lineRule="auto"/>
      </w:pPr>
    </w:p>
    <w:p w:rsidR="00D607C6" w:rsidDel="0036112F" w:rsidP="00D94910" w:rsidRDefault="00D607C6" w14:paraId="240E220D" w14:textId="534D9E35">
      <w:pPr>
        <w:tabs>
          <w:tab w:val="left" w:pos="1545"/>
        </w:tabs>
        <w:spacing w:line="276" w:lineRule="auto"/>
      </w:pPr>
      <w:r w:rsidDel="0036112F">
        <w:lastRenderedPageBreak/>
        <w:t xml:space="preserve">Collecting identifying information is necessary to facilitate personal contact with participants, to obtain their consent to participate and to provide them with results. The information is also used by ATSDR to better interpret the results of the </w:t>
      </w:r>
      <w:r w:rsidR="00EA4FF7">
        <w:t xml:space="preserve">serum </w:t>
      </w:r>
      <w:r w:rsidDel="0036112F">
        <w:t>sampling</w:t>
      </w:r>
      <w:r w:rsidR="00EA4FF7">
        <w:t xml:space="preserve"> that was completed during the </w:t>
      </w:r>
      <w:r w:rsidR="006A6E98">
        <w:t>PFAS EA</w:t>
      </w:r>
      <w:r w:rsidDel="0036112F">
        <w:t>. Data is treated in a private manner, unless otherwise compelled by law.</w:t>
      </w:r>
    </w:p>
    <w:p w:rsidR="00D607C6" w:rsidDel="0036112F" w:rsidP="00D94910" w:rsidRDefault="00D607C6" w14:paraId="4D3D11F5" w14:textId="77777777">
      <w:pPr>
        <w:tabs>
          <w:tab w:val="left" w:pos="1545"/>
        </w:tabs>
        <w:spacing w:line="276" w:lineRule="auto"/>
        <w:rPr>
          <w:bCs/>
          <w:iCs/>
          <w:color w:val="000000"/>
        </w:rPr>
      </w:pPr>
    </w:p>
    <w:p w:rsidR="00D607C6" w:rsidDel="0036112F" w:rsidP="00D94910" w:rsidRDefault="00D607C6" w14:paraId="3AE6B78D" w14:textId="42E49FBE">
      <w:pPr>
        <w:tabs>
          <w:tab w:val="left" w:pos="1545"/>
        </w:tabs>
        <w:spacing w:line="276" w:lineRule="auto"/>
        <w:rPr>
          <w:bCs/>
          <w:iCs/>
          <w:color w:val="000000"/>
        </w:rPr>
      </w:pPr>
      <w:r w:rsidDel="0036112F">
        <w:rPr>
          <w:bCs/>
          <w:iCs/>
          <w:color w:val="000000"/>
        </w:rPr>
        <w:t xml:space="preserve">ATSDR collects contact information (e.g., name, address, phone number, email address) to provide the participant with their individual results. General information, which includes age/date of birth, race, gender, etc., </w:t>
      </w:r>
      <w:r w:rsidR="00E956A6">
        <w:rPr>
          <w:bCs/>
          <w:iCs/>
          <w:color w:val="000000"/>
        </w:rPr>
        <w:t xml:space="preserve">will </w:t>
      </w:r>
      <w:r w:rsidR="00E96EF6">
        <w:rPr>
          <w:bCs/>
          <w:iCs/>
          <w:color w:val="000000"/>
        </w:rPr>
        <w:t xml:space="preserve">also be </w:t>
      </w:r>
      <w:r w:rsidDel="0036112F">
        <w:rPr>
          <w:bCs/>
          <w:iCs/>
          <w:color w:val="000000"/>
        </w:rPr>
        <w:t>collected.</w:t>
      </w:r>
    </w:p>
    <w:p w:rsidR="00D607C6" w:rsidDel="0036112F" w:rsidP="00D94910" w:rsidRDefault="00D607C6" w14:paraId="401C6401" w14:textId="77777777">
      <w:pPr>
        <w:tabs>
          <w:tab w:val="left" w:pos="1545"/>
        </w:tabs>
        <w:spacing w:line="276" w:lineRule="auto"/>
        <w:rPr>
          <w:bCs/>
          <w:iCs/>
        </w:rPr>
      </w:pPr>
    </w:p>
    <w:p w:rsidR="00D607C6" w:rsidP="00D94910" w:rsidRDefault="00D607C6" w14:paraId="1C3554A8" w14:textId="45730798">
      <w:pPr>
        <w:tabs>
          <w:tab w:val="left" w:pos="1545"/>
        </w:tabs>
        <w:spacing w:line="276" w:lineRule="auto"/>
        <w:rPr>
          <w:bCs/>
        </w:rPr>
      </w:pPr>
      <w:r w:rsidDel="0036112F">
        <w:rPr>
          <w:bCs/>
          <w:iCs/>
        </w:rPr>
        <w:t xml:space="preserve">ATSDR will </w:t>
      </w:r>
      <w:r w:rsidR="00E31F10">
        <w:rPr>
          <w:bCs/>
          <w:iCs/>
        </w:rPr>
        <w:t>administer two questionnaires: a household questionnaire and a personal exposure questionnaire</w:t>
      </w:r>
      <w:r w:rsidR="00AD1623">
        <w:rPr>
          <w:bCs/>
          <w:iCs/>
        </w:rPr>
        <w:t xml:space="preserve"> (Attachment</w:t>
      </w:r>
      <w:r w:rsidR="006767E7">
        <w:rPr>
          <w:bCs/>
          <w:iCs/>
        </w:rPr>
        <w:t>s 14, 15 and 16</w:t>
      </w:r>
      <w:r w:rsidR="00AD1623">
        <w:rPr>
          <w:bCs/>
          <w:iCs/>
        </w:rPr>
        <w:t>)</w:t>
      </w:r>
      <w:r w:rsidR="00E31F10">
        <w:rPr>
          <w:bCs/>
          <w:iCs/>
        </w:rPr>
        <w:t xml:space="preserve">. The household questionnaire includes questions </w:t>
      </w:r>
      <w:r w:rsidR="003F685D">
        <w:rPr>
          <w:bCs/>
          <w:iCs/>
        </w:rPr>
        <w:t xml:space="preserve">regarding characteristics of the home and the use of products that may contain PFAS. The personal exposure questionnaire includes questions regarding personal exposure such as water use, time spent outdoors and dietary intake off locally grown produce and convenience food. </w:t>
      </w:r>
      <w:r w:rsidDel="0036112F">
        <w:rPr>
          <w:bCs/>
        </w:rPr>
        <w:t xml:space="preserve">Only questions needed to determine the extent of exposure in a particular situation will be asked. </w:t>
      </w:r>
    </w:p>
    <w:p w:rsidR="00AC3669" w:rsidP="00D94910" w:rsidRDefault="00AC3669" w14:paraId="04127C8F" w14:textId="5441354B">
      <w:pPr>
        <w:tabs>
          <w:tab w:val="left" w:pos="1545"/>
        </w:tabs>
        <w:spacing w:line="276" w:lineRule="auto"/>
        <w:rPr>
          <w:bCs/>
        </w:rPr>
      </w:pPr>
    </w:p>
    <w:p w:rsidR="00AC3669" w:rsidDel="0036112F" w:rsidP="00D94910" w:rsidRDefault="00AC3669" w14:paraId="64A652B0" w14:textId="2AFED232">
      <w:pPr>
        <w:tabs>
          <w:tab w:val="left" w:pos="1545"/>
        </w:tabs>
        <w:spacing w:line="276" w:lineRule="auto"/>
        <w:rPr>
          <w:bCs/>
          <w:iCs/>
          <w:color w:val="000000"/>
        </w:rPr>
      </w:pPr>
      <w:r>
        <w:rPr>
          <w:bCs/>
        </w:rPr>
        <w:t>Participants will be provided their individual environmental sampling results and a final report will be produced and provided to the communities.</w:t>
      </w:r>
    </w:p>
    <w:p w:rsidR="00D607C6" w:rsidDel="0036112F" w:rsidP="00D94910" w:rsidRDefault="00D607C6" w14:paraId="44FD5FC9" w14:textId="77777777">
      <w:pPr>
        <w:tabs>
          <w:tab w:val="left" w:pos="1545"/>
        </w:tabs>
        <w:spacing w:line="276" w:lineRule="auto"/>
      </w:pPr>
    </w:p>
    <w:p w:rsidRPr="003D22FC" w:rsidR="00017E63" w:rsidDel="0036112F" w:rsidP="00D94910" w:rsidRDefault="00017E63" w14:paraId="63F80536" w14:textId="34DACEFD">
      <w:pPr>
        <w:spacing w:line="276" w:lineRule="auto"/>
      </w:pPr>
      <w:r>
        <w:rPr>
          <w:bCs/>
          <w:iCs/>
        </w:rPr>
        <w:t xml:space="preserve">An example of a completed Exposure Investigation is provided as Attachment </w:t>
      </w:r>
      <w:r w:rsidR="006767E7">
        <w:rPr>
          <w:bCs/>
          <w:iCs/>
        </w:rPr>
        <w:t xml:space="preserve">4 </w:t>
      </w:r>
      <w:r>
        <w:rPr>
          <w:bCs/>
          <w:iCs/>
        </w:rPr>
        <w:t xml:space="preserve">and the final </w:t>
      </w:r>
      <w:r w:rsidR="00AC3669">
        <w:rPr>
          <w:bCs/>
          <w:iCs/>
        </w:rPr>
        <w:t>environmental sampling</w:t>
      </w:r>
      <w:r w:rsidR="003F685D">
        <w:rPr>
          <w:bCs/>
          <w:iCs/>
        </w:rPr>
        <w:t xml:space="preserve"> EI </w:t>
      </w:r>
      <w:r>
        <w:rPr>
          <w:bCs/>
          <w:iCs/>
        </w:rPr>
        <w:t xml:space="preserve">Protocol is provided as Attachment </w:t>
      </w:r>
      <w:r w:rsidR="006767E7">
        <w:rPr>
          <w:bCs/>
          <w:iCs/>
        </w:rPr>
        <w:t>5</w:t>
      </w:r>
      <w:r>
        <w:rPr>
          <w:bCs/>
          <w:iCs/>
        </w:rPr>
        <w:t>.</w:t>
      </w:r>
    </w:p>
    <w:p w:rsidRPr="00C41444" w:rsidR="00D607C6" w:rsidP="00D94910" w:rsidRDefault="00D607C6" w14:paraId="464EAAA9" w14:textId="77777777">
      <w:pPr>
        <w:tabs>
          <w:tab w:val="left" w:pos="1545"/>
        </w:tabs>
        <w:spacing w:line="276" w:lineRule="auto"/>
        <w:rPr>
          <w:rStyle w:val="Strong"/>
        </w:rPr>
      </w:pPr>
    </w:p>
    <w:p w:rsidR="00495623" w:rsidP="00D94910" w:rsidRDefault="00495623" w14:paraId="52F5E21F" w14:textId="77777777">
      <w:pPr>
        <w:spacing w:line="276" w:lineRule="auto"/>
      </w:pPr>
      <w:r>
        <w:rPr>
          <w:rStyle w:val="Strong"/>
          <w:rFonts w:asciiTheme="majorHAnsi" w:hAnsiTheme="majorHAnsi"/>
          <w:color w:val="4F81BD"/>
        </w:rPr>
        <w:t>Sharing and Purpose of Collected Information</w:t>
      </w:r>
    </w:p>
    <w:p w:rsidR="00F30854" w:rsidP="00D94910" w:rsidRDefault="00F30854" w14:paraId="3DF0991A" w14:textId="77777777">
      <w:pPr>
        <w:tabs>
          <w:tab w:val="left" w:pos="1545"/>
        </w:tabs>
        <w:spacing w:line="276" w:lineRule="auto"/>
        <w:rPr>
          <w:rStyle w:val="Strong"/>
        </w:rPr>
      </w:pPr>
    </w:p>
    <w:p w:rsidRPr="009B0F1A" w:rsidR="00F30854" w:rsidP="00D94910" w:rsidRDefault="00F30854" w14:paraId="522E4C1E" w14:textId="3CCF75EF">
      <w:pPr>
        <w:tabs>
          <w:tab w:val="left" w:pos="1545"/>
        </w:tabs>
        <w:spacing w:line="276" w:lineRule="auto"/>
        <w:rPr>
          <w:rStyle w:val="Strong"/>
          <w:b w:val="0"/>
        </w:rPr>
      </w:pPr>
      <w:r w:rsidRPr="009B0F1A">
        <w:rPr>
          <w:rStyle w:val="Strong"/>
          <w:b w:val="0"/>
        </w:rPr>
        <w:t>The information</w:t>
      </w:r>
      <w:r>
        <w:rPr>
          <w:rStyle w:val="Strong"/>
          <w:b w:val="0"/>
        </w:rPr>
        <w:t xml:space="preserve"> collected for the </w:t>
      </w:r>
      <w:r w:rsidR="00AC3669">
        <w:rPr>
          <w:rStyle w:val="Strong"/>
          <w:b w:val="0"/>
        </w:rPr>
        <w:t xml:space="preserve">environmental sampling </w:t>
      </w:r>
      <w:r w:rsidR="00AD43A1">
        <w:rPr>
          <w:rStyle w:val="Strong"/>
          <w:b w:val="0"/>
        </w:rPr>
        <w:t xml:space="preserve">EI </w:t>
      </w:r>
      <w:r>
        <w:rPr>
          <w:rStyle w:val="Strong"/>
          <w:b w:val="0"/>
        </w:rPr>
        <w:t>will be use</w:t>
      </w:r>
      <w:r w:rsidR="00D251B9">
        <w:rPr>
          <w:rStyle w:val="Strong"/>
          <w:b w:val="0"/>
        </w:rPr>
        <w:t xml:space="preserve">d to evaluate </w:t>
      </w:r>
      <w:r w:rsidR="003F685D">
        <w:rPr>
          <w:rStyle w:val="Strong"/>
          <w:b w:val="0"/>
        </w:rPr>
        <w:t xml:space="preserve">potential non-drinking water exposure to PFAS at Exposure Assessment sites. Deidentified </w:t>
      </w:r>
      <w:r w:rsidR="00F03EF6">
        <w:rPr>
          <w:rStyle w:val="Strong"/>
          <w:b w:val="0"/>
        </w:rPr>
        <w:t xml:space="preserve">information will be shared with US EPA and other federal, state, and local public health agencies as appropriate.  </w:t>
      </w:r>
      <w:r w:rsidR="00D251B9">
        <w:rPr>
          <w:rStyle w:val="Strong"/>
          <w:b w:val="0"/>
        </w:rPr>
        <w:t xml:space="preserve">Participants will be notified of their individual results and an </w:t>
      </w:r>
      <w:r w:rsidR="00AD43A1">
        <w:rPr>
          <w:rStyle w:val="Strong"/>
          <w:b w:val="0"/>
        </w:rPr>
        <w:t>EI</w:t>
      </w:r>
      <w:r w:rsidR="00D251B9">
        <w:rPr>
          <w:rStyle w:val="Strong"/>
          <w:b w:val="0"/>
        </w:rPr>
        <w:t xml:space="preserve"> report will be prepared that will present the results of the </w:t>
      </w:r>
      <w:r w:rsidR="00AD43A1">
        <w:rPr>
          <w:rStyle w:val="Strong"/>
          <w:b w:val="0"/>
        </w:rPr>
        <w:t>investigation</w:t>
      </w:r>
      <w:r w:rsidR="00F03EF6">
        <w:rPr>
          <w:rStyle w:val="Strong"/>
          <w:b w:val="0"/>
        </w:rPr>
        <w:t xml:space="preserve"> to the MA and DE Exposure Assessment communities</w:t>
      </w:r>
      <w:r w:rsidR="00AD43A1">
        <w:rPr>
          <w:rStyle w:val="Strong"/>
          <w:b w:val="0"/>
        </w:rPr>
        <w:t>.</w:t>
      </w:r>
    </w:p>
    <w:p w:rsidR="00F30854" w:rsidP="00D94910" w:rsidRDefault="00F30854" w14:paraId="552AF449" w14:textId="77777777">
      <w:pPr>
        <w:tabs>
          <w:tab w:val="left" w:pos="1545"/>
        </w:tabs>
        <w:spacing w:line="276" w:lineRule="auto"/>
        <w:rPr>
          <w:rStyle w:val="Strong"/>
        </w:rPr>
      </w:pPr>
    </w:p>
    <w:p w:rsidR="00495623" w:rsidP="00D94910" w:rsidRDefault="00495623" w14:paraId="6BEA891B" w14:textId="77777777">
      <w:pPr>
        <w:spacing w:line="276" w:lineRule="auto"/>
      </w:pPr>
      <w:r>
        <w:rPr>
          <w:rStyle w:val="Strong"/>
          <w:rFonts w:asciiTheme="majorHAnsi" w:hAnsiTheme="majorHAnsi"/>
          <w:color w:val="4F81BD"/>
        </w:rPr>
        <w:t>Securing of Collected Inform</w:t>
      </w:r>
      <w:r w:rsidRPr="006274AD">
        <w:rPr>
          <w:rStyle w:val="Strong"/>
          <w:rFonts w:asciiTheme="majorHAnsi" w:hAnsiTheme="majorHAnsi"/>
          <w:color w:val="4F81BD"/>
        </w:rPr>
        <w:t>ation</w:t>
      </w:r>
    </w:p>
    <w:p w:rsidR="00BB6422" w:rsidP="00D94910" w:rsidRDefault="00BB6422" w14:paraId="1F9AC2ED" w14:textId="77777777">
      <w:pPr>
        <w:tabs>
          <w:tab w:val="left" w:pos="1545"/>
        </w:tabs>
        <w:spacing w:line="276" w:lineRule="auto"/>
      </w:pPr>
    </w:p>
    <w:p w:rsidR="00BB6422" w:rsidP="00D94910" w:rsidRDefault="00BB6422" w14:paraId="0F34CA27" w14:textId="172391ED">
      <w:pPr>
        <w:tabs>
          <w:tab w:val="left" w:pos="1545"/>
        </w:tabs>
        <w:spacing w:line="276" w:lineRule="auto"/>
        <w:rPr>
          <w:i/>
        </w:rPr>
      </w:pPr>
      <w:r>
        <w:t xml:space="preserve">ATSDR only collects information that will help us interpret the laboratory data and recognize likely exposure scenarios. Once we conduct an EI, we match the unique answers given by participants with their environmental samples to determine whether intervention is needed on an individual level. The information collection is therefore </w:t>
      </w:r>
      <w:r>
        <w:rPr>
          <w:i/>
        </w:rPr>
        <w:t>inherently person- or location-specific.</w:t>
      </w:r>
    </w:p>
    <w:p w:rsidR="00BB6422" w:rsidP="00D94910" w:rsidRDefault="00BB6422" w14:paraId="773BFBA7" w14:textId="77777777">
      <w:pPr>
        <w:tabs>
          <w:tab w:val="left" w:pos="1545"/>
        </w:tabs>
        <w:spacing w:line="276" w:lineRule="auto"/>
        <w:rPr>
          <w:i/>
        </w:rPr>
      </w:pPr>
    </w:p>
    <w:p w:rsidR="00BB6422" w:rsidP="00D94910" w:rsidRDefault="00BB6422" w14:paraId="53322C6E" w14:textId="2747C425">
      <w:pPr>
        <w:spacing w:line="276" w:lineRule="auto"/>
      </w:pPr>
      <w:r>
        <w:t xml:space="preserve">Data are treated to protect privacy; access to computer files is password-protected and access is limited to authorized EI personnel, including contractors. All staff working on the project agree </w:t>
      </w:r>
      <w:r>
        <w:lastRenderedPageBreak/>
        <w:t>to safeguard the data and not to make unauthorized disclosures. Published reports may present responses in aggregate form and no individuals are identified by name.</w:t>
      </w:r>
    </w:p>
    <w:p w:rsidR="00C41444" w:rsidP="00D94910" w:rsidRDefault="00C41444" w14:paraId="46DF4E0E" w14:textId="77777777">
      <w:pPr>
        <w:spacing w:line="276" w:lineRule="auto"/>
      </w:pPr>
    </w:p>
    <w:p w:rsidR="00C41444" w:rsidP="00D94910" w:rsidRDefault="00C41444" w14:paraId="7FC23D9B" w14:textId="07B13F4E">
      <w:pPr>
        <w:tabs>
          <w:tab w:val="left" w:pos="1545"/>
        </w:tabs>
        <w:spacing w:line="276" w:lineRule="auto"/>
      </w:pPr>
      <w:r>
        <w:t xml:space="preserve">Data are treated in a private manner, unless otherwise compelled by law. Paper documents containing personal identifiers are kept in locked file cabinets at ATSDR. </w:t>
      </w:r>
      <w:r>
        <w:rPr>
          <w:color w:val="000000"/>
        </w:rPr>
        <w:t>ATSDR computers comply with the HHS Standard 2008-0007.001S for encryption</w:t>
      </w:r>
      <w:r>
        <w:t xml:space="preserve"> in accordance with information systems security requirements for safeguarding personally identifiable information.  Access to computer files is password-protected and access is limited to authorized EI personnel. That information is stored in a secure database along with the laboratory results. </w:t>
      </w:r>
    </w:p>
    <w:p w:rsidRPr="00C41444" w:rsidR="00BB6422" w:rsidDel="0036112F" w:rsidP="00D94910" w:rsidRDefault="00BB6422" w14:paraId="59C2714C" w14:textId="77777777">
      <w:pPr>
        <w:tabs>
          <w:tab w:val="left" w:pos="1545"/>
        </w:tabs>
        <w:spacing w:line="276" w:lineRule="auto"/>
        <w:rPr>
          <w:rStyle w:val="Strong"/>
        </w:rPr>
      </w:pPr>
    </w:p>
    <w:p w:rsidR="00495623" w:rsidP="00D94910" w:rsidRDefault="00495623" w14:paraId="1381528B" w14:textId="77777777">
      <w:pPr>
        <w:spacing w:line="276" w:lineRule="auto"/>
      </w:pPr>
      <w:r>
        <w:rPr>
          <w:rStyle w:val="Strong"/>
          <w:rFonts w:asciiTheme="majorHAnsi" w:hAnsiTheme="majorHAnsi"/>
          <w:color w:val="4F81BD"/>
        </w:rPr>
        <w:t>Applicability of the Privacy Act</w:t>
      </w:r>
    </w:p>
    <w:p w:rsidR="00D80635" w:rsidP="00D94910" w:rsidRDefault="00D80635" w14:paraId="2D913770" w14:textId="77777777">
      <w:pPr>
        <w:tabs>
          <w:tab w:val="left" w:pos="1545"/>
        </w:tabs>
        <w:spacing w:line="276" w:lineRule="auto"/>
      </w:pPr>
    </w:p>
    <w:p w:rsidR="00A6396B" w:rsidP="00D94910" w:rsidRDefault="00A6396B" w14:paraId="37088F5E" w14:textId="77777777">
      <w:pPr>
        <w:tabs>
          <w:tab w:val="left" w:pos="1545"/>
        </w:tabs>
        <w:spacing w:line="276" w:lineRule="auto"/>
      </w:pPr>
      <w:r>
        <w:t xml:space="preserve">A. </w:t>
      </w:r>
      <w:r w:rsidR="00EF3B23">
        <w:t>T</w:t>
      </w:r>
      <w:r>
        <w:t xml:space="preserve">he Privacy Act is applicable. The applicable System of Records Notice (SORN) is </w:t>
      </w:r>
      <w:r w:rsidR="00EF3B23">
        <w:t>No.</w:t>
      </w:r>
      <w:r>
        <w:t xml:space="preserve"> 09-19-0001, “Records of Persons Exposed or Potentially Exposed to Hazardous or Toxic Substances.”</w:t>
      </w:r>
    </w:p>
    <w:p w:rsidR="00A6396B" w:rsidP="00D94910" w:rsidRDefault="00A6396B" w14:paraId="5E70CE28" w14:textId="77777777">
      <w:pPr>
        <w:tabs>
          <w:tab w:val="left" w:pos="1545"/>
        </w:tabs>
        <w:spacing w:line="276" w:lineRule="auto"/>
      </w:pPr>
    </w:p>
    <w:p w:rsidR="00723DD6" w:rsidP="00D94910" w:rsidRDefault="00A6396B" w14:paraId="28A1B989" w14:textId="77777777">
      <w:pPr>
        <w:tabs>
          <w:tab w:val="left" w:pos="1545"/>
        </w:tabs>
        <w:spacing w:line="276" w:lineRule="auto"/>
      </w:pPr>
      <w:r>
        <w:t>B.  Identifying information such as name, address, phone numbe</w:t>
      </w:r>
      <w:r w:rsidR="000848A3">
        <w:t xml:space="preserve">r and email are collected. </w:t>
      </w:r>
      <w:r>
        <w:t xml:space="preserve">ATSDR uses the information only to contact respondents. Identifying information is necessary to facilitate the personal contact with respondents to conduct the </w:t>
      </w:r>
      <w:r w:rsidR="005511E1">
        <w:t>questionnaire</w:t>
      </w:r>
      <w:r>
        <w:t>, to obtain con</w:t>
      </w:r>
      <w:r w:rsidR="006D6063">
        <w:t xml:space="preserve">sent to </w:t>
      </w:r>
      <w:r w:rsidRPr="000848A3" w:rsidR="006D6063">
        <w:t>participate</w:t>
      </w:r>
      <w:r w:rsidRPr="000848A3">
        <w:t xml:space="preserve">, and to provide them their results. </w:t>
      </w:r>
    </w:p>
    <w:p w:rsidR="00723DD6" w:rsidP="00D94910" w:rsidRDefault="00723DD6" w14:paraId="5F5790EA" w14:textId="77777777">
      <w:pPr>
        <w:tabs>
          <w:tab w:val="left" w:pos="1545"/>
        </w:tabs>
        <w:spacing w:line="276" w:lineRule="auto"/>
      </w:pPr>
    </w:p>
    <w:p w:rsidR="000848A3" w:rsidP="00D94910" w:rsidRDefault="00A6396B" w14:paraId="3D5F3A2C" w14:textId="77777777">
      <w:pPr>
        <w:tabs>
          <w:tab w:val="left" w:pos="1545"/>
        </w:tabs>
        <w:spacing w:line="276" w:lineRule="auto"/>
      </w:pPr>
      <w:r w:rsidRPr="000848A3">
        <w:t>Al</w:t>
      </w:r>
      <w:r w:rsidR="00072511">
        <w:t>l identifying information maintained by the agency will be</w:t>
      </w:r>
      <w:r w:rsidR="00723DD6">
        <w:t xml:space="preserve"> managed by ATSDR and is</w:t>
      </w:r>
      <w:r w:rsidRPr="000848A3" w:rsidR="000848A3">
        <w:t xml:space="preserve"> subject to the ATSDR Comprehensive Record Control Schedule (CRCS), B-371, which contains authorized disposition instructions for ATSDR's administrative an</w:t>
      </w:r>
      <w:r w:rsidR="002415A9">
        <w:t>d program records.</w:t>
      </w:r>
      <w:r w:rsidRPr="000848A3" w:rsidR="000848A3">
        <w:t xml:space="preserve"> </w:t>
      </w:r>
    </w:p>
    <w:p w:rsidR="00A6396B" w:rsidP="00D94910" w:rsidRDefault="00A6396B" w14:paraId="6FB91689" w14:textId="77777777">
      <w:pPr>
        <w:tabs>
          <w:tab w:val="left" w:pos="1545"/>
        </w:tabs>
        <w:spacing w:line="276" w:lineRule="auto"/>
      </w:pPr>
    </w:p>
    <w:p w:rsidR="00AB36D9" w:rsidP="00D94910" w:rsidRDefault="00AB36D9" w14:paraId="2AA271E5" w14:textId="49437D34">
      <w:pPr>
        <w:tabs>
          <w:tab w:val="left" w:pos="1545"/>
        </w:tabs>
        <w:spacing w:line="276" w:lineRule="auto"/>
      </w:pPr>
      <w:r>
        <w:t xml:space="preserve">C. Respondent Consent </w:t>
      </w:r>
      <w:r w:rsidR="00582C91">
        <w:t>–</w:t>
      </w:r>
      <w:r>
        <w:t xml:space="preserve">ATSDR will require that </w:t>
      </w:r>
      <w:r w:rsidR="00AC3669">
        <w:t xml:space="preserve">environmental sampling </w:t>
      </w:r>
      <w:r>
        <w:t xml:space="preserve">EI participants be fully informed of the potential risks and benefits of their participation and that the privacy of the participants’ information </w:t>
      </w:r>
      <w:r w:rsidR="00B25CED">
        <w:t xml:space="preserve">will </w:t>
      </w:r>
      <w:r>
        <w:t xml:space="preserve">be protected. The </w:t>
      </w:r>
      <w:r w:rsidR="005E6FDB">
        <w:t>consent/</w:t>
      </w:r>
      <w:r w:rsidR="00B25CED">
        <w:t>parental permission</w:t>
      </w:r>
      <w:r w:rsidR="005E6FDB">
        <w:t>/assent</w:t>
      </w:r>
      <w:r>
        <w:t xml:space="preserve"> forms for the</w:t>
      </w:r>
      <w:r w:rsidR="0096642B">
        <w:t xml:space="preserve"> </w:t>
      </w:r>
      <w:r w:rsidR="00AC3669">
        <w:t xml:space="preserve">environmental sampling </w:t>
      </w:r>
      <w:r>
        <w:t>EI include all appropriate information from the Privacy Act including authority and purpose for collecting the data, with whom identifiable information will be shared, the voluntary nature of the information collection and the effect upon the respondent for not participating</w:t>
      </w:r>
      <w:r w:rsidR="004C1A39">
        <w:t xml:space="preserve"> (Attachment </w:t>
      </w:r>
      <w:r w:rsidR="006767E7">
        <w:t>9</w:t>
      </w:r>
      <w:r w:rsidR="004C1A39">
        <w:t>)</w:t>
      </w:r>
      <w:r>
        <w:t>.</w:t>
      </w:r>
      <w:r w:rsidR="00160EFB">
        <w:t xml:space="preserve"> </w:t>
      </w:r>
      <w:r w:rsidR="005E6FDB">
        <w:t xml:space="preserve">State laws </w:t>
      </w:r>
      <w:r w:rsidR="00160EFB">
        <w:t>requir</w:t>
      </w:r>
      <w:r w:rsidR="005E6FDB">
        <w:t>ing</w:t>
      </w:r>
      <w:r w:rsidR="00160EFB">
        <w:t xml:space="preserve"> openness in government</w:t>
      </w:r>
      <w:r w:rsidR="00412949">
        <w:t xml:space="preserve"> will be followed</w:t>
      </w:r>
      <w:r w:rsidR="005E6FDB">
        <w:t xml:space="preserve"> as appropriate</w:t>
      </w:r>
      <w:r w:rsidR="00160EFB">
        <w:t xml:space="preserve">. The </w:t>
      </w:r>
      <w:r w:rsidR="00AC3669">
        <w:t xml:space="preserve">environmental sampling </w:t>
      </w:r>
      <w:r w:rsidR="00160EFB">
        <w:t>EI will comply with all appropriate requirements.</w:t>
      </w:r>
    </w:p>
    <w:p w:rsidR="00A6396B" w:rsidP="00D94910" w:rsidRDefault="00A6396B" w14:paraId="34F815DD" w14:textId="77777777">
      <w:pPr>
        <w:tabs>
          <w:tab w:val="left" w:pos="1545"/>
        </w:tabs>
        <w:spacing w:line="276" w:lineRule="auto"/>
      </w:pPr>
    </w:p>
    <w:p w:rsidR="00A6396B" w:rsidP="00D94910" w:rsidRDefault="00A6396B" w14:paraId="2C6B978D" w14:textId="77777777">
      <w:pPr>
        <w:tabs>
          <w:tab w:val="left" w:pos="1545"/>
        </w:tabs>
        <w:spacing w:line="276" w:lineRule="auto"/>
      </w:pPr>
      <w:r>
        <w:t>D. Voluntary Nature</w:t>
      </w:r>
      <w:r w:rsidR="00FE1266">
        <w:t xml:space="preserve"> - </w:t>
      </w:r>
      <w:r>
        <w:t>Respondents are told that their participation in the EI is voluntary and they may refuse to answer any of the questions.</w:t>
      </w:r>
    </w:p>
    <w:p w:rsidR="003436A2" w:rsidP="00D94910" w:rsidRDefault="003436A2" w14:paraId="326FE269" w14:textId="77777777">
      <w:pPr>
        <w:tabs>
          <w:tab w:val="left" w:pos="1545"/>
        </w:tabs>
        <w:spacing w:line="276" w:lineRule="auto"/>
      </w:pPr>
    </w:p>
    <w:p w:rsidRPr="00266092" w:rsidR="001E683D" w:rsidP="00D94910" w:rsidRDefault="001E683D" w14:paraId="36A1D503" w14:textId="3B3EF955">
      <w:pPr>
        <w:pStyle w:val="Heading2"/>
        <w:spacing w:line="276" w:lineRule="auto"/>
      </w:pPr>
      <w:bookmarkStart w:name="_Toc305155371" w:id="82"/>
      <w:bookmarkStart w:name="_Toc306341901" w:id="83"/>
      <w:bookmarkStart w:name="_Toc306344154" w:id="84"/>
      <w:bookmarkStart w:name="_Toc306344795" w:id="85"/>
      <w:bookmarkStart w:name="_Toc306345036" w:id="86"/>
      <w:bookmarkStart w:name="_Toc311445505" w:id="87"/>
      <w:bookmarkStart w:name="_Toc76650793" w:id="88"/>
      <w:r w:rsidRPr="00266092">
        <w:t>A.11</w:t>
      </w:r>
      <w:r w:rsidR="006E0743">
        <w:t>.</w:t>
      </w:r>
      <w:r w:rsidRPr="00266092">
        <w:t xml:space="preserve"> </w:t>
      </w:r>
      <w:r w:rsidRPr="0037198B" w:rsidR="0037198B">
        <w:t>Institutional Review Board (IRB) and Justification for Sensitive Questions</w:t>
      </w:r>
      <w:bookmarkEnd w:id="82"/>
      <w:bookmarkEnd w:id="83"/>
      <w:bookmarkEnd w:id="84"/>
      <w:bookmarkEnd w:id="85"/>
      <w:bookmarkEnd w:id="86"/>
      <w:bookmarkEnd w:id="87"/>
      <w:bookmarkEnd w:id="88"/>
    </w:p>
    <w:p w:rsidRPr="002D0805" w:rsidR="00266092" w:rsidP="00D94910" w:rsidRDefault="00266092" w14:paraId="7975B74B" w14:textId="77777777">
      <w:pPr>
        <w:autoSpaceDE w:val="0"/>
        <w:autoSpaceDN w:val="0"/>
        <w:adjustRightInd w:val="0"/>
        <w:spacing w:line="276" w:lineRule="auto"/>
        <w:rPr>
          <w:b/>
          <w:bCs/>
        </w:rPr>
      </w:pPr>
    </w:p>
    <w:p w:rsidRPr="004D735B" w:rsidR="00DB19B8" w:rsidP="00DB19B8" w:rsidRDefault="00DB19B8" w14:paraId="1C14B121" w14:textId="33BD4EA4">
      <w:pPr>
        <w:tabs>
          <w:tab w:val="left" w:pos="1545"/>
        </w:tabs>
        <w:spacing w:line="276" w:lineRule="auto"/>
      </w:pPr>
      <w:r>
        <w:lastRenderedPageBreak/>
        <w:t>Federal Regulations for Protection of Human Subjects (45 CFR 46) state that “</w:t>
      </w:r>
      <w:r w:rsidRPr="006F1ACD">
        <w:rPr>
          <w:i/>
        </w:rPr>
        <w:t>research</w:t>
      </w:r>
      <w:r>
        <w:t xml:space="preserve"> means a systematic investigation, including research development, testing, and evaluation, designed to develop or contribute to generalizable knowledge.” In contrast, this EI is intended to be a systematic investigation but is not designed to develop or contribute to generalizable knowledge. The </w:t>
      </w:r>
      <w:r w:rsidRPr="00B112E0" w:rsidR="00AC3669">
        <w:t>environmental sampling</w:t>
      </w:r>
      <w:r w:rsidRPr="00B112E0" w:rsidR="002C5339">
        <w:t xml:space="preserve"> EI </w:t>
      </w:r>
      <w:r w:rsidRPr="00B112E0">
        <w:t>is a non</w:t>
      </w:r>
      <w:r w:rsidR="00EE11E5">
        <w:t>-</w:t>
      </w:r>
      <w:r w:rsidRPr="00B112E0">
        <w:t xml:space="preserve">research activity and human subjects review by an Institutional Review Board (IRB) is not required. </w:t>
      </w:r>
      <w:r w:rsidRPr="00F2610D" w:rsidR="00B112E0">
        <w:t xml:space="preserve">The primary intent </w:t>
      </w:r>
      <w:r w:rsidR="00B112E0">
        <w:t xml:space="preserve">of the EI </w:t>
      </w:r>
      <w:r w:rsidRPr="00F2610D" w:rsidR="00B112E0">
        <w:t>is to provide</w:t>
      </w:r>
      <w:r w:rsidRPr="00B112E0" w:rsidR="00B112E0">
        <w:t xml:space="preserve"> or improve</w:t>
      </w:r>
      <w:r w:rsidRPr="00F2610D" w:rsidR="00B112E0">
        <w:t xml:space="preserve"> a public health </w:t>
      </w:r>
      <w:r w:rsidRPr="00B112E0" w:rsidR="00B112E0">
        <w:t xml:space="preserve">program or </w:t>
      </w:r>
      <w:r w:rsidRPr="00F2610D" w:rsidR="00B112E0">
        <w:t>service for the community.</w:t>
      </w:r>
      <w:r w:rsidR="00B112E0">
        <w:t xml:space="preserve"> </w:t>
      </w:r>
      <w:r w:rsidRPr="00B112E0">
        <w:t xml:space="preserve">The EI was reviewed by the NCEH/ATSDR Human Subjects Coordinator (Attachment </w:t>
      </w:r>
      <w:r w:rsidR="00C6788F">
        <w:t>3</w:t>
      </w:r>
      <w:r w:rsidRPr="00B112E0">
        <w:t>).</w:t>
      </w:r>
      <w:r>
        <w:t xml:space="preserve"> </w:t>
      </w:r>
    </w:p>
    <w:p w:rsidR="00DB19B8" w:rsidP="00D94910" w:rsidRDefault="00DB19B8" w14:paraId="60DBFB27" w14:textId="77777777">
      <w:pPr>
        <w:autoSpaceDE w:val="0"/>
        <w:autoSpaceDN w:val="0"/>
        <w:adjustRightInd w:val="0"/>
        <w:spacing w:line="276" w:lineRule="auto"/>
        <w:rPr>
          <w:color w:val="000000"/>
        </w:rPr>
      </w:pPr>
    </w:p>
    <w:p w:rsidR="00FE2EAC" w:rsidP="00D94910" w:rsidRDefault="002C5339" w14:paraId="3405A4F8" w14:textId="27AFB1DC">
      <w:pPr>
        <w:autoSpaceDE w:val="0"/>
        <w:autoSpaceDN w:val="0"/>
        <w:adjustRightInd w:val="0"/>
        <w:spacing w:line="276" w:lineRule="auto"/>
      </w:pPr>
      <w:r>
        <w:rPr>
          <w:color w:val="000000"/>
        </w:rPr>
        <w:t xml:space="preserve">For </w:t>
      </w:r>
      <w:r w:rsidR="00F97A36">
        <w:rPr>
          <w:color w:val="000000"/>
        </w:rPr>
        <w:t>the EAs</w:t>
      </w:r>
      <w:r>
        <w:rPr>
          <w:color w:val="000000"/>
        </w:rPr>
        <w:t xml:space="preserve">, </w:t>
      </w:r>
      <w:r w:rsidR="00A6396B">
        <w:rPr>
          <w:color w:val="000000"/>
        </w:rPr>
        <w:t xml:space="preserve">ATSDR </w:t>
      </w:r>
      <w:r w:rsidR="00F97A36">
        <w:rPr>
          <w:color w:val="000000"/>
        </w:rPr>
        <w:t>gathered</w:t>
      </w:r>
      <w:r w:rsidR="00A6396B">
        <w:rPr>
          <w:color w:val="000000"/>
        </w:rPr>
        <w:t xml:space="preserve"> information about individual characteristics (e.g., gender, age, ethnicity, and race) to assis</w:t>
      </w:r>
      <w:r w:rsidR="009B760F">
        <w:rPr>
          <w:color w:val="000000"/>
        </w:rPr>
        <w:t xml:space="preserve">t with interpretation for </w:t>
      </w:r>
      <w:r>
        <w:rPr>
          <w:color w:val="000000"/>
        </w:rPr>
        <w:t>environmental</w:t>
      </w:r>
      <w:r w:rsidR="00A6396B">
        <w:rPr>
          <w:color w:val="000000"/>
        </w:rPr>
        <w:t xml:space="preserve"> samples. For example, the individual’s laboratory results </w:t>
      </w:r>
      <w:r w:rsidR="00B63E03">
        <w:rPr>
          <w:color w:val="000000"/>
        </w:rPr>
        <w:t>we</w:t>
      </w:r>
      <w:r w:rsidR="00A6396B">
        <w:rPr>
          <w:color w:val="000000"/>
        </w:rPr>
        <w:t xml:space="preserve">re compared to similar ethnicity and race results in the </w:t>
      </w:r>
      <w:r w:rsidR="00A6396B">
        <w:rPr>
          <w:i/>
          <w:iCs/>
          <w:color w:val="000000"/>
        </w:rPr>
        <w:t xml:space="preserve">National Report on Human Exposure to Environmental Chemicals </w:t>
      </w:r>
      <w:r w:rsidRPr="00F676BC" w:rsidR="00A6396B">
        <w:rPr>
          <w:iCs/>
          <w:color w:val="000000"/>
        </w:rPr>
        <w:t>(</w:t>
      </w:r>
      <w:r w:rsidRPr="0016335B" w:rsidR="0016335B">
        <w:rPr>
          <w:iCs/>
          <w:color w:val="000000"/>
        </w:rPr>
        <w:t>http://www.cdc.gov/exposurereport/</w:t>
      </w:r>
      <w:r w:rsidRPr="00F676BC" w:rsidR="00A6396B">
        <w:rPr>
          <w:iCs/>
          <w:color w:val="000000"/>
        </w:rPr>
        <w:t>)</w:t>
      </w:r>
      <w:r w:rsidRPr="00FA34A2" w:rsidR="00A6396B">
        <w:rPr>
          <w:color w:val="000000"/>
        </w:rPr>
        <w:t>.</w:t>
      </w:r>
      <w:r w:rsidR="00A6396B">
        <w:rPr>
          <w:color w:val="000000"/>
        </w:rPr>
        <w:t xml:space="preserve"> </w:t>
      </w:r>
      <w:r w:rsidR="00A6396B">
        <w:rPr>
          <w:bCs/>
          <w:iCs/>
        </w:rPr>
        <w:t>Beyond that</w:t>
      </w:r>
      <w:r w:rsidR="00A6396B">
        <w:t xml:space="preserve">, questions of a sensitive nature </w:t>
      </w:r>
      <w:r w:rsidR="00F97A36">
        <w:t>were not</w:t>
      </w:r>
      <w:r w:rsidR="00A6396B">
        <w:t xml:space="preserve"> asked. </w:t>
      </w:r>
    </w:p>
    <w:p w:rsidR="00FE2EAC" w:rsidP="00D94910" w:rsidRDefault="00FE2EAC" w14:paraId="57968726" w14:textId="77777777">
      <w:pPr>
        <w:autoSpaceDE w:val="0"/>
        <w:autoSpaceDN w:val="0"/>
        <w:adjustRightInd w:val="0"/>
        <w:spacing w:line="276" w:lineRule="auto"/>
      </w:pPr>
    </w:p>
    <w:p w:rsidR="00A6396B" w:rsidP="00D94910" w:rsidRDefault="00F97A36" w14:paraId="44CB9A77" w14:textId="53025D53">
      <w:pPr>
        <w:autoSpaceDE w:val="0"/>
        <w:autoSpaceDN w:val="0"/>
        <w:adjustRightInd w:val="0"/>
        <w:spacing w:line="276" w:lineRule="auto"/>
      </w:pPr>
      <w:r>
        <w:t xml:space="preserve">For this </w:t>
      </w:r>
      <w:r w:rsidR="00AC3669">
        <w:t>environmental sampling</w:t>
      </w:r>
      <w:r>
        <w:t xml:space="preserve"> EI, w</w:t>
      </w:r>
      <w:r w:rsidR="00A6396B">
        <w:t xml:space="preserve">e </w:t>
      </w:r>
      <w:r w:rsidR="00F83594">
        <w:t>will not</w:t>
      </w:r>
      <w:r w:rsidR="00A6396B">
        <w:t xml:space="preserve"> ask questions on </w:t>
      </w:r>
      <w:r w:rsidR="00876CA0">
        <w:t xml:space="preserve">symptoms, medical outcomes, or </w:t>
      </w:r>
      <w:r w:rsidR="00A6396B">
        <w:t>drug and medication use.</w:t>
      </w:r>
      <w:r w:rsidR="00A838D2">
        <w:t xml:space="preserve">  </w:t>
      </w:r>
    </w:p>
    <w:p w:rsidR="00A6396B" w:rsidP="00D94910" w:rsidRDefault="00A6396B" w14:paraId="51F1A304" w14:textId="77777777">
      <w:pPr>
        <w:tabs>
          <w:tab w:val="left" w:pos="1545"/>
        </w:tabs>
        <w:spacing w:line="276" w:lineRule="auto"/>
      </w:pPr>
    </w:p>
    <w:p w:rsidR="00392B58" w:rsidP="00D94910" w:rsidRDefault="00A6396B" w14:paraId="3E07BDD9" w14:textId="77777777">
      <w:pPr>
        <w:tabs>
          <w:tab w:val="left" w:pos="1545"/>
        </w:tabs>
        <w:spacing w:line="276" w:lineRule="auto"/>
      </w:pPr>
      <w:r>
        <w:t>Social se</w:t>
      </w:r>
      <w:r w:rsidR="00646835">
        <w:t xml:space="preserve">curity numbers are not </w:t>
      </w:r>
      <w:proofErr w:type="gramStart"/>
      <w:r w:rsidR="00646835">
        <w:t>needed</w:t>
      </w:r>
      <w:proofErr w:type="gramEnd"/>
      <w:r w:rsidR="00646835">
        <w:t xml:space="preserve"> nor will </w:t>
      </w:r>
      <w:r w:rsidR="00E31C99">
        <w:t xml:space="preserve">they </w:t>
      </w:r>
      <w:r w:rsidR="00646835">
        <w:t>be</w:t>
      </w:r>
      <w:r>
        <w:t xml:space="preserve"> requested.</w:t>
      </w:r>
    </w:p>
    <w:p w:rsidRPr="00392B58" w:rsidR="00651981" w:rsidP="00D94910" w:rsidRDefault="00651981" w14:paraId="4A0B0F2A" w14:textId="2D4280D9">
      <w:pPr>
        <w:pStyle w:val="Heading2"/>
        <w:spacing w:line="276" w:lineRule="auto"/>
      </w:pPr>
      <w:bookmarkStart w:name="_Toc306344155" w:id="89"/>
      <w:bookmarkStart w:name="_Toc306344796" w:id="90"/>
      <w:bookmarkStart w:name="_Toc306345037" w:id="91"/>
      <w:bookmarkStart w:name="_Toc311445506" w:id="92"/>
      <w:bookmarkStart w:name="_Toc76650794" w:id="93"/>
      <w:r w:rsidRPr="00A527F9">
        <w:t>A.12</w:t>
      </w:r>
      <w:r w:rsidR="002A0056">
        <w:t>.</w:t>
      </w:r>
      <w:r w:rsidRPr="00A527F9">
        <w:t xml:space="preserve"> Estimates of Annualized Burden Hours and Costs</w:t>
      </w:r>
      <w:bookmarkEnd w:id="89"/>
      <w:bookmarkEnd w:id="90"/>
      <w:bookmarkEnd w:id="91"/>
      <w:bookmarkEnd w:id="92"/>
      <w:bookmarkEnd w:id="93"/>
    </w:p>
    <w:p w:rsidRPr="004628E1" w:rsidR="006653AB" w:rsidP="00D94910" w:rsidRDefault="006653AB" w14:paraId="2551963A" w14:textId="77777777">
      <w:pPr>
        <w:pStyle w:val="Heading3"/>
        <w:spacing w:line="276" w:lineRule="auto"/>
      </w:pPr>
      <w:bookmarkStart w:name="_Toc76650795" w:id="94"/>
      <w:bookmarkStart w:name="_Toc306344156" w:id="95"/>
      <w:bookmarkStart w:name="_Toc306344797" w:id="96"/>
      <w:bookmarkStart w:name="_Toc306345038" w:id="97"/>
      <w:bookmarkStart w:name="_Toc311445507" w:id="98"/>
      <w:r w:rsidRPr="004628E1">
        <w:t>A.</w:t>
      </w:r>
      <w:r w:rsidR="00B60A40">
        <w:t>12.1.</w:t>
      </w:r>
      <w:r w:rsidRPr="004628E1">
        <w:t xml:space="preserve"> Estimates of </w:t>
      </w:r>
      <w:r w:rsidRPr="003B5990">
        <w:t>Annualized</w:t>
      </w:r>
      <w:r w:rsidRPr="004628E1">
        <w:t xml:space="preserve"> Burden Hours</w:t>
      </w:r>
      <w:bookmarkEnd w:id="94"/>
    </w:p>
    <w:p w:rsidR="006653AB" w:rsidP="00D94910" w:rsidRDefault="006653AB" w14:paraId="45FCEBFD" w14:textId="77777777">
      <w:pPr>
        <w:tabs>
          <w:tab w:val="center" w:pos="4680"/>
          <w:tab w:val="left" w:pos="7710"/>
        </w:tabs>
        <w:spacing w:line="276" w:lineRule="auto"/>
        <w:rPr>
          <w:bCs/>
        </w:rPr>
      </w:pPr>
    </w:p>
    <w:p w:rsidR="0048522B" w:rsidP="00D94910" w:rsidRDefault="006653AB" w14:paraId="748B3729" w14:textId="0AE3FB20">
      <w:pPr>
        <w:tabs>
          <w:tab w:val="center" w:pos="4680"/>
          <w:tab w:val="left" w:pos="7710"/>
        </w:tabs>
        <w:spacing w:line="276" w:lineRule="auto"/>
        <w:rPr>
          <w:bCs/>
        </w:rPr>
      </w:pPr>
      <w:r>
        <w:rPr>
          <w:bCs/>
        </w:rPr>
        <w:t xml:space="preserve">The </w:t>
      </w:r>
      <w:r w:rsidR="00A838D2">
        <w:rPr>
          <w:bCs/>
        </w:rPr>
        <w:t xml:space="preserve">estimate for burden hours </w:t>
      </w:r>
      <w:r w:rsidR="00540BD7">
        <w:rPr>
          <w:bCs/>
        </w:rPr>
        <w:t>for the</w:t>
      </w:r>
      <w:r w:rsidR="005748D7">
        <w:rPr>
          <w:bCs/>
        </w:rPr>
        <w:t xml:space="preserve"> </w:t>
      </w:r>
      <w:r w:rsidR="00AC3669">
        <w:rPr>
          <w:bCs/>
        </w:rPr>
        <w:t>environmental sampling</w:t>
      </w:r>
      <w:r w:rsidR="00540BD7">
        <w:rPr>
          <w:bCs/>
        </w:rPr>
        <w:t xml:space="preserve"> EI </w:t>
      </w:r>
      <w:r w:rsidR="00A838D2">
        <w:rPr>
          <w:bCs/>
        </w:rPr>
        <w:t xml:space="preserve">is based on similar </w:t>
      </w:r>
      <w:r w:rsidR="00540BD7">
        <w:rPr>
          <w:bCs/>
        </w:rPr>
        <w:t>EIs that the EI team has conducted in the past</w:t>
      </w:r>
      <w:r w:rsidRPr="0082063A" w:rsidR="00540BD7">
        <w:rPr>
          <w:bCs/>
        </w:rPr>
        <w:t xml:space="preserve">.  The </w:t>
      </w:r>
      <w:r w:rsidRPr="0082063A">
        <w:rPr>
          <w:bCs/>
        </w:rPr>
        <w:t xml:space="preserve">time burden per respondent </w:t>
      </w:r>
      <w:r w:rsidR="0048522B">
        <w:rPr>
          <w:bCs/>
        </w:rPr>
        <w:t>will vary based on the participant’s role in the sampling.</w:t>
      </w:r>
    </w:p>
    <w:p w:rsidR="005F7127" w:rsidP="00777A90" w:rsidRDefault="005F7127" w14:paraId="0AB87569" w14:textId="77777777">
      <w:pPr>
        <w:tabs>
          <w:tab w:val="center" w:pos="4680"/>
          <w:tab w:val="left" w:pos="7710"/>
        </w:tabs>
        <w:spacing w:line="276" w:lineRule="auto"/>
        <w:rPr>
          <w:bCs/>
        </w:rPr>
      </w:pPr>
    </w:p>
    <w:p w:rsidR="00777A90" w:rsidP="00777A90" w:rsidRDefault="00777A90" w14:paraId="52B2D871" w14:textId="35687108">
      <w:pPr>
        <w:tabs>
          <w:tab w:val="center" w:pos="4680"/>
          <w:tab w:val="left" w:pos="7710"/>
        </w:tabs>
        <w:spacing w:line="276" w:lineRule="auto"/>
        <w:rPr>
          <w:bCs/>
        </w:rPr>
      </w:pPr>
      <w:r>
        <w:rPr>
          <w:bCs/>
        </w:rPr>
        <w:t xml:space="preserve">Participants at the two </w:t>
      </w:r>
      <w:r w:rsidR="005147AA">
        <w:rPr>
          <w:bCs/>
        </w:rPr>
        <w:t xml:space="preserve">former </w:t>
      </w:r>
      <w:r>
        <w:rPr>
          <w:bCs/>
        </w:rPr>
        <w:t>E</w:t>
      </w:r>
      <w:r w:rsidR="00B63E03">
        <w:rPr>
          <w:bCs/>
        </w:rPr>
        <w:t>A</w:t>
      </w:r>
      <w:r>
        <w:rPr>
          <w:bCs/>
        </w:rPr>
        <w:t xml:space="preserve"> locations </w:t>
      </w:r>
      <w:r w:rsidR="005F7127">
        <w:rPr>
          <w:bCs/>
        </w:rPr>
        <w:t>are</w:t>
      </w:r>
      <w:r>
        <w:rPr>
          <w:bCs/>
        </w:rPr>
        <w:t xml:space="preserve"> </w:t>
      </w:r>
      <w:r w:rsidR="005F7127">
        <w:rPr>
          <w:bCs/>
        </w:rPr>
        <w:t>represented</w:t>
      </w:r>
      <w:r>
        <w:rPr>
          <w:bCs/>
        </w:rPr>
        <w:t xml:space="preserve"> as follows:</w:t>
      </w:r>
    </w:p>
    <w:p w:rsidR="00777A90" w:rsidP="00777A90" w:rsidRDefault="00777A90" w14:paraId="3226532C" w14:textId="0DEAED9F">
      <w:pPr>
        <w:pStyle w:val="ListParagraph"/>
        <w:numPr>
          <w:ilvl w:val="0"/>
          <w:numId w:val="29"/>
        </w:numPr>
        <w:tabs>
          <w:tab w:val="center" w:pos="4680"/>
          <w:tab w:val="left" w:pos="7710"/>
        </w:tabs>
        <w:spacing w:line="276" w:lineRule="auto"/>
        <w:rPr>
          <w:bCs/>
        </w:rPr>
      </w:pPr>
      <w:r>
        <w:rPr>
          <w:bCs/>
        </w:rPr>
        <w:t xml:space="preserve">In MA, </w:t>
      </w:r>
      <w:r w:rsidR="006C0B90">
        <w:rPr>
          <w:bCs/>
        </w:rPr>
        <w:t>there were</w:t>
      </w:r>
      <w:r>
        <w:rPr>
          <w:bCs/>
        </w:rPr>
        <w:t xml:space="preserve"> 459 participants (410 adults and 49 children – 10% children) with an average household of 1.8 persons</w:t>
      </w:r>
    </w:p>
    <w:p w:rsidR="00777A90" w:rsidP="00777A90" w:rsidRDefault="00777A90" w14:paraId="03519CF3" w14:textId="051D9039">
      <w:pPr>
        <w:pStyle w:val="ListParagraph"/>
        <w:numPr>
          <w:ilvl w:val="0"/>
          <w:numId w:val="29"/>
        </w:numPr>
        <w:tabs>
          <w:tab w:val="center" w:pos="4680"/>
          <w:tab w:val="left" w:pos="7710"/>
        </w:tabs>
        <w:spacing w:line="276" w:lineRule="auto"/>
        <w:rPr>
          <w:bCs/>
        </w:rPr>
      </w:pPr>
      <w:r>
        <w:rPr>
          <w:bCs/>
        </w:rPr>
        <w:t xml:space="preserve">In DE, </w:t>
      </w:r>
      <w:r w:rsidR="006C0B90">
        <w:rPr>
          <w:bCs/>
        </w:rPr>
        <w:t>there were</w:t>
      </w:r>
      <w:r>
        <w:rPr>
          <w:bCs/>
        </w:rPr>
        <w:t xml:space="preserve"> 214 participants (203 adults and 11 children – 5% children) with an average household of 1.6 persons</w:t>
      </w:r>
    </w:p>
    <w:p w:rsidR="00777A90" w:rsidP="00777A90" w:rsidRDefault="00777A90" w14:paraId="6CFEC135" w14:textId="53AB3F30">
      <w:pPr>
        <w:tabs>
          <w:tab w:val="center" w:pos="4680"/>
          <w:tab w:val="left" w:pos="7710"/>
        </w:tabs>
        <w:spacing w:line="276" w:lineRule="auto"/>
        <w:rPr>
          <w:bCs/>
        </w:rPr>
      </w:pPr>
      <w:r>
        <w:rPr>
          <w:bCs/>
        </w:rPr>
        <w:t xml:space="preserve">For the estimation of burden hours, we will assume there would be 2 people in the household, with </w:t>
      </w:r>
      <w:r w:rsidR="00D761FA">
        <w:rPr>
          <w:bCs/>
        </w:rPr>
        <w:t>10</w:t>
      </w:r>
      <w:r>
        <w:rPr>
          <w:bCs/>
        </w:rPr>
        <w:t>% of the households having a child</w:t>
      </w:r>
      <w:r w:rsidR="005F7127">
        <w:rPr>
          <w:bCs/>
        </w:rPr>
        <w:t xml:space="preserve"> as the second resident</w:t>
      </w:r>
      <w:r>
        <w:rPr>
          <w:bCs/>
        </w:rPr>
        <w:t>.</w:t>
      </w:r>
      <w:r w:rsidR="00D761FA">
        <w:rPr>
          <w:bCs/>
        </w:rPr>
        <w:t xml:space="preserve"> Therefore, if there are 120 additional people in the household</w:t>
      </w:r>
      <w:r w:rsidR="005F7127">
        <w:rPr>
          <w:bCs/>
        </w:rPr>
        <w:t>s</w:t>
      </w:r>
      <w:r w:rsidR="00D761FA">
        <w:rPr>
          <w:bCs/>
        </w:rPr>
        <w:t>, we estimate that 108 of them will be adults and 12 will be children</w:t>
      </w:r>
      <w:r w:rsidR="00D66A6F">
        <w:rPr>
          <w:bCs/>
        </w:rPr>
        <w:t xml:space="preserve"> (assume 6 children younger than 12 years old</w:t>
      </w:r>
      <w:r w:rsidR="006C0B90">
        <w:rPr>
          <w:bCs/>
        </w:rPr>
        <w:t xml:space="preserve">, </w:t>
      </w:r>
      <w:r w:rsidR="00D66A6F">
        <w:rPr>
          <w:bCs/>
        </w:rPr>
        <w:t>and 6 children between 12 and 17 years old)</w:t>
      </w:r>
      <w:r w:rsidR="00D761FA">
        <w:rPr>
          <w:bCs/>
        </w:rPr>
        <w:t>.</w:t>
      </w:r>
    </w:p>
    <w:p w:rsidRPr="00777A90" w:rsidR="00777A90" w:rsidP="00777A90" w:rsidRDefault="00777A90" w14:paraId="318E99DA" w14:textId="77777777">
      <w:pPr>
        <w:tabs>
          <w:tab w:val="center" w:pos="4680"/>
          <w:tab w:val="left" w:pos="7710"/>
        </w:tabs>
        <w:spacing w:line="276" w:lineRule="auto"/>
        <w:rPr>
          <w:bCs/>
        </w:rPr>
      </w:pPr>
    </w:p>
    <w:p w:rsidR="000E7E3D" w:rsidP="00D94910" w:rsidRDefault="000E7E3D" w14:paraId="607D6431" w14:textId="6549DF18">
      <w:pPr>
        <w:tabs>
          <w:tab w:val="center" w:pos="4680"/>
          <w:tab w:val="left" w:pos="7710"/>
        </w:tabs>
        <w:spacing w:line="276" w:lineRule="auto"/>
        <w:rPr>
          <w:bCs/>
        </w:rPr>
      </w:pPr>
      <w:r>
        <w:rPr>
          <w:bCs/>
        </w:rPr>
        <w:t>The first activity that is associated with burden hours is recruitment</w:t>
      </w:r>
      <w:r w:rsidR="00F46E92">
        <w:rPr>
          <w:bCs/>
        </w:rPr>
        <w:t xml:space="preserve"> screening</w:t>
      </w:r>
      <w:r w:rsidR="00B112E0">
        <w:rPr>
          <w:bCs/>
        </w:rPr>
        <w:t>. A</w:t>
      </w:r>
      <w:r>
        <w:rPr>
          <w:bCs/>
        </w:rPr>
        <w:t xml:space="preserve">n invitation letter will be sent to all households that participated in the Exposure Assessment and they are </w:t>
      </w:r>
      <w:r>
        <w:rPr>
          <w:bCs/>
        </w:rPr>
        <w:lastRenderedPageBreak/>
        <w:t>asked to call and make an appointment</w:t>
      </w:r>
      <w:r w:rsidR="006C0B90">
        <w:rPr>
          <w:bCs/>
        </w:rPr>
        <w:t xml:space="preserve"> (Attachment </w:t>
      </w:r>
      <w:r w:rsidR="00C6788F">
        <w:rPr>
          <w:bCs/>
        </w:rPr>
        <w:t>6</w:t>
      </w:r>
      <w:r w:rsidR="006C0B90">
        <w:rPr>
          <w:bCs/>
        </w:rPr>
        <w:t>)</w:t>
      </w:r>
      <w:r>
        <w:rPr>
          <w:bCs/>
        </w:rPr>
        <w:t>. Th</w:t>
      </w:r>
      <w:r w:rsidR="005F7127">
        <w:rPr>
          <w:bCs/>
        </w:rPr>
        <w:t xml:space="preserve">e time they are anticipated to spend on the phone to sign up for the sampling </w:t>
      </w:r>
      <w:r>
        <w:rPr>
          <w:bCs/>
        </w:rPr>
        <w:t>is estimated to take 10 minutes for each of the 120 total households that will be included in the EI (80 in MA and 40 in DE).</w:t>
      </w:r>
      <w:r w:rsidR="00E613F3">
        <w:rPr>
          <w:bCs/>
        </w:rPr>
        <w:t xml:space="preserve"> </w:t>
      </w:r>
      <w:r w:rsidR="005F7127">
        <w:rPr>
          <w:bCs/>
        </w:rPr>
        <w:t xml:space="preserve">We are recruiting on a first-come, first-serve basis so we do not anticipate speaking to all </w:t>
      </w:r>
      <w:r w:rsidR="002C0D77">
        <w:rPr>
          <w:bCs/>
        </w:rPr>
        <w:t xml:space="preserve">EA </w:t>
      </w:r>
      <w:r w:rsidR="005F7127">
        <w:rPr>
          <w:bCs/>
        </w:rPr>
        <w:t xml:space="preserve">participants. </w:t>
      </w:r>
      <w:r w:rsidR="003F792C">
        <w:rPr>
          <w:bCs/>
        </w:rPr>
        <w:t xml:space="preserve">Attachment </w:t>
      </w:r>
      <w:r w:rsidR="00C6788F">
        <w:rPr>
          <w:bCs/>
        </w:rPr>
        <w:t>7</w:t>
      </w:r>
      <w:r w:rsidR="003F792C">
        <w:rPr>
          <w:bCs/>
        </w:rPr>
        <w:t xml:space="preserve"> includes two recruitment scripts: one for people who call to make an appointment and one for those contacted by ATSDR if additional participants are needed. Both scripts contain the same information. </w:t>
      </w:r>
      <w:r w:rsidR="005F7127">
        <w:rPr>
          <w:bCs/>
        </w:rPr>
        <w:t>The e</w:t>
      </w:r>
      <w:r w:rsidR="00E613F3">
        <w:rPr>
          <w:bCs/>
        </w:rPr>
        <w:t>stimated total burden is 20 hours for this activity.</w:t>
      </w:r>
    </w:p>
    <w:p w:rsidR="005F7127" w:rsidP="00D94910" w:rsidRDefault="005F7127" w14:paraId="67AB3BF7" w14:textId="77777777">
      <w:pPr>
        <w:tabs>
          <w:tab w:val="center" w:pos="4680"/>
          <w:tab w:val="left" w:pos="7710"/>
        </w:tabs>
        <w:spacing w:line="276" w:lineRule="auto"/>
        <w:rPr>
          <w:bCs/>
        </w:rPr>
      </w:pPr>
    </w:p>
    <w:p w:rsidR="00BF0978" w:rsidP="00D94910" w:rsidRDefault="00BF0978" w14:paraId="3F452893" w14:textId="5E008CDC">
      <w:pPr>
        <w:tabs>
          <w:tab w:val="center" w:pos="4680"/>
          <w:tab w:val="left" w:pos="7710"/>
        </w:tabs>
        <w:spacing w:line="276" w:lineRule="auto"/>
        <w:rPr>
          <w:bCs/>
        </w:rPr>
      </w:pPr>
      <w:r>
        <w:rPr>
          <w:bCs/>
        </w:rPr>
        <w:t xml:space="preserve">There are two </w:t>
      </w:r>
      <w:r w:rsidR="005F7127">
        <w:rPr>
          <w:bCs/>
        </w:rPr>
        <w:t xml:space="preserve">additional </w:t>
      </w:r>
      <w:r>
        <w:rPr>
          <w:bCs/>
        </w:rPr>
        <w:t xml:space="preserve">phases of the EI that will incur burden hours: 1) completion of appropriate questionnaires and 2) </w:t>
      </w:r>
      <w:r w:rsidR="005F7127">
        <w:rPr>
          <w:bCs/>
        </w:rPr>
        <w:t xml:space="preserve">time needed to </w:t>
      </w:r>
      <w:r>
        <w:rPr>
          <w:bCs/>
        </w:rPr>
        <w:t>conduct the sampling.</w:t>
      </w:r>
    </w:p>
    <w:p w:rsidR="00BF0978" w:rsidP="00BF0978" w:rsidRDefault="000C28F0" w14:paraId="0EE7975E" w14:textId="488DEEAA">
      <w:pPr>
        <w:pStyle w:val="ListParagraph"/>
        <w:numPr>
          <w:ilvl w:val="0"/>
          <w:numId w:val="23"/>
        </w:numPr>
        <w:tabs>
          <w:tab w:val="center" w:pos="4680"/>
          <w:tab w:val="left" w:pos="7710"/>
        </w:tabs>
        <w:spacing w:line="276" w:lineRule="auto"/>
        <w:rPr>
          <w:bCs/>
        </w:rPr>
      </w:pPr>
      <w:r w:rsidRPr="000C28F0">
        <w:rPr>
          <w:b/>
          <w:u w:val="single"/>
        </w:rPr>
        <w:t>Completion of Questionnaires</w:t>
      </w:r>
      <w:r>
        <w:rPr>
          <w:bCs/>
        </w:rPr>
        <w:t xml:space="preserve">: </w:t>
      </w:r>
      <w:r w:rsidR="00BF0978">
        <w:rPr>
          <w:bCs/>
        </w:rPr>
        <w:t xml:space="preserve">All household members that provided a blood sample during the Exposure Assessment will be eligible to be included in the EI. </w:t>
      </w:r>
      <w:r w:rsidRPr="00BF0978" w:rsidR="00BF0978">
        <w:rPr>
          <w:bCs/>
        </w:rPr>
        <w:t xml:space="preserve">The appropriate </w:t>
      </w:r>
      <w:r w:rsidR="007E6205">
        <w:rPr>
          <w:bCs/>
        </w:rPr>
        <w:t xml:space="preserve">consents and </w:t>
      </w:r>
      <w:r w:rsidR="00BF0978">
        <w:rPr>
          <w:bCs/>
        </w:rPr>
        <w:t xml:space="preserve">questionnaires </w:t>
      </w:r>
      <w:r w:rsidRPr="00BF0978" w:rsidR="00BF0978">
        <w:rPr>
          <w:bCs/>
        </w:rPr>
        <w:t xml:space="preserve">will be </w:t>
      </w:r>
      <w:r w:rsidR="00BF0978">
        <w:rPr>
          <w:bCs/>
        </w:rPr>
        <w:t xml:space="preserve">identified when the sampling appointment is </w:t>
      </w:r>
      <w:proofErr w:type="gramStart"/>
      <w:r w:rsidR="00BF0978">
        <w:rPr>
          <w:bCs/>
        </w:rPr>
        <w:t>made</w:t>
      </w:r>
      <w:proofErr w:type="gramEnd"/>
      <w:r w:rsidR="00BF0978">
        <w:rPr>
          <w:bCs/>
        </w:rPr>
        <w:t xml:space="preserve"> and </w:t>
      </w:r>
      <w:r w:rsidR="007E6205">
        <w:rPr>
          <w:bCs/>
        </w:rPr>
        <w:t>the</w:t>
      </w:r>
      <w:r w:rsidR="00C33E41">
        <w:rPr>
          <w:bCs/>
        </w:rPr>
        <w:t xml:space="preserve"> forms will </w:t>
      </w:r>
      <w:r w:rsidR="00BF0978">
        <w:rPr>
          <w:bCs/>
        </w:rPr>
        <w:t>be mailed to t</w:t>
      </w:r>
      <w:r>
        <w:rPr>
          <w:bCs/>
        </w:rPr>
        <w:t xml:space="preserve">he </w:t>
      </w:r>
      <w:r w:rsidRPr="00BF0978" w:rsidR="00BF0978">
        <w:rPr>
          <w:bCs/>
        </w:rPr>
        <w:t>household with the appointment verification letter</w:t>
      </w:r>
      <w:r>
        <w:rPr>
          <w:bCs/>
        </w:rPr>
        <w:t>. The participants will be a</w:t>
      </w:r>
      <w:r w:rsidRPr="00BF0978" w:rsidR="00BF0978">
        <w:rPr>
          <w:bCs/>
        </w:rPr>
        <w:t xml:space="preserve">sked to fill </w:t>
      </w:r>
      <w:r>
        <w:rPr>
          <w:bCs/>
        </w:rPr>
        <w:t>the forms</w:t>
      </w:r>
      <w:r w:rsidRPr="00BF0978" w:rsidR="00BF0978">
        <w:rPr>
          <w:bCs/>
        </w:rPr>
        <w:t xml:space="preserve"> out prior to the sampling</w:t>
      </w:r>
      <w:r>
        <w:rPr>
          <w:bCs/>
        </w:rPr>
        <w:t xml:space="preserve">, which will </w:t>
      </w:r>
      <w:r w:rsidRPr="00BF0978" w:rsidR="00BF0978">
        <w:rPr>
          <w:bCs/>
        </w:rPr>
        <w:t xml:space="preserve">allow household participants </w:t>
      </w:r>
      <w:r>
        <w:rPr>
          <w:bCs/>
        </w:rPr>
        <w:t>that are not</w:t>
      </w:r>
      <w:r w:rsidRPr="00BF0978" w:rsidR="00BF0978">
        <w:rPr>
          <w:bCs/>
        </w:rPr>
        <w:t xml:space="preserve"> present at the home during the sampling</w:t>
      </w:r>
      <w:r>
        <w:rPr>
          <w:bCs/>
        </w:rPr>
        <w:t xml:space="preserve"> to be included in the EI</w:t>
      </w:r>
      <w:r w:rsidRPr="00BF0978" w:rsidR="00BF0978">
        <w:rPr>
          <w:bCs/>
        </w:rPr>
        <w:t xml:space="preserve">. </w:t>
      </w:r>
      <w:r>
        <w:rPr>
          <w:bCs/>
        </w:rPr>
        <w:t xml:space="preserve">The </w:t>
      </w:r>
      <w:r w:rsidR="00C33E41">
        <w:rPr>
          <w:bCs/>
        </w:rPr>
        <w:t xml:space="preserve">questionnaires </w:t>
      </w:r>
      <w:r>
        <w:rPr>
          <w:bCs/>
        </w:rPr>
        <w:t>will be filled out as follows:</w:t>
      </w:r>
    </w:p>
    <w:p w:rsidRPr="000C28F0" w:rsidR="00B7602A" w:rsidP="000C28F0" w:rsidRDefault="0048522B" w14:paraId="3707CDFD" w14:textId="7B623A6C">
      <w:pPr>
        <w:pStyle w:val="ListParagraph"/>
        <w:numPr>
          <w:ilvl w:val="1"/>
          <w:numId w:val="23"/>
        </w:numPr>
        <w:tabs>
          <w:tab w:val="center" w:pos="4680"/>
          <w:tab w:val="left" w:pos="7710"/>
        </w:tabs>
        <w:spacing w:line="276" w:lineRule="auto"/>
        <w:rPr>
          <w:bCs/>
        </w:rPr>
      </w:pPr>
      <w:r w:rsidRPr="000C28F0">
        <w:rPr>
          <w:bCs/>
        </w:rPr>
        <w:t xml:space="preserve">One </w:t>
      </w:r>
      <w:r w:rsidRPr="000C28F0" w:rsidR="00B7602A">
        <w:rPr>
          <w:bCs/>
        </w:rPr>
        <w:t xml:space="preserve">adult </w:t>
      </w:r>
      <w:r w:rsidRPr="000C28F0">
        <w:rPr>
          <w:bCs/>
        </w:rPr>
        <w:t>participant</w:t>
      </w:r>
      <w:r w:rsidRPr="000C28F0" w:rsidR="00B7602A">
        <w:rPr>
          <w:bCs/>
        </w:rPr>
        <w:t xml:space="preserve"> that provided a blood sample during the EA will be identified and their burden </w:t>
      </w:r>
      <w:r w:rsidR="00C33E41">
        <w:rPr>
          <w:bCs/>
        </w:rPr>
        <w:t xml:space="preserve">associated with completion of questionnaires </w:t>
      </w:r>
      <w:r w:rsidRPr="000C28F0" w:rsidR="00B7602A">
        <w:rPr>
          <w:bCs/>
        </w:rPr>
        <w:t xml:space="preserve">will be </w:t>
      </w:r>
      <w:r w:rsidR="005F7127">
        <w:rPr>
          <w:bCs/>
        </w:rPr>
        <w:t>calculated as follows</w:t>
      </w:r>
      <w:r w:rsidR="000C28F0">
        <w:rPr>
          <w:bCs/>
        </w:rPr>
        <w:t xml:space="preserve"> (</w:t>
      </w:r>
      <w:r w:rsidR="00E613F3">
        <w:rPr>
          <w:bCs/>
        </w:rPr>
        <w:t xml:space="preserve">estimated </w:t>
      </w:r>
      <w:r w:rsidR="000C28F0">
        <w:rPr>
          <w:bCs/>
        </w:rPr>
        <w:t xml:space="preserve">burden of </w:t>
      </w:r>
      <w:r w:rsidR="0073382C">
        <w:rPr>
          <w:bCs/>
        </w:rPr>
        <w:t xml:space="preserve">30 </w:t>
      </w:r>
      <w:r w:rsidR="000C28F0">
        <w:rPr>
          <w:bCs/>
        </w:rPr>
        <w:t>minutes</w:t>
      </w:r>
      <w:r w:rsidR="00E613F3">
        <w:rPr>
          <w:bCs/>
        </w:rPr>
        <w:t xml:space="preserve"> per participant, </w:t>
      </w:r>
      <w:r w:rsidR="000348C5">
        <w:rPr>
          <w:bCs/>
        </w:rPr>
        <w:t xml:space="preserve">60 </w:t>
      </w:r>
      <w:r w:rsidR="00E613F3">
        <w:rPr>
          <w:bCs/>
        </w:rPr>
        <w:t>hours total for 120 participants</w:t>
      </w:r>
      <w:r w:rsidR="000C28F0">
        <w:rPr>
          <w:bCs/>
        </w:rPr>
        <w:t>)</w:t>
      </w:r>
      <w:r w:rsidRPr="000C28F0" w:rsidR="00B7602A">
        <w:rPr>
          <w:bCs/>
        </w:rPr>
        <w:t>:</w:t>
      </w:r>
    </w:p>
    <w:p w:rsidRPr="00B7602A" w:rsidR="00B7602A" w:rsidP="003A61A2" w:rsidRDefault="00B7602A" w14:paraId="0AA2DB36" w14:textId="4F0BA27A">
      <w:pPr>
        <w:pStyle w:val="ListParagraph"/>
        <w:numPr>
          <w:ilvl w:val="0"/>
          <w:numId w:val="24"/>
        </w:numPr>
        <w:tabs>
          <w:tab w:val="center" w:pos="4680"/>
          <w:tab w:val="left" w:pos="7710"/>
        </w:tabs>
        <w:spacing w:line="276" w:lineRule="auto"/>
        <w:ind w:left="2160"/>
      </w:pPr>
      <w:r>
        <w:rPr>
          <w:bCs/>
        </w:rPr>
        <w:t xml:space="preserve">Complete </w:t>
      </w:r>
      <w:r w:rsidRPr="00B7602A">
        <w:rPr>
          <w:bCs/>
        </w:rPr>
        <w:t xml:space="preserve">the household questionnaire, that applies to all members of the household, </w:t>
      </w:r>
      <w:r>
        <w:rPr>
          <w:bCs/>
        </w:rPr>
        <w:t>(15 minutes), and</w:t>
      </w:r>
    </w:p>
    <w:p w:rsidRPr="00B02CB5" w:rsidR="00B7602A" w:rsidP="003A61A2" w:rsidRDefault="00B7602A" w14:paraId="1795B510" w14:textId="6ECE5010">
      <w:pPr>
        <w:pStyle w:val="ListParagraph"/>
        <w:numPr>
          <w:ilvl w:val="1"/>
          <w:numId w:val="24"/>
        </w:numPr>
        <w:tabs>
          <w:tab w:val="center" w:pos="4680"/>
          <w:tab w:val="left" w:pos="7710"/>
        </w:tabs>
        <w:spacing w:line="276" w:lineRule="auto"/>
      </w:pPr>
      <w:r>
        <w:rPr>
          <w:bCs/>
        </w:rPr>
        <w:t xml:space="preserve">Complete </w:t>
      </w:r>
      <w:r w:rsidRPr="00B7602A">
        <w:rPr>
          <w:bCs/>
        </w:rPr>
        <w:t>the personal exposure questionnaire</w:t>
      </w:r>
      <w:r>
        <w:rPr>
          <w:bCs/>
        </w:rPr>
        <w:t xml:space="preserve"> </w:t>
      </w:r>
      <w:r w:rsidR="00E12052">
        <w:rPr>
          <w:bCs/>
        </w:rPr>
        <w:t xml:space="preserve">(adult) </w:t>
      </w:r>
      <w:r>
        <w:rPr>
          <w:bCs/>
        </w:rPr>
        <w:t>(15 min</w:t>
      </w:r>
      <w:r w:rsidR="00D761FA">
        <w:rPr>
          <w:bCs/>
        </w:rPr>
        <w:t>utes</w:t>
      </w:r>
      <w:r w:rsidR="000C28F0">
        <w:rPr>
          <w:bCs/>
        </w:rPr>
        <w:t>).</w:t>
      </w:r>
    </w:p>
    <w:p w:rsidRPr="000C28F0" w:rsidR="00B02CB5" w:rsidP="003A61A2" w:rsidRDefault="00B02CB5" w14:paraId="7BE26860" w14:textId="2F154131">
      <w:pPr>
        <w:pStyle w:val="ListParagraph"/>
        <w:numPr>
          <w:ilvl w:val="1"/>
          <w:numId w:val="24"/>
        </w:numPr>
        <w:tabs>
          <w:tab w:val="center" w:pos="4680"/>
          <w:tab w:val="left" w:pos="7710"/>
        </w:tabs>
        <w:spacing w:line="276" w:lineRule="auto"/>
      </w:pPr>
      <w:r>
        <w:rPr>
          <w:bCs/>
        </w:rPr>
        <w:t xml:space="preserve">Of these 120 adult participants, 80 will be asked to consent to </w:t>
      </w:r>
      <w:r w:rsidR="004C2217">
        <w:rPr>
          <w:bCs/>
        </w:rPr>
        <w:t xml:space="preserve">and be present for </w:t>
      </w:r>
      <w:r>
        <w:rPr>
          <w:bCs/>
        </w:rPr>
        <w:t>dust only sampling in their household</w:t>
      </w:r>
      <w:r w:rsidR="004C2217">
        <w:rPr>
          <w:bCs/>
        </w:rPr>
        <w:t xml:space="preserve"> (1 hour)</w:t>
      </w:r>
      <w:r>
        <w:rPr>
          <w:bCs/>
        </w:rPr>
        <w:t xml:space="preserve">, while 40 will be asked to consent to </w:t>
      </w:r>
      <w:r w:rsidR="004C2217">
        <w:rPr>
          <w:bCs/>
        </w:rPr>
        <w:t xml:space="preserve">and to be present for </w:t>
      </w:r>
      <w:r>
        <w:rPr>
          <w:bCs/>
        </w:rPr>
        <w:t>robust household sampling</w:t>
      </w:r>
      <w:r w:rsidR="004C2217">
        <w:rPr>
          <w:bCs/>
        </w:rPr>
        <w:t xml:space="preserve"> (4 hours).</w:t>
      </w:r>
      <w:r w:rsidR="001970C2">
        <w:rPr>
          <w:bCs/>
        </w:rPr>
        <w:t xml:space="preserve"> See the description of the </w:t>
      </w:r>
      <w:r w:rsidR="00D770A8">
        <w:rPr>
          <w:bCs/>
        </w:rPr>
        <w:t xml:space="preserve">household </w:t>
      </w:r>
      <w:r w:rsidR="001970C2">
        <w:rPr>
          <w:bCs/>
        </w:rPr>
        <w:t>sampling strategy below.</w:t>
      </w:r>
    </w:p>
    <w:p w:rsidR="000C28F0" w:rsidP="003A61A2" w:rsidRDefault="003A61A2" w14:paraId="01493831" w14:textId="7F642F3C">
      <w:pPr>
        <w:pStyle w:val="ListParagraph"/>
        <w:numPr>
          <w:ilvl w:val="0"/>
          <w:numId w:val="26"/>
        </w:numPr>
        <w:tabs>
          <w:tab w:val="center" w:pos="4680"/>
          <w:tab w:val="left" w:pos="7710"/>
        </w:tabs>
        <w:spacing w:line="276" w:lineRule="auto"/>
      </w:pPr>
      <w:r>
        <w:t xml:space="preserve">Other adults </w:t>
      </w:r>
      <w:r w:rsidR="00D761FA">
        <w:t xml:space="preserve">(assumed 108 persons) </w:t>
      </w:r>
      <w:r>
        <w:t>that provided a blood sample during the E</w:t>
      </w:r>
      <w:r w:rsidR="005F7127">
        <w:t xml:space="preserve">xposure </w:t>
      </w:r>
      <w:r>
        <w:t>A</w:t>
      </w:r>
      <w:r w:rsidR="005F7127">
        <w:t>ssessment</w:t>
      </w:r>
      <w:r>
        <w:t xml:space="preserve"> will have burden associated with the </w:t>
      </w:r>
      <w:r w:rsidR="001B3AA8">
        <w:t>completion of the personal exposure questionnaire</w:t>
      </w:r>
      <w:r w:rsidR="005F7127">
        <w:t xml:space="preserve"> </w:t>
      </w:r>
      <w:r w:rsidR="00E12052">
        <w:t>(adult</w:t>
      </w:r>
      <w:proofErr w:type="gramStart"/>
      <w:r w:rsidR="00E12052">
        <w:t>)</w:t>
      </w:r>
      <w:r w:rsidR="005F7127">
        <w:t>(</w:t>
      </w:r>
      <w:proofErr w:type="gramEnd"/>
      <w:r w:rsidR="00777A90">
        <w:t xml:space="preserve">estimated </w:t>
      </w:r>
      <w:r w:rsidR="00EE21D1">
        <w:t xml:space="preserve">at </w:t>
      </w:r>
      <w:r w:rsidR="000348C5">
        <w:t xml:space="preserve">15 </w:t>
      </w:r>
      <w:r w:rsidR="00EE21D1">
        <w:t xml:space="preserve">minutes per participant, </w:t>
      </w:r>
      <w:r w:rsidR="00777A90">
        <w:t>resulting in a total burden of</w:t>
      </w:r>
      <w:r w:rsidR="001B3AA8">
        <w:t xml:space="preserve"> </w:t>
      </w:r>
      <w:r w:rsidR="000348C5">
        <w:t xml:space="preserve">27 </w:t>
      </w:r>
      <w:r w:rsidR="00EE21D1">
        <w:t xml:space="preserve">hours total for </w:t>
      </w:r>
      <w:r w:rsidR="00D761FA">
        <w:t>108 participants</w:t>
      </w:r>
      <w:r w:rsidR="005F7127">
        <w:t>)</w:t>
      </w:r>
      <w:r>
        <w:t>:</w:t>
      </w:r>
    </w:p>
    <w:p w:rsidR="003A61A2" w:rsidP="003A61A2" w:rsidRDefault="003A61A2" w14:paraId="56451FF3" w14:textId="334C8867">
      <w:pPr>
        <w:pStyle w:val="ListParagraph"/>
        <w:numPr>
          <w:ilvl w:val="0"/>
          <w:numId w:val="26"/>
        </w:numPr>
        <w:tabs>
          <w:tab w:val="center" w:pos="4680"/>
          <w:tab w:val="left" w:pos="7710"/>
        </w:tabs>
        <w:spacing w:line="276" w:lineRule="auto"/>
      </w:pPr>
      <w:r>
        <w:t xml:space="preserve">Children in the household </w:t>
      </w:r>
      <w:r w:rsidR="00D761FA">
        <w:t xml:space="preserve">(assume </w:t>
      </w:r>
      <w:r w:rsidR="0008215A">
        <w:t xml:space="preserve">6 </w:t>
      </w:r>
      <w:r w:rsidR="005F7127">
        <w:t>children</w:t>
      </w:r>
      <w:r w:rsidR="0008215A">
        <w:t xml:space="preserve"> aged 12 to 17 years old</w:t>
      </w:r>
      <w:r w:rsidR="00D761FA">
        <w:t xml:space="preserve">) </w:t>
      </w:r>
      <w:r>
        <w:t xml:space="preserve">that provided a blood sample during the Exposure Assessment will have burden associated with </w:t>
      </w:r>
      <w:r w:rsidR="00D761FA">
        <w:t xml:space="preserve">completing the personal exposure questionnaire </w:t>
      </w:r>
      <w:r w:rsidR="00E12052">
        <w:t xml:space="preserve">(child) </w:t>
      </w:r>
      <w:r>
        <w:t>(</w:t>
      </w:r>
      <w:r w:rsidR="00E12052">
        <w:t xml:space="preserve">estimated </w:t>
      </w:r>
      <w:r w:rsidR="004642FC">
        <w:t>burden of</w:t>
      </w:r>
      <w:r w:rsidR="00E12052">
        <w:t xml:space="preserve"> </w:t>
      </w:r>
      <w:r w:rsidR="000348C5">
        <w:t>15 minutes per child</w:t>
      </w:r>
      <w:r w:rsidR="00E12052">
        <w:t xml:space="preserve">, resulting in a </w:t>
      </w:r>
      <w:r w:rsidR="000348C5">
        <w:t xml:space="preserve">total </w:t>
      </w:r>
      <w:r w:rsidR="00D66A6F">
        <w:t xml:space="preserve">burden of </w:t>
      </w:r>
      <w:r w:rsidR="0008215A">
        <w:t>1.5</w:t>
      </w:r>
      <w:r w:rsidR="00D66A6F">
        <w:t xml:space="preserve"> hours)</w:t>
      </w:r>
      <w:r w:rsidR="004642FC">
        <w:t>.</w:t>
      </w:r>
    </w:p>
    <w:p w:rsidR="003A61A2" w:rsidP="003A61A2" w:rsidRDefault="00C97227" w14:paraId="065CCEB2" w14:textId="4A3A91FA">
      <w:pPr>
        <w:pStyle w:val="ListParagraph"/>
        <w:numPr>
          <w:ilvl w:val="0"/>
          <w:numId w:val="26"/>
        </w:numPr>
        <w:tabs>
          <w:tab w:val="center" w:pos="4680"/>
          <w:tab w:val="left" w:pos="7710"/>
        </w:tabs>
        <w:spacing w:line="276" w:lineRule="auto"/>
      </w:pPr>
      <w:r>
        <w:t xml:space="preserve">Parents of children </w:t>
      </w:r>
      <w:r w:rsidR="004642FC">
        <w:t xml:space="preserve">younger than 12 years old (assume 6 children) that provided a blood sample during the Exposure Assessment </w:t>
      </w:r>
      <w:r>
        <w:t xml:space="preserve">will </w:t>
      </w:r>
      <w:r w:rsidR="00852761">
        <w:t xml:space="preserve">assist their child </w:t>
      </w:r>
      <w:r w:rsidR="004642FC">
        <w:t xml:space="preserve">with completing </w:t>
      </w:r>
      <w:r w:rsidR="00852761">
        <w:t>the personal exposure questionnaire</w:t>
      </w:r>
      <w:r>
        <w:t xml:space="preserve"> (</w:t>
      </w:r>
      <w:r w:rsidR="0008215A">
        <w:t>child) (</w:t>
      </w:r>
      <w:r w:rsidR="004642FC">
        <w:t xml:space="preserve">estimated </w:t>
      </w:r>
      <w:r>
        <w:t xml:space="preserve">burden of </w:t>
      </w:r>
      <w:r w:rsidR="0008215A">
        <w:t xml:space="preserve">15 </w:t>
      </w:r>
      <w:r>
        <w:t>min</w:t>
      </w:r>
      <w:r w:rsidR="00D66A6F">
        <w:t xml:space="preserve"> per child</w:t>
      </w:r>
      <w:r w:rsidR="004642FC">
        <w:t xml:space="preserve">, resulting in a </w:t>
      </w:r>
      <w:r w:rsidR="00D66A6F">
        <w:t xml:space="preserve">total burden of </w:t>
      </w:r>
      <w:r w:rsidR="0008215A">
        <w:t xml:space="preserve">1.5 </w:t>
      </w:r>
      <w:r w:rsidR="00D66A6F">
        <w:t>hours</w:t>
      </w:r>
      <w:r w:rsidR="0008215A">
        <w:t xml:space="preserve">). </w:t>
      </w:r>
    </w:p>
    <w:p w:rsidRPr="00B7602A" w:rsidR="00C97227" w:rsidP="00C97227" w:rsidRDefault="00C97227" w14:paraId="351726F6" w14:textId="3C49ACA7">
      <w:pPr>
        <w:pStyle w:val="ListParagraph"/>
        <w:numPr>
          <w:ilvl w:val="0"/>
          <w:numId w:val="28"/>
        </w:numPr>
        <w:tabs>
          <w:tab w:val="center" w:pos="4680"/>
          <w:tab w:val="left" w:pos="7710"/>
        </w:tabs>
        <w:spacing w:line="276" w:lineRule="auto"/>
      </w:pPr>
      <w:r>
        <w:rPr>
          <w:b/>
          <w:u w:val="single"/>
        </w:rPr>
        <w:lastRenderedPageBreak/>
        <w:t>Completion of Sampling at Exposure Assessment Households</w:t>
      </w:r>
      <w:r w:rsidRPr="00C97227">
        <w:rPr>
          <w:bCs/>
        </w:rPr>
        <w:t xml:space="preserve">: </w:t>
      </w:r>
      <w:r w:rsidR="006072C6">
        <w:rPr>
          <w:bCs/>
        </w:rPr>
        <w:t>ATSDR will conduct environmental sampling at 80 households at the Hampden County, MA Exposure Assessment location and 40 households at the New Castle Country, DE Exposure Assessment location. A filtered dust sample will be taken at all homes and 20 homes at each location will also have additional environmental sampling performed</w:t>
      </w:r>
      <w:r w:rsidR="00BB1074">
        <w:rPr>
          <w:bCs/>
        </w:rPr>
        <w:t xml:space="preserve"> (robust sampling)</w:t>
      </w:r>
      <w:r w:rsidR="006072C6">
        <w:rPr>
          <w:bCs/>
        </w:rPr>
        <w:t>. The following burden hours are associated with each type of sampling (</w:t>
      </w:r>
      <w:r w:rsidR="00852761">
        <w:rPr>
          <w:bCs/>
        </w:rPr>
        <w:t xml:space="preserve">estimated </w:t>
      </w:r>
      <w:r w:rsidR="006072C6">
        <w:rPr>
          <w:bCs/>
        </w:rPr>
        <w:t xml:space="preserve">burden hours of </w:t>
      </w:r>
      <w:r w:rsidR="00F0270F">
        <w:rPr>
          <w:bCs/>
        </w:rPr>
        <w:t>1 to 4 hours</w:t>
      </w:r>
      <w:r w:rsidR="00852761">
        <w:rPr>
          <w:bCs/>
        </w:rPr>
        <w:t xml:space="preserve"> per person for a total of 80 to 160 hours</w:t>
      </w:r>
      <w:r w:rsidR="006072C6">
        <w:rPr>
          <w:bCs/>
        </w:rPr>
        <w:t xml:space="preserve">): </w:t>
      </w:r>
    </w:p>
    <w:p w:rsidRPr="006072C6" w:rsidR="006653AB" w:rsidP="005F7127" w:rsidRDefault="006072C6" w14:paraId="12F6163D" w14:textId="53BDF37C">
      <w:pPr>
        <w:pStyle w:val="ListParagraph"/>
        <w:numPr>
          <w:ilvl w:val="0"/>
          <w:numId w:val="30"/>
        </w:numPr>
        <w:tabs>
          <w:tab w:val="center" w:pos="4680"/>
          <w:tab w:val="left" w:pos="7710"/>
        </w:tabs>
        <w:spacing w:line="276" w:lineRule="auto"/>
      </w:pPr>
      <w:r>
        <w:rPr>
          <w:b/>
          <w:u w:val="single"/>
        </w:rPr>
        <w:t>Completion of filtered dust sample</w:t>
      </w:r>
      <w:r w:rsidR="00C97227">
        <w:rPr>
          <w:bCs/>
        </w:rPr>
        <w:t xml:space="preserve">: </w:t>
      </w:r>
      <w:r>
        <w:rPr>
          <w:bCs/>
        </w:rPr>
        <w:t>At the households where only a filtered dust sample will be taken, the total burden is 60 minutes</w:t>
      </w:r>
      <w:r w:rsidR="00F46E92">
        <w:rPr>
          <w:bCs/>
        </w:rPr>
        <w:t xml:space="preserve"> or 1 hour</w:t>
      </w:r>
      <w:r>
        <w:rPr>
          <w:bCs/>
        </w:rPr>
        <w:t xml:space="preserve">, which includes </w:t>
      </w:r>
      <w:r w:rsidR="00F0270F">
        <w:rPr>
          <w:bCs/>
        </w:rPr>
        <w:t xml:space="preserve">the participant </w:t>
      </w:r>
      <w:r>
        <w:rPr>
          <w:bCs/>
        </w:rPr>
        <w:t>remaining in the home while the dust sampling is completed</w:t>
      </w:r>
      <w:r w:rsidR="00BB1074">
        <w:rPr>
          <w:bCs/>
        </w:rPr>
        <w:t xml:space="preserve"> </w:t>
      </w:r>
      <w:r w:rsidR="00A673C7">
        <w:rPr>
          <w:bCs/>
        </w:rPr>
        <w:t>(</w:t>
      </w:r>
      <w:r w:rsidR="00BB1074">
        <w:rPr>
          <w:bCs/>
        </w:rPr>
        <w:t xml:space="preserve">estimated burden of </w:t>
      </w:r>
      <w:r w:rsidR="00A673C7">
        <w:rPr>
          <w:bCs/>
        </w:rPr>
        <w:t>1 hour for 80 homes results in a total burden of 80 hours)</w:t>
      </w:r>
      <w:r>
        <w:rPr>
          <w:bCs/>
        </w:rPr>
        <w:t>.</w:t>
      </w:r>
    </w:p>
    <w:p w:rsidR="006072C6" w:rsidP="005F7127" w:rsidRDefault="002D7492" w14:paraId="3BA69EFE" w14:textId="141518B8">
      <w:pPr>
        <w:pStyle w:val="ListParagraph"/>
        <w:numPr>
          <w:ilvl w:val="0"/>
          <w:numId w:val="31"/>
        </w:numPr>
        <w:tabs>
          <w:tab w:val="center" w:pos="4680"/>
          <w:tab w:val="left" w:pos="7710"/>
        </w:tabs>
        <w:spacing w:line="276" w:lineRule="auto"/>
      </w:pPr>
      <w:r>
        <w:rPr>
          <w:b/>
          <w:u w:val="single"/>
        </w:rPr>
        <w:t>Robust</w:t>
      </w:r>
      <w:r w:rsidR="006072C6">
        <w:rPr>
          <w:b/>
          <w:u w:val="single"/>
        </w:rPr>
        <w:t xml:space="preserve"> </w:t>
      </w:r>
      <w:r w:rsidR="00CF7D72">
        <w:rPr>
          <w:b/>
          <w:u w:val="single"/>
        </w:rPr>
        <w:t>environmental sampling</w:t>
      </w:r>
      <w:r w:rsidRPr="00CF7D72" w:rsidR="00CF7D72">
        <w:t>:</w:t>
      </w:r>
      <w:r w:rsidR="00CF7D72">
        <w:t xml:space="preserve"> In addition to the filtered dust sample, ATSDR will conduct additional </w:t>
      </w:r>
      <w:r>
        <w:t xml:space="preserve">robust </w:t>
      </w:r>
      <w:r w:rsidR="00CF7D72">
        <w:t xml:space="preserve">environmental sampling, including a bulk dust sample, indoor air, wipes samples, </w:t>
      </w:r>
      <w:proofErr w:type="gramStart"/>
      <w:r w:rsidR="00CF7D72">
        <w:t>soil</w:t>
      </w:r>
      <w:proofErr w:type="gramEnd"/>
      <w:r w:rsidR="00CF7D72">
        <w:t xml:space="preserve"> and silicone wristbands, at 20 homes at each location. Two appointments will be needed at the 20 homes since both the indoor air and silicone wristbands require a 7-day collection period. The burden associated with this sample collection is </w:t>
      </w:r>
      <w:r w:rsidR="00F46E92">
        <w:t>4 hours</w:t>
      </w:r>
      <w:r w:rsidR="00852761">
        <w:t xml:space="preserve"> per </w:t>
      </w:r>
      <w:r w:rsidR="00F46E92">
        <w:t>household</w:t>
      </w:r>
      <w:r w:rsidR="00CF7D72">
        <w:t xml:space="preserve">, which includes two, </w:t>
      </w:r>
      <w:r w:rsidR="00A673C7">
        <w:t>2-hour</w:t>
      </w:r>
      <w:r w:rsidR="00CF7D72">
        <w:t xml:space="preserve"> appointments</w:t>
      </w:r>
      <w:r w:rsidR="00B051C7">
        <w:t>,</w:t>
      </w:r>
      <w:r w:rsidR="00CF7D72">
        <w:t xml:space="preserve"> one week apart</w:t>
      </w:r>
      <w:r w:rsidR="00A673C7">
        <w:t xml:space="preserve"> for an estimated total of 160 hours for the 40 homes.</w:t>
      </w:r>
      <w:r w:rsidR="00CF7D72">
        <w:t xml:space="preserve"> </w:t>
      </w:r>
    </w:p>
    <w:p w:rsidR="00F46E92" w:rsidP="00F2610D" w:rsidRDefault="00F46E92" w14:paraId="4820899A" w14:textId="77777777">
      <w:pPr>
        <w:pStyle w:val="ListParagraph"/>
        <w:tabs>
          <w:tab w:val="center" w:pos="4680"/>
          <w:tab w:val="left" w:pos="7710"/>
        </w:tabs>
        <w:spacing w:line="276" w:lineRule="auto"/>
        <w:ind w:left="1440"/>
      </w:pPr>
    </w:p>
    <w:p w:rsidR="00B051C7" w:rsidP="00B051C7" w:rsidRDefault="00B051C7" w14:paraId="75AAB2DD" w14:textId="59006282">
      <w:pPr>
        <w:tabs>
          <w:tab w:val="center" w:pos="4680"/>
          <w:tab w:val="left" w:pos="7710"/>
        </w:tabs>
        <w:spacing w:line="276" w:lineRule="auto"/>
      </w:pPr>
      <w:r>
        <w:t>The estimate annualized burden hours, by person and activity, is provided below.</w:t>
      </w:r>
      <w:r w:rsidR="00852761">
        <w:t xml:space="preserve"> The total burden estimated to complete the </w:t>
      </w:r>
      <w:r w:rsidR="00AC3669">
        <w:t>environmental sampling EI</w:t>
      </w:r>
      <w:r w:rsidR="00852761">
        <w:t xml:space="preserve"> sites is </w:t>
      </w:r>
      <w:r w:rsidR="00230A57">
        <w:t>35</w:t>
      </w:r>
      <w:r w:rsidR="00185AD9">
        <w:t>1</w:t>
      </w:r>
      <w:r w:rsidR="00230A57">
        <w:t xml:space="preserve"> </w:t>
      </w:r>
      <w:r w:rsidR="00852761">
        <w:t>hours.</w:t>
      </w:r>
    </w:p>
    <w:p w:rsidRPr="00935939" w:rsidR="006653AB" w:rsidP="006653AB" w:rsidRDefault="006653AB" w14:paraId="05BFE706" w14:textId="77777777">
      <w:pPr>
        <w:tabs>
          <w:tab w:val="left" w:pos="1545"/>
        </w:tabs>
        <w:rPr>
          <w:b/>
        </w:rPr>
      </w:pPr>
    </w:p>
    <w:p w:rsidRPr="00A5763A" w:rsidR="006653AB" w:rsidP="006653AB" w:rsidRDefault="006653AB" w14:paraId="2E0E81E2" w14:textId="77777777">
      <w:pPr>
        <w:tabs>
          <w:tab w:val="left" w:pos="1545"/>
        </w:tabs>
        <w:rPr>
          <w:u w:val="single"/>
        </w:rPr>
      </w:pPr>
      <w:r w:rsidRPr="00A5763A">
        <w:rPr>
          <w:u w:val="single"/>
        </w:rPr>
        <w:t>Estimated Annualized Burden Hours</w:t>
      </w:r>
    </w:p>
    <w:p w:rsidRPr="00A5763A" w:rsidR="006653AB" w:rsidP="006653AB" w:rsidRDefault="006653AB" w14:paraId="7D99977C" w14:textId="77777777">
      <w:pPr>
        <w:tabs>
          <w:tab w:val="left" w:pos="1545"/>
        </w:tabs>
        <w:rPr>
          <w:b/>
        </w:rPr>
      </w:pPr>
    </w:p>
    <w:tbl>
      <w:tblPr>
        <w:tblW w:w="9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1710"/>
        <w:gridCol w:w="1470"/>
        <w:gridCol w:w="1533"/>
        <w:gridCol w:w="1534"/>
        <w:gridCol w:w="1534"/>
      </w:tblGrid>
      <w:tr w:rsidRPr="00BE2013" w:rsidR="004C1A39" w:rsidTr="000521F3" w14:paraId="346F2D10" w14:textId="77777777">
        <w:trPr>
          <w:trHeight w:val="719"/>
        </w:trPr>
        <w:tc>
          <w:tcPr>
            <w:tcW w:w="1885" w:type="dxa"/>
            <w:shd w:val="clear" w:color="auto" w:fill="auto"/>
            <w:vAlign w:val="center"/>
          </w:tcPr>
          <w:p w:rsidRPr="006C0984" w:rsidR="00311E38" w:rsidP="00F2610D" w:rsidRDefault="00311E38" w14:paraId="08556ED4" w14:textId="77777777">
            <w:pPr>
              <w:tabs>
                <w:tab w:val="left" w:pos="1545"/>
              </w:tabs>
              <w:jc w:val="center"/>
            </w:pPr>
            <w:bookmarkStart w:name="_Hlk75337743" w:id="99"/>
            <w:r w:rsidRPr="006C0984">
              <w:t>Type of Respondents</w:t>
            </w:r>
          </w:p>
        </w:tc>
        <w:tc>
          <w:tcPr>
            <w:tcW w:w="1710" w:type="dxa"/>
            <w:shd w:val="clear" w:color="auto" w:fill="auto"/>
            <w:vAlign w:val="center"/>
          </w:tcPr>
          <w:p w:rsidRPr="000521F3" w:rsidR="00311E38" w:rsidP="00F2610D" w:rsidRDefault="004C1A39" w14:paraId="50897B61" w14:textId="77777777">
            <w:pPr>
              <w:tabs>
                <w:tab w:val="left" w:pos="1545"/>
              </w:tabs>
              <w:jc w:val="center"/>
            </w:pPr>
            <w:r w:rsidRPr="000521F3">
              <w:t>Name of Form</w:t>
            </w:r>
          </w:p>
        </w:tc>
        <w:tc>
          <w:tcPr>
            <w:tcW w:w="1470" w:type="dxa"/>
            <w:shd w:val="clear" w:color="auto" w:fill="auto"/>
            <w:vAlign w:val="center"/>
          </w:tcPr>
          <w:p w:rsidRPr="00BE2013" w:rsidR="00311E38" w:rsidP="00F2610D" w:rsidRDefault="004C1A39" w14:paraId="454F1334" w14:textId="77777777">
            <w:pPr>
              <w:widowControl w:val="0"/>
              <w:tabs>
                <w:tab w:val="left" w:pos="1545"/>
              </w:tabs>
              <w:autoSpaceDE w:val="0"/>
              <w:autoSpaceDN w:val="0"/>
              <w:adjustRightInd w:val="0"/>
              <w:jc w:val="center"/>
            </w:pPr>
            <w:r w:rsidRPr="00BE2013">
              <w:t>No. of Respondents</w:t>
            </w:r>
          </w:p>
        </w:tc>
        <w:tc>
          <w:tcPr>
            <w:tcW w:w="1533" w:type="dxa"/>
            <w:shd w:val="clear" w:color="auto" w:fill="auto"/>
            <w:vAlign w:val="center"/>
          </w:tcPr>
          <w:p w:rsidRPr="00BE2013" w:rsidR="00311E38" w:rsidP="00F2610D" w:rsidRDefault="004C1A39" w14:paraId="05A07900" w14:textId="77777777">
            <w:pPr>
              <w:widowControl w:val="0"/>
              <w:tabs>
                <w:tab w:val="left" w:pos="1545"/>
              </w:tabs>
              <w:autoSpaceDE w:val="0"/>
              <w:autoSpaceDN w:val="0"/>
              <w:adjustRightInd w:val="0"/>
              <w:jc w:val="center"/>
            </w:pPr>
            <w:r w:rsidRPr="00BE2013">
              <w:t>No. of Responses per Respondent</w:t>
            </w:r>
          </w:p>
        </w:tc>
        <w:tc>
          <w:tcPr>
            <w:tcW w:w="1534" w:type="dxa"/>
            <w:shd w:val="clear" w:color="auto" w:fill="auto"/>
            <w:vAlign w:val="center"/>
          </w:tcPr>
          <w:p w:rsidRPr="00BE2013" w:rsidR="00311E38" w:rsidP="00F2610D" w:rsidRDefault="004C1A39" w14:paraId="784EB6EF" w14:textId="1C707AB3">
            <w:pPr>
              <w:widowControl w:val="0"/>
              <w:tabs>
                <w:tab w:val="left" w:pos="1545"/>
              </w:tabs>
              <w:autoSpaceDE w:val="0"/>
              <w:autoSpaceDN w:val="0"/>
              <w:adjustRightInd w:val="0"/>
              <w:jc w:val="center"/>
            </w:pPr>
            <w:r w:rsidRPr="00BE2013">
              <w:t>Average Burden per Response</w:t>
            </w:r>
          </w:p>
          <w:p w:rsidRPr="00BE2013" w:rsidR="00311E38" w:rsidP="00F2610D" w:rsidRDefault="004C1A39" w14:paraId="7ECCE907" w14:textId="77777777">
            <w:pPr>
              <w:widowControl w:val="0"/>
              <w:tabs>
                <w:tab w:val="left" w:pos="1545"/>
              </w:tabs>
              <w:autoSpaceDE w:val="0"/>
              <w:autoSpaceDN w:val="0"/>
              <w:adjustRightInd w:val="0"/>
              <w:jc w:val="center"/>
            </w:pPr>
            <w:r w:rsidRPr="00BE2013">
              <w:t>(</w:t>
            </w:r>
            <w:proofErr w:type="gramStart"/>
            <w:r w:rsidRPr="00BE2013">
              <w:t>in</w:t>
            </w:r>
            <w:proofErr w:type="gramEnd"/>
            <w:r w:rsidRPr="00BE2013">
              <w:t xml:space="preserve"> hours)</w:t>
            </w:r>
          </w:p>
        </w:tc>
        <w:tc>
          <w:tcPr>
            <w:tcW w:w="1534" w:type="dxa"/>
            <w:vAlign w:val="center"/>
          </w:tcPr>
          <w:p w:rsidRPr="00BE2013" w:rsidR="00311E38" w:rsidP="00F2610D" w:rsidRDefault="004C1A39" w14:paraId="1614BBA4" w14:textId="77777777">
            <w:pPr>
              <w:widowControl w:val="0"/>
              <w:tabs>
                <w:tab w:val="left" w:pos="1545"/>
              </w:tabs>
              <w:autoSpaceDE w:val="0"/>
              <w:autoSpaceDN w:val="0"/>
              <w:adjustRightInd w:val="0"/>
              <w:jc w:val="center"/>
            </w:pPr>
            <w:r w:rsidRPr="00BE2013">
              <w:t>Total Burden (In Hours)</w:t>
            </w:r>
          </w:p>
        </w:tc>
      </w:tr>
      <w:tr w:rsidRPr="00BE2013" w:rsidR="009825BE" w:rsidTr="002135BB" w14:paraId="0E64DFDC" w14:textId="77777777">
        <w:trPr>
          <w:trHeight w:val="1043"/>
        </w:trPr>
        <w:tc>
          <w:tcPr>
            <w:tcW w:w="1885" w:type="dxa"/>
            <w:shd w:val="clear" w:color="auto" w:fill="auto"/>
            <w:vAlign w:val="center"/>
          </w:tcPr>
          <w:p w:rsidRPr="00BE2013" w:rsidR="009825BE" w:rsidP="009461EA" w:rsidRDefault="007C0AFE" w14:paraId="28209847" w14:textId="79410F83">
            <w:pPr>
              <w:widowControl w:val="0"/>
              <w:tabs>
                <w:tab w:val="left" w:pos="1545"/>
              </w:tabs>
              <w:autoSpaceDE w:val="0"/>
              <w:autoSpaceDN w:val="0"/>
              <w:adjustRightInd w:val="0"/>
              <w:jc w:val="center"/>
            </w:pPr>
            <w:r w:rsidRPr="00BE2013">
              <w:t>EI Adult</w:t>
            </w:r>
            <w:r w:rsidRPr="00BE2013" w:rsidR="00F97A36">
              <w:t xml:space="preserve"> Participants</w:t>
            </w:r>
            <w:r w:rsidRPr="00BE2013" w:rsidR="00B051C7">
              <w:t xml:space="preserve"> making appointment</w:t>
            </w:r>
            <w:r w:rsidRPr="00BE2013" w:rsidR="00F97A36">
              <w:t xml:space="preserve"> </w:t>
            </w:r>
          </w:p>
        </w:tc>
        <w:tc>
          <w:tcPr>
            <w:tcW w:w="1710" w:type="dxa"/>
            <w:shd w:val="clear" w:color="auto" w:fill="auto"/>
            <w:vAlign w:val="center"/>
          </w:tcPr>
          <w:p w:rsidRPr="00BE2013" w:rsidR="009825BE" w:rsidP="009461EA" w:rsidRDefault="007C0AFE" w14:paraId="057EB0FE" w14:textId="73848D91">
            <w:pPr>
              <w:widowControl w:val="0"/>
              <w:tabs>
                <w:tab w:val="left" w:pos="1545"/>
              </w:tabs>
              <w:autoSpaceDE w:val="0"/>
              <w:autoSpaceDN w:val="0"/>
              <w:adjustRightInd w:val="0"/>
              <w:jc w:val="center"/>
            </w:pPr>
            <w:r w:rsidRPr="00BE2013">
              <w:t>Household Recruitment</w:t>
            </w:r>
            <w:r w:rsidRPr="00BE2013" w:rsidR="0035509C">
              <w:t xml:space="preserve"> </w:t>
            </w:r>
            <w:r w:rsidRPr="00BE2013">
              <w:t>Script</w:t>
            </w:r>
            <w:r w:rsidRPr="00BE2013" w:rsidR="009825BE">
              <w:t xml:space="preserve"> </w:t>
            </w:r>
          </w:p>
        </w:tc>
        <w:tc>
          <w:tcPr>
            <w:tcW w:w="1470" w:type="dxa"/>
            <w:shd w:val="clear" w:color="auto" w:fill="auto"/>
            <w:vAlign w:val="center"/>
          </w:tcPr>
          <w:p w:rsidRPr="00BE2013" w:rsidR="009825BE" w:rsidP="006523AC" w:rsidRDefault="000E7E3D" w14:paraId="6858A18A" w14:textId="1646DEF0">
            <w:pPr>
              <w:widowControl w:val="0"/>
              <w:tabs>
                <w:tab w:val="left" w:pos="1545"/>
              </w:tabs>
              <w:autoSpaceDE w:val="0"/>
              <w:autoSpaceDN w:val="0"/>
              <w:adjustRightInd w:val="0"/>
              <w:jc w:val="center"/>
            </w:pPr>
            <w:r w:rsidRPr="00BE2013">
              <w:t>120</w:t>
            </w:r>
          </w:p>
        </w:tc>
        <w:tc>
          <w:tcPr>
            <w:tcW w:w="1533" w:type="dxa"/>
            <w:shd w:val="clear" w:color="auto" w:fill="auto"/>
            <w:vAlign w:val="center"/>
          </w:tcPr>
          <w:p w:rsidRPr="00BE2013" w:rsidR="009825BE" w:rsidP="006523AC" w:rsidRDefault="009461EA" w14:paraId="2B3A1DDA" w14:textId="4A43F4B0">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9825BE" w:rsidP="006523AC" w:rsidRDefault="007C0AFE" w14:paraId="6F97EB31" w14:textId="0C1C10C8">
            <w:pPr>
              <w:widowControl w:val="0"/>
              <w:tabs>
                <w:tab w:val="left" w:pos="1545"/>
              </w:tabs>
              <w:autoSpaceDE w:val="0"/>
              <w:autoSpaceDN w:val="0"/>
              <w:adjustRightInd w:val="0"/>
              <w:jc w:val="center"/>
            </w:pPr>
            <w:r w:rsidRPr="00BE2013">
              <w:t>10</w:t>
            </w:r>
            <w:r w:rsidRPr="00BE2013" w:rsidR="009825BE">
              <w:t>/60</w:t>
            </w:r>
          </w:p>
        </w:tc>
        <w:tc>
          <w:tcPr>
            <w:tcW w:w="1534" w:type="dxa"/>
            <w:vAlign w:val="center"/>
          </w:tcPr>
          <w:p w:rsidRPr="00BE2013" w:rsidR="009825BE" w:rsidP="0082063A" w:rsidRDefault="00E613F3" w14:paraId="32269D14" w14:textId="38603B86">
            <w:pPr>
              <w:widowControl w:val="0"/>
              <w:tabs>
                <w:tab w:val="left" w:pos="1545"/>
              </w:tabs>
              <w:autoSpaceDE w:val="0"/>
              <w:autoSpaceDN w:val="0"/>
              <w:adjustRightInd w:val="0"/>
              <w:jc w:val="center"/>
            </w:pPr>
            <w:r w:rsidRPr="00BE2013">
              <w:t>20</w:t>
            </w:r>
          </w:p>
        </w:tc>
      </w:tr>
      <w:tr w:rsidRPr="00BE2013" w:rsidR="00BE2013" w:rsidTr="002135BB" w14:paraId="30244D94" w14:textId="77777777">
        <w:trPr>
          <w:trHeight w:val="548"/>
        </w:trPr>
        <w:tc>
          <w:tcPr>
            <w:tcW w:w="1885" w:type="dxa"/>
            <w:vMerge w:val="restart"/>
            <w:shd w:val="clear" w:color="auto" w:fill="auto"/>
            <w:vAlign w:val="center"/>
          </w:tcPr>
          <w:p w:rsidR="00BE2013" w:rsidP="009461EA" w:rsidRDefault="00BE2013" w14:paraId="0A32C209" w14:textId="7C31F0F7">
            <w:pPr>
              <w:widowControl w:val="0"/>
              <w:tabs>
                <w:tab w:val="left" w:pos="1545"/>
              </w:tabs>
              <w:autoSpaceDE w:val="0"/>
              <w:autoSpaceDN w:val="0"/>
              <w:adjustRightInd w:val="0"/>
              <w:jc w:val="center"/>
            </w:pPr>
            <w:r w:rsidRPr="00BE2013">
              <w:t xml:space="preserve">EI Adult Participants – signing consent for </w:t>
            </w:r>
            <w:r>
              <w:t xml:space="preserve">self and household </w:t>
            </w:r>
            <w:r w:rsidRPr="00BE2013">
              <w:t>sampling</w:t>
            </w:r>
            <w:r>
              <w:t xml:space="preserve"> </w:t>
            </w:r>
          </w:p>
          <w:p w:rsidRPr="00BE2013" w:rsidR="00BE2013" w:rsidP="009461EA" w:rsidRDefault="00BE2013" w14:paraId="68322289" w14:textId="1DF990BF">
            <w:pPr>
              <w:widowControl w:val="0"/>
              <w:tabs>
                <w:tab w:val="left" w:pos="1545"/>
              </w:tabs>
              <w:autoSpaceDE w:val="0"/>
              <w:autoSpaceDN w:val="0"/>
              <w:adjustRightInd w:val="0"/>
              <w:jc w:val="center"/>
            </w:pPr>
            <w:r>
              <w:t>(</w:t>
            </w:r>
            <w:proofErr w:type="gramStart"/>
            <w:r>
              <w:t>dust</w:t>
            </w:r>
            <w:proofErr w:type="gramEnd"/>
            <w:r>
              <w:t xml:space="preserve"> only)</w:t>
            </w:r>
          </w:p>
        </w:tc>
        <w:tc>
          <w:tcPr>
            <w:tcW w:w="1710" w:type="dxa"/>
            <w:shd w:val="clear" w:color="auto" w:fill="auto"/>
            <w:vAlign w:val="center"/>
          </w:tcPr>
          <w:p w:rsidRPr="00BE2013" w:rsidR="00BE2013" w:rsidP="009461EA" w:rsidRDefault="00BE2013" w14:paraId="6663D11C" w14:textId="35127392">
            <w:pPr>
              <w:widowControl w:val="0"/>
              <w:tabs>
                <w:tab w:val="left" w:pos="1545"/>
              </w:tabs>
              <w:autoSpaceDE w:val="0"/>
              <w:autoSpaceDN w:val="0"/>
              <w:adjustRightInd w:val="0"/>
              <w:jc w:val="center"/>
            </w:pPr>
            <w:r w:rsidRPr="00BE2013">
              <w:t>Household Questionnaire</w:t>
            </w:r>
          </w:p>
        </w:tc>
        <w:tc>
          <w:tcPr>
            <w:tcW w:w="1470" w:type="dxa"/>
            <w:shd w:val="clear" w:color="auto" w:fill="auto"/>
            <w:vAlign w:val="center"/>
          </w:tcPr>
          <w:p w:rsidRPr="00BE2013" w:rsidR="00BE2013" w:rsidP="006523AC" w:rsidRDefault="00BE2013" w14:paraId="1E5A1C3B" w14:textId="4329116F">
            <w:pPr>
              <w:widowControl w:val="0"/>
              <w:tabs>
                <w:tab w:val="left" w:pos="1545"/>
              </w:tabs>
              <w:autoSpaceDE w:val="0"/>
              <w:autoSpaceDN w:val="0"/>
              <w:adjustRightInd w:val="0"/>
              <w:jc w:val="center"/>
            </w:pPr>
            <w:r>
              <w:t>8</w:t>
            </w:r>
            <w:r w:rsidRPr="00BE2013">
              <w:t>0</w:t>
            </w:r>
          </w:p>
        </w:tc>
        <w:tc>
          <w:tcPr>
            <w:tcW w:w="1533" w:type="dxa"/>
            <w:shd w:val="clear" w:color="auto" w:fill="auto"/>
            <w:vAlign w:val="center"/>
          </w:tcPr>
          <w:p w:rsidRPr="00BE2013" w:rsidR="00BE2013" w:rsidP="006523AC" w:rsidRDefault="00BE2013" w14:paraId="01F9BCFC" w14:textId="7523D1CD">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BE2013" w:rsidP="006523AC" w:rsidRDefault="00BE2013" w14:paraId="64D3AFD7" w14:textId="42A72249">
            <w:pPr>
              <w:widowControl w:val="0"/>
              <w:tabs>
                <w:tab w:val="left" w:pos="1545"/>
              </w:tabs>
              <w:autoSpaceDE w:val="0"/>
              <w:autoSpaceDN w:val="0"/>
              <w:adjustRightInd w:val="0"/>
              <w:jc w:val="center"/>
            </w:pPr>
            <w:r w:rsidRPr="00BE2013">
              <w:t>15/60</w:t>
            </w:r>
          </w:p>
        </w:tc>
        <w:tc>
          <w:tcPr>
            <w:tcW w:w="1534" w:type="dxa"/>
            <w:vAlign w:val="center"/>
          </w:tcPr>
          <w:p w:rsidRPr="00BE2013" w:rsidR="00BE2013" w:rsidP="0082063A" w:rsidRDefault="00BE2013" w14:paraId="280DAFF7" w14:textId="198EB0A9">
            <w:pPr>
              <w:widowControl w:val="0"/>
              <w:tabs>
                <w:tab w:val="left" w:pos="1545"/>
              </w:tabs>
              <w:autoSpaceDE w:val="0"/>
              <w:autoSpaceDN w:val="0"/>
              <w:adjustRightInd w:val="0"/>
              <w:jc w:val="center"/>
            </w:pPr>
            <w:r>
              <w:t>2</w:t>
            </w:r>
            <w:r w:rsidRPr="00BE2013">
              <w:t>0</w:t>
            </w:r>
          </w:p>
        </w:tc>
      </w:tr>
      <w:tr w:rsidRPr="00BE2013" w:rsidR="00BE2013" w:rsidTr="002135BB" w14:paraId="0360EF4B" w14:textId="77777777">
        <w:trPr>
          <w:trHeight w:val="1160"/>
        </w:trPr>
        <w:tc>
          <w:tcPr>
            <w:tcW w:w="1885" w:type="dxa"/>
            <w:vMerge/>
            <w:shd w:val="clear" w:color="auto" w:fill="auto"/>
            <w:vAlign w:val="center"/>
          </w:tcPr>
          <w:p w:rsidRPr="00BE2013" w:rsidR="00BE2013" w:rsidP="009461EA" w:rsidRDefault="00BE2013" w14:paraId="5653B308" w14:textId="77777777">
            <w:pPr>
              <w:widowControl w:val="0"/>
              <w:tabs>
                <w:tab w:val="left" w:pos="1545"/>
              </w:tabs>
              <w:autoSpaceDE w:val="0"/>
              <w:autoSpaceDN w:val="0"/>
              <w:adjustRightInd w:val="0"/>
              <w:jc w:val="center"/>
            </w:pPr>
          </w:p>
        </w:tc>
        <w:tc>
          <w:tcPr>
            <w:tcW w:w="1710" w:type="dxa"/>
            <w:shd w:val="clear" w:color="auto" w:fill="auto"/>
            <w:vAlign w:val="center"/>
          </w:tcPr>
          <w:p w:rsidRPr="000521F3" w:rsidR="00BE2013" w:rsidP="009461EA" w:rsidRDefault="00BE2013" w14:paraId="64081278" w14:textId="6D258D32">
            <w:pPr>
              <w:widowControl w:val="0"/>
              <w:tabs>
                <w:tab w:val="left" w:pos="1545"/>
              </w:tabs>
              <w:autoSpaceDE w:val="0"/>
              <w:autoSpaceDN w:val="0"/>
              <w:adjustRightInd w:val="0"/>
              <w:jc w:val="center"/>
            </w:pPr>
            <w:r w:rsidRPr="00BE2013">
              <w:t>Personal Exposure Questionnaire (</w:t>
            </w:r>
            <w:r w:rsidRPr="000521F3">
              <w:t>Adult)</w:t>
            </w:r>
          </w:p>
        </w:tc>
        <w:tc>
          <w:tcPr>
            <w:tcW w:w="1470" w:type="dxa"/>
            <w:shd w:val="clear" w:color="auto" w:fill="auto"/>
            <w:vAlign w:val="center"/>
          </w:tcPr>
          <w:p w:rsidRPr="00BE2013" w:rsidR="00BE2013" w:rsidP="006523AC" w:rsidRDefault="00BE2013" w14:paraId="24B97A42" w14:textId="121BF500">
            <w:pPr>
              <w:widowControl w:val="0"/>
              <w:tabs>
                <w:tab w:val="left" w:pos="1545"/>
              </w:tabs>
              <w:autoSpaceDE w:val="0"/>
              <w:autoSpaceDN w:val="0"/>
              <w:adjustRightInd w:val="0"/>
              <w:jc w:val="center"/>
            </w:pPr>
            <w:r>
              <w:t>8</w:t>
            </w:r>
            <w:r w:rsidRPr="00BE2013">
              <w:t>0</w:t>
            </w:r>
          </w:p>
        </w:tc>
        <w:tc>
          <w:tcPr>
            <w:tcW w:w="1533" w:type="dxa"/>
            <w:shd w:val="clear" w:color="auto" w:fill="auto"/>
            <w:vAlign w:val="center"/>
          </w:tcPr>
          <w:p w:rsidRPr="00BE2013" w:rsidR="00BE2013" w:rsidP="006523AC" w:rsidRDefault="00BE2013" w14:paraId="7A9408B2" w14:textId="1A6D309D">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BE2013" w:rsidP="006523AC" w:rsidRDefault="00BE2013" w14:paraId="1C1E82E3" w14:textId="584592A0">
            <w:pPr>
              <w:widowControl w:val="0"/>
              <w:tabs>
                <w:tab w:val="left" w:pos="1545"/>
              </w:tabs>
              <w:autoSpaceDE w:val="0"/>
              <w:autoSpaceDN w:val="0"/>
              <w:adjustRightInd w:val="0"/>
              <w:jc w:val="center"/>
            </w:pPr>
            <w:r w:rsidRPr="00BE2013">
              <w:t>15/60</w:t>
            </w:r>
          </w:p>
        </w:tc>
        <w:tc>
          <w:tcPr>
            <w:tcW w:w="1534" w:type="dxa"/>
            <w:vAlign w:val="center"/>
          </w:tcPr>
          <w:p w:rsidRPr="00BE2013" w:rsidR="00BE2013" w:rsidP="0082063A" w:rsidRDefault="00BE2013" w14:paraId="598FF96F" w14:textId="5592BDEA">
            <w:pPr>
              <w:widowControl w:val="0"/>
              <w:tabs>
                <w:tab w:val="left" w:pos="1545"/>
              </w:tabs>
              <w:autoSpaceDE w:val="0"/>
              <w:autoSpaceDN w:val="0"/>
              <w:adjustRightInd w:val="0"/>
              <w:jc w:val="center"/>
            </w:pPr>
            <w:r>
              <w:t>2</w:t>
            </w:r>
            <w:r w:rsidRPr="00BE2013">
              <w:t>0</w:t>
            </w:r>
          </w:p>
        </w:tc>
      </w:tr>
      <w:tr w:rsidRPr="00BE2013" w:rsidR="00BE2013" w:rsidTr="002135BB" w14:paraId="70BD73C7" w14:textId="77777777">
        <w:trPr>
          <w:trHeight w:val="971"/>
        </w:trPr>
        <w:tc>
          <w:tcPr>
            <w:tcW w:w="1885" w:type="dxa"/>
            <w:vMerge/>
            <w:shd w:val="clear" w:color="auto" w:fill="auto"/>
            <w:vAlign w:val="center"/>
          </w:tcPr>
          <w:p w:rsidRPr="00BE2013" w:rsidR="00BE2013" w:rsidP="00BE2013" w:rsidRDefault="00BE2013" w14:paraId="20A1FBF5" w14:textId="77777777">
            <w:pPr>
              <w:widowControl w:val="0"/>
              <w:tabs>
                <w:tab w:val="left" w:pos="1545"/>
              </w:tabs>
              <w:autoSpaceDE w:val="0"/>
              <w:autoSpaceDN w:val="0"/>
              <w:adjustRightInd w:val="0"/>
              <w:jc w:val="center"/>
            </w:pPr>
          </w:p>
        </w:tc>
        <w:tc>
          <w:tcPr>
            <w:tcW w:w="1710" w:type="dxa"/>
            <w:shd w:val="clear" w:color="auto" w:fill="auto"/>
            <w:vAlign w:val="center"/>
          </w:tcPr>
          <w:p w:rsidRPr="00BE2013" w:rsidR="00BE2013" w:rsidP="00BE2013" w:rsidRDefault="00BE2013" w14:paraId="014BB5CF" w14:textId="18BCC090">
            <w:pPr>
              <w:widowControl w:val="0"/>
              <w:tabs>
                <w:tab w:val="left" w:pos="1545"/>
              </w:tabs>
              <w:autoSpaceDE w:val="0"/>
              <w:autoSpaceDN w:val="0"/>
              <w:adjustRightInd w:val="0"/>
              <w:jc w:val="center"/>
            </w:pPr>
            <w:r w:rsidRPr="00BC78FD">
              <w:t xml:space="preserve">Environmental Sampling Collection Form (dust </w:t>
            </w:r>
            <w:r w:rsidRPr="00BC78FD">
              <w:lastRenderedPageBreak/>
              <w:t>only)</w:t>
            </w:r>
          </w:p>
        </w:tc>
        <w:tc>
          <w:tcPr>
            <w:tcW w:w="1470" w:type="dxa"/>
            <w:shd w:val="clear" w:color="auto" w:fill="auto"/>
            <w:vAlign w:val="center"/>
          </w:tcPr>
          <w:p w:rsidRPr="00BE2013" w:rsidR="00BE2013" w:rsidP="00BE2013" w:rsidRDefault="00BE2013" w14:paraId="508A6478" w14:textId="1C340B63">
            <w:pPr>
              <w:widowControl w:val="0"/>
              <w:tabs>
                <w:tab w:val="left" w:pos="1545"/>
              </w:tabs>
              <w:autoSpaceDE w:val="0"/>
              <w:autoSpaceDN w:val="0"/>
              <w:adjustRightInd w:val="0"/>
              <w:jc w:val="center"/>
            </w:pPr>
            <w:r w:rsidRPr="00BC78FD">
              <w:lastRenderedPageBreak/>
              <w:t>80</w:t>
            </w:r>
          </w:p>
        </w:tc>
        <w:tc>
          <w:tcPr>
            <w:tcW w:w="1533" w:type="dxa"/>
            <w:shd w:val="clear" w:color="auto" w:fill="auto"/>
            <w:vAlign w:val="center"/>
          </w:tcPr>
          <w:p w:rsidRPr="00BE2013" w:rsidR="00BE2013" w:rsidP="00BE2013" w:rsidRDefault="00BE2013" w14:paraId="683D381E" w14:textId="13A59BDA">
            <w:pPr>
              <w:widowControl w:val="0"/>
              <w:tabs>
                <w:tab w:val="left" w:pos="1545"/>
              </w:tabs>
              <w:autoSpaceDE w:val="0"/>
              <w:autoSpaceDN w:val="0"/>
              <w:adjustRightInd w:val="0"/>
              <w:jc w:val="center"/>
            </w:pPr>
            <w:r w:rsidRPr="00BC78FD">
              <w:t>1</w:t>
            </w:r>
          </w:p>
        </w:tc>
        <w:tc>
          <w:tcPr>
            <w:tcW w:w="1534" w:type="dxa"/>
            <w:shd w:val="clear" w:color="auto" w:fill="auto"/>
            <w:vAlign w:val="center"/>
          </w:tcPr>
          <w:p w:rsidRPr="00BE2013" w:rsidR="00BE2013" w:rsidP="00BE2013" w:rsidRDefault="00BE2013" w14:paraId="0F9ECB1E" w14:textId="5358A73A">
            <w:pPr>
              <w:widowControl w:val="0"/>
              <w:tabs>
                <w:tab w:val="left" w:pos="1545"/>
              </w:tabs>
              <w:autoSpaceDE w:val="0"/>
              <w:autoSpaceDN w:val="0"/>
              <w:adjustRightInd w:val="0"/>
              <w:jc w:val="center"/>
            </w:pPr>
            <w:r w:rsidRPr="00BC78FD">
              <w:t>1</w:t>
            </w:r>
          </w:p>
        </w:tc>
        <w:tc>
          <w:tcPr>
            <w:tcW w:w="1534" w:type="dxa"/>
            <w:vAlign w:val="center"/>
          </w:tcPr>
          <w:p w:rsidRPr="00BE2013" w:rsidR="00BE2013" w:rsidP="00BE2013" w:rsidRDefault="00BE2013" w14:paraId="59E2E6CF" w14:textId="0B143C48">
            <w:pPr>
              <w:widowControl w:val="0"/>
              <w:tabs>
                <w:tab w:val="left" w:pos="1545"/>
              </w:tabs>
              <w:autoSpaceDE w:val="0"/>
              <w:autoSpaceDN w:val="0"/>
              <w:adjustRightInd w:val="0"/>
              <w:jc w:val="center"/>
            </w:pPr>
            <w:r w:rsidRPr="00BC78FD">
              <w:t>80</w:t>
            </w:r>
          </w:p>
        </w:tc>
      </w:tr>
      <w:tr w:rsidRPr="00BE2013" w:rsidR="00BE2013" w:rsidTr="00AE6427" w14:paraId="56F9D257" w14:textId="77777777">
        <w:trPr>
          <w:trHeight w:val="800"/>
        </w:trPr>
        <w:tc>
          <w:tcPr>
            <w:tcW w:w="1885" w:type="dxa"/>
            <w:vMerge w:val="restart"/>
            <w:shd w:val="clear" w:color="auto" w:fill="auto"/>
            <w:vAlign w:val="center"/>
          </w:tcPr>
          <w:p w:rsidR="00BE2013" w:rsidP="00AE6427" w:rsidRDefault="00BE2013" w14:paraId="4DFB30C2" w14:textId="4B156BC5">
            <w:pPr>
              <w:widowControl w:val="0"/>
              <w:tabs>
                <w:tab w:val="left" w:pos="1545"/>
              </w:tabs>
              <w:autoSpaceDE w:val="0"/>
              <w:autoSpaceDN w:val="0"/>
              <w:adjustRightInd w:val="0"/>
              <w:jc w:val="center"/>
            </w:pPr>
            <w:r w:rsidRPr="00BE2013">
              <w:t xml:space="preserve">EI Adult Participants – </w:t>
            </w:r>
            <w:r w:rsidR="00675132">
              <w:t>s</w:t>
            </w:r>
            <w:r w:rsidRPr="00BE2013">
              <w:t>igning consent for</w:t>
            </w:r>
            <w:r>
              <w:t xml:space="preserve"> self and</w:t>
            </w:r>
            <w:r w:rsidRPr="00BE2013">
              <w:t xml:space="preserve"> </w:t>
            </w:r>
            <w:r>
              <w:t xml:space="preserve">household </w:t>
            </w:r>
            <w:r w:rsidRPr="00BE2013">
              <w:t>sampling</w:t>
            </w:r>
          </w:p>
          <w:p w:rsidRPr="00BE2013" w:rsidR="00BE2013" w:rsidP="00AE6427" w:rsidRDefault="00BE2013" w14:paraId="6BF502A4" w14:textId="0751D1CA">
            <w:pPr>
              <w:widowControl w:val="0"/>
              <w:tabs>
                <w:tab w:val="left" w:pos="1545"/>
              </w:tabs>
              <w:autoSpaceDE w:val="0"/>
              <w:autoSpaceDN w:val="0"/>
              <w:adjustRightInd w:val="0"/>
              <w:jc w:val="center"/>
            </w:pPr>
            <w:r>
              <w:t>(</w:t>
            </w:r>
            <w:proofErr w:type="gramStart"/>
            <w:r>
              <w:t>robust</w:t>
            </w:r>
            <w:proofErr w:type="gramEnd"/>
            <w:r>
              <w:t xml:space="preserve"> sampling)</w:t>
            </w:r>
          </w:p>
        </w:tc>
        <w:tc>
          <w:tcPr>
            <w:tcW w:w="1710" w:type="dxa"/>
            <w:shd w:val="clear" w:color="auto" w:fill="auto"/>
            <w:vAlign w:val="center"/>
          </w:tcPr>
          <w:p w:rsidRPr="00BE2013" w:rsidR="00BE2013" w:rsidP="00BE2013" w:rsidRDefault="00BE2013" w14:paraId="3173344E" w14:textId="3A342E99">
            <w:pPr>
              <w:widowControl w:val="0"/>
              <w:tabs>
                <w:tab w:val="left" w:pos="1545"/>
              </w:tabs>
              <w:autoSpaceDE w:val="0"/>
              <w:autoSpaceDN w:val="0"/>
              <w:adjustRightInd w:val="0"/>
              <w:jc w:val="center"/>
            </w:pPr>
            <w:r w:rsidRPr="00BE2013">
              <w:t>Household Questio</w:t>
            </w:r>
            <w:r w:rsidRPr="00BC78FD">
              <w:t>nnaire</w:t>
            </w:r>
          </w:p>
        </w:tc>
        <w:tc>
          <w:tcPr>
            <w:tcW w:w="1470" w:type="dxa"/>
            <w:shd w:val="clear" w:color="auto" w:fill="auto"/>
            <w:vAlign w:val="center"/>
          </w:tcPr>
          <w:p w:rsidRPr="00BE2013" w:rsidR="00BE2013" w:rsidP="00BE2013" w:rsidRDefault="00BE2013" w14:paraId="2BAA6F60" w14:textId="5A01E826">
            <w:pPr>
              <w:widowControl w:val="0"/>
              <w:tabs>
                <w:tab w:val="left" w:pos="1545"/>
              </w:tabs>
              <w:autoSpaceDE w:val="0"/>
              <w:autoSpaceDN w:val="0"/>
              <w:adjustRightInd w:val="0"/>
              <w:jc w:val="center"/>
            </w:pPr>
            <w:r>
              <w:t>4</w:t>
            </w:r>
            <w:r w:rsidRPr="00BC78FD">
              <w:t>0</w:t>
            </w:r>
          </w:p>
        </w:tc>
        <w:tc>
          <w:tcPr>
            <w:tcW w:w="1533" w:type="dxa"/>
            <w:shd w:val="clear" w:color="auto" w:fill="auto"/>
            <w:vAlign w:val="center"/>
          </w:tcPr>
          <w:p w:rsidRPr="00BE2013" w:rsidR="00BE2013" w:rsidP="00BE2013" w:rsidRDefault="00BE2013" w14:paraId="447F83F3" w14:textId="507216F8">
            <w:pPr>
              <w:widowControl w:val="0"/>
              <w:tabs>
                <w:tab w:val="left" w:pos="1545"/>
              </w:tabs>
              <w:autoSpaceDE w:val="0"/>
              <w:autoSpaceDN w:val="0"/>
              <w:adjustRightInd w:val="0"/>
              <w:jc w:val="center"/>
            </w:pPr>
            <w:r w:rsidRPr="00BC78FD">
              <w:t>1</w:t>
            </w:r>
          </w:p>
        </w:tc>
        <w:tc>
          <w:tcPr>
            <w:tcW w:w="1534" w:type="dxa"/>
            <w:shd w:val="clear" w:color="auto" w:fill="auto"/>
            <w:vAlign w:val="center"/>
          </w:tcPr>
          <w:p w:rsidRPr="00BE2013" w:rsidR="00BE2013" w:rsidP="00BE2013" w:rsidRDefault="00BE2013" w14:paraId="6AF5E574" w14:textId="43E7FBCA">
            <w:pPr>
              <w:widowControl w:val="0"/>
              <w:tabs>
                <w:tab w:val="left" w:pos="1545"/>
              </w:tabs>
              <w:autoSpaceDE w:val="0"/>
              <w:autoSpaceDN w:val="0"/>
              <w:adjustRightInd w:val="0"/>
              <w:jc w:val="center"/>
            </w:pPr>
            <w:r w:rsidRPr="00BC78FD">
              <w:t>15/60</w:t>
            </w:r>
          </w:p>
        </w:tc>
        <w:tc>
          <w:tcPr>
            <w:tcW w:w="1534" w:type="dxa"/>
            <w:vAlign w:val="center"/>
          </w:tcPr>
          <w:p w:rsidRPr="00BE2013" w:rsidR="00BE2013" w:rsidP="00BE2013" w:rsidRDefault="00BE2013" w14:paraId="76708DB8" w14:textId="0326EE61">
            <w:pPr>
              <w:widowControl w:val="0"/>
              <w:tabs>
                <w:tab w:val="left" w:pos="1545"/>
              </w:tabs>
              <w:autoSpaceDE w:val="0"/>
              <w:autoSpaceDN w:val="0"/>
              <w:adjustRightInd w:val="0"/>
              <w:jc w:val="center"/>
            </w:pPr>
            <w:r>
              <w:t>1</w:t>
            </w:r>
            <w:r w:rsidRPr="00BC78FD">
              <w:t>0</w:t>
            </w:r>
          </w:p>
        </w:tc>
      </w:tr>
      <w:tr w:rsidRPr="00BE2013" w:rsidR="00BE2013" w:rsidTr="000521F3" w14:paraId="06795579" w14:textId="77777777">
        <w:trPr>
          <w:trHeight w:val="1691"/>
        </w:trPr>
        <w:tc>
          <w:tcPr>
            <w:tcW w:w="1885" w:type="dxa"/>
            <w:vMerge/>
            <w:shd w:val="clear" w:color="auto" w:fill="auto"/>
            <w:vAlign w:val="center"/>
          </w:tcPr>
          <w:p w:rsidRPr="00BE2013" w:rsidR="00BE2013" w:rsidP="00BE2013" w:rsidRDefault="00BE2013" w14:paraId="1DB9B5B6" w14:textId="77777777">
            <w:pPr>
              <w:widowControl w:val="0"/>
              <w:tabs>
                <w:tab w:val="left" w:pos="1545"/>
              </w:tabs>
              <w:autoSpaceDE w:val="0"/>
              <w:autoSpaceDN w:val="0"/>
              <w:adjustRightInd w:val="0"/>
              <w:jc w:val="center"/>
            </w:pPr>
          </w:p>
        </w:tc>
        <w:tc>
          <w:tcPr>
            <w:tcW w:w="1710" w:type="dxa"/>
            <w:shd w:val="clear" w:color="auto" w:fill="auto"/>
            <w:vAlign w:val="center"/>
          </w:tcPr>
          <w:p w:rsidRPr="00BE2013" w:rsidR="00BE2013" w:rsidP="00BE2013" w:rsidRDefault="00BE2013" w14:paraId="787CBA37" w14:textId="3A2E997E">
            <w:pPr>
              <w:widowControl w:val="0"/>
              <w:tabs>
                <w:tab w:val="left" w:pos="1545"/>
              </w:tabs>
              <w:autoSpaceDE w:val="0"/>
              <w:autoSpaceDN w:val="0"/>
              <w:adjustRightInd w:val="0"/>
              <w:jc w:val="center"/>
            </w:pPr>
            <w:r w:rsidRPr="00BC78FD">
              <w:t>Personal Exposure Questionnaire (</w:t>
            </w:r>
            <w:r w:rsidRPr="000521F3">
              <w:t>Adult)</w:t>
            </w:r>
          </w:p>
        </w:tc>
        <w:tc>
          <w:tcPr>
            <w:tcW w:w="1470" w:type="dxa"/>
            <w:shd w:val="clear" w:color="auto" w:fill="auto"/>
            <w:vAlign w:val="center"/>
          </w:tcPr>
          <w:p w:rsidRPr="00BE2013" w:rsidR="00BE2013" w:rsidP="00BE2013" w:rsidRDefault="00BE2013" w14:paraId="6400CB89" w14:textId="61DF333F">
            <w:pPr>
              <w:widowControl w:val="0"/>
              <w:tabs>
                <w:tab w:val="left" w:pos="1545"/>
              </w:tabs>
              <w:autoSpaceDE w:val="0"/>
              <w:autoSpaceDN w:val="0"/>
              <w:adjustRightInd w:val="0"/>
              <w:jc w:val="center"/>
            </w:pPr>
            <w:r>
              <w:t>4</w:t>
            </w:r>
            <w:r w:rsidRPr="00BE2013">
              <w:t>0</w:t>
            </w:r>
          </w:p>
        </w:tc>
        <w:tc>
          <w:tcPr>
            <w:tcW w:w="1533" w:type="dxa"/>
            <w:shd w:val="clear" w:color="auto" w:fill="auto"/>
            <w:vAlign w:val="center"/>
          </w:tcPr>
          <w:p w:rsidRPr="00BE2013" w:rsidR="00BE2013" w:rsidP="00BE2013" w:rsidRDefault="00BE2013" w14:paraId="0D8D34D8" w14:textId="67600F8F">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BE2013" w:rsidP="00BE2013" w:rsidRDefault="00BE2013" w14:paraId="7D30EF6C" w14:textId="6B41D4F0">
            <w:pPr>
              <w:widowControl w:val="0"/>
              <w:tabs>
                <w:tab w:val="left" w:pos="1545"/>
              </w:tabs>
              <w:autoSpaceDE w:val="0"/>
              <w:autoSpaceDN w:val="0"/>
              <w:adjustRightInd w:val="0"/>
              <w:jc w:val="center"/>
            </w:pPr>
            <w:r w:rsidRPr="00BC78FD">
              <w:t>15/60</w:t>
            </w:r>
          </w:p>
        </w:tc>
        <w:tc>
          <w:tcPr>
            <w:tcW w:w="1534" w:type="dxa"/>
            <w:vAlign w:val="center"/>
          </w:tcPr>
          <w:p w:rsidRPr="00BE2013" w:rsidR="00BE2013" w:rsidP="00BE2013" w:rsidRDefault="00BE2013" w14:paraId="595E01D6" w14:textId="49CE560C">
            <w:pPr>
              <w:widowControl w:val="0"/>
              <w:tabs>
                <w:tab w:val="left" w:pos="1545"/>
              </w:tabs>
              <w:autoSpaceDE w:val="0"/>
              <w:autoSpaceDN w:val="0"/>
              <w:adjustRightInd w:val="0"/>
              <w:jc w:val="center"/>
            </w:pPr>
            <w:r>
              <w:t>1</w:t>
            </w:r>
            <w:r w:rsidRPr="00BC78FD">
              <w:t>0</w:t>
            </w:r>
          </w:p>
        </w:tc>
      </w:tr>
      <w:tr w:rsidRPr="00BE2013" w:rsidR="00BE2013" w:rsidTr="00BC761E" w14:paraId="646891E3" w14:textId="77777777">
        <w:trPr>
          <w:trHeight w:val="80"/>
        </w:trPr>
        <w:tc>
          <w:tcPr>
            <w:tcW w:w="1885" w:type="dxa"/>
            <w:vMerge/>
            <w:shd w:val="clear" w:color="auto" w:fill="auto"/>
            <w:vAlign w:val="center"/>
          </w:tcPr>
          <w:p w:rsidRPr="00BE2013" w:rsidR="00BE2013" w:rsidP="00BE2013" w:rsidRDefault="00BE2013" w14:paraId="21AE035B" w14:textId="77777777">
            <w:pPr>
              <w:widowControl w:val="0"/>
              <w:tabs>
                <w:tab w:val="left" w:pos="1545"/>
              </w:tabs>
              <w:autoSpaceDE w:val="0"/>
              <w:autoSpaceDN w:val="0"/>
              <w:adjustRightInd w:val="0"/>
              <w:jc w:val="center"/>
            </w:pPr>
          </w:p>
        </w:tc>
        <w:tc>
          <w:tcPr>
            <w:tcW w:w="1710" w:type="dxa"/>
            <w:shd w:val="clear" w:color="auto" w:fill="auto"/>
            <w:vAlign w:val="center"/>
          </w:tcPr>
          <w:p w:rsidRPr="00BE2013" w:rsidR="00BE2013" w:rsidP="00BE2013" w:rsidRDefault="00BE2013" w14:paraId="2BC38D88" w14:textId="5F93A876">
            <w:pPr>
              <w:widowControl w:val="0"/>
              <w:tabs>
                <w:tab w:val="left" w:pos="1545"/>
              </w:tabs>
              <w:autoSpaceDE w:val="0"/>
              <w:autoSpaceDN w:val="0"/>
              <w:adjustRightInd w:val="0"/>
              <w:jc w:val="center"/>
            </w:pPr>
            <w:r w:rsidRPr="00BC78FD">
              <w:t>Environmental Sampling Collection Form (robust sampling)</w:t>
            </w:r>
          </w:p>
        </w:tc>
        <w:tc>
          <w:tcPr>
            <w:tcW w:w="1470" w:type="dxa"/>
            <w:shd w:val="clear" w:color="auto" w:fill="auto"/>
            <w:vAlign w:val="center"/>
          </w:tcPr>
          <w:p w:rsidRPr="00BE2013" w:rsidR="00BE2013" w:rsidP="00BE2013" w:rsidRDefault="00BE2013" w14:paraId="08195B39" w14:textId="3EB29008">
            <w:pPr>
              <w:widowControl w:val="0"/>
              <w:tabs>
                <w:tab w:val="left" w:pos="1545"/>
              </w:tabs>
              <w:autoSpaceDE w:val="0"/>
              <w:autoSpaceDN w:val="0"/>
              <w:adjustRightInd w:val="0"/>
              <w:jc w:val="center"/>
            </w:pPr>
            <w:r w:rsidRPr="00BC78FD">
              <w:t>40</w:t>
            </w:r>
          </w:p>
        </w:tc>
        <w:tc>
          <w:tcPr>
            <w:tcW w:w="1533" w:type="dxa"/>
            <w:shd w:val="clear" w:color="auto" w:fill="auto"/>
            <w:vAlign w:val="center"/>
          </w:tcPr>
          <w:p w:rsidRPr="00BE2013" w:rsidR="00BE2013" w:rsidP="00BE2013" w:rsidRDefault="004C2217" w14:paraId="4FCD51C1" w14:textId="02C71E66">
            <w:pPr>
              <w:widowControl w:val="0"/>
              <w:tabs>
                <w:tab w:val="left" w:pos="1545"/>
              </w:tabs>
              <w:autoSpaceDE w:val="0"/>
              <w:autoSpaceDN w:val="0"/>
              <w:adjustRightInd w:val="0"/>
              <w:jc w:val="center"/>
            </w:pPr>
            <w:r>
              <w:t>2</w:t>
            </w:r>
          </w:p>
        </w:tc>
        <w:tc>
          <w:tcPr>
            <w:tcW w:w="1534" w:type="dxa"/>
            <w:shd w:val="clear" w:color="auto" w:fill="auto"/>
            <w:vAlign w:val="center"/>
          </w:tcPr>
          <w:p w:rsidRPr="00BE2013" w:rsidR="00BE2013" w:rsidP="00BE2013" w:rsidRDefault="004C2217" w14:paraId="12C62DDC" w14:textId="4BBE7650">
            <w:pPr>
              <w:widowControl w:val="0"/>
              <w:tabs>
                <w:tab w:val="left" w:pos="1545"/>
              </w:tabs>
              <w:autoSpaceDE w:val="0"/>
              <w:autoSpaceDN w:val="0"/>
              <w:adjustRightInd w:val="0"/>
              <w:jc w:val="center"/>
            </w:pPr>
            <w:r>
              <w:t>2</w:t>
            </w:r>
          </w:p>
        </w:tc>
        <w:tc>
          <w:tcPr>
            <w:tcW w:w="1534" w:type="dxa"/>
            <w:vAlign w:val="center"/>
          </w:tcPr>
          <w:p w:rsidRPr="00BE2013" w:rsidR="00BE2013" w:rsidP="00BE2013" w:rsidRDefault="00BE2013" w14:paraId="57DA151B" w14:textId="3437A550">
            <w:pPr>
              <w:widowControl w:val="0"/>
              <w:tabs>
                <w:tab w:val="left" w:pos="1545"/>
              </w:tabs>
              <w:autoSpaceDE w:val="0"/>
              <w:autoSpaceDN w:val="0"/>
              <w:adjustRightInd w:val="0"/>
              <w:jc w:val="center"/>
            </w:pPr>
            <w:r w:rsidRPr="00BC78FD">
              <w:t>160</w:t>
            </w:r>
          </w:p>
        </w:tc>
      </w:tr>
      <w:tr w:rsidRPr="00BE2013" w:rsidR="00BE2013" w:rsidTr="00BC761E" w14:paraId="36650790" w14:textId="77777777">
        <w:trPr>
          <w:trHeight w:val="1052"/>
        </w:trPr>
        <w:tc>
          <w:tcPr>
            <w:tcW w:w="1885" w:type="dxa"/>
            <w:shd w:val="clear" w:color="auto" w:fill="auto"/>
            <w:vAlign w:val="center"/>
          </w:tcPr>
          <w:p w:rsidRPr="00BE2013" w:rsidR="00BE2013" w:rsidP="00BE2013" w:rsidRDefault="00BE2013" w14:paraId="0C7FA04A" w14:textId="42A196BC">
            <w:pPr>
              <w:widowControl w:val="0"/>
              <w:tabs>
                <w:tab w:val="left" w:pos="1545"/>
              </w:tabs>
              <w:autoSpaceDE w:val="0"/>
              <w:autoSpaceDN w:val="0"/>
              <w:adjustRightInd w:val="0"/>
              <w:jc w:val="center"/>
            </w:pPr>
            <w:r>
              <w:t xml:space="preserve">EI </w:t>
            </w:r>
            <w:r w:rsidRPr="00BE2013">
              <w:t xml:space="preserve">Adult Participant – </w:t>
            </w:r>
            <w:r w:rsidR="00185AD9">
              <w:t>s</w:t>
            </w:r>
            <w:r>
              <w:t>igning consent for self</w:t>
            </w:r>
            <w:r w:rsidRPr="00BE2013">
              <w:t xml:space="preserve"> only</w:t>
            </w:r>
          </w:p>
        </w:tc>
        <w:tc>
          <w:tcPr>
            <w:tcW w:w="1710" w:type="dxa"/>
            <w:shd w:val="clear" w:color="auto" w:fill="auto"/>
            <w:vAlign w:val="center"/>
          </w:tcPr>
          <w:p w:rsidRPr="00BE2013" w:rsidR="00BE2013" w:rsidP="00BE2013" w:rsidRDefault="00BE2013" w14:paraId="1734EC4F" w14:textId="5B93DF4A">
            <w:pPr>
              <w:widowControl w:val="0"/>
              <w:tabs>
                <w:tab w:val="left" w:pos="1545"/>
              </w:tabs>
              <w:autoSpaceDE w:val="0"/>
              <w:autoSpaceDN w:val="0"/>
              <w:adjustRightInd w:val="0"/>
              <w:jc w:val="center"/>
            </w:pPr>
            <w:r w:rsidRPr="00BE2013">
              <w:t>Personal Exposure Questionnaire (Adult)</w:t>
            </w:r>
          </w:p>
        </w:tc>
        <w:tc>
          <w:tcPr>
            <w:tcW w:w="1470" w:type="dxa"/>
            <w:shd w:val="clear" w:color="auto" w:fill="auto"/>
            <w:vAlign w:val="center"/>
          </w:tcPr>
          <w:p w:rsidRPr="00BE2013" w:rsidR="00BE2013" w:rsidP="00BE2013" w:rsidRDefault="00BE2013" w14:paraId="645A59BB" w14:textId="71F5EAE1">
            <w:pPr>
              <w:widowControl w:val="0"/>
              <w:tabs>
                <w:tab w:val="left" w:pos="1545"/>
              </w:tabs>
              <w:autoSpaceDE w:val="0"/>
              <w:autoSpaceDN w:val="0"/>
              <w:adjustRightInd w:val="0"/>
              <w:jc w:val="center"/>
            </w:pPr>
            <w:r w:rsidRPr="00BE2013">
              <w:t>108</w:t>
            </w:r>
          </w:p>
        </w:tc>
        <w:tc>
          <w:tcPr>
            <w:tcW w:w="1533" w:type="dxa"/>
            <w:shd w:val="clear" w:color="auto" w:fill="auto"/>
            <w:vAlign w:val="center"/>
          </w:tcPr>
          <w:p w:rsidRPr="00BE2013" w:rsidR="00BE2013" w:rsidP="00BE2013" w:rsidRDefault="00BE2013" w14:paraId="79313C43" w14:textId="765B5FA6">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BE2013" w:rsidP="00BE2013" w:rsidRDefault="00BE2013" w14:paraId="70E1D4AB" w14:textId="2A71581F">
            <w:pPr>
              <w:widowControl w:val="0"/>
              <w:tabs>
                <w:tab w:val="left" w:pos="1545"/>
              </w:tabs>
              <w:autoSpaceDE w:val="0"/>
              <w:autoSpaceDN w:val="0"/>
              <w:adjustRightInd w:val="0"/>
              <w:jc w:val="center"/>
            </w:pPr>
            <w:r w:rsidRPr="00BE2013">
              <w:t>15/60</w:t>
            </w:r>
          </w:p>
        </w:tc>
        <w:tc>
          <w:tcPr>
            <w:tcW w:w="1534" w:type="dxa"/>
            <w:vAlign w:val="center"/>
          </w:tcPr>
          <w:p w:rsidRPr="00BE2013" w:rsidR="00BE2013" w:rsidP="00BE2013" w:rsidRDefault="00BE2013" w14:paraId="22A8878E" w14:textId="72E15DFB">
            <w:pPr>
              <w:widowControl w:val="0"/>
              <w:tabs>
                <w:tab w:val="left" w:pos="1545"/>
              </w:tabs>
              <w:autoSpaceDE w:val="0"/>
              <w:autoSpaceDN w:val="0"/>
              <w:adjustRightInd w:val="0"/>
              <w:jc w:val="center"/>
            </w:pPr>
            <w:r w:rsidRPr="00BE2013">
              <w:t>27</w:t>
            </w:r>
          </w:p>
        </w:tc>
      </w:tr>
      <w:tr w:rsidRPr="00BE2013" w:rsidR="00BE2013" w:rsidTr="000521F3" w14:paraId="0260734F" w14:textId="77777777">
        <w:trPr>
          <w:trHeight w:val="584"/>
        </w:trPr>
        <w:tc>
          <w:tcPr>
            <w:tcW w:w="1885" w:type="dxa"/>
            <w:shd w:val="clear" w:color="auto" w:fill="auto"/>
            <w:vAlign w:val="center"/>
          </w:tcPr>
          <w:p w:rsidRPr="00BE2013" w:rsidR="00BE2013" w:rsidP="00BE2013" w:rsidRDefault="00BE2013" w14:paraId="3F40466E" w14:textId="77777777">
            <w:pPr>
              <w:widowControl w:val="0"/>
              <w:tabs>
                <w:tab w:val="left" w:pos="1545"/>
              </w:tabs>
              <w:autoSpaceDE w:val="0"/>
              <w:autoSpaceDN w:val="0"/>
              <w:adjustRightInd w:val="0"/>
              <w:jc w:val="center"/>
            </w:pPr>
            <w:r w:rsidRPr="00BE2013">
              <w:t xml:space="preserve">EI Child Participants </w:t>
            </w:r>
          </w:p>
          <w:p w:rsidRPr="00BE2013" w:rsidR="00BE2013" w:rsidP="00BE2013" w:rsidRDefault="00BE2013" w14:paraId="297CAA65" w14:textId="1FDAC454">
            <w:pPr>
              <w:widowControl w:val="0"/>
              <w:tabs>
                <w:tab w:val="left" w:pos="1545"/>
              </w:tabs>
              <w:autoSpaceDE w:val="0"/>
              <w:autoSpaceDN w:val="0"/>
              <w:adjustRightInd w:val="0"/>
              <w:jc w:val="center"/>
            </w:pPr>
            <w:r w:rsidRPr="00BE2013">
              <w:t>(12 – 17 years of age)</w:t>
            </w:r>
          </w:p>
        </w:tc>
        <w:tc>
          <w:tcPr>
            <w:tcW w:w="1710" w:type="dxa"/>
            <w:shd w:val="clear" w:color="auto" w:fill="auto"/>
            <w:vAlign w:val="center"/>
          </w:tcPr>
          <w:p w:rsidRPr="00BE2013" w:rsidR="00BE2013" w:rsidP="00BE2013" w:rsidRDefault="00BE2013" w14:paraId="2EA1B132" w14:textId="354B4055">
            <w:pPr>
              <w:widowControl w:val="0"/>
              <w:tabs>
                <w:tab w:val="left" w:pos="1545"/>
              </w:tabs>
              <w:autoSpaceDE w:val="0"/>
              <w:autoSpaceDN w:val="0"/>
              <w:adjustRightInd w:val="0"/>
              <w:jc w:val="center"/>
            </w:pPr>
            <w:r w:rsidRPr="00BE2013">
              <w:t>Personal Exposure Questionnaire (Child)</w:t>
            </w:r>
          </w:p>
        </w:tc>
        <w:tc>
          <w:tcPr>
            <w:tcW w:w="1470" w:type="dxa"/>
            <w:shd w:val="clear" w:color="auto" w:fill="auto"/>
            <w:vAlign w:val="center"/>
          </w:tcPr>
          <w:p w:rsidRPr="00BE2013" w:rsidR="00BE2013" w:rsidP="00BE2013" w:rsidRDefault="00BE2013" w14:paraId="0C17901A" w14:textId="5178E7AE">
            <w:pPr>
              <w:widowControl w:val="0"/>
              <w:tabs>
                <w:tab w:val="left" w:pos="1545"/>
              </w:tabs>
              <w:autoSpaceDE w:val="0"/>
              <w:autoSpaceDN w:val="0"/>
              <w:adjustRightInd w:val="0"/>
              <w:jc w:val="center"/>
            </w:pPr>
            <w:r w:rsidRPr="00BE2013">
              <w:t>6</w:t>
            </w:r>
          </w:p>
        </w:tc>
        <w:tc>
          <w:tcPr>
            <w:tcW w:w="1533" w:type="dxa"/>
            <w:shd w:val="clear" w:color="auto" w:fill="auto"/>
            <w:vAlign w:val="center"/>
          </w:tcPr>
          <w:p w:rsidRPr="00BE2013" w:rsidR="00BE2013" w:rsidP="00BE2013" w:rsidRDefault="00BE2013" w14:paraId="7EFFED1D" w14:textId="3914E558">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BE2013" w:rsidP="00BE2013" w:rsidRDefault="00BE2013" w14:paraId="3B38702A" w14:textId="69C9305F">
            <w:pPr>
              <w:widowControl w:val="0"/>
              <w:tabs>
                <w:tab w:val="left" w:pos="1545"/>
              </w:tabs>
              <w:autoSpaceDE w:val="0"/>
              <w:autoSpaceDN w:val="0"/>
              <w:adjustRightInd w:val="0"/>
              <w:jc w:val="center"/>
            </w:pPr>
            <w:r w:rsidRPr="00BE2013">
              <w:t>15/60</w:t>
            </w:r>
          </w:p>
        </w:tc>
        <w:tc>
          <w:tcPr>
            <w:tcW w:w="1534" w:type="dxa"/>
            <w:vAlign w:val="center"/>
          </w:tcPr>
          <w:p w:rsidRPr="00BE2013" w:rsidR="00BE2013" w:rsidP="00BE2013" w:rsidRDefault="00185AD9" w14:paraId="7F33D432" w14:textId="4C209572">
            <w:pPr>
              <w:widowControl w:val="0"/>
              <w:tabs>
                <w:tab w:val="left" w:pos="1545"/>
              </w:tabs>
              <w:autoSpaceDE w:val="0"/>
              <w:autoSpaceDN w:val="0"/>
              <w:adjustRightInd w:val="0"/>
              <w:jc w:val="center"/>
            </w:pPr>
            <w:r>
              <w:t>2</w:t>
            </w:r>
          </w:p>
        </w:tc>
      </w:tr>
      <w:tr w:rsidRPr="00BE2013" w:rsidR="00BE2013" w:rsidTr="00BC761E" w14:paraId="26CA5D62" w14:textId="77777777">
        <w:trPr>
          <w:trHeight w:val="1250"/>
        </w:trPr>
        <w:tc>
          <w:tcPr>
            <w:tcW w:w="1885" w:type="dxa"/>
            <w:shd w:val="clear" w:color="auto" w:fill="auto"/>
            <w:vAlign w:val="center"/>
          </w:tcPr>
          <w:p w:rsidRPr="00BE2013" w:rsidR="00BE2013" w:rsidP="00BE2013" w:rsidRDefault="00BE2013" w14:paraId="4CEE00DC" w14:textId="5ACE41CE">
            <w:pPr>
              <w:widowControl w:val="0"/>
              <w:tabs>
                <w:tab w:val="left" w:pos="1545"/>
              </w:tabs>
              <w:autoSpaceDE w:val="0"/>
              <w:autoSpaceDN w:val="0"/>
              <w:adjustRightInd w:val="0"/>
              <w:jc w:val="center"/>
            </w:pPr>
            <w:r w:rsidRPr="00BE2013">
              <w:t>Parents of EI Child Participants (less than 12 years of age)</w:t>
            </w:r>
          </w:p>
        </w:tc>
        <w:tc>
          <w:tcPr>
            <w:tcW w:w="1710" w:type="dxa"/>
            <w:shd w:val="clear" w:color="auto" w:fill="auto"/>
            <w:vAlign w:val="center"/>
          </w:tcPr>
          <w:p w:rsidRPr="00BE2013" w:rsidR="00BE2013" w:rsidP="00BE2013" w:rsidRDefault="00BE2013" w14:paraId="61A3D37C" w14:textId="54ED0478">
            <w:pPr>
              <w:widowControl w:val="0"/>
              <w:tabs>
                <w:tab w:val="left" w:pos="1545"/>
              </w:tabs>
              <w:autoSpaceDE w:val="0"/>
              <w:autoSpaceDN w:val="0"/>
              <w:adjustRightInd w:val="0"/>
              <w:jc w:val="center"/>
            </w:pPr>
            <w:r w:rsidRPr="00BE2013">
              <w:t>Personal Exposure Questionnaire (Child)</w:t>
            </w:r>
          </w:p>
        </w:tc>
        <w:tc>
          <w:tcPr>
            <w:tcW w:w="1470" w:type="dxa"/>
            <w:shd w:val="clear" w:color="auto" w:fill="auto"/>
            <w:vAlign w:val="center"/>
          </w:tcPr>
          <w:p w:rsidRPr="00BE2013" w:rsidR="00BE2013" w:rsidP="00BE2013" w:rsidRDefault="00BE2013" w14:paraId="64F51489" w14:textId="23D14DDB">
            <w:pPr>
              <w:widowControl w:val="0"/>
              <w:tabs>
                <w:tab w:val="left" w:pos="1545"/>
              </w:tabs>
              <w:autoSpaceDE w:val="0"/>
              <w:autoSpaceDN w:val="0"/>
              <w:adjustRightInd w:val="0"/>
              <w:jc w:val="center"/>
            </w:pPr>
            <w:r w:rsidRPr="00BE2013">
              <w:t>6</w:t>
            </w:r>
          </w:p>
        </w:tc>
        <w:tc>
          <w:tcPr>
            <w:tcW w:w="1533" w:type="dxa"/>
            <w:shd w:val="clear" w:color="auto" w:fill="auto"/>
            <w:vAlign w:val="center"/>
          </w:tcPr>
          <w:p w:rsidRPr="00BE2013" w:rsidR="00BE2013" w:rsidP="00BE2013" w:rsidRDefault="00BE2013" w14:paraId="2921B977" w14:textId="302E059A">
            <w:pPr>
              <w:widowControl w:val="0"/>
              <w:tabs>
                <w:tab w:val="left" w:pos="1545"/>
              </w:tabs>
              <w:autoSpaceDE w:val="0"/>
              <w:autoSpaceDN w:val="0"/>
              <w:adjustRightInd w:val="0"/>
              <w:jc w:val="center"/>
            </w:pPr>
            <w:r w:rsidRPr="00BE2013">
              <w:t>1</w:t>
            </w:r>
          </w:p>
        </w:tc>
        <w:tc>
          <w:tcPr>
            <w:tcW w:w="1534" w:type="dxa"/>
            <w:shd w:val="clear" w:color="auto" w:fill="auto"/>
            <w:vAlign w:val="center"/>
          </w:tcPr>
          <w:p w:rsidRPr="00BE2013" w:rsidR="00BE2013" w:rsidP="00BE2013" w:rsidRDefault="00BE2013" w14:paraId="0DD4E113" w14:textId="4F9C9604">
            <w:pPr>
              <w:widowControl w:val="0"/>
              <w:tabs>
                <w:tab w:val="left" w:pos="1545"/>
              </w:tabs>
              <w:autoSpaceDE w:val="0"/>
              <w:autoSpaceDN w:val="0"/>
              <w:adjustRightInd w:val="0"/>
              <w:jc w:val="center"/>
            </w:pPr>
            <w:r w:rsidRPr="00BE2013">
              <w:t>15/60</w:t>
            </w:r>
          </w:p>
        </w:tc>
        <w:tc>
          <w:tcPr>
            <w:tcW w:w="1534" w:type="dxa"/>
            <w:vAlign w:val="center"/>
          </w:tcPr>
          <w:p w:rsidRPr="00BE2013" w:rsidR="00BE2013" w:rsidP="00BE2013" w:rsidRDefault="00185AD9" w14:paraId="3ACB5D62" w14:textId="19120684">
            <w:pPr>
              <w:widowControl w:val="0"/>
              <w:tabs>
                <w:tab w:val="left" w:pos="1545"/>
              </w:tabs>
              <w:autoSpaceDE w:val="0"/>
              <w:autoSpaceDN w:val="0"/>
              <w:adjustRightInd w:val="0"/>
              <w:jc w:val="center"/>
            </w:pPr>
            <w:r>
              <w:t>2</w:t>
            </w:r>
          </w:p>
        </w:tc>
      </w:tr>
      <w:tr w:rsidRPr="00BE2013" w:rsidR="00BE2013" w:rsidTr="00BC761E" w14:paraId="7954B382" w14:textId="77777777">
        <w:trPr>
          <w:trHeight w:val="134"/>
        </w:trPr>
        <w:tc>
          <w:tcPr>
            <w:tcW w:w="1885" w:type="dxa"/>
            <w:shd w:val="clear" w:color="auto" w:fill="auto"/>
            <w:vAlign w:val="center"/>
          </w:tcPr>
          <w:p w:rsidRPr="00BE2013" w:rsidR="00BE2013" w:rsidP="00BE2013" w:rsidRDefault="00BE2013" w14:paraId="6C017B04" w14:textId="41778ABF">
            <w:pPr>
              <w:widowControl w:val="0"/>
              <w:tabs>
                <w:tab w:val="left" w:pos="1545"/>
              </w:tabs>
              <w:autoSpaceDE w:val="0"/>
              <w:autoSpaceDN w:val="0"/>
              <w:adjustRightInd w:val="0"/>
              <w:jc w:val="center"/>
            </w:pPr>
            <w:r w:rsidRPr="00BE2013">
              <w:t>Total</w:t>
            </w:r>
          </w:p>
        </w:tc>
        <w:tc>
          <w:tcPr>
            <w:tcW w:w="1710" w:type="dxa"/>
            <w:shd w:val="clear" w:color="auto" w:fill="auto"/>
            <w:vAlign w:val="center"/>
          </w:tcPr>
          <w:p w:rsidRPr="00BE2013" w:rsidR="00BE2013" w:rsidP="00BE2013" w:rsidRDefault="00BE2013" w14:paraId="0FD93CD2" w14:textId="77777777">
            <w:pPr>
              <w:widowControl w:val="0"/>
              <w:tabs>
                <w:tab w:val="left" w:pos="1545"/>
              </w:tabs>
              <w:autoSpaceDE w:val="0"/>
              <w:autoSpaceDN w:val="0"/>
              <w:adjustRightInd w:val="0"/>
              <w:jc w:val="center"/>
            </w:pPr>
          </w:p>
        </w:tc>
        <w:tc>
          <w:tcPr>
            <w:tcW w:w="1470" w:type="dxa"/>
            <w:shd w:val="clear" w:color="auto" w:fill="auto"/>
            <w:vAlign w:val="center"/>
          </w:tcPr>
          <w:p w:rsidRPr="00BE2013" w:rsidR="00BE2013" w:rsidP="00BE2013" w:rsidRDefault="00BE2013" w14:paraId="1BFF06C1" w14:textId="77777777">
            <w:pPr>
              <w:widowControl w:val="0"/>
              <w:tabs>
                <w:tab w:val="left" w:pos="1545"/>
              </w:tabs>
              <w:autoSpaceDE w:val="0"/>
              <w:autoSpaceDN w:val="0"/>
              <w:adjustRightInd w:val="0"/>
              <w:jc w:val="center"/>
            </w:pPr>
          </w:p>
        </w:tc>
        <w:tc>
          <w:tcPr>
            <w:tcW w:w="1533" w:type="dxa"/>
            <w:shd w:val="clear" w:color="auto" w:fill="auto"/>
            <w:vAlign w:val="center"/>
          </w:tcPr>
          <w:p w:rsidRPr="00BE2013" w:rsidR="00BE2013" w:rsidP="00BE2013" w:rsidRDefault="00BE2013" w14:paraId="21B2D203" w14:textId="77777777">
            <w:pPr>
              <w:widowControl w:val="0"/>
              <w:tabs>
                <w:tab w:val="left" w:pos="1545"/>
              </w:tabs>
              <w:autoSpaceDE w:val="0"/>
              <w:autoSpaceDN w:val="0"/>
              <w:adjustRightInd w:val="0"/>
              <w:jc w:val="center"/>
            </w:pPr>
          </w:p>
        </w:tc>
        <w:tc>
          <w:tcPr>
            <w:tcW w:w="1534" w:type="dxa"/>
            <w:shd w:val="clear" w:color="auto" w:fill="auto"/>
            <w:vAlign w:val="center"/>
          </w:tcPr>
          <w:p w:rsidRPr="00BE2013" w:rsidR="00BE2013" w:rsidP="00BE2013" w:rsidRDefault="00BE2013" w14:paraId="642F83E5" w14:textId="77777777">
            <w:pPr>
              <w:widowControl w:val="0"/>
              <w:tabs>
                <w:tab w:val="left" w:pos="1545"/>
              </w:tabs>
              <w:autoSpaceDE w:val="0"/>
              <w:autoSpaceDN w:val="0"/>
              <w:adjustRightInd w:val="0"/>
              <w:jc w:val="center"/>
            </w:pPr>
          </w:p>
        </w:tc>
        <w:tc>
          <w:tcPr>
            <w:tcW w:w="1534" w:type="dxa"/>
            <w:vAlign w:val="center"/>
          </w:tcPr>
          <w:p w:rsidRPr="00BE2013" w:rsidR="00BE2013" w:rsidP="00BE2013" w:rsidRDefault="00BE2013" w14:paraId="0DE3DAFC" w14:textId="012D45E9">
            <w:pPr>
              <w:widowControl w:val="0"/>
              <w:tabs>
                <w:tab w:val="left" w:pos="1545"/>
              </w:tabs>
              <w:autoSpaceDE w:val="0"/>
              <w:autoSpaceDN w:val="0"/>
              <w:adjustRightInd w:val="0"/>
              <w:jc w:val="center"/>
            </w:pPr>
            <w:r w:rsidRPr="00BE2013">
              <w:t>35</w:t>
            </w:r>
            <w:r w:rsidR="00185AD9">
              <w:t>1</w:t>
            </w:r>
          </w:p>
        </w:tc>
      </w:tr>
    </w:tbl>
    <w:p w:rsidRPr="00CA1072" w:rsidR="00F4473C" w:rsidP="007F446A" w:rsidRDefault="00F4473C" w14:paraId="4EECBB5C" w14:textId="77777777">
      <w:pPr>
        <w:pStyle w:val="Heading2"/>
        <w:rPr>
          <w:rFonts w:ascii="Times New Roman" w:hAnsi="Times New Roman" w:cs="Times New Roman"/>
          <w:color w:val="4F81BD"/>
          <w:sz w:val="24"/>
        </w:rPr>
      </w:pPr>
      <w:bookmarkStart w:name="_Toc306344157" w:id="100"/>
      <w:bookmarkStart w:name="_Toc306344798" w:id="101"/>
      <w:bookmarkStart w:name="_Toc306345039" w:id="102"/>
      <w:bookmarkStart w:name="_Toc311445508" w:id="103"/>
      <w:bookmarkEnd w:id="95"/>
      <w:bookmarkEnd w:id="96"/>
      <w:bookmarkEnd w:id="97"/>
      <w:bookmarkEnd w:id="98"/>
      <w:bookmarkEnd w:id="99"/>
    </w:p>
    <w:p w:rsidRPr="0094069A" w:rsidR="006653AB" w:rsidP="00B60A40" w:rsidRDefault="00B60A40" w14:paraId="6ADC9A5A" w14:textId="77777777">
      <w:pPr>
        <w:pStyle w:val="Heading3"/>
      </w:pPr>
      <w:bookmarkStart w:name="_Toc76650796" w:id="104"/>
      <w:r>
        <w:t>A.12.2.</w:t>
      </w:r>
      <w:r w:rsidRPr="0094069A" w:rsidR="006653AB">
        <w:t xml:space="preserve"> Annualized Cost to Respondents</w:t>
      </w:r>
      <w:bookmarkEnd w:id="104"/>
    </w:p>
    <w:p w:rsidR="006653AB" w:rsidP="006653AB" w:rsidRDefault="006653AB" w14:paraId="2C1A580C" w14:textId="77777777">
      <w:pPr>
        <w:tabs>
          <w:tab w:val="center" w:pos="4680"/>
          <w:tab w:val="left" w:pos="7710"/>
        </w:tabs>
        <w:rPr>
          <w:b/>
        </w:rPr>
      </w:pPr>
    </w:p>
    <w:p w:rsidRPr="00852761" w:rsidR="006653AB" w:rsidP="00D94910" w:rsidRDefault="006653AB" w14:paraId="09B086D3" w14:textId="589E5CF8">
      <w:pPr>
        <w:tabs>
          <w:tab w:val="center" w:pos="4680"/>
          <w:tab w:val="left" w:pos="7710"/>
        </w:tabs>
        <w:spacing w:line="276" w:lineRule="auto"/>
      </w:pPr>
      <w:r>
        <w:t xml:space="preserve">Using a </w:t>
      </w:r>
      <w:r w:rsidR="009461EA">
        <w:t xml:space="preserve">mean hourly </w:t>
      </w:r>
      <w:r>
        <w:t>rate of $</w:t>
      </w:r>
      <w:r w:rsidR="00852761">
        <w:t>27.07</w:t>
      </w:r>
      <w:r>
        <w:rPr>
          <w:color w:val="000000"/>
        </w:rPr>
        <w:t>/hr</w:t>
      </w:r>
      <w:r w:rsidR="008568F6">
        <w:rPr>
          <w:color w:val="000000"/>
        </w:rPr>
        <w:t>.</w:t>
      </w:r>
      <w:r w:rsidR="0080499C">
        <w:rPr>
          <w:color w:val="000000"/>
        </w:rPr>
        <w:t xml:space="preserve"> for all occupations</w:t>
      </w:r>
      <w:r>
        <w:rPr>
          <w:color w:val="000000"/>
        </w:rPr>
        <w:t>,</w:t>
      </w:r>
      <w:r>
        <w:t xml:space="preserve"> the annualized cost to respondents for the hour burdens for the collection of information is</w:t>
      </w:r>
      <w:r w:rsidR="002D7492">
        <w:t xml:space="preserve"> </w:t>
      </w:r>
      <w:r w:rsidRPr="002D7492" w:rsidR="002D7492">
        <w:t>$</w:t>
      </w:r>
      <w:r w:rsidR="00230A57">
        <w:t>9,</w:t>
      </w:r>
      <w:r w:rsidR="00AE6427">
        <w:t>4</w:t>
      </w:r>
      <w:r w:rsidR="008568F6">
        <w:t>44.77</w:t>
      </w:r>
      <w:r w:rsidR="00230A57">
        <w:t xml:space="preserve">. </w:t>
      </w:r>
      <w:r>
        <w:t xml:space="preserve"> The hourly wage rate is based on the U.S. Department of Labor, Bureau of Labor Statistics’ most current statistics [</w:t>
      </w:r>
      <w:r w:rsidR="00A43880">
        <w:t xml:space="preserve">May </w:t>
      </w:r>
      <w:r w:rsidR="005D7E81">
        <w:t>20</w:t>
      </w:r>
      <w:r w:rsidR="00852761">
        <w:t>20</w:t>
      </w:r>
      <w:r w:rsidR="005D7E81">
        <w:t xml:space="preserve"> </w:t>
      </w:r>
      <w:r>
        <w:t>National Occupational Employment and Wage Estimates United States,</w:t>
      </w:r>
      <w:r w:rsidR="009461EA">
        <w:t xml:space="preserve"> </w:t>
      </w:r>
      <w:hyperlink w:history="1" w:anchor="00-0000" r:id="rId14">
        <w:r w:rsidRPr="00CA463B" w:rsidR="00DA1344">
          <w:rPr>
            <w:rStyle w:val="Hyperlink"/>
          </w:rPr>
          <w:t>http://www.bls.gov/oes/current/oes_nat.htm#00-0000</w:t>
        </w:r>
      </w:hyperlink>
      <w:r w:rsidR="00DA1344">
        <w:t xml:space="preserve"> </w:t>
      </w:r>
      <w:r>
        <w:t>].</w:t>
      </w:r>
      <w:r w:rsidRPr="00852761" w:rsidR="00852761">
        <w:t xml:space="preserve"> </w:t>
      </w:r>
      <w:r w:rsidR="00852761">
        <w:t>The hourly wage rate for children is assumed to be the US minimum wage rate of $7.25 set by the Department of Labor in 20</w:t>
      </w:r>
      <w:r w:rsidR="00DA1344">
        <w:t>0</w:t>
      </w:r>
      <w:r w:rsidR="00852761">
        <w:t>9 (</w:t>
      </w:r>
      <w:hyperlink w:history="1" r:id="rId15">
        <w:r w:rsidRPr="006E0AFF" w:rsidR="00852761">
          <w:rPr>
            <w:rStyle w:val="Hyperlink"/>
          </w:rPr>
          <w:t>https://www.dol.gov/general/topic/wages/minimumwage</w:t>
        </w:r>
      </w:hyperlink>
      <w:r w:rsidR="00852761">
        <w:t>)</w:t>
      </w:r>
      <w:r w:rsidRPr="00852761" w:rsidR="00852761">
        <w:t xml:space="preserve"> </w:t>
      </w:r>
    </w:p>
    <w:p w:rsidR="006653AB" w:rsidP="006653AB" w:rsidRDefault="006653AB" w14:paraId="5431048C" w14:textId="77777777">
      <w:pPr>
        <w:tabs>
          <w:tab w:val="center" w:pos="4680"/>
          <w:tab w:val="left" w:pos="7710"/>
        </w:tabs>
        <w:rPr>
          <w:color w:val="FF0000"/>
        </w:rPr>
      </w:pPr>
    </w:p>
    <w:p w:rsidR="006653AB" w:rsidP="006653AB" w:rsidRDefault="006653AB" w14:paraId="77885C07" w14:textId="0FB5D299">
      <w:pPr>
        <w:tabs>
          <w:tab w:val="center" w:pos="4680"/>
          <w:tab w:val="left" w:pos="7710"/>
        </w:tabs>
        <w:rPr>
          <w:u w:val="single"/>
        </w:rPr>
      </w:pPr>
      <w:r w:rsidRPr="003D5701">
        <w:rPr>
          <w:color w:val="000000"/>
          <w:u w:val="single"/>
        </w:rPr>
        <w:t xml:space="preserve">Estimated Annualized </w:t>
      </w:r>
      <w:r w:rsidRPr="003D5701">
        <w:rPr>
          <w:u w:val="single"/>
        </w:rPr>
        <w:t>Burden Costs</w:t>
      </w:r>
    </w:p>
    <w:p w:rsidRPr="003D5701" w:rsidR="00F97A36" w:rsidP="006653AB" w:rsidRDefault="00F97A36" w14:paraId="4D5D0116" w14:textId="77777777">
      <w:pPr>
        <w:tabs>
          <w:tab w:val="center" w:pos="4680"/>
          <w:tab w:val="left" w:pos="7710"/>
        </w:tabs>
        <w:rPr>
          <w:u w:val="single"/>
        </w:rPr>
      </w:pPr>
    </w:p>
    <w:tbl>
      <w:tblPr>
        <w:tblW w:w="9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1701"/>
        <w:gridCol w:w="937"/>
        <w:gridCol w:w="938"/>
        <w:gridCol w:w="938"/>
        <w:gridCol w:w="938"/>
        <w:gridCol w:w="938"/>
        <w:gridCol w:w="1368"/>
      </w:tblGrid>
      <w:tr w:rsidRPr="00A5763A" w:rsidR="007D48C5" w:rsidTr="00C226AD" w14:paraId="7576C158" w14:textId="30072FB5">
        <w:trPr>
          <w:trHeight w:val="350"/>
        </w:trPr>
        <w:tc>
          <w:tcPr>
            <w:tcW w:w="1885" w:type="dxa"/>
            <w:shd w:val="clear" w:color="auto" w:fill="auto"/>
            <w:vAlign w:val="center"/>
          </w:tcPr>
          <w:p w:rsidRPr="00AE6427" w:rsidR="007D48C5" w:rsidP="00F2610D" w:rsidRDefault="007D48C5" w14:paraId="0C6383BA" w14:textId="77777777">
            <w:pPr>
              <w:tabs>
                <w:tab w:val="left" w:pos="1545"/>
              </w:tabs>
              <w:jc w:val="center"/>
              <w:rPr>
                <w:sz w:val="22"/>
                <w:szCs w:val="22"/>
              </w:rPr>
            </w:pPr>
            <w:r w:rsidRPr="00AE6427">
              <w:rPr>
                <w:sz w:val="22"/>
                <w:szCs w:val="22"/>
              </w:rPr>
              <w:t>Type of Respondents</w:t>
            </w:r>
          </w:p>
        </w:tc>
        <w:tc>
          <w:tcPr>
            <w:tcW w:w="1701" w:type="dxa"/>
            <w:shd w:val="clear" w:color="auto" w:fill="auto"/>
            <w:vAlign w:val="center"/>
          </w:tcPr>
          <w:p w:rsidRPr="00AE6427" w:rsidR="007D48C5" w:rsidP="00F2610D" w:rsidRDefault="007D48C5" w14:paraId="60C13B6E" w14:textId="77777777">
            <w:pPr>
              <w:tabs>
                <w:tab w:val="left" w:pos="1545"/>
              </w:tabs>
              <w:jc w:val="center"/>
              <w:rPr>
                <w:sz w:val="22"/>
                <w:szCs w:val="22"/>
              </w:rPr>
            </w:pPr>
            <w:r w:rsidRPr="00AE6427">
              <w:rPr>
                <w:sz w:val="22"/>
                <w:szCs w:val="22"/>
              </w:rPr>
              <w:t>Name of Form</w:t>
            </w:r>
          </w:p>
        </w:tc>
        <w:tc>
          <w:tcPr>
            <w:tcW w:w="937" w:type="dxa"/>
            <w:shd w:val="clear" w:color="auto" w:fill="auto"/>
            <w:vAlign w:val="center"/>
          </w:tcPr>
          <w:p w:rsidRPr="00AE6427" w:rsidR="007D48C5" w:rsidP="00F2610D" w:rsidRDefault="007D48C5" w14:paraId="7011C206" w14:textId="77777777">
            <w:pPr>
              <w:widowControl w:val="0"/>
              <w:tabs>
                <w:tab w:val="left" w:pos="1545"/>
              </w:tabs>
              <w:autoSpaceDE w:val="0"/>
              <w:autoSpaceDN w:val="0"/>
              <w:adjustRightInd w:val="0"/>
              <w:jc w:val="center"/>
              <w:rPr>
                <w:sz w:val="22"/>
                <w:szCs w:val="22"/>
              </w:rPr>
            </w:pPr>
            <w:r w:rsidRPr="00AE6427">
              <w:rPr>
                <w:sz w:val="22"/>
                <w:szCs w:val="22"/>
              </w:rPr>
              <w:t>No. of Respondents</w:t>
            </w:r>
          </w:p>
        </w:tc>
        <w:tc>
          <w:tcPr>
            <w:tcW w:w="938" w:type="dxa"/>
            <w:shd w:val="clear" w:color="auto" w:fill="auto"/>
            <w:vAlign w:val="center"/>
          </w:tcPr>
          <w:p w:rsidRPr="00AE6427" w:rsidR="007D48C5" w:rsidP="00F2610D" w:rsidRDefault="007D48C5" w14:paraId="744D62ED" w14:textId="77777777">
            <w:pPr>
              <w:widowControl w:val="0"/>
              <w:tabs>
                <w:tab w:val="left" w:pos="1545"/>
              </w:tabs>
              <w:autoSpaceDE w:val="0"/>
              <w:autoSpaceDN w:val="0"/>
              <w:adjustRightInd w:val="0"/>
              <w:jc w:val="center"/>
              <w:rPr>
                <w:sz w:val="22"/>
                <w:szCs w:val="22"/>
              </w:rPr>
            </w:pPr>
            <w:r w:rsidRPr="00AE6427">
              <w:rPr>
                <w:sz w:val="22"/>
                <w:szCs w:val="22"/>
              </w:rPr>
              <w:t>No. of Responses per Respondent</w:t>
            </w:r>
          </w:p>
        </w:tc>
        <w:tc>
          <w:tcPr>
            <w:tcW w:w="938" w:type="dxa"/>
            <w:shd w:val="clear" w:color="auto" w:fill="auto"/>
            <w:vAlign w:val="center"/>
          </w:tcPr>
          <w:p w:rsidRPr="00AE6427" w:rsidR="007D48C5" w:rsidP="00F2610D" w:rsidRDefault="007D48C5" w14:paraId="57D91CF3" w14:textId="3A20EEA8">
            <w:pPr>
              <w:widowControl w:val="0"/>
              <w:tabs>
                <w:tab w:val="left" w:pos="1545"/>
              </w:tabs>
              <w:autoSpaceDE w:val="0"/>
              <w:autoSpaceDN w:val="0"/>
              <w:adjustRightInd w:val="0"/>
              <w:jc w:val="center"/>
              <w:rPr>
                <w:sz w:val="22"/>
                <w:szCs w:val="22"/>
              </w:rPr>
            </w:pPr>
            <w:r w:rsidRPr="00AE6427">
              <w:rPr>
                <w:sz w:val="22"/>
                <w:szCs w:val="22"/>
              </w:rPr>
              <w:t>Average Burden per Response</w:t>
            </w:r>
          </w:p>
          <w:p w:rsidRPr="00AE6427" w:rsidR="007D48C5" w:rsidP="00F2610D" w:rsidRDefault="007D48C5" w14:paraId="3F38840C" w14:textId="77777777">
            <w:pPr>
              <w:widowControl w:val="0"/>
              <w:tabs>
                <w:tab w:val="left" w:pos="1545"/>
              </w:tabs>
              <w:autoSpaceDE w:val="0"/>
              <w:autoSpaceDN w:val="0"/>
              <w:adjustRightInd w:val="0"/>
              <w:jc w:val="center"/>
              <w:rPr>
                <w:sz w:val="22"/>
                <w:szCs w:val="22"/>
              </w:rPr>
            </w:pPr>
            <w:r w:rsidRPr="00AE6427">
              <w:rPr>
                <w:sz w:val="22"/>
                <w:szCs w:val="22"/>
              </w:rPr>
              <w:t>(</w:t>
            </w:r>
            <w:proofErr w:type="gramStart"/>
            <w:r w:rsidRPr="00AE6427">
              <w:rPr>
                <w:sz w:val="22"/>
                <w:szCs w:val="22"/>
              </w:rPr>
              <w:t>in</w:t>
            </w:r>
            <w:proofErr w:type="gramEnd"/>
            <w:r w:rsidRPr="00AE6427">
              <w:rPr>
                <w:sz w:val="22"/>
                <w:szCs w:val="22"/>
              </w:rPr>
              <w:t xml:space="preserve"> hours)</w:t>
            </w:r>
          </w:p>
        </w:tc>
        <w:tc>
          <w:tcPr>
            <w:tcW w:w="938" w:type="dxa"/>
            <w:vAlign w:val="center"/>
          </w:tcPr>
          <w:p w:rsidRPr="00AE6427" w:rsidR="007D48C5" w:rsidP="00F2610D" w:rsidRDefault="007D48C5" w14:paraId="762E9E2B" w14:textId="77777777">
            <w:pPr>
              <w:widowControl w:val="0"/>
              <w:tabs>
                <w:tab w:val="left" w:pos="1545"/>
              </w:tabs>
              <w:autoSpaceDE w:val="0"/>
              <w:autoSpaceDN w:val="0"/>
              <w:adjustRightInd w:val="0"/>
              <w:jc w:val="center"/>
              <w:rPr>
                <w:sz w:val="22"/>
                <w:szCs w:val="22"/>
              </w:rPr>
            </w:pPr>
            <w:r w:rsidRPr="00AE6427">
              <w:rPr>
                <w:sz w:val="22"/>
                <w:szCs w:val="22"/>
              </w:rPr>
              <w:t>Total Burden (In Hours)</w:t>
            </w:r>
          </w:p>
        </w:tc>
        <w:tc>
          <w:tcPr>
            <w:tcW w:w="938" w:type="dxa"/>
            <w:vAlign w:val="center"/>
          </w:tcPr>
          <w:p w:rsidRPr="00AE6427" w:rsidR="007D48C5" w:rsidP="00F2610D" w:rsidRDefault="007D48C5" w14:paraId="5B0648F4" w14:textId="0B1A45AB">
            <w:pPr>
              <w:widowControl w:val="0"/>
              <w:tabs>
                <w:tab w:val="left" w:pos="1545"/>
              </w:tabs>
              <w:autoSpaceDE w:val="0"/>
              <w:autoSpaceDN w:val="0"/>
              <w:adjustRightInd w:val="0"/>
              <w:jc w:val="center"/>
              <w:rPr>
                <w:sz w:val="22"/>
                <w:szCs w:val="22"/>
              </w:rPr>
            </w:pPr>
            <w:r w:rsidRPr="00AE6427">
              <w:rPr>
                <w:sz w:val="22"/>
                <w:szCs w:val="22"/>
              </w:rPr>
              <w:t>Hourly Wage Rate</w:t>
            </w:r>
          </w:p>
        </w:tc>
        <w:tc>
          <w:tcPr>
            <w:tcW w:w="1368" w:type="dxa"/>
            <w:vAlign w:val="center"/>
          </w:tcPr>
          <w:p w:rsidRPr="00AE6427" w:rsidR="007D48C5" w:rsidP="00F2610D" w:rsidRDefault="007D48C5" w14:paraId="1EBE0E78" w14:textId="080BC1D5">
            <w:pPr>
              <w:widowControl w:val="0"/>
              <w:tabs>
                <w:tab w:val="left" w:pos="1545"/>
              </w:tabs>
              <w:autoSpaceDE w:val="0"/>
              <w:autoSpaceDN w:val="0"/>
              <w:adjustRightInd w:val="0"/>
              <w:jc w:val="center"/>
              <w:rPr>
                <w:sz w:val="22"/>
                <w:szCs w:val="22"/>
              </w:rPr>
            </w:pPr>
            <w:r w:rsidRPr="00AE6427">
              <w:rPr>
                <w:sz w:val="22"/>
                <w:szCs w:val="22"/>
              </w:rPr>
              <w:t>Total Respondent Costs</w:t>
            </w:r>
          </w:p>
        </w:tc>
      </w:tr>
      <w:tr w:rsidRPr="00A5763A" w:rsidR="007D48C5" w:rsidTr="00C226AD" w14:paraId="2AE65CD9" w14:textId="7C3DD1A7">
        <w:trPr>
          <w:trHeight w:val="1061"/>
        </w:trPr>
        <w:tc>
          <w:tcPr>
            <w:tcW w:w="1885" w:type="dxa"/>
            <w:shd w:val="clear" w:color="auto" w:fill="auto"/>
            <w:vAlign w:val="center"/>
          </w:tcPr>
          <w:p w:rsidRPr="00AE6427" w:rsidR="007D48C5" w:rsidP="007D48C5" w:rsidRDefault="007D48C5" w14:paraId="67E43232" w14:textId="77777777">
            <w:pPr>
              <w:widowControl w:val="0"/>
              <w:tabs>
                <w:tab w:val="left" w:pos="1545"/>
              </w:tabs>
              <w:autoSpaceDE w:val="0"/>
              <w:autoSpaceDN w:val="0"/>
              <w:adjustRightInd w:val="0"/>
              <w:jc w:val="center"/>
            </w:pPr>
            <w:r w:rsidRPr="00AE6427">
              <w:t xml:space="preserve">EI Adult Participants making appointment </w:t>
            </w:r>
          </w:p>
        </w:tc>
        <w:tc>
          <w:tcPr>
            <w:tcW w:w="1701" w:type="dxa"/>
            <w:shd w:val="clear" w:color="auto" w:fill="auto"/>
            <w:vAlign w:val="center"/>
          </w:tcPr>
          <w:p w:rsidRPr="00AE6427" w:rsidR="007D48C5" w:rsidP="007D48C5" w:rsidRDefault="007D48C5" w14:paraId="3866914A" w14:textId="684C9F61">
            <w:pPr>
              <w:widowControl w:val="0"/>
              <w:tabs>
                <w:tab w:val="left" w:pos="1545"/>
              </w:tabs>
              <w:autoSpaceDE w:val="0"/>
              <w:autoSpaceDN w:val="0"/>
              <w:adjustRightInd w:val="0"/>
              <w:jc w:val="center"/>
            </w:pPr>
            <w:r w:rsidRPr="00AE6427">
              <w:t xml:space="preserve">Household Recruitment Script </w:t>
            </w:r>
          </w:p>
        </w:tc>
        <w:tc>
          <w:tcPr>
            <w:tcW w:w="937" w:type="dxa"/>
            <w:shd w:val="clear" w:color="auto" w:fill="auto"/>
            <w:vAlign w:val="center"/>
          </w:tcPr>
          <w:p w:rsidRPr="00185AD9" w:rsidR="007D48C5" w:rsidP="007D48C5" w:rsidRDefault="007D48C5" w14:paraId="51E097A7" w14:textId="77777777">
            <w:pPr>
              <w:widowControl w:val="0"/>
              <w:tabs>
                <w:tab w:val="left" w:pos="1545"/>
              </w:tabs>
              <w:autoSpaceDE w:val="0"/>
              <w:autoSpaceDN w:val="0"/>
              <w:adjustRightInd w:val="0"/>
              <w:jc w:val="center"/>
            </w:pPr>
            <w:r w:rsidRPr="00185AD9">
              <w:t>120</w:t>
            </w:r>
          </w:p>
        </w:tc>
        <w:tc>
          <w:tcPr>
            <w:tcW w:w="938" w:type="dxa"/>
            <w:shd w:val="clear" w:color="auto" w:fill="auto"/>
            <w:vAlign w:val="center"/>
          </w:tcPr>
          <w:p w:rsidRPr="00185AD9" w:rsidR="007D48C5" w:rsidP="007D48C5" w:rsidRDefault="007D48C5" w14:paraId="3026BE5B" w14:textId="77777777">
            <w:pPr>
              <w:widowControl w:val="0"/>
              <w:tabs>
                <w:tab w:val="left" w:pos="1545"/>
              </w:tabs>
              <w:autoSpaceDE w:val="0"/>
              <w:autoSpaceDN w:val="0"/>
              <w:adjustRightInd w:val="0"/>
              <w:jc w:val="center"/>
            </w:pPr>
            <w:r w:rsidRPr="00185AD9">
              <w:t>1</w:t>
            </w:r>
          </w:p>
        </w:tc>
        <w:tc>
          <w:tcPr>
            <w:tcW w:w="938" w:type="dxa"/>
            <w:shd w:val="clear" w:color="auto" w:fill="auto"/>
            <w:vAlign w:val="center"/>
          </w:tcPr>
          <w:p w:rsidRPr="00185AD9" w:rsidR="007D48C5" w:rsidP="007D48C5" w:rsidRDefault="007D48C5" w14:paraId="596176FC" w14:textId="77777777">
            <w:pPr>
              <w:widowControl w:val="0"/>
              <w:tabs>
                <w:tab w:val="left" w:pos="1545"/>
              </w:tabs>
              <w:autoSpaceDE w:val="0"/>
              <w:autoSpaceDN w:val="0"/>
              <w:adjustRightInd w:val="0"/>
              <w:jc w:val="center"/>
            </w:pPr>
            <w:r w:rsidRPr="00185AD9">
              <w:t>10/60</w:t>
            </w:r>
          </w:p>
        </w:tc>
        <w:tc>
          <w:tcPr>
            <w:tcW w:w="938" w:type="dxa"/>
            <w:vAlign w:val="center"/>
          </w:tcPr>
          <w:p w:rsidRPr="00185AD9" w:rsidR="007D48C5" w:rsidP="007D48C5" w:rsidRDefault="007D48C5" w14:paraId="0B1E77CB" w14:textId="77777777">
            <w:pPr>
              <w:widowControl w:val="0"/>
              <w:tabs>
                <w:tab w:val="left" w:pos="1545"/>
              </w:tabs>
              <w:autoSpaceDE w:val="0"/>
              <w:autoSpaceDN w:val="0"/>
              <w:adjustRightInd w:val="0"/>
              <w:jc w:val="center"/>
            </w:pPr>
            <w:r w:rsidRPr="00185AD9">
              <w:t>20</w:t>
            </w:r>
          </w:p>
        </w:tc>
        <w:tc>
          <w:tcPr>
            <w:tcW w:w="938" w:type="dxa"/>
            <w:vAlign w:val="center"/>
          </w:tcPr>
          <w:p w:rsidRPr="00185AD9" w:rsidR="007D48C5" w:rsidP="002368D5" w:rsidRDefault="002368D5" w14:paraId="244A1157" w14:textId="51F96961">
            <w:pPr>
              <w:widowControl w:val="0"/>
              <w:tabs>
                <w:tab w:val="left" w:pos="1545"/>
              </w:tabs>
              <w:autoSpaceDE w:val="0"/>
              <w:autoSpaceDN w:val="0"/>
              <w:adjustRightInd w:val="0"/>
              <w:jc w:val="center"/>
            </w:pPr>
            <w:r w:rsidRPr="00185AD9">
              <w:t>$27.07</w:t>
            </w:r>
          </w:p>
        </w:tc>
        <w:tc>
          <w:tcPr>
            <w:tcW w:w="1368" w:type="dxa"/>
            <w:vAlign w:val="center"/>
          </w:tcPr>
          <w:p w:rsidRPr="00185AD9" w:rsidR="007D48C5" w:rsidP="002368D5" w:rsidRDefault="002368D5" w14:paraId="6AA0FF7B" w14:textId="6B6ED017">
            <w:pPr>
              <w:widowControl w:val="0"/>
              <w:tabs>
                <w:tab w:val="left" w:pos="1545"/>
              </w:tabs>
              <w:autoSpaceDE w:val="0"/>
              <w:autoSpaceDN w:val="0"/>
              <w:adjustRightInd w:val="0"/>
              <w:jc w:val="center"/>
            </w:pPr>
            <w:r w:rsidRPr="00185AD9">
              <w:t>$541.40</w:t>
            </w:r>
          </w:p>
        </w:tc>
      </w:tr>
      <w:tr w:rsidRPr="00A5763A" w:rsidR="00185AD9" w:rsidTr="00C226AD" w14:paraId="45354863" w14:textId="7A669A2A">
        <w:trPr>
          <w:trHeight w:val="602"/>
        </w:trPr>
        <w:tc>
          <w:tcPr>
            <w:tcW w:w="1885" w:type="dxa"/>
            <w:vMerge w:val="restart"/>
            <w:shd w:val="clear" w:color="auto" w:fill="auto"/>
            <w:vAlign w:val="center"/>
          </w:tcPr>
          <w:p w:rsidR="0080499C" w:rsidP="0080499C" w:rsidRDefault="0080499C" w14:paraId="646B34CD" w14:textId="77777777">
            <w:pPr>
              <w:widowControl w:val="0"/>
              <w:tabs>
                <w:tab w:val="left" w:pos="1545"/>
              </w:tabs>
              <w:autoSpaceDE w:val="0"/>
              <w:autoSpaceDN w:val="0"/>
              <w:adjustRightInd w:val="0"/>
              <w:jc w:val="center"/>
            </w:pPr>
            <w:r w:rsidRPr="00BE2013">
              <w:t xml:space="preserve">EI Adult Participants – signing consent for </w:t>
            </w:r>
            <w:r>
              <w:t xml:space="preserve">self and household </w:t>
            </w:r>
            <w:r w:rsidRPr="00BE2013">
              <w:t>sampling</w:t>
            </w:r>
            <w:r>
              <w:t xml:space="preserve"> </w:t>
            </w:r>
          </w:p>
          <w:p w:rsidRPr="00BC761E" w:rsidR="00185AD9" w:rsidP="0080499C" w:rsidRDefault="0080499C" w14:paraId="4CD74EF5" w14:textId="109AEC1A">
            <w:pPr>
              <w:widowControl w:val="0"/>
              <w:tabs>
                <w:tab w:val="left" w:pos="1545"/>
              </w:tabs>
              <w:autoSpaceDE w:val="0"/>
              <w:autoSpaceDN w:val="0"/>
              <w:adjustRightInd w:val="0"/>
              <w:jc w:val="center"/>
            </w:pPr>
            <w:r>
              <w:t>(</w:t>
            </w:r>
            <w:proofErr w:type="gramStart"/>
            <w:r>
              <w:t>dust</w:t>
            </w:r>
            <w:proofErr w:type="gramEnd"/>
            <w:r>
              <w:t xml:space="preserve"> only)</w:t>
            </w:r>
          </w:p>
        </w:tc>
        <w:tc>
          <w:tcPr>
            <w:tcW w:w="1701" w:type="dxa"/>
            <w:shd w:val="clear" w:color="auto" w:fill="auto"/>
            <w:vAlign w:val="center"/>
          </w:tcPr>
          <w:p w:rsidRPr="00AE6427" w:rsidR="00185AD9" w:rsidP="007D48C5" w:rsidRDefault="00185AD9" w14:paraId="7AFCE93D" w14:textId="77777777">
            <w:pPr>
              <w:widowControl w:val="0"/>
              <w:tabs>
                <w:tab w:val="left" w:pos="1545"/>
              </w:tabs>
              <w:autoSpaceDE w:val="0"/>
              <w:autoSpaceDN w:val="0"/>
              <w:adjustRightInd w:val="0"/>
              <w:jc w:val="center"/>
              <w:rPr>
                <w:sz w:val="22"/>
                <w:szCs w:val="22"/>
              </w:rPr>
            </w:pPr>
            <w:r w:rsidRPr="00AE6427">
              <w:rPr>
                <w:sz w:val="22"/>
                <w:szCs w:val="22"/>
              </w:rPr>
              <w:t>Household Questionnaire</w:t>
            </w:r>
          </w:p>
        </w:tc>
        <w:tc>
          <w:tcPr>
            <w:tcW w:w="937" w:type="dxa"/>
            <w:shd w:val="clear" w:color="auto" w:fill="auto"/>
            <w:vAlign w:val="center"/>
          </w:tcPr>
          <w:p w:rsidRPr="00185AD9" w:rsidR="00185AD9" w:rsidP="007D48C5" w:rsidRDefault="0080499C" w14:paraId="538CBA00" w14:textId="22605992">
            <w:pPr>
              <w:widowControl w:val="0"/>
              <w:tabs>
                <w:tab w:val="left" w:pos="1545"/>
              </w:tabs>
              <w:autoSpaceDE w:val="0"/>
              <w:autoSpaceDN w:val="0"/>
              <w:adjustRightInd w:val="0"/>
              <w:jc w:val="center"/>
            </w:pPr>
            <w:r>
              <w:t>8</w:t>
            </w:r>
            <w:r w:rsidRPr="00185AD9" w:rsidR="00185AD9">
              <w:t>0</w:t>
            </w:r>
          </w:p>
        </w:tc>
        <w:tc>
          <w:tcPr>
            <w:tcW w:w="938" w:type="dxa"/>
            <w:shd w:val="clear" w:color="auto" w:fill="auto"/>
            <w:vAlign w:val="center"/>
          </w:tcPr>
          <w:p w:rsidRPr="00185AD9" w:rsidR="00185AD9" w:rsidP="007D48C5" w:rsidRDefault="00185AD9" w14:paraId="58C8811E" w14:textId="77777777">
            <w:pPr>
              <w:widowControl w:val="0"/>
              <w:tabs>
                <w:tab w:val="left" w:pos="1545"/>
              </w:tabs>
              <w:autoSpaceDE w:val="0"/>
              <w:autoSpaceDN w:val="0"/>
              <w:adjustRightInd w:val="0"/>
              <w:jc w:val="center"/>
            </w:pPr>
            <w:r w:rsidRPr="00185AD9">
              <w:t>1</w:t>
            </w:r>
          </w:p>
        </w:tc>
        <w:tc>
          <w:tcPr>
            <w:tcW w:w="938" w:type="dxa"/>
            <w:shd w:val="clear" w:color="auto" w:fill="auto"/>
            <w:vAlign w:val="center"/>
          </w:tcPr>
          <w:p w:rsidRPr="00185AD9" w:rsidR="00185AD9" w:rsidP="007D48C5" w:rsidRDefault="00185AD9" w14:paraId="1F0E440D" w14:textId="77777777">
            <w:pPr>
              <w:widowControl w:val="0"/>
              <w:tabs>
                <w:tab w:val="left" w:pos="1545"/>
              </w:tabs>
              <w:autoSpaceDE w:val="0"/>
              <w:autoSpaceDN w:val="0"/>
              <w:adjustRightInd w:val="0"/>
              <w:jc w:val="center"/>
            </w:pPr>
            <w:r w:rsidRPr="00185AD9">
              <w:t>15/60</w:t>
            </w:r>
          </w:p>
        </w:tc>
        <w:tc>
          <w:tcPr>
            <w:tcW w:w="938" w:type="dxa"/>
            <w:vAlign w:val="center"/>
          </w:tcPr>
          <w:p w:rsidRPr="00185AD9" w:rsidR="00185AD9" w:rsidP="007D48C5" w:rsidRDefault="0080499C" w14:paraId="01556CA3" w14:textId="6558EB63">
            <w:pPr>
              <w:widowControl w:val="0"/>
              <w:tabs>
                <w:tab w:val="left" w:pos="1545"/>
              </w:tabs>
              <w:autoSpaceDE w:val="0"/>
              <w:autoSpaceDN w:val="0"/>
              <w:adjustRightInd w:val="0"/>
              <w:jc w:val="center"/>
            </w:pPr>
            <w:r>
              <w:t>2</w:t>
            </w:r>
            <w:r w:rsidRPr="00185AD9" w:rsidR="00185AD9">
              <w:t>0</w:t>
            </w:r>
          </w:p>
        </w:tc>
        <w:tc>
          <w:tcPr>
            <w:tcW w:w="938" w:type="dxa"/>
            <w:vAlign w:val="center"/>
          </w:tcPr>
          <w:p w:rsidRPr="00185AD9" w:rsidR="00185AD9" w:rsidP="002368D5" w:rsidRDefault="00185AD9" w14:paraId="0F72C7EE" w14:textId="73B0C454">
            <w:pPr>
              <w:widowControl w:val="0"/>
              <w:tabs>
                <w:tab w:val="left" w:pos="1545"/>
              </w:tabs>
              <w:autoSpaceDE w:val="0"/>
              <w:autoSpaceDN w:val="0"/>
              <w:adjustRightInd w:val="0"/>
              <w:jc w:val="center"/>
            </w:pPr>
            <w:r w:rsidRPr="00185AD9">
              <w:t>$27.07</w:t>
            </w:r>
          </w:p>
        </w:tc>
        <w:tc>
          <w:tcPr>
            <w:tcW w:w="1368" w:type="dxa"/>
            <w:vAlign w:val="center"/>
          </w:tcPr>
          <w:p w:rsidRPr="00185AD9" w:rsidR="00185AD9" w:rsidP="002368D5" w:rsidRDefault="00C81149" w14:paraId="4D35276E" w14:textId="1F4B1B65">
            <w:pPr>
              <w:widowControl w:val="0"/>
              <w:tabs>
                <w:tab w:val="left" w:pos="1545"/>
              </w:tabs>
              <w:autoSpaceDE w:val="0"/>
              <w:autoSpaceDN w:val="0"/>
              <w:adjustRightInd w:val="0"/>
              <w:jc w:val="center"/>
            </w:pPr>
            <w:r w:rsidRPr="00185AD9">
              <w:t>$541.40</w:t>
            </w:r>
          </w:p>
        </w:tc>
      </w:tr>
      <w:tr w:rsidRPr="00A5763A" w:rsidR="00185AD9" w:rsidTr="008568F6" w14:paraId="0689F5DC" w14:textId="0B368FA4">
        <w:trPr>
          <w:trHeight w:val="1061"/>
        </w:trPr>
        <w:tc>
          <w:tcPr>
            <w:tcW w:w="1885" w:type="dxa"/>
            <w:vMerge/>
            <w:shd w:val="clear" w:color="auto" w:fill="auto"/>
            <w:vAlign w:val="center"/>
          </w:tcPr>
          <w:p w:rsidRPr="00185AD9" w:rsidR="00185AD9" w:rsidP="007D48C5" w:rsidRDefault="00185AD9" w14:paraId="2826C706" w14:textId="77777777">
            <w:pPr>
              <w:widowControl w:val="0"/>
              <w:tabs>
                <w:tab w:val="left" w:pos="1545"/>
              </w:tabs>
              <w:autoSpaceDE w:val="0"/>
              <w:autoSpaceDN w:val="0"/>
              <w:adjustRightInd w:val="0"/>
              <w:jc w:val="center"/>
            </w:pPr>
          </w:p>
        </w:tc>
        <w:tc>
          <w:tcPr>
            <w:tcW w:w="1701" w:type="dxa"/>
            <w:shd w:val="clear" w:color="auto" w:fill="auto"/>
            <w:vAlign w:val="center"/>
          </w:tcPr>
          <w:p w:rsidRPr="00AE6427" w:rsidR="00185AD9" w:rsidP="007D48C5" w:rsidRDefault="00185AD9" w14:paraId="72ADF3F0" w14:textId="6ACBE76D">
            <w:pPr>
              <w:widowControl w:val="0"/>
              <w:tabs>
                <w:tab w:val="left" w:pos="1545"/>
              </w:tabs>
              <w:autoSpaceDE w:val="0"/>
              <w:autoSpaceDN w:val="0"/>
              <w:adjustRightInd w:val="0"/>
              <w:jc w:val="center"/>
              <w:rPr>
                <w:sz w:val="22"/>
                <w:szCs w:val="22"/>
              </w:rPr>
            </w:pPr>
            <w:r w:rsidRPr="00AE6427">
              <w:rPr>
                <w:sz w:val="22"/>
                <w:szCs w:val="22"/>
              </w:rPr>
              <w:t>Personal Exposure Questionnaire (Adult)</w:t>
            </w:r>
          </w:p>
        </w:tc>
        <w:tc>
          <w:tcPr>
            <w:tcW w:w="937" w:type="dxa"/>
            <w:shd w:val="clear" w:color="auto" w:fill="auto"/>
            <w:vAlign w:val="center"/>
          </w:tcPr>
          <w:p w:rsidRPr="00185AD9" w:rsidR="00185AD9" w:rsidP="007D48C5" w:rsidRDefault="0080499C" w14:paraId="16743853" w14:textId="1F66B0C9">
            <w:pPr>
              <w:widowControl w:val="0"/>
              <w:tabs>
                <w:tab w:val="left" w:pos="1545"/>
              </w:tabs>
              <w:autoSpaceDE w:val="0"/>
              <w:autoSpaceDN w:val="0"/>
              <w:adjustRightInd w:val="0"/>
              <w:jc w:val="center"/>
            </w:pPr>
            <w:r>
              <w:t>8</w:t>
            </w:r>
            <w:r w:rsidRPr="00185AD9" w:rsidR="00185AD9">
              <w:t>0</w:t>
            </w:r>
          </w:p>
        </w:tc>
        <w:tc>
          <w:tcPr>
            <w:tcW w:w="938" w:type="dxa"/>
            <w:shd w:val="clear" w:color="auto" w:fill="auto"/>
            <w:vAlign w:val="center"/>
          </w:tcPr>
          <w:p w:rsidRPr="00185AD9" w:rsidR="00185AD9" w:rsidP="007D48C5" w:rsidRDefault="00185AD9" w14:paraId="03A17EA1" w14:textId="77777777">
            <w:pPr>
              <w:widowControl w:val="0"/>
              <w:tabs>
                <w:tab w:val="left" w:pos="1545"/>
              </w:tabs>
              <w:autoSpaceDE w:val="0"/>
              <w:autoSpaceDN w:val="0"/>
              <w:adjustRightInd w:val="0"/>
              <w:jc w:val="center"/>
            </w:pPr>
            <w:r w:rsidRPr="00185AD9">
              <w:t>1</w:t>
            </w:r>
          </w:p>
        </w:tc>
        <w:tc>
          <w:tcPr>
            <w:tcW w:w="938" w:type="dxa"/>
            <w:shd w:val="clear" w:color="auto" w:fill="auto"/>
            <w:vAlign w:val="center"/>
          </w:tcPr>
          <w:p w:rsidRPr="00185AD9" w:rsidR="00185AD9" w:rsidP="007D48C5" w:rsidRDefault="00185AD9" w14:paraId="65839BFC" w14:textId="77777777">
            <w:pPr>
              <w:widowControl w:val="0"/>
              <w:tabs>
                <w:tab w:val="left" w:pos="1545"/>
              </w:tabs>
              <w:autoSpaceDE w:val="0"/>
              <w:autoSpaceDN w:val="0"/>
              <w:adjustRightInd w:val="0"/>
              <w:jc w:val="center"/>
            </w:pPr>
            <w:r w:rsidRPr="00185AD9">
              <w:t>15/60</w:t>
            </w:r>
          </w:p>
        </w:tc>
        <w:tc>
          <w:tcPr>
            <w:tcW w:w="938" w:type="dxa"/>
            <w:vAlign w:val="center"/>
          </w:tcPr>
          <w:p w:rsidRPr="00185AD9" w:rsidR="00185AD9" w:rsidP="007D48C5" w:rsidRDefault="0080499C" w14:paraId="050406EA" w14:textId="4198C03F">
            <w:pPr>
              <w:widowControl w:val="0"/>
              <w:tabs>
                <w:tab w:val="left" w:pos="1545"/>
              </w:tabs>
              <w:autoSpaceDE w:val="0"/>
              <w:autoSpaceDN w:val="0"/>
              <w:adjustRightInd w:val="0"/>
              <w:jc w:val="center"/>
            </w:pPr>
            <w:r>
              <w:t>2</w:t>
            </w:r>
            <w:r w:rsidRPr="00185AD9" w:rsidR="00185AD9">
              <w:t>0</w:t>
            </w:r>
          </w:p>
        </w:tc>
        <w:tc>
          <w:tcPr>
            <w:tcW w:w="938" w:type="dxa"/>
            <w:vAlign w:val="center"/>
          </w:tcPr>
          <w:p w:rsidRPr="00185AD9" w:rsidR="00185AD9" w:rsidP="002368D5" w:rsidRDefault="00185AD9" w14:paraId="03BEACA7" w14:textId="5F7702BC">
            <w:pPr>
              <w:widowControl w:val="0"/>
              <w:tabs>
                <w:tab w:val="left" w:pos="1545"/>
              </w:tabs>
              <w:autoSpaceDE w:val="0"/>
              <w:autoSpaceDN w:val="0"/>
              <w:adjustRightInd w:val="0"/>
              <w:jc w:val="center"/>
            </w:pPr>
            <w:r w:rsidRPr="00185AD9">
              <w:t>$27.07</w:t>
            </w:r>
          </w:p>
        </w:tc>
        <w:tc>
          <w:tcPr>
            <w:tcW w:w="1368" w:type="dxa"/>
            <w:vAlign w:val="center"/>
          </w:tcPr>
          <w:p w:rsidRPr="00185AD9" w:rsidR="00185AD9" w:rsidP="002368D5" w:rsidRDefault="00C81149" w14:paraId="4731308A" w14:textId="1C1417B1">
            <w:pPr>
              <w:widowControl w:val="0"/>
              <w:tabs>
                <w:tab w:val="left" w:pos="1545"/>
              </w:tabs>
              <w:autoSpaceDE w:val="0"/>
              <w:autoSpaceDN w:val="0"/>
              <w:adjustRightInd w:val="0"/>
              <w:jc w:val="center"/>
            </w:pPr>
            <w:r w:rsidRPr="00185AD9">
              <w:t>$541.40</w:t>
            </w:r>
          </w:p>
        </w:tc>
      </w:tr>
      <w:tr w:rsidRPr="00A5763A" w:rsidR="0080499C" w:rsidTr="008568F6" w14:paraId="182AE6BC" w14:textId="77777777">
        <w:trPr>
          <w:trHeight w:val="1061"/>
        </w:trPr>
        <w:tc>
          <w:tcPr>
            <w:tcW w:w="1885" w:type="dxa"/>
            <w:vMerge/>
            <w:shd w:val="clear" w:color="auto" w:fill="auto"/>
            <w:vAlign w:val="center"/>
          </w:tcPr>
          <w:p w:rsidRPr="00185AD9" w:rsidR="0080499C" w:rsidP="0080499C" w:rsidRDefault="0080499C" w14:paraId="4100E241" w14:textId="77777777">
            <w:pPr>
              <w:widowControl w:val="0"/>
              <w:tabs>
                <w:tab w:val="left" w:pos="1545"/>
              </w:tabs>
              <w:autoSpaceDE w:val="0"/>
              <w:autoSpaceDN w:val="0"/>
              <w:adjustRightInd w:val="0"/>
              <w:jc w:val="center"/>
            </w:pPr>
          </w:p>
        </w:tc>
        <w:tc>
          <w:tcPr>
            <w:tcW w:w="1701" w:type="dxa"/>
            <w:shd w:val="clear" w:color="auto" w:fill="auto"/>
            <w:vAlign w:val="center"/>
          </w:tcPr>
          <w:p w:rsidRPr="00AE6427" w:rsidR="0080499C" w:rsidP="0080499C" w:rsidRDefault="0080499C" w14:paraId="59F4A2EA" w14:textId="49810805">
            <w:pPr>
              <w:widowControl w:val="0"/>
              <w:tabs>
                <w:tab w:val="left" w:pos="1545"/>
              </w:tabs>
              <w:autoSpaceDE w:val="0"/>
              <w:autoSpaceDN w:val="0"/>
              <w:adjustRightInd w:val="0"/>
              <w:jc w:val="center"/>
              <w:rPr>
                <w:sz w:val="22"/>
                <w:szCs w:val="22"/>
              </w:rPr>
            </w:pPr>
            <w:r w:rsidRPr="00AE6427">
              <w:rPr>
                <w:sz w:val="22"/>
                <w:szCs w:val="22"/>
              </w:rPr>
              <w:t>Environmental Sampling Collection Form (dust only)</w:t>
            </w:r>
          </w:p>
        </w:tc>
        <w:tc>
          <w:tcPr>
            <w:tcW w:w="937" w:type="dxa"/>
            <w:shd w:val="clear" w:color="auto" w:fill="auto"/>
            <w:vAlign w:val="center"/>
          </w:tcPr>
          <w:p w:rsidRPr="00185AD9" w:rsidR="0080499C" w:rsidP="0080499C" w:rsidRDefault="0080499C" w14:paraId="191AD9E8" w14:textId="51694B78">
            <w:pPr>
              <w:widowControl w:val="0"/>
              <w:tabs>
                <w:tab w:val="left" w:pos="1545"/>
              </w:tabs>
              <w:autoSpaceDE w:val="0"/>
              <w:autoSpaceDN w:val="0"/>
              <w:adjustRightInd w:val="0"/>
              <w:jc w:val="center"/>
            </w:pPr>
            <w:r w:rsidRPr="00BC78FD">
              <w:t>80</w:t>
            </w:r>
          </w:p>
        </w:tc>
        <w:tc>
          <w:tcPr>
            <w:tcW w:w="938" w:type="dxa"/>
            <w:shd w:val="clear" w:color="auto" w:fill="auto"/>
            <w:vAlign w:val="center"/>
          </w:tcPr>
          <w:p w:rsidRPr="00185AD9" w:rsidR="0080499C" w:rsidP="0080499C" w:rsidRDefault="0080499C" w14:paraId="3626462A" w14:textId="668DF96E">
            <w:pPr>
              <w:widowControl w:val="0"/>
              <w:tabs>
                <w:tab w:val="left" w:pos="1545"/>
              </w:tabs>
              <w:autoSpaceDE w:val="0"/>
              <w:autoSpaceDN w:val="0"/>
              <w:adjustRightInd w:val="0"/>
              <w:jc w:val="center"/>
            </w:pPr>
            <w:r>
              <w:t>1</w:t>
            </w:r>
          </w:p>
        </w:tc>
        <w:tc>
          <w:tcPr>
            <w:tcW w:w="938" w:type="dxa"/>
            <w:shd w:val="clear" w:color="auto" w:fill="auto"/>
            <w:vAlign w:val="center"/>
          </w:tcPr>
          <w:p w:rsidRPr="00185AD9" w:rsidR="0080499C" w:rsidP="0080499C" w:rsidRDefault="0080499C" w14:paraId="755E8B87" w14:textId="0E23510A">
            <w:pPr>
              <w:widowControl w:val="0"/>
              <w:tabs>
                <w:tab w:val="left" w:pos="1545"/>
              </w:tabs>
              <w:autoSpaceDE w:val="0"/>
              <w:autoSpaceDN w:val="0"/>
              <w:adjustRightInd w:val="0"/>
              <w:jc w:val="center"/>
            </w:pPr>
            <w:r>
              <w:t>1</w:t>
            </w:r>
          </w:p>
        </w:tc>
        <w:tc>
          <w:tcPr>
            <w:tcW w:w="938" w:type="dxa"/>
            <w:vAlign w:val="center"/>
          </w:tcPr>
          <w:p w:rsidRPr="00185AD9" w:rsidR="0080499C" w:rsidP="0080499C" w:rsidRDefault="0080499C" w14:paraId="471BA4D1" w14:textId="1C834CBF">
            <w:pPr>
              <w:widowControl w:val="0"/>
              <w:tabs>
                <w:tab w:val="left" w:pos="1545"/>
              </w:tabs>
              <w:autoSpaceDE w:val="0"/>
              <w:autoSpaceDN w:val="0"/>
              <w:adjustRightInd w:val="0"/>
              <w:jc w:val="center"/>
            </w:pPr>
            <w:r>
              <w:t>80</w:t>
            </w:r>
          </w:p>
        </w:tc>
        <w:tc>
          <w:tcPr>
            <w:tcW w:w="938" w:type="dxa"/>
            <w:vAlign w:val="center"/>
          </w:tcPr>
          <w:p w:rsidRPr="00185AD9" w:rsidR="0080499C" w:rsidP="0080499C" w:rsidRDefault="0080499C" w14:paraId="0A8EB9A0" w14:textId="246FFD19">
            <w:pPr>
              <w:widowControl w:val="0"/>
              <w:tabs>
                <w:tab w:val="left" w:pos="1545"/>
              </w:tabs>
              <w:autoSpaceDE w:val="0"/>
              <w:autoSpaceDN w:val="0"/>
              <w:adjustRightInd w:val="0"/>
              <w:jc w:val="center"/>
            </w:pPr>
            <w:r w:rsidRPr="009750E2">
              <w:t>$27.07</w:t>
            </w:r>
          </w:p>
        </w:tc>
        <w:tc>
          <w:tcPr>
            <w:tcW w:w="1368" w:type="dxa"/>
            <w:vAlign w:val="center"/>
          </w:tcPr>
          <w:p w:rsidRPr="00185AD9" w:rsidR="0080499C" w:rsidP="0080499C" w:rsidRDefault="00551CE5" w14:paraId="2073DE7B" w14:textId="3EBA79AC">
            <w:pPr>
              <w:widowControl w:val="0"/>
              <w:tabs>
                <w:tab w:val="left" w:pos="1545"/>
              </w:tabs>
              <w:autoSpaceDE w:val="0"/>
              <w:autoSpaceDN w:val="0"/>
              <w:adjustRightInd w:val="0"/>
              <w:jc w:val="center"/>
            </w:pPr>
            <w:r>
              <w:t>$2,165.60</w:t>
            </w:r>
          </w:p>
        </w:tc>
      </w:tr>
      <w:tr w:rsidRPr="00A5763A" w:rsidR="0080499C" w:rsidTr="00C226AD" w14:paraId="77BD8999" w14:textId="77777777">
        <w:trPr>
          <w:trHeight w:val="530"/>
        </w:trPr>
        <w:tc>
          <w:tcPr>
            <w:tcW w:w="1885" w:type="dxa"/>
            <w:vMerge w:val="restart"/>
            <w:shd w:val="clear" w:color="auto" w:fill="auto"/>
            <w:vAlign w:val="center"/>
          </w:tcPr>
          <w:p w:rsidR="0080499C" w:rsidP="0080499C" w:rsidRDefault="0080499C" w14:paraId="0F664E80" w14:textId="77777777">
            <w:pPr>
              <w:widowControl w:val="0"/>
              <w:tabs>
                <w:tab w:val="left" w:pos="1545"/>
              </w:tabs>
              <w:autoSpaceDE w:val="0"/>
              <w:autoSpaceDN w:val="0"/>
              <w:adjustRightInd w:val="0"/>
              <w:jc w:val="center"/>
            </w:pPr>
            <w:r w:rsidRPr="00BE2013">
              <w:t xml:space="preserve">EI Adult Participants – </w:t>
            </w:r>
            <w:r>
              <w:t>s</w:t>
            </w:r>
            <w:r w:rsidRPr="00BE2013">
              <w:t>igning consent for</w:t>
            </w:r>
            <w:r>
              <w:t xml:space="preserve"> self and</w:t>
            </w:r>
            <w:r w:rsidRPr="00BE2013">
              <w:t xml:space="preserve"> </w:t>
            </w:r>
            <w:r>
              <w:t xml:space="preserve">household </w:t>
            </w:r>
            <w:r w:rsidRPr="00BE2013">
              <w:t>sampling</w:t>
            </w:r>
            <w:r>
              <w:t xml:space="preserve"> </w:t>
            </w:r>
          </w:p>
          <w:p w:rsidRPr="00185AD9" w:rsidR="0080499C" w:rsidP="0080499C" w:rsidRDefault="0080499C" w14:paraId="639C6B97" w14:textId="62DE2D56">
            <w:pPr>
              <w:widowControl w:val="0"/>
              <w:tabs>
                <w:tab w:val="left" w:pos="1545"/>
              </w:tabs>
              <w:autoSpaceDE w:val="0"/>
              <w:autoSpaceDN w:val="0"/>
              <w:adjustRightInd w:val="0"/>
              <w:jc w:val="center"/>
            </w:pPr>
            <w:r>
              <w:t>(</w:t>
            </w:r>
            <w:proofErr w:type="gramStart"/>
            <w:r>
              <w:t>robust</w:t>
            </w:r>
            <w:proofErr w:type="gramEnd"/>
            <w:r>
              <w:t xml:space="preserve"> sampling)</w:t>
            </w:r>
          </w:p>
        </w:tc>
        <w:tc>
          <w:tcPr>
            <w:tcW w:w="1701" w:type="dxa"/>
            <w:shd w:val="clear" w:color="auto" w:fill="auto"/>
            <w:vAlign w:val="center"/>
          </w:tcPr>
          <w:p w:rsidRPr="00AE6427" w:rsidR="0080499C" w:rsidP="0080499C" w:rsidRDefault="0080499C" w14:paraId="02D868FC" w14:textId="70C91B49">
            <w:pPr>
              <w:widowControl w:val="0"/>
              <w:tabs>
                <w:tab w:val="left" w:pos="1545"/>
              </w:tabs>
              <w:autoSpaceDE w:val="0"/>
              <w:autoSpaceDN w:val="0"/>
              <w:adjustRightInd w:val="0"/>
              <w:jc w:val="center"/>
              <w:rPr>
                <w:sz w:val="22"/>
                <w:szCs w:val="22"/>
              </w:rPr>
            </w:pPr>
            <w:r w:rsidRPr="00AE6427">
              <w:rPr>
                <w:sz w:val="22"/>
                <w:szCs w:val="22"/>
              </w:rPr>
              <w:t>Household Questionnaire</w:t>
            </w:r>
          </w:p>
        </w:tc>
        <w:tc>
          <w:tcPr>
            <w:tcW w:w="937" w:type="dxa"/>
            <w:shd w:val="clear" w:color="auto" w:fill="auto"/>
            <w:vAlign w:val="center"/>
          </w:tcPr>
          <w:p w:rsidRPr="00185AD9" w:rsidR="0080499C" w:rsidP="0080499C" w:rsidRDefault="0080499C" w14:paraId="434038F4" w14:textId="12D8F6FD">
            <w:pPr>
              <w:widowControl w:val="0"/>
              <w:tabs>
                <w:tab w:val="left" w:pos="1545"/>
              </w:tabs>
              <w:autoSpaceDE w:val="0"/>
              <w:autoSpaceDN w:val="0"/>
              <w:adjustRightInd w:val="0"/>
              <w:jc w:val="center"/>
            </w:pPr>
            <w:r>
              <w:t>40</w:t>
            </w:r>
          </w:p>
        </w:tc>
        <w:tc>
          <w:tcPr>
            <w:tcW w:w="938" w:type="dxa"/>
            <w:shd w:val="clear" w:color="auto" w:fill="auto"/>
            <w:vAlign w:val="center"/>
          </w:tcPr>
          <w:p w:rsidRPr="00185AD9" w:rsidR="0080499C" w:rsidP="0080499C" w:rsidRDefault="0080499C" w14:paraId="11D5C555" w14:textId="79C2D8A8">
            <w:pPr>
              <w:widowControl w:val="0"/>
              <w:tabs>
                <w:tab w:val="left" w:pos="1545"/>
              </w:tabs>
              <w:autoSpaceDE w:val="0"/>
              <w:autoSpaceDN w:val="0"/>
              <w:adjustRightInd w:val="0"/>
              <w:jc w:val="center"/>
            </w:pPr>
            <w:r>
              <w:t>1</w:t>
            </w:r>
          </w:p>
        </w:tc>
        <w:tc>
          <w:tcPr>
            <w:tcW w:w="938" w:type="dxa"/>
            <w:shd w:val="clear" w:color="auto" w:fill="auto"/>
            <w:vAlign w:val="center"/>
          </w:tcPr>
          <w:p w:rsidRPr="00185AD9" w:rsidR="0080499C" w:rsidP="0080499C" w:rsidRDefault="0080499C" w14:paraId="51000C71" w14:textId="02EACAB4">
            <w:pPr>
              <w:widowControl w:val="0"/>
              <w:tabs>
                <w:tab w:val="left" w:pos="1545"/>
              </w:tabs>
              <w:autoSpaceDE w:val="0"/>
              <w:autoSpaceDN w:val="0"/>
              <w:adjustRightInd w:val="0"/>
              <w:jc w:val="center"/>
            </w:pPr>
            <w:r w:rsidRPr="00BC78FD">
              <w:t>15/60</w:t>
            </w:r>
          </w:p>
        </w:tc>
        <w:tc>
          <w:tcPr>
            <w:tcW w:w="938" w:type="dxa"/>
            <w:vAlign w:val="center"/>
          </w:tcPr>
          <w:p w:rsidRPr="00185AD9" w:rsidR="0080499C" w:rsidP="0080499C" w:rsidRDefault="0080499C" w14:paraId="09EA3E98" w14:textId="2B9613A3">
            <w:pPr>
              <w:widowControl w:val="0"/>
              <w:tabs>
                <w:tab w:val="left" w:pos="1545"/>
              </w:tabs>
              <w:autoSpaceDE w:val="0"/>
              <w:autoSpaceDN w:val="0"/>
              <w:adjustRightInd w:val="0"/>
              <w:jc w:val="center"/>
            </w:pPr>
            <w:r>
              <w:t>1</w:t>
            </w:r>
            <w:r w:rsidRPr="00BC78FD">
              <w:t>0</w:t>
            </w:r>
          </w:p>
        </w:tc>
        <w:tc>
          <w:tcPr>
            <w:tcW w:w="938" w:type="dxa"/>
            <w:vAlign w:val="center"/>
          </w:tcPr>
          <w:p w:rsidRPr="00185AD9" w:rsidR="0080499C" w:rsidP="0080499C" w:rsidRDefault="0080499C" w14:paraId="7A700423" w14:textId="774D64B2">
            <w:pPr>
              <w:widowControl w:val="0"/>
              <w:tabs>
                <w:tab w:val="left" w:pos="1545"/>
              </w:tabs>
              <w:autoSpaceDE w:val="0"/>
              <w:autoSpaceDN w:val="0"/>
              <w:adjustRightInd w:val="0"/>
              <w:jc w:val="center"/>
            </w:pPr>
            <w:r w:rsidRPr="009750E2">
              <w:t>$27.07</w:t>
            </w:r>
          </w:p>
        </w:tc>
        <w:tc>
          <w:tcPr>
            <w:tcW w:w="1368" w:type="dxa"/>
            <w:vAlign w:val="center"/>
          </w:tcPr>
          <w:p w:rsidRPr="00185AD9" w:rsidR="0080499C" w:rsidP="0080499C" w:rsidRDefault="00551CE5" w14:paraId="365BB863" w14:textId="06E6CFC8">
            <w:pPr>
              <w:widowControl w:val="0"/>
              <w:tabs>
                <w:tab w:val="left" w:pos="1545"/>
              </w:tabs>
              <w:autoSpaceDE w:val="0"/>
              <w:autoSpaceDN w:val="0"/>
              <w:adjustRightInd w:val="0"/>
              <w:jc w:val="center"/>
            </w:pPr>
            <w:r>
              <w:t>$270.70</w:t>
            </w:r>
          </w:p>
        </w:tc>
      </w:tr>
      <w:tr w:rsidRPr="00A5763A" w:rsidR="0080499C" w:rsidTr="008568F6" w14:paraId="1B29A199" w14:textId="77777777">
        <w:trPr>
          <w:trHeight w:val="1061"/>
        </w:trPr>
        <w:tc>
          <w:tcPr>
            <w:tcW w:w="1885" w:type="dxa"/>
            <w:vMerge/>
            <w:shd w:val="clear" w:color="auto" w:fill="auto"/>
            <w:vAlign w:val="center"/>
          </w:tcPr>
          <w:p w:rsidRPr="00185AD9" w:rsidR="0080499C" w:rsidP="0080499C" w:rsidRDefault="0080499C" w14:paraId="65338252" w14:textId="77777777">
            <w:pPr>
              <w:widowControl w:val="0"/>
              <w:tabs>
                <w:tab w:val="left" w:pos="1545"/>
              </w:tabs>
              <w:autoSpaceDE w:val="0"/>
              <w:autoSpaceDN w:val="0"/>
              <w:adjustRightInd w:val="0"/>
              <w:jc w:val="center"/>
            </w:pPr>
          </w:p>
        </w:tc>
        <w:tc>
          <w:tcPr>
            <w:tcW w:w="1701" w:type="dxa"/>
            <w:shd w:val="clear" w:color="auto" w:fill="auto"/>
            <w:vAlign w:val="center"/>
          </w:tcPr>
          <w:p w:rsidRPr="00AE6427" w:rsidR="0080499C" w:rsidP="0080499C" w:rsidRDefault="0080499C" w14:paraId="041B753C" w14:textId="6E28BFF2">
            <w:pPr>
              <w:widowControl w:val="0"/>
              <w:tabs>
                <w:tab w:val="left" w:pos="1545"/>
              </w:tabs>
              <w:autoSpaceDE w:val="0"/>
              <w:autoSpaceDN w:val="0"/>
              <w:adjustRightInd w:val="0"/>
              <w:jc w:val="center"/>
              <w:rPr>
                <w:sz w:val="22"/>
                <w:szCs w:val="22"/>
              </w:rPr>
            </w:pPr>
            <w:r w:rsidRPr="00AE6427">
              <w:rPr>
                <w:sz w:val="22"/>
                <w:szCs w:val="22"/>
              </w:rPr>
              <w:t>Personal Exposure Questionnaire (Adult)</w:t>
            </w:r>
          </w:p>
        </w:tc>
        <w:tc>
          <w:tcPr>
            <w:tcW w:w="937" w:type="dxa"/>
            <w:shd w:val="clear" w:color="auto" w:fill="auto"/>
            <w:vAlign w:val="center"/>
          </w:tcPr>
          <w:p w:rsidRPr="00185AD9" w:rsidR="0080499C" w:rsidP="0080499C" w:rsidRDefault="0080499C" w14:paraId="2C6D326D" w14:textId="02F23414">
            <w:pPr>
              <w:widowControl w:val="0"/>
              <w:tabs>
                <w:tab w:val="left" w:pos="1545"/>
              </w:tabs>
              <w:autoSpaceDE w:val="0"/>
              <w:autoSpaceDN w:val="0"/>
              <w:adjustRightInd w:val="0"/>
              <w:jc w:val="center"/>
            </w:pPr>
            <w:r>
              <w:t>40</w:t>
            </w:r>
          </w:p>
        </w:tc>
        <w:tc>
          <w:tcPr>
            <w:tcW w:w="938" w:type="dxa"/>
            <w:shd w:val="clear" w:color="auto" w:fill="auto"/>
            <w:vAlign w:val="center"/>
          </w:tcPr>
          <w:p w:rsidRPr="00185AD9" w:rsidR="0080499C" w:rsidP="0080499C" w:rsidRDefault="0080499C" w14:paraId="743438D7" w14:textId="44E0AF20">
            <w:pPr>
              <w:widowControl w:val="0"/>
              <w:tabs>
                <w:tab w:val="left" w:pos="1545"/>
              </w:tabs>
              <w:autoSpaceDE w:val="0"/>
              <w:autoSpaceDN w:val="0"/>
              <w:adjustRightInd w:val="0"/>
              <w:jc w:val="center"/>
            </w:pPr>
            <w:r>
              <w:t>1</w:t>
            </w:r>
          </w:p>
        </w:tc>
        <w:tc>
          <w:tcPr>
            <w:tcW w:w="938" w:type="dxa"/>
            <w:shd w:val="clear" w:color="auto" w:fill="auto"/>
            <w:vAlign w:val="center"/>
          </w:tcPr>
          <w:p w:rsidRPr="00185AD9" w:rsidR="0080499C" w:rsidP="0080499C" w:rsidRDefault="0080499C" w14:paraId="1275879F" w14:textId="046F0DF9">
            <w:pPr>
              <w:widowControl w:val="0"/>
              <w:tabs>
                <w:tab w:val="left" w:pos="1545"/>
              </w:tabs>
              <w:autoSpaceDE w:val="0"/>
              <w:autoSpaceDN w:val="0"/>
              <w:adjustRightInd w:val="0"/>
              <w:jc w:val="center"/>
            </w:pPr>
            <w:r w:rsidRPr="00BC78FD">
              <w:t>15/60</w:t>
            </w:r>
          </w:p>
        </w:tc>
        <w:tc>
          <w:tcPr>
            <w:tcW w:w="938" w:type="dxa"/>
            <w:vAlign w:val="center"/>
          </w:tcPr>
          <w:p w:rsidRPr="00185AD9" w:rsidR="0080499C" w:rsidP="0080499C" w:rsidRDefault="0080499C" w14:paraId="41E08773" w14:textId="377C2EE1">
            <w:pPr>
              <w:widowControl w:val="0"/>
              <w:tabs>
                <w:tab w:val="left" w:pos="1545"/>
              </w:tabs>
              <w:autoSpaceDE w:val="0"/>
              <w:autoSpaceDN w:val="0"/>
              <w:adjustRightInd w:val="0"/>
              <w:jc w:val="center"/>
            </w:pPr>
            <w:r>
              <w:t>1</w:t>
            </w:r>
            <w:r w:rsidRPr="00BC78FD">
              <w:t>0</w:t>
            </w:r>
          </w:p>
        </w:tc>
        <w:tc>
          <w:tcPr>
            <w:tcW w:w="938" w:type="dxa"/>
            <w:vAlign w:val="center"/>
          </w:tcPr>
          <w:p w:rsidRPr="00185AD9" w:rsidR="0080499C" w:rsidP="0080499C" w:rsidRDefault="0080499C" w14:paraId="5DB91274" w14:textId="6F1CFED7">
            <w:pPr>
              <w:widowControl w:val="0"/>
              <w:tabs>
                <w:tab w:val="left" w:pos="1545"/>
              </w:tabs>
              <w:autoSpaceDE w:val="0"/>
              <w:autoSpaceDN w:val="0"/>
              <w:adjustRightInd w:val="0"/>
              <w:jc w:val="center"/>
            </w:pPr>
            <w:r w:rsidRPr="009750E2">
              <w:t>$27.07</w:t>
            </w:r>
          </w:p>
        </w:tc>
        <w:tc>
          <w:tcPr>
            <w:tcW w:w="1368" w:type="dxa"/>
            <w:vAlign w:val="center"/>
          </w:tcPr>
          <w:p w:rsidRPr="00185AD9" w:rsidR="0080499C" w:rsidP="0080499C" w:rsidRDefault="00551CE5" w14:paraId="2005D784" w14:textId="4B868C19">
            <w:pPr>
              <w:widowControl w:val="0"/>
              <w:tabs>
                <w:tab w:val="left" w:pos="1545"/>
              </w:tabs>
              <w:autoSpaceDE w:val="0"/>
              <w:autoSpaceDN w:val="0"/>
              <w:adjustRightInd w:val="0"/>
              <w:jc w:val="center"/>
            </w:pPr>
            <w:r>
              <w:t>$270.70</w:t>
            </w:r>
          </w:p>
        </w:tc>
      </w:tr>
      <w:tr w:rsidRPr="00A5763A" w:rsidR="0080499C" w:rsidTr="008568F6" w14:paraId="5A9E726C" w14:textId="77777777">
        <w:trPr>
          <w:trHeight w:val="1061"/>
        </w:trPr>
        <w:tc>
          <w:tcPr>
            <w:tcW w:w="1885" w:type="dxa"/>
            <w:vMerge/>
            <w:shd w:val="clear" w:color="auto" w:fill="auto"/>
            <w:vAlign w:val="center"/>
          </w:tcPr>
          <w:p w:rsidRPr="00185AD9" w:rsidR="0080499C" w:rsidP="0080499C" w:rsidRDefault="0080499C" w14:paraId="4A4D8839" w14:textId="77777777">
            <w:pPr>
              <w:widowControl w:val="0"/>
              <w:tabs>
                <w:tab w:val="left" w:pos="1545"/>
              </w:tabs>
              <w:autoSpaceDE w:val="0"/>
              <w:autoSpaceDN w:val="0"/>
              <w:adjustRightInd w:val="0"/>
              <w:jc w:val="center"/>
            </w:pPr>
          </w:p>
        </w:tc>
        <w:tc>
          <w:tcPr>
            <w:tcW w:w="1701" w:type="dxa"/>
            <w:shd w:val="clear" w:color="auto" w:fill="auto"/>
            <w:vAlign w:val="center"/>
          </w:tcPr>
          <w:p w:rsidRPr="00AE6427" w:rsidR="0080499C" w:rsidP="0080499C" w:rsidRDefault="0080499C" w14:paraId="1B6FDED5" w14:textId="2C588DA4">
            <w:pPr>
              <w:widowControl w:val="0"/>
              <w:tabs>
                <w:tab w:val="left" w:pos="1545"/>
              </w:tabs>
              <w:autoSpaceDE w:val="0"/>
              <w:autoSpaceDN w:val="0"/>
              <w:adjustRightInd w:val="0"/>
              <w:jc w:val="center"/>
              <w:rPr>
                <w:sz w:val="22"/>
                <w:szCs w:val="22"/>
              </w:rPr>
            </w:pPr>
            <w:r w:rsidRPr="00AE6427">
              <w:rPr>
                <w:sz w:val="22"/>
                <w:szCs w:val="22"/>
              </w:rPr>
              <w:t>Environmental Sampling Collection Form (robust sampling)</w:t>
            </w:r>
          </w:p>
        </w:tc>
        <w:tc>
          <w:tcPr>
            <w:tcW w:w="937" w:type="dxa"/>
            <w:shd w:val="clear" w:color="auto" w:fill="auto"/>
            <w:vAlign w:val="center"/>
          </w:tcPr>
          <w:p w:rsidRPr="00185AD9" w:rsidR="0080499C" w:rsidP="0080499C" w:rsidRDefault="0080499C" w14:paraId="2DC448FA" w14:textId="42E2DA77">
            <w:pPr>
              <w:widowControl w:val="0"/>
              <w:tabs>
                <w:tab w:val="left" w:pos="1545"/>
              </w:tabs>
              <w:autoSpaceDE w:val="0"/>
              <w:autoSpaceDN w:val="0"/>
              <w:adjustRightInd w:val="0"/>
              <w:jc w:val="center"/>
            </w:pPr>
            <w:r>
              <w:t>40</w:t>
            </w:r>
          </w:p>
        </w:tc>
        <w:tc>
          <w:tcPr>
            <w:tcW w:w="938" w:type="dxa"/>
            <w:shd w:val="clear" w:color="auto" w:fill="auto"/>
            <w:vAlign w:val="center"/>
          </w:tcPr>
          <w:p w:rsidRPr="00185AD9" w:rsidR="0080499C" w:rsidP="0080499C" w:rsidRDefault="004C2217" w14:paraId="5E30701E" w14:textId="0EDA4A1A">
            <w:pPr>
              <w:widowControl w:val="0"/>
              <w:tabs>
                <w:tab w:val="left" w:pos="1545"/>
              </w:tabs>
              <w:autoSpaceDE w:val="0"/>
              <w:autoSpaceDN w:val="0"/>
              <w:adjustRightInd w:val="0"/>
              <w:jc w:val="center"/>
            </w:pPr>
            <w:r>
              <w:t>2</w:t>
            </w:r>
          </w:p>
        </w:tc>
        <w:tc>
          <w:tcPr>
            <w:tcW w:w="938" w:type="dxa"/>
            <w:shd w:val="clear" w:color="auto" w:fill="auto"/>
            <w:vAlign w:val="center"/>
          </w:tcPr>
          <w:p w:rsidRPr="00185AD9" w:rsidR="0080499C" w:rsidP="0080499C" w:rsidRDefault="004C2217" w14:paraId="034A0BD0" w14:textId="3B45F72E">
            <w:pPr>
              <w:widowControl w:val="0"/>
              <w:tabs>
                <w:tab w:val="left" w:pos="1545"/>
              </w:tabs>
              <w:autoSpaceDE w:val="0"/>
              <w:autoSpaceDN w:val="0"/>
              <w:adjustRightInd w:val="0"/>
              <w:jc w:val="center"/>
            </w:pPr>
            <w:r>
              <w:t>2</w:t>
            </w:r>
          </w:p>
        </w:tc>
        <w:tc>
          <w:tcPr>
            <w:tcW w:w="938" w:type="dxa"/>
            <w:vAlign w:val="center"/>
          </w:tcPr>
          <w:p w:rsidRPr="00185AD9" w:rsidR="0080499C" w:rsidP="0080499C" w:rsidRDefault="0080499C" w14:paraId="4AB3E708" w14:textId="321F3F56">
            <w:pPr>
              <w:widowControl w:val="0"/>
              <w:tabs>
                <w:tab w:val="left" w:pos="1545"/>
              </w:tabs>
              <w:autoSpaceDE w:val="0"/>
              <w:autoSpaceDN w:val="0"/>
              <w:adjustRightInd w:val="0"/>
              <w:jc w:val="center"/>
            </w:pPr>
            <w:r w:rsidRPr="00BC78FD">
              <w:t>160</w:t>
            </w:r>
          </w:p>
        </w:tc>
        <w:tc>
          <w:tcPr>
            <w:tcW w:w="938" w:type="dxa"/>
            <w:vAlign w:val="center"/>
          </w:tcPr>
          <w:p w:rsidRPr="00185AD9" w:rsidR="0080499C" w:rsidP="0080499C" w:rsidRDefault="0080499C" w14:paraId="72B2E7C9" w14:textId="466979D0">
            <w:pPr>
              <w:widowControl w:val="0"/>
              <w:tabs>
                <w:tab w:val="left" w:pos="1545"/>
              </w:tabs>
              <w:autoSpaceDE w:val="0"/>
              <w:autoSpaceDN w:val="0"/>
              <w:adjustRightInd w:val="0"/>
              <w:jc w:val="center"/>
            </w:pPr>
            <w:r w:rsidRPr="009750E2">
              <w:t>$27.07</w:t>
            </w:r>
          </w:p>
        </w:tc>
        <w:tc>
          <w:tcPr>
            <w:tcW w:w="1368" w:type="dxa"/>
            <w:vAlign w:val="center"/>
          </w:tcPr>
          <w:p w:rsidRPr="00185AD9" w:rsidR="0080499C" w:rsidP="0080499C" w:rsidRDefault="00551CE5" w14:paraId="5472FE9B" w14:textId="22F2E3F6">
            <w:pPr>
              <w:widowControl w:val="0"/>
              <w:tabs>
                <w:tab w:val="left" w:pos="1545"/>
              </w:tabs>
              <w:autoSpaceDE w:val="0"/>
              <w:autoSpaceDN w:val="0"/>
              <w:adjustRightInd w:val="0"/>
              <w:jc w:val="center"/>
            </w:pPr>
            <w:r>
              <w:t>$4,331.20</w:t>
            </w:r>
          </w:p>
        </w:tc>
      </w:tr>
      <w:tr w:rsidRPr="00A5763A" w:rsidR="007D48C5" w:rsidTr="00C226AD" w14:paraId="54E0B8F0" w14:textId="0E2C8420">
        <w:trPr>
          <w:trHeight w:val="1088"/>
        </w:trPr>
        <w:tc>
          <w:tcPr>
            <w:tcW w:w="1885" w:type="dxa"/>
            <w:shd w:val="clear" w:color="auto" w:fill="auto"/>
            <w:vAlign w:val="center"/>
          </w:tcPr>
          <w:p w:rsidRPr="00BC761E" w:rsidR="007D48C5" w:rsidP="007D48C5" w:rsidRDefault="0080499C" w14:paraId="203A6F88" w14:textId="333527B0">
            <w:pPr>
              <w:widowControl w:val="0"/>
              <w:tabs>
                <w:tab w:val="left" w:pos="1545"/>
              </w:tabs>
              <w:autoSpaceDE w:val="0"/>
              <w:autoSpaceDN w:val="0"/>
              <w:adjustRightInd w:val="0"/>
              <w:jc w:val="center"/>
            </w:pPr>
            <w:r>
              <w:t xml:space="preserve">EI </w:t>
            </w:r>
            <w:r w:rsidRPr="00BE2013">
              <w:t xml:space="preserve">Adult EI Participant – </w:t>
            </w:r>
            <w:r>
              <w:t>signing consent for self</w:t>
            </w:r>
            <w:r w:rsidRPr="00BE2013">
              <w:t xml:space="preserve"> only</w:t>
            </w:r>
          </w:p>
        </w:tc>
        <w:tc>
          <w:tcPr>
            <w:tcW w:w="1701" w:type="dxa"/>
            <w:shd w:val="clear" w:color="auto" w:fill="auto"/>
            <w:vAlign w:val="center"/>
          </w:tcPr>
          <w:p w:rsidRPr="00AE6427" w:rsidR="007D48C5" w:rsidP="002368D5" w:rsidRDefault="007D48C5" w14:paraId="7CD57BA9" w14:textId="4AFC7BE0">
            <w:pPr>
              <w:widowControl w:val="0"/>
              <w:tabs>
                <w:tab w:val="left" w:pos="1545"/>
              </w:tabs>
              <w:autoSpaceDE w:val="0"/>
              <w:autoSpaceDN w:val="0"/>
              <w:adjustRightInd w:val="0"/>
              <w:jc w:val="center"/>
              <w:rPr>
                <w:sz w:val="22"/>
                <w:szCs w:val="22"/>
              </w:rPr>
            </w:pPr>
            <w:r w:rsidRPr="00AE6427">
              <w:rPr>
                <w:sz w:val="22"/>
                <w:szCs w:val="22"/>
              </w:rPr>
              <w:t>Personal Exposure Questionnaire</w:t>
            </w:r>
            <w:r w:rsidRPr="00AE6427" w:rsidR="00A46B7B">
              <w:rPr>
                <w:sz w:val="22"/>
                <w:szCs w:val="22"/>
              </w:rPr>
              <w:t xml:space="preserve"> (Adult)</w:t>
            </w:r>
          </w:p>
        </w:tc>
        <w:tc>
          <w:tcPr>
            <w:tcW w:w="937" w:type="dxa"/>
            <w:shd w:val="clear" w:color="auto" w:fill="auto"/>
            <w:vAlign w:val="center"/>
          </w:tcPr>
          <w:p w:rsidRPr="00185AD9" w:rsidR="007D48C5" w:rsidP="007D48C5" w:rsidRDefault="007D48C5" w14:paraId="24F5F8A2" w14:textId="77777777">
            <w:pPr>
              <w:widowControl w:val="0"/>
              <w:tabs>
                <w:tab w:val="left" w:pos="1545"/>
              </w:tabs>
              <w:autoSpaceDE w:val="0"/>
              <w:autoSpaceDN w:val="0"/>
              <w:adjustRightInd w:val="0"/>
              <w:jc w:val="center"/>
            </w:pPr>
            <w:r w:rsidRPr="00185AD9">
              <w:t>108</w:t>
            </w:r>
          </w:p>
        </w:tc>
        <w:tc>
          <w:tcPr>
            <w:tcW w:w="938" w:type="dxa"/>
            <w:shd w:val="clear" w:color="auto" w:fill="auto"/>
            <w:vAlign w:val="center"/>
          </w:tcPr>
          <w:p w:rsidRPr="00185AD9" w:rsidR="007D48C5" w:rsidP="007D48C5" w:rsidRDefault="007D48C5" w14:paraId="0B502A9C" w14:textId="77777777">
            <w:pPr>
              <w:widowControl w:val="0"/>
              <w:tabs>
                <w:tab w:val="left" w:pos="1545"/>
              </w:tabs>
              <w:autoSpaceDE w:val="0"/>
              <w:autoSpaceDN w:val="0"/>
              <w:adjustRightInd w:val="0"/>
              <w:jc w:val="center"/>
            </w:pPr>
            <w:r w:rsidRPr="00185AD9">
              <w:t>1</w:t>
            </w:r>
          </w:p>
        </w:tc>
        <w:tc>
          <w:tcPr>
            <w:tcW w:w="938" w:type="dxa"/>
            <w:shd w:val="clear" w:color="auto" w:fill="auto"/>
            <w:vAlign w:val="center"/>
          </w:tcPr>
          <w:p w:rsidRPr="00185AD9" w:rsidR="007D48C5" w:rsidP="007D48C5" w:rsidRDefault="007D48C5" w14:paraId="1D7F484A" w14:textId="77777777">
            <w:pPr>
              <w:widowControl w:val="0"/>
              <w:tabs>
                <w:tab w:val="left" w:pos="1545"/>
              </w:tabs>
              <w:autoSpaceDE w:val="0"/>
              <w:autoSpaceDN w:val="0"/>
              <w:adjustRightInd w:val="0"/>
              <w:jc w:val="center"/>
            </w:pPr>
            <w:r w:rsidRPr="00185AD9">
              <w:t>15/60</w:t>
            </w:r>
          </w:p>
        </w:tc>
        <w:tc>
          <w:tcPr>
            <w:tcW w:w="938" w:type="dxa"/>
            <w:vAlign w:val="center"/>
          </w:tcPr>
          <w:p w:rsidRPr="00185AD9" w:rsidR="007D48C5" w:rsidP="007D48C5" w:rsidRDefault="007D48C5" w14:paraId="3704F967" w14:textId="77777777">
            <w:pPr>
              <w:widowControl w:val="0"/>
              <w:tabs>
                <w:tab w:val="left" w:pos="1545"/>
              </w:tabs>
              <w:autoSpaceDE w:val="0"/>
              <w:autoSpaceDN w:val="0"/>
              <w:adjustRightInd w:val="0"/>
              <w:jc w:val="center"/>
            </w:pPr>
            <w:r w:rsidRPr="00185AD9">
              <w:t>27</w:t>
            </w:r>
          </w:p>
        </w:tc>
        <w:tc>
          <w:tcPr>
            <w:tcW w:w="938" w:type="dxa"/>
            <w:vAlign w:val="center"/>
          </w:tcPr>
          <w:p w:rsidRPr="00185AD9" w:rsidR="007D48C5" w:rsidP="002368D5" w:rsidRDefault="007D48C5" w14:paraId="2DFDC8FF" w14:textId="007D5F20">
            <w:pPr>
              <w:widowControl w:val="0"/>
              <w:tabs>
                <w:tab w:val="left" w:pos="1545"/>
              </w:tabs>
              <w:autoSpaceDE w:val="0"/>
              <w:autoSpaceDN w:val="0"/>
              <w:adjustRightInd w:val="0"/>
              <w:jc w:val="center"/>
            </w:pPr>
            <w:r w:rsidRPr="00185AD9">
              <w:t>$27.07</w:t>
            </w:r>
          </w:p>
        </w:tc>
        <w:tc>
          <w:tcPr>
            <w:tcW w:w="1368" w:type="dxa"/>
            <w:vAlign w:val="center"/>
          </w:tcPr>
          <w:p w:rsidRPr="00185AD9" w:rsidR="007D48C5" w:rsidP="002368D5" w:rsidRDefault="002368D5" w14:paraId="5CD57E57" w14:textId="4BD9551E">
            <w:pPr>
              <w:widowControl w:val="0"/>
              <w:tabs>
                <w:tab w:val="left" w:pos="1545"/>
              </w:tabs>
              <w:autoSpaceDE w:val="0"/>
              <w:autoSpaceDN w:val="0"/>
              <w:adjustRightInd w:val="0"/>
              <w:jc w:val="center"/>
            </w:pPr>
            <w:r w:rsidRPr="00185AD9">
              <w:t>$730.89</w:t>
            </w:r>
          </w:p>
        </w:tc>
      </w:tr>
      <w:tr w:rsidRPr="00A5763A" w:rsidR="00A46B7B" w:rsidTr="00C226AD" w14:paraId="3A8C38A0" w14:textId="6D69C985">
        <w:trPr>
          <w:trHeight w:val="971"/>
        </w:trPr>
        <w:tc>
          <w:tcPr>
            <w:tcW w:w="1885" w:type="dxa"/>
            <w:shd w:val="clear" w:color="auto" w:fill="auto"/>
            <w:vAlign w:val="center"/>
          </w:tcPr>
          <w:p w:rsidRPr="00BC761E" w:rsidR="00A46B7B" w:rsidP="00A46B7B" w:rsidRDefault="00A46B7B" w14:paraId="2B12479E" w14:textId="77777777">
            <w:pPr>
              <w:widowControl w:val="0"/>
              <w:tabs>
                <w:tab w:val="left" w:pos="1545"/>
              </w:tabs>
              <w:autoSpaceDE w:val="0"/>
              <w:autoSpaceDN w:val="0"/>
              <w:adjustRightInd w:val="0"/>
              <w:jc w:val="center"/>
            </w:pPr>
            <w:r w:rsidRPr="00BC761E">
              <w:t xml:space="preserve">EI Child Participants </w:t>
            </w:r>
          </w:p>
          <w:p w:rsidRPr="00BC761E" w:rsidR="00A46B7B" w:rsidP="00A46B7B" w:rsidRDefault="00A46B7B" w14:paraId="511E2007" w14:textId="775244AC">
            <w:pPr>
              <w:widowControl w:val="0"/>
              <w:tabs>
                <w:tab w:val="left" w:pos="1545"/>
              </w:tabs>
              <w:autoSpaceDE w:val="0"/>
              <w:autoSpaceDN w:val="0"/>
              <w:adjustRightInd w:val="0"/>
              <w:jc w:val="center"/>
            </w:pPr>
            <w:r w:rsidRPr="00BC761E">
              <w:t>(12 – 17 years of age)</w:t>
            </w:r>
          </w:p>
        </w:tc>
        <w:tc>
          <w:tcPr>
            <w:tcW w:w="1701" w:type="dxa"/>
            <w:shd w:val="clear" w:color="auto" w:fill="auto"/>
            <w:vAlign w:val="center"/>
          </w:tcPr>
          <w:p w:rsidRPr="00AE6427" w:rsidR="00A46B7B" w:rsidP="00A46B7B" w:rsidRDefault="00A46B7B" w14:paraId="0BBF88EF" w14:textId="462059B1">
            <w:pPr>
              <w:widowControl w:val="0"/>
              <w:tabs>
                <w:tab w:val="left" w:pos="1545"/>
              </w:tabs>
              <w:autoSpaceDE w:val="0"/>
              <w:autoSpaceDN w:val="0"/>
              <w:adjustRightInd w:val="0"/>
              <w:jc w:val="center"/>
              <w:rPr>
                <w:sz w:val="22"/>
                <w:szCs w:val="22"/>
              </w:rPr>
            </w:pPr>
            <w:r w:rsidRPr="00AE6427">
              <w:rPr>
                <w:sz w:val="22"/>
                <w:szCs w:val="22"/>
              </w:rPr>
              <w:t>Personal Exposure Questionnaire (Child)</w:t>
            </w:r>
          </w:p>
        </w:tc>
        <w:tc>
          <w:tcPr>
            <w:tcW w:w="937" w:type="dxa"/>
            <w:shd w:val="clear" w:color="auto" w:fill="auto"/>
            <w:vAlign w:val="center"/>
          </w:tcPr>
          <w:p w:rsidRPr="00185AD9" w:rsidR="00A46B7B" w:rsidP="00A46B7B" w:rsidRDefault="00A46B7B" w14:paraId="4DF4EAE0" w14:textId="621DAADF">
            <w:pPr>
              <w:widowControl w:val="0"/>
              <w:tabs>
                <w:tab w:val="left" w:pos="1545"/>
              </w:tabs>
              <w:autoSpaceDE w:val="0"/>
              <w:autoSpaceDN w:val="0"/>
              <w:adjustRightInd w:val="0"/>
              <w:jc w:val="center"/>
            </w:pPr>
            <w:r w:rsidRPr="00185AD9">
              <w:t>6</w:t>
            </w:r>
          </w:p>
        </w:tc>
        <w:tc>
          <w:tcPr>
            <w:tcW w:w="938" w:type="dxa"/>
            <w:shd w:val="clear" w:color="auto" w:fill="auto"/>
            <w:vAlign w:val="center"/>
          </w:tcPr>
          <w:p w:rsidRPr="00185AD9" w:rsidR="00A46B7B" w:rsidP="00A46B7B" w:rsidRDefault="00A46B7B" w14:paraId="47E37A1A" w14:textId="77777777">
            <w:pPr>
              <w:widowControl w:val="0"/>
              <w:tabs>
                <w:tab w:val="left" w:pos="1545"/>
              </w:tabs>
              <w:autoSpaceDE w:val="0"/>
              <w:autoSpaceDN w:val="0"/>
              <w:adjustRightInd w:val="0"/>
              <w:jc w:val="center"/>
            </w:pPr>
            <w:r w:rsidRPr="00185AD9">
              <w:t>1</w:t>
            </w:r>
          </w:p>
        </w:tc>
        <w:tc>
          <w:tcPr>
            <w:tcW w:w="938" w:type="dxa"/>
            <w:shd w:val="clear" w:color="auto" w:fill="auto"/>
            <w:vAlign w:val="center"/>
          </w:tcPr>
          <w:p w:rsidRPr="00185AD9" w:rsidR="00A46B7B" w:rsidP="00A46B7B" w:rsidRDefault="00A46B7B" w14:paraId="7CD01268" w14:textId="77777777">
            <w:pPr>
              <w:widowControl w:val="0"/>
              <w:tabs>
                <w:tab w:val="left" w:pos="1545"/>
              </w:tabs>
              <w:autoSpaceDE w:val="0"/>
              <w:autoSpaceDN w:val="0"/>
              <w:adjustRightInd w:val="0"/>
              <w:jc w:val="center"/>
            </w:pPr>
            <w:r w:rsidRPr="00185AD9">
              <w:t>15/60</w:t>
            </w:r>
          </w:p>
        </w:tc>
        <w:tc>
          <w:tcPr>
            <w:tcW w:w="938" w:type="dxa"/>
            <w:vAlign w:val="center"/>
          </w:tcPr>
          <w:p w:rsidRPr="00185AD9" w:rsidR="00A46B7B" w:rsidP="00A46B7B" w:rsidRDefault="00C81149" w14:paraId="555F0D40" w14:textId="538FB8AF">
            <w:pPr>
              <w:widowControl w:val="0"/>
              <w:tabs>
                <w:tab w:val="left" w:pos="1545"/>
              </w:tabs>
              <w:autoSpaceDE w:val="0"/>
              <w:autoSpaceDN w:val="0"/>
              <w:adjustRightInd w:val="0"/>
              <w:jc w:val="center"/>
            </w:pPr>
            <w:r>
              <w:t>2</w:t>
            </w:r>
          </w:p>
        </w:tc>
        <w:tc>
          <w:tcPr>
            <w:tcW w:w="938" w:type="dxa"/>
            <w:vAlign w:val="center"/>
          </w:tcPr>
          <w:p w:rsidRPr="00185AD9" w:rsidR="00A46B7B" w:rsidP="00A46B7B" w:rsidRDefault="00A46B7B" w14:paraId="4332F6FA" w14:textId="3A31C4DB">
            <w:pPr>
              <w:widowControl w:val="0"/>
              <w:tabs>
                <w:tab w:val="left" w:pos="1545"/>
              </w:tabs>
              <w:autoSpaceDE w:val="0"/>
              <w:autoSpaceDN w:val="0"/>
              <w:adjustRightInd w:val="0"/>
              <w:jc w:val="center"/>
            </w:pPr>
            <w:r w:rsidRPr="00185AD9">
              <w:t>$7.25</w:t>
            </w:r>
          </w:p>
        </w:tc>
        <w:tc>
          <w:tcPr>
            <w:tcW w:w="1368" w:type="dxa"/>
            <w:vAlign w:val="center"/>
          </w:tcPr>
          <w:p w:rsidRPr="00185AD9" w:rsidR="00A46B7B" w:rsidP="00A46B7B" w:rsidRDefault="00230A57" w14:paraId="0E64EE47" w14:textId="1C6388A0">
            <w:pPr>
              <w:widowControl w:val="0"/>
              <w:tabs>
                <w:tab w:val="left" w:pos="1545"/>
              </w:tabs>
              <w:autoSpaceDE w:val="0"/>
              <w:autoSpaceDN w:val="0"/>
              <w:adjustRightInd w:val="0"/>
              <w:jc w:val="center"/>
            </w:pPr>
            <w:r w:rsidRPr="00185AD9">
              <w:t>$</w:t>
            </w:r>
            <w:r w:rsidR="00BC761E">
              <w:t>1</w:t>
            </w:r>
            <w:r w:rsidR="00A22110">
              <w:t>0.88</w:t>
            </w:r>
          </w:p>
        </w:tc>
      </w:tr>
      <w:tr w:rsidRPr="00A5763A" w:rsidR="00A46B7B" w:rsidTr="008568F6" w14:paraId="402F46C7" w14:textId="766D60E4">
        <w:trPr>
          <w:trHeight w:val="1349"/>
        </w:trPr>
        <w:tc>
          <w:tcPr>
            <w:tcW w:w="1885" w:type="dxa"/>
            <w:shd w:val="clear" w:color="auto" w:fill="auto"/>
            <w:vAlign w:val="center"/>
          </w:tcPr>
          <w:p w:rsidRPr="00BC761E" w:rsidR="00A46B7B" w:rsidP="00A46B7B" w:rsidRDefault="00A46B7B" w14:paraId="6519C9AA" w14:textId="4012C3F9">
            <w:pPr>
              <w:widowControl w:val="0"/>
              <w:tabs>
                <w:tab w:val="left" w:pos="1545"/>
              </w:tabs>
              <w:autoSpaceDE w:val="0"/>
              <w:autoSpaceDN w:val="0"/>
              <w:adjustRightInd w:val="0"/>
              <w:jc w:val="center"/>
            </w:pPr>
            <w:r w:rsidRPr="00BC761E">
              <w:t>Parents of EI Child Participants (less than 12 years of age)</w:t>
            </w:r>
          </w:p>
        </w:tc>
        <w:tc>
          <w:tcPr>
            <w:tcW w:w="1701" w:type="dxa"/>
            <w:shd w:val="clear" w:color="auto" w:fill="auto"/>
            <w:vAlign w:val="center"/>
          </w:tcPr>
          <w:p w:rsidRPr="00AE6427" w:rsidR="00A46B7B" w:rsidP="00A46B7B" w:rsidRDefault="00A46B7B" w14:paraId="295A7E23" w14:textId="38E36B89">
            <w:pPr>
              <w:widowControl w:val="0"/>
              <w:tabs>
                <w:tab w:val="left" w:pos="1545"/>
              </w:tabs>
              <w:autoSpaceDE w:val="0"/>
              <w:autoSpaceDN w:val="0"/>
              <w:adjustRightInd w:val="0"/>
              <w:jc w:val="center"/>
              <w:rPr>
                <w:sz w:val="22"/>
                <w:szCs w:val="22"/>
              </w:rPr>
            </w:pPr>
            <w:r w:rsidRPr="00AE6427">
              <w:rPr>
                <w:sz w:val="22"/>
                <w:szCs w:val="22"/>
              </w:rPr>
              <w:t>Personal Exposure Questionnaire (Child)</w:t>
            </w:r>
          </w:p>
        </w:tc>
        <w:tc>
          <w:tcPr>
            <w:tcW w:w="937" w:type="dxa"/>
            <w:shd w:val="clear" w:color="auto" w:fill="auto"/>
            <w:vAlign w:val="center"/>
          </w:tcPr>
          <w:p w:rsidRPr="00185AD9" w:rsidR="00A46B7B" w:rsidP="00A46B7B" w:rsidRDefault="00A46B7B" w14:paraId="0FA5D677" w14:textId="07A14927">
            <w:pPr>
              <w:widowControl w:val="0"/>
              <w:tabs>
                <w:tab w:val="left" w:pos="1545"/>
              </w:tabs>
              <w:autoSpaceDE w:val="0"/>
              <w:autoSpaceDN w:val="0"/>
              <w:adjustRightInd w:val="0"/>
              <w:jc w:val="center"/>
            </w:pPr>
            <w:r w:rsidRPr="00185AD9">
              <w:t>6</w:t>
            </w:r>
          </w:p>
        </w:tc>
        <w:tc>
          <w:tcPr>
            <w:tcW w:w="938" w:type="dxa"/>
            <w:shd w:val="clear" w:color="auto" w:fill="auto"/>
            <w:vAlign w:val="center"/>
          </w:tcPr>
          <w:p w:rsidRPr="00185AD9" w:rsidR="00A46B7B" w:rsidP="00A46B7B" w:rsidRDefault="00A46B7B" w14:paraId="68214D39" w14:textId="77777777">
            <w:pPr>
              <w:widowControl w:val="0"/>
              <w:tabs>
                <w:tab w:val="left" w:pos="1545"/>
              </w:tabs>
              <w:autoSpaceDE w:val="0"/>
              <w:autoSpaceDN w:val="0"/>
              <w:adjustRightInd w:val="0"/>
              <w:jc w:val="center"/>
            </w:pPr>
            <w:r w:rsidRPr="00185AD9">
              <w:t>1</w:t>
            </w:r>
          </w:p>
        </w:tc>
        <w:tc>
          <w:tcPr>
            <w:tcW w:w="938" w:type="dxa"/>
            <w:shd w:val="clear" w:color="auto" w:fill="auto"/>
            <w:vAlign w:val="center"/>
          </w:tcPr>
          <w:p w:rsidRPr="00185AD9" w:rsidR="00A46B7B" w:rsidP="00A46B7B" w:rsidRDefault="00A46B7B" w14:paraId="609C742C" w14:textId="77777777">
            <w:pPr>
              <w:widowControl w:val="0"/>
              <w:tabs>
                <w:tab w:val="left" w:pos="1545"/>
              </w:tabs>
              <w:autoSpaceDE w:val="0"/>
              <w:autoSpaceDN w:val="0"/>
              <w:adjustRightInd w:val="0"/>
              <w:jc w:val="center"/>
            </w:pPr>
            <w:r w:rsidRPr="00185AD9">
              <w:t>15/60</w:t>
            </w:r>
          </w:p>
        </w:tc>
        <w:tc>
          <w:tcPr>
            <w:tcW w:w="938" w:type="dxa"/>
            <w:vAlign w:val="center"/>
          </w:tcPr>
          <w:p w:rsidRPr="00185AD9" w:rsidR="00A46B7B" w:rsidP="00A46B7B" w:rsidRDefault="00C81149" w14:paraId="6D21AE79" w14:textId="4BACF1C8">
            <w:pPr>
              <w:widowControl w:val="0"/>
              <w:tabs>
                <w:tab w:val="left" w:pos="1545"/>
              </w:tabs>
              <w:autoSpaceDE w:val="0"/>
              <w:autoSpaceDN w:val="0"/>
              <w:adjustRightInd w:val="0"/>
              <w:jc w:val="center"/>
            </w:pPr>
            <w:r>
              <w:t>2</w:t>
            </w:r>
          </w:p>
        </w:tc>
        <w:tc>
          <w:tcPr>
            <w:tcW w:w="938" w:type="dxa"/>
            <w:vAlign w:val="center"/>
          </w:tcPr>
          <w:p w:rsidRPr="00185AD9" w:rsidR="00A46B7B" w:rsidP="00A46B7B" w:rsidRDefault="00A46B7B" w14:paraId="0108F91C" w14:textId="07025B83">
            <w:pPr>
              <w:widowControl w:val="0"/>
              <w:tabs>
                <w:tab w:val="left" w:pos="1545"/>
              </w:tabs>
              <w:autoSpaceDE w:val="0"/>
              <w:autoSpaceDN w:val="0"/>
              <w:adjustRightInd w:val="0"/>
              <w:jc w:val="center"/>
            </w:pPr>
            <w:r w:rsidRPr="00185AD9">
              <w:t>$27.07</w:t>
            </w:r>
          </w:p>
        </w:tc>
        <w:tc>
          <w:tcPr>
            <w:tcW w:w="1368" w:type="dxa"/>
            <w:vAlign w:val="center"/>
          </w:tcPr>
          <w:p w:rsidRPr="00185AD9" w:rsidR="00A46B7B" w:rsidP="00A46B7B" w:rsidRDefault="00230A57" w14:paraId="5D2B0DA7" w14:textId="3C0A9B66">
            <w:pPr>
              <w:widowControl w:val="0"/>
              <w:tabs>
                <w:tab w:val="left" w:pos="1545"/>
              </w:tabs>
              <w:autoSpaceDE w:val="0"/>
              <w:autoSpaceDN w:val="0"/>
              <w:adjustRightInd w:val="0"/>
              <w:jc w:val="center"/>
            </w:pPr>
            <w:r w:rsidRPr="00185AD9">
              <w:t>$</w:t>
            </w:r>
            <w:r w:rsidR="00A22110">
              <w:t>40.61</w:t>
            </w:r>
          </w:p>
        </w:tc>
      </w:tr>
      <w:tr w:rsidRPr="00A5763A" w:rsidR="00A46B7B" w:rsidTr="008568F6" w14:paraId="73808E79" w14:textId="59CE37D1">
        <w:trPr>
          <w:trHeight w:val="224"/>
        </w:trPr>
        <w:tc>
          <w:tcPr>
            <w:tcW w:w="1885" w:type="dxa"/>
            <w:shd w:val="clear" w:color="auto" w:fill="auto"/>
            <w:vAlign w:val="center"/>
          </w:tcPr>
          <w:p w:rsidRPr="00185AD9" w:rsidR="00A46B7B" w:rsidP="00A46B7B" w:rsidRDefault="00A46B7B" w14:paraId="343E6E78" w14:textId="77777777">
            <w:pPr>
              <w:widowControl w:val="0"/>
              <w:tabs>
                <w:tab w:val="left" w:pos="1545"/>
              </w:tabs>
              <w:autoSpaceDE w:val="0"/>
              <w:autoSpaceDN w:val="0"/>
              <w:adjustRightInd w:val="0"/>
              <w:jc w:val="center"/>
            </w:pPr>
            <w:r w:rsidRPr="00185AD9">
              <w:lastRenderedPageBreak/>
              <w:t>Total</w:t>
            </w:r>
          </w:p>
        </w:tc>
        <w:tc>
          <w:tcPr>
            <w:tcW w:w="1701" w:type="dxa"/>
            <w:shd w:val="clear" w:color="auto" w:fill="auto"/>
            <w:vAlign w:val="center"/>
          </w:tcPr>
          <w:p w:rsidRPr="00185AD9" w:rsidR="00A46B7B" w:rsidP="00A46B7B" w:rsidRDefault="00A46B7B" w14:paraId="5A20D3AC" w14:textId="77777777">
            <w:pPr>
              <w:widowControl w:val="0"/>
              <w:tabs>
                <w:tab w:val="left" w:pos="1545"/>
              </w:tabs>
              <w:autoSpaceDE w:val="0"/>
              <w:autoSpaceDN w:val="0"/>
              <w:adjustRightInd w:val="0"/>
              <w:jc w:val="center"/>
            </w:pPr>
          </w:p>
        </w:tc>
        <w:tc>
          <w:tcPr>
            <w:tcW w:w="937" w:type="dxa"/>
            <w:shd w:val="clear" w:color="auto" w:fill="auto"/>
            <w:vAlign w:val="center"/>
          </w:tcPr>
          <w:p w:rsidRPr="00185AD9" w:rsidR="00A46B7B" w:rsidP="00A46B7B" w:rsidRDefault="00A46B7B" w14:paraId="386564C5" w14:textId="77777777">
            <w:pPr>
              <w:widowControl w:val="0"/>
              <w:tabs>
                <w:tab w:val="left" w:pos="1545"/>
              </w:tabs>
              <w:autoSpaceDE w:val="0"/>
              <w:autoSpaceDN w:val="0"/>
              <w:adjustRightInd w:val="0"/>
              <w:jc w:val="center"/>
            </w:pPr>
          </w:p>
        </w:tc>
        <w:tc>
          <w:tcPr>
            <w:tcW w:w="938" w:type="dxa"/>
            <w:shd w:val="clear" w:color="auto" w:fill="auto"/>
            <w:vAlign w:val="center"/>
          </w:tcPr>
          <w:p w:rsidRPr="00185AD9" w:rsidR="00A46B7B" w:rsidP="00A46B7B" w:rsidRDefault="00A46B7B" w14:paraId="24D7BA00" w14:textId="77777777">
            <w:pPr>
              <w:widowControl w:val="0"/>
              <w:tabs>
                <w:tab w:val="left" w:pos="1545"/>
              </w:tabs>
              <w:autoSpaceDE w:val="0"/>
              <w:autoSpaceDN w:val="0"/>
              <w:adjustRightInd w:val="0"/>
              <w:jc w:val="center"/>
            </w:pPr>
          </w:p>
        </w:tc>
        <w:tc>
          <w:tcPr>
            <w:tcW w:w="938" w:type="dxa"/>
            <w:shd w:val="clear" w:color="auto" w:fill="auto"/>
            <w:vAlign w:val="center"/>
          </w:tcPr>
          <w:p w:rsidRPr="00185AD9" w:rsidR="00A46B7B" w:rsidP="00A46B7B" w:rsidRDefault="00A46B7B" w14:paraId="03076314" w14:textId="77777777">
            <w:pPr>
              <w:widowControl w:val="0"/>
              <w:tabs>
                <w:tab w:val="left" w:pos="1545"/>
              </w:tabs>
              <w:autoSpaceDE w:val="0"/>
              <w:autoSpaceDN w:val="0"/>
              <w:adjustRightInd w:val="0"/>
              <w:jc w:val="center"/>
            </w:pPr>
          </w:p>
        </w:tc>
        <w:tc>
          <w:tcPr>
            <w:tcW w:w="938" w:type="dxa"/>
            <w:vAlign w:val="center"/>
          </w:tcPr>
          <w:p w:rsidRPr="00185AD9" w:rsidR="00A46B7B" w:rsidP="00A46B7B" w:rsidRDefault="00A46B7B" w14:paraId="4D7097E8" w14:textId="3DDDCDCF">
            <w:pPr>
              <w:widowControl w:val="0"/>
              <w:tabs>
                <w:tab w:val="left" w:pos="1545"/>
              </w:tabs>
              <w:autoSpaceDE w:val="0"/>
              <w:autoSpaceDN w:val="0"/>
              <w:adjustRightInd w:val="0"/>
              <w:jc w:val="center"/>
            </w:pPr>
          </w:p>
        </w:tc>
        <w:tc>
          <w:tcPr>
            <w:tcW w:w="938" w:type="dxa"/>
            <w:vAlign w:val="center"/>
          </w:tcPr>
          <w:p w:rsidRPr="00AE6427" w:rsidR="00A46B7B" w:rsidP="00A46B7B" w:rsidRDefault="00A46B7B" w14:paraId="77318CBC" w14:textId="77777777">
            <w:pPr>
              <w:widowControl w:val="0"/>
              <w:tabs>
                <w:tab w:val="left" w:pos="1545"/>
              </w:tabs>
              <w:autoSpaceDE w:val="0"/>
              <w:autoSpaceDN w:val="0"/>
              <w:adjustRightInd w:val="0"/>
              <w:jc w:val="center"/>
            </w:pPr>
          </w:p>
        </w:tc>
        <w:tc>
          <w:tcPr>
            <w:tcW w:w="1368" w:type="dxa"/>
            <w:vAlign w:val="center"/>
          </w:tcPr>
          <w:p w:rsidRPr="00AE6427" w:rsidR="00A46B7B" w:rsidP="00A46B7B" w:rsidRDefault="00A46B7B" w14:paraId="57402D48" w14:textId="62B19C6A">
            <w:pPr>
              <w:widowControl w:val="0"/>
              <w:tabs>
                <w:tab w:val="left" w:pos="1545"/>
              </w:tabs>
              <w:autoSpaceDE w:val="0"/>
              <w:autoSpaceDN w:val="0"/>
              <w:adjustRightInd w:val="0"/>
              <w:jc w:val="center"/>
            </w:pPr>
            <w:bookmarkStart w:name="_Hlk75536295" w:id="105"/>
            <w:r w:rsidRPr="00AE6427">
              <w:t>$</w:t>
            </w:r>
            <w:bookmarkEnd w:id="105"/>
            <w:r w:rsidR="00BC761E">
              <w:t>9,4</w:t>
            </w:r>
            <w:r w:rsidR="00A22110">
              <w:t>44.77</w:t>
            </w:r>
          </w:p>
        </w:tc>
      </w:tr>
    </w:tbl>
    <w:p w:rsidR="006653AB" w:rsidP="006653AB" w:rsidRDefault="006653AB" w14:paraId="453F6B55" w14:textId="77777777">
      <w:pPr>
        <w:tabs>
          <w:tab w:val="center" w:pos="4680"/>
          <w:tab w:val="left" w:pos="7710"/>
        </w:tabs>
      </w:pPr>
    </w:p>
    <w:p w:rsidR="00311E38" w:rsidP="00041F9D" w:rsidRDefault="00311E38" w14:paraId="581CA4F5" w14:textId="77777777">
      <w:pPr>
        <w:tabs>
          <w:tab w:val="center" w:pos="4680"/>
          <w:tab w:val="left" w:pos="7710"/>
        </w:tabs>
        <w:jc w:val="center"/>
        <w:rPr>
          <w:b/>
        </w:rPr>
      </w:pPr>
    </w:p>
    <w:p w:rsidR="00261215" w:rsidP="00B60A40" w:rsidRDefault="00B60A40" w14:paraId="5DF13B52" w14:textId="77777777">
      <w:pPr>
        <w:pStyle w:val="Heading2"/>
      </w:pPr>
      <w:bookmarkStart w:name="_Toc76650797" w:id="106"/>
      <w:r>
        <w:t>A.13</w:t>
      </w:r>
      <w:r w:rsidR="002A0056">
        <w:t>.</w:t>
      </w:r>
      <w:r w:rsidR="00261215">
        <w:t xml:space="preserve"> Estimates of Other Total Annual Cost Burden to </w:t>
      </w:r>
      <w:r w:rsidR="009F3DD8">
        <w:t>Respondents</w:t>
      </w:r>
      <w:r w:rsidR="00261215">
        <w:t xml:space="preserve"> o</w:t>
      </w:r>
      <w:r w:rsidR="00DD0E31">
        <w:t>r</w:t>
      </w:r>
      <w:r w:rsidR="00261215">
        <w:t xml:space="preserve"> Record Keepers</w:t>
      </w:r>
      <w:bookmarkEnd w:id="106"/>
    </w:p>
    <w:p w:rsidRPr="000128D8" w:rsidR="00DD0E31" w:rsidP="006653AB" w:rsidRDefault="00DD0E31" w14:paraId="0A7D9D59" w14:textId="77777777">
      <w:pPr>
        <w:tabs>
          <w:tab w:val="center" w:pos="4680"/>
          <w:tab w:val="left" w:pos="7710"/>
        </w:tabs>
      </w:pPr>
    </w:p>
    <w:p w:rsidR="00DD0E31" w:rsidP="006653AB" w:rsidRDefault="00540BD7" w14:paraId="100A09AB" w14:textId="77777777">
      <w:pPr>
        <w:tabs>
          <w:tab w:val="center" w:pos="4680"/>
          <w:tab w:val="left" w:pos="7710"/>
        </w:tabs>
        <w:rPr>
          <w:b/>
        </w:rPr>
      </w:pPr>
      <w:r>
        <w:t>There will be no direct costs to the participants other than their time to participate in the EI</w:t>
      </w:r>
      <w:r w:rsidRPr="000128D8" w:rsidR="00DD0E31">
        <w:t>.</w:t>
      </w:r>
    </w:p>
    <w:bookmarkEnd w:id="100"/>
    <w:bookmarkEnd w:id="101"/>
    <w:bookmarkEnd w:id="102"/>
    <w:bookmarkEnd w:id="103"/>
    <w:p w:rsidRPr="00A527F9" w:rsidR="00AB0F01" w:rsidP="002F40AB" w:rsidRDefault="00AB0F01" w14:paraId="6C21B0A5" w14:textId="77777777">
      <w:pPr>
        <w:autoSpaceDE w:val="0"/>
        <w:autoSpaceDN w:val="0"/>
        <w:adjustRightInd w:val="0"/>
        <w:rPr>
          <w:color w:val="000000" w:themeColor="text1"/>
        </w:rPr>
      </w:pPr>
    </w:p>
    <w:p w:rsidR="006653AB" w:rsidP="00B60A40" w:rsidRDefault="00B60A40" w14:paraId="6382ADBD" w14:textId="77777777">
      <w:pPr>
        <w:pStyle w:val="Heading2"/>
      </w:pPr>
      <w:bookmarkStart w:name="_Toc76650798" w:id="107"/>
      <w:bookmarkStart w:name="_Toc306344159" w:id="108"/>
      <w:bookmarkStart w:name="_Toc306344800" w:id="109"/>
      <w:bookmarkStart w:name="_Toc306345041" w:id="110"/>
      <w:bookmarkStart w:name="_Toc311445510" w:id="111"/>
      <w:r>
        <w:t>A.14</w:t>
      </w:r>
      <w:r w:rsidR="006653AB">
        <w:t>. Annualized Cost to the Government</w:t>
      </w:r>
      <w:bookmarkEnd w:id="107"/>
    </w:p>
    <w:p w:rsidR="006653AB" w:rsidP="006653AB" w:rsidRDefault="006653AB" w14:paraId="275018FB" w14:textId="77777777">
      <w:pPr>
        <w:tabs>
          <w:tab w:val="center" w:pos="4680"/>
          <w:tab w:val="left" w:pos="7710"/>
        </w:tabs>
        <w:rPr>
          <w:b/>
        </w:rPr>
      </w:pPr>
    </w:p>
    <w:p w:rsidRPr="007B1D90" w:rsidR="00942F16" w:rsidP="00942F16" w:rsidRDefault="00942F16" w14:paraId="22C3AB6E" w14:textId="60B4C6BC">
      <w:pPr>
        <w:tabs>
          <w:tab w:val="center" w:pos="4680"/>
          <w:tab w:val="left" w:pos="7710"/>
        </w:tabs>
        <w:spacing w:line="276" w:lineRule="auto"/>
      </w:pPr>
      <w:r w:rsidRPr="001D5144">
        <w:t xml:space="preserve">Costs for ATSDR personnel and </w:t>
      </w:r>
      <w:r>
        <w:t>contractors</w:t>
      </w:r>
      <w:r w:rsidRPr="001D5144">
        <w:t xml:space="preserve"> are estimated based on experience with </w:t>
      </w:r>
      <w:r>
        <w:t>Exposure Investigation</w:t>
      </w:r>
      <w:r w:rsidRPr="001D5144">
        <w:t xml:space="preserve"> activities </w:t>
      </w:r>
      <w:r w:rsidRPr="001D5144">
        <w:rPr>
          <w:bCs/>
        </w:rPr>
        <w:t xml:space="preserve">under </w:t>
      </w:r>
      <w:r w:rsidRPr="001D5144">
        <w:rPr>
          <w:i/>
        </w:rPr>
        <w:t>ATSDR Exposure Investigations</w:t>
      </w:r>
      <w:r w:rsidRPr="001D5144">
        <w:t xml:space="preserve"> (OMB Control No. 0923-0048, expiration date 0</w:t>
      </w:r>
      <w:r>
        <w:t>4/30/2022</w:t>
      </w:r>
      <w:r w:rsidRPr="001D5144">
        <w:t>).</w:t>
      </w:r>
      <w:r w:rsidRPr="007B1D90">
        <w:t xml:space="preserve">                                                                                      </w:t>
      </w:r>
    </w:p>
    <w:p w:rsidR="00D31DC0" w:rsidP="00942F16" w:rsidRDefault="00D31DC0" w14:paraId="0CB3EF8A" w14:textId="77777777">
      <w:pPr>
        <w:tabs>
          <w:tab w:val="left" w:pos="1545"/>
        </w:tabs>
        <w:spacing w:line="276" w:lineRule="auto"/>
      </w:pPr>
    </w:p>
    <w:p w:rsidRPr="00BC581D" w:rsidR="00942F16" w:rsidP="00942F16" w:rsidRDefault="00D31DC0" w14:paraId="47945A93" w14:textId="32E12854">
      <w:pPr>
        <w:tabs>
          <w:tab w:val="left" w:pos="1545"/>
        </w:tabs>
        <w:spacing w:line="276" w:lineRule="auto"/>
      </w:pPr>
      <w:r>
        <w:t xml:space="preserve">This Exposure Investigation is being conducted using an Interagency Agreement (IAA) with the U.S. Environmental Protection Agency (EPA) that provides a budget of approximately $950,000 for completion of the Exposure Investigation, which includes costs associated with </w:t>
      </w:r>
      <w:r w:rsidRPr="001D5144" w:rsidR="00942F16">
        <w:t>FTEs (including benefits); contractors; travel; per diem; and laboratory, suppl</w:t>
      </w:r>
      <w:r w:rsidR="00942F16">
        <w:t>ies</w:t>
      </w:r>
      <w:r w:rsidRPr="001D5144" w:rsidR="00942F16">
        <w:t>, and equipment costs.</w:t>
      </w:r>
    </w:p>
    <w:p w:rsidRPr="005D7203" w:rsidR="00540BD7" w:rsidP="006653AB" w:rsidRDefault="00540BD7" w14:paraId="7E23F8BC" w14:textId="77777777">
      <w:pPr>
        <w:tabs>
          <w:tab w:val="center" w:pos="4680"/>
          <w:tab w:val="left" w:pos="7710"/>
        </w:tabs>
      </w:pPr>
    </w:p>
    <w:p w:rsidRPr="00041F9D" w:rsidR="006653AB" w:rsidP="007F446A" w:rsidRDefault="00B04CF8" w14:paraId="6D1BC6C9" w14:textId="77777777">
      <w:pPr>
        <w:pStyle w:val="Heading2"/>
      </w:pPr>
      <w:bookmarkStart w:name="_Toc76650799" w:id="112"/>
      <w:bookmarkStart w:name="_Toc306344160" w:id="113"/>
      <w:bookmarkStart w:name="_Toc306344801" w:id="114"/>
      <w:bookmarkStart w:name="_Toc306345042" w:id="115"/>
      <w:bookmarkStart w:name="_Toc311445513" w:id="116"/>
      <w:bookmarkEnd w:id="108"/>
      <w:bookmarkEnd w:id="109"/>
      <w:bookmarkEnd w:id="110"/>
      <w:bookmarkEnd w:id="111"/>
      <w:r w:rsidRPr="00041F9D">
        <w:t>A.</w:t>
      </w:r>
      <w:r w:rsidRPr="00041F9D" w:rsidR="006653AB">
        <w:t>1</w:t>
      </w:r>
      <w:r w:rsidRPr="00041F9D" w:rsidR="00B60A40">
        <w:t>5</w:t>
      </w:r>
      <w:r w:rsidRPr="00041F9D" w:rsidR="006653AB">
        <w:t>. Explanation for Program Changes or Adjustments</w:t>
      </w:r>
      <w:bookmarkEnd w:id="112"/>
    </w:p>
    <w:p w:rsidRPr="003B5990" w:rsidR="006653AB" w:rsidP="006653AB" w:rsidRDefault="006653AB" w14:paraId="5DA601E8" w14:textId="77777777">
      <w:pPr>
        <w:tabs>
          <w:tab w:val="left" w:pos="1545"/>
        </w:tabs>
        <w:rPr>
          <w:b/>
          <w:u w:val="single"/>
        </w:rPr>
      </w:pPr>
    </w:p>
    <w:p w:rsidRPr="00041F9D" w:rsidR="006653AB" w:rsidP="006653AB" w:rsidRDefault="00311E38" w14:paraId="44A408E8" w14:textId="77777777">
      <w:pPr>
        <w:tabs>
          <w:tab w:val="left" w:pos="1545"/>
        </w:tabs>
      </w:pPr>
      <w:r w:rsidRPr="00041F9D">
        <w:rPr>
          <w:rFonts w:eastAsia="Calibri"/>
        </w:rPr>
        <w:t>This is a new data collection.</w:t>
      </w:r>
    </w:p>
    <w:p w:rsidRPr="003B5990" w:rsidR="006653AB" w:rsidP="006653AB" w:rsidRDefault="006653AB" w14:paraId="63F68E23" w14:textId="77777777">
      <w:pPr>
        <w:tabs>
          <w:tab w:val="left" w:pos="1545"/>
        </w:tabs>
        <w:rPr>
          <w:u w:val="single"/>
        </w:rPr>
      </w:pPr>
    </w:p>
    <w:p w:rsidRPr="003B5990" w:rsidR="006653AB" w:rsidRDefault="00B04CF8" w14:paraId="04B7B71A" w14:textId="77777777">
      <w:pPr>
        <w:pStyle w:val="Heading2"/>
      </w:pPr>
      <w:bookmarkStart w:name="_Toc76650800" w:id="117"/>
      <w:r w:rsidRPr="003B5990">
        <w:t>A.</w:t>
      </w:r>
      <w:r w:rsidRPr="003B5990" w:rsidR="006653AB">
        <w:t>1</w:t>
      </w:r>
      <w:r w:rsidR="00B60A40">
        <w:t>6</w:t>
      </w:r>
      <w:r w:rsidRPr="003B5990" w:rsidR="006653AB">
        <w:t>. Plans for Tabulation and Publication and Project Time Schedule</w:t>
      </w:r>
      <w:bookmarkEnd w:id="117"/>
    </w:p>
    <w:p w:rsidRPr="007F446A" w:rsidR="005676F3" w:rsidP="00935939" w:rsidRDefault="005676F3" w14:paraId="16F80084" w14:textId="77777777">
      <w:pPr>
        <w:tabs>
          <w:tab w:val="left" w:pos="1545"/>
        </w:tabs>
      </w:pPr>
    </w:p>
    <w:p w:rsidRPr="00844EC5" w:rsidR="00935939" w:rsidP="00844EC5" w:rsidRDefault="00D74CE6" w14:paraId="433897E7" w14:textId="77777777">
      <w:r>
        <w:rPr>
          <w:rStyle w:val="Strong"/>
          <w:rFonts w:asciiTheme="majorHAnsi" w:hAnsiTheme="majorHAnsi"/>
          <w:color w:val="4F81BD"/>
        </w:rPr>
        <w:t>A.16.1 Project Time Schedule</w:t>
      </w:r>
    </w:p>
    <w:p w:rsidR="00935939" w:rsidP="00935939" w:rsidRDefault="00935939" w14:paraId="6D284B7D" w14:textId="77777777">
      <w:pPr>
        <w:tabs>
          <w:tab w:val="left" w:pos="1545"/>
        </w:tabs>
        <w:rPr>
          <w:b/>
        </w:rPr>
      </w:pPr>
    </w:p>
    <w:p w:rsidRPr="007F446A" w:rsidR="00F04621" w:rsidP="00F04621" w:rsidRDefault="00540BD7" w14:paraId="3DE4DAB2" w14:textId="74EECFB5">
      <w:pPr>
        <w:tabs>
          <w:tab w:val="left" w:pos="1545"/>
        </w:tabs>
      </w:pPr>
      <w:r>
        <w:t>The</w:t>
      </w:r>
      <w:r w:rsidRPr="007F446A" w:rsidR="00F04621">
        <w:t xml:space="preserve"> project </w:t>
      </w:r>
      <w:r w:rsidRPr="007F446A" w:rsidR="00DD0E31">
        <w:t>T</w:t>
      </w:r>
      <w:r w:rsidRPr="007F446A" w:rsidR="00F04621">
        <w:t>ime</w:t>
      </w:r>
      <w:r w:rsidRPr="007F446A" w:rsidR="00DD0E31">
        <w:t xml:space="preserve"> Schedule</w:t>
      </w:r>
      <w:r w:rsidRPr="007F446A" w:rsidR="00F04621">
        <w:t xml:space="preserve"> </w:t>
      </w:r>
      <w:r>
        <w:t xml:space="preserve">for the </w:t>
      </w:r>
      <w:r w:rsidR="00AC3669">
        <w:t>environmental sampling EI</w:t>
      </w:r>
      <w:r w:rsidR="00D31DC0">
        <w:t xml:space="preserve"> </w:t>
      </w:r>
      <w:r>
        <w:t>is as follows:</w:t>
      </w:r>
      <w:r w:rsidRPr="007F446A" w:rsidR="00F04621">
        <w:t xml:space="preserve"> </w:t>
      </w:r>
    </w:p>
    <w:p w:rsidR="00F04621" w:rsidP="00935939" w:rsidRDefault="00935939" w14:paraId="0FA6A1E1" w14:textId="77777777">
      <w:pPr>
        <w:tabs>
          <w:tab w:val="left" w:pos="1545"/>
        </w:tabs>
        <w:rPr>
          <w:b/>
        </w:rPr>
      </w:pPr>
      <w:r>
        <w:rPr>
          <w:b/>
        </w:rPr>
        <w:t xml:space="preserve"> </w:t>
      </w:r>
    </w:p>
    <w:p w:rsidR="00482FD3" w:rsidP="00935939" w:rsidRDefault="00482FD3" w14:paraId="069CE598" w14:textId="77777777">
      <w:pPr>
        <w:tabs>
          <w:tab w:val="left" w:pos="1545"/>
        </w:tabs>
        <w:rPr>
          <w:b/>
        </w:rPr>
      </w:pPr>
    </w:p>
    <w:p w:rsidR="00935939" w:rsidP="00935939" w:rsidRDefault="00935939" w14:paraId="4C20BC2E" w14:textId="77777777">
      <w:pPr>
        <w:tabs>
          <w:tab w:val="left" w:pos="1545"/>
        </w:tabs>
        <w:rPr>
          <w:b/>
        </w:rPr>
      </w:pPr>
      <w:r>
        <w:rPr>
          <w:b/>
        </w:rPr>
        <w:t>Activity                                                                                 Time Schedule</w:t>
      </w:r>
    </w:p>
    <w:p w:rsidR="00935939" w:rsidP="00935939" w:rsidRDefault="00935939" w14:paraId="1EE000E3" w14:textId="77777777">
      <w:pPr>
        <w:tabs>
          <w:tab w:val="left" w:pos="1545"/>
        </w:tabs>
        <w:rPr>
          <w:b/>
        </w:rPr>
      </w:pPr>
    </w:p>
    <w:p w:rsidR="00935939" w:rsidP="002202D1" w:rsidRDefault="00935939" w14:paraId="128EC595" w14:textId="000B283A">
      <w:pPr>
        <w:tabs>
          <w:tab w:val="left" w:pos="1545"/>
        </w:tabs>
        <w:jc w:val="both"/>
      </w:pPr>
      <w:r>
        <w:t>Start of data collection</w:t>
      </w:r>
      <w:r w:rsidR="00486D6F">
        <w:t xml:space="preserve"> and </w:t>
      </w:r>
      <w:r w:rsidR="00472B8E">
        <w:t>f</w:t>
      </w:r>
      <w:r w:rsidR="00486D6F">
        <w:t xml:space="preserve">ield </w:t>
      </w:r>
      <w:r w:rsidR="00472B8E">
        <w:t>w</w:t>
      </w:r>
      <w:r w:rsidR="00B16729">
        <w:t>ork</w:t>
      </w:r>
      <w:r w:rsidR="00594EE2">
        <w:t xml:space="preserve">   </w:t>
      </w:r>
      <w:proofErr w:type="gramStart"/>
      <w:r w:rsidR="00472B8E">
        <w:t>..</w:t>
      </w:r>
      <w:r w:rsidR="0011317C">
        <w:t>...</w:t>
      </w:r>
      <w:proofErr w:type="gramEnd"/>
      <w:r w:rsidR="00651D96">
        <w:t>…</w:t>
      </w:r>
      <w:r w:rsidR="00B16729">
        <w:t>……………..</w:t>
      </w:r>
      <w:r w:rsidR="002202D1">
        <w:t>……</w:t>
      </w:r>
      <w:r w:rsidR="001E61E6">
        <w:t>2</w:t>
      </w:r>
      <w:r w:rsidR="002712D8">
        <w:t xml:space="preserve"> </w:t>
      </w:r>
      <w:r w:rsidR="00AB00BC">
        <w:t>week</w:t>
      </w:r>
      <w:r w:rsidR="001E61E6">
        <w:t>s</w:t>
      </w:r>
      <w:r>
        <w:t xml:space="preserve"> after OMB approval</w:t>
      </w:r>
    </w:p>
    <w:p w:rsidR="00D31DC0" w:rsidP="002202D1" w:rsidRDefault="00D31DC0" w14:paraId="12C80A6E" w14:textId="4D543BCD">
      <w:pPr>
        <w:tabs>
          <w:tab w:val="left" w:pos="1545"/>
        </w:tabs>
        <w:jc w:val="both"/>
      </w:pPr>
      <w:r>
        <w:t>Time to conduct the field work………………………………….2 months after OMB approval</w:t>
      </w:r>
    </w:p>
    <w:p w:rsidR="00935939" w:rsidP="002202D1" w:rsidRDefault="00D31DC0" w14:paraId="0A3E92B0" w14:textId="50753801">
      <w:pPr>
        <w:tabs>
          <w:tab w:val="left" w:pos="1545"/>
        </w:tabs>
        <w:jc w:val="both"/>
      </w:pPr>
      <w:r>
        <w:t>L</w:t>
      </w:r>
      <w:r w:rsidR="00661279">
        <w:t>aboratory a</w:t>
      </w:r>
      <w:r w:rsidR="00935939">
        <w:t>nalysis………………………………....</w:t>
      </w:r>
      <w:r>
        <w:t>............</w:t>
      </w:r>
      <w:r w:rsidR="00D37004">
        <w:t>..</w:t>
      </w:r>
      <w:r w:rsidR="002202D1">
        <w:t>...</w:t>
      </w:r>
      <w:r w:rsidR="00430FC6">
        <w:t xml:space="preserve"> </w:t>
      </w:r>
      <w:r>
        <w:t>5-6</w:t>
      </w:r>
      <w:r w:rsidR="00935939">
        <w:t xml:space="preserve"> months after OMB approval</w:t>
      </w:r>
    </w:p>
    <w:p w:rsidR="00935939" w:rsidP="002202D1" w:rsidRDefault="00935939" w14:paraId="1D8E2E33" w14:textId="5C7645D1">
      <w:pPr>
        <w:tabs>
          <w:tab w:val="left" w:pos="1545"/>
        </w:tabs>
        <w:jc w:val="both"/>
      </w:pPr>
      <w:r>
        <w:t>Respond to participants ……………………………</w:t>
      </w:r>
      <w:r w:rsidR="0011317C">
        <w:t>.</w:t>
      </w:r>
      <w:r>
        <w:t>…....</w:t>
      </w:r>
      <w:r w:rsidR="002712D8">
        <w:t>.....</w:t>
      </w:r>
      <w:r w:rsidR="0011317C">
        <w:t>.....</w:t>
      </w:r>
      <w:r w:rsidR="002202D1">
        <w:t>..</w:t>
      </w:r>
      <w:r w:rsidR="00D31DC0">
        <w:t>9</w:t>
      </w:r>
      <w:r>
        <w:t xml:space="preserve"> months after OMB approval</w:t>
      </w:r>
    </w:p>
    <w:p w:rsidR="00935939" w:rsidP="002202D1" w:rsidRDefault="00935939" w14:paraId="728F2035" w14:textId="26E95347">
      <w:pPr>
        <w:tabs>
          <w:tab w:val="left" w:pos="1545"/>
        </w:tabs>
        <w:jc w:val="both"/>
      </w:pPr>
      <w:r>
        <w:t xml:space="preserve">Written </w:t>
      </w:r>
      <w:r w:rsidR="00472B8E">
        <w:t>r</w:t>
      </w:r>
      <w:r>
        <w:t>eport</w:t>
      </w:r>
      <w:r w:rsidR="001E61E6">
        <w:t xml:space="preserve"> released….</w:t>
      </w:r>
      <w:r>
        <w:t>………………………</w:t>
      </w:r>
      <w:r w:rsidR="00472B8E">
        <w:t>.</w:t>
      </w:r>
      <w:r>
        <w:t>…......</w:t>
      </w:r>
      <w:r w:rsidR="00D37004">
        <w:t>.....</w:t>
      </w:r>
      <w:r w:rsidR="0011317C">
        <w:t>..</w:t>
      </w:r>
      <w:r w:rsidR="00B16729">
        <w:t>..</w:t>
      </w:r>
      <w:r w:rsidR="002202D1">
        <w:t>..</w:t>
      </w:r>
      <w:r w:rsidR="0011317C">
        <w:t>..</w:t>
      </w:r>
      <w:r w:rsidR="00482FD3">
        <w:t xml:space="preserve">TBD - </w:t>
      </w:r>
      <w:r w:rsidR="00651D96">
        <w:t>based on clearance process</w:t>
      </w:r>
    </w:p>
    <w:p w:rsidR="006653AB" w:rsidP="006653AB" w:rsidRDefault="006653AB" w14:paraId="77D38E9B" w14:textId="77777777">
      <w:pPr>
        <w:tabs>
          <w:tab w:val="left" w:pos="1545"/>
        </w:tabs>
      </w:pPr>
    </w:p>
    <w:p w:rsidR="006653AB" w:rsidP="007F446A" w:rsidRDefault="00B04CF8" w14:paraId="0E2F4AD7" w14:textId="77777777">
      <w:pPr>
        <w:pStyle w:val="Heading2"/>
      </w:pPr>
      <w:bookmarkStart w:name="_Toc76650801" w:id="118"/>
      <w:r>
        <w:t>A.</w:t>
      </w:r>
      <w:r w:rsidR="006653AB">
        <w:t>1</w:t>
      </w:r>
      <w:r w:rsidR="00B60A40">
        <w:t>7</w:t>
      </w:r>
      <w:r w:rsidR="006653AB">
        <w:t>. Reason(s) Display of OMB Expiration Date is Inappropriate</w:t>
      </w:r>
      <w:bookmarkEnd w:id="118"/>
    </w:p>
    <w:p w:rsidR="006653AB" w:rsidP="006653AB" w:rsidRDefault="006653AB" w14:paraId="4756DCF1" w14:textId="77777777">
      <w:pPr>
        <w:tabs>
          <w:tab w:val="left" w:pos="1545"/>
        </w:tabs>
        <w:rPr>
          <w:b/>
        </w:rPr>
      </w:pPr>
    </w:p>
    <w:p w:rsidR="006653AB" w:rsidP="006653AB" w:rsidRDefault="006653AB" w14:paraId="6A66E449" w14:textId="77777777">
      <w:pPr>
        <w:tabs>
          <w:tab w:val="left" w:pos="1545"/>
        </w:tabs>
      </w:pPr>
      <w:r>
        <w:t>We are not requesting an exemption.</w:t>
      </w:r>
    </w:p>
    <w:p w:rsidR="006653AB" w:rsidP="006653AB" w:rsidRDefault="006653AB" w14:paraId="0850C374" w14:textId="77777777">
      <w:pPr>
        <w:tabs>
          <w:tab w:val="left" w:pos="1545"/>
        </w:tabs>
      </w:pPr>
    </w:p>
    <w:p w:rsidR="006653AB" w:rsidP="007F446A" w:rsidRDefault="00B04CF8" w14:paraId="1D66E114" w14:textId="77777777">
      <w:pPr>
        <w:pStyle w:val="Heading2"/>
      </w:pPr>
      <w:bookmarkStart w:name="_Toc76650802" w:id="119"/>
      <w:r>
        <w:t>A.</w:t>
      </w:r>
      <w:r w:rsidR="006653AB">
        <w:t>1</w:t>
      </w:r>
      <w:r w:rsidR="00B60A40">
        <w:t>8</w:t>
      </w:r>
      <w:r w:rsidR="006653AB">
        <w:t>. Exceptions to Certification for Paperwork Reduction Act Submissions</w:t>
      </w:r>
      <w:bookmarkEnd w:id="119"/>
    </w:p>
    <w:p w:rsidR="006653AB" w:rsidP="006653AB" w:rsidRDefault="006653AB" w14:paraId="0ED58EFD" w14:textId="77777777">
      <w:pPr>
        <w:tabs>
          <w:tab w:val="left" w:pos="1545"/>
        </w:tabs>
        <w:rPr>
          <w:b/>
        </w:rPr>
      </w:pPr>
    </w:p>
    <w:p w:rsidR="006653AB" w:rsidP="006653AB" w:rsidRDefault="006653AB" w14:paraId="31DB47C5" w14:textId="77777777">
      <w:pPr>
        <w:tabs>
          <w:tab w:val="left" w:pos="1545"/>
        </w:tabs>
      </w:pPr>
      <w:r>
        <w:rPr>
          <w:b/>
        </w:rPr>
        <w:t xml:space="preserve"> </w:t>
      </w:r>
      <w:r>
        <w:t>There are no exceptions to certification for Paperwork Reduction Act.</w:t>
      </w:r>
    </w:p>
    <w:bookmarkEnd w:id="113"/>
    <w:bookmarkEnd w:id="114"/>
    <w:bookmarkEnd w:id="115"/>
    <w:bookmarkEnd w:id="116"/>
    <w:p w:rsidR="00AA78D1" w:rsidP="002F40AB" w:rsidRDefault="00AA78D1" w14:paraId="445D0B76" w14:textId="35E4BA9A">
      <w:pPr>
        <w:rPr>
          <w:rFonts w:eastAsia="SimSun"/>
          <w:b/>
          <w:bCs/>
          <w:lang w:eastAsia="zh-CN"/>
        </w:rPr>
      </w:pPr>
    </w:p>
    <w:p w:rsidR="0017344E" w:rsidP="002F40AB" w:rsidRDefault="0017344E" w14:paraId="1C23110E" w14:textId="704E1132">
      <w:pPr>
        <w:rPr>
          <w:rFonts w:eastAsia="SimSun"/>
          <w:b/>
          <w:bCs/>
          <w:lang w:eastAsia="zh-CN"/>
        </w:rPr>
      </w:pPr>
    </w:p>
    <w:p w:rsidR="0017344E" w:rsidP="002F40AB" w:rsidRDefault="0017344E" w14:paraId="7DF69A21" w14:textId="77777777">
      <w:pPr>
        <w:rPr>
          <w:rFonts w:eastAsia="SimSun"/>
          <w:b/>
          <w:bCs/>
          <w:lang w:eastAsia="zh-CN"/>
        </w:rPr>
      </w:pPr>
    </w:p>
    <w:sectPr w:rsidR="0017344E" w:rsidSect="00EE21D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DEF6" w14:textId="77777777" w:rsidR="00957D87" w:rsidRDefault="00957D87">
      <w:r>
        <w:separator/>
      </w:r>
    </w:p>
  </w:endnote>
  <w:endnote w:type="continuationSeparator" w:id="0">
    <w:p w14:paraId="1736D36E" w14:textId="77777777" w:rsidR="00957D87" w:rsidRDefault="0095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4AA3" w14:textId="77777777" w:rsidR="00957D87" w:rsidRDefault="00957D87"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D2277" w14:textId="77777777" w:rsidR="00957D87" w:rsidRDefault="00957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B87D" w14:textId="4D173823" w:rsidR="00957D87" w:rsidRDefault="00957D87"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FA06708" w14:textId="77777777" w:rsidR="00957D87" w:rsidRDefault="00957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64AD" w14:textId="77777777" w:rsidR="00184290" w:rsidRDefault="0018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078A" w14:textId="77777777" w:rsidR="00957D87" w:rsidRDefault="00957D87">
      <w:r>
        <w:separator/>
      </w:r>
    </w:p>
  </w:footnote>
  <w:footnote w:type="continuationSeparator" w:id="0">
    <w:p w14:paraId="169EAE33" w14:textId="77777777" w:rsidR="00957D87" w:rsidRDefault="0095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BFA3" w14:textId="77777777" w:rsidR="00184290" w:rsidRDefault="00184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C6A5" w14:textId="4D742C98" w:rsidR="00957D87" w:rsidRDefault="00957D87" w:rsidP="0067720C">
    <w:pPr>
      <w:pStyle w:val="Header"/>
      <w:jc w:val="center"/>
      <w:rPr>
        <w:rFonts w:asciiTheme="majorHAnsi" w:eastAsiaTheme="majorEastAsia" w:hAnsiTheme="majorHAnsi" w:cstheme="majorBidi"/>
        <w:sz w:val="32"/>
        <w:szCs w:val="32"/>
      </w:rPr>
    </w:pPr>
    <w:r>
      <w:rPr>
        <w:sz w:val="20"/>
        <w:szCs w:val="20"/>
      </w:rPr>
      <w:t>Attachment 1. Supplemental EI at Select PFAS EA Sites:  Supporting Statement A</w:t>
    </w:r>
  </w:p>
  <w:p w14:paraId="24257B1D" w14:textId="77777777" w:rsidR="00957D87" w:rsidRDefault="00957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FB72" w14:textId="77777777" w:rsidR="00184290" w:rsidRDefault="0018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17C"/>
    <w:multiLevelType w:val="hybridMultilevel"/>
    <w:tmpl w:val="214E343E"/>
    <w:lvl w:ilvl="0" w:tplc="09486C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1EA1"/>
    <w:multiLevelType w:val="hybridMultilevel"/>
    <w:tmpl w:val="6F14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854D6"/>
    <w:multiLevelType w:val="hybridMultilevel"/>
    <w:tmpl w:val="D726648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2430B7"/>
    <w:multiLevelType w:val="hybridMultilevel"/>
    <w:tmpl w:val="B7FA9D18"/>
    <w:lvl w:ilvl="0" w:tplc="799C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A3082"/>
    <w:multiLevelType w:val="hybridMultilevel"/>
    <w:tmpl w:val="5E78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B57AB"/>
    <w:multiLevelType w:val="hybridMultilevel"/>
    <w:tmpl w:val="B7FA9D18"/>
    <w:lvl w:ilvl="0" w:tplc="799C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55E71"/>
    <w:multiLevelType w:val="hybridMultilevel"/>
    <w:tmpl w:val="8F7E400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EFA7AA1"/>
    <w:multiLevelType w:val="hybridMultilevel"/>
    <w:tmpl w:val="9F68C2E2"/>
    <w:lvl w:ilvl="0" w:tplc="0B669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14F69"/>
    <w:multiLevelType w:val="multilevel"/>
    <w:tmpl w:val="4FB08DA0"/>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D4C436F"/>
    <w:multiLevelType w:val="hybridMultilevel"/>
    <w:tmpl w:val="6AC6A8E2"/>
    <w:lvl w:ilvl="0" w:tplc="0409000F">
      <w:start w:val="1"/>
      <w:numFmt w:val="decimal"/>
      <w:lvlText w:val="%1."/>
      <w:lvlJc w:val="left"/>
      <w:pPr>
        <w:ind w:left="720" w:hanging="360"/>
      </w:pPr>
      <w:rPr>
        <w:rFonts w:hint="default"/>
      </w:rPr>
    </w:lvl>
    <w:lvl w:ilvl="1" w:tplc="630C50A0">
      <w:start w:val="1"/>
      <w:numFmt w:val="upperLetter"/>
      <w:lvlText w:val="3%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17AD9"/>
    <w:multiLevelType w:val="hybridMultilevel"/>
    <w:tmpl w:val="804ED732"/>
    <w:lvl w:ilvl="0" w:tplc="89C268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A86289"/>
    <w:multiLevelType w:val="hybridMultilevel"/>
    <w:tmpl w:val="FB2A211A"/>
    <w:lvl w:ilvl="0" w:tplc="8BCEFDF0">
      <w:start w:val="4"/>
      <w:numFmt w:val="decimal"/>
      <w:lvlText w:val="%1."/>
      <w:lvlJc w:val="left"/>
      <w:pPr>
        <w:ind w:left="108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E43003"/>
    <w:multiLevelType w:val="hybridMultilevel"/>
    <w:tmpl w:val="371E0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756F71"/>
    <w:multiLevelType w:val="hybridMultilevel"/>
    <w:tmpl w:val="4378C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7CE6C96"/>
    <w:multiLevelType w:val="hybridMultilevel"/>
    <w:tmpl w:val="AF54E0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66984"/>
    <w:multiLevelType w:val="hybridMultilevel"/>
    <w:tmpl w:val="6862D37A"/>
    <w:lvl w:ilvl="0" w:tplc="4D46DDDA">
      <w:start w:val="1"/>
      <w:numFmt w:val="lowerLetter"/>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A32EF"/>
    <w:multiLevelType w:val="hybridMultilevel"/>
    <w:tmpl w:val="BBD8BF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A3333"/>
    <w:multiLevelType w:val="hybridMultilevel"/>
    <w:tmpl w:val="4EA69DEA"/>
    <w:lvl w:ilvl="0" w:tplc="EBB891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562E"/>
    <w:multiLevelType w:val="hybridMultilevel"/>
    <w:tmpl w:val="BB3EF428"/>
    <w:lvl w:ilvl="0" w:tplc="9A02D1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E4350"/>
    <w:multiLevelType w:val="hybridMultilevel"/>
    <w:tmpl w:val="CA56E18E"/>
    <w:lvl w:ilvl="0" w:tplc="0409000F">
      <w:start w:val="1"/>
      <w:numFmt w:val="decimal"/>
      <w:lvlText w:val="%1."/>
      <w:lvlJc w:val="left"/>
      <w:pPr>
        <w:ind w:left="720" w:hanging="360"/>
      </w:pPr>
      <w:rPr>
        <w:rFonts w:hint="default"/>
      </w:rPr>
    </w:lvl>
    <w:lvl w:ilvl="1" w:tplc="51E8C0E0">
      <w:start w:val="1"/>
      <w:numFmt w:val="upp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E1D27"/>
    <w:multiLevelType w:val="hybridMultilevel"/>
    <w:tmpl w:val="42B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C48ED"/>
    <w:multiLevelType w:val="hybridMultilevel"/>
    <w:tmpl w:val="F47022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6B4C6E"/>
    <w:multiLevelType w:val="hybridMultilevel"/>
    <w:tmpl w:val="B0A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30953"/>
    <w:multiLevelType w:val="hybridMultilevel"/>
    <w:tmpl w:val="EAE85A84"/>
    <w:lvl w:ilvl="0" w:tplc="C9D45E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05E70"/>
    <w:multiLevelType w:val="hybridMultilevel"/>
    <w:tmpl w:val="92F8D0E4"/>
    <w:lvl w:ilvl="0" w:tplc="04090001">
      <w:start w:val="1"/>
      <w:numFmt w:val="bullet"/>
      <w:lvlText w:val=""/>
      <w:lvlJc w:val="left"/>
      <w:pPr>
        <w:ind w:left="1260" w:hanging="360"/>
      </w:pPr>
      <w:rPr>
        <w:rFonts w:ascii="Symbol" w:hAnsi="Symbol" w:hint="default"/>
        <w:b w:val="0"/>
      </w:rPr>
    </w:lvl>
    <w:lvl w:ilvl="1" w:tplc="04090001">
      <w:start w:val="1"/>
      <w:numFmt w:val="bullet"/>
      <w:lvlText w:val=""/>
      <w:lvlJc w:val="left"/>
      <w:pPr>
        <w:ind w:left="2070" w:hanging="360"/>
      </w:pPr>
      <w:rPr>
        <w:rFonts w:ascii="Symbol" w:hAnsi="Symbol" w:hint="default"/>
      </w:rPr>
    </w:lvl>
    <w:lvl w:ilvl="2" w:tplc="04090003">
      <w:start w:val="1"/>
      <w:numFmt w:val="bullet"/>
      <w:lvlText w:val="o"/>
      <w:lvlJc w:val="left"/>
      <w:pPr>
        <w:ind w:left="2790" w:hanging="180"/>
      </w:pPr>
      <w:rPr>
        <w:rFonts w:ascii="Courier New" w:hAnsi="Courier New" w:cs="Courier New" w:hint="default"/>
      </w:rPr>
    </w:lvl>
    <w:lvl w:ilvl="3" w:tplc="0409000F">
      <w:start w:val="1"/>
      <w:numFmt w:val="decimal"/>
      <w:lvlText w:val="%4."/>
      <w:lvlJc w:val="left"/>
      <w:pPr>
        <w:ind w:left="3510" w:hanging="360"/>
      </w:pPr>
    </w:lvl>
    <w:lvl w:ilvl="4" w:tplc="04090003">
      <w:start w:val="1"/>
      <w:numFmt w:val="bullet"/>
      <w:lvlText w:val="o"/>
      <w:lvlJc w:val="left"/>
      <w:pPr>
        <w:ind w:left="4230" w:hanging="360"/>
      </w:pPr>
      <w:rPr>
        <w:rFonts w:ascii="Courier New" w:hAnsi="Courier New" w:cs="Courier New" w:hint="default"/>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EFE4BFA"/>
    <w:multiLevelType w:val="hybridMultilevel"/>
    <w:tmpl w:val="B9D6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94DE5"/>
    <w:multiLevelType w:val="hybridMultilevel"/>
    <w:tmpl w:val="18A4A9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B2788D"/>
    <w:multiLevelType w:val="hybridMultilevel"/>
    <w:tmpl w:val="3E907A58"/>
    <w:lvl w:ilvl="0" w:tplc="64CC6B68">
      <w:start w:val="2"/>
      <w:numFmt w:val="lowerLetter"/>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04C6F"/>
    <w:multiLevelType w:val="hybridMultilevel"/>
    <w:tmpl w:val="67163A50"/>
    <w:lvl w:ilvl="0" w:tplc="0B6694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C5653"/>
    <w:multiLevelType w:val="hybridMultilevel"/>
    <w:tmpl w:val="E67E1FCA"/>
    <w:lvl w:ilvl="0" w:tplc="CEE6DF88">
      <w:start w:val="1"/>
      <w:numFmt w:val="upperLetter"/>
      <w:lvlText w:val="3%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A25633"/>
    <w:multiLevelType w:val="hybridMultilevel"/>
    <w:tmpl w:val="7A6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3"/>
  </w:num>
  <w:num w:numId="4">
    <w:abstractNumId w:val="13"/>
  </w:num>
  <w:num w:numId="5">
    <w:abstractNumId w:val="11"/>
  </w:num>
  <w:num w:numId="6">
    <w:abstractNumId w:val="10"/>
  </w:num>
  <w:num w:numId="7">
    <w:abstractNumId w:val="20"/>
  </w:num>
  <w:num w:numId="8">
    <w:abstractNumId w:val="7"/>
  </w:num>
  <w:num w:numId="9">
    <w:abstractNumId w:val="24"/>
  </w:num>
  <w:num w:numId="10">
    <w:abstractNumId w:val="5"/>
  </w:num>
  <w:num w:numId="11">
    <w:abstractNumId w:val="1"/>
  </w:num>
  <w:num w:numId="12">
    <w:abstractNumId w:val="15"/>
  </w:num>
  <w:num w:numId="13">
    <w:abstractNumId w:val="28"/>
  </w:num>
  <w:num w:numId="14">
    <w:abstractNumId w:val="12"/>
  </w:num>
  <w:num w:numId="15">
    <w:abstractNumId w:val="26"/>
  </w:num>
  <w:num w:numId="16">
    <w:abstractNumId w:val="32"/>
  </w:num>
  <w:num w:numId="17">
    <w:abstractNumId w:val="6"/>
  </w:num>
  <w:num w:numId="18">
    <w:abstractNumId w:val="18"/>
  </w:num>
  <w:num w:numId="19">
    <w:abstractNumId w:val="21"/>
  </w:num>
  <w:num w:numId="20">
    <w:abstractNumId w:val="2"/>
  </w:num>
  <w:num w:numId="21">
    <w:abstractNumId w:val="14"/>
  </w:num>
  <w:num w:numId="22">
    <w:abstractNumId w:val="8"/>
  </w:num>
  <w:num w:numId="23">
    <w:abstractNumId w:val="30"/>
  </w:num>
  <w:num w:numId="24">
    <w:abstractNumId w:val="22"/>
  </w:num>
  <w:num w:numId="25">
    <w:abstractNumId w:val="9"/>
  </w:num>
  <w:num w:numId="26">
    <w:abstractNumId w:val="29"/>
  </w:num>
  <w:num w:numId="27">
    <w:abstractNumId w:val="17"/>
  </w:num>
  <w:num w:numId="28">
    <w:abstractNumId w:val="19"/>
  </w:num>
  <w:num w:numId="29">
    <w:abstractNumId w:val="4"/>
  </w:num>
  <w:num w:numId="30">
    <w:abstractNumId w:val="16"/>
  </w:num>
  <w:num w:numId="31">
    <w:abstractNumId w:val="0"/>
  </w:num>
  <w:num w:numId="32">
    <w:abstractNumId w:val="31"/>
  </w:num>
  <w:num w:numId="3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A8"/>
    <w:rsid w:val="000000D1"/>
    <w:rsid w:val="00000592"/>
    <w:rsid w:val="00000D99"/>
    <w:rsid w:val="000010F4"/>
    <w:rsid w:val="00001F47"/>
    <w:rsid w:val="00002E14"/>
    <w:rsid w:val="0000420B"/>
    <w:rsid w:val="00005117"/>
    <w:rsid w:val="00005927"/>
    <w:rsid w:val="000074F7"/>
    <w:rsid w:val="00010E39"/>
    <w:rsid w:val="00010F99"/>
    <w:rsid w:val="000124B5"/>
    <w:rsid w:val="00012804"/>
    <w:rsid w:val="0001289A"/>
    <w:rsid w:val="000128D8"/>
    <w:rsid w:val="00012C7C"/>
    <w:rsid w:val="00015984"/>
    <w:rsid w:val="00016C0E"/>
    <w:rsid w:val="00017E63"/>
    <w:rsid w:val="00022806"/>
    <w:rsid w:val="00023F4D"/>
    <w:rsid w:val="000244F3"/>
    <w:rsid w:val="000258E4"/>
    <w:rsid w:val="00025B51"/>
    <w:rsid w:val="0002723A"/>
    <w:rsid w:val="000275B0"/>
    <w:rsid w:val="00027A5E"/>
    <w:rsid w:val="00030EFC"/>
    <w:rsid w:val="00031570"/>
    <w:rsid w:val="000323A4"/>
    <w:rsid w:val="0003287E"/>
    <w:rsid w:val="00032922"/>
    <w:rsid w:val="00032FB0"/>
    <w:rsid w:val="000348C5"/>
    <w:rsid w:val="00040280"/>
    <w:rsid w:val="0004143B"/>
    <w:rsid w:val="00041524"/>
    <w:rsid w:val="00041D2A"/>
    <w:rsid w:val="00041F9D"/>
    <w:rsid w:val="000433E5"/>
    <w:rsid w:val="000472D0"/>
    <w:rsid w:val="00047884"/>
    <w:rsid w:val="00047F9C"/>
    <w:rsid w:val="00050D0E"/>
    <w:rsid w:val="000521F3"/>
    <w:rsid w:val="000526A9"/>
    <w:rsid w:val="00052A85"/>
    <w:rsid w:val="00053166"/>
    <w:rsid w:val="00055819"/>
    <w:rsid w:val="0005797C"/>
    <w:rsid w:val="00061479"/>
    <w:rsid w:val="00062A3F"/>
    <w:rsid w:val="00062B5A"/>
    <w:rsid w:val="00062BC0"/>
    <w:rsid w:val="000635E9"/>
    <w:rsid w:val="000646CA"/>
    <w:rsid w:val="000649C1"/>
    <w:rsid w:val="00065156"/>
    <w:rsid w:val="000663F9"/>
    <w:rsid w:val="000664AD"/>
    <w:rsid w:val="00066922"/>
    <w:rsid w:val="000670FA"/>
    <w:rsid w:val="00067EB5"/>
    <w:rsid w:val="00067EF1"/>
    <w:rsid w:val="00072511"/>
    <w:rsid w:val="0007281C"/>
    <w:rsid w:val="00073047"/>
    <w:rsid w:val="00074222"/>
    <w:rsid w:val="000773C4"/>
    <w:rsid w:val="000804D3"/>
    <w:rsid w:val="00080DBF"/>
    <w:rsid w:val="00081A58"/>
    <w:rsid w:val="0008215A"/>
    <w:rsid w:val="00082B8D"/>
    <w:rsid w:val="00083406"/>
    <w:rsid w:val="00083C2E"/>
    <w:rsid w:val="0008428C"/>
    <w:rsid w:val="000848A3"/>
    <w:rsid w:val="00085240"/>
    <w:rsid w:val="000861D3"/>
    <w:rsid w:val="00087084"/>
    <w:rsid w:val="0008749C"/>
    <w:rsid w:val="00087551"/>
    <w:rsid w:val="0008756C"/>
    <w:rsid w:val="00090754"/>
    <w:rsid w:val="00090CCA"/>
    <w:rsid w:val="00091F11"/>
    <w:rsid w:val="000930B2"/>
    <w:rsid w:val="000939DD"/>
    <w:rsid w:val="00094F19"/>
    <w:rsid w:val="00095B05"/>
    <w:rsid w:val="00096B34"/>
    <w:rsid w:val="00096C93"/>
    <w:rsid w:val="00097D89"/>
    <w:rsid w:val="000A0B3D"/>
    <w:rsid w:val="000A15C9"/>
    <w:rsid w:val="000A1EAB"/>
    <w:rsid w:val="000A2598"/>
    <w:rsid w:val="000A2E46"/>
    <w:rsid w:val="000A32C4"/>
    <w:rsid w:val="000A3873"/>
    <w:rsid w:val="000A49BD"/>
    <w:rsid w:val="000A4A98"/>
    <w:rsid w:val="000A5592"/>
    <w:rsid w:val="000A5668"/>
    <w:rsid w:val="000A65A5"/>
    <w:rsid w:val="000A6D11"/>
    <w:rsid w:val="000A7CAB"/>
    <w:rsid w:val="000B093C"/>
    <w:rsid w:val="000B0BC3"/>
    <w:rsid w:val="000B1254"/>
    <w:rsid w:val="000B1712"/>
    <w:rsid w:val="000B23EF"/>
    <w:rsid w:val="000B283E"/>
    <w:rsid w:val="000B3CA2"/>
    <w:rsid w:val="000B4D9B"/>
    <w:rsid w:val="000B5420"/>
    <w:rsid w:val="000B62E7"/>
    <w:rsid w:val="000B6474"/>
    <w:rsid w:val="000B7365"/>
    <w:rsid w:val="000B76DC"/>
    <w:rsid w:val="000B7DD8"/>
    <w:rsid w:val="000B7F02"/>
    <w:rsid w:val="000C0446"/>
    <w:rsid w:val="000C2177"/>
    <w:rsid w:val="000C28F0"/>
    <w:rsid w:val="000C3E2A"/>
    <w:rsid w:val="000C41E6"/>
    <w:rsid w:val="000C5B26"/>
    <w:rsid w:val="000C63C7"/>
    <w:rsid w:val="000C641F"/>
    <w:rsid w:val="000D0F5D"/>
    <w:rsid w:val="000D26C5"/>
    <w:rsid w:val="000D43FA"/>
    <w:rsid w:val="000D455D"/>
    <w:rsid w:val="000D4FEF"/>
    <w:rsid w:val="000D6641"/>
    <w:rsid w:val="000D67EE"/>
    <w:rsid w:val="000D6F2A"/>
    <w:rsid w:val="000E17DC"/>
    <w:rsid w:val="000E4314"/>
    <w:rsid w:val="000E531D"/>
    <w:rsid w:val="000E68C0"/>
    <w:rsid w:val="000E6BBC"/>
    <w:rsid w:val="000E7793"/>
    <w:rsid w:val="000E7E3D"/>
    <w:rsid w:val="000F3C1B"/>
    <w:rsid w:val="000F4354"/>
    <w:rsid w:val="000F4CCE"/>
    <w:rsid w:val="000F5AD6"/>
    <w:rsid w:val="000F704F"/>
    <w:rsid w:val="000F7C28"/>
    <w:rsid w:val="0010521B"/>
    <w:rsid w:val="00105540"/>
    <w:rsid w:val="00106CD3"/>
    <w:rsid w:val="001071F9"/>
    <w:rsid w:val="001075DE"/>
    <w:rsid w:val="00107B7A"/>
    <w:rsid w:val="001100C0"/>
    <w:rsid w:val="00110107"/>
    <w:rsid w:val="00110292"/>
    <w:rsid w:val="00110D66"/>
    <w:rsid w:val="001116DC"/>
    <w:rsid w:val="00111AEA"/>
    <w:rsid w:val="00112AB8"/>
    <w:rsid w:val="00112D2C"/>
    <w:rsid w:val="0011317C"/>
    <w:rsid w:val="001142C7"/>
    <w:rsid w:val="00114D3E"/>
    <w:rsid w:val="00115158"/>
    <w:rsid w:val="0011558C"/>
    <w:rsid w:val="00116F0C"/>
    <w:rsid w:val="00120226"/>
    <w:rsid w:val="001210BD"/>
    <w:rsid w:val="00122D9D"/>
    <w:rsid w:val="001230EC"/>
    <w:rsid w:val="00123448"/>
    <w:rsid w:val="00126448"/>
    <w:rsid w:val="00127E39"/>
    <w:rsid w:val="00132A7C"/>
    <w:rsid w:val="001337F5"/>
    <w:rsid w:val="00133C79"/>
    <w:rsid w:val="001349FC"/>
    <w:rsid w:val="00134A2C"/>
    <w:rsid w:val="00134F7C"/>
    <w:rsid w:val="001351F2"/>
    <w:rsid w:val="001352D8"/>
    <w:rsid w:val="00136BB4"/>
    <w:rsid w:val="00137B93"/>
    <w:rsid w:val="00142A17"/>
    <w:rsid w:val="00143131"/>
    <w:rsid w:val="00143AB2"/>
    <w:rsid w:val="00145016"/>
    <w:rsid w:val="001458B0"/>
    <w:rsid w:val="00146B56"/>
    <w:rsid w:val="00147410"/>
    <w:rsid w:val="00147926"/>
    <w:rsid w:val="001509BD"/>
    <w:rsid w:val="001513C4"/>
    <w:rsid w:val="00153B8B"/>
    <w:rsid w:val="00154C0F"/>
    <w:rsid w:val="0015682F"/>
    <w:rsid w:val="00156A60"/>
    <w:rsid w:val="00156C1D"/>
    <w:rsid w:val="00156E28"/>
    <w:rsid w:val="001608A1"/>
    <w:rsid w:val="00160EFB"/>
    <w:rsid w:val="00160F55"/>
    <w:rsid w:val="00161D0A"/>
    <w:rsid w:val="00162D9E"/>
    <w:rsid w:val="0016335B"/>
    <w:rsid w:val="001635A6"/>
    <w:rsid w:val="001635FD"/>
    <w:rsid w:val="00164F2C"/>
    <w:rsid w:val="00165D9D"/>
    <w:rsid w:val="00166980"/>
    <w:rsid w:val="00167843"/>
    <w:rsid w:val="00167F85"/>
    <w:rsid w:val="001716E3"/>
    <w:rsid w:val="001717DF"/>
    <w:rsid w:val="00172B0F"/>
    <w:rsid w:val="0017344E"/>
    <w:rsid w:val="00174115"/>
    <w:rsid w:val="00175106"/>
    <w:rsid w:val="00175336"/>
    <w:rsid w:val="00180B4A"/>
    <w:rsid w:val="0018100B"/>
    <w:rsid w:val="001828C9"/>
    <w:rsid w:val="001833B6"/>
    <w:rsid w:val="001834A3"/>
    <w:rsid w:val="00184290"/>
    <w:rsid w:val="00185AD9"/>
    <w:rsid w:val="00186261"/>
    <w:rsid w:val="00186982"/>
    <w:rsid w:val="00187F73"/>
    <w:rsid w:val="00190128"/>
    <w:rsid w:val="00190465"/>
    <w:rsid w:val="00191562"/>
    <w:rsid w:val="00191BD4"/>
    <w:rsid w:val="00192F70"/>
    <w:rsid w:val="00195192"/>
    <w:rsid w:val="001970C2"/>
    <w:rsid w:val="001977A4"/>
    <w:rsid w:val="001A02F8"/>
    <w:rsid w:val="001A48A4"/>
    <w:rsid w:val="001A6554"/>
    <w:rsid w:val="001A7EA9"/>
    <w:rsid w:val="001B106B"/>
    <w:rsid w:val="001B2F0F"/>
    <w:rsid w:val="001B330F"/>
    <w:rsid w:val="001B392D"/>
    <w:rsid w:val="001B3AA8"/>
    <w:rsid w:val="001B42E6"/>
    <w:rsid w:val="001B6C41"/>
    <w:rsid w:val="001B71A2"/>
    <w:rsid w:val="001C01C8"/>
    <w:rsid w:val="001C1DB0"/>
    <w:rsid w:val="001C226F"/>
    <w:rsid w:val="001C579A"/>
    <w:rsid w:val="001C5B78"/>
    <w:rsid w:val="001C6298"/>
    <w:rsid w:val="001C7136"/>
    <w:rsid w:val="001D0AD0"/>
    <w:rsid w:val="001D0EAE"/>
    <w:rsid w:val="001D4FF9"/>
    <w:rsid w:val="001D558F"/>
    <w:rsid w:val="001D63B6"/>
    <w:rsid w:val="001D6A64"/>
    <w:rsid w:val="001D7273"/>
    <w:rsid w:val="001D789D"/>
    <w:rsid w:val="001E0E17"/>
    <w:rsid w:val="001E18A6"/>
    <w:rsid w:val="001E1C8D"/>
    <w:rsid w:val="001E2294"/>
    <w:rsid w:val="001E2460"/>
    <w:rsid w:val="001E32B5"/>
    <w:rsid w:val="001E58F3"/>
    <w:rsid w:val="001E61E6"/>
    <w:rsid w:val="001E683D"/>
    <w:rsid w:val="001E6AFE"/>
    <w:rsid w:val="001E6C16"/>
    <w:rsid w:val="001E7EE8"/>
    <w:rsid w:val="001F0DE9"/>
    <w:rsid w:val="001F0F12"/>
    <w:rsid w:val="001F4DC1"/>
    <w:rsid w:val="001F671F"/>
    <w:rsid w:val="00201F22"/>
    <w:rsid w:val="002025B5"/>
    <w:rsid w:val="00210F73"/>
    <w:rsid w:val="0021137C"/>
    <w:rsid w:val="0021237B"/>
    <w:rsid w:val="002133F2"/>
    <w:rsid w:val="002135BB"/>
    <w:rsid w:val="00214A74"/>
    <w:rsid w:val="002154E3"/>
    <w:rsid w:val="00215E9D"/>
    <w:rsid w:val="00216CF8"/>
    <w:rsid w:val="00216DEF"/>
    <w:rsid w:val="002202D1"/>
    <w:rsid w:val="00221518"/>
    <w:rsid w:val="00221B76"/>
    <w:rsid w:val="00224F03"/>
    <w:rsid w:val="002252F1"/>
    <w:rsid w:val="00226069"/>
    <w:rsid w:val="00226789"/>
    <w:rsid w:val="00226F12"/>
    <w:rsid w:val="00227352"/>
    <w:rsid w:val="002275A3"/>
    <w:rsid w:val="002276C7"/>
    <w:rsid w:val="00230A57"/>
    <w:rsid w:val="00233EDA"/>
    <w:rsid w:val="00235605"/>
    <w:rsid w:val="00235E02"/>
    <w:rsid w:val="002368D5"/>
    <w:rsid w:val="00236A25"/>
    <w:rsid w:val="00240CF0"/>
    <w:rsid w:val="002415A9"/>
    <w:rsid w:val="00241C5C"/>
    <w:rsid w:val="002428A9"/>
    <w:rsid w:val="00242ACE"/>
    <w:rsid w:val="00244270"/>
    <w:rsid w:val="00244F9A"/>
    <w:rsid w:val="00245495"/>
    <w:rsid w:val="00246A18"/>
    <w:rsid w:val="00246A47"/>
    <w:rsid w:val="00246B5A"/>
    <w:rsid w:val="002473AB"/>
    <w:rsid w:val="002501C1"/>
    <w:rsid w:val="0025028B"/>
    <w:rsid w:val="00250919"/>
    <w:rsid w:val="00250E9A"/>
    <w:rsid w:val="002515D0"/>
    <w:rsid w:val="002538AC"/>
    <w:rsid w:val="00255CE9"/>
    <w:rsid w:val="002569E1"/>
    <w:rsid w:val="002570B0"/>
    <w:rsid w:val="00257CCF"/>
    <w:rsid w:val="00261215"/>
    <w:rsid w:val="002640DF"/>
    <w:rsid w:val="00265F7C"/>
    <w:rsid w:val="00266092"/>
    <w:rsid w:val="002669CF"/>
    <w:rsid w:val="00270902"/>
    <w:rsid w:val="00270CDE"/>
    <w:rsid w:val="00270E4C"/>
    <w:rsid w:val="002712D8"/>
    <w:rsid w:val="00271E25"/>
    <w:rsid w:val="00272A8E"/>
    <w:rsid w:val="00273680"/>
    <w:rsid w:val="002741FD"/>
    <w:rsid w:val="0027662B"/>
    <w:rsid w:val="002766A0"/>
    <w:rsid w:val="00277628"/>
    <w:rsid w:val="00277A1A"/>
    <w:rsid w:val="002812FB"/>
    <w:rsid w:val="002818F3"/>
    <w:rsid w:val="002835A1"/>
    <w:rsid w:val="0028483B"/>
    <w:rsid w:val="00284A10"/>
    <w:rsid w:val="00284F9D"/>
    <w:rsid w:val="0029205A"/>
    <w:rsid w:val="002930BD"/>
    <w:rsid w:val="00293159"/>
    <w:rsid w:val="00293340"/>
    <w:rsid w:val="00295101"/>
    <w:rsid w:val="0029554B"/>
    <w:rsid w:val="002955F5"/>
    <w:rsid w:val="00297C51"/>
    <w:rsid w:val="002A0056"/>
    <w:rsid w:val="002A04F0"/>
    <w:rsid w:val="002A1FC4"/>
    <w:rsid w:val="002A4066"/>
    <w:rsid w:val="002A435F"/>
    <w:rsid w:val="002A43BA"/>
    <w:rsid w:val="002A57E4"/>
    <w:rsid w:val="002A676A"/>
    <w:rsid w:val="002A7372"/>
    <w:rsid w:val="002A756C"/>
    <w:rsid w:val="002A779C"/>
    <w:rsid w:val="002B1573"/>
    <w:rsid w:val="002B198F"/>
    <w:rsid w:val="002B2744"/>
    <w:rsid w:val="002B3F38"/>
    <w:rsid w:val="002B4079"/>
    <w:rsid w:val="002B651B"/>
    <w:rsid w:val="002B775D"/>
    <w:rsid w:val="002C0499"/>
    <w:rsid w:val="002C0563"/>
    <w:rsid w:val="002C0D77"/>
    <w:rsid w:val="002C180F"/>
    <w:rsid w:val="002C198D"/>
    <w:rsid w:val="002C2492"/>
    <w:rsid w:val="002C249D"/>
    <w:rsid w:val="002C33E8"/>
    <w:rsid w:val="002C5339"/>
    <w:rsid w:val="002C5903"/>
    <w:rsid w:val="002C6403"/>
    <w:rsid w:val="002C7DD8"/>
    <w:rsid w:val="002D0805"/>
    <w:rsid w:val="002D1635"/>
    <w:rsid w:val="002D18BD"/>
    <w:rsid w:val="002D21A8"/>
    <w:rsid w:val="002D4337"/>
    <w:rsid w:val="002D48E0"/>
    <w:rsid w:val="002D4CEF"/>
    <w:rsid w:val="002D6888"/>
    <w:rsid w:val="002D6CB4"/>
    <w:rsid w:val="002D7492"/>
    <w:rsid w:val="002D78FB"/>
    <w:rsid w:val="002E0CB9"/>
    <w:rsid w:val="002E2057"/>
    <w:rsid w:val="002E24AE"/>
    <w:rsid w:val="002E2A9E"/>
    <w:rsid w:val="002E57EE"/>
    <w:rsid w:val="002F0422"/>
    <w:rsid w:val="002F1CBF"/>
    <w:rsid w:val="002F269E"/>
    <w:rsid w:val="002F38FD"/>
    <w:rsid w:val="002F3BAA"/>
    <w:rsid w:val="002F40AB"/>
    <w:rsid w:val="002F5B1D"/>
    <w:rsid w:val="002F6358"/>
    <w:rsid w:val="002F6507"/>
    <w:rsid w:val="002F7273"/>
    <w:rsid w:val="00303B3C"/>
    <w:rsid w:val="003047A0"/>
    <w:rsid w:val="0030631D"/>
    <w:rsid w:val="00306AA5"/>
    <w:rsid w:val="00307746"/>
    <w:rsid w:val="003108EF"/>
    <w:rsid w:val="00311E38"/>
    <w:rsid w:val="00312462"/>
    <w:rsid w:val="00312B53"/>
    <w:rsid w:val="00312D79"/>
    <w:rsid w:val="00313614"/>
    <w:rsid w:val="0031417C"/>
    <w:rsid w:val="00314B98"/>
    <w:rsid w:val="003155AC"/>
    <w:rsid w:val="00315F9A"/>
    <w:rsid w:val="003169D4"/>
    <w:rsid w:val="00316DF8"/>
    <w:rsid w:val="00317784"/>
    <w:rsid w:val="00320114"/>
    <w:rsid w:val="00322A7D"/>
    <w:rsid w:val="00322A9F"/>
    <w:rsid w:val="00324120"/>
    <w:rsid w:val="003262BE"/>
    <w:rsid w:val="00326C68"/>
    <w:rsid w:val="00330E89"/>
    <w:rsid w:val="003327B3"/>
    <w:rsid w:val="003359E6"/>
    <w:rsid w:val="00336BB1"/>
    <w:rsid w:val="003376AD"/>
    <w:rsid w:val="00340194"/>
    <w:rsid w:val="00340F43"/>
    <w:rsid w:val="003428A5"/>
    <w:rsid w:val="003436A2"/>
    <w:rsid w:val="00344150"/>
    <w:rsid w:val="00344A13"/>
    <w:rsid w:val="003453F4"/>
    <w:rsid w:val="00347865"/>
    <w:rsid w:val="0035250C"/>
    <w:rsid w:val="003530FB"/>
    <w:rsid w:val="0035509C"/>
    <w:rsid w:val="0035552F"/>
    <w:rsid w:val="00356195"/>
    <w:rsid w:val="0035718C"/>
    <w:rsid w:val="00357B6C"/>
    <w:rsid w:val="00360D53"/>
    <w:rsid w:val="0036112F"/>
    <w:rsid w:val="00362654"/>
    <w:rsid w:val="00362A15"/>
    <w:rsid w:val="00362B96"/>
    <w:rsid w:val="00363D95"/>
    <w:rsid w:val="003649A9"/>
    <w:rsid w:val="00365505"/>
    <w:rsid w:val="00365AC6"/>
    <w:rsid w:val="00370214"/>
    <w:rsid w:val="00370423"/>
    <w:rsid w:val="00370EFD"/>
    <w:rsid w:val="0037198B"/>
    <w:rsid w:val="00372087"/>
    <w:rsid w:val="00372214"/>
    <w:rsid w:val="00372FBE"/>
    <w:rsid w:val="003732FE"/>
    <w:rsid w:val="00373E0B"/>
    <w:rsid w:val="00375D68"/>
    <w:rsid w:val="0037652E"/>
    <w:rsid w:val="00380EA1"/>
    <w:rsid w:val="003817BF"/>
    <w:rsid w:val="003821C4"/>
    <w:rsid w:val="0038222D"/>
    <w:rsid w:val="003838E1"/>
    <w:rsid w:val="00384958"/>
    <w:rsid w:val="00384A59"/>
    <w:rsid w:val="003858FE"/>
    <w:rsid w:val="0039052A"/>
    <w:rsid w:val="00392B58"/>
    <w:rsid w:val="003934D6"/>
    <w:rsid w:val="00393781"/>
    <w:rsid w:val="00394595"/>
    <w:rsid w:val="0039614F"/>
    <w:rsid w:val="003961A9"/>
    <w:rsid w:val="0039667D"/>
    <w:rsid w:val="0039668D"/>
    <w:rsid w:val="00396DB3"/>
    <w:rsid w:val="0039749A"/>
    <w:rsid w:val="003A17EB"/>
    <w:rsid w:val="003A1F30"/>
    <w:rsid w:val="003A313C"/>
    <w:rsid w:val="003A3443"/>
    <w:rsid w:val="003A34E7"/>
    <w:rsid w:val="003A3C5F"/>
    <w:rsid w:val="003A4223"/>
    <w:rsid w:val="003A448A"/>
    <w:rsid w:val="003A5B61"/>
    <w:rsid w:val="003A5BCE"/>
    <w:rsid w:val="003A61A2"/>
    <w:rsid w:val="003A6410"/>
    <w:rsid w:val="003B0656"/>
    <w:rsid w:val="003B09D0"/>
    <w:rsid w:val="003B2430"/>
    <w:rsid w:val="003B3B72"/>
    <w:rsid w:val="003B574E"/>
    <w:rsid w:val="003B5990"/>
    <w:rsid w:val="003B6233"/>
    <w:rsid w:val="003C02F1"/>
    <w:rsid w:val="003C1D15"/>
    <w:rsid w:val="003C221E"/>
    <w:rsid w:val="003C2859"/>
    <w:rsid w:val="003C2B64"/>
    <w:rsid w:val="003C4AD3"/>
    <w:rsid w:val="003C4B87"/>
    <w:rsid w:val="003C6471"/>
    <w:rsid w:val="003C6E41"/>
    <w:rsid w:val="003D08A0"/>
    <w:rsid w:val="003D22FC"/>
    <w:rsid w:val="003D25F3"/>
    <w:rsid w:val="003D5009"/>
    <w:rsid w:val="003D505E"/>
    <w:rsid w:val="003D5701"/>
    <w:rsid w:val="003D6F20"/>
    <w:rsid w:val="003D773E"/>
    <w:rsid w:val="003E010E"/>
    <w:rsid w:val="003E1120"/>
    <w:rsid w:val="003E2FB3"/>
    <w:rsid w:val="003E3EEB"/>
    <w:rsid w:val="003E4C15"/>
    <w:rsid w:val="003E4C67"/>
    <w:rsid w:val="003E4F71"/>
    <w:rsid w:val="003F09CC"/>
    <w:rsid w:val="003F3B2E"/>
    <w:rsid w:val="003F3C32"/>
    <w:rsid w:val="003F5A07"/>
    <w:rsid w:val="003F685D"/>
    <w:rsid w:val="003F792C"/>
    <w:rsid w:val="003F7A03"/>
    <w:rsid w:val="0040058C"/>
    <w:rsid w:val="004014F8"/>
    <w:rsid w:val="004021A7"/>
    <w:rsid w:val="004025FF"/>
    <w:rsid w:val="00403254"/>
    <w:rsid w:val="00403BAE"/>
    <w:rsid w:val="00403C15"/>
    <w:rsid w:val="004043A3"/>
    <w:rsid w:val="004058DD"/>
    <w:rsid w:val="00405E33"/>
    <w:rsid w:val="004064CA"/>
    <w:rsid w:val="00406B9C"/>
    <w:rsid w:val="00410B21"/>
    <w:rsid w:val="00412949"/>
    <w:rsid w:val="0041541A"/>
    <w:rsid w:val="00415CEC"/>
    <w:rsid w:val="00416587"/>
    <w:rsid w:val="00416780"/>
    <w:rsid w:val="00416D17"/>
    <w:rsid w:val="004172EC"/>
    <w:rsid w:val="004204E1"/>
    <w:rsid w:val="0042229C"/>
    <w:rsid w:val="0042232C"/>
    <w:rsid w:val="00423A15"/>
    <w:rsid w:val="00424699"/>
    <w:rsid w:val="00424FA1"/>
    <w:rsid w:val="00425269"/>
    <w:rsid w:val="0042536F"/>
    <w:rsid w:val="0042698E"/>
    <w:rsid w:val="004276E7"/>
    <w:rsid w:val="004278FC"/>
    <w:rsid w:val="004306B4"/>
    <w:rsid w:val="00430CBD"/>
    <w:rsid w:val="00430EBD"/>
    <w:rsid w:val="00430F47"/>
    <w:rsid w:val="00430FC6"/>
    <w:rsid w:val="004311D8"/>
    <w:rsid w:val="004322D4"/>
    <w:rsid w:val="0043298B"/>
    <w:rsid w:val="004338EC"/>
    <w:rsid w:val="00434A70"/>
    <w:rsid w:val="00435BAC"/>
    <w:rsid w:val="0043660F"/>
    <w:rsid w:val="00436698"/>
    <w:rsid w:val="00436D45"/>
    <w:rsid w:val="004413CB"/>
    <w:rsid w:val="00442BA2"/>
    <w:rsid w:val="00443311"/>
    <w:rsid w:val="0044565F"/>
    <w:rsid w:val="00447597"/>
    <w:rsid w:val="0044774C"/>
    <w:rsid w:val="004505C1"/>
    <w:rsid w:val="0045064D"/>
    <w:rsid w:val="00453F76"/>
    <w:rsid w:val="004545D8"/>
    <w:rsid w:val="0045668E"/>
    <w:rsid w:val="004604CD"/>
    <w:rsid w:val="004628E1"/>
    <w:rsid w:val="00463437"/>
    <w:rsid w:val="004642FC"/>
    <w:rsid w:val="004651C7"/>
    <w:rsid w:val="0047002D"/>
    <w:rsid w:val="00470BAA"/>
    <w:rsid w:val="00471684"/>
    <w:rsid w:val="00472B8E"/>
    <w:rsid w:val="00472E96"/>
    <w:rsid w:val="00476293"/>
    <w:rsid w:val="00477197"/>
    <w:rsid w:val="0048047A"/>
    <w:rsid w:val="00481480"/>
    <w:rsid w:val="00482FD3"/>
    <w:rsid w:val="0048522B"/>
    <w:rsid w:val="004856EE"/>
    <w:rsid w:val="00486659"/>
    <w:rsid w:val="00486AB5"/>
    <w:rsid w:val="00486D6F"/>
    <w:rsid w:val="004873AB"/>
    <w:rsid w:val="0049129C"/>
    <w:rsid w:val="0049131E"/>
    <w:rsid w:val="004916CD"/>
    <w:rsid w:val="00491741"/>
    <w:rsid w:val="00491A63"/>
    <w:rsid w:val="00493735"/>
    <w:rsid w:val="00495623"/>
    <w:rsid w:val="004959AF"/>
    <w:rsid w:val="004A0218"/>
    <w:rsid w:val="004A074D"/>
    <w:rsid w:val="004A1E3D"/>
    <w:rsid w:val="004A2373"/>
    <w:rsid w:val="004A25E1"/>
    <w:rsid w:val="004A36EC"/>
    <w:rsid w:val="004A41B1"/>
    <w:rsid w:val="004A42A5"/>
    <w:rsid w:val="004A448E"/>
    <w:rsid w:val="004A6A69"/>
    <w:rsid w:val="004A79F0"/>
    <w:rsid w:val="004B07BE"/>
    <w:rsid w:val="004B18EA"/>
    <w:rsid w:val="004B1EEE"/>
    <w:rsid w:val="004B3540"/>
    <w:rsid w:val="004B35BF"/>
    <w:rsid w:val="004B6110"/>
    <w:rsid w:val="004B69D7"/>
    <w:rsid w:val="004B7A2F"/>
    <w:rsid w:val="004C00CE"/>
    <w:rsid w:val="004C06B5"/>
    <w:rsid w:val="004C1327"/>
    <w:rsid w:val="004C1A39"/>
    <w:rsid w:val="004C1DF9"/>
    <w:rsid w:val="004C1E1A"/>
    <w:rsid w:val="004C2217"/>
    <w:rsid w:val="004C25B6"/>
    <w:rsid w:val="004C5ED9"/>
    <w:rsid w:val="004C6650"/>
    <w:rsid w:val="004C7309"/>
    <w:rsid w:val="004C7391"/>
    <w:rsid w:val="004C7B15"/>
    <w:rsid w:val="004D0F5A"/>
    <w:rsid w:val="004D1612"/>
    <w:rsid w:val="004D2D0F"/>
    <w:rsid w:val="004D2FCD"/>
    <w:rsid w:val="004D4123"/>
    <w:rsid w:val="004D458D"/>
    <w:rsid w:val="004D46CB"/>
    <w:rsid w:val="004D54A5"/>
    <w:rsid w:val="004D5914"/>
    <w:rsid w:val="004D6401"/>
    <w:rsid w:val="004D72D2"/>
    <w:rsid w:val="004D735B"/>
    <w:rsid w:val="004D778E"/>
    <w:rsid w:val="004D7DFC"/>
    <w:rsid w:val="004E050A"/>
    <w:rsid w:val="004E1968"/>
    <w:rsid w:val="004E1D00"/>
    <w:rsid w:val="004E224F"/>
    <w:rsid w:val="004E22E0"/>
    <w:rsid w:val="004E3383"/>
    <w:rsid w:val="004E3FE0"/>
    <w:rsid w:val="004E4A2A"/>
    <w:rsid w:val="004E6F39"/>
    <w:rsid w:val="004E71B9"/>
    <w:rsid w:val="004F0058"/>
    <w:rsid w:val="004F005E"/>
    <w:rsid w:val="004F0854"/>
    <w:rsid w:val="004F1A80"/>
    <w:rsid w:val="004F2C7C"/>
    <w:rsid w:val="004F32F0"/>
    <w:rsid w:val="004F43DE"/>
    <w:rsid w:val="004F4DE7"/>
    <w:rsid w:val="004F4FDE"/>
    <w:rsid w:val="004F5338"/>
    <w:rsid w:val="004F54A8"/>
    <w:rsid w:val="0050045B"/>
    <w:rsid w:val="00500461"/>
    <w:rsid w:val="00502EA3"/>
    <w:rsid w:val="00504E3B"/>
    <w:rsid w:val="0050563D"/>
    <w:rsid w:val="00506F10"/>
    <w:rsid w:val="00510653"/>
    <w:rsid w:val="005124EC"/>
    <w:rsid w:val="005141ED"/>
    <w:rsid w:val="005147AA"/>
    <w:rsid w:val="00515B99"/>
    <w:rsid w:val="0051601C"/>
    <w:rsid w:val="005167C6"/>
    <w:rsid w:val="00517048"/>
    <w:rsid w:val="005229C8"/>
    <w:rsid w:val="00523D3E"/>
    <w:rsid w:val="00523DDE"/>
    <w:rsid w:val="00524678"/>
    <w:rsid w:val="005246DD"/>
    <w:rsid w:val="005249EE"/>
    <w:rsid w:val="005258E1"/>
    <w:rsid w:val="00525D5A"/>
    <w:rsid w:val="005322EC"/>
    <w:rsid w:val="005335A2"/>
    <w:rsid w:val="00533CE9"/>
    <w:rsid w:val="00533F1F"/>
    <w:rsid w:val="0053404A"/>
    <w:rsid w:val="005348BC"/>
    <w:rsid w:val="00534D6B"/>
    <w:rsid w:val="00535D03"/>
    <w:rsid w:val="00536DFA"/>
    <w:rsid w:val="00537260"/>
    <w:rsid w:val="005376FC"/>
    <w:rsid w:val="00537907"/>
    <w:rsid w:val="005403F3"/>
    <w:rsid w:val="005409A9"/>
    <w:rsid w:val="00540BD7"/>
    <w:rsid w:val="0054372A"/>
    <w:rsid w:val="00543EE8"/>
    <w:rsid w:val="00544321"/>
    <w:rsid w:val="00544956"/>
    <w:rsid w:val="005452C7"/>
    <w:rsid w:val="00546017"/>
    <w:rsid w:val="00550A98"/>
    <w:rsid w:val="00550CE9"/>
    <w:rsid w:val="005511E1"/>
    <w:rsid w:val="00551AB0"/>
    <w:rsid w:val="00551B93"/>
    <w:rsid w:val="00551BA1"/>
    <w:rsid w:val="00551BCA"/>
    <w:rsid w:val="00551CE5"/>
    <w:rsid w:val="00552A78"/>
    <w:rsid w:val="0055302A"/>
    <w:rsid w:val="00556503"/>
    <w:rsid w:val="005569F0"/>
    <w:rsid w:val="00556C24"/>
    <w:rsid w:val="005570EF"/>
    <w:rsid w:val="00557FCB"/>
    <w:rsid w:val="005610D0"/>
    <w:rsid w:val="00562ECD"/>
    <w:rsid w:val="00562EF3"/>
    <w:rsid w:val="005632D5"/>
    <w:rsid w:val="00563588"/>
    <w:rsid w:val="005674AF"/>
    <w:rsid w:val="005676F3"/>
    <w:rsid w:val="00567F99"/>
    <w:rsid w:val="00570135"/>
    <w:rsid w:val="005712E6"/>
    <w:rsid w:val="00571985"/>
    <w:rsid w:val="00573548"/>
    <w:rsid w:val="00573A1B"/>
    <w:rsid w:val="005748D7"/>
    <w:rsid w:val="00575460"/>
    <w:rsid w:val="00576A27"/>
    <w:rsid w:val="00577BBE"/>
    <w:rsid w:val="00577C55"/>
    <w:rsid w:val="005804B0"/>
    <w:rsid w:val="00580672"/>
    <w:rsid w:val="0058073B"/>
    <w:rsid w:val="00581926"/>
    <w:rsid w:val="00582665"/>
    <w:rsid w:val="00582965"/>
    <w:rsid w:val="00582C91"/>
    <w:rsid w:val="00583F53"/>
    <w:rsid w:val="00584A53"/>
    <w:rsid w:val="005856AA"/>
    <w:rsid w:val="00585FC5"/>
    <w:rsid w:val="00587809"/>
    <w:rsid w:val="00587C1B"/>
    <w:rsid w:val="00587FF2"/>
    <w:rsid w:val="00590499"/>
    <w:rsid w:val="00590EB2"/>
    <w:rsid w:val="00591BD1"/>
    <w:rsid w:val="00592843"/>
    <w:rsid w:val="005940F4"/>
    <w:rsid w:val="00594DE2"/>
    <w:rsid w:val="00594EE2"/>
    <w:rsid w:val="005956B8"/>
    <w:rsid w:val="0059593E"/>
    <w:rsid w:val="00596E4A"/>
    <w:rsid w:val="00597B47"/>
    <w:rsid w:val="005A53DC"/>
    <w:rsid w:val="005A5509"/>
    <w:rsid w:val="005A57CC"/>
    <w:rsid w:val="005A58B9"/>
    <w:rsid w:val="005A65F9"/>
    <w:rsid w:val="005A68D5"/>
    <w:rsid w:val="005A6DDF"/>
    <w:rsid w:val="005B0CA9"/>
    <w:rsid w:val="005B17A7"/>
    <w:rsid w:val="005B1CE6"/>
    <w:rsid w:val="005B1DE2"/>
    <w:rsid w:val="005B43F9"/>
    <w:rsid w:val="005B45F4"/>
    <w:rsid w:val="005B4870"/>
    <w:rsid w:val="005B4ECC"/>
    <w:rsid w:val="005B5BC2"/>
    <w:rsid w:val="005B6B9A"/>
    <w:rsid w:val="005B722C"/>
    <w:rsid w:val="005B769E"/>
    <w:rsid w:val="005B7A60"/>
    <w:rsid w:val="005C0816"/>
    <w:rsid w:val="005C18BF"/>
    <w:rsid w:val="005C1CDE"/>
    <w:rsid w:val="005C27F5"/>
    <w:rsid w:val="005C3ADD"/>
    <w:rsid w:val="005C59F6"/>
    <w:rsid w:val="005C5A41"/>
    <w:rsid w:val="005C5AF0"/>
    <w:rsid w:val="005C69CF"/>
    <w:rsid w:val="005D207D"/>
    <w:rsid w:val="005D27AB"/>
    <w:rsid w:val="005D2A1F"/>
    <w:rsid w:val="005D3D80"/>
    <w:rsid w:val="005D3F9C"/>
    <w:rsid w:val="005D4B8D"/>
    <w:rsid w:val="005D55BE"/>
    <w:rsid w:val="005D5663"/>
    <w:rsid w:val="005D6032"/>
    <w:rsid w:val="005D662F"/>
    <w:rsid w:val="005D6724"/>
    <w:rsid w:val="005D7203"/>
    <w:rsid w:val="005D7AF7"/>
    <w:rsid w:val="005D7E81"/>
    <w:rsid w:val="005E1D66"/>
    <w:rsid w:val="005E447E"/>
    <w:rsid w:val="005E5A71"/>
    <w:rsid w:val="005E629B"/>
    <w:rsid w:val="005E6AED"/>
    <w:rsid w:val="005E6F59"/>
    <w:rsid w:val="005E6FDB"/>
    <w:rsid w:val="005E7D5C"/>
    <w:rsid w:val="005F38BB"/>
    <w:rsid w:val="005F5787"/>
    <w:rsid w:val="005F578E"/>
    <w:rsid w:val="005F7127"/>
    <w:rsid w:val="005F7A53"/>
    <w:rsid w:val="006008B4"/>
    <w:rsid w:val="00602106"/>
    <w:rsid w:val="0060553B"/>
    <w:rsid w:val="00605FEE"/>
    <w:rsid w:val="006072C6"/>
    <w:rsid w:val="006100EA"/>
    <w:rsid w:val="006124CC"/>
    <w:rsid w:val="006135CD"/>
    <w:rsid w:val="00613CB6"/>
    <w:rsid w:val="00615C29"/>
    <w:rsid w:val="00615C38"/>
    <w:rsid w:val="00616335"/>
    <w:rsid w:val="00617385"/>
    <w:rsid w:val="0061771E"/>
    <w:rsid w:val="00617FA2"/>
    <w:rsid w:val="006201FF"/>
    <w:rsid w:val="006206D8"/>
    <w:rsid w:val="00620FD9"/>
    <w:rsid w:val="00621375"/>
    <w:rsid w:val="006223D2"/>
    <w:rsid w:val="00622AEA"/>
    <w:rsid w:val="00622E0D"/>
    <w:rsid w:val="0062452D"/>
    <w:rsid w:val="00624B68"/>
    <w:rsid w:val="0062514C"/>
    <w:rsid w:val="00625E0A"/>
    <w:rsid w:val="006262E9"/>
    <w:rsid w:val="0062653B"/>
    <w:rsid w:val="006270A4"/>
    <w:rsid w:val="006300F0"/>
    <w:rsid w:val="00631517"/>
    <w:rsid w:val="00631525"/>
    <w:rsid w:val="00631651"/>
    <w:rsid w:val="00632559"/>
    <w:rsid w:val="00632F57"/>
    <w:rsid w:val="00633134"/>
    <w:rsid w:val="0063375F"/>
    <w:rsid w:val="006352DF"/>
    <w:rsid w:val="00642AAC"/>
    <w:rsid w:val="00646241"/>
    <w:rsid w:val="00646835"/>
    <w:rsid w:val="00646A93"/>
    <w:rsid w:val="00647428"/>
    <w:rsid w:val="00650B53"/>
    <w:rsid w:val="00651981"/>
    <w:rsid w:val="00651D96"/>
    <w:rsid w:val="006523AC"/>
    <w:rsid w:val="006525AA"/>
    <w:rsid w:val="00656B10"/>
    <w:rsid w:val="00660F0C"/>
    <w:rsid w:val="00661279"/>
    <w:rsid w:val="006626EC"/>
    <w:rsid w:val="00663053"/>
    <w:rsid w:val="0066329B"/>
    <w:rsid w:val="006653AB"/>
    <w:rsid w:val="00665A27"/>
    <w:rsid w:val="006660AE"/>
    <w:rsid w:val="006668A4"/>
    <w:rsid w:val="00672FE7"/>
    <w:rsid w:val="006739D2"/>
    <w:rsid w:val="00673AD7"/>
    <w:rsid w:val="00675132"/>
    <w:rsid w:val="006761DF"/>
    <w:rsid w:val="006767E7"/>
    <w:rsid w:val="0067720C"/>
    <w:rsid w:val="00680197"/>
    <w:rsid w:val="0068197A"/>
    <w:rsid w:val="00681AD2"/>
    <w:rsid w:val="0068233D"/>
    <w:rsid w:val="00684BCD"/>
    <w:rsid w:val="006856D7"/>
    <w:rsid w:val="00685C2D"/>
    <w:rsid w:val="006862DD"/>
    <w:rsid w:val="006871DE"/>
    <w:rsid w:val="00690212"/>
    <w:rsid w:val="0069091B"/>
    <w:rsid w:val="00691B3B"/>
    <w:rsid w:val="00692540"/>
    <w:rsid w:val="006925F9"/>
    <w:rsid w:val="006935DC"/>
    <w:rsid w:val="00694008"/>
    <w:rsid w:val="0069429B"/>
    <w:rsid w:val="00694686"/>
    <w:rsid w:val="0069469D"/>
    <w:rsid w:val="006966C0"/>
    <w:rsid w:val="006970F2"/>
    <w:rsid w:val="00697B11"/>
    <w:rsid w:val="00697CAB"/>
    <w:rsid w:val="006A0032"/>
    <w:rsid w:val="006A07AF"/>
    <w:rsid w:val="006A187C"/>
    <w:rsid w:val="006A1D0A"/>
    <w:rsid w:val="006A2AA7"/>
    <w:rsid w:val="006A2E93"/>
    <w:rsid w:val="006A3F75"/>
    <w:rsid w:val="006A4220"/>
    <w:rsid w:val="006A44C0"/>
    <w:rsid w:val="006A4EDB"/>
    <w:rsid w:val="006A6E98"/>
    <w:rsid w:val="006A7661"/>
    <w:rsid w:val="006B00BC"/>
    <w:rsid w:val="006B044B"/>
    <w:rsid w:val="006B07C5"/>
    <w:rsid w:val="006B0EEC"/>
    <w:rsid w:val="006B0F4C"/>
    <w:rsid w:val="006B2C20"/>
    <w:rsid w:val="006B32E4"/>
    <w:rsid w:val="006B39B1"/>
    <w:rsid w:val="006B4164"/>
    <w:rsid w:val="006B486D"/>
    <w:rsid w:val="006B4A7B"/>
    <w:rsid w:val="006B5F7B"/>
    <w:rsid w:val="006B749A"/>
    <w:rsid w:val="006C0984"/>
    <w:rsid w:val="006C0B90"/>
    <w:rsid w:val="006C1B8A"/>
    <w:rsid w:val="006C45FD"/>
    <w:rsid w:val="006C5515"/>
    <w:rsid w:val="006C5E99"/>
    <w:rsid w:val="006C6DFE"/>
    <w:rsid w:val="006C7264"/>
    <w:rsid w:val="006C7542"/>
    <w:rsid w:val="006D06C5"/>
    <w:rsid w:val="006D1176"/>
    <w:rsid w:val="006D19A3"/>
    <w:rsid w:val="006D2146"/>
    <w:rsid w:val="006D3381"/>
    <w:rsid w:val="006D34D6"/>
    <w:rsid w:val="006D38F8"/>
    <w:rsid w:val="006D3C64"/>
    <w:rsid w:val="006D5E84"/>
    <w:rsid w:val="006D5FE1"/>
    <w:rsid w:val="006D6063"/>
    <w:rsid w:val="006D7085"/>
    <w:rsid w:val="006D784F"/>
    <w:rsid w:val="006D7CB6"/>
    <w:rsid w:val="006E0743"/>
    <w:rsid w:val="006E0815"/>
    <w:rsid w:val="006E2387"/>
    <w:rsid w:val="006E2673"/>
    <w:rsid w:val="006E3A77"/>
    <w:rsid w:val="006E3E43"/>
    <w:rsid w:val="006E4A36"/>
    <w:rsid w:val="006E6CFE"/>
    <w:rsid w:val="006F0135"/>
    <w:rsid w:val="006F0C29"/>
    <w:rsid w:val="006F0D45"/>
    <w:rsid w:val="006F13F6"/>
    <w:rsid w:val="006F15B9"/>
    <w:rsid w:val="006F1740"/>
    <w:rsid w:val="006F1ACD"/>
    <w:rsid w:val="006F4BE8"/>
    <w:rsid w:val="006F614B"/>
    <w:rsid w:val="006F62B8"/>
    <w:rsid w:val="006F6333"/>
    <w:rsid w:val="006F66A3"/>
    <w:rsid w:val="006F78CE"/>
    <w:rsid w:val="006F7AFF"/>
    <w:rsid w:val="006F7F98"/>
    <w:rsid w:val="007003F5"/>
    <w:rsid w:val="0070071C"/>
    <w:rsid w:val="00701769"/>
    <w:rsid w:val="00701BE8"/>
    <w:rsid w:val="00702BDA"/>
    <w:rsid w:val="00703450"/>
    <w:rsid w:val="007038B4"/>
    <w:rsid w:val="007049CD"/>
    <w:rsid w:val="00705106"/>
    <w:rsid w:val="0070579F"/>
    <w:rsid w:val="00706228"/>
    <w:rsid w:val="0070634B"/>
    <w:rsid w:val="00706D3E"/>
    <w:rsid w:val="00710C8A"/>
    <w:rsid w:val="00710CFC"/>
    <w:rsid w:val="0071113A"/>
    <w:rsid w:val="00712A9A"/>
    <w:rsid w:val="00713169"/>
    <w:rsid w:val="0071388D"/>
    <w:rsid w:val="00713A02"/>
    <w:rsid w:val="00713DDE"/>
    <w:rsid w:val="00714C71"/>
    <w:rsid w:val="00715651"/>
    <w:rsid w:val="007159BF"/>
    <w:rsid w:val="00715EFC"/>
    <w:rsid w:val="00716010"/>
    <w:rsid w:val="00716202"/>
    <w:rsid w:val="00716380"/>
    <w:rsid w:val="007174AA"/>
    <w:rsid w:val="007210F0"/>
    <w:rsid w:val="00722B19"/>
    <w:rsid w:val="00723DD6"/>
    <w:rsid w:val="0072412B"/>
    <w:rsid w:val="00725D08"/>
    <w:rsid w:val="00725DCD"/>
    <w:rsid w:val="00726FEB"/>
    <w:rsid w:val="0072708F"/>
    <w:rsid w:val="007275AA"/>
    <w:rsid w:val="00730E49"/>
    <w:rsid w:val="0073382C"/>
    <w:rsid w:val="0073556E"/>
    <w:rsid w:val="0073591C"/>
    <w:rsid w:val="00736050"/>
    <w:rsid w:val="00736F73"/>
    <w:rsid w:val="00737C4B"/>
    <w:rsid w:val="00741687"/>
    <w:rsid w:val="00741AAF"/>
    <w:rsid w:val="00742C09"/>
    <w:rsid w:val="00746165"/>
    <w:rsid w:val="007464B5"/>
    <w:rsid w:val="00747B23"/>
    <w:rsid w:val="00747C8D"/>
    <w:rsid w:val="00750F44"/>
    <w:rsid w:val="00751515"/>
    <w:rsid w:val="00751DA9"/>
    <w:rsid w:val="007521E8"/>
    <w:rsid w:val="00752445"/>
    <w:rsid w:val="007530C8"/>
    <w:rsid w:val="0075380A"/>
    <w:rsid w:val="00754324"/>
    <w:rsid w:val="007561E0"/>
    <w:rsid w:val="00756787"/>
    <w:rsid w:val="007603E8"/>
    <w:rsid w:val="007604E4"/>
    <w:rsid w:val="00761F94"/>
    <w:rsid w:val="007626DF"/>
    <w:rsid w:val="007637AE"/>
    <w:rsid w:val="00763E7C"/>
    <w:rsid w:val="0076515F"/>
    <w:rsid w:val="0076649B"/>
    <w:rsid w:val="0076675A"/>
    <w:rsid w:val="007668BA"/>
    <w:rsid w:val="00767580"/>
    <w:rsid w:val="00770826"/>
    <w:rsid w:val="00770A10"/>
    <w:rsid w:val="007715C9"/>
    <w:rsid w:val="007724FA"/>
    <w:rsid w:val="00773C8D"/>
    <w:rsid w:val="00775279"/>
    <w:rsid w:val="007770D8"/>
    <w:rsid w:val="00777A90"/>
    <w:rsid w:val="00781EC9"/>
    <w:rsid w:val="00783A0A"/>
    <w:rsid w:val="007843A7"/>
    <w:rsid w:val="00786093"/>
    <w:rsid w:val="00787683"/>
    <w:rsid w:val="00787FAC"/>
    <w:rsid w:val="00791540"/>
    <w:rsid w:val="00793F4F"/>
    <w:rsid w:val="0079581E"/>
    <w:rsid w:val="00796151"/>
    <w:rsid w:val="00797368"/>
    <w:rsid w:val="007A224E"/>
    <w:rsid w:val="007A429D"/>
    <w:rsid w:val="007A454F"/>
    <w:rsid w:val="007A6909"/>
    <w:rsid w:val="007B0ED5"/>
    <w:rsid w:val="007B12CE"/>
    <w:rsid w:val="007B1F9E"/>
    <w:rsid w:val="007B2881"/>
    <w:rsid w:val="007B3239"/>
    <w:rsid w:val="007B3CDB"/>
    <w:rsid w:val="007B4BE9"/>
    <w:rsid w:val="007B5494"/>
    <w:rsid w:val="007B5A13"/>
    <w:rsid w:val="007B5E65"/>
    <w:rsid w:val="007B7EBA"/>
    <w:rsid w:val="007B7F3D"/>
    <w:rsid w:val="007C0A80"/>
    <w:rsid w:val="007C0AFE"/>
    <w:rsid w:val="007C0CB8"/>
    <w:rsid w:val="007C1E6A"/>
    <w:rsid w:val="007C3132"/>
    <w:rsid w:val="007C43B8"/>
    <w:rsid w:val="007C6A1A"/>
    <w:rsid w:val="007C6B61"/>
    <w:rsid w:val="007C7FBC"/>
    <w:rsid w:val="007D17D3"/>
    <w:rsid w:val="007D1A50"/>
    <w:rsid w:val="007D1F66"/>
    <w:rsid w:val="007D31CC"/>
    <w:rsid w:val="007D3384"/>
    <w:rsid w:val="007D3DBD"/>
    <w:rsid w:val="007D48C5"/>
    <w:rsid w:val="007D6BC6"/>
    <w:rsid w:val="007E0CE7"/>
    <w:rsid w:val="007E0E75"/>
    <w:rsid w:val="007E282F"/>
    <w:rsid w:val="007E4325"/>
    <w:rsid w:val="007E4B2D"/>
    <w:rsid w:val="007E5790"/>
    <w:rsid w:val="007E6205"/>
    <w:rsid w:val="007E79B5"/>
    <w:rsid w:val="007F0B24"/>
    <w:rsid w:val="007F0FDF"/>
    <w:rsid w:val="007F21F1"/>
    <w:rsid w:val="007F299C"/>
    <w:rsid w:val="007F29E5"/>
    <w:rsid w:val="007F2DBD"/>
    <w:rsid w:val="007F446A"/>
    <w:rsid w:val="007F5CC7"/>
    <w:rsid w:val="007F6ADC"/>
    <w:rsid w:val="007F6C49"/>
    <w:rsid w:val="007F6C6E"/>
    <w:rsid w:val="007F782D"/>
    <w:rsid w:val="007F7C8B"/>
    <w:rsid w:val="00800B8E"/>
    <w:rsid w:val="00801157"/>
    <w:rsid w:val="008024C8"/>
    <w:rsid w:val="008026B5"/>
    <w:rsid w:val="00803711"/>
    <w:rsid w:val="00803EDE"/>
    <w:rsid w:val="0080499C"/>
    <w:rsid w:val="0080540F"/>
    <w:rsid w:val="00805CAE"/>
    <w:rsid w:val="00807721"/>
    <w:rsid w:val="008103C4"/>
    <w:rsid w:val="00811ADE"/>
    <w:rsid w:val="00812B06"/>
    <w:rsid w:val="00813FA3"/>
    <w:rsid w:val="00815BB8"/>
    <w:rsid w:val="008171A9"/>
    <w:rsid w:val="00820320"/>
    <w:rsid w:val="0082063A"/>
    <w:rsid w:val="00821907"/>
    <w:rsid w:val="008241E3"/>
    <w:rsid w:val="00827296"/>
    <w:rsid w:val="00827DB6"/>
    <w:rsid w:val="00830317"/>
    <w:rsid w:val="00831792"/>
    <w:rsid w:val="00831830"/>
    <w:rsid w:val="00831D46"/>
    <w:rsid w:val="008327AD"/>
    <w:rsid w:val="008337BA"/>
    <w:rsid w:val="008343E7"/>
    <w:rsid w:val="00834A61"/>
    <w:rsid w:val="00835B5F"/>
    <w:rsid w:val="00837498"/>
    <w:rsid w:val="00840018"/>
    <w:rsid w:val="00840708"/>
    <w:rsid w:val="00841619"/>
    <w:rsid w:val="00842AB9"/>
    <w:rsid w:val="00843880"/>
    <w:rsid w:val="00843A8A"/>
    <w:rsid w:val="00844EC5"/>
    <w:rsid w:val="008450DB"/>
    <w:rsid w:val="00846CC9"/>
    <w:rsid w:val="00847060"/>
    <w:rsid w:val="00847198"/>
    <w:rsid w:val="008474D8"/>
    <w:rsid w:val="00851094"/>
    <w:rsid w:val="00851CD5"/>
    <w:rsid w:val="00851CE8"/>
    <w:rsid w:val="0085216B"/>
    <w:rsid w:val="00852761"/>
    <w:rsid w:val="00852993"/>
    <w:rsid w:val="00852FFD"/>
    <w:rsid w:val="00853CC7"/>
    <w:rsid w:val="00853DC2"/>
    <w:rsid w:val="008544D1"/>
    <w:rsid w:val="0085451D"/>
    <w:rsid w:val="008553BA"/>
    <w:rsid w:val="00855412"/>
    <w:rsid w:val="008557A0"/>
    <w:rsid w:val="008568F6"/>
    <w:rsid w:val="00863529"/>
    <w:rsid w:val="00865D04"/>
    <w:rsid w:val="00867883"/>
    <w:rsid w:val="00867C46"/>
    <w:rsid w:val="008700C1"/>
    <w:rsid w:val="0087175C"/>
    <w:rsid w:val="008727C6"/>
    <w:rsid w:val="00874CBF"/>
    <w:rsid w:val="00876788"/>
    <w:rsid w:val="00876CA0"/>
    <w:rsid w:val="00877A1D"/>
    <w:rsid w:val="00877FA2"/>
    <w:rsid w:val="00880A8E"/>
    <w:rsid w:val="00880E89"/>
    <w:rsid w:val="00881217"/>
    <w:rsid w:val="0088149D"/>
    <w:rsid w:val="0088195A"/>
    <w:rsid w:val="0088235A"/>
    <w:rsid w:val="008823BC"/>
    <w:rsid w:val="00882546"/>
    <w:rsid w:val="00882841"/>
    <w:rsid w:val="0088333C"/>
    <w:rsid w:val="00883F9C"/>
    <w:rsid w:val="00885069"/>
    <w:rsid w:val="00885BD4"/>
    <w:rsid w:val="00885FF4"/>
    <w:rsid w:val="00891A32"/>
    <w:rsid w:val="008924F6"/>
    <w:rsid w:val="00894DE5"/>
    <w:rsid w:val="00895514"/>
    <w:rsid w:val="00895579"/>
    <w:rsid w:val="00895946"/>
    <w:rsid w:val="00896148"/>
    <w:rsid w:val="0089707D"/>
    <w:rsid w:val="008972B9"/>
    <w:rsid w:val="008A19C2"/>
    <w:rsid w:val="008A2D3D"/>
    <w:rsid w:val="008A3B55"/>
    <w:rsid w:val="008A3CCD"/>
    <w:rsid w:val="008A3DE4"/>
    <w:rsid w:val="008A5672"/>
    <w:rsid w:val="008A6840"/>
    <w:rsid w:val="008A6E5B"/>
    <w:rsid w:val="008B0522"/>
    <w:rsid w:val="008B21E9"/>
    <w:rsid w:val="008B3931"/>
    <w:rsid w:val="008B3B33"/>
    <w:rsid w:val="008B4C9C"/>
    <w:rsid w:val="008B7D44"/>
    <w:rsid w:val="008C1377"/>
    <w:rsid w:val="008C1B55"/>
    <w:rsid w:val="008C2779"/>
    <w:rsid w:val="008C2C02"/>
    <w:rsid w:val="008C45E6"/>
    <w:rsid w:val="008D1BFD"/>
    <w:rsid w:val="008D37FC"/>
    <w:rsid w:val="008D41EA"/>
    <w:rsid w:val="008D4A27"/>
    <w:rsid w:val="008D66DB"/>
    <w:rsid w:val="008D6CD5"/>
    <w:rsid w:val="008D7155"/>
    <w:rsid w:val="008D78F1"/>
    <w:rsid w:val="008E0BAF"/>
    <w:rsid w:val="008E106D"/>
    <w:rsid w:val="008E2E05"/>
    <w:rsid w:val="008E4769"/>
    <w:rsid w:val="008E4AFD"/>
    <w:rsid w:val="008E5673"/>
    <w:rsid w:val="008E59DE"/>
    <w:rsid w:val="008E5E79"/>
    <w:rsid w:val="008E7880"/>
    <w:rsid w:val="008F0BD8"/>
    <w:rsid w:val="008F1A73"/>
    <w:rsid w:val="008F387E"/>
    <w:rsid w:val="008F5B3E"/>
    <w:rsid w:val="008F5CF3"/>
    <w:rsid w:val="008F60D1"/>
    <w:rsid w:val="008F63F0"/>
    <w:rsid w:val="008F6F3B"/>
    <w:rsid w:val="008F7BAF"/>
    <w:rsid w:val="0090017A"/>
    <w:rsid w:val="0090143B"/>
    <w:rsid w:val="009040C8"/>
    <w:rsid w:val="009048AE"/>
    <w:rsid w:val="00904B63"/>
    <w:rsid w:val="00905D07"/>
    <w:rsid w:val="00907FAA"/>
    <w:rsid w:val="0091056C"/>
    <w:rsid w:val="00910E12"/>
    <w:rsid w:val="009111B5"/>
    <w:rsid w:val="009111F2"/>
    <w:rsid w:val="00911CE2"/>
    <w:rsid w:val="00912517"/>
    <w:rsid w:val="009125FC"/>
    <w:rsid w:val="009151DE"/>
    <w:rsid w:val="00916A55"/>
    <w:rsid w:val="009175DC"/>
    <w:rsid w:val="00921AC6"/>
    <w:rsid w:val="009221B6"/>
    <w:rsid w:val="00923C00"/>
    <w:rsid w:val="00923C7F"/>
    <w:rsid w:val="009241BC"/>
    <w:rsid w:val="00926230"/>
    <w:rsid w:val="00926D65"/>
    <w:rsid w:val="00931ABC"/>
    <w:rsid w:val="00931F60"/>
    <w:rsid w:val="0093242E"/>
    <w:rsid w:val="00933B75"/>
    <w:rsid w:val="00934902"/>
    <w:rsid w:val="009354DC"/>
    <w:rsid w:val="00935939"/>
    <w:rsid w:val="00937B45"/>
    <w:rsid w:val="0094069A"/>
    <w:rsid w:val="009406CD"/>
    <w:rsid w:val="00941043"/>
    <w:rsid w:val="00942F16"/>
    <w:rsid w:val="009439CE"/>
    <w:rsid w:val="00944D45"/>
    <w:rsid w:val="009461EA"/>
    <w:rsid w:val="009478C1"/>
    <w:rsid w:val="00950EAE"/>
    <w:rsid w:val="0095152D"/>
    <w:rsid w:val="009527A2"/>
    <w:rsid w:val="009536FF"/>
    <w:rsid w:val="00954D8D"/>
    <w:rsid w:val="00956AE1"/>
    <w:rsid w:val="00957D87"/>
    <w:rsid w:val="00960373"/>
    <w:rsid w:val="00960A32"/>
    <w:rsid w:val="00961AAF"/>
    <w:rsid w:val="009632E5"/>
    <w:rsid w:val="00964CEA"/>
    <w:rsid w:val="0096642B"/>
    <w:rsid w:val="00967C70"/>
    <w:rsid w:val="00967E84"/>
    <w:rsid w:val="00970149"/>
    <w:rsid w:val="009704E2"/>
    <w:rsid w:val="00975A0E"/>
    <w:rsid w:val="00975DCA"/>
    <w:rsid w:val="00976456"/>
    <w:rsid w:val="00976B21"/>
    <w:rsid w:val="00980401"/>
    <w:rsid w:val="009804CC"/>
    <w:rsid w:val="00980EA3"/>
    <w:rsid w:val="009825BE"/>
    <w:rsid w:val="00982769"/>
    <w:rsid w:val="009857E0"/>
    <w:rsid w:val="00986435"/>
    <w:rsid w:val="009876B9"/>
    <w:rsid w:val="00987923"/>
    <w:rsid w:val="009901D9"/>
    <w:rsid w:val="00990892"/>
    <w:rsid w:val="00992266"/>
    <w:rsid w:val="00992380"/>
    <w:rsid w:val="009938DC"/>
    <w:rsid w:val="00996090"/>
    <w:rsid w:val="00997496"/>
    <w:rsid w:val="009974C1"/>
    <w:rsid w:val="009A0F23"/>
    <w:rsid w:val="009A3219"/>
    <w:rsid w:val="009A39DE"/>
    <w:rsid w:val="009A5A05"/>
    <w:rsid w:val="009A5B2F"/>
    <w:rsid w:val="009A6B06"/>
    <w:rsid w:val="009A6D70"/>
    <w:rsid w:val="009A6F5F"/>
    <w:rsid w:val="009A78C3"/>
    <w:rsid w:val="009A7A46"/>
    <w:rsid w:val="009B0450"/>
    <w:rsid w:val="009B086A"/>
    <w:rsid w:val="009B0CD9"/>
    <w:rsid w:val="009B0F1A"/>
    <w:rsid w:val="009B12B7"/>
    <w:rsid w:val="009B1E31"/>
    <w:rsid w:val="009B2DB3"/>
    <w:rsid w:val="009B2E1F"/>
    <w:rsid w:val="009B4768"/>
    <w:rsid w:val="009B5A69"/>
    <w:rsid w:val="009B5B95"/>
    <w:rsid w:val="009B740C"/>
    <w:rsid w:val="009B760F"/>
    <w:rsid w:val="009B777A"/>
    <w:rsid w:val="009C017E"/>
    <w:rsid w:val="009C0A6E"/>
    <w:rsid w:val="009C0F41"/>
    <w:rsid w:val="009C1D28"/>
    <w:rsid w:val="009C2297"/>
    <w:rsid w:val="009C3EAD"/>
    <w:rsid w:val="009C6278"/>
    <w:rsid w:val="009C647D"/>
    <w:rsid w:val="009C6DC1"/>
    <w:rsid w:val="009C7EC5"/>
    <w:rsid w:val="009D0082"/>
    <w:rsid w:val="009D067F"/>
    <w:rsid w:val="009D0A49"/>
    <w:rsid w:val="009D2B96"/>
    <w:rsid w:val="009D32A5"/>
    <w:rsid w:val="009D47CC"/>
    <w:rsid w:val="009D525A"/>
    <w:rsid w:val="009D5C4B"/>
    <w:rsid w:val="009E398E"/>
    <w:rsid w:val="009E3EFD"/>
    <w:rsid w:val="009E45D1"/>
    <w:rsid w:val="009E5282"/>
    <w:rsid w:val="009E6C75"/>
    <w:rsid w:val="009E6DA5"/>
    <w:rsid w:val="009E6EFE"/>
    <w:rsid w:val="009E767A"/>
    <w:rsid w:val="009E7AC5"/>
    <w:rsid w:val="009E7E5D"/>
    <w:rsid w:val="009F01AC"/>
    <w:rsid w:val="009F0C31"/>
    <w:rsid w:val="009F3DD8"/>
    <w:rsid w:val="009F4056"/>
    <w:rsid w:val="009F79A3"/>
    <w:rsid w:val="00A019FE"/>
    <w:rsid w:val="00A01F3F"/>
    <w:rsid w:val="00A033BD"/>
    <w:rsid w:val="00A0377F"/>
    <w:rsid w:val="00A04208"/>
    <w:rsid w:val="00A043F4"/>
    <w:rsid w:val="00A05675"/>
    <w:rsid w:val="00A075F5"/>
    <w:rsid w:val="00A077EB"/>
    <w:rsid w:val="00A10D1E"/>
    <w:rsid w:val="00A10D50"/>
    <w:rsid w:val="00A1137A"/>
    <w:rsid w:val="00A11980"/>
    <w:rsid w:val="00A11A30"/>
    <w:rsid w:val="00A122DF"/>
    <w:rsid w:val="00A124FB"/>
    <w:rsid w:val="00A12A64"/>
    <w:rsid w:val="00A131AA"/>
    <w:rsid w:val="00A178BC"/>
    <w:rsid w:val="00A21BF9"/>
    <w:rsid w:val="00A22110"/>
    <w:rsid w:val="00A2458F"/>
    <w:rsid w:val="00A25A2E"/>
    <w:rsid w:val="00A25F24"/>
    <w:rsid w:val="00A26CFD"/>
    <w:rsid w:val="00A32523"/>
    <w:rsid w:val="00A328B0"/>
    <w:rsid w:val="00A345B9"/>
    <w:rsid w:val="00A3479A"/>
    <w:rsid w:val="00A34E95"/>
    <w:rsid w:val="00A40160"/>
    <w:rsid w:val="00A432AF"/>
    <w:rsid w:val="00A43880"/>
    <w:rsid w:val="00A438DA"/>
    <w:rsid w:val="00A441FB"/>
    <w:rsid w:val="00A44214"/>
    <w:rsid w:val="00A44522"/>
    <w:rsid w:val="00A448B8"/>
    <w:rsid w:val="00A46ADB"/>
    <w:rsid w:val="00A46B7B"/>
    <w:rsid w:val="00A46B8D"/>
    <w:rsid w:val="00A471FA"/>
    <w:rsid w:val="00A472F6"/>
    <w:rsid w:val="00A50A42"/>
    <w:rsid w:val="00A51C6D"/>
    <w:rsid w:val="00A52251"/>
    <w:rsid w:val="00A527F9"/>
    <w:rsid w:val="00A52D1C"/>
    <w:rsid w:val="00A53295"/>
    <w:rsid w:val="00A56AF4"/>
    <w:rsid w:val="00A5763A"/>
    <w:rsid w:val="00A61184"/>
    <w:rsid w:val="00A61500"/>
    <w:rsid w:val="00A62536"/>
    <w:rsid w:val="00A626AF"/>
    <w:rsid w:val="00A6396B"/>
    <w:rsid w:val="00A643D5"/>
    <w:rsid w:val="00A65C7C"/>
    <w:rsid w:val="00A66DAE"/>
    <w:rsid w:val="00A673C7"/>
    <w:rsid w:val="00A67DC9"/>
    <w:rsid w:val="00A67E98"/>
    <w:rsid w:val="00A67F95"/>
    <w:rsid w:val="00A702BF"/>
    <w:rsid w:val="00A735BD"/>
    <w:rsid w:val="00A738C5"/>
    <w:rsid w:val="00A74BB6"/>
    <w:rsid w:val="00A7532B"/>
    <w:rsid w:val="00A76314"/>
    <w:rsid w:val="00A76333"/>
    <w:rsid w:val="00A777F5"/>
    <w:rsid w:val="00A77BB1"/>
    <w:rsid w:val="00A821CE"/>
    <w:rsid w:val="00A826AE"/>
    <w:rsid w:val="00A838D2"/>
    <w:rsid w:val="00A83B80"/>
    <w:rsid w:val="00A8571E"/>
    <w:rsid w:val="00A869A3"/>
    <w:rsid w:val="00A870CD"/>
    <w:rsid w:val="00A87855"/>
    <w:rsid w:val="00A87A23"/>
    <w:rsid w:val="00A87C6C"/>
    <w:rsid w:val="00A906EE"/>
    <w:rsid w:val="00A9158C"/>
    <w:rsid w:val="00A9376A"/>
    <w:rsid w:val="00A93EE6"/>
    <w:rsid w:val="00A9453E"/>
    <w:rsid w:val="00A96A4D"/>
    <w:rsid w:val="00AA0385"/>
    <w:rsid w:val="00AA0731"/>
    <w:rsid w:val="00AA09E4"/>
    <w:rsid w:val="00AA1E39"/>
    <w:rsid w:val="00AA4D16"/>
    <w:rsid w:val="00AA5444"/>
    <w:rsid w:val="00AA5E22"/>
    <w:rsid w:val="00AA6588"/>
    <w:rsid w:val="00AA6674"/>
    <w:rsid w:val="00AA75C6"/>
    <w:rsid w:val="00AA78D1"/>
    <w:rsid w:val="00AB00BC"/>
    <w:rsid w:val="00AB03D8"/>
    <w:rsid w:val="00AB0F01"/>
    <w:rsid w:val="00AB16D2"/>
    <w:rsid w:val="00AB2507"/>
    <w:rsid w:val="00AB25C6"/>
    <w:rsid w:val="00AB2C60"/>
    <w:rsid w:val="00AB317D"/>
    <w:rsid w:val="00AB36D9"/>
    <w:rsid w:val="00AB3A64"/>
    <w:rsid w:val="00AB4F00"/>
    <w:rsid w:val="00AB6D82"/>
    <w:rsid w:val="00AB6F2A"/>
    <w:rsid w:val="00AB7942"/>
    <w:rsid w:val="00AC2CDD"/>
    <w:rsid w:val="00AC2F6F"/>
    <w:rsid w:val="00AC314B"/>
    <w:rsid w:val="00AC31AF"/>
    <w:rsid w:val="00AC3669"/>
    <w:rsid w:val="00AC4F7D"/>
    <w:rsid w:val="00AC5805"/>
    <w:rsid w:val="00AC610E"/>
    <w:rsid w:val="00AC6600"/>
    <w:rsid w:val="00AC7886"/>
    <w:rsid w:val="00AC7EF1"/>
    <w:rsid w:val="00AD0389"/>
    <w:rsid w:val="00AD061E"/>
    <w:rsid w:val="00AD148E"/>
    <w:rsid w:val="00AD1623"/>
    <w:rsid w:val="00AD2511"/>
    <w:rsid w:val="00AD43A1"/>
    <w:rsid w:val="00AD4576"/>
    <w:rsid w:val="00AD50C5"/>
    <w:rsid w:val="00AD602D"/>
    <w:rsid w:val="00AD6606"/>
    <w:rsid w:val="00AD72ED"/>
    <w:rsid w:val="00AD7F09"/>
    <w:rsid w:val="00AE0E6A"/>
    <w:rsid w:val="00AE1610"/>
    <w:rsid w:val="00AE17D0"/>
    <w:rsid w:val="00AE3CF2"/>
    <w:rsid w:val="00AE502B"/>
    <w:rsid w:val="00AE6427"/>
    <w:rsid w:val="00AE6CFC"/>
    <w:rsid w:val="00AE74B5"/>
    <w:rsid w:val="00AF26E9"/>
    <w:rsid w:val="00AF2E12"/>
    <w:rsid w:val="00AF5B3B"/>
    <w:rsid w:val="00AF6E17"/>
    <w:rsid w:val="00AF7189"/>
    <w:rsid w:val="00AF7D67"/>
    <w:rsid w:val="00B008C1"/>
    <w:rsid w:val="00B00D95"/>
    <w:rsid w:val="00B00DC0"/>
    <w:rsid w:val="00B01F7C"/>
    <w:rsid w:val="00B02CB5"/>
    <w:rsid w:val="00B0412E"/>
    <w:rsid w:val="00B04CF8"/>
    <w:rsid w:val="00B051C7"/>
    <w:rsid w:val="00B0589F"/>
    <w:rsid w:val="00B05A66"/>
    <w:rsid w:val="00B063C5"/>
    <w:rsid w:val="00B066C8"/>
    <w:rsid w:val="00B06ACC"/>
    <w:rsid w:val="00B112E0"/>
    <w:rsid w:val="00B124DB"/>
    <w:rsid w:val="00B13F64"/>
    <w:rsid w:val="00B15881"/>
    <w:rsid w:val="00B15930"/>
    <w:rsid w:val="00B16729"/>
    <w:rsid w:val="00B1685E"/>
    <w:rsid w:val="00B21773"/>
    <w:rsid w:val="00B21995"/>
    <w:rsid w:val="00B21F21"/>
    <w:rsid w:val="00B25CED"/>
    <w:rsid w:val="00B27846"/>
    <w:rsid w:val="00B27C47"/>
    <w:rsid w:val="00B321C7"/>
    <w:rsid w:val="00B3460A"/>
    <w:rsid w:val="00B34A61"/>
    <w:rsid w:val="00B358DB"/>
    <w:rsid w:val="00B36AF6"/>
    <w:rsid w:val="00B36E38"/>
    <w:rsid w:val="00B36FA1"/>
    <w:rsid w:val="00B4086F"/>
    <w:rsid w:val="00B40A7A"/>
    <w:rsid w:val="00B4500F"/>
    <w:rsid w:val="00B47FC8"/>
    <w:rsid w:val="00B50008"/>
    <w:rsid w:val="00B50E36"/>
    <w:rsid w:val="00B5145D"/>
    <w:rsid w:val="00B516B5"/>
    <w:rsid w:val="00B521F3"/>
    <w:rsid w:val="00B546AA"/>
    <w:rsid w:val="00B54903"/>
    <w:rsid w:val="00B56027"/>
    <w:rsid w:val="00B57704"/>
    <w:rsid w:val="00B609EE"/>
    <w:rsid w:val="00B60A40"/>
    <w:rsid w:val="00B61DF3"/>
    <w:rsid w:val="00B636CE"/>
    <w:rsid w:val="00B63E03"/>
    <w:rsid w:val="00B664C7"/>
    <w:rsid w:val="00B6689C"/>
    <w:rsid w:val="00B66C54"/>
    <w:rsid w:val="00B7021C"/>
    <w:rsid w:val="00B71004"/>
    <w:rsid w:val="00B713EF"/>
    <w:rsid w:val="00B72286"/>
    <w:rsid w:val="00B722DF"/>
    <w:rsid w:val="00B75065"/>
    <w:rsid w:val="00B753E2"/>
    <w:rsid w:val="00B7549D"/>
    <w:rsid w:val="00B75B14"/>
    <w:rsid w:val="00B7602A"/>
    <w:rsid w:val="00B76161"/>
    <w:rsid w:val="00B7646F"/>
    <w:rsid w:val="00B779B9"/>
    <w:rsid w:val="00B80AFD"/>
    <w:rsid w:val="00B8156A"/>
    <w:rsid w:val="00B826A7"/>
    <w:rsid w:val="00B8403E"/>
    <w:rsid w:val="00B847C9"/>
    <w:rsid w:val="00B8494C"/>
    <w:rsid w:val="00B86136"/>
    <w:rsid w:val="00B86366"/>
    <w:rsid w:val="00B86A7D"/>
    <w:rsid w:val="00B91009"/>
    <w:rsid w:val="00B914D1"/>
    <w:rsid w:val="00B921DF"/>
    <w:rsid w:val="00B926E6"/>
    <w:rsid w:val="00B937FF"/>
    <w:rsid w:val="00B959DB"/>
    <w:rsid w:val="00B95C35"/>
    <w:rsid w:val="00B9643C"/>
    <w:rsid w:val="00B96D7C"/>
    <w:rsid w:val="00B97651"/>
    <w:rsid w:val="00BA194D"/>
    <w:rsid w:val="00BA2DB3"/>
    <w:rsid w:val="00BA470D"/>
    <w:rsid w:val="00BA47CA"/>
    <w:rsid w:val="00BA4EE3"/>
    <w:rsid w:val="00BA56FB"/>
    <w:rsid w:val="00BA5875"/>
    <w:rsid w:val="00BA620E"/>
    <w:rsid w:val="00BA66BB"/>
    <w:rsid w:val="00BA6BD0"/>
    <w:rsid w:val="00BA6C1E"/>
    <w:rsid w:val="00BA6CC3"/>
    <w:rsid w:val="00BA6D28"/>
    <w:rsid w:val="00BA7E87"/>
    <w:rsid w:val="00BB0BBB"/>
    <w:rsid w:val="00BB1074"/>
    <w:rsid w:val="00BB15B3"/>
    <w:rsid w:val="00BB1C88"/>
    <w:rsid w:val="00BB1FB0"/>
    <w:rsid w:val="00BB25EB"/>
    <w:rsid w:val="00BB3344"/>
    <w:rsid w:val="00BB3C96"/>
    <w:rsid w:val="00BB59A0"/>
    <w:rsid w:val="00BB6422"/>
    <w:rsid w:val="00BC1606"/>
    <w:rsid w:val="00BC20CD"/>
    <w:rsid w:val="00BC290E"/>
    <w:rsid w:val="00BC3480"/>
    <w:rsid w:val="00BC3E1A"/>
    <w:rsid w:val="00BC5479"/>
    <w:rsid w:val="00BC58F2"/>
    <w:rsid w:val="00BC6B74"/>
    <w:rsid w:val="00BC761E"/>
    <w:rsid w:val="00BD055A"/>
    <w:rsid w:val="00BD3371"/>
    <w:rsid w:val="00BD459D"/>
    <w:rsid w:val="00BD56EA"/>
    <w:rsid w:val="00BD6895"/>
    <w:rsid w:val="00BD6BA6"/>
    <w:rsid w:val="00BD7CA4"/>
    <w:rsid w:val="00BE03A0"/>
    <w:rsid w:val="00BE089B"/>
    <w:rsid w:val="00BE1787"/>
    <w:rsid w:val="00BE1DEC"/>
    <w:rsid w:val="00BE2013"/>
    <w:rsid w:val="00BE2C82"/>
    <w:rsid w:val="00BE2D24"/>
    <w:rsid w:val="00BE3748"/>
    <w:rsid w:val="00BE4476"/>
    <w:rsid w:val="00BE5F98"/>
    <w:rsid w:val="00BE79F4"/>
    <w:rsid w:val="00BF017A"/>
    <w:rsid w:val="00BF0978"/>
    <w:rsid w:val="00BF0E68"/>
    <w:rsid w:val="00BF15FC"/>
    <w:rsid w:val="00BF2FD3"/>
    <w:rsid w:val="00BF7A67"/>
    <w:rsid w:val="00C01198"/>
    <w:rsid w:val="00C031A7"/>
    <w:rsid w:val="00C03ADA"/>
    <w:rsid w:val="00C03AE2"/>
    <w:rsid w:val="00C04F17"/>
    <w:rsid w:val="00C06A2E"/>
    <w:rsid w:val="00C07301"/>
    <w:rsid w:val="00C07A79"/>
    <w:rsid w:val="00C07BF4"/>
    <w:rsid w:val="00C10348"/>
    <w:rsid w:val="00C126EA"/>
    <w:rsid w:val="00C13133"/>
    <w:rsid w:val="00C14506"/>
    <w:rsid w:val="00C14B8B"/>
    <w:rsid w:val="00C159E4"/>
    <w:rsid w:val="00C15C5B"/>
    <w:rsid w:val="00C172FA"/>
    <w:rsid w:val="00C17B04"/>
    <w:rsid w:val="00C208F3"/>
    <w:rsid w:val="00C226AD"/>
    <w:rsid w:val="00C310E9"/>
    <w:rsid w:val="00C31271"/>
    <w:rsid w:val="00C31758"/>
    <w:rsid w:val="00C320C2"/>
    <w:rsid w:val="00C32384"/>
    <w:rsid w:val="00C33E41"/>
    <w:rsid w:val="00C34854"/>
    <w:rsid w:val="00C348B2"/>
    <w:rsid w:val="00C34DE4"/>
    <w:rsid w:val="00C3534C"/>
    <w:rsid w:val="00C354A0"/>
    <w:rsid w:val="00C3649B"/>
    <w:rsid w:val="00C41301"/>
    <w:rsid w:val="00C41444"/>
    <w:rsid w:val="00C416F7"/>
    <w:rsid w:val="00C4182D"/>
    <w:rsid w:val="00C439D4"/>
    <w:rsid w:val="00C43E2B"/>
    <w:rsid w:val="00C442F8"/>
    <w:rsid w:val="00C501D8"/>
    <w:rsid w:val="00C50DFD"/>
    <w:rsid w:val="00C5118C"/>
    <w:rsid w:val="00C520DE"/>
    <w:rsid w:val="00C52647"/>
    <w:rsid w:val="00C5343B"/>
    <w:rsid w:val="00C53688"/>
    <w:rsid w:val="00C53D8E"/>
    <w:rsid w:val="00C54F1F"/>
    <w:rsid w:val="00C56944"/>
    <w:rsid w:val="00C56C21"/>
    <w:rsid w:val="00C610E2"/>
    <w:rsid w:val="00C623F5"/>
    <w:rsid w:val="00C635E7"/>
    <w:rsid w:val="00C64049"/>
    <w:rsid w:val="00C66259"/>
    <w:rsid w:val="00C666E7"/>
    <w:rsid w:val="00C6788F"/>
    <w:rsid w:val="00C70199"/>
    <w:rsid w:val="00C71975"/>
    <w:rsid w:val="00C7213D"/>
    <w:rsid w:val="00C73A89"/>
    <w:rsid w:val="00C74458"/>
    <w:rsid w:val="00C7476C"/>
    <w:rsid w:val="00C748C7"/>
    <w:rsid w:val="00C77DFC"/>
    <w:rsid w:val="00C80CD8"/>
    <w:rsid w:val="00C81149"/>
    <w:rsid w:val="00C81483"/>
    <w:rsid w:val="00C81831"/>
    <w:rsid w:val="00C84428"/>
    <w:rsid w:val="00C844C8"/>
    <w:rsid w:val="00C8586F"/>
    <w:rsid w:val="00C86505"/>
    <w:rsid w:val="00C865E7"/>
    <w:rsid w:val="00C86F57"/>
    <w:rsid w:val="00C87EE0"/>
    <w:rsid w:val="00C901EF"/>
    <w:rsid w:val="00C9097B"/>
    <w:rsid w:val="00C912A3"/>
    <w:rsid w:val="00C91A37"/>
    <w:rsid w:val="00C9386D"/>
    <w:rsid w:val="00C94256"/>
    <w:rsid w:val="00C95965"/>
    <w:rsid w:val="00C95BD4"/>
    <w:rsid w:val="00C96CF6"/>
    <w:rsid w:val="00C97227"/>
    <w:rsid w:val="00CA0F1B"/>
    <w:rsid w:val="00CA1072"/>
    <w:rsid w:val="00CA18B5"/>
    <w:rsid w:val="00CA43EE"/>
    <w:rsid w:val="00CA485A"/>
    <w:rsid w:val="00CA5F04"/>
    <w:rsid w:val="00CB030D"/>
    <w:rsid w:val="00CB0C74"/>
    <w:rsid w:val="00CB3A8C"/>
    <w:rsid w:val="00CB46B3"/>
    <w:rsid w:val="00CB566E"/>
    <w:rsid w:val="00CB584F"/>
    <w:rsid w:val="00CB5B30"/>
    <w:rsid w:val="00CB782F"/>
    <w:rsid w:val="00CC027D"/>
    <w:rsid w:val="00CC065A"/>
    <w:rsid w:val="00CC1289"/>
    <w:rsid w:val="00CC1786"/>
    <w:rsid w:val="00CC2A52"/>
    <w:rsid w:val="00CC2DE4"/>
    <w:rsid w:val="00CC30C9"/>
    <w:rsid w:val="00CC368C"/>
    <w:rsid w:val="00CC386F"/>
    <w:rsid w:val="00CC456D"/>
    <w:rsid w:val="00CC4EF9"/>
    <w:rsid w:val="00CC5F52"/>
    <w:rsid w:val="00CC6546"/>
    <w:rsid w:val="00CC797F"/>
    <w:rsid w:val="00CC7A58"/>
    <w:rsid w:val="00CD0047"/>
    <w:rsid w:val="00CD176C"/>
    <w:rsid w:val="00CD2E55"/>
    <w:rsid w:val="00CD3DB9"/>
    <w:rsid w:val="00CD49F0"/>
    <w:rsid w:val="00CD53D0"/>
    <w:rsid w:val="00CD6AC5"/>
    <w:rsid w:val="00CD77A4"/>
    <w:rsid w:val="00CE0166"/>
    <w:rsid w:val="00CE0451"/>
    <w:rsid w:val="00CE0CFF"/>
    <w:rsid w:val="00CE1F6F"/>
    <w:rsid w:val="00CE4438"/>
    <w:rsid w:val="00CE6A57"/>
    <w:rsid w:val="00CE7A92"/>
    <w:rsid w:val="00CE7B22"/>
    <w:rsid w:val="00CF0D48"/>
    <w:rsid w:val="00CF0F14"/>
    <w:rsid w:val="00CF1C35"/>
    <w:rsid w:val="00CF1CB9"/>
    <w:rsid w:val="00CF2B4B"/>
    <w:rsid w:val="00CF3D24"/>
    <w:rsid w:val="00CF45D1"/>
    <w:rsid w:val="00CF46BE"/>
    <w:rsid w:val="00CF4F4B"/>
    <w:rsid w:val="00CF5300"/>
    <w:rsid w:val="00CF5D2A"/>
    <w:rsid w:val="00CF7D72"/>
    <w:rsid w:val="00D006FC"/>
    <w:rsid w:val="00D0117C"/>
    <w:rsid w:val="00D01933"/>
    <w:rsid w:val="00D01D7E"/>
    <w:rsid w:val="00D02958"/>
    <w:rsid w:val="00D038EA"/>
    <w:rsid w:val="00D03F33"/>
    <w:rsid w:val="00D044CA"/>
    <w:rsid w:val="00D0522F"/>
    <w:rsid w:val="00D05E7E"/>
    <w:rsid w:val="00D1094B"/>
    <w:rsid w:val="00D11AF1"/>
    <w:rsid w:val="00D128A3"/>
    <w:rsid w:val="00D141BB"/>
    <w:rsid w:val="00D142FF"/>
    <w:rsid w:val="00D1540B"/>
    <w:rsid w:val="00D15E81"/>
    <w:rsid w:val="00D15F51"/>
    <w:rsid w:val="00D169FF"/>
    <w:rsid w:val="00D172E1"/>
    <w:rsid w:val="00D177E1"/>
    <w:rsid w:val="00D17C39"/>
    <w:rsid w:val="00D20679"/>
    <w:rsid w:val="00D206BB"/>
    <w:rsid w:val="00D20A6C"/>
    <w:rsid w:val="00D22108"/>
    <w:rsid w:val="00D24DCC"/>
    <w:rsid w:val="00D251B9"/>
    <w:rsid w:val="00D2646E"/>
    <w:rsid w:val="00D27307"/>
    <w:rsid w:val="00D304A9"/>
    <w:rsid w:val="00D31890"/>
    <w:rsid w:val="00D31DC0"/>
    <w:rsid w:val="00D336A9"/>
    <w:rsid w:val="00D34806"/>
    <w:rsid w:val="00D34EA7"/>
    <w:rsid w:val="00D35C82"/>
    <w:rsid w:val="00D37004"/>
    <w:rsid w:val="00D37683"/>
    <w:rsid w:val="00D40E37"/>
    <w:rsid w:val="00D40EF1"/>
    <w:rsid w:val="00D45467"/>
    <w:rsid w:val="00D45D67"/>
    <w:rsid w:val="00D46AE6"/>
    <w:rsid w:val="00D46DAE"/>
    <w:rsid w:val="00D47211"/>
    <w:rsid w:val="00D51404"/>
    <w:rsid w:val="00D51804"/>
    <w:rsid w:val="00D522A4"/>
    <w:rsid w:val="00D52887"/>
    <w:rsid w:val="00D531DA"/>
    <w:rsid w:val="00D540BE"/>
    <w:rsid w:val="00D54ECC"/>
    <w:rsid w:val="00D550A1"/>
    <w:rsid w:val="00D55988"/>
    <w:rsid w:val="00D55B9B"/>
    <w:rsid w:val="00D55D6E"/>
    <w:rsid w:val="00D56C4C"/>
    <w:rsid w:val="00D5729F"/>
    <w:rsid w:val="00D607C6"/>
    <w:rsid w:val="00D62296"/>
    <w:rsid w:val="00D6270F"/>
    <w:rsid w:val="00D63163"/>
    <w:rsid w:val="00D636F1"/>
    <w:rsid w:val="00D664AD"/>
    <w:rsid w:val="00D66A6F"/>
    <w:rsid w:val="00D7097B"/>
    <w:rsid w:val="00D71EA8"/>
    <w:rsid w:val="00D72648"/>
    <w:rsid w:val="00D72820"/>
    <w:rsid w:val="00D73ACF"/>
    <w:rsid w:val="00D73B85"/>
    <w:rsid w:val="00D745C1"/>
    <w:rsid w:val="00D74CE6"/>
    <w:rsid w:val="00D761FA"/>
    <w:rsid w:val="00D770A8"/>
    <w:rsid w:val="00D77446"/>
    <w:rsid w:val="00D774A7"/>
    <w:rsid w:val="00D80635"/>
    <w:rsid w:val="00D81A57"/>
    <w:rsid w:val="00D82BA0"/>
    <w:rsid w:val="00D83377"/>
    <w:rsid w:val="00D84227"/>
    <w:rsid w:val="00D851A6"/>
    <w:rsid w:val="00D87295"/>
    <w:rsid w:val="00D87F8E"/>
    <w:rsid w:val="00D90A6B"/>
    <w:rsid w:val="00D917D9"/>
    <w:rsid w:val="00D92073"/>
    <w:rsid w:val="00D920BE"/>
    <w:rsid w:val="00D922D9"/>
    <w:rsid w:val="00D927EE"/>
    <w:rsid w:val="00D92D58"/>
    <w:rsid w:val="00D94491"/>
    <w:rsid w:val="00D94910"/>
    <w:rsid w:val="00D96573"/>
    <w:rsid w:val="00D96ED3"/>
    <w:rsid w:val="00D974AC"/>
    <w:rsid w:val="00DA1093"/>
    <w:rsid w:val="00DA1344"/>
    <w:rsid w:val="00DA1B5A"/>
    <w:rsid w:val="00DA1D41"/>
    <w:rsid w:val="00DA1F51"/>
    <w:rsid w:val="00DA2728"/>
    <w:rsid w:val="00DA4BF8"/>
    <w:rsid w:val="00DA60CB"/>
    <w:rsid w:val="00DB10B4"/>
    <w:rsid w:val="00DB19B8"/>
    <w:rsid w:val="00DB2E14"/>
    <w:rsid w:val="00DB3894"/>
    <w:rsid w:val="00DB38E0"/>
    <w:rsid w:val="00DB40FC"/>
    <w:rsid w:val="00DB4436"/>
    <w:rsid w:val="00DB4BB8"/>
    <w:rsid w:val="00DB5631"/>
    <w:rsid w:val="00DB5EEF"/>
    <w:rsid w:val="00DB673C"/>
    <w:rsid w:val="00DC0480"/>
    <w:rsid w:val="00DC0E41"/>
    <w:rsid w:val="00DC12D4"/>
    <w:rsid w:val="00DC16A7"/>
    <w:rsid w:val="00DC3A20"/>
    <w:rsid w:val="00DC44A1"/>
    <w:rsid w:val="00DC47E0"/>
    <w:rsid w:val="00DC4CCD"/>
    <w:rsid w:val="00DC53BD"/>
    <w:rsid w:val="00DD0E31"/>
    <w:rsid w:val="00DD1125"/>
    <w:rsid w:val="00DD23B4"/>
    <w:rsid w:val="00DD27DB"/>
    <w:rsid w:val="00DD36FF"/>
    <w:rsid w:val="00DD42CA"/>
    <w:rsid w:val="00DD4D45"/>
    <w:rsid w:val="00DD5453"/>
    <w:rsid w:val="00DD7416"/>
    <w:rsid w:val="00DD7B33"/>
    <w:rsid w:val="00DD7FC3"/>
    <w:rsid w:val="00DE0214"/>
    <w:rsid w:val="00DE1C93"/>
    <w:rsid w:val="00DE30C6"/>
    <w:rsid w:val="00DE3B20"/>
    <w:rsid w:val="00DE611E"/>
    <w:rsid w:val="00DF0145"/>
    <w:rsid w:val="00DF2618"/>
    <w:rsid w:val="00DF3DF4"/>
    <w:rsid w:val="00DF4F52"/>
    <w:rsid w:val="00DF6716"/>
    <w:rsid w:val="00DF7BBB"/>
    <w:rsid w:val="00DF7DAC"/>
    <w:rsid w:val="00E00171"/>
    <w:rsid w:val="00E00752"/>
    <w:rsid w:val="00E03572"/>
    <w:rsid w:val="00E04772"/>
    <w:rsid w:val="00E0614B"/>
    <w:rsid w:val="00E07DFE"/>
    <w:rsid w:val="00E07E1D"/>
    <w:rsid w:val="00E110E9"/>
    <w:rsid w:val="00E12052"/>
    <w:rsid w:val="00E12B50"/>
    <w:rsid w:val="00E149FC"/>
    <w:rsid w:val="00E15186"/>
    <w:rsid w:val="00E2469A"/>
    <w:rsid w:val="00E26172"/>
    <w:rsid w:val="00E27F1D"/>
    <w:rsid w:val="00E30B4C"/>
    <w:rsid w:val="00E31C99"/>
    <w:rsid w:val="00E31F10"/>
    <w:rsid w:val="00E329B2"/>
    <w:rsid w:val="00E34DE4"/>
    <w:rsid w:val="00E35756"/>
    <w:rsid w:val="00E357F9"/>
    <w:rsid w:val="00E35AE8"/>
    <w:rsid w:val="00E41768"/>
    <w:rsid w:val="00E43ABD"/>
    <w:rsid w:val="00E43C62"/>
    <w:rsid w:val="00E43DA9"/>
    <w:rsid w:val="00E45433"/>
    <w:rsid w:val="00E46AA2"/>
    <w:rsid w:val="00E47144"/>
    <w:rsid w:val="00E50703"/>
    <w:rsid w:val="00E50DBF"/>
    <w:rsid w:val="00E5153C"/>
    <w:rsid w:val="00E517AC"/>
    <w:rsid w:val="00E5432B"/>
    <w:rsid w:val="00E54A59"/>
    <w:rsid w:val="00E56DDD"/>
    <w:rsid w:val="00E56F8D"/>
    <w:rsid w:val="00E60F77"/>
    <w:rsid w:val="00E613F3"/>
    <w:rsid w:val="00E6213F"/>
    <w:rsid w:val="00E62F08"/>
    <w:rsid w:val="00E630B8"/>
    <w:rsid w:val="00E6343A"/>
    <w:rsid w:val="00E657B0"/>
    <w:rsid w:val="00E66FE4"/>
    <w:rsid w:val="00E67508"/>
    <w:rsid w:val="00E71BF8"/>
    <w:rsid w:val="00E734E7"/>
    <w:rsid w:val="00E74E9B"/>
    <w:rsid w:val="00E75D1B"/>
    <w:rsid w:val="00E7687D"/>
    <w:rsid w:val="00E769DD"/>
    <w:rsid w:val="00E76C00"/>
    <w:rsid w:val="00E771D7"/>
    <w:rsid w:val="00E805B0"/>
    <w:rsid w:val="00E80AB1"/>
    <w:rsid w:val="00E80BBE"/>
    <w:rsid w:val="00E81B5F"/>
    <w:rsid w:val="00E821B6"/>
    <w:rsid w:val="00E82C8B"/>
    <w:rsid w:val="00E85EC3"/>
    <w:rsid w:val="00E8609B"/>
    <w:rsid w:val="00E86660"/>
    <w:rsid w:val="00E87403"/>
    <w:rsid w:val="00E94BFC"/>
    <w:rsid w:val="00E94D8F"/>
    <w:rsid w:val="00E94FFE"/>
    <w:rsid w:val="00E9522E"/>
    <w:rsid w:val="00E956A6"/>
    <w:rsid w:val="00E95C0A"/>
    <w:rsid w:val="00E96EF6"/>
    <w:rsid w:val="00E979AC"/>
    <w:rsid w:val="00E97D2A"/>
    <w:rsid w:val="00E97FDA"/>
    <w:rsid w:val="00EA033E"/>
    <w:rsid w:val="00EA0926"/>
    <w:rsid w:val="00EA3580"/>
    <w:rsid w:val="00EA4FF7"/>
    <w:rsid w:val="00EB0830"/>
    <w:rsid w:val="00EB2078"/>
    <w:rsid w:val="00EB2BAC"/>
    <w:rsid w:val="00EB2D9F"/>
    <w:rsid w:val="00EB3FB3"/>
    <w:rsid w:val="00EB5291"/>
    <w:rsid w:val="00EB5387"/>
    <w:rsid w:val="00EB69E9"/>
    <w:rsid w:val="00EB75E1"/>
    <w:rsid w:val="00EC07F3"/>
    <w:rsid w:val="00EC15EB"/>
    <w:rsid w:val="00EC182F"/>
    <w:rsid w:val="00EC1DF0"/>
    <w:rsid w:val="00EC2C5C"/>
    <w:rsid w:val="00EC3A9E"/>
    <w:rsid w:val="00EC3C9C"/>
    <w:rsid w:val="00EC3EB6"/>
    <w:rsid w:val="00EC4AE2"/>
    <w:rsid w:val="00EC5352"/>
    <w:rsid w:val="00ED0227"/>
    <w:rsid w:val="00ED09D9"/>
    <w:rsid w:val="00ED0DC6"/>
    <w:rsid w:val="00ED13DD"/>
    <w:rsid w:val="00ED1878"/>
    <w:rsid w:val="00ED28C8"/>
    <w:rsid w:val="00ED360E"/>
    <w:rsid w:val="00ED3B34"/>
    <w:rsid w:val="00ED471C"/>
    <w:rsid w:val="00ED49AE"/>
    <w:rsid w:val="00ED7048"/>
    <w:rsid w:val="00EE0C4C"/>
    <w:rsid w:val="00EE0E7A"/>
    <w:rsid w:val="00EE11E5"/>
    <w:rsid w:val="00EE21D1"/>
    <w:rsid w:val="00EE4AB8"/>
    <w:rsid w:val="00EE4C5D"/>
    <w:rsid w:val="00EE4EF2"/>
    <w:rsid w:val="00EE6F4D"/>
    <w:rsid w:val="00EE7C07"/>
    <w:rsid w:val="00EF170D"/>
    <w:rsid w:val="00EF17A8"/>
    <w:rsid w:val="00EF1853"/>
    <w:rsid w:val="00EF2746"/>
    <w:rsid w:val="00EF31D9"/>
    <w:rsid w:val="00EF3B23"/>
    <w:rsid w:val="00EF550C"/>
    <w:rsid w:val="00EF64CE"/>
    <w:rsid w:val="00EF712A"/>
    <w:rsid w:val="00F00596"/>
    <w:rsid w:val="00F00722"/>
    <w:rsid w:val="00F00F45"/>
    <w:rsid w:val="00F01598"/>
    <w:rsid w:val="00F01A85"/>
    <w:rsid w:val="00F0270F"/>
    <w:rsid w:val="00F03EF6"/>
    <w:rsid w:val="00F04621"/>
    <w:rsid w:val="00F04E71"/>
    <w:rsid w:val="00F05356"/>
    <w:rsid w:val="00F06A79"/>
    <w:rsid w:val="00F07833"/>
    <w:rsid w:val="00F07C6E"/>
    <w:rsid w:val="00F11419"/>
    <w:rsid w:val="00F1146A"/>
    <w:rsid w:val="00F1207D"/>
    <w:rsid w:val="00F130AB"/>
    <w:rsid w:val="00F14206"/>
    <w:rsid w:val="00F1433C"/>
    <w:rsid w:val="00F15CE8"/>
    <w:rsid w:val="00F15D6A"/>
    <w:rsid w:val="00F16B0B"/>
    <w:rsid w:val="00F22376"/>
    <w:rsid w:val="00F2610D"/>
    <w:rsid w:val="00F30854"/>
    <w:rsid w:val="00F30BAA"/>
    <w:rsid w:val="00F31650"/>
    <w:rsid w:val="00F31C3D"/>
    <w:rsid w:val="00F32D0F"/>
    <w:rsid w:val="00F33515"/>
    <w:rsid w:val="00F34064"/>
    <w:rsid w:val="00F35C9F"/>
    <w:rsid w:val="00F36192"/>
    <w:rsid w:val="00F36518"/>
    <w:rsid w:val="00F36CD2"/>
    <w:rsid w:val="00F37060"/>
    <w:rsid w:val="00F3707E"/>
    <w:rsid w:val="00F3741B"/>
    <w:rsid w:val="00F37A9E"/>
    <w:rsid w:val="00F37CFE"/>
    <w:rsid w:val="00F37D85"/>
    <w:rsid w:val="00F40DCD"/>
    <w:rsid w:val="00F41025"/>
    <w:rsid w:val="00F41417"/>
    <w:rsid w:val="00F41522"/>
    <w:rsid w:val="00F437C1"/>
    <w:rsid w:val="00F4464F"/>
    <w:rsid w:val="00F4473C"/>
    <w:rsid w:val="00F452E2"/>
    <w:rsid w:val="00F45E38"/>
    <w:rsid w:val="00F46E92"/>
    <w:rsid w:val="00F479E8"/>
    <w:rsid w:val="00F50F94"/>
    <w:rsid w:val="00F52E21"/>
    <w:rsid w:val="00F53B2E"/>
    <w:rsid w:val="00F53BF3"/>
    <w:rsid w:val="00F545F1"/>
    <w:rsid w:val="00F57D39"/>
    <w:rsid w:val="00F57ED0"/>
    <w:rsid w:val="00F6341F"/>
    <w:rsid w:val="00F639B2"/>
    <w:rsid w:val="00F645BB"/>
    <w:rsid w:val="00F64C6F"/>
    <w:rsid w:val="00F67B43"/>
    <w:rsid w:val="00F7064D"/>
    <w:rsid w:val="00F72405"/>
    <w:rsid w:val="00F748B7"/>
    <w:rsid w:val="00F74BFF"/>
    <w:rsid w:val="00F74C6E"/>
    <w:rsid w:val="00F750DD"/>
    <w:rsid w:val="00F75151"/>
    <w:rsid w:val="00F7530C"/>
    <w:rsid w:val="00F758F5"/>
    <w:rsid w:val="00F77028"/>
    <w:rsid w:val="00F805D6"/>
    <w:rsid w:val="00F81370"/>
    <w:rsid w:val="00F83594"/>
    <w:rsid w:val="00F84ECE"/>
    <w:rsid w:val="00F85551"/>
    <w:rsid w:val="00F86530"/>
    <w:rsid w:val="00F86E85"/>
    <w:rsid w:val="00F87CEC"/>
    <w:rsid w:val="00F91B28"/>
    <w:rsid w:val="00F91CE0"/>
    <w:rsid w:val="00F92405"/>
    <w:rsid w:val="00F93C84"/>
    <w:rsid w:val="00F94E25"/>
    <w:rsid w:val="00F95037"/>
    <w:rsid w:val="00F95ABC"/>
    <w:rsid w:val="00F97A36"/>
    <w:rsid w:val="00F97BDE"/>
    <w:rsid w:val="00FA0259"/>
    <w:rsid w:val="00FA40E0"/>
    <w:rsid w:val="00FA53F4"/>
    <w:rsid w:val="00FA6F5D"/>
    <w:rsid w:val="00FB4322"/>
    <w:rsid w:val="00FB4601"/>
    <w:rsid w:val="00FB53EE"/>
    <w:rsid w:val="00FB6641"/>
    <w:rsid w:val="00FC0600"/>
    <w:rsid w:val="00FC0A68"/>
    <w:rsid w:val="00FC104B"/>
    <w:rsid w:val="00FC2019"/>
    <w:rsid w:val="00FC34BA"/>
    <w:rsid w:val="00FC3F0F"/>
    <w:rsid w:val="00FC427F"/>
    <w:rsid w:val="00FC7134"/>
    <w:rsid w:val="00FC7452"/>
    <w:rsid w:val="00FC797B"/>
    <w:rsid w:val="00FC7FDA"/>
    <w:rsid w:val="00FD2B00"/>
    <w:rsid w:val="00FD2B98"/>
    <w:rsid w:val="00FD30E6"/>
    <w:rsid w:val="00FD3B2F"/>
    <w:rsid w:val="00FD4450"/>
    <w:rsid w:val="00FD45B8"/>
    <w:rsid w:val="00FD70FF"/>
    <w:rsid w:val="00FD74D2"/>
    <w:rsid w:val="00FE00D0"/>
    <w:rsid w:val="00FE102E"/>
    <w:rsid w:val="00FE1266"/>
    <w:rsid w:val="00FE2EAC"/>
    <w:rsid w:val="00FE3862"/>
    <w:rsid w:val="00FE425E"/>
    <w:rsid w:val="00FE494B"/>
    <w:rsid w:val="00FF2670"/>
    <w:rsid w:val="00FF5670"/>
    <w:rsid w:val="00FF5E79"/>
    <w:rsid w:val="00FF65F8"/>
    <w:rsid w:val="00FF785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74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uiPriority w:val="99"/>
    <w:rsid w:val="008E2E05"/>
    <w:rPr>
      <w:rFonts w:eastAsia="SimSun"/>
      <w:sz w:val="20"/>
      <w:szCs w:val="20"/>
    </w:rPr>
  </w:style>
  <w:style w:type="character" w:customStyle="1" w:styleId="CommentTextChar">
    <w:name w:val="Comment Text Char"/>
    <w:basedOn w:val="DefaultParagraphFont"/>
    <w:link w:val="CommentText"/>
    <w:uiPriority w:val="99"/>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8E4769"/>
    <w:pPr>
      <w:tabs>
        <w:tab w:val="left" w:pos="660"/>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8E4769"/>
    <w:pPr>
      <w:tabs>
        <w:tab w:val="right" w:leader="dot" w:pos="9350"/>
      </w:tabs>
      <w:spacing w:after="100" w:line="276" w:lineRule="auto"/>
      <w:ind w:left="216"/>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3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semiHidden/>
    <w:rsid w:val="001C7136"/>
    <w:rPr>
      <w:sz w:val="20"/>
      <w:szCs w:val="20"/>
    </w:rPr>
  </w:style>
  <w:style w:type="character" w:customStyle="1" w:styleId="FootnoteTextChar">
    <w:name w:val="Footnote Text Char"/>
    <w:basedOn w:val="DefaultParagraphFont"/>
    <w:link w:val="FootnoteText"/>
    <w:uiPriority w:val="99"/>
    <w:semiHidden/>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2"/>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B2E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FC0A6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5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757">
      <w:bodyDiv w:val="1"/>
      <w:marLeft w:val="4"/>
      <w:marRight w:val="4"/>
      <w:marTop w:val="4"/>
      <w:marBottom w:val="4"/>
      <w:divBdr>
        <w:top w:val="none" w:sz="0" w:space="0" w:color="auto"/>
        <w:left w:val="none" w:sz="0" w:space="0" w:color="auto"/>
        <w:bottom w:val="none" w:sz="0" w:space="0" w:color="auto"/>
        <w:right w:val="none" w:sz="0" w:space="0" w:color="auto"/>
      </w:divBdr>
      <w:divsChild>
        <w:div w:id="361322222">
          <w:marLeft w:val="0"/>
          <w:marRight w:val="0"/>
          <w:marTop w:val="0"/>
          <w:marBottom w:val="0"/>
          <w:divBdr>
            <w:top w:val="none" w:sz="0" w:space="0" w:color="auto"/>
            <w:left w:val="none" w:sz="0" w:space="0" w:color="auto"/>
            <w:bottom w:val="none" w:sz="0" w:space="0" w:color="auto"/>
            <w:right w:val="none" w:sz="0" w:space="0" w:color="auto"/>
          </w:divBdr>
          <w:divsChild>
            <w:div w:id="917522548">
              <w:marLeft w:val="0"/>
              <w:marRight w:val="0"/>
              <w:marTop w:val="0"/>
              <w:marBottom w:val="180"/>
              <w:divBdr>
                <w:top w:val="none" w:sz="0" w:space="0" w:color="auto"/>
                <w:left w:val="none" w:sz="0" w:space="0" w:color="auto"/>
                <w:bottom w:val="none" w:sz="0" w:space="0" w:color="auto"/>
                <w:right w:val="none" w:sz="0" w:space="0" w:color="auto"/>
              </w:divBdr>
              <w:divsChild>
                <w:div w:id="1183740811">
                  <w:marLeft w:val="0"/>
                  <w:marRight w:val="0"/>
                  <w:marTop w:val="0"/>
                  <w:marBottom w:val="0"/>
                  <w:divBdr>
                    <w:top w:val="none" w:sz="0" w:space="0" w:color="auto"/>
                    <w:left w:val="none" w:sz="0" w:space="0" w:color="auto"/>
                    <w:bottom w:val="none" w:sz="0" w:space="0" w:color="auto"/>
                    <w:right w:val="none" w:sz="0" w:space="0" w:color="auto"/>
                  </w:divBdr>
                  <w:divsChild>
                    <w:div w:id="1792748479">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182984337">
      <w:bodyDiv w:val="1"/>
      <w:marLeft w:val="4"/>
      <w:marRight w:val="4"/>
      <w:marTop w:val="4"/>
      <w:marBottom w:val="4"/>
      <w:divBdr>
        <w:top w:val="none" w:sz="0" w:space="0" w:color="auto"/>
        <w:left w:val="none" w:sz="0" w:space="0" w:color="auto"/>
        <w:bottom w:val="none" w:sz="0" w:space="0" w:color="auto"/>
        <w:right w:val="none" w:sz="0" w:space="0" w:color="auto"/>
      </w:divBdr>
      <w:divsChild>
        <w:div w:id="1207450431">
          <w:marLeft w:val="0"/>
          <w:marRight w:val="0"/>
          <w:marTop w:val="0"/>
          <w:marBottom w:val="0"/>
          <w:divBdr>
            <w:top w:val="none" w:sz="0" w:space="0" w:color="auto"/>
            <w:left w:val="none" w:sz="0" w:space="0" w:color="auto"/>
            <w:bottom w:val="none" w:sz="0" w:space="0" w:color="auto"/>
            <w:right w:val="none" w:sz="0" w:space="0" w:color="auto"/>
          </w:divBdr>
          <w:divsChild>
            <w:div w:id="1750350520">
              <w:marLeft w:val="0"/>
              <w:marRight w:val="0"/>
              <w:marTop w:val="0"/>
              <w:marBottom w:val="180"/>
              <w:divBdr>
                <w:top w:val="none" w:sz="0" w:space="0" w:color="auto"/>
                <w:left w:val="none" w:sz="0" w:space="0" w:color="auto"/>
                <w:bottom w:val="none" w:sz="0" w:space="0" w:color="auto"/>
                <w:right w:val="none" w:sz="0" w:space="0" w:color="auto"/>
              </w:divBdr>
              <w:divsChild>
                <w:div w:id="92290392">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076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41">
      <w:bodyDiv w:val="1"/>
      <w:marLeft w:val="0"/>
      <w:marRight w:val="0"/>
      <w:marTop w:val="0"/>
      <w:marBottom w:val="0"/>
      <w:divBdr>
        <w:top w:val="none" w:sz="0" w:space="0" w:color="auto"/>
        <w:left w:val="none" w:sz="0" w:space="0" w:color="auto"/>
        <w:bottom w:val="none" w:sz="0" w:space="0" w:color="auto"/>
        <w:right w:val="none" w:sz="0" w:space="0" w:color="auto"/>
      </w:divBdr>
    </w:div>
    <w:div w:id="393746743">
      <w:bodyDiv w:val="1"/>
      <w:marLeft w:val="4"/>
      <w:marRight w:val="4"/>
      <w:marTop w:val="4"/>
      <w:marBottom w:val="4"/>
      <w:divBdr>
        <w:top w:val="none" w:sz="0" w:space="0" w:color="auto"/>
        <w:left w:val="none" w:sz="0" w:space="0" w:color="auto"/>
        <w:bottom w:val="none" w:sz="0" w:space="0" w:color="auto"/>
        <w:right w:val="none" w:sz="0" w:space="0" w:color="auto"/>
      </w:divBdr>
      <w:divsChild>
        <w:div w:id="1613786907">
          <w:marLeft w:val="0"/>
          <w:marRight w:val="0"/>
          <w:marTop w:val="0"/>
          <w:marBottom w:val="0"/>
          <w:divBdr>
            <w:top w:val="none" w:sz="0" w:space="0" w:color="auto"/>
            <w:left w:val="none" w:sz="0" w:space="0" w:color="auto"/>
            <w:bottom w:val="none" w:sz="0" w:space="0" w:color="auto"/>
            <w:right w:val="none" w:sz="0" w:space="0" w:color="auto"/>
          </w:divBdr>
          <w:divsChild>
            <w:div w:id="1302806668">
              <w:marLeft w:val="0"/>
              <w:marRight w:val="0"/>
              <w:marTop w:val="0"/>
              <w:marBottom w:val="180"/>
              <w:divBdr>
                <w:top w:val="none" w:sz="0" w:space="0" w:color="auto"/>
                <w:left w:val="none" w:sz="0" w:space="0" w:color="auto"/>
                <w:bottom w:val="none" w:sz="0" w:space="0" w:color="auto"/>
                <w:right w:val="none" w:sz="0" w:space="0" w:color="auto"/>
              </w:divBdr>
              <w:divsChild>
                <w:div w:id="2091343103">
                  <w:marLeft w:val="0"/>
                  <w:marRight w:val="0"/>
                  <w:marTop w:val="0"/>
                  <w:marBottom w:val="0"/>
                  <w:divBdr>
                    <w:top w:val="none" w:sz="0" w:space="0" w:color="auto"/>
                    <w:left w:val="none" w:sz="0" w:space="0" w:color="auto"/>
                    <w:bottom w:val="none" w:sz="0" w:space="0" w:color="auto"/>
                    <w:right w:val="none" w:sz="0" w:space="0" w:color="auto"/>
                  </w:divBdr>
                  <w:divsChild>
                    <w:div w:id="26223955">
                      <w:marLeft w:val="0"/>
                      <w:marRight w:val="0"/>
                      <w:marTop w:val="0"/>
                      <w:marBottom w:val="0"/>
                      <w:divBdr>
                        <w:top w:val="none" w:sz="0" w:space="0" w:color="auto"/>
                        <w:left w:val="none" w:sz="0" w:space="0" w:color="auto"/>
                        <w:bottom w:val="none" w:sz="0" w:space="0" w:color="auto"/>
                        <w:right w:val="none" w:sz="0" w:space="0" w:color="auto"/>
                      </w:divBdr>
                      <w:divsChild>
                        <w:div w:id="1671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881477101">
      <w:bodyDiv w:val="1"/>
      <w:marLeft w:val="4"/>
      <w:marRight w:val="4"/>
      <w:marTop w:val="4"/>
      <w:marBottom w:val="4"/>
      <w:divBdr>
        <w:top w:val="none" w:sz="0" w:space="0" w:color="auto"/>
        <w:left w:val="none" w:sz="0" w:space="0" w:color="auto"/>
        <w:bottom w:val="none" w:sz="0" w:space="0" w:color="auto"/>
        <w:right w:val="none" w:sz="0" w:space="0" w:color="auto"/>
      </w:divBdr>
      <w:divsChild>
        <w:div w:id="1067454350">
          <w:marLeft w:val="0"/>
          <w:marRight w:val="0"/>
          <w:marTop w:val="0"/>
          <w:marBottom w:val="0"/>
          <w:divBdr>
            <w:top w:val="none" w:sz="0" w:space="0" w:color="auto"/>
            <w:left w:val="none" w:sz="0" w:space="0" w:color="auto"/>
            <w:bottom w:val="none" w:sz="0" w:space="0" w:color="auto"/>
            <w:right w:val="none" w:sz="0" w:space="0" w:color="auto"/>
          </w:divBdr>
          <w:divsChild>
            <w:div w:id="1422070567">
              <w:marLeft w:val="0"/>
              <w:marRight w:val="0"/>
              <w:marTop w:val="0"/>
              <w:marBottom w:val="18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sChild>
                    <w:div w:id="578290829">
                      <w:marLeft w:val="0"/>
                      <w:marRight w:val="0"/>
                      <w:marTop w:val="0"/>
                      <w:marBottom w:val="0"/>
                      <w:divBdr>
                        <w:top w:val="none" w:sz="0" w:space="0" w:color="auto"/>
                        <w:left w:val="none" w:sz="0" w:space="0" w:color="auto"/>
                        <w:bottom w:val="none" w:sz="0" w:space="0" w:color="auto"/>
                        <w:right w:val="none" w:sz="0" w:space="0" w:color="auto"/>
                      </w:divBdr>
                      <w:divsChild>
                        <w:div w:id="633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8476">
      <w:bodyDiv w:val="1"/>
      <w:marLeft w:val="4"/>
      <w:marRight w:val="4"/>
      <w:marTop w:val="4"/>
      <w:marBottom w:val="4"/>
      <w:divBdr>
        <w:top w:val="none" w:sz="0" w:space="0" w:color="auto"/>
        <w:left w:val="none" w:sz="0" w:space="0" w:color="auto"/>
        <w:bottom w:val="none" w:sz="0" w:space="0" w:color="auto"/>
        <w:right w:val="none" w:sz="0" w:space="0" w:color="auto"/>
      </w:divBdr>
      <w:divsChild>
        <w:div w:id="1901746093">
          <w:marLeft w:val="0"/>
          <w:marRight w:val="0"/>
          <w:marTop w:val="0"/>
          <w:marBottom w:val="0"/>
          <w:divBdr>
            <w:top w:val="none" w:sz="0" w:space="0" w:color="auto"/>
            <w:left w:val="none" w:sz="0" w:space="0" w:color="auto"/>
            <w:bottom w:val="none" w:sz="0" w:space="0" w:color="auto"/>
            <w:right w:val="none" w:sz="0" w:space="0" w:color="auto"/>
          </w:divBdr>
          <w:divsChild>
            <w:div w:id="1569265822">
              <w:marLeft w:val="0"/>
              <w:marRight w:val="0"/>
              <w:marTop w:val="0"/>
              <w:marBottom w:val="180"/>
              <w:divBdr>
                <w:top w:val="none" w:sz="0" w:space="0" w:color="auto"/>
                <w:left w:val="none" w:sz="0" w:space="0" w:color="auto"/>
                <w:bottom w:val="none" w:sz="0" w:space="0" w:color="auto"/>
                <w:right w:val="none" w:sz="0" w:space="0" w:color="auto"/>
              </w:divBdr>
              <w:divsChild>
                <w:div w:id="386345976">
                  <w:marLeft w:val="0"/>
                  <w:marRight w:val="0"/>
                  <w:marTop w:val="0"/>
                  <w:marBottom w:val="0"/>
                  <w:divBdr>
                    <w:top w:val="none" w:sz="0" w:space="0" w:color="auto"/>
                    <w:left w:val="none" w:sz="0" w:space="0" w:color="auto"/>
                    <w:bottom w:val="none" w:sz="0" w:space="0" w:color="auto"/>
                    <w:right w:val="none" w:sz="0" w:space="0" w:color="auto"/>
                  </w:divBdr>
                  <w:divsChild>
                    <w:div w:id="1994095812">
                      <w:marLeft w:val="0"/>
                      <w:marRight w:val="0"/>
                      <w:marTop w:val="0"/>
                      <w:marBottom w:val="0"/>
                      <w:divBdr>
                        <w:top w:val="none" w:sz="0" w:space="0" w:color="auto"/>
                        <w:left w:val="none" w:sz="0" w:space="0" w:color="auto"/>
                        <w:bottom w:val="none" w:sz="0" w:space="0" w:color="auto"/>
                        <w:right w:val="none" w:sz="0" w:space="0" w:color="auto"/>
                      </w:divBdr>
                      <w:divsChild>
                        <w:div w:id="119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783">
      <w:bodyDiv w:val="1"/>
      <w:marLeft w:val="4"/>
      <w:marRight w:val="4"/>
      <w:marTop w:val="4"/>
      <w:marBottom w:val="4"/>
      <w:divBdr>
        <w:top w:val="none" w:sz="0" w:space="0" w:color="auto"/>
        <w:left w:val="none" w:sz="0" w:space="0" w:color="auto"/>
        <w:bottom w:val="none" w:sz="0" w:space="0" w:color="auto"/>
        <w:right w:val="none" w:sz="0" w:space="0" w:color="auto"/>
      </w:divBdr>
      <w:divsChild>
        <w:div w:id="119686677">
          <w:marLeft w:val="0"/>
          <w:marRight w:val="0"/>
          <w:marTop w:val="0"/>
          <w:marBottom w:val="0"/>
          <w:divBdr>
            <w:top w:val="none" w:sz="0" w:space="0" w:color="auto"/>
            <w:left w:val="none" w:sz="0" w:space="0" w:color="auto"/>
            <w:bottom w:val="none" w:sz="0" w:space="0" w:color="auto"/>
            <w:right w:val="none" w:sz="0" w:space="0" w:color="auto"/>
          </w:divBdr>
          <w:divsChild>
            <w:div w:id="1211184068">
              <w:marLeft w:val="0"/>
              <w:marRight w:val="0"/>
              <w:marTop w:val="0"/>
              <w:marBottom w:val="180"/>
              <w:divBdr>
                <w:top w:val="none" w:sz="0" w:space="0" w:color="auto"/>
                <w:left w:val="none" w:sz="0" w:space="0" w:color="auto"/>
                <w:bottom w:val="none" w:sz="0" w:space="0" w:color="auto"/>
                <w:right w:val="none" w:sz="0" w:space="0" w:color="auto"/>
              </w:divBdr>
              <w:divsChild>
                <w:div w:id="1173688973">
                  <w:marLeft w:val="0"/>
                  <w:marRight w:val="0"/>
                  <w:marTop w:val="0"/>
                  <w:marBottom w:val="0"/>
                  <w:divBdr>
                    <w:top w:val="none" w:sz="0" w:space="0" w:color="auto"/>
                    <w:left w:val="none" w:sz="0" w:space="0" w:color="auto"/>
                    <w:bottom w:val="none" w:sz="0" w:space="0" w:color="auto"/>
                    <w:right w:val="none" w:sz="0" w:space="0" w:color="auto"/>
                  </w:divBdr>
                  <w:divsChild>
                    <w:div w:id="1213540653">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25513">
      <w:bodyDiv w:val="1"/>
      <w:marLeft w:val="0"/>
      <w:marRight w:val="0"/>
      <w:marTop w:val="0"/>
      <w:marBottom w:val="0"/>
      <w:divBdr>
        <w:top w:val="none" w:sz="0" w:space="0" w:color="auto"/>
        <w:left w:val="none" w:sz="0" w:space="0" w:color="auto"/>
        <w:bottom w:val="none" w:sz="0" w:space="0" w:color="auto"/>
        <w:right w:val="none" w:sz="0" w:space="0" w:color="auto"/>
      </w:divBdr>
    </w:div>
    <w:div w:id="1259674249">
      <w:bodyDiv w:val="1"/>
      <w:marLeft w:val="4"/>
      <w:marRight w:val="4"/>
      <w:marTop w:val="4"/>
      <w:marBottom w:val="4"/>
      <w:divBdr>
        <w:top w:val="none" w:sz="0" w:space="0" w:color="auto"/>
        <w:left w:val="none" w:sz="0" w:space="0" w:color="auto"/>
        <w:bottom w:val="none" w:sz="0" w:space="0" w:color="auto"/>
        <w:right w:val="none" w:sz="0" w:space="0" w:color="auto"/>
      </w:divBdr>
      <w:divsChild>
        <w:div w:id="424421391">
          <w:marLeft w:val="0"/>
          <w:marRight w:val="0"/>
          <w:marTop w:val="0"/>
          <w:marBottom w:val="0"/>
          <w:divBdr>
            <w:top w:val="none" w:sz="0" w:space="0" w:color="auto"/>
            <w:left w:val="none" w:sz="0" w:space="0" w:color="auto"/>
            <w:bottom w:val="none" w:sz="0" w:space="0" w:color="auto"/>
            <w:right w:val="none" w:sz="0" w:space="0" w:color="auto"/>
          </w:divBdr>
          <w:divsChild>
            <w:div w:id="1061945431">
              <w:marLeft w:val="0"/>
              <w:marRight w:val="0"/>
              <w:marTop w:val="0"/>
              <w:marBottom w:val="180"/>
              <w:divBdr>
                <w:top w:val="none" w:sz="0" w:space="0" w:color="auto"/>
                <w:left w:val="none" w:sz="0" w:space="0" w:color="auto"/>
                <w:bottom w:val="none" w:sz="0" w:space="0" w:color="auto"/>
                <w:right w:val="none" w:sz="0" w:space="0" w:color="auto"/>
              </w:divBdr>
              <w:divsChild>
                <w:div w:id="920065964">
                  <w:marLeft w:val="0"/>
                  <w:marRight w:val="0"/>
                  <w:marTop w:val="0"/>
                  <w:marBottom w:val="0"/>
                  <w:divBdr>
                    <w:top w:val="none" w:sz="0" w:space="0" w:color="auto"/>
                    <w:left w:val="none" w:sz="0" w:space="0" w:color="auto"/>
                    <w:bottom w:val="none" w:sz="0" w:space="0" w:color="auto"/>
                    <w:right w:val="none" w:sz="0" w:space="0" w:color="auto"/>
                  </w:divBdr>
                  <w:divsChild>
                    <w:div w:id="1856848465">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1752">
      <w:bodyDiv w:val="1"/>
      <w:marLeft w:val="0"/>
      <w:marRight w:val="0"/>
      <w:marTop w:val="0"/>
      <w:marBottom w:val="0"/>
      <w:divBdr>
        <w:top w:val="none" w:sz="0" w:space="0" w:color="auto"/>
        <w:left w:val="none" w:sz="0" w:space="0" w:color="auto"/>
        <w:bottom w:val="none" w:sz="0" w:space="0" w:color="auto"/>
        <w:right w:val="none" w:sz="0" w:space="0" w:color="auto"/>
      </w:divBdr>
    </w:div>
    <w:div w:id="1514220139">
      <w:bodyDiv w:val="1"/>
      <w:marLeft w:val="0"/>
      <w:marRight w:val="0"/>
      <w:marTop w:val="0"/>
      <w:marBottom w:val="0"/>
      <w:divBdr>
        <w:top w:val="none" w:sz="0" w:space="0" w:color="auto"/>
        <w:left w:val="none" w:sz="0" w:space="0" w:color="auto"/>
        <w:bottom w:val="none" w:sz="0" w:space="0" w:color="auto"/>
        <w:right w:val="none" w:sz="0" w:space="0" w:color="auto"/>
      </w:divBdr>
    </w:div>
    <w:div w:id="1529677844">
      <w:bodyDiv w:val="1"/>
      <w:marLeft w:val="4"/>
      <w:marRight w:val="4"/>
      <w:marTop w:val="4"/>
      <w:marBottom w:val="4"/>
      <w:divBdr>
        <w:top w:val="none" w:sz="0" w:space="0" w:color="auto"/>
        <w:left w:val="none" w:sz="0" w:space="0" w:color="auto"/>
        <w:bottom w:val="none" w:sz="0" w:space="0" w:color="auto"/>
        <w:right w:val="none" w:sz="0" w:space="0" w:color="auto"/>
      </w:divBdr>
      <w:divsChild>
        <w:div w:id="430244653">
          <w:marLeft w:val="0"/>
          <w:marRight w:val="0"/>
          <w:marTop w:val="0"/>
          <w:marBottom w:val="0"/>
          <w:divBdr>
            <w:top w:val="none" w:sz="0" w:space="0" w:color="auto"/>
            <w:left w:val="none" w:sz="0" w:space="0" w:color="auto"/>
            <w:bottom w:val="none" w:sz="0" w:space="0" w:color="auto"/>
            <w:right w:val="none" w:sz="0" w:space="0" w:color="auto"/>
          </w:divBdr>
          <w:divsChild>
            <w:div w:id="122575348">
              <w:marLeft w:val="0"/>
              <w:marRight w:val="0"/>
              <w:marTop w:val="0"/>
              <w:marBottom w:val="180"/>
              <w:divBdr>
                <w:top w:val="none" w:sz="0" w:space="0" w:color="auto"/>
                <w:left w:val="none" w:sz="0" w:space="0" w:color="auto"/>
                <w:bottom w:val="none" w:sz="0" w:space="0" w:color="auto"/>
                <w:right w:val="none" w:sz="0" w:space="0" w:color="auto"/>
              </w:divBdr>
              <w:divsChild>
                <w:div w:id="187378174">
                  <w:marLeft w:val="0"/>
                  <w:marRight w:val="0"/>
                  <w:marTop w:val="0"/>
                  <w:marBottom w:val="0"/>
                  <w:divBdr>
                    <w:top w:val="none" w:sz="0" w:space="0" w:color="auto"/>
                    <w:left w:val="none" w:sz="0" w:space="0" w:color="auto"/>
                    <w:bottom w:val="none" w:sz="0" w:space="0" w:color="auto"/>
                    <w:right w:val="none" w:sz="0" w:space="0" w:color="auto"/>
                  </w:divBdr>
                  <w:divsChild>
                    <w:div w:id="1434401576">
                      <w:marLeft w:val="0"/>
                      <w:marRight w:val="0"/>
                      <w:marTop w:val="0"/>
                      <w:marBottom w:val="0"/>
                      <w:divBdr>
                        <w:top w:val="none" w:sz="0" w:space="0" w:color="auto"/>
                        <w:left w:val="none" w:sz="0" w:space="0" w:color="auto"/>
                        <w:bottom w:val="none" w:sz="0" w:space="0" w:color="auto"/>
                        <w:right w:val="none" w:sz="0" w:space="0" w:color="auto"/>
                      </w:divBdr>
                      <w:divsChild>
                        <w:div w:id="1689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8297">
      <w:bodyDiv w:val="1"/>
      <w:marLeft w:val="0"/>
      <w:marRight w:val="0"/>
      <w:marTop w:val="0"/>
      <w:marBottom w:val="0"/>
      <w:divBdr>
        <w:top w:val="none" w:sz="0" w:space="0" w:color="auto"/>
        <w:left w:val="none" w:sz="0" w:space="0" w:color="auto"/>
        <w:bottom w:val="none" w:sz="0" w:space="0" w:color="auto"/>
        <w:right w:val="none" w:sz="0" w:space="0" w:color="auto"/>
      </w:divBdr>
    </w:div>
    <w:div w:id="1742214747">
      <w:bodyDiv w:val="1"/>
      <w:marLeft w:val="0"/>
      <w:marRight w:val="0"/>
      <w:marTop w:val="0"/>
      <w:marBottom w:val="0"/>
      <w:divBdr>
        <w:top w:val="none" w:sz="0" w:space="0" w:color="auto"/>
        <w:left w:val="none" w:sz="0" w:space="0" w:color="auto"/>
        <w:bottom w:val="none" w:sz="0" w:space="0" w:color="auto"/>
        <w:right w:val="none" w:sz="0" w:space="0" w:color="auto"/>
      </w:divBdr>
    </w:div>
    <w:div w:id="20865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owalski@cdc.gov" TargetMode="External"/><Relationship Id="rId13" Type="http://schemas.openxmlformats.org/officeDocument/2006/relationships/hyperlink" Target="https://www.fda.gov/food/chemical-contaminants-food/testing-food-pfas-and-assessing-dietary-exposu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8sciencepanel.org/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niehs.nih.gov/portfolio/index.cfm/portfolio/searchResults" TargetMode="External"/><Relationship Id="rId5" Type="http://schemas.openxmlformats.org/officeDocument/2006/relationships/webSettings" Target="webSettings.xml"/><Relationship Id="rId15" Type="http://schemas.openxmlformats.org/officeDocument/2006/relationships/hyperlink" Target="https://www.dol.gov/general/topic/wages/minimumwage" TargetMode="External"/><Relationship Id="rId23" Type="http://schemas.openxmlformats.org/officeDocument/2006/relationships/theme" Target="theme/theme1.xml"/><Relationship Id="rId10" Type="http://schemas.openxmlformats.org/officeDocument/2006/relationships/hyperlink" Target="https://tools.niehs.nih.gov/portfolio/index.cfm/portfolio/grantDetail/grant_number/R21ES02939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ools.niehs.nih.gov/portfolio/index.cfm/portfolio/grantDetail/grant_number/R21ES029353" TargetMode="External"/><Relationship Id="rId14" Type="http://schemas.openxmlformats.org/officeDocument/2006/relationships/hyperlink" Target="http://www.bls.gov/oes/current/oes_na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D6FA-E953-4275-BF2A-91C312BA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5203</Words>
  <Characters>31813</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2022-01-23T04:08:00Z</dcterms:created>
  <dcterms:modified xsi:type="dcterms:W3CDTF">2022-01-23T04:39:00Z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2022-01-20T14:23:53Z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2bf55656-8131-4885-b782-982d483e427f</vt:lpwstr>
  </property>
  <property fmtid="{D5CDD505-2E9C-101B-9397-08002B2CF9AE}" pid="8" name="MSIP_Label_7b94a7b8-f06c-4dfe-bdcc-9b548fd58c31_ContentBits">
    <vt:lpwstr>0</vt:lpwstr>
  </property>
</Properties>
</file>