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5566CFC4" w:rsidR="00BA2DBE"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0589FAD7" w14:textId="77777777" w:rsidR="007E7375" w:rsidRPr="007E7375" w:rsidRDefault="007E7375" w:rsidP="007E7375">
      <w:pPr>
        <w:pStyle w:val="Title"/>
        <w:rPr>
          <w:rFonts w:ascii="Cambria" w:hAnsi="Cambria"/>
          <w:color w:val="auto"/>
          <w:sz w:val="48"/>
          <w:szCs w:val="48"/>
        </w:rPr>
      </w:pPr>
      <w:r w:rsidRPr="007E7375">
        <w:rPr>
          <w:rFonts w:ascii="Cambria" w:hAnsi="Cambria"/>
          <w:color w:val="auto"/>
          <w:sz w:val="48"/>
          <w:szCs w:val="48"/>
        </w:rPr>
        <w:t>ATSDR Exposure Investigations (EIs)</w:t>
      </w:r>
    </w:p>
    <w:p w14:paraId="1968ACF3" w14:textId="6D1E6762" w:rsidR="007E7375" w:rsidRPr="007E7375" w:rsidRDefault="007E7375" w:rsidP="007E7375">
      <w:pPr>
        <w:pStyle w:val="Subtitle"/>
        <w:rPr>
          <w:rFonts w:ascii="Cambria" w:hAnsi="Cambria"/>
          <w:color w:val="auto"/>
          <w:sz w:val="48"/>
          <w:szCs w:val="48"/>
        </w:rPr>
      </w:pPr>
      <w:r w:rsidRPr="007E7375">
        <w:rPr>
          <w:rFonts w:ascii="Cambria" w:hAnsi="Cambria"/>
          <w:color w:val="auto"/>
        </w:rPr>
        <w:t>OMB Control No. 0923-0048 (Expiration</w:t>
      </w:r>
      <w:r w:rsidRPr="007E7375">
        <w:rPr>
          <w:rFonts w:ascii="Cambria" w:hAnsi="Cambria"/>
          <w:color w:val="auto"/>
          <w:sz w:val="48"/>
          <w:szCs w:val="48"/>
        </w:rPr>
        <w:t xml:space="preserve"> </w:t>
      </w:r>
      <w:r w:rsidRPr="007E7375">
        <w:rPr>
          <w:rFonts w:ascii="Cambria" w:hAnsi="Cambria"/>
          <w:color w:val="auto"/>
        </w:rPr>
        <w:t xml:space="preserve">Date: </w:t>
      </w:r>
      <w:r w:rsidR="00D32D24">
        <w:rPr>
          <w:rFonts w:ascii="Cambria" w:hAnsi="Cambria"/>
          <w:color w:val="auto"/>
        </w:rPr>
        <w:t>03/31</w:t>
      </w:r>
      <w:r w:rsidRPr="007E7375">
        <w:rPr>
          <w:rFonts w:ascii="Cambria" w:hAnsi="Cambria"/>
          <w:color w:val="auto"/>
        </w:rPr>
        <w:t>/201</w:t>
      </w:r>
      <w:r w:rsidR="00D32D24">
        <w:rPr>
          <w:rFonts w:ascii="Cambria" w:hAnsi="Cambria"/>
          <w:color w:val="auto"/>
        </w:rPr>
        <w:t>9</w:t>
      </w:r>
      <w:r w:rsidRPr="007E7375">
        <w:rPr>
          <w:rFonts w:ascii="Cambria" w:hAnsi="Cambria"/>
          <w:color w:val="auto"/>
        </w:rPr>
        <w:t>)</w:t>
      </w:r>
      <w:r w:rsidRPr="007E7375">
        <w:rPr>
          <w:rFonts w:ascii="Cambria" w:hAnsi="Cambria"/>
          <w:color w:val="auto"/>
          <w:sz w:val="48"/>
          <w:szCs w:val="48"/>
        </w:rPr>
        <w:t xml:space="preserve"> </w:t>
      </w:r>
    </w:p>
    <w:p w14:paraId="5FBFAB82" w14:textId="01698AA2" w:rsidR="007E7375" w:rsidRPr="007E7375" w:rsidRDefault="007E7375" w:rsidP="007E7375">
      <w:pPr>
        <w:spacing w:after="200" w:line="276" w:lineRule="auto"/>
        <w:rPr>
          <w:rFonts w:ascii="Cambria" w:hAnsi="Cambria" w:cs="Arial"/>
          <w:sz w:val="36"/>
          <w:szCs w:val="36"/>
        </w:rPr>
      </w:pPr>
      <w:r w:rsidRPr="007E7375">
        <w:rPr>
          <w:rFonts w:ascii="Cambria" w:hAnsi="Cambria" w:cs="Arial"/>
          <w:sz w:val="36"/>
          <w:szCs w:val="36"/>
        </w:rPr>
        <w:t>Extension</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2DA869F5" w14:textId="77777777" w:rsidR="007E7375" w:rsidRPr="00AB2C53" w:rsidRDefault="007E7375" w:rsidP="007E7375">
      <w:pPr>
        <w:pStyle w:val="Subtitle"/>
        <w:spacing w:after="0"/>
        <w:rPr>
          <w:rFonts w:ascii="Cambria" w:hAnsi="Cambria"/>
          <w:color w:val="auto"/>
        </w:rPr>
      </w:pPr>
      <w:r w:rsidRPr="00AB2C53">
        <w:rPr>
          <w:rFonts w:ascii="Cambria" w:hAnsi="Cambria"/>
          <w:color w:val="auto"/>
        </w:rPr>
        <w:t xml:space="preserve">Program Official: </w:t>
      </w:r>
    </w:p>
    <w:p w14:paraId="30F5B9BE"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Peter J. Kowalski, MPH, CIH</w:t>
      </w:r>
    </w:p>
    <w:p w14:paraId="5DE36A6A"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Lead, Exposure Investigations Team</w:t>
      </w:r>
    </w:p>
    <w:p w14:paraId="78764DC7"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Science Support Branch</w:t>
      </w:r>
    </w:p>
    <w:p w14:paraId="6D92D35C"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Division of Community Health Investigations</w:t>
      </w:r>
    </w:p>
    <w:p w14:paraId="34C36B3B"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Agency for Toxic Substances and Disease Registry</w:t>
      </w:r>
    </w:p>
    <w:p w14:paraId="47F5852F" w14:textId="77777777" w:rsidR="007E7375" w:rsidRPr="00441D1E" w:rsidRDefault="007E7375" w:rsidP="007E7375">
      <w:pPr>
        <w:autoSpaceDE w:val="0"/>
        <w:autoSpaceDN w:val="0"/>
        <w:adjustRightInd w:val="0"/>
        <w:spacing w:after="0" w:line="240" w:lineRule="auto"/>
        <w:ind w:left="720"/>
        <w:rPr>
          <w:sz w:val="24"/>
          <w:szCs w:val="24"/>
          <w:lang w:val="en"/>
        </w:rPr>
      </w:pPr>
      <w:r w:rsidRPr="00441D1E">
        <w:rPr>
          <w:sz w:val="24"/>
          <w:szCs w:val="24"/>
          <w:lang w:val="en"/>
        </w:rPr>
        <w:t>4770 Buford Hwy NE, MS F59</w:t>
      </w:r>
      <w:r w:rsidRPr="00441D1E">
        <w:rPr>
          <w:sz w:val="24"/>
          <w:szCs w:val="24"/>
          <w:lang w:val="en"/>
        </w:rPr>
        <w:br/>
        <w:t>Atlanta, GA 30341</w:t>
      </w:r>
    </w:p>
    <w:p w14:paraId="3103323E"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Phone: 770-488-0776</w:t>
      </w:r>
    </w:p>
    <w:p w14:paraId="62AB4A04"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Fax:  770-488-1542</w:t>
      </w:r>
    </w:p>
    <w:p w14:paraId="60435EF5" w14:textId="77777777" w:rsidR="007E7375" w:rsidRPr="00441D1E" w:rsidRDefault="007E7375" w:rsidP="007E7375">
      <w:pPr>
        <w:autoSpaceDE w:val="0"/>
        <w:autoSpaceDN w:val="0"/>
        <w:adjustRightInd w:val="0"/>
        <w:spacing w:after="0" w:line="240" w:lineRule="auto"/>
        <w:ind w:left="720"/>
        <w:rPr>
          <w:sz w:val="24"/>
          <w:szCs w:val="24"/>
        </w:rPr>
      </w:pPr>
      <w:r w:rsidRPr="00441D1E">
        <w:rPr>
          <w:sz w:val="24"/>
          <w:szCs w:val="24"/>
        </w:rPr>
        <w:t xml:space="preserve">Email: </w:t>
      </w:r>
      <w:hyperlink r:id="rId9" w:history="1">
        <w:r w:rsidRPr="00441D1E">
          <w:rPr>
            <w:rStyle w:val="Hyperlink"/>
            <w:sz w:val="24"/>
            <w:szCs w:val="24"/>
          </w:rPr>
          <w:t>PKowalski@cdc.gov</w:t>
        </w:r>
      </w:hyperlink>
    </w:p>
    <w:p w14:paraId="1D49F8FB" w14:textId="77777777" w:rsidR="00D33AE3" w:rsidRPr="00E707C0" w:rsidRDefault="00D33AE3" w:rsidP="00D33AE3">
      <w:pPr>
        <w:pStyle w:val="Subtitle"/>
        <w:spacing w:after="0"/>
        <w:rPr>
          <w:rFonts w:ascii="Cambria" w:hAnsi="Cambria"/>
          <w:color w:val="auto"/>
        </w:rPr>
      </w:pPr>
    </w:p>
    <w:p w14:paraId="39E16D28" w14:textId="44BEB7BE" w:rsidR="00965C2A" w:rsidRPr="00E707C0" w:rsidRDefault="00D33AE3" w:rsidP="00D33AE3">
      <w:pPr>
        <w:rPr>
          <w:rFonts w:ascii="Arial" w:hAnsi="Arial" w:cs="Arial"/>
          <w:sz w:val="30"/>
          <w:szCs w:val="30"/>
        </w:rPr>
      </w:pPr>
      <w:r w:rsidRPr="00E707C0">
        <w:rPr>
          <w:rFonts w:ascii="Cambria" w:hAnsi="Cambria"/>
          <w:sz w:val="30"/>
          <w:szCs w:val="30"/>
        </w:rPr>
        <w:t>Date:</w:t>
      </w:r>
      <w:r w:rsidR="007E7375">
        <w:rPr>
          <w:rFonts w:ascii="Cambria" w:hAnsi="Cambria"/>
          <w:sz w:val="30"/>
          <w:szCs w:val="30"/>
        </w:rPr>
        <w:t xml:space="preserve"> </w:t>
      </w:r>
      <w:r w:rsidR="00616DAF">
        <w:rPr>
          <w:rFonts w:ascii="Cambria" w:hAnsi="Cambria"/>
          <w:sz w:val="30"/>
          <w:szCs w:val="30"/>
        </w:rPr>
        <w:t>12/17/</w:t>
      </w:r>
      <w:r w:rsidR="00C14BA6">
        <w:rPr>
          <w:rFonts w:ascii="Cambria" w:hAnsi="Cambria"/>
          <w:sz w:val="30"/>
          <w:szCs w:val="30"/>
        </w:rPr>
        <w:t xml:space="preserve"> </w:t>
      </w:r>
      <w:r w:rsidR="00D32D24">
        <w:rPr>
          <w:rFonts w:ascii="Cambria" w:hAnsi="Cambria"/>
          <w:sz w:val="30"/>
          <w:szCs w:val="30"/>
        </w:rPr>
        <w:t>2018</w:t>
      </w:r>
      <w:r w:rsidR="00BA2DBE" w:rsidRPr="00E707C0">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3A72913E" w14:textId="77777777" w:rsidR="007E7375" w:rsidRDefault="00D33AE3">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433801921" w:history="1">
            <w:r w:rsidR="007E7375" w:rsidRPr="0028228B">
              <w:rPr>
                <w:rStyle w:val="Hyperlink"/>
                <w:rFonts w:ascii="Cambria" w:hAnsi="Cambria"/>
                <w:noProof/>
              </w:rPr>
              <w:t>B.1.</w:t>
            </w:r>
            <w:r w:rsidR="007E7375">
              <w:rPr>
                <w:noProof/>
                <w:sz w:val="22"/>
                <w:szCs w:val="22"/>
              </w:rPr>
              <w:tab/>
            </w:r>
            <w:r w:rsidR="007E7375" w:rsidRPr="0028228B">
              <w:rPr>
                <w:rStyle w:val="Hyperlink"/>
                <w:rFonts w:ascii="Cambria" w:hAnsi="Cambria"/>
                <w:noProof/>
              </w:rPr>
              <w:t>Respondent Universe and Sampling Methods</w:t>
            </w:r>
            <w:r w:rsidR="007E7375">
              <w:rPr>
                <w:noProof/>
                <w:webHidden/>
              </w:rPr>
              <w:tab/>
            </w:r>
            <w:r w:rsidR="007E7375">
              <w:rPr>
                <w:noProof/>
                <w:webHidden/>
              </w:rPr>
              <w:fldChar w:fldCharType="begin"/>
            </w:r>
            <w:r w:rsidR="007E7375">
              <w:rPr>
                <w:noProof/>
                <w:webHidden/>
              </w:rPr>
              <w:instrText xml:space="preserve"> PAGEREF _Toc433801921 \h </w:instrText>
            </w:r>
            <w:r w:rsidR="007E7375">
              <w:rPr>
                <w:noProof/>
                <w:webHidden/>
              </w:rPr>
            </w:r>
            <w:r w:rsidR="007E7375">
              <w:rPr>
                <w:noProof/>
                <w:webHidden/>
              </w:rPr>
              <w:fldChar w:fldCharType="separate"/>
            </w:r>
            <w:r w:rsidR="007E7375">
              <w:rPr>
                <w:noProof/>
                <w:webHidden/>
              </w:rPr>
              <w:t>3</w:t>
            </w:r>
            <w:r w:rsidR="007E7375">
              <w:rPr>
                <w:noProof/>
                <w:webHidden/>
              </w:rPr>
              <w:fldChar w:fldCharType="end"/>
            </w:r>
          </w:hyperlink>
        </w:p>
        <w:p w14:paraId="583AD495" w14:textId="77777777" w:rsidR="007E7375" w:rsidRDefault="003874C5">
          <w:pPr>
            <w:pStyle w:val="TOC1"/>
            <w:tabs>
              <w:tab w:val="left" w:pos="660"/>
              <w:tab w:val="right" w:leader="dot" w:pos="9350"/>
            </w:tabs>
            <w:rPr>
              <w:noProof/>
              <w:sz w:val="22"/>
              <w:szCs w:val="22"/>
            </w:rPr>
          </w:pPr>
          <w:hyperlink w:anchor="_Toc433801922" w:history="1">
            <w:r w:rsidR="007E7375" w:rsidRPr="0028228B">
              <w:rPr>
                <w:rStyle w:val="Hyperlink"/>
                <w:rFonts w:ascii="Cambria" w:hAnsi="Cambria"/>
                <w:noProof/>
              </w:rPr>
              <w:t>B.2.</w:t>
            </w:r>
            <w:r w:rsidR="007E7375">
              <w:rPr>
                <w:noProof/>
                <w:sz w:val="22"/>
                <w:szCs w:val="22"/>
              </w:rPr>
              <w:tab/>
            </w:r>
            <w:r w:rsidR="007E7375" w:rsidRPr="0028228B">
              <w:rPr>
                <w:rStyle w:val="Hyperlink"/>
                <w:rFonts w:ascii="Cambria" w:hAnsi="Cambria"/>
                <w:noProof/>
              </w:rPr>
              <w:t>Procedures for the Collection of Information</w:t>
            </w:r>
            <w:r w:rsidR="007E7375">
              <w:rPr>
                <w:noProof/>
                <w:webHidden/>
              </w:rPr>
              <w:tab/>
            </w:r>
            <w:r w:rsidR="007E7375">
              <w:rPr>
                <w:noProof/>
                <w:webHidden/>
              </w:rPr>
              <w:fldChar w:fldCharType="begin"/>
            </w:r>
            <w:r w:rsidR="007E7375">
              <w:rPr>
                <w:noProof/>
                <w:webHidden/>
              </w:rPr>
              <w:instrText xml:space="preserve"> PAGEREF _Toc433801922 \h </w:instrText>
            </w:r>
            <w:r w:rsidR="007E7375">
              <w:rPr>
                <w:noProof/>
                <w:webHidden/>
              </w:rPr>
            </w:r>
            <w:r w:rsidR="007E7375">
              <w:rPr>
                <w:noProof/>
                <w:webHidden/>
              </w:rPr>
              <w:fldChar w:fldCharType="separate"/>
            </w:r>
            <w:r w:rsidR="007E7375">
              <w:rPr>
                <w:noProof/>
                <w:webHidden/>
              </w:rPr>
              <w:t>3</w:t>
            </w:r>
            <w:r w:rsidR="007E7375">
              <w:rPr>
                <w:noProof/>
                <w:webHidden/>
              </w:rPr>
              <w:fldChar w:fldCharType="end"/>
            </w:r>
          </w:hyperlink>
        </w:p>
        <w:p w14:paraId="63FA48E5" w14:textId="77777777" w:rsidR="007E7375" w:rsidRDefault="003874C5">
          <w:pPr>
            <w:pStyle w:val="TOC1"/>
            <w:tabs>
              <w:tab w:val="left" w:pos="660"/>
              <w:tab w:val="right" w:leader="dot" w:pos="9350"/>
            </w:tabs>
            <w:rPr>
              <w:noProof/>
              <w:sz w:val="22"/>
              <w:szCs w:val="22"/>
            </w:rPr>
          </w:pPr>
          <w:hyperlink w:anchor="_Toc433801923" w:history="1">
            <w:r w:rsidR="007E7375" w:rsidRPr="0028228B">
              <w:rPr>
                <w:rStyle w:val="Hyperlink"/>
                <w:rFonts w:ascii="Cambria" w:hAnsi="Cambria"/>
                <w:noProof/>
              </w:rPr>
              <w:t>B.3.</w:t>
            </w:r>
            <w:r w:rsidR="007E7375">
              <w:rPr>
                <w:noProof/>
                <w:sz w:val="22"/>
                <w:szCs w:val="22"/>
              </w:rPr>
              <w:tab/>
            </w:r>
            <w:r w:rsidR="007E7375" w:rsidRPr="0028228B">
              <w:rPr>
                <w:rStyle w:val="Hyperlink"/>
                <w:rFonts w:ascii="Cambria" w:hAnsi="Cambria"/>
                <w:noProof/>
              </w:rPr>
              <w:t>Methods to Maximize Response Rates and Deal with No Response</w:t>
            </w:r>
            <w:r w:rsidR="007E7375">
              <w:rPr>
                <w:noProof/>
                <w:webHidden/>
              </w:rPr>
              <w:tab/>
            </w:r>
            <w:r w:rsidR="007E7375">
              <w:rPr>
                <w:noProof/>
                <w:webHidden/>
              </w:rPr>
              <w:fldChar w:fldCharType="begin"/>
            </w:r>
            <w:r w:rsidR="007E7375">
              <w:rPr>
                <w:noProof/>
                <w:webHidden/>
              </w:rPr>
              <w:instrText xml:space="preserve"> PAGEREF _Toc433801923 \h </w:instrText>
            </w:r>
            <w:r w:rsidR="007E7375">
              <w:rPr>
                <w:noProof/>
                <w:webHidden/>
              </w:rPr>
            </w:r>
            <w:r w:rsidR="007E7375">
              <w:rPr>
                <w:noProof/>
                <w:webHidden/>
              </w:rPr>
              <w:fldChar w:fldCharType="separate"/>
            </w:r>
            <w:r w:rsidR="007E7375">
              <w:rPr>
                <w:noProof/>
                <w:webHidden/>
              </w:rPr>
              <w:t>4</w:t>
            </w:r>
            <w:r w:rsidR="007E7375">
              <w:rPr>
                <w:noProof/>
                <w:webHidden/>
              </w:rPr>
              <w:fldChar w:fldCharType="end"/>
            </w:r>
          </w:hyperlink>
        </w:p>
        <w:p w14:paraId="13CB6132" w14:textId="77777777" w:rsidR="007E7375" w:rsidRDefault="003874C5">
          <w:pPr>
            <w:pStyle w:val="TOC1"/>
            <w:tabs>
              <w:tab w:val="left" w:pos="660"/>
              <w:tab w:val="right" w:leader="dot" w:pos="9350"/>
            </w:tabs>
            <w:rPr>
              <w:noProof/>
              <w:sz w:val="22"/>
              <w:szCs w:val="22"/>
            </w:rPr>
          </w:pPr>
          <w:hyperlink w:anchor="_Toc433801924" w:history="1">
            <w:r w:rsidR="007E7375" w:rsidRPr="0028228B">
              <w:rPr>
                <w:rStyle w:val="Hyperlink"/>
                <w:rFonts w:ascii="Cambria" w:hAnsi="Cambria"/>
                <w:noProof/>
              </w:rPr>
              <w:t>B.4.</w:t>
            </w:r>
            <w:r w:rsidR="007E7375">
              <w:rPr>
                <w:noProof/>
                <w:sz w:val="22"/>
                <w:szCs w:val="22"/>
              </w:rPr>
              <w:tab/>
            </w:r>
            <w:r w:rsidR="007E7375" w:rsidRPr="0028228B">
              <w:rPr>
                <w:rStyle w:val="Hyperlink"/>
                <w:rFonts w:ascii="Cambria" w:hAnsi="Cambria"/>
                <w:noProof/>
              </w:rPr>
              <w:t>Test of Procedures or Methods to be Undertaken</w:t>
            </w:r>
            <w:r w:rsidR="007E7375">
              <w:rPr>
                <w:noProof/>
                <w:webHidden/>
              </w:rPr>
              <w:tab/>
            </w:r>
            <w:r w:rsidR="007E7375">
              <w:rPr>
                <w:noProof/>
                <w:webHidden/>
              </w:rPr>
              <w:fldChar w:fldCharType="begin"/>
            </w:r>
            <w:r w:rsidR="007E7375">
              <w:rPr>
                <w:noProof/>
                <w:webHidden/>
              </w:rPr>
              <w:instrText xml:space="preserve"> PAGEREF _Toc433801924 \h </w:instrText>
            </w:r>
            <w:r w:rsidR="007E7375">
              <w:rPr>
                <w:noProof/>
                <w:webHidden/>
              </w:rPr>
            </w:r>
            <w:r w:rsidR="007E7375">
              <w:rPr>
                <w:noProof/>
                <w:webHidden/>
              </w:rPr>
              <w:fldChar w:fldCharType="separate"/>
            </w:r>
            <w:r w:rsidR="007E7375">
              <w:rPr>
                <w:noProof/>
                <w:webHidden/>
              </w:rPr>
              <w:t>4</w:t>
            </w:r>
            <w:r w:rsidR="007E7375">
              <w:rPr>
                <w:noProof/>
                <w:webHidden/>
              </w:rPr>
              <w:fldChar w:fldCharType="end"/>
            </w:r>
          </w:hyperlink>
        </w:p>
        <w:p w14:paraId="7C5C7322" w14:textId="77777777" w:rsidR="007E7375" w:rsidRDefault="003874C5">
          <w:pPr>
            <w:pStyle w:val="TOC1"/>
            <w:tabs>
              <w:tab w:val="left" w:pos="660"/>
              <w:tab w:val="right" w:leader="dot" w:pos="9350"/>
            </w:tabs>
            <w:rPr>
              <w:noProof/>
              <w:sz w:val="22"/>
              <w:szCs w:val="22"/>
            </w:rPr>
          </w:pPr>
          <w:hyperlink w:anchor="_Toc433801925" w:history="1">
            <w:r w:rsidR="007E7375" w:rsidRPr="0028228B">
              <w:rPr>
                <w:rStyle w:val="Hyperlink"/>
                <w:rFonts w:ascii="Cambria" w:hAnsi="Cambria"/>
                <w:noProof/>
              </w:rPr>
              <w:t>B.5.</w:t>
            </w:r>
            <w:r w:rsidR="007E7375">
              <w:rPr>
                <w:noProof/>
                <w:sz w:val="22"/>
                <w:szCs w:val="22"/>
              </w:rPr>
              <w:tab/>
            </w:r>
            <w:r w:rsidR="007E7375" w:rsidRPr="0028228B">
              <w:rPr>
                <w:rStyle w:val="Hyperlink"/>
                <w:rFonts w:ascii="Cambria" w:hAnsi="Cambria"/>
                <w:noProof/>
              </w:rPr>
              <w:t>Individuals Consulted on Statistical Aspects and Individuals Collecting and/or Analyzing Data</w:t>
            </w:r>
            <w:r w:rsidR="007E7375">
              <w:rPr>
                <w:noProof/>
                <w:webHidden/>
              </w:rPr>
              <w:tab/>
            </w:r>
            <w:r w:rsidR="007E7375">
              <w:rPr>
                <w:noProof/>
                <w:webHidden/>
              </w:rPr>
              <w:fldChar w:fldCharType="begin"/>
            </w:r>
            <w:r w:rsidR="007E7375">
              <w:rPr>
                <w:noProof/>
                <w:webHidden/>
              </w:rPr>
              <w:instrText xml:space="preserve"> PAGEREF _Toc433801925 \h </w:instrText>
            </w:r>
            <w:r w:rsidR="007E7375">
              <w:rPr>
                <w:noProof/>
                <w:webHidden/>
              </w:rPr>
            </w:r>
            <w:r w:rsidR="007E7375">
              <w:rPr>
                <w:noProof/>
                <w:webHidden/>
              </w:rPr>
              <w:fldChar w:fldCharType="separate"/>
            </w:r>
            <w:r w:rsidR="007E7375">
              <w:rPr>
                <w:noProof/>
                <w:webHidden/>
              </w:rPr>
              <w:t>5</w:t>
            </w:r>
            <w:r w:rsidR="007E7375">
              <w:rPr>
                <w:noProof/>
                <w:webHidden/>
              </w:rPr>
              <w:fldChar w:fldCharType="end"/>
            </w:r>
          </w:hyperlink>
        </w:p>
        <w:p w14:paraId="25E671BB" w14:textId="77777777" w:rsidR="00D33AE3" w:rsidRPr="00E707C0" w:rsidRDefault="00D33AE3">
          <w:r w:rsidRPr="00E707C0">
            <w:rPr>
              <w:b/>
              <w:bCs/>
              <w:noProof/>
            </w:rPr>
            <w:fldChar w:fldCharType="end"/>
          </w:r>
        </w:p>
      </w:sdtContent>
    </w:sdt>
    <w:p w14:paraId="14A5EA74" w14:textId="74074E6B" w:rsidR="00BA2DBE" w:rsidRDefault="00BA2DBE">
      <w:pPr>
        <w:spacing w:after="200" w:line="276" w:lineRule="auto"/>
        <w:rPr>
          <w:rFonts w:eastAsiaTheme="majorEastAsia" w:cs="Arial"/>
          <w:b/>
          <w:bCs/>
          <w:sz w:val="26"/>
          <w:szCs w:val="26"/>
        </w:rPr>
      </w:pPr>
    </w:p>
    <w:p w14:paraId="575853AF" w14:textId="4ECDBA31" w:rsidR="00885980" w:rsidRDefault="00885980">
      <w:pPr>
        <w:spacing w:after="200" w:line="276" w:lineRule="auto"/>
        <w:rPr>
          <w:rFonts w:eastAsiaTheme="majorEastAsia" w:cs="Arial"/>
          <w:b/>
          <w:bCs/>
          <w:sz w:val="26"/>
          <w:szCs w:val="26"/>
        </w:rPr>
      </w:pPr>
    </w:p>
    <w:p w14:paraId="556245E2" w14:textId="77777777" w:rsidR="00ED43A8" w:rsidRDefault="00ED43A8" w:rsidP="00885980">
      <w:pPr>
        <w:pStyle w:val="Heading1"/>
        <w:pBdr>
          <w:bottom w:val="none" w:sz="0" w:space="0" w:color="auto"/>
        </w:pBdr>
        <w:rPr>
          <w:rFonts w:ascii="Cambria" w:hAnsi="Cambria"/>
          <w:color w:val="auto"/>
        </w:rPr>
      </w:pPr>
    </w:p>
    <w:p w14:paraId="7EC27C52" w14:textId="77777777" w:rsidR="00ED43A8" w:rsidRDefault="00ED43A8" w:rsidP="00885980">
      <w:pPr>
        <w:pStyle w:val="Heading1"/>
        <w:pBdr>
          <w:bottom w:val="none" w:sz="0" w:space="0" w:color="auto"/>
        </w:pBdr>
        <w:rPr>
          <w:rFonts w:ascii="Cambria" w:hAnsi="Cambria"/>
          <w:color w:val="auto"/>
        </w:rPr>
      </w:pPr>
    </w:p>
    <w:p w14:paraId="526C9A8F" w14:textId="77777777" w:rsidR="00ED43A8" w:rsidRDefault="00ED43A8" w:rsidP="00885980">
      <w:pPr>
        <w:pStyle w:val="Heading1"/>
        <w:pBdr>
          <w:bottom w:val="none" w:sz="0" w:space="0" w:color="auto"/>
        </w:pBdr>
        <w:rPr>
          <w:rFonts w:ascii="Cambria" w:hAnsi="Cambria"/>
          <w:color w:val="auto"/>
        </w:rPr>
      </w:pPr>
    </w:p>
    <w:p w14:paraId="5684BE8C" w14:textId="77777777" w:rsidR="00ED43A8" w:rsidRDefault="00ED43A8" w:rsidP="00885980">
      <w:pPr>
        <w:pStyle w:val="Heading1"/>
        <w:pBdr>
          <w:bottom w:val="none" w:sz="0" w:space="0" w:color="auto"/>
        </w:pBdr>
        <w:rPr>
          <w:rFonts w:ascii="Cambria" w:hAnsi="Cambria"/>
          <w:color w:val="auto"/>
        </w:rPr>
      </w:pPr>
    </w:p>
    <w:p w14:paraId="2E6B5F8D" w14:textId="77777777" w:rsidR="00ED43A8" w:rsidRDefault="00ED43A8" w:rsidP="00885980">
      <w:pPr>
        <w:pStyle w:val="Heading1"/>
        <w:pBdr>
          <w:bottom w:val="none" w:sz="0" w:space="0" w:color="auto"/>
        </w:pBdr>
        <w:rPr>
          <w:rFonts w:ascii="Cambria" w:hAnsi="Cambria"/>
          <w:color w:val="auto"/>
        </w:rPr>
      </w:pPr>
    </w:p>
    <w:p w14:paraId="3BE847E3" w14:textId="3D8EE81C" w:rsidR="00885980" w:rsidRPr="009B000E" w:rsidRDefault="00885980" w:rsidP="00885980">
      <w:pPr>
        <w:pStyle w:val="Heading1"/>
        <w:pBdr>
          <w:bottom w:val="none" w:sz="0" w:space="0" w:color="auto"/>
        </w:pBdr>
        <w:rPr>
          <w:rFonts w:ascii="Cambria" w:hAnsi="Cambria"/>
          <w:color w:val="auto"/>
        </w:rPr>
      </w:pPr>
      <w:r w:rsidRPr="009B000E">
        <w:rPr>
          <w:rFonts w:ascii="Cambria" w:hAnsi="Cambria"/>
          <w:color w:val="auto"/>
        </w:rPr>
        <w:t>List of Attachments</w:t>
      </w:r>
    </w:p>
    <w:p w14:paraId="591AB032" w14:textId="77777777" w:rsidR="00885980" w:rsidRPr="00961D25" w:rsidRDefault="00885980" w:rsidP="00885980"/>
    <w:p w14:paraId="6FE65B1B" w14:textId="77777777" w:rsidR="00885980" w:rsidRPr="00C833F5" w:rsidRDefault="00885980" w:rsidP="00885980">
      <w:r w:rsidRPr="00C833F5">
        <w:t>Attachment 1. Authorizing Legislation</w:t>
      </w:r>
      <w:r>
        <w:t xml:space="preserve"> -CERCLA</w:t>
      </w:r>
    </w:p>
    <w:p w14:paraId="73421F0E" w14:textId="77777777" w:rsidR="00885980" w:rsidRPr="00C833F5" w:rsidRDefault="00885980" w:rsidP="00885980">
      <w:r w:rsidRPr="00C833F5">
        <w:t>Attachment 2. 60-day Federal Register Notice</w:t>
      </w:r>
    </w:p>
    <w:p w14:paraId="4AAE4CDA" w14:textId="77777777" w:rsidR="00885980" w:rsidRDefault="00885980" w:rsidP="00885980">
      <w:pPr>
        <w:rPr>
          <w:bCs/>
        </w:rPr>
      </w:pPr>
      <w:r>
        <w:rPr>
          <w:bCs/>
        </w:rPr>
        <w:t>Attachment 3:  Map of EPA and ATSDR Regions</w:t>
      </w:r>
    </w:p>
    <w:p w14:paraId="1BC72F46" w14:textId="77777777" w:rsidR="00885980" w:rsidRDefault="00885980" w:rsidP="00885980">
      <w:pPr>
        <w:rPr>
          <w:bCs/>
        </w:rPr>
      </w:pPr>
      <w:r>
        <w:rPr>
          <w:bCs/>
        </w:rPr>
        <w:t xml:space="preserve">Attachment 4:  Chemical Exposure Question Bank </w:t>
      </w:r>
    </w:p>
    <w:p w14:paraId="436D4F5F" w14:textId="77777777" w:rsidR="00885980" w:rsidRDefault="00885980" w:rsidP="00885980">
      <w:pPr>
        <w:rPr>
          <w:bCs/>
        </w:rPr>
      </w:pPr>
      <w:r>
        <w:rPr>
          <w:bCs/>
        </w:rPr>
        <w:t>Attachment 5:  Example Consent Form</w:t>
      </w:r>
    </w:p>
    <w:p w14:paraId="538AB92A" w14:textId="77777777" w:rsidR="00885980" w:rsidRDefault="00885980" w:rsidP="00885980">
      <w:pPr>
        <w:rPr>
          <w:bCs/>
        </w:rPr>
      </w:pPr>
      <w:r>
        <w:rPr>
          <w:bCs/>
        </w:rPr>
        <w:t>Attachment 6: Privacy Impact Assessment (PIA)</w:t>
      </w:r>
    </w:p>
    <w:p w14:paraId="0BEE6F4E" w14:textId="51F43512" w:rsidR="00885980" w:rsidRPr="00C833F5" w:rsidRDefault="00885980" w:rsidP="00885980">
      <w:r w:rsidRPr="00C833F5">
        <w:t xml:space="preserve">Attachment </w:t>
      </w:r>
      <w:r>
        <w:t>7</w:t>
      </w:r>
      <w:r w:rsidRPr="00C833F5">
        <w:t xml:space="preserve">. </w:t>
      </w:r>
      <w:r>
        <w:t>Research Determination</w:t>
      </w:r>
      <w:r w:rsidR="00F97C9D">
        <w:t xml:space="preserve"> Form</w:t>
      </w:r>
    </w:p>
    <w:p w14:paraId="5530BE27" w14:textId="77777777" w:rsidR="00885980" w:rsidRPr="007E7375" w:rsidRDefault="00885980" w:rsidP="00885980">
      <w:pPr>
        <w:rPr>
          <w:b/>
          <w:sz w:val="24"/>
          <w:szCs w:val="24"/>
        </w:rPr>
      </w:pPr>
    </w:p>
    <w:bookmarkEnd w:id="0"/>
    <w:bookmarkEnd w:id="1"/>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33801921"/>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05538FE6" w14:textId="2931B644" w:rsidR="007E7375" w:rsidRPr="007E7375" w:rsidRDefault="007E7375" w:rsidP="007E7375">
      <w:pPr>
        <w:tabs>
          <w:tab w:val="left" w:pos="1545"/>
        </w:tabs>
        <w:rPr>
          <w:sz w:val="24"/>
          <w:szCs w:val="24"/>
        </w:rPr>
      </w:pPr>
      <w:r w:rsidRPr="007E7375">
        <w:rPr>
          <w:sz w:val="24"/>
          <w:szCs w:val="24"/>
        </w:rPr>
        <w:t xml:space="preserve">The respondent universe and statistical methods for determining sample size are not a factor since the Agency for Toxic Substances and Disease Registry (ATSDR) does not use the results from exposure investigations (EIs), </w:t>
      </w:r>
      <w:r w:rsidR="002C73E0">
        <w:rPr>
          <w:sz w:val="24"/>
          <w:szCs w:val="24"/>
        </w:rPr>
        <w:t xml:space="preserve">typically </w:t>
      </w:r>
      <w:r w:rsidRPr="007E7375">
        <w:rPr>
          <w:sz w:val="24"/>
          <w:szCs w:val="24"/>
        </w:rPr>
        <w:t>based on convenience sampling, to generalize or estimate the total exposed population. ATSDR does, however, need to know the potential size of the population to be sampled and since many EIs are location-based, we estimate the potential respondent universe based on street maps and census information.</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433801922"/>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7E7375" w:rsidRDefault="00EA6E06" w:rsidP="00EA6E06">
      <w:pPr>
        <w:rPr>
          <w:sz w:val="24"/>
          <w:szCs w:val="24"/>
        </w:rPr>
      </w:pPr>
    </w:p>
    <w:p w14:paraId="20AAF8DE" w14:textId="14FDE8EC" w:rsidR="007E7375" w:rsidRPr="007E7375" w:rsidRDefault="007E7375" w:rsidP="007E7375">
      <w:pPr>
        <w:tabs>
          <w:tab w:val="left" w:pos="1545"/>
        </w:tabs>
        <w:rPr>
          <w:sz w:val="24"/>
          <w:szCs w:val="24"/>
        </w:rPr>
      </w:pPr>
      <w:r w:rsidRPr="007E7375">
        <w:rPr>
          <w:sz w:val="24"/>
          <w:szCs w:val="24"/>
        </w:rPr>
        <w:t xml:space="preserve">A survey of questions (based on the list in Attachment </w:t>
      </w:r>
      <w:r>
        <w:rPr>
          <w:sz w:val="24"/>
          <w:szCs w:val="24"/>
        </w:rPr>
        <w:t>4</w:t>
      </w:r>
      <w:r w:rsidRPr="007E7375">
        <w:rPr>
          <w:sz w:val="24"/>
          <w:szCs w:val="24"/>
        </w:rPr>
        <w:t xml:space="preserve">) is administered either in-person or over the phone. Several procedures may be used to sign up participants for convenience sampling, such as newsletters or recruitment posters. The principal investigator, or team, is identified by name along with qualifications or experience in conducting similar EIs.  The questions listed in Attachment </w:t>
      </w:r>
      <w:r>
        <w:rPr>
          <w:sz w:val="24"/>
          <w:szCs w:val="24"/>
        </w:rPr>
        <w:t>4</w:t>
      </w:r>
      <w:r w:rsidRPr="007E7375">
        <w:rPr>
          <w:sz w:val="24"/>
          <w:szCs w:val="24"/>
        </w:rPr>
        <w:t xml:space="preserve"> are not required to be used, but are used as the basis for building an appropriate list of questions for the EI.</w:t>
      </w:r>
    </w:p>
    <w:p w14:paraId="38F455BE" w14:textId="26DC50F8" w:rsidR="007E7375" w:rsidRPr="007E7375" w:rsidRDefault="007E7375" w:rsidP="007E7375">
      <w:pPr>
        <w:tabs>
          <w:tab w:val="left" w:pos="1545"/>
        </w:tabs>
        <w:rPr>
          <w:sz w:val="24"/>
          <w:szCs w:val="24"/>
        </w:rPr>
      </w:pPr>
      <w:r w:rsidRPr="007E7375">
        <w:rPr>
          <w:sz w:val="24"/>
          <w:szCs w:val="24"/>
        </w:rPr>
        <w:t xml:space="preserve">The EI team may also recruit participants at public availability meetings. Based on ATSDR’s experience recruiting and interviewing subjects for investigations, the response rate is close to 100%.  </w:t>
      </w:r>
    </w:p>
    <w:p w14:paraId="216A51A8" w14:textId="6D1B1115" w:rsidR="007E7375" w:rsidRPr="007E7375" w:rsidRDefault="007E7375" w:rsidP="007E7375">
      <w:pPr>
        <w:tabs>
          <w:tab w:val="left" w:pos="1545"/>
        </w:tabs>
        <w:rPr>
          <w:i/>
          <w:sz w:val="24"/>
          <w:szCs w:val="24"/>
        </w:rPr>
      </w:pPr>
      <w:r w:rsidRPr="007E7375">
        <w:rPr>
          <w:i/>
          <w:sz w:val="24"/>
          <w:szCs w:val="24"/>
        </w:rPr>
        <w:t>Quality Control Procedures</w:t>
      </w:r>
    </w:p>
    <w:p w14:paraId="43C4BF3B" w14:textId="426B4E69" w:rsidR="007E7375" w:rsidRPr="007E7375" w:rsidRDefault="007E7375" w:rsidP="007E7375">
      <w:pPr>
        <w:tabs>
          <w:tab w:val="left" w:pos="1545"/>
        </w:tabs>
        <w:rPr>
          <w:sz w:val="24"/>
          <w:szCs w:val="24"/>
        </w:rPr>
      </w:pPr>
      <w:r w:rsidRPr="007E7375">
        <w:rPr>
          <w:sz w:val="24"/>
          <w:szCs w:val="24"/>
        </w:rPr>
        <w:t>Prior to the interviews, the EI team is trained on the site-specific questions to be asked (e.g., the purpose of each question, how to capture answers, place for comments, etc.). Once developed, the list of questions is not changed unless the team discovers the need for an important addition. If additional questions are considered to be needed, the questions will be submitted to OMB for approval prior to administration and the participants will be re-interviewed. The list of questions and individual’s answers are stored in a secure database or locked filing cabinet.</w:t>
      </w:r>
    </w:p>
    <w:p w14:paraId="20FAFBC5" w14:textId="77777777" w:rsidR="007E7375" w:rsidRPr="007E7375" w:rsidRDefault="007E7375" w:rsidP="007E7375">
      <w:pPr>
        <w:autoSpaceDE w:val="0"/>
        <w:autoSpaceDN w:val="0"/>
        <w:adjustRightInd w:val="0"/>
        <w:spacing w:line="240" w:lineRule="auto"/>
        <w:rPr>
          <w:sz w:val="24"/>
          <w:szCs w:val="24"/>
        </w:rPr>
      </w:pPr>
      <w:r w:rsidRPr="007E7375">
        <w:rPr>
          <w:sz w:val="24"/>
          <w:szCs w:val="24"/>
        </w:rPr>
        <w:t>Each participant is given information regarding the name of the EI, a telephone number to answer questions, and the address of the ATSDR website where they can find more information about the EI, if applicable. Each participant receives a copy of their personal results</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433801923"/>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5"/>
    </w:p>
    <w:p w14:paraId="35480865" w14:textId="77777777" w:rsidR="00D0744A" w:rsidRPr="00E707C0" w:rsidRDefault="00D0744A" w:rsidP="00E632AF">
      <w:pPr>
        <w:spacing w:line="240" w:lineRule="auto"/>
        <w:rPr>
          <w:sz w:val="24"/>
          <w:szCs w:val="24"/>
        </w:rPr>
      </w:pPr>
    </w:p>
    <w:p w14:paraId="7CF26D99" w14:textId="29ABEEAF" w:rsidR="007E7375" w:rsidRPr="007E7375" w:rsidRDefault="007E7375" w:rsidP="00A32CC0">
      <w:pPr>
        <w:tabs>
          <w:tab w:val="left" w:pos="1545"/>
        </w:tabs>
        <w:rPr>
          <w:sz w:val="24"/>
          <w:szCs w:val="24"/>
        </w:rPr>
      </w:pPr>
      <w:r w:rsidRPr="007E7375">
        <w:rPr>
          <w:sz w:val="24"/>
          <w:szCs w:val="24"/>
        </w:rPr>
        <w:t>An EI is usually requested by officials of a state health agency, a county health department, the Environmental Protection Agency (EPA), the general public and ATSDR staff in order to address community health concerns.  To evaluate potential exposure, ATSDR is generally looking for participants that are the most highly exposed. We identify them through a location or an activity that they engage in. If activity-based (e.g., fishing, working, etc.) we may need to contact people to encourage their participation.</w:t>
      </w:r>
    </w:p>
    <w:p w14:paraId="7B637373" w14:textId="77777777" w:rsidR="007E7375" w:rsidRPr="007E7375" w:rsidRDefault="007E7375" w:rsidP="007E7375">
      <w:pPr>
        <w:rPr>
          <w:sz w:val="24"/>
          <w:szCs w:val="24"/>
        </w:rPr>
      </w:pPr>
      <w:r w:rsidRPr="007E7375">
        <w:rPr>
          <w:sz w:val="24"/>
          <w:szCs w:val="24"/>
        </w:rPr>
        <w:t>Ours is not a response rate as the term is typically used in research or evaluation to show the legitimacy of a study. We invite people to participate in our sampling based on who would likely be most exposed. Generally, we look for 10-100 participants in the most exposed category. Getting participants using convenience sampling has not been a problem since communities have been requesting the sampling before we arrive. Since our goal for participation is a wide range and participants usually request the sampling, we usually have a response rate of more than 70 percent. However, because we are interpreting each individual’s response to his or her specific exposure and not attempting to determine population level exposures, we can interpret results without 100% participation.</w:t>
      </w:r>
    </w:p>
    <w:p w14:paraId="450B7636" w14:textId="3CD6A116" w:rsidR="00B45002" w:rsidRPr="00E707C0" w:rsidRDefault="007E7375" w:rsidP="008D0F27">
      <w:pPr>
        <w:pStyle w:val="Heading1"/>
        <w:pBdr>
          <w:bottom w:val="none" w:sz="0" w:space="0" w:color="auto"/>
        </w:pBdr>
        <w:rPr>
          <w:rFonts w:ascii="Cambria" w:hAnsi="Cambria"/>
          <w:color w:val="auto"/>
        </w:rPr>
      </w:pPr>
      <w:bookmarkStart w:id="6" w:name="_Toc433801924"/>
      <w:r>
        <w:rPr>
          <w:rFonts w:ascii="Cambria" w:hAnsi="Cambria"/>
          <w:color w:val="auto"/>
        </w:rPr>
        <w:t>B</w:t>
      </w:r>
      <w:r w:rsidR="00D33AE3" w:rsidRPr="00E707C0">
        <w:rPr>
          <w:rFonts w:ascii="Cambria" w:hAnsi="Cambria"/>
          <w:color w:val="auto"/>
        </w:rPr>
        <w:t>.</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4FF4FC92" w14:textId="77777777" w:rsidR="007E7375" w:rsidRDefault="007E7375" w:rsidP="007E7375">
      <w:pPr>
        <w:tabs>
          <w:tab w:val="left" w:pos="1545"/>
        </w:tabs>
      </w:pPr>
    </w:p>
    <w:p w14:paraId="7D36A013" w14:textId="43F06F90" w:rsidR="007E7375" w:rsidRPr="007E7375" w:rsidRDefault="007E7375" w:rsidP="00A32CC0">
      <w:pPr>
        <w:tabs>
          <w:tab w:val="left" w:pos="1545"/>
        </w:tabs>
        <w:rPr>
          <w:sz w:val="24"/>
          <w:szCs w:val="24"/>
        </w:rPr>
      </w:pPr>
      <w:r w:rsidRPr="007E7375">
        <w:rPr>
          <w:sz w:val="24"/>
          <w:szCs w:val="24"/>
        </w:rPr>
        <w:t>The EI team will use questions consistent with or similar to those in Attachment 4 to generate EI-specific lists of questions when conducting EIs.  The questions will be submitted to OMB for review in each EI Generic Information Collection (GenIC) submission.</w:t>
      </w:r>
    </w:p>
    <w:p w14:paraId="33A805D8" w14:textId="77777777" w:rsidR="007E7375" w:rsidRPr="007E7375" w:rsidRDefault="007E7375" w:rsidP="007E7375">
      <w:pPr>
        <w:tabs>
          <w:tab w:val="left" w:pos="1545"/>
        </w:tabs>
        <w:rPr>
          <w:sz w:val="24"/>
          <w:szCs w:val="24"/>
        </w:rPr>
      </w:pPr>
      <w:r w:rsidRPr="007E7375">
        <w:rPr>
          <w:sz w:val="24"/>
          <w:szCs w:val="24"/>
        </w:rPr>
        <w:t>ATSDR has completed over 190 EIs over approximately 10 years. Therefore, the procedures and methods are well-tested and based on the Agency’s long experience working in communities with environmental contamination.</w:t>
      </w:r>
    </w:p>
    <w:p w14:paraId="64B9CC57" w14:textId="77777777" w:rsidR="00BD2639" w:rsidRPr="00E707C0" w:rsidRDefault="00BD2639" w:rsidP="001C121D">
      <w:pPr>
        <w:spacing w:line="240" w:lineRule="auto"/>
      </w:pP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433801925"/>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0EA9D5F" w14:textId="77777777" w:rsidR="00984634" w:rsidRPr="00E707C0" w:rsidRDefault="00984634" w:rsidP="00984634"/>
    <w:p w14:paraId="37CBDE11" w14:textId="77777777" w:rsidR="007E7375" w:rsidRDefault="007E7375" w:rsidP="007E7375">
      <w:pPr>
        <w:rPr>
          <w:b/>
          <w:sz w:val="24"/>
          <w:szCs w:val="24"/>
        </w:rPr>
      </w:pPr>
      <w:r w:rsidRPr="007E7375">
        <w:rPr>
          <w:sz w:val="24"/>
          <w:szCs w:val="24"/>
        </w:rPr>
        <w:t>Statistical calculations are not used to determine participation in EIs using convenience sampling. Rather, all the community residents with the greatest likelihood of exposure are asked to participate</w:t>
      </w:r>
      <w:r w:rsidRPr="007E7375">
        <w:rPr>
          <w:b/>
          <w:sz w:val="24"/>
          <w:szCs w:val="24"/>
        </w:rPr>
        <w:t>.</w:t>
      </w:r>
    </w:p>
    <w:sectPr w:rsidR="007E7375" w:rsidSect="0019611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DD7F3E" w:rsidRDefault="00DD7F3E" w:rsidP="008B5D54">
      <w:r>
        <w:separator/>
      </w:r>
    </w:p>
  </w:endnote>
  <w:endnote w:type="continuationSeparator" w:id="0">
    <w:p w14:paraId="1DBC72D1" w14:textId="77777777" w:rsidR="00DD7F3E" w:rsidRDefault="00DD7F3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1A49" w14:textId="77777777" w:rsidR="00DD7F3E" w:rsidRDefault="00DD7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9E56F" w14:textId="77777777" w:rsidR="00DD7F3E" w:rsidRDefault="00DD7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62D04" w14:textId="77777777" w:rsidR="00DD7F3E" w:rsidRDefault="00DD7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DD7F3E" w:rsidRDefault="00DD7F3E" w:rsidP="008B5D54">
      <w:r>
        <w:separator/>
      </w:r>
    </w:p>
  </w:footnote>
  <w:footnote w:type="continuationSeparator" w:id="0">
    <w:p w14:paraId="6B02AAA8" w14:textId="77777777" w:rsidR="00DD7F3E" w:rsidRDefault="00DD7F3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7F75" w14:textId="77777777" w:rsidR="00DD7F3E" w:rsidRDefault="00DD7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16324" w14:textId="77777777" w:rsidR="00DD7F3E" w:rsidRDefault="00DD7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47AB" w14:textId="77777777" w:rsidR="00DD7F3E" w:rsidRDefault="00DD7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329FE"/>
    <w:rsid w:val="000337CA"/>
    <w:rsid w:val="000D41A0"/>
    <w:rsid w:val="00102577"/>
    <w:rsid w:val="00143D86"/>
    <w:rsid w:val="00156EEB"/>
    <w:rsid w:val="00196116"/>
    <w:rsid w:val="001C121D"/>
    <w:rsid w:val="001C2319"/>
    <w:rsid w:val="0023142F"/>
    <w:rsid w:val="00263C77"/>
    <w:rsid w:val="002751FF"/>
    <w:rsid w:val="002869DD"/>
    <w:rsid w:val="0029426A"/>
    <w:rsid w:val="002C73E0"/>
    <w:rsid w:val="002D0271"/>
    <w:rsid w:val="002F5356"/>
    <w:rsid w:val="0031214F"/>
    <w:rsid w:val="00330F29"/>
    <w:rsid w:val="003567AB"/>
    <w:rsid w:val="003874C5"/>
    <w:rsid w:val="003B02AE"/>
    <w:rsid w:val="003B0574"/>
    <w:rsid w:val="00425A8D"/>
    <w:rsid w:val="00487B61"/>
    <w:rsid w:val="004A7B18"/>
    <w:rsid w:val="004F0BE4"/>
    <w:rsid w:val="00500B15"/>
    <w:rsid w:val="00522073"/>
    <w:rsid w:val="005624FE"/>
    <w:rsid w:val="00605765"/>
    <w:rsid w:val="00616DAF"/>
    <w:rsid w:val="006560B1"/>
    <w:rsid w:val="006C6578"/>
    <w:rsid w:val="006F2ABA"/>
    <w:rsid w:val="0070554F"/>
    <w:rsid w:val="00717257"/>
    <w:rsid w:val="007471FE"/>
    <w:rsid w:val="00754B3D"/>
    <w:rsid w:val="00792A59"/>
    <w:rsid w:val="00796D76"/>
    <w:rsid w:val="007B7F20"/>
    <w:rsid w:val="007D595C"/>
    <w:rsid w:val="007E7375"/>
    <w:rsid w:val="007F0E10"/>
    <w:rsid w:val="00822D08"/>
    <w:rsid w:val="00885980"/>
    <w:rsid w:val="008861AB"/>
    <w:rsid w:val="008B5D54"/>
    <w:rsid w:val="008D0F27"/>
    <w:rsid w:val="008D3BE8"/>
    <w:rsid w:val="00935FD5"/>
    <w:rsid w:val="00961D25"/>
    <w:rsid w:val="00965C2A"/>
    <w:rsid w:val="00976C14"/>
    <w:rsid w:val="00984634"/>
    <w:rsid w:val="009B000E"/>
    <w:rsid w:val="009C2F5A"/>
    <w:rsid w:val="00A32CC0"/>
    <w:rsid w:val="00A66B8A"/>
    <w:rsid w:val="00A76C6D"/>
    <w:rsid w:val="00AB245B"/>
    <w:rsid w:val="00AB2C53"/>
    <w:rsid w:val="00AC3B7E"/>
    <w:rsid w:val="00AC4C54"/>
    <w:rsid w:val="00AE2F5E"/>
    <w:rsid w:val="00B21D28"/>
    <w:rsid w:val="00B31F1B"/>
    <w:rsid w:val="00B45002"/>
    <w:rsid w:val="00B50267"/>
    <w:rsid w:val="00B5171E"/>
    <w:rsid w:val="00B55735"/>
    <w:rsid w:val="00B608AC"/>
    <w:rsid w:val="00B73D70"/>
    <w:rsid w:val="00BA2DBE"/>
    <w:rsid w:val="00BA30FE"/>
    <w:rsid w:val="00BD2639"/>
    <w:rsid w:val="00C11B95"/>
    <w:rsid w:val="00C14BA6"/>
    <w:rsid w:val="00C929D2"/>
    <w:rsid w:val="00CD0E02"/>
    <w:rsid w:val="00CD7A9C"/>
    <w:rsid w:val="00D0744A"/>
    <w:rsid w:val="00D14114"/>
    <w:rsid w:val="00D32D24"/>
    <w:rsid w:val="00D33AE3"/>
    <w:rsid w:val="00D479BA"/>
    <w:rsid w:val="00D80142"/>
    <w:rsid w:val="00DA796B"/>
    <w:rsid w:val="00DC57CC"/>
    <w:rsid w:val="00DD2606"/>
    <w:rsid w:val="00DD7F3E"/>
    <w:rsid w:val="00DE2AE4"/>
    <w:rsid w:val="00E2405B"/>
    <w:rsid w:val="00E410B4"/>
    <w:rsid w:val="00E5157D"/>
    <w:rsid w:val="00E632AF"/>
    <w:rsid w:val="00E707C0"/>
    <w:rsid w:val="00EA6E06"/>
    <w:rsid w:val="00ED43A8"/>
    <w:rsid w:val="00EF2494"/>
    <w:rsid w:val="00EF5132"/>
    <w:rsid w:val="00F845F2"/>
    <w:rsid w:val="00F9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0A31-ADE4-489A-88BE-EF385581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2019-01-14T16:38:00Z</dcterms:created>
  <dcterms:modified xsi:type="dcterms:W3CDTF">2019-01-14T16:38:00Z</dcterms:modified>
</cp:coreProperties>
</file>