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141393971"/>
        <w:docPartObj>
          <w:docPartGallery w:val="Cover Pages"/>
          <w:docPartUnique/>
        </w:docPartObj>
      </w:sdtPr>
      <w:sdtEndPr/>
      <w:sdtContent>
        <w:p w14:paraId="0CE554AB" w14:textId="77777777" w:rsidR="00FE6EA5" w:rsidRDefault="00FE6EA5"/>
        <w:p w14:paraId="54EDD533" w14:textId="77777777" w:rsidR="00195414" w:rsidRDefault="004D4847" w:rsidP="00195414"/>
      </w:sdtContent>
    </w:sdt>
    <w:p w14:paraId="4318DE64" w14:textId="77777777" w:rsidR="00E35DD1" w:rsidRPr="00195414" w:rsidRDefault="00E35DD1" w:rsidP="00195414">
      <w:pPr>
        <w:ind w:left="2880" w:firstLine="720"/>
        <w:rPr>
          <w:rFonts w:eastAsia="Times New Roman" w:cs="Times New Roman"/>
        </w:rPr>
      </w:pPr>
      <w:r w:rsidRPr="00E35DD1">
        <w:t>Supporting Statement A for</w:t>
      </w:r>
    </w:p>
    <w:p w14:paraId="2C188C81" w14:textId="77777777" w:rsidR="00E35DD1" w:rsidRPr="00E35DD1" w:rsidRDefault="00E35DD1" w:rsidP="00E35DD1">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14:paraId="44D2F31A" w14:textId="77777777" w:rsidR="00D968EC" w:rsidRPr="00D968EC" w:rsidRDefault="00D968EC" w:rsidP="00D968EC">
      <w:pPr>
        <w:pStyle w:val="P1-StandPara"/>
        <w:tabs>
          <w:tab w:val="left" w:pos="720"/>
          <w:tab w:val="right" w:leader="dot" w:pos="9504"/>
        </w:tabs>
        <w:spacing w:before="120" w:after="120"/>
        <w:rPr>
          <w:bCs/>
        </w:rPr>
      </w:pPr>
      <w:r w:rsidRPr="00D968EC">
        <w:rPr>
          <w:bCs/>
        </w:rPr>
        <w:t>National Children’s Study (NCS) Vanguard Data and Sample Archive and Access System (NICHD)</w:t>
      </w:r>
    </w:p>
    <w:p w14:paraId="6BC4F5CC" w14:textId="77777777" w:rsidR="00976490" w:rsidRPr="00E35DD1" w:rsidRDefault="004D4847" w:rsidP="00767C53">
      <w:pPr>
        <w:pStyle w:val="P1-StandPara"/>
        <w:tabs>
          <w:tab w:val="left" w:pos="720"/>
          <w:tab w:val="right" w:leader="dot" w:pos="9504"/>
        </w:tabs>
        <w:spacing w:before="120" w:after="120"/>
        <w:ind w:firstLine="0"/>
        <w:jc w:val="center"/>
        <w:rPr>
          <w:rFonts w:asciiTheme="minorHAnsi" w:hAnsiTheme="minorHAnsi"/>
          <w:szCs w:val="22"/>
        </w:rPr>
      </w:pPr>
      <w:hyperlink r:id="rId9" w:history="1">
        <w:r w:rsidR="00D968EC" w:rsidRPr="00D968EC">
          <w:rPr>
            <w:rStyle w:val="Hyperlink"/>
            <w:rFonts w:asciiTheme="minorHAnsi" w:hAnsiTheme="minorHAnsi"/>
            <w:szCs w:val="22"/>
          </w:rPr>
          <w:t>OMB clearance #0925-0730</w:t>
        </w:r>
      </w:hyperlink>
      <w:r w:rsidR="00D968EC">
        <w:rPr>
          <w:rFonts w:asciiTheme="minorHAnsi" w:hAnsiTheme="minorHAnsi"/>
          <w:szCs w:val="22"/>
        </w:rPr>
        <w:t xml:space="preserve">, expiration date </w:t>
      </w:r>
      <w:r w:rsidR="00D968EC" w:rsidRPr="00D968EC">
        <w:rPr>
          <w:rFonts w:asciiTheme="minorHAnsi" w:hAnsiTheme="minorHAnsi"/>
          <w:szCs w:val="22"/>
        </w:rPr>
        <w:t>2/28/2019</w:t>
      </w:r>
    </w:p>
    <w:p w14:paraId="7E168CA4" w14:textId="77777777" w:rsidR="00D76FD2" w:rsidRPr="001249BA" w:rsidRDefault="00D76FD2" w:rsidP="00D76FD2">
      <w:pPr>
        <w:ind w:left="360"/>
        <w:jc w:val="center"/>
        <w:rPr>
          <w:rFonts w:eastAsia="SimSun"/>
          <w:b/>
          <w:highlight w:val="yellow"/>
        </w:rPr>
      </w:pPr>
      <w:r w:rsidRPr="001249BA">
        <w:rPr>
          <w:rFonts w:eastAsia="SimSun"/>
          <w:b/>
          <w:highlight w:val="yellow"/>
        </w:rPr>
        <w:t xml:space="preserve">Note:  This is a revision to a previously approved information collection.  </w:t>
      </w:r>
    </w:p>
    <w:p w14:paraId="421E6165" w14:textId="77777777" w:rsidR="00D76FD2" w:rsidRPr="001249BA" w:rsidRDefault="00D76FD2" w:rsidP="00D76FD2">
      <w:pPr>
        <w:ind w:left="360"/>
        <w:jc w:val="center"/>
        <w:rPr>
          <w:rFonts w:eastAsia="SimSun"/>
          <w:b/>
        </w:rPr>
      </w:pPr>
      <w:r w:rsidRPr="001249BA">
        <w:rPr>
          <w:rFonts w:eastAsia="SimSun"/>
          <w:b/>
          <w:highlight w:val="yellow"/>
        </w:rPr>
        <w:t>Text highlighted in Yellow has been added or amended.</w:t>
      </w:r>
    </w:p>
    <w:p w14:paraId="228B363C" w14:textId="77777777" w:rsidR="00E35DD1" w:rsidRPr="00E35DD1" w:rsidRDefault="00E35DD1" w:rsidP="00E35DD1">
      <w:pPr>
        <w:pStyle w:val="P1-StandPara"/>
        <w:tabs>
          <w:tab w:val="left" w:pos="720"/>
          <w:tab w:val="right" w:leader="dot" w:pos="9504"/>
        </w:tabs>
        <w:spacing w:before="120" w:after="120"/>
        <w:ind w:firstLine="0"/>
        <w:rPr>
          <w:rFonts w:asciiTheme="minorHAnsi" w:hAnsiTheme="minorHAnsi"/>
          <w:szCs w:val="22"/>
        </w:rPr>
      </w:pPr>
    </w:p>
    <w:p w14:paraId="51AC6DC5" w14:textId="77777777" w:rsidR="00024899" w:rsidRDefault="00E35DD1" w:rsidP="00E35DD1">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14:paraId="5EFBED77" w14:textId="36E9166B" w:rsidR="00E35DD1" w:rsidRPr="00E35DD1" w:rsidRDefault="00E35DD1" w:rsidP="00E35DD1">
      <w:pPr>
        <w:pStyle w:val="P1-StandPara"/>
        <w:tabs>
          <w:tab w:val="left" w:pos="720"/>
          <w:tab w:val="right" w:leader="dot" w:pos="9504"/>
        </w:tabs>
        <w:spacing w:before="120" w:after="120"/>
        <w:ind w:firstLine="0"/>
        <w:rPr>
          <w:rFonts w:asciiTheme="minorHAnsi" w:hAnsiTheme="minorHAnsi"/>
          <w:szCs w:val="22"/>
        </w:rPr>
      </w:pPr>
      <w:r w:rsidRPr="00295BA5">
        <w:rPr>
          <w:rFonts w:asciiTheme="minorHAnsi" w:hAnsiTheme="minorHAnsi"/>
          <w:szCs w:val="22"/>
          <w:highlight w:val="yellow"/>
        </w:rPr>
        <w:t>Date</w:t>
      </w:r>
      <w:r w:rsidR="00BE76A7" w:rsidRPr="00295BA5">
        <w:rPr>
          <w:rFonts w:asciiTheme="minorHAnsi" w:hAnsiTheme="minorHAnsi"/>
          <w:szCs w:val="22"/>
          <w:highlight w:val="yellow"/>
        </w:rPr>
        <w:t xml:space="preserve">: </w:t>
      </w:r>
      <w:r w:rsidR="00CC3227" w:rsidRPr="00295BA5">
        <w:rPr>
          <w:rFonts w:asciiTheme="minorHAnsi" w:hAnsiTheme="minorHAnsi"/>
          <w:szCs w:val="22"/>
          <w:highlight w:val="yellow"/>
        </w:rPr>
        <w:t xml:space="preserve"> </w:t>
      </w:r>
      <w:r w:rsidR="0042330D">
        <w:rPr>
          <w:rFonts w:asciiTheme="minorHAnsi" w:hAnsiTheme="minorHAnsi"/>
          <w:szCs w:val="22"/>
          <w:highlight w:val="yellow"/>
        </w:rPr>
        <w:t>January</w:t>
      </w:r>
      <w:r w:rsidR="00CC3227" w:rsidRPr="00295BA5">
        <w:rPr>
          <w:rFonts w:asciiTheme="minorHAnsi" w:hAnsiTheme="minorHAnsi"/>
          <w:szCs w:val="22"/>
          <w:highlight w:val="yellow"/>
        </w:rPr>
        <w:t xml:space="preserve"> </w:t>
      </w:r>
      <w:r w:rsidR="002F07E6">
        <w:rPr>
          <w:rFonts w:asciiTheme="minorHAnsi" w:hAnsiTheme="minorHAnsi"/>
          <w:szCs w:val="22"/>
          <w:highlight w:val="yellow"/>
        </w:rPr>
        <w:t>24</w:t>
      </w:r>
      <w:r w:rsidR="00CC3227" w:rsidRPr="00295BA5">
        <w:rPr>
          <w:rFonts w:asciiTheme="minorHAnsi" w:hAnsiTheme="minorHAnsi"/>
          <w:szCs w:val="22"/>
          <w:highlight w:val="yellow"/>
        </w:rPr>
        <w:t>, 2018</w:t>
      </w:r>
      <w:r w:rsidR="00CC3227">
        <w:rPr>
          <w:rFonts w:asciiTheme="minorHAnsi" w:hAnsiTheme="minorHAnsi"/>
          <w:szCs w:val="22"/>
        </w:rPr>
        <w:t xml:space="preserve"> </w:t>
      </w:r>
    </w:p>
    <w:p w14:paraId="01D1D257" w14:textId="77777777" w:rsidR="00FF30CE" w:rsidRPr="008942E9" w:rsidRDefault="00FF30CE" w:rsidP="00FF30CE">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14:paraId="697EFA7E" w14:textId="77777777" w:rsidR="00FF30CE" w:rsidRDefault="00FF30CE" w:rsidP="00536C12">
      <w:pPr>
        <w:pStyle w:val="ListParagraph"/>
        <w:numPr>
          <w:ilvl w:val="0"/>
          <w:numId w:val="11"/>
        </w:numPr>
        <w:spacing w:after="0" w:line="240" w:lineRule="auto"/>
      </w:pPr>
      <w:r>
        <w:t xml:space="preserve">New </w:t>
      </w:r>
    </w:p>
    <w:p w14:paraId="475C9808" w14:textId="77777777" w:rsidR="00FF30CE" w:rsidRDefault="00FF30CE" w:rsidP="00FF30CE">
      <w:pPr>
        <w:numPr>
          <w:ilvl w:val="0"/>
          <w:numId w:val="11"/>
        </w:numPr>
        <w:spacing w:after="0" w:line="240" w:lineRule="auto"/>
      </w:pPr>
      <w:r>
        <w:t>Revision</w:t>
      </w:r>
      <w:r>
        <w:tab/>
      </w:r>
      <w:r>
        <w:tab/>
      </w:r>
      <w:r>
        <w:tab/>
      </w:r>
    </w:p>
    <w:p w14:paraId="464136BC" w14:textId="77777777" w:rsidR="00FF30CE" w:rsidRDefault="00FF30CE" w:rsidP="00FF30CE">
      <w:pPr>
        <w:numPr>
          <w:ilvl w:val="0"/>
          <w:numId w:val="11"/>
        </w:numPr>
        <w:spacing w:after="0" w:line="240" w:lineRule="auto"/>
      </w:pPr>
      <w:r>
        <w:t>Reinstatement with Change</w:t>
      </w:r>
    </w:p>
    <w:p w14:paraId="4EDD9D3E" w14:textId="77777777" w:rsidR="00FF30CE" w:rsidRDefault="00FF30CE" w:rsidP="00FF30CE">
      <w:pPr>
        <w:numPr>
          <w:ilvl w:val="0"/>
          <w:numId w:val="11"/>
        </w:numPr>
        <w:spacing w:after="0" w:line="240" w:lineRule="auto"/>
      </w:pPr>
      <w:r>
        <w:t>Reinstatement without Change</w:t>
      </w:r>
    </w:p>
    <w:p w14:paraId="26E63049" w14:textId="77777777" w:rsidR="00FF30CE" w:rsidRPr="00295BA5" w:rsidRDefault="00FF30CE" w:rsidP="00295BA5">
      <w:pPr>
        <w:numPr>
          <w:ilvl w:val="0"/>
          <w:numId w:val="14"/>
        </w:numPr>
        <w:spacing w:after="0" w:line="240" w:lineRule="auto"/>
        <w:rPr>
          <w:highlight w:val="yellow"/>
        </w:rPr>
      </w:pPr>
      <w:r w:rsidRPr="00295BA5">
        <w:rPr>
          <w:highlight w:val="yellow"/>
        </w:rPr>
        <w:t>Extension</w:t>
      </w:r>
    </w:p>
    <w:p w14:paraId="67D73569" w14:textId="77777777" w:rsidR="00FF30CE" w:rsidRDefault="00FF30CE" w:rsidP="00FF30CE">
      <w:pPr>
        <w:numPr>
          <w:ilvl w:val="0"/>
          <w:numId w:val="11"/>
        </w:numPr>
        <w:spacing w:after="0" w:line="240" w:lineRule="auto"/>
      </w:pPr>
      <w:r>
        <w:t>Emergency</w:t>
      </w:r>
    </w:p>
    <w:p w14:paraId="2C63FE53" w14:textId="77777777" w:rsidR="00E35DD1" w:rsidRPr="00E35DD1" w:rsidRDefault="00E35DD1" w:rsidP="00295BA5">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14:paraId="13209204" w14:textId="77777777" w:rsidR="00E35DD1" w:rsidRPr="00E35DD1" w:rsidRDefault="00BE76A7" w:rsidP="00BE76A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szCs w:val="22"/>
        </w:rPr>
        <w:t>Fed</w:t>
      </w:r>
      <w:r w:rsidR="00B96691">
        <w:rPr>
          <w:rFonts w:asciiTheme="minorHAnsi" w:hAnsiTheme="minorHAnsi"/>
          <w:szCs w:val="22"/>
        </w:rPr>
        <w:t>eral Government Employee Information</w:t>
      </w:r>
      <w:r>
        <w:rPr>
          <w:rFonts w:asciiTheme="minorHAnsi" w:hAnsiTheme="minorHAnsi"/>
          <w:szCs w:val="22"/>
        </w:rPr>
        <w:t>:</w:t>
      </w:r>
    </w:p>
    <w:p w14:paraId="638E7174" w14:textId="77777777" w:rsidR="00E35DD1" w:rsidRPr="00E35DD1"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Name:</w:t>
      </w:r>
      <w:r w:rsidR="00CC3227">
        <w:rPr>
          <w:rFonts w:asciiTheme="minorHAnsi" w:hAnsiTheme="minorHAnsi"/>
          <w:szCs w:val="22"/>
        </w:rPr>
        <w:tab/>
        <w:t xml:space="preserve">               Jack Moye, Jr., MD</w:t>
      </w:r>
    </w:p>
    <w:p w14:paraId="6AA34C59" w14:textId="77777777" w:rsidR="00CC3227" w:rsidRPr="00CC3227" w:rsidRDefault="00E35DD1" w:rsidP="00CC3227">
      <w:pPr>
        <w:contextualSpacing/>
        <w:rPr>
          <w:rFonts w:eastAsia="Times New Roman" w:cs="Times New Roman"/>
        </w:rPr>
      </w:pPr>
      <w:r w:rsidRPr="00E35DD1">
        <w:t>Address:</w:t>
      </w:r>
      <w:r w:rsidR="00CC3227">
        <w:tab/>
      </w:r>
      <w:r w:rsidR="00CC3227" w:rsidRPr="00CC3227">
        <w:rPr>
          <w:rFonts w:eastAsia="Times New Roman" w:cs="Times New Roman"/>
        </w:rPr>
        <w:t>The National Children's Study</w:t>
      </w:r>
    </w:p>
    <w:p w14:paraId="15B4F10A" w14:textId="77777777" w:rsidR="00CC3227" w:rsidRPr="00CC3227" w:rsidRDefault="00CC3227" w:rsidP="00CC3227">
      <w:pPr>
        <w:spacing w:after="0" w:line="240" w:lineRule="auto"/>
        <w:ind w:left="1440"/>
        <w:contextualSpacing/>
        <w:rPr>
          <w:rFonts w:eastAsia="Times New Roman" w:cs="Times New Roman"/>
        </w:rPr>
      </w:pPr>
      <w:r w:rsidRPr="00F142EC">
        <w:rPr>
          <w:rFonts w:eastAsia="Times New Roman" w:cs="Times New Roman"/>
          <w:i/>
        </w:rPr>
        <w:t>Eunice Kennedy Shriver</w:t>
      </w:r>
      <w:r w:rsidRPr="00CC3227">
        <w:rPr>
          <w:rFonts w:eastAsia="Times New Roman" w:cs="Times New Roman"/>
        </w:rPr>
        <w:t xml:space="preserve"> National Institute of Child Health and Human Development</w:t>
      </w:r>
    </w:p>
    <w:p w14:paraId="598FC607" w14:textId="77777777" w:rsidR="00CC3227" w:rsidRPr="00CC3227" w:rsidRDefault="00CC3227" w:rsidP="00CC3227">
      <w:pPr>
        <w:spacing w:after="0" w:line="240" w:lineRule="auto"/>
        <w:ind w:left="1440"/>
        <w:contextualSpacing/>
        <w:rPr>
          <w:rFonts w:eastAsia="Times New Roman" w:cs="Times New Roman"/>
        </w:rPr>
      </w:pPr>
      <w:r w:rsidRPr="00CC3227">
        <w:rPr>
          <w:rFonts w:eastAsia="Times New Roman" w:cs="Times New Roman"/>
        </w:rPr>
        <w:t>6710B Rockledge Boulevard, Room 2130</w:t>
      </w:r>
      <w:r w:rsidR="00F142EC">
        <w:rPr>
          <w:rFonts w:eastAsia="Times New Roman" w:cs="Times New Roman"/>
        </w:rPr>
        <w:t>, MSC 7002</w:t>
      </w:r>
    </w:p>
    <w:p w14:paraId="7BACD9A0" w14:textId="77777777" w:rsidR="00CC3227" w:rsidRPr="00CC3227" w:rsidRDefault="00CC3227" w:rsidP="00CC3227">
      <w:pPr>
        <w:spacing w:after="0" w:line="240" w:lineRule="auto"/>
        <w:ind w:left="1440"/>
        <w:contextualSpacing/>
        <w:rPr>
          <w:rFonts w:eastAsia="Times New Roman" w:cs="Times New Roman"/>
        </w:rPr>
      </w:pPr>
      <w:r w:rsidRPr="00CC3227">
        <w:rPr>
          <w:rFonts w:eastAsia="Times New Roman" w:cs="Times New Roman"/>
        </w:rPr>
        <w:t>Bethesda, MD 20892-7002</w:t>
      </w:r>
    </w:p>
    <w:p w14:paraId="3125BC39" w14:textId="77777777" w:rsidR="00E35DD1" w:rsidRPr="00E35DD1"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Telephone:</w:t>
      </w:r>
      <w:r w:rsidR="00CC3227">
        <w:rPr>
          <w:rFonts w:asciiTheme="minorHAnsi" w:hAnsiTheme="minorHAnsi"/>
          <w:szCs w:val="22"/>
        </w:rPr>
        <w:t xml:space="preserve">         301-594-8624</w:t>
      </w:r>
    </w:p>
    <w:p w14:paraId="0FB29C2B" w14:textId="77777777" w:rsidR="00E35DD1" w:rsidRPr="00E35DD1"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Fax:</w:t>
      </w:r>
      <w:r w:rsidR="00CC3227">
        <w:rPr>
          <w:rFonts w:asciiTheme="minorHAnsi" w:hAnsiTheme="minorHAnsi"/>
          <w:szCs w:val="22"/>
        </w:rPr>
        <w:tab/>
        <w:t xml:space="preserve">               </w:t>
      </w:r>
    </w:p>
    <w:p w14:paraId="521DDFB5" w14:textId="77777777" w:rsidR="00E35DD1"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Email:</w:t>
      </w:r>
      <w:r w:rsidR="00CC3227">
        <w:rPr>
          <w:rFonts w:asciiTheme="minorHAnsi" w:hAnsiTheme="minorHAnsi"/>
          <w:szCs w:val="22"/>
        </w:rPr>
        <w:t xml:space="preserve">                   </w:t>
      </w:r>
      <w:hyperlink r:id="rId10" w:history="1">
        <w:r w:rsidR="00CC3227" w:rsidRPr="00C52AD5">
          <w:rPr>
            <w:rStyle w:val="Hyperlink"/>
            <w:rFonts w:asciiTheme="minorHAnsi" w:hAnsiTheme="minorHAnsi"/>
            <w:szCs w:val="22"/>
          </w:rPr>
          <w:t>moyej@mail.nih.gov</w:t>
        </w:r>
      </w:hyperlink>
    </w:p>
    <w:p w14:paraId="5F1C0489" w14:textId="77777777" w:rsidR="00CC3227" w:rsidRPr="00E35DD1" w:rsidRDefault="00CC3227" w:rsidP="00BE76A7">
      <w:pPr>
        <w:pStyle w:val="P1-StandPara"/>
        <w:tabs>
          <w:tab w:val="left" w:pos="720"/>
          <w:tab w:val="right" w:leader="dot" w:pos="9504"/>
        </w:tabs>
        <w:spacing w:before="120" w:line="240" w:lineRule="auto"/>
        <w:ind w:firstLine="0"/>
        <w:rPr>
          <w:rFonts w:asciiTheme="minorHAnsi" w:hAnsiTheme="minorHAnsi"/>
          <w:szCs w:val="22"/>
        </w:rPr>
      </w:pPr>
    </w:p>
    <w:p w14:paraId="50E6D72E" w14:textId="77777777" w:rsidR="00E35DD1" w:rsidRPr="00E35DD1" w:rsidRDefault="00E35DD1" w:rsidP="00E35DD1">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lastRenderedPageBreak/>
        <w:t>Table of contents</w:t>
      </w:r>
    </w:p>
    <w:p w14:paraId="42D9F0A1" w14:textId="77777777" w:rsidR="00E35DD1" w:rsidRPr="00E35DD1" w:rsidRDefault="00E35DD1" w:rsidP="00E35DD1">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t>J</w:t>
      </w:r>
      <w:r w:rsidR="00014A57">
        <w:rPr>
          <w:rFonts w:asciiTheme="minorHAnsi" w:hAnsiTheme="minorHAnsi"/>
          <w:szCs w:val="22"/>
        </w:rPr>
        <w:t>ustification</w:t>
      </w:r>
      <w:r w:rsidR="008A2AD7">
        <w:rPr>
          <w:rFonts w:asciiTheme="minorHAnsi" w:hAnsiTheme="minorHAnsi"/>
          <w:szCs w:val="22"/>
        </w:rPr>
        <w:t xml:space="preserve">  </w:t>
      </w:r>
      <w:r w:rsidRPr="00E35DD1">
        <w:rPr>
          <w:rFonts w:asciiTheme="minorHAnsi" w:hAnsiTheme="minorHAnsi"/>
          <w:szCs w:val="22"/>
        </w:rPr>
        <w:tab/>
      </w:r>
    </w:p>
    <w:p w14:paraId="3DF12010"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14:paraId="6667DBE7"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w:t>
      </w:r>
      <w:r w:rsidR="00014A57">
        <w:rPr>
          <w:rFonts w:asciiTheme="minorHAnsi" w:hAnsiTheme="minorHAnsi"/>
          <w:szCs w:val="22"/>
        </w:rPr>
        <w:t xml:space="preserve"> Collection</w:t>
      </w:r>
      <w:r w:rsidR="00014A57">
        <w:rPr>
          <w:rFonts w:asciiTheme="minorHAnsi" w:hAnsiTheme="minorHAnsi"/>
          <w:szCs w:val="22"/>
        </w:rPr>
        <w:tab/>
      </w:r>
    </w:p>
    <w:p w14:paraId="396C21C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14:paraId="0459C377"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14:paraId="02AC67BA"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14:paraId="2B140697"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14:paraId="3A4D954B"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14:paraId="4D651ED5"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14:paraId="3B5CC13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14:paraId="706E6EFE"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14:paraId="57A4EFB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14:paraId="6D8C6F61"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14:paraId="3F99D5C6"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 xml:space="preserve"> keepers</w:t>
      </w:r>
      <w:r w:rsidRPr="00E35DD1">
        <w:rPr>
          <w:rFonts w:asciiTheme="minorHAnsi" w:hAnsiTheme="minorHAnsi"/>
          <w:szCs w:val="22"/>
        </w:rPr>
        <w:tab/>
      </w:r>
    </w:p>
    <w:p w14:paraId="0BAAD863"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14:paraId="343BFE1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14:paraId="7C8EC38A"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14:paraId="0BF07E85"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14:paraId="243271AF" w14:textId="77777777" w:rsidR="00E35DD1" w:rsidRDefault="00E35DD1" w:rsidP="00E35DD1">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14:paraId="3E401759" w14:textId="77777777" w:rsidR="0067425B" w:rsidRDefault="00E35DD1" w:rsidP="0067425B">
      <w:r w:rsidRPr="00E35DD1">
        <w:fldChar w:fldCharType="end"/>
      </w:r>
    </w:p>
    <w:p w14:paraId="55500540" w14:textId="77777777" w:rsidR="002F07E6" w:rsidRDefault="002F07E6">
      <w:pPr>
        <w:rPr>
          <w:rFonts w:eastAsia="Times New Roman" w:cs="Times New Roman"/>
          <w:b/>
          <w:u w:val="single"/>
        </w:rPr>
      </w:pPr>
      <w:r>
        <w:rPr>
          <w:b/>
          <w:u w:val="single"/>
        </w:rPr>
        <w:br w:type="page"/>
      </w:r>
    </w:p>
    <w:p w14:paraId="3BCC83D4" w14:textId="10F2FFE7" w:rsidR="0067425B" w:rsidRPr="0067425B" w:rsidRDefault="0067425B" w:rsidP="002F07E6">
      <w:pPr>
        <w:pStyle w:val="P1-StandPara"/>
        <w:tabs>
          <w:tab w:val="left" w:pos="720"/>
          <w:tab w:val="right" w:leader="dot" w:pos="9504"/>
        </w:tabs>
        <w:spacing w:before="120" w:after="120"/>
        <w:ind w:firstLine="0"/>
        <w:rPr>
          <w:rFonts w:asciiTheme="minorHAnsi" w:hAnsiTheme="minorHAnsi"/>
          <w:b/>
          <w:szCs w:val="22"/>
          <w:u w:val="single"/>
        </w:rPr>
      </w:pPr>
      <w:r w:rsidRPr="0067425B">
        <w:rPr>
          <w:rFonts w:asciiTheme="minorHAnsi" w:hAnsiTheme="minorHAnsi"/>
          <w:b/>
          <w:szCs w:val="22"/>
          <w:u w:val="single"/>
        </w:rPr>
        <w:lastRenderedPageBreak/>
        <w:t>List of Attachments</w:t>
      </w:r>
    </w:p>
    <w:p w14:paraId="2FEA3555" w14:textId="21297B4E" w:rsidR="0067425B" w:rsidRPr="0067425B" w:rsidRDefault="0067425B" w:rsidP="0067425B">
      <w:pPr>
        <w:jc w:val="both"/>
        <w:rPr>
          <w:caps/>
          <w:noProof/>
        </w:rPr>
      </w:pPr>
      <w:r w:rsidRPr="0067425B">
        <w:rPr>
          <w:caps/>
          <w:noProof/>
        </w:rPr>
        <w:t xml:space="preserve">Attachment A.1 </w:t>
      </w:r>
      <w:r w:rsidR="008A2AD7">
        <w:rPr>
          <w:caps/>
          <w:noProof/>
        </w:rPr>
        <w:t xml:space="preserve">NCS </w:t>
      </w:r>
      <w:r w:rsidRPr="0067425B">
        <w:rPr>
          <w:caps/>
          <w:noProof/>
        </w:rPr>
        <w:t xml:space="preserve">Vanguard </w:t>
      </w:r>
      <w:r w:rsidR="001A7FB3">
        <w:rPr>
          <w:caps/>
          <w:noProof/>
        </w:rPr>
        <w:t xml:space="preserve">DATA USER AGREEMENT </w:t>
      </w:r>
      <w:r w:rsidRPr="0067425B">
        <w:rPr>
          <w:caps/>
          <w:noProof/>
        </w:rPr>
        <w:t>Form</w:t>
      </w:r>
    </w:p>
    <w:p w14:paraId="470CC523" w14:textId="77777777" w:rsidR="0067425B" w:rsidRPr="0067425B" w:rsidRDefault="0067425B" w:rsidP="0067425B">
      <w:pPr>
        <w:jc w:val="both"/>
        <w:rPr>
          <w:caps/>
          <w:noProof/>
        </w:rPr>
      </w:pPr>
      <w:r w:rsidRPr="0067425B">
        <w:rPr>
          <w:caps/>
          <w:noProof/>
        </w:rPr>
        <w:t xml:space="preserve">Attachment A.2 </w:t>
      </w:r>
      <w:r w:rsidR="008A2AD7">
        <w:rPr>
          <w:caps/>
          <w:noProof/>
        </w:rPr>
        <w:t xml:space="preserve">NCS </w:t>
      </w:r>
      <w:r w:rsidRPr="0067425B">
        <w:rPr>
          <w:caps/>
          <w:noProof/>
        </w:rPr>
        <w:t>Vanguard Data Request Form</w:t>
      </w:r>
    </w:p>
    <w:p w14:paraId="4FF39F96" w14:textId="4F6C23D2" w:rsidR="0067425B" w:rsidRPr="0067425B" w:rsidRDefault="0067425B" w:rsidP="0067425B">
      <w:pPr>
        <w:jc w:val="both"/>
        <w:rPr>
          <w:caps/>
          <w:noProof/>
        </w:rPr>
      </w:pPr>
      <w:r w:rsidRPr="0067425B">
        <w:rPr>
          <w:caps/>
          <w:noProof/>
        </w:rPr>
        <w:t xml:space="preserve">Attachment A.3 </w:t>
      </w:r>
      <w:r w:rsidR="008A2AD7">
        <w:rPr>
          <w:caps/>
          <w:noProof/>
        </w:rPr>
        <w:t xml:space="preserve">NCS </w:t>
      </w:r>
      <w:r w:rsidRPr="0067425B">
        <w:rPr>
          <w:caps/>
          <w:noProof/>
        </w:rPr>
        <w:t>Vanguard S</w:t>
      </w:r>
      <w:r w:rsidR="00495BC0">
        <w:rPr>
          <w:caps/>
          <w:noProof/>
        </w:rPr>
        <w:t>AMPLE</w:t>
      </w:r>
      <w:r w:rsidRPr="0067425B">
        <w:rPr>
          <w:caps/>
          <w:noProof/>
        </w:rPr>
        <w:t xml:space="preserve"> and Data Request Form</w:t>
      </w:r>
    </w:p>
    <w:p w14:paraId="503E2F75" w14:textId="77777777" w:rsidR="0067425B" w:rsidRPr="0067425B" w:rsidRDefault="0067425B" w:rsidP="0067425B">
      <w:pPr>
        <w:jc w:val="both"/>
        <w:rPr>
          <w:caps/>
          <w:noProof/>
        </w:rPr>
      </w:pPr>
      <w:r w:rsidRPr="0067425B">
        <w:rPr>
          <w:caps/>
          <w:noProof/>
        </w:rPr>
        <w:t>Attachment A.4 Research Materials Distribution Agreement</w:t>
      </w:r>
    </w:p>
    <w:p w14:paraId="7CAF7FE8" w14:textId="77777777" w:rsidR="0067425B" w:rsidRPr="0067425B" w:rsidRDefault="0067425B" w:rsidP="0067425B">
      <w:pPr>
        <w:jc w:val="both"/>
        <w:rPr>
          <w:caps/>
          <w:noProof/>
        </w:rPr>
      </w:pPr>
      <w:r w:rsidRPr="0067425B">
        <w:rPr>
          <w:caps/>
          <w:noProof/>
        </w:rPr>
        <w:t>Attachment A.5 Example Screenshot to Show NCS Branding on Data Forms</w:t>
      </w:r>
    </w:p>
    <w:p w14:paraId="73CAD067" w14:textId="270DD9F8" w:rsidR="0067425B" w:rsidRDefault="0067425B" w:rsidP="0067425B">
      <w:pPr>
        <w:jc w:val="both"/>
        <w:rPr>
          <w:caps/>
          <w:noProof/>
        </w:rPr>
      </w:pPr>
      <w:r w:rsidRPr="0067425B">
        <w:rPr>
          <w:caps/>
          <w:noProof/>
        </w:rPr>
        <w:t xml:space="preserve">Attachment A.6 NCS </w:t>
      </w:r>
      <w:r w:rsidR="00B80356">
        <w:rPr>
          <w:caps/>
          <w:noProof/>
        </w:rPr>
        <w:t xml:space="preserve">ARCHIVE </w:t>
      </w:r>
      <w:r w:rsidRPr="0067425B">
        <w:rPr>
          <w:caps/>
          <w:noProof/>
        </w:rPr>
        <w:t>Data User Training</w:t>
      </w:r>
    </w:p>
    <w:p w14:paraId="596FC36D" w14:textId="4B1F6E1B" w:rsidR="002F07E6" w:rsidRPr="0067425B" w:rsidRDefault="002F07E6" w:rsidP="0067425B">
      <w:pPr>
        <w:jc w:val="both"/>
        <w:rPr>
          <w:caps/>
          <w:noProof/>
        </w:rPr>
      </w:pPr>
      <w:r w:rsidRPr="0067425B">
        <w:rPr>
          <w:caps/>
          <w:noProof/>
        </w:rPr>
        <w:t>Attachment A.</w:t>
      </w:r>
      <w:r>
        <w:rPr>
          <w:caps/>
          <w:noProof/>
        </w:rPr>
        <w:t>7 NICHD NAT’L CHILDREN’S STUDY SIGNED PRIVACY OFFICER MEMO_02-02-16</w:t>
      </w:r>
    </w:p>
    <w:p w14:paraId="3504B726" w14:textId="0A1BBCA5" w:rsidR="002F07E6" w:rsidRDefault="00323CBB">
      <w:pPr>
        <w:rPr>
          <w:rFonts w:eastAsia="Times New Roman" w:cs="Times New Roman"/>
          <w:b/>
        </w:rPr>
      </w:pPr>
      <w:r>
        <w:t>ATTACHMENT A.8 NCS ARCHIVE MINI SUPPORTING STATEMENT</w:t>
      </w:r>
      <w:r w:rsidR="002F07E6">
        <w:rPr>
          <w:b/>
        </w:rPr>
        <w:br w:type="page"/>
      </w:r>
    </w:p>
    <w:p w14:paraId="2FA96C55" w14:textId="0FCFE158" w:rsidR="006A45F9" w:rsidRDefault="006A45F9" w:rsidP="00D72813">
      <w:pPr>
        <w:pStyle w:val="P1-StandPara"/>
        <w:tabs>
          <w:tab w:val="left" w:pos="720"/>
          <w:tab w:val="right" w:leader="dot" w:pos="9504"/>
        </w:tabs>
        <w:ind w:firstLine="0"/>
        <w:rPr>
          <w:rFonts w:asciiTheme="minorHAnsi" w:hAnsiTheme="minorHAnsi"/>
          <w:szCs w:val="22"/>
        </w:rPr>
      </w:pPr>
      <w:r>
        <w:rPr>
          <w:rFonts w:asciiTheme="minorHAnsi" w:hAnsiTheme="minorHAnsi"/>
          <w:b/>
          <w:szCs w:val="22"/>
        </w:rPr>
        <w:t xml:space="preserve">A. </w:t>
      </w:r>
      <w:r w:rsidR="00BE76A7" w:rsidRPr="00BE76A7">
        <w:rPr>
          <w:rFonts w:asciiTheme="minorHAnsi" w:hAnsiTheme="minorHAnsi"/>
          <w:b/>
          <w:szCs w:val="22"/>
        </w:rPr>
        <w:t>Justification</w:t>
      </w:r>
    </w:p>
    <w:p w14:paraId="11ADCB61" w14:textId="77777777" w:rsidR="00A40A31" w:rsidRPr="00BC08BC" w:rsidRDefault="00A40A31" w:rsidP="00A40A31">
      <w:r w:rsidRPr="00BC08BC">
        <w:t xml:space="preserve">This </w:t>
      </w:r>
      <w:r>
        <w:t xml:space="preserve">document contains information supporting </w:t>
      </w:r>
      <w:r w:rsidRPr="00BC08BC">
        <w:t xml:space="preserve">a request for </w:t>
      </w:r>
      <w:r>
        <w:t>the Office of Management and Budget (</w:t>
      </w:r>
      <w:r w:rsidRPr="00BC08BC">
        <w:t>OMB</w:t>
      </w:r>
      <w:r>
        <w:t>)</w:t>
      </w:r>
      <w:r w:rsidRPr="00BC08BC">
        <w:t xml:space="preserve"> to approve </w:t>
      </w:r>
      <w:r w:rsidR="00DB0E05">
        <w:t xml:space="preserve">renewal </w:t>
      </w:r>
      <w:r>
        <w:t xml:space="preserve">of </w:t>
      </w:r>
      <w:r w:rsidRPr="00BC08BC">
        <w:t xml:space="preserve">a </w:t>
      </w:r>
      <w:r>
        <w:t xml:space="preserve">generic clearance for registration procedures associated with the </w:t>
      </w:r>
      <w:hyperlink r:id="rId11" w:history="1">
        <w:r w:rsidR="00154125">
          <w:rPr>
            <w:rStyle w:val="Hyperlink"/>
            <w:bCs/>
          </w:rPr>
          <w:t>National Children’s Study (NCS) Data and Sample Archive and Access System</w:t>
        </w:r>
      </w:hyperlink>
      <w:r w:rsidRPr="00BC08BC">
        <w:rPr>
          <w:bCs/>
        </w:rPr>
        <w:t xml:space="preserve"> </w:t>
      </w:r>
      <w:r w:rsidR="00154125">
        <w:rPr>
          <w:bCs/>
        </w:rPr>
        <w:t xml:space="preserve">(“NCS Archive”) </w:t>
      </w:r>
      <w:r w:rsidRPr="00BC08BC">
        <w:t xml:space="preserve">of the </w:t>
      </w:r>
      <w:r w:rsidRPr="00BC08BC">
        <w:rPr>
          <w:i/>
        </w:rPr>
        <w:t xml:space="preserve">Eunice Kennedy Shriver </w:t>
      </w:r>
      <w:r>
        <w:t>National Institute of Child Health and Human Development at</w:t>
      </w:r>
      <w:r w:rsidRPr="00BC08BC">
        <w:t xml:space="preserve"> the National Institutes of Health</w:t>
      </w:r>
      <w:r>
        <w:t xml:space="preserve">. </w:t>
      </w:r>
    </w:p>
    <w:p w14:paraId="53601231" w14:textId="77777777" w:rsidR="00A40A31" w:rsidRDefault="00A40A31" w:rsidP="00A40A31">
      <w:pPr>
        <w:rPr>
          <w:lang w:val="en"/>
        </w:rPr>
      </w:pPr>
      <w:r>
        <w:t xml:space="preserve">The NCS Vanguard Study (OMB #0925-0593; expiration date 6/30/2017) undertook data collection at 40 study locations from 2009-2014. </w:t>
      </w:r>
      <w:r w:rsidRPr="00D438E6">
        <w:t xml:space="preserve">Data </w:t>
      </w:r>
      <w:r>
        <w:t xml:space="preserve">was collected </w:t>
      </w:r>
      <w:r w:rsidRPr="00D438E6">
        <w:t xml:space="preserve">from </w:t>
      </w:r>
      <w:r>
        <w:t>approximately 6,000 U.S. families. Data collection ceased in December 2014</w:t>
      </w:r>
      <w:r>
        <w:rPr>
          <w:lang w:val="en"/>
        </w:rPr>
        <w:t xml:space="preserve"> and an expert review committee advised the NIH Director to </w:t>
      </w:r>
      <w:r w:rsidRPr="00B22E84">
        <w:t xml:space="preserve">make </w:t>
      </w:r>
      <w:r>
        <w:t xml:space="preserve">the </w:t>
      </w:r>
      <w:r w:rsidRPr="00B22E84">
        <w:t xml:space="preserve">existing Vanguard study data and materials available </w:t>
      </w:r>
      <w:r w:rsidR="00CF6AAF">
        <w:t xml:space="preserve">for use by </w:t>
      </w:r>
      <w:r w:rsidRPr="00B22E84">
        <w:t>interested investigators</w:t>
      </w:r>
      <w:r>
        <w:t xml:space="preserve">.  </w:t>
      </w:r>
    </w:p>
    <w:p w14:paraId="27A6C65B" w14:textId="77777777" w:rsidR="00A40A31" w:rsidRPr="00295BA5" w:rsidRDefault="00A40A31" w:rsidP="00A40A31">
      <w:pPr>
        <w:rPr>
          <w:highlight w:val="yellow"/>
        </w:rPr>
      </w:pPr>
      <w:r w:rsidRPr="00295BA5">
        <w:rPr>
          <w:highlight w:val="yellow"/>
          <w:lang w:val="en"/>
        </w:rPr>
        <w:t xml:space="preserve">In </w:t>
      </w:r>
      <w:r w:rsidRPr="00295BA5">
        <w:rPr>
          <w:highlight w:val="yellow"/>
        </w:rPr>
        <w:t xml:space="preserve">February 2016 the NCS </w:t>
      </w:r>
      <w:r w:rsidR="00154125" w:rsidRPr="00295BA5">
        <w:rPr>
          <w:highlight w:val="yellow"/>
        </w:rPr>
        <w:t xml:space="preserve">received </w:t>
      </w:r>
      <w:r w:rsidRPr="00295BA5">
        <w:rPr>
          <w:highlight w:val="yellow"/>
        </w:rPr>
        <w:t xml:space="preserve">OMB approval to collect information from researchers who seek access to the NCS Vanguard data which is housed securely in the NCS Archive, so that researchers may be allowed access to the data </w:t>
      </w:r>
      <w:r w:rsidR="00154125" w:rsidRPr="00295BA5">
        <w:rPr>
          <w:highlight w:val="yellow"/>
        </w:rPr>
        <w:t xml:space="preserve">in </w:t>
      </w:r>
      <w:r w:rsidRPr="00295BA5">
        <w:rPr>
          <w:highlight w:val="yellow"/>
        </w:rPr>
        <w:t xml:space="preserve">a secure </w:t>
      </w:r>
      <w:r w:rsidR="00154125" w:rsidRPr="00295BA5">
        <w:rPr>
          <w:highlight w:val="yellow"/>
        </w:rPr>
        <w:t xml:space="preserve">virtual </w:t>
      </w:r>
      <w:r w:rsidRPr="00295BA5">
        <w:rPr>
          <w:highlight w:val="yellow"/>
        </w:rPr>
        <w:t>data enclave.</w:t>
      </w:r>
      <w:r w:rsidRPr="00295BA5" w:rsidDel="00287EE7">
        <w:rPr>
          <w:highlight w:val="yellow"/>
        </w:rPr>
        <w:t xml:space="preserve"> </w:t>
      </w:r>
      <w:r w:rsidRPr="00295BA5">
        <w:rPr>
          <w:highlight w:val="yellow"/>
        </w:rPr>
        <w:t>A significant potential public benefit to sharing NCS Vanguard Study data with a broader audience was anticipated</w:t>
      </w:r>
      <w:r w:rsidR="00154125" w:rsidRPr="00295BA5">
        <w:rPr>
          <w:highlight w:val="yellow"/>
        </w:rPr>
        <w:t xml:space="preserve"> initially, and o</w:t>
      </w:r>
      <w:r w:rsidRPr="00295BA5">
        <w:rPr>
          <w:highlight w:val="yellow"/>
        </w:rPr>
        <w:t xml:space="preserve">ne example of </w:t>
      </w:r>
      <w:r w:rsidR="00154125" w:rsidRPr="00295BA5">
        <w:rPr>
          <w:highlight w:val="yellow"/>
        </w:rPr>
        <w:t xml:space="preserve">the realization of </w:t>
      </w:r>
      <w:r w:rsidRPr="00295BA5">
        <w:rPr>
          <w:highlight w:val="yellow"/>
        </w:rPr>
        <w:t xml:space="preserve">such benefit has been use of the NCS Vanguard data to generate over 40 scientific </w:t>
      </w:r>
      <w:hyperlink r:id="rId12" w:history="1">
        <w:r w:rsidRPr="00295BA5">
          <w:rPr>
            <w:rStyle w:val="Hyperlink"/>
            <w:highlight w:val="yellow"/>
          </w:rPr>
          <w:t>publications</w:t>
        </w:r>
      </w:hyperlink>
      <w:r w:rsidRPr="00295BA5">
        <w:rPr>
          <w:highlight w:val="yellow"/>
        </w:rPr>
        <w:t xml:space="preserve"> to date.  In addition to NCS data use by researchers for publications and presentations, </w:t>
      </w:r>
      <w:r w:rsidR="00FC7C16" w:rsidRPr="00295BA5">
        <w:rPr>
          <w:highlight w:val="yellow"/>
        </w:rPr>
        <w:t xml:space="preserve">NCS </w:t>
      </w:r>
      <w:r w:rsidRPr="00295BA5">
        <w:rPr>
          <w:highlight w:val="yellow"/>
        </w:rPr>
        <w:t xml:space="preserve">data have been used in a variety of other ways to increase opportunities for </w:t>
      </w:r>
      <w:hyperlink r:id="rId13" w:history="1">
        <w:r w:rsidRPr="00295BA5">
          <w:rPr>
            <w:rStyle w:val="Hyperlink"/>
            <w:highlight w:val="yellow"/>
          </w:rPr>
          <w:t>research</w:t>
        </w:r>
      </w:hyperlink>
      <w:r w:rsidRPr="00295BA5">
        <w:rPr>
          <w:highlight w:val="yellow"/>
        </w:rPr>
        <w:t xml:space="preserve"> and </w:t>
      </w:r>
      <w:hyperlink r:id="rId14" w:history="1">
        <w:r w:rsidRPr="00295BA5">
          <w:rPr>
            <w:rStyle w:val="Hyperlink"/>
            <w:highlight w:val="yellow"/>
          </w:rPr>
          <w:t>teaching</w:t>
        </w:r>
      </w:hyperlink>
      <w:r w:rsidRPr="00295BA5">
        <w:rPr>
          <w:highlight w:val="yellow"/>
        </w:rPr>
        <w:t xml:space="preserve">.      </w:t>
      </w:r>
    </w:p>
    <w:p w14:paraId="0ED3D2CD" w14:textId="77777777" w:rsidR="000F3043" w:rsidRPr="00E35DD1" w:rsidRDefault="000F3043" w:rsidP="000F3043">
      <w:pPr>
        <w:pStyle w:val="P1-StandPara"/>
        <w:tabs>
          <w:tab w:val="left" w:pos="720"/>
          <w:tab w:val="right" w:leader="dot" w:pos="9504"/>
        </w:tabs>
        <w:spacing w:before="120" w:after="120"/>
        <w:ind w:firstLine="0"/>
        <w:rPr>
          <w:rFonts w:asciiTheme="minorHAnsi" w:hAnsiTheme="minorHAnsi"/>
          <w:b/>
          <w:szCs w:val="22"/>
        </w:rPr>
      </w:pPr>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p>
    <w:p w14:paraId="6F4AC95A" w14:textId="77777777" w:rsidR="0011360D" w:rsidRPr="00295BA5" w:rsidRDefault="0011360D" w:rsidP="0011360D">
      <w:pPr>
        <w:autoSpaceDE w:val="0"/>
        <w:autoSpaceDN w:val="0"/>
        <w:adjustRightInd w:val="0"/>
        <w:rPr>
          <w:color w:val="000000"/>
          <w:highlight w:val="yellow"/>
        </w:rPr>
      </w:pPr>
      <w:r w:rsidRPr="00295BA5">
        <w:rPr>
          <w:color w:val="000000"/>
          <w:highlight w:val="yellow"/>
        </w:rPr>
        <w:t xml:space="preserve">NICHD requires institutional and investigator contact information from users of the NCS Data and Sample Archive and Access System (NCS Archive).  This information collected from potential data users is </w:t>
      </w:r>
      <w:r w:rsidR="00033BDA" w:rsidRPr="00295BA5">
        <w:rPr>
          <w:color w:val="000000"/>
          <w:highlight w:val="yellow"/>
        </w:rPr>
        <w:t xml:space="preserve">necessary </w:t>
      </w:r>
      <w:r w:rsidRPr="00295BA5">
        <w:rPr>
          <w:color w:val="000000"/>
          <w:highlight w:val="yellow"/>
        </w:rPr>
        <w:t xml:space="preserve">to </w:t>
      </w:r>
      <w:r w:rsidR="00F75A64" w:rsidRPr="00295BA5">
        <w:rPr>
          <w:color w:val="000000"/>
          <w:highlight w:val="yellow"/>
        </w:rPr>
        <w:t xml:space="preserve">fulfill </w:t>
      </w:r>
      <w:r w:rsidR="00AA2632" w:rsidRPr="00295BA5">
        <w:rPr>
          <w:color w:val="000000"/>
          <w:highlight w:val="yellow"/>
        </w:rPr>
        <w:t xml:space="preserve">the </w:t>
      </w:r>
      <w:r w:rsidR="00F75A64" w:rsidRPr="00295BA5">
        <w:rPr>
          <w:color w:val="000000"/>
          <w:highlight w:val="yellow"/>
        </w:rPr>
        <w:t xml:space="preserve">requirements </w:t>
      </w:r>
      <w:r w:rsidR="00AA2632" w:rsidRPr="00295BA5">
        <w:rPr>
          <w:color w:val="000000"/>
          <w:highlight w:val="yellow"/>
        </w:rPr>
        <w:t xml:space="preserve">of </w:t>
      </w:r>
      <w:r w:rsidR="00F75A64" w:rsidRPr="00295BA5">
        <w:rPr>
          <w:color w:val="000000"/>
          <w:highlight w:val="yellow"/>
        </w:rPr>
        <w:t xml:space="preserve">their proposed research projects, </w:t>
      </w:r>
      <w:r w:rsidR="00D11E65" w:rsidRPr="00295BA5">
        <w:rPr>
          <w:color w:val="000000"/>
          <w:highlight w:val="yellow"/>
        </w:rPr>
        <w:t xml:space="preserve">ensure compliance with </w:t>
      </w:r>
      <w:r w:rsidR="00390BA3" w:rsidRPr="00295BA5">
        <w:rPr>
          <w:color w:val="000000"/>
          <w:highlight w:val="yellow"/>
        </w:rPr>
        <w:t>D</w:t>
      </w:r>
      <w:r w:rsidR="00683DF9" w:rsidRPr="00295BA5">
        <w:rPr>
          <w:color w:val="000000"/>
          <w:highlight w:val="yellow"/>
        </w:rPr>
        <w:t xml:space="preserve">epartment of Health and Human Services </w:t>
      </w:r>
      <w:r w:rsidR="00D11E65" w:rsidRPr="00295BA5">
        <w:rPr>
          <w:color w:val="000000"/>
          <w:highlight w:val="yellow"/>
        </w:rPr>
        <w:t xml:space="preserve">regulations for the protection of human subjects in research (45 CFR 46) and the Common Rule (45 CFR 46 Subpart A), </w:t>
      </w:r>
      <w:r w:rsidR="00F75A64" w:rsidRPr="00295BA5">
        <w:rPr>
          <w:color w:val="000000"/>
          <w:highlight w:val="yellow"/>
        </w:rPr>
        <w:t xml:space="preserve">and to </w:t>
      </w:r>
      <w:r w:rsidRPr="00295BA5">
        <w:rPr>
          <w:color w:val="000000"/>
          <w:highlight w:val="yellow"/>
        </w:rPr>
        <w:t xml:space="preserve">document, track, and monitor the use of the NCS Archive, which provides opportunities for qualified researchers to use data and samples collected by the NCS Vanguard phase, for approved research projects. There is no plan to publish the data collected under this request other than to post on the NCS Archive website the titles of approved research projects together with project investigators’ institutional affiliations.    </w:t>
      </w:r>
    </w:p>
    <w:p w14:paraId="231B7B75" w14:textId="77777777" w:rsidR="00234E8B" w:rsidRPr="007B60BE" w:rsidRDefault="00234E8B" w:rsidP="00234E8B">
      <w:pPr>
        <w:autoSpaceDE w:val="0"/>
        <w:autoSpaceDN w:val="0"/>
        <w:adjustRightInd w:val="0"/>
        <w:rPr>
          <w:color w:val="000000"/>
        </w:rPr>
      </w:pPr>
      <w:bookmarkStart w:id="1" w:name="_Toc443881743"/>
      <w:bookmarkStart w:id="2" w:name="_Toc451592232"/>
      <w:bookmarkStart w:id="3" w:name="_Toc5610273"/>
      <w:bookmarkStart w:id="4" w:name="_Toc99178779"/>
      <w:r w:rsidRPr="005B3309">
        <w:rPr>
          <w:color w:val="000000"/>
        </w:rPr>
        <w:t xml:space="preserve">Authority for the collection of the information requested from the submitting investigators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w:t>
      </w:r>
      <w:hyperlink r:id="rId15" w:anchor="page=4" w:history="1">
        <w:r w:rsidRPr="005B3309">
          <w:rPr>
            <w:rStyle w:val="Hyperlink"/>
          </w:rPr>
          <w:t>Privacy Act System of Record Notice 09-25-0200</w:t>
        </w:r>
      </w:hyperlink>
      <w:r w:rsidRPr="005B3309">
        <w:rPr>
          <w:color w:val="000000"/>
        </w:rPr>
        <w:t xml:space="preserve"> covering “Clinical, Basic and Population-based Research Studies of the National Institutes of Health (NIH), HHS/NIH/OD.”</w:t>
      </w:r>
      <w:r w:rsidRPr="0027411E">
        <w:rPr>
          <w:color w:val="000000"/>
        </w:rPr>
        <w:t xml:space="preserve">   </w:t>
      </w:r>
    </w:p>
    <w:p w14:paraId="1249A5BD" w14:textId="77777777" w:rsidR="000F3043" w:rsidRPr="00E35DD1" w:rsidRDefault="000F3043" w:rsidP="000F3043">
      <w:pPr>
        <w:pStyle w:val="Heading2"/>
        <w:spacing w:after="0" w:line="480" w:lineRule="auto"/>
        <w:ind w:left="0" w:firstLine="0"/>
        <w:rPr>
          <w:rFonts w:asciiTheme="minorHAnsi" w:hAnsiTheme="minorHAnsi"/>
          <w:szCs w:val="22"/>
        </w:rPr>
      </w:pPr>
      <w:r w:rsidRPr="00E35DD1">
        <w:rPr>
          <w:rFonts w:asciiTheme="minorHAnsi" w:hAnsiTheme="minorHAnsi"/>
          <w:szCs w:val="22"/>
        </w:rPr>
        <w:t>A.2    Purpose and Use of the Information</w:t>
      </w:r>
      <w:bookmarkEnd w:id="1"/>
      <w:bookmarkEnd w:id="2"/>
      <w:bookmarkEnd w:id="3"/>
      <w:bookmarkEnd w:id="4"/>
      <w:r w:rsidRPr="00E35DD1">
        <w:rPr>
          <w:rFonts w:asciiTheme="minorHAnsi" w:hAnsiTheme="minorHAnsi"/>
          <w:szCs w:val="22"/>
        </w:rPr>
        <w:t xml:space="preserve"> Collection</w:t>
      </w:r>
    </w:p>
    <w:p w14:paraId="2E67ED8C" w14:textId="77777777" w:rsidR="0011360D" w:rsidRDefault="0011360D" w:rsidP="0011360D">
      <w:pPr>
        <w:autoSpaceDE w:val="0"/>
        <w:autoSpaceDN w:val="0"/>
        <w:adjustRightInd w:val="0"/>
        <w:rPr>
          <w:color w:val="000000"/>
        </w:rPr>
      </w:pPr>
      <w:r>
        <w:rPr>
          <w:color w:val="000000"/>
        </w:rPr>
        <w:t xml:space="preserve">This is a request for generic OMB approval for three years to allow for the collection of information from potential archive users.  </w:t>
      </w:r>
    </w:p>
    <w:p w14:paraId="6410DBF0" w14:textId="5A15062E" w:rsidR="009E1D23" w:rsidRDefault="009E1D23" w:rsidP="009E1D23">
      <w:r w:rsidRPr="003362A5">
        <w:t xml:space="preserve">The primary use of this </w:t>
      </w:r>
      <w:r>
        <w:t xml:space="preserve">information collected from potential data users is </w:t>
      </w:r>
      <w:r w:rsidR="00E83125">
        <w:t>t</w:t>
      </w:r>
      <w:r w:rsidR="00DC354F" w:rsidRPr="0011360D">
        <w:rPr>
          <w:color w:val="000000"/>
        </w:rPr>
        <w:t xml:space="preserve">o </w:t>
      </w:r>
      <w:r w:rsidR="00DC354F">
        <w:rPr>
          <w:color w:val="000000"/>
        </w:rPr>
        <w:t xml:space="preserve">fulfill requirements necessary to conduct their proposed research projects, ensure </w:t>
      </w:r>
      <w:r w:rsidR="00E83125">
        <w:rPr>
          <w:color w:val="000000"/>
        </w:rPr>
        <w:t xml:space="preserve">regulatory </w:t>
      </w:r>
      <w:r w:rsidR="00DC354F">
        <w:rPr>
          <w:color w:val="000000"/>
        </w:rPr>
        <w:t>compliance</w:t>
      </w:r>
      <w:r w:rsidR="00E83125">
        <w:rPr>
          <w:color w:val="000000"/>
        </w:rPr>
        <w:t>, and</w:t>
      </w:r>
      <w:r w:rsidR="00DC354F">
        <w:rPr>
          <w:color w:val="000000"/>
        </w:rPr>
        <w:t xml:space="preserve"> </w:t>
      </w:r>
      <w:r>
        <w:t>to</w:t>
      </w:r>
      <w:r w:rsidRPr="003362A5">
        <w:t xml:space="preserve"> document, track, </w:t>
      </w:r>
      <w:r>
        <w:t xml:space="preserve">and </w:t>
      </w:r>
      <w:r w:rsidRPr="003362A5">
        <w:t xml:space="preserve">monitor the use of the NCS </w:t>
      </w:r>
      <w:r>
        <w:t xml:space="preserve">Archive. The Data </w:t>
      </w:r>
      <w:r w:rsidR="002C41F3">
        <w:t xml:space="preserve">User Agreement </w:t>
      </w:r>
      <w:r>
        <w:t>Form (Attachment A.1) requests contact information including name, email, institution, address and phone which is required for the registered website. This is the first point where information is requested. The Data Request Form (Attachment A.2) and/or S</w:t>
      </w:r>
      <w:r w:rsidR="00495BC0">
        <w:t>ample</w:t>
      </w:r>
      <w:r>
        <w:t xml:space="preserve"> and Data Request Form (Attachment A.3) request information about the proposed project, including Requestor Information, Recipient Institution Information, and other details about the type of information or number and type of samples requested. The Research Materials Distribution Agreement (Attachment A.4) outlines the terms and conditions for use of the Research Materials. These attachments are required for the researcher portal level of access. This form requires signature of the requesting investigator and the authorized representative of the recipient institution. </w:t>
      </w:r>
      <w:r w:rsidRPr="00031081">
        <w:t xml:space="preserve">This </w:t>
      </w:r>
      <w:r>
        <w:t xml:space="preserve">information </w:t>
      </w:r>
      <w:r w:rsidR="00683DF9">
        <w:t xml:space="preserve">is required </w:t>
      </w:r>
      <w:r w:rsidR="00683DF9">
        <w:rPr>
          <w:color w:val="000000"/>
        </w:rPr>
        <w:t xml:space="preserve">fulfill the requirements of the proposed research projects, ensure compliance with Department of Health and Human Services </w:t>
      </w:r>
      <w:r w:rsidR="00683DF9" w:rsidRPr="00D11E65">
        <w:rPr>
          <w:color w:val="000000"/>
        </w:rPr>
        <w:t>regulations for the protection of human subjects in research (45 CFR 46)</w:t>
      </w:r>
      <w:r w:rsidR="00683DF9">
        <w:rPr>
          <w:color w:val="000000"/>
        </w:rPr>
        <w:t xml:space="preserve"> and</w:t>
      </w:r>
      <w:r w:rsidR="00683DF9" w:rsidRPr="00D11E65">
        <w:rPr>
          <w:color w:val="000000"/>
        </w:rPr>
        <w:t xml:space="preserve"> the Common Rule (45 CFR 46 Subpart A</w:t>
      </w:r>
      <w:r w:rsidR="00683DF9">
        <w:rPr>
          <w:color w:val="000000"/>
        </w:rPr>
        <w:t xml:space="preserve">), and to </w:t>
      </w:r>
      <w:r w:rsidR="00683DF9" w:rsidRPr="0011360D">
        <w:rPr>
          <w:color w:val="000000"/>
        </w:rPr>
        <w:t>document, track, and monitor the use of the NCS Archive</w:t>
      </w:r>
      <w:r w:rsidR="00683DF9">
        <w:rPr>
          <w:color w:val="000000"/>
        </w:rPr>
        <w:t>.  In addition</w:t>
      </w:r>
      <w:r w:rsidR="007001AC">
        <w:rPr>
          <w:color w:val="000000"/>
        </w:rPr>
        <w:t>,</w:t>
      </w:r>
      <w:r w:rsidR="00683DF9">
        <w:rPr>
          <w:color w:val="000000"/>
        </w:rPr>
        <w:t xml:space="preserve"> the information </w:t>
      </w:r>
      <w:r>
        <w:t>will help</w:t>
      </w:r>
      <w:r w:rsidRPr="00031081">
        <w:t xml:space="preserve"> </w:t>
      </w:r>
      <w:r>
        <w:t>NIH</w:t>
      </w:r>
      <w:r w:rsidRPr="00031081">
        <w:t xml:space="preserve"> </w:t>
      </w:r>
      <w:r>
        <w:t xml:space="preserve">better </w:t>
      </w:r>
      <w:r w:rsidRPr="00031081">
        <w:t xml:space="preserve">understand the use of </w:t>
      </w:r>
      <w:r>
        <w:t xml:space="preserve">archived data and samples by </w:t>
      </w:r>
      <w:r w:rsidRPr="00031081">
        <w:t xml:space="preserve">the research </w:t>
      </w:r>
      <w:r>
        <w:t xml:space="preserve">community. </w:t>
      </w:r>
      <w:r w:rsidRPr="00031081">
        <w:t xml:space="preserve"> </w:t>
      </w:r>
    </w:p>
    <w:p w14:paraId="2C680131" w14:textId="564B90AA" w:rsidR="00C943D1" w:rsidRDefault="00C943D1" w:rsidP="00C943D1">
      <w:r w:rsidRPr="004E4359">
        <w:rPr>
          <w:highlight w:val="yellow"/>
        </w:rPr>
        <w:t xml:space="preserve">As of </w:t>
      </w:r>
      <w:r w:rsidR="00EA564D">
        <w:rPr>
          <w:highlight w:val="yellow"/>
        </w:rPr>
        <w:t>January</w:t>
      </w:r>
      <w:r w:rsidRPr="004E4359">
        <w:rPr>
          <w:highlight w:val="yellow"/>
        </w:rPr>
        <w:t xml:space="preserve"> 201</w:t>
      </w:r>
      <w:r w:rsidR="00EA564D">
        <w:rPr>
          <w:highlight w:val="yellow"/>
        </w:rPr>
        <w:t>9</w:t>
      </w:r>
      <w:r w:rsidRPr="004E4359">
        <w:rPr>
          <w:highlight w:val="yellow"/>
        </w:rPr>
        <w:t xml:space="preserve">, the NCS Archive has been visited over </w:t>
      </w:r>
      <w:r w:rsidR="00EA564D" w:rsidRPr="004A14FA">
        <w:rPr>
          <w:highlight w:val="yellow"/>
        </w:rPr>
        <w:t>16,474</w:t>
      </w:r>
      <w:r w:rsidR="00EA564D">
        <w:t xml:space="preserve"> </w:t>
      </w:r>
      <w:r w:rsidRPr="004E4359">
        <w:rPr>
          <w:highlight w:val="yellow"/>
        </w:rPr>
        <w:t xml:space="preserve">times and has </w:t>
      </w:r>
      <w:r w:rsidR="00EA564D">
        <w:rPr>
          <w:highlight w:val="yellow"/>
        </w:rPr>
        <w:t>441</w:t>
      </w:r>
      <w:r w:rsidRPr="004E4359">
        <w:rPr>
          <w:highlight w:val="yellow"/>
        </w:rPr>
        <w:t xml:space="preserve"> registered users from over 35 countries across six continents who have completed a registration process for access to downloadable files, data tools, and other materials that are located on restricted access portions of the site.  </w:t>
      </w:r>
      <w:r w:rsidRPr="004A14FA">
        <w:rPr>
          <w:highlight w:val="yellow"/>
        </w:rPr>
        <w:t xml:space="preserve">More than </w:t>
      </w:r>
      <w:r w:rsidR="004A14FA" w:rsidRPr="004A14FA">
        <w:rPr>
          <w:highlight w:val="yellow"/>
        </w:rPr>
        <w:t xml:space="preserve">10,086 </w:t>
      </w:r>
      <w:r w:rsidRPr="004A14FA">
        <w:rPr>
          <w:highlight w:val="yellow"/>
        </w:rPr>
        <w:t xml:space="preserve"> cumulative total downloads and </w:t>
      </w:r>
      <w:r w:rsidR="004A14FA" w:rsidRPr="004A14FA">
        <w:rPr>
          <w:highlight w:val="yellow"/>
        </w:rPr>
        <w:t xml:space="preserve">87,214 </w:t>
      </w:r>
      <w:r w:rsidRPr="004A14FA">
        <w:rPr>
          <w:highlight w:val="yellow"/>
        </w:rPr>
        <w:t xml:space="preserve">pageviews have been requested. Downloads average approximately 12 documents per workday.  In the </w:t>
      </w:r>
      <w:r w:rsidRPr="004E4359">
        <w:rPr>
          <w:highlight w:val="yellow"/>
        </w:rPr>
        <w:t xml:space="preserve">last three months, the Archive had 2,498 visits and 1,527 downloads.  Overall </w:t>
      </w:r>
      <w:r w:rsidRPr="004E4359">
        <w:rPr>
          <w:rFonts w:ascii="Times New Roman" w:hAnsi="Times New Roman"/>
          <w:highlight w:val="yellow"/>
        </w:rPr>
        <w:t xml:space="preserve">demand averages </w:t>
      </w:r>
      <w:r w:rsidRPr="004E4359">
        <w:rPr>
          <w:highlight w:val="yellow"/>
        </w:rPr>
        <w:t>1</w:t>
      </w:r>
      <w:r w:rsidRPr="004E4359">
        <w:rPr>
          <w:rFonts w:ascii="Times New Roman" w:hAnsi="Times New Roman"/>
          <w:highlight w:val="yellow"/>
        </w:rPr>
        <w:t>00-</w:t>
      </w:r>
      <w:r w:rsidRPr="004E4359">
        <w:rPr>
          <w:highlight w:val="yellow"/>
        </w:rPr>
        <w:t>2</w:t>
      </w:r>
      <w:r w:rsidRPr="004E4359">
        <w:rPr>
          <w:rFonts w:ascii="Times New Roman" w:hAnsi="Times New Roman"/>
          <w:highlight w:val="yellow"/>
        </w:rPr>
        <w:t>00 visits per week</w:t>
      </w:r>
      <w:r w:rsidRPr="004A14FA">
        <w:rPr>
          <w:rFonts w:ascii="Times New Roman" w:hAnsi="Times New Roman"/>
          <w:highlight w:val="yellow"/>
        </w:rPr>
        <w:t xml:space="preserve">.  </w:t>
      </w:r>
      <w:r w:rsidR="004A14FA" w:rsidRPr="004A14FA">
        <w:rPr>
          <w:rFonts w:ascii="Times New Roman" w:hAnsi="Times New Roman"/>
          <w:highlight w:val="yellow"/>
        </w:rPr>
        <w:t>In addition, 68 registered users have requested data and/or specimens from the archive.</w:t>
      </w:r>
    </w:p>
    <w:p w14:paraId="26F94D55" w14:textId="77777777" w:rsidR="00A00CF8" w:rsidRPr="00E35DD1" w:rsidRDefault="00A00CF8" w:rsidP="00A00CF8">
      <w:pPr>
        <w:rPr>
          <w:b/>
          <w:color w:val="000000" w:themeColor="text1"/>
        </w:rPr>
      </w:pPr>
      <w:r w:rsidRPr="00E35DD1">
        <w:rPr>
          <w:b/>
          <w:color w:val="000000" w:themeColor="text1"/>
        </w:rPr>
        <w:t>A.3     Use of Information Technology and Burden Reduction</w:t>
      </w:r>
    </w:p>
    <w:p w14:paraId="4518780A" w14:textId="77777777" w:rsidR="009E1D23" w:rsidRPr="009E1D23" w:rsidRDefault="009E1D23" w:rsidP="009E1D23">
      <w:pPr>
        <w:rPr>
          <w:color w:val="000000" w:themeColor="text1"/>
        </w:rPr>
      </w:pPr>
      <w:r w:rsidRPr="009E1D23">
        <w:rPr>
          <w:color w:val="000000" w:themeColor="text1"/>
        </w:rPr>
        <w:t xml:space="preserve">The NCS Archive </w:t>
      </w:r>
      <w:r>
        <w:rPr>
          <w:color w:val="000000" w:themeColor="text1"/>
        </w:rPr>
        <w:t xml:space="preserve">relies </w:t>
      </w:r>
      <w:r w:rsidRPr="009E1D23">
        <w:rPr>
          <w:color w:val="000000" w:themeColor="text1"/>
        </w:rPr>
        <w:t xml:space="preserve">on a web-based portal that enables investigators to request data access and obtain data electronically. The NCS Archive will allow for access to electronic data files and biological and environmental samples. </w:t>
      </w:r>
    </w:p>
    <w:p w14:paraId="56C20062" w14:textId="77777777" w:rsidR="009E1D23" w:rsidRPr="009E1D23" w:rsidRDefault="009E1D23" w:rsidP="009E1D23">
      <w:pPr>
        <w:rPr>
          <w:color w:val="000000" w:themeColor="text1"/>
        </w:rPr>
      </w:pPr>
      <w:r w:rsidRPr="009E1D23">
        <w:rPr>
          <w:color w:val="000000" w:themeColor="text1"/>
        </w:rPr>
        <w:t xml:space="preserve">Data users provide basic contact information and agree to terms and conditions of data and archive use prior to accessing any data. </w:t>
      </w:r>
    </w:p>
    <w:p w14:paraId="6B9586E4" w14:textId="77777777" w:rsidR="009E1D23" w:rsidRPr="009E1D23" w:rsidRDefault="009E1D23" w:rsidP="009E1D23">
      <w:pPr>
        <w:rPr>
          <w:color w:val="000000" w:themeColor="text1"/>
        </w:rPr>
      </w:pPr>
      <w:r w:rsidRPr="009E1D23">
        <w:rPr>
          <w:color w:val="000000" w:themeColor="text1"/>
        </w:rPr>
        <w:t xml:space="preserve">Data users start at the public facing website where they can review limited Study information.  The researcher may register to access additional Study information, access the downloadable metadata files, and to submit a proposal and request for additional study data/elements.  The proposal request may include existing electronic NCS data and/or a request for NCS samples.  If the researcher’s request is approved by the NICHD review committee, the researcher will be given access to a secure virtual workstation in the Researcher Portal and a statistical and data support team member will work with the researcher and make available the requested data.  The support team member can help bring in laboratory result data or extant data as needed.  The researcher will be able to work with NCS data in the secure environment with provided statistical tools.  Once the researcher completes his/her work and is ready to publish, a data reviewer will work to help assure the requested data meets disclosure standards.  </w:t>
      </w:r>
    </w:p>
    <w:p w14:paraId="6264CA1E" w14:textId="77777777" w:rsidR="009E1D23" w:rsidRPr="009E1D23" w:rsidRDefault="009E1D23" w:rsidP="009E1D23">
      <w:pPr>
        <w:rPr>
          <w:color w:val="000000" w:themeColor="text1"/>
        </w:rPr>
      </w:pPr>
      <w:r w:rsidRPr="009E1D23">
        <w:rPr>
          <w:color w:val="000000" w:themeColor="text1"/>
        </w:rPr>
        <w:t xml:space="preserve">The NCS Data Archive </w:t>
      </w:r>
      <w:r>
        <w:rPr>
          <w:color w:val="000000" w:themeColor="text1"/>
        </w:rPr>
        <w:t xml:space="preserve">has </w:t>
      </w:r>
      <w:r w:rsidRPr="009E1D23">
        <w:rPr>
          <w:color w:val="000000" w:themeColor="text1"/>
        </w:rPr>
        <w:t>three components</w:t>
      </w:r>
      <w:r>
        <w:rPr>
          <w:color w:val="000000" w:themeColor="text1"/>
        </w:rPr>
        <w:t>:</w:t>
      </w:r>
      <w:r w:rsidRPr="009E1D23">
        <w:rPr>
          <w:color w:val="000000" w:themeColor="text1"/>
        </w:rPr>
        <w:t xml:space="preserve"> a public website, a</w:t>
      </w:r>
      <w:r w:rsidR="0007275C">
        <w:rPr>
          <w:color w:val="000000" w:themeColor="text1"/>
        </w:rPr>
        <w:t>n</w:t>
      </w:r>
      <w:r w:rsidRPr="009E1D23">
        <w:rPr>
          <w:color w:val="000000" w:themeColor="text1"/>
        </w:rPr>
        <w:t xml:space="preserve"> NCS Registered Website and a secure Researcher Portal. An example screenshot is provided to show NCS branding for the data request forms (Attachment A.5).  The flow diagrams in Figure 1 show the access requirements for the three tiers of access.</w:t>
      </w:r>
    </w:p>
    <w:p w14:paraId="4FAAD350" w14:textId="77777777" w:rsidR="009E1D23" w:rsidRPr="009E1D23" w:rsidRDefault="009E1D23" w:rsidP="009E1D23">
      <w:pPr>
        <w:rPr>
          <w:color w:val="000000" w:themeColor="text1"/>
        </w:rPr>
      </w:pPr>
    </w:p>
    <w:p w14:paraId="67798BE9" w14:textId="77777777" w:rsidR="009E1D23" w:rsidRPr="009E1D23" w:rsidRDefault="009E1D23" w:rsidP="009E1D23">
      <w:pPr>
        <w:rPr>
          <w:color w:val="000000" w:themeColor="text1"/>
        </w:rPr>
      </w:pPr>
      <w:r w:rsidRPr="009E1D23">
        <w:rPr>
          <w:noProof/>
          <w:color w:val="000000" w:themeColor="text1"/>
        </w:rPr>
        <w:drawing>
          <wp:inline distT="0" distB="0" distL="0" distR="0" wp14:anchorId="297D037D" wp14:editId="3BFB8D9B">
            <wp:extent cx="4922520" cy="4743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22520" cy="4743450"/>
                    </a:xfrm>
                    <a:prstGeom prst="rect">
                      <a:avLst/>
                    </a:prstGeom>
                    <a:noFill/>
                  </pic:spPr>
                </pic:pic>
              </a:graphicData>
            </a:graphic>
          </wp:inline>
        </w:drawing>
      </w:r>
    </w:p>
    <w:p w14:paraId="3CF96068" w14:textId="77777777" w:rsidR="009E1D23" w:rsidRPr="009E1D23" w:rsidRDefault="009E1D23" w:rsidP="009E1D23">
      <w:pPr>
        <w:rPr>
          <w:color w:val="000000" w:themeColor="text1"/>
        </w:rPr>
      </w:pPr>
    </w:p>
    <w:p w14:paraId="45F44BCD" w14:textId="77777777" w:rsidR="009E1D23" w:rsidRPr="009E1D23" w:rsidRDefault="009E1D23" w:rsidP="009E1D23">
      <w:pPr>
        <w:rPr>
          <w:color w:val="000000" w:themeColor="text1"/>
        </w:rPr>
      </w:pPr>
      <w:r w:rsidRPr="009E1D23">
        <w:rPr>
          <w:b/>
          <w:color w:val="000000" w:themeColor="text1"/>
        </w:rPr>
        <w:t>Figure 1</w:t>
      </w:r>
      <w:r w:rsidRPr="009E1D23">
        <w:rPr>
          <w:color w:val="000000" w:themeColor="text1"/>
        </w:rPr>
        <w:t xml:space="preserve">.  Access requirements for data in the three proposed tiers: Public Website, Registered Website, and Researcher Portal.  </w:t>
      </w:r>
    </w:p>
    <w:p w14:paraId="480CBF07" w14:textId="77777777" w:rsidR="00D72813" w:rsidRDefault="00D72813" w:rsidP="009E1D23">
      <w:pPr>
        <w:rPr>
          <w:color w:val="000000" w:themeColor="text1"/>
        </w:rPr>
      </w:pPr>
    </w:p>
    <w:p w14:paraId="2C095B4B" w14:textId="77777777" w:rsidR="009E1D23" w:rsidRDefault="009E1D23" w:rsidP="009E1D23">
      <w:pPr>
        <w:rPr>
          <w:color w:val="000000" w:themeColor="text1"/>
        </w:rPr>
      </w:pPr>
      <w:r w:rsidRPr="009E1D23">
        <w:rPr>
          <w:color w:val="000000" w:themeColor="text1"/>
        </w:rPr>
        <w:t>Access to the Public Website does not require any information from the user.  To access the downloadable files a user must create a user account and complete Data User Training (Attachment A.6).  To access microdata the user must complete the same user account creation and Data User Training (if not already completed), then complete a Data Request form followed by a Research Materials Distribution Agreement.  Specimen requests are similar, starting with a user account, Data User Training then a Sample and Data Request form followed by the Research Materials Distribution Agreement.</w:t>
      </w:r>
      <w:r w:rsidR="00267E55">
        <w:rPr>
          <w:color w:val="000000" w:themeColor="text1"/>
        </w:rPr>
        <w:t xml:space="preserve">  </w:t>
      </w:r>
    </w:p>
    <w:p w14:paraId="7E00075C" w14:textId="77777777" w:rsidR="00267E55" w:rsidRPr="009E1D23" w:rsidRDefault="00267E55" w:rsidP="009E1D23">
      <w:pPr>
        <w:rPr>
          <w:color w:val="000000" w:themeColor="text1"/>
        </w:rPr>
      </w:pPr>
      <w:r w:rsidRPr="00754E37">
        <w:rPr>
          <w:color w:val="000000" w:themeColor="text1"/>
          <w:highlight w:val="yellow"/>
        </w:rPr>
        <w:t xml:space="preserve">The </w:t>
      </w:r>
      <w:r w:rsidR="005301BB" w:rsidRPr="00754E37">
        <w:rPr>
          <w:color w:val="000000" w:themeColor="text1"/>
          <w:highlight w:val="yellow"/>
        </w:rPr>
        <w:t xml:space="preserve">NICHD Chief Information Officer </w:t>
      </w:r>
      <w:r w:rsidR="00A60863" w:rsidRPr="00754E37">
        <w:rPr>
          <w:color w:val="000000" w:themeColor="text1"/>
          <w:highlight w:val="yellow"/>
        </w:rPr>
        <w:t xml:space="preserve">issued </w:t>
      </w:r>
      <w:r w:rsidR="005301BB" w:rsidRPr="00754E37">
        <w:rPr>
          <w:color w:val="000000" w:themeColor="text1"/>
          <w:highlight w:val="yellow"/>
        </w:rPr>
        <w:t xml:space="preserve">information system security accreditation and full </w:t>
      </w:r>
      <w:r w:rsidRPr="00754E37">
        <w:rPr>
          <w:color w:val="000000" w:themeColor="text1"/>
          <w:highlight w:val="yellow"/>
        </w:rPr>
        <w:t xml:space="preserve">Authority </w:t>
      </w:r>
      <w:r w:rsidR="00DD3E70" w:rsidRPr="00754E37">
        <w:rPr>
          <w:color w:val="000000" w:themeColor="text1"/>
          <w:highlight w:val="yellow"/>
        </w:rPr>
        <w:t>t</w:t>
      </w:r>
      <w:r w:rsidRPr="00754E37">
        <w:rPr>
          <w:color w:val="000000" w:themeColor="text1"/>
          <w:highlight w:val="yellow"/>
        </w:rPr>
        <w:t xml:space="preserve">o Operate </w:t>
      </w:r>
      <w:r w:rsidR="00A60863" w:rsidRPr="00754E37">
        <w:rPr>
          <w:color w:val="000000" w:themeColor="text1"/>
          <w:highlight w:val="yellow"/>
        </w:rPr>
        <w:t xml:space="preserve">on January 12, 2016 </w:t>
      </w:r>
      <w:r w:rsidR="005301BB" w:rsidRPr="00754E37">
        <w:rPr>
          <w:color w:val="000000" w:themeColor="text1"/>
          <w:highlight w:val="yellow"/>
        </w:rPr>
        <w:t xml:space="preserve">for the NCS Archive, </w:t>
      </w:r>
      <w:r w:rsidRPr="00754E37">
        <w:rPr>
          <w:color w:val="000000" w:themeColor="text1"/>
          <w:highlight w:val="yellow"/>
        </w:rPr>
        <w:t xml:space="preserve">the </w:t>
      </w:r>
      <w:r w:rsidR="005301BB" w:rsidRPr="00754E37">
        <w:rPr>
          <w:color w:val="000000" w:themeColor="text1"/>
          <w:highlight w:val="yellow"/>
        </w:rPr>
        <w:t xml:space="preserve">security assessment </w:t>
      </w:r>
      <w:r w:rsidRPr="00754E37">
        <w:rPr>
          <w:color w:val="000000" w:themeColor="text1"/>
          <w:highlight w:val="yellow"/>
        </w:rPr>
        <w:t>for which include</w:t>
      </w:r>
      <w:r w:rsidR="005301BB" w:rsidRPr="00754E37">
        <w:rPr>
          <w:color w:val="000000" w:themeColor="text1"/>
          <w:highlight w:val="yellow"/>
        </w:rPr>
        <w:t xml:space="preserve">d </w:t>
      </w:r>
      <w:r w:rsidRPr="00754E37">
        <w:rPr>
          <w:color w:val="000000" w:themeColor="text1"/>
          <w:highlight w:val="yellow"/>
        </w:rPr>
        <w:t>a Privacy Impact Assessment.</w:t>
      </w:r>
      <w:r>
        <w:rPr>
          <w:color w:val="000000" w:themeColor="text1"/>
        </w:rPr>
        <w:t xml:space="preserve">  </w:t>
      </w:r>
    </w:p>
    <w:p w14:paraId="1BB51AFA" w14:textId="77777777" w:rsidR="00685B30" w:rsidRPr="00E35DD1" w:rsidRDefault="00685B30" w:rsidP="00685B30">
      <w:pPr>
        <w:pStyle w:val="Heading2"/>
        <w:spacing w:after="0" w:line="480" w:lineRule="auto"/>
        <w:ind w:left="720" w:hanging="720"/>
        <w:rPr>
          <w:rFonts w:asciiTheme="minorHAnsi" w:hAnsiTheme="minorHAnsi"/>
          <w:szCs w:val="22"/>
        </w:rPr>
      </w:pPr>
      <w:bookmarkStart w:id="5" w:name="_Toc443881745"/>
      <w:bookmarkStart w:id="6" w:name="_Toc451592234"/>
      <w:bookmarkStart w:id="7" w:name="_Toc5610275"/>
      <w:bookmarkStart w:id="8" w:name="_Toc99178781"/>
      <w:r w:rsidRPr="00E35DD1">
        <w:rPr>
          <w:rFonts w:asciiTheme="minorHAnsi" w:hAnsiTheme="minorHAnsi"/>
          <w:szCs w:val="22"/>
        </w:rPr>
        <w:t>A.4</w:t>
      </w:r>
      <w:r w:rsidRPr="00E35DD1">
        <w:rPr>
          <w:rFonts w:asciiTheme="minorHAnsi" w:hAnsiTheme="minorHAnsi"/>
          <w:szCs w:val="22"/>
        </w:rPr>
        <w:tab/>
        <w:t>Efforts to Identify Duplication and Use of Similar Information</w:t>
      </w:r>
      <w:bookmarkEnd w:id="5"/>
      <w:bookmarkEnd w:id="6"/>
      <w:bookmarkEnd w:id="7"/>
      <w:bookmarkEnd w:id="8"/>
    </w:p>
    <w:p w14:paraId="0DD8B6E6" w14:textId="77777777" w:rsidR="00D72813" w:rsidRDefault="00F31B45" w:rsidP="00D72813">
      <w:r w:rsidRPr="00F31B45">
        <w:t xml:space="preserve">No similar data are gathered or maintained by the agency or are available from other sources known to the agency. </w:t>
      </w:r>
      <w:bookmarkStart w:id="9" w:name="_Toc443881746"/>
      <w:bookmarkStart w:id="10" w:name="_Toc451592235"/>
      <w:bookmarkStart w:id="11" w:name="_Toc5610276"/>
      <w:bookmarkStart w:id="12" w:name="_Toc99178782"/>
    </w:p>
    <w:p w14:paraId="24A437BC" w14:textId="77777777" w:rsidR="00685B30" w:rsidRDefault="00685B30" w:rsidP="00685B30">
      <w:pPr>
        <w:pStyle w:val="Heading2"/>
        <w:spacing w:after="0" w:line="480" w:lineRule="auto"/>
        <w:ind w:left="720" w:hanging="720"/>
        <w:rPr>
          <w:rFonts w:asciiTheme="minorHAnsi" w:hAnsiTheme="minorHAnsi"/>
          <w:szCs w:val="22"/>
        </w:rPr>
      </w:pPr>
      <w:r w:rsidRPr="004716CF">
        <w:rPr>
          <w:rFonts w:asciiTheme="minorHAnsi" w:hAnsiTheme="minorHAnsi"/>
          <w:szCs w:val="22"/>
        </w:rPr>
        <w:t>A.5</w:t>
      </w:r>
      <w:r w:rsidRPr="004716CF">
        <w:rPr>
          <w:rFonts w:asciiTheme="minorHAnsi" w:hAnsiTheme="minorHAnsi"/>
          <w:szCs w:val="22"/>
        </w:rPr>
        <w:tab/>
        <w:t>Impact on Small Businesses or Other Small Entities</w:t>
      </w:r>
      <w:bookmarkEnd w:id="9"/>
      <w:bookmarkEnd w:id="10"/>
      <w:bookmarkEnd w:id="11"/>
      <w:bookmarkEnd w:id="12"/>
    </w:p>
    <w:p w14:paraId="4AFAE111" w14:textId="77777777" w:rsidR="00F31B45" w:rsidRDefault="00CB78D9" w:rsidP="00D72813">
      <w:pPr>
        <w:pStyle w:val="P1-StandPara"/>
        <w:spacing w:after="200" w:line="276" w:lineRule="auto"/>
        <w:ind w:firstLine="0"/>
        <w:rPr>
          <w:rFonts w:ascii="Calibri" w:hAnsi="Calibri" w:cs="Calibri"/>
        </w:rPr>
      </w:pPr>
      <w:r>
        <w:rPr>
          <w:rFonts w:ascii="Calibri" w:hAnsi="Calibri" w:cs="Calibri"/>
        </w:rPr>
        <w:t>There is n</w:t>
      </w:r>
      <w:r w:rsidRPr="00CB78D9">
        <w:rPr>
          <w:rFonts w:ascii="Calibri" w:hAnsi="Calibri" w:cs="Calibri"/>
        </w:rPr>
        <w:t xml:space="preserve">o impact on small businesses </w:t>
      </w:r>
      <w:r>
        <w:rPr>
          <w:rFonts w:ascii="Calibri" w:hAnsi="Calibri" w:cs="Calibri"/>
        </w:rPr>
        <w:t xml:space="preserve">or other small entities.  None </w:t>
      </w:r>
      <w:r w:rsidRPr="00CB78D9">
        <w:rPr>
          <w:rFonts w:ascii="Calibri" w:hAnsi="Calibri" w:cs="Calibri"/>
        </w:rPr>
        <w:t>will be involved.</w:t>
      </w:r>
    </w:p>
    <w:p w14:paraId="2F233F27" w14:textId="77777777" w:rsidR="00685B30" w:rsidRPr="00E35DD1" w:rsidRDefault="00685B30" w:rsidP="00685B30">
      <w:pPr>
        <w:pStyle w:val="Heading2"/>
        <w:spacing w:after="0" w:line="480" w:lineRule="auto"/>
        <w:ind w:left="720" w:hanging="720"/>
        <w:rPr>
          <w:rFonts w:asciiTheme="minorHAnsi" w:hAnsiTheme="minorHAnsi"/>
          <w:szCs w:val="22"/>
        </w:rPr>
      </w:pPr>
      <w:bookmarkStart w:id="13" w:name="_Toc443881747"/>
      <w:bookmarkStart w:id="14" w:name="_Toc451592236"/>
      <w:bookmarkStart w:id="15" w:name="_Toc5610277"/>
      <w:bookmarkStart w:id="16" w:name="_Toc99178783"/>
      <w:r w:rsidRPr="00E35DD1">
        <w:rPr>
          <w:rFonts w:asciiTheme="minorHAnsi" w:hAnsiTheme="minorHAnsi"/>
          <w:szCs w:val="22"/>
        </w:rPr>
        <w:t>A.6</w:t>
      </w:r>
      <w:r w:rsidRPr="00E35DD1">
        <w:rPr>
          <w:rFonts w:asciiTheme="minorHAnsi" w:hAnsiTheme="minorHAnsi"/>
          <w:szCs w:val="22"/>
        </w:rPr>
        <w:tab/>
        <w:t>Consequences of Collecting the Information Less Frequently</w:t>
      </w:r>
      <w:bookmarkEnd w:id="13"/>
      <w:bookmarkEnd w:id="14"/>
      <w:bookmarkEnd w:id="15"/>
      <w:bookmarkEnd w:id="16"/>
    </w:p>
    <w:p w14:paraId="763A827F" w14:textId="77777777" w:rsidR="00863982" w:rsidRPr="00863982" w:rsidRDefault="00863982" w:rsidP="00D72813">
      <w:r w:rsidRPr="00863982">
        <w:t xml:space="preserve">The information requested in the NCS Archive forms does not ask investigators to generate any new information, because the type of information being requested (see A.2 and A.3) is fundamental to conducting any research study. The data are collected on an as needed basis. Data will be collected only once for each investigator request.  </w:t>
      </w:r>
    </w:p>
    <w:p w14:paraId="3A63DA87" w14:textId="77777777" w:rsidR="00685B30" w:rsidRPr="00E35DD1" w:rsidRDefault="00E67B10" w:rsidP="00685B30">
      <w:pPr>
        <w:pStyle w:val="Heading2"/>
        <w:spacing w:after="0" w:line="480" w:lineRule="auto"/>
        <w:ind w:left="0" w:firstLine="0"/>
        <w:rPr>
          <w:rFonts w:asciiTheme="minorHAnsi" w:hAnsiTheme="minorHAnsi"/>
          <w:szCs w:val="22"/>
        </w:rPr>
      </w:pPr>
      <w:bookmarkStart w:id="17" w:name="_Toc443881748"/>
      <w:bookmarkStart w:id="18" w:name="_Toc451592237"/>
      <w:bookmarkStart w:id="19" w:name="_Toc5610278"/>
      <w:bookmarkStart w:id="20" w:name="_Toc99178784"/>
      <w:r>
        <w:rPr>
          <w:rFonts w:asciiTheme="minorHAnsi" w:hAnsiTheme="minorHAnsi"/>
          <w:szCs w:val="22"/>
        </w:rPr>
        <w:t>A.7</w:t>
      </w:r>
      <w:r>
        <w:rPr>
          <w:rFonts w:asciiTheme="minorHAnsi" w:hAnsiTheme="minorHAnsi"/>
          <w:szCs w:val="22"/>
        </w:rPr>
        <w:tab/>
      </w:r>
      <w:r w:rsidR="00685B30" w:rsidRPr="00E35DD1">
        <w:rPr>
          <w:rFonts w:asciiTheme="minorHAnsi" w:hAnsiTheme="minorHAnsi"/>
          <w:szCs w:val="22"/>
        </w:rPr>
        <w:t xml:space="preserve">Special Circumstances Relating to the Guidelines of 5 </w:t>
      </w:r>
      <w:smartTag w:uri="urn:schemas-microsoft-com:office:smarttags" w:element="stockticker">
        <w:r w:rsidR="00685B30" w:rsidRPr="00E35DD1">
          <w:rPr>
            <w:rFonts w:asciiTheme="minorHAnsi" w:hAnsiTheme="minorHAnsi"/>
            <w:szCs w:val="22"/>
          </w:rPr>
          <w:t>CFR</w:t>
        </w:r>
      </w:smartTag>
      <w:r w:rsidR="00685B30" w:rsidRPr="00E35DD1">
        <w:rPr>
          <w:rFonts w:asciiTheme="minorHAnsi" w:hAnsiTheme="minorHAnsi"/>
          <w:szCs w:val="22"/>
        </w:rPr>
        <w:t xml:space="preserve"> 1320.5</w:t>
      </w:r>
      <w:bookmarkEnd w:id="17"/>
      <w:bookmarkEnd w:id="18"/>
      <w:bookmarkEnd w:id="19"/>
      <w:bookmarkEnd w:id="20"/>
    </w:p>
    <w:p w14:paraId="23C3326E" w14:textId="77777777" w:rsidR="00863982" w:rsidRPr="00E35DD1" w:rsidRDefault="00863982" w:rsidP="00E35DD1">
      <w:pPr>
        <w:pStyle w:val="P1-StandPara"/>
        <w:spacing w:line="240" w:lineRule="auto"/>
        <w:ind w:firstLine="0"/>
        <w:rPr>
          <w:rFonts w:asciiTheme="minorHAnsi" w:hAnsiTheme="minorHAnsi"/>
          <w:szCs w:val="22"/>
        </w:rPr>
      </w:pPr>
      <w:r>
        <w:rPr>
          <w:rFonts w:asciiTheme="minorHAnsi" w:hAnsiTheme="minorHAnsi"/>
          <w:szCs w:val="22"/>
        </w:rPr>
        <w:t xml:space="preserve">No special circumstances relating to the guidelines of 5 CFR 1320.5 are applicable to this request.  </w:t>
      </w:r>
    </w:p>
    <w:p w14:paraId="12726115" w14:textId="77777777" w:rsidR="00D72813" w:rsidRDefault="00D72813" w:rsidP="00E35DD1">
      <w:pPr>
        <w:pStyle w:val="Heading2"/>
        <w:spacing w:after="0" w:line="240" w:lineRule="auto"/>
        <w:ind w:left="720" w:hanging="720"/>
        <w:rPr>
          <w:rFonts w:asciiTheme="minorHAnsi" w:hAnsiTheme="minorHAnsi"/>
          <w:szCs w:val="22"/>
        </w:rPr>
      </w:pPr>
      <w:bookmarkStart w:id="21" w:name="_Toc443881749"/>
      <w:bookmarkStart w:id="22" w:name="_Toc451592238"/>
      <w:bookmarkStart w:id="23" w:name="_Toc5610279"/>
      <w:bookmarkStart w:id="24" w:name="_Toc99178785"/>
    </w:p>
    <w:p w14:paraId="1842A6A9" w14:textId="77777777" w:rsidR="0036208F" w:rsidRPr="0036208F" w:rsidRDefault="00685B30" w:rsidP="00E35DD1">
      <w:pPr>
        <w:pStyle w:val="Heading2"/>
        <w:spacing w:after="0" w:line="240" w:lineRule="auto"/>
        <w:ind w:left="720" w:hanging="720"/>
        <w:rPr>
          <w:rFonts w:asciiTheme="minorHAnsi" w:hAnsiTheme="minorHAnsi"/>
          <w:szCs w:val="22"/>
        </w:rPr>
      </w:pPr>
      <w:r w:rsidRPr="0036208F">
        <w:rPr>
          <w:rFonts w:asciiTheme="minorHAnsi" w:hAnsiTheme="minorHAnsi"/>
          <w:szCs w:val="22"/>
        </w:rPr>
        <w:t>A.8</w:t>
      </w:r>
      <w:r w:rsidR="0036208F" w:rsidRPr="0036208F">
        <w:rPr>
          <w:rFonts w:asciiTheme="minorHAnsi" w:hAnsiTheme="minorHAnsi"/>
          <w:szCs w:val="22"/>
        </w:rPr>
        <w:t>.1</w:t>
      </w:r>
      <w:r w:rsidRPr="0036208F">
        <w:rPr>
          <w:rFonts w:asciiTheme="minorHAnsi" w:hAnsiTheme="minorHAnsi"/>
          <w:szCs w:val="22"/>
        </w:rPr>
        <w:tab/>
        <w:t xml:space="preserve">Comments in Response to the Federal Register Notice </w:t>
      </w:r>
    </w:p>
    <w:p w14:paraId="50006F78" w14:textId="77777777" w:rsidR="0036208F" w:rsidRPr="0036208F" w:rsidRDefault="0036208F" w:rsidP="00E35DD1">
      <w:pPr>
        <w:pStyle w:val="Heading2"/>
        <w:spacing w:after="0" w:line="240" w:lineRule="auto"/>
        <w:ind w:left="720" w:hanging="720"/>
        <w:rPr>
          <w:rFonts w:asciiTheme="minorHAnsi" w:hAnsiTheme="minorHAnsi"/>
          <w:szCs w:val="22"/>
        </w:rPr>
      </w:pPr>
    </w:p>
    <w:bookmarkEnd w:id="21"/>
    <w:bookmarkEnd w:id="22"/>
    <w:bookmarkEnd w:id="23"/>
    <w:bookmarkEnd w:id="24"/>
    <w:p w14:paraId="3BC132C6" w14:textId="42813295" w:rsidR="008C56A5" w:rsidRPr="008C56A5" w:rsidRDefault="008C56A5" w:rsidP="008C56A5">
      <w:r w:rsidRPr="008254FF">
        <w:rPr>
          <w:highlight w:val="yellow"/>
        </w:rPr>
        <w:t xml:space="preserve">A Federal Register Notice was published on </w:t>
      </w:r>
      <w:r w:rsidR="008254FF" w:rsidRPr="008254FF">
        <w:rPr>
          <w:highlight w:val="yellow"/>
        </w:rPr>
        <w:t>November 8, 2018</w:t>
      </w:r>
      <w:r w:rsidRPr="008254FF">
        <w:rPr>
          <w:highlight w:val="yellow"/>
        </w:rPr>
        <w:t xml:space="preserve">. </w:t>
      </w:r>
      <w:r w:rsidR="008254FF" w:rsidRPr="008254FF">
        <w:rPr>
          <w:highlight w:val="yellow"/>
        </w:rPr>
        <w:t xml:space="preserve"> </w:t>
      </w:r>
      <w:r w:rsidR="002F25DD" w:rsidRPr="008254FF">
        <w:rPr>
          <w:highlight w:val="yellow"/>
        </w:rPr>
        <w:t>No comments were received</w:t>
      </w:r>
      <w:r w:rsidRPr="008254FF">
        <w:rPr>
          <w:highlight w:val="yellow"/>
        </w:rPr>
        <w:t>.</w:t>
      </w:r>
    </w:p>
    <w:p w14:paraId="231D53F1" w14:textId="77777777" w:rsidR="0036208F" w:rsidRPr="00E35DD1" w:rsidRDefault="0036208F" w:rsidP="00D72813">
      <w:pPr>
        <w:pStyle w:val="Heading2"/>
        <w:spacing w:after="0" w:line="480" w:lineRule="auto"/>
        <w:ind w:left="720" w:hanging="720"/>
        <w:rPr>
          <w:rFonts w:asciiTheme="minorHAnsi" w:hAnsiTheme="minorHAnsi"/>
          <w:szCs w:val="22"/>
        </w:rPr>
      </w:pPr>
      <w:r w:rsidRPr="0036208F">
        <w:rPr>
          <w:rFonts w:asciiTheme="minorHAnsi" w:hAnsiTheme="minorHAnsi"/>
          <w:szCs w:val="22"/>
        </w:rPr>
        <w:t>A.8.2</w:t>
      </w:r>
      <w:r w:rsidRPr="0036208F">
        <w:rPr>
          <w:rFonts w:asciiTheme="minorHAnsi" w:hAnsiTheme="minorHAnsi"/>
          <w:szCs w:val="22"/>
        </w:rPr>
        <w:tab/>
        <w:t>Efforts to Consult Outside Agency</w:t>
      </w:r>
    </w:p>
    <w:p w14:paraId="3729F9D3" w14:textId="77777777" w:rsidR="008C56A5" w:rsidRPr="008C56A5" w:rsidRDefault="008C56A5" w:rsidP="008C56A5">
      <w:r w:rsidRPr="008C56A5">
        <w:t xml:space="preserve">The NCS consulted experts within and outside the agency on various aspects of the data archive design. The NCS received demonstrations from the Data and Specimen Hub (DaSH, NIH/NICHD), the Biospecimen Repository Access and Data Sharing program (BRAD, NIH/NICHD), the Prostate, Lung, Colorectal, and Ovarian Cancer Screening Trial (PLCO, NIH/NCI) and the Biologic Specimen and Data Repository Information Coordinating Center (BioLINCC, NIH/NHLBI) in order to determine which existing archive and repository solutions may best serve the dissemination of NCS Vanguard Study data.  The NCS reviewed data sharing practices for NHANES (CDC/NCHS), NDAR (NIH/NIMH), and the NICHD Population Dynamics Branch.  Some of the criteria evaluated included data specifications, data documentation and discovery tools, remote analysis functionality, and privacy protection measures.  </w:t>
      </w:r>
    </w:p>
    <w:p w14:paraId="6061F31C" w14:textId="77777777" w:rsidR="008C56A5" w:rsidRPr="008C56A5" w:rsidRDefault="008C56A5" w:rsidP="008C56A5">
      <w:r w:rsidRPr="008C56A5">
        <w:t>The NCS also consulted the Office of Management and Budget’s Office of Information and Regulatory Affairs on March 16, 2015, who indicated that the NCS must have a generic clearance that is specific to data sharing.</w:t>
      </w:r>
    </w:p>
    <w:p w14:paraId="28B862BF" w14:textId="77777777" w:rsidR="008C56A5" w:rsidRPr="00442B5B" w:rsidRDefault="006E2372" w:rsidP="00442B5B">
      <w:r w:rsidRPr="005B3309">
        <w:rPr>
          <w:highlight w:val="yellow"/>
        </w:rPr>
        <w:t xml:space="preserve">Solicitations for user input have been included with each new </w:t>
      </w:r>
      <w:r w:rsidR="0075265F" w:rsidRPr="005B3309">
        <w:rPr>
          <w:highlight w:val="yellow"/>
        </w:rPr>
        <w:t xml:space="preserve">NCS Archive </w:t>
      </w:r>
      <w:r w:rsidRPr="005B3309">
        <w:rPr>
          <w:highlight w:val="yellow"/>
        </w:rPr>
        <w:t>data release announcement</w:t>
      </w:r>
      <w:r>
        <w:t xml:space="preserve">.  </w:t>
      </w:r>
    </w:p>
    <w:p w14:paraId="44B1109A" w14:textId="77777777" w:rsidR="008D1D2B" w:rsidRDefault="008D1D2B" w:rsidP="00685B30">
      <w:pPr>
        <w:pStyle w:val="P1-StandPara"/>
        <w:ind w:firstLine="0"/>
        <w:rPr>
          <w:rFonts w:asciiTheme="minorHAnsi" w:hAnsiTheme="minorHAnsi"/>
          <w:b/>
          <w:szCs w:val="22"/>
        </w:rPr>
      </w:pPr>
    </w:p>
    <w:p w14:paraId="57D6CE44" w14:textId="77777777" w:rsidR="00685B30" w:rsidRPr="00E35DD1" w:rsidRDefault="00685B30" w:rsidP="00685B30">
      <w:pPr>
        <w:pStyle w:val="P1-StandPara"/>
        <w:ind w:firstLine="0"/>
        <w:rPr>
          <w:rFonts w:asciiTheme="minorHAnsi" w:hAnsiTheme="minorHAnsi"/>
          <w:b/>
          <w:szCs w:val="22"/>
        </w:rPr>
      </w:pPr>
      <w:r w:rsidRPr="00E35DD1">
        <w:rPr>
          <w:rFonts w:asciiTheme="minorHAnsi" w:hAnsiTheme="minorHAnsi"/>
          <w:b/>
          <w:szCs w:val="22"/>
        </w:rPr>
        <w:t>A.9</w:t>
      </w:r>
      <w:r w:rsidRPr="00E35DD1">
        <w:rPr>
          <w:rFonts w:asciiTheme="minorHAnsi" w:hAnsiTheme="minorHAnsi"/>
          <w:b/>
          <w:szCs w:val="22"/>
        </w:rPr>
        <w:tab/>
        <w:t>Explanation of Any Payment of Gift to Respondents</w:t>
      </w:r>
    </w:p>
    <w:p w14:paraId="66B3FD3D" w14:textId="77777777" w:rsidR="006E2372" w:rsidRPr="006E2372" w:rsidRDefault="006E2372" w:rsidP="006E2372">
      <w:r w:rsidRPr="006E2372">
        <w:t xml:space="preserve">No incentives </w:t>
      </w:r>
      <w:r>
        <w:t xml:space="preserve">have been nor </w:t>
      </w:r>
      <w:r w:rsidRPr="006E2372">
        <w:t>will be provided to respondents.</w:t>
      </w:r>
    </w:p>
    <w:p w14:paraId="7FE3E522" w14:textId="77777777" w:rsidR="00685B30" w:rsidRPr="00E35DD1" w:rsidRDefault="00685B30" w:rsidP="00685B30">
      <w:pPr>
        <w:pStyle w:val="P1-StandPara"/>
        <w:ind w:firstLine="0"/>
        <w:rPr>
          <w:rFonts w:asciiTheme="minorHAnsi" w:hAnsiTheme="minorHAnsi"/>
          <w:b/>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p>
    <w:p w14:paraId="64DA33F9" w14:textId="77777777" w:rsidR="006F574C" w:rsidRPr="006F574C" w:rsidRDefault="006F574C" w:rsidP="00AA78BF">
      <w:pPr>
        <w:pStyle w:val="P1-StandPara"/>
        <w:spacing w:line="240" w:lineRule="auto"/>
        <w:ind w:firstLine="0"/>
        <w:rPr>
          <w:rFonts w:asciiTheme="minorHAnsi" w:hAnsiTheme="minorHAnsi"/>
          <w:szCs w:val="22"/>
        </w:rPr>
      </w:pPr>
      <w:r w:rsidRPr="006F574C">
        <w:rPr>
          <w:rFonts w:asciiTheme="minorHAnsi" w:hAnsiTheme="minorHAnsi"/>
          <w:szCs w:val="22"/>
        </w:rPr>
        <w:t>The Privacy Act of 1974 ensures that no sensitive or personally identifiable information, located in federal systems of records (e.g., Recipient NIH records), is shared. A system of records is any group of records under the control of a federal agency from which information is retrieved by the name of the individual or by some identifying number, symbol, or other identifying particular assigned to the individual. The NIH and any sites that are provided access to the datasets will have access to the data collected from the Recipient</w:t>
      </w:r>
      <w:r w:rsidR="00546494">
        <w:rPr>
          <w:rFonts w:asciiTheme="minorHAnsi" w:hAnsiTheme="minorHAnsi"/>
          <w:szCs w:val="22"/>
        </w:rPr>
        <w:t xml:space="preserve"> (which includes personally identifiable information as specified in Section A.2)</w:t>
      </w:r>
      <w:r w:rsidRPr="006F574C">
        <w:rPr>
          <w:rFonts w:asciiTheme="minorHAnsi" w:hAnsiTheme="minorHAnsi"/>
          <w:szCs w:val="22"/>
        </w:rPr>
        <w:t xml:space="preserve"> for the purposes described above. In addition, the Act allows, in accordance with the routine uses made of the information stored in the system, the release of some information in the Recipient’s records without his/her permission; for example, for research purposes and if it is required by members of Congress or other authorized individuals.  The information requested is voluntary, but necessary for obtaining access to data.  </w:t>
      </w:r>
    </w:p>
    <w:p w14:paraId="2208C395" w14:textId="77777777" w:rsidR="006F574C" w:rsidRPr="006F574C" w:rsidRDefault="006F574C" w:rsidP="00AA78BF">
      <w:pPr>
        <w:pStyle w:val="P1-StandPara"/>
        <w:spacing w:line="240" w:lineRule="auto"/>
        <w:ind w:firstLine="0"/>
        <w:rPr>
          <w:rFonts w:asciiTheme="minorHAnsi" w:hAnsiTheme="minorHAnsi"/>
          <w:szCs w:val="22"/>
        </w:rPr>
      </w:pPr>
    </w:p>
    <w:p w14:paraId="4543E2BA" w14:textId="77777777" w:rsidR="006F574C" w:rsidRPr="006F574C" w:rsidRDefault="006F574C" w:rsidP="00AA78BF">
      <w:pPr>
        <w:pStyle w:val="P1-StandPara"/>
        <w:spacing w:line="240" w:lineRule="auto"/>
        <w:ind w:firstLine="0"/>
        <w:rPr>
          <w:rFonts w:asciiTheme="minorHAnsi" w:hAnsiTheme="minorHAnsi"/>
          <w:szCs w:val="22"/>
        </w:rPr>
      </w:pPr>
      <w:r w:rsidRPr="006F574C">
        <w:rPr>
          <w:rFonts w:asciiTheme="minorHAnsi" w:hAnsiTheme="minorHAnsi"/>
          <w:szCs w:val="22"/>
        </w:rPr>
        <w:t xml:space="preserve">The information requested from the investigator seeking access to the NCS Archive, as part of the NCS Data Use Agreement, Data Request, and RMDA forms, may be made public in part or in whole for tracking and reporting purposes. </w:t>
      </w:r>
    </w:p>
    <w:p w14:paraId="585DCADE" w14:textId="77777777" w:rsidR="006F574C" w:rsidRPr="006F574C" w:rsidRDefault="006F574C" w:rsidP="00AA78BF">
      <w:pPr>
        <w:pStyle w:val="P1-StandPara"/>
        <w:spacing w:line="240" w:lineRule="auto"/>
        <w:ind w:firstLine="0"/>
        <w:rPr>
          <w:rFonts w:asciiTheme="minorHAnsi" w:hAnsiTheme="minorHAnsi"/>
          <w:szCs w:val="22"/>
        </w:rPr>
      </w:pPr>
    </w:p>
    <w:p w14:paraId="213C8390" w14:textId="77777777" w:rsidR="006F574C" w:rsidRPr="006F574C" w:rsidRDefault="006F574C" w:rsidP="00AA78BF">
      <w:pPr>
        <w:pStyle w:val="P1-StandPara"/>
        <w:spacing w:line="240" w:lineRule="auto"/>
        <w:ind w:firstLine="0"/>
        <w:rPr>
          <w:rFonts w:asciiTheme="minorHAnsi" w:hAnsiTheme="minorHAnsi"/>
          <w:szCs w:val="22"/>
        </w:rPr>
      </w:pPr>
      <w:r w:rsidRPr="006F574C">
        <w:rPr>
          <w:rFonts w:asciiTheme="minorHAnsi" w:hAnsiTheme="minorHAnsi"/>
          <w:szCs w:val="22"/>
        </w:rPr>
        <w:t xml:space="preserve">A Privacy Act Notification is displayed on the face page of the Data User Agreement, Data Request, and RMDA forms pursuant to Public Law 93-579, Privacy Act of 1974, 5 U.S.C. Section 552a. Authority for the collection of the information requested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w:t>
      </w:r>
      <w:hyperlink r:id="rId17" w:anchor="page=4" w:history="1">
        <w:r w:rsidRPr="006F574C">
          <w:rPr>
            <w:rStyle w:val="Hyperlink"/>
            <w:rFonts w:asciiTheme="minorHAnsi" w:hAnsiTheme="minorHAnsi"/>
            <w:szCs w:val="22"/>
          </w:rPr>
          <w:t>Privacy Act System of Record Notice 09-25-0200</w:t>
        </w:r>
      </w:hyperlink>
      <w:r w:rsidRPr="006F574C">
        <w:rPr>
          <w:rFonts w:asciiTheme="minorHAnsi" w:hAnsiTheme="minorHAnsi"/>
          <w:szCs w:val="22"/>
        </w:rPr>
        <w:t xml:space="preserve"> covering “Clinical, Basic and Population-based Research Studies of the National Institutes of Health (NIH), HHS/NIH/OD.”   The NIH System of Record Notice was previously published in the Federal register on September 26, 2002, Volume 67, No 187, page 60742. Although the NCS Vanguard Study data will be coded (de-identified) and the NIH will not hold direct identifiers to individuals within the NCS Archive, the agency recognizes the personal and potentially sensitive nature of NCS Vanguard Study data.  All investigators who request access to NCS Vanguard Study data must be authorized by the NCS and the Federal government to receive and store study information and agree to protect participant privacy by reporting aggregate results only.  As noted in A.2, investigators </w:t>
      </w:r>
      <w:r w:rsidR="00667BBD">
        <w:rPr>
          <w:rFonts w:asciiTheme="minorHAnsi" w:hAnsiTheme="minorHAnsi"/>
          <w:szCs w:val="22"/>
        </w:rPr>
        <w:t>and their institution</w:t>
      </w:r>
      <w:r w:rsidR="009800E4">
        <w:rPr>
          <w:rFonts w:asciiTheme="minorHAnsi" w:hAnsiTheme="minorHAnsi"/>
          <w:szCs w:val="22"/>
        </w:rPr>
        <w:t xml:space="preserve">s </w:t>
      </w:r>
      <w:r w:rsidRPr="006F574C">
        <w:rPr>
          <w:rFonts w:asciiTheme="minorHAnsi" w:hAnsiTheme="minorHAnsi"/>
          <w:szCs w:val="22"/>
        </w:rPr>
        <w:t>must complete a</w:t>
      </w:r>
      <w:r w:rsidR="005E486A">
        <w:rPr>
          <w:rFonts w:asciiTheme="minorHAnsi" w:hAnsiTheme="minorHAnsi"/>
          <w:szCs w:val="22"/>
        </w:rPr>
        <w:t>n</w:t>
      </w:r>
      <w:r w:rsidRPr="006F574C">
        <w:rPr>
          <w:rFonts w:asciiTheme="minorHAnsi" w:hAnsiTheme="minorHAnsi"/>
          <w:szCs w:val="22"/>
        </w:rPr>
        <w:t xml:space="preserve"> RMDA and abide by the RMDA terms.</w:t>
      </w:r>
    </w:p>
    <w:p w14:paraId="298FE7C8" w14:textId="77777777" w:rsidR="006F574C" w:rsidRDefault="006F574C" w:rsidP="0036208F">
      <w:pPr>
        <w:pStyle w:val="P1-StandPara"/>
        <w:spacing w:line="240" w:lineRule="auto"/>
        <w:ind w:firstLine="0"/>
        <w:rPr>
          <w:rFonts w:asciiTheme="minorHAnsi" w:hAnsiTheme="minorHAnsi"/>
          <w:szCs w:val="22"/>
        </w:rPr>
      </w:pPr>
    </w:p>
    <w:p w14:paraId="0AFD3E5C" w14:textId="77777777" w:rsidR="00685B30" w:rsidRPr="00E35DD1" w:rsidRDefault="00685B30" w:rsidP="00685B30">
      <w:pPr>
        <w:pStyle w:val="P1-StandPara"/>
        <w:ind w:firstLine="0"/>
        <w:rPr>
          <w:rFonts w:asciiTheme="minorHAnsi" w:hAnsiTheme="minorHAnsi"/>
          <w:b/>
          <w:szCs w:val="22"/>
        </w:rPr>
      </w:pPr>
      <w:r w:rsidRPr="00E35DD1">
        <w:rPr>
          <w:rFonts w:asciiTheme="minorHAnsi" w:hAnsiTheme="minorHAnsi"/>
          <w:b/>
          <w:szCs w:val="22"/>
        </w:rPr>
        <w:t>A.11</w:t>
      </w:r>
      <w:r w:rsidRPr="00E35DD1">
        <w:rPr>
          <w:rFonts w:asciiTheme="minorHAnsi" w:hAnsiTheme="minorHAnsi"/>
          <w:b/>
          <w:szCs w:val="22"/>
        </w:rPr>
        <w:tab/>
        <w:t>Justification for Sensitive Questions</w:t>
      </w:r>
    </w:p>
    <w:p w14:paraId="304DFDE1" w14:textId="77777777" w:rsidR="00685B30" w:rsidRPr="00E35DD1" w:rsidRDefault="00732243" w:rsidP="00685B30">
      <w:pPr>
        <w:pStyle w:val="P1-StandPara"/>
        <w:spacing w:line="240" w:lineRule="auto"/>
        <w:ind w:firstLine="0"/>
        <w:rPr>
          <w:rFonts w:asciiTheme="minorHAnsi" w:hAnsiTheme="minorHAnsi"/>
          <w:szCs w:val="22"/>
        </w:rPr>
      </w:pPr>
      <w:r w:rsidRPr="00732243">
        <w:rPr>
          <w:rFonts w:asciiTheme="minorHAnsi" w:hAnsiTheme="minorHAnsi"/>
          <w:szCs w:val="22"/>
        </w:rPr>
        <w:t xml:space="preserve">The NCS Archive </w:t>
      </w:r>
      <w:r>
        <w:rPr>
          <w:rFonts w:asciiTheme="minorHAnsi" w:hAnsiTheme="minorHAnsi"/>
          <w:szCs w:val="22"/>
        </w:rPr>
        <w:t xml:space="preserve">asks no sensitive questions of any </w:t>
      </w:r>
      <w:r w:rsidRPr="00732243">
        <w:rPr>
          <w:rFonts w:asciiTheme="minorHAnsi" w:hAnsiTheme="minorHAnsi"/>
          <w:szCs w:val="22"/>
        </w:rPr>
        <w:t>prospective data users</w:t>
      </w:r>
      <w:r>
        <w:rPr>
          <w:rFonts w:asciiTheme="minorHAnsi" w:hAnsiTheme="minorHAnsi"/>
          <w:szCs w:val="22"/>
        </w:rPr>
        <w:t xml:space="preserve">.  </w:t>
      </w:r>
    </w:p>
    <w:p w14:paraId="3B116BE4" w14:textId="77777777" w:rsidR="00685B30" w:rsidRPr="00E35DD1" w:rsidRDefault="00685B30" w:rsidP="00685B30">
      <w:pPr>
        <w:pStyle w:val="P1-StandPara"/>
        <w:spacing w:line="240" w:lineRule="auto"/>
        <w:ind w:firstLine="0"/>
        <w:rPr>
          <w:rFonts w:asciiTheme="minorHAnsi" w:hAnsiTheme="minorHAnsi"/>
          <w:szCs w:val="22"/>
        </w:rPr>
      </w:pPr>
    </w:p>
    <w:p w14:paraId="0575F6ED" w14:textId="77777777" w:rsidR="002F07E6" w:rsidRDefault="002F07E6">
      <w:pPr>
        <w:rPr>
          <w:b/>
        </w:rPr>
      </w:pPr>
      <w:r>
        <w:rPr>
          <w:b/>
        </w:rPr>
        <w:br w:type="page"/>
      </w:r>
    </w:p>
    <w:p w14:paraId="088FFC83" w14:textId="284F4E27" w:rsidR="009A023E" w:rsidRDefault="00685B30" w:rsidP="00D72813">
      <w:r w:rsidRPr="00E35DD1">
        <w:rPr>
          <w:b/>
        </w:rPr>
        <w:t>A.12</w:t>
      </w:r>
      <w:r w:rsidR="00BF491C">
        <w:rPr>
          <w:b/>
        </w:rPr>
        <w:t>.1</w:t>
      </w:r>
      <w:r w:rsidRPr="00E35DD1">
        <w:rPr>
          <w:b/>
        </w:rPr>
        <w:tab/>
        <w:t>Estimates of Hour Burden Including Annualized Hourly Costs</w:t>
      </w:r>
      <w:bookmarkStart w:id="25" w:name="_Hlk485739393"/>
    </w:p>
    <w:p w14:paraId="16D6D8C0" w14:textId="77777777" w:rsidR="00442B5B" w:rsidRDefault="00442B5B" w:rsidP="00442B5B">
      <w:pPr>
        <w:ind w:left="1440" w:firstLine="720"/>
      </w:pPr>
      <w:r>
        <w:t>Table 12-1 Estimated Annualized Burden Hours</w:t>
      </w:r>
    </w:p>
    <w:tbl>
      <w:tblPr>
        <w:tblW w:w="9833" w:type="dxa"/>
        <w:jc w:val="center"/>
        <w:tblLayout w:type="fixed"/>
        <w:tblCellMar>
          <w:left w:w="100" w:type="dxa"/>
          <w:right w:w="100" w:type="dxa"/>
        </w:tblCellMar>
        <w:tblLook w:val="0000" w:firstRow="0" w:lastRow="0" w:firstColumn="0" w:lastColumn="0" w:noHBand="0" w:noVBand="0"/>
      </w:tblPr>
      <w:tblGrid>
        <w:gridCol w:w="2003"/>
        <w:gridCol w:w="2039"/>
        <w:gridCol w:w="1561"/>
        <w:gridCol w:w="1260"/>
        <w:gridCol w:w="1620"/>
        <w:gridCol w:w="1350"/>
      </w:tblGrid>
      <w:tr w:rsidR="009A023E" w:rsidRPr="00403369" w14:paraId="3EB8E856" w14:textId="77777777" w:rsidTr="009A023E">
        <w:trPr>
          <w:cantSplit/>
          <w:trHeight w:val="403"/>
          <w:jc w:val="center"/>
        </w:trPr>
        <w:tc>
          <w:tcPr>
            <w:tcW w:w="2003" w:type="dxa"/>
            <w:tcBorders>
              <w:top w:val="single" w:sz="6" w:space="0" w:color="auto"/>
              <w:left w:val="single" w:sz="6" w:space="0" w:color="auto"/>
            </w:tcBorders>
            <w:vAlign w:val="center"/>
          </w:tcPr>
          <w:bookmarkEnd w:id="25"/>
          <w:p w14:paraId="4B460934" w14:textId="77777777" w:rsidR="009A023E" w:rsidRPr="00CA5C24" w:rsidRDefault="009A023E" w:rsidP="00A6232C">
            <w:pPr>
              <w:jc w:val="center"/>
            </w:pPr>
            <w:r w:rsidRPr="00CA5C24">
              <w:t>Type of Respondent</w:t>
            </w:r>
          </w:p>
        </w:tc>
        <w:tc>
          <w:tcPr>
            <w:tcW w:w="2039" w:type="dxa"/>
            <w:tcBorders>
              <w:top w:val="single" w:sz="6" w:space="0" w:color="auto"/>
              <w:left w:val="single" w:sz="6" w:space="0" w:color="auto"/>
            </w:tcBorders>
            <w:vAlign w:val="center"/>
          </w:tcPr>
          <w:p w14:paraId="58DBE65B" w14:textId="77777777" w:rsidR="009A023E" w:rsidRPr="00CA5C24" w:rsidRDefault="009A023E" w:rsidP="00A6232C">
            <w:pPr>
              <w:jc w:val="center"/>
            </w:pPr>
            <w:r w:rsidRPr="00CA5C24">
              <w:t>Form</w:t>
            </w:r>
          </w:p>
        </w:tc>
        <w:tc>
          <w:tcPr>
            <w:tcW w:w="1561" w:type="dxa"/>
            <w:tcBorders>
              <w:top w:val="single" w:sz="6" w:space="0" w:color="auto"/>
              <w:left w:val="single" w:sz="6" w:space="0" w:color="auto"/>
            </w:tcBorders>
            <w:vAlign w:val="center"/>
          </w:tcPr>
          <w:p w14:paraId="0721226E" w14:textId="77777777" w:rsidR="009A023E" w:rsidRPr="00CA5C24" w:rsidRDefault="009A023E" w:rsidP="00A6232C">
            <w:pPr>
              <w:jc w:val="center"/>
            </w:pPr>
            <w:r w:rsidRPr="00CA5C24">
              <w:t>Number of Respondents</w:t>
            </w:r>
          </w:p>
        </w:tc>
        <w:tc>
          <w:tcPr>
            <w:tcW w:w="1260" w:type="dxa"/>
            <w:tcBorders>
              <w:top w:val="single" w:sz="6" w:space="0" w:color="auto"/>
              <w:left w:val="single" w:sz="6" w:space="0" w:color="auto"/>
            </w:tcBorders>
            <w:vAlign w:val="center"/>
          </w:tcPr>
          <w:p w14:paraId="1D32829F" w14:textId="77777777" w:rsidR="009A023E" w:rsidRPr="00CA5C24" w:rsidRDefault="009A023E" w:rsidP="00A6232C">
            <w:pPr>
              <w:jc w:val="center"/>
            </w:pPr>
            <w:r w:rsidRPr="00CA5C24">
              <w:t>Frequency of Response</w:t>
            </w:r>
          </w:p>
        </w:tc>
        <w:tc>
          <w:tcPr>
            <w:tcW w:w="1620" w:type="dxa"/>
            <w:tcBorders>
              <w:top w:val="single" w:sz="6" w:space="0" w:color="auto"/>
              <w:left w:val="single" w:sz="6" w:space="0" w:color="auto"/>
            </w:tcBorders>
            <w:vAlign w:val="center"/>
          </w:tcPr>
          <w:p w14:paraId="35C9CB21" w14:textId="77777777" w:rsidR="009A023E" w:rsidRPr="00CA5C24" w:rsidRDefault="009A023E" w:rsidP="00A6232C">
            <w:pPr>
              <w:jc w:val="center"/>
            </w:pPr>
            <w:r w:rsidRPr="00CA5C24">
              <w:t>Average Time Per Response</w:t>
            </w:r>
            <w:r>
              <w:t xml:space="preserve"> </w:t>
            </w:r>
            <w:r w:rsidRPr="00CA5C24">
              <w:t>(hours)</w:t>
            </w:r>
          </w:p>
        </w:tc>
        <w:tc>
          <w:tcPr>
            <w:tcW w:w="1350" w:type="dxa"/>
            <w:tcBorders>
              <w:top w:val="single" w:sz="6" w:space="0" w:color="auto"/>
              <w:left w:val="single" w:sz="6" w:space="0" w:color="auto"/>
              <w:right w:val="single" w:sz="6" w:space="0" w:color="auto"/>
            </w:tcBorders>
            <w:vAlign w:val="center"/>
          </w:tcPr>
          <w:p w14:paraId="198281C3" w14:textId="77777777" w:rsidR="009A023E" w:rsidRPr="00CA5C24" w:rsidRDefault="009A023E" w:rsidP="00A6232C">
            <w:pPr>
              <w:jc w:val="center"/>
            </w:pPr>
            <w:r w:rsidRPr="00CA5C24">
              <w:t>Total Annual Burden Hours</w:t>
            </w:r>
          </w:p>
        </w:tc>
      </w:tr>
      <w:tr w:rsidR="00EA2F61" w:rsidRPr="00403369" w14:paraId="7858C01A" w14:textId="77777777" w:rsidTr="00BE233A">
        <w:trPr>
          <w:cantSplit/>
          <w:trHeight w:val="678"/>
          <w:jc w:val="center"/>
        </w:trPr>
        <w:tc>
          <w:tcPr>
            <w:tcW w:w="2003" w:type="dxa"/>
            <w:tcBorders>
              <w:top w:val="single" w:sz="6" w:space="0" w:color="auto"/>
              <w:left w:val="single" w:sz="6" w:space="0" w:color="auto"/>
              <w:bottom w:val="single" w:sz="6" w:space="0" w:color="auto"/>
            </w:tcBorders>
            <w:vAlign w:val="center"/>
          </w:tcPr>
          <w:p w14:paraId="56B6048E" w14:textId="77777777" w:rsidR="00EA2F61" w:rsidRPr="00CA5C24" w:rsidRDefault="00EA2F61" w:rsidP="00EA2F61">
            <w:r>
              <w:t>Research scientists</w:t>
            </w:r>
          </w:p>
        </w:tc>
        <w:tc>
          <w:tcPr>
            <w:tcW w:w="2039" w:type="dxa"/>
            <w:tcBorders>
              <w:top w:val="single" w:sz="6" w:space="0" w:color="auto"/>
              <w:left w:val="single" w:sz="6" w:space="0" w:color="auto"/>
              <w:bottom w:val="single" w:sz="6" w:space="0" w:color="auto"/>
            </w:tcBorders>
          </w:tcPr>
          <w:p w14:paraId="1FD9A935" w14:textId="77777777" w:rsidR="00EA2F61" w:rsidRPr="00EA2F61" w:rsidRDefault="00D646FF" w:rsidP="00EA2F61">
            <w:r>
              <w:t xml:space="preserve">NCS Vanguard </w:t>
            </w:r>
            <w:r w:rsidR="00EA2F61" w:rsidRPr="00EA2F61">
              <w:t>Downloadable Data Access Form (Attachment A.1)</w:t>
            </w:r>
          </w:p>
        </w:tc>
        <w:tc>
          <w:tcPr>
            <w:tcW w:w="1561" w:type="dxa"/>
            <w:tcBorders>
              <w:top w:val="single" w:sz="6" w:space="0" w:color="auto"/>
              <w:left w:val="single" w:sz="6" w:space="0" w:color="auto"/>
              <w:bottom w:val="single" w:sz="6" w:space="0" w:color="auto"/>
            </w:tcBorders>
            <w:vAlign w:val="center"/>
          </w:tcPr>
          <w:p w14:paraId="7C3D2620" w14:textId="77777777" w:rsidR="00EA2F61" w:rsidRPr="00403369" w:rsidRDefault="00EA2F61" w:rsidP="00EA2F61">
            <w:pPr>
              <w:jc w:val="right"/>
            </w:pPr>
            <w:r w:rsidRPr="00403369">
              <w:t>300</w:t>
            </w:r>
          </w:p>
        </w:tc>
        <w:tc>
          <w:tcPr>
            <w:tcW w:w="1260" w:type="dxa"/>
            <w:tcBorders>
              <w:top w:val="single" w:sz="6" w:space="0" w:color="auto"/>
              <w:left w:val="single" w:sz="6" w:space="0" w:color="auto"/>
              <w:bottom w:val="single" w:sz="6" w:space="0" w:color="auto"/>
            </w:tcBorders>
            <w:vAlign w:val="center"/>
          </w:tcPr>
          <w:p w14:paraId="50EC8B97" w14:textId="77777777" w:rsidR="00EA2F61" w:rsidRPr="00403369" w:rsidRDefault="00EA2F61" w:rsidP="00EA2F61">
            <w:pPr>
              <w:jc w:val="right"/>
            </w:pPr>
            <w:r w:rsidRPr="00403369">
              <w:t>1</w:t>
            </w:r>
          </w:p>
        </w:tc>
        <w:tc>
          <w:tcPr>
            <w:tcW w:w="1620" w:type="dxa"/>
            <w:tcBorders>
              <w:top w:val="single" w:sz="6" w:space="0" w:color="auto"/>
              <w:left w:val="single" w:sz="6" w:space="0" w:color="auto"/>
              <w:bottom w:val="single" w:sz="6" w:space="0" w:color="auto"/>
            </w:tcBorders>
            <w:vAlign w:val="center"/>
          </w:tcPr>
          <w:p w14:paraId="1DB40456" w14:textId="77777777" w:rsidR="00EA2F61" w:rsidRPr="00403369" w:rsidRDefault="00EA2F61" w:rsidP="00EA2F61">
            <w:pPr>
              <w:jc w:val="right"/>
            </w:pPr>
            <w:r w:rsidRPr="00403369">
              <w:t>10/60</w:t>
            </w:r>
          </w:p>
        </w:tc>
        <w:tc>
          <w:tcPr>
            <w:tcW w:w="1350" w:type="dxa"/>
            <w:tcBorders>
              <w:top w:val="single" w:sz="6" w:space="0" w:color="auto"/>
              <w:left w:val="single" w:sz="6" w:space="0" w:color="auto"/>
              <w:bottom w:val="single" w:sz="6" w:space="0" w:color="auto"/>
              <w:right w:val="single" w:sz="6" w:space="0" w:color="auto"/>
            </w:tcBorders>
            <w:vAlign w:val="center"/>
          </w:tcPr>
          <w:p w14:paraId="1E1720F9" w14:textId="77777777" w:rsidR="00EA2F61" w:rsidRPr="00422CF2" w:rsidRDefault="00EA2F61" w:rsidP="00EA2F61">
            <w:pPr>
              <w:jc w:val="right"/>
            </w:pPr>
            <w:r w:rsidRPr="00422CF2">
              <w:t>50</w:t>
            </w:r>
          </w:p>
        </w:tc>
      </w:tr>
      <w:tr w:rsidR="00EA2F61" w:rsidRPr="00403369" w14:paraId="28BFC4BF" w14:textId="77777777" w:rsidTr="00BE233A">
        <w:trPr>
          <w:cantSplit/>
          <w:trHeight w:val="678"/>
          <w:jc w:val="center"/>
        </w:trPr>
        <w:tc>
          <w:tcPr>
            <w:tcW w:w="2003" w:type="dxa"/>
            <w:tcBorders>
              <w:top w:val="single" w:sz="6" w:space="0" w:color="auto"/>
              <w:left w:val="single" w:sz="6" w:space="0" w:color="auto"/>
              <w:bottom w:val="single" w:sz="6" w:space="0" w:color="auto"/>
            </w:tcBorders>
            <w:vAlign w:val="center"/>
          </w:tcPr>
          <w:p w14:paraId="7FCEA8DE" w14:textId="77777777" w:rsidR="00EA2F61" w:rsidRPr="00CA5C24" w:rsidRDefault="00EA2F61" w:rsidP="00EA2F61">
            <w:r>
              <w:t>Research scientists</w:t>
            </w:r>
          </w:p>
        </w:tc>
        <w:tc>
          <w:tcPr>
            <w:tcW w:w="2039" w:type="dxa"/>
            <w:tcBorders>
              <w:top w:val="single" w:sz="6" w:space="0" w:color="auto"/>
              <w:left w:val="single" w:sz="6" w:space="0" w:color="auto"/>
              <w:bottom w:val="single" w:sz="6" w:space="0" w:color="auto"/>
            </w:tcBorders>
          </w:tcPr>
          <w:p w14:paraId="36313D91" w14:textId="77777777" w:rsidR="00EA2F61" w:rsidRPr="00EA2F61" w:rsidRDefault="00D646FF" w:rsidP="00EA2F61">
            <w:r>
              <w:t xml:space="preserve">NCS </w:t>
            </w:r>
            <w:r w:rsidR="00EA2F61" w:rsidRPr="00EA2F61">
              <w:t>Vanguard Data Request Form (Attachment A.2)</w:t>
            </w:r>
          </w:p>
        </w:tc>
        <w:tc>
          <w:tcPr>
            <w:tcW w:w="1561" w:type="dxa"/>
            <w:tcBorders>
              <w:top w:val="single" w:sz="6" w:space="0" w:color="auto"/>
              <w:left w:val="single" w:sz="6" w:space="0" w:color="auto"/>
              <w:bottom w:val="single" w:sz="6" w:space="0" w:color="auto"/>
            </w:tcBorders>
            <w:vAlign w:val="center"/>
          </w:tcPr>
          <w:p w14:paraId="1A13B354" w14:textId="77777777" w:rsidR="00EA2F61" w:rsidRPr="00403369" w:rsidRDefault="00EA2F61" w:rsidP="00EA2F61">
            <w:pPr>
              <w:jc w:val="right"/>
            </w:pPr>
            <w:r>
              <w:t>50</w:t>
            </w:r>
          </w:p>
        </w:tc>
        <w:tc>
          <w:tcPr>
            <w:tcW w:w="1260" w:type="dxa"/>
            <w:tcBorders>
              <w:top w:val="single" w:sz="6" w:space="0" w:color="auto"/>
              <w:left w:val="single" w:sz="6" w:space="0" w:color="auto"/>
              <w:bottom w:val="single" w:sz="6" w:space="0" w:color="auto"/>
            </w:tcBorders>
            <w:vAlign w:val="center"/>
          </w:tcPr>
          <w:p w14:paraId="00D35438" w14:textId="77777777" w:rsidR="00EA2F61" w:rsidRPr="00403369" w:rsidRDefault="00EA2F61" w:rsidP="00EA2F61">
            <w:pPr>
              <w:jc w:val="right"/>
            </w:pPr>
            <w:r>
              <w:t>1</w:t>
            </w:r>
          </w:p>
        </w:tc>
        <w:tc>
          <w:tcPr>
            <w:tcW w:w="1620" w:type="dxa"/>
            <w:tcBorders>
              <w:top w:val="single" w:sz="6" w:space="0" w:color="auto"/>
              <w:left w:val="single" w:sz="6" w:space="0" w:color="auto"/>
              <w:bottom w:val="single" w:sz="6" w:space="0" w:color="auto"/>
            </w:tcBorders>
            <w:vAlign w:val="center"/>
          </w:tcPr>
          <w:p w14:paraId="46528C62" w14:textId="77777777" w:rsidR="00EA2F61" w:rsidRPr="00403369" w:rsidRDefault="00EA2F61" w:rsidP="00EA2F61">
            <w:pPr>
              <w:jc w:val="right"/>
            </w:pPr>
            <w:r>
              <w:t>20/60</w:t>
            </w:r>
          </w:p>
        </w:tc>
        <w:tc>
          <w:tcPr>
            <w:tcW w:w="1350" w:type="dxa"/>
            <w:tcBorders>
              <w:top w:val="single" w:sz="6" w:space="0" w:color="auto"/>
              <w:left w:val="single" w:sz="6" w:space="0" w:color="auto"/>
              <w:bottom w:val="single" w:sz="6" w:space="0" w:color="auto"/>
              <w:right w:val="single" w:sz="6" w:space="0" w:color="auto"/>
            </w:tcBorders>
            <w:vAlign w:val="center"/>
          </w:tcPr>
          <w:p w14:paraId="67E0739A" w14:textId="77777777" w:rsidR="00EA2F61" w:rsidRPr="00422CF2" w:rsidRDefault="00EA2F61" w:rsidP="00EA2F61">
            <w:pPr>
              <w:jc w:val="right"/>
            </w:pPr>
            <w:r w:rsidRPr="00422CF2">
              <w:t>17</w:t>
            </w:r>
          </w:p>
        </w:tc>
      </w:tr>
      <w:tr w:rsidR="00EA2F61" w:rsidRPr="00403369" w14:paraId="674B39B7" w14:textId="77777777" w:rsidTr="00BE233A">
        <w:trPr>
          <w:cantSplit/>
          <w:trHeight w:val="678"/>
          <w:jc w:val="center"/>
        </w:trPr>
        <w:tc>
          <w:tcPr>
            <w:tcW w:w="2003" w:type="dxa"/>
            <w:tcBorders>
              <w:top w:val="single" w:sz="6" w:space="0" w:color="auto"/>
              <w:left w:val="single" w:sz="6" w:space="0" w:color="auto"/>
              <w:bottom w:val="single" w:sz="6" w:space="0" w:color="auto"/>
            </w:tcBorders>
            <w:vAlign w:val="center"/>
          </w:tcPr>
          <w:p w14:paraId="5FEB9925" w14:textId="77777777" w:rsidR="00EA2F61" w:rsidRPr="00CA5C24" w:rsidRDefault="00EA2F61" w:rsidP="00EA2F61">
            <w:r>
              <w:t>Research scientists</w:t>
            </w:r>
          </w:p>
        </w:tc>
        <w:tc>
          <w:tcPr>
            <w:tcW w:w="2039" w:type="dxa"/>
            <w:tcBorders>
              <w:top w:val="single" w:sz="6" w:space="0" w:color="auto"/>
              <w:left w:val="single" w:sz="6" w:space="0" w:color="auto"/>
              <w:bottom w:val="single" w:sz="6" w:space="0" w:color="auto"/>
            </w:tcBorders>
          </w:tcPr>
          <w:p w14:paraId="6C5EFE66" w14:textId="77777777" w:rsidR="00EA2F61" w:rsidRPr="00EA2F61" w:rsidRDefault="00D646FF" w:rsidP="00EA2F61">
            <w:r>
              <w:t xml:space="preserve">NCS </w:t>
            </w:r>
            <w:r w:rsidR="00EA2F61" w:rsidRPr="00EA2F61">
              <w:t>Vanguard Specimen and Data Request Form (Attachment A.3)</w:t>
            </w:r>
          </w:p>
        </w:tc>
        <w:tc>
          <w:tcPr>
            <w:tcW w:w="1561" w:type="dxa"/>
            <w:tcBorders>
              <w:top w:val="single" w:sz="6" w:space="0" w:color="auto"/>
              <w:left w:val="single" w:sz="6" w:space="0" w:color="auto"/>
              <w:bottom w:val="single" w:sz="6" w:space="0" w:color="auto"/>
            </w:tcBorders>
            <w:vAlign w:val="center"/>
          </w:tcPr>
          <w:p w14:paraId="135286B8" w14:textId="77777777" w:rsidR="00EA2F61" w:rsidRPr="00403369" w:rsidRDefault="00EA2F61" w:rsidP="00EA2F61">
            <w:pPr>
              <w:jc w:val="right"/>
            </w:pPr>
            <w:r>
              <w:t>50</w:t>
            </w:r>
          </w:p>
        </w:tc>
        <w:tc>
          <w:tcPr>
            <w:tcW w:w="1260" w:type="dxa"/>
            <w:tcBorders>
              <w:top w:val="single" w:sz="6" w:space="0" w:color="auto"/>
              <w:left w:val="single" w:sz="6" w:space="0" w:color="auto"/>
              <w:bottom w:val="single" w:sz="6" w:space="0" w:color="auto"/>
            </w:tcBorders>
            <w:vAlign w:val="center"/>
          </w:tcPr>
          <w:p w14:paraId="6006F777" w14:textId="77777777" w:rsidR="00EA2F61" w:rsidRPr="00403369" w:rsidRDefault="00EA2F61" w:rsidP="00EA2F61">
            <w:pPr>
              <w:jc w:val="right"/>
            </w:pPr>
            <w:r>
              <w:t>1</w:t>
            </w:r>
          </w:p>
        </w:tc>
        <w:tc>
          <w:tcPr>
            <w:tcW w:w="1620" w:type="dxa"/>
            <w:tcBorders>
              <w:top w:val="single" w:sz="6" w:space="0" w:color="auto"/>
              <w:left w:val="single" w:sz="6" w:space="0" w:color="auto"/>
              <w:bottom w:val="single" w:sz="6" w:space="0" w:color="auto"/>
            </w:tcBorders>
            <w:vAlign w:val="center"/>
          </w:tcPr>
          <w:p w14:paraId="06507A08" w14:textId="77777777" w:rsidR="00EA2F61" w:rsidRPr="00403369" w:rsidRDefault="00EA2F61" w:rsidP="00EA2F61">
            <w:pPr>
              <w:jc w:val="right"/>
            </w:pPr>
            <w:r>
              <w:t>30/60</w:t>
            </w:r>
          </w:p>
        </w:tc>
        <w:tc>
          <w:tcPr>
            <w:tcW w:w="1350" w:type="dxa"/>
            <w:tcBorders>
              <w:top w:val="single" w:sz="6" w:space="0" w:color="auto"/>
              <w:left w:val="single" w:sz="6" w:space="0" w:color="auto"/>
              <w:bottom w:val="single" w:sz="6" w:space="0" w:color="auto"/>
              <w:right w:val="single" w:sz="6" w:space="0" w:color="auto"/>
            </w:tcBorders>
            <w:vAlign w:val="center"/>
          </w:tcPr>
          <w:p w14:paraId="58664AAA" w14:textId="77777777" w:rsidR="00EA2F61" w:rsidRPr="00422CF2" w:rsidRDefault="00EA2F61" w:rsidP="00EA2F61">
            <w:pPr>
              <w:jc w:val="right"/>
            </w:pPr>
            <w:r w:rsidRPr="00422CF2">
              <w:t>25</w:t>
            </w:r>
          </w:p>
        </w:tc>
      </w:tr>
      <w:tr w:rsidR="00EA2F61" w:rsidRPr="00403369" w14:paraId="7686D098" w14:textId="77777777" w:rsidTr="00BE233A">
        <w:trPr>
          <w:cantSplit/>
          <w:trHeight w:val="678"/>
          <w:jc w:val="center"/>
        </w:trPr>
        <w:tc>
          <w:tcPr>
            <w:tcW w:w="2003" w:type="dxa"/>
            <w:tcBorders>
              <w:top w:val="single" w:sz="6" w:space="0" w:color="auto"/>
              <w:left w:val="single" w:sz="6" w:space="0" w:color="auto"/>
              <w:bottom w:val="single" w:sz="6" w:space="0" w:color="auto"/>
            </w:tcBorders>
            <w:vAlign w:val="center"/>
          </w:tcPr>
          <w:p w14:paraId="4BF21924" w14:textId="77777777" w:rsidR="00EA2F61" w:rsidRPr="00CA5C24" w:rsidRDefault="00EA2F61" w:rsidP="00EA2F61">
            <w:r>
              <w:t>Research scientists</w:t>
            </w:r>
          </w:p>
        </w:tc>
        <w:tc>
          <w:tcPr>
            <w:tcW w:w="2039" w:type="dxa"/>
            <w:tcBorders>
              <w:top w:val="single" w:sz="6" w:space="0" w:color="auto"/>
              <w:left w:val="single" w:sz="6" w:space="0" w:color="auto"/>
              <w:bottom w:val="single" w:sz="6" w:space="0" w:color="auto"/>
            </w:tcBorders>
          </w:tcPr>
          <w:p w14:paraId="21BB56FE" w14:textId="77777777" w:rsidR="00EA2F61" w:rsidRPr="00EA2F61" w:rsidRDefault="00EA2F61" w:rsidP="00EA2F61">
            <w:r w:rsidRPr="00EA2F61">
              <w:t>Research Materials Distribution Agreement (Attachment A.4)</w:t>
            </w:r>
          </w:p>
        </w:tc>
        <w:tc>
          <w:tcPr>
            <w:tcW w:w="1561" w:type="dxa"/>
            <w:tcBorders>
              <w:top w:val="single" w:sz="6" w:space="0" w:color="auto"/>
              <w:left w:val="single" w:sz="6" w:space="0" w:color="auto"/>
              <w:bottom w:val="single" w:sz="6" w:space="0" w:color="auto"/>
            </w:tcBorders>
            <w:vAlign w:val="center"/>
          </w:tcPr>
          <w:p w14:paraId="2B050ABE" w14:textId="77777777" w:rsidR="00EA2F61" w:rsidRPr="00403369" w:rsidRDefault="00EA2F61" w:rsidP="00EA2F61">
            <w:pPr>
              <w:jc w:val="right"/>
            </w:pPr>
            <w:r w:rsidRPr="00403369">
              <w:t>100</w:t>
            </w:r>
          </w:p>
        </w:tc>
        <w:tc>
          <w:tcPr>
            <w:tcW w:w="1260" w:type="dxa"/>
            <w:tcBorders>
              <w:top w:val="single" w:sz="6" w:space="0" w:color="auto"/>
              <w:left w:val="single" w:sz="6" w:space="0" w:color="auto"/>
              <w:bottom w:val="single" w:sz="6" w:space="0" w:color="auto"/>
            </w:tcBorders>
            <w:vAlign w:val="center"/>
          </w:tcPr>
          <w:p w14:paraId="7B79E4E6" w14:textId="77777777" w:rsidR="00EA2F61" w:rsidRPr="00403369" w:rsidRDefault="00EA2F61" w:rsidP="00EA2F61">
            <w:pPr>
              <w:jc w:val="right"/>
            </w:pPr>
            <w:r w:rsidRPr="00403369">
              <w:t>1</w:t>
            </w:r>
          </w:p>
        </w:tc>
        <w:tc>
          <w:tcPr>
            <w:tcW w:w="1620" w:type="dxa"/>
            <w:tcBorders>
              <w:top w:val="single" w:sz="6" w:space="0" w:color="auto"/>
              <w:left w:val="single" w:sz="6" w:space="0" w:color="auto"/>
              <w:bottom w:val="single" w:sz="6" w:space="0" w:color="auto"/>
            </w:tcBorders>
            <w:vAlign w:val="center"/>
          </w:tcPr>
          <w:p w14:paraId="0E4F4F82" w14:textId="77777777" w:rsidR="00EA2F61" w:rsidRPr="00403369" w:rsidRDefault="00EA2F61" w:rsidP="00EA2F61">
            <w:pPr>
              <w:jc w:val="right"/>
            </w:pPr>
            <w:r>
              <w:t>10/60</w:t>
            </w:r>
          </w:p>
        </w:tc>
        <w:tc>
          <w:tcPr>
            <w:tcW w:w="1350" w:type="dxa"/>
            <w:tcBorders>
              <w:top w:val="single" w:sz="6" w:space="0" w:color="auto"/>
              <w:left w:val="single" w:sz="6" w:space="0" w:color="auto"/>
              <w:bottom w:val="single" w:sz="6" w:space="0" w:color="auto"/>
              <w:right w:val="single" w:sz="6" w:space="0" w:color="auto"/>
            </w:tcBorders>
            <w:vAlign w:val="center"/>
          </w:tcPr>
          <w:p w14:paraId="13A9DCC3" w14:textId="77777777" w:rsidR="00EA2F61" w:rsidRPr="00422CF2" w:rsidRDefault="00EA2F61" w:rsidP="00EA2F61">
            <w:pPr>
              <w:jc w:val="right"/>
            </w:pPr>
            <w:r w:rsidRPr="00422CF2">
              <w:t>17</w:t>
            </w:r>
          </w:p>
        </w:tc>
      </w:tr>
      <w:tr w:rsidR="00EA2F61" w:rsidRPr="00403369" w14:paraId="66589AE0" w14:textId="77777777" w:rsidTr="005B3309">
        <w:trPr>
          <w:cantSplit/>
          <w:trHeight w:val="403"/>
          <w:jc w:val="center"/>
        </w:trPr>
        <w:tc>
          <w:tcPr>
            <w:tcW w:w="2003" w:type="dxa"/>
            <w:tcBorders>
              <w:top w:val="single" w:sz="6" w:space="0" w:color="auto"/>
              <w:left w:val="single" w:sz="6" w:space="0" w:color="auto"/>
              <w:bottom w:val="single" w:sz="6" w:space="0" w:color="auto"/>
            </w:tcBorders>
            <w:vAlign w:val="center"/>
          </w:tcPr>
          <w:p w14:paraId="2CFD5A6B" w14:textId="77777777" w:rsidR="00EA2F61" w:rsidRPr="00CA5C24" w:rsidRDefault="00EA2F61" w:rsidP="00EA2F61"/>
        </w:tc>
        <w:tc>
          <w:tcPr>
            <w:tcW w:w="2039" w:type="dxa"/>
            <w:tcBorders>
              <w:top w:val="single" w:sz="6" w:space="0" w:color="auto"/>
              <w:left w:val="single" w:sz="6" w:space="0" w:color="auto"/>
              <w:bottom w:val="single" w:sz="6" w:space="0" w:color="auto"/>
            </w:tcBorders>
            <w:vAlign w:val="center"/>
          </w:tcPr>
          <w:p w14:paraId="0E8296D0" w14:textId="77777777" w:rsidR="00EA2F61" w:rsidRPr="00CA5C24" w:rsidRDefault="00EA2F61" w:rsidP="00EA2F61">
            <w:r w:rsidRPr="00CA5C24">
              <w:t>Total</w:t>
            </w:r>
          </w:p>
        </w:tc>
        <w:tc>
          <w:tcPr>
            <w:tcW w:w="1561" w:type="dxa"/>
            <w:tcBorders>
              <w:top w:val="single" w:sz="6" w:space="0" w:color="auto"/>
              <w:left w:val="single" w:sz="6" w:space="0" w:color="auto"/>
              <w:bottom w:val="single" w:sz="6" w:space="0" w:color="auto"/>
            </w:tcBorders>
            <w:vAlign w:val="center"/>
          </w:tcPr>
          <w:p w14:paraId="42E0582B" w14:textId="68B3BF5D" w:rsidR="00EA2F61" w:rsidRDefault="00DF5E85" w:rsidP="00EA2F61">
            <w:pPr>
              <w:jc w:val="right"/>
            </w:pPr>
            <w:r>
              <w:t>5</w:t>
            </w:r>
            <w:r w:rsidR="006D2AA2">
              <w:t>00</w:t>
            </w:r>
          </w:p>
        </w:tc>
        <w:tc>
          <w:tcPr>
            <w:tcW w:w="1260" w:type="dxa"/>
            <w:tcBorders>
              <w:top w:val="single" w:sz="6" w:space="0" w:color="auto"/>
              <w:left w:val="single" w:sz="6" w:space="0" w:color="auto"/>
              <w:bottom w:val="single" w:sz="6" w:space="0" w:color="auto"/>
            </w:tcBorders>
            <w:vAlign w:val="center"/>
          </w:tcPr>
          <w:p w14:paraId="33A342B6" w14:textId="52C13C35" w:rsidR="00EA2F61" w:rsidRPr="00403369" w:rsidRDefault="00DF5E85" w:rsidP="00EA2F61">
            <w:pPr>
              <w:jc w:val="right"/>
            </w:pPr>
            <w:r>
              <w:t>5</w:t>
            </w:r>
            <w:r w:rsidR="006D2AA2">
              <w:t>00</w:t>
            </w:r>
          </w:p>
        </w:tc>
        <w:tc>
          <w:tcPr>
            <w:tcW w:w="1620" w:type="dxa"/>
            <w:tcBorders>
              <w:top w:val="single" w:sz="6" w:space="0" w:color="auto"/>
              <w:left w:val="single" w:sz="6" w:space="0" w:color="auto"/>
              <w:bottom w:val="single" w:sz="6" w:space="0" w:color="auto"/>
            </w:tcBorders>
            <w:shd w:val="clear" w:color="auto" w:fill="BFBFBF" w:themeFill="background1" w:themeFillShade="BF"/>
            <w:vAlign w:val="center"/>
          </w:tcPr>
          <w:p w14:paraId="194318D6" w14:textId="5A2FACE5" w:rsidR="00EA2F61" w:rsidRDefault="00EA2F61" w:rsidP="005B3309">
            <w:pPr>
              <w:jc w:val="center"/>
            </w:pPr>
          </w:p>
        </w:tc>
        <w:tc>
          <w:tcPr>
            <w:tcW w:w="1350" w:type="dxa"/>
            <w:tcBorders>
              <w:top w:val="single" w:sz="6" w:space="0" w:color="auto"/>
              <w:left w:val="single" w:sz="6" w:space="0" w:color="auto"/>
              <w:bottom w:val="single" w:sz="6" w:space="0" w:color="auto"/>
              <w:right w:val="single" w:sz="6" w:space="0" w:color="auto"/>
            </w:tcBorders>
            <w:vAlign w:val="center"/>
          </w:tcPr>
          <w:p w14:paraId="3E1C7F9E" w14:textId="77777777" w:rsidR="00EA2F61" w:rsidRPr="00422CF2" w:rsidRDefault="00EA2F61" w:rsidP="00EA2F61">
            <w:pPr>
              <w:jc w:val="right"/>
            </w:pPr>
            <w:r w:rsidRPr="00422CF2">
              <w:t>109</w:t>
            </w:r>
          </w:p>
        </w:tc>
      </w:tr>
    </w:tbl>
    <w:p w14:paraId="703A7257" w14:textId="77777777" w:rsidR="009A023E" w:rsidRPr="006E72C2" w:rsidRDefault="009A023E" w:rsidP="0086248B">
      <w:pPr>
        <w:spacing w:after="0" w:line="240" w:lineRule="auto"/>
        <w:rPr>
          <w:rFonts w:eastAsia="Times New Roman" w:cs="Times New Roman"/>
          <w:b/>
          <w:smallCaps/>
          <w:color w:val="000000" w:themeColor="text1"/>
          <w:sz w:val="32"/>
        </w:rPr>
      </w:pPr>
    </w:p>
    <w:p w14:paraId="0D417430" w14:textId="77777777" w:rsidR="00190C83" w:rsidRDefault="00190C83" w:rsidP="0086248B">
      <w:pPr>
        <w:spacing w:after="0" w:line="240" w:lineRule="auto"/>
        <w:rPr>
          <w:rFonts w:eastAsia="Times New Roman" w:cs="Times New Roman"/>
          <w:b/>
          <w:smallCaps/>
          <w:color w:val="000000" w:themeColor="text1"/>
        </w:rPr>
      </w:pPr>
    </w:p>
    <w:p w14:paraId="2312FD3A" w14:textId="77777777" w:rsidR="008D1D2B" w:rsidRDefault="008D1D2B" w:rsidP="0086248B">
      <w:pPr>
        <w:spacing w:after="0" w:line="240" w:lineRule="auto"/>
        <w:rPr>
          <w:rFonts w:eastAsia="Times New Roman" w:cs="Times New Roman"/>
          <w:b/>
          <w:smallCaps/>
          <w:color w:val="000000" w:themeColor="text1"/>
        </w:rPr>
      </w:pPr>
      <w:bookmarkStart w:id="26" w:name="_Hlk485739339"/>
    </w:p>
    <w:p w14:paraId="10320160" w14:textId="77777777" w:rsidR="002F07E6" w:rsidRDefault="002F07E6">
      <w:pPr>
        <w:rPr>
          <w:rFonts w:eastAsia="Times New Roman" w:cs="Times New Roman"/>
          <w:b/>
          <w:smallCaps/>
          <w:color w:val="000000" w:themeColor="text1"/>
        </w:rPr>
      </w:pPr>
      <w:r>
        <w:rPr>
          <w:rFonts w:eastAsia="Times New Roman" w:cs="Times New Roman"/>
          <w:b/>
          <w:smallCaps/>
          <w:color w:val="000000" w:themeColor="text1"/>
        </w:rPr>
        <w:br w:type="page"/>
      </w:r>
    </w:p>
    <w:p w14:paraId="2A895EDB" w14:textId="198EA3E3" w:rsidR="00EE245F" w:rsidRPr="00EE245F" w:rsidRDefault="00EE245F" w:rsidP="0086248B">
      <w:pPr>
        <w:spacing w:after="0" w:line="240" w:lineRule="auto"/>
        <w:rPr>
          <w:rFonts w:eastAsia="Times New Roman" w:cs="Times New Roman"/>
          <w:b/>
          <w:smallCaps/>
          <w:color w:val="000000" w:themeColor="text1"/>
        </w:rPr>
      </w:pPr>
      <w:r w:rsidRPr="00717158">
        <w:rPr>
          <w:rFonts w:eastAsia="Times New Roman" w:cs="Times New Roman"/>
          <w:b/>
          <w:smallCaps/>
          <w:color w:val="000000" w:themeColor="text1"/>
        </w:rPr>
        <w:t>A.12</w:t>
      </w:r>
      <w:r w:rsidR="00221454">
        <w:rPr>
          <w:rFonts w:eastAsia="Times New Roman" w:cs="Times New Roman"/>
          <w:b/>
          <w:smallCaps/>
          <w:color w:val="000000" w:themeColor="text1"/>
        </w:rPr>
        <w:t>.</w:t>
      </w:r>
      <w:r w:rsidRPr="00717158">
        <w:rPr>
          <w:rFonts w:eastAsia="Times New Roman" w:cs="Times New Roman"/>
          <w:b/>
          <w:smallCaps/>
          <w:color w:val="000000" w:themeColor="text1"/>
        </w:rPr>
        <w:t>2</w:t>
      </w:r>
      <w:r w:rsidRPr="00717158">
        <w:rPr>
          <w:rFonts w:eastAsia="Times New Roman" w:cs="Times New Roman"/>
          <w:b/>
          <w:smallCaps/>
          <w:color w:val="000000" w:themeColor="text1"/>
        </w:rPr>
        <w:tab/>
      </w:r>
      <w:r w:rsidR="00BF491C" w:rsidRPr="00717158">
        <w:rPr>
          <w:rFonts w:eastAsia="Times New Roman" w:cs="Times New Roman"/>
          <w:b/>
          <w:smallCaps/>
          <w:color w:val="000000" w:themeColor="text1"/>
        </w:rPr>
        <w:t>Annual Cost to respondent</w:t>
      </w:r>
    </w:p>
    <w:bookmarkEnd w:id="26"/>
    <w:p w14:paraId="7308C7A7" w14:textId="77777777" w:rsidR="002C5D4F" w:rsidRDefault="002C5D4F" w:rsidP="00BF491C"/>
    <w:p w14:paraId="32E0588A" w14:textId="77777777" w:rsidR="00CF36BD" w:rsidRDefault="00B93C77" w:rsidP="002C5D4F">
      <w:pPr>
        <w:ind w:left="1440" w:firstLine="720"/>
      </w:pPr>
      <w:bookmarkStart w:id="27" w:name="_Hlk485739654"/>
      <w:r>
        <w:t>Table 12-2 Annualized Cost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2294"/>
        <w:gridCol w:w="2287"/>
        <w:gridCol w:w="1200"/>
        <w:gridCol w:w="1887"/>
      </w:tblGrid>
      <w:tr w:rsidR="009A023E" w:rsidRPr="00303F3C" w14:paraId="6D5204C4" w14:textId="77777777" w:rsidTr="00EA2F61">
        <w:trPr>
          <w:trHeight w:val="1079"/>
        </w:trPr>
        <w:tc>
          <w:tcPr>
            <w:tcW w:w="1970" w:type="dxa"/>
            <w:vAlign w:val="center"/>
          </w:tcPr>
          <w:bookmarkEnd w:id="27"/>
          <w:p w14:paraId="63B17E2C" w14:textId="77777777" w:rsidR="009A023E" w:rsidRPr="00CA5C24" w:rsidRDefault="009A023E" w:rsidP="00EA2F61">
            <w:pPr>
              <w:jc w:val="center"/>
            </w:pPr>
            <w:r w:rsidRPr="00CA5C24">
              <w:t>Type of Respondent</w:t>
            </w:r>
          </w:p>
        </w:tc>
        <w:tc>
          <w:tcPr>
            <w:tcW w:w="2294" w:type="dxa"/>
            <w:vAlign w:val="center"/>
          </w:tcPr>
          <w:p w14:paraId="2B42483C" w14:textId="77777777" w:rsidR="009A023E" w:rsidRPr="00EA2F61" w:rsidRDefault="009A023E" w:rsidP="00EA2F61">
            <w:pPr>
              <w:jc w:val="center"/>
            </w:pPr>
            <w:r w:rsidRPr="00EA2F61">
              <w:t>Form</w:t>
            </w:r>
          </w:p>
        </w:tc>
        <w:tc>
          <w:tcPr>
            <w:tcW w:w="2287" w:type="dxa"/>
            <w:vAlign w:val="center"/>
          </w:tcPr>
          <w:p w14:paraId="28D9EF01" w14:textId="77777777" w:rsidR="009A023E" w:rsidRPr="00EA2F61" w:rsidRDefault="009A023E" w:rsidP="00EA2F61">
            <w:pPr>
              <w:jc w:val="center"/>
            </w:pPr>
            <w:r w:rsidRPr="00EA2F61">
              <w:t>Estimate Total Annual Burden Hours</w:t>
            </w:r>
          </w:p>
        </w:tc>
        <w:tc>
          <w:tcPr>
            <w:tcW w:w="1200" w:type="dxa"/>
            <w:vAlign w:val="center"/>
          </w:tcPr>
          <w:p w14:paraId="4BB2BE99" w14:textId="77777777" w:rsidR="009A023E" w:rsidRPr="00295BA5" w:rsidRDefault="009A023E" w:rsidP="00EA2F61">
            <w:pPr>
              <w:jc w:val="center"/>
              <w:rPr>
                <w:highlight w:val="yellow"/>
              </w:rPr>
            </w:pPr>
            <w:r w:rsidRPr="00295BA5">
              <w:rPr>
                <w:highlight w:val="yellow"/>
              </w:rPr>
              <w:t>Wage Rate</w:t>
            </w:r>
          </w:p>
        </w:tc>
        <w:tc>
          <w:tcPr>
            <w:tcW w:w="1887" w:type="dxa"/>
            <w:vAlign w:val="center"/>
          </w:tcPr>
          <w:p w14:paraId="2346C721" w14:textId="77777777" w:rsidR="009A023E" w:rsidRPr="00295BA5" w:rsidRDefault="009A023E" w:rsidP="00EA2F61">
            <w:pPr>
              <w:jc w:val="center"/>
              <w:rPr>
                <w:highlight w:val="yellow"/>
              </w:rPr>
            </w:pPr>
            <w:r w:rsidRPr="00295BA5">
              <w:rPr>
                <w:highlight w:val="yellow"/>
              </w:rPr>
              <w:t>Total Costs</w:t>
            </w:r>
          </w:p>
        </w:tc>
      </w:tr>
      <w:tr w:rsidR="009A023E" w14:paraId="02EBC54D" w14:textId="77777777" w:rsidTr="0027057F">
        <w:tc>
          <w:tcPr>
            <w:tcW w:w="1970" w:type="dxa"/>
            <w:vAlign w:val="center"/>
          </w:tcPr>
          <w:p w14:paraId="7E8DD3DA" w14:textId="77777777" w:rsidR="009A023E" w:rsidRPr="00CA5C24" w:rsidRDefault="009A023E" w:rsidP="009A023E">
            <w:r>
              <w:t>Research scientists</w:t>
            </w:r>
          </w:p>
        </w:tc>
        <w:tc>
          <w:tcPr>
            <w:tcW w:w="2294" w:type="dxa"/>
          </w:tcPr>
          <w:p w14:paraId="22054DC1" w14:textId="77777777" w:rsidR="009A023E" w:rsidRPr="00EA2F61" w:rsidRDefault="00D646FF" w:rsidP="009A023E">
            <w:r>
              <w:t xml:space="preserve">NCS Vanguard </w:t>
            </w:r>
            <w:r w:rsidR="009A023E" w:rsidRPr="00EA2F61">
              <w:t>Downloadable Data Access Form (Attachment A.1)</w:t>
            </w:r>
          </w:p>
        </w:tc>
        <w:tc>
          <w:tcPr>
            <w:tcW w:w="2287" w:type="dxa"/>
            <w:vAlign w:val="center"/>
          </w:tcPr>
          <w:p w14:paraId="4084ACD2" w14:textId="77777777" w:rsidR="009A023E" w:rsidRDefault="009A023E" w:rsidP="009A023E">
            <w:pPr>
              <w:jc w:val="right"/>
            </w:pPr>
            <w:r>
              <w:t>50</w:t>
            </w:r>
          </w:p>
        </w:tc>
        <w:tc>
          <w:tcPr>
            <w:tcW w:w="1200" w:type="dxa"/>
            <w:vAlign w:val="center"/>
          </w:tcPr>
          <w:p w14:paraId="3CE6C79C" w14:textId="54B144E6" w:rsidR="009A023E" w:rsidRPr="00295BA5" w:rsidRDefault="009A023E" w:rsidP="009A023E">
            <w:pPr>
              <w:jc w:val="right"/>
              <w:rPr>
                <w:highlight w:val="yellow"/>
              </w:rPr>
            </w:pPr>
            <w:r w:rsidRPr="00295BA5">
              <w:rPr>
                <w:highlight w:val="yellow"/>
              </w:rPr>
              <w:t xml:space="preserve">$ </w:t>
            </w:r>
            <w:r w:rsidR="0041618F">
              <w:rPr>
                <w:highlight w:val="yellow"/>
              </w:rPr>
              <w:t>35</w:t>
            </w:r>
            <w:r w:rsidRPr="00295BA5">
              <w:rPr>
                <w:highlight w:val="yellow"/>
              </w:rPr>
              <w:t>.</w:t>
            </w:r>
            <w:r w:rsidR="0041618F">
              <w:rPr>
                <w:highlight w:val="yellow"/>
              </w:rPr>
              <w:t>76</w:t>
            </w:r>
          </w:p>
        </w:tc>
        <w:tc>
          <w:tcPr>
            <w:tcW w:w="1887" w:type="dxa"/>
            <w:vAlign w:val="center"/>
          </w:tcPr>
          <w:p w14:paraId="7C8484E8" w14:textId="64EE83FF" w:rsidR="009A023E" w:rsidRPr="00295BA5" w:rsidRDefault="009A023E" w:rsidP="009A023E">
            <w:pPr>
              <w:jc w:val="right"/>
              <w:rPr>
                <w:highlight w:val="yellow"/>
              </w:rPr>
            </w:pPr>
            <w:r w:rsidRPr="00295BA5">
              <w:rPr>
                <w:highlight w:val="yellow"/>
              </w:rPr>
              <w:t xml:space="preserve">$ </w:t>
            </w:r>
            <w:r w:rsidR="00330735">
              <w:rPr>
                <w:highlight w:val="yellow"/>
              </w:rPr>
              <w:t>1</w:t>
            </w:r>
            <w:r w:rsidRPr="00295BA5">
              <w:rPr>
                <w:highlight w:val="yellow"/>
              </w:rPr>
              <w:t>,7</w:t>
            </w:r>
            <w:r w:rsidR="00330735">
              <w:rPr>
                <w:highlight w:val="yellow"/>
              </w:rPr>
              <w:t>88</w:t>
            </w:r>
          </w:p>
        </w:tc>
      </w:tr>
      <w:tr w:rsidR="009A023E" w:rsidRPr="005D5794" w14:paraId="5F58BAB3" w14:textId="77777777" w:rsidTr="0027057F">
        <w:tc>
          <w:tcPr>
            <w:tcW w:w="1970" w:type="dxa"/>
            <w:vAlign w:val="center"/>
          </w:tcPr>
          <w:p w14:paraId="29FCC8C1" w14:textId="77777777" w:rsidR="009A023E" w:rsidRPr="00CA5C24" w:rsidRDefault="009A023E" w:rsidP="009A023E">
            <w:r>
              <w:t>Research scientists</w:t>
            </w:r>
          </w:p>
        </w:tc>
        <w:tc>
          <w:tcPr>
            <w:tcW w:w="2294" w:type="dxa"/>
          </w:tcPr>
          <w:p w14:paraId="61AE6D47" w14:textId="77777777" w:rsidR="009A023E" w:rsidRPr="00EA2F61" w:rsidRDefault="00D646FF" w:rsidP="009A023E">
            <w:r>
              <w:t xml:space="preserve">NCS </w:t>
            </w:r>
            <w:r w:rsidR="009A023E" w:rsidRPr="00EA2F61">
              <w:t>Vanguard Data Request Form (Attachment A.2)</w:t>
            </w:r>
          </w:p>
        </w:tc>
        <w:tc>
          <w:tcPr>
            <w:tcW w:w="2287" w:type="dxa"/>
            <w:vAlign w:val="center"/>
          </w:tcPr>
          <w:p w14:paraId="7BA3337A" w14:textId="77777777" w:rsidR="009A023E" w:rsidRDefault="009A023E" w:rsidP="009A023E">
            <w:pPr>
              <w:jc w:val="right"/>
            </w:pPr>
            <w:r>
              <w:t>17</w:t>
            </w:r>
          </w:p>
        </w:tc>
        <w:tc>
          <w:tcPr>
            <w:tcW w:w="1200" w:type="dxa"/>
            <w:vAlign w:val="center"/>
          </w:tcPr>
          <w:p w14:paraId="3EFAC4BC" w14:textId="26498B00" w:rsidR="009A023E" w:rsidRPr="00295BA5" w:rsidRDefault="009A023E" w:rsidP="009A023E">
            <w:pPr>
              <w:jc w:val="right"/>
              <w:rPr>
                <w:highlight w:val="yellow"/>
              </w:rPr>
            </w:pPr>
            <w:r w:rsidRPr="00295BA5">
              <w:rPr>
                <w:highlight w:val="yellow"/>
              </w:rPr>
              <w:t xml:space="preserve">$ </w:t>
            </w:r>
            <w:r w:rsidR="0041618F">
              <w:rPr>
                <w:highlight w:val="yellow"/>
              </w:rPr>
              <w:t>35</w:t>
            </w:r>
            <w:r w:rsidRPr="00295BA5">
              <w:rPr>
                <w:highlight w:val="yellow"/>
              </w:rPr>
              <w:t>.</w:t>
            </w:r>
            <w:r w:rsidR="0041618F">
              <w:rPr>
                <w:highlight w:val="yellow"/>
              </w:rPr>
              <w:t>76</w:t>
            </w:r>
          </w:p>
        </w:tc>
        <w:tc>
          <w:tcPr>
            <w:tcW w:w="1887" w:type="dxa"/>
            <w:vAlign w:val="center"/>
          </w:tcPr>
          <w:p w14:paraId="355A2C0D" w14:textId="6E6641AF" w:rsidR="009A023E" w:rsidRPr="00295BA5" w:rsidRDefault="009A023E" w:rsidP="009A023E">
            <w:pPr>
              <w:jc w:val="right"/>
              <w:rPr>
                <w:highlight w:val="yellow"/>
              </w:rPr>
            </w:pPr>
            <w:r w:rsidRPr="00295BA5">
              <w:rPr>
                <w:highlight w:val="yellow"/>
              </w:rPr>
              <w:t xml:space="preserve">$ </w:t>
            </w:r>
            <w:r w:rsidR="00330735">
              <w:rPr>
                <w:highlight w:val="yellow"/>
              </w:rPr>
              <w:t>608</w:t>
            </w:r>
          </w:p>
        </w:tc>
      </w:tr>
      <w:tr w:rsidR="009A023E" w:rsidRPr="005D5794" w14:paraId="20FC8DF3" w14:textId="77777777" w:rsidTr="0027057F">
        <w:tc>
          <w:tcPr>
            <w:tcW w:w="1970" w:type="dxa"/>
            <w:vAlign w:val="center"/>
          </w:tcPr>
          <w:p w14:paraId="69FF45E8" w14:textId="77777777" w:rsidR="009A023E" w:rsidRPr="00CA5C24" w:rsidRDefault="009A023E" w:rsidP="009A023E">
            <w:r>
              <w:t>Research scientists</w:t>
            </w:r>
          </w:p>
        </w:tc>
        <w:tc>
          <w:tcPr>
            <w:tcW w:w="2294" w:type="dxa"/>
          </w:tcPr>
          <w:p w14:paraId="0129D02B" w14:textId="77777777" w:rsidR="009A023E" w:rsidRPr="00EA2F61" w:rsidRDefault="00D646FF" w:rsidP="009A023E">
            <w:r>
              <w:t xml:space="preserve">NCS </w:t>
            </w:r>
            <w:r w:rsidR="009A023E" w:rsidRPr="00EA2F61">
              <w:t>Vanguard Specimen and Data Request Form (Attachment A.3)</w:t>
            </w:r>
          </w:p>
        </w:tc>
        <w:tc>
          <w:tcPr>
            <w:tcW w:w="2287" w:type="dxa"/>
            <w:vAlign w:val="center"/>
          </w:tcPr>
          <w:p w14:paraId="3C23B0E7" w14:textId="77777777" w:rsidR="009A023E" w:rsidRDefault="009A023E" w:rsidP="009A023E">
            <w:pPr>
              <w:jc w:val="right"/>
            </w:pPr>
            <w:r>
              <w:t>25</w:t>
            </w:r>
          </w:p>
        </w:tc>
        <w:tc>
          <w:tcPr>
            <w:tcW w:w="1200" w:type="dxa"/>
            <w:vAlign w:val="center"/>
          </w:tcPr>
          <w:p w14:paraId="404658FF" w14:textId="7432388A" w:rsidR="009A023E" w:rsidRPr="00295BA5" w:rsidRDefault="009A023E" w:rsidP="009A023E">
            <w:pPr>
              <w:jc w:val="right"/>
              <w:rPr>
                <w:highlight w:val="yellow"/>
              </w:rPr>
            </w:pPr>
            <w:r w:rsidRPr="00295BA5">
              <w:rPr>
                <w:highlight w:val="yellow"/>
              </w:rPr>
              <w:t xml:space="preserve">$ </w:t>
            </w:r>
            <w:r w:rsidR="0041618F">
              <w:rPr>
                <w:highlight w:val="yellow"/>
              </w:rPr>
              <w:t>35</w:t>
            </w:r>
            <w:r w:rsidRPr="00295BA5">
              <w:rPr>
                <w:highlight w:val="yellow"/>
              </w:rPr>
              <w:t>.</w:t>
            </w:r>
            <w:r w:rsidR="0041618F">
              <w:rPr>
                <w:highlight w:val="yellow"/>
              </w:rPr>
              <w:t>76</w:t>
            </w:r>
          </w:p>
        </w:tc>
        <w:tc>
          <w:tcPr>
            <w:tcW w:w="1887" w:type="dxa"/>
            <w:vAlign w:val="center"/>
          </w:tcPr>
          <w:p w14:paraId="65D11416" w14:textId="45B00104" w:rsidR="009A023E" w:rsidRPr="00295BA5" w:rsidRDefault="009A023E" w:rsidP="009A023E">
            <w:pPr>
              <w:jc w:val="right"/>
              <w:rPr>
                <w:highlight w:val="yellow"/>
              </w:rPr>
            </w:pPr>
            <w:r w:rsidRPr="00295BA5">
              <w:rPr>
                <w:highlight w:val="yellow"/>
              </w:rPr>
              <w:t>$ 8</w:t>
            </w:r>
            <w:r w:rsidR="00330735">
              <w:rPr>
                <w:highlight w:val="yellow"/>
              </w:rPr>
              <w:t>94</w:t>
            </w:r>
          </w:p>
        </w:tc>
      </w:tr>
      <w:tr w:rsidR="009A023E" w:rsidRPr="005D5794" w14:paraId="6F31387E" w14:textId="77777777" w:rsidTr="0027057F">
        <w:tc>
          <w:tcPr>
            <w:tcW w:w="1970" w:type="dxa"/>
            <w:vAlign w:val="center"/>
          </w:tcPr>
          <w:p w14:paraId="13DE63B8" w14:textId="77777777" w:rsidR="009A023E" w:rsidRPr="00CA5C24" w:rsidRDefault="009A023E" w:rsidP="009A023E">
            <w:r>
              <w:t>Research scientists</w:t>
            </w:r>
          </w:p>
        </w:tc>
        <w:tc>
          <w:tcPr>
            <w:tcW w:w="2294" w:type="dxa"/>
          </w:tcPr>
          <w:p w14:paraId="55A44569" w14:textId="77777777" w:rsidR="009A023E" w:rsidRPr="00EA2F61" w:rsidRDefault="009A023E" w:rsidP="009A023E">
            <w:r w:rsidRPr="00EA2F61">
              <w:t>Research Materials Distribution Agreement (Attachment A.4)</w:t>
            </w:r>
          </w:p>
        </w:tc>
        <w:tc>
          <w:tcPr>
            <w:tcW w:w="2287" w:type="dxa"/>
            <w:vAlign w:val="center"/>
          </w:tcPr>
          <w:p w14:paraId="1A07B67F" w14:textId="77777777" w:rsidR="009A023E" w:rsidRDefault="009A023E" w:rsidP="009A023E">
            <w:pPr>
              <w:jc w:val="right"/>
            </w:pPr>
            <w:r>
              <w:t>17</w:t>
            </w:r>
          </w:p>
        </w:tc>
        <w:tc>
          <w:tcPr>
            <w:tcW w:w="1200" w:type="dxa"/>
            <w:vAlign w:val="center"/>
          </w:tcPr>
          <w:p w14:paraId="34F0E873" w14:textId="5459A629" w:rsidR="009A023E" w:rsidRPr="00295BA5" w:rsidRDefault="009A023E" w:rsidP="009A023E">
            <w:pPr>
              <w:jc w:val="right"/>
              <w:rPr>
                <w:highlight w:val="yellow"/>
              </w:rPr>
            </w:pPr>
            <w:r w:rsidRPr="00295BA5">
              <w:rPr>
                <w:highlight w:val="yellow"/>
              </w:rPr>
              <w:t xml:space="preserve">$ </w:t>
            </w:r>
            <w:r w:rsidR="0041618F">
              <w:rPr>
                <w:highlight w:val="yellow"/>
              </w:rPr>
              <w:t>35</w:t>
            </w:r>
            <w:r w:rsidRPr="00295BA5">
              <w:rPr>
                <w:highlight w:val="yellow"/>
              </w:rPr>
              <w:t>.</w:t>
            </w:r>
            <w:r w:rsidR="0041618F">
              <w:rPr>
                <w:highlight w:val="yellow"/>
              </w:rPr>
              <w:t>76</w:t>
            </w:r>
          </w:p>
        </w:tc>
        <w:tc>
          <w:tcPr>
            <w:tcW w:w="1887" w:type="dxa"/>
            <w:vAlign w:val="center"/>
          </w:tcPr>
          <w:p w14:paraId="1912541A" w14:textId="0E484CE3" w:rsidR="009A023E" w:rsidRPr="00295BA5" w:rsidRDefault="009A023E" w:rsidP="009A023E">
            <w:pPr>
              <w:jc w:val="right"/>
              <w:rPr>
                <w:highlight w:val="yellow"/>
              </w:rPr>
            </w:pPr>
            <w:r w:rsidRPr="00295BA5">
              <w:rPr>
                <w:highlight w:val="yellow"/>
              </w:rPr>
              <w:t>$</w:t>
            </w:r>
            <w:r w:rsidR="00330735">
              <w:rPr>
                <w:highlight w:val="yellow"/>
              </w:rPr>
              <w:t>608</w:t>
            </w:r>
          </w:p>
        </w:tc>
      </w:tr>
      <w:tr w:rsidR="009A023E" w14:paraId="00D082E0" w14:textId="77777777" w:rsidTr="005B3309">
        <w:tc>
          <w:tcPr>
            <w:tcW w:w="1970" w:type="dxa"/>
          </w:tcPr>
          <w:p w14:paraId="4E512BD0" w14:textId="77777777" w:rsidR="009A023E" w:rsidRPr="00706649" w:rsidRDefault="009A023E" w:rsidP="009A023E">
            <w:pPr>
              <w:rPr>
                <w:b/>
              </w:rPr>
            </w:pPr>
          </w:p>
        </w:tc>
        <w:tc>
          <w:tcPr>
            <w:tcW w:w="2294" w:type="dxa"/>
          </w:tcPr>
          <w:p w14:paraId="1B0AB616" w14:textId="77777777" w:rsidR="009A023E" w:rsidRPr="00EA2F61" w:rsidRDefault="009A023E" w:rsidP="009A023E">
            <w:r w:rsidRPr="00EA2F61">
              <w:t>Total</w:t>
            </w:r>
          </w:p>
        </w:tc>
        <w:tc>
          <w:tcPr>
            <w:tcW w:w="2287" w:type="dxa"/>
            <w:vAlign w:val="center"/>
          </w:tcPr>
          <w:p w14:paraId="04F83693" w14:textId="77777777" w:rsidR="009A023E" w:rsidRDefault="00D76FD2" w:rsidP="009A023E">
            <w:pPr>
              <w:jc w:val="right"/>
            </w:pPr>
            <w:r>
              <w:t>109</w:t>
            </w:r>
          </w:p>
        </w:tc>
        <w:tc>
          <w:tcPr>
            <w:tcW w:w="1200" w:type="dxa"/>
            <w:shd w:val="clear" w:color="auto" w:fill="BFBFBF" w:themeFill="background1" w:themeFillShade="BF"/>
            <w:vAlign w:val="center"/>
          </w:tcPr>
          <w:p w14:paraId="41524AF1" w14:textId="06BA59B7" w:rsidR="009A023E" w:rsidRPr="005B3309" w:rsidRDefault="009A023E" w:rsidP="005B3309"/>
        </w:tc>
        <w:tc>
          <w:tcPr>
            <w:tcW w:w="1887" w:type="dxa"/>
            <w:vAlign w:val="center"/>
          </w:tcPr>
          <w:p w14:paraId="0D11D978" w14:textId="233994DE" w:rsidR="009A023E" w:rsidRPr="00295BA5" w:rsidRDefault="009A023E" w:rsidP="009A023E">
            <w:pPr>
              <w:jc w:val="right"/>
              <w:rPr>
                <w:highlight w:val="yellow"/>
              </w:rPr>
            </w:pPr>
            <w:r w:rsidRPr="00295BA5">
              <w:rPr>
                <w:highlight w:val="yellow"/>
              </w:rPr>
              <w:t xml:space="preserve">$ </w:t>
            </w:r>
            <w:r w:rsidR="00330735">
              <w:rPr>
                <w:highlight w:val="yellow"/>
              </w:rPr>
              <w:t>3</w:t>
            </w:r>
            <w:r w:rsidRPr="00295BA5">
              <w:rPr>
                <w:highlight w:val="yellow"/>
              </w:rPr>
              <w:t>,</w:t>
            </w:r>
            <w:r w:rsidR="00330735">
              <w:rPr>
                <w:highlight w:val="yellow"/>
              </w:rPr>
              <w:t>898</w:t>
            </w:r>
          </w:p>
        </w:tc>
      </w:tr>
    </w:tbl>
    <w:p w14:paraId="5A397A47" w14:textId="77777777" w:rsidR="00B93C77" w:rsidRDefault="00B93C77" w:rsidP="00FF72FC">
      <w:pPr>
        <w:spacing w:after="0" w:line="240" w:lineRule="auto"/>
        <w:rPr>
          <w:rFonts w:eastAsia="Times New Roman" w:cs="Times New Roman"/>
        </w:rPr>
      </w:pPr>
    </w:p>
    <w:p w14:paraId="6A14EAC1" w14:textId="7310C6EA" w:rsidR="00A631EA" w:rsidRDefault="00A631EA" w:rsidP="00A631EA">
      <w:r>
        <w:t xml:space="preserve">Salary/Wage Source: Bureau of Labor Statistics/Occupational Employment Statistics </w:t>
      </w:r>
      <w:hyperlink r:id="rId18" w:anchor="19-0000" w:history="1">
        <w:r w:rsidRPr="005B3309">
          <w:rPr>
            <w:rStyle w:val="Hyperlink"/>
            <w:highlight w:val="yellow"/>
          </w:rPr>
          <w:t>May 2017 “Life, Physical, and Social Scientist”</w:t>
        </w:r>
      </w:hyperlink>
      <w:r w:rsidRPr="005B3309">
        <w:rPr>
          <w:highlight w:val="yellow"/>
        </w:rPr>
        <w:t>, occupational code 19-</w:t>
      </w:r>
      <w:r w:rsidR="00330735" w:rsidRPr="005B3309">
        <w:rPr>
          <w:highlight w:val="yellow"/>
        </w:rPr>
        <w:t>0000</w:t>
      </w:r>
      <w:r w:rsidRPr="005B3309">
        <w:rPr>
          <w:highlight w:val="yellow"/>
        </w:rPr>
        <w:t>.</w:t>
      </w:r>
    </w:p>
    <w:p w14:paraId="3F7EE82C" w14:textId="77777777" w:rsidR="008D1D2B" w:rsidRDefault="008D1D2B" w:rsidP="00FF72FC">
      <w:pPr>
        <w:rPr>
          <w:b/>
        </w:rPr>
      </w:pPr>
    </w:p>
    <w:p w14:paraId="029DB5B5" w14:textId="77777777" w:rsidR="00FF72FC" w:rsidRPr="00E35DD1" w:rsidRDefault="00FF72FC" w:rsidP="00FF72FC">
      <w:pPr>
        <w:rPr>
          <w:b/>
        </w:rPr>
      </w:pPr>
      <w:r w:rsidRPr="00E35DD1">
        <w:rPr>
          <w:b/>
        </w:rPr>
        <w:t>A.13</w:t>
      </w:r>
      <w:r w:rsidRPr="00E35DD1">
        <w:rPr>
          <w:b/>
        </w:rPr>
        <w:tab/>
        <w:t>Estimate of Other Total Annual Cost Burden to Respondents or Record Keepers</w:t>
      </w:r>
    </w:p>
    <w:p w14:paraId="77508C6F" w14:textId="77777777" w:rsidR="00A631EA" w:rsidRPr="00A631EA" w:rsidRDefault="00A631EA" w:rsidP="00A631EA">
      <w:pPr>
        <w:rPr>
          <w:i/>
        </w:rPr>
      </w:pPr>
      <w:r w:rsidRPr="00A631EA">
        <w:t xml:space="preserve">There are no additional costs other than the respondents’ cost burden given in </w:t>
      </w:r>
      <w:r>
        <w:t xml:space="preserve">Table </w:t>
      </w:r>
      <w:r w:rsidRPr="00A631EA">
        <w:t>12</w:t>
      </w:r>
      <w:r w:rsidR="00EA2F61">
        <w:t>-2</w:t>
      </w:r>
      <w:r w:rsidRPr="00A631EA">
        <w:rPr>
          <w:i/>
        </w:rPr>
        <w:t>.</w:t>
      </w:r>
    </w:p>
    <w:p w14:paraId="68287A8E" w14:textId="77777777" w:rsidR="008D1D2B" w:rsidRDefault="008D1D2B" w:rsidP="00FF72FC">
      <w:pPr>
        <w:pStyle w:val="Heading2"/>
        <w:tabs>
          <w:tab w:val="clear" w:pos="1152"/>
          <w:tab w:val="left" w:pos="720"/>
        </w:tabs>
        <w:spacing w:after="0" w:line="480" w:lineRule="auto"/>
        <w:ind w:left="0" w:firstLine="0"/>
        <w:rPr>
          <w:rFonts w:asciiTheme="minorHAnsi" w:hAnsiTheme="minorHAnsi"/>
          <w:szCs w:val="22"/>
        </w:rPr>
      </w:pPr>
    </w:p>
    <w:p w14:paraId="5CE9D633" w14:textId="77777777" w:rsidR="002F07E6" w:rsidRDefault="002F07E6">
      <w:pPr>
        <w:rPr>
          <w:rFonts w:eastAsia="Times New Roman" w:cs="Times New Roman"/>
          <w:b/>
        </w:rPr>
      </w:pPr>
      <w:r>
        <w:br w:type="page"/>
      </w:r>
    </w:p>
    <w:p w14:paraId="73F290A5" w14:textId="696B8568" w:rsidR="00FF72FC" w:rsidRPr="00E35DD1" w:rsidRDefault="00FF72FC" w:rsidP="00FF72FC">
      <w:pPr>
        <w:pStyle w:val="Heading2"/>
        <w:tabs>
          <w:tab w:val="clear" w:pos="1152"/>
          <w:tab w:val="left" w:pos="720"/>
        </w:tabs>
        <w:spacing w:after="0" w:line="480" w:lineRule="auto"/>
        <w:ind w:left="0"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 xml:space="preserve">Annualized Cost to the Federal Government  </w:t>
      </w:r>
    </w:p>
    <w:tbl>
      <w:tblPr>
        <w:tblW w:w="9180" w:type="dxa"/>
        <w:tblInd w:w="1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828"/>
        <w:gridCol w:w="1710"/>
        <w:gridCol w:w="1260"/>
        <w:gridCol w:w="1363"/>
        <w:gridCol w:w="1363"/>
        <w:gridCol w:w="1656"/>
      </w:tblGrid>
      <w:tr w:rsidR="00A631EA" w:rsidRPr="004472D8" w14:paraId="33D3B85C" w14:textId="77777777" w:rsidTr="00EA2F61">
        <w:trPr>
          <w:trHeight w:val="1096"/>
        </w:trPr>
        <w:tc>
          <w:tcPr>
            <w:tcW w:w="1828" w:type="dxa"/>
            <w:shd w:val="clear" w:color="auto" w:fill="auto"/>
            <w:noWrap/>
            <w:tcMar>
              <w:top w:w="0" w:type="dxa"/>
              <w:left w:w="108" w:type="dxa"/>
              <w:bottom w:w="0" w:type="dxa"/>
              <w:right w:w="108" w:type="dxa"/>
            </w:tcMar>
            <w:vAlign w:val="center"/>
            <w:hideMark/>
          </w:tcPr>
          <w:p w14:paraId="3BA3FBD5" w14:textId="45DCDF64" w:rsidR="00A631EA" w:rsidRPr="004472D8" w:rsidRDefault="00A631EA" w:rsidP="00EA2F61">
            <w:pPr>
              <w:jc w:val="center"/>
              <w:rPr>
                <w:rFonts w:eastAsia="Calibri"/>
                <w:b/>
                <w:bCs/>
                <w:color w:val="000000"/>
              </w:rPr>
            </w:pPr>
            <w:r w:rsidRPr="004472D8">
              <w:rPr>
                <w:b/>
                <w:bCs/>
                <w:color w:val="000000"/>
              </w:rPr>
              <w:t>Staff</w:t>
            </w:r>
          </w:p>
        </w:tc>
        <w:tc>
          <w:tcPr>
            <w:tcW w:w="1710" w:type="dxa"/>
            <w:shd w:val="clear" w:color="auto" w:fill="auto"/>
            <w:vAlign w:val="center"/>
          </w:tcPr>
          <w:p w14:paraId="1D00F7D1" w14:textId="77777777" w:rsidR="00A631EA" w:rsidRPr="004472D8" w:rsidRDefault="00A631EA" w:rsidP="00EA2F61">
            <w:pPr>
              <w:jc w:val="center"/>
              <w:rPr>
                <w:rFonts w:eastAsia="Calibri"/>
                <w:b/>
                <w:bCs/>
                <w:color w:val="000000"/>
              </w:rPr>
            </w:pPr>
            <w:r w:rsidRPr="004472D8">
              <w:rPr>
                <w:b/>
                <w:bCs/>
                <w:color w:val="000000"/>
              </w:rPr>
              <w:t>Grade/Step</w:t>
            </w:r>
          </w:p>
        </w:tc>
        <w:tc>
          <w:tcPr>
            <w:tcW w:w="1260" w:type="dxa"/>
            <w:shd w:val="clear" w:color="auto" w:fill="auto"/>
            <w:tcMar>
              <w:top w:w="0" w:type="dxa"/>
              <w:left w:w="108" w:type="dxa"/>
              <w:bottom w:w="0" w:type="dxa"/>
              <w:right w:w="108" w:type="dxa"/>
            </w:tcMar>
            <w:vAlign w:val="center"/>
            <w:hideMark/>
          </w:tcPr>
          <w:p w14:paraId="492FD3CF" w14:textId="77777777" w:rsidR="00A631EA" w:rsidRPr="004472D8" w:rsidRDefault="00A631EA" w:rsidP="00EA2F61">
            <w:pPr>
              <w:jc w:val="center"/>
              <w:rPr>
                <w:rFonts w:eastAsia="Calibri"/>
                <w:b/>
                <w:bCs/>
              </w:rPr>
            </w:pPr>
            <w:r w:rsidRPr="004472D8">
              <w:rPr>
                <w:b/>
                <w:bCs/>
              </w:rPr>
              <w:t>Salary</w:t>
            </w:r>
          </w:p>
        </w:tc>
        <w:tc>
          <w:tcPr>
            <w:tcW w:w="1363" w:type="dxa"/>
            <w:shd w:val="clear" w:color="auto" w:fill="auto"/>
            <w:tcMar>
              <w:top w:w="0" w:type="dxa"/>
              <w:left w:w="108" w:type="dxa"/>
              <w:bottom w:w="0" w:type="dxa"/>
              <w:right w:w="108" w:type="dxa"/>
            </w:tcMar>
            <w:vAlign w:val="center"/>
            <w:hideMark/>
          </w:tcPr>
          <w:p w14:paraId="4ADD7F98" w14:textId="77777777" w:rsidR="00A631EA" w:rsidRPr="004472D8" w:rsidRDefault="00A631EA" w:rsidP="00EA2F61">
            <w:pPr>
              <w:jc w:val="center"/>
              <w:rPr>
                <w:rFonts w:eastAsia="Calibri"/>
                <w:b/>
                <w:bCs/>
              </w:rPr>
            </w:pPr>
            <w:r w:rsidRPr="004472D8">
              <w:rPr>
                <w:b/>
                <w:bCs/>
              </w:rPr>
              <w:t>% of Effort</w:t>
            </w:r>
          </w:p>
        </w:tc>
        <w:tc>
          <w:tcPr>
            <w:tcW w:w="1363" w:type="dxa"/>
            <w:shd w:val="clear" w:color="auto" w:fill="auto"/>
            <w:vAlign w:val="center"/>
          </w:tcPr>
          <w:p w14:paraId="2E74CA6E" w14:textId="77777777" w:rsidR="00A631EA" w:rsidRPr="004472D8" w:rsidRDefault="00A631EA" w:rsidP="00EA2F61">
            <w:pPr>
              <w:jc w:val="center"/>
              <w:rPr>
                <w:b/>
                <w:bCs/>
              </w:rPr>
            </w:pPr>
            <w:r w:rsidRPr="004472D8">
              <w:rPr>
                <w:b/>
                <w:bCs/>
              </w:rPr>
              <w:t>Fringe (if applicable)</w:t>
            </w:r>
          </w:p>
        </w:tc>
        <w:tc>
          <w:tcPr>
            <w:tcW w:w="1656" w:type="dxa"/>
            <w:shd w:val="clear" w:color="auto" w:fill="auto"/>
            <w:vAlign w:val="center"/>
          </w:tcPr>
          <w:p w14:paraId="51869A21" w14:textId="77777777" w:rsidR="00A631EA" w:rsidRPr="004472D8" w:rsidRDefault="00A631EA" w:rsidP="00EA2F61">
            <w:pPr>
              <w:jc w:val="center"/>
              <w:rPr>
                <w:b/>
                <w:bCs/>
              </w:rPr>
            </w:pPr>
            <w:r w:rsidRPr="004472D8">
              <w:rPr>
                <w:b/>
                <w:bCs/>
              </w:rPr>
              <w:t>Total Cost to Gov’t</w:t>
            </w:r>
          </w:p>
        </w:tc>
      </w:tr>
      <w:tr w:rsidR="00A631EA" w:rsidRPr="004472D8" w14:paraId="686ADC68" w14:textId="77777777" w:rsidTr="00EA2F61">
        <w:trPr>
          <w:trHeight w:val="300"/>
        </w:trPr>
        <w:tc>
          <w:tcPr>
            <w:tcW w:w="1828" w:type="dxa"/>
            <w:noWrap/>
            <w:tcMar>
              <w:top w:w="0" w:type="dxa"/>
              <w:left w:w="108" w:type="dxa"/>
              <w:bottom w:w="0" w:type="dxa"/>
              <w:right w:w="108" w:type="dxa"/>
            </w:tcMar>
            <w:vAlign w:val="bottom"/>
          </w:tcPr>
          <w:p w14:paraId="5C546920" w14:textId="77777777" w:rsidR="00A631EA" w:rsidRPr="004472D8" w:rsidRDefault="00A631EA" w:rsidP="00B0536D">
            <w:pPr>
              <w:rPr>
                <w:rFonts w:eastAsia="Calibri"/>
                <w:b/>
                <w:color w:val="000000"/>
                <w:highlight w:val="yellow"/>
              </w:rPr>
            </w:pPr>
            <w:r w:rsidRPr="004472D8">
              <w:rPr>
                <w:rFonts w:eastAsia="Calibri"/>
                <w:b/>
                <w:color w:val="000000"/>
              </w:rPr>
              <w:t>Federal Oversight</w:t>
            </w:r>
          </w:p>
        </w:tc>
        <w:tc>
          <w:tcPr>
            <w:tcW w:w="1710" w:type="dxa"/>
          </w:tcPr>
          <w:p w14:paraId="2D51EA4F" w14:textId="77777777" w:rsidR="00A631EA" w:rsidRPr="004472D8" w:rsidRDefault="00A631EA" w:rsidP="00B0536D">
            <w:pPr>
              <w:rPr>
                <w:rFonts w:eastAsia="Calibri"/>
                <w:color w:val="000000"/>
                <w:highlight w:val="yellow"/>
              </w:rPr>
            </w:pPr>
          </w:p>
        </w:tc>
        <w:tc>
          <w:tcPr>
            <w:tcW w:w="1260" w:type="dxa"/>
            <w:noWrap/>
            <w:tcMar>
              <w:top w:w="0" w:type="dxa"/>
              <w:left w:w="108" w:type="dxa"/>
              <w:bottom w:w="0" w:type="dxa"/>
              <w:right w:w="108" w:type="dxa"/>
            </w:tcMar>
            <w:vAlign w:val="bottom"/>
          </w:tcPr>
          <w:p w14:paraId="3A96B1F1" w14:textId="77777777" w:rsidR="00A631EA" w:rsidRPr="004472D8" w:rsidRDefault="00A631EA" w:rsidP="00B0536D"/>
        </w:tc>
        <w:tc>
          <w:tcPr>
            <w:tcW w:w="1363" w:type="dxa"/>
            <w:noWrap/>
            <w:tcMar>
              <w:top w:w="0" w:type="dxa"/>
              <w:left w:w="108" w:type="dxa"/>
              <w:bottom w:w="0" w:type="dxa"/>
              <w:right w:w="108" w:type="dxa"/>
            </w:tcMar>
            <w:vAlign w:val="bottom"/>
          </w:tcPr>
          <w:p w14:paraId="42352AD7" w14:textId="77777777" w:rsidR="00A631EA" w:rsidRPr="004472D8" w:rsidRDefault="00A631EA" w:rsidP="00B0536D">
            <w:pPr>
              <w:jc w:val="both"/>
              <w:rPr>
                <w:color w:val="000000"/>
              </w:rPr>
            </w:pPr>
          </w:p>
        </w:tc>
        <w:tc>
          <w:tcPr>
            <w:tcW w:w="1363" w:type="dxa"/>
            <w:shd w:val="clear" w:color="auto" w:fill="auto"/>
          </w:tcPr>
          <w:p w14:paraId="0CB94E1B" w14:textId="77777777" w:rsidR="00A631EA" w:rsidRPr="004472D8" w:rsidRDefault="00A631EA" w:rsidP="00B0536D"/>
        </w:tc>
        <w:tc>
          <w:tcPr>
            <w:tcW w:w="1656" w:type="dxa"/>
          </w:tcPr>
          <w:p w14:paraId="3BF606AD" w14:textId="77777777" w:rsidR="00A631EA" w:rsidRPr="004472D8" w:rsidRDefault="00A631EA" w:rsidP="00B0536D">
            <w:pPr>
              <w:jc w:val="right"/>
              <w:rPr>
                <w:color w:val="000000"/>
              </w:rPr>
            </w:pPr>
          </w:p>
        </w:tc>
      </w:tr>
      <w:tr w:rsidR="00A631EA" w:rsidRPr="004472D8" w14:paraId="74677492" w14:textId="77777777" w:rsidTr="00EA2F61">
        <w:trPr>
          <w:trHeight w:val="358"/>
        </w:trPr>
        <w:tc>
          <w:tcPr>
            <w:tcW w:w="1828" w:type="dxa"/>
            <w:noWrap/>
            <w:tcMar>
              <w:top w:w="0" w:type="dxa"/>
              <w:left w:w="108" w:type="dxa"/>
              <w:bottom w:w="0" w:type="dxa"/>
              <w:right w:w="108" w:type="dxa"/>
            </w:tcMar>
            <w:vAlign w:val="bottom"/>
          </w:tcPr>
          <w:p w14:paraId="66967F82" w14:textId="77777777" w:rsidR="00A631EA" w:rsidRPr="004472D8" w:rsidRDefault="00A631EA" w:rsidP="00B0536D">
            <w:pPr>
              <w:rPr>
                <w:rFonts w:eastAsia="Calibri"/>
              </w:rPr>
            </w:pPr>
            <w:r>
              <w:rPr>
                <w:rFonts w:eastAsia="Calibri"/>
              </w:rPr>
              <w:t>Program Officer</w:t>
            </w:r>
          </w:p>
        </w:tc>
        <w:tc>
          <w:tcPr>
            <w:tcW w:w="1710" w:type="dxa"/>
            <w:vAlign w:val="center"/>
          </w:tcPr>
          <w:p w14:paraId="36A6967D" w14:textId="77777777" w:rsidR="00A631EA" w:rsidRPr="004472D8" w:rsidRDefault="00A631EA" w:rsidP="00B0536D">
            <w:pPr>
              <w:jc w:val="center"/>
              <w:rPr>
                <w:rFonts w:eastAsia="Calibri"/>
                <w:color w:val="000000"/>
                <w:highlight w:val="yellow"/>
              </w:rPr>
            </w:pPr>
            <w:r w:rsidRPr="004472D8">
              <w:rPr>
                <w:color w:val="000000"/>
              </w:rPr>
              <w:t>GS-14 Step 4</w:t>
            </w:r>
          </w:p>
        </w:tc>
        <w:tc>
          <w:tcPr>
            <w:tcW w:w="1260" w:type="dxa"/>
            <w:noWrap/>
            <w:tcMar>
              <w:top w:w="0" w:type="dxa"/>
              <w:left w:w="108" w:type="dxa"/>
              <w:bottom w:w="0" w:type="dxa"/>
              <w:right w:w="108" w:type="dxa"/>
            </w:tcMar>
            <w:vAlign w:val="center"/>
          </w:tcPr>
          <w:p w14:paraId="2FE80158" w14:textId="77777777" w:rsidR="00A631EA" w:rsidRPr="004472D8" w:rsidRDefault="00A631EA" w:rsidP="00B0536D">
            <w:pPr>
              <w:jc w:val="right"/>
            </w:pPr>
            <w:r w:rsidRPr="004472D8">
              <w:rPr>
                <w:color w:val="000000"/>
              </w:rPr>
              <w:t>$1</w:t>
            </w:r>
            <w:r>
              <w:rPr>
                <w:color w:val="000000"/>
              </w:rPr>
              <w:t>2</w:t>
            </w:r>
            <w:r w:rsidRPr="004472D8">
              <w:rPr>
                <w:color w:val="000000"/>
              </w:rPr>
              <w:t>6,</w:t>
            </w:r>
            <w:r>
              <w:rPr>
                <w:color w:val="000000"/>
              </w:rPr>
              <w:t>049</w:t>
            </w:r>
          </w:p>
        </w:tc>
        <w:tc>
          <w:tcPr>
            <w:tcW w:w="1363" w:type="dxa"/>
            <w:noWrap/>
            <w:tcMar>
              <w:top w:w="0" w:type="dxa"/>
              <w:left w:w="108" w:type="dxa"/>
              <w:bottom w:w="0" w:type="dxa"/>
              <w:right w:w="108" w:type="dxa"/>
            </w:tcMar>
            <w:vAlign w:val="center"/>
          </w:tcPr>
          <w:p w14:paraId="72884ED4" w14:textId="77777777" w:rsidR="00A631EA" w:rsidRPr="004472D8" w:rsidRDefault="00A631EA" w:rsidP="00B0536D">
            <w:pPr>
              <w:jc w:val="right"/>
              <w:rPr>
                <w:color w:val="000000"/>
              </w:rPr>
            </w:pPr>
            <w:r w:rsidRPr="004472D8">
              <w:rPr>
                <w:color w:val="000000"/>
              </w:rPr>
              <w:t>10</w:t>
            </w:r>
          </w:p>
        </w:tc>
        <w:tc>
          <w:tcPr>
            <w:tcW w:w="1363" w:type="dxa"/>
            <w:shd w:val="clear" w:color="auto" w:fill="BFBFBF"/>
          </w:tcPr>
          <w:p w14:paraId="72450E41" w14:textId="77777777" w:rsidR="00A631EA" w:rsidRPr="004472D8" w:rsidRDefault="00A631EA" w:rsidP="00B0536D"/>
        </w:tc>
        <w:tc>
          <w:tcPr>
            <w:tcW w:w="1656" w:type="dxa"/>
            <w:vAlign w:val="center"/>
          </w:tcPr>
          <w:p w14:paraId="5E40BB8A" w14:textId="77777777" w:rsidR="00A631EA" w:rsidRPr="004472D8" w:rsidRDefault="00A631EA" w:rsidP="00B0536D">
            <w:pPr>
              <w:jc w:val="right"/>
              <w:rPr>
                <w:color w:val="000000"/>
              </w:rPr>
            </w:pPr>
            <w:r w:rsidRPr="00361600">
              <w:rPr>
                <w:color w:val="000000"/>
              </w:rPr>
              <w:t>$1</w:t>
            </w:r>
            <w:r>
              <w:rPr>
                <w:color w:val="000000"/>
              </w:rPr>
              <w:t>2</w:t>
            </w:r>
            <w:r w:rsidRPr="00361600">
              <w:rPr>
                <w:color w:val="000000"/>
              </w:rPr>
              <w:t>,</w:t>
            </w:r>
            <w:r>
              <w:rPr>
                <w:color w:val="000000"/>
              </w:rPr>
              <w:t>065</w:t>
            </w:r>
          </w:p>
        </w:tc>
      </w:tr>
      <w:tr w:rsidR="00A631EA" w:rsidRPr="004472D8" w14:paraId="67134F82" w14:textId="77777777" w:rsidTr="00EA2F61">
        <w:trPr>
          <w:trHeight w:val="300"/>
        </w:trPr>
        <w:tc>
          <w:tcPr>
            <w:tcW w:w="1828" w:type="dxa"/>
            <w:noWrap/>
            <w:tcMar>
              <w:top w:w="0" w:type="dxa"/>
              <w:left w:w="108" w:type="dxa"/>
              <w:bottom w:w="0" w:type="dxa"/>
              <w:right w:w="108" w:type="dxa"/>
            </w:tcMar>
            <w:vAlign w:val="bottom"/>
          </w:tcPr>
          <w:p w14:paraId="3FF00445" w14:textId="77777777" w:rsidR="00A631EA" w:rsidRPr="004472D8" w:rsidRDefault="00A631EA" w:rsidP="00B0536D">
            <w:pPr>
              <w:rPr>
                <w:rFonts w:eastAsia="Calibri"/>
              </w:rPr>
            </w:pPr>
            <w:r>
              <w:rPr>
                <w:rFonts w:eastAsia="Calibri"/>
              </w:rPr>
              <w:t>Branch Chief</w:t>
            </w:r>
          </w:p>
        </w:tc>
        <w:tc>
          <w:tcPr>
            <w:tcW w:w="1710" w:type="dxa"/>
            <w:shd w:val="clear" w:color="auto" w:fill="auto"/>
            <w:vAlign w:val="center"/>
          </w:tcPr>
          <w:p w14:paraId="75E08F06" w14:textId="77777777" w:rsidR="00A631EA" w:rsidRPr="004472D8" w:rsidRDefault="00A631EA" w:rsidP="00B0536D">
            <w:pPr>
              <w:jc w:val="center"/>
              <w:rPr>
                <w:rFonts w:eastAsia="Calibri"/>
              </w:rPr>
            </w:pPr>
            <w:r w:rsidRPr="004472D8">
              <w:rPr>
                <w:color w:val="000000"/>
              </w:rPr>
              <w:t>GS-15 Step 4</w:t>
            </w:r>
          </w:p>
        </w:tc>
        <w:tc>
          <w:tcPr>
            <w:tcW w:w="1260" w:type="dxa"/>
            <w:noWrap/>
            <w:tcMar>
              <w:top w:w="0" w:type="dxa"/>
              <w:left w:w="108" w:type="dxa"/>
              <w:bottom w:w="0" w:type="dxa"/>
              <w:right w:w="108" w:type="dxa"/>
            </w:tcMar>
            <w:vAlign w:val="center"/>
          </w:tcPr>
          <w:p w14:paraId="42DBCFB7" w14:textId="77777777" w:rsidR="00A631EA" w:rsidRPr="004472D8" w:rsidRDefault="00A631EA" w:rsidP="00B0536D">
            <w:pPr>
              <w:jc w:val="right"/>
              <w:rPr>
                <w:rFonts w:eastAsia="Calibri"/>
              </w:rPr>
            </w:pPr>
            <w:r w:rsidRPr="004472D8">
              <w:rPr>
                <w:color w:val="000000"/>
              </w:rPr>
              <w:t>$1</w:t>
            </w:r>
            <w:r>
              <w:rPr>
                <w:color w:val="000000"/>
              </w:rPr>
              <w:t>48</w:t>
            </w:r>
            <w:r w:rsidRPr="004472D8">
              <w:rPr>
                <w:color w:val="000000"/>
              </w:rPr>
              <w:t>,</w:t>
            </w:r>
            <w:r>
              <w:rPr>
                <w:color w:val="000000"/>
              </w:rPr>
              <w:t>267</w:t>
            </w:r>
          </w:p>
        </w:tc>
        <w:tc>
          <w:tcPr>
            <w:tcW w:w="1363" w:type="dxa"/>
            <w:noWrap/>
            <w:tcMar>
              <w:top w:w="0" w:type="dxa"/>
              <w:left w:w="108" w:type="dxa"/>
              <w:bottom w:w="0" w:type="dxa"/>
              <w:right w:w="108" w:type="dxa"/>
            </w:tcMar>
            <w:vAlign w:val="center"/>
          </w:tcPr>
          <w:p w14:paraId="05BC871C" w14:textId="77777777" w:rsidR="00A631EA" w:rsidRPr="004472D8" w:rsidRDefault="00A631EA" w:rsidP="00B0536D">
            <w:pPr>
              <w:jc w:val="right"/>
              <w:rPr>
                <w:rFonts w:eastAsia="Calibri"/>
                <w:color w:val="000000"/>
              </w:rPr>
            </w:pPr>
            <w:r w:rsidRPr="004472D8">
              <w:rPr>
                <w:rFonts w:eastAsia="Calibri"/>
                <w:color w:val="000000"/>
              </w:rPr>
              <w:t>5</w:t>
            </w:r>
          </w:p>
        </w:tc>
        <w:tc>
          <w:tcPr>
            <w:tcW w:w="1363" w:type="dxa"/>
            <w:shd w:val="clear" w:color="auto" w:fill="BFBFBF"/>
            <w:vAlign w:val="center"/>
          </w:tcPr>
          <w:p w14:paraId="2C97F8AB" w14:textId="77777777" w:rsidR="00A631EA" w:rsidRPr="004472D8" w:rsidRDefault="00A631EA" w:rsidP="00B0536D">
            <w:pPr>
              <w:jc w:val="right"/>
            </w:pPr>
          </w:p>
        </w:tc>
        <w:tc>
          <w:tcPr>
            <w:tcW w:w="1656" w:type="dxa"/>
            <w:vAlign w:val="center"/>
          </w:tcPr>
          <w:p w14:paraId="5D2B7423" w14:textId="77777777" w:rsidR="00A631EA" w:rsidRPr="004472D8" w:rsidRDefault="00A631EA" w:rsidP="00B0536D">
            <w:pPr>
              <w:jc w:val="right"/>
              <w:rPr>
                <w:color w:val="000000"/>
              </w:rPr>
            </w:pPr>
            <w:r w:rsidRPr="00361600">
              <w:rPr>
                <w:color w:val="000000"/>
              </w:rPr>
              <w:t>$</w:t>
            </w:r>
            <w:r>
              <w:rPr>
                <w:color w:val="000000"/>
              </w:rPr>
              <w:t>7</w:t>
            </w:r>
            <w:r w:rsidRPr="00361600">
              <w:rPr>
                <w:color w:val="000000"/>
              </w:rPr>
              <w:t>,</w:t>
            </w:r>
            <w:r>
              <w:rPr>
                <w:color w:val="000000"/>
              </w:rPr>
              <w:t>413</w:t>
            </w:r>
          </w:p>
        </w:tc>
      </w:tr>
      <w:tr w:rsidR="00A631EA" w:rsidRPr="004472D8" w14:paraId="7EF38B55" w14:textId="77777777" w:rsidTr="00EA2F61">
        <w:trPr>
          <w:trHeight w:val="300"/>
        </w:trPr>
        <w:tc>
          <w:tcPr>
            <w:tcW w:w="1828" w:type="dxa"/>
            <w:noWrap/>
            <w:tcMar>
              <w:top w:w="0" w:type="dxa"/>
              <w:left w:w="108" w:type="dxa"/>
              <w:bottom w:w="0" w:type="dxa"/>
              <w:right w:w="108" w:type="dxa"/>
            </w:tcMar>
            <w:vAlign w:val="bottom"/>
          </w:tcPr>
          <w:p w14:paraId="6ADE2489" w14:textId="77777777" w:rsidR="00A631EA" w:rsidRPr="009902B3" w:rsidRDefault="00A631EA" w:rsidP="00B0536D">
            <w:pPr>
              <w:rPr>
                <w:rFonts w:eastAsia="Calibri"/>
                <w:b/>
              </w:rPr>
            </w:pPr>
            <w:r w:rsidRPr="009902B3">
              <w:rPr>
                <w:rFonts w:eastAsia="Calibri"/>
                <w:b/>
              </w:rPr>
              <w:t>Contractor Cost</w:t>
            </w:r>
          </w:p>
        </w:tc>
        <w:tc>
          <w:tcPr>
            <w:tcW w:w="1710" w:type="dxa"/>
            <w:shd w:val="clear" w:color="auto" w:fill="auto"/>
          </w:tcPr>
          <w:p w14:paraId="672C94B4" w14:textId="77777777" w:rsidR="00A631EA" w:rsidRPr="009902B3" w:rsidRDefault="00A631EA" w:rsidP="00B0536D">
            <w:pPr>
              <w:rPr>
                <w:rFonts w:eastAsia="Calibri"/>
                <w:b/>
              </w:rPr>
            </w:pPr>
          </w:p>
        </w:tc>
        <w:tc>
          <w:tcPr>
            <w:tcW w:w="1260" w:type="dxa"/>
            <w:shd w:val="clear" w:color="auto" w:fill="auto"/>
            <w:noWrap/>
            <w:tcMar>
              <w:top w:w="0" w:type="dxa"/>
              <w:left w:w="108" w:type="dxa"/>
              <w:bottom w:w="0" w:type="dxa"/>
              <w:right w:w="108" w:type="dxa"/>
            </w:tcMar>
            <w:vAlign w:val="center"/>
          </w:tcPr>
          <w:p w14:paraId="34519DD3" w14:textId="77777777" w:rsidR="00A631EA" w:rsidRPr="00A7289F" w:rsidRDefault="00A631EA" w:rsidP="00B0536D">
            <w:pPr>
              <w:jc w:val="right"/>
              <w:rPr>
                <w:rFonts w:eastAsia="Calibri"/>
              </w:rPr>
            </w:pPr>
          </w:p>
        </w:tc>
        <w:tc>
          <w:tcPr>
            <w:tcW w:w="1363" w:type="dxa"/>
            <w:tcBorders>
              <w:bottom w:val="single" w:sz="8" w:space="0" w:color="auto"/>
            </w:tcBorders>
            <w:shd w:val="clear" w:color="auto" w:fill="auto"/>
            <w:noWrap/>
            <w:tcMar>
              <w:top w:w="0" w:type="dxa"/>
              <w:left w:w="108" w:type="dxa"/>
              <w:bottom w:w="0" w:type="dxa"/>
              <w:right w:w="108" w:type="dxa"/>
            </w:tcMar>
            <w:vAlign w:val="center"/>
          </w:tcPr>
          <w:p w14:paraId="3A2078BA" w14:textId="77777777" w:rsidR="00A631EA" w:rsidRPr="00A7289F" w:rsidRDefault="00A631EA" w:rsidP="00B0536D">
            <w:pPr>
              <w:jc w:val="right"/>
              <w:rPr>
                <w:rFonts w:eastAsia="Calibri"/>
              </w:rPr>
            </w:pPr>
          </w:p>
        </w:tc>
        <w:tc>
          <w:tcPr>
            <w:tcW w:w="1363" w:type="dxa"/>
            <w:tcBorders>
              <w:bottom w:val="single" w:sz="8" w:space="0" w:color="auto"/>
            </w:tcBorders>
            <w:shd w:val="clear" w:color="auto" w:fill="auto"/>
            <w:vAlign w:val="center"/>
          </w:tcPr>
          <w:p w14:paraId="0AC43F94" w14:textId="77777777" w:rsidR="00A631EA" w:rsidRPr="00A7289F" w:rsidRDefault="00A631EA" w:rsidP="00B0536D">
            <w:pPr>
              <w:jc w:val="right"/>
            </w:pPr>
          </w:p>
        </w:tc>
        <w:tc>
          <w:tcPr>
            <w:tcW w:w="1656" w:type="dxa"/>
            <w:vAlign w:val="center"/>
          </w:tcPr>
          <w:p w14:paraId="25C7D999" w14:textId="77777777" w:rsidR="00A631EA" w:rsidRPr="00A7289F" w:rsidRDefault="00A631EA" w:rsidP="00B0536D">
            <w:pPr>
              <w:jc w:val="right"/>
              <w:rPr>
                <w:color w:val="000000"/>
              </w:rPr>
            </w:pPr>
          </w:p>
        </w:tc>
      </w:tr>
      <w:tr w:rsidR="00A631EA" w:rsidRPr="004472D8" w14:paraId="30A07A04" w14:textId="77777777" w:rsidTr="00EA2F61">
        <w:trPr>
          <w:trHeight w:val="300"/>
        </w:trPr>
        <w:tc>
          <w:tcPr>
            <w:tcW w:w="1828" w:type="dxa"/>
            <w:noWrap/>
            <w:tcMar>
              <w:top w:w="0" w:type="dxa"/>
              <w:left w:w="108" w:type="dxa"/>
              <w:bottom w:w="0" w:type="dxa"/>
              <w:right w:w="108" w:type="dxa"/>
            </w:tcMar>
            <w:vAlign w:val="bottom"/>
          </w:tcPr>
          <w:p w14:paraId="60354A64" w14:textId="77777777" w:rsidR="00A631EA" w:rsidRPr="004472D8" w:rsidRDefault="00A631EA" w:rsidP="00B0536D">
            <w:pPr>
              <w:rPr>
                <w:rFonts w:eastAsia="Calibri"/>
              </w:rPr>
            </w:pPr>
            <w:r>
              <w:rPr>
                <w:rFonts w:eastAsia="Calibri"/>
              </w:rPr>
              <w:t>Technical Support</w:t>
            </w:r>
          </w:p>
        </w:tc>
        <w:tc>
          <w:tcPr>
            <w:tcW w:w="1710" w:type="dxa"/>
            <w:shd w:val="clear" w:color="auto" w:fill="BFBFBF"/>
          </w:tcPr>
          <w:p w14:paraId="7773CABF" w14:textId="77777777" w:rsidR="00A631EA" w:rsidRPr="004472D8" w:rsidRDefault="00A631EA" w:rsidP="00B0536D">
            <w:pPr>
              <w:rPr>
                <w:rFonts w:eastAsia="Calibri"/>
              </w:rPr>
            </w:pPr>
          </w:p>
        </w:tc>
        <w:tc>
          <w:tcPr>
            <w:tcW w:w="1260" w:type="dxa"/>
            <w:shd w:val="clear" w:color="auto" w:fill="auto"/>
            <w:noWrap/>
            <w:tcMar>
              <w:top w:w="0" w:type="dxa"/>
              <w:left w:w="108" w:type="dxa"/>
              <w:bottom w:w="0" w:type="dxa"/>
              <w:right w:w="108" w:type="dxa"/>
            </w:tcMar>
            <w:vAlign w:val="center"/>
          </w:tcPr>
          <w:p w14:paraId="3035FB39" w14:textId="77777777" w:rsidR="00A631EA" w:rsidRPr="00A7289F" w:rsidRDefault="00A631EA" w:rsidP="00B0536D">
            <w:pPr>
              <w:jc w:val="right"/>
              <w:rPr>
                <w:rFonts w:eastAsia="Calibri"/>
              </w:rPr>
            </w:pPr>
            <w:r w:rsidRPr="00A7289F">
              <w:rPr>
                <w:rFonts w:eastAsia="Calibri"/>
              </w:rPr>
              <w:t>$13</w:t>
            </w:r>
            <w:r>
              <w:rPr>
                <w:rFonts w:eastAsia="Calibri"/>
              </w:rPr>
              <w:t>0</w:t>
            </w:r>
            <w:r w:rsidRPr="00A7289F">
              <w:rPr>
                <w:rFonts w:eastAsia="Calibri"/>
              </w:rPr>
              <w:t>,</w:t>
            </w:r>
            <w:r>
              <w:rPr>
                <w:rFonts w:eastAsia="Calibri"/>
              </w:rPr>
              <w:t>97</w:t>
            </w:r>
            <w:r w:rsidRPr="00A7289F">
              <w:rPr>
                <w:rFonts w:eastAsia="Calibri"/>
              </w:rPr>
              <w:t>0</w:t>
            </w:r>
          </w:p>
        </w:tc>
        <w:tc>
          <w:tcPr>
            <w:tcW w:w="1363" w:type="dxa"/>
            <w:shd w:val="clear" w:color="auto" w:fill="auto"/>
            <w:noWrap/>
            <w:tcMar>
              <w:top w:w="0" w:type="dxa"/>
              <w:left w:w="108" w:type="dxa"/>
              <w:bottom w:w="0" w:type="dxa"/>
              <w:right w:w="108" w:type="dxa"/>
            </w:tcMar>
            <w:vAlign w:val="center"/>
          </w:tcPr>
          <w:p w14:paraId="21F37AAC" w14:textId="77777777" w:rsidR="00A631EA" w:rsidRPr="00A7289F" w:rsidRDefault="00A631EA" w:rsidP="00B0536D">
            <w:pPr>
              <w:jc w:val="right"/>
              <w:rPr>
                <w:rFonts w:eastAsia="Calibri"/>
              </w:rPr>
            </w:pPr>
            <w:r w:rsidRPr="00D16256">
              <w:rPr>
                <w:rFonts w:eastAsia="Calibri"/>
              </w:rPr>
              <w:t>5</w:t>
            </w:r>
            <w:r>
              <w:rPr>
                <w:rFonts w:eastAsia="Calibri"/>
              </w:rPr>
              <w:t>0</w:t>
            </w:r>
          </w:p>
        </w:tc>
        <w:tc>
          <w:tcPr>
            <w:tcW w:w="1363" w:type="dxa"/>
            <w:shd w:val="clear" w:color="auto" w:fill="auto"/>
            <w:vAlign w:val="center"/>
          </w:tcPr>
          <w:p w14:paraId="14B5DE78" w14:textId="77777777" w:rsidR="00A631EA" w:rsidRPr="00A7289F" w:rsidRDefault="00A631EA" w:rsidP="00B0536D">
            <w:pPr>
              <w:jc w:val="right"/>
            </w:pPr>
            <w:r w:rsidRPr="004472D8">
              <w:rPr>
                <w:color w:val="000000"/>
              </w:rPr>
              <w:t>$</w:t>
            </w:r>
            <w:r>
              <w:rPr>
                <w:color w:val="000000"/>
              </w:rPr>
              <w:t>39,291</w:t>
            </w:r>
          </w:p>
        </w:tc>
        <w:tc>
          <w:tcPr>
            <w:tcW w:w="1656" w:type="dxa"/>
            <w:vAlign w:val="center"/>
          </w:tcPr>
          <w:p w14:paraId="20246E19" w14:textId="77777777" w:rsidR="00A631EA" w:rsidRPr="00A7289F" w:rsidRDefault="00A631EA" w:rsidP="00B0536D">
            <w:pPr>
              <w:jc w:val="right"/>
              <w:rPr>
                <w:color w:val="000000"/>
              </w:rPr>
            </w:pPr>
            <w:r w:rsidRPr="00361600">
              <w:rPr>
                <w:color w:val="000000"/>
              </w:rPr>
              <w:t>$</w:t>
            </w:r>
            <w:r>
              <w:rPr>
                <w:color w:val="000000"/>
              </w:rPr>
              <w:t>85</w:t>
            </w:r>
            <w:r w:rsidRPr="00361600">
              <w:rPr>
                <w:color w:val="000000"/>
              </w:rPr>
              <w:t>,</w:t>
            </w:r>
            <w:r>
              <w:rPr>
                <w:color w:val="000000"/>
              </w:rPr>
              <w:t>13</w:t>
            </w:r>
            <w:r w:rsidR="008A3515">
              <w:rPr>
                <w:color w:val="000000"/>
              </w:rPr>
              <w:t>1</w:t>
            </w:r>
          </w:p>
        </w:tc>
      </w:tr>
      <w:tr w:rsidR="00A631EA" w:rsidRPr="004472D8" w14:paraId="5721455E" w14:textId="77777777" w:rsidTr="00EA2F61">
        <w:trPr>
          <w:trHeight w:val="300"/>
        </w:trPr>
        <w:tc>
          <w:tcPr>
            <w:tcW w:w="1828" w:type="dxa"/>
            <w:noWrap/>
            <w:tcMar>
              <w:top w:w="0" w:type="dxa"/>
              <w:left w:w="108" w:type="dxa"/>
              <w:bottom w:w="0" w:type="dxa"/>
              <w:right w:w="108" w:type="dxa"/>
            </w:tcMar>
            <w:vAlign w:val="bottom"/>
            <w:hideMark/>
          </w:tcPr>
          <w:p w14:paraId="1775C97E" w14:textId="77777777" w:rsidR="00A631EA" w:rsidRPr="004472D8" w:rsidRDefault="00A631EA" w:rsidP="00B0536D">
            <w:r w:rsidRPr="004472D8">
              <w:t>Total Annualized Cost</w:t>
            </w:r>
          </w:p>
        </w:tc>
        <w:tc>
          <w:tcPr>
            <w:tcW w:w="1710" w:type="dxa"/>
            <w:shd w:val="clear" w:color="auto" w:fill="BFBFBF"/>
          </w:tcPr>
          <w:p w14:paraId="1CBF98AE" w14:textId="77777777" w:rsidR="00A631EA" w:rsidRPr="004472D8" w:rsidRDefault="00A631EA" w:rsidP="00B0536D">
            <w:pPr>
              <w:rPr>
                <w:rFonts w:eastAsia="Calibri"/>
                <w:color w:val="000000"/>
              </w:rPr>
            </w:pPr>
          </w:p>
        </w:tc>
        <w:tc>
          <w:tcPr>
            <w:tcW w:w="1260" w:type="dxa"/>
            <w:shd w:val="clear" w:color="auto" w:fill="BFBFBF"/>
            <w:noWrap/>
            <w:tcMar>
              <w:top w:w="0" w:type="dxa"/>
              <w:left w:w="108" w:type="dxa"/>
              <w:bottom w:w="0" w:type="dxa"/>
              <w:right w:w="108" w:type="dxa"/>
            </w:tcMar>
            <w:vAlign w:val="bottom"/>
            <w:hideMark/>
          </w:tcPr>
          <w:p w14:paraId="7D50FDA2" w14:textId="77777777" w:rsidR="00A631EA" w:rsidRPr="004472D8" w:rsidRDefault="00A631EA" w:rsidP="00B0536D">
            <w:pPr>
              <w:rPr>
                <w:rFonts w:eastAsia="Calibri"/>
                <w:color w:val="000000"/>
              </w:rPr>
            </w:pPr>
          </w:p>
        </w:tc>
        <w:tc>
          <w:tcPr>
            <w:tcW w:w="1363" w:type="dxa"/>
            <w:shd w:val="clear" w:color="auto" w:fill="BFBFBF"/>
            <w:noWrap/>
            <w:tcMar>
              <w:top w:w="0" w:type="dxa"/>
              <w:left w:w="108" w:type="dxa"/>
              <w:bottom w:w="0" w:type="dxa"/>
              <w:right w:w="108" w:type="dxa"/>
            </w:tcMar>
            <w:vAlign w:val="bottom"/>
            <w:hideMark/>
          </w:tcPr>
          <w:p w14:paraId="271F396C" w14:textId="77777777" w:rsidR="00A631EA" w:rsidRPr="004472D8" w:rsidRDefault="00A631EA" w:rsidP="00B0536D">
            <w:pPr>
              <w:rPr>
                <w:rFonts w:eastAsia="Calibri"/>
                <w:color w:val="000000"/>
              </w:rPr>
            </w:pPr>
          </w:p>
        </w:tc>
        <w:tc>
          <w:tcPr>
            <w:tcW w:w="1363" w:type="dxa"/>
            <w:shd w:val="clear" w:color="auto" w:fill="BFBFBF"/>
          </w:tcPr>
          <w:p w14:paraId="73EAAA97" w14:textId="77777777" w:rsidR="00A631EA" w:rsidRPr="004472D8" w:rsidRDefault="00A631EA" w:rsidP="00B0536D">
            <w:pPr>
              <w:rPr>
                <w:rFonts w:eastAsia="Calibri"/>
                <w:color w:val="000000"/>
              </w:rPr>
            </w:pPr>
          </w:p>
        </w:tc>
        <w:tc>
          <w:tcPr>
            <w:tcW w:w="1656" w:type="dxa"/>
            <w:vAlign w:val="center"/>
          </w:tcPr>
          <w:p w14:paraId="0C9F5234" w14:textId="77777777" w:rsidR="00A631EA" w:rsidRPr="004472D8" w:rsidRDefault="00A631EA" w:rsidP="00B0536D">
            <w:pPr>
              <w:jc w:val="right"/>
              <w:rPr>
                <w:color w:val="000000"/>
              </w:rPr>
            </w:pPr>
            <w:r>
              <w:rPr>
                <w:color w:val="000000"/>
              </w:rPr>
              <w:t>$104,60</w:t>
            </w:r>
            <w:r w:rsidR="008A3515">
              <w:rPr>
                <w:color w:val="000000"/>
              </w:rPr>
              <w:t>9</w:t>
            </w:r>
          </w:p>
        </w:tc>
      </w:tr>
    </w:tbl>
    <w:p w14:paraId="6A85390D" w14:textId="77777777" w:rsidR="00A631EA" w:rsidRDefault="00A631EA" w:rsidP="00A631EA">
      <w:r w:rsidRPr="009C2A89">
        <w:t xml:space="preserve">Salary/Wage Source: Office of Personnel Management </w:t>
      </w:r>
      <w:hyperlink r:id="rId19" w:history="1">
        <w:r w:rsidRPr="005B3309">
          <w:rPr>
            <w:rStyle w:val="Hyperlink"/>
            <w:highlight w:val="yellow"/>
          </w:rPr>
          <w:t>2018 General Schedule Locality Salary Table</w:t>
        </w:r>
      </w:hyperlink>
      <w:r w:rsidRPr="005B3309">
        <w:rPr>
          <w:highlight w:val="yellow"/>
        </w:rPr>
        <w:t xml:space="preserve"> for various GS-levels; Bureau of Labor Statistics/Occupational Employment Statistics </w:t>
      </w:r>
      <w:hyperlink r:id="rId20" w:history="1">
        <w:r w:rsidRPr="005B3309">
          <w:rPr>
            <w:rStyle w:val="Hyperlink"/>
            <w:highlight w:val="yellow"/>
          </w:rPr>
          <w:t>May 2017 “Computer and Information Research Scientists”</w:t>
        </w:r>
      </w:hyperlink>
      <w:r w:rsidRPr="005B3309">
        <w:rPr>
          <w:highlight w:val="yellow"/>
        </w:rPr>
        <w:t>, occupational code 15-1111</w:t>
      </w:r>
      <w:r w:rsidR="004E39CB" w:rsidRPr="005B3309">
        <w:rPr>
          <w:highlight w:val="yellow"/>
        </w:rPr>
        <w:t>, Washington-Arlington-Alexandria, DC-VA-MD-WV Metropolitan Division</w:t>
      </w:r>
      <w:r w:rsidRPr="005B3309">
        <w:rPr>
          <w:highlight w:val="yellow"/>
        </w:rPr>
        <w:t>.</w:t>
      </w:r>
    </w:p>
    <w:p w14:paraId="13EA8D54" w14:textId="77777777" w:rsidR="008D1D2B" w:rsidRDefault="008D1D2B" w:rsidP="00FF72FC">
      <w:pPr>
        <w:rPr>
          <w:b/>
        </w:rPr>
      </w:pPr>
    </w:p>
    <w:p w14:paraId="283C8EAF" w14:textId="77777777" w:rsidR="00FF72FC" w:rsidRPr="00E35DD1" w:rsidRDefault="00FF72FC" w:rsidP="00FF72FC">
      <w:pPr>
        <w:rPr>
          <w:b/>
        </w:rPr>
      </w:pPr>
      <w:r w:rsidRPr="00E35DD1">
        <w:rPr>
          <w:b/>
        </w:rPr>
        <w:t>A.15</w:t>
      </w:r>
      <w:r w:rsidRPr="00E35DD1">
        <w:rPr>
          <w:b/>
        </w:rPr>
        <w:tab/>
        <w:t>Explanation for Program Changes or Adjustments</w:t>
      </w:r>
    </w:p>
    <w:p w14:paraId="363A87C5" w14:textId="77777777" w:rsidR="001A00AD" w:rsidRPr="00E35DD1" w:rsidRDefault="001A00AD" w:rsidP="00FF72FC">
      <w:r>
        <w:t xml:space="preserve">This is an ongoing data collection.  There have been no program changes or adjustments.  </w:t>
      </w:r>
    </w:p>
    <w:p w14:paraId="478D1A31" w14:textId="77777777" w:rsidR="00FF72FC" w:rsidRPr="00E35DD1" w:rsidRDefault="00FF72FC" w:rsidP="00FF72FC">
      <w:pPr>
        <w:pStyle w:val="Heading2"/>
        <w:tabs>
          <w:tab w:val="clear" w:pos="1152"/>
          <w:tab w:val="left" w:pos="720"/>
        </w:tabs>
        <w:spacing w:after="0" w:line="480" w:lineRule="auto"/>
        <w:ind w:left="0" w:firstLine="0"/>
        <w:rPr>
          <w:rFonts w:asciiTheme="minorHAnsi" w:hAnsiTheme="minorHAnsi"/>
          <w:szCs w:val="22"/>
        </w:rPr>
      </w:pPr>
      <w:bookmarkStart w:id="28" w:name="_Toc443881759"/>
      <w:bookmarkStart w:id="29" w:name="_Toc451592246"/>
      <w:bookmarkStart w:id="30" w:name="_Toc5610287"/>
      <w:bookmarkStart w:id="31" w:name="_Toc99178793"/>
      <w:r w:rsidRPr="00717158">
        <w:rPr>
          <w:rFonts w:asciiTheme="minorHAnsi" w:hAnsiTheme="minorHAnsi"/>
          <w:szCs w:val="22"/>
        </w:rPr>
        <w:t>A.16</w:t>
      </w:r>
      <w:r w:rsidRPr="00717158">
        <w:rPr>
          <w:rFonts w:asciiTheme="minorHAnsi" w:hAnsiTheme="minorHAnsi"/>
          <w:szCs w:val="22"/>
        </w:rPr>
        <w:tab/>
        <w:t>Plans for Tabulation and Publication and Project Time Schedule</w:t>
      </w:r>
      <w:bookmarkEnd w:id="28"/>
      <w:bookmarkEnd w:id="29"/>
      <w:bookmarkEnd w:id="30"/>
      <w:bookmarkEnd w:id="31"/>
    </w:p>
    <w:tbl>
      <w:tblPr>
        <w:tblW w:w="5000" w:type="pct"/>
        <w:jc w:val="center"/>
        <w:tblCellMar>
          <w:left w:w="120" w:type="dxa"/>
          <w:right w:w="120" w:type="dxa"/>
        </w:tblCellMar>
        <w:tblLook w:val="0000" w:firstRow="0" w:lastRow="0" w:firstColumn="0" w:lastColumn="0" w:noHBand="0" w:noVBand="0"/>
      </w:tblPr>
      <w:tblGrid>
        <w:gridCol w:w="4238"/>
        <w:gridCol w:w="5650"/>
      </w:tblGrid>
      <w:tr w:rsidR="001A00AD" w:rsidRPr="00767C53" w14:paraId="3AC54B25" w14:textId="77777777" w:rsidTr="00B0536D">
        <w:trPr>
          <w:cantSplit/>
          <w:trHeight w:val="403"/>
          <w:jc w:val="center"/>
        </w:trPr>
        <w:tc>
          <w:tcPr>
            <w:tcW w:w="5000" w:type="pct"/>
            <w:gridSpan w:val="2"/>
            <w:tcBorders>
              <w:top w:val="single" w:sz="4" w:space="0" w:color="auto"/>
              <w:left w:val="single" w:sz="4" w:space="0" w:color="auto"/>
              <w:right w:val="single" w:sz="4" w:space="0" w:color="auto"/>
            </w:tcBorders>
            <w:shd w:val="pct20" w:color="auto" w:fill="FFFFFF"/>
          </w:tcPr>
          <w:p w14:paraId="3288878F" w14:textId="77777777" w:rsidR="001A00AD" w:rsidRPr="004472D8" w:rsidRDefault="001A00AD" w:rsidP="00B0536D">
            <w:pPr>
              <w:jc w:val="center"/>
              <w:rPr>
                <w:color w:val="000000"/>
              </w:rPr>
            </w:pPr>
            <w:r w:rsidRPr="004472D8">
              <w:rPr>
                <w:color w:val="000000"/>
              </w:rPr>
              <w:t xml:space="preserve">A.16 - 1  </w:t>
            </w:r>
            <w:r w:rsidR="008A3515">
              <w:rPr>
                <w:color w:val="000000"/>
              </w:rPr>
              <w:t xml:space="preserve"> </w:t>
            </w:r>
            <w:r w:rsidRPr="004472D8">
              <w:rPr>
                <w:color w:val="000000"/>
              </w:rPr>
              <w:t>Project Time Schedule</w:t>
            </w:r>
          </w:p>
        </w:tc>
      </w:tr>
      <w:tr w:rsidR="001A00AD" w:rsidRPr="00767C53" w14:paraId="08CBB4DE" w14:textId="77777777" w:rsidTr="00B0536D">
        <w:trPr>
          <w:cantSplit/>
          <w:trHeight w:val="403"/>
          <w:jc w:val="center"/>
        </w:trPr>
        <w:tc>
          <w:tcPr>
            <w:tcW w:w="2143" w:type="pct"/>
            <w:tcBorders>
              <w:top w:val="single" w:sz="6" w:space="0" w:color="auto"/>
              <w:left w:val="single" w:sz="4" w:space="0" w:color="auto"/>
            </w:tcBorders>
            <w:shd w:val="pct5" w:color="auto" w:fill="FFFFFF"/>
          </w:tcPr>
          <w:p w14:paraId="3DE0AE3F" w14:textId="77777777" w:rsidR="001A00AD" w:rsidRPr="004472D8" w:rsidRDefault="001A00AD" w:rsidP="00B0536D">
            <w:pPr>
              <w:rPr>
                <w:color w:val="000000"/>
              </w:rPr>
            </w:pPr>
            <w:r w:rsidRPr="004472D8">
              <w:rPr>
                <w:color w:val="000000"/>
              </w:rPr>
              <w:tab/>
              <w:t>Activity</w:t>
            </w:r>
          </w:p>
        </w:tc>
        <w:tc>
          <w:tcPr>
            <w:tcW w:w="2857" w:type="pct"/>
            <w:tcBorders>
              <w:top w:val="single" w:sz="6" w:space="0" w:color="auto"/>
              <w:left w:val="single" w:sz="6" w:space="0" w:color="auto"/>
              <w:right w:val="single" w:sz="4" w:space="0" w:color="auto"/>
            </w:tcBorders>
            <w:shd w:val="pct5" w:color="auto" w:fill="FFFFFF"/>
          </w:tcPr>
          <w:p w14:paraId="6F897EA0" w14:textId="77777777" w:rsidR="001A00AD" w:rsidRPr="004472D8" w:rsidRDefault="001A00AD" w:rsidP="00B0536D">
            <w:pPr>
              <w:rPr>
                <w:color w:val="000000"/>
              </w:rPr>
            </w:pPr>
            <w:r w:rsidRPr="004472D8">
              <w:rPr>
                <w:color w:val="000000"/>
              </w:rPr>
              <w:tab/>
              <w:t>Time Schedule</w:t>
            </w:r>
          </w:p>
        </w:tc>
      </w:tr>
      <w:tr w:rsidR="001A00AD" w:rsidRPr="00767C53" w14:paraId="09968201" w14:textId="77777777" w:rsidTr="00B0536D">
        <w:trPr>
          <w:cantSplit/>
          <w:trHeight w:val="403"/>
          <w:jc w:val="center"/>
        </w:trPr>
        <w:tc>
          <w:tcPr>
            <w:tcW w:w="2143" w:type="pct"/>
            <w:tcBorders>
              <w:top w:val="single" w:sz="6" w:space="0" w:color="auto"/>
              <w:left w:val="single" w:sz="4" w:space="0" w:color="auto"/>
              <w:bottom w:val="single" w:sz="6" w:space="0" w:color="auto"/>
            </w:tcBorders>
            <w:shd w:val="clear" w:color="auto" w:fill="FFFFFF"/>
          </w:tcPr>
          <w:p w14:paraId="09E65C21" w14:textId="77777777" w:rsidR="001A00AD" w:rsidRPr="004472D8" w:rsidRDefault="001A00AD" w:rsidP="00B0536D">
            <w:pPr>
              <w:rPr>
                <w:color w:val="000000"/>
              </w:rPr>
            </w:pPr>
            <w:r>
              <w:rPr>
                <w:color w:val="000000"/>
              </w:rPr>
              <w:t>Data archive open to public</w:t>
            </w:r>
          </w:p>
        </w:tc>
        <w:tc>
          <w:tcPr>
            <w:tcW w:w="2857" w:type="pct"/>
            <w:tcBorders>
              <w:top w:val="single" w:sz="6" w:space="0" w:color="auto"/>
              <w:left w:val="single" w:sz="6" w:space="0" w:color="auto"/>
              <w:bottom w:val="single" w:sz="6" w:space="0" w:color="auto"/>
              <w:right w:val="single" w:sz="4" w:space="0" w:color="auto"/>
            </w:tcBorders>
            <w:shd w:val="clear" w:color="auto" w:fill="FFFFFF"/>
          </w:tcPr>
          <w:p w14:paraId="6569094B" w14:textId="77777777" w:rsidR="001A00AD" w:rsidRPr="004472D8" w:rsidRDefault="001A00AD" w:rsidP="00B0536D">
            <w:pPr>
              <w:rPr>
                <w:color w:val="000000"/>
              </w:rPr>
            </w:pPr>
            <w:r>
              <w:rPr>
                <w:color w:val="000000"/>
              </w:rPr>
              <w:t xml:space="preserve">On </w:t>
            </w:r>
            <w:r w:rsidRPr="004472D8">
              <w:rPr>
                <w:color w:val="000000"/>
              </w:rPr>
              <w:t>OMB approval</w:t>
            </w:r>
          </w:p>
        </w:tc>
      </w:tr>
      <w:tr w:rsidR="001A00AD" w:rsidRPr="00767C53" w14:paraId="7106BEB4" w14:textId="77777777" w:rsidTr="00B0536D">
        <w:trPr>
          <w:cantSplit/>
          <w:trHeight w:val="403"/>
          <w:jc w:val="center"/>
        </w:trPr>
        <w:tc>
          <w:tcPr>
            <w:tcW w:w="2143" w:type="pct"/>
            <w:tcBorders>
              <w:top w:val="single" w:sz="6" w:space="0" w:color="auto"/>
              <w:left w:val="single" w:sz="4" w:space="0" w:color="auto"/>
              <w:bottom w:val="single" w:sz="4" w:space="0" w:color="auto"/>
            </w:tcBorders>
            <w:shd w:val="clear" w:color="auto" w:fill="FFFFFF"/>
          </w:tcPr>
          <w:p w14:paraId="6E060839" w14:textId="77777777" w:rsidR="001A00AD" w:rsidRPr="004472D8" w:rsidRDefault="001A00AD" w:rsidP="00B0536D">
            <w:pPr>
              <w:rPr>
                <w:color w:val="000000"/>
              </w:rPr>
            </w:pPr>
            <w:r>
              <w:rPr>
                <w:color w:val="000000"/>
              </w:rPr>
              <w:t>Information collection from data users</w:t>
            </w:r>
          </w:p>
        </w:tc>
        <w:tc>
          <w:tcPr>
            <w:tcW w:w="2857" w:type="pct"/>
            <w:tcBorders>
              <w:top w:val="single" w:sz="6" w:space="0" w:color="auto"/>
              <w:left w:val="single" w:sz="6" w:space="0" w:color="auto"/>
              <w:bottom w:val="single" w:sz="4" w:space="0" w:color="auto"/>
              <w:right w:val="single" w:sz="4" w:space="0" w:color="auto"/>
            </w:tcBorders>
            <w:shd w:val="clear" w:color="auto" w:fill="FFFFFF"/>
          </w:tcPr>
          <w:p w14:paraId="787664D2" w14:textId="77777777" w:rsidR="001A00AD" w:rsidRPr="004472D8" w:rsidRDefault="001A00AD" w:rsidP="00B0536D">
            <w:pPr>
              <w:rPr>
                <w:color w:val="000000"/>
              </w:rPr>
            </w:pPr>
            <w:r>
              <w:rPr>
                <w:color w:val="000000"/>
              </w:rPr>
              <w:t>Ongoing</w:t>
            </w:r>
            <w:r w:rsidRPr="004472D8">
              <w:rPr>
                <w:color w:val="000000"/>
              </w:rPr>
              <w:t xml:space="preserve"> after </w:t>
            </w:r>
            <w:r>
              <w:rPr>
                <w:color w:val="000000"/>
              </w:rPr>
              <w:t>data archive opens to public</w:t>
            </w:r>
          </w:p>
        </w:tc>
      </w:tr>
    </w:tbl>
    <w:p w14:paraId="2ACEE751" w14:textId="77777777" w:rsidR="001A00AD" w:rsidRDefault="001A00AD" w:rsidP="001A00AD"/>
    <w:p w14:paraId="5E8CE5DE" w14:textId="77777777" w:rsidR="001A00AD" w:rsidRPr="0075265F" w:rsidRDefault="001A00AD" w:rsidP="0075265F">
      <w:pPr>
        <w:autoSpaceDE w:val="0"/>
        <w:autoSpaceDN w:val="0"/>
        <w:adjustRightInd w:val="0"/>
        <w:rPr>
          <w:color w:val="000000"/>
        </w:rPr>
      </w:pPr>
      <w:r w:rsidRPr="00A01057">
        <w:t xml:space="preserve">There are </w:t>
      </w:r>
      <w:r>
        <w:t xml:space="preserve">currently </w:t>
      </w:r>
      <w:r w:rsidRPr="00A01057">
        <w:t>no plans to publish the data</w:t>
      </w:r>
      <w:r>
        <w:t xml:space="preserve"> collected through requests for data access</w:t>
      </w:r>
      <w:r w:rsidR="0075265F">
        <w:t xml:space="preserve"> </w:t>
      </w:r>
      <w:r w:rsidR="0075265F" w:rsidRPr="0011360D">
        <w:rPr>
          <w:color w:val="000000"/>
        </w:rPr>
        <w:t xml:space="preserve">other than to post on the NCS Archive website the titles of approved research projects together with project investigators’ institutional affiliations.  </w:t>
      </w:r>
      <w:r>
        <w:t xml:space="preserve">The data </w:t>
      </w:r>
      <w:r w:rsidR="0075265F">
        <w:t xml:space="preserve">otherwise </w:t>
      </w:r>
      <w:r w:rsidRPr="00A01057">
        <w:t xml:space="preserve">are for internal monitoring purposes </w:t>
      </w:r>
      <w:r>
        <w:t xml:space="preserve">only, </w:t>
      </w:r>
      <w:r w:rsidRPr="00A01057">
        <w:t xml:space="preserve">to assess the </w:t>
      </w:r>
      <w:r>
        <w:t>archive</w:t>
      </w:r>
      <w:r w:rsidRPr="00A01057">
        <w:t xml:space="preserve"> resource requirements</w:t>
      </w:r>
      <w:r w:rsidR="0075265F">
        <w:t xml:space="preserve"> and for quality improvement</w:t>
      </w:r>
      <w:r w:rsidRPr="00A01057">
        <w:t>.</w:t>
      </w:r>
    </w:p>
    <w:p w14:paraId="5E5B4E83" w14:textId="77777777" w:rsidR="008D1D2B" w:rsidRDefault="008D1D2B" w:rsidP="00FF72FC">
      <w:pPr>
        <w:rPr>
          <w:b/>
        </w:rPr>
      </w:pPr>
    </w:p>
    <w:p w14:paraId="6FDFE1C3" w14:textId="77777777" w:rsidR="00FF72FC" w:rsidRPr="00D72813" w:rsidRDefault="00FF72FC" w:rsidP="00FF72FC">
      <w:pPr>
        <w:rPr>
          <w:b/>
        </w:rPr>
      </w:pPr>
      <w:r w:rsidRPr="00D72813">
        <w:rPr>
          <w:b/>
        </w:rPr>
        <w:t>A.17</w:t>
      </w:r>
      <w:r w:rsidRPr="00D72813">
        <w:rPr>
          <w:b/>
        </w:rPr>
        <w:tab/>
        <w:t>Reason(s) Display of OMB Expiration Date is Inappropriate</w:t>
      </w:r>
    </w:p>
    <w:p w14:paraId="7AE4DE70" w14:textId="77777777" w:rsidR="001A00AD" w:rsidRPr="00E35DD1" w:rsidRDefault="001A00AD" w:rsidP="00FF72FC">
      <w:r>
        <w:t xml:space="preserve">Not applicable.  </w:t>
      </w:r>
    </w:p>
    <w:p w14:paraId="75D08F06" w14:textId="77777777" w:rsidR="0057480E" w:rsidRPr="00D72813" w:rsidRDefault="00FF72FC" w:rsidP="00FF72FC">
      <w:pPr>
        <w:rPr>
          <w:b/>
        </w:rPr>
      </w:pPr>
      <w:r w:rsidRPr="00D72813">
        <w:rPr>
          <w:b/>
        </w:rPr>
        <w:t>A.18</w:t>
      </w:r>
      <w:r w:rsidRPr="00D72813">
        <w:rPr>
          <w:b/>
        </w:rPr>
        <w:tab/>
        <w:t>Exceptions to Certification for Paperwork Reduction Act Submissions</w:t>
      </w:r>
    </w:p>
    <w:p w14:paraId="5D0BD1D0" w14:textId="77777777" w:rsidR="00FF72FC" w:rsidRPr="00E35DD1" w:rsidRDefault="005F4A54" w:rsidP="00FF72FC">
      <w:r w:rsidRPr="00024899">
        <w:t xml:space="preserve"> No</w:t>
      </w:r>
      <w:r w:rsidR="00C23337">
        <w:t xml:space="preserve">t applicable.  </w:t>
      </w:r>
    </w:p>
    <w:sectPr w:rsidR="00FF72FC" w:rsidRPr="00E35DD1" w:rsidSect="00FE6EA5">
      <w:footerReference w:type="even" r:id="rId21"/>
      <w:footerReference w:type="default" r:id="rId22"/>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F9044" w14:textId="77777777" w:rsidR="001907B9" w:rsidRDefault="001907B9">
      <w:pPr>
        <w:spacing w:after="0" w:line="240" w:lineRule="auto"/>
      </w:pPr>
      <w:r>
        <w:separator/>
      </w:r>
    </w:p>
  </w:endnote>
  <w:endnote w:type="continuationSeparator" w:id="0">
    <w:p w14:paraId="444EA8FB" w14:textId="77777777" w:rsidR="001907B9" w:rsidRDefault="00190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65960" w14:textId="77777777"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6F89D9" w14:textId="77777777" w:rsidR="00D23882" w:rsidRDefault="004D48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9A209" w14:textId="77777777"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4847">
      <w:rPr>
        <w:rStyle w:val="PageNumber"/>
        <w:noProof/>
      </w:rPr>
      <w:t>1</w:t>
    </w:r>
    <w:r>
      <w:rPr>
        <w:rStyle w:val="PageNumber"/>
      </w:rPr>
      <w:fldChar w:fldCharType="end"/>
    </w:r>
  </w:p>
  <w:p w14:paraId="70BA26E2" w14:textId="77777777" w:rsidR="00D23882" w:rsidRDefault="004D4847"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4C750" w14:textId="77777777" w:rsidR="001907B9" w:rsidRDefault="001907B9">
      <w:pPr>
        <w:spacing w:after="0" w:line="240" w:lineRule="auto"/>
      </w:pPr>
      <w:r>
        <w:separator/>
      </w:r>
    </w:p>
  </w:footnote>
  <w:footnote w:type="continuationSeparator" w:id="0">
    <w:p w14:paraId="14C20D5A" w14:textId="77777777" w:rsidR="001907B9" w:rsidRDefault="001907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E502D"/>
    <w:multiLevelType w:val="hybridMultilevel"/>
    <w:tmpl w:val="2D56B1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9A4F7C"/>
    <w:multiLevelType w:val="hybridMultilevel"/>
    <w:tmpl w:val="7E9ED400"/>
    <w:lvl w:ilvl="0" w:tplc="0409000D">
      <w:start w:val="1"/>
      <w:numFmt w:val="bullet"/>
      <w:lvlText w:val=""/>
      <w:lvlJc w:val="left"/>
      <w:pPr>
        <w:tabs>
          <w:tab w:val="num" w:pos="720"/>
        </w:tabs>
        <w:ind w:left="720" w:hanging="360"/>
      </w:pPr>
      <w:rPr>
        <w:rFonts w:ascii="Wingdings" w:hAnsi="Wingdings"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833455"/>
    <w:multiLevelType w:val="hybridMultilevel"/>
    <w:tmpl w:val="CE4CB7B6"/>
    <w:lvl w:ilvl="0" w:tplc="4C967C74">
      <w:start w:val="1"/>
      <w:numFmt w:val="bullet"/>
      <w:lvlText w:val="Χ"/>
      <w:lvlJc w:val="left"/>
      <w:pPr>
        <w:tabs>
          <w:tab w:val="num" w:pos="720"/>
        </w:tabs>
        <w:ind w:left="720" w:hanging="360"/>
      </w:pPr>
      <w:rPr>
        <w:rFonts w:ascii="Calibri" w:hAnsi="Calibri"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1"/>
  </w:num>
  <w:num w:numId="4">
    <w:abstractNumId w:val="1"/>
  </w:num>
  <w:num w:numId="5">
    <w:abstractNumId w:val="6"/>
  </w:num>
  <w:num w:numId="6">
    <w:abstractNumId w:val="5"/>
  </w:num>
  <w:num w:numId="7">
    <w:abstractNumId w:val="7"/>
  </w:num>
  <w:num w:numId="8">
    <w:abstractNumId w:val="10"/>
  </w:num>
  <w:num w:numId="9">
    <w:abstractNumId w:val="9"/>
  </w:num>
  <w:num w:numId="10">
    <w:abstractNumId w:val="12"/>
  </w:num>
  <w:num w:numId="11">
    <w:abstractNumId w:val="2"/>
  </w:num>
  <w:num w:numId="12">
    <w:abstractNumId w:val="0"/>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43"/>
    <w:rsid w:val="00014A57"/>
    <w:rsid w:val="00024899"/>
    <w:rsid w:val="00033BDA"/>
    <w:rsid w:val="0007275C"/>
    <w:rsid w:val="000821D2"/>
    <w:rsid w:val="000977F1"/>
    <w:rsid w:val="000D237E"/>
    <w:rsid w:val="000F3043"/>
    <w:rsid w:val="0011360D"/>
    <w:rsid w:val="00136D20"/>
    <w:rsid w:val="00154125"/>
    <w:rsid w:val="0015620F"/>
    <w:rsid w:val="0016353F"/>
    <w:rsid w:val="00170EC9"/>
    <w:rsid w:val="00183E52"/>
    <w:rsid w:val="001907B9"/>
    <w:rsid w:val="00190C83"/>
    <w:rsid w:val="00195414"/>
    <w:rsid w:val="001A00AD"/>
    <w:rsid w:val="001A7FB3"/>
    <w:rsid w:val="001D2777"/>
    <w:rsid w:val="00221454"/>
    <w:rsid w:val="00234E8B"/>
    <w:rsid w:val="00255F7C"/>
    <w:rsid w:val="002670CD"/>
    <w:rsid w:val="00267E55"/>
    <w:rsid w:val="0027411E"/>
    <w:rsid w:val="002770FA"/>
    <w:rsid w:val="00291B8C"/>
    <w:rsid w:val="00295BA5"/>
    <w:rsid w:val="00296BEC"/>
    <w:rsid w:val="002A269C"/>
    <w:rsid w:val="002C41F3"/>
    <w:rsid w:val="002C5D4F"/>
    <w:rsid w:val="002F07E6"/>
    <w:rsid w:val="002F25DD"/>
    <w:rsid w:val="002F4317"/>
    <w:rsid w:val="00312856"/>
    <w:rsid w:val="00323CBB"/>
    <w:rsid w:val="00330735"/>
    <w:rsid w:val="0036208F"/>
    <w:rsid w:val="0037291F"/>
    <w:rsid w:val="00390BA3"/>
    <w:rsid w:val="00395785"/>
    <w:rsid w:val="003C2DDD"/>
    <w:rsid w:val="003F53A8"/>
    <w:rsid w:val="0041618F"/>
    <w:rsid w:val="004227E1"/>
    <w:rsid w:val="0042330D"/>
    <w:rsid w:val="00425754"/>
    <w:rsid w:val="00442B5B"/>
    <w:rsid w:val="00443A63"/>
    <w:rsid w:val="004716CF"/>
    <w:rsid w:val="00495BC0"/>
    <w:rsid w:val="00497B81"/>
    <w:rsid w:val="004A14FA"/>
    <w:rsid w:val="004B192B"/>
    <w:rsid w:val="004C4B9F"/>
    <w:rsid w:val="004D4847"/>
    <w:rsid w:val="004E39CB"/>
    <w:rsid w:val="005150E7"/>
    <w:rsid w:val="005301BB"/>
    <w:rsid w:val="00536C12"/>
    <w:rsid w:val="00546494"/>
    <w:rsid w:val="0057480E"/>
    <w:rsid w:val="005969AB"/>
    <w:rsid w:val="005B3309"/>
    <w:rsid w:val="005E486A"/>
    <w:rsid w:val="005F09E6"/>
    <w:rsid w:val="005F4A54"/>
    <w:rsid w:val="006242B1"/>
    <w:rsid w:val="00644341"/>
    <w:rsid w:val="00667BBD"/>
    <w:rsid w:val="0067425B"/>
    <w:rsid w:val="00681F63"/>
    <w:rsid w:val="00683DF9"/>
    <w:rsid w:val="00685B30"/>
    <w:rsid w:val="006A45F9"/>
    <w:rsid w:val="006D2AA2"/>
    <w:rsid w:val="006E2372"/>
    <w:rsid w:val="006E72C2"/>
    <w:rsid w:val="006F574C"/>
    <w:rsid w:val="007001AC"/>
    <w:rsid w:val="00703A8B"/>
    <w:rsid w:val="007063F8"/>
    <w:rsid w:val="00717158"/>
    <w:rsid w:val="00732243"/>
    <w:rsid w:val="00735A4C"/>
    <w:rsid w:val="00746021"/>
    <w:rsid w:val="0075265F"/>
    <w:rsid w:val="00754E37"/>
    <w:rsid w:val="00756DDA"/>
    <w:rsid w:val="00767C53"/>
    <w:rsid w:val="00771479"/>
    <w:rsid w:val="007B553D"/>
    <w:rsid w:val="007D11BF"/>
    <w:rsid w:val="007D402F"/>
    <w:rsid w:val="00824449"/>
    <w:rsid w:val="008254FF"/>
    <w:rsid w:val="008359FA"/>
    <w:rsid w:val="0086248B"/>
    <w:rsid w:val="00863982"/>
    <w:rsid w:val="00894FF4"/>
    <w:rsid w:val="008A17E2"/>
    <w:rsid w:val="008A2277"/>
    <w:rsid w:val="008A2AD7"/>
    <w:rsid w:val="008A3515"/>
    <w:rsid w:val="008B61A3"/>
    <w:rsid w:val="008C56A5"/>
    <w:rsid w:val="008D1D2B"/>
    <w:rsid w:val="00936375"/>
    <w:rsid w:val="00941822"/>
    <w:rsid w:val="00976490"/>
    <w:rsid w:val="009800E4"/>
    <w:rsid w:val="009A023E"/>
    <w:rsid w:val="009C3E9D"/>
    <w:rsid w:val="009E1D23"/>
    <w:rsid w:val="00A00CF8"/>
    <w:rsid w:val="00A0678F"/>
    <w:rsid w:val="00A40A31"/>
    <w:rsid w:val="00A60863"/>
    <w:rsid w:val="00A631EA"/>
    <w:rsid w:val="00A6350F"/>
    <w:rsid w:val="00A749C7"/>
    <w:rsid w:val="00AA2632"/>
    <w:rsid w:val="00AA78BF"/>
    <w:rsid w:val="00AB736C"/>
    <w:rsid w:val="00B00EB3"/>
    <w:rsid w:val="00B03736"/>
    <w:rsid w:val="00B2767E"/>
    <w:rsid w:val="00B31022"/>
    <w:rsid w:val="00B80356"/>
    <w:rsid w:val="00B93C77"/>
    <w:rsid w:val="00B96691"/>
    <w:rsid w:val="00B97931"/>
    <w:rsid w:val="00BA4884"/>
    <w:rsid w:val="00BC0420"/>
    <w:rsid w:val="00BC1E51"/>
    <w:rsid w:val="00BE5EFA"/>
    <w:rsid w:val="00BE76A7"/>
    <w:rsid w:val="00BF491C"/>
    <w:rsid w:val="00C10E77"/>
    <w:rsid w:val="00C23337"/>
    <w:rsid w:val="00C76797"/>
    <w:rsid w:val="00C943D1"/>
    <w:rsid w:val="00CA00A3"/>
    <w:rsid w:val="00CA0F6F"/>
    <w:rsid w:val="00CB78D9"/>
    <w:rsid w:val="00CC3227"/>
    <w:rsid w:val="00CF36BD"/>
    <w:rsid w:val="00CF6AAF"/>
    <w:rsid w:val="00D11E65"/>
    <w:rsid w:val="00D31981"/>
    <w:rsid w:val="00D34BE5"/>
    <w:rsid w:val="00D646FF"/>
    <w:rsid w:val="00D7280E"/>
    <w:rsid w:val="00D72813"/>
    <w:rsid w:val="00D76FD2"/>
    <w:rsid w:val="00D8043F"/>
    <w:rsid w:val="00D968EC"/>
    <w:rsid w:val="00DB0E05"/>
    <w:rsid w:val="00DB1217"/>
    <w:rsid w:val="00DC354F"/>
    <w:rsid w:val="00DD3E70"/>
    <w:rsid w:val="00DE458A"/>
    <w:rsid w:val="00DE5570"/>
    <w:rsid w:val="00DF5E85"/>
    <w:rsid w:val="00E03967"/>
    <w:rsid w:val="00E068B7"/>
    <w:rsid w:val="00E06DAA"/>
    <w:rsid w:val="00E075A9"/>
    <w:rsid w:val="00E35DD1"/>
    <w:rsid w:val="00E56374"/>
    <w:rsid w:val="00E67B10"/>
    <w:rsid w:val="00E72390"/>
    <w:rsid w:val="00E83125"/>
    <w:rsid w:val="00EA2F61"/>
    <w:rsid w:val="00EA37D2"/>
    <w:rsid w:val="00EA564D"/>
    <w:rsid w:val="00EB65C9"/>
    <w:rsid w:val="00EB7E3E"/>
    <w:rsid w:val="00EC1EA1"/>
    <w:rsid w:val="00ED78DF"/>
    <w:rsid w:val="00EE12B9"/>
    <w:rsid w:val="00EE245F"/>
    <w:rsid w:val="00EE5A75"/>
    <w:rsid w:val="00F142EC"/>
    <w:rsid w:val="00F23588"/>
    <w:rsid w:val="00F31B45"/>
    <w:rsid w:val="00F33485"/>
    <w:rsid w:val="00F73AE4"/>
    <w:rsid w:val="00F75A64"/>
    <w:rsid w:val="00FB346E"/>
    <w:rsid w:val="00FB6EC5"/>
    <w:rsid w:val="00FC7C16"/>
    <w:rsid w:val="00FE6EA5"/>
    <w:rsid w:val="00FF30C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2EB3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rsid w:val="000F3043"/>
    <w:rPr>
      <w:rFonts w:ascii="Times New Roman" w:eastAsia="Times New Roman" w:hAnsi="Times New Roman" w:cs="Times New Roman"/>
      <w:b/>
      <w:szCs w:val="20"/>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EA5"/>
    <w:rPr>
      <w:rFonts w:eastAsiaTheme="minorEastAsia"/>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UnresolvedMention">
    <w:name w:val="Unresolved Mention"/>
    <w:basedOn w:val="DefaultParagraphFont"/>
    <w:uiPriority w:val="99"/>
    <w:semiHidden/>
    <w:unhideWhenUsed/>
    <w:rsid w:val="006F574C"/>
    <w:rPr>
      <w:color w:val="605E5C"/>
      <w:shd w:val="clear" w:color="auto" w:fill="E1DFDD"/>
    </w:rPr>
  </w:style>
  <w:style w:type="character" w:styleId="FollowedHyperlink">
    <w:name w:val="FollowedHyperlink"/>
    <w:basedOn w:val="DefaultParagraphFont"/>
    <w:uiPriority w:val="99"/>
    <w:semiHidden/>
    <w:unhideWhenUsed/>
    <w:rsid w:val="00D968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rsid w:val="000F3043"/>
    <w:rPr>
      <w:rFonts w:ascii="Times New Roman" w:eastAsia="Times New Roman" w:hAnsi="Times New Roman" w:cs="Times New Roman"/>
      <w:b/>
      <w:szCs w:val="20"/>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EA5"/>
    <w:rPr>
      <w:rFonts w:eastAsiaTheme="minorEastAsia"/>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UnresolvedMention">
    <w:name w:val="Unresolved Mention"/>
    <w:basedOn w:val="DefaultParagraphFont"/>
    <w:uiPriority w:val="99"/>
    <w:semiHidden/>
    <w:unhideWhenUsed/>
    <w:rsid w:val="006F574C"/>
    <w:rPr>
      <w:color w:val="605E5C"/>
      <w:shd w:val="clear" w:color="auto" w:fill="E1DFDD"/>
    </w:rPr>
  </w:style>
  <w:style w:type="character" w:styleId="FollowedHyperlink">
    <w:name w:val="FollowedHyperlink"/>
    <w:basedOn w:val="DefaultParagraphFont"/>
    <w:uiPriority w:val="99"/>
    <w:semiHidden/>
    <w:unhideWhenUsed/>
    <w:rsid w:val="00D968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csarchive.s-3.net/bioshare/data_briefs_and_abstracts/" TargetMode="External"/><Relationship Id="rId18" Type="http://schemas.openxmlformats.org/officeDocument/2006/relationships/hyperlink" Target="http://www.bls.gov/oes/current/oes_13644.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ncsarchive.s-3.net/bioshare/publications/" TargetMode="External"/><Relationship Id="rId17" Type="http://schemas.openxmlformats.org/officeDocument/2006/relationships/hyperlink" Target="https://oma.od.nih.gov/forms/Privacy%20Documents/Documents/Privacy%20Act%20Systems%20of%20Records%20Notices%20(SORNs).pdf"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bls.gov/oes/current/oes151111.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csarchive.s-3.net/bioshar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oma.od.nih.gov/forms/Privacy%20Documents/Documents/Privacy%20Act%20Systems%20of%20Records%20Notices%20(SORNs).pdf" TargetMode="External"/><Relationship Id="rId23" Type="http://schemas.openxmlformats.org/officeDocument/2006/relationships/fontTable" Target="fontTable.xml"/><Relationship Id="rId10" Type="http://schemas.openxmlformats.org/officeDocument/2006/relationships/hyperlink" Target="mailto:moyej@mail.nih.gov" TargetMode="External"/><Relationship Id="rId19" Type="http://schemas.openxmlformats.org/officeDocument/2006/relationships/hyperlink" Target="https://www.opm.gov/policy-data-oversight/pay-leave/salaries-wages/salary-tables/pdf/2018/DCB.pdf" TargetMode="External"/><Relationship Id="rId4" Type="http://schemas.microsoft.com/office/2007/relationships/stylesWithEffects" Target="stylesWithEffects.xml"/><Relationship Id="rId9" Type="http://schemas.openxmlformats.org/officeDocument/2006/relationships/hyperlink" Target="https://www.reginfo.gov/public/do/DownloadNOA?requestID=268504" TargetMode="External"/><Relationship Id="rId14" Type="http://schemas.openxmlformats.org/officeDocument/2006/relationships/hyperlink" Target="https://ncsarchive.s-3.net/bioshare/teaching_dataset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3050</Words>
  <Characters>17387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Lopez, Maria (NIH/NICHD) [E]</dc:creator>
  <cp:lastModifiedBy>SYSTEM</cp:lastModifiedBy>
  <cp:revision>2</cp:revision>
  <dcterms:created xsi:type="dcterms:W3CDTF">2019-02-05T16:54:00Z</dcterms:created>
  <dcterms:modified xsi:type="dcterms:W3CDTF">2019-02-05T16:54:00Z</dcterms:modified>
</cp:coreProperties>
</file>