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Default="00595D1E" w:rsidP="00595D1E">
      <w:pPr>
        <w:jc w:val="center"/>
        <w:rPr>
          <w:b/>
        </w:rPr>
      </w:pPr>
      <w:bookmarkStart w:id="0" w:name="_GoBack"/>
      <w:bookmarkEnd w:id="0"/>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64908CEC" w:rsidR="00FF1D87" w:rsidRPr="005B4271" w:rsidRDefault="00FF1D87" w:rsidP="002B193F">
      <w:pPr>
        <w:jc w:val="center"/>
        <w:rPr>
          <w:sz w:val="32"/>
          <w:szCs w:val="32"/>
        </w:rPr>
      </w:pPr>
    </w:p>
    <w:p w14:paraId="7A638A30" w14:textId="77777777" w:rsidR="001E175C" w:rsidRPr="005B4271" w:rsidRDefault="001E175C" w:rsidP="005B4271">
      <w:pPr>
        <w:jc w:val="center"/>
        <w:rPr>
          <w:sz w:val="32"/>
          <w:szCs w:val="32"/>
        </w:rPr>
      </w:pPr>
      <w:r w:rsidRPr="005B4271">
        <w:rPr>
          <w:sz w:val="32"/>
          <w:szCs w:val="32"/>
        </w:rPr>
        <w:t>National Children’s Study (NCS) Vanguard Data and Sample Archive and Access System (NICHD)</w:t>
      </w:r>
    </w:p>
    <w:p w14:paraId="46ABD34C" w14:textId="19717915" w:rsidR="00003BE1" w:rsidRPr="002B193F" w:rsidRDefault="00003BE1" w:rsidP="002B193F">
      <w:pPr>
        <w:jc w:val="center"/>
        <w:rPr>
          <w:sz w:val="32"/>
          <w:szCs w:val="32"/>
        </w:rPr>
      </w:pPr>
    </w:p>
    <w:p w14:paraId="27004A84" w14:textId="4FFAED04" w:rsidR="002F326E" w:rsidRPr="005B4271" w:rsidRDefault="00FD28C8" w:rsidP="005B4271">
      <w:pPr>
        <w:jc w:val="center"/>
        <w:rPr>
          <w:sz w:val="32"/>
          <w:szCs w:val="32"/>
        </w:rPr>
      </w:pPr>
      <w:hyperlink r:id="rId8" w:history="1">
        <w:r w:rsidR="002F326E" w:rsidRPr="005B4271">
          <w:rPr>
            <w:sz w:val="32"/>
            <w:szCs w:val="32"/>
          </w:rPr>
          <w:t>OMB clearance #0925-0730</w:t>
        </w:r>
      </w:hyperlink>
      <w:r w:rsidR="002F326E" w:rsidRPr="005B4271">
        <w:rPr>
          <w:sz w:val="32"/>
          <w:szCs w:val="32"/>
        </w:rPr>
        <w:t>, expiration date 2/28/2019</w:t>
      </w:r>
    </w:p>
    <w:p w14:paraId="51AB3D6E" w14:textId="313EE58F" w:rsidR="00CB4C39" w:rsidRPr="002B193F" w:rsidRDefault="00CB4C39" w:rsidP="002B193F">
      <w:pPr>
        <w:jc w:val="center"/>
        <w:rPr>
          <w:sz w:val="32"/>
          <w:szCs w:val="32"/>
        </w:rPr>
      </w:pPr>
    </w:p>
    <w:p w14:paraId="5D943427" w14:textId="4820183E" w:rsidR="00595D1E" w:rsidRPr="002B193F" w:rsidRDefault="002F326E" w:rsidP="002B193F">
      <w:pPr>
        <w:jc w:val="center"/>
        <w:rPr>
          <w:sz w:val="32"/>
          <w:szCs w:val="32"/>
        </w:rPr>
      </w:pPr>
      <w:r>
        <w:rPr>
          <w:sz w:val="32"/>
          <w:szCs w:val="32"/>
        </w:rPr>
        <w:t>February 1, 2019</w:t>
      </w:r>
    </w:p>
    <w:p w14:paraId="19A1A239" w14:textId="77777777" w:rsidR="00595D1E" w:rsidRPr="002B193F" w:rsidRDefault="00595D1E">
      <w:pPr>
        <w:jc w:val="center"/>
      </w:pPr>
    </w:p>
    <w:p w14:paraId="68D92751" w14:textId="61BD7BF9" w:rsidR="00595D1E" w:rsidRPr="002B193F" w:rsidRDefault="00595D1E">
      <w:pPr>
        <w:jc w:val="center"/>
      </w:pPr>
    </w:p>
    <w:p w14:paraId="39D3F73C" w14:textId="77777777" w:rsidR="00FF1D87" w:rsidRPr="002B193F" w:rsidRDefault="00FF1D87">
      <w:pPr>
        <w:jc w:val="center"/>
      </w:pPr>
    </w:p>
    <w:p w14:paraId="40A42FE9" w14:textId="77777777" w:rsidR="005B4271" w:rsidRDefault="00FF1D87" w:rsidP="005B4271">
      <w:pPr>
        <w:spacing w:after="0"/>
        <w:jc w:val="center"/>
        <w:rPr>
          <w:rFonts w:eastAsia="Times New Roman" w:cs="Times New Roman"/>
        </w:rPr>
      </w:pPr>
      <w:r>
        <w:rPr>
          <w:b/>
        </w:rPr>
        <w:t>NIH/Program Official</w:t>
      </w:r>
      <w:r w:rsidR="005B4271" w:rsidRPr="005B4271">
        <w:rPr>
          <w:rFonts w:eastAsia="Times New Roman" w:cs="Times New Roman"/>
        </w:rPr>
        <w:t xml:space="preserve"> </w:t>
      </w:r>
    </w:p>
    <w:p w14:paraId="7CDCC192" w14:textId="158A8246" w:rsidR="005B4271" w:rsidRPr="006529C2" w:rsidRDefault="005B4271" w:rsidP="005B4271">
      <w:pPr>
        <w:spacing w:after="0"/>
        <w:jc w:val="center"/>
      </w:pPr>
      <w:r w:rsidRPr="006529C2">
        <w:t>Jack Moye, Jr., MD</w:t>
      </w:r>
    </w:p>
    <w:p w14:paraId="3BFB07E8" w14:textId="7DB46356" w:rsidR="005B4271" w:rsidRPr="005B4271" w:rsidRDefault="005B4271" w:rsidP="005B4271">
      <w:pPr>
        <w:spacing w:after="0"/>
        <w:jc w:val="center"/>
      </w:pPr>
      <w:r w:rsidRPr="005B4271">
        <w:t>The National Children's Study</w:t>
      </w:r>
    </w:p>
    <w:p w14:paraId="286B3184" w14:textId="77777777" w:rsidR="005B4271" w:rsidRPr="005B4271" w:rsidRDefault="005B4271" w:rsidP="005B4271">
      <w:pPr>
        <w:spacing w:after="0"/>
        <w:jc w:val="center"/>
      </w:pPr>
      <w:r w:rsidRPr="005B4271">
        <w:rPr>
          <w:i/>
        </w:rPr>
        <w:t>Eunice Kennedy Shriver</w:t>
      </w:r>
      <w:r w:rsidRPr="005B4271">
        <w:t xml:space="preserve"> National Institute of Child Health and Human Development</w:t>
      </w:r>
    </w:p>
    <w:p w14:paraId="33574D73" w14:textId="77777777" w:rsidR="005B4271" w:rsidRPr="005B4271" w:rsidRDefault="005B4271" w:rsidP="005B4271">
      <w:pPr>
        <w:spacing w:after="0"/>
        <w:jc w:val="center"/>
      </w:pPr>
      <w:r w:rsidRPr="005B4271">
        <w:t>6710B Rockledge Boulevard, Room 2130, MSC 7002</w:t>
      </w:r>
    </w:p>
    <w:p w14:paraId="37430CF8" w14:textId="77777777" w:rsidR="005B4271" w:rsidRPr="005B4271" w:rsidRDefault="005B4271" w:rsidP="005B4271">
      <w:pPr>
        <w:spacing w:after="0"/>
        <w:jc w:val="center"/>
      </w:pPr>
      <w:r w:rsidRPr="005B4271">
        <w:t>Bethesda, MD 20892-7002</w:t>
      </w:r>
    </w:p>
    <w:p w14:paraId="225557EB" w14:textId="4BC4DBBD" w:rsidR="005B4271" w:rsidRPr="005B4271" w:rsidRDefault="005B4271" w:rsidP="005B4271">
      <w:pPr>
        <w:spacing w:after="0"/>
        <w:jc w:val="center"/>
      </w:pPr>
      <w:r w:rsidRPr="005B4271">
        <w:t>Telephon</w:t>
      </w:r>
      <w:r w:rsidRPr="006529C2">
        <w:t xml:space="preserve">e:  </w:t>
      </w:r>
      <w:r w:rsidRPr="005B4271">
        <w:t>301-594-8624</w:t>
      </w:r>
    </w:p>
    <w:p w14:paraId="79931039" w14:textId="6C861582" w:rsidR="005B4271" w:rsidRPr="005B4271" w:rsidRDefault="005B4271" w:rsidP="005B4271">
      <w:pPr>
        <w:spacing w:after="0"/>
        <w:jc w:val="center"/>
      </w:pPr>
      <w:r w:rsidRPr="005B4271">
        <w:t xml:space="preserve">           Email:</w:t>
      </w:r>
      <w:r w:rsidRPr="006529C2">
        <w:t xml:space="preserve">  </w:t>
      </w:r>
      <w:hyperlink r:id="rId9" w:history="1">
        <w:r w:rsidRPr="005B4271">
          <w:rPr>
            <w:rStyle w:val="Hyperlink"/>
          </w:rPr>
          <w:t>moyej@mail.nih.gov</w:t>
        </w:r>
      </w:hyperlink>
    </w:p>
    <w:p w14:paraId="0C65252C" w14:textId="6FA827C1" w:rsidR="00595D1E" w:rsidRPr="00113647" w:rsidRDefault="00595D1E" w:rsidP="002B193F">
      <w:pPr>
        <w:spacing w:after="0"/>
        <w:jc w:val="center"/>
        <w:rPr>
          <w:b/>
        </w:rPr>
      </w:pPr>
      <w:r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1650FFC8" w14:textId="77777777" w:rsidR="00003BE1" w:rsidRPr="00113647" w:rsidRDefault="00003BE1" w:rsidP="008716F6">
      <w:pPr>
        <w:spacing w:after="20"/>
        <w:rPr>
          <w:b/>
        </w:rPr>
      </w:pPr>
    </w:p>
    <w:p w14:paraId="1CD70B50" w14:textId="05452BC1" w:rsidR="00877BED" w:rsidRDefault="00877BED" w:rsidP="00877BED">
      <w:pPr>
        <w:spacing w:after="20"/>
      </w:pPr>
      <w:r w:rsidRPr="00877BED">
        <w:t xml:space="preserve">NICHD requires institutional and investigator contact information from users of the NCS Data and Sample Archive and Access System (NCS Archive).  This information collected from potential data users is necessary to fulfill the requirements of their proposed research projects, ensure compliance with Department of Health and Human Services regulations for the protection of human subjects in research (45 CFR 46) and the Common Rule (45 CFR 46 Subpart A), and to document, track, and monitor the use of the NCS Archive, which provides opportunities for qualified researchers to use data and samples collected by the NCS Vanguard phase, for approved research projects. There is no plan to publish the data collected under this request other than to post on the NCS Archive website the titles of approved research projects together with project investigators’ institutional affiliations.    </w:t>
      </w:r>
    </w:p>
    <w:p w14:paraId="49AC2C15" w14:textId="77777777" w:rsidR="001225CC" w:rsidRPr="00877BED" w:rsidRDefault="001225CC" w:rsidP="00877BED">
      <w:pPr>
        <w:spacing w:after="20"/>
      </w:pPr>
    </w:p>
    <w:p w14:paraId="00D9BAEE" w14:textId="77777777" w:rsidR="00877BED" w:rsidRPr="00877BED" w:rsidRDefault="00877BED" w:rsidP="00877BED">
      <w:pPr>
        <w:spacing w:after="20"/>
      </w:pPr>
      <w:r w:rsidRPr="00877BED">
        <w:t xml:space="preserve">Authority for the collection of the information requested from the submitting investigators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w:t>
      </w:r>
      <w:hyperlink r:id="rId10" w:anchor="page=4" w:history="1">
        <w:r w:rsidRPr="00877BED">
          <w:rPr>
            <w:rStyle w:val="Hyperlink"/>
          </w:rPr>
          <w:t>Privacy Act System of Record Notice 09-25-0200</w:t>
        </w:r>
      </w:hyperlink>
      <w:r w:rsidRPr="00877BED">
        <w:t xml:space="preserve"> covering “Clinical, Basic and Population-based Research Studies of the National Institutes of Health (NIH), HHS/NIH/OD.”   </w:t>
      </w:r>
    </w:p>
    <w:p w14:paraId="36D0BF5D" w14:textId="029A41BE" w:rsidR="00003BE1" w:rsidRDefault="00003BE1" w:rsidP="00003BE1">
      <w:pPr>
        <w:spacing w:after="20"/>
      </w:pPr>
    </w:p>
    <w:p w14:paraId="43F9EB3F" w14:textId="77777777" w:rsidR="008716F6" w:rsidRDefault="008716F6" w:rsidP="008716F6">
      <w:pPr>
        <w:spacing w:after="20"/>
        <w:rPr>
          <w:b/>
        </w:rPr>
      </w:pPr>
      <w:r w:rsidRPr="00113647">
        <w:rPr>
          <w:b/>
        </w:rPr>
        <w:t>A.2 Purpose and Use of the Information Collection</w:t>
      </w:r>
    </w:p>
    <w:p w14:paraId="2DC941B1" w14:textId="77777777" w:rsidR="00003BE1" w:rsidRPr="00113647" w:rsidRDefault="00003BE1" w:rsidP="008716F6">
      <w:pPr>
        <w:spacing w:after="20"/>
        <w:rPr>
          <w:b/>
        </w:rPr>
      </w:pPr>
    </w:p>
    <w:p w14:paraId="6F573752" w14:textId="7BCC5D40" w:rsidR="004B3C21" w:rsidRDefault="00F77D41" w:rsidP="00F77D41">
      <w:pPr>
        <w:spacing w:after="20"/>
      </w:pPr>
      <w:r w:rsidRPr="00F77D41">
        <w:t xml:space="preserve">This is a request for </w:t>
      </w:r>
      <w:r w:rsidR="001225CC">
        <w:t>substudy</w:t>
      </w:r>
      <w:r>
        <w:t xml:space="preserve"> of a </w:t>
      </w:r>
      <w:r w:rsidRPr="00F77D41">
        <w:t xml:space="preserve">generic OMB approval for three years to allow for the collection of information from potential archive users.  </w:t>
      </w:r>
      <w:r>
        <w:t xml:space="preserve"> </w:t>
      </w:r>
      <w:r w:rsidRPr="00F77D41">
        <w:t>The primary use of this information collected from potential data users is to fulfill requirements necessary to conduct their proposed research projects, ensure regulatory compliance, and to document, track, and monitor the use of the NCS Archive.</w:t>
      </w:r>
      <w:r>
        <w:t xml:space="preserve">  </w:t>
      </w:r>
    </w:p>
    <w:p w14:paraId="19C4B10A" w14:textId="77777777" w:rsidR="00F77D41" w:rsidRDefault="00F77D41" w:rsidP="00F77D41">
      <w:pPr>
        <w:spacing w:after="20"/>
      </w:pPr>
    </w:p>
    <w:p w14:paraId="2ADC8DFD" w14:textId="6F689262" w:rsidR="00F77D41" w:rsidRDefault="00F77D41" w:rsidP="00F77D41">
      <w:pPr>
        <w:spacing w:after="20"/>
      </w:pPr>
      <w:r w:rsidRPr="00F77D41">
        <w:t xml:space="preserve">This information is required fulfill the requirements of the proposed research projects, ensure compliance with Department of Health and Human Services regulations for the protection of human subjects in research (45 CFR 46) and the Common Rule (45 CFR 46 Subpart A), and to document, track, and monitor the use of the NCS Archive.  In addition, the information will help NIH better understand the use of archived data and samples by the research community.  </w:t>
      </w:r>
    </w:p>
    <w:p w14:paraId="2488079D" w14:textId="29C894CA" w:rsidR="00003BE1" w:rsidRDefault="00003BE1" w:rsidP="008716F6">
      <w:pPr>
        <w:spacing w:after="20"/>
      </w:pPr>
    </w:p>
    <w:p w14:paraId="1F9019D4" w14:textId="77777777" w:rsidR="008716F6" w:rsidRDefault="008716F6" w:rsidP="008716F6">
      <w:pPr>
        <w:spacing w:after="20"/>
        <w:rPr>
          <w:b/>
        </w:rPr>
      </w:pPr>
      <w:r w:rsidRPr="00113647">
        <w:rPr>
          <w:b/>
        </w:rPr>
        <w:t>A.3 Use of Information Technology to Reduce Burden</w:t>
      </w:r>
    </w:p>
    <w:p w14:paraId="04FB8AD2" w14:textId="77777777" w:rsidR="00003BE1" w:rsidRPr="00113647" w:rsidRDefault="00003BE1" w:rsidP="008716F6">
      <w:pPr>
        <w:spacing w:after="20"/>
        <w:rPr>
          <w:b/>
        </w:rPr>
      </w:pPr>
    </w:p>
    <w:p w14:paraId="6333C704" w14:textId="2A77619C" w:rsidR="004F00DC" w:rsidRPr="004F00DC" w:rsidRDefault="004F00DC" w:rsidP="004F00DC">
      <w:pPr>
        <w:spacing w:after="20"/>
      </w:pPr>
      <w:r w:rsidRPr="004F00DC">
        <w:t xml:space="preserve">The NCS Archive relies on a web-based portal that enables investigators to request data access and obtain data electronically. The NCS Archive will allow for access to electronic data files and biological and environmental samples. </w:t>
      </w:r>
    </w:p>
    <w:p w14:paraId="2CCB617A" w14:textId="77777777" w:rsidR="00727F47" w:rsidRDefault="00727F47" w:rsidP="004F00DC">
      <w:pPr>
        <w:spacing w:after="20"/>
      </w:pPr>
    </w:p>
    <w:p w14:paraId="5466D8BE" w14:textId="40E859D7" w:rsidR="004F00DC" w:rsidRPr="004F00DC" w:rsidRDefault="004F00DC" w:rsidP="004F00DC">
      <w:pPr>
        <w:spacing w:after="20"/>
      </w:pPr>
      <w:r w:rsidRPr="004F00DC">
        <w:t xml:space="preserve">Data users provide basic contact information and agree to terms and conditions of data and archive use prior to accessing any data. </w:t>
      </w:r>
    </w:p>
    <w:p w14:paraId="4302D8DD" w14:textId="77777777" w:rsidR="00727F47" w:rsidRDefault="00727F47" w:rsidP="004F00DC">
      <w:pPr>
        <w:spacing w:after="20"/>
      </w:pPr>
    </w:p>
    <w:p w14:paraId="6F186A6A" w14:textId="0A23EA9B" w:rsidR="004F00DC" w:rsidRDefault="004F00DC" w:rsidP="004F00DC">
      <w:pPr>
        <w:spacing w:after="20"/>
      </w:pPr>
      <w:r w:rsidRPr="004F00DC">
        <w:t xml:space="preserve">The NCS Data Archive has three components: a public website, an NCS Registered Website and a secure Researcher Portal. </w:t>
      </w:r>
    </w:p>
    <w:p w14:paraId="1EEBFDE0" w14:textId="77777777" w:rsidR="00727F47" w:rsidRPr="004F00DC" w:rsidRDefault="00727F47" w:rsidP="004F00DC">
      <w:pPr>
        <w:spacing w:after="20"/>
      </w:pPr>
    </w:p>
    <w:p w14:paraId="16B749E3" w14:textId="5E772B60" w:rsidR="004F00DC" w:rsidRPr="004F00DC" w:rsidRDefault="004F00DC" w:rsidP="004F00DC">
      <w:pPr>
        <w:spacing w:after="20"/>
      </w:pPr>
      <w:r w:rsidRPr="004F00DC">
        <w:t xml:space="preserve">Access to the Public Website does not require any information from the user.  To access the downloadable files a user must create a user account and complete Data User Training.  To access microdata the user must complete the same user account creation and Data User Training (if not already completed), then complete a Data Request form followed by a Research Materials Distribution Agreement.  Specimen requests are similar, starting with a user account, Data User Training then a Sample and Data Request form followed by the Research Materials Distribution Agreement.  </w:t>
      </w:r>
    </w:p>
    <w:p w14:paraId="3ED3D8A5" w14:textId="77777777" w:rsidR="00727F47" w:rsidRDefault="00727F47" w:rsidP="004F00DC">
      <w:pPr>
        <w:spacing w:after="20"/>
      </w:pPr>
    </w:p>
    <w:p w14:paraId="109A5A2A" w14:textId="1CC7FA23" w:rsidR="004F00DC" w:rsidRPr="004F00DC" w:rsidRDefault="004F00DC" w:rsidP="004F00DC">
      <w:pPr>
        <w:spacing w:after="20"/>
      </w:pPr>
      <w:r w:rsidRPr="004F00DC">
        <w:t xml:space="preserve">The NICHD Chief Information Officer issued information system security accreditation and full Authority to Operate on January 12, 2016 for the NCS Archive, the security assessment for which included a Privacy Impact Assessment.  </w:t>
      </w:r>
    </w:p>
    <w:p w14:paraId="78B9C4EB" w14:textId="77777777" w:rsidR="004B3C21" w:rsidRDefault="004B3C21" w:rsidP="004B3C21">
      <w:pPr>
        <w:spacing w:after="20"/>
      </w:pPr>
    </w:p>
    <w:p w14:paraId="16F7BD87" w14:textId="77777777" w:rsidR="008716F6" w:rsidRDefault="008716F6" w:rsidP="008716F6">
      <w:pPr>
        <w:spacing w:after="20"/>
        <w:rPr>
          <w:b/>
        </w:rPr>
      </w:pPr>
      <w:r w:rsidRPr="00113647">
        <w:rPr>
          <w:b/>
        </w:rPr>
        <w:t>A.4 Efforts to Identify Duplication</w:t>
      </w:r>
    </w:p>
    <w:p w14:paraId="2B7B9B04" w14:textId="77777777" w:rsidR="004B3C21" w:rsidRDefault="004B3C21" w:rsidP="008716F6">
      <w:pPr>
        <w:spacing w:after="20"/>
        <w:rPr>
          <w:b/>
        </w:rPr>
      </w:pPr>
    </w:p>
    <w:p w14:paraId="674CDD83" w14:textId="447D656B" w:rsidR="00727F47" w:rsidRPr="00727F47" w:rsidRDefault="00727F47" w:rsidP="00727F47">
      <w:pPr>
        <w:spacing w:after="20"/>
      </w:pPr>
      <w:r w:rsidRPr="00727F47">
        <w:t xml:space="preserve">No similar data are gathered or maintained by the agency or are available from other sources known to the agency. </w:t>
      </w:r>
    </w:p>
    <w:p w14:paraId="4B523CAB" w14:textId="065ADFEB" w:rsidR="00C465FF" w:rsidRDefault="00C465FF" w:rsidP="008716F6">
      <w:pPr>
        <w:spacing w:after="20"/>
        <w:rPr>
          <w:b/>
        </w:rPr>
      </w:pPr>
    </w:p>
    <w:p w14:paraId="2CEE54B9" w14:textId="77777777" w:rsidR="008716F6" w:rsidRPr="00113647" w:rsidRDefault="008716F6" w:rsidP="008716F6">
      <w:pPr>
        <w:spacing w:after="20"/>
        <w:rPr>
          <w:b/>
        </w:rPr>
      </w:pPr>
      <w:r w:rsidRPr="00113647">
        <w:rPr>
          <w:b/>
        </w:rPr>
        <w:t>A.5 Impact on Small Businesses or Other Small Entities</w:t>
      </w:r>
    </w:p>
    <w:p w14:paraId="4E350690" w14:textId="77777777" w:rsidR="008716F6" w:rsidRPr="00113647" w:rsidRDefault="008716F6" w:rsidP="008716F6">
      <w:pPr>
        <w:spacing w:after="20"/>
      </w:pPr>
      <w:r w:rsidRPr="00113647">
        <w:t>N/A</w:t>
      </w:r>
    </w:p>
    <w:p w14:paraId="6349957B" w14:textId="77777777" w:rsidR="008716F6" w:rsidRDefault="008716F6" w:rsidP="008716F6">
      <w:pPr>
        <w:spacing w:after="20"/>
      </w:pPr>
    </w:p>
    <w:p w14:paraId="18F8815A" w14:textId="77777777" w:rsidR="008716F6" w:rsidRDefault="008716F6" w:rsidP="008716F6">
      <w:pPr>
        <w:spacing w:after="20"/>
        <w:rPr>
          <w:b/>
        </w:rPr>
      </w:pPr>
      <w:r w:rsidRPr="00113647">
        <w:rPr>
          <w:b/>
        </w:rPr>
        <w:t>A.6 Consequences of Collecting the Information Less Frequently</w:t>
      </w:r>
    </w:p>
    <w:p w14:paraId="60F5E8D6" w14:textId="77777777" w:rsidR="004B3C21" w:rsidRPr="00113647" w:rsidRDefault="004B3C21" w:rsidP="008716F6">
      <w:pPr>
        <w:spacing w:after="20"/>
        <w:rPr>
          <w:b/>
        </w:rPr>
      </w:pPr>
    </w:p>
    <w:p w14:paraId="05D894D3" w14:textId="33EDACAC" w:rsidR="00D123D7" w:rsidRPr="00D123D7" w:rsidRDefault="00D123D7" w:rsidP="00D123D7">
      <w:pPr>
        <w:spacing w:after="20"/>
      </w:pPr>
      <w:r w:rsidRPr="00D123D7">
        <w:t xml:space="preserve">The information requested in the NCS Archive forms does not ask investigators to generate any new information, because the type of information being requested is fundamental to conducting any research study. The data are collected on an as needed basis. Data will be collected only once for each investigator request.  </w:t>
      </w:r>
    </w:p>
    <w:p w14:paraId="2B38DE51" w14:textId="3694CF11" w:rsidR="00A61F11" w:rsidRDefault="00A61F11" w:rsidP="008716F6">
      <w:pPr>
        <w:spacing w:after="20"/>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54F24C88" w14:textId="77777777" w:rsidR="004B3C21" w:rsidRDefault="004B3C21" w:rsidP="008716F6">
      <w:pPr>
        <w:spacing w:after="20"/>
      </w:pPr>
    </w:p>
    <w:p w14:paraId="3522E670" w14:textId="661D0200" w:rsidR="008716F6" w:rsidRDefault="00F87122" w:rsidP="008716F6">
      <w:pPr>
        <w:spacing w:after="20"/>
      </w:pPr>
      <w:r w:rsidRPr="00F87122">
        <w:t xml:space="preserve">No special circumstances relating to the guidelines of 5 CFR 1320.5 are applicable to this request.  </w:t>
      </w:r>
    </w:p>
    <w:p w14:paraId="16EF2A4F" w14:textId="77777777" w:rsidR="008716F6" w:rsidRPr="00113647" w:rsidRDefault="008716F6" w:rsidP="008716F6">
      <w:pPr>
        <w:spacing w:after="20"/>
      </w:pPr>
    </w:p>
    <w:p w14:paraId="7036E772" w14:textId="77777777" w:rsidR="008716F6" w:rsidRPr="00113647" w:rsidRDefault="008716F6" w:rsidP="008716F6">
      <w:pPr>
        <w:spacing w:after="20"/>
        <w:rPr>
          <w:b/>
        </w:rPr>
      </w:pPr>
      <w:r w:rsidRPr="00113647">
        <w:rPr>
          <w:b/>
        </w:rPr>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682EA02B" w14:textId="77777777" w:rsidR="004B3C21" w:rsidRPr="00113647" w:rsidRDefault="004B3C21" w:rsidP="008716F6">
      <w:pPr>
        <w:spacing w:after="20"/>
        <w:rPr>
          <w:b/>
        </w:rPr>
      </w:pPr>
    </w:p>
    <w:p w14:paraId="61723B88" w14:textId="5253174B" w:rsidR="009D600F" w:rsidRPr="009D600F" w:rsidRDefault="009D600F" w:rsidP="009D600F">
      <w:pPr>
        <w:spacing w:after="20"/>
      </w:pPr>
      <w:r w:rsidRPr="009D600F">
        <w:t>No incentives have been nor will be provided to respondents.</w:t>
      </w:r>
    </w:p>
    <w:p w14:paraId="4873BA4C" w14:textId="77777777" w:rsidR="004B3C21" w:rsidRPr="00113647" w:rsidRDefault="004B3C21"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79BA36CE" w14:textId="77777777" w:rsidR="004B3C21" w:rsidRDefault="004B3C21" w:rsidP="004B3C21">
      <w:pPr>
        <w:spacing w:after="20"/>
      </w:pPr>
    </w:p>
    <w:p w14:paraId="20211CFE" w14:textId="33ECD9C9" w:rsidR="00FB3A85" w:rsidRPr="00FB3A85" w:rsidRDefault="00FB3A85" w:rsidP="00FB3A85">
      <w:pPr>
        <w:spacing w:after="20"/>
      </w:pPr>
      <w:r w:rsidRPr="00FB3A85">
        <w:t xml:space="preserve">The Privacy Act of 1974 ensures that no sensitive or personally identifiable information, located in federal systems of records (e.g., Recipient NIH records), is shared. A system of records is any group of records under the control of a federal agency from which information is retrieved by the name of the individual or by some identifying number, symbol, or other identifying particular assigned to the individual. The NIH and any sites that are provided access to the datasets will have access to the data collected from the Recipient </w:t>
      </w:r>
      <w:r>
        <w:t>(</w:t>
      </w:r>
      <w:r w:rsidRPr="00FB3A85">
        <w:t xml:space="preserve">which includes personally identifiable information) for the purposes described above. In addition, the Act allows, in accordance with the routine uses made of the information stored in the system, the release of some information in the Recipient’s records without his/her permission; for example, for research purposes and if it is required by members of Congress or other authorized individuals.  The information requested is voluntary, but necessary for obtaining access to data.  </w:t>
      </w:r>
    </w:p>
    <w:p w14:paraId="316203C2" w14:textId="77777777" w:rsidR="00FB3A85" w:rsidRPr="00FB3A85" w:rsidRDefault="00FB3A85" w:rsidP="00FB3A85">
      <w:pPr>
        <w:spacing w:after="20"/>
      </w:pPr>
    </w:p>
    <w:p w14:paraId="1836E7E5" w14:textId="77777777" w:rsidR="00FB3A85" w:rsidRPr="00FB3A85" w:rsidRDefault="00FB3A85" w:rsidP="00FB3A85">
      <w:pPr>
        <w:spacing w:after="20"/>
      </w:pPr>
      <w:r w:rsidRPr="00FB3A85">
        <w:t xml:space="preserve">The information requested from the investigator seeking access to the NCS Archive, as part of the NCS Data Use Agreement, Data Request, and RMDA forms, may be made public in part or in whole for tracking and reporting purposes. </w:t>
      </w:r>
    </w:p>
    <w:p w14:paraId="0D6AFB6F" w14:textId="77777777" w:rsidR="00FB3A85" w:rsidRPr="00FB3A85" w:rsidRDefault="00FB3A85" w:rsidP="00FB3A85">
      <w:pPr>
        <w:spacing w:after="20"/>
      </w:pPr>
    </w:p>
    <w:p w14:paraId="5C3C907D" w14:textId="52E1BFE9" w:rsidR="00FB3A85" w:rsidRPr="00FB3A85" w:rsidRDefault="00FB3A85" w:rsidP="00FB3A85">
      <w:pPr>
        <w:spacing w:after="20"/>
      </w:pPr>
      <w:r w:rsidRPr="00FB3A85">
        <w:t xml:space="preserve">A Privacy Act Notification is displayed on the face page of the Data User Agreement, Data Request, and RMDA forms pursuant to Public Law 93-579, Privacy Act of 1974, 5 U.S.C. Section 552a. Authority for the collection of the information requested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w:t>
      </w:r>
      <w:hyperlink r:id="rId11" w:anchor="page=4" w:history="1">
        <w:r w:rsidRPr="00FB3A85">
          <w:rPr>
            <w:rStyle w:val="Hyperlink"/>
          </w:rPr>
          <w:t>Privacy Act System of Record Notice 09-25-0200</w:t>
        </w:r>
      </w:hyperlink>
      <w:r w:rsidRPr="00FB3A85">
        <w:t xml:space="preserve"> covering “Clinical, Basic and Population-based Research Studies of the National Institutes of Health (NIH), HHS/NIH/OD.”   The NIH System of Record Notice was previously published in the Federal register on September 26, 2002, Volume 67, No 187, page 60742. Although the NCS Vanguard Study data will be coded (de-identified) and the NIH will not hold direct identifiers to individuals within the NCS Archive, the agency recognizes the personal and potentially sensitive nature of NCS Vanguard Study data.  All investigators who request access to NCS Vanguard Study data must be authorized by the NCS and the Federal government to receive and store study information and agree to protect participant privacy by reporting aggregate results only.  </w:t>
      </w:r>
      <w:r>
        <w:t>I</w:t>
      </w:r>
      <w:r w:rsidRPr="00FB3A85">
        <w:t>nvestigators and their institutions must complete an RMDA and abide by the RMDA terms.</w:t>
      </w:r>
    </w:p>
    <w:p w14:paraId="7A26ED4F" w14:textId="77777777" w:rsidR="00FB3A85" w:rsidRDefault="00FB3A85" w:rsidP="008716F6">
      <w:pPr>
        <w:spacing w:after="20"/>
      </w:pPr>
    </w:p>
    <w:p w14:paraId="0810AD11" w14:textId="77777777" w:rsidR="001D2741" w:rsidRPr="00113647" w:rsidRDefault="001D2741" w:rsidP="008716F6">
      <w:pPr>
        <w:spacing w:after="20"/>
        <w:rPr>
          <w:b/>
        </w:rPr>
      </w:pPr>
      <w:r w:rsidRPr="00113647">
        <w:rPr>
          <w:b/>
        </w:rPr>
        <w:t>A.11 Justification for Sensitive Questions</w:t>
      </w:r>
    </w:p>
    <w:p w14:paraId="55E84668" w14:textId="77777777" w:rsidR="004B3C21" w:rsidRDefault="004B3C21" w:rsidP="008716F6">
      <w:pPr>
        <w:spacing w:after="20"/>
      </w:pPr>
    </w:p>
    <w:p w14:paraId="6810C01E" w14:textId="3862E029" w:rsidR="00AC5FB0" w:rsidRPr="00AC5FB0" w:rsidRDefault="00AC5FB0" w:rsidP="00AC5FB0">
      <w:pPr>
        <w:spacing w:after="20"/>
      </w:pPr>
      <w:r w:rsidRPr="00AC5FB0">
        <w:t xml:space="preserve">The NCS Archive asks no sensitive questions of any prospective data users.  </w:t>
      </w:r>
    </w:p>
    <w:p w14:paraId="0F82A8CB" w14:textId="22922C05" w:rsidR="00063927" w:rsidRDefault="00063927" w:rsidP="008716F6">
      <w:pPr>
        <w:spacing w:after="20"/>
      </w:pPr>
    </w:p>
    <w:p w14:paraId="4F307C57" w14:textId="77777777" w:rsidR="00907E64" w:rsidRDefault="00907E64" w:rsidP="00907E64">
      <w:pPr>
        <w:spacing w:after="20"/>
        <w:rPr>
          <w:b/>
        </w:rPr>
      </w:pPr>
      <w:r w:rsidRPr="00907E64">
        <w:rPr>
          <w:b/>
        </w:rPr>
        <w:t>A.12.1</w:t>
      </w:r>
      <w:r w:rsidRPr="00907E64">
        <w:rPr>
          <w:b/>
        </w:rPr>
        <w:tab/>
        <w:t>Estimated Annualized Burden Hours</w:t>
      </w:r>
    </w:p>
    <w:p w14:paraId="7919D6E1" w14:textId="77777777" w:rsidR="00FF7D15" w:rsidRPr="006E72C2" w:rsidRDefault="00FF7D15" w:rsidP="00FF7D15">
      <w:pPr>
        <w:spacing w:after="0" w:line="240" w:lineRule="auto"/>
        <w:rPr>
          <w:rFonts w:eastAsia="Times New Roman" w:cs="Times New Roman"/>
          <w:b/>
          <w:smallCaps/>
          <w:color w:val="000000" w:themeColor="text1"/>
          <w:sz w:val="32"/>
        </w:rPr>
      </w:pPr>
    </w:p>
    <w:p w14:paraId="564D32B6" w14:textId="413C70B3" w:rsidR="002D6D19" w:rsidRDefault="002D6D19" w:rsidP="007F23E8">
      <w:pPr>
        <w:spacing w:after="20"/>
        <w:jc w:val="center"/>
      </w:pPr>
      <w:r w:rsidRPr="002D6D19">
        <w:t>Table 12-1 Estimated Annualized Burden Hours</w:t>
      </w:r>
    </w:p>
    <w:p w14:paraId="46BC5F1D" w14:textId="77777777" w:rsidR="007F23E8" w:rsidRPr="002D6D19" w:rsidRDefault="007F23E8" w:rsidP="007F23E8">
      <w:pPr>
        <w:spacing w:after="20"/>
        <w:jc w:val="center"/>
      </w:pPr>
    </w:p>
    <w:tbl>
      <w:tblPr>
        <w:tblW w:w="9833" w:type="dxa"/>
        <w:jc w:val="center"/>
        <w:tblLayout w:type="fixed"/>
        <w:tblCellMar>
          <w:left w:w="100" w:type="dxa"/>
          <w:right w:w="100" w:type="dxa"/>
        </w:tblCellMar>
        <w:tblLook w:val="0000" w:firstRow="0" w:lastRow="0" w:firstColumn="0" w:lastColumn="0" w:noHBand="0" w:noVBand="0"/>
      </w:tblPr>
      <w:tblGrid>
        <w:gridCol w:w="2003"/>
        <w:gridCol w:w="2039"/>
        <w:gridCol w:w="1561"/>
        <w:gridCol w:w="1260"/>
        <w:gridCol w:w="1620"/>
        <w:gridCol w:w="1350"/>
      </w:tblGrid>
      <w:tr w:rsidR="002D6D19" w:rsidRPr="002D6D19" w14:paraId="5291A88A" w14:textId="77777777" w:rsidTr="00DD2669">
        <w:trPr>
          <w:cantSplit/>
          <w:trHeight w:val="403"/>
          <w:jc w:val="center"/>
        </w:trPr>
        <w:tc>
          <w:tcPr>
            <w:tcW w:w="2003" w:type="dxa"/>
            <w:tcBorders>
              <w:top w:val="single" w:sz="6" w:space="0" w:color="auto"/>
              <w:left w:val="single" w:sz="6" w:space="0" w:color="auto"/>
            </w:tcBorders>
            <w:vAlign w:val="center"/>
          </w:tcPr>
          <w:p w14:paraId="6A9F4588" w14:textId="77777777" w:rsidR="002D6D19" w:rsidRPr="002D6D19" w:rsidRDefault="002D6D19" w:rsidP="002D6D19">
            <w:pPr>
              <w:spacing w:after="20"/>
            </w:pPr>
            <w:r w:rsidRPr="002D6D19">
              <w:t>Type of Respondent</w:t>
            </w:r>
          </w:p>
        </w:tc>
        <w:tc>
          <w:tcPr>
            <w:tcW w:w="2039" w:type="dxa"/>
            <w:tcBorders>
              <w:top w:val="single" w:sz="6" w:space="0" w:color="auto"/>
              <w:left w:val="single" w:sz="6" w:space="0" w:color="auto"/>
            </w:tcBorders>
            <w:vAlign w:val="center"/>
          </w:tcPr>
          <w:p w14:paraId="7B3B754D" w14:textId="77777777" w:rsidR="002D6D19" w:rsidRPr="002D6D19" w:rsidRDefault="002D6D19" w:rsidP="002D6D19">
            <w:pPr>
              <w:spacing w:after="20"/>
            </w:pPr>
            <w:r w:rsidRPr="002D6D19">
              <w:t>Form</w:t>
            </w:r>
          </w:p>
        </w:tc>
        <w:tc>
          <w:tcPr>
            <w:tcW w:w="1561" w:type="dxa"/>
            <w:tcBorders>
              <w:top w:val="single" w:sz="6" w:space="0" w:color="auto"/>
              <w:left w:val="single" w:sz="6" w:space="0" w:color="auto"/>
            </w:tcBorders>
            <w:vAlign w:val="center"/>
          </w:tcPr>
          <w:p w14:paraId="331017B0" w14:textId="77777777" w:rsidR="002D6D19" w:rsidRPr="002D6D19" w:rsidRDefault="002D6D19" w:rsidP="002D6D19">
            <w:pPr>
              <w:spacing w:after="20"/>
            </w:pPr>
            <w:r w:rsidRPr="002D6D19">
              <w:t>Number of Respondents</w:t>
            </w:r>
          </w:p>
        </w:tc>
        <w:tc>
          <w:tcPr>
            <w:tcW w:w="1260" w:type="dxa"/>
            <w:tcBorders>
              <w:top w:val="single" w:sz="6" w:space="0" w:color="auto"/>
              <w:left w:val="single" w:sz="6" w:space="0" w:color="auto"/>
            </w:tcBorders>
            <w:vAlign w:val="center"/>
          </w:tcPr>
          <w:p w14:paraId="0B699993" w14:textId="77777777" w:rsidR="002D6D19" w:rsidRPr="002D6D19" w:rsidRDefault="002D6D19" w:rsidP="002D6D19">
            <w:pPr>
              <w:spacing w:after="20"/>
            </w:pPr>
            <w:r w:rsidRPr="002D6D19">
              <w:t>Frequency of Response</w:t>
            </w:r>
          </w:p>
        </w:tc>
        <w:tc>
          <w:tcPr>
            <w:tcW w:w="1620" w:type="dxa"/>
            <w:tcBorders>
              <w:top w:val="single" w:sz="6" w:space="0" w:color="auto"/>
              <w:left w:val="single" w:sz="6" w:space="0" w:color="auto"/>
            </w:tcBorders>
            <w:vAlign w:val="center"/>
          </w:tcPr>
          <w:p w14:paraId="6D355FAF" w14:textId="77777777" w:rsidR="002D6D19" w:rsidRPr="002D6D19" w:rsidRDefault="002D6D19" w:rsidP="002D6D19">
            <w:pPr>
              <w:spacing w:after="20"/>
            </w:pPr>
            <w:r w:rsidRPr="002D6D19">
              <w:t>Average Time Per Response (hours)</w:t>
            </w:r>
          </w:p>
        </w:tc>
        <w:tc>
          <w:tcPr>
            <w:tcW w:w="1350" w:type="dxa"/>
            <w:tcBorders>
              <w:top w:val="single" w:sz="6" w:space="0" w:color="auto"/>
              <w:left w:val="single" w:sz="6" w:space="0" w:color="auto"/>
              <w:right w:val="single" w:sz="6" w:space="0" w:color="auto"/>
            </w:tcBorders>
            <w:vAlign w:val="center"/>
          </w:tcPr>
          <w:p w14:paraId="33A4C120" w14:textId="77777777" w:rsidR="002D6D19" w:rsidRPr="002D6D19" w:rsidRDefault="002D6D19" w:rsidP="002D6D19">
            <w:pPr>
              <w:spacing w:after="20"/>
            </w:pPr>
            <w:r w:rsidRPr="002D6D19">
              <w:t>Total Annual Burden Hours</w:t>
            </w:r>
          </w:p>
        </w:tc>
      </w:tr>
      <w:tr w:rsidR="002D6D19" w:rsidRPr="002D6D19" w14:paraId="723822C5" w14:textId="77777777" w:rsidTr="00DD2669">
        <w:trPr>
          <w:cantSplit/>
          <w:trHeight w:val="678"/>
          <w:jc w:val="center"/>
        </w:trPr>
        <w:tc>
          <w:tcPr>
            <w:tcW w:w="2003" w:type="dxa"/>
            <w:tcBorders>
              <w:top w:val="single" w:sz="6" w:space="0" w:color="auto"/>
              <w:left w:val="single" w:sz="6" w:space="0" w:color="auto"/>
              <w:bottom w:val="single" w:sz="6" w:space="0" w:color="auto"/>
            </w:tcBorders>
            <w:vAlign w:val="center"/>
          </w:tcPr>
          <w:p w14:paraId="38FB8DA6" w14:textId="77777777" w:rsidR="002D6D19" w:rsidRPr="002D6D19" w:rsidRDefault="002D6D19" w:rsidP="002D6D19">
            <w:pPr>
              <w:spacing w:after="20"/>
            </w:pPr>
            <w:r w:rsidRPr="002D6D19">
              <w:t>Research scientists</w:t>
            </w:r>
          </w:p>
        </w:tc>
        <w:tc>
          <w:tcPr>
            <w:tcW w:w="2039" w:type="dxa"/>
            <w:tcBorders>
              <w:top w:val="single" w:sz="6" w:space="0" w:color="auto"/>
              <w:left w:val="single" w:sz="6" w:space="0" w:color="auto"/>
              <w:bottom w:val="single" w:sz="6" w:space="0" w:color="auto"/>
            </w:tcBorders>
          </w:tcPr>
          <w:p w14:paraId="2575F924" w14:textId="77777777" w:rsidR="002D6D19" w:rsidRPr="002D6D19" w:rsidRDefault="002D6D19" w:rsidP="002D6D19">
            <w:pPr>
              <w:spacing w:after="20"/>
            </w:pPr>
            <w:r w:rsidRPr="002D6D19">
              <w:t>NCS Vanguard Downloadable Data Access Form (Attachment A.1)</w:t>
            </w:r>
          </w:p>
        </w:tc>
        <w:tc>
          <w:tcPr>
            <w:tcW w:w="1561" w:type="dxa"/>
            <w:tcBorders>
              <w:top w:val="single" w:sz="6" w:space="0" w:color="auto"/>
              <w:left w:val="single" w:sz="6" w:space="0" w:color="auto"/>
              <w:bottom w:val="single" w:sz="6" w:space="0" w:color="auto"/>
            </w:tcBorders>
            <w:vAlign w:val="center"/>
          </w:tcPr>
          <w:p w14:paraId="39E399C5" w14:textId="7A5467FB" w:rsidR="002D6D19" w:rsidRPr="002D6D19" w:rsidRDefault="004F2062" w:rsidP="002D6D19">
            <w:pPr>
              <w:spacing w:after="20"/>
            </w:pPr>
            <w:r>
              <w:t>150</w:t>
            </w:r>
          </w:p>
        </w:tc>
        <w:tc>
          <w:tcPr>
            <w:tcW w:w="1260" w:type="dxa"/>
            <w:tcBorders>
              <w:top w:val="single" w:sz="6" w:space="0" w:color="auto"/>
              <w:left w:val="single" w:sz="6" w:space="0" w:color="auto"/>
              <w:bottom w:val="single" w:sz="6" w:space="0" w:color="auto"/>
            </w:tcBorders>
            <w:vAlign w:val="center"/>
          </w:tcPr>
          <w:p w14:paraId="6B8EDD2D" w14:textId="77777777" w:rsidR="002D6D19" w:rsidRPr="002D6D19" w:rsidRDefault="002D6D19" w:rsidP="002D6D19">
            <w:pPr>
              <w:spacing w:after="20"/>
            </w:pPr>
            <w:r w:rsidRPr="002D6D19">
              <w:t>1</w:t>
            </w:r>
          </w:p>
        </w:tc>
        <w:tc>
          <w:tcPr>
            <w:tcW w:w="1620" w:type="dxa"/>
            <w:tcBorders>
              <w:top w:val="single" w:sz="6" w:space="0" w:color="auto"/>
              <w:left w:val="single" w:sz="6" w:space="0" w:color="auto"/>
              <w:bottom w:val="single" w:sz="6" w:space="0" w:color="auto"/>
            </w:tcBorders>
            <w:vAlign w:val="center"/>
          </w:tcPr>
          <w:p w14:paraId="62C7F38B" w14:textId="77777777" w:rsidR="002D6D19" w:rsidRPr="002D6D19" w:rsidRDefault="002D6D19" w:rsidP="002D6D19">
            <w:pPr>
              <w:spacing w:after="20"/>
            </w:pPr>
            <w:r w:rsidRPr="002D6D19">
              <w:t>10/60</w:t>
            </w:r>
          </w:p>
        </w:tc>
        <w:tc>
          <w:tcPr>
            <w:tcW w:w="1350" w:type="dxa"/>
            <w:tcBorders>
              <w:top w:val="single" w:sz="6" w:space="0" w:color="auto"/>
              <w:left w:val="single" w:sz="6" w:space="0" w:color="auto"/>
              <w:bottom w:val="single" w:sz="6" w:space="0" w:color="auto"/>
              <w:right w:val="single" w:sz="6" w:space="0" w:color="auto"/>
            </w:tcBorders>
            <w:vAlign w:val="center"/>
          </w:tcPr>
          <w:p w14:paraId="2BD7006D" w14:textId="40E3631E" w:rsidR="002D6D19" w:rsidRPr="002D6D19" w:rsidRDefault="003A5FF5" w:rsidP="002D6D19">
            <w:pPr>
              <w:spacing w:after="20"/>
            </w:pPr>
            <w:r>
              <w:t>25</w:t>
            </w:r>
          </w:p>
        </w:tc>
      </w:tr>
      <w:tr w:rsidR="002D6D19" w:rsidRPr="002D6D19" w14:paraId="78DD93DC" w14:textId="77777777" w:rsidTr="00DD2669">
        <w:trPr>
          <w:cantSplit/>
          <w:trHeight w:val="678"/>
          <w:jc w:val="center"/>
        </w:trPr>
        <w:tc>
          <w:tcPr>
            <w:tcW w:w="2003" w:type="dxa"/>
            <w:tcBorders>
              <w:top w:val="single" w:sz="6" w:space="0" w:color="auto"/>
              <w:left w:val="single" w:sz="6" w:space="0" w:color="auto"/>
              <w:bottom w:val="single" w:sz="6" w:space="0" w:color="auto"/>
            </w:tcBorders>
            <w:vAlign w:val="center"/>
          </w:tcPr>
          <w:p w14:paraId="6E9AE337" w14:textId="77777777" w:rsidR="002D6D19" w:rsidRPr="002D6D19" w:rsidRDefault="002D6D19" w:rsidP="002D6D19">
            <w:pPr>
              <w:spacing w:after="20"/>
            </w:pPr>
            <w:r w:rsidRPr="002D6D19">
              <w:t>Research scientists</w:t>
            </w:r>
          </w:p>
        </w:tc>
        <w:tc>
          <w:tcPr>
            <w:tcW w:w="2039" w:type="dxa"/>
            <w:tcBorders>
              <w:top w:val="single" w:sz="6" w:space="0" w:color="auto"/>
              <w:left w:val="single" w:sz="6" w:space="0" w:color="auto"/>
              <w:bottom w:val="single" w:sz="6" w:space="0" w:color="auto"/>
            </w:tcBorders>
          </w:tcPr>
          <w:p w14:paraId="470B945D" w14:textId="77777777" w:rsidR="002D6D19" w:rsidRPr="002D6D19" w:rsidRDefault="002D6D19" w:rsidP="002D6D19">
            <w:pPr>
              <w:spacing w:after="20"/>
            </w:pPr>
            <w:r w:rsidRPr="002D6D19">
              <w:t>NCS Vanguard Data Request Form (Attachment A.2)</w:t>
            </w:r>
          </w:p>
        </w:tc>
        <w:tc>
          <w:tcPr>
            <w:tcW w:w="1561" w:type="dxa"/>
            <w:tcBorders>
              <w:top w:val="single" w:sz="6" w:space="0" w:color="auto"/>
              <w:left w:val="single" w:sz="6" w:space="0" w:color="auto"/>
              <w:bottom w:val="single" w:sz="6" w:space="0" w:color="auto"/>
            </w:tcBorders>
            <w:vAlign w:val="center"/>
          </w:tcPr>
          <w:p w14:paraId="22479678" w14:textId="2DE32C0B" w:rsidR="002D6D19" w:rsidRPr="002D6D19" w:rsidRDefault="00B54C15" w:rsidP="002D6D19">
            <w:pPr>
              <w:spacing w:after="20"/>
            </w:pPr>
            <w:r>
              <w:t>20</w:t>
            </w:r>
          </w:p>
        </w:tc>
        <w:tc>
          <w:tcPr>
            <w:tcW w:w="1260" w:type="dxa"/>
            <w:tcBorders>
              <w:top w:val="single" w:sz="6" w:space="0" w:color="auto"/>
              <w:left w:val="single" w:sz="6" w:space="0" w:color="auto"/>
              <w:bottom w:val="single" w:sz="6" w:space="0" w:color="auto"/>
            </w:tcBorders>
            <w:vAlign w:val="center"/>
          </w:tcPr>
          <w:p w14:paraId="2F64358A" w14:textId="77777777" w:rsidR="002D6D19" w:rsidRPr="002D6D19" w:rsidRDefault="002D6D19" w:rsidP="002D6D19">
            <w:pPr>
              <w:spacing w:after="20"/>
            </w:pPr>
            <w:r w:rsidRPr="002D6D19">
              <w:t>1</w:t>
            </w:r>
          </w:p>
        </w:tc>
        <w:tc>
          <w:tcPr>
            <w:tcW w:w="1620" w:type="dxa"/>
            <w:tcBorders>
              <w:top w:val="single" w:sz="6" w:space="0" w:color="auto"/>
              <w:left w:val="single" w:sz="6" w:space="0" w:color="auto"/>
              <w:bottom w:val="single" w:sz="6" w:space="0" w:color="auto"/>
            </w:tcBorders>
            <w:vAlign w:val="center"/>
          </w:tcPr>
          <w:p w14:paraId="3266AE99" w14:textId="77777777" w:rsidR="002D6D19" w:rsidRPr="002D6D19" w:rsidRDefault="002D6D19" w:rsidP="002D6D19">
            <w:pPr>
              <w:spacing w:after="20"/>
            </w:pPr>
            <w:r w:rsidRPr="002D6D19">
              <w:t>20/60</w:t>
            </w:r>
          </w:p>
        </w:tc>
        <w:tc>
          <w:tcPr>
            <w:tcW w:w="1350" w:type="dxa"/>
            <w:tcBorders>
              <w:top w:val="single" w:sz="6" w:space="0" w:color="auto"/>
              <w:left w:val="single" w:sz="6" w:space="0" w:color="auto"/>
              <w:bottom w:val="single" w:sz="6" w:space="0" w:color="auto"/>
              <w:right w:val="single" w:sz="6" w:space="0" w:color="auto"/>
            </w:tcBorders>
            <w:vAlign w:val="center"/>
          </w:tcPr>
          <w:p w14:paraId="2844F7A7" w14:textId="26F12BC4" w:rsidR="002D6D19" w:rsidRPr="002D6D19" w:rsidRDefault="00B54C15" w:rsidP="002D6D19">
            <w:pPr>
              <w:spacing w:after="20"/>
            </w:pPr>
            <w:r>
              <w:t>7</w:t>
            </w:r>
          </w:p>
        </w:tc>
      </w:tr>
      <w:tr w:rsidR="002D6D19" w:rsidRPr="002D6D19" w14:paraId="5874C751" w14:textId="77777777" w:rsidTr="00DD2669">
        <w:trPr>
          <w:cantSplit/>
          <w:trHeight w:val="678"/>
          <w:jc w:val="center"/>
        </w:trPr>
        <w:tc>
          <w:tcPr>
            <w:tcW w:w="2003" w:type="dxa"/>
            <w:tcBorders>
              <w:top w:val="single" w:sz="6" w:space="0" w:color="auto"/>
              <w:left w:val="single" w:sz="6" w:space="0" w:color="auto"/>
              <w:bottom w:val="single" w:sz="6" w:space="0" w:color="auto"/>
            </w:tcBorders>
            <w:vAlign w:val="center"/>
          </w:tcPr>
          <w:p w14:paraId="677E6916" w14:textId="77777777" w:rsidR="002D6D19" w:rsidRPr="002D6D19" w:rsidRDefault="002D6D19" w:rsidP="002D6D19">
            <w:pPr>
              <w:spacing w:after="20"/>
            </w:pPr>
            <w:r w:rsidRPr="002D6D19">
              <w:t>Research scientists</w:t>
            </w:r>
          </w:p>
        </w:tc>
        <w:tc>
          <w:tcPr>
            <w:tcW w:w="2039" w:type="dxa"/>
            <w:tcBorders>
              <w:top w:val="single" w:sz="6" w:space="0" w:color="auto"/>
              <w:left w:val="single" w:sz="6" w:space="0" w:color="auto"/>
              <w:bottom w:val="single" w:sz="6" w:space="0" w:color="auto"/>
            </w:tcBorders>
          </w:tcPr>
          <w:p w14:paraId="77926F18" w14:textId="77777777" w:rsidR="002D6D19" w:rsidRPr="002D6D19" w:rsidRDefault="002D6D19" w:rsidP="002D6D19">
            <w:pPr>
              <w:spacing w:after="20"/>
            </w:pPr>
            <w:r w:rsidRPr="002D6D19">
              <w:t>NCS Vanguard Specimen and Data Request Form (Attachment A.3)</w:t>
            </w:r>
          </w:p>
        </w:tc>
        <w:tc>
          <w:tcPr>
            <w:tcW w:w="1561" w:type="dxa"/>
            <w:tcBorders>
              <w:top w:val="single" w:sz="6" w:space="0" w:color="auto"/>
              <w:left w:val="single" w:sz="6" w:space="0" w:color="auto"/>
              <w:bottom w:val="single" w:sz="6" w:space="0" w:color="auto"/>
            </w:tcBorders>
            <w:vAlign w:val="center"/>
          </w:tcPr>
          <w:p w14:paraId="47BCE075" w14:textId="0F73421E" w:rsidR="002D6D19" w:rsidRPr="002D6D19" w:rsidRDefault="00392780" w:rsidP="002D6D19">
            <w:pPr>
              <w:spacing w:after="20"/>
            </w:pPr>
            <w:r>
              <w:t>10</w:t>
            </w:r>
          </w:p>
        </w:tc>
        <w:tc>
          <w:tcPr>
            <w:tcW w:w="1260" w:type="dxa"/>
            <w:tcBorders>
              <w:top w:val="single" w:sz="6" w:space="0" w:color="auto"/>
              <w:left w:val="single" w:sz="6" w:space="0" w:color="auto"/>
              <w:bottom w:val="single" w:sz="6" w:space="0" w:color="auto"/>
            </w:tcBorders>
            <w:vAlign w:val="center"/>
          </w:tcPr>
          <w:p w14:paraId="33FBC258" w14:textId="77777777" w:rsidR="002D6D19" w:rsidRPr="002D6D19" w:rsidRDefault="002D6D19" w:rsidP="002D6D19">
            <w:pPr>
              <w:spacing w:after="20"/>
            </w:pPr>
            <w:r w:rsidRPr="002D6D19">
              <w:t>1</w:t>
            </w:r>
          </w:p>
        </w:tc>
        <w:tc>
          <w:tcPr>
            <w:tcW w:w="1620" w:type="dxa"/>
            <w:tcBorders>
              <w:top w:val="single" w:sz="6" w:space="0" w:color="auto"/>
              <w:left w:val="single" w:sz="6" w:space="0" w:color="auto"/>
              <w:bottom w:val="single" w:sz="6" w:space="0" w:color="auto"/>
            </w:tcBorders>
            <w:vAlign w:val="center"/>
          </w:tcPr>
          <w:p w14:paraId="5C5B7BA4" w14:textId="77777777" w:rsidR="002D6D19" w:rsidRPr="002D6D19" w:rsidRDefault="002D6D19" w:rsidP="002D6D19">
            <w:pPr>
              <w:spacing w:after="20"/>
            </w:pPr>
            <w:r w:rsidRPr="002D6D19">
              <w:t>30/60</w:t>
            </w:r>
          </w:p>
        </w:tc>
        <w:tc>
          <w:tcPr>
            <w:tcW w:w="1350" w:type="dxa"/>
            <w:tcBorders>
              <w:top w:val="single" w:sz="6" w:space="0" w:color="auto"/>
              <w:left w:val="single" w:sz="6" w:space="0" w:color="auto"/>
              <w:bottom w:val="single" w:sz="6" w:space="0" w:color="auto"/>
              <w:right w:val="single" w:sz="6" w:space="0" w:color="auto"/>
            </w:tcBorders>
            <w:vAlign w:val="center"/>
          </w:tcPr>
          <w:p w14:paraId="3CA31BF8" w14:textId="6D67B70B" w:rsidR="002D6D19" w:rsidRPr="002D6D19" w:rsidRDefault="003A5FF5" w:rsidP="002D6D19">
            <w:pPr>
              <w:spacing w:after="20"/>
            </w:pPr>
            <w:r>
              <w:t>5</w:t>
            </w:r>
          </w:p>
        </w:tc>
      </w:tr>
      <w:tr w:rsidR="002D6D19" w:rsidRPr="002D6D19" w14:paraId="749F88ED" w14:textId="77777777" w:rsidTr="00DD2669">
        <w:trPr>
          <w:cantSplit/>
          <w:trHeight w:val="678"/>
          <w:jc w:val="center"/>
        </w:trPr>
        <w:tc>
          <w:tcPr>
            <w:tcW w:w="2003" w:type="dxa"/>
            <w:tcBorders>
              <w:top w:val="single" w:sz="6" w:space="0" w:color="auto"/>
              <w:left w:val="single" w:sz="6" w:space="0" w:color="auto"/>
              <w:bottom w:val="single" w:sz="6" w:space="0" w:color="auto"/>
            </w:tcBorders>
            <w:vAlign w:val="center"/>
          </w:tcPr>
          <w:p w14:paraId="130F608B" w14:textId="77777777" w:rsidR="002D6D19" w:rsidRPr="002D6D19" w:rsidRDefault="002D6D19" w:rsidP="002D6D19">
            <w:pPr>
              <w:spacing w:after="20"/>
            </w:pPr>
            <w:r w:rsidRPr="002D6D19">
              <w:t>Research scientists</w:t>
            </w:r>
          </w:p>
        </w:tc>
        <w:tc>
          <w:tcPr>
            <w:tcW w:w="2039" w:type="dxa"/>
            <w:tcBorders>
              <w:top w:val="single" w:sz="6" w:space="0" w:color="auto"/>
              <w:left w:val="single" w:sz="6" w:space="0" w:color="auto"/>
              <w:bottom w:val="single" w:sz="6" w:space="0" w:color="auto"/>
            </w:tcBorders>
          </w:tcPr>
          <w:p w14:paraId="4FF78079" w14:textId="77777777" w:rsidR="002D6D19" w:rsidRPr="002D6D19" w:rsidRDefault="002D6D19" w:rsidP="002D6D19">
            <w:pPr>
              <w:spacing w:after="20"/>
            </w:pPr>
            <w:r w:rsidRPr="002D6D19">
              <w:t>Research Materials Distribution Agreement (Attachment A.4)</w:t>
            </w:r>
          </w:p>
        </w:tc>
        <w:tc>
          <w:tcPr>
            <w:tcW w:w="1561" w:type="dxa"/>
            <w:tcBorders>
              <w:top w:val="single" w:sz="6" w:space="0" w:color="auto"/>
              <w:left w:val="single" w:sz="6" w:space="0" w:color="auto"/>
              <w:bottom w:val="single" w:sz="6" w:space="0" w:color="auto"/>
            </w:tcBorders>
            <w:vAlign w:val="center"/>
          </w:tcPr>
          <w:p w14:paraId="650882D6" w14:textId="22F708CA" w:rsidR="002D6D19" w:rsidRPr="002D6D19" w:rsidRDefault="00392780" w:rsidP="002D6D19">
            <w:pPr>
              <w:spacing w:after="20"/>
            </w:pPr>
            <w:r>
              <w:t>25</w:t>
            </w:r>
          </w:p>
        </w:tc>
        <w:tc>
          <w:tcPr>
            <w:tcW w:w="1260" w:type="dxa"/>
            <w:tcBorders>
              <w:top w:val="single" w:sz="6" w:space="0" w:color="auto"/>
              <w:left w:val="single" w:sz="6" w:space="0" w:color="auto"/>
              <w:bottom w:val="single" w:sz="6" w:space="0" w:color="auto"/>
            </w:tcBorders>
            <w:vAlign w:val="center"/>
          </w:tcPr>
          <w:p w14:paraId="129046A1" w14:textId="77777777" w:rsidR="002D6D19" w:rsidRPr="002D6D19" w:rsidRDefault="002D6D19" w:rsidP="002D6D19">
            <w:pPr>
              <w:spacing w:after="20"/>
            </w:pPr>
            <w:r w:rsidRPr="002D6D19">
              <w:t>1</w:t>
            </w:r>
          </w:p>
        </w:tc>
        <w:tc>
          <w:tcPr>
            <w:tcW w:w="1620" w:type="dxa"/>
            <w:tcBorders>
              <w:top w:val="single" w:sz="6" w:space="0" w:color="auto"/>
              <w:left w:val="single" w:sz="6" w:space="0" w:color="auto"/>
              <w:bottom w:val="single" w:sz="6" w:space="0" w:color="auto"/>
            </w:tcBorders>
            <w:vAlign w:val="center"/>
          </w:tcPr>
          <w:p w14:paraId="43F23DC5" w14:textId="77777777" w:rsidR="002D6D19" w:rsidRPr="002D6D19" w:rsidRDefault="002D6D19" w:rsidP="002D6D19">
            <w:pPr>
              <w:spacing w:after="20"/>
            </w:pPr>
            <w:r w:rsidRPr="002D6D19">
              <w:t>10/60</w:t>
            </w:r>
          </w:p>
        </w:tc>
        <w:tc>
          <w:tcPr>
            <w:tcW w:w="1350" w:type="dxa"/>
            <w:tcBorders>
              <w:top w:val="single" w:sz="6" w:space="0" w:color="auto"/>
              <w:left w:val="single" w:sz="6" w:space="0" w:color="auto"/>
              <w:bottom w:val="single" w:sz="6" w:space="0" w:color="auto"/>
              <w:right w:val="single" w:sz="6" w:space="0" w:color="auto"/>
            </w:tcBorders>
            <w:vAlign w:val="center"/>
          </w:tcPr>
          <w:p w14:paraId="3F3879A5" w14:textId="1C8BFF2D" w:rsidR="002D6D19" w:rsidRPr="002D6D19" w:rsidRDefault="003A5FF5" w:rsidP="002D6D19">
            <w:pPr>
              <w:spacing w:after="20"/>
            </w:pPr>
            <w:r>
              <w:t>4</w:t>
            </w:r>
          </w:p>
        </w:tc>
      </w:tr>
      <w:tr w:rsidR="002D6D19" w:rsidRPr="002D6D19" w14:paraId="1070C0EF" w14:textId="77777777" w:rsidTr="00DD2669">
        <w:trPr>
          <w:cantSplit/>
          <w:trHeight w:val="403"/>
          <w:jc w:val="center"/>
        </w:trPr>
        <w:tc>
          <w:tcPr>
            <w:tcW w:w="2003" w:type="dxa"/>
            <w:tcBorders>
              <w:top w:val="single" w:sz="6" w:space="0" w:color="auto"/>
              <w:left w:val="single" w:sz="6" w:space="0" w:color="auto"/>
              <w:bottom w:val="single" w:sz="6" w:space="0" w:color="auto"/>
            </w:tcBorders>
            <w:vAlign w:val="center"/>
          </w:tcPr>
          <w:p w14:paraId="2754F212" w14:textId="77777777" w:rsidR="002D6D19" w:rsidRPr="002D6D19" w:rsidRDefault="002D6D19" w:rsidP="002D6D19">
            <w:pPr>
              <w:spacing w:after="20"/>
            </w:pPr>
          </w:p>
        </w:tc>
        <w:tc>
          <w:tcPr>
            <w:tcW w:w="2039" w:type="dxa"/>
            <w:tcBorders>
              <w:top w:val="single" w:sz="6" w:space="0" w:color="auto"/>
              <w:left w:val="single" w:sz="6" w:space="0" w:color="auto"/>
              <w:bottom w:val="single" w:sz="6" w:space="0" w:color="auto"/>
            </w:tcBorders>
            <w:vAlign w:val="center"/>
          </w:tcPr>
          <w:p w14:paraId="00D76DB1" w14:textId="77777777" w:rsidR="002D6D19" w:rsidRPr="002D6D19" w:rsidRDefault="002D6D19" w:rsidP="002D6D19">
            <w:pPr>
              <w:spacing w:after="20"/>
            </w:pPr>
            <w:r w:rsidRPr="002D6D19">
              <w:t>Total</w:t>
            </w:r>
          </w:p>
        </w:tc>
        <w:tc>
          <w:tcPr>
            <w:tcW w:w="1561" w:type="dxa"/>
            <w:tcBorders>
              <w:top w:val="single" w:sz="6" w:space="0" w:color="auto"/>
              <w:left w:val="single" w:sz="6" w:space="0" w:color="auto"/>
              <w:bottom w:val="single" w:sz="6" w:space="0" w:color="auto"/>
            </w:tcBorders>
            <w:vAlign w:val="center"/>
          </w:tcPr>
          <w:p w14:paraId="6397C7E9" w14:textId="33618B07" w:rsidR="002D6D19" w:rsidRPr="002D6D19" w:rsidRDefault="00392780" w:rsidP="002D6D19">
            <w:pPr>
              <w:spacing w:after="20"/>
            </w:pPr>
            <w:r>
              <w:t>200</w:t>
            </w:r>
          </w:p>
        </w:tc>
        <w:tc>
          <w:tcPr>
            <w:tcW w:w="1260" w:type="dxa"/>
            <w:tcBorders>
              <w:top w:val="single" w:sz="6" w:space="0" w:color="auto"/>
              <w:left w:val="single" w:sz="6" w:space="0" w:color="auto"/>
              <w:bottom w:val="single" w:sz="6" w:space="0" w:color="auto"/>
            </w:tcBorders>
            <w:vAlign w:val="center"/>
          </w:tcPr>
          <w:p w14:paraId="50DD20B8" w14:textId="6BA319E2" w:rsidR="002D6D19" w:rsidRPr="002D6D19" w:rsidRDefault="00392780" w:rsidP="002D6D19">
            <w:pPr>
              <w:spacing w:after="20"/>
            </w:pPr>
            <w:r>
              <w:t>200</w:t>
            </w:r>
          </w:p>
        </w:tc>
        <w:tc>
          <w:tcPr>
            <w:tcW w:w="1620" w:type="dxa"/>
            <w:tcBorders>
              <w:top w:val="single" w:sz="6" w:space="0" w:color="auto"/>
              <w:left w:val="single" w:sz="6" w:space="0" w:color="auto"/>
              <w:bottom w:val="single" w:sz="6" w:space="0" w:color="auto"/>
            </w:tcBorders>
            <w:shd w:val="clear" w:color="auto" w:fill="BFBFBF" w:themeFill="background1" w:themeFillShade="BF"/>
            <w:vAlign w:val="center"/>
          </w:tcPr>
          <w:p w14:paraId="4E3D0770" w14:textId="77777777" w:rsidR="002D6D19" w:rsidRPr="002D6D19" w:rsidRDefault="002D6D19" w:rsidP="002D6D19">
            <w:pPr>
              <w:spacing w:after="20"/>
            </w:pPr>
          </w:p>
        </w:tc>
        <w:tc>
          <w:tcPr>
            <w:tcW w:w="1350" w:type="dxa"/>
            <w:tcBorders>
              <w:top w:val="single" w:sz="6" w:space="0" w:color="auto"/>
              <w:left w:val="single" w:sz="6" w:space="0" w:color="auto"/>
              <w:bottom w:val="single" w:sz="6" w:space="0" w:color="auto"/>
              <w:right w:val="single" w:sz="6" w:space="0" w:color="auto"/>
            </w:tcBorders>
            <w:vAlign w:val="center"/>
          </w:tcPr>
          <w:p w14:paraId="1653304D" w14:textId="64A009F4" w:rsidR="002D6D19" w:rsidRPr="002D6D19" w:rsidRDefault="009F3A60" w:rsidP="002D6D19">
            <w:pPr>
              <w:spacing w:after="20"/>
            </w:pPr>
            <w:r>
              <w:t>41</w:t>
            </w:r>
          </w:p>
        </w:tc>
      </w:tr>
    </w:tbl>
    <w:p w14:paraId="50A644D3" w14:textId="77777777" w:rsidR="002D6D19" w:rsidRPr="002D6D19" w:rsidRDefault="002D6D19" w:rsidP="002D6D19">
      <w:pPr>
        <w:spacing w:after="20"/>
      </w:pPr>
    </w:p>
    <w:p w14:paraId="3FAEFB6A" w14:textId="77777777" w:rsidR="002F3354" w:rsidRPr="007F23E8" w:rsidRDefault="002F3354" w:rsidP="008716F6">
      <w:pPr>
        <w:spacing w:after="20"/>
      </w:pPr>
    </w:p>
    <w:p w14:paraId="51E868DE" w14:textId="77777777" w:rsidR="00907E64" w:rsidRPr="00907E64" w:rsidRDefault="00907E64" w:rsidP="00907E64">
      <w:pPr>
        <w:spacing w:after="20"/>
        <w:rPr>
          <w:b/>
        </w:rPr>
      </w:pPr>
      <w:r w:rsidRPr="00907E64">
        <w:rPr>
          <w:b/>
        </w:rPr>
        <w:t>A.12-2</w:t>
      </w:r>
      <w:r w:rsidRPr="00907E64">
        <w:rPr>
          <w:b/>
        </w:rPr>
        <w:tab/>
        <w:t>ANNUALIZED COST TO RESPONDENTS</w:t>
      </w:r>
    </w:p>
    <w:p w14:paraId="5C0BDE52" w14:textId="77777777" w:rsidR="00907E64" w:rsidRPr="00907E64" w:rsidRDefault="00907E64" w:rsidP="00907E64">
      <w:pPr>
        <w:spacing w:after="20"/>
        <w:rPr>
          <w:b/>
        </w:rPr>
      </w:pPr>
    </w:p>
    <w:p w14:paraId="414F292E" w14:textId="77777777" w:rsidR="007F23E8" w:rsidRPr="007F23E8" w:rsidRDefault="007F23E8" w:rsidP="007F23E8">
      <w:pPr>
        <w:spacing w:after="20"/>
        <w:jc w:val="center"/>
      </w:pPr>
      <w:bookmarkStart w:id="1" w:name="_Hlk485739654"/>
      <w:r w:rsidRPr="007F23E8">
        <w:t>Table 12-2 Annualized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283"/>
        <w:gridCol w:w="2269"/>
        <w:gridCol w:w="1193"/>
        <w:gridCol w:w="1870"/>
      </w:tblGrid>
      <w:tr w:rsidR="007F23E8" w:rsidRPr="007F23E8" w14:paraId="62253989" w14:textId="77777777" w:rsidTr="00DD2669">
        <w:trPr>
          <w:trHeight w:val="1079"/>
        </w:trPr>
        <w:tc>
          <w:tcPr>
            <w:tcW w:w="1970" w:type="dxa"/>
            <w:vAlign w:val="center"/>
          </w:tcPr>
          <w:bookmarkEnd w:id="1"/>
          <w:p w14:paraId="14EB96BD" w14:textId="77777777" w:rsidR="007F23E8" w:rsidRPr="007F23E8" w:rsidRDefault="007F23E8" w:rsidP="007F23E8">
            <w:pPr>
              <w:spacing w:after="20"/>
            </w:pPr>
            <w:r w:rsidRPr="007F23E8">
              <w:t>Type of Respondent</w:t>
            </w:r>
          </w:p>
        </w:tc>
        <w:tc>
          <w:tcPr>
            <w:tcW w:w="2294" w:type="dxa"/>
            <w:vAlign w:val="center"/>
          </w:tcPr>
          <w:p w14:paraId="2D02A003" w14:textId="77777777" w:rsidR="007F23E8" w:rsidRPr="007F23E8" w:rsidRDefault="007F23E8" w:rsidP="007F23E8">
            <w:pPr>
              <w:spacing w:after="20"/>
            </w:pPr>
            <w:r w:rsidRPr="007F23E8">
              <w:t>Form</w:t>
            </w:r>
          </w:p>
        </w:tc>
        <w:tc>
          <w:tcPr>
            <w:tcW w:w="2287" w:type="dxa"/>
            <w:vAlign w:val="center"/>
          </w:tcPr>
          <w:p w14:paraId="58C15447" w14:textId="77777777" w:rsidR="007F23E8" w:rsidRPr="007F23E8" w:rsidRDefault="007F23E8" w:rsidP="007F23E8">
            <w:pPr>
              <w:spacing w:after="20"/>
            </w:pPr>
            <w:r w:rsidRPr="007F23E8">
              <w:t>Estimate Total Annual Burden Hours</w:t>
            </w:r>
          </w:p>
        </w:tc>
        <w:tc>
          <w:tcPr>
            <w:tcW w:w="1200" w:type="dxa"/>
            <w:vAlign w:val="center"/>
          </w:tcPr>
          <w:p w14:paraId="0BCB02AF" w14:textId="77777777" w:rsidR="007F23E8" w:rsidRPr="007F23E8" w:rsidRDefault="007F23E8" w:rsidP="007F23E8">
            <w:pPr>
              <w:spacing w:after="20"/>
            </w:pPr>
            <w:r w:rsidRPr="007F23E8">
              <w:t>Wage Rate</w:t>
            </w:r>
          </w:p>
        </w:tc>
        <w:tc>
          <w:tcPr>
            <w:tcW w:w="1887" w:type="dxa"/>
            <w:vAlign w:val="center"/>
          </w:tcPr>
          <w:p w14:paraId="0632B3B7" w14:textId="77777777" w:rsidR="007F23E8" w:rsidRPr="007F23E8" w:rsidRDefault="007F23E8" w:rsidP="007F23E8">
            <w:pPr>
              <w:spacing w:after="20"/>
            </w:pPr>
            <w:r w:rsidRPr="007F23E8">
              <w:t>Total Costs</w:t>
            </w:r>
          </w:p>
        </w:tc>
      </w:tr>
      <w:tr w:rsidR="007F23E8" w:rsidRPr="007F23E8" w14:paraId="283748AA" w14:textId="77777777" w:rsidTr="00DD2669">
        <w:tc>
          <w:tcPr>
            <w:tcW w:w="1970" w:type="dxa"/>
            <w:vAlign w:val="center"/>
          </w:tcPr>
          <w:p w14:paraId="491D369A" w14:textId="77777777" w:rsidR="007F23E8" w:rsidRPr="007F23E8" w:rsidRDefault="007F23E8" w:rsidP="007F23E8">
            <w:pPr>
              <w:spacing w:after="20"/>
            </w:pPr>
            <w:r w:rsidRPr="007F23E8">
              <w:t>Research scientists</w:t>
            </w:r>
          </w:p>
        </w:tc>
        <w:tc>
          <w:tcPr>
            <w:tcW w:w="2294" w:type="dxa"/>
          </w:tcPr>
          <w:p w14:paraId="00C49920" w14:textId="77777777" w:rsidR="007F23E8" w:rsidRPr="007F23E8" w:rsidRDefault="007F23E8" w:rsidP="007F23E8">
            <w:pPr>
              <w:spacing w:after="20"/>
            </w:pPr>
            <w:r w:rsidRPr="007F23E8">
              <w:t>NCS Vanguard Downloadable Data Access Form (Attachment A.1)</w:t>
            </w:r>
          </w:p>
        </w:tc>
        <w:tc>
          <w:tcPr>
            <w:tcW w:w="2287" w:type="dxa"/>
            <w:vAlign w:val="center"/>
          </w:tcPr>
          <w:p w14:paraId="113318AD" w14:textId="4D023ED1" w:rsidR="007F23E8" w:rsidRPr="007F23E8" w:rsidRDefault="003A5FF5" w:rsidP="007F23E8">
            <w:pPr>
              <w:spacing w:after="20"/>
            </w:pPr>
            <w:r>
              <w:t>25</w:t>
            </w:r>
          </w:p>
        </w:tc>
        <w:tc>
          <w:tcPr>
            <w:tcW w:w="1200" w:type="dxa"/>
            <w:vAlign w:val="center"/>
          </w:tcPr>
          <w:p w14:paraId="7046533A" w14:textId="77777777" w:rsidR="007F23E8" w:rsidRPr="007F23E8" w:rsidRDefault="007F23E8" w:rsidP="007F23E8">
            <w:pPr>
              <w:spacing w:after="20"/>
            </w:pPr>
            <w:r w:rsidRPr="007F23E8">
              <w:t>$ 35.76</w:t>
            </w:r>
          </w:p>
        </w:tc>
        <w:tc>
          <w:tcPr>
            <w:tcW w:w="1887" w:type="dxa"/>
            <w:vAlign w:val="center"/>
          </w:tcPr>
          <w:p w14:paraId="54F3CE1E" w14:textId="56235F1A" w:rsidR="007F23E8" w:rsidRPr="007F23E8" w:rsidRDefault="007F23E8" w:rsidP="007F23E8">
            <w:pPr>
              <w:spacing w:after="20"/>
            </w:pPr>
            <w:r w:rsidRPr="007F23E8">
              <w:t xml:space="preserve">$ </w:t>
            </w:r>
            <w:r w:rsidR="003A5FF5">
              <w:t>894</w:t>
            </w:r>
          </w:p>
        </w:tc>
      </w:tr>
      <w:tr w:rsidR="007F23E8" w:rsidRPr="007F23E8" w14:paraId="30B92E59" w14:textId="77777777" w:rsidTr="00DD2669">
        <w:tc>
          <w:tcPr>
            <w:tcW w:w="1970" w:type="dxa"/>
            <w:vAlign w:val="center"/>
          </w:tcPr>
          <w:p w14:paraId="6BEB6D95" w14:textId="77777777" w:rsidR="007F23E8" w:rsidRPr="007F23E8" w:rsidRDefault="007F23E8" w:rsidP="007F23E8">
            <w:pPr>
              <w:spacing w:after="20"/>
            </w:pPr>
            <w:r w:rsidRPr="007F23E8">
              <w:t>Research scientists</w:t>
            </w:r>
          </w:p>
        </w:tc>
        <w:tc>
          <w:tcPr>
            <w:tcW w:w="2294" w:type="dxa"/>
          </w:tcPr>
          <w:p w14:paraId="41D7E670" w14:textId="77777777" w:rsidR="007F23E8" w:rsidRPr="007F23E8" w:rsidRDefault="007F23E8" w:rsidP="007F23E8">
            <w:pPr>
              <w:spacing w:after="20"/>
            </w:pPr>
            <w:r w:rsidRPr="007F23E8">
              <w:t>NCS Vanguard Data Request Form (Attachment A.2)</w:t>
            </w:r>
          </w:p>
        </w:tc>
        <w:tc>
          <w:tcPr>
            <w:tcW w:w="2287" w:type="dxa"/>
            <w:vAlign w:val="center"/>
          </w:tcPr>
          <w:p w14:paraId="12B03387" w14:textId="3567C1D3" w:rsidR="007F23E8" w:rsidRPr="007F23E8" w:rsidRDefault="009F3A60" w:rsidP="007F23E8">
            <w:pPr>
              <w:spacing w:after="20"/>
            </w:pPr>
            <w:r>
              <w:t>7</w:t>
            </w:r>
          </w:p>
        </w:tc>
        <w:tc>
          <w:tcPr>
            <w:tcW w:w="1200" w:type="dxa"/>
            <w:vAlign w:val="center"/>
          </w:tcPr>
          <w:p w14:paraId="0CB5778C" w14:textId="77777777" w:rsidR="007F23E8" w:rsidRPr="007F23E8" w:rsidRDefault="007F23E8" w:rsidP="007F23E8">
            <w:pPr>
              <w:spacing w:after="20"/>
            </w:pPr>
            <w:r w:rsidRPr="007F23E8">
              <w:t>$ 35.76</w:t>
            </w:r>
          </w:p>
        </w:tc>
        <w:tc>
          <w:tcPr>
            <w:tcW w:w="1887" w:type="dxa"/>
            <w:vAlign w:val="center"/>
          </w:tcPr>
          <w:p w14:paraId="28B7DD80" w14:textId="47D6D70B" w:rsidR="007F23E8" w:rsidRPr="007F23E8" w:rsidRDefault="007F23E8" w:rsidP="007F23E8">
            <w:pPr>
              <w:spacing w:after="20"/>
            </w:pPr>
            <w:r w:rsidRPr="007F23E8">
              <w:t xml:space="preserve">$ </w:t>
            </w:r>
            <w:r w:rsidR="009F3A60">
              <w:t>250</w:t>
            </w:r>
          </w:p>
        </w:tc>
      </w:tr>
      <w:tr w:rsidR="007F23E8" w:rsidRPr="007F23E8" w14:paraId="0F5B219D" w14:textId="77777777" w:rsidTr="00DD2669">
        <w:tc>
          <w:tcPr>
            <w:tcW w:w="1970" w:type="dxa"/>
            <w:vAlign w:val="center"/>
          </w:tcPr>
          <w:p w14:paraId="4B33E4AC" w14:textId="77777777" w:rsidR="007F23E8" w:rsidRPr="007F23E8" w:rsidRDefault="007F23E8" w:rsidP="007F23E8">
            <w:pPr>
              <w:spacing w:after="20"/>
            </w:pPr>
            <w:r w:rsidRPr="007F23E8">
              <w:t>Research scientists</w:t>
            </w:r>
          </w:p>
        </w:tc>
        <w:tc>
          <w:tcPr>
            <w:tcW w:w="2294" w:type="dxa"/>
          </w:tcPr>
          <w:p w14:paraId="20D87A3F" w14:textId="77777777" w:rsidR="007F23E8" w:rsidRPr="007F23E8" w:rsidRDefault="007F23E8" w:rsidP="007F23E8">
            <w:pPr>
              <w:spacing w:after="20"/>
            </w:pPr>
            <w:r w:rsidRPr="007F23E8">
              <w:t>NCS Vanguard Specimen and Data Request Form (Attachment A.3)</w:t>
            </w:r>
          </w:p>
        </w:tc>
        <w:tc>
          <w:tcPr>
            <w:tcW w:w="2287" w:type="dxa"/>
            <w:vAlign w:val="center"/>
          </w:tcPr>
          <w:p w14:paraId="2BD67B9C" w14:textId="782A58B0" w:rsidR="007F23E8" w:rsidRPr="007F23E8" w:rsidRDefault="003A5FF5" w:rsidP="007F23E8">
            <w:pPr>
              <w:spacing w:after="20"/>
            </w:pPr>
            <w:r>
              <w:t>5</w:t>
            </w:r>
          </w:p>
        </w:tc>
        <w:tc>
          <w:tcPr>
            <w:tcW w:w="1200" w:type="dxa"/>
            <w:vAlign w:val="center"/>
          </w:tcPr>
          <w:p w14:paraId="5E50D667" w14:textId="77777777" w:rsidR="007F23E8" w:rsidRPr="007F23E8" w:rsidRDefault="007F23E8" w:rsidP="007F23E8">
            <w:pPr>
              <w:spacing w:after="20"/>
            </w:pPr>
            <w:r w:rsidRPr="007F23E8">
              <w:t>$ 35.76</w:t>
            </w:r>
          </w:p>
        </w:tc>
        <w:tc>
          <w:tcPr>
            <w:tcW w:w="1887" w:type="dxa"/>
            <w:vAlign w:val="center"/>
          </w:tcPr>
          <w:p w14:paraId="5E3E193D" w14:textId="378C82C8" w:rsidR="007F23E8" w:rsidRPr="007F23E8" w:rsidRDefault="007F23E8" w:rsidP="007F23E8">
            <w:pPr>
              <w:spacing w:after="20"/>
            </w:pPr>
            <w:r w:rsidRPr="007F23E8">
              <w:t xml:space="preserve">$ </w:t>
            </w:r>
            <w:r w:rsidR="003A5FF5">
              <w:t>179</w:t>
            </w:r>
          </w:p>
        </w:tc>
      </w:tr>
      <w:tr w:rsidR="007F23E8" w:rsidRPr="007F23E8" w14:paraId="4AFC011B" w14:textId="77777777" w:rsidTr="00DD2669">
        <w:tc>
          <w:tcPr>
            <w:tcW w:w="1970" w:type="dxa"/>
            <w:vAlign w:val="center"/>
          </w:tcPr>
          <w:p w14:paraId="36253F74" w14:textId="77777777" w:rsidR="007F23E8" w:rsidRPr="007F23E8" w:rsidRDefault="007F23E8" w:rsidP="007F23E8">
            <w:pPr>
              <w:spacing w:after="20"/>
            </w:pPr>
            <w:r w:rsidRPr="007F23E8">
              <w:t>Research scientists</w:t>
            </w:r>
          </w:p>
        </w:tc>
        <w:tc>
          <w:tcPr>
            <w:tcW w:w="2294" w:type="dxa"/>
          </w:tcPr>
          <w:p w14:paraId="4E00208D" w14:textId="77777777" w:rsidR="007F23E8" w:rsidRPr="007F23E8" w:rsidRDefault="007F23E8" w:rsidP="007F23E8">
            <w:pPr>
              <w:spacing w:after="20"/>
            </w:pPr>
            <w:r w:rsidRPr="007F23E8">
              <w:t>Research Materials Distribution Agreement (Attachment A.4)</w:t>
            </w:r>
          </w:p>
        </w:tc>
        <w:tc>
          <w:tcPr>
            <w:tcW w:w="2287" w:type="dxa"/>
            <w:vAlign w:val="center"/>
          </w:tcPr>
          <w:p w14:paraId="75EDB223" w14:textId="116A7659" w:rsidR="007F23E8" w:rsidRPr="007F23E8" w:rsidRDefault="003A5FF5" w:rsidP="007F23E8">
            <w:pPr>
              <w:spacing w:after="20"/>
            </w:pPr>
            <w:r>
              <w:t>4</w:t>
            </w:r>
          </w:p>
        </w:tc>
        <w:tc>
          <w:tcPr>
            <w:tcW w:w="1200" w:type="dxa"/>
            <w:vAlign w:val="center"/>
          </w:tcPr>
          <w:p w14:paraId="3AD7DEA7" w14:textId="77777777" w:rsidR="007F23E8" w:rsidRPr="007F23E8" w:rsidRDefault="007F23E8" w:rsidP="007F23E8">
            <w:pPr>
              <w:spacing w:after="20"/>
            </w:pPr>
            <w:r w:rsidRPr="007F23E8">
              <w:t>$ 35.76</w:t>
            </w:r>
          </w:p>
        </w:tc>
        <w:tc>
          <w:tcPr>
            <w:tcW w:w="1887" w:type="dxa"/>
            <w:vAlign w:val="center"/>
          </w:tcPr>
          <w:p w14:paraId="068582EA" w14:textId="621EA248" w:rsidR="007F23E8" w:rsidRPr="007F23E8" w:rsidRDefault="007F23E8" w:rsidP="007F23E8">
            <w:pPr>
              <w:spacing w:after="20"/>
            </w:pPr>
            <w:r w:rsidRPr="007F23E8">
              <w:t>$</w:t>
            </w:r>
            <w:r w:rsidR="003A5FF5">
              <w:t xml:space="preserve"> 143</w:t>
            </w:r>
          </w:p>
        </w:tc>
      </w:tr>
      <w:tr w:rsidR="007F23E8" w:rsidRPr="007F23E8" w14:paraId="1775E7C4" w14:textId="77777777" w:rsidTr="00DD2669">
        <w:tc>
          <w:tcPr>
            <w:tcW w:w="1970" w:type="dxa"/>
          </w:tcPr>
          <w:p w14:paraId="40C34831" w14:textId="77777777" w:rsidR="007F23E8" w:rsidRPr="007F23E8" w:rsidRDefault="007F23E8" w:rsidP="007F23E8">
            <w:pPr>
              <w:spacing w:after="20"/>
              <w:rPr>
                <w:b/>
              </w:rPr>
            </w:pPr>
          </w:p>
        </w:tc>
        <w:tc>
          <w:tcPr>
            <w:tcW w:w="2294" w:type="dxa"/>
          </w:tcPr>
          <w:p w14:paraId="1EB56269" w14:textId="77777777" w:rsidR="007F23E8" w:rsidRPr="007F23E8" w:rsidRDefault="007F23E8" w:rsidP="007F23E8">
            <w:pPr>
              <w:spacing w:after="20"/>
            </w:pPr>
            <w:r w:rsidRPr="007F23E8">
              <w:t>Total</w:t>
            </w:r>
          </w:p>
        </w:tc>
        <w:tc>
          <w:tcPr>
            <w:tcW w:w="2287" w:type="dxa"/>
            <w:vAlign w:val="center"/>
          </w:tcPr>
          <w:p w14:paraId="2F8D0B1F" w14:textId="30E2AE2B" w:rsidR="007F23E8" w:rsidRPr="007F23E8" w:rsidRDefault="009F3A60" w:rsidP="007F23E8">
            <w:pPr>
              <w:spacing w:after="20"/>
            </w:pPr>
            <w:r>
              <w:t>41</w:t>
            </w:r>
          </w:p>
        </w:tc>
        <w:tc>
          <w:tcPr>
            <w:tcW w:w="1200" w:type="dxa"/>
            <w:shd w:val="clear" w:color="auto" w:fill="BFBFBF" w:themeFill="background1" w:themeFillShade="BF"/>
            <w:vAlign w:val="center"/>
          </w:tcPr>
          <w:p w14:paraId="50F067D9" w14:textId="77777777" w:rsidR="007F23E8" w:rsidRPr="007F23E8" w:rsidRDefault="007F23E8" w:rsidP="007F23E8">
            <w:pPr>
              <w:spacing w:after="20"/>
            </w:pPr>
          </w:p>
        </w:tc>
        <w:tc>
          <w:tcPr>
            <w:tcW w:w="1887" w:type="dxa"/>
            <w:vAlign w:val="center"/>
          </w:tcPr>
          <w:p w14:paraId="31CCC387" w14:textId="599573E4" w:rsidR="007F23E8" w:rsidRPr="007F23E8" w:rsidRDefault="007F23E8" w:rsidP="007F23E8">
            <w:pPr>
              <w:spacing w:after="20"/>
            </w:pPr>
            <w:r w:rsidRPr="007F23E8">
              <w:t xml:space="preserve">$ </w:t>
            </w:r>
            <w:r w:rsidR="009F3A60">
              <w:t>1466</w:t>
            </w:r>
          </w:p>
        </w:tc>
      </w:tr>
    </w:tbl>
    <w:p w14:paraId="2148F5E3" w14:textId="77777777" w:rsidR="007F23E8" w:rsidRPr="007F23E8" w:rsidRDefault="007F23E8" w:rsidP="007F23E8">
      <w:pPr>
        <w:spacing w:after="20"/>
      </w:pPr>
    </w:p>
    <w:p w14:paraId="070DDB56" w14:textId="77777777" w:rsidR="007F23E8" w:rsidRPr="007F23E8" w:rsidRDefault="007F23E8" w:rsidP="007F23E8">
      <w:pPr>
        <w:spacing w:after="20"/>
      </w:pPr>
      <w:r w:rsidRPr="007F23E8">
        <w:t xml:space="preserve">Salary/Wage Source: Bureau of Labor Statistics/Occupational Employment Statistics </w:t>
      </w:r>
      <w:hyperlink r:id="rId12" w:anchor="19-0000" w:history="1">
        <w:r w:rsidRPr="007F23E8">
          <w:rPr>
            <w:rStyle w:val="Hyperlink"/>
          </w:rPr>
          <w:t>May 2017 “Life, Physical, and Social Scientist”</w:t>
        </w:r>
      </w:hyperlink>
      <w:r w:rsidRPr="007F23E8">
        <w:t>, occupational code 19-0000.</w:t>
      </w:r>
    </w:p>
    <w:p w14:paraId="0B4D9FAF" w14:textId="56AA2D80" w:rsidR="00AF01AD" w:rsidRDefault="00AF01AD" w:rsidP="008716F6">
      <w:pPr>
        <w:spacing w:after="20"/>
      </w:pPr>
    </w:p>
    <w:p w14:paraId="4BE9B609" w14:textId="77777777" w:rsidR="008716F6" w:rsidRPr="00113647" w:rsidRDefault="00713CF8" w:rsidP="008716F6">
      <w:pPr>
        <w:spacing w:after="20"/>
        <w:rPr>
          <w:b/>
        </w:rPr>
      </w:pPr>
      <w:r w:rsidRPr="00113647">
        <w:rPr>
          <w:b/>
        </w:rPr>
        <w:t>A.13 Estimate of Other Total Annual Cost Burden to Respondents or Record Keepers</w:t>
      </w:r>
      <w:r w:rsidRPr="00113647">
        <w:rPr>
          <w:b/>
        </w:rPr>
        <w:tab/>
      </w:r>
    </w:p>
    <w:p w14:paraId="03B43F67" w14:textId="77777777" w:rsidR="002C4725" w:rsidRDefault="002C4725" w:rsidP="008716F6">
      <w:pPr>
        <w:spacing w:after="20"/>
      </w:pPr>
    </w:p>
    <w:p w14:paraId="67F653CC" w14:textId="33ABBBE5" w:rsidR="007F23E8" w:rsidRPr="007F23E8" w:rsidRDefault="007F23E8" w:rsidP="007F23E8">
      <w:pPr>
        <w:spacing w:after="20"/>
        <w:rPr>
          <w:i/>
        </w:rPr>
      </w:pPr>
      <w:r w:rsidRPr="007F23E8">
        <w:t>There are no additional costs other than the respondents’ cost burden given in Table 12-2</w:t>
      </w:r>
      <w:r w:rsidRPr="007F23E8">
        <w:rPr>
          <w:i/>
        </w:rPr>
        <w:t>.</w:t>
      </w:r>
    </w:p>
    <w:p w14:paraId="7BE8827C" w14:textId="77777777" w:rsidR="00713CF8" w:rsidRPr="00113647" w:rsidRDefault="00713CF8"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p>
    <w:p w14:paraId="39F12C89" w14:textId="77777777" w:rsidR="006F3F5E" w:rsidRPr="006F3F5E" w:rsidRDefault="006F3F5E" w:rsidP="006F3F5E">
      <w:pPr>
        <w:spacing w:after="20"/>
        <w:rPr>
          <w:b/>
        </w:rPr>
      </w:pPr>
    </w:p>
    <w:tbl>
      <w:tblPr>
        <w:tblW w:w="9180"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28"/>
        <w:gridCol w:w="1710"/>
        <w:gridCol w:w="1260"/>
        <w:gridCol w:w="1363"/>
        <w:gridCol w:w="1363"/>
        <w:gridCol w:w="1656"/>
      </w:tblGrid>
      <w:tr w:rsidR="006F3F5E" w:rsidRPr="006F3F5E" w14:paraId="137A9CB8" w14:textId="77777777" w:rsidTr="00DD2669">
        <w:trPr>
          <w:trHeight w:val="1096"/>
        </w:trPr>
        <w:tc>
          <w:tcPr>
            <w:tcW w:w="1828" w:type="dxa"/>
            <w:shd w:val="clear" w:color="auto" w:fill="auto"/>
            <w:noWrap/>
            <w:tcMar>
              <w:top w:w="0" w:type="dxa"/>
              <w:left w:w="108" w:type="dxa"/>
              <w:bottom w:w="0" w:type="dxa"/>
              <w:right w:w="108" w:type="dxa"/>
            </w:tcMar>
            <w:vAlign w:val="center"/>
            <w:hideMark/>
          </w:tcPr>
          <w:p w14:paraId="744669AB" w14:textId="77777777" w:rsidR="006F3F5E" w:rsidRPr="006F3F5E" w:rsidRDefault="006F3F5E" w:rsidP="006F3F5E">
            <w:pPr>
              <w:spacing w:after="20"/>
              <w:rPr>
                <w:b/>
                <w:bCs/>
              </w:rPr>
            </w:pPr>
            <w:r w:rsidRPr="006F3F5E">
              <w:rPr>
                <w:b/>
                <w:bCs/>
              </w:rPr>
              <w:t>Staff</w:t>
            </w:r>
          </w:p>
        </w:tc>
        <w:tc>
          <w:tcPr>
            <w:tcW w:w="1710" w:type="dxa"/>
            <w:shd w:val="clear" w:color="auto" w:fill="auto"/>
            <w:vAlign w:val="center"/>
          </w:tcPr>
          <w:p w14:paraId="4C50C686" w14:textId="77777777" w:rsidR="006F3F5E" w:rsidRPr="006F3F5E" w:rsidRDefault="006F3F5E" w:rsidP="006F3F5E">
            <w:pPr>
              <w:spacing w:after="20"/>
              <w:rPr>
                <w:b/>
                <w:bCs/>
              </w:rPr>
            </w:pPr>
            <w:r w:rsidRPr="006F3F5E">
              <w:rPr>
                <w:b/>
                <w:bCs/>
              </w:rPr>
              <w:t>Grade/Step</w:t>
            </w:r>
          </w:p>
        </w:tc>
        <w:tc>
          <w:tcPr>
            <w:tcW w:w="1260" w:type="dxa"/>
            <w:shd w:val="clear" w:color="auto" w:fill="auto"/>
            <w:tcMar>
              <w:top w:w="0" w:type="dxa"/>
              <w:left w:w="108" w:type="dxa"/>
              <w:bottom w:w="0" w:type="dxa"/>
              <w:right w:w="108" w:type="dxa"/>
            </w:tcMar>
            <w:vAlign w:val="center"/>
            <w:hideMark/>
          </w:tcPr>
          <w:p w14:paraId="51DCD0D4" w14:textId="77777777" w:rsidR="006F3F5E" w:rsidRPr="006F3F5E" w:rsidRDefault="006F3F5E" w:rsidP="006F3F5E">
            <w:pPr>
              <w:spacing w:after="20"/>
              <w:rPr>
                <w:b/>
                <w:bCs/>
              </w:rPr>
            </w:pPr>
            <w:r w:rsidRPr="006F3F5E">
              <w:rPr>
                <w:b/>
                <w:bCs/>
              </w:rPr>
              <w:t>Salary</w:t>
            </w:r>
          </w:p>
        </w:tc>
        <w:tc>
          <w:tcPr>
            <w:tcW w:w="1363" w:type="dxa"/>
            <w:shd w:val="clear" w:color="auto" w:fill="auto"/>
            <w:tcMar>
              <w:top w:w="0" w:type="dxa"/>
              <w:left w:w="108" w:type="dxa"/>
              <w:bottom w:w="0" w:type="dxa"/>
              <w:right w:w="108" w:type="dxa"/>
            </w:tcMar>
            <w:vAlign w:val="center"/>
            <w:hideMark/>
          </w:tcPr>
          <w:p w14:paraId="1F44402A" w14:textId="77777777" w:rsidR="006F3F5E" w:rsidRPr="006F3F5E" w:rsidRDefault="006F3F5E" w:rsidP="006F3F5E">
            <w:pPr>
              <w:spacing w:after="20"/>
              <w:rPr>
                <w:b/>
                <w:bCs/>
              </w:rPr>
            </w:pPr>
            <w:r w:rsidRPr="006F3F5E">
              <w:rPr>
                <w:b/>
                <w:bCs/>
              </w:rPr>
              <w:t>% of Effort</w:t>
            </w:r>
          </w:p>
        </w:tc>
        <w:tc>
          <w:tcPr>
            <w:tcW w:w="1363" w:type="dxa"/>
            <w:shd w:val="clear" w:color="auto" w:fill="auto"/>
            <w:vAlign w:val="center"/>
          </w:tcPr>
          <w:p w14:paraId="185E5B5C" w14:textId="77777777" w:rsidR="006F3F5E" w:rsidRPr="006F3F5E" w:rsidRDefault="006F3F5E" w:rsidP="006F3F5E">
            <w:pPr>
              <w:spacing w:after="20"/>
              <w:rPr>
                <w:b/>
                <w:bCs/>
              </w:rPr>
            </w:pPr>
            <w:r w:rsidRPr="006F3F5E">
              <w:rPr>
                <w:b/>
                <w:bCs/>
              </w:rPr>
              <w:t>Fringe (if applicable)</w:t>
            </w:r>
          </w:p>
        </w:tc>
        <w:tc>
          <w:tcPr>
            <w:tcW w:w="1656" w:type="dxa"/>
            <w:shd w:val="clear" w:color="auto" w:fill="auto"/>
            <w:vAlign w:val="center"/>
          </w:tcPr>
          <w:p w14:paraId="76E39290" w14:textId="77777777" w:rsidR="006F3F5E" w:rsidRPr="006F3F5E" w:rsidRDefault="006F3F5E" w:rsidP="006F3F5E">
            <w:pPr>
              <w:spacing w:after="20"/>
              <w:rPr>
                <w:b/>
                <w:bCs/>
              </w:rPr>
            </w:pPr>
            <w:r w:rsidRPr="006F3F5E">
              <w:rPr>
                <w:b/>
                <w:bCs/>
              </w:rPr>
              <w:t>Total Cost to Gov’t</w:t>
            </w:r>
          </w:p>
        </w:tc>
      </w:tr>
      <w:tr w:rsidR="006F3F5E" w:rsidRPr="006F3F5E" w14:paraId="21867463" w14:textId="77777777" w:rsidTr="00DD2669">
        <w:trPr>
          <w:trHeight w:val="300"/>
        </w:trPr>
        <w:tc>
          <w:tcPr>
            <w:tcW w:w="1828" w:type="dxa"/>
            <w:noWrap/>
            <w:tcMar>
              <w:top w:w="0" w:type="dxa"/>
              <w:left w:w="108" w:type="dxa"/>
              <w:bottom w:w="0" w:type="dxa"/>
              <w:right w:w="108" w:type="dxa"/>
            </w:tcMar>
            <w:vAlign w:val="bottom"/>
          </w:tcPr>
          <w:p w14:paraId="61DB02CD" w14:textId="77777777" w:rsidR="006F3F5E" w:rsidRPr="006F3F5E" w:rsidRDefault="006F3F5E" w:rsidP="006F3F5E">
            <w:pPr>
              <w:spacing w:after="20"/>
              <w:rPr>
                <w:b/>
              </w:rPr>
            </w:pPr>
            <w:r w:rsidRPr="006F3F5E">
              <w:rPr>
                <w:b/>
              </w:rPr>
              <w:t>Federal Oversight</w:t>
            </w:r>
          </w:p>
        </w:tc>
        <w:tc>
          <w:tcPr>
            <w:tcW w:w="1710" w:type="dxa"/>
          </w:tcPr>
          <w:p w14:paraId="2A076903" w14:textId="77777777" w:rsidR="006F3F5E" w:rsidRPr="006F3F5E" w:rsidRDefault="006F3F5E" w:rsidP="006F3F5E">
            <w:pPr>
              <w:spacing w:after="20"/>
            </w:pPr>
          </w:p>
        </w:tc>
        <w:tc>
          <w:tcPr>
            <w:tcW w:w="1260" w:type="dxa"/>
            <w:noWrap/>
            <w:tcMar>
              <w:top w:w="0" w:type="dxa"/>
              <w:left w:w="108" w:type="dxa"/>
              <w:bottom w:w="0" w:type="dxa"/>
              <w:right w:w="108" w:type="dxa"/>
            </w:tcMar>
            <w:vAlign w:val="bottom"/>
          </w:tcPr>
          <w:p w14:paraId="79545933" w14:textId="77777777" w:rsidR="006F3F5E" w:rsidRPr="006F3F5E" w:rsidRDefault="006F3F5E" w:rsidP="006F3F5E">
            <w:pPr>
              <w:spacing w:after="20"/>
            </w:pPr>
          </w:p>
        </w:tc>
        <w:tc>
          <w:tcPr>
            <w:tcW w:w="1363" w:type="dxa"/>
            <w:noWrap/>
            <w:tcMar>
              <w:top w:w="0" w:type="dxa"/>
              <w:left w:w="108" w:type="dxa"/>
              <w:bottom w:w="0" w:type="dxa"/>
              <w:right w:w="108" w:type="dxa"/>
            </w:tcMar>
            <w:vAlign w:val="bottom"/>
          </w:tcPr>
          <w:p w14:paraId="33EEF3D0" w14:textId="77777777" w:rsidR="006F3F5E" w:rsidRPr="006F3F5E" w:rsidRDefault="006F3F5E" w:rsidP="006F3F5E">
            <w:pPr>
              <w:spacing w:after="20"/>
            </w:pPr>
          </w:p>
        </w:tc>
        <w:tc>
          <w:tcPr>
            <w:tcW w:w="1363" w:type="dxa"/>
            <w:shd w:val="clear" w:color="auto" w:fill="auto"/>
          </w:tcPr>
          <w:p w14:paraId="710C36D2" w14:textId="77777777" w:rsidR="006F3F5E" w:rsidRPr="006F3F5E" w:rsidRDefault="006F3F5E" w:rsidP="006F3F5E">
            <w:pPr>
              <w:spacing w:after="20"/>
            </w:pPr>
          </w:p>
        </w:tc>
        <w:tc>
          <w:tcPr>
            <w:tcW w:w="1656" w:type="dxa"/>
          </w:tcPr>
          <w:p w14:paraId="7CA00255" w14:textId="77777777" w:rsidR="006F3F5E" w:rsidRPr="006F3F5E" w:rsidRDefault="006F3F5E" w:rsidP="006F3F5E">
            <w:pPr>
              <w:spacing w:after="20"/>
            </w:pPr>
          </w:p>
        </w:tc>
      </w:tr>
      <w:tr w:rsidR="006F3F5E" w:rsidRPr="006F3F5E" w14:paraId="6D17DC0C" w14:textId="77777777" w:rsidTr="00DD2669">
        <w:trPr>
          <w:trHeight w:val="358"/>
        </w:trPr>
        <w:tc>
          <w:tcPr>
            <w:tcW w:w="1828" w:type="dxa"/>
            <w:noWrap/>
            <w:tcMar>
              <w:top w:w="0" w:type="dxa"/>
              <w:left w:w="108" w:type="dxa"/>
              <w:bottom w:w="0" w:type="dxa"/>
              <w:right w:w="108" w:type="dxa"/>
            </w:tcMar>
            <w:vAlign w:val="bottom"/>
          </w:tcPr>
          <w:p w14:paraId="3E2BB708" w14:textId="77777777" w:rsidR="006F3F5E" w:rsidRPr="006F3F5E" w:rsidRDefault="006F3F5E" w:rsidP="006F3F5E">
            <w:pPr>
              <w:spacing w:after="20"/>
            </w:pPr>
            <w:r w:rsidRPr="006F3F5E">
              <w:t>Program Officer</w:t>
            </w:r>
          </w:p>
        </w:tc>
        <w:tc>
          <w:tcPr>
            <w:tcW w:w="1710" w:type="dxa"/>
            <w:vAlign w:val="center"/>
          </w:tcPr>
          <w:p w14:paraId="2E19892C" w14:textId="77777777" w:rsidR="006F3F5E" w:rsidRPr="006F3F5E" w:rsidRDefault="006F3F5E" w:rsidP="006F3F5E">
            <w:pPr>
              <w:spacing w:after="20"/>
            </w:pPr>
            <w:r w:rsidRPr="006F3F5E">
              <w:t>GS-14 Step 4</w:t>
            </w:r>
          </w:p>
        </w:tc>
        <w:tc>
          <w:tcPr>
            <w:tcW w:w="1260" w:type="dxa"/>
            <w:noWrap/>
            <w:tcMar>
              <w:top w:w="0" w:type="dxa"/>
              <w:left w:w="108" w:type="dxa"/>
              <w:bottom w:w="0" w:type="dxa"/>
              <w:right w:w="108" w:type="dxa"/>
            </w:tcMar>
            <w:vAlign w:val="center"/>
          </w:tcPr>
          <w:p w14:paraId="24B0199A" w14:textId="77777777" w:rsidR="006F3F5E" w:rsidRPr="006F3F5E" w:rsidRDefault="006F3F5E" w:rsidP="006F3F5E">
            <w:pPr>
              <w:spacing w:after="20"/>
            </w:pPr>
            <w:r w:rsidRPr="006F3F5E">
              <w:t>$126,049</w:t>
            </w:r>
          </w:p>
        </w:tc>
        <w:tc>
          <w:tcPr>
            <w:tcW w:w="1363" w:type="dxa"/>
            <w:noWrap/>
            <w:tcMar>
              <w:top w:w="0" w:type="dxa"/>
              <w:left w:w="108" w:type="dxa"/>
              <w:bottom w:w="0" w:type="dxa"/>
              <w:right w:w="108" w:type="dxa"/>
            </w:tcMar>
            <w:vAlign w:val="center"/>
          </w:tcPr>
          <w:p w14:paraId="12D300C4" w14:textId="77777777" w:rsidR="006F3F5E" w:rsidRPr="006F3F5E" w:rsidRDefault="006F3F5E" w:rsidP="006F3F5E">
            <w:pPr>
              <w:spacing w:after="20"/>
            </w:pPr>
            <w:r w:rsidRPr="006F3F5E">
              <w:t>10</w:t>
            </w:r>
          </w:p>
        </w:tc>
        <w:tc>
          <w:tcPr>
            <w:tcW w:w="1363" w:type="dxa"/>
            <w:shd w:val="clear" w:color="auto" w:fill="BFBFBF"/>
          </w:tcPr>
          <w:p w14:paraId="43D10E2F" w14:textId="77777777" w:rsidR="006F3F5E" w:rsidRPr="006F3F5E" w:rsidRDefault="006F3F5E" w:rsidP="006F3F5E">
            <w:pPr>
              <w:spacing w:after="20"/>
            </w:pPr>
          </w:p>
        </w:tc>
        <w:tc>
          <w:tcPr>
            <w:tcW w:w="1656" w:type="dxa"/>
            <w:vAlign w:val="center"/>
          </w:tcPr>
          <w:p w14:paraId="4619F6A4" w14:textId="77777777" w:rsidR="006F3F5E" w:rsidRPr="006F3F5E" w:rsidRDefault="006F3F5E" w:rsidP="006F3F5E">
            <w:pPr>
              <w:spacing w:after="20"/>
            </w:pPr>
            <w:r w:rsidRPr="006F3F5E">
              <w:t>$12,065</w:t>
            </w:r>
          </w:p>
        </w:tc>
      </w:tr>
      <w:tr w:rsidR="006F3F5E" w:rsidRPr="006F3F5E" w14:paraId="14C1D71D" w14:textId="77777777" w:rsidTr="00DD2669">
        <w:trPr>
          <w:trHeight w:val="300"/>
        </w:trPr>
        <w:tc>
          <w:tcPr>
            <w:tcW w:w="1828" w:type="dxa"/>
            <w:noWrap/>
            <w:tcMar>
              <w:top w:w="0" w:type="dxa"/>
              <w:left w:w="108" w:type="dxa"/>
              <w:bottom w:w="0" w:type="dxa"/>
              <w:right w:w="108" w:type="dxa"/>
            </w:tcMar>
            <w:vAlign w:val="bottom"/>
          </w:tcPr>
          <w:p w14:paraId="4761BCD5" w14:textId="77777777" w:rsidR="006F3F5E" w:rsidRPr="006F3F5E" w:rsidRDefault="006F3F5E" w:rsidP="006F3F5E">
            <w:pPr>
              <w:spacing w:after="20"/>
            </w:pPr>
            <w:r w:rsidRPr="006F3F5E">
              <w:t>Branch Chief</w:t>
            </w:r>
          </w:p>
        </w:tc>
        <w:tc>
          <w:tcPr>
            <w:tcW w:w="1710" w:type="dxa"/>
            <w:shd w:val="clear" w:color="auto" w:fill="auto"/>
            <w:vAlign w:val="center"/>
          </w:tcPr>
          <w:p w14:paraId="0B96169E" w14:textId="77777777" w:rsidR="006F3F5E" w:rsidRPr="006F3F5E" w:rsidRDefault="006F3F5E" w:rsidP="006F3F5E">
            <w:pPr>
              <w:spacing w:after="20"/>
            </w:pPr>
            <w:r w:rsidRPr="006F3F5E">
              <w:t>GS-15 Step 4</w:t>
            </w:r>
          </w:p>
        </w:tc>
        <w:tc>
          <w:tcPr>
            <w:tcW w:w="1260" w:type="dxa"/>
            <w:noWrap/>
            <w:tcMar>
              <w:top w:w="0" w:type="dxa"/>
              <w:left w:w="108" w:type="dxa"/>
              <w:bottom w:w="0" w:type="dxa"/>
              <w:right w:w="108" w:type="dxa"/>
            </w:tcMar>
            <w:vAlign w:val="center"/>
          </w:tcPr>
          <w:p w14:paraId="17EE59B5" w14:textId="77777777" w:rsidR="006F3F5E" w:rsidRPr="006F3F5E" w:rsidRDefault="006F3F5E" w:rsidP="006F3F5E">
            <w:pPr>
              <w:spacing w:after="20"/>
            </w:pPr>
            <w:r w:rsidRPr="006F3F5E">
              <w:t>$148,267</w:t>
            </w:r>
          </w:p>
        </w:tc>
        <w:tc>
          <w:tcPr>
            <w:tcW w:w="1363" w:type="dxa"/>
            <w:noWrap/>
            <w:tcMar>
              <w:top w:w="0" w:type="dxa"/>
              <w:left w:w="108" w:type="dxa"/>
              <w:bottom w:w="0" w:type="dxa"/>
              <w:right w:w="108" w:type="dxa"/>
            </w:tcMar>
            <w:vAlign w:val="center"/>
          </w:tcPr>
          <w:p w14:paraId="2DF431F9" w14:textId="77777777" w:rsidR="006F3F5E" w:rsidRPr="006F3F5E" w:rsidRDefault="006F3F5E" w:rsidP="006F3F5E">
            <w:pPr>
              <w:spacing w:after="20"/>
            </w:pPr>
            <w:r w:rsidRPr="006F3F5E">
              <w:t>5</w:t>
            </w:r>
          </w:p>
        </w:tc>
        <w:tc>
          <w:tcPr>
            <w:tcW w:w="1363" w:type="dxa"/>
            <w:shd w:val="clear" w:color="auto" w:fill="BFBFBF"/>
            <w:vAlign w:val="center"/>
          </w:tcPr>
          <w:p w14:paraId="0C2DE04C" w14:textId="77777777" w:rsidR="006F3F5E" w:rsidRPr="006F3F5E" w:rsidRDefault="006F3F5E" w:rsidP="006F3F5E">
            <w:pPr>
              <w:spacing w:after="20"/>
            </w:pPr>
          </w:p>
        </w:tc>
        <w:tc>
          <w:tcPr>
            <w:tcW w:w="1656" w:type="dxa"/>
            <w:vAlign w:val="center"/>
          </w:tcPr>
          <w:p w14:paraId="570277FC" w14:textId="77777777" w:rsidR="006F3F5E" w:rsidRPr="006F3F5E" w:rsidRDefault="006F3F5E" w:rsidP="006F3F5E">
            <w:pPr>
              <w:spacing w:after="20"/>
            </w:pPr>
            <w:r w:rsidRPr="006F3F5E">
              <w:t>$7,413</w:t>
            </w:r>
          </w:p>
        </w:tc>
      </w:tr>
      <w:tr w:rsidR="006F3F5E" w:rsidRPr="006F3F5E" w14:paraId="4C9FD29D" w14:textId="77777777" w:rsidTr="00DD2669">
        <w:trPr>
          <w:trHeight w:val="300"/>
        </w:trPr>
        <w:tc>
          <w:tcPr>
            <w:tcW w:w="1828" w:type="dxa"/>
            <w:noWrap/>
            <w:tcMar>
              <w:top w:w="0" w:type="dxa"/>
              <w:left w:w="108" w:type="dxa"/>
              <w:bottom w:w="0" w:type="dxa"/>
              <w:right w:w="108" w:type="dxa"/>
            </w:tcMar>
            <w:vAlign w:val="bottom"/>
          </w:tcPr>
          <w:p w14:paraId="6B6641D5" w14:textId="77777777" w:rsidR="006F3F5E" w:rsidRPr="006F3F5E" w:rsidRDefault="006F3F5E" w:rsidP="006F3F5E">
            <w:pPr>
              <w:spacing w:after="20"/>
              <w:rPr>
                <w:b/>
              </w:rPr>
            </w:pPr>
            <w:r w:rsidRPr="006F3F5E">
              <w:rPr>
                <w:b/>
              </w:rPr>
              <w:t>Contractor Cost</w:t>
            </w:r>
          </w:p>
        </w:tc>
        <w:tc>
          <w:tcPr>
            <w:tcW w:w="1710" w:type="dxa"/>
            <w:shd w:val="clear" w:color="auto" w:fill="auto"/>
          </w:tcPr>
          <w:p w14:paraId="4CF88176" w14:textId="77777777" w:rsidR="006F3F5E" w:rsidRPr="006F3F5E" w:rsidRDefault="006F3F5E" w:rsidP="006F3F5E">
            <w:pPr>
              <w:spacing w:after="20"/>
              <w:rPr>
                <w:b/>
              </w:rPr>
            </w:pPr>
          </w:p>
        </w:tc>
        <w:tc>
          <w:tcPr>
            <w:tcW w:w="1260" w:type="dxa"/>
            <w:shd w:val="clear" w:color="auto" w:fill="auto"/>
            <w:noWrap/>
            <w:tcMar>
              <w:top w:w="0" w:type="dxa"/>
              <w:left w:w="108" w:type="dxa"/>
              <w:bottom w:w="0" w:type="dxa"/>
              <w:right w:w="108" w:type="dxa"/>
            </w:tcMar>
            <w:vAlign w:val="center"/>
          </w:tcPr>
          <w:p w14:paraId="748B7A15" w14:textId="77777777" w:rsidR="006F3F5E" w:rsidRPr="006F3F5E" w:rsidRDefault="006F3F5E" w:rsidP="006F3F5E">
            <w:pPr>
              <w:spacing w:after="20"/>
            </w:pPr>
          </w:p>
        </w:tc>
        <w:tc>
          <w:tcPr>
            <w:tcW w:w="1363" w:type="dxa"/>
            <w:tcBorders>
              <w:bottom w:val="single" w:sz="8" w:space="0" w:color="auto"/>
            </w:tcBorders>
            <w:shd w:val="clear" w:color="auto" w:fill="auto"/>
            <w:noWrap/>
            <w:tcMar>
              <w:top w:w="0" w:type="dxa"/>
              <w:left w:w="108" w:type="dxa"/>
              <w:bottom w:w="0" w:type="dxa"/>
              <w:right w:w="108" w:type="dxa"/>
            </w:tcMar>
            <w:vAlign w:val="center"/>
          </w:tcPr>
          <w:p w14:paraId="25D77F40" w14:textId="77777777" w:rsidR="006F3F5E" w:rsidRPr="006F3F5E" w:rsidRDefault="006F3F5E" w:rsidP="006F3F5E">
            <w:pPr>
              <w:spacing w:after="20"/>
            </w:pPr>
          </w:p>
        </w:tc>
        <w:tc>
          <w:tcPr>
            <w:tcW w:w="1363" w:type="dxa"/>
            <w:tcBorders>
              <w:bottom w:val="single" w:sz="8" w:space="0" w:color="auto"/>
            </w:tcBorders>
            <w:shd w:val="clear" w:color="auto" w:fill="auto"/>
            <w:vAlign w:val="center"/>
          </w:tcPr>
          <w:p w14:paraId="57398B65" w14:textId="77777777" w:rsidR="006F3F5E" w:rsidRPr="006F3F5E" w:rsidRDefault="006F3F5E" w:rsidP="006F3F5E">
            <w:pPr>
              <w:spacing w:after="20"/>
            </w:pPr>
          </w:p>
        </w:tc>
        <w:tc>
          <w:tcPr>
            <w:tcW w:w="1656" w:type="dxa"/>
            <w:vAlign w:val="center"/>
          </w:tcPr>
          <w:p w14:paraId="55A59707" w14:textId="77777777" w:rsidR="006F3F5E" w:rsidRPr="006F3F5E" w:rsidRDefault="006F3F5E" w:rsidP="006F3F5E">
            <w:pPr>
              <w:spacing w:after="20"/>
            </w:pPr>
          </w:p>
        </w:tc>
      </w:tr>
      <w:tr w:rsidR="006F3F5E" w:rsidRPr="006F3F5E" w14:paraId="42CDA4D5" w14:textId="77777777" w:rsidTr="00DD2669">
        <w:trPr>
          <w:trHeight w:val="300"/>
        </w:trPr>
        <w:tc>
          <w:tcPr>
            <w:tcW w:w="1828" w:type="dxa"/>
            <w:noWrap/>
            <w:tcMar>
              <w:top w:w="0" w:type="dxa"/>
              <w:left w:w="108" w:type="dxa"/>
              <w:bottom w:w="0" w:type="dxa"/>
              <w:right w:w="108" w:type="dxa"/>
            </w:tcMar>
            <w:vAlign w:val="bottom"/>
          </w:tcPr>
          <w:p w14:paraId="2A5FC088" w14:textId="77777777" w:rsidR="006F3F5E" w:rsidRPr="006F3F5E" w:rsidRDefault="006F3F5E" w:rsidP="006F3F5E">
            <w:pPr>
              <w:spacing w:after="20"/>
            </w:pPr>
            <w:r w:rsidRPr="006F3F5E">
              <w:t>Technical Support</w:t>
            </w:r>
          </w:p>
        </w:tc>
        <w:tc>
          <w:tcPr>
            <w:tcW w:w="1710" w:type="dxa"/>
            <w:shd w:val="clear" w:color="auto" w:fill="BFBFBF"/>
          </w:tcPr>
          <w:p w14:paraId="3669DFAC" w14:textId="77777777" w:rsidR="006F3F5E" w:rsidRPr="006F3F5E" w:rsidRDefault="006F3F5E" w:rsidP="006F3F5E">
            <w:pPr>
              <w:spacing w:after="20"/>
            </w:pPr>
          </w:p>
        </w:tc>
        <w:tc>
          <w:tcPr>
            <w:tcW w:w="1260" w:type="dxa"/>
            <w:shd w:val="clear" w:color="auto" w:fill="auto"/>
            <w:noWrap/>
            <w:tcMar>
              <w:top w:w="0" w:type="dxa"/>
              <w:left w:w="108" w:type="dxa"/>
              <w:bottom w:w="0" w:type="dxa"/>
              <w:right w:w="108" w:type="dxa"/>
            </w:tcMar>
            <w:vAlign w:val="center"/>
          </w:tcPr>
          <w:p w14:paraId="16B6A127" w14:textId="77777777" w:rsidR="006F3F5E" w:rsidRPr="006F3F5E" w:rsidRDefault="006F3F5E" w:rsidP="006F3F5E">
            <w:pPr>
              <w:spacing w:after="20"/>
            </w:pPr>
            <w:r w:rsidRPr="006F3F5E">
              <w:t>$130,970</w:t>
            </w:r>
          </w:p>
        </w:tc>
        <w:tc>
          <w:tcPr>
            <w:tcW w:w="1363" w:type="dxa"/>
            <w:shd w:val="clear" w:color="auto" w:fill="auto"/>
            <w:noWrap/>
            <w:tcMar>
              <w:top w:w="0" w:type="dxa"/>
              <w:left w:w="108" w:type="dxa"/>
              <w:bottom w:w="0" w:type="dxa"/>
              <w:right w:w="108" w:type="dxa"/>
            </w:tcMar>
            <w:vAlign w:val="center"/>
          </w:tcPr>
          <w:p w14:paraId="77511C92" w14:textId="77777777" w:rsidR="006F3F5E" w:rsidRPr="006F3F5E" w:rsidRDefault="006F3F5E" w:rsidP="006F3F5E">
            <w:pPr>
              <w:spacing w:after="20"/>
            </w:pPr>
            <w:r w:rsidRPr="006F3F5E">
              <w:t>50</w:t>
            </w:r>
          </w:p>
        </w:tc>
        <w:tc>
          <w:tcPr>
            <w:tcW w:w="1363" w:type="dxa"/>
            <w:shd w:val="clear" w:color="auto" w:fill="auto"/>
            <w:vAlign w:val="center"/>
          </w:tcPr>
          <w:p w14:paraId="7DC21136" w14:textId="77777777" w:rsidR="006F3F5E" w:rsidRPr="006F3F5E" w:rsidRDefault="006F3F5E" w:rsidP="006F3F5E">
            <w:pPr>
              <w:spacing w:after="20"/>
            </w:pPr>
            <w:r w:rsidRPr="006F3F5E">
              <w:t>$39,291</w:t>
            </w:r>
          </w:p>
        </w:tc>
        <w:tc>
          <w:tcPr>
            <w:tcW w:w="1656" w:type="dxa"/>
            <w:vAlign w:val="center"/>
          </w:tcPr>
          <w:p w14:paraId="191B2E58" w14:textId="77777777" w:rsidR="006F3F5E" w:rsidRPr="006F3F5E" w:rsidRDefault="006F3F5E" w:rsidP="006F3F5E">
            <w:pPr>
              <w:spacing w:after="20"/>
            </w:pPr>
            <w:r w:rsidRPr="006F3F5E">
              <w:t>$85,131</w:t>
            </w:r>
          </w:p>
        </w:tc>
      </w:tr>
      <w:tr w:rsidR="006F3F5E" w:rsidRPr="006F3F5E" w14:paraId="53769E25" w14:textId="77777777" w:rsidTr="00DD2669">
        <w:trPr>
          <w:trHeight w:val="300"/>
        </w:trPr>
        <w:tc>
          <w:tcPr>
            <w:tcW w:w="1828" w:type="dxa"/>
            <w:noWrap/>
            <w:tcMar>
              <w:top w:w="0" w:type="dxa"/>
              <w:left w:w="108" w:type="dxa"/>
              <w:bottom w:w="0" w:type="dxa"/>
              <w:right w:w="108" w:type="dxa"/>
            </w:tcMar>
            <w:vAlign w:val="bottom"/>
            <w:hideMark/>
          </w:tcPr>
          <w:p w14:paraId="6639686D" w14:textId="77777777" w:rsidR="006F3F5E" w:rsidRPr="006F3F5E" w:rsidRDefault="006F3F5E" w:rsidP="006F3F5E">
            <w:pPr>
              <w:spacing w:after="20"/>
            </w:pPr>
            <w:r w:rsidRPr="006F3F5E">
              <w:t>Total Annualized Cost</w:t>
            </w:r>
          </w:p>
        </w:tc>
        <w:tc>
          <w:tcPr>
            <w:tcW w:w="1710" w:type="dxa"/>
            <w:shd w:val="clear" w:color="auto" w:fill="BFBFBF"/>
          </w:tcPr>
          <w:p w14:paraId="436810C3" w14:textId="77777777" w:rsidR="006F3F5E" w:rsidRPr="006F3F5E" w:rsidRDefault="006F3F5E" w:rsidP="006F3F5E">
            <w:pPr>
              <w:spacing w:after="20"/>
            </w:pPr>
          </w:p>
        </w:tc>
        <w:tc>
          <w:tcPr>
            <w:tcW w:w="1260" w:type="dxa"/>
            <w:shd w:val="clear" w:color="auto" w:fill="BFBFBF"/>
            <w:noWrap/>
            <w:tcMar>
              <w:top w:w="0" w:type="dxa"/>
              <w:left w:w="108" w:type="dxa"/>
              <w:bottom w:w="0" w:type="dxa"/>
              <w:right w:w="108" w:type="dxa"/>
            </w:tcMar>
            <w:vAlign w:val="bottom"/>
            <w:hideMark/>
          </w:tcPr>
          <w:p w14:paraId="0A57E9A7" w14:textId="77777777" w:rsidR="006F3F5E" w:rsidRPr="006F3F5E" w:rsidRDefault="006F3F5E" w:rsidP="006F3F5E">
            <w:pPr>
              <w:spacing w:after="20"/>
            </w:pPr>
          </w:p>
        </w:tc>
        <w:tc>
          <w:tcPr>
            <w:tcW w:w="1363" w:type="dxa"/>
            <w:shd w:val="clear" w:color="auto" w:fill="BFBFBF"/>
            <w:noWrap/>
            <w:tcMar>
              <w:top w:w="0" w:type="dxa"/>
              <w:left w:w="108" w:type="dxa"/>
              <w:bottom w:w="0" w:type="dxa"/>
              <w:right w:w="108" w:type="dxa"/>
            </w:tcMar>
            <w:vAlign w:val="bottom"/>
            <w:hideMark/>
          </w:tcPr>
          <w:p w14:paraId="69AB52DA" w14:textId="77777777" w:rsidR="006F3F5E" w:rsidRPr="006F3F5E" w:rsidRDefault="006F3F5E" w:rsidP="006F3F5E">
            <w:pPr>
              <w:spacing w:after="20"/>
            </w:pPr>
          </w:p>
        </w:tc>
        <w:tc>
          <w:tcPr>
            <w:tcW w:w="1363" w:type="dxa"/>
            <w:shd w:val="clear" w:color="auto" w:fill="BFBFBF"/>
          </w:tcPr>
          <w:p w14:paraId="6C967552" w14:textId="77777777" w:rsidR="006F3F5E" w:rsidRPr="006F3F5E" w:rsidRDefault="006F3F5E" w:rsidP="006F3F5E">
            <w:pPr>
              <w:spacing w:after="20"/>
            </w:pPr>
          </w:p>
        </w:tc>
        <w:tc>
          <w:tcPr>
            <w:tcW w:w="1656" w:type="dxa"/>
            <w:vAlign w:val="center"/>
          </w:tcPr>
          <w:p w14:paraId="631FBBDB" w14:textId="77777777" w:rsidR="006F3F5E" w:rsidRPr="006F3F5E" w:rsidRDefault="006F3F5E" w:rsidP="006F3F5E">
            <w:pPr>
              <w:spacing w:after="20"/>
            </w:pPr>
            <w:r w:rsidRPr="006F3F5E">
              <w:t>$104,609</w:t>
            </w:r>
          </w:p>
        </w:tc>
      </w:tr>
    </w:tbl>
    <w:p w14:paraId="089DC644" w14:textId="77777777" w:rsidR="006F3F5E" w:rsidRPr="006F3F5E" w:rsidRDefault="006F3F5E" w:rsidP="006F3F5E">
      <w:pPr>
        <w:spacing w:after="20"/>
      </w:pPr>
    </w:p>
    <w:p w14:paraId="27CBC37F" w14:textId="77777777" w:rsidR="006F3F5E" w:rsidRPr="006F3F5E" w:rsidRDefault="006F3F5E" w:rsidP="006F3F5E">
      <w:pPr>
        <w:spacing w:after="20"/>
      </w:pPr>
      <w:r w:rsidRPr="006F3F5E">
        <w:t xml:space="preserve">Salary/Wage Source: Office of Personnel Management </w:t>
      </w:r>
      <w:hyperlink r:id="rId13" w:history="1">
        <w:r w:rsidRPr="006F3F5E">
          <w:rPr>
            <w:rStyle w:val="Hyperlink"/>
          </w:rPr>
          <w:t>2018 General Schedule Locality Salary Table</w:t>
        </w:r>
      </w:hyperlink>
      <w:r w:rsidRPr="006F3F5E">
        <w:t xml:space="preserve"> for various GS-levels; Bureau of Labor Statistics/Occupational Employment Statistics </w:t>
      </w:r>
      <w:hyperlink r:id="rId14" w:history="1">
        <w:r w:rsidRPr="006F3F5E">
          <w:rPr>
            <w:rStyle w:val="Hyperlink"/>
          </w:rPr>
          <w:t>May 2017 “Computer and Information Research Scientists”</w:t>
        </w:r>
      </w:hyperlink>
      <w:r w:rsidRPr="006F3F5E">
        <w:t>, occupational code 15-1111, Washington-Arlington-Alexandria, DC-VA-MD-WV Metropolitan Division.</w:t>
      </w:r>
    </w:p>
    <w:p w14:paraId="07CA0306" w14:textId="77777777" w:rsidR="002C4725" w:rsidRDefault="002C4725" w:rsidP="008716F6">
      <w:pPr>
        <w:spacing w:after="20"/>
      </w:pPr>
    </w:p>
    <w:p w14:paraId="701B9E8A" w14:textId="77777777" w:rsidR="00713CF8" w:rsidRPr="00113647" w:rsidRDefault="00713CF8" w:rsidP="008716F6">
      <w:pPr>
        <w:spacing w:after="20"/>
        <w:rPr>
          <w:b/>
        </w:rPr>
      </w:pPr>
      <w:r w:rsidRPr="00113647">
        <w:rPr>
          <w:b/>
        </w:rPr>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p w14:paraId="44A38C5B" w14:textId="77777777" w:rsidR="006F3F5E" w:rsidRPr="006F3F5E" w:rsidRDefault="006F3F5E" w:rsidP="006F3F5E">
      <w:pPr>
        <w:spacing w:after="20"/>
      </w:pPr>
    </w:p>
    <w:tbl>
      <w:tblPr>
        <w:tblW w:w="5000" w:type="pct"/>
        <w:jc w:val="center"/>
        <w:tblCellMar>
          <w:left w:w="120" w:type="dxa"/>
          <w:right w:w="120" w:type="dxa"/>
        </w:tblCellMar>
        <w:tblLook w:val="0000" w:firstRow="0" w:lastRow="0" w:firstColumn="0" w:lastColumn="0" w:noHBand="0" w:noVBand="0"/>
      </w:tblPr>
      <w:tblGrid>
        <w:gridCol w:w="4115"/>
        <w:gridCol w:w="5485"/>
      </w:tblGrid>
      <w:tr w:rsidR="006F3F5E" w:rsidRPr="006F3F5E" w14:paraId="788E0623" w14:textId="77777777" w:rsidTr="00DD2669">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514C560D" w14:textId="77777777" w:rsidR="006F3F5E" w:rsidRPr="006F3F5E" w:rsidRDefault="006F3F5E" w:rsidP="006F3F5E">
            <w:pPr>
              <w:spacing w:after="20"/>
            </w:pPr>
            <w:r w:rsidRPr="006F3F5E">
              <w:t>A.16 - 1   Project Time Schedule</w:t>
            </w:r>
          </w:p>
        </w:tc>
      </w:tr>
      <w:tr w:rsidR="006F3F5E" w:rsidRPr="006F3F5E" w14:paraId="5B505465" w14:textId="77777777" w:rsidTr="00DD2669">
        <w:trPr>
          <w:cantSplit/>
          <w:trHeight w:val="403"/>
          <w:jc w:val="center"/>
        </w:trPr>
        <w:tc>
          <w:tcPr>
            <w:tcW w:w="2143" w:type="pct"/>
            <w:tcBorders>
              <w:top w:val="single" w:sz="6" w:space="0" w:color="auto"/>
              <w:left w:val="single" w:sz="4" w:space="0" w:color="auto"/>
            </w:tcBorders>
            <w:shd w:val="pct5" w:color="auto" w:fill="FFFFFF"/>
          </w:tcPr>
          <w:p w14:paraId="7B8E6F9C" w14:textId="77777777" w:rsidR="006F3F5E" w:rsidRPr="006F3F5E" w:rsidRDefault="006F3F5E" w:rsidP="006F3F5E">
            <w:pPr>
              <w:spacing w:after="20"/>
            </w:pPr>
            <w:r w:rsidRPr="006F3F5E">
              <w:tab/>
              <w:t>Activity</w:t>
            </w:r>
          </w:p>
        </w:tc>
        <w:tc>
          <w:tcPr>
            <w:tcW w:w="2857" w:type="pct"/>
            <w:tcBorders>
              <w:top w:val="single" w:sz="6" w:space="0" w:color="auto"/>
              <w:left w:val="single" w:sz="6" w:space="0" w:color="auto"/>
              <w:right w:val="single" w:sz="4" w:space="0" w:color="auto"/>
            </w:tcBorders>
            <w:shd w:val="pct5" w:color="auto" w:fill="FFFFFF"/>
          </w:tcPr>
          <w:p w14:paraId="225CC077" w14:textId="77777777" w:rsidR="006F3F5E" w:rsidRPr="006F3F5E" w:rsidRDefault="006F3F5E" w:rsidP="006F3F5E">
            <w:pPr>
              <w:spacing w:after="20"/>
            </w:pPr>
            <w:r w:rsidRPr="006F3F5E">
              <w:tab/>
              <w:t>Time Schedule</w:t>
            </w:r>
          </w:p>
        </w:tc>
      </w:tr>
      <w:tr w:rsidR="006F3F5E" w:rsidRPr="006F3F5E" w14:paraId="433BEEC4" w14:textId="77777777" w:rsidTr="00DD2669">
        <w:trPr>
          <w:cantSplit/>
          <w:trHeight w:val="403"/>
          <w:jc w:val="center"/>
        </w:trPr>
        <w:tc>
          <w:tcPr>
            <w:tcW w:w="2143" w:type="pct"/>
            <w:tcBorders>
              <w:top w:val="single" w:sz="6" w:space="0" w:color="auto"/>
              <w:left w:val="single" w:sz="4" w:space="0" w:color="auto"/>
              <w:bottom w:val="single" w:sz="6" w:space="0" w:color="auto"/>
            </w:tcBorders>
            <w:shd w:val="clear" w:color="auto" w:fill="FFFFFF"/>
          </w:tcPr>
          <w:p w14:paraId="33C28541" w14:textId="77777777" w:rsidR="006F3F5E" w:rsidRPr="006F3F5E" w:rsidRDefault="006F3F5E" w:rsidP="006F3F5E">
            <w:pPr>
              <w:spacing w:after="20"/>
            </w:pPr>
            <w:r w:rsidRPr="006F3F5E">
              <w:t>Data archive open to public</w:t>
            </w:r>
          </w:p>
        </w:tc>
        <w:tc>
          <w:tcPr>
            <w:tcW w:w="2857" w:type="pct"/>
            <w:tcBorders>
              <w:top w:val="single" w:sz="6" w:space="0" w:color="auto"/>
              <w:left w:val="single" w:sz="6" w:space="0" w:color="auto"/>
              <w:bottom w:val="single" w:sz="6" w:space="0" w:color="auto"/>
              <w:right w:val="single" w:sz="4" w:space="0" w:color="auto"/>
            </w:tcBorders>
            <w:shd w:val="clear" w:color="auto" w:fill="FFFFFF"/>
          </w:tcPr>
          <w:p w14:paraId="487ECAEE" w14:textId="77777777" w:rsidR="006F3F5E" w:rsidRPr="006F3F5E" w:rsidRDefault="006F3F5E" w:rsidP="006F3F5E">
            <w:pPr>
              <w:spacing w:after="20"/>
            </w:pPr>
            <w:r w:rsidRPr="006F3F5E">
              <w:t>On OMB approval</w:t>
            </w:r>
          </w:p>
        </w:tc>
      </w:tr>
      <w:tr w:rsidR="006F3F5E" w:rsidRPr="006F3F5E" w14:paraId="546B4A2A" w14:textId="77777777" w:rsidTr="00DD2669">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6D43BB07" w14:textId="77777777" w:rsidR="006F3F5E" w:rsidRPr="006F3F5E" w:rsidRDefault="006F3F5E" w:rsidP="006F3F5E">
            <w:pPr>
              <w:spacing w:after="20"/>
            </w:pPr>
            <w:r w:rsidRPr="006F3F5E">
              <w:t>Information collection from data users</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5A6AF5F9" w14:textId="77777777" w:rsidR="006F3F5E" w:rsidRPr="006F3F5E" w:rsidRDefault="006F3F5E" w:rsidP="006F3F5E">
            <w:pPr>
              <w:spacing w:after="20"/>
            </w:pPr>
            <w:r w:rsidRPr="006F3F5E">
              <w:t>Ongoing after data archive opens to public</w:t>
            </w:r>
          </w:p>
        </w:tc>
      </w:tr>
    </w:tbl>
    <w:p w14:paraId="33091F00" w14:textId="77777777" w:rsidR="006F3F5E" w:rsidRPr="006F3F5E" w:rsidRDefault="006F3F5E" w:rsidP="006F3F5E">
      <w:pPr>
        <w:spacing w:after="20"/>
      </w:pPr>
    </w:p>
    <w:p w14:paraId="7FF7127F" w14:textId="77777777" w:rsidR="006F3F5E" w:rsidRPr="006F3F5E" w:rsidRDefault="006F3F5E" w:rsidP="006F3F5E">
      <w:pPr>
        <w:spacing w:after="20"/>
      </w:pPr>
      <w:r w:rsidRPr="006F3F5E">
        <w:t>There are currently no plans to publish the data collected through requests for data access other than to post on the NCS Archive website the titles of approved research projects together with project investigators’ institutional affiliations.  The data otherwise are for internal monitoring purposes only, to assess the archive resource requirements and for quality improvement.</w:t>
      </w:r>
    </w:p>
    <w:p w14:paraId="1F57B918" w14:textId="77777777" w:rsidR="006F3F5E" w:rsidRDefault="006F3F5E" w:rsidP="008716F6">
      <w:pPr>
        <w:spacing w:after="20"/>
      </w:pPr>
    </w:p>
    <w:p w14:paraId="6E544D17" w14:textId="77777777" w:rsidR="00713CF8" w:rsidRPr="00113647" w:rsidRDefault="00713CF8" w:rsidP="008716F6">
      <w:pPr>
        <w:spacing w:after="20"/>
        <w:rPr>
          <w:b/>
        </w:rPr>
      </w:pPr>
      <w:r w:rsidRPr="00113647">
        <w:rPr>
          <w:b/>
        </w:rPr>
        <w:t>A.17 Reason(s) Display of OMB Expiration Date is Inappropriate</w:t>
      </w:r>
    </w:p>
    <w:p w14:paraId="4365D7CC" w14:textId="77777777" w:rsidR="00DB2E15" w:rsidRDefault="00DB2E15" w:rsidP="008716F6">
      <w:pPr>
        <w:spacing w:after="20"/>
      </w:pPr>
    </w:p>
    <w:p w14:paraId="331E5FB8" w14:textId="35147B56" w:rsidR="00713CF8" w:rsidRPr="00113647" w:rsidRDefault="00713CF8" w:rsidP="008716F6">
      <w:pPr>
        <w:spacing w:after="20"/>
      </w:pPr>
      <w:r w:rsidRPr="00113647">
        <w:t>We are not requesting an exemption to the display of the OMB Expiration date.</w:t>
      </w:r>
      <w:r w:rsidR="002C4725">
        <w:t xml:space="preserve"> </w:t>
      </w:r>
    </w:p>
    <w:p w14:paraId="2F4AF321" w14:textId="77777777" w:rsidR="00713CF8" w:rsidRPr="00113647" w:rsidRDefault="00713CF8" w:rsidP="008716F6">
      <w:pPr>
        <w:spacing w:after="20"/>
      </w:pPr>
    </w:p>
    <w:p w14:paraId="695E184B" w14:textId="77777777" w:rsidR="00713CF8" w:rsidRPr="00113647" w:rsidRDefault="00713CF8" w:rsidP="00713CF8">
      <w:pPr>
        <w:spacing w:after="20"/>
        <w:rPr>
          <w:b/>
        </w:rPr>
      </w:pPr>
      <w:r w:rsidRPr="00113647">
        <w:rPr>
          <w:b/>
        </w:rPr>
        <w:t>A.18 Exceptions to Certification for Paperwork Reduction Act Submissions</w:t>
      </w:r>
    </w:p>
    <w:p w14:paraId="4AB5F98C" w14:textId="77777777" w:rsidR="00DB2E15" w:rsidRDefault="00DB2E15" w:rsidP="00713CF8">
      <w:pPr>
        <w:spacing w:after="20"/>
      </w:pPr>
    </w:p>
    <w:p w14:paraId="0F6F72BA" w14:textId="6DCC5DFE" w:rsidR="00990709" w:rsidRDefault="0087173D" w:rsidP="00713CF8">
      <w:pPr>
        <w:spacing w:after="20"/>
        <w:rPr>
          <w:sz w:val="24"/>
          <w:szCs w:val="24"/>
        </w:rPr>
      </w:pPr>
      <w:r w:rsidRPr="00113647">
        <w:t>This survey will comply with the requirements in 5 CFR 1320.9.</w:t>
      </w:r>
      <w:r w:rsidR="00990709" w:rsidRPr="00990709">
        <w:rPr>
          <w:sz w:val="24"/>
          <w:szCs w:val="24"/>
        </w:rPr>
        <w:tab/>
      </w:r>
    </w:p>
    <w:p w14:paraId="3D49E0A4" w14:textId="77777777" w:rsidR="003237CA" w:rsidRDefault="003237CA" w:rsidP="00713CF8">
      <w:pPr>
        <w:spacing w:after="20"/>
        <w:rPr>
          <w:sz w:val="24"/>
          <w:szCs w:val="24"/>
        </w:rPr>
      </w:pPr>
    </w:p>
    <w:p w14:paraId="6C1A91E0" w14:textId="77777777" w:rsidR="002D5C92" w:rsidRDefault="002D5C92" w:rsidP="003237CA">
      <w:pPr>
        <w:spacing w:after="20"/>
        <w:rPr>
          <w:sz w:val="24"/>
          <w:szCs w:val="24"/>
        </w:rPr>
      </w:pPr>
    </w:p>
    <w:p w14:paraId="525B1C7C" w14:textId="62884ED9" w:rsidR="002D5C92" w:rsidRPr="00622737" w:rsidRDefault="002D5C92" w:rsidP="00622737">
      <w:pPr>
        <w:spacing w:after="20"/>
        <w:rPr>
          <w:b/>
          <w:sz w:val="24"/>
          <w:szCs w:val="24"/>
        </w:rPr>
      </w:pPr>
      <w:r>
        <w:rPr>
          <w:sz w:val="24"/>
          <w:szCs w:val="24"/>
        </w:rPr>
        <w:t xml:space="preserve">                                                        </w:t>
      </w:r>
      <w:r w:rsidRPr="00622737">
        <w:rPr>
          <w:b/>
          <w:sz w:val="24"/>
          <w:szCs w:val="24"/>
        </w:rPr>
        <w:t>Mini Supporting Statement B</w:t>
      </w:r>
    </w:p>
    <w:p w14:paraId="0C60A049" w14:textId="77777777" w:rsidR="002D5C92" w:rsidRDefault="002D5C92" w:rsidP="003237CA">
      <w:pPr>
        <w:spacing w:after="20"/>
        <w:rPr>
          <w:sz w:val="24"/>
          <w:szCs w:val="24"/>
        </w:rPr>
      </w:pPr>
    </w:p>
    <w:p w14:paraId="2C67614C" w14:textId="7E5F9126" w:rsidR="003237CA" w:rsidRPr="003237CA" w:rsidRDefault="003237CA" w:rsidP="003237CA">
      <w:pPr>
        <w:spacing w:after="20"/>
        <w:rPr>
          <w:sz w:val="24"/>
          <w:szCs w:val="24"/>
        </w:rPr>
      </w:pPr>
      <w:r w:rsidRPr="003237CA">
        <w:rPr>
          <w:sz w:val="24"/>
          <w:szCs w:val="24"/>
        </w:rPr>
        <w:t>This information does not involve statistical methods.</w:t>
      </w:r>
    </w:p>
    <w:sectPr w:rsidR="003237CA" w:rsidRPr="003237CA" w:rsidSect="0070725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3A879" w14:textId="77777777" w:rsidR="004F231B" w:rsidRDefault="004F231B" w:rsidP="005676C6">
      <w:pPr>
        <w:spacing w:after="0" w:line="240" w:lineRule="auto"/>
      </w:pPr>
      <w:r>
        <w:separator/>
      </w:r>
    </w:p>
  </w:endnote>
  <w:endnote w:type="continuationSeparator" w:id="0">
    <w:p w14:paraId="643E7790" w14:textId="77777777" w:rsidR="004F231B" w:rsidRDefault="004F231B"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A13D" w14:textId="77777777"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8FA8B" w14:textId="77777777" w:rsidR="004F231B" w:rsidRDefault="004F231B" w:rsidP="005676C6">
      <w:pPr>
        <w:spacing w:after="0" w:line="240" w:lineRule="auto"/>
      </w:pPr>
      <w:r>
        <w:separator/>
      </w:r>
    </w:p>
  </w:footnote>
  <w:footnote w:type="continuationSeparator" w:id="0">
    <w:p w14:paraId="294C795F" w14:textId="77777777" w:rsidR="004F231B" w:rsidRDefault="004F231B"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E502D"/>
    <w:multiLevelType w:val="hybridMultilevel"/>
    <w:tmpl w:val="2D56B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57A71"/>
    <w:rsid w:val="00057C98"/>
    <w:rsid w:val="00063927"/>
    <w:rsid w:val="00063DC1"/>
    <w:rsid w:val="000A796F"/>
    <w:rsid w:val="000B4C09"/>
    <w:rsid w:val="000D35DA"/>
    <w:rsid w:val="000F3B2E"/>
    <w:rsid w:val="00113647"/>
    <w:rsid w:val="00113D5F"/>
    <w:rsid w:val="001225CC"/>
    <w:rsid w:val="001435DE"/>
    <w:rsid w:val="0016069E"/>
    <w:rsid w:val="00185105"/>
    <w:rsid w:val="001C1DC2"/>
    <w:rsid w:val="001D2741"/>
    <w:rsid w:val="001E175C"/>
    <w:rsid w:val="001E3759"/>
    <w:rsid w:val="002065DB"/>
    <w:rsid w:val="0021543C"/>
    <w:rsid w:val="00236DA8"/>
    <w:rsid w:val="00265BBC"/>
    <w:rsid w:val="002727A9"/>
    <w:rsid w:val="00273125"/>
    <w:rsid w:val="00273E4C"/>
    <w:rsid w:val="0029112F"/>
    <w:rsid w:val="002B193F"/>
    <w:rsid w:val="002C1D97"/>
    <w:rsid w:val="002C4725"/>
    <w:rsid w:val="002D5C92"/>
    <w:rsid w:val="002D6D19"/>
    <w:rsid w:val="002F326E"/>
    <w:rsid w:val="002F3354"/>
    <w:rsid w:val="003237CA"/>
    <w:rsid w:val="00330E82"/>
    <w:rsid w:val="00382B75"/>
    <w:rsid w:val="00392780"/>
    <w:rsid w:val="00395820"/>
    <w:rsid w:val="003A14DC"/>
    <w:rsid w:val="003A5FF5"/>
    <w:rsid w:val="003D32E2"/>
    <w:rsid w:val="003D43B1"/>
    <w:rsid w:val="0040282E"/>
    <w:rsid w:val="00413459"/>
    <w:rsid w:val="004409C0"/>
    <w:rsid w:val="00446BA0"/>
    <w:rsid w:val="0046633D"/>
    <w:rsid w:val="00477A8E"/>
    <w:rsid w:val="004B3C21"/>
    <w:rsid w:val="004C49CC"/>
    <w:rsid w:val="004D2AD6"/>
    <w:rsid w:val="004F00DC"/>
    <w:rsid w:val="004F2062"/>
    <w:rsid w:val="004F231B"/>
    <w:rsid w:val="00506DA7"/>
    <w:rsid w:val="00534B5A"/>
    <w:rsid w:val="00551B2D"/>
    <w:rsid w:val="005676C6"/>
    <w:rsid w:val="00573BAB"/>
    <w:rsid w:val="005868BD"/>
    <w:rsid w:val="00586D7F"/>
    <w:rsid w:val="00595D1E"/>
    <w:rsid w:val="005B4271"/>
    <w:rsid w:val="005B5E5B"/>
    <w:rsid w:val="005E2D23"/>
    <w:rsid w:val="00622737"/>
    <w:rsid w:val="00626A3E"/>
    <w:rsid w:val="006529C2"/>
    <w:rsid w:val="006854FC"/>
    <w:rsid w:val="00687733"/>
    <w:rsid w:val="0069025C"/>
    <w:rsid w:val="00693A83"/>
    <w:rsid w:val="00695204"/>
    <w:rsid w:val="006B2ACE"/>
    <w:rsid w:val="006F3226"/>
    <w:rsid w:val="006F3F5E"/>
    <w:rsid w:val="0070725A"/>
    <w:rsid w:val="00713CF8"/>
    <w:rsid w:val="00727F47"/>
    <w:rsid w:val="00740F9D"/>
    <w:rsid w:val="00762CFB"/>
    <w:rsid w:val="0079784E"/>
    <w:rsid w:val="007B3C94"/>
    <w:rsid w:val="007B6FBB"/>
    <w:rsid w:val="007D19AD"/>
    <w:rsid w:val="007D66AD"/>
    <w:rsid w:val="007F23E8"/>
    <w:rsid w:val="007F5A32"/>
    <w:rsid w:val="00816C32"/>
    <w:rsid w:val="008238CC"/>
    <w:rsid w:val="008529CC"/>
    <w:rsid w:val="008716F6"/>
    <w:rsid w:val="0087173D"/>
    <w:rsid w:val="00877BED"/>
    <w:rsid w:val="00897D34"/>
    <w:rsid w:val="008D12B2"/>
    <w:rsid w:val="008D6113"/>
    <w:rsid w:val="00907E64"/>
    <w:rsid w:val="00942DB8"/>
    <w:rsid w:val="00944ABD"/>
    <w:rsid w:val="00953B2E"/>
    <w:rsid w:val="00974140"/>
    <w:rsid w:val="00990709"/>
    <w:rsid w:val="009C0491"/>
    <w:rsid w:val="009D3A6D"/>
    <w:rsid w:val="009D600F"/>
    <w:rsid w:val="009F3A60"/>
    <w:rsid w:val="009F4546"/>
    <w:rsid w:val="00A24DA1"/>
    <w:rsid w:val="00A61F11"/>
    <w:rsid w:val="00A622DA"/>
    <w:rsid w:val="00A74631"/>
    <w:rsid w:val="00AA355D"/>
    <w:rsid w:val="00AB60E0"/>
    <w:rsid w:val="00AB7AC9"/>
    <w:rsid w:val="00AC113B"/>
    <w:rsid w:val="00AC5FB0"/>
    <w:rsid w:val="00AD7BAB"/>
    <w:rsid w:val="00AF01AD"/>
    <w:rsid w:val="00B20D87"/>
    <w:rsid w:val="00B54C15"/>
    <w:rsid w:val="00B575BB"/>
    <w:rsid w:val="00B732AC"/>
    <w:rsid w:val="00B93F27"/>
    <w:rsid w:val="00B97CC8"/>
    <w:rsid w:val="00BB14C2"/>
    <w:rsid w:val="00BB41D9"/>
    <w:rsid w:val="00BB7115"/>
    <w:rsid w:val="00BE135A"/>
    <w:rsid w:val="00BE197D"/>
    <w:rsid w:val="00C0501F"/>
    <w:rsid w:val="00C134B7"/>
    <w:rsid w:val="00C465FF"/>
    <w:rsid w:val="00CB4C39"/>
    <w:rsid w:val="00CC32B1"/>
    <w:rsid w:val="00CF1726"/>
    <w:rsid w:val="00D01272"/>
    <w:rsid w:val="00D020A2"/>
    <w:rsid w:val="00D123D7"/>
    <w:rsid w:val="00D45A58"/>
    <w:rsid w:val="00D605CF"/>
    <w:rsid w:val="00D6099F"/>
    <w:rsid w:val="00D72137"/>
    <w:rsid w:val="00DB27F3"/>
    <w:rsid w:val="00DB2E15"/>
    <w:rsid w:val="00DF6124"/>
    <w:rsid w:val="00E13104"/>
    <w:rsid w:val="00E33992"/>
    <w:rsid w:val="00E46078"/>
    <w:rsid w:val="00E712FF"/>
    <w:rsid w:val="00EB437A"/>
    <w:rsid w:val="00EB77CC"/>
    <w:rsid w:val="00EC499E"/>
    <w:rsid w:val="00ED1560"/>
    <w:rsid w:val="00ED4628"/>
    <w:rsid w:val="00F4290D"/>
    <w:rsid w:val="00F45BD9"/>
    <w:rsid w:val="00F614A2"/>
    <w:rsid w:val="00F77D41"/>
    <w:rsid w:val="00F87122"/>
    <w:rsid w:val="00FB3A85"/>
    <w:rsid w:val="00FB481F"/>
    <w:rsid w:val="00FC3BAD"/>
    <w:rsid w:val="00FD28C8"/>
    <w:rsid w:val="00FF1D87"/>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customStyle="1" w:styleId="P1-StandPara">
    <w:name w:val="P1-Stand Para"/>
    <w:rsid w:val="001E175C"/>
    <w:pPr>
      <w:spacing w:after="0" w:line="480" w:lineRule="auto"/>
      <w:ind w:firstLine="720"/>
    </w:pPr>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5B42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customStyle="1" w:styleId="P1-StandPara">
    <w:name w:val="P1-Stand Para"/>
    <w:rsid w:val="001E175C"/>
    <w:pPr>
      <w:spacing w:after="0" w:line="480" w:lineRule="auto"/>
      <w:ind w:firstLine="720"/>
    </w:pPr>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5B4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DownloadNOA?requestID=268504" TargetMode="External"/><Relationship Id="rId13" Type="http://schemas.openxmlformats.org/officeDocument/2006/relationships/hyperlink" Target="https://www.opm.gov/policy-data-oversight/pay-leave/salaries-wages/salary-tables/pdf/2018/DCB.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oes_13644.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ma.od.nih.gov/forms/Privacy%20Documents/Documents/Privacy%20Act%20Systems%20of%20Records%20Notices%20(SOR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ma.od.nih.gov/forms/Privacy%20Documents/Documents/Privacy%20Act%20Systems%20of%20Records%20Notices%20(SORNs).pdf" TargetMode="External"/><Relationship Id="rId4" Type="http://schemas.openxmlformats.org/officeDocument/2006/relationships/settings" Target="settings.xml"/><Relationship Id="rId9" Type="http://schemas.openxmlformats.org/officeDocument/2006/relationships/hyperlink" Target="mailto:moyej@mail.nih.gov" TargetMode="External"/><Relationship Id="rId14" Type="http://schemas.openxmlformats.org/officeDocument/2006/relationships/hyperlink" Target="https://www.bls.gov/oes/current/oes15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Ward</dc:creator>
  <cp:lastModifiedBy>SYSTEM</cp:lastModifiedBy>
  <cp:revision>2</cp:revision>
  <cp:lastPrinted>2010-02-17T12:08:00Z</cp:lastPrinted>
  <dcterms:created xsi:type="dcterms:W3CDTF">2019-02-28T20:42:00Z</dcterms:created>
  <dcterms:modified xsi:type="dcterms:W3CDTF">2019-02-28T20:42:00Z</dcterms:modified>
</cp:coreProperties>
</file>