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9A694" w14:textId="77777777" w:rsidR="005175A1" w:rsidRDefault="005175A1" w:rsidP="005175A1">
      <w:pPr>
        <w:pStyle w:val="ReportCover-Title"/>
        <w:jc w:val="center"/>
        <w:rPr>
          <w:rFonts w:ascii="Calibri Light" w:eastAsia="Arial Unicode MS" w:hAnsi="Calibri Light" w:cs="Calibri Light"/>
          <w:b w:val="0"/>
          <w:noProof/>
          <w:color w:val="E44044"/>
        </w:rPr>
      </w:pPr>
      <w:bookmarkStart w:id="0" w:name="_GoBack"/>
      <w:bookmarkEnd w:id="0"/>
    </w:p>
    <w:p w14:paraId="7758590C" w14:textId="77777777" w:rsidR="005175A1" w:rsidRDefault="005175A1" w:rsidP="005175A1">
      <w:pPr>
        <w:pStyle w:val="ReportCover-Title"/>
        <w:jc w:val="center"/>
        <w:rPr>
          <w:rFonts w:ascii="Calibri Light" w:eastAsia="Arial Unicode MS" w:hAnsi="Calibri Light" w:cs="Calibri Light"/>
          <w:b w:val="0"/>
          <w:noProof/>
          <w:color w:val="E44044"/>
        </w:rPr>
      </w:pPr>
    </w:p>
    <w:p w14:paraId="135D2709" w14:textId="77777777" w:rsidR="005175A1" w:rsidRDefault="005175A1" w:rsidP="005175A1">
      <w:pPr>
        <w:pStyle w:val="ReportCover-Title"/>
        <w:jc w:val="center"/>
        <w:rPr>
          <w:rFonts w:ascii="Calibri Light" w:eastAsia="Arial Unicode MS" w:hAnsi="Calibri Light" w:cs="Calibri Light"/>
          <w:b w:val="0"/>
          <w:noProof/>
          <w:color w:val="E44044"/>
        </w:rPr>
      </w:pPr>
    </w:p>
    <w:p w14:paraId="77AF398A" w14:textId="77777777" w:rsidR="005175A1" w:rsidRPr="002A67D2" w:rsidRDefault="005175A1" w:rsidP="005175A1">
      <w:pPr>
        <w:pStyle w:val="ReportCover-Title"/>
        <w:jc w:val="center"/>
        <w:rPr>
          <w:rFonts w:ascii="Calibri Light" w:eastAsia="Arial Unicode MS" w:hAnsi="Calibri Light" w:cs="Calibri Light"/>
          <w:b w:val="0"/>
          <w:noProof/>
          <w:color w:val="E44044"/>
        </w:rPr>
      </w:pPr>
      <w:r w:rsidRPr="002A67D2">
        <w:rPr>
          <w:rFonts w:ascii="Calibri Light" w:eastAsia="Arial Unicode MS" w:hAnsi="Calibri Light" w:cs="Calibri Light"/>
          <w:b w:val="0"/>
          <w:noProof/>
          <w:color w:val="E44044"/>
        </w:rPr>
        <w:t>Descriptive Study of the Unaccompanied Refugee Minors Program</w:t>
      </w:r>
    </w:p>
    <w:p w14:paraId="183F68F5" w14:textId="77777777" w:rsidR="005175A1" w:rsidRPr="002A67D2" w:rsidRDefault="005175A1" w:rsidP="005175A1">
      <w:pPr>
        <w:pStyle w:val="ReportCover-Title"/>
        <w:jc w:val="center"/>
        <w:rPr>
          <w:rFonts w:ascii="Calibri Light" w:eastAsia="Arial Unicode MS" w:hAnsi="Calibri Light" w:cs="Calibri Light"/>
          <w:b w:val="0"/>
          <w:noProof/>
          <w:color w:val="E44044"/>
        </w:rPr>
      </w:pPr>
    </w:p>
    <w:p w14:paraId="53AA425D" w14:textId="77777777" w:rsidR="005175A1" w:rsidRPr="002A67D2" w:rsidRDefault="005175A1" w:rsidP="005175A1">
      <w:pPr>
        <w:pStyle w:val="ReportCover-Title"/>
        <w:jc w:val="center"/>
        <w:rPr>
          <w:rFonts w:ascii="Calibri Light" w:eastAsia="Arial Unicode MS" w:hAnsi="Calibri Light" w:cs="Calibri Light"/>
          <w:b w:val="0"/>
          <w:noProof/>
          <w:color w:val="E44044"/>
        </w:rPr>
      </w:pPr>
    </w:p>
    <w:p w14:paraId="45C0CEF0" w14:textId="77777777" w:rsidR="005175A1" w:rsidRPr="002A67D2" w:rsidRDefault="005175A1" w:rsidP="005175A1">
      <w:pPr>
        <w:pStyle w:val="ReportCover-Title"/>
        <w:jc w:val="center"/>
        <w:rPr>
          <w:rFonts w:ascii="Calibri Light" w:eastAsia="Arial Unicode MS" w:hAnsi="Calibri Light" w:cs="Calibri Light"/>
          <w:b w:val="0"/>
          <w:noProof/>
          <w:color w:val="E44044"/>
          <w:sz w:val="32"/>
        </w:rPr>
      </w:pPr>
      <w:r w:rsidRPr="002A67D2">
        <w:rPr>
          <w:rFonts w:ascii="Calibri Light" w:eastAsia="Arial Unicode MS" w:hAnsi="Calibri Light" w:cs="Calibri Light"/>
          <w:b w:val="0"/>
          <w:noProof/>
          <w:color w:val="E44044"/>
          <w:sz w:val="32"/>
        </w:rPr>
        <w:t>OMB Information Collection Request</w:t>
      </w:r>
    </w:p>
    <w:p w14:paraId="10CFAF46" w14:textId="77777777" w:rsidR="005175A1" w:rsidRPr="002A67D2" w:rsidRDefault="005175A1" w:rsidP="005175A1">
      <w:pPr>
        <w:pStyle w:val="ReportCover-Title"/>
        <w:jc w:val="center"/>
        <w:rPr>
          <w:rFonts w:ascii="Calibri Light" w:eastAsia="Arial Unicode MS" w:hAnsi="Calibri Light" w:cs="Calibri Light"/>
          <w:b w:val="0"/>
          <w:noProof/>
          <w:color w:val="E44044"/>
          <w:sz w:val="32"/>
        </w:rPr>
      </w:pPr>
      <w:r w:rsidRPr="002A67D2">
        <w:rPr>
          <w:rFonts w:ascii="Calibri Light" w:eastAsia="Arial Unicode MS" w:hAnsi="Calibri Light" w:cs="Calibri Light"/>
          <w:b w:val="0"/>
          <w:noProof/>
          <w:color w:val="E44044"/>
          <w:sz w:val="32"/>
        </w:rPr>
        <w:t>New Collection</w:t>
      </w:r>
    </w:p>
    <w:p w14:paraId="0A83BAFE" w14:textId="77777777" w:rsidR="005175A1" w:rsidRPr="002A67D2" w:rsidRDefault="005175A1" w:rsidP="005175A1">
      <w:pPr>
        <w:pStyle w:val="ReportCover-Title"/>
        <w:jc w:val="center"/>
        <w:rPr>
          <w:rFonts w:ascii="Calibri Light" w:eastAsia="Arial Unicode MS" w:hAnsi="Calibri Light" w:cs="Calibri Light"/>
          <w:b w:val="0"/>
          <w:noProof/>
          <w:color w:val="E44044"/>
        </w:rPr>
      </w:pPr>
    </w:p>
    <w:p w14:paraId="7AA95C57" w14:textId="77777777" w:rsidR="005175A1" w:rsidRPr="002A67D2" w:rsidRDefault="005175A1" w:rsidP="005175A1">
      <w:pPr>
        <w:pStyle w:val="ReportCover-Title"/>
        <w:jc w:val="center"/>
        <w:rPr>
          <w:rFonts w:ascii="Calibri Light" w:eastAsia="Arial Unicode MS" w:hAnsi="Calibri Light" w:cs="Calibri Light"/>
          <w:b w:val="0"/>
          <w:noProof/>
          <w:color w:val="E44044"/>
        </w:rPr>
      </w:pPr>
    </w:p>
    <w:p w14:paraId="4E486D0A" w14:textId="77777777" w:rsidR="005175A1" w:rsidRPr="002A67D2" w:rsidRDefault="005175A1" w:rsidP="005175A1">
      <w:pPr>
        <w:pStyle w:val="ReportCover-Title"/>
        <w:jc w:val="center"/>
        <w:rPr>
          <w:rFonts w:ascii="Calibri Light" w:eastAsia="Arial Unicode MS" w:hAnsi="Calibri Light" w:cs="Calibri Light"/>
          <w:b w:val="0"/>
          <w:noProof/>
          <w:color w:val="E44044"/>
        </w:rPr>
      </w:pPr>
      <w:r w:rsidRPr="002A67D2">
        <w:rPr>
          <w:rFonts w:ascii="Calibri Light" w:eastAsia="Arial Unicode MS" w:hAnsi="Calibri Light" w:cs="Calibri Light"/>
          <w:b w:val="0"/>
          <w:noProof/>
          <w:color w:val="E44044"/>
        </w:rPr>
        <w:t>Supporting Statement</w:t>
      </w:r>
    </w:p>
    <w:p w14:paraId="4B8C0727" w14:textId="77777777" w:rsidR="005175A1" w:rsidRDefault="005175A1" w:rsidP="005175A1">
      <w:pPr>
        <w:pStyle w:val="ReportCover-Title"/>
        <w:jc w:val="center"/>
        <w:rPr>
          <w:rFonts w:ascii="Calibri Light" w:eastAsia="Arial Unicode MS" w:hAnsi="Calibri Light" w:cs="Calibri Light"/>
          <w:b w:val="0"/>
          <w:noProof/>
          <w:color w:val="E44044"/>
        </w:rPr>
      </w:pPr>
    </w:p>
    <w:p w14:paraId="55FB39EF" w14:textId="77777777" w:rsidR="005175A1" w:rsidRPr="002A67D2" w:rsidRDefault="005175A1" w:rsidP="005175A1">
      <w:pPr>
        <w:pStyle w:val="ReportCover-Title"/>
        <w:jc w:val="center"/>
        <w:rPr>
          <w:rFonts w:ascii="Arial" w:hAnsi="Arial" w:cs="Arial"/>
          <w:color w:val="auto"/>
          <w:sz w:val="48"/>
          <w:szCs w:val="48"/>
        </w:rPr>
      </w:pPr>
      <w:r w:rsidRPr="002A67D2">
        <w:rPr>
          <w:rFonts w:ascii="Calibri Light" w:eastAsia="Arial Unicode MS" w:hAnsi="Calibri Light" w:cs="Calibri Light"/>
          <w:b w:val="0"/>
          <w:noProof/>
          <w:color w:val="E44044"/>
        </w:rPr>
        <w:t xml:space="preserve">Part </w:t>
      </w:r>
      <w:r w:rsidR="001F2198">
        <w:rPr>
          <w:rFonts w:ascii="Calibri Light" w:eastAsia="Arial Unicode MS" w:hAnsi="Calibri Light" w:cs="Calibri Light"/>
          <w:b w:val="0"/>
          <w:noProof/>
          <w:color w:val="E44044"/>
        </w:rPr>
        <w:t>B</w:t>
      </w:r>
    </w:p>
    <w:p w14:paraId="21EA6CB4" w14:textId="77777777" w:rsidR="005175A1" w:rsidRDefault="005175A1" w:rsidP="005175A1">
      <w:pPr>
        <w:pStyle w:val="ReportCover-Date"/>
        <w:jc w:val="center"/>
        <w:rPr>
          <w:rFonts w:ascii="Arial" w:hAnsi="Arial" w:cs="Arial"/>
          <w:color w:val="auto"/>
          <w:highlight w:val="green"/>
        </w:rPr>
      </w:pPr>
    </w:p>
    <w:p w14:paraId="3958F7ED" w14:textId="36221955" w:rsidR="005175A1" w:rsidRPr="00D803FD" w:rsidRDefault="00875C46" w:rsidP="005175A1">
      <w:pPr>
        <w:pStyle w:val="ReportCover-Date"/>
        <w:jc w:val="center"/>
        <w:rPr>
          <w:rFonts w:ascii="Calibri Light" w:hAnsi="Calibri Light" w:cs="Calibri Light"/>
          <w:color w:val="auto"/>
        </w:rPr>
      </w:pPr>
      <w:r>
        <w:rPr>
          <w:rFonts w:ascii="Calibri Light" w:hAnsi="Calibri Light" w:cs="Calibri Light"/>
          <w:color w:val="auto"/>
        </w:rPr>
        <w:t>FEBRUARY 2019</w:t>
      </w:r>
    </w:p>
    <w:p w14:paraId="252C2454" w14:textId="77777777" w:rsidR="005175A1" w:rsidRPr="002C4F75" w:rsidRDefault="005175A1" w:rsidP="005175A1">
      <w:pPr>
        <w:jc w:val="center"/>
        <w:rPr>
          <w:rFonts w:ascii="Arial" w:hAnsi="Arial" w:cs="Arial"/>
        </w:rPr>
      </w:pPr>
    </w:p>
    <w:p w14:paraId="297A6D34"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Submitted By:</w:t>
      </w:r>
    </w:p>
    <w:p w14:paraId="58BC30B1"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Office of Planning, Research</w:t>
      </w:r>
      <w:r w:rsidR="00AD3116">
        <w:rPr>
          <w:rFonts w:ascii="Calibri Light" w:hAnsi="Calibri Light" w:cs="Calibri Light"/>
          <w:color w:val="787E8B"/>
        </w:rPr>
        <w:t>,</w:t>
      </w:r>
      <w:r w:rsidRPr="002A67D2">
        <w:rPr>
          <w:rFonts w:ascii="Calibri Light" w:hAnsi="Calibri Light" w:cs="Calibri Light"/>
          <w:color w:val="787E8B"/>
        </w:rPr>
        <w:t xml:space="preserve"> and Evaluation</w:t>
      </w:r>
    </w:p>
    <w:p w14:paraId="46A4D71C"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 xml:space="preserve">Administration for Children and Families </w:t>
      </w:r>
    </w:p>
    <w:p w14:paraId="3CDD1AB9"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U.S. Department of Health and Human Services</w:t>
      </w:r>
    </w:p>
    <w:p w14:paraId="095704FA" w14:textId="77777777" w:rsidR="005175A1" w:rsidRPr="002A67D2" w:rsidRDefault="005175A1" w:rsidP="005175A1">
      <w:pPr>
        <w:jc w:val="center"/>
        <w:rPr>
          <w:rFonts w:ascii="Calibri Light" w:hAnsi="Calibri Light" w:cs="Calibri Light"/>
          <w:color w:val="787E8B"/>
        </w:rPr>
      </w:pPr>
    </w:p>
    <w:p w14:paraId="6A668F29"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4th Floor, Mary E. Switzer Building</w:t>
      </w:r>
    </w:p>
    <w:p w14:paraId="7B8EF567"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330 C Street, SW</w:t>
      </w:r>
    </w:p>
    <w:p w14:paraId="366964A2" w14:textId="77777777" w:rsidR="005175A1" w:rsidRPr="002C4F75" w:rsidRDefault="005175A1" w:rsidP="005175A1">
      <w:pPr>
        <w:jc w:val="center"/>
        <w:rPr>
          <w:rFonts w:ascii="Arial" w:hAnsi="Arial" w:cs="Arial"/>
        </w:rPr>
      </w:pPr>
      <w:r w:rsidRPr="002A67D2">
        <w:rPr>
          <w:rFonts w:ascii="Calibri Light" w:hAnsi="Calibri Light" w:cs="Calibri Light"/>
          <w:color w:val="787E8B"/>
        </w:rPr>
        <w:t>Washington, D.C. 20201</w:t>
      </w:r>
    </w:p>
    <w:p w14:paraId="04466A34" w14:textId="77777777" w:rsidR="005175A1" w:rsidRPr="002C4F75" w:rsidRDefault="005175A1" w:rsidP="005175A1">
      <w:pPr>
        <w:jc w:val="center"/>
        <w:rPr>
          <w:rFonts w:ascii="Arial" w:hAnsi="Arial" w:cs="Arial"/>
        </w:rPr>
      </w:pPr>
    </w:p>
    <w:p w14:paraId="1C650E15" w14:textId="362ED54C" w:rsidR="005175A1" w:rsidRPr="002A67D2" w:rsidRDefault="00962E83" w:rsidP="005175A1">
      <w:pPr>
        <w:jc w:val="center"/>
        <w:rPr>
          <w:rFonts w:ascii="Calibri Light" w:hAnsi="Calibri Light" w:cs="Calibri Light"/>
          <w:color w:val="787E8B"/>
        </w:rPr>
      </w:pPr>
      <w:r>
        <w:rPr>
          <w:rFonts w:ascii="Calibri Light" w:hAnsi="Calibri Light" w:cs="Calibri Light"/>
          <w:color w:val="787E8B"/>
        </w:rPr>
        <w:t>Points of Contact</w:t>
      </w:r>
      <w:r w:rsidR="005175A1" w:rsidRPr="002A67D2">
        <w:rPr>
          <w:rFonts w:ascii="Calibri Light" w:hAnsi="Calibri Light" w:cs="Calibri Light"/>
          <w:color w:val="787E8B"/>
        </w:rPr>
        <w:t>:</w:t>
      </w:r>
    </w:p>
    <w:p w14:paraId="6BD9F027"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Tiffany McCormack</w:t>
      </w:r>
    </w:p>
    <w:p w14:paraId="22DEEEAC" w14:textId="77777777" w:rsidR="005175A1" w:rsidRPr="002A67D2" w:rsidRDefault="005175A1" w:rsidP="005175A1">
      <w:pPr>
        <w:jc w:val="center"/>
        <w:rPr>
          <w:rFonts w:ascii="Calibri Light" w:hAnsi="Calibri Light" w:cs="Calibri Light"/>
          <w:color w:val="787E8B"/>
        </w:rPr>
      </w:pPr>
      <w:r w:rsidRPr="002A67D2">
        <w:rPr>
          <w:rFonts w:ascii="Calibri Light" w:hAnsi="Calibri Light" w:cs="Calibri Light"/>
          <w:color w:val="787E8B"/>
        </w:rPr>
        <w:t>Gabrielle Newell</w:t>
      </w:r>
    </w:p>
    <w:p w14:paraId="2F4E5010" w14:textId="77777777" w:rsidR="00AA7C33" w:rsidRDefault="005175A1">
      <w:pPr>
        <w:rPr>
          <w:rFonts w:ascii="Calibri Light" w:eastAsia="Arial Unicode MS" w:hAnsi="Calibri Light" w:cs="Calibri Light"/>
          <w:b/>
          <w:noProof/>
          <w:color w:val="E44044"/>
          <w:sz w:val="32"/>
          <w:szCs w:val="40"/>
        </w:rPr>
      </w:pPr>
      <w:r>
        <w:rPr>
          <w:b/>
        </w:rPr>
        <w:br w:type="page"/>
      </w:r>
    </w:p>
    <w:sdt>
      <w:sdtPr>
        <w:rPr>
          <w:rFonts w:ascii="Garamond" w:eastAsia="Times New Roman" w:hAnsi="Garamond" w:cs="Times New Roman"/>
          <w:color w:val="auto"/>
          <w:sz w:val="24"/>
          <w:szCs w:val="24"/>
        </w:rPr>
        <w:id w:val="-665624773"/>
        <w:docPartObj>
          <w:docPartGallery w:val="Table of Contents"/>
          <w:docPartUnique/>
        </w:docPartObj>
      </w:sdtPr>
      <w:sdtEndPr>
        <w:rPr>
          <w:b/>
          <w:bCs/>
          <w:noProof/>
        </w:rPr>
      </w:sdtEndPr>
      <w:sdtContent>
        <w:p w14:paraId="4E8B3697" w14:textId="248DBA21" w:rsidR="00CB2959" w:rsidRDefault="00CB2959">
          <w:pPr>
            <w:pStyle w:val="TOCHeading"/>
          </w:pPr>
          <w:r>
            <w:t>Table of Contents</w:t>
          </w:r>
        </w:p>
        <w:p w14:paraId="34062645" w14:textId="54BB666C" w:rsidR="007F75AE" w:rsidRDefault="00CB2959">
          <w:pPr>
            <w:pStyle w:val="TOC1"/>
            <w:tabs>
              <w:tab w:val="right" w:leader="dot" w:pos="935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19523529" w:history="1">
            <w:r w:rsidR="007F75AE" w:rsidRPr="00A223B5">
              <w:rPr>
                <w:rStyle w:val="Hyperlink"/>
                <w:noProof/>
              </w:rPr>
              <w:t>B1. Respondent Universe and Sampling Methods</w:t>
            </w:r>
            <w:r w:rsidR="007F75AE">
              <w:rPr>
                <w:noProof/>
                <w:webHidden/>
              </w:rPr>
              <w:tab/>
            </w:r>
            <w:r w:rsidR="007F75AE">
              <w:rPr>
                <w:noProof/>
                <w:webHidden/>
              </w:rPr>
              <w:fldChar w:fldCharType="begin"/>
            </w:r>
            <w:r w:rsidR="007F75AE">
              <w:rPr>
                <w:noProof/>
                <w:webHidden/>
              </w:rPr>
              <w:instrText xml:space="preserve"> PAGEREF _Toc519523529 \h </w:instrText>
            </w:r>
            <w:r w:rsidR="007F75AE">
              <w:rPr>
                <w:noProof/>
                <w:webHidden/>
              </w:rPr>
            </w:r>
            <w:r w:rsidR="007F75AE">
              <w:rPr>
                <w:noProof/>
                <w:webHidden/>
              </w:rPr>
              <w:fldChar w:fldCharType="separate"/>
            </w:r>
            <w:r w:rsidR="005B634F">
              <w:rPr>
                <w:noProof/>
                <w:webHidden/>
              </w:rPr>
              <w:t>3</w:t>
            </w:r>
            <w:r w:rsidR="007F75AE">
              <w:rPr>
                <w:noProof/>
                <w:webHidden/>
              </w:rPr>
              <w:fldChar w:fldCharType="end"/>
            </w:r>
          </w:hyperlink>
        </w:p>
        <w:p w14:paraId="6AF6FB75" w14:textId="510BE9AA" w:rsidR="007F75AE" w:rsidRDefault="005E2B41">
          <w:pPr>
            <w:pStyle w:val="TOC1"/>
            <w:tabs>
              <w:tab w:val="right" w:leader="dot" w:pos="9350"/>
            </w:tabs>
            <w:rPr>
              <w:rFonts w:asciiTheme="minorHAnsi" w:eastAsiaTheme="minorEastAsia" w:hAnsiTheme="minorHAnsi" w:cstheme="minorBidi"/>
              <w:noProof/>
              <w:sz w:val="22"/>
              <w:szCs w:val="22"/>
            </w:rPr>
          </w:pPr>
          <w:hyperlink w:anchor="_Toc519523530" w:history="1">
            <w:r w:rsidR="007F75AE" w:rsidRPr="00A223B5">
              <w:rPr>
                <w:rStyle w:val="Hyperlink"/>
                <w:noProof/>
              </w:rPr>
              <w:t>B2. Procedures for Collection of Information</w:t>
            </w:r>
            <w:r w:rsidR="007F75AE">
              <w:rPr>
                <w:noProof/>
                <w:webHidden/>
              </w:rPr>
              <w:tab/>
            </w:r>
            <w:r w:rsidR="007F75AE">
              <w:rPr>
                <w:noProof/>
                <w:webHidden/>
              </w:rPr>
              <w:fldChar w:fldCharType="begin"/>
            </w:r>
            <w:r w:rsidR="007F75AE">
              <w:rPr>
                <w:noProof/>
                <w:webHidden/>
              </w:rPr>
              <w:instrText xml:space="preserve"> PAGEREF _Toc519523530 \h </w:instrText>
            </w:r>
            <w:r w:rsidR="007F75AE">
              <w:rPr>
                <w:noProof/>
                <w:webHidden/>
              </w:rPr>
            </w:r>
            <w:r w:rsidR="007F75AE">
              <w:rPr>
                <w:noProof/>
                <w:webHidden/>
              </w:rPr>
              <w:fldChar w:fldCharType="separate"/>
            </w:r>
            <w:r w:rsidR="005B634F">
              <w:rPr>
                <w:noProof/>
                <w:webHidden/>
              </w:rPr>
              <w:t>4</w:t>
            </w:r>
            <w:r w:rsidR="007F75AE">
              <w:rPr>
                <w:noProof/>
                <w:webHidden/>
              </w:rPr>
              <w:fldChar w:fldCharType="end"/>
            </w:r>
          </w:hyperlink>
        </w:p>
        <w:p w14:paraId="2019A1E8" w14:textId="723B7454" w:rsidR="007F75AE" w:rsidRDefault="005E2B41">
          <w:pPr>
            <w:pStyle w:val="TOC2"/>
            <w:tabs>
              <w:tab w:val="right" w:leader="dot" w:pos="9350"/>
            </w:tabs>
            <w:rPr>
              <w:rFonts w:asciiTheme="minorHAnsi" w:eastAsiaTheme="minorEastAsia" w:hAnsiTheme="minorHAnsi" w:cstheme="minorBidi"/>
              <w:noProof/>
              <w:sz w:val="22"/>
              <w:szCs w:val="22"/>
            </w:rPr>
          </w:pPr>
          <w:hyperlink w:anchor="_Toc519523531" w:history="1">
            <w:r w:rsidR="007F75AE" w:rsidRPr="00A223B5">
              <w:rPr>
                <w:rStyle w:val="Hyperlink"/>
                <w:noProof/>
              </w:rPr>
              <w:t>Exhibit 1: Estimated Number of Respondents for Site Visits</w:t>
            </w:r>
            <w:r w:rsidR="007F75AE">
              <w:rPr>
                <w:noProof/>
                <w:webHidden/>
              </w:rPr>
              <w:tab/>
            </w:r>
            <w:r w:rsidR="007F75AE">
              <w:rPr>
                <w:noProof/>
                <w:webHidden/>
              </w:rPr>
              <w:fldChar w:fldCharType="begin"/>
            </w:r>
            <w:r w:rsidR="007F75AE">
              <w:rPr>
                <w:noProof/>
                <w:webHidden/>
              </w:rPr>
              <w:instrText xml:space="preserve"> PAGEREF _Toc519523531 \h </w:instrText>
            </w:r>
            <w:r w:rsidR="007F75AE">
              <w:rPr>
                <w:noProof/>
                <w:webHidden/>
              </w:rPr>
            </w:r>
            <w:r w:rsidR="007F75AE">
              <w:rPr>
                <w:noProof/>
                <w:webHidden/>
              </w:rPr>
              <w:fldChar w:fldCharType="separate"/>
            </w:r>
            <w:r w:rsidR="005B634F">
              <w:rPr>
                <w:noProof/>
                <w:webHidden/>
              </w:rPr>
              <w:t>7</w:t>
            </w:r>
            <w:r w:rsidR="007F75AE">
              <w:rPr>
                <w:noProof/>
                <w:webHidden/>
              </w:rPr>
              <w:fldChar w:fldCharType="end"/>
            </w:r>
          </w:hyperlink>
        </w:p>
        <w:p w14:paraId="1264F210" w14:textId="58DC31A7" w:rsidR="007F75AE" w:rsidRDefault="005E2B41">
          <w:pPr>
            <w:pStyle w:val="TOC1"/>
            <w:tabs>
              <w:tab w:val="right" w:leader="dot" w:pos="9350"/>
            </w:tabs>
            <w:rPr>
              <w:rFonts w:asciiTheme="minorHAnsi" w:eastAsiaTheme="minorEastAsia" w:hAnsiTheme="minorHAnsi" w:cstheme="minorBidi"/>
              <w:noProof/>
              <w:sz w:val="22"/>
              <w:szCs w:val="22"/>
            </w:rPr>
          </w:pPr>
          <w:hyperlink w:anchor="_Toc519523532" w:history="1">
            <w:r w:rsidR="007F75AE" w:rsidRPr="00A223B5">
              <w:rPr>
                <w:rStyle w:val="Hyperlink"/>
                <w:noProof/>
              </w:rPr>
              <w:t>B3. Methods to Maximize Response Rates and Deal with Nonresponse</w:t>
            </w:r>
            <w:r w:rsidR="007F75AE">
              <w:rPr>
                <w:noProof/>
                <w:webHidden/>
              </w:rPr>
              <w:tab/>
            </w:r>
            <w:r w:rsidR="007F75AE">
              <w:rPr>
                <w:noProof/>
                <w:webHidden/>
              </w:rPr>
              <w:fldChar w:fldCharType="begin"/>
            </w:r>
            <w:r w:rsidR="007F75AE">
              <w:rPr>
                <w:noProof/>
                <w:webHidden/>
              </w:rPr>
              <w:instrText xml:space="preserve"> PAGEREF _Toc519523532 \h </w:instrText>
            </w:r>
            <w:r w:rsidR="007F75AE">
              <w:rPr>
                <w:noProof/>
                <w:webHidden/>
              </w:rPr>
            </w:r>
            <w:r w:rsidR="007F75AE">
              <w:rPr>
                <w:noProof/>
                <w:webHidden/>
              </w:rPr>
              <w:fldChar w:fldCharType="separate"/>
            </w:r>
            <w:r w:rsidR="005B634F">
              <w:rPr>
                <w:noProof/>
                <w:webHidden/>
              </w:rPr>
              <w:t>8</w:t>
            </w:r>
            <w:r w:rsidR="007F75AE">
              <w:rPr>
                <w:noProof/>
                <w:webHidden/>
              </w:rPr>
              <w:fldChar w:fldCharType="end"/>
            </w:r>
          </w:hyperlink>
        </w:p>
        <w:p w14:paraId="45A70CCE" w14:textId="1269B2AE" w:rsidR="007F75AE" w:rsidRDefault="005E2B41">
          <w:pPr>
            <w:pStyle w:val="TOC2"/>
            <w:tabs>
              <w:tab w:val="right" w:leader="dot" w:pos="9350"/>
            </w:tabs>
            <w:rPr>
              <w:rFonts w:asciiTheme="minorHAnsi" w:eastAsiaTheme="minorEastAsia" w:hAnsiTheme="minorHAnsi" w:cstheme="minorBidi"/>
              <w:noProof/>
              <w:sz w:val="22"/>
              <w:szCs w:val="22"/>
            </w:rPr>
          </w:pPr>
          <w:hyperlink w:anchor="_Toc519523533" w:history="1">
            <w:r w:rsidR="007F75AE" w:rsidRPr="00A223B5">
              <w:rPr>
                <w:rStyle w:val="Hyperlink"/>
                <w:noProof/>
              </w:rPr>
              <w:t>B.3.1 Expected Response Rates</w:t>
            </w:r>
            <w:r w:rsidR="007F75AE">
              <w:rPr>
                <w:noProof/>
                <w:webHidden/>
              </w:rPr>
              <w:tab/>
            </w:r>
            <w:r w:rsidR="007F75AE">
              <w:rPr>
                <w:noProof/>
                <w:webHidden/>
              </w:rPr>
              <w:fldChar w:fldCharType="begin"/>
            </w:r>
            <w:r w:rsidR="007F75AE">
              <w:rPr>
                <w:noProof/>
                <w:webHidden/>
              </w:rPr>
              <w:instrText xml:space="preserve"> PAGEREF _Toc519523533 \h </w:instrText>
            </w:r>
            <w:r w:rsidR="007F75AE">
              <w:rPr>
                <w:noProof/>
                <w:webHidden/>
              </w:rPr>
            </w:r>
            <w:r w:rsidR="007F75AE">
              <w:rPr>
                <w:noProof/>
                <w:webHidden/>
              </w:rPr>
              <w:fldChar w:fldCharType="separate"/>
            </w:r>
            <w:r w:rsidR="005B634F">
              <w:rPr>
                <w:noProof/>
                <w:webHidden/>
              </w:rPr>
              <w:t>8</w:t>
            </w:r>
            <w:r w:rsidR="007F75AE">
              <w:rPr>
                <w:noProof/>
                <w:webHidden/>
              </w:rPr>
              <w:fldChar w:fldCharType="end"/>
            </w:r>
          </w:hyperlink>
        </w:p>
        <w:p w14:paraId="34A30F22" w14:textId="7BF87CF9" w:rsidR="007F75AE" w:rsidRDefault="005E2B41">
          <w:pPr>
            <w:pStyle w:val="TOC2"/>
            <w:tabs>
              <w:tab w:val="right" w:leader="dot" w:pos="9350"/>
            </w:tabs>
            <w:rPr>
              <w:rFonts w:asciiTheme="minorHAnsi" w:eastAsiaTheme="minorEastAsia" w:hAnsiTheme="minorHAnsi" w:cstheme="minorBidi"/>
              <w:noProof/>
              <w:sz w:val="22"/>
              <w:szCs w:val="22"/>
            </w:rPr>
          </w:pPr>
          <w:hyperlink w:anchor="_Toc519523534" w:history="1">
            <w:r w:rsidR="007F75AE" w:rsidRPr="00A223B5">
              <w:rPr>
                <w:rStyle w:val="Hyperlink"/>
                <w:noProof/>
              </w:rPr>
              <w:t>B.3.2 Dealing with Nonresponse</w:t>
            </w:r>
            <w:r w:rsidR="007F75AE">
              <w:rPr>
                <w:noProof/>
                <w:webHidden/>
              </w:rPr>
              <w:tab/>
            </w:r>
            <w:r w:rsidR="007F75AE">
              <w:rPr>
                <w:noProof/>
                <w:webHidden/>
              </w:rPr>
              <w:fldChar w:fldCharType="begin"/>
            </w:r>
            <w:r w:rsidR="007F75AE">
              <w:rPr>
                <w:noProof/>
                <w:webHidden/>
              </w:rPr>
              <w:instrText xml:space="preserve"> PAGEREF _Toc519523534 \h </w:instrText>
            </w:r>
            <w:r w:rsidR="007F75AE">
              <w:rPr>
                <w:noProof/>
                <w:webHidden/>
              </w:rPr>
            </w:r>
            <w:r w:rsidR="007F75AE">
              <w:rPr>
                <w:noProof/>
                <w:webHidden/>
              </w:rPr>
              <w:fldChar w:fldCharType="separate"/>
            </w:r>
            <w:r w:rsidR="005B634F">
              <w:rPr>
                <w:noProof/>
                <w:webHidden/>
              </w:rPr>
              <w:t>9</w:t>
            </w:r>
            <w:r w:rsidR="007F75AE">
              <w:rPr>
                <w:noProof/>
                <w:webHidden/>
              </w:rPr>
              <w:fldChar w:fldCharType="end"/>
            </w:r>
          </w:hyperlink>
        </w:p>
        <w:p w14:paraId="6E884C16" w14:textId="249CBFED" w:rsidR="007F75AE" w:rsidRDefault="005E2B41">
          <w:pPr>
            <w:pStyle w:val="TOC2"/>
            <w:tabs>
              <w:tab w:val="right" w:leader="dot" w:pos="9350"/>
            </w:tabs>
            <w:rPr>
              <w:rFonts w:asciiTheme="minorHAnsi" w:eastAsiaTheme="minorEastAsia" w:hAnsiTheme="minorHAnsi" w:cstheme="minorBidi"/>
              <w:noProof/>
              <w:sz w:val="22"/>
              <w:szCs w:val="22"/>
            </w:rPr>
          </w:pPr>
          <w:hyperlink w:anchor="_Toc519523535" w:history="1">
            <w:r w:rsidR="007F75AE" w:rsidRPr="00A223B5">
              <w:rPr>
                <w:rStyle w:val="Hyperlink"/>
                <w:noProof/>
              </w:rPr>
              <w:t>B.3.3 Maximizing Response Rates</w:t>
            </w:r>
            <w:r w:rsidR="007F75AE">
              <w:rPr>
                <w:noProof/>
                <w:webHidden/>
              </w:rPr>
              <w:tab/>
            </w:r>
            <w:r w:rsidR="007F75AE">
              <w:rPr>
                <w:noProof/>
                <w:webHidden/>
              </w:rPr>
              <w:fldChar w:fldCharType="begin"/>
            </w:r>
            <w:r w:rsidR="007F75AE">
              <w:rPr>
                <w:noProof/>
                <w:webHidden/>
              </w:rPr>
              <w:instrText xml:space="preserve"> PAGEREF _Toc519523535 \h </w:instrText>
            </w:r>
            <w:r w:rsidR="007F75AE">
              <w:rPr>
                <w:noProof/>
                <w:webHidden/>
              </w:rPr>
            </w:r>
            <w:r w:rsidR="007F75AE">
              <w:rPr>
                <w:noProof/>
                <w:webHidden/>
              </w:rPr>
              <w:fldChar w:fldCharType="separate"/>
            </w:r>
            <w:r w:rsidR="005B634F">
              <w:rPr>
                <w:noProof/>
                <w:webHidden/>
              </w:rPr>
              <w:t>9</w:t>
            </w:r>
            <w:r w:rsidR="007F75AE">
              <w:rPr>
                <w:noProof/>
                <w:webHidden/>
              </w:rPr>
              <w:fldChar w:fldCharType="end"/>
            </w:r>
          </w:hyperlink>
        </w:p>
        <w:p w14:paraId="7DDBE5CB" w14:textId="06DF4C67" w:rsidR="007F75AE" w:rsidRDefault="005E2B41">
          <w:pPr>
            <w:pStyle w:val="TOC1"/>
            <w:tabs>
              <w:tab w:val="right" w:leader="dot" w:pos="9350"/>
            </w:tabs>
            <w:rPr>
              <w:rFonts w:asciiTheme="minorHAnsi" w:eastAsiaTheme="minorEastAsia" w:hAnsiTheme="minorHAnsi" w:cstheme="minorBidi"/>
              <w:noProof/>
              <w:sz w:val="22"/>
              <w:szCs w:val="22"/>
            </w:rPr>
          </w:pPr>
          <w:hyperlink w:anchor="_Toc519523536" w:history="1">
            <w:r w:rsidR="007F75AE" w:rsidRPr="00A223B5">
              <w:rPr>
                <w:rStyle w:val="Hyperlink"/>
                <w:noProof/>
              </w:rPr>
              <w:t>B4. Tests of Procedures or Methods to be Undertaken</w:t>
            </w:r>
            <w:r w:rsidR="007F75AE">
              <w:rPr>
                <w:noProof/>
                <w:webHidden/>
              </w:rPr>
              <w:tab/>
            </w:r>
            <w:r w:rsidR="007F75AE">
              <w:rPr>
                <w:noProof/>
                <w:webHidden/>
              </w:rPr>
              <w:fldChar w:fldCharType="begin"/>
            </w:r>
            <w:r w:rsidR="007F75AE">
              <w:rPr>
                <w:noProof/>
                <w:webHidden/>
              </w:rPr>
              <w:instrText xml:space="preserve"> PAGEREF _Toc519523536 \h </w:instrText>
            </w:r>
            <w:r w:rsidR="007F75AE">
              <w:rPr>
                <w:noProof/>
                <w:webHidden/>
              </w:rPr>
            </w:r>
            <w:r w:rsidR="007F75AE">
              <w:rPr>
                <w:noProof/>
                <w:webHidden/>
              </w:rPr>
              <w:fldChar w:fldCharType="separate"/>
            </w:r>
            <w:r w:rsidR="005B634F">
              <w:rPr>
                <w:noProof/>
                <w:webHidden/>
              </w:rPr>
              <w:t>10</w:t>
            </w:r>
            <w:r w:rsidR="007F75AE">
              <w:rPr>
                <w:noProof/>
                <w:webHidden/>
              </w:rPr>
              <w:fldChar w:fldCharType="end"/>
            </w:r>
          </w:hyperlink>
        </w:p>
        <w:p w14:paraId="780B9C0C" w14:textId="1CD2B2AB" w:rsidR="007F75AE" w:rsidRDefault="005E2B41">
          <w:pPr>
            <w:pStyle w:val="TOC1"/>
            <w:tabs>
              <w:tab w:val="right" w:leader="dot" w:pos="9350"/>
            </w:tabs>
            <w:rPr>
              <w:rFonts w:asciiTheme="minorHAnsi" w:eastAsiaTheme="minorEastAsia" w:hAnsiTheme="minorHAnsi" w:cstheme="minorBidi"/>
              <w:noProof/>
              <w:sz w:val="22"/>
              <w:szCs w:val="22"/>
            </w:rPr>
          </w:pPr>
          <w:hyperlink w:anchor="_Toc519523537" w:history="1">
            <w:r w:rsidR="007F75AE" w:rsidRPr="00A223B5">
              <w:rPr>
                <w:rStyle w:val="Hyperlink"/>
                <w:noProof/>
              </w:rPr>
              <w:t>B5. Individual(s) Consulted on Statistical Aspects and Individuals Collecting and/or Analyzing Data</w:t>
            </w:r>
            <w:r w:rsidR="007F75AE">
              <w:rPr>
                <w:noProof/>
                <w:webHidden/>
              </w:rPr>
              <w:tab/>
            </w:r>
            <w:r w:rsidR="007F75AE">
              <w:rPr>
                <w:noProof/>
                <w:webHidden/>
              </w:rPr>
              <w:fldChar w:fldCharType="begin"/>
            </w:r>
            <w:r w:rsidR="007F75AE">
              <w:rPr>
                <w:noProof/>
                <w:webHidden/>
              </w:rPr>
              <w:instrText xml:space="preserve"> PAGEREF _Toc519523537 \h </w:instrText>
            </w:r>
            <w:r w:rsidR="007F75AE">
              <w:rPr>
                <w:noProof/>
                <w:webHidden/>
              </w:rPr>
            </w:r>
            <w:r w:rsidR="007F75AE">
              <w:rPr>
                <w:noProof/>
                <w:webHidden/>
              </w:rPr>
              <w:fldChar w:fldCharType="separate"/>
            </w:r>
            <w:r w:rsidR="005B634F">
              <w:rPr>
                <w:noProof/>
                <w:webHidden/>
              </w:rPr>
              <w:t>10</w:t>
            </w:r>
            <w:r w:rsidR="007F75AE">
              <w:rPr>
                <w:noProof/>
                <w:webHidden/>
              </w:rPr>
              <w:fldChar w:fldCharType="end"/>
            </w:r>
          </w:hyperlink>
        </w:p>
        <w:p w14:paraId="706E6993" w14:textId="2637F079" w:rsidR="007F75AE" w:rsidRDefault="005E2B41">
          <w:pPr>
            <w:pStyle w:val="TOC2"/>
            <w:tabs>
              <w:tab w:val="right" w:leader="dot" w:pos="9350"/>
            </w:tabs>
            <w:rPr>
              <w:rFonts w:asciiTheme="minorHAnsi" w:eastAsiaTheme="minorEastAsia" w:hAnsiTheme="minorHAnsi" w:cstheme="minorBidi"/>
              <w:noProof/>
              <w:sz w:val="22"/>
              <w:szCs w:val="22"/>
            </w:rPr>
          </w:pPr>
          <w:hyperlink w:anchor="_Toc519523538" w:history="1">
            <w:r w:rsidR="007F75AE" w:rsidRPr="00A223B5">
              <w:rPr>
                <w:rStyle w:val="Hyperlink"/>
                <w:noProof/>
              </w:rPr>
              <w:t>Exhibit 2: Individuals Consulted on Statistical Aspects and Collecting and/or Analyzing Data</w:t>
            </w:r>
            <w:r w:rsidR="007F75AE">
              <w:rPr>
                <w:noProof/>
                <w:webHidden/>
              </w:rPr>
              <w:tab/>
            </w:r>
            <w:r w:rsidR="007F75AE">
              <w:rPr>
                <w:noProof/>
                <w:webHidden/>
              </w:rPr>
              <w:fldChar w:fldCharType="begin"/>
            </w:r>
            <w:r w:rsidR="007F75AE">
              <w:rPr>
                <w:noProof/>
                <w:webHidden/>
              </w:rPr>
              <w:instrText xml:space="preserve"> PAGEREF _Toc519523538 \h </w:instrText>
            </w:r>
            <w:r w:rsidR="007F75AE">
              <w:rPr>
                <w:noProof/>
                <w:webHidden/>
              </w:rPr>
            </w:r>
            <w:r w:rsidR="007F75AE">
              <w:rPr>
                <w:noProof/>
                <w:webHidden/>
              </w:rPr>
              <w:fldChar w:fldCharType="separate"/>
            </w:r>
            <w:r w:rsidR="005B634F">
              <w:rPr>
                <w:noProof/>
                <w:webHidden/>
              </w:rPr>
              <w:t>10</w:t>
            </w:r>
            <w:r w:rsidR="007F75AE">
              <w:rPr>
                <w:noProof/>
                <w:webHidden/>
              </w:rPr>
              <w:fldChar w:fldCharType="end"/>
            </w:r>
          </w:hyperlink>
        </w:p>
        <w:p w14:paraId="4DBA261B" w14:textId="1B916616" w:rsidR="00CB2959" w:rsidRDefault="00CB2959">
          <w:r>
            <w:rPr>
              <w:b/>
              <w:bCs/>
              <w:noProof/>
            </w:rPr>
            <w:fldChar w:fldCharType="end"/>
          </w:r>
        </w:p>
      </w:sdtContent>
    </w:sdt>
    <w:p w14:paraId="287B261D" w14:textId="162F4A9E" w:rsidR="00AA7C33" w:rsidRDefault="00AA7C33">
      <w:pPr>
        <w:rPr>
          <w:rFonts w:ascii="Calibri Light" w:eastAsia="Arial Unicode MS" w:hAnsi="Calibri Light" w:cs="Calibri Light"/>
          <w:b/>
          <w:noProof/>
          <w:color w:val="E44044"/>
          <w:sz w:val="32"/>
          <w:szCs w:val="40"/>
        </w:rPr>
      </w:pPr>
      <w:r>
        <w:rPr>
          <w:b/>
        </w:rPr>
        <w:br w:type="page"/>
      </w:r>
    </w:p>
    <w:p w14:paraId="5D77028A" w14:textId="118B4FA5" w:rsidR="00AB103C" w:rsidRDefault="00E05A0A" w:rsidP="005509EF">
      <w:pPr>
        <w:pStyle w:val="Heading1"/>
      </w:pPr>
      <w:bookmarkStart w:id="1" w:name="_Toc519523529"/>
      <w:r w:rsidRPr="005175A1">
        <w:lastRenderedPageBreak/>
        <w:t>B1. Respondent Universe and Sampling Methods</w:t>
      </w:r>
      <w:bookmarkEnd w:id="1"/>
    </w:p>
    <w:p w14:paraId="39A961F8" w14:textId="77777777" w:rsidR="00AB103C" w:rsidRDefault="0044392F" w:rsidP="00FD1B70">
      <w:pPr>
        <w:rPr>
          <w:rFonts w:ascii="Calibri" w:hAnsi="Calibri"/>
          <w:b/>
          <w:bCs/>
          <w:iCs/>
          <w:color w:val="1E4F5C"/>
          <w:szCs w:val="28"/>
        </w:rPr>
      </w:pPr>
      <w:r w:rsidRPr="002C2ED3">
        <w:rPr>
          <w:rFonts w:ascii="Calibri" w:hAnsi="Calibri"/>
          <w:b/>
          <w:bCs/>
          <w:iCs/>
          <w:color w:val="1E4F5C"/>
          <w:szCs w:val="28"/>
        </w:rPr>
        <w:t xml:space="preserve">B.1.1. </w:t>
      </w:r>
      <w:r w:rsidR="00AB103C" w:rsidRPr="002C2ED3">
        <w:rPr>
          <w:rFonts w:ascii="Calibri" w:hAnsi="Calibri"/>
          <w:b/>
          <w:bCs/>
          <w:iCs/>
          <w:color w:val="1E4F5C"/>
          <w:szCs w:val="28"/>
        </w:rPr>
        <w:t>S</w:t>
      </w:r>
      <w:r w:rsidRPr="002C2ED3">
        <w:rPr>
          <w:rFonts w:ascii="Calibri" w:hAnsi="Calibri"/>
          <w:b/>
          <w:bCs/>
          <w:iCs/>
          <w:color w:val="1E4F5C"/>
          <w:szCs w:val="28"/>
        </w:rPr>
        <w:t>urvey respondents</w:t>
      </w:r>
    </w:p>
    <w:p w14:paraId="322027E8" w14:textId="50072A22" w:rsidR="00686AE4" w:rsidRDefault="00D25D0D" w:rsidP="00346AA4">
      <w:pPr>
        <w:spacing w:after="160" w:line="259" w:lineRule="auto"/>
      </w:pPr>
      <w:r w:rsidRPr="00D25D0D">
        <w:t>We will</w:t>
      </w:r>
      <w:r>
        <w:t xml:space="preserve"> administer the online surveys to all State Refugee Coordinators </w:t>
      </w:r>
      <w:r w:rsidR="005A6615">
        <w:t xml:space="preserve">(SRCs) </w:t>
      </w:r>
      <w:r>
        <w:t xml:space="preserve">from 15 states with </w:t>
      </w:r>
      <w:r w:rsidR="005D05DE">
        <w:t>Unaccompanied Refugee Minors (</w:t>
      </w:r>
      <w:r>
        <w:t>URM</w:t>
      </w:r>
      <w:r w:rsidR="005D05DE">
        <w:t>)</w:t>
      </w:r>
      <w:r>
        <w:t xml:space="preserve"> program</w:t>
      </w:r>
      <w:r w:rsidR="00E318BE">
        <w:t>s</w:t>
      </w:r>
      <w:r w:rsidR="00D6293A">
        <w:t xml:space="preserve"> </w:t>
      </w:r>
      <w:r w:rsidR="004853C7">
        <w:t>(Appendix A)</w:t>
      </w:r>
      <w:r w:rsidR="000A1B51">
        <w:t xml:space="preserve">, </w:t>
      </w:r>
      <w:r>
        <w:t>URM program directors from all 22 programs</w:t>
      </w:r>
      <w:r w:rsidR="004853C7">
        <w:t xml:space="preserve"> (Appendix B)</w:t>
      </w:r>
      <w:r w:rsidR="000A1B51">
        <w:t xml:space="preserve">, and </w:t>
      </w:r>
      <w:r>
        <w:t xml:space="preserve">child welfare administrators from </w:t>
      </w:r>
      <w:r w:rsidR="00D6293A">
        <w:t>the 14 sites with private custody arrangements</w:t>
      </w:r>
      <w:r w:rsidR="004853C7">
        <w:t xml:space="preserve"> (Appendix C)</w:t>
      </w:r>
      <w:r>
        <w:t xml:space="preserve">. </w:t>
      </w:r>
      <w:r w:rsidR="0069252F" w:rsidRPr="00C73855">
        <w:rPr>
          <w:bCs/>
        </w:rPr>
        <w:t xml:space="preserve">Accordingly, we estimate a </w:t>
      </w:r>
      <w:r w:rsidR="0069252F">
        <w:rPr>
          <w:bCs/>
        </w:rPr>
        <w:t>maximum sample size of 5</w:t>
      </w:r>
      <w:r w:rsidR="00D6293A">
        <w:rPr>
          <w:bCs/>
        </w:rPr>
        <w:t>1</w:t>
      </w:r>
      <w:r w:rsidR="0069252F">
        <w:rPr>
          <w:bCs/>
        </w:rPr>
        <w:t xml:space="preserve"> respondents in total. </w:t>
      </w:r>
      <w:r>
        <w:t xml:space="preserve">We will work with </w:t>
      </w:r>
      <w:r w:rsidR="00AC4FA3">
        <w:t>the Office of Refugee Resettlement (</w:t>
      </w:r>
      <w:r>
        <w:t>ORR</w:t>
      </w:r>
      <w:r w:rsidR="00AC4FA3">
        <w:t>)</w:t>
      </w:r>
      <w:r>
        <w:t xml:space="preserve"> and the </w:t>
      </w:r>
      <w:r w:rsidR="00AC321A">
        <w:t xml:space="preserve">resettlement </w:t>
      </w:r>
      <w:r>
        <w:t>agencies to determine appropriate point</w:t>
      </w:r>
      <w:r w:rsidR="00376240">
        <w:t>s</w:t>
      </w:r>
      <w:r>
        <w:t xml:space="preserve"> of contact at each site.</w:t>
      </w:r>
    </w:p>
    <w:p w14:paraId="16A7CDB2" w14:textId="77777777" w:rsidR="00E016A6" w:rsidRDefault="0044392F" w:rsidP="00FD1B70">
      <w:pPr>
        <w:rPr>
          <w:highlight w:val="yellow"/>
        </w:rPr>
      </w:pPr>
      <w:r w:rsidRPr="002C2ED3">
        <w:rPr>
          <w:rFonts w:ascii="Calibri" w:hAnsi="Calibri"/>
          <w:b/>
          <w:bCs/>
          <w:iCs/>
          <w:color w:val="1E4F5C"/>
          <w:szCs w:val="28"/>
        </w:rPr>
        <w:t xml:space="preserve">B.1.2. </w:t>
      </w:r>
      <w:r w:rsidR="00686AE4" w:rsidRPr="002C2ED3">
        <w:rPr>
          <w:rFonts w:ascii="Calibri" w:hAnsi="Calibri"/>
          <w:b/>
          <w:bCs/>
          <w:iCs/>
          <w:color w:val="1E4F5C"/>
          <w:szCs w:val="28"/>
        </w:rPr>
        <w:t>Sit</w:t>
      </w:r>
      <w:r w:rsidRPr="002C2ED3">
        <w:rPr>
          <w:rFonts w:ascii="Calibri" w:hAnsi="Calibri"/>
          <w:b/>
          <w:bCs/>
          <w:iCs/>
          <w:color w:val="1E4F5C"/>
          <w:szCs w:val="28"/>
        </w:rPr>
        <w:t xml:space="preserve">e visits </w:t>
      </w:r>
    </w:p>
    <w:p w14:paraId="3E8AD40C" w14:textId="282533A0" w:rsidR="00E016A6" w:rsidRDefault="00E016A6" w:rsidP="00E016A6">
      <w:pPr>
        <w:spacing w:after="160" w:line="259" w:lineRule="auto"/>
      </w:pPr>
      <w:r>
        <w:t xml:space="preserve">Given that only six of the 22 programs will be chosen, the selected sites cannot provide full representativeness of the characteristics of URM programs or of the individuals served by them. Instead, the sites selected, as a group, will </w:t>
      </w:r>
      <w:r w:rsidRPr="00F07F39">
        <w:t xml:space="preserve">inform </w:t>
      </w:r>
      <w:r w:rsidR="003E1434">
        <w:t>the Office of Planning, Research, and Evaluation (</w:t>
      </w:r>
      <w:r>
        <w:t>OPRE</w:t>
      </w:r>
      <w:r w:rsidR="003E1434">
        <w:t>)</w:t>
      </w:r>
      <w:r>
        <w:t xml:space="preserve">, </w:t>
      </w:r>
      <w:r w:rsidRPr="00F07F39">
        <w:t>ORR</w:t>
      </w:r>
      <w:r>
        <w:t>,</w:t>
      </w:r>
      <w:r w:rsidRPr="00F07F39">
        <w:t xml:space="preserve"> and </w:t>
      </w:r>
      <w:r>
        <w:t xml:space="preserve">other audiences </w:t>
      </w:r>
      <w:r w:rsidRPr="00F07F39">
        <w:t xml:space="preserve">about </w:t>
      </w:r>
      <w:r>
        <w:t xml:space="preserve">the </w:t>
      </w:r>
      <w:r w:rsidRPr="00F07F39">
        <w:t>va</w:t>
      </w:r>
      <w:r>
        <w:t xml:space="preserve">riety of ways programs operate in different conditions, and </w:t>
      </w:r>
      <w:r w:rsidRPr="00F07F39">
        <w:t xml:space="preserve">have the potential to </w:t>
      </w:r>
      <w:r>
        <w:t xml:space="preserve">offer </w:t>
      </w:r>
      <w:r w:rsidRPr="00F07F39">
        <w:t xml:space="preserve">useful lessons </w:t>
      </w:r>
      <w:r>
        <w:t xml:space="preserve">for </w:t>
      </w:r>
      <w:r w:rsidRPr="00F07F39">
        <w:t>i</w:t>
      </w:r>
      <w:r>
        <w:t>mproving programs and crafting future evaluations.</w:t>
      </w:r>
      <w:r w:rsidRPr="0051772E">
        <w:t xml:space="preserve"> </w:t>
      </w:r>
      <w:r>
        <w:t>The following factors</w:t>
      </w:r>
      <w:r w:rsidR="00AD3116">
        <w:t xml:space="preserve">, developed through consultations with stakeholders and federal staff, </w:t>
      </w:r>
      <w:r>
        <w:t xml:space="preserve">will be considered to ensure that sites selected contain the characteristics and variety needed to understand different aspects </w:t>
      </w:r>
      <w:r w:rsidR="00BE511C">
        <w:t xml:space="preserve">of </w:t>
      </w:r>
      <w:r>
        <w:t xml:space="preserve">the URM </w:t>
      </w:r>
      <w:r w:rsidR="00AC4FA3">
        <w:t>P</w:t>
      </w:r>
      <w:r>
        <w:t>rogram</w:t>
      </w:r>
      <w:r w:rsidR="00AD3116">
        <w:t>:</w:t>
      </w:r>
    </w:p>
    <w:p w14:paraId="6EF5948B" w14:textId="77777777" w:rsidR="0086472C" w:rsidRPr="005B62B6" w:rsidRDefault="0086472C" w:rsidP="0086472C">
      <w:pPr>
        <w:pStyle w:val="ListParagraph"/>
        <w:numPr>
          <w:ilvl w:val="0"/>
          <w:numId w:val="18"/>
        </w:numPr>
        <w:rPr>
          <w:b/>
        </w:rPr>
      </w:pPr>
      <w:r w:rsidRPr="005B62B6">
        <w:rPr>
          <w:b/>
        </w:rPr>
        <w:t>Resettlement agency.</w:t>
      </w:r>
      <w:r>
        <w:t xml:space="preserve"> Selected sites should include some programs affiliated with</w:t>
      </w:r>
      <w:r w:rsidR="00AC4FA3">
        <w:t xml:space="preserve"> Lutheran Immigration and Refugee Service</w:t>
      </w:r>
      <w:r>
        <w:t xml:space="preserve"> </w:t>
      </w:r>
      <w:r w:rsidR="00AC4FA3">
        <w:t>(</w:t>
      </w:r>
      <w:r>
        <w:t>LIRS</w:t>
      </w:r>
      <w:r w:rsidR="00AC4FA3">
        <w:t>)</w:t>
      </w:r>
      <w:r>
        <w:t xml:space="preserve"> and some with </w:t>
      </w:r>
      <w:r w:rsidR="00AC4FA3">
        <w:t>U.S. Conference of Catholic Bishops (</w:t>
      </w:r>
      <w:r>
        <w:t>USCCB</w:t>
      </w:r>
      <w:r w:rsidR="00AC4FA3">
        <w:t>)</w:t>
      </w:r>
      <w:r>
        <w:t xml:space="preserve">. </w:t>
      </w:r>
    </w:p>
    <w:p w14:paraId="5E507D93" w14:textId="77777777" w:rsidR="0086472C" w:rsidRDefault="0086472C" w:rsidP="0086472C">
      <w:pPr>
        <w:pStyle w:val="ListParagraph"/>
        <w:numPr>
          <w:ilvl w:val="0"/>
          <w:numId w:val="18"/>
        </w:numPr>
        <w:spacing w:before="0" w:after="160" w:line="259" w:lineRule="auto"/>
      </w:pPr>
      <w:r w:rsidRPr="00AA5EE6">
        <w:rPr>
          <w:b/>
        </w:rPr>
        <w:t>Custody arrangement:</w:t>
      </w:r>
      <w:r>
        <w:t xml:space="preserve"> Selected sites should include a mix of programs with public and private custody arrangements. If possible given other considerations, the sites with public custody arrangements should include at least one site where the custody arrangement is with the state and one where it is with the county, as programs in states with different arrangements may face different challenges and involve a different array of stakeholders.</w:t>
      </w:r>
      <w:r w:rsidRPr="00873273">
        <w:rPr>
          <w:i/>
          <w:u w:val="single"/>
        </w:rPr>
        <w:t xml:space="preserve"> </w:t>
      </w:r>
    </w:p>
    <w:p w14:paraId="50EE4B97" w14:textId="1F2764DF" w:rsidR="0086472C" w:rsidRDefault="0086472C" w:rsidP="0086472C">
      <w:pPr>
        <w:pStyle w:val="ListParagraph"/>
        <w:numPr>
          <w:ilvl w:val="0"/>
          <w:numId w:val="18"/>
        </w:numPr>
        <w:spacing w:before="0" w:after="160" w:line="259" w:lineRule="auto"/>
      </w:pPr>
      <w:r>
        <w:rPr>
          <w:b/>
        </w:rPr>
        <w:t>Program size.</w:t>
      </w:r>
      <w:r w:rsidRPr="00873273">
        <w:t xml:space="preserve"> </w:t>
      </w:r>
      <w:r w:rsidR="00697743">
        <w:t>T</w:t>
      </w:r>
      <w:r>
        <w:t>he set of sites selected should contain some variety in terms of program size by including at least one or two small- or moderate-sized programs</w:t>
      </w:r>
      <w:r w:rsidR="00FC2F8B">
        <w:t>.</w:t>
      </w:r>
      <w:r>
        <w:t xml:space="preserve"> </w:t>
      </w:r>
    </w:p>
    <w:p w14:paraId="60D6BBDE" w14:textId="77777777" w:rsidR="0086472C" w:rsidRPr="002C03D2" w:rsidRDefault="0086472C" w:rsidP="0086472C">
      <w:pPr>
        <w:pStyle w:val="ListParagraph"/>
        <w:numPr>
          <w:ilvl w:val="0"/>
          <w:numId w:val="18"/>
        </w:numPr>
        <w:spacing w:before="0" w:after="160" w:line="259" w:lineRule="auto"/>
      </w:pPr>
      <w:r w:rsidRPr="00611315">
        <w:rPr>
          <w:b/>
        </w:rPr>
        <w:t>Types of services provided (including continuum of care):</w:t>
      </w:r>
      <w:r>
        <w:t xml:space="preserve"> The six sites should include both programs with more extensive services and less extensive services. </w:t>
      </w:r>
    </w:p>
    <w:p w14:paraId="28F20F96" w14:textId="77777777" w:rsidR="0086472C" w:rsidRPr="00FF4160" w:rsidRDefault="0086472C" w:rsidP="0086472C">
      <w:pPr>
        <w:pStyle w:val="ListParagraph"/>
        <w:numPr>
          <w:ilvl w:val="0"/>
          <w:numId w:val="18"/>
        </w:numPr>
        <w:spacing w:before="0" w:after="160" w:line="259" w:lineRule="auto"/>
        <w:rPr>
          <w:b/>
        </w:rPr>
      </w:pPr>
      <w:r>
        <w:rPr>
          <w:b/>
        </w:rPr>
        <w:t xml:space="preserve">Relative proportions </w:t>
      </w:r>
      <w:r w:rsidRPr="00FF4160">
        <w:rPr>
          <w:b/>
        </w:rPr>
        <w:t>of refugees and</w:t>
      </w:r>
      <w:r>
        <w:rPr>
          <w:b/>
        </w:rPr>
        <w:t xml:space="preserve"> </w:t>
      </w:r>
      <w:r w:rsidR="00AC4FA3">
        <w:rPr>
          <w:b/>
        </w:rPr>
        <w:t>U</w:t>
      </w:r>
      <w:r>
        <w:rPr>
          <w:b/>
        </w:rPr>
        <w:t xml:space="preserve">naccompanied </w:t>
      </w:r>
      <w:r w:rsidR="00AC4FA3">
        <w:rPr>
          <w:b/>
        </w:rPr>
        <w:t>Alien C</w:t>
      </w:r>
      <w:r>
        <w:rPr>
          <w:b/>
        </w:rPr>
        <w:t>hildren (</w:t>
      </w:r>
      <w:r w:rsidRPr="00FF4160">
        <w:rPr>
          <w:b/>
        </w:rPr>
        <w:t>UACs</w:t>
      </w:r>
      <w:r>
        <w:rPr>
          <w:b/>
        </w:rPr>
        <w:t>)</w:t>
      </w:r>
      <w:r w:rsidRPr="00FF4160">
        <w:rPr>
          <w:b/>
        </w:rPr>
        <w:t xml:space="preserve"> among the populations served.</w:t>
      </w:r>
      <w:r>
        <w:t xml:space="preserve"> Given the different issues involved in serving refugees and UACs, we would like to include both programs that have served large numbers of UACs and programs that have not.</w:t>
      </w:r>
    </w:p>
    <w:p w14:paraId="694CC275" w14:textId="77777777" w:rsidR="0086472C" w:rsidRDefault="0086472C" w:rsidP="0086472C">
      <w:pPr>
        <w:pStyle w:val="ListParagraph"/>
        <w:numPr>
          <w:ilvl w:val="0"/>
          <w:numId w:val="18"/>
        </w:numPr>
        <w:spacing w:before="0" w:after="160" w:line="259" w:lineRule="auto"/>
      </w:pPr>
      <w:r w:rsidRPr="00FF4160">
        <w:rPr>
          <w:b/>
        </w:rPr>
        <w:t>Refugee</w:t>
      </w:r>
      <w:r>
        <w:rPr>
          <w:b/>
        </w:rPr>
        <w:t xml:space="preserve"> and immigrant</w:t>
      </w:r>
      <w:r w:rsidRPr="00FF4160">
        <w:rPr>
          <w:b/>
        </w:rPr>
        <w:t xml:space="preserve"> populations:</w:t>
      </w:r>
      <w:r>
        <w:t xml:space="preserve"> Several factors related to the populations both served by the URM programs and in the communities where the programs are located would be useful to consider. These include:</w:t>
      </w:r>
    </w:p>
    <w:p w14:paraId="40CD01F5" w14:textId="77777777" w:rsidR="0086472C" w:rsidRDefault="0086472C" w:rsidP="0086472C">
      <w:pPr>
        <w:pStyle w:val="ListParagraph"/>
        <w:numPr>
          <w:ilvl w:val="1"/>
          <w:numId w:val="18"/>
        </w:numPr>
        <w:spacing w:before="0" w:after="160" w:line="259" w:lineRule="auto"/>
      </w:pPr>
      <w:r w:rsidRPr="00D273F5">
        <w:rPr>
          <w:i/>
        </w:rPr>
        <w:t>The overall number of refugees resettled in the community (that is, adult and child refugees).</w:t>
      </w:r>
      <w:r>
        <w:t xml:space="preserve"> Ideally the six sites could include variation in the extent to which the communities in which the URM programs are operating are experiencing the presence of recently arrived refugees in general. </w:t>
      </w:r>
    </w:p>
    <w:p w14:paraId="13D0ECB9" w14:textId="77777777" w:rsidR="0086472C" w:rsidRPr="00D273F5" w:rsidRDefault="0086472C" w:rsidP="0086472C">
      <w:pPr>
        <w:pStyle w:val="ListParagraph"/>
        <w:numPr>
          <w:ilvl w:val="1"/>
          <w:numId w:val="18"/>
        </w:numPr>
        <w:spacing w:before="0" w:after="160" w:line="259" w:lineRule="auto"/>
        <w:rPr>
          <w:i/>
        </w:rPr>
      </w:pPr>
      <w:r>
        <w:rPr>
          <w:i/>
        </w:rPr>
        <w:t>T</w:t>
      </w:r>
      <w:r w:rsidRPr="00D273F5">
        <w:rPr>
          <w:i/>
        </w:rPr>
        <w:t>he national origins of the youth served by the local URM program.</w:t>
      </w:r>
      <w:r>
        <w:t xml:space="preserve"> The six sites should include a mix of refugees with different national origins. </w:t>
      </w:r>
    </w:p>
    <w:p w14:paraId="51162B14" w14:textId="77777777" w:rsidR="0086472C" w:rsidRPr="00D273F5" w:rsidRDefault="0086472C" w:rsidP="0086472C">
      <w:pPr>
        <w:pStyle w:val="ListParagraph"/>
        <w:numPr>
          <w:ilvl w:val="1"/>
          <w:numId w:val="18"/>
        </w:numPr>
        <w:spacing w:before="0" w:after="160" w:line="259" w:lineRule="auto"/>
        <w:rPr>
          <w:i/>
        </w:rPr>
      </w:pPr>
      <w:r w:rsidRPr="00D273F5">
        <w:rPr>
          <w:i/>
        </w:rPr>
        <w:t>The variety of national origins in the area, either of refugees or immigrants overall</w:t>
      </w:r>
      <w:r>
        <w:rPr>
          <w:i/>
        </w:rPr>
        <w:t>.</w:t>
      </w:r>
      <w:r>
        <w:t xml:space="preserve"> If possible, this information may also allow us to include variety among the sites in the extent to which there is an existing co-ethnic population in the community to the youth served, which may affect the ability of programs to facilitate cultural connections for youth.</w:t>
      </w:r>
    </w:p>
    <w:p w14:paraId="5A7F8F1B" w14:textId="77777777" w:rsidR="0086472C" w:rsidRDefault="0086472C" w:rsidP="0086472C">
      <w:pPr>
        <w:pStyle w:val="ListParagraph"/>
        <w:numPr>
          <w:ilvl w:val="0"/>
          <w:numId w:val="18"/>
        </w:numPr>
        <w:spacing w:before="0" w:after="160" w:line="259" w:lineRule="auto"/>
      </w:pPr>
      <w:r w:rsidRPr="00936B79">
        <w:rPr>
          <w:b/>
        </w:rPr>
        <w:t>Geography:</w:t>
      </w:r>
      <w:r>
        <w:t xml:space="preserve"> If possible, we would to like to include programs in both larger cities and smaller cities</w:t>
      </w:r>
      <w:r w:rsidR="00697743">
        <w:t xml:space="preserve">, as </w:t>
      </w:r>
      <w:r>
        <w:t xml:space="preserve">programs in more or less urban areas operate in different conditions. </w:t>
      </w:r>
    </w:p>
    <w:p w14:paraId="6AA1EDC6" w14:textId="77777777" w:rsidR="00697743" w:rsidRDefault="0086472C" w:rsidP="00697743">
      <w:pPr>
        <w:pStyle w:val="ListParagraph"/>
        <w:numPr>
          <w:ilvl w:val="0"/>
          <w:numId w:val="18"/>
        </w:numPr>
        <w:spacing w:before="0" w:after="160" w:line="259" w:lineRule="auto"/>
      </w:pPr>
      <w:r w:rsidRPr="002C7088">
        <w:rPr>
          <w:b/>
        </w:rPr>
        <w:t>Program tenure:</w:t>
      </w:r>
      <w:r>
        <w:t xml:space="preserve"> Programs that have been operating for a longer period may have more perspective on strategies for serving youth that have been useful in different contexts. However, it may be useful to include one to two newer programs where current staff may have a perspective on the experience operating a new or recent program. </w:t>
      </w:r>
    </w:p>
    <w:p w14:paraId="13480461" w14:textId="77777777" w:rsidR="00960787" w:rsidRDefault="00960787" w:rsidP="00697743">
      <w:pPr>
        <w:pStyle w:val="ListParagraph"/>
        <w:spacing w:before="0" w:after="160" w:line="259" w:lineRule="auto"/>
        <w:ind w:left="0"/>
      </w:pPr>
    </w:p>
    <w:p w14:paraId="612BC581" w14:textId="7E5912BB" w:rsidR="00697743" w:rsidRDefault="00697743" w:rsidP="00697743">
      <w:pPr>
        <w:pStyle w:val="ListParagraph"/>
        <w:spacing w:before="0" w:after="160" w:line="259" w:lineRule="auto"/>
        <w:ind w:left="0"/>
      </w:pPr>
      <w:r>
        <w:t>We expect information on most or all of these items will come either from ORR or from publicly available sources such as Census Bureau data.</w:t>
      </w:r>
    </w:p>
    <w:p w14:paraId="3A308293" w14:textId="622C8383" w:rsidR="003A1CA2" w:rsidRDefault="003A1CA2" w:rsidP="00697743">
      <w:pPr>
        <w:pStyle w:val="ListParagraph"/>
        <w:spacing w:before="0" w:after="160" w:line="259" w:lineRule="auto"/>
        <w:ind w:left="0"/>
      </w:pPr>
    </w:p>
    <w:p w14:paraId="60BE2AA1" w14:textId="42816F59" w:rsidR="003A1CA2" w:rsidRDefault="003A1CA2" w:rsidP="00697743">
      <w:pPr>
        <w:pStyle w:val="ListParagraph"/>
        <w:spacing w:before="0" w:after="160" w:line="259" w:lineRule="auto"/>
        <w:ind w:left="0"/>
      </w:pPr>
      <w:r>
        <w:t>Once the sites have been selected, we will work with the point of contact at each site (likely the URM program director) to identify respondents for each of the interviews we plan to conduct (see B.2.3).</w:t>
      </w:r>
    </w:p>
    <w:p w14:paraId="6744DA60" w14:textId="77777777" w:rsidR="00346AA4" w:rsidRDefault="00346AA4" w:rsidP="00346AA4">
      <w:pPr>
        <w:rPr>
          <w:highlight w:val="yellow"/>
        </w:rPr>
      </w:pPr>
      <w:r w:rsidRPr="002C2ED3">
        <w:rPr>
          <w:rFonts w:ascii="Calibri" w:hAnsi="Calibri"/>
          <w:b/>
          <w:bCs/>
          <w:iCs/>
          <w:color w:val="1E4F5C"/>
          <w:szCs w:val="28"/>
        </w:rPr>
        <w:t>B.1.</w:t>
      </w:r>
      <w:r>
        <w:rPr>
          <w:rFonts w:ascii="Calibri" w:hAnsi="Calibri"/>
          <w:b/>
          <w:bCs/>
          <w:iCs/>
          <w:color w:val="1E4F5C"/>
          <w:szCs w:val="28"/>
        </w:rPr>
        <w:t>3</w:t>
      </w:r>
      <w:r w:rsidRPr="002C2ED3">
        <w:rPr>
          <w:rFonts w:ascii="Calibri" w:hAnsi="Calibri"/>
          <w:b/>
          <w:bCs/>
          <w:iCs/>
          <w:color w:val="1E4F5C"/>
          <w:szCs w:val="28"/>
        </w:rPr>
        <w:t xml:space="preserve">. </w:t>
      </w:r>
      <w:r>
        <w:rPr>
          <w:rFonts w:ascii="Calibri" w:hAnsi="Calibri"/>
          <w:b/>
          <w:bCs/>
          <w:iCs/>
          <w:color w:val="1E4F5C"/>
          <w:szCs w:val="28"/>
        </w:rPr>
        <w:t>Focus Group Participants</w:t>
      </w:r>
      <w:r w:rsidRPr="002C2ED3">
        <w:rPr>
          <w:rFonts w:ascii="Calibri" w:hAnsi="Calibri"/>
          <w:b/>
          <w:bCs/>
          <w:iCs/>
          <w:color w:val="1E4F5C"/>
          <w:szCs w:val="28"/>
        </w:rPr>
        <w:t xml:space="preserve"> </w:t>
      </w:r>
    </w:p>
    <w:p w14:paraId="577A8005" w14:textId="215CB615" w:rsidR="00A15A47" w:rsidRDefault="00346AA4" w:rsidP="0001783C">
      <w:pPr>
        <w:pStyle w:val="ListParagraph"/>
        <w:spacing w:before="0" w:after="160" w:line="259" w:lineRule="auto"/>
        <w:ind w:left="0"/>
      </w:pPr>
      <w:r>
        <w:t xml:space="preserve">Once the six sites have been selected for site visits, the research team will work with the URM program staff to identify </w:t>
      </w:r>
      <w:r w:rsidR="00DB353C">
        <w:t xml:space="preserve">and convene URM youth and foster families to participate in focus </w:t>
      </w:r>
      <w:r w:rsidR="00A15A47">
        <w:t xml:space="preserve">groups. Discussions with youth who were part of the URM program and with foster parents who had worked with the program will ensure that researchers obtain the important perspective of those served by the program in each site, and </w:t>
      </w:r>
      <w:r w:rsidR="009B4159">
        <w:t xml:space="preserve">have </w:t>
      </w:r>
      <w:r w:rsidR="00A15A47">
        <w:t xml:space="preserve">the potential to provide useful lessons that ORR, states, and program administrators can draw on to improve programs or guide future policy. Focus groups with these two groups will promote discussion on how they interacted with the program, what services they received, and their overall satisfaction with the program’s services. </w:t>
      </w:r>
    </w:p>
    <w:p w14:paraId="118E3648" w14:textId="77777777" w:rsidR="00A15A47" w:rsidRDefault="00A15A47" w:rsidP="0001783C">
      <w:pPr>
        <w:pStyle w:val="ListParagraph"/>
        <w:spacing w:before="0" w:after="160" w:line="259" w:lineRule="auto"/>
        <w:ind w:left="0"/>
      </w:pPr>
    </w:p>
    <w:p w14:paraId="17C5224E" w14:textId="5EEF090B" w:rsidR="00A15A47" w:rsidRPr="0086472C" w:rsidRDefault="00A15A47" w:rsidP="00A15A47">
      <w:pPr>
        <w:pStyle w:val="ListParagraph"/>
        <w:spacing w:before="0" w:after="160" w:line="259" w:lineRule="auto"/>
        <w:ind w:left="0"/>
      </w:pPr>
      <w:r>
        <w:t xml:space="preserve">We will aim for each focus group discussion to include about nine participants. Participants in the youth focus group will consist of youth </w:t>
      </w:r>
      <w:r w:rsidR="00112E95">
        <w:t xml:space="preserve">aged 16 and over </w:t>
      </w:r>
      <w:r>
        <w:t xml:space="preserve">who </w:t>
      </w:r>
      <w:r w:rsidR="00112E95">
        <w:t>entered the URM program within seven to 24 months of the focus group</w:t>
      </w:r>
      <w:r>
        <w:t>. Focus groups with foster parents will consist of adults who recently served as foster parents for youth who were part of the URM program. Participants in each group will represent a convenience sample; the study team will work with the URM program in each site to identify individuals who may be appropriate for the group and to invite them to participate.</w:t>
      </w:r>
      <w:r w:rsidR="00E06792">
        <w:t xml:space="preserve"> </w:t>
      </w:r>
      <w:r w:rsidR="00D109ED">
        <w:t>We will provide sites with w</w:t>
      </w:r>
      <w:r w:rsidR="00E06792">
        <w:t xml:space="preserve">ritten guidance and information about the goals of the focus groups </w:t>
      </w:r>
      <w:r w:rsidR="00D109ED">
        <w:t>to</w:t>
      </w:r>
      <w:r w:rsidR="00E06792">
        <w:t xml:space="preserve"> facilitate the selection of participants (Appendix </w:t>
      </w:r>
      <w:r w:rsidR="00AD0BBC">
        <w:t>N</w:t>
      </w:r>
      <w:r w:rsidR="00E06792">
        <w:t>).</w:t>
      </w:r>
      <w:r w:rsidR="00112E95">
        <w:t xml:space="preserve"> Sites will be instructed to recruit URM youth who are willing to speak to the topics in</w:t>
      </w:r>
      <w:r w:rsidR="005B634F">
        <w:t>cluded in the Focus Group Guide for URM Youth</w:t>
      </w:r>
      <w:r w:rsidR="00112E95">
        <w:t xml:space="preserve"> (Appendix I)</w:t>
      </w:r>
      <w:r w:rsidR="004024E8">
        <w:t>, and to make it clear to URM youth that their participation is voluntary.</w:t>
      </w:r>
    </w:p>
    <w:p w14:paraId="00C1BC05" w14:textId="77777777" w:rsidR="00E05A0A" w:rsidRPr="00E05A0A" w:rsidRDefault="00E05A0A" w:rsidP="005175A1">
      <w:pPr>
        <w:pStyle w:val="Heading1"/>
      </w:pPr>
      <w:bookmarkStart w:id="2" w:name="_Toc519523530"/>
      <w:r>
        <w:t>B2. Procedures for Collection of Information</w:t>
      </w:r>
      <w:bookmarkEnd w:id="2"/>
    </w:p>
    <w:p w14:paraId="2356A957" w14:textId="77777777" w:rsidR="003D35F3" w:rsidRPr="00A54442" w:rsidRDefault="003D35F3" w:rsidP="003D35F3">
      <w:pPr>
        <w:rPr>
          <w:rFonts w:ascii="Calibri" w:hAnsi="Calibri"/>
          <w:b/>
          <w:bCs/>
          <w:iCs/>
          <w:color w:val="1E4F5C"/>
          <w:szCs w:val="28"/>
        </w:rPr>
      </w:pPr>
      <w:r w:rsidRPr="00A54442">
        <w:rPr>
          <w:rFonts w:ascii="Calibri" w:hAnsi="Calibri"/>
          <w:b/>
          <w:bCs/>
          <w:iCs/>
          <w:color w:val="1E4F5C"/>
          <w:szCs w:val="28"/>
        </w:rPr>
        <w:t>B.2.1. Surveys</w:t>
      </w:r>
    </w:p>
    <w:p w14:paraId="4EAB37D0" w14:textId="38769561" w:rsidR="003D35F3" w:rsidRPr="00C73855" w:rsidRDefault="003D35F3" w:rsidP="003D35F3">
      <w:r>
        <w:t>The team</w:t>
      </w:r>
      <w:r w:rsidRPr="00C73855">
        <w:t xml:space="preserve"> will contact </w:t>
      </w:r>
      <w:r>
        <w:t>all</w:t>
      </w:r>
      <w:r w:rsidR="001C6504">
        <w:t xml:space="preserve"> online</w:t>
      </w:r>
      <w:r>
        <w:t xml:space="preserve"> survey respondents</w:t>
      </w:r>
      <w:r w:rsidRPr="00C73855">
        <w:t xml:space="preserve"> via email (</w:t>
      </w:r>
      <w:r w:rsidRPr="00A308CA">
        <w:t xml:space="preserve">see </w:t>
      </w:r>
      <w:r w:rsidR="002F6247">
        <w:t xml:space="preserve">Communications to Survey Respondents in </w:t>
      </w:r>
      <w:r w:rsidRPr="00507AD1">
        <w:t>Appendi</w:t>
      </w:r>
      <w:r w:rsidR="004853C7">
        <w:t>ces K-M</w:t>
      </w:r>
      <w:r w:rsidRPr="00CF3834">
        <w:t>)</w:t>
      </w:r>
      <w:r>
        <w:rPr>
          <w:b/>
        </w:rPr>
        <w:t xml:space="preserve"> </w:t>
      </w:r>
      <w:r w:rsidRPr="00C73855">
        <w:t xml:space="preserve">to inform them about the survey and to provide background about </w:t>
      </w:r>
      <w:r w:rsidR="00953367">
        <w:t>its</w:t>
      </w:r>
      <w:r w:rsidR="00953367" w:rsidRPr="00C73855">
        <w:t xml:space="preserve"> </w:t>
      </w:r>
      <w:r w:rsidRPr="00C73855">
        <w:t xml:space="preserve">goals and objectives. We will send </w:t>
      </w:r>
      <w:r>
        <w:t>a unique</w:t>
      </w:r>
      <w:r w:rsidRPr="00C73855">
        <w:t xml:space="preserve"> electronic link to each desi</w:t>
      </w:r>
      <w:r>
        <w:t>gnated respondent</w:t>
      </w:r>
      <w:r w:rsidRPr="00C73855">
        <w:t xml:space="preserve">. This correspondence will contain additional instructions about distributing the survey to appropriate staff internally, consent and </w:t>
      </w:r>
      <w:r>
        <w:t>privacy, due date</w:t>
      </w:r>
      <w:r w:rsidRPr="00C73855">
        <w:t>, and who to con</w:t>
      </w:r>
      <w:r>
        <w:t xml:space="preserve">tact with questions or concerns. The online </w:t>
      </w:r>
      <w:r w:rsidRPr="00C73855">
        <w:t xml:space="preserve">survey will be available for </w:t>
      </w:r>
      <w:r w:rsidRPr="00953367">
        <w:t>one month</w:t>
      </w:r>
      <w:r w:rsidRPr="00C73855">
        <w:t xml:space="preserve"> to ensure survey participants have ample time to complete the survey.</w:t>
      </w:r>
    </w:p>
    <w:p w14:paraId="1988F74D" w14:textId="77777777" w:rsidR="003D35F3" w:rsidRPr="00C73855" w:rsidRDefault="003D35F3" w:rsidP="003D35F3"/>
    <w:p w14:paraId="368400C4" w14:textId="77777777" w:rsidR="003D35F3" w:rsidRPr="006B6CD5" w:rsidRDefault="003D35F3" w:rsidP="003D35F3">
      <w:r w:rsidRPr="006B6CD5">
        <w:t xml:space="preserve">While </w:t>
      </w:r>
      <w:r w:rsidR="009C7540" w:rsidRPr="006B6CD5">
        <w:t>some questions may be asked of both SRCs and URM program directors where appropriate</w:t>
      </w:r>
      <w:r w:rsidR="00A13D2C" w:rsidRPr="006B6CD5">
        <w:t xml:space="preserve"> to gauge differences in perspectives</w:t>
      </w:r>
      <w:r w:rsidR="009C7540" w:rsidRPr="006B6CD5">
        <w:t xml:space="preserve">, </w:t>
      </w:r>
      <w:r w:rsidRPr="006B6CD5">
        <w:t>the team will avoid unnecessary redundancy to minimize participant burden. For instance, questions about</w:t>
      </w:r>
      <w:r w:rsidR="002C3BE4" w:rsidRPr="006B6CD5">
        <w:t xml:space="preserve"> inter-agency collaboration </w:t>
      </w:r>
      <w:r w:rsidRPr="006B6CD5">
        <w:t xml:space="preserve">might be posed to </w:t>
      </w:r>
      <w:r w:rsidR="001C6504" w:rsidRPr="006B6CD5">
        <w:t xml:space="preserve">both </w:t>
      </w:r>
      <w:r w:rsidRPr="006B6CD5">
        <w:t>types of respondents, while items related to</w:t>
      </w:r>
      <w:r w:rsidR="002C3BE4" w:rsidRPr="006B6CD5">
        <w:t xml:space="preserve"> foster parent recruitment for URM youth have been reserved for URM </w:t>
      </w:r>
      <w:r w:rsidR="008D406B" w:rsidRPr="006B6CD5">
        <w:t>p</w:t>
      </w:r>
      <w:r w:rsidR="002C3BE4" w:rsidRPr="006B6CD5">
        <w:t xml:space="preserve">rogram </w:t>
      </w:r>
      <w:r w:rsidR="008D406B" w:rsidRPr="006B6CD5">
        <w:t>d</w:t>
      </w:r>
      <w:r w:rsidR="002C3BE4" w:rsidRPr="006B6CD5">
        <w:t>irectors</w:t>
      </w:r>
      <w:r w:rsidR="00FC4772" w:rsidRPr="006B6CD5">
        <w:t>, as they are the most knowledgeable on this topic</w:t>
      </w:r>
      <w:r w:rsidR="002C3BE4" w:rsidRPr="006B6CD5">
        <w:t xml:space="preserve">. Additionally, </w:t>
      </w:r>
      <w:r w:rsidR="00CF3834">
        <w:t>the research team</w:t>
      </w:r>
      <w:r w:rsidR="002C3BE4" w:rsidRPr="006B6CD5">
        <w:t xml:space="preserve"> will merge existing data on program characteristics (e.g., location of program, custody arrangement) </w:t>
      </w:r>
      <w:r w:rsidR="009C7540" w:rsidRPr="006B6CD5">
        <w:t xml:space="preserve">with </w:t>
      </w:r>
      <w:r w:rsidR="002C3BE4" w:rsidRPr="006B6CD5">
        <w:t xml:space="preserve">survey responses </w:t>
      </w:r>
      <w:r w:rsidR="009C7540" w:rsidRPr="006B6CD5">
        <w:t xml:space="preserve">during analysis, which will </w:t>
      </w:r>
      <w:r w:rsidR="002C3BE4" w:rsidRPr="006B6CD5">
        <w:t>reduce the length of the survey</w:t>
      </w:r>
      <w:r w:rsidR="009C7540" w:rsidRPr="006B6CD5">
        <w:t>, as we will not need to ask respondents for information we already possess</w:t>
      </w:r>
      <w:r w:rsidR="002C3BE4" w:rsidRPr="006B6CD5">
        <w:t>.</w:t>
      </w:r>
      <w:r w:rsidRPr="006B6CD5">
        <w:t xml:space="preserve"> </w:t>
      </w:r>
    </w:p>
    <w:p w14:paraId="011E3719" w14:textId="77777777" w:rsidR="003D35F3" w:rsidRPr="006B6CD5" w:rsidRDefault="003D35F3" w:rsidP="003D35F3"/>
    <w:p w14:paraId="6FAEFECA" w14:textId="1E99693E" w:rsidR="00FC633E" w:rsidRDefault="00B04F86" w:rsidP="005A6615">
      <w:r w:rsidRPr="006B6CD5">
        <w:t xml:space="preserve">The </w:t>
      </w:r>
      <w:r>
        <w:t xml:space="preserve">Survey for State Refugee Coordinators (Appendix A) </w:t>
      </w:r>
      <w:r w:rsidRPr="006B6CD5">
        <w:t xml:space="preserve">will take up to </w:t>
      </w:r>
      <w:r w:rsidR="009109CD">
        <w:t>30</w:t>
      </w:r>
      <w:r w:rsidR="009109CD" w:rsidRPr="006B6CD5">
        <w:t xml:space="preserve"> </w:t>
      </w:r>
      <w:r w:rsidRPr="006B6CD5">
        <w:t>minutes to complete</w:t>
      </w:r>
      <w:r w:rsidR="009109CD">
        <w:t xml:space="preserve"> for each person</w:t>
      </w:r>
      <w:r w:rsidRPr="006B6CD5">
        <w:t xml:space="preserve">, while </w:t>
      </w:r>
      <w:r>
        <w:t>reading the introductory email</w:t>
      </w:r>
      <w:r w:rsidR="003076DD">
        <w:t xml:space="preserve">, </w:t>
      </w:r>
      <w:r>
        <w:t>reminder emails, and</w:t>
      </w:r>
      <w:r w:rsidR="00B44B46">
        <w:t>, if necessary,</w:t>
      </w:r>
      <w:r>
        <w:t xml:space="preserve"> </w:t>
      </w:r>
      <w:r w:rsidRPr="006B6CD5">
        <w:t>follow</w:t>
      </w:r>
      <w:r>
        <w:t>-</w:t>
      </w:r>
      <w:r w:rsidRPr="006B6CD5">
        <w:t>up</w:t>
      </w:r>
      <w:r>
        <w:t xml:space="preserve"> communication </w:t>
      </w:r>
      <w:r w:rsidR="007A1BD7">
        <w:t>(Communications to Survey Respondents</w:t>
      </w:r>
      <w:r w:rsidR="00F866E1">
        <w:t>:</w:t>
      </w:r>
      <w:r w:rsidR="007A1BD7">
        <w:t xml:space="preserve"> </w:t>
      </w:r>
      <w:r w:rsidR="00F866E1">
        <w:t xml:space="preserve">State Refugee Coordinators </w:t>
      </w:r>
      <w:r w:rsidR="007A1BD7">
        <w:t xml:space="preserve">in Appendix K) </w:t>
      </w:r>
      <w:r w:rsidRPr="006B6CD5">
        <w:t xml:space="preserve">may require up to </w:t>
      </w:r>
      <w:r w:rsidR="009109CD" w:rsidRPr="006B6CD5">
        <w:t>1</w:t>
      </w:r>
      <w:r w:rsidR="009109CD">
        <w:t>0</w:t>
      </w:r>
      <w:r w:rsidR="009109CD" w:rsidRPr="006B6CD5">
        <w:t xml:space="preserve"> </w:t>
      </w:r>
      <w:r w:rsidRPr="006B6CD5">
        <w:t xml:space="preserve">additional minutes for a total respondent burden of up to </w:t>
      </w:r>
      <w:r w:rsidR="009109CD">
        <w:t>4</w:t>
      </w:r>
      <w:r w:rsidR="009109CD" w:rsidRPr="006B6CD5">
        <w:t xml:space="preserve">0 </w:t>
      </w:r>
      <w:r w:rsidRPr="006B6CD5">
        <w:t xml:space="preserve">minutes </w:t>
      </w:r>
      <w:r w:rsidR="00BB7B4B">
        <w:t>(0.67 hours)</w:t>
      </w:r>
      <w:r w:rsidR="007A1BD7">
        <w:t>.</w:t>
      </w:r>
      <w:r w:rsidR="003076DD">
        <w:t xml:space="preserve"> </w:t>
      </w:r>
      <w:r w:rsidR="00FC633E">
        <w:t xml:space="preserve">We anticipate the SRCs may include additional respondents in their answers and have accounted for </w:t>
      </w:r>
      <w:r w:rsidR="009109CD">
        <w:t xml:space="preserve">an average of 2.5 </w:t>
      </w:r>
      <w:r w:rsidR="00FC633E">
        <w:t>respondents per state in our burden estimates</w:t>
      </w:r>
      <w:r w:rsidR="009109CD">
        <w:t xml:space="preserve"> (one SRC and between one and two additional staff members)</w:t>
      </w:r>
      <w:r w:rsidR="00FC633E">
        <w:t>.</w:t>
      </w:r>
    </w:p>
    <w:p w14:paraId="46C050CC" w14:textId="77777777" w:rsidR="00FC633E" w:rsidRDefault="00FC633E" w:rsidP="005A6615"/>
    <w:p w14:paraId="192CB7D2" w14:textId="574F24B8" w:rsidR="00FC633E" w:rsidRDefault="0001783C" w:rsidP="005A6615">
      <w:r w:rsidRPr="006B6CD5">
        <w:t xml:space="preserve">The </w:t>
      </w:r>
      <w:r w:rsidR="004853C7">
        <w:t>S</w:t>
      </w:r>
      <w:r w:rsidR="004853C7" w:rsidRPr="006B6CD5">
        <w:t xml:space="preserve">urvey </w:t>
      </w:r>
      <w:r w:rsidRPr="006B6CD5">
        <w:t xml:space="preserve">for URM </w:t>
      </w:r>
      <w:r w:rsidR="004853C7">
        <w:t>P</w:t>
      </w:r>
      <w:r w:rsidRPr="006B6CD5">
        <w:t xml:space="preserve">rogram </w:t>
      </w:r>
      <w:r w:rsidR="004853C7">
        <w:t>D</w:t>
      </w:r>
      <w:r w:rsidR="004853C7" w:rsidRPr="006B6CD5">
        <w:t>irectors</w:t>
      </w:r>
      <w:r w:rsidR="004853C7">
        <w:t xml:space="preserve"> (Appendix </w:t>
      </w:r>
      <w:r w:rsidR="003F4607">
        <w:t>B</w:t>
      </w:r>
      <w:r w:rsidR="004853C7">
        <w:t>)</w:t>
      </w:r>
      <w:r w:rsidR="00CB5332">
        <w:t xml:space="preserve"> </w:t>
      </w:r>
      <w:r w:rsidR="003D35F3" w:rsidRPr="006B6CD5">
        <w:t xml:space="preserve">will take up to </w:t>
      </w:r>
      <w:r w:rsidR="009109CD">
        <w:t>45</w:t>
      </w:r>
      <w:r w:rsidR="009109CD" w:rsidRPr="006B6CD5">
        <w:t xml:space="preserve"> </w:t>
      </w:r>
      <w:r w:rsidR="003D35F3" w:rsidRPr="006B6CD5">
        <w:t xml:space="preserve">minutes </w:t>
      </w:r>
      <w:r w:rsidR="0069252F" w:rsidRPr="006B6CD5">
        <w:t>to complete</w:t>
      </w:r>
      <w:r w:rsidR="004853C7">
        <w:t xml:space="preserve">. All respondents will </w:t>
      </w:r>
      <w:r w:rsidR="000B1CED">
        <w:t xml:space="preserve">also </w:t>
      </w:r>
      <w:r w:rsidR="004853C7">
        <w:t>be</w:t>
      </w:r>
      <w:r w:rsidR="000B1CED">
        <w:t xml:space="preserve"> required to</w:t>
      </w:r>
      <w:r w:rsidR="004853C7">
        <w:t xml:space="preserve"> read the introductory email containing the survey link </w:t>
      </w:r>
      <w:r w:rsidR="00EE17E6">
        <w:t>(</w:t>
      </w:r>
      <w:r w:rsidR="00323195">
        <w:t>Communications to Survey Respondents: URM Program Directors</w:t>
      </w:r>
      <w:r w:rsidR="008032BC">
        <w:t xml:space="preserve"> in</w:t>
      </w:r>
      <w:r w:rsidR="00323195">
        <w:t xml:space="preserve"> </w:t>
      </w:r>
      <w:r w:rsidR="004853C7">
        <w:t>Appendi</w:t>
      </w:r>
      <w:r w:rsidR="000C53B0">
        <w:t>x</w:t>
      </w:r>
      <w:r w:rsidR="004853C7">
        <w:t xml:space="preserve"> L), and some individuals may</w:t>
      </w:r>
      <w:r w:rsidR="000B1CED">
        <w:t xml:space="preserve"> also</w:t>
      </w:r>
      <w:r w:rsidR="004853C7">
        <w:t xml:space="preserve"> receive</w:t>
      </w:r>
      <w:r w:rsidR="0069252F" w:rsidRPr="006B6CD5">
        <w:t xml:space="preserve"> </w:t>
      </w:r>
      <w:r w:rsidR="00EE17E6" w:rsidRPr="006B6CD5">
        <w:t>follow</w:t>
      </w:r>
      <w:r w:rsidR="00EE17E6">
        <w:t>-</w:t>
      </w:r>
      <w:r w:rsidR="003D35F3" w:rsidRPr="006B6CD5">
        <w:t xml:space="preserve">up </w:t>
      </w:r>
      <w:r w:rsidR="004853C7">
        <w:t>communication</w:t>
      </w:r>
      <w:r w:rsidR="003D35F3" w:rsidRPr="006B6CD5">
        <w:t xml:space="preserve"> by phone or email to remind them to complete the online survey</w:t>
      </w:r>
      <w:r w:rsidR="000C53B0">
        <w:t xml:space="preserve"> (Appendix L)</w:t>
      </w:r>
      <w:r w:rsidR="004853C7">
        <w:t>; together, these communications</w:t>
      </w:r>
      <w:r w:rsidR="003D35F3" w:rsidRPr="006B6CD5">
        <w:t xml:space="preserve"> may </w:t>
      </w:r>
      <w:r w:rsidR="000B1CED">
        <w:t>add up to</w:t>
      </w:r>
      <w:r w:rsidR="000B1CED" w:rsidRPr="006B6CD5">
        <w:t xml:space="preserve"> </w:t>
      </w:r>
      <w:r w:rsidRPr="006B6CD5">
        <w:t xml:space="preserve">15 </w:t>
      </w:r>
      <w:r w:rsidR="000B1CED">
        <w:t>additional minutes</w:t>
      </w:r>
      <w:r w:rsidR="003D35F3" w:rsidRPr="006B6CD5">
        <w:t xml:space="preserve"> for a total respondent burden of up to </w:t>
      </w:r>
      <w:r w:rsidR="009109CD">
        <w:t>60</w:t>
      </w:r>
      <w:r w:rsidR="009109CD" w:rsidRPr="006B6CD5">
        <w:t xml:space="preserve"> </w:t>
      </w:r>
      <w:r w:rsidR="003D35F3" w:rsidRPr="006B6CD5">
        <w:t>minutes (</w:t>
      </w:r>
      <w:r w:rsidRPr="006B6CD5">
        <w:t xml:space="preserve">1 </w:t>
      </w:r>
      <w:r w:rsidR="003D35F3" w:rsidRPr="006B6CD5">
        <w:t xml:space="preserve">hour). </w:t>
      </w:r>
      <w:r w:rsidR="00FC633E">
        <w:t xml:space="preserve">We have accounted for URM Program Directors to include </w:t>
      </w:r>
      <w:r w:rsidR="009109CD">
        <w:t xml:space="preserve">one or </w:t>
      </w:r>
      <w:r w:rsidR="00FC633E">
        <w:t xml:space="preserve">two additional staff </w:t>
      </w:r>
      <w:r w:rsidR="000D3BD7">
        <w:t xml:space="preserve">members in their responses and have included </w:t>
      </w:r>
      <w:r w:rsidR="00BB7B4B">
        <w:t xml:space="preserve">2.5 </w:t>
      </w:r>
      <w:r w:rsidR="00F3426B">
        <w:t xml:space="preserve">respondents </w:t>
      </w:r>
      <w:r w:rsidR="000D3BD7">
        <w:t>per program in our burden estimates</w:t>
      </w:r>
      <w:r w:rsidR="00BB7B4B">
        <w:t xml:space="preserve"> (one Program Director and between one and two additional staff members)</w:t>
      </w:r>
      <w:r w:rsidR="000D3BD7">
        <w:t>.</w:t>
      </w:r>
    </w:p>
    <w:p w14:paraId="5A107064" w14:textId="77777777" w:rsidR="00FC633E" w:rsidRDefault="00FC633E" w:rsidP="005A6615"/>
    <w:p w14:paraId="28A764FA" w14:textId="1F01F571" w:rsidR="000D3BD7" w:rsidRDefault="000A1B51" w:rsidP="005A6615">
      <w:r>
        <w:t>The Survey for Private Custody Child Welfare Administrators (Appendix C)</w:t>
      </w:r>
      <w:r w:rsidR="00451120">
        <w:t xml:space="preserve"> will take up to </w:t>
      </w:r>
      <w:r w:rsidR="00BB7B4B">
        <w:t xml:space="preserve">30 </w:t>
      </w:r>
      <w:r w:rsidR="00451120">
        <w:t>minutes to complete, with communication with the research team and additional follow up of up to 10 minutes</w:t>
      </w:r>
      <w:r w:rsidR="00695500">
        <w:t xml:space="preserve"> (Communications to Survey Respondents: Private </w:t>
      </w:r>
      <w:r w:rsidR="00D219D6">
        <w:t xml:space="preserve">Custody </w:t>
      </w:r>
      <w:r w:rsidR="00695500">
        <w:t>Child Welfare Agency Administrators</w:t>
      </w:r>
      <w:r w:rsidR="00A51819">
        <w:t xml:space="preserve"> in</w:t>
      </w:r>
      <w:r w:rsidR="00695500">
        <w:t xml:space="preserve"> Appendix M)</w:t>
      </w:r>
      <w:r w:rsidR="00451120">
        <w:t xml:space="preserve">, for a total respondent burden of up to </w:t>
      </w:r>
      <w:r w:rsidR="00BB7B4B">
        <w:t xml:space="preserve">40 </w:t>
      </w:r>
      <w:r w:rsidR="00451120">
        <w:t>minutes (0.</w:t>
      </w:r>
      <w:r w:rsidR="00BB7B4B">
        <w:t xml:space="preserve">67 </w:t>
      </w:r>
      <w:r w:rsidR="00451120">
        <w:t>hours).</w:t>
      </w:r>
      <w:r w:rsidRPr="006B6CD5" w:rsidDel="00B04F86">
        <w:t xml:space="preserve"> </w:t>
      </w:r>
      <w:r w:rsidR="000D3BD7">
        <w:t xml:space="preserve">We expect that child welfare agency administrators may include one additional person in their response and have included </w:t>
      </w:r>
      <w:r w:rsidR="00BB7B4B">
        <w:t xml:space="preserve">an average of 1.5 </w:t>
      </w:r>
      <w:r w:rsidR="000D3BD7">
        <w:t>respondents per site in our burden estimates.</w:t>
      </w:r>
    </w:p>
    <w:p w14:paraId="0EDCAC99" w14:textId="77777777" w:rsidR="000D3BD7" w:rsidRDefault="000D3BD7" w:rsidP="005A6615">
      <w:pPr>
        <w:rPr>
          <w:bCs/>
        </w:rPr>
      </w:pPr>
    </w:p>
    <w:p w14:paraId="7F347007" w14:textId="2931C339" w:rsidR="003D35F3" w:rsidRPr="005A6615" w:rsidRDefault="004853C7" w:rsidP="005A6615">
      <w:r>
        <w:rPr>
          <w:bCs/>
        </w:rPr>
        <w:t xml:space="preserve">State Refugee Coordinators </w:t>
      </w:r>
      <w:r w:rsidR="001D5B05">
        <w:rPr>
          <w:bCs/>
        </w:rPr>
        <w:t>(SRCs)</w:t>
      </w:r>
      <w:r w:rsidR="00451120">
        <w:rPr>
          <w:bCs/>
        </w:rPr>
        <w:t xml:space="preserve">, </w:t>
      </w:r>
      <w:r>
        <w:rPr>
          <w:bCs/>
        </w:rPr>
        <w:t>URM Program Directors</w:t>
      </w:r>
      <w:r w:rsidR="00451120">
        <w:rPr>
          <w:bCs/>
        </w:rPr>
        <w:t>, and Private Custody Child Welfare Administrators</w:t>
      </w:r>
      <w:r w:rsidRPr="005A6615">
        <w:rPr>
          <w:bCs/>
        </w:rPr>
        <w:t xml:space="preserve"> </w:t>
      </w:r>
      <w:r w:rsidR="003D35F3" w:rsidRPr="005A6615">
        <w:rPr>
          <w:bCs/>
        </w:rPr>
        <w:t>will</w:t>
      </w:r>
      <w:r w:rsidR="000B1CED">
        <w:rPr>
          <w:bCs/>
        </w:rPr>
        <w:t xml:space="preserve"> also</w:t>
      </w:r>
      <w:r w:rsidR="003D35F3" w:rsidRPr="005A6615">
        <w:rPr>
          <w:bCs/>
        </w:rPr>
        <w:t xml:space="preserve"> receive thank you </w:t>
      </w:r>
      <w:r w:rsidR="00FC4772" w:rsidRPr="005A6615">
        <w:rPr>
          <w:bCs/>
        </w:rPr>
        <w:t xml:space="preserve">emails notifying them that their surveys were received by the study team </w:t>
      </w:r>
      <w:r w:rsidR="003D35F3" w:rsidRPr="005A6615">
        <w:rPr>
          <w:bCs/>
        </w:rPr>
        <w:t>(Appendi</w:t>
      </w:r>
      <w:r>
        <w:rPr>
          <w:bCs/>
        </w:rPr>
        <w:t>ces K</w:t>
      </w:r>
      <w:r w:rsidR="00451120">
        <w:rPr>
          <w:bCs/>
        </w:rPr>
        <w:t xml:space="preserve"> through M</w:t>
      </w:r>
      <w:r>
        <w:rPr>
          <w:bCs/>
        </w:rPr>
        <w:t>, respectively</w:t>
      </w:r>
      <w:r w:rsidR="000B1CED">
        <w:rPr>
          <w:bCs/>
        </w:rPr>
        <w:t xml:space="preserve">). The time required to read these emails has been factored into the additional </w:t>
      </w:r>
      <w:r w:rsidR="00F3426B">
        <w:rPr>
          <w:bCs/>
        </w:rPr>
        <w:t>time</w:t>
      </w:r>
      <w:r w:rsidR="000B1CED">
        <w:rPr>
          <w:bCs/>
        </w:rPr>
        <w:t xml:space="preserve"> survey respondents may require </w:t>
      </w:r>
      <w:r w:rsidR="00EE17E6">
        <w:rPr>
          <w:bCs/>
        </w:rPr>
        <w:t>for</w:t>
      </w:r>
      <w:r w:rsidR="000B1CED">
        <w:rPr>
          <w:bCs/>
        </w:rPr>
        <w:t xml:space="preserve"> follow-up </w:t>
      </w:r>
      <w:r w:rsidR="00EE17E6">
        <w:rPr>
          <w:bCs/>
        </w:rPr>
        <w:t>communications</w:t>
      </w:r>
      <w:r w:rsidR="000B1CED">
        <w:rPr>
          <w:bCs/>
        </w:rPr>
        <w:t xml:space="preserve"> </w:t>
      </w:r>
      <w:r w:rsidR="00EE17E6">
        <w:rPr>
          <w:bCs/>
        </w:rPr>
        <w:t>with</w:t>
      </w:r>
      <w:r w:rsidR="000B1CED">
        <w:rPr>
          <w:bCs/>
        </w:rPr>
        <w:t xml:space="preserve"> the research team.</w:t>
      </w:r>
    </w:p>
    <w:p w14:paraId="373BFA0A" w14:textId="0B214ED5" w:rsidR="003D35F3" w:rsidRDefault="003D35F3" w:rsidP="003D35F3"/>
    <w:p w14:paraId="17D9F8C1" w14:textId="77777777" w:rsidR="005B634F" w:rsidRDefault="005B634F" w:rsidP="003D35F3"/>
    <w:p w14:paraId="12F429AD" w14:textId="77777777" w:rsidR="001C6504" w:rsidRDefault="001C6504" w:rsidP="003D35F3">
      <w:pPr>
        <w:rPr>
          <w:rFonts w:ascii="Calibri" w:hAnsi="Calibri"/>
          <w:b/>
          <w:bCs/>
          <w:iCs/>
          <w:color w:val="1E4F5C"/>
          <w:szCs w:val="28"/>
        </w:rPr>
      </w:pPr>
      <w:r>
        <w:rPr>
          <w:rFonts w:ascii="Calibri" w:hAnsi="Calibri"/>
          <w:b/>
          <w:bCs/>
          <w:iCs/>
          <w:color w:val="1E4F5C"/>
          <w:szCs w:val="28"/>
        </w:rPr>
        <w:t xml:space="preserve">B.2.2. Phone Interviews </w:t>
      </w:r>
    </w:p>
    <w:p w14:paraId="3BEF95BC" w14:textId="64DC2D41" w:rsidR="00ED188B" w:rsidRDefault="001C6504" w:rsidP="001C6504">
      <w:r>
        <w:t>The research team will conduct</w:t>
      </w:r>
      <w:r w:rsidR="00965907">
        <w:t xml:space="preserve"> Interviews with Child Welfare Agenc</w:t>
      </w:r>
      <w:r w:rsidR="00152BF6">
        <w:t>y Administrators</w:t>
      </w:r>
      <w:r w:rsidR="00965907">
        <w:t xml:space="preserve"> (Appendix F) via </w:t>
      </w:r>
      <w:r>
        <w:t xml:space="preserve">phone </w:t>
      </w:r>
      <w:r w:rsidR="00965907">
        <w:t>for</w:t>
      </w:r>
      <w:r>
        <w:t xml:space="preserve"> sites</w:t>
      </w:r>
      <w:r w:rsidR="00965907">
        <w:t xml:space="preserve"> with public custody arrangements</w:t>
      </w:r>
      <w:r>
        <w:t xml:space="preserve"> </w:t>
      </w:r>
      <w:r w:rsidR="000469AB">
        <w:t xml:space="preserve">that </w:t>
      </w:r>
      <w:r>
        <w:t>will not be visited during the site visit</w:t>
      </w:r>
      <w:r w:rsidR="00ED188B">
        <w:t xml:space="preserve">s (see </w:t>
      </w:r>
      <w:r w:rsidR="00962E83">
        <w:t xml:space="preserve">B.2.3 </w:t>
      </w:r>
      <w:r w:rsidR="00ED188B">
        <w:t>below)</w:t>
      </w:r>
      <w:r>
        <w:t xml:space="preserve">. </w:t>
      </w:r>
      <w:r w:rsidR="00ED188B">
        <w:t>The team will contact potential respondents by email to identify a date and time during which to have this conversation.</w:t>
      </w:r>
    </w:p>
    <w:p w14:paraId="71501680" w14:textId="77777777" w:rsidR="00ED188B" w:rsidRDefault="00ED188B" w:rsidP="001C6504"/>
    <w:p w14:paraId="287C1819" w14:textId="2960098D" w:rsidR="001C6504" w:rsidRDefault="001C6504" w:rsidP="001C6504">
      <w:r>
        <w:t>With a total of eight public custody sites in six states,</w:t>
      </w:r>
      <w:r w:rsidR="00A2607F">
        <w:t xml:space="preserve"> and </w:t>
      </w:r>
      <w:r w:rsidR="00965907">
        <w:t xml:space="preserve">an assumption </w:t>
      </w:r>
      <w:r w:rsidR="00A2607F">
        <w:t xml:space="preserve">that the research team visits at least </w:t>
      </w:r>
      <w:r w:rsidR="00C535B5">
        <w:t xml:space="preserve">one </w:t>
      </w:r>
      <w:r w:rsidR="00A2607F">
        <w:t xml:space="preserve">public custody site, there would be a maximum of </w:t>
      </w:r>
      <w:r w:rsidR="00C535B5">
        <w:t xml:space="preserve">seven </w:t>
      </w:r>
      <w:r w:rsidR="00A2607F">
        <w:t>phone interview</w:t>
      </w:r>
      <w:r w:rsidR="00494191">
        <w:t xml:space="preserve">s with up to two respondents </w:t>
      </w:r>
      <w:r w:rsidR="00A2607F">
        <w:t xml:space="preserve">from </w:t>
      </w:r>
      <w:r w:rsidR="00494191">
        <w:t xml:space="preserve">the </w:t>
      </w:r>
      <w:r w:rsidR="00A2607F">
        <w:t>child welfare agencies</w:t>
      </w:r>
      <w:r w:rsidR="000D3BD7">
        <w:t xml:space="preserve"> (for a total of 14 respondents)</w:t>
      </w:r>
      <w:r w:rsidR="00A2607F">
        <w:t xml:space="preserve">. </w:t>
      </w:r>
      <w:r w:rsidR="00ED188B">
        <w:t xml:space="preserve">Interviews will last </w:t>
      </w:r>
      <w:r w:rsidR="00965907">
        <w:t>60 minutes (1 hour)</w:t>
      </w:r>
      <w:r w:rsidR="00ED188B">
        <w:t>.</w:t>
      </w:r>
    </w:p>
    <w:p w14:paraId="3BB54AA1" w14:textId="77777777" w:rsidR="001C6504" w:rsidRDefault="001C6504" w:rsidP="003D35F3">
      <w:pPr>
        <w:rPr>
          <w:rFonts w:ascii="Calibri" w:hAnsi="Calibri"/>
          <w:b/>
          <w:bCs/>
          <w:iCs/>
          <w:color w:val="1E4F5C"/>
          <w:szCs w:val="28"/>
        </w:rPr>
      </w:pPr>
    </w:p>
    <w:p w14:paraId="34FCCA45" w14:textId="77777777" w:rsidR="003D35F3" w:rsidRPr="000469AB" w:rsidRDefault="003D35F3" w:rsidP="003D35F3">
      <w:pPr>
        <w:rPr>
          <w:rFonts w:ascii="Calibri" w:hAnsi="Calibri"/>
          <w:b/>
          <w:bCs/>
          <w:iCs/>
          <w:color w:val="1E4F5C"/>
          <w:szCs w:val="28"/>
        </w:rPr>
      </w:pPr>
      <w:r w:rsidRPr="000469AB">
        <w:rPr>
          <w:rFonts w:ascii="Calibri" w:hAnsi="Calibri"/>
          <w:b/>
          <w:bCs/>
          <w:iCs/>
          <w:color w:val="1E4F5C"/>
          <w:szCs w:val="28"/>
        </w:rPr>
        <w:t>B.2.</w:t>
      </w:r>
      <w:r w:rsidR="001C6504">
        <w:rPr>
          <w:rFonts w:ascii="Calibri" w:hAnsi="Calibri"/>
          <w:b/>
          <w:bCs/>
          <w:iCs/>
          <w:color w:val="1E4F5C"/>
          <w:szCs w:val="28"/>
        </w:rPr>
        <w:t>3</w:t>
      </w:r>
      <w:r w:rsidRPr="000469AB">
        <w:rPr>
          <w:rFonts w:ascii="Calibri" w:hAnsi="Calibri"/>
          <w:b/>
          <w:bCs/>
          <w:iCs/>
          <w:color w:val="1E4F5C"/>
          <w:szCs w:val="28"/>
        </w:rPr>
        <w:t>. Site visits</w:t>
      </w:r>
    </w:p>
    <w:p w14:paraId="60E8935A" w14:textId="7D91A07F" w:rsidR="003E3AFF" w:rsidRDefault="003E3AFF" w:rsidP="003E3AFF">
      <w:r w:rsidRPr="009531FA">
        <w:t xml:space="preserve">Using the criteria mentioned above, the study team will select sites </w:t>
      </w:r>
      <w:r w:rsidR="009E691D">
        <w:t xml:space="preserve">with </w:t>
      </w:r>
      <w:r w:rsidR="009531FA" w:rsidRPr="009531FA">
        <w:t>a variety of program characteristics</w:t>
      </w:r>
      <w:r w:rsidRPr="009531FA">
        <w:t>. Once the six sites have been finalized, the study team will work with the sites to identify dates for the site visits based on availability of local staff. The research team will work with s</w:t>
      </w:r>
      <w:r w:rsidR="009531FA">
        <w:t xml:space="preserve">ites to schedule interviews with URM program managers and staff, child welfare </w:t>
      </w:r>
      <w:r w:rsidR="00ED016E">
        <w:t>agenc</w:t>
      </w:r>
      <w:r w:rsidR="001177B7">
        <w:t>y administrators</w:t>
      </w:r>
      <w:r w:rsidR="009531FA">
        <w:t>, and local community partners</w:t>
      </w:r>
      <w:r w:rsidR="009E691D">
        <w:t xml:space="preserve"> that provide services to URM youth</w:t>
      </w:r>
      <w:r w:rsidRPr="009531FA">
        <w:t>. The interviews will last</w:t>
      </w:r>
      <w:r w:rsidR="009531FA">
        <w:t xml:space="preserve"> between</w:t>
      </w:r>
      <w:r w:rsidRPr="009531FA">
        <w:t xml:space="preserve"> 60 and 9</w:t>
      </w:r>
      <w:r w:rsidR="00EC05FA">
        <w:t xml:space="preserve">0 minutes and will use </w:t>
      </w:r>
      <w:r w:rsidRPr="009531FA">
        <w:t>discussion</w:t>
      </w:r>
      <w:r w:rsidR="00EC05FA">
        <w:t xml:space="preserve"> guides, included in Appendices </w:t>
      </w:r>
      <w:r w:rsidR="00EC05FA" w:rsidRPr="00A54442">
        <w:t>D-</w:t>
      </w:r>
      <w:r w:rsidR="001A5A5F">
        <w:t>H</w:t>
      </w:r>
      <w:r w:rsidR="00EC05FA">
        <w:t>.</w:t>
      </w:r>
      <w:r w:rsidR="00F00432">
        <w:t xml:space="preserve"> The site visits will include the following interviews:</w:t>
      </w:r>
    </w:p>
    <w:p w14:paraId="5569DF2D" w14:textId="06668139" w:rsidR="00F00432" w:rsidRDefault="00F00432" w:rsidP="00F00432">
      <w:pPr>
        <w:numPr>
          <w:ilvl w:val="0"/>
          <w:numId w:val="19"/>
        </w:numPr>
      </w:pPr>
      <w:r>
        <w:t xml:space="preserve">1 90-minute </w:t>
      </w:r>
      <w:r w:rsidR="00965907">
        <w:t>I</w:t>
      </w:r>
      <w:r>
        <w:t xml:space="preserve">nterview with the URM </w:t>
      </w:r>
      <w:r w:rsidR="00965907">
        <w:t>P</w:t>
      </w:r>
      <w:r>
        <w:t xml:space="preserve">rogram </w:t>
      </w:r>
      <w:r w:rsidR="00965907">
        <w:t>M</w:t>
      </w:r>
      <w:r>
        <w:t>anager</w:t>
      </w:r>
      <w:r w:rsidR="00965907">
        <w:t xml:space="preserve"> (Appendix D)</w:t>
      </w:r>
    </w:p>
    <w:p w14:paraId="59A3A85F" w14:textId="751B2D02" w:rsidR="00F00432" w:rsidRDefault="00F00432" w:rsidP="00F00432">
      <w:pPr>
        <w:numPr>
          <w:ilvl w:val="0"/>
          <w:numId w:val="19"/>
        </w:numPr>
      </w:pPr>
      <w:r>
        <w:t xml:space="preserve">1 90-minute </w:t>
      </w:r>
      <w:r w:rsidR="00AF021C">
        <w:t xml:space="preserve">Interview </w:t>
      </w:r>
      <w:r>
        <w:t xml:space="preserve">with URM </w:t>
      </w:r>
      <w:r w:rsidR="00965907">
        <w:t>Program Case M</w:t>
      </w:r>
      <w:r>
        <w:t>anagers</w:t>
      </w:r>
      <w:r w:rsidR="00494191">
        <w:t xml:space="preserve"> </w:t>
      </w:r>
      <w:r w:rsidR="00965907">
        <w:t>(Appendix E)</w:t>
      </w:r>
    </w:p>
    <w:p w14:paraId="767F3B58" w14:textId="2ABD65D7" w:rsidR="00F00432" w:rsidRDefault="00F00432" w:rsidP="00F00432">
      <w:pPr>
        <w:numPr>
          <w:ilvl w:val="0"/>
          <w:numId w:val="19"/>
        </w:numPr>
      </w:pPr>
      <w:r>
        <w:t xml:space="preserve">1 </w:t>
      </w:r>
      <w:r w:rsidR="00CF3834">
        <w:t>60</w:t>
      </w:r>
      <w:r>
        <w:t xml:space="preserve">-minute </w:t>
      </w:r>
      <w:r w:rsidR="00965907">
        <w:t>I</w:t>
      </w:r>
      <w:r>
        <w:t xml:space="preserve">nterviews with other URM </w:t>
      </w:r>
      <w:r w:rsidR="00965907">
        <w:t>Program Staff (Appendix E)</w:t>
      </w:r>
    </w:p>
    <w:p w14:paraId="2FA4E378" w14:textId="77777777" w:rsidR="008A7730" w:rsidRPr="00BF49A5" w:rsidRDefault="008A7730" w:rsidP="008A7730">
      <w:pPr>
        <w:numPr>
          <w:ilvl w:val="0"/>
          <w:numId w:val="19"/>
        </w:numPr>
      </w:pPr>
      <w:r w:rsidRPr="00BF49A5">
        <w:t xml:space="preserve">1 </w:t>
      </w:r>
      <w:r>
        <w:t>6</w:t>
      </w:r>
      <w:r w:rsidRPr="00BF49A5">
        <w:t xml:space="preserve">0-minute </w:t>
      </w:r>
      <w:r w:rsidRPr="00145AE0">
        <w:t>Intervie</w:t>
      </w:r>
      <w:r w:rsidRPr="00BF49A5">
        <w:t>w</w:t>
      </w:r>
      <w:r w:rsidRPr="00145AE0">
        <w:t xml:space="preserve"> with Child Welfare Agenc</w:t>
      </w:r>
      <w:r>
        <w:t>y</w:t>
      </w:r>
      <w:r w:rsidRPr="00145AE0">
        <w:t xml:space="preserve"> </w:t>
      </w:r>
      <w:r>
        <w:t xml:space="preserve">Administrators </w:t>
      </w:r>
      <w:r w:rsidRPr="00BF49A5">
        <w:t>(Appendix F)</w:t>
      </w:r>
    </w:p>
    <w:p w14:paraId="0A14A252" w14:textId="50EFE479" w:rsidR="00F00432" w:rsidRDefault="00F00432" w:rsidP="00F00432">
      <w:pPr>
        <w:numPr>
          <w:ilvl w:val="0"/>
          <w:numId w:val="19"/>
        </w:numPr>
      </w:pPr>
      <w:r>
        <w:t xml:space="preserve">4 60-minute </w:t>
      </w:r>
      <w:r w:rsidR="00C84956">
        <w:t xml:space="preserve">Interviews </w:t>
      </w:r>
      <w:r>
        <w:t xml:space="preserve">with </w:t>
      </w:r>
      <w:r w:rsidR="00C84956">
        <w:t xml:space="preserve">Community Partner [General] Staff </w:t>
      </w:r>
      <w:r w:rsidR="00965907">
        <w:t>(Appendix G)</w:t>
      </w:r>
    </w:p>
    <w:p w14:paraId="54A3E74C" w14:textId="65DEC934" w:rsidR="00F00432" w:rsidRDefault="00F00432" w:rsidP="00F00432">
      <w:pPr>
        <w:numPr>
          <w:ilvl w:val="0"/>
          <w:numId w:val="19"/>
        </w:numPr>
      </w:pPr>
      <w:r>
        <w:t xml:space="preserve">1 60-minute </w:t>
      </w:r>
      <w:r w:rsidR="00C84956">
        <w:t>I</w:t>
      </w:r>
      <w:r>
        <w:t xml:space="preserve">nterview with </w:t>
      </w:r>
      <w:r w:rsidR="00C84956">
        <w:t xml:space="preserve">Community Partner [Education] Staff </w:t>
      </w:r>
      <w:r w:rsidR="00965907">
        <w:t>(Appendix H)</w:t>
      </w:r>
    </w:p>
    <w:p w14:paraId="5EFE49DD" w14:textId="77777777" w:rsidR="003E3AFF" w:rsidRDefault="003E3AFF" w:rsidP="003E3AFF"/>
    <w:p w14:paraId="5C649B52" w14:textId="582DD8D1" w:rsidR="00494191" w:rsidRDefault="00494191" w:rsidP="003E3AFF">
      <w:r>
        <w:t xml:space="preserve">We anticipate </w:t>
      </w:r>
      <w:r w:rsidR="00DD0811">
        <w:t>one or two</w:t>
      </w:r>
      <w:r w:rsidR="004513F2">
        <w:t xml:space="preserve"> respondents for the </w:t>
      </w:r>
      <w:r w:rsidR="00C84956">
        <w:t xml:space="preserve">Interview with </w:t>
      </w:r>
      <w:r w:rsidR="004513F2">
        <w:t xml:space="preserve">URM </w:t>
      </w:r>
      <w:r w:rsidR="00C84956">
        <w:t>Program M</w:t>
      </w:r>
      <w:r w:rsidR="004513F2">
        <w:t>anager</w:t>
      </w:r>
      <w:r w:rsidR="00DD0811">
        <w:t xml:space="preserve"> for an average of 1.5 respondents</w:t>
      </w:r>
      <w:r w:rsidR="004513F2">
        <w:t xml:space="preserve"> </w:t>
      </w:r>
      <w:r w:rsidR="00C84956">
        <w:t>(Appendix D)</w:t>
      </w:r>
      <w:r w:rsidR="004513F2">
        <w:t xml:space="preserve">, between two and four respondents </w:t>
      </w:r>
      <w:r w:rsidR="009F6672">
        <w:t xml:space="preserve">each </w:t>
      </w:r>
      <w:r w:rsidR="004513F2">
        <w:t xml:space="preserve">for the </w:t>
      </w:r>
      <w:r w:rsidR="00C84956">
        <w:t xml:space="preserve">Interview with </w:t>
      </w:r>
      <w:r w:rsidR="004513F2">
        <w:t xml:space="preserve">URM </w:t>
      </w:r>
      <w:r w:rsidR="00C84956">
        <w:t>P</w:t>
      </w:r>
      <w:r w:rsidR="004513F2">
        <w:t xml:space="preserve">rogram </w:t>
      </w:r>
      <w:r w:rsidR="00C84956">
        <w:t>S</w:t>
      </w:r>
      <w:r w:rsidR="004513F2">
        <w:t>taff</w:t>
      </w:r>
      <w:r w:rsidR="00F3426B">
        <w:t xml:space="preserve"> and </w:t>
      </w:r>
      <w:r w:rsidR="009F6672">
        <w:t xml:space="preserve">the </w:t>
      </w:r>
      <w:r w:rsidR="00AF021C">
        <w:t>I</w:t>
      </w:r>
      <w:r w:rsidR="009F6672">
        <w:t xml:space="preserve">nterview </w:t>
      </w:r>
      <w:r w:rsidR="00AF021C">
        <w:t xml:space="preserve">with </w:t>
      </w:r>
      <w:r w:rsidR="00F3426B">
        <w:t xml:space="preserve">Program Case Managers </w:t>
      </w:r>
      <w:r w:rsidR="00DD0811">
        <w:t xml:space="preserve">for an average of three respondents from each group </w:t>
      </w:r>
      <w:r w:rsidR="00C84956">
        <w:t>(</w:t>
      </w:r>
      <w:r w:rsidR="009F6672">
        <w:t xml:space="preserve">both </w:t>
      </w:r>
      <w:r w:rsidR="00DD0811">
        <w:t xml:space="preserve">using </w:t>
      </w:r>
      <w:r w:rsidR="00C84956">
        <w:t>Appendix E)</w:t>
      </w:r>
      <w:r w:rsidR="004513F2">
        <w:t xml:space="preserve">, </w:t>
      </w:r>
      <w:r>
        <w:t>two respondents</w:t>
      </w:r>
      <w:r w:rsidR="00AC4FA3">
        <w:t xml:space="preserve"> </w:t>
      </w:r>
      <w:r w:rsidR="004513F2">
        <w:t>for</w:t>
      </w:r>
      <w:r w:rsidR="00C84956">
        <w:t xml:space="preserve"> each</w:t>
      </w:r>
      <w:r w:rsidR="009F6672">
        <w:t xml:space="preserve"> of</w:t>
      </w:r>
      <w:r w:rsidR="004513F2">
        <w:t xml:space="preserve"> the </w:t>
      </w:r>
      <w:r w:rsidR="00C84956">
        <w:t>Interview</w:t>
      </w:r>
      <w:r w:rsidR="009F6672">
        <w:t>s</w:t>
      </w:r>
      <w:r w:rsidR="00C84956">
        <w:t xml:space="preserve"> with Community Partners [General</w:t>
      </w:r>
      <w:r w:rsidR="009F6672">
        <w:t>] and the Interview with Community Partner</w:t>
      </w:r>
      <w:r w:rsidR="00C84956">
        <w:t xml:space="preserve"> </w:t>
      </w:r>
      <w:r w:rsidR="009F6672">
        <w:t>[</w:t>
      </w:r>
      <w:r w:rsidR="00C84956">
        <w:t>Education] (Appendices G and H, respectively)</w:t>
      </w:r>
      <w:r w:rsidR="00A706E1">
        <w:t>, and two respondents for the Interview with Child Welfare Agenc</w:t>
      </w:r>
      <w:r w:rsidR="00436032">
        <w:t>y</w:t>
      </w:r>
      <w:r w:rsidR="00A706E1">
        <w:t xml:space="preserve"> </w:t>
      </w:r>
      <w:r w:rsidR="006C4805">
        <w:t xml:space="preserve">Administrators </w:t>
      </w:r>
      <w:r w:rsidR="00A706E1">
        <w:t>(Appendix F)</w:t>
      </w:r>
      <w:r w:rsidR="004513F2">
        <w:t>.</w:t>
      </w:r>
    </w:p>
    <w:p w14:paraId="1AA7722E" w14:textId="77777777" w:rsidR="00494191" w:rsidRPr="009531FA" w:rsidRDefault="00494191" w:rsidP="003E3AFF"/>
    <w:p w14:paraId="24D41CF0" w14:textId="16913538" w:rsidR="00253148" w:rsidRDefault="003E3AFF" w:rsidP="00FD1B70">
      <w:r w:rsidRPr="009531FA">
        <w:t xml:space="preserve">The research team plans to conduct </w:t>
      </w:r>
      <w:r w:rsidR="00965907">
        <w:t>one Focus Group with URM Youth</w:t>
      </w:r>
      <w:r w:rsidR="00965907" w:rsidRPr="009531FA">
        <w:t xml:space="preserve"> </w:t>
      </w:r>
      <w:r w:rsidR="00965907">
        <w:t xml:space="preserve">(Appendix I) and one Focus Group with URM Foster </w:t>
      </w:r>
      <w:r w:rsidR="00442217">
        <w:t xml:space="preserve">Families </w:t>
      </w:r>
      <w:r w:rsidR="00965907">
        <w:t>(Appendix J)</w:t>
      </w:r>
      <w:r w:rsidR="00831FE1">
        <w:t xml:space="preserve"> at each site</w:t>
      </w:r>
      <w:r w:rsidR="00965907">
        <w:t xml:space="preserve">. </w:t>
      </w:r>
      <w:r w:rsidR="00831FE1">
        <w:t>These f</w:t>
      </w:r>
      <w:r w:rsidRPr="009531FA">
        <w:t>ocus group</w:t>
      </w:r>
      <w:r w:rsidR="00EC05FA">
        <w:t>s at each site</w:t>
      </w:r>
      <w:r w:rsidRPr="009531FA">
        <w:t xml:space="preserve"> </w:t>
      </w:r>
      <w:r w:rsidR="00CB1E4A">
        <w:t>will be</w:t>
      </w:r>
      <w:r w:rsidR="0061344F">
        <w:t xml:space="preserve"> </w:t>
      </w:r>
      <w:r w:rsidRPr="009531FA">
        <w:t xml:space="preserve">comprised of </w:t>
      </w:r>
      <w:r w:rsidR="00D234B6">
        <w:t xml:space="preserve">seven to ten </w:t>
      </w:r>
      <w:r w:rsidR="00EC05FA">
        <w:t xml:space="preserve">URM youth and </w:t>
      </w:r>
      <w:r w:rsidR="00D234B6">
        <w:t>seven to ten</w:t>
      </w:r>
      <w:r w:rsidR="00EC05FA">
        <w:t xml:space="preserve"> URM foster parents, respectively</w:t>
      </w:r>
      <w:r w:rsidR="00DD0811">
        <w:t xml:space="preserve">; we </w:t>
      </w:r>
      <w:r w:rsidR="00D234B6">
        <w:t>estimate nine</w:t>
      </w:r>
      <w:r w:rsidR="00DD0811">
        <w:t xml:space="preserve"> respondents from each group in our burden estimate</w:t>
      </w:r>
      <w:r w:rsidRPr="009531FA">
        <w:t xml:space="preserve">. The </w:t>
      </w:r>
      <w:r w:rsidR="00965907">
        <w:t xml:space="preserve">focus </w:t>
      </w:r>
      <w:r w:rsidRPr="009531FA">
        <w:t>group discussions will last 90 minutes</w:t>
      </w:r>
      <w:r w:rsidR="00831FE1">
        <w:t>.</w:t>
      </w:r>
    </w:p>
    <w:p w14:paraId="44840C0B" w14:textId="449526C8" w:rsidR="00345C59" w:rsidRDefault="00345C59" w:rsidP="00FD1B70"/>
    <w:p w14:paraId="28FD9316" w14:textId="5419F2F0" w:rsidR="00442217" w:rsidRDefault="00442217" w:rsidP="00FD1B70">
      <w:r>
        <w:t xml:space="preserve">The table </w:t>
      </w:r>
      <w:r w:rsidR="009F6672">
        <w:t xml:space="preserve">summarizes these estimates of the total number of respondents to all site visit information collection. It </w:t>
      </w:r>
      <w:r>
        <w:t xml:space="preserve">outlines </w:t>
      </w:r>
      <w:r w:rsidR="009F6672">
        <w:t xml:space="preserve">both </w:t>
      </w:r>
      <w:r>
        <w:t xml:space="preserve">the estimated number of </w:t>
      </w:r>
      <w:r w:rsidR="009F6672">
        <w:t xml:space="preserve">interviews per site visit as well as the estimated number of </w:t>
      </w:r>
      <w:r>
        <w:t>respondents per interview.</w:t>
      </w:r>
    </w:p>
    <w:p w14:paraId="0289B5EF" w14:textId="177B23F4" w:rsidR="00242FFD" w:rsidRDefault="00242FFD" w:rsidP="00FD1B70"/>
    <w:p w14:paraId="6A1F139E" w14:textId="352C057E" w:rsidR="00242FFD" w:rsidRDefault="00242FFD" w:rsidP="00FD1B70"/>
    <w:p w14:paraId="74DB7DD9" w14:textId="5C01CA97" w:rsidR="00242FFD" w:rsidRDefault="00242FFD" w:rsidP="00FD1B70"/>
    <w:p w14:paraId="1A6E165A" w14:textId="2470D30D" w:rsidR="00D05C61" w:rsidRDefault="00D05C61" w:rsidP="00D05C61">
      <w:pPr>
        <w:pStyle w:val="Heading2"/>
      </w:pPr>
      <w:bookmarkStart w:id="3" w:name="_Toc519523531"/>
      <w:r>
        <w:t>Exhibit 1: Estimated Number of Respondents for Site Visits</w:t>
      </w:r>
      <w:bookmarkEnd w:id="3"/>
    </w:p>
    <w:p w14:paraId="28C45F43" w14:textId="236B4E3B" w:rsidR="00345C59" w:rsidRDefault="00345C59" w:rsidP="00FD1B70"/>
    <w:tbl>
      <w:tblPr>
        <w:tblStyle w:val="TableGrid"/>
        <w:tblW w:w="0" w:type="auto"/>
        <w:tblLook w:val="04A0" w:firstRow="1" w:lastRow="0" w:firstColumn="1" w:lastColumn="0" w:noHBand="0" w:noVBand="1"/>
      </w:tblPr>
      <w:tblGrid>
        <w:gridCol w:w="1782"/>
        <w:gridCol w:w="1427"/>
        <w:gridCol w:w="1376"/>
        <w:gridCol w:w="1907"/>
        <w:gridCol w:w="1513"/>
        <w:gridCol w:w="1429"/>
      </w:tblGrid>
      <w:tr w:rsidR="00D05C61" w:rsidRPr="00442217" w14:paraId="7337F797" w14:textId="770D447A" w:rsidTr="000D3BD7">
        <w:tc>
          <w:tcPr>
            <w:tcW w:w="1782" w:type="dxa"/>
            <w:vAlign w:val="bottom"/>
          </w:tcPr>
          <w:p w14:paraId="71E0594E" w14:textId="1762AA6A" w:rsidR="00345C59" w:rsidRPr="000D3BD7" w:rsidRDefault="00345C59" w:rsidP="00442217">
            <w:pPr>
              <w:jc w:val="center"/>
              <w:rPr>
                <w:b/>
                <w:sz w:val="22"/>
              </w:rPr>
            </w:pPr>
            <w:r w:rsidRPr="000D3BD7">
              <w:rPr>
                <w:b/>
                <w:sz w:val="22"/>
              </w:rPr>
              <w:t>Interview</w:t>
            </w:r>
            <w:r w:rsidR="00442217" w:rsidRPr="000D3BD7">
              <w:rPr>
                <w:b/>
                <w:sz w:val="22"/>
              </w:rPr>
              <w:t>/Focus Group</w:t>
            </w:r>
          </w:p>
        </w:tc>
        <w:tc>
          <w:tcPr>
            <w:tcW w:w="1427" w:type="dxa"/>
            <w:vAlign w:val="bottom"/>
          </w:tcPr>
          <w:p w14:paraId="46CF0217" w14:textId="6C9CD728" w:rsidR="00345C59" w:rsidRPr="000D3BD7" w:rsidRDefault="00345C59" w:rsidP="00442217">
            <w:pPr>
              <w:jc w:val="center"/>
              <w:rPr>
                <w:b/>
                <w:sz w:val="22"/>
              </w:rPr>
            </w:pPr>
            <w:r w:rsidRPr="000D3BD7">
              <w:rPr>
                <w:b/>
                <w:sz w:val="22"/>
              </w:rPr>
              <w:t>Instrument</w:t>
            </w:r>
          </w:p>
        </w:tc>
        <w:tc>
          <w:tcPr>
            <w:tcW w:w="1376" w:type="dxa"/>
            <w:vAlign w:val="bottom"/>
          </w:tcPr>
          <w:p w14:paraId="0E9016D5" w14:textId="57F704D4" w:rsidR="00345C59" w:rsidRPr="000D3BD7" w:rsidRDefault="00345C59" w:rsidP="00442217">
            <w:pPr>
              <w:jc w:val="center"/>
              <w:rPr>
                <w:b/>
                <w:sz w:val="22"/>
              </w:rPr>
            </w:pPr>
            <w:r w:rsidRPr="000D3BD7">
              <w:rPr>
                <w:b/>
                <w:sz w:val="22"/>
              </w:rPr>
              <w:t>Number of Interviews Per Site Visit</w:t>
            </w:r>
          </w:p>
        </w:tc>
        <w:tc>
          <w:tcPr>
            <w:tcW w:w="1907" w:type="dxa"/>
            <w:vAlign w:val="bottom"/>
          </w:tcPr>
          <w:p w14:paraId="48C8A120" w14:textId="3A81170D" w:rsidR="00345C59" w:rsidRPr="000D3BD7" w:rsidRDefault="00345C59" w:rsidP="00442217">
            <w:pPr>
              <w:jc w:val="center"/>
              <w:rPr>
                <w:b/>
                <w:sz w:val="22"/>
              </w:rPr>
            </w:pPr>
            <w:r w:rsidRPr="000D3BD7">
              <w:rPr>
                <w:b/>
                <w:sz w:val="22"/>
              </w:rPr>
              <w:t>Estimated Number of Respondents per Interview/Focus Group</w:t>
            </w:r>
          </w:p>
        </w:tc>
        <w:tc>
          <w:tcPr>
            <w:tcW w:w="1513" w:type="dxa"/>
            <w:vAlign w:val="bottom"/>
          </w:tcPr>
          <w:p w14:paraId="53DA27DC" w14:textId="00B5124C" w:rsidR="00345C59" w:rsidRPr="000D3BD7" w:rsidRDefault="00345C59" w:rsidP="00442217">
            <w:pPr>
              <w:jc w:val="center"/>
              <w:rPr>
                <w:b/>
                <w:sz w:val="22"/>
              </w:rPr>
            </w:pPr>
            <w:r w:rsidRPr="000D3BD7">
              <w:rPr>
                <w:b/>
                <w:sz w:val="22"/>
              </w:rPr>
              <w:t>Total Number of Respondents Per Site Visit</w:t>
            </w:r>
          </w:p>
        </w:tc>
        <w:tc>
          <w:tcPr>
            <w:tcW w:w="1345" w:type="dxa"/>
            <w:vAlign w:val="bottom"/>
          </w:tcPr>
          <w:p w14:paraId="5308EFB6" w14:textId="51923AFA" w:rsidR="00345C59" w:rsidRPr="000D3BD7" w:rsidRDefault="00345C59" w:rsidP="00442217">
            <w:pPr>
              <w:jc w:val="center"/>
              <w:rPr>
                <w:b/>
                <w:sz w:val="22"/>
              </w:rPr>
            </w:pPr>
            <w:r w:rsidRPr="000D3BD7">
              <w:rPr>
                <w:b/>
                <w:sz w:val="22"/>
              </w:rPr>
              <w:t>Total Number of Respondents</w:t>
            </w:r>
            <w:r w:rsidR="00E03BA5">
              <w:rPr>
                <w:b/>
                <w:sz w:val="22"/>
              </w:rPr>
              <w:t xml:space="preserve"> for Six Site Visits</w:t>
            </w:r>
          </w:p>
        </w:tc>
      </w:tr>
      <w:tr w:rsidR="00D05C61" w:rsidRPr="00442217" w14:paraId="790133FF" w14:textId="311B478C" w:rsidTr="000D3BD7">
        <w:tc>
          <w:tcPr>
            <w:tcW w:w="1782" w:type="dxa"/>
          </w:tcPr>
          <w:p w14:paraId="45223F6F" w14:textId="76F0781A" w:rsidR="00345C59" w:rsidRPr="00442217" w:rsidRDefault="00345C59" w:rsidP="00345C59">
            <w:pPr>
              <w:rPr>
                <w:sz w:val="22"/>
              </w:rPr>
            </w:pPr>
            <w:r w:rsidRPr="00442217">
              <w:rPr>
                <w:sz w:val="22"/>
              </w:rPr>
              <w:t>URM Program Manager</w:t>
            </w:r>
          </w:p>
        </w:tc>
        <w:tc>
          <w:tcPr>
            <w:tcW w:w="1427" w:type="dxa"/>
          </w:tcPr>
          <w:p w14:paraId="4DE86E99" w14:textId="3E06B372" w:rsidR="00345C59" w:rsidRPr="00442217" w:rsidRDefault="00345C59" w:rsidP="00345C59">
            <w:pPr>
              <w:rPr>
                <w:sz w:val="22"/>
              </w:rPr>
            </w:pPr>
            <w:r w:rsidRPr="00442217">
              <w:rPr>
                <w:sz w:val="22"/>
              </w:rPr>
              <w:t>Appendix D</w:t>
            </w:r>
          </w:p>
        </w:tc>
        <w:tc>
          <w:tcPr>
            <w:tcW w:w="1376" w:type="dxa"/>
          </w:tcPr>
          <w:p w14:paraId="68E7C549" w14:textId="221F0098" w:rsidR="00345C59" w:rsidRPr="00442217" w:rsidRDefault="00345C59" w:rsidP="00345C59">
            <w:pPr>
              <w:rPr>
                <w:sz w:val="22"/>
              </w:rPr>
            </w:pPr>
            <w:r w:rsidRPr="00442217">
              <w:rPr>
                <w:sz w:val="22"/>
              </w:rPr>
              <w:t>1</w:t>
            </w:r>
          </w:p>
        </w:tc>
        <w:tc>
          <w:tcPr>
            <w:tcW w:w="1907" w:type="dxa"/>
          </w:tcPr>
          <w:p w14:paraId="1E887C54" w14:textId="6BADAD44" w:rsidR="00345C59" w:rsidRPr="00442217" w:rsidRDefault="00345C59" w:rsidP="00345C59">
            <w:pPr>
              <w:rPr>
                <w:sz w:val="22"/>
              </w:rPr>
            </w:pPr>
            <w:r w:rsidRPr="00442217">
              <w:rPr>
                <w:sz w:val="22"/>
              </w:rPr>
              <w:t>1-2 (average 1.5)</w:t>
            </w:r>
          </w:p>
        </w:tc>
        <w:tc>
          <w:tcPr>
            <w:tcW w:w="1513" w:type="dxa"/>
          </w:tcPr>
          <w:p w14:paraId="75167130" w14:textId="10735E6B" w:rsidR="00345C59" w:rsidRPr="00442217" w:rsidRDefault="00345C59" w:rsidP="00345C59">
            <w:pPr>
              <w:rPr>
                <w:sz w:val="22"/>
              </w:rPr>
            </w:pPr>
            <w:r w:rsidRPr="00442217">
              <w:rPr>
                <w:sz w:val="22"/>
              </w:rPr>
              <w:t>1.5</w:t>
            </w:r>
          </w:p>
        </w:tc>
        <w:tc>
          <w:tcPr>
            <w:tcW w:w="1345" w:type="dxa"/>
          </w:tcPr>
          <w:p w14:paraId="7E9485FF" w14:textId="431D1632" w:rsidR="00345C59" w:rsidRPr="00345C59" w:rsidRDefault="00345C59" w:rsidP="00345C59">
            <w:pPr>
              <w:rPr>
                <w:sz w:val="22"/>
              </w:rPr>
            </w:pPr>
            <w:r>
              <w:rPr>
                <w:sz w:val="22"/>
              </w:rPr>
              <w:t>9</w:t>
            </w:r>
          </w:p>
        </w:tc>
      </w:tr>
      <w:tr w:rsidR="00D05C61" w:rsidRPr="00442217" w14:paraId="448FEA9B" w14:textId="05249C6C" w:rsidTr="000D3BD7">
        <w:tc>
          <w:tcPr>
            <w:tcW w:w="1782" w:type="dxa"/>
          </w:tcPr>
          <w:p w14:paraId="3E34BDB1" w14:textId="3F2C21CD" w:rsidR="00345C59" w:rsidRPr="00442217" w:rsidRDefault="00345C59" w:rsidP="00345C59">
            <w:pPr>
              <w:rPr>
                <w:sz w:val="22"/>
              </w:rPr>
            </w:pPr>
            <w:r w:rsidRPr="00442217">
              <w:rPr>
                <w:sz w:val="22"/>
              </w:rPr>
              <w:t>URM Program Case Managers</w:t>
            </w:r>
          </w:p>
        </w:tc>
        <w:tc>
          <w:tcPr>
            <w:tcW w:w="1427" w:type="dxa"/>
          </w:tcPr>
          <w:p w14:paraId="085DF31D" w14:textId="2FE28850" w:rsidR="00345C59" w:rsidRPr="00442217" w:rsidRDefault="00345C59" w:rsidP="00345C59">
            <w:pPr>
              <w:rPr>
                <w:sz w:val="22"/>
              </w:rPr>
            </w:pPr>
            <w:r w:rsidRPr="00442217">
              <w:rPr>
                <w:sz w:val="22"/>
              </w:rPr>
              <w:t>Appendix E</w:t>
            </w:r>
          </w:p>
        </w:tc>
        <w:tc>
          <w:tcPr>
            <w:tcW w:w="1376" w:type="dxa"/>
          </w:tcPr>
          <w:p w14:paraId="174461C6" w14:textId="20944499" w:rsidR="00345C59" w:rsidRPr="00442217" w:rsidRDefault="00345C59" w:rsidP="00345C59">
            <w:pPr>
              <w:rPr>
                <w:sz w:val="22"/>
              </w:rPr>
            </w:pPr>
            <w:r w:rsidRPr="00442217">
              <w:rPr>
                <w:sz w:val="22"/>
              </w:rPr>
              <w:t>1</w:t>
            </w:r>
          </w:p>
        </w:tc>
        <w:tc>
          <w:tcPr>
            <w:tcW w:w="1907" w:type="dxa"/>
          </w:tcPr>
          <w:p w14:paraId="3567B249" w14:textId="3EF3F79E" w:rsidR="00345C59" w:rsidRPr="00442217" w:rsidRDefault="00345C59" w:rsidP="00345C59">
            <w:pPr>
              <w:rPr>
                <w:sz w:val="22"/>
              </w:rPr>
            </w:pPr>
            <w:r w:rsidRPr="00442217">
              <w:rPr>
                <w:sz w:val="22"/>
              </w:rPr>
              <w:t>2-4 (average 3)</w:t>
            </w:r>
          </w:p>
        </w:tc>
        <w:tc>
          <w:tcPr>
            <w:tcW w:w="1513" w:type="dxa"/>
          </w:tcPr>
          <w:p w14:paraId="662F6DB0" w14:textId="04447168" w:rsidR="00345C59" w:rsidRPr="00442217" w:rsidRDefault="00345C59" w:rsidP="00345C59">
            <w:pPr>
              <w:rPr>
                <w:sz w:val="22"/>
              </w:rPr>
            </w:pPr>
            <w:r>
              <w:rPr>
                <w:sz w:val="22"/>
              </w:rPr>
              <w:t>3</w:t>
            </w:r>
          </w:p>
        </w:tc>
        <w:tc>
          <w:tcPr>
            <w:tcW w:w="1345" w:type="dxa"/>
          </w:tcPr>
          <w:p w14:paraId="68918F28" w14:textId="361E4ED1" w:rsidR="00345C59" w:rsidRDefault="00345C59" w:rsidP="00345C59">
            <w:pPr>
              <w:rPr>
                <w:sz w:val="22"/>
              </w:rPr>
            </w:pPr>
            <w:r>
              <w:rPr>
                <w:sz w:val="22"/>
              </w:rPr>
              <w:t>18</w:t>
            </w:r>
          </w:p>
        </w:tc>
      </w:tr>
      <w:tr w:rsidR="00D05C61" w:rsidRPr="00442217" w14:paraId="0ED6D295" w14:textId="544F165F" w:rsidTr="000D3BD7">
        <w:tc>
          <w:tcPr>
            <w:tcW w:w="1782" w:type="dxa"/>
          </w:tcPr>
          <w:p w14:paraId="602804D6" w14:textId="27F4C51A" w:rsidR="00345C59" w:rsidRPr="00442217" w:rsidRDefault="00345C59" w:rsidP="00345C59">
            <w:pPr>
              <w:rPr>
                <w:sz w:val="22"/>
              </w:rPr>
            </w:pPr>
            <w:r>
              <w:rPr>
                <w:sz w:val="22"/>
              </w:rPr>
              <w:t>URM Program Staff</w:t>
            </w:r>
          </w:p>
        </w:tc>
        <w:tc>
          <w:tcPr>
            <w:tcW w:w="1427" w:type="dxa"/>
          </w:tcPr>
          <w:p w14:paraId="7A4E7F59" w14:textId="07F8DB24" w:rsidR="00345C59" w:rsidRPr="00442217" w:rsidRDefault="00345C59" w:rsidP="00345C59">
            <w:pPr>
              <w:rPr>
                <w:sz w:val="22"/>
              </w:rPr>
            </w:pPr>
            <w:r>
              <w:rPr>
                <w:sz w:val="22"/>
              </w:rPr>
              <w:t>Appendix E</w:t>
            </w:r>
            <w:r w:rsidR="00E03BA5">
              <w:rPr>
                <w:sz w:val="22"/>
              </w:rPr>
              <w:t>*</w:t>
            </w:r>
          </w:p>
        </w:tc>
        <w:tc>
          <w:tcPr>
            <w:tcW w:w="1376" w:type="dxa"/>
          </w:tcPr>
          <w:p w14:paraId="307871F8" w14:textId="2C9914B1" w:rsidR="00345C59" w:rsidRPr="00442217" w:rsidRDefault="00345C59" w:rsidP="00345C59">
            <w:pPr>
              <w:rPr>
                <w:sz w:val="22"/>
              </w:rPr>
            </w:pPr>
            <w:r>
              <w:rPr>
                <w:sz w:val="22"/>
              </w:rPr>
              <w:t>1</w:t>
            </w:r>
          </w:p>
        </w:tc>
        <w:tc>
          <w:tcPr>
            <w:tcW w:w="1907" w:type="dxa"/>
          </w:tcPr>
          <w:p w14:paraId="17B8FBA8" w14:textId="3DE53409" w:rsidR="00345C59" w:rsidRPr="00442217" w:rsidRDefault="00345C59" w:rsidP="00345C59">
            <w:pPr>
              <w:rPr>
                <w:sz w:val="22"/>
              </w:rPr>
            </w:pPr>
            <w:r>
              <w:rPr>
                <w:sz w:val="22"/>
              </w:rPr>
              <w:t>2</w:t>
            </w:r>
            <w:r w:rsidR="00442217">
              <w:rPr>
                <w:sz w:val="22"/>
              </w:rPr>
              <w:t>-</w:t>
            </w:r>
            <w:r>
              <w:rPr>
                <w:sz w:val="22"/>
              </w:rPr>
              <w:t>4 (average 3)</w:t>
            </w:r>
          </w:p>
        </w:tc>
        <w:tc>
          <w:tcPr>
            <w:tcW w:w="1513" w:type="dxa"/>
          </w:tcPr>
          <w:p w14:paraId="2E9B173A" w14:textId="50BF61CC" w:rsidR="00345C59" w:rsidRPr="00442217" w:rsidRDefault="00345C59" w:rsidP="00345C59">
            <w:pPr>
              <w:rPr>
                <w:sz w:val="22"/>
              </w:rPr>
            </w:pPr>
            <w:r>
              <w:rPr>
                <w:sz w:val="22"/>
              </w:rPr>
              <w:t>3</w:t>
            </w:r>
          </w:p>
        </w:tc>
        <w:tc>
          <w:tcPr>
            <w:tcW w:w="1345" w:type="dxa"/>
          </w:tcPr>
          <w:p w14:paraId="791A177F" w14:textId="161343BC" w:rsidR="00345C59" w:rsidRDefault="00345C59" w:rsidP="00345C59">
            <w:pPr>
              <w:rPr>
                <w:sz w:val="22"/>
              </w:rPr>
            </w:pPr>
            <w:r>
              <w:rPr>
                <w:sz w:val="22"/>
              </w:rPr>
              <w:t>18</w:t>
            </w:r>
          </w:p>
        </w:tc>
      </w:tr>
      <w:tr w:rsidR="00D05C61" w:rsidRPr="00442217" w14:paraId="4CC02426" w14:textId="1C4919F4" w:rsidTr="000D3BD7">
        <w:tc>
          <w:tcPr>
            <w:tcW w:w="1782" w:type="dxa"/>
          </w:tcPr>
          <w:p w14:paraId="62594EAE" w14:textId="31EB2C76" w:rsidR="00345C59" w:rsidRPr="00442217" w:rsidRDefault="00442217" w:rsidP="00345C59">
            <w:pPr>
              <w:rPr>
                <w:sz w:val="22"/>
              </w:rPr>
            </w:pPr>
            <w:r>
              <w:rPr>
                <w:sz w:val="22"/>
              </w:rPr>
              <w:t>Child Welfare Agency Administrators</w:t>
            </w:r>
          </w:p>
        </w:tc>
        <w:tc>
          <w:tcPr>
            <w:tcW w:w="1427" w:type="dxa"/>
          </w:tcPr>
          <w:p w14:paraId="172C5E07" w14:textId="4A46F3CE" w:rsidR="00345C59" w:rsidRPr="00442217" w:rsidRDefault="00442217" w:rsidP="00345C59">
            <w:pPr>
              <w:rPr>
                <w:sz w:val="22"/>
              </w:rPr>
            </w:pPr>
            <w:r>
              <w:rPr>
                <w:sz w:val="22"/>
              </w:rPr>
              <w:t>Appendix F</w:t>
            </w:r>
            <w:r w:rsidR="00E03BA5">
              <w:rPr>
                <w:sz w:val="22"/>
              </w:rPr>
              <w:t>†</w:t>
            </w:r>
          </w:p>
        </w:tc>
        <w:tc>
          <w:tcPr>
            <w:tcW w:w="1376" w:type="dxa"/>
          </w:tcPr>
          <w:p w14:paraId="1C1FECD7" w14:textId="0F234A2E" w:rsidR="00345C59" w:rsidRPr="00442217" w:rsidRDefault="00442217" w:rsidP="00345C59">
            <w:pPr>
              <w:rPr>
                <w:sz w:val="22"/>
              </w:rPr>
            </w:pPr>
            <w:r>
              <w:rPr>
                <w:sz w:val="22"/>
              </w:rPr>
              <w:t>1</w:t>
            </w:r>
          </w:p>
        </w:tc>
        <w:tc>
          <w:tcPr>
            <w:tcW w:w="1907" w:type="dxa"/>
          </w:tcPr>
          <w:p w14:paraId="0FCDB3B9" w14:textId="08AD6EEF" w:rsidR="00345C59" w:rsidRPr="00442217" w:rsidRDefault="00442217" w:rsidP="00345C59">
            <w:pPr>
              <w:rPr>
                <w:sz w:val="22"/>
              </w:rPr>
            </w:pPr>
            <w:r>
              <w:rPr>
                <w:sz w:val="22"/>
              </w:rPr>
              <w:t>2</w:t>
            </w:r>
          </w:p>
        </w:tc>
        <w:tc>
          <w:tcPr>
            <w:tcW w:w="1513" w:type="dxa"/>
          </w:tcPr>
          <w:p w14:paraId="61747BD9" w14:textId="769FD50D" w:rsidR="00345C59" w:rsidRPr="00442217" w:rsidRDefault="00442217" w:rsidP="00345C59">
            <w:pPr>
              <w:rPr>
                <w:sz w:val="22"/>
              </w:rPr>
            </w:pPr>
            <w:r>
              <w:rPr>
                <w:sz w:val="22"/>
              </w:rPr>
              <w:t>2</w:t>
            </w:r>
          </w:p>
        </w:tc>
        <w:tc>
          <w:tcPr>
            <w:tcW w:w="1345" w:type="dxa"/>
          </w:tcPr>
          <w:p w14:paraId="3B75578B" w14:textId="32349BD1" w:rsidR="00345C59" w:rsidRPr="00345C59" w:rsidRDefault="00442217" w:rsidP="00345C59">
            <w:pPr>
              <w:rPr>
                <w:sz w:val="22"/>
              </w:rPr>
            </w:pPr>
            <w:r>
              <w:rPr>
                <w:sz w:val="22"/>
              </w:rPr>
              <w:t>12</w:t>
            </w:r>
          </w:p>
        </w:tc>
      </w:tr>
      <w:tr w:rsidR="00D05C61" w:rsidRPr="00442217" w14:paraId="5ACE48E3" w14:textId="438ED4EE" w:rsidTr="000D3BD7">
        <w:tc>
          <w:tcPr>
            <w:tcW w:w="1782" w:type="dxa"/>
          </w:tcPr>
          <w:p w14:paraId="0237AA5D" w14:textId="0E6BD4AD" w:rsidR="00345C59" w:rsidRPr="00442217" w:rsidRDefault="00442217" w:rsidP="00345C59">
            <w:pPr>
              <w:rPr>
                <w:sz w:val="22"/>
              </w:rPr>
            </w:pPr>
            <w:r>
              <w:rPr>
                <w:sz w:val="22"/>
              </w:rPr>
              <w:t>Community Partners [General]</w:t>
            </w:r>
          </w:p>
        </w:tc>
        <w:tc>
          <w:tcPr>
            <w:tcW w:w="1427" w:type="dxa"/>
          </w:tcPr>
          <w:p w14:paraId="2C8F5C1F" w14:textId="03EE60CE" w:rsidR="00345C59" w:rsidRPr="00442217" w:rsidRDefault="00442217" w:rsidP="00345C59">
            <w:pPr>
              <w:rPr>
                <w:sz w:val="22"/>
              </w:rPr>
            </w:pPr>
            <w:r>
              <w:rPr>
                <w:sz w:val="22"/>
              </w:rPr>
              <w:t>Appendix G</w:t>
            </w:r>
          </w:p>
        </w:tc>
        <w:tc>
          <w:tcPr>
            <w:tcW w:w="1376" w:type="dxa"/>
          </w:tcPr>
          <w:p w14:paraId="12CDDCCB" w14:textId="6B047C20" w:rsidR="00345C59" w:rsidRPr="00442217" w:rsidRDefault="00442217" w:rsidP="00345C59">
            <w:pPr>
              <w:rPr>
                <w:sz w:val="22"/>
              </w:rPr>
            </w:pPr>
            <w:r>
              <w:rPr>
                <w:sz w:val="22"/>
              </w:rPr>
              <w:t>4</w:t>
            </w:r>
          </w:p>
        </w:tc>
        <w:tc>
          <w:tcPr>
            <w:tcW w:w="1907" w:type="dxa"/>
          </w:tcPr>
          <w:p w14:paraId="7E9C25D1" w14:textId="261AC7CB" w:rsidR="00345C59" w:rsidRPr="00442217" w:rsidRDefault="00442217" w:rsidP="00345C59">
            <w:pPr>
              <w:rPr>
                <w:sz w:val="22"/>
              </w:rPr>
            </w:pPr>
            <w:r>
              <w:rPr>
                <w:sz w:val="22"/>
              </w:rPr>
              <w:t>2</w:t>
            </w:r>
          </w:p>
        </w:tc>
        <w:tc>
          <w:tcPr>
            <w:tcW w:w="1513" w:type="dxa"/>
          </w:tcPr>
          <w:p w14:paraId="4763CD78" w14:textId="6C6F8D70" w:rsidR="00345C59" w:rsidRPr="00442217" w:rsidRDefault="00442217" w:rsidP="00345C59">
            <w:pPr>
              <w:rPr>
                <w:sz w:val="22"/>
              </w:rPr>
            </w:pPr>
            <w:r>
              <w:rPr>
                <w:sz w:val="22"/>
              </w:rPr>
              <w:t>8</w:t>
            </w:r>
          </w:p>
        </w:tc>
        <w:tc>
          <w:tcPr>
            <w:tcW w:w="1345" w:type="dxa"/>
          </w:tcPr>
          <w:p w14:paraId="598B7771" w14:textId="0D88713E" w:rsidR="00345C59" w:rsidRPr="00345C59" w:rsidRDefault="00442217" w:rsidP="00345C59">
            <w:pPr>
              <w:rPr>
                <w:sz w:val="22"/>
              </w:rPr>
            </w:pPr>
            <w:r>
              <w:rPr>
                <w:sz w:val="22"/>
              </w:rPr>
              <w:t>48</w:t>
            </w:r>
          </w:p>
        </w:tc>
      </w:tr>
      <w:tr w:rsidR="00442217" w:rsidRPr="00442217" w14:paraId="1C3C5B12" w14:textId="77777777" w:rsidTr="000D3BD7">
        <w:tc>
          <w:tcPr>
            <w:tcW w:w="1782" w:type="dxa"/>
          </w:tcPr>
          <w:p w14:paraId="095371F4" w14:textId="426B3071" w:rsidR="00442217" w:rsidRDefault="00442217" w:rsidP="00345C59">
            <w:pPr>
              <w:rPr>
                <w:sz w:val="22"/>
              </w:rPr>
            </w:pPr>
            <w:r>
              <w:rPr>
                <w:sz w:val="22"/>
              </w:rPr>
              <w:t>Community Partners [Education]</w:t>
            </w:r>
          </w:p>
        </w:tc>
        <w:tc>
          <w:tcPr>
            <w:tcW w:w="1427" w:type="dxa"/>
          </w:tcPr>
          <w:p w14:paraId="6147601A" w14:textId="79B5E681" w:rsidR="00442217" w:rsidRDefault="00442217" w:rsidP="00345C59">
            <w:pPr>
              <w:rPr>
                <w:sz w:val="22"/>
              </w:rPr>
            </w:pPr>
            <w:r>
              <w:rPr>
                <w:sz w:val="22"/>
              </w:rPr>
              <w:t>Appendix H</w:t>
            </w:r>
          </w:p>
        </w:tc>
        <w:tc>
          <w:tcPr>
            <w:tcW w:w="1376" w:type="dxa"/>
          </w:tcPr>
          <w:p w14:paraId="0A3EA3B5" w14:textId="7B396EFD" w:rsidR="00442217" w:rsidRDefault="00442217" w:rsidP="00345C59">
            <w:pPr>
              <w:rPr>
                <w:sz w:val="22"/>
              </w:rPr>
            </w:pPr>
            <w:r>
              <w:rPr>
                <w:sz w:val="22"/>
              </w:rPr>
              <w:t>1</w:t>
            </w:r>
          </w:p>
        </w:tc>
        <w:tc>
          <w:tcPr>
            <w:tcW w:w="1907" w:type="dxa"/>
          </w:tcPr>
          <w:p w14:paraId="201B1D90" w14:textId="6563DB77" w:rsidR="00442217" w:rsidRDefault="00442217" w:rsidP="00345C59">
            <w:pPr>
              <w:rPr>
                <w:sz w:val="22"/>
              </w:rPr>
            </w:pPr>
            <w:r>
              <w:rPr>
                <w:sz w:val="22"/>
              </w:rPr>
              <w:t>2</w:t>
            </w:r>
          </w:p>
        </w:tc>
        <w:tc>
          <w:tcPr>
            <w:tcW w:w="1513" w:type="dxa"/>
          </w:tcPr>
          <w:p w14:paraId="4B49E9BD" w14:textId="42E7524D" w:rsidR="00442217" w:rsidRDefault="00442217" w:rsidP="00345C59">
            <w:pPr>
              <w:rPr>
                <w:sz w:val="22"/>
              </w:rPr>
            </w:pPr>
            <w:r>
              <w:rPr>
                <w:sz w:val="22"/>
              </w:rPr>
              <w:t>2</w:t>
            </w:r>
          </w:p>
        </w:tc>
        <w:tc>
          <w:tcPr>
            <w:tcW w:w="1345" w:type="dxa"/>
          </w:tcPr>
          <w:p w14:paraId="6D98DBFD" w14:textId="0DE9417D" w:rsidR="00442217" w:rsidRDefault="00442217" w:rsidP="00345C59">
            <w:pPr>
              <w:rPr>
                <w:sz w:val="22"/>
              </w:rPr>
            </w:pPr>
            <w:r>
              <w:rPr>
                <w:sz w:val="22"/>
              </w:rPr>
              <w:t>12</w:t>
            </w:r>
          </w:p>
        </w:tc>
      </w:tr>
      <w:tr w:rsidR="00442217" w:rsidRPr="00442217" w14:paraId="1FF813AB" w14:textId="77777777" w:rsidTr="00984ADC">
        <w:trPr>
          <w:trHeight w:val="575"/>
        </w:trPr>
        <w:tc>
          <w:tcPr>
            <w:tcW w:w="1782" w:type="dxa"/>
          </w:tcPr>
          <w:p w14:paraId="68D00461" w14:textId="4E0183F8" w:rsidR="00442217" w:rsidRDefault="00442217" w:rsidP="00345C59">
            <w:pPr>
              <w:rPr>
                <w:sz w:val="22"/>
              </w:rPr>
            </w:pPr>
            <w:r>
              <w:rPr>
                <w:sz w:val="22"/>
              </w:rPr>
              <w:t>URM Foster Families</w:t>
            </w:r>
          </w:p>
        </w:tc>
        <w:tc>
          <w:tcPr>
            <w:tcW w:w="1427" w:type="dxa"/>
          </w:tcPr>
          <w:p w14:paraId="0F44DFC6" w14:textId="267600F9" w:rsidR="00442217" w:rsidRDefault="00442217" w:rsidP="00345C59">
            <w:pPr>
              <w:rPr>
                <w:sz w:val="22"/>
              </w:rPr>
            </w:pPr>
            <w:r>
              <w:rPr>
                <w:sz w:val="22"/>
              </w:rPr>
              <w:t>Appendix I</w:t>
            </w:r>
          </w:p>
        </w:tc>
        <w:tc>
          <w:tcPr>
            <w:tcW w:w="1376" w:type="dxa"/>
          </w:tcPr>
          <w:p w14:paraId="60495CEF" w14:textId="1810256E" w:rsidR="00442217" w:rsidRDefault="00442217" w:rsidP="00345C59">
            <w:pPr>
              <w:rPr>
                <w:sz w:val="22"/>
              </w:rPr>
            </w:pPr>
            <w:r>
              <w:rPr>
                <w:sz w:val="22"/>
              </w:rPr>
              <w:t>1</w:t>
            </w:r>
          </w:p>
        </w:tc>
        <w:tc>
          <w:tcPr>
            <w:tcW w:w="1907" w:type="dxa"/>
          </w:tcPr>
          <w:p w14:paraId="797F2AE4" w14:textId="2123C40F" w:rsidR="00442217" w:rsidRDefault="00442217" w:rsidP="00345C59">
            <w:pPr>
              <w:rPr>
                <w:sz w:val="22"/>
              </w:rPr>
            </w:pPr>
            <w:r>
              <w:rPr>
                <w:sz w:val="22"/>
              </w:rPr>
              <w:t>7-10 (estimated 9)</w:t>
            </w:r>
          </w:p>
        </w:tc>
        <w:tc>
          <w:tcPr>
            <w:tcW w:w="1513" w:type="dxa"/>
          </w:tcPr>
          <w:p w14:paraId="1E9D6684" w14:textId="74254784" w:rsidR="00442217" w:rsidRDefault="00442217" w:rsidP="00345C59">
            <w:pPr>
              <w:rPr>
                <w:sz w:val="22"/>
              </w:rPr>
            </w:pPr>
            <w:r>
              <w:rPr>
                <w:sz w:val="22"/>
              </w:rPr>
              <w:t>9</w:t>
            </w:r>
          </w:p>
        </w:tc>
        <w:tc>
          <w:tcPr>
            <w:tcW w:w="1345" w:type="dxa"/>
          </w:tcPr>
          <w:p w14:paraId="177288D5" w14:textId="2306D098" w:rsidR="00442217" w:rsidRDefault="00442217" w:rsidP="00345C59">
            <w:pPr>
              <w:rPr>
                <w:sz w:val="22"/>
              </w:rPr>
            </w:pPr>
            <w:r>
              <w:rPr>
                <w:sz w:val="22"/>
              </w:rPr>
              <w:t>54</w:t>
            </w:r>
          </w:p>
        </w:tc>
      </w:tr>
      <w:tr w:rsidR="00442217" w:rsidRPr="00442217" w14:paraId="4DB1C29E" w14:textId="77777777" w:rsidTr="00984ADC">
        <w:trPr>
          <w:trHeight w:val="332"/>
        </w:trPr>
        <w:tc>
          <w:tcPr>
            <w:tcW w:w="1782" w:type="dxa"/>
          </w:tcPr>
          <w:p w14:paraId="44A0B3B6" w14:textId="4E5FB058" w:rsidR="00442217" w:rsidRDefault="00442217" w:rsidP="00345C59">
            <w:pPr>
              <w:rPr>
                <w:sz w:val="22"/>
              </w:rPr>
            </w:pPr>
            <w:r>
              <w:rPr>
                <w:sz w:val="22"/>
              </w:rPr>
              <w:t>URM Youth</w:t>
            </w:r>
          </w:p>
        </w:tc>
        <w:tc>
          <w:tcPr>
            <w:tcW w:w="1427" w:type="dxa"/>
          </w:tcPr>
          <w:p w14:paraId="641B3989" w14:textId="687CFE1B" w:rsidR="00442217" w:rsidRDefault="00442217" w:rsidP="00345C59">
            <w:pPr>
              <w:rPr>
                <w:sz w:val="22"/>
              </w:rPr>
            </w:pPr>
            <w:r>
              <w:rPr>
                <w:sz w:val="22"/>
              </w:rPr>
              <w:t>Appendix J</w:t>
            </w:r>
          </w:p>
        </w:tc>
        <w:tc>
          <w:tcPr>
            <w:tcW w:w="1376" w:type="dxa"/>
          </w:tcPr>
          <w:p w14:paraId="037B369B" w14:textId="1E2D3E28" w:rsidR="00442217" w:rsidRDefault="00442217" w:rsidP="00345C59">
            <w:pPr>
              <w:rPr>
                <w:sz w:val="22"/>
              </w:rPr>
            </w:pPr>
            <w:r>
              <w:rPr>
                <w:sz w:val="22"/>
              </w:rPr>
              <w:t>1</w:t>
            </w:r>
          </w:p>
        </w:tc>
        <w:tc>
          <w:tcPr>
            <w:tcW w:w="1907" w:type="dxa"/>
          </w:tcPr>
          <w:p w14:paraId="28EA9920" w14:textId="46D9C19B" w:rsidR="00442217" w:rsidRDefault="00442217" w:rsidP="00345C59">
            <w:pPr>
              <w:rPr>
                <w:sz w:val="22"/>
              </w:rPr>
            </w:pPr>
            <w:r>
              <w:rPr>
                <w:sz w:val="22"/>
              </w:rPr>
              <w:t>7-10 (estimated 9)</w:t>
            </w:r>
          </w:p>
        </w:tc>
        <w:tc>
          <w:tcPr>
            <w:tcW w:w="1513" w:type="dxa"/>
          </w:tcPr>
          <w:p w14:paraId="4B0118AC" w14:textId="2AE543E2" w:rsidR="00442217" w:rsidRDefault="00442217" w:rsidP="00345C59">
            <w:pPr>
              <w:rPr>
                <w:sz w:val="22"/>
              </w:rPr>
            </w:pPr>
            <w:r>
              <w:rPr>
                <w:sz w:val="22"/>
              </w:rPr>
              <w:t>9</w:t>
            </w:r>
          </w:p>
        </w:tc>
        <w:tc>
          <w:tcPr>
            <w:tcW w:w="1345" w:type="dxa"/>
          </w:tcPr>
          <w:p w14:paraId="041C533B" w14:textId="532E9A60" w:rsidR="00442217" w:rsidRDefault="00442217" w:rsidP="00345C59">
            <w:pPr>
              <w:rPr>
                <w:sz w:val="22"/>
              </w:rPr>
            </w:pPr>
            <w:r>
              <w:rPr>
                <w:sz w:val="22"/>
              </w:rPr>
              <w:t>54</w:t>
            </w:r>
          </w:p>
        </w:tc>
      </w:tr>
    </w:tbl>
    <w:p w14:paraId="03D8C76C" w14:textId="0A7C2BD7" w:rsidR="00E03BA5" w:rsidRDefault="00442217" w:rsidP="00FD1B70">
      <w:pPr>
        <w:rPr>
          <w:sz w:val="20"/>
        </w:rPr>
      </w:pPr>
      <w:r w:rsidRPr="00442217">
        <w:rPr>
          <w:sz w:val="20"/>
        </w:rPr>
        <w:t>*Note</w:t>
      </w:r>
      <w:r>
        <w:rPr>
          <w:sz w:val="20"/>
        </w:rPr>
        <w:t>:</w:t>
      </w:r>
      <w:r w:rsidRPr="00442217">
        <w:rPr>
          <w:sz w:val="20"/>
        </w:rPr>
        <w:t xml:space="preserve"> </w:t>
      </w:r>
      <w:r w:rsidR="00E03BA5">
        <w:rPr>
          <w:sz w:val="20"/>
        </w:rPr>
        <w:t xml:space="preserve">Appendix E includes both Interviews with Program Staff and Program Case Managers, for a total of 36 respondents in the burden estimate table (See </w:t>
      </w:r>
      <w:r w:rsidR="00800EA7">
        <w:rPr>
          <w:sz w:val="20"/>
        </w:rPr>
        <w:t>A.12.1).</w:t>
      </w:r>
    </w:p>
    <w:p w14:paraId="66A4E4E1" w14:textId="21AD486F" w:rsidR="00345C59" w:rsidRPr="00442217" w:rsidRDefault="00E03BA5" w:rsidP="00FD1B70">
      <w:pPr>
        <w:rPr>
          <w:sz w:val="20"/>
        </w:rPr>
      </w:pPr>
      <w:r w:rsidRPr="00363E7A">
        <w:rPr>
          <w:sz w:val="20"/>
        </w:rPr>
        <w:t>†Note:</w:t>
      </w:r>
      <w:r>
        <w:rPr>
          <w:sz w:val="22"/>
        </w:rPr>
        <w:t xml:space="preserve"> </w:t>
      </w:r>
      <w:r w:rsidR="00442217" w:rsidRPr="00442217">
        <w:rPr>
          <w:sz w:val="20"/>
        </w:rPr>
        <w:t xml:space="preserve">Appendix F will also be used for phone interviews with Child Welfare Agency Administrators in public custody sites (see B.2.2). Therefore, the burden table includes both the phone interviews </w:t>
      </w:r>
      <w:r w:rsidR="000D3BD7">
        <w:rPr>
          <w:sz w:val="20"/>
        </w:rPr>
        <w:t xml:space="preserve">(14 respondents) </w:t>
      </w:r>
      <w:r w:rsidR="00442217" w:rsidRPr="00442217">
        <w:rPr>
          <w:sz w:val="20"/>
        </w:rPr>
        <w:t xml:space="preserve">and site visit interviews </w:t>
      </w:r>
      <w:r w:rsidR="000D3BD7">
        <w:rPr>
          <w:sz w:val="20"/>
        </w:rPr>
        <w:t xml:space="preserve">(12 respondents) </w:t>
      </w:r>
      <w:r w:rsidR="00442217" w:rsidRPr="00442217">
        <w:rPr>
          <w:sz w:val="20"/>
        </w:rPr>
        <w:t>in the total number of respondents</w:t>
      </w:r>
      <w:r w:rsidR="00800EA7">
        <w:rPr>
          <w:sz w:val="20"/>
        </w:rPr>
        <w:t xml:space="preserve"> (26)</w:t>
      </w:r>
      <w:r w:rsidR="00442217" w:rsidRPr="00442217">
        <w:rPr>
          <w:sz w:val="20"/>
        </w:rPr>
        <w:t xml:space="preserve"> associated with Appendix F.</w:t>
      </w:r>
      <w:r>
        <w:rPr>
          <w:sz w:val="20"/>
        </w:rPr>
        <w:t xml:space="preserve"> </w:t>
      </w:r>
    </w:p>
    <w:p w14:paraId="4733B047" w14:textId="67238B4F" w:rsidR="007F74F5" w:rsidRDefault="007F74F5" w:rsidP="007F74F5"/>
    <w:p w14:paraId="48020125" w14:textId="77777777" w:rsidR="005B391E" w:rsidRDefault="007F74F5" w:rsidP="007F74F5">
      <w:r>
        <w:t>Focus groups will be conducted by research team members in English or Spanish where appropriate, and Youth Focus Group protocols (Appendix I) will be developed in both languages. The research team also has staff who speak Amharic and Farsi, who may assist in facilitation and translation when necessary. The language used for each group will be English if enough youth recently served by the program in the site are sufficiently proficient in English; if not, the groups will be conducted in a language common enough among those youth to fill a focus group. In sites where focus groups must be conducted in languages other than English, Spanish, Amharic, or Farsi, we will work with local organizations to identify an appropriate local facilitator. That facilitator will translate the Focus Group Guide for URM Youth (Appendix I), conduct the group, and provide the team with translated notes. The research team will provide both written guidance to the facilitator and hold a discussion with the facilitator in advance of the group, to ensure the facilitator knows how to conduct the group discussion and provide notes to the team afterwards.</w:t>
      </w:r>
      <w:r w:rsidR="00DD1F3A">
        <w:t xml:space="preserve"> </w:t>
      </w:r>
    </w:p>
    <w:p w14:paraId="6E845C4B" w14:textId="77777777" w:rsidR="005B391E" w:rsidRDefault="005B391E" w:rsidP="007F74F5"/>
    <w:p w14:paraId="51FCB7C9" w14:textId="424B07A5" w:rsidR="007F74F5" w:rsidRPr="001E3F00" w:rsidRDefault="00671E82" w:rsidP="007F74F5">
      <w:r>
        <w:t>Additionally, all facilitators will receive training on research involving human subjects and vulnerable populations.</w:t>
      </w:r>
      <w:r w:rsidR="000E0509">
        <w:t xml:space="preserve"> </w:t>
      </w:r>
      <w:r w:rsidR="0013234A">
        <w:t xml:space="preserve">The </w:t>
      </w:r>
      <w:r w:rsidR="00A23976">
        <w:t>procedures</w:t>
      </w:r>
      <w:r w:rsidR="0013234A">
        <w:t xml:space="preserve"> used to administer verbal informed consent and conduct the focus groups have been developed </w:t>
      </w:r>
      <w:r w:rsidR="000D4EE6">
        <w:t xml:space="preserve">with attention to </w:t>
      </w:r>
      <w:r w:rsidR="0013234A">
        <w:t xml:space="preserve">the needs of </w:t>
      </w:r>
      <w:r w:rsidR="007B0075">
        <w:t xml:space="preserve">URM youth, who </w:t>
      </w:r>
      <w:r w:rsidR="00A23976">
        <w:t>may be susceptible to strain from discussion of certain topics</w:t>
      </w:r>
      <w:r w:rsidR="00381C57">
        <w:t xml:space="preserve"> given their past experiences and traumas</w:t>
      </w:r>
      <w:r w:rsidR="000D4EE6">
        <w:t>, and to avoid the potential for coercion (or the appearance of coercion) to participate in the focus group</w:t>
      </w:r>
      <w:r w:rsidR="00C873F3" w:rsidRPr="001E3F00">
        <w:t xml:space="preserve">. </w:t>
      </w:r>
      <w:r w:rsidR="001E3F00" w:rsidRPr="00D12F55">
        <w:rPr>
          <w:rFonts w:cs="Calibri"/>
        </w:rPr>
        <w:t xml:space="preserve">To help put youth at ease and lessen the chance they will feel pressured to participate, </w:t>
      </w:r>
      <w:r w:rsidR="007B0075">
        <w:rPr>
          <w:rFonts w:cs="Calibri"/>
        </w:rPr>
        <w:t>a facilitator</w:t>
      </w:r>
      <w:r w:rsidR="001E3F00" w:rsidRPr="00D12F55">
        <w:rPr>
          <w:rFonts w:cs="Calibri"/>
        </w:rPr>
        <w:t xml:space="preserve"> will administer verbal assent/consent with youth in a one-on-one setting</w:t>
      </w:r>
      <w:r w:rsidR="007B0075">
        <w:rPr>
          <w:rFonts w:cs="Calibri"/>
        </w:rPr>
        <w:t>,</w:t>
      </w:r>
      <w:r w:rsidR="001E3F00" w:rsidRPr="00D12F55">
        <w:rPr>
          <w:rFonts w:cs="Calibri"/>
        </w:rPr>
        <w:t xml:space="preserve"> apart from the other youth</w:t>
      </w:r>
      <w:r w:rsidR="000D4EE6">
        <w:rPr>
          <w:rFonts w:cs="Calibri"/>
        </w:rPr>
        <w:t xml:space="preserve"> and out of the earshot of program staff</w:t>
      </w:r>
      <w:r w:rsidR="001E3F00" w:rsidRPr="00D12F55">
        <w:rPr>
          <w:rFonts w:cs="Calibri"/>
        </w:rPr>
        <w:t>. In addition to administering the consent individually, the general introduction to the group will repeat that participation is voluntary</w:t>
      </w:r>
      <w:r w:rsidR="005B634F">
        <w:rPr>
          <w:rFonts w:cs="Calibri"/>
        </w:rPr>
        <w:t xml:space="preserve"> and that youth do not need to answer any questions that they do not want to</w:t>
      </w:r>
      <w:r w:rsidR="001E3F00" w:rsidRPr="00D12F55">
        <w:rPr>
          <w:rFonts w:cs="Calibri"/>
        </w:rPr>
        <w:t>.</w:t>
      </w:r>
      <w:r w:rsidR="00A23976">
        <w:rPr>
          <w:rFonts w:cs="Calibri"/>
        </w:rPr>
        <w:t xml:space="preserve"> Further, the focus group protocols do not ask about particularly </w:t>
      </w:r>
      <w:r w:rsidR="000D4EE6">
        <w:rPr>
          <w:rFonts w:cs="Calibri"/>
        </w:rPr>
        <w:t xml:space="preserve">sensitive topics such as </w:t>
      </w:r>
      <w:r w:rsidR="00A23976">
        <w:rPr>
          <w:rFonts w:cs="Calibri"/>
        </w:rPr>
        <w:t xml:space="preserve">their experiences </w:t>
      </w:r>
      <w:r w:rsidR="000D4EE6">
        <w:rPr>
          <w:rFonts w:cs="Calibri"/>
        </w:rPr>
        <w:t>before arriving in the U.S.</w:t>
      </w:r>
    </w:p>
    <w:p w14:paraId="7866EEF0" w14:textId="24FE7C8B" w:rsidR="00F56220" w:rsidRDefault="00E05A0A" w:rsidP="002C2ED3">
      <w:pPr>
        <w:pStyle w:val="Heading1"/>
      </w:pPr>
      <w:bookmarkStart w:id="4" w:name="_Toc519523532"/>
      <w:r>
        <w:t>B3. Methods to Maximize Response Rates and Deal with Nonresponse</w:t>
      </w:r>
      <w:bookmarkEnd w:id="4"/>
    </w:p>
    <w:p w14:paraId="1FE95F88" w14:textId="77777777" w:rsidR="00EC6101" w:rsidRPr="005175A1" w:rsidRDefault="005175A1" w:rsidP="005175A1">
      <w:pPr>
        <w:pStyle w:val="Heading2"/>
      </w:pPr>
      <w:bookmarkStart w:id="5" w:name="_Toc519523533"/>
      <w:r w:rsidRPr="005175A1">
        <w:t xml:space="preserve">B.3.1 </w:t>
      </w:r>
      <w:r w:rsidR="00EC6101" w:rsidRPr="005175A1">
        <w:t>Expected Response Rates</w:t>
      </w:r>
      <w:bookmarkEnd w:id="5"/>
    </w:p>
    <w:p w14:paraId="57029F13" w14:textId="3021496B" w:rsidR="00ED188B" w:rsidRDefault="00ED188B" w:rsidP="0086472C">
      <w:r>
        <w:rPr>
          <w:i/>
        </w:rPr>
        <w:t>Online s</w:t>
      </w:r>
      <w:r w:rsidRPr="0086472C">
        <w:rPr>
          <w:i/>
        </w:rPr>
        <w:t>urveys</w:t>
      </w:r>
      <w:r w:rsidR="0086472C" w:rsidRPr="0086472C">
        <w:rPr>
          <w:i/>
        </w:rPr>
        <w:t>:</w:t>
      </w:r>
      <w:r w:rsidR="0086472C">
        <w:t xml:space="preserve"> </w:t>
      </w:r>
      <w:r w:rsidR="00244975" w:rsidRPr="0086472C">
        <w:t xml:space="preserve">The </w:t>
      </w:r>
      <w:r w:rsidR="00A7246B">
        <w:t>S</w:t>
      </w:r>
      <w:r w:rsidR="00A7246B" w:rsidRPr="0086472C">
        <w:t xml:space="preserve">urvey </w:t>
      </w:r>
      <w:r w:rsidR="00A7246B">
        <w:t>of</w:t>
      </w:r>
      <w:r w:rsidR="00244975" w:rsidRPr="0086472C">
        <w:t xml:space="preserve"> </w:t>
      </w:r>
      <w:r w:rsidR="00244975">
        <w:t xml:space="preserve">State Refugee Coordinators </w:t>
      </w:r>
      <w:r w:rsidR="001D5B05">
        <w:t xml:space="preserve">(Appendix A) will be distributed to SRCs </w:t>
      </w:r>
      <w:r w:rsidR="00244975">
        <w:t>from 15 states with URM programs</w:t>
      </w:r>
      <w:r w:rsidR="001D5B05">
        <w:t>,</w:t>
      </w:r>
      <w:r>
        <w:t xml:space="preserve"> and</w:t>
      </w:r>
      <w:r w:rsidR="001D5B05">
        <w:t xml:space="preserve"> the Survey of URM Program Directors (Appendix B) will be distributed to</w:t>
      </w:r>
      <w:r w:rsidR="00244975">
        <w:t xml:space="preserve"> URM </w:t>
      </w:r>
      <w:r w:rsidR="001D5B05">
        <w:t>P</w:t>
      </w:r>
      <w:r w:rsidR="00244975">
        <w:t xml:space="preserve">rogram </w:t>
      </w:r>
      <w:r w:rsidR="001D5B05">
        <w:t>D</w:t>
      </w:r>
      <w:r w:rsidR="00244975">
        <w:t>irectors from all 22 programs.</w:t>
      </w:r>
      <w:r w:rsidR="00244975" w:rsidRPr="0086472C">
        <w:t xml:space="preserve"> </w:t>
      </w:r>
      <w:r w:rsidR="0069252F" w:rsidRPr="0086472C">
        <w:t xml:space="preserve">We anticipate all URM program directors and </w:t>
      </w:r>
      <w:r w:rsidR="001D5B05">
        <w:t>SRCs</w:t>
      </w:r>
      <w:r w:rsidR="0069252F" w:rsidRPr="0086472C">
        <w:t xml:space="preserve"> will be responsive to the survey</w:t>
      </w:r>
      <w:r>
        <w:t>, for a response rate of 100 percent</w:t>
      </w:r>
      <w:r w:rsidR="0069252F" w:rsidRPr="0086472C">
        <w:t xml:space="preserve">. </w:t>
      </w:r>
    </w:p>
    <w:p w14:paraId="1A9D7E5C" w14:textId="77777777" w:rsidR="00ED188B" w:rsidRDefault="00ED188B" w:rsidP="0086472C"/>
    <w:p w14:paraId="27055CD3" w14:textId="318A6FA6" w:rsidR="00F56220" w:rsidRPr="002C2ED3" w:rsidRDefault="00451120" w:rsidP="0086472C">
      <w:r>
        <w:t xml:space="preserve">The Survey of Private </w:t>
      </w:r>
      <w:r w:rsidR="00F81FF6">
        <w:t xml:space="preserve">Custody </w:t>
      </w:r>
      <w:r>
        <w:t xml:space="preserve">Child Welfare Agency Administrators (Appendix C) will be distributed to child welfare administrators from the 14 sites with private custody arrangements. </w:t>
      </w:r>
      <w:r w:rsidR="0069252F" w:rsidRPr="0086472C">
        <w:t>We expect child welfare administrators to be less responsive</w:t>
      </w:r>
      <w:r w:rsidR="00ED188B">
        <w:t xml:space="preserve"> to the survey than the other groups will</w:t>
      </w:r>
      <w:r w:rsidR="0069252F" w:rsidRPr="0086472C">
        <w:t xml:space="preserve">. </w:t>
      </w:r>
      <w:r w:rsidR="00ED188B">
        <w:t xml:space="preserve">Conservatively, we estimate that </w:t>
      </w:r>
      <w:r w:rsidR="00755630">
        <w:t xml:space="preserve">75 </w:t>
      </w:r>
      <w:r w:rsidR="00ED188B">
        <w:t>percent</w:t>
      </w:r>
      <w:r w:rsidR="0069252F" w:rsidRPr="0086472C">
        <w:t xml:space="preserve"> of </w:t>
      </w:r>
      <w:r w:rsidR="00ED188B">
        <w:t xml:space="preserve">the private custody </w:t>
      </w:r>
      <w:r w:rsidR="0069252F" w:rsidRPr="0086472C">
        <w:t xml:space="preserve">child welfare administrators </w:t>
      </w:r>
      <w:r w:rsidR="00ED188B">
        <w:t xml:space="preserve">will </w:t>
      </w:r>
      <w:r w:rsidR="0069252F" w:rsidRPr="0086472C">
        <w:t>respond</w:t>
      </w:r>
      <w:r w:rsidR="00244975" w:rsidRPr="0086472C">
        <w:t>.</w:t>
      </w:r>
    </w:p>
    <w:p w14:paraId="13C6D67C" w14:textId="77777777" w:rsidR="0044392F" w:rsidRDefault="0044392F" w:rsidP="0086472C"/>
    <w:p w14:paraId="4E1EFFA1" w14:textId="559F10F5" w:rsidR="00ED188B" w:rsidRPr="00ED188B" w:rsidRDefault="00ED188B" w:rsidP="0086472C">
      <w:r>
        <w:rPr>
          <w:i/>
        </w:rPr>
        <w:t xml:space="preserve">Phone interviews: </w:t>
      </w:r>
      <w:r>
        <w:t xml:space="preserve">The research team anticipates that the public custody child welfare administrators will be more responsive </w:t>
      </w:r>
      <w:r w:rsidR="00170FD7">
        <w:t xml:space="preserve">to requests for phone interviews (Interviews with Child Welfare Agency Administrators in Appendix F) </w:t>
      </w:r>
      <w:r>
        <w:t>than private custody child welfare administrators</w:t>
      </w:r>
      <w:r w:rsidR="001D5B05">
        <w:t xml:space="preserve"> </w:t>
      </w:r>
      <w:r w:rsidR="00170FD7">
        <w:t>to requests for surveys</w:t>
      </w:r>
      <w:r>
        <w:t xml:space="preserve">, due to collaboration between the URM program and child welfare agency in public custody arrangements. </w:t>
      </w:r>
      <w:r w:rsidR="00552DF8">
        <w:t>We expect a 100 percent response rate for these interviews.</w:t>
      </w:r>
    </w:p>
    <w:p w14:paraId="1641A041" w14:textId="77777777" w:rsidR="00ED188B" w:rsidRPr="002C2ED3" w:rsidRDefault="00ED188B" w:rsidP="0086472C"/>
    <w:p w14:paraId="6EAD8C24" w14:textId="614F263B" w:rsidR="0044392F" w:rsidRDefault="005A5D5E" w:rsidP="0086472C">
      <w:r w:rsidRPr="0086472C">
        <w:rPr>
          <w:i/>
        </w:rPr>
        <w:t>Site visits:</w:t>
      </w:r>
      <w:r>
        <w:t xml:space="preserve"> </w:t>
      </w:r>
      <w:r w:rsidR="00915625">
        <w:t xml:space="preserve">As the research team plans to engage with sites throughout the planning and recommendation process, the study anticipates 100 percent participation among sites </w:t>
      </w:r>
      <w:r w:rsidR="00684237">
        <w:t xml:space="preserve">where we conduct </w:t>
      </w:r>
      <w:r w:rsidR="00915625">
        <w:t>visits.</w:t>
      </w:r>
      <w:r w:rsidR="00684237">
        <w:t xml:space="preserve"> However, if any sites entirely decline to participate, we will identify a site with similar characteristics as a back-up.</w:t>
      </w:r>
      <w:r w:rsidR="00915625">
        <w:t xml:space="preserve"> </w:t>
      </w:r>
      <w:r w:rsidR="00915625" w:rsidRPr="002C2ED3">
        <w:t>We will p</w:t>
      </w:r>
      <w:r w:rsidR="0044392F" w:rsidRPr="002C2ED3">
        <w:t>lan</w:t>
      </w:r>
      <w:r w:rsidR="00915625">
        <w:t xml:space="preserve"> </w:t>
      </w:r>
      <w:r w:rsidR="00915625" w:rsidRPr="002C2ED3">
        <w:t>with management at each site</w:t>
      </w:r>
      <w:r w:rsidR="0044392F" w:rsidRPr="002C2ED3">
        <w:t xml:space="preserve"> to find a time that works for most or all of staff</w:t>
      </w:r>
      <w:r w:rsidR="0044392F">
        <w:t>.</w:t>
      </w:r>
      <w:r w:rsidR="002C2ED3">
        <w:t xml:space="preserve"> </w:t>
      </w:r>
      <w:r w:rsidR="0044392F">
        <w:t>Because the research team will be working closely with URM program staff to identify participants</w:t>
      </w:r>
      <w:r w:rsidR="00915625">
        <w:t xml:space="preserve"> for </w:t>
      </w:r>
      <w:r w:rsidR="001D5B05">
        <w:t xml:space="preserve">Interviews with URM Program </w:t>
      </w:r>
      <w:r w:rsidR="00AF5B4A">
        <w:t>M</w:t>
      </w:r>
      <w:r w:rsidR="001D5B05">
        <w:t xml:space="preserve">anagers and </w:t>
      </w:r>
      <w:r w:rsidR="00AF5B4A">
        <w:t>S</w:t>
      </w:r>
      <w:r w:rsidR="001D5B05">
        <w:t xml:space="preserve">taff (Appendices D and E) </w:t>
      </w:r>
      <w:r w:rsidR="00915625">
        <w:t>and</w:t>
      </w:r>
      <w:r w:rsidR="001D5B05">
        <w:t xml:space="preserve"> for Interviews with</w:t>
      </w:r>
      <w:r w:rsidR="00915625">
        <w:t xml:space="preserve"> </w:t>
      </w:r>
      <w:r w:rsidR="001D5B05">
        <w:t>C</w:t>
      </w:r>
      <w:r w:rsidR="00915625">
        <w:t xml:space="preserve">ommunity </w:t>
      </w:r>
      <w:r w:rsidR="001D5B05">
        <w:t>P</w:t>
      </w:r>
      <w:r w:rsidR="00915625">
        <w:t>artners</w:t>
      </w:r>
      <w:r w:rsidR="001D5B05">
        <w:t xml:space="preserve"> [</w:t>
      </w:r>
      <w:r w:rsidR="00E46799">
        <w:t>General</w:t>
      </w:r>
      <w:r w:rsidR="001D5B05">
        <w:t xml:space="preserve"> and Education] (Appendices G and H)</w:t>
      </w:r>
      <w:r w:rsidR="0044392F">
        <w:t>, we expect</w:t>
      </w:r>
      <w:r w:rsidR="00915625">
        <w:t xml:space="preserve"> a response rate for these groups to be near 100 percent, as well. </w:t>
      </w:r>
      <w:r w:rsidR="00684237" w:rsidDel="00684237">
        <w:t xml:space="preserve"> </w:t>
      </w:r>
    </w:p>
    <w:p w14:paraId="12E63991" w14:textId="77777777" w:rsidR="0044392F" w:rsidRDefault="0044392F" w:rsidP="0086472C"/>
    <w:p w14:paraId="253B2627" w14:textId="2D02985E" w:rsidR="0044392F" w:rsidRPr="002C2ED3" w:rsidRDefault="001D5B05" w:rsidP="0086472C">
      <w:r>
        <w:t>A</w:t>
      </w:r>
      <w:r w:rsidR="0044392F">
        <w:t xml:space="preserve">ttendees </w:t>
      </w:r>
      <w:r>
        <w:t xml:space="preserve">for Focus Groups with URM Youth (Appendix I) and Focus Groups with URM Foster Parents (Appendix J) </w:t>
      </w:r>
      <w:r w:rsidR="0044392F">
        <w:t xml:space="preserve">will be identified </w:t>
      </w:r>
      <w:r w:rsidR="009368C7">
        <w:t xml:space="preserve">and recruited </w:t>
      </w:r>
      <w:r w:rsidR="0044392F">
        <w:t xml:space="preserve">with the help of local </w:t>
      </w:r>
      <w:r>
        <w:t xml:space="preserve">URM </w:t>
      </w:r>
      <w:r w:rsidR="0044392F">
        <w:t xml:space="preserve">program staff. </w:t>
      </w:r>
      <w:r w:rsidR="00E06792">
        <w:t xml:space="preserve">We will provide written guidance to URM programs to assist with their recruitment efforts (Appendix </w:t>
      </w:r>
      <w:r w:rsidR="00AD0BBC">
        <w:t>N</w:t>
      </w:r>
      <w:r w:rsidR="00E06792">
        <w:t xml:space="preserve">). </w:t>
      </w:r>
      <w:r w:rsidR="008C692B">
        <w:t>These instructions include guidance to seek</w:t>
      </w:r>
      <w:r w:rsidR="0044392F">
        <w:t xml:space="preserve"> participants who are interested in participating</w:t>
      </w:r>
      <w:r w:rsidR="000D4EE6">
        <w:t xml:space="preserve"> (and emphasize that it is important to be clear that participation is voluntary)</w:t>
      </w:r>
      <w:r w:rsidR="00915625">
        <w:t>,</w:t>
      </w:r>
      <w:r w:rsidR="008C692B">
        <w:t xml:space="preserve"> explain the topics to be discussed in the focus groups, and describe</w:t>
      </w:r>
      <w:r w:rsidR="009F74FF">
        <w:t xml:space="preserve"> </w:t>
      </w:r>
      <w:r w:rsidR="008C692B">
        <w:t>the</w:t>
      </w:r>
      <w:r w:rsidR="0044392F">
        <w:t xml:space="preserve"> </w:t>
      </w:r>
      <w:r w:rsidR="00A614A8">
        <w:t xml:space="preserve">$30 </w:t>
      </w:r>
      <w:r>
        <w:t>gift cards</w:t>
      </w:r>
      <w:r w:rsidR="008C692B">
        <w:t xml:space="preserve"> that will be used</w:t>
      </w:r>
      <w:r>
        <w:t xml:space="preserve"> as </w:t>
      </w:r>
      <w:r w:rsidR="00A614A8">
        <w:t>a thank you and to cover incidental expenses</w:t>
      </w:r>
      <w:r w:rsidR="00915625">
        <w:t>.</w:t>
      </w:r>
      <w:r w:rsidR="0044392F">
        <w:t xml:space="preserve"> </w:t>
      </w:r>
      <w:r w:rsidR="00976E37">
        <w:t>Based on the efforts described and the ability to identify additional participants if needed, we expect to reach our goal of recruiting 7-10 participants per site for each focus group</w:t>
      </w:r>
      <w:r w:rsidR="00C967D4">
        <w:t xml:space="preserve">. </w:t>
      </w:r>
      <w:r w:rsidR="0044392F">
        <w:t>Given the</w:t>
      </w:r>
      <w:r w:rsidR="00915625">
        <w:t xml:space="preserve"> diverse</w:t>
      </w:r>
      <w:r w:rsidR="0044392F">
        <w:t xml:space="preserve"> nature of the populations</w:t>
      </w:r>
      <w:r w:rsidR="00915625">
        <w:t xml:space="preserve"> served by the URM programs</w:t>
      </w:r>
      <w:r w:rsidR="0044392F">
        <w:t xml:space="preserve">, we are not expecting to get full representativeness. </w:t>
      </w:r>
    </w:p>
    <w:p w14:paraId="69335BAA" w14:textId="77777777" w:rsidR="00EC6101" w:rsidRDefault="005175A1" w:rsidP="002C2ED3">
      <w:pPr>
        <w:pStyle w:val="Heading2"/>
      </w:pPr>
      <w:bookmarkStart w:id="6" w:name="_Toc519523534"/>
      <w:r>
        <w:t xml:space="preserve">B.3.2 </w:t>
      </w:r>
      <w:r w:rsidR="00244975" w:rsidRPr="007378E7">
        <w:t>Dealing with Nonresponse</w:t>
      </w:r>
      <w:bookmarkEnd w:id="6"/>
    </w:p>
    <w:p w14:paraId="4482DF54" w14:textId="43FC91F7" w:rsidR="000A1B51" w:rsidRDefault="008871AB" w:rsidP="00FD1B70">
      <w:pPr>
        <w:rPr>
          <w:bCs/>
        </w:rPr>
      </w:pPr>
      <w:r>
        <w:rPr>
          <w:bCs/>
        </w:rPr>
        <w:t>For all online Surveys of State Refugee Coordinators (Appendix A)</w:t>
      </w:r>
      <w:r w:rsidR="000A1B51">
        <w:rPr>
          <w:bCs/>
        </w:rPr>
        <w:t xml:space="preserve">, </w:t>
      </w:r>
      <w:r>
        <w:rPr>
          <w:bCs/>
        </w:rPr>
        <w:t xml:space="preserve">URM Program Directors (Appendix B), </w:t>
      </w:r>
      <w:r w:rsidR="000A1B51">
        <w:rPr>
          <w:bCs/>
        </w:rPr>
        <w:t xml:space="preserve">and Private </w:t>
      </w:r>
      <w:r w:rsidR="00F50925">
        <w:rPr>
          <w:bCs/>
        </w:rPr>
        <w:t xml:space="preserve">Custody </w:t>
      </w:r>
      <w:r w:rsidR="000A1B51">
        <w:rPr>
          <w:bCs/>
        </w:rPr>
        <w:t xml:space="preserve">Child Welfare Agency Administrators (Appendix C), </w:t>
      </w:r>
      <w:r>
        <w:rPr>
          <w:bCs/>
        </w:rPr>
        <w:t>t</w:t>
      </w:r>
      <w:r w:rsidRPr="00A308CA">
        <w:rPr>
          <w:bCs/>
        </w:rPr>
        <w:t xml:space="preserve">he </w:t>
      </w:r>
      <w:r w:rsidR="00196486" w:rsidRPr="00A308CA">
        <w:rPr>
          <w:bCs/>
        </w:rPr>
        <w:t xml:space="preserve">research team will include an initial email from ORR, which will indicate their involvement and support of the study. We anticipate this will be helpful in generating a </w:t>
      </w:r>
      <w:r w:rsidR="007A7E4F">
        <w:rPr>
          <w:bCs/>
        </w:rPr>
        <w:t>100 percent</w:t>
      </w:r>
      <w:r w:rsidR="00A72F80">
        <w:rPr>
          <w:bCs/>
        </w:rPr>
        <w:t xml:space="preserve"> </w:t>
      </w:r>
      <w:r w:rsidR="00196486" w:rsidRPr="00A308CA">
        <w:rPr>
          <w:bCs/>
        </w:rPr>
        <w:t>response rate.</w:t>
      </w:r>
      <w:r w:rsidR="007A7E4F">
        <w:rPr>
          <w:bCs/>
        </w:rPr>
        <w:t xml:space="preserve"> </w:t>
      </w:r>
      <w:r w:rsidR="00196486" w:rsidRPr="00A308CA">
        <w:rPr>
          <w:bCs/>
        </w:rPr>
        <w:t xml:space="preserve">In addition, the research team will conduct follow up </w:t>
      </w:r>
      <w:r w:rsidR="007A7E4F">
        <w:rPr>
          <w:bCs/>
        </w:rPr>
        <w:t>to encourage</w:t>
      </w:r>
      <w:r w:rsidR="00196486" w:rsidRPr="00A308CA">
        <w:rPr>
          <w:bCs/>
        </w:rPr>
        <w:t xml:space="preserve"> those who have not responded. </w:t>
      </w:r>
      <w:r w:rsidR="00A54442" w:rsidRPr="00A308CA">
        <w:rPr>
          <w:bCs/>
        </w:rPr>
        <w:t xml:space="preserve">While the </w:t>
      </w:r>
      <w:r w:rsidR="00552DF8" w:rsidRPr="00A308CA">
        <w:rPr>
          <w:bCs/>
        </w:rPr>
        <w:t xml:space="preserve">online </w:t>
      </w:r>
      <w:r w:rsidR="00A54442" w:rsidRPr="00A308CA">
        <w:rPr>
          <w:bCs/>
        </w:rPr>
        <w:t xml:space="preserve">survey is open, the </w:t>
      </w:r>
      <w:r w:rsidR="001514BF" w:rsidRPr="00A308CA">
        <w:rPr>
          <w:bCs/>
        </w:rPr>
        <w:t xml:space="preserve">research </w:t>
      </w:r>
      <w:r w:rsidR="00A54442" w:rsidRPr="00A308CA">
        <w:rPr>
          <w:bCs/>
        </w:rPr>
        <w:t xml:space="preserve">team will monitor response rates and send </w:t>
      </w:r>
      <w:r>
        <w:rPr>
          <w:bCs/>
        </w:rPr>
        <w:t>up to two</w:t>
      </w:r>
      <w:r w:rsidR="00A54442" w:rsidRPr="00A308CA">
        <w:rPr>
          <w:bCs/>
        </w:rPr>
        <w:t xml:space="preserve"> reminder email</w:t>
      </w:r>
      <w:r>
        <w:rPr>
          <w:bCs/>
        </w:rPr>
        <w:t>s</w:t>
      </w:r>
      <w:r w:rsidR="00A54442" w:rsidRPr="00A308CA">
        <w:rPr>
          <w:bCs/>
        </w:rPr>
        <w:t xml:space="preserve"> (</w:t>
      </w:r>
      <w:r w:rsidR="00A54442" w:rsidRPr="00507AD1">
        <w:rPr>
          <w:bCs/>
        </w:rPr>
        <w:t>Appendi</w:t>
      </w:r>
      <w:r>
        <w:rPr>
          <w:bCs/>
        </w:rPr>
        <w:t>ces</w:t>
      </w:r>
      <w:r w:rsidR="00A308CA" w:rsidRPr="00507AD1">
        <w:rPr>
          <w:bCs/>
        </w:rPr>
        <w:t xml:space="preserve"> K</w:t>
      </w:r>
      <w:r w:rsidR="000A1B51">
        <w:rPr>
          <w:bCs/>
        </w:rPr>
        <w:t xml:space="preserve">, </w:t>
      </w:r>
      <w:r>
        <w:rPr>
          <w:bCs/>
        </w:rPr>
        <w:t>L</w:t>
      </w:r>
      <w:r w:rsidR="000A1B51">
        <w:rPr>
          <w:bCs/>
        </w:rPr>
        <w:t>, and M</w:t>
      </w:r>
      <w:r>
        <w:rPr>
          <w:bCs/>
        </w:rPr>
        <w:t>)</w:t>
      </w:r>
      <w:r w:rsidR="00A54442" w:rsidRPr="00A308CA">
        <w:rPr>
          <w:b/>
          <w:bCs/>
        </w:rPr>
        <w:t xml:space="preserve"> </w:t>
      </w:r>
      <w:r w:rsidR="00A54442" w:rsidRPr="00A308CA">
        <w:rPr>
          <w:bCs/>
        </w:rPr>
        <w:t xml:space="preserve">or </w:t>
      </w:r>
      <w:r w:rsidR="0016386D">
        <w:rPr>
          <w:bCs/>
        </w:rPr>
        <w:t xml:space="preserve">make a phone </w:t>
      </w:r>
      <w:r w:rsidR="00A54442" w:rsidRPr="00A308CA">
        <w:rPr>
          <w:bCs/>
        </w:rPr>
        <w:t xml:space="preserve">call to individuals who have not completed the survey. </w:t>
      </w:r>
    </w:p>
    <w:p w14:paraId="3890564C" w14:textId="77777777" w:rsidR="000A1B51" w:rsidRDefault="000A1B51" w:rsidP="00FD1B70">
      <w:pPr>
        <w:rPr>
          <w:bCs/>
        </w:rPr>
      </w:pPr>
    </w:p>
    <w:p w14:paraId="72507D1E" w14:textId="363930B5" w:rsidR="00253148" w:rsidRDefault="00BF2211" w:rsidP="00FD1B70">
      <w:r>
        <w:rPr>
          <w:bCs/>
        </w:rPr>
        <w:t xml:space="preserve">Non-response bias is possible if we do not achieve our target </w:t>
      </w:r>
      <w:r w:rsidR="000A1B51">
        <w:rPr>
          <w:bCs/>
        </w:rPr>
        <w:t xml:space="preserve">response </w:t>
      </w:r>
      <w:r>
        <w:rPr>
          <w:bCs/>
        </w:rPr>
        <w:t xml:space="preserve">rate of 100 percent. </w:t>
      </w:r>
      <w:r w:rsidR="00812B15">
        <w:rPr>
          <w:bCs/>
        </w:rPr>
        <w:t>Regarding the surveys</w:t>
      </w:r>
      <w:r>
        <w:rPr>
          <w:bCs/>
        </w:rPr>
        <w:t xml:space="preserve">, </w:t>
      </w:r>
      <w:r w:rsidR="000A1B51">
        <w:rPr>
          <w:bCs/>
        </w:rPr>
        <w:t xml:space="preserve">for the State Refugee Coordinators and URM Program Directors, </w:t>
      </w:r>
      <w:r>
        <w:rPr>
          <w:bCs/>
        </w:rPr>
        <w:t xml:space="preserve">given the nature of the questions on the survey, and the fact that we are asking questions about a program, we do not expect those who respond to the survey to be different in a meaningful way from those who do not respond. </w:t>
      </w:r>
      <w:r w:rsidR="000A1B51">
        <w:rPr>
          <w:bCs/>
        </w:rPr>
        <w:t>For the Private</w:t>
      </w:r>
      <w:r w:rsidR="005D5916">
        <w:rPr>
          <w:bCs/>
        </w:rPr>
        <w:t xml:space="preserve"> Custody</w:t>
      </w:r>
      <w:r w:rsidR="000A1B51">
        <w:rPr>
          <w:bCs/>
        </w:rPr>
        <w:t xml:space="preserve"> Child Welfare Agency Administrators, non-response bias might be more problematic</w:t>
      </w:r>
      <w:r w:rsidR="00CC0631">
        <w:rPr>
          <w:bCs/>
        </w:rPr>
        <w:t xml:space="preserve">, </w:t>
      </w:r>
      <w:r w:rsidR="00F50C38">
        <w:rPr>
          <w:bCs/>
        </w:rPr>
        <w:t>and</w:t>
      </w:r>
      <w:r w:rsidR="000A1B51">
        <w:rPr>
          <w:bCs/>
        </w:rPr>
        <w:t xml:space="preserve"> their </w:t>
      </w:r>
      <w:r w:rsidR="00CC0631">
        <w:rPr>
          <w:bCs/>
        </w:rPr>
        <w:t xml:space="preserve">non-response could reflect their </w:t>
      </w:r>
      <w:r w:rsidR="000A1B51">
        <w:rPr>
          <w:bCs/>
        </w:rPr>
        <w:t>limited involvement with the URM Program.</w:t>
      </w:r>
      <w:r w:rsidR="00CC0631">
        <w:rPr>
          <w:bCs/>
        </w:rPr>
        <w:t xml:space="preserve"> As a result, </w:t>
      </w:r>
      <w:r w:rsidR="00C55C9A">
        <w:rPr>
          <w:bCs/>
        </w:rPr>
        <w:t>there is a risk that we</w:t>
      </w:r>
      <w:r w:rsidR="00B75A1B">
        <w:rPr>
          <w:bCs/>
        </w:rPr>
        <w:t xml:space="preserve"> miss </w:t>
      </w:r>
      <w:r w:rsidR="00CC0631">
        <w:rPr>
          <w:bCs/>
        </w:rPr>
        <w:t>these perspectives</w:t>
      </w:r>
      <w:r w:rsidR="00B75A1B" w:rsidRPr="00B75A1B">
        <w:rPr>
          <w:bCs/>
        </w:rPr>
        <w:t xml:space="preserve"> </w:t>
      </w:r>
      <w:r w:rsidR="00B75A1B">
        <w:rPr>
          <w:bCs/>
        </w:rPr>
        <w:t>more systematically</w:t>
      </w:r>
      <w:r w:rsidR="00CC0631">
        <w:rPr>
          <w:bCs/>
        </w:rPr>
        <w:t>.</w:t>
      </w:r>
      <w:r w:rsidR="00C13306">
        <w:rPr>
          <w:bCs/>
        </w:rPr>
        <w:t xml:space="preserve"> As described in the previous paragraph, we will send </w:t>
      </w:r>
      <w:r w:rsidR="00752351">
        <w:rPr>
          <w:bCs/>
        </w:rPr>
        <w:t xml:space="preserve">regular </w:t>
      </w:r>
      <w:r w:rsidR="00C13306">
        <w:rPr>
          <w:bCs/>
        </w:rPr>
        <w:t xml:space="preserve">reminder emails and make phone calls to individuals to </w:t>
      </w:r>
      <w:r w:rsidR="00752351">
        <w:rPr>
          <w:bCs/>
        </w:rPr>
        <w:t>prompt them to complete the survey</w:t>
      </w:r>
      <w:r w:rsidR="00A8353E">
        <w:rPr>
          <w:bCs/>
        </w:rPr>
        <w:t>.</w:t>
      </w:r>
      <w:r w:rsidR="00DA5DB1">
        <w:rPr>
          <w:bCs/>
        </w:rPr>
        <w:t xml:space="preserve"> </w:t>
      </w:r>
    </w:p>
    <w:p w14:paraId="6FD8B28B" w14:textId="674663A6" w:rsidR="00A06E3D" w:rsidRDefault="00A06E3D" w:rsidP="00FD1B70"/>
    <w:p w14:paraId="5C70721F" w14:textId="579C2105" w:rsidR="00921C65" w:rsidRDefault="00812B15" w:rsidP="009604A7">
      <w:r>
        <w:t>With regards to the site visits, a</w:t>
      </w:r>
      <w:r w:rsidR="00146033">
        <w:t xml:space="preserve">s noted </w:t>
      </w:r>
      <w:r w:rsidR="00FB255A">
        <w:t>in B.1.2</w:t>
      </w:r>
      <w:r w:rsidR="00146033">
        <w:t xml:space="preserve">, the </w:t>
      </w:r>
      <w:r>
        <w:t>sites selected for site visits</w:t>
      </w:r>
      <w:r w:rsidR="00146033">
        <w:t xml:space="preserve"> cannot provide full representativeness of the URM programs</w:t>
      </w:r>
      <w:r w:rsidR="00D667D2">
        <w:t xml:space="preserve"> even with a 100 percent response rate</w:t>
      </w:r>
      <w:r w:rsidR="00146033">
        <w:t xml:space="preserve">. </w:t>
      </w:r>
      <w:r w:rsidR="00921C65">
        <w:t>However, w</w:t>
      </w:r>
      <w:r w:rsidR="00A06E3D">
        <w:t xml:space="preserve">hile we anticipate a 100 percent response rate on the phone </w:t>
      </w:r>
      <w:r w:rsidR="00E47554">
        <w:t>i</w:t>
      </w:r>
      <w:r w:rsidR="00A06E3D">
        <w:t>nterviews</w:t>
      </w:r>
      <w:r w:rsidR="00630E12">
        <w:t xml:space="preserve"> with </w:t>
      </w:r>
      <w:r w:rsidR="0044453D">
        <w:t>p</w:t>
      </w:r>
      <w:r w:rsidR="00630E12">
        <w:t>ublic Child Welfare Agency Administrators (Appendix F);</w:t>
      </w:r>
      <w:r w:rsidR="00A06E3D">
        <w:t xml:space="preserve"> </w:t>
      </w:r>
      <w:r w:rsidR="00630E12">
        <w:t xml:space="preserve">in-person </w:t>
      </w:r>
      <w:r w:rsidR="00E47554">
        <w:t>i</w:t>
      </w:r>
      <w:r w:rsidR="00630E12">
        <w:t>nterviews with URM Program Mangers, Staff, Community Partners [</w:t>
      </w:r>
      <w:r w:rsidR="002D7C2E">
        <w:t>General</w:t>
      </w:r>
      <w:r w:rsidR="00630E12">
        <w:t xml:space="preserve"> and Education]</w:t>
      </w:r>
      <w:r w:rsidR="00766006">
        <w:t>, and Child Welfare Administrators</w:t>
      </w:r>
      <w:r w:rsidR="0044453D">
        <w:t xml:space="preserve"> (Appendices D-H)</w:t>
      </w:r>
      <w:r w:rsidR="00630E12">
        <w:t>;</w:t>
      </w:r>
      <w:r w:rsidR="00A06E3D">
        <w:t xml:space="preserve"> and </w:t>
      </w:r>
      <w:r w:rsidR="00E47554">
        <w:t>f</w:t>
      </w:r>
      <w:r w:rsidR="00630E12">
        <w:t xml:space="preserve">ocus </w:t>
      </w:r>
      <w:r w:rsidR="00E47554">
        <w:t>g</w:t>
      </w:r>
      <w:r w:rsidR="00630E12">
        <w:t xml:space="preserve">roups with URM Youth and URM Foster Parents (Appendices </w:t>
      </w:r>
      <w:r w:rsidR="00811C7C">
        <w:t>I and J)</w:t>
      </w:r>
      <w:r w:rsidR="00A06E3D">
        <w:t xml:space="preserve">, it is possible that there will be non-response bias </w:t>
      </w:r>
      <w:r w:rsidR="00513EF0">
        <w:t xml:space="preserve">if we are not successful in achieving </w:t>
      </w:r>
      <w:r w:rsidR="004F2C1C">
        <w:t>this goal</w:t>
      </w:r>
      <w:r w:rsidR="00A06E3D">
        <w:t xml:space="preserve">. </w:t>
      </w:r>
      <w:r>
        <w:t>To avoid non-response bias, w</w:t>
      </w:r>
      <w:r w:rsidR="00653C75">
        <w:t xml:space="preserve">e will work with the sites in arranging the visits to try to obtain 100 percent response rate, and given that we will arrange our site visits in cooperation with the programs, we expect that we will be able to conduct interviews at times that all interviewees are available. If needed, we can schedule follow-up calls with those </w:t>
      </w:r>
      <w:r w:rsidR="001D20D9">
        <w:t>with whom we are unable to meet in person due to unforeseen circumstances</w:t>
      </w:r>
      <w:r w:rsidR="00653C75">
        <w:t xml:space="preserve">. With </w:t>
      </w:r>
      <w:r w:rsidR="001D20D9">
        <w:t xml:space="preserve">regards to the </w:t>
      </w:r>
      <w:r w:rsidR="00653C75">
        <w:t>focus groups, we will work with sites to find times and locations that will be convenient for potential participants and offer incentives that will help offset costs of transportation</w:t>
      </w:r>
      <w:r w:rsidR="00A00445">
        <w:t xml:space="preserve"> and rearranging work schedules, in order to avoid nonresponse bias by only including respondents who more financially able to attend a focus group</w:t>
      </w:r>
      <w:r w:rsidR="00653C75">
        <w:t xml:space="preserve">. </w:t>
      </w:r>
      <w:r w:rsidR="00970F02">
        <w:t xml:space="preserve">We will share information about the focus groups </w:t>
      </w:r>
      <w:r w:rsidR="009E4858">
        <w:t xml:space="preserve">before visits </w:t>
      </w:r>
      <w:r w:rsidR="00821E03">
        <w:t>(</w:t>
      </w:r>
      <w:r w:rsidR="001A00B5">
        <w:t xml:space="preserve">Appendix </w:t>
      </w:r>
      <w:r w:rsidR="00E758D8">
        <w:t>N</w:t>
      </w:r>
      <w:r w:rsidR="001A00B5">
        <w:t xml:space="preserve">), </w:t>
      </w:r>
      <w:r w:rsidR="00970F02">
        <w:t xml:space="preserve">so that sites may </w:t>
      </w:r>
      <w:r w:rsidR="009E4858">
        <w:t>begin outreach to families and youth well in advance</w:t>
      </w:r>
      <w:r w:rsidR="001A00B5">
        <w:t xml:space="preserve"> and allow attendees time</w:t>
      </w:r>
      <w:r w:rsidR="009E4858">
        <w:t xml:space="preserve"> to </w:t>
      </w:r>
      <w:r w:rsidR="00821E03">
        <w:t xml:space="preserve">coordinate </w:t>
      </w:r>
      <w:r w:rsidR="001A00B5">
        <w:t xml:space="preserve">their </w:t>
      </w:r>
      <w:r w:rsidR="00821E03">
        <w:t>attendance.</w:t>
      </w:r>
      <w:r w:rsidR="009E4858">
        <w:t xml:space="preserve"> </w:t>
      </w:r>
    </w:p>
    <w:p w14:paraId="2F5D6042" w14:textId="77777777" w:rsidR="00921C65" w:rsidRDefault="00921C65" w:rsidP="009604A7"/>
    <w:p w14:paraId="54DB9F29" w14:textId="5244902A" w:rsidR="00646118" w:rsidRDefault="00921C65" w:rsidP="009604A7">
      <w:r>
        <w:t>W</w:t>
      </w:r>
      <w:r w:rsidR="009604A7">
        <w:t xml:space="preserve">e acknowledge that nonresponse could affect the perspectives we are able to capture in our study. </w:t>
      </w:r>
      <w:r w:rsidR="00653C75">
        <w:t xml:space="preserve"> </w:t>
      </w:r>
      <w:r w:rsidR="00646118">
        <w:t>We would expect that</w:t>
      </w:r>
      <w:r w:rsidR="00653C75">
        <w:t>, if we are unable to obtain a 100 percent response rate,</w:t>
      </w:r>
      <w:r w:rsidR="00646118">
        <w:t xml:space="preserve"> those with whom we are unable to conduct an interview </w:t>
      </w:r>
      <w:r w:rsidR="002D7C2E">
        <w:t>may be</w:t>
      </w:r>
      <w:r w:rsidR="00646118">
        <w:t xml:space="preserve"> less likely to be involved in the URM program and may be less knowledgeable about the program and URM youth. This could create bias in our </w:t>
      </w:r>
      <w:r w:rsidR="00FF7AB0">
        <w:t>findings</w:t>
      </w:r>
      <w:r w:rsidR="00646118">
        <w:t>, as we would be missing the perspective of those who work less closely with the program.</w:t>
      </w:r>
    </w:p>
    <w:p w14:paraId="5E68985E" w14:textId="77777777" w:rsidR="00EC6101" w:rsidRPr="007378E7" w:rsidRDefault="005175A1" w:rsidP="005175A1">
      <w:pPr>
        <w:pStyle w:val="Heading2"/>
      </w:pPr>
      <w:bookmarkStart w:id="7" w:name="_Toc519523535"/>
      <w:r>
        <w:t xml:space="preserve">B.3.3 </w:t>
      </w:r>
      <w:r w:rsidR="00EC6101" w:rsidRPr="007378E7">
        <w:t>Maximizing Response Rates</w:t>
      </w:r>
      <w:bookmarkEnd w:id="7"/>
    </w:p>
    <w:p w14:paraId="6DAA2D61" w14:textId="1E58941A" w:rsidR="003C337A" w:rsidRDefault="001A105C" w:rsidP="00FD1B70">
      <w:r>
        <w:t xml:space="preserve">For </w:t>
      </w:r>
      <w:r w:rsidR="00362F7D">
        <w:t xml:space="preserve">the </w:t>
      </w:r>
      <w:r w:rsidR="004D7CE9">
        <w:rPr>
          <w:bCs/>
        </w:rPr>
        <w:t>Surveys of State Refugee Coordinators (Appendix A), URM Program Directors (Appendix B), and Private</w:t>
      </w:r>
      <w:r w:rsidR="007B32A2">
        <w:rPr>
          <w:bCs/>
        </w:rPr>
        <w:t xml:space="preserve"> Custody</w:t>
      </w:r>
      <w:r w:rsidR="004D7CE9">
        <w:rPr>
          <w:bCs/>
        </w:rPr>
        <w:t xml:space="preserve"> Child Welfare Agency Administrators (Appendix C), </w:t>
      </w:r>
      <w:r w:rsidR="004D7CE9">
        <w:t>t</w:t>
      </w:r>
      <w:r w:rsidR="003C337A">
        <w:t xml:space="preserve">he engagement of ORR and the resettlement agencies will help in promoting participation. This engagement will inform respondents about the study and help to maximize the number of respondents to complete the survey. </w:t>
      </w:r>
    </w:p>
    <w:p w14:paraId="349BDD46" w14:textId="77777777" w:rsidR="003C337A" w:rsidRDefault="003C337A" w:rsidP="00FD1B70"/>
    <w:p w14:paraId="5A8483CB" w14:textId="2758468B" w:rsidR="00F20419" w:rsidRDefault="003C337A" w:rsidP="00FD1B70">
      <w:r>
        <w:t xml:space="preserve">For site visits, the research team will engage with the </w:t>
      </w:r>
      <w:r w:rsidR="004D7CE9">
        <w:t>SRCs</w:t>
      </w:r>
      <w:r>
        <w:t xml:space="preserve"> and national resettlement agencies to gain contextual information, learn about approval processes, and connect with URM program staff. The </w:t>
      </w:r>
      <w:r w:rsidR="00CE54C3">
        <w:t xml:space="preserve">study team will also </w:t>
      </w:r>
      <w:r w:rsidR="004D7CE9">
        <w:t>work with</w:t>
      </w:r>
      <w:r w:rsidR="00CE54C3">
        <w:t xml:space="preserve"> </w:t>
      </w:r>
      <w:r>
        <w:t xml:space="preserve">SRCs and resettlement agencies to identify and engage with key contacts at each site to promote participation. </w:t>
      </w:r>
    </w:p>
    <w:p w14:paraId="28C0F9E2" w14:textId="77777777" w:rsidR="00F20419" w:rsidRDefault="00244975" w:rsidP="002C2ED3">
      <w:pPr>
        <w:pStyle w:val="Heading1"/>
      </w:pPr>
      <w:bookmarkStart w:id="8" w:name="_Toc519523536"/>
      <w:r>
        <w:t xml:space="preserve">B4. </w:t>
      </w:r>
      <w:r w:rsidR="00E05A0A">
        <w:t>Tests of Procedures or Methods to be Undertaken</w:t>
      </w:r>
      <w:bookmarkEnd w:id="8"/>
    </w:p>
    <w:p w14:paraId="0E3F259A" w14:textId="2A4588B0" w:rsidR="00552DF8" w:rsidRPr="00FD1B70" w:rsidRDefault="00E06CA3" w:rsidP="00F20419">
      <w:bookmarkStart w:id="9" w:name="_Hlk509929715"/>
      <w:r w:rsidRPr="00A308CA">
        <w:t xml:space="preserve">The research team will pilot </w:t>
      </w:r>
      <w:r w:rsidR="00F21D09">
        <w:t>the</w:t>
      </w:r>
      <w:r w:rsidR="00F21D09" w:rsidRPr="00A308CA">
        <w:t xml:space="preserve"> </w:t>
      </w:r>
      <w:r w:rsidR="00F21D09">
        <w:t>Survey of State Refugee Coordinators (Appendix A) and the Survey of URM Program Directors (Appendix B)</w:t>
      </w:r>
      <w:r w:rsidR="00F21D09" w:rsidRPr="00A308CA">
        <w:t xml:space="preserve"> </w:t>
      </w:r>
      <w:r w:rsidRPr="00A308CA">
        <w:t xml:space="preserve">with </w:t>
      </w:r>
      <w:r w:rsidR="00F21D09">
        <w:t>three of each type of</w:t>
      </w:r>
      <w:r w:rsidRPr="00A308CA">
        <w:t xml:space="preserve"> respondent and ask for their feedback, including how long it took them to complete, whether the questions were clear, etc. </w:t>
      </w:r>
      <w:bookmarkEnd w:id="9"/>
      <w:r w:rsidR="00494191" w:rsidRPr="00A308CA">
        <w:t xml:space="preserve">We propose piloting the </w:t>
      </w:r>
      <w:r w:rsidR="00F21D09">
        <w:t>Survey of State Refugee Coordinators (Appendix A) and the Survey of URM Program Directors (Appendix B)</w:t>
      </w:r>
      <w:r w:rsidR="00F21D09" w:rsidRPr="00A308CA">
        <w:t xml:space="preserve"> </w:t>
      </w:r>
      <w:r w:rsidR="00494191" w:rsidRPr="00A308CA">
        <w:t xml:space="preserve">in </w:t>
      </w:r>
      <w:r w:rsidR="00E25D50">
        <w:t xml:space="preserve">early </w:t>
      </w:r>
      <w:r w:rsidR="00B75A1B">
        <w:t>201</w:t>
      </w:r>
      <w:r w:rsidR="00E25D50">
        <w:t>9</w:t>
      </w:r>
      <w:r w:rsidR="00812B15">
        <w:t>.</w:t>
      </w:r>
      <w:r w:rsidR="003A1CA2">
        <w:t xml:space="preserve"> If changes are made based on this pretesting, we will submit the updated surveys to OMB for review.</w:t>
      </w:r>
    </w:p>
    <w:p w14:paraId="279237E6" w14:textId="77777777" w:rsidR="00E05A0A" w:rsidRDefault="00E05A0A" w:rsidP="005175A1">
      <w:pPr>
        <w:pStyle w:val="Heading1"/>
      </w:pPr>
      <w:bookmarkStart w:id="10" w:name="_Toc519523537"/>
      <w:r>
        <w:t xml:space="preserve">B5. </w:t>
      </w:r>
      <w:r w:rsidR="0008315A">
        <w:t>Individual(s)</w:t>
      </w:r>
      <w:r>
        <w:t xml:space="preserve"> Consulted on Statistical Aspects and Individuals Collecting and/or Analyzing Data</w:t>
      </w:r>
      <w:bookmarkEnd w:id="10"/>
    </w:p>
    <w:p w14:paraId="0BF1B071" w14:textId="31B39B14" w:rsidR="00A308CA" w:rsidRPr="00A308CA" w:rsidRDefault="00A308CA" w:rsidP="003133FD">
      <w:pPr>
        <w:pStyle w:val="Heading2"/>
      </w:pPr>
      <w:bookmarkStart w:id="11" w:name="_Toc519523538"/>
      <w:r>
        <w:t xml:space="preserve">Exhibit </w:t>
      </w:r>
      <w:r w:rsidR="00D05C61">
        <w:t>2</w:t>
      </w:r>
      <w:r>
        <w:t>: Individuals Consulted on Statistical Aspects and Collecting and/or Analyzing Data</w:t>
      </w:r>
      <w:bookmarkEnd w:id="11"/>
    </w:p>
    <w:p w14:paraId="520A844A" w14:textId="77777777" w:rsidR="00686AE4" w:rsidRDefault="00686AE4" w:rsidP="00686AE4">
      <w:r>
        <w:t>Design of the survey: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3738"/>
        <w:gridCol w:w="3055"/>
      </w:tblGrid>
      <w:tr w:rsidR="00686AE4" w:rsidRPr="00464592" w14:paraId="2CED47AD" w14:textId="77777777" w:rsidTr="0049433E">
        <w:tc>
          <w:tcPr>
            <w:tcW w:w="2359" w:type="dxa"/>
            <w:shd w:val="clear" w:color="auto" w:fill="8EAADB"/>
          </w:tcPr>
          <w:p w14:paraId="7881EF49" w14:textId="77777777" w:rsidR="00686AE4" w:rsidRPr="0038643A" w:rsidRDefault="00686AE4" w:rsidP="005D7D4A">
            <w:pPr>
              <w:rPr>
                <w:b/>
                <w:sz w:val="22"/>
                <w:szCs w:val="22"/>
              </w:rPr>
            </w:pPr>
            <w:r w:rsidRPr="0038643A">
              <w:rPr>
                <w:b/>
                <w:sz w:val="22"/>
                <w:szCs w:val="22"/>
              </w:rPr>
              <w:t>Name</w:t>
            </w:r>
          </w:p>
        </w:tc>
        <w:tc>
          <w:tcPr>
            <w:tcW w:w="3738" w:type="dxa"/>
            <w:shd w:val="clear" w:color="auto" w:fill="8EAADB"/>
          </w:tcPr>
          <w:p w14:paraId="2BC5ACA5" w14:textId="77777777" w:rsidR="00686AE4" w:rsidRPr="0038643A" w:rsidRDefault="00686AE4" w:rsidP="005D7D4A">
            <w:pPr>
              <w:rPr>
                <w:b/>
                <w:sz w:val="22"/>
                <w:szCs w:val="22"/>
              </w:rPr>
            </w:pPr>
            <w:r w:rsidRPr="0038643A">
              <w:rPr>
                <w:b/>
                <w:sz w:val="22"/>
                <w:szCs w:val="22"/>
              </w:rPr>
              <w:t>Affiliation</w:t>
            </w:r>
          </w:p>
        </w:tc>
        <w:tc>
          <w:tcPr>
            <w:tcW w:w="3055" w:type="dxa"/>
            <w:shd w:val="clear" w:color="auto" w:fill="8EAADB"/>
          </w:tcPr>
          <w:p w14:paraId="597D09C9" w14:textId="77777777" w:rsidR="00686AE4" w:rsidRPr="0038643A" w:rsidRDefault="00686AE4" w:rsidP="005D7D4A">
            <w:pPr>
              <w:rPr>
                <w:b/>
                <w:sz w:val="22"/>
                <w:szCs w:val="22"/>
              </w:rPr>
            </w:pPr>
            <w:r w:rsidRPr="0038643A">
              <w:rPr>
                <w:b/>
                <w:sz w:val="22"/>
                <w:szCs w:val="22"/>
              </w:rPr>
              <w:t>Contact</w:t>
            </w:r>
          </w:p>
        </w:tc>
      </w:tr>
      <w:tr w:rsidR="00686AE4" w:rsidRPr="00464592" w14:paraId="6FB588A5" w14:textId="77777777" w:rsidTr="0049433E">
        <w:tc>
          <w:tcPr>
            <w:tcW w:w="2359" w:type="dxa"/>
            <w:shd w:val="clear" w:color="auto" w:fill="auto"/>
          </w:tcPr>
          <w:p w14:paraId="25E381A7" w14:textId="77777777" w:rsidR="00686AE4" w:rsidRPr="00464592" w:rsidRDefault="00686AE4" w:rsidP="005D7D4A">
            <w:pPr>
              <w:rPr>
                <w:sz w:val="22"/>
                <w:szCs w:val="22"/>
              </w:rPr>
            </w:pPr>
            <w:r>
              <w:rPr>
                <w:sz w:val="22"/>
                <w:szCs w:val="22"/>
              </w:rPr>
              <w:t>Lyn Morland</w:t>
            </w:r>
          </w:p>
        </w:tc>
        <w:tc>
          <w:tcPr>
            <w:tcW w:w="3738" w:type="dxa"/>
            <w:shd w:val="clear" w:color="auto" w:fill="auto"/>
          </w:tcPr>
          <w:p w14:paraId="23F1BA4A" w14:textId="77777777" w:rsidR="00686AE4" w:rsidRPr="00464592" w:rsidRDefault="00686AE4" w:rsidP="005D7D4A">
            <w:pPr>
              <w:rPr>
                <w:sz w:val="22"/>
                <w:szCs w:val="22"/>
              </w:rPr>
            </w:pPr>
            <w:r>
              <w:rPr>
                <w:sz w:val="22"/>
                <w:szCs w:val="22"/>
              </w:rPr>
              <w:t>McGill University</w:t>
            </w:r>
          </w:p>
        </w:tc>
        <w:tc>
          <w:tcPr>
            <w:tcW w:w="3055" w:type="dxa"/>
            <w:shd w:val="clear" w:color="auto" w:fill="auto"/>
          </w:tcPr>
          <w:p w14:paraId="0B845B77" w14:textId="77777777" w:rsidR="00686AE4" w:rsidRPr="00464592" w:rsidRDefault="00915625" w:rsidP="005D7D4A">
            <w:pPr>
              <w:rPr>
                <w:sz w:val="22"/>
                <w:szCs w:val="22"/>
              </w:rPr>
            </w:pPr>
            <w:r>
              <w:rPr>
                <w:sz w:val="22"/>
                <w:szCs w:val="22"/>
              </w:rPr>
              <w:t>lynmorland@gmail.com</w:t>
            </w:r>
          </w:p>
        </w:tc>
      </w:tr>
      <w:tr w:rsidR="00686AE4" w:rsidRPr="00464592" w14:paraId="66BC4D30" w14:textId="77777777" w:rsidTr="0049433E">
        <w:tc>
          <w:tcPr>
            <w:tcW w:w="2359" w:type="dxa"/>
            <w:shd w:val="clear" w:color="auto" w:fill="auto"/>
          </w:tcPr>
          <w:p w14:paraId="2248066C" w14:textId="77777777" w:rsidR="00686AE4" w:rsidRPr="00464592" w:rsidRDefault="00686AE4" w:rsidP="005D7D4A">
            <w:pPr>
              <w:rPr>
                <w:sz w:val="22"/>
                <w:szCs w:val="22"/>
              </w:rPr>
            </w:pPr>
            <w:r>
              <w:rPr>
                <w:sz w:val="22"/>
                <w:szCs w:val="22"/>
              </w:rPr>
              <w:t>Elzbieta Gozdziak</w:t>
            </w:r>
          </w:p>
        </w:tc>
        <w:tc>
          <w:tcPr>
            <w:tcW w:w="3738" w:type="dxa"/>
            <w:shd w:val="clear" w:color="auto" w:fill="auto"/>
          </w:tcPr>
          <w:p w14:paraId="402B270A" w14:textId="77777777" w:rsidR="00686AE4" w:rsidRPr="00464592" w:rsidRDefault="00686AE4" w:rsidP="005D7D4A">
            <w:pPr>
              <w:rPr>
                <w:sz w:val="22"/>
                <w:szCs w:val="22"/>
              </w:rPr>
            </w:pPr>
            <w:r>
              <w:rPr>
                <w:sz w:val="22"/>
                <w:szCs w:val="22"/>
              </w:rPr>
              <w:t>Georgetown University</w:t>
            </w:r>
          </w:p>
        </w:tc>
        <w:tc>
          <w:tcPr>
            <w:tcW w:w="3055" w:type="dxa"/>
            <w:shd w:val="clear" w:color="auto" w:fill="auto"/>
          </w:tcPr>
          <w:p w14:paraId="52858140" w14:textId="77777777" w:rsidR="00686AE4" w:rsidRPr="00464592" w:rsidRDefault="002C2ED3" w:rsidP="005D7D4A">
            <w:pPr>
              <w:rPr>
                <w:sz w:val="22"/>
                <w:szCs w:val="22"/>
              </w:rPr>
            </w:pPr>
            <w:r>
              <w:rPr>
                <w:sz w:val="22"/>
                <w:szCs w:val="22"/>
              </w:rPr>
              <w:t>emg27@georgetown.edu</w:t>
            </w:r>
          </w:p>
        </w:tc>
      </w:tr>
      <w:tr w:rsidR="00686AE4" w:rsidRPr="00464592" w14:paraId="6A51380C" w14:textId="77777777" w:rsidTr="0049433E">
        <w:tc>
          <w:tcPr>
            <w:tcW w:w="2359" w:type="dxa"/>
            <w:shd w:val="clear" w:color="auto" w:fill="auto"/>
          </w:tcPr>
          <w:p w14:paraId="60EA1B94" w14:textId="77777777" w:rsidR="00686AE4" w:rsidRPr="00464592" w:rsidRDefault="00686AE4" w:rsidP="005D7D4A">
            <w:pPr>
              <w:rPr>
                <w:sz w:val="22"/>
                <w:szCs w:val="22"/>
              </w:rPr>
            </w:pPr>
            <w:r>
              <w:rPr>
                <w:sz w:val="22"/>
                <w:szCs w:val="22"/>
              </w:rPr>
              <w:t>Tom Crea</w:t>
            </w:r>
          </w:p>
        </w:tc>
        <w:tc>
          <w:tcPr>
            <w:tcW w:w="3738" w:type="dxa"/>
            <w:shd w:val="clear" w:color="auto" w:fill="auto"/>
          </w:tcPr>
          <w:p w14:paraId="1030E13F" w14:textId="77777777" w:rsidR="00686AE4" w:rsidRPr="00464592" w:rsidRDefault="00686AE4" w:rsidP="005D7D4A">
            <w:pPr>
              <w:rPr>
                <w:sz w:val="22"/>
                <w:szCs w:val="22"/>
              </w:rPr>
            </w:pPr>
            <w:r>
              <w:rPr>
                <w:sz w:val="22"/>
                <w:szCs w:val="22"/>
              </w:rPr>
              <w:t>Boston College</w:t>
            </w:r>
          </w:p>
        </w:tc>
        <w:tc>
          <w:tcPr>
            <w:tcW w:w="3055" w:type="dxa"/>
            <w:shd w:val="clear" w:color="auto" w:fill="auto"/>
          </w:tcPr>
          <w:p w14:paraId="3E3DF79E" w14:textId="77777777" w:rsidR="00686AE4" w:rsidRPr="00464592" w:rsidRDefault="002C2ED3" w:rsidP="005D7D4A">
            <w:pPr>
              <w:rPr>
                <w:sz w:val="22"/>
                <w:szCs w:val="22"/>
              </w:rPr>
            </w:pPr>
            <w:r>
              <w:rPr>
                <w:sz w:val="22"/>
                <w:szCs w:val="22"/>
              </w:rPr>
              <w:t>creat@bc.edu</w:t>
            </w:r>
          </w:p>
        </w:tc>
      </w:tr>
      <w:tr w:rsidR="00F00432" w:rsidRPr="00464592" w14:paraId="36FF8351" w14:textId="77777777" w:rsidTr="0049433E">
        <w:tc>
          <w:tcPr>
            <w:tcW w:w="2359" w:type="dxa"/>
            <w:shd w:val="clear" w:color="auto" w:fill="auto"/>
          </w:tcPr>
          <w:p w14:paraId="48E0016C" w14:textId="77777777" w:rsidR="00F00432" w:rsidRDefault="00F00432" w:rsidP="00F00432">
            <w:pPr>
              <w:rPr>
                <w:sz w:val="22"/>
                <w:szCs w:val="22"/>
              </w:rPr>
            </w:pPr>
            <w:r>
              <w:rPr>
                <w:sz w:val="22"/>
                <w:szCs w:val="22"/>
              </w:rPr>
              <w:t>Jennifer Berenson</w:t>
            </w:r>
          </w:p>
        </w:tc>
        <w:tc>
          <w:tcPr>
            <w:tcW w:w="3738" w:type="dxa"/>
            <w:shd w:val="clear" w:color="auto" w:fill="auto"/>
          </w:tcPr>
          <w:p w14:paraId="54A356A3" w14:textId="77777777" w:rsidR="00F00432" w:rsidRDefault="00F00432" w:rsidP="00F00432">
            <w:pPr>
              <w:rPr>
                <w:sz w:val="22"/>
                <w:szCs w:val="22"/>
              </w:rPr>
            </w:pPr>
            <w:r>
              <w:rPr>
                <w:sz w:val="22"/>
                <w:szCs w:val="22"/>
              </w:rPr>
              <w:t>Catholic Family Center (Rochester, NY)</w:t>
            </w:r>
          </w:p>
        </w:tc>
        <w:tc>
          <w:tcPr>
            <w:tcW w:w="3055" w:type="dxa"/>
            <w:shd w:val="clear" w:color="auto" w:fill="auto"/>
          </w:tcPr>
          <w:p w14:paraId="193F9338" w14:textId="77777777" w:rsidR="00F00432" w:rsidRDefault="00F00432" w:rsidP="00F00432">
            <w:pPr>
              <w:rPr>
                <w:sz w:val="22"/>
                <w:szCs w:val="22"/>
              </w:rPr>
            </w:pPr>
            <w:r w:rsidRPr="001A5A5F">
              <w:rPr>
                <w:sz w:val="22"/>
                <w:szCs w:val="22"/>
              </w:rPr>
              <w:t>jberenson@cfcrochester.org</w:t>
            </w:r>
          </w:p>
        </w:tc>
      </w:tr>
      <w:tr w:rsidR="00F00432" w:rsidRPr="00464592" w14:paraId="53E3D048" w14:textId="77777777" w:rsidTr="0049433E">
        <w:tc>
          <w:tcPr>
            <w:tcW w:w="2359" w:type="dxa"/>
            <w:shd w:val="clear" w:color="auto" w:fill="auto"/>
          </w:tcPr>
          <w:p w14:paraId="035D8835" w14:textId="77777777" w:rsidR="00F00432" w:rsidRDefault="00F00432" w:rsidP="00F00432">
            <w:pPr>
              <w:rPr>
                <w:sz w:val="22"/>
                <w:szCs w:val="22"/>
              </w:rPr>
            </w:pPr>
            <w:r>
              <w:rPr>
                <w:sz w:val="22"/>
                <w:szCs w:val="22"/>
              </w:rPr>
              <w:t xml:space="preserve">Charles Shipman </w:t>
            </w:r>
          </w:p>
        </w:tc>
        <w:tc>
          <w:tcPr>
            <w:tcW w:w="3738" w:type="dxa"/>
            <w:shd w:val="clear" w:color="auto" w:fill="auto"/>
          </w:tcPr>
          <w:p w14:paraId="363EFB33" w14:textId="77777777" w:rsidR="00F00432" w:rsidRDefault="00F00432" w:rsidP="00F00432">
            <w:pPr>
              <w:rPr>
                <w:sz w:val="22"/>
                <w:szCs w:val="22"/>
              </w:rPr>
            </w:pPr>
            <w:r>
              <w:rPr>
                <w:sz w:val="22"/>
                <w:szCs w:val="22"/>
              </w:rPr>
              <w:t>Arizona Immigrant and Refugee Services</w:t>
            </w:r>
          </w:p>
        </w:tc>
        <w:tc>
          <w:tcPr>
            <w:tcW w:w="3055" w:type="dxa"/>
            <w:shd w:val="clear" w:color="auto" w:fill="auto"/>
          </w:tcPr>
          <w:p w14:paraId="293791DF" w14:textId="77777777" w:rsidR="00F00432" w:rsidRDefault="00F00432" w:rsidP="00F00432">
            <w:pPr>
              <w:rPr>
                <w:sz w:val="22"/>
                <w:szCs w:val="22"/>
              </w:rPr>
            </w:pPr>
            <w:r w:rsidRPr="006E42ED">
              <w:rPr>
                <w:sz w:val="22"/>
                <w:szCs w:val="22"/>
              </w:rPr>
              <w:t>cshipman@azdes.gov</w:t>
            </w:r>
          </w:p>
        </w:tc>
      </w:tr>
    </w:tbl>
    <w:p w14:paraId="65BA43CE" w14:textId="77777777" w:rsidR="00686AE4" w:rsidRDefault="00686AE4" w:rsidP="00686AE4"/>
    <w:p w14:paraId="35C81406" w14:textId="77777777" w:rsidR="00686AE4" w:rsidRDefault="00686AE4" w:rsidP="00686AE4">
      <w:r>
        <w:t xml:space="preserve">Involved in Data Collection and Analysis: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3496"/>
        <w:gridCol w:w="3555"/>
      </w:tblGrid>
      <w:tr w:rsidR="00686AE4" w:rsidRPr="00464592" w14:paraId="0B888157" w14:textId="77777777" w:rsidTr="00565262">
        <w:tc>
          <w:tcPr>
            <w:tcW w:w="2376" w:type="dxa"/>
            <w:shd w:val="clear" w:color="auto" w:fill="8EAADB"/>
          </w:tcPr>
          <w:p w14:paraId="57B4EA04" w14:textId="77777777" w:rsidR="00686AE4" w:rsidRPr="0038643A" w:rsidRDefault="00686AE4" w:rsidP="005D7D4A">
            <w:pPr>
              <w:rPr>
                <w:b/>
                <w:sz w:val="22"/>
                <w:szCs w:val="22"/>
              </w:rPr>
            </w:pPr>
            <w:r w:rsidRPr="0038643A">
              <w:rPr>
                <w:b/>
                <w:sz w:val="22"/>
                <w:szCs w:val="22"/>
              </w:rPr>
              <w:t>Name</w:t>
            </w:r>
          </w:p>
        </w:tc>
        <w:tc>
          <w:tcPr>
            <w:tcW w:w="3567" w:type="dxa"/>
            <w:shd w:val="clear" w:color="auto" w:fill="8EAADB"/>
          </w:tcPr>
          <w:p w14:paraId="5282925D" w14:textId="77777777" w:rsidR="00686AE4" w:rsidRPr="0038643A" w:rsidRDefault="00686AE4" w:rsidP="005D7D4A">
            <w:pPr>
              <w:rPr>
                <w:b/>
                <w:sz w:val="22"/>
                <w:szCs w:val="22"/>
              </w:rPr>
            </w:pPr>
            <w:r w:rsidRPr="0038643A">
              <w:rPr>
                <w:b/>
                <w:sz w:val="22"/>
                <w:szCs w:val="22"/>
              </w:rPr>
              <w:t>Affiliation</w:t>
            </w:r>
          </w:p>
        </w:tc>
        <w:tc>
          <w:tcPr>
            <w:tcW w:w="3209" w:type="dxa"/>
            <w:shd w:val="clear" w:color="auto" w:fill="8EAADB"/>
          </w:tcPr>
          <w:p w14:paraId="7635DDBD" w14:textId="77777777" w:rsidR="00686AE4" w:rsidRPr="0038643A" w:rsidRDefault="00686AE4" w:rsidP="005D7D4A">
            <w:pPr>
              <w:rPr>
                <w:b/>
                <w:sz w:val="22"/>
                <w:szCs w:val="22"/>
              </w:rPr>
            </w:pPr>
            <w:r w:rsidRPr="0038643A">
              <w:rPr>
                <w:b/>
                <w:sz w:val="22"/>
                <w:szCs w:val="22"/>
              </w:rPr>
              <w:t>Contact</w:t>
            </w:r>
          </w:p>
        </w:tc>
      </w:tr>
      <w:tr w:rsidR="00686AE4" w:rsidRPr="00464592" w14:paraId="7C93F8B3" w14:textId="77777777" w:rsidTr="00565262">
        <w:tc>
          <w:tcPr>
            <w:tcW w:w="2376" w:type="dxa"/>
            <w:shd w:val="clear" w:color="auto" w:fill="auto"/>
          </w:tcPr>
          <w:p w14:paraId="0ED6ACD1" w14:textId="77777777" w:rsidR="00686AE4" w:rsidRPr="00686AE4" w:rsidRDefault="00686AE4" w:rsidP="005D7D4A">
            <w:pPr>
              <w:rPr>
                <w:sz w:val="22"/>
                <w:szCs w:val="22"/>
              </w:rPr>
            </w:pPr>
            <w:r w:rsidRPr="00686AE4">
              <w:rPr>
                <w:sz w:val="22"/>
                <w:szCs w:val="22"/>
              </w:rPr>
              <w:t>Sam Elkin</w:t>
            </w:r>
          </w:p>
        </w:tc>
        <w:tc>
          <w:tcPr>
            <w:tcW w:w="3567" w:type="dxa"/>
            <w:shd w:val="clear" w:color="auto" w:fill="auto"/>
          </w:tcPr>
          <w:p w14:paraId="5CB088F8" w14:textId="77777777" w:rsidR="00686AE4" w:rsidRPr="00686AE4" w:rsidRDefault="00686AE4" w:rsidP="005D7D4A">
            <w:pPr>
              <w:rPr>
                <w:sz w:val="22"/>
                <w:szCs w:val="22"/>
              </w:rPr>
            </w:pPr>
            <w:r>
              <w:rPr>
                <w:sz w:val="22"/>
                <w:szCs w:val="22"/>
              </w:rPr>
              <w:t>MEF Associates</w:t>
            </w:r>
          </w:p>
        </w:tc>
        <w:tc>
          <w:tcPr>
            <w:tcW w:w="3209" w:type="dxa"/>
            <w:shd w:val="clear" w:color="auto" w:fill="auto"/>
          </w:tcPr>
          <w:p w14:paraId="7B837106" w14:textId="77777777" w:rsidR="003C337A" w:rsidRPr="00686AE4" w:rsidRDefault="003C337A" w:rsidP="005D7D4A">
            <w:pPr>
              <w:rPr>
                <w:sz w:val="22"/>
                <w:szCs w:val="22"/>
              </w:rPr>
            </w:pPr>
            <w:r>
              <w:rPr>
                <w:sz w:val="22"/>
                <w:szCs w:val="22"/>
              </w:rPr>
              <w:t>sam.elkin@mefassociates.com</w:t>
            </w:r>
          </w:p>
        </w:tc>
      </w:tr>
      <w:tr w:rsidR="00686AE4" w:rsidRPr="00464592" w14:paraId="74C53559" w14:textId="77777777" w:rsidTr="00565262">
        <w:tc>
          <w:tcPr>
            <w:tcW w:w="2376" w:type="dxa"/>
            <w:shd w:val="clear" w:color="auto" w:fill="auto"/>
          </w:tcPr>
          <w:p w14:paraId="53B8DF3E" w14:textId="77777777" w:rsidR="00686AE4" w:rsidRPr="00686AE4" w:rsidRDefault="00686AE4" w:rsidP="005D7D4A">
            <w:pPr>
              <w:rPr>
                <w:sz w:val="22"/>
                <w:szCs w:val="22"/>
              </w:rPr>
            </w:pPr>
            <w:r>
              <w:rPr>
                <w:sz w:val="22"/>
                <w:szCs w:val="22"/>
              </w:rPr>
              <w:t>Kim Foley</w:t>
            </w:r>
          </w:p>
        </w:tc>
        <w:tc>
          <w:tcPr>
            <w:tcW w:w="3567" w:type="dxa"/>
            <w:shd w:val="clear" w:color="auto" w:fill="auto"/>
          </w:tcPr>
          <w:p w14:paraId="76591CDF" w14:textId="77777777" w:rsidR="00686AE4" w:rsidRPr="00686AE4" w:rsidRDefault="00686AE4" w:rsidP="005D7D4A">
            <w:pPr>
              <w:rPr>
                <w:sz w:val="22"/>
                <w:szCs w:val="22"/>
              </w:rPr>
            </w:pPr>
            <w:r>
              <w:rPr>
                <w:sz w:val="22"/>
                <w:szCs w:val="22"/>
              </w:rPr>
              <w:t>MEF Associates</w:t>
            </w:r>
          </w:p>
        </w:tc>
        <w:tc>
          <w:tcPr>
            <w:tcW w:w="3209" w:type="dxa"/>
            <w:shd w:val="clear" w:color="auto" w:fill="auto"/>
          </w:tcPr>
          <w:p w14:paraId="53B57E90" w14:textId="77777777" w:rsidR="00686AE4" w:rsidRPr="00686AE4" w:rsidRDefault="00915625" w:rsidP="005D7D4A">
            <w:pPr>
              <w:rPr>
                <w:sz w:val="22"/>
                <w:szCs w:val="22"/>
              </w:rPr>
            </w:pPr>
            <w:r>
              <w:rPr>
                <w:sz w:val="22"/>
                <w:szCs w:val="22"/>
              </w:rPr>
              <w:t>kim</w:t>
            </w:r>
            <w:r w:rsidR="00A54442">
              <w:rPr>
                <w:sz w:val="22"/>
                <w:szCs w:val="22"/>
              </w:rPr>
              <w:t>berly</w:t>
            </w:r>
            <w:r>
              <w:rPr>
                <w:sz w:val="22"/>
                <w:szCs w:val="22"/>
              </w:rPr>
              <w:t>.foley@mefassociates.com</w:t>
            </w:r>
          </w:p>
        </w:tc>
      </w:tr>
      <w:tr w:rsidR="00686AE4" w:rsidRPr="00464592" w14:paraId="5449DD39" w14:textId="77777777" w:rsidTr="00565262">
        <w:tc>
          <w:tcPr>
            <w:tcW w:w="2376" w:type="dxa"/>
            <w:shd w:val="clear" w:color="auto" w:fill="auto"/>
          </w:tcPr>
          <w:p w14:paraId="4C9C8BC5" w14:textId="77777777" w:rsidR="00686AE4" w:rsidRPr="00686AE4" w:rsidRDefault="00686AE4" w:rsidP="005D7D4A">
            <w:pPr>
              <w:rPr>
                <w:sz w:val="22"/>
                <w:szCs w:val="22"/>
              </w:rPr>
            </w:pPr>
            <w:r>
              <w:rPr>
                <w:sz w:val="22"/>
                <w:szCs w:val="22"/>
              </w:rPr>
              <w:t>Liza Rodler</w:t>
            </w:r>
          </w:p>
        </w:tc>
        <w:tc>
          <w:tcPr>
            <w:tcW w:w="3567" w:type="dxa"/>
            <w:shd w:val="clear" w:color="auto" w:fill="auto"/>
          </w:tcPr>
          <w:p w14:paraId="2CAAE8E6" w14:textId="77777777" w:rsidR="00686AE4" w:rsidRPr="00686AE4" w:rsidRDefault="00686AE4" w:rsidP="005D7D4A">
            <w:pPr>
              <w:rPr>
                <w:sz w:val="22"/>
                <w:szCs w:val="22"/>
              </w:rPr>
            </w:pPr>
            <w:r>
              <w:rPr>
                <w:sz w:val="22"/>
                <w:szCs w:val="22"/>
              </w:rPr>
              <w:t>MEF Associates</w:t>
            </w:r>
          </w:p>
        </w:tc>
        <w:tc>
          <w:tcPr>
            <w:tcW w:w="3209" w:type="dxa"/>
            <w:shd w:val="clear" w:color="auto" w:fill="auto"/>
          </w:tcPr>
          <w:p w14:paraId="33B57B59" w14:textId="77777777" w:rsidR="00686AE4" w:rsidRPr="00686AE4" w:rsidRDefault="00915625" w:rsidP="005D7D4A">
            <w:pPr>
              <w:rPr>
                <w:sz w:val="22"/>
                <w:szCs w:val="22"/>
              </w:rPr>
            </w:pPr>
            <w:r>
              <w:rPr>
                <w:sz w:val="22"/>
                <w:szCs w:val="22"/>
              </w:rPr>
              <w:t>liza.rodler@mefassociates.com</w:t>
            </w:r>
          </w:p>
        </w:tc>
      </w:tr>
      <w:tr w:rsidR="00686AE4" w:rsidRPr="00464592" w14:paraId="18985607" w14:textId="77777777" w:rsidTr="00565262">
        <w:tc>
          <w:tcPr>
            <w:tcW w:w="2376" w:type="dxa"/>
            <w:shd w:val="clear" w:color="auto" w:fill="auto"/>
          </w:tcPr>
          <w:p w14:paraId="30B8B005" w14:textId="77777777" w:rsidR="00686AE4" w:rsidRPr="00686AE4" w:rsidRDefault="00686AE4" w:rsidP="005D7D4A">
            <w:pPr>
              <w:rPr>
                <w:sz w:val="22"/>
                <w:szCs w:val="22"/>
              </w:rPr>
            </w:pPr>
            <w:r>
              <w:rPr>
                <w:sz w:val="22"/>
                <w:szCs w:val="22"/>
              </w:rPr>
              <w:t xml:space="preserve">Sarah Catherine Williams </w:t>
            </w:r>
          </w:p>
        </w:tc>
        <w:tc>
          <w:tcPr>
            <w:tcW w:w="3567" w:type="dxa"/>
            <w:shd w:val="clear" w:color="auto" w:fill="auto"/>
          </w:tcPr>
          <w:p w14:paraId="38458144" w14:textId="77777777" w:rsidR="00686AE4" w:rsidRPr="00686AE4" w:rsidRDefault="00686AE4" w:rsidP="005D7D4A">
            <w:pPr>
              <w:rPr>
                <w:sz w:val="22"/>
                <w:szCs w:val="22"/>
              </w:rPr>
            </w:pPr>
            <w:r>
              <w:rPr>
                <w:sz w:val="22"/>
                <w:szCs w:val="22"/>
              </w:rPr>
              <w:t>Child Trends</w:t>
            </w:r>
          </w:p>
        </w:tc>
        <w:tc>
          <w:tcPr>
            <w:tcW w:w="3209" w:type="dxa"/>
            <w:shd w:val="clear" w:color="auto" w:fill="auto"/>
          </w:tcPr>
          <w:p w14:paraId="5D7CD230" w14:textId="77777777" w:rsidR="00686AE4" w:rsidRPr="00686AE4" w:rsidRDefault="00915625" w:rsidP="005D7D4A">
            <w:pPr>
              <w:rPr>
                <w:sz w:val="22"/>
                <w:szCs w:val="22"/>
              </w:rPr>
            </w:pPr>
            <w:r w:rsidRPr="002C2ED3">
              <w:rPr>
                <w:sz w:val="22"/>
                <w:szCs w:val="22"/>
              </w:rPr>
              <w:t>swilliams@childtrends.org</w:t>
            </w:r>
          </w:p>
        </w:tc>
      </w:tr>
      <w:tr w:rsidR="00686AE4" w:rsidRPr="00464592" w14:paraId="35A9E881" w14:textId="77777777" w:rsidTr="00565262">
        <w:tc>
          <w:tcPr>
            <w:tcW w:w="2376" w:type="dxa"/>
            <w:shd w:val="clear" w:color="auto" w:fill="auto"/>
          </w:tcPr>
          <w:p w14:paraId="2729152C" w14:textId="77777777" w:rsidR="00686AE4" w:rsidRPr="00686AE4" w:rsidRDefault="00686AE4" w:rsidP="005D7D4A">
            <w:pPr>
              <w:rPr>
                <w:sz w:val="22"/>
                <w:szCs w:val="22"/>
              </w:rPr>
            </w:pPr>
            <w:r>
              <w:rPr>
                <w:sz w:val="22"/>
                <w:szCs w:val="22"/>
              </w:rPr>
              <w:t>Heather Wasik</w:t>
            </w:r>
          </w:p>
        </w:tc>
        <w:tc>
          <w:tcPr>
            <w:tcW w:w="3567" w:type="dxa"/>
            <w:shd w:val="clear" w:color="auto" w:fill="auto"/>
          </w:tcPr>
          <w:p w14:paraId="6E1E0F86" w14:textId="77777777" w:rsidR="00686AE4" w:rsidRPr="00686AE4" w:rsidRDefault="00686AE4" w:rsidP="005D7D4A">
            <w:pPr>
              <w:rPr>
                <w:sz w:val="22"/>
                <w:szCs w:val="22"/>
              </w:rPr>
            </w:pPr>
            <w:r>
              <w:rPr>
                <w:sz w:val="22"/>
                <w:szCs w:val="22"/>
              </w:rPr>
              <w:t>Child Trends</w:t>
            </w:r>
          </w:p>
        </w:tc>
        <w:tc>
          <w:tcPr>
            <w:tcW w:w="3209" w:type="dxa"/>
            <w:shd w:val="clear" w:color="auto" w:fill="auto"/>
          </w:tcPr>
          <w:p w14:paraId="12468005" w14:textId="77777777" w:rsidR="00686AE4" w:rsidRPr="00686AE4" w:rsidRDefault="00915625" w:rsidP="005D7D4A">
            <w:pPr>
              <w:rPr>
                <w:sz w:val="22"/>
                <w:szCs w:val="22"/>
              </w:rPr>
            </w:pPr>
            <w:r w:rsidRPr="002C2ED3">
              <w:rPr>
                <w:sz w:val="22"/>
                <w:szCs w:val="22"/>
              </w:rPr>
              <w:t>hwasik@childtrends.org</w:t>
            </w:r>
          </w:p>
        </w:tc>
      </w:tr>
      <w:tr w:rsidR="00686AE4" w:rsidRPr="00464592" w14:paraId="2D5DF6CB" w14:textId="77777777" w:rsidTr="00565262">
        <w:tc>
          <w:tcPr>
            <w:tcW w:w="2376" w:type="dxa"/>
            <w:shd w:val="clear" w:color="auto" w:fill="auto"/>
          </w:tcPr>
          <w:p w14:paraId="5249688A" w14:textId="77777777" w:rsidR="00686AE4" w:rsidRPr="00686AE4" w:rsidRDefault="00686AE4" w:rsidP="005D7D4A">
            <w:pPr>
              <w:rPr>
                <w:sz w:val="22"/>
                <w:szCs w:val="22"/>
              </w:rPr>
            </w:pPr>
            <w:r>
              <w:rPr>
                <w:sz w:val="22"/>
                <w:szCs w:val="22"/>
              </w:rPr>
              <w:t>Lauren Supplee</w:t>
            </w:r>
          </w:p>
        </w:tc>
        <w:tc>
          <w:tcPr>
            <w:tcW w:w="3567" w:type="dxa"/>
            <w:shd w:val="clear" w:color="auto" w:fill="auto"/>
          </w:tcPr>
          <w:p w14:paraId="653C6181" w14:textId="77777777" w:rsidR="00686AE4" w:rsidRPr="00686AE4" w:rsidRDefault="00686AE4" w:rsidP="005D7D4A">
            <w:pPr>
              <w:rPr>
                <w:sz w:val="22"/>
                <w:szCs w:val="22"/>
              </w:rPr>
            </w:pPr>
            <w:r>
              <w:rPr>
                <w:sz w:val="22"/>
                <w:szCs w:val="22"/>
              </w:rPr>
              <w:t>Child Trends</w:t>
            </w:r>
          </w:p>
        </w:tc>
        <w:tc>
          <w:tcPr>
            <w:tcW w:w="3209" w:type="dxa"/>
            <w:shd w:val="clear" w:color="auto" w:fill="auto"/>
          </w:tcPr>
          <w:p w14:paraId="587576DE" w14:textId="77777777" w:rsidR="00686AE4" w:rsidRPr="00686AE4" w:rsidRDefault="00915625" w:rsidP="005D7D4A">
            <w:pPr>
              <w:rPr>
                <w:sz w:val="22"/>
                <w:szCs w:val="22"/>
              </w:rPr>
            </w:pPr>
            <w:r>
              <w:rPr>
                <w:sz w:val="22"/>
                <w:szCs w:val="22"/>
              </w:rPr>
              <w:t>lsupplee@childtrends.org</w:t>
            </w:r>
          </w:p>
        </w:tc>
      </w:tr>
      <w:tr w:rsidR="00915625" w:rsidRPr="00464592" w14:paraId="0905CBB5" w14:textId="77777777" w:rsidTr="00565262">
        <w:tc>
          <w:tcPr>
            <w:tcW w:w="2376" w:type="dxa"/>
            <w:shd w:val="clear" w:color="auto" w:fill="auto"/>
          </w:tcPr>
          <w:p w14:paraId="08D1A2EA" w14:textId="77777777" w:rsidR="00915625" w:rsidRPr="00686AE4" w:rsidRDefault="00915625" w:rsidP="00915625">
            <w:pPr>
              <w:rPr>
                <w:sz w:val="22"/>
                <w:szCs w:val="22"/>
              </w:rPr>
            </w:pPr>
            <w:r>
              <w:rPr>
                <w:sz w:val="22"/>
                <w:szCs w:val="22"/>
              </w:rPr>
              <w:t>Lyn Morland</w:t>
            </w:r>
          </w:p>
        </w:tc>
        <w:tc>
          <w:tcPr>
            <w:tcW w:w="3567" w:type="dxa"/>
            <w:shd w:val="clear" w:color="auto" w:fill="auto"/>
          </w:tcPr>
          <w:p w14:paraId="6D63A453" w14:textId="77777777" w:rsidR="00915625" w:rsidRPr="00686AE4" w:rsidRDefault="00915625" w:rsidP="00915625">
            <w:pPr>
              <w:rPr>
                <w:sz w:val="22"/>
                <w:szCs w:val="22"/>
              </w:rPr>
            </w:pPr>
            <w:r>
              <w:rPr>
                <w:sz w:val="22"/>
                <w:szCs w:val="22"/>
              </w:rPr>
              <w:t>McGill University</w:t>
            </w:r>
          </w:p>
        </w:tc>
        <w:tc>
          <w:tcPr>
            <w:tcW w:w="3209" w:type="dxa"/>
            <w:shd w:val="clear" w:color="auto" w:fill="auto"/>
          </w:tcPr>
          <w:p w14:paraId="22A402A2" w14:textId="06D01410" w:rsidR="00915625" w:rsidRPr="00686AE4" w:rsidRDefault="009368C7" w:rsidP="00915625">
            <w:pPr>
              <w:rPr>
                <w:sz w:val="22"/>
                <w:szCs w:val="22"/>
              </w:rPr>
            </w:pPr>
            <w:r w:rsidRPr="009368C7">
              <w:rPr>
                <w:sz w:val="22"/>
                <w:szCs w:val="22"/>
              </w:rPr>
              <w:t>lynmorland@gmail.com</w:t>
            </w:r>
          </w:p>
        </w:tc>
      </w:tr>
      <w:tr w:rsidR="00DD4E22" w:rsidRPr="00464592" w14:paraId="73BEBDA5" w14:textId="77777777" w:rsidTr="00565262">
        <w:tc>
          <w:tcPr>
            <w:tcW w:w="2376" w:type="dxa"/>
            <w:shd w:val="clear" w:color="auto" w:fill="auto"/>
          </w:tcPr>
          <w:p w14:paraId="7D95DCCE" w14:textId="55B97E6A" w:rsidR="00DD4E22" w:rsidRDefault="00DD4E22" w:rsidP="00915625">
            <w:pPr>
              <w:rPr>
                <w:sz w:val="22"/>
                <w:szCs w:val="22"/>
              </w:rPr>
            </w:pPr>
            <w:r>
              <w:rPr>
                <w:sz w:val="22"/>
                <w:szCs w:val="22"/>
              </w:rPr>
              <w:t>Tiffany McCormack</w:t>
            </w:r>
          </w:p>
        </w:tc>
        <w:tc>
          <w:tcPr>
            <w:tcW w:w="3567" w:type="dxa"/>
            <w:shd w:val="clear" w:color="auto" w:fill="auto"/>
          </w:tcPr>
          <w:p w14:paraId="7944C15F" w14:textId="738F1C8D" w:rsidR="00DD4E22" w:rsidRDefault="00DD4E22" w:rsidP="00915625">
            <w:pPr>
              <w:rPr>
                <w:sz w:val="22"/>
                <w:szCs w:val="22"/>
              </w:rPr>
            </w:pPr>
            <w:r>
              <w:rPr>
                <w:sz w:val="22"/>
                <w:szCs w:val="22"/>
              </w:rPr>
              <w:t>Office of Planning, Research, and Evaluation</w:t>
            </w:r>
          </w:p>
        </w:tc>
        <w:tc>
          <w:tcPr>
            <w:tcW w:w="3209" w:type="dxa"/>
            <w:shd w:val="clear" w:color="auto" w:fill="auto"/>
          </w:tcPr>
          <w:p w14:paraId="5DBB4123" w14:textId="6696BFD0" w:rsidR="00DD4E22" w:rsidRDefault="002E516D" w:rsidP="00915625">
            <w:pPr>
              <w:rPr>
                <w:sz w:val="22"/>
                <w:szCs w:val="22"/>
              </w:rPr>
            </w:pPr>
            <w:r>
              <w:rPr>
                <w:sz w:val="22"/>
                <w:szCs w:val="22"/>
              </w:rPr>
              <w:t>t</w:t>
            </w:r>
            <w:r w:rsidRPr="002E516D">
              <w:rPr>
                <w:sz w:val="22"/>
                <w:szCs w:val="22"/>
              </w:rPr>
              <w:t>iffany.</w:t>
            </w:r>
            <w:r w:rsidR="00F81032">
              <w:rPr>
                <w:sz w:val="22"/>
                <w:szCs w:val="22"/>
              </w:rPr>
              <w:t>m</w:t>
            </w:r>
            <w:r w:rsidRPr="002E516D">
              <w:rPr>
                <w:sz w:val="22"/>
                <w:szCs w:val="22"/>
              </w:rPr>
              <w:t>c</w:t>
            </w:r>
            <w:r w:rsidR="00F81032">
              <w:rPr>
                <w:sz w:val="22"/>
                <w:szCs w:val="22"/>
              </w:rPr>
              <w:t>c</w:t>
            </w:r>
            <w:r w:rsidRPr="002E516D">
              <w:rPr>
                <w:sz w:val="22"/>
                <w:szCs w:val="22"/>
              </w:rPr>
              <w:t>ormack@acf.hhs.gov</w:t>
            </w:r>
          </w:p>
        </w:tc>
      </w:tr>
      <w:tr w:rsidR="002E516D" w:rsidRPr="00464592" w14:paraId="4CA13EA6" w14:textId="77777777" w:rsidTr="00565262">
        <w:tc>
          <w:tcPr>
            <w:tcW w:w="2376" w:type="dxa"/>
            <w:shd w:val="clear" w:color="auto" w:fill="auto"/>
          </w:tcPr>
          <w:p w14:paraId="235E5121" w14:textId="6595B986" w:rsidR="002E516D" w:rsidRDefault="002E516D" w:rsidP="00915625">
            <w:pPr>
              <w:rPr>
                <w:sz w:val="22"/>
                <w:szCs w:val="22"/>
              </w:rPr>
            </w:pPr>
            <w:r>
              <w:rPr>
                <w:sz w:val="22"/>
                <w:szCs w:val="22"/>
              </w:rPr>
              <w:t>Gabrielle Newell</w:t>
            </w:r>
          </w:p>
        </w:tc>
        <w:tc>
          <w:tcPr>
            <w:tcW w:w="3567" w:type="dxa"/>
            <w:shd w:val="clear" w:color="auto" w:fill="auto"/>
          </w:tcPr>
          <w:p w14:paraId="745B1456" w14:textId="7AEE0754" w:rsidR="002E516D" w:rsidRPr="008F0006" w:rsidRDefault="00526C3D" w:rsidP="0014547F">
            <w:pPr>
              <w:rPr>
                <w:sz w:val="22"/>
                <w:szCs w:val="22"/>
              </w:rPr>
            </w:pPr>
            <w:r w:rsidRPr="00845AB5">
              <w:rPr>
                <w:color w:val="000000"/>
                <w:sz w:val="22"/>
                <w:szCs w:val="22"/>
              </w:rPr>
              <w:t>Office of Planning, Research, and Evaluation</w:t>
            </w:r>
          </w:p>
        </w:tc>
        <w:tc>
          <w:tcPr>
            <w:tcW w:w="3209" w:type="dxa"/>
            <w:shd w:val="clear" w:color="auto" w:fill="auto"/>
          </w:tcPr>
          <w:p w14:paraId="413BAA1E" w14:textId="77777777" w:rsidR="002E516D" w:rsidRDefault="008F0006" w:rsidP="00915625">
            <w:pPr>
              <w:rPr>
                <w:sz w:val="22"/>
                <w:szCs w:val="22"/>
              </w:rPr>
            </w:pPr>
            <w:r>
              <w:rPr>
                <w:sz w:val="22"/>
                <w:szCs w:val="22"/>
              </w:rPr>
              <w:t>g</w:t>
            </w:r>
            <w:r w:rsidR="00D3133E" w:rsidRPr="00845AB5">
              <w:rPr>
                <w:sz w:val="22"/>
                <w:szCs w:val="22"/>
              </w:rPr>
              <w:t>abrielle.newell@ac</w:t>
            </w:r>
            <w:r>
              <w:rPr>
                <w:sz w:val="22"/>
                <w:szCs w:val="22"/>
              </w:rPr>
              <w:t>f.hhs.gov</w:t>
            </w:r>
          </w:p>
          <w:p w14:paraId="65280DAB" w14:textId="5341B02E" w:rsidR="00EB5B17" w:rsidRDefault="00EB5B17" w:rsidP="00915625">
            <w:pPr>
              <w:rPr>
                <w:sz w:val="22"/>
                <w:szCs w:val="22"/>
              </w:rPr>
            </w:pPr>
          </w:p>
        </w:tc>
      </w:tr>
      <w:tr w:rsidR="00EB5B17" w:rsidRPr="00464592" w14:paraId="7BFE68E7" w14:textId="77777777" w:rsidTr="00565262">
        <w:tc>
          <w:tcPr>
            <w:tcW w:w="2376" w:type="dxa"/>
            <w:shd w:val="clear" w:color="auto" w:fill="auto"/>
          </w:tcPr>
          <w:p w14:paraId="52F7B071" w14:textId="4CDA4F37" w:rsidR="00EB5B17" w:rsidRDefault="00EB5B17" w:rsidP="00915625">
            <w:pPr>
              <w:rPr>
                <w:sz w:val="22"/>
                <w:szCs w:val="22"/>
              </w:rPr>
            </w:pPr>
            <w:r>
              <w:rPr>
                <w:sz w:val="22"/>
                <w:szCs w:val="22"/>
              </w:rPr>
              <w:t>Catherine Marie Lawrence</w:t>
            </w:r>
          </w:p>
        </w:tc>
        <w:tc>
          <w:tcPr>
            <w:tcW w:w="3567" w:type="dxa"/>
            <w:shd w:val="clear" w:color="auto" w:fill="auto"/>
          </w:tcPr>
          <w:p w14:paraId="0338D0DF" w14:textId="31778AC1" w:rsidR="00EB5B17" w:rsidRPr="00845AB5" w:rsidRDefault="00EB5B17" w:rsidP="00915625">
            <w:pPr>
              <w:rPr>
                <w:color w:val="000000"/>
                <w:sz w:val="22"/>
                <w:szCs w:val="22"/>
              </w:rPr>
            </w:pPr>
            <w:r w:rsidRPr="00845AB5">
              <w:rPr>
                <w:color w:val="000000"/>
                <w:sz w:val="22"/>
                <w:szCs w:val="22"/>
              </w:rPr>
              <w:t>Office of Planning, Research, and Evaluation/Business Strategy Consultants</w:t>
            </w:r>
          </w:p>
        </w:tc>
        <w:tc>
          <w:tcPr>
            <w:tcW w:w="3209" w:type="dxa"/>
            <w:shd w:val="clear" w:color="auto" w:fill="auto"/>
          </w:tcPr>
          <w:p w14:paraId="35B1AB1E" w14:textId="67F9740E" w:rsidR="00EB5B17" w:rsidRDefault="00EB5B17" w:rsidP="00915625">
            <w:pPr>
              <w:rPr>
                <w:sz w:val="22"/>
                <w:szCs w:val="22"/>
              </w:rPr>
            </w:pPr>
            <w:r w:rsidRPr="00EB5B17">
              <w:rPr>
                <w:sz w:val="22"/>
                <w:szCs w:val="22"/>
              </w:rPr>
              <w:t>Catherinemarie.Lawrence@acf.hhs.gov</w:t>
            </w:r>
          </w:p>
        </w:tc>
      </w:tr>
    </w:tbl>
    <w:p w14:paraId="3E64A3D7" w14:textId="20338D88" w:rsidR="003E3AFF" w:rsidRDefault="003E3AFF" w:rsidP="00BB4444"/>
    <w:sectPr w:rsidR="003E3AFF" w:rsidSect="003133F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F87E4" w14:textId="77777777" w:rsidR="00E01D4A" w:rsidRDefault="00E01D4A">
      <w:r>
        <w:separator/>
      </w:r>
    </w:p>
  </w:endnote>
  <w:endnote w:type="continuationSeparator" w:id="0">
    <w:p w14:paraId="4A2CACD0" w14:textId="77777777" w:rsidR="00E01D4A" w:rsidRDefault="00E01D4A">
      <w:r>
        <w:continuationSeparator/>
      </w:r>
    </w:p>
  </w:endnote>
  <w:endnote w:type="continuationNotice" w:id="1">
    <w:p w14:paraId="0CE1B55F" w14:textId="77777777" w:rsidR="00E01D4A" w:rsidRDefault="00E0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8095" w14:textId="18D9D3EC" w:rsidR="00A53058" w:rsidRPr="005175A1" w:rsidRDefault="00A53058" w:rsidP="005175A1">
    <w:pPr>
      <w:pStyle w:val="Footer"/>
      <w:rPr>
        <w:sz w:val="18"/>
        <w:szCs w:val="18"/>
      </w:rPr>
    </w:pPr>
    <w:r w:rsidRPr="005175A1">
      <w:rPr>
        <w:sz w:val="18"/>
        <w:szCs w:val="18"/>
      </w:rPr>
      <w:fldChar w:fldCharType="begin"/>
    </w:r>
    <w:r w:rsidRPr="005175A1">
      <w:rPr>
        <w:sz w:val="18"/>
        <w:szCs w:val="18"/>
      </w:rPr>
      <w:instrText xml:space="preserve"> PAGE   \* MERGEFORMAT </w:instrText>
    </w:r>
    <w:r w:rsidRPr="005175A1">
      <w:rPr>
        <w:sz w:val="18"/>
        <w:szCs w:val="18"/>
      </w:rPr>
      <w:fldChar w:fldCharType="separate"/>
    </w:r>
    <w:r w:rsidR="005E2B41">
      <w:rPr>
        <w:noProof/>
        <w:sz w:val="18"/>
        <w:szCs w:val="18"/>
      </w:rPr>
      <w:t>1</w:t>
    </w:r>
    <w:r w:rsidRPr="005175A1">
      <w:rPr>
        <w:noProof/>
        <w:sz w:val="18"/>
        <w:szCs w:val="18"/>
      </w:rPr>
      <w:fldChar w:fldCharType="end"/>
    </w:r>
    <w:r w:rsidRPr="005175A1">
      <w:rPr>
        <w:noProof/>
        <w:sz w:val="18"/>
        <w:szCs w:val="18"/>
      </w:rPr>
      <w:tab/>
    </w:r>
    <w:r w:rsidRPr="005175A1">
      <w:rPr>
        <w:noProof/>
        <w:sz w:val="18"/>
        <w:szCs w:val="18"/>
      </w:rPr>
      <w:tab/>
      <w:t xml:space="preserve">              </w:t>
    </w:r>
    <w:r w:rsidRPr="005175A1">
      <w:rPr>
        <w:sz w:val="18"/>
        <w:szCs w:val="18"/>
      </w:rPr>
      <w:t>Supporting Statements for OMB Clearance Request Part B</w:t>
    </w:r>
    <w:r w:rsidRPr="005175A1">
      <w:rPr>
        <w:color w:val="A5A5A5"/>
        <w:sz w:val="18"/>
        <w:szCs w:val="18"/>
      </w:rPr>
      <w:t xml:space="preserve"> </w:t>
    </w:r>
    <w:r w:rsidRPr="005175A1">
      <w:rPr>
        <w:b/>
        <w:bCs/>
        <w:color w:val="E44044"/>
        <w:sz w:val="18"/>
        <w:szCs w:val="18"/>
      </w:rPr>
      <w:t>|</w:t>
    </w:r>
    <w:r w:rsidRPr="005175A1">
      <w:rPr>
        <w:b/>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646D" w14:textId="77777777" w:rsidR="00E01D4A" w:rsidRDefault="00E01D4A">
      <w:r>
        <w:separator/>
      </w:r>
    </w:p>
  </w:footnote>
  <w:footnote w:type="continuationSeparator" w:id="0">
    <w:p w14:paraId="56EFBF62" w14:textId="77777777" w:rsidR="00E01D4A" w:rsidRDefault="00E01D4A">
      <w:r>
        <w:continuationSeparator/>
      </w:r>
    </w:p>
  </w:footnote>
  <w:footnote w:type="continuationNotice" w:id="1">
    <w:p w14:paraId="4E0AB8D8" w14:textId="77777777" w:rsidR="00E01D4A" w:rsidRDefault="00E01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ED08" w14:textId="77777777" w:rsidR="00A53058" w:rsidRDefault="00A53058"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9665B"/>
    <w:multiLevelType w:val="hybridMultilevel"/>
    <w:tmpl w:val="C80C225C"/>
    <w:lvl w:ilvl="0" w:tplc="4566DA7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448796D"/>
    <w:multiLevelType w:val="hybridMultilevel"/>
    <w:tmpl w:val="A61E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A140ED"/>
    <w:multiLevelType w:val="hybridMultilevel"/>
    <w:tmpl w:val="2AEE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E450F9"/>
    <w:multiLevelType w:val="hybridMultilevel"/>
    <w:tmpl w:val="70B8CF2C"/>
    <w:lvl w:ilvl="0" w:tplc="E4760D1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F73320"/>
    <w:multiLevelType w:val="hybridMultilevel"/>
    <w:tmpl w:val="3B78CC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8"/>
  </w:num>
  <w:num w:numId="5">
    <w:abstractNumId w:val="10"/>
  </w:num>
  <w:num w:numId="6">
    <w:abstractNumId w:val="15"/>
  </w:num>
  <w:num w:numId="7">
    <w:abstractNumId w:val="14"/>
  </w:num>
  <w:num w:numId="8">
    <w:abstractNumId w:val="11"/>
  </w:num>
  <w:num w:numId="9">
    <w:abstractNumId w:val="12"/>
  </w:num>
  <w:num w:numId="10">
    <w:abstractNumId w:val="2"/>
  </w:num>
  <w:num w:numId="11">
    <w:abstractNumId w:val="0"/>
  </w:num>
  <w:num w:numId="12">
    <w:abstractNumId w:val="4"/>
  </w:num>
  <w:num w:numId="13">
    <w:abstractNumId w:val="18"/>
  </w:num>
  <w:num w:numId="14">
    <w:abstractNumId w:val="6"/>
  </w:num>
  <w:num w:numId="15">
    <w:abstractNumId w:val="7"/>
  </w:num>
  <w:num w:numId="16">
    <w:abstractNumId w:val="9"/>
  </w:num>
  <w:num w:numId="17">
    <w:abstractNumId w:val="19"/>
  </w:num>
  <w:num w:numId="18">
    <w:abstractNumId w:val="3"/>
  </w:num>
  <w:num w:numId="19">
    <w:abstractNumId w:val="1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74E8"/>
    <w:rsid w:val="0001783C"/>
    <w:rsid w:val="00027B27"/>
    <w:rsid w:val="00030F5E"/>
    <w:rsid w:val="00032344"/>
    <w:rsid w:val="000469AB"/>
    <w:rsid w:val="00055367"/>
    <w:rsid w:val="00056273"/>
    <w:rsid w:val="00066B93"/>
    <w:rsid w:val="0007397D"/>
    <w:rsid w:val="000751D7"/>
    <w:rsid w:val="00075F18"/>
    <w:rsid w:val="00076ABD"/>
    <w:rsid w:val="0008315A"/>
    <w:rsid w:val="00091C59"/>
    <w:rsid w:val="00097FFE"/>
    <w:rsid w:val="000A1B51"/>
    <w:rsid w:val="000B1CED"/>
    <w:rsid w:val="000B5EA8"/>
    <w:rsid w:val="000C53B0"/>
    <w:rsid w:val="000C6EB7"/>
    <w:rsid w:val="000D3BD7"/>
    <w:rsid w:val="000D4EE6"/>
    <w:rsid w:val="000D53DF"/>
    <w:rsid w:val="000E0509"/>
    <w:rsid w:val="000F4E6D"/>
    <w:rsid w:val="000F5D39"/>
    <w:rsid w:val="00101164"/>
    <w:rsid w:val="00112E95"/>
    <w:rsid w:val="00116B95"/>
    <w:rsid w:val="001177B7"/>
    <w:rsid w:val="00120424"/>
    <w:rsid w:val="00122494"/>
    <w:rsid w:val="0013234A"/>
    <w:rsid w:val="0013262D"/>
    <w:rsid w:val="00132B17"/>
    <w:rsid w:val="00134B29"/>
    <w:rsid w:val="0014547F"/>
    <w:rsid w:val="00145AE0"/>
    <w:rsid w:val="00146033"/>
    <w:rsid w:val="00147B29"/>
    <w:rsid w:val="001514BF"/>
    <w:rsid w:val="00152BF6"/>
    <w:rsid w:val="0016012E"/>
    <w:rsid w:val="0016386D"/>
    <w:rsid w:val="00164052"/>
    <w:rsid w:val="00170FD7"/>
    <w:rsid w:val="00175545"/>
    <w:rsid w:val="001779C2"/>
    <w:rsid w:val="00183C0F"/>
    <w:rsid w:val="00196486"/>
    <w:rsid w:val="001A00B5"/>
    <w:rsid w:val="001A105C"/>
    <w:rsid w:val="001A1143"/>
    <w:rsid w:val="001A2673"/>
    <w:rsid w:val="001A5A5F"/>
    <w:rsid w:val="001B02FC"/>
    <w:rsid w:val="001B53E4"/>
    <w:rsid w:val="001C4D60"/>
    <w:rsid w:val="001C6504"/>
    <w:rsid w:val="001D20D9"/>
    <w:rsid w:val="001D5B05"/>
    <w:rsid w:val="001E3F00"/>
    <w:rsid w:val="001F2198"/>
    <w:rsid w:val="001F3093"/>
    <w:rsid w:val="001F7698"/>
    <w:rsid w:val="001F79CD"/>
    <w:rsid w:val="0020382F"/>
    <w:rsid w:val="002101E4"/>
    <w:rsid w:val="00214707"/>
    <w:rsid w:val="002151B6"/>
    <w:rsid w:val="002231FA"/>
    <w:rsid w:val="0023109E"/>
    <w:rsid w:val="00231C91"/>
    <w:rsid w:val="00234E8D"/>
    <w:rsid w:val="00235A6D"/>
    <w:rsid w:val="00242FFD"/>
    <w:rsid w:val="00244975"/>
    <w:rsid w:val="00253148"/>
    <w:rsid w:val="002622F3"/>
    <w:rsid w:val="00265224"/>
    <w:rsid w:val="00266401"/>
    <w:rsid w:val="002720A1"/>
    <w:rsid w:val="00292B70"/>
    <w:rsid w:val="002A1F68"/>
    <w:rsid w:val="002A6A25"/>
    <w:rsid w:val="002B0770"/>
    <w:rsid w:val="002B4DBE"/>
    <w:rsid w:val="002C1633"/>
    <w:rsid w:val="002C2ED3"/>
    <w:rsid w:val="002C3BE4"/>
    <w:rsid w:val="002C541C"/>
    <w:rsid w:val="002D7C2E"/>
    <w:rsid w:val="002E516D"/>
    <w:rsid w:val="002F6247"/>
    <w:rsid w:val="0030356A"/>
    <w:rsid w:val="00305403"/>
    <w:rsid w:val="003076DD"/>
    <w:rsid w:val="00310A7A"/>
    <w:rsid w:val="003121B3"/>
    <w:rsid w:val="00312761"/>
    <w:rsid w:val="003133FD"/>
    <w:rsid w:val="00314ED8"/>
    <w:rsid w:val="003170E5"/>
    <w:rsid w:val="00323195"/>
    <w:rsid w:val="00331483"/>
    <w:rsid w:val="00336960"/>
    <w:rsid w:val="0034595E"/>
    <w:rsid w:val="00345C59"/>
    <w:rsid w:val="00346AA4"/>
    <w:rsid w:val="00354571"/>
    <w:rsid w:val="00362F7D"/>
    <w:rsid w:val="00363E7A"/>
    <w:rsid w:val="0037156C"/>
    <w:rsid w:val="00374DAB"/>
    <w:rsid w:val="00376240"/>
    <w:rsid w:val="00377205"/>
    <w:rsid w:val="00381C57"/>
    <w:rsid w:val="003853D4"/>
    <w:rsid w:val="003873D7"/>
    <w:rsid w:val="00395743"/>
    <w:rsid w:val="003A1CA2"/>
    <w:rsid w:val="003B7C79"/>
    <w:rsid w:val="003C337A"/>
    <w:rsid w:val="003D35F3"/>
    <w:rsid w:val="003D4127"/>
    <w:rsid w:val="003D4782"/>
    <w:rsid w:val="003D5231"/>
    <w:rsid w:val="003E1434"/>
    <w:rsid w:val="003E2B31"/>
    <w:rsid w:val="003E3AFF"/>
    <w:rsid w:val="003E7C9A"/>
    <w:rsid w:val="003F4607"/>
    <w:rsid w:val="003F749D"/>
    <w:rsid w:val="003F74F9"/>
    <w:rsid w:val="004024E8"/>
    <w:rsid w:val="004102B2"/>
    <w:rsid w:val="00412990"/>
    <w:rsid w:val="004149F9"/>
    <w:rsid w:val="00424241"/>
    <w:rsid w:val="00432C07"/>
    <w:rsid w:val="00436032"/>
    <w:rsid w:val="00442217"/>
    <w:rsid w:val="0044392F"/>
    <w:rsid w:val="0044453D"/>
    <w:rsid w:val="00451120"/>
    <w:rsid w:val="004513F2"/>
    <w:rsid w:val="0045173D"/>
    <w:rsid w:val="004554B1"/>
    <w:rsid w:val="00456E2F"/>
    <w:rsid w:val="00457CBC"/>
    <w:rsid w:val="00462DB7"/>
    <w:rsid w:val="00463548"/>
    <w:rsid w:val="00463C88"/>
    <w:rsid w:val="00482DDE"/>
    <w:rsid w:val="00483DD1"/>
    <w:rsid w:val="004853C7"/>
    <w:rsid w:val="00487344"/>
    <w:rsid w:val="004904A3"/>
    <w:rsid w:val="00494191"/>
    <w:rsid w:val="0049433E"/>
    <w:rsid w:val="004A34DF"/>
    <w:rsid w:val="004B587E"/>
    <w:rsid w:val="004C2C29"/>
    <w:rsid w:val="004D6CA9"/>
    <w:rsid w:val="004D7CE9"/>
    <w:rsid w:val="004E7EEA"/>
    <w:rsid w:val="004F24E5"/>
    <w:rsid w:val="004F2C1C"/>
    <w:rsid w:val="004F4E1D"/>
    <w:rsid w:val="004F6C67"/>
    <w:rsid w:val="005046F0"/>
    <w:rsid w:val="00507AD1"/>
    <w:rsid w:val="00513EF0"/>
    <w:rsid w:val="005175A1"/>
    <w:rsid w:val="00520737"/>
    <w:rsid w:val="005255CC"/>
    <w:rsid w:val="00526C3D"/>
    <w:rsid w:val="00532A6A"/>
    <w:rsid w:val="00534E66"/>
    <w:rsid w:val="005353B7"/>
    <w:rsid w:val="005354E1"/>
    <w:rsid w:val="00536177"/>
    <w:rsid w:val="00541024"/>
    <w:rsid w:val="005509EF"/>
    <w:rsid w:val="00552DF8"/>
    <w:rsid w:val="0056109E"/>
    <w:rsid w:val="005633A0"/>
    <w:rsid w:val="00565262"/>
    <w:rsid w:val="00567FEF"/>
    <w:rsid w:val="00574E0A"/>
    <w:rsid w:val="00577AAF"/>
    <w:rsid w:val="00587181"/>
    <w:rsid w:val="005A316C"/>
    <w:rsid w:val="005A5D5E"/>
    <w:rsid w:val="005A64C5"/>
    <w:rsid w:val="005A6615"/>
    <w:rsid w:val="005B134D"/>
    <w:rsid w:val="005B391E"/>
    <w:rsid w:val="005B3CD8"/>
    <w:rsid w:val="005B3FD1"/>
    <w:rsid w:val="005B634F"/>
    <w:rsid w:val="005B6730"/>
    <w:rsid w:val="005D05DE"/>
    <w:rsid w:val="005D1C5D"/>
    <w:rsid w:val="005D5231"/>
    <w:rsid w:val="005D5916"/>
    <w:rsid w:val="005D7D4A"/>
    <w:rsid w:val="005E17E2"/>
    <w:rsid w:val="005E2B41"/>
    <w:rsid w:val="005F0273"/>
    <w:rsid w:val="005F2061"/>
    <w:rsid w:val="00607351"/>
    <w:rsid w:val="0061344F"/>
    <w:rsid w:val="006136C0"/>
    <w:rsid w:val="00630E12"/>
    <w:rsid w:val="00637B82"/>
    <w:rsid w:val="0064114D"/>
    <w:rsid w:val="00646052"/>
    <w:rsid w:val="00646118"/>
    <w:rsid w:val="00651DBA"/>
    <w:rsid w:val="00653C75"/>
    <w:rsid w:val="00657424"/>
    <w:rsid w:val="00663215"/>
    <w:rsid w:val="00671E82"/>
    <w:rsid w:val="006724AD"/>
    <w:rsid w:val="00681940"/>
    <w:rsid w:val="00683831"/>
    <w:rsid w:val="00683BCF"/>
    <w:rsid w:val="00684237"/>
    <w:rsid w:val="00686AE4"/>
    <w:rsid w:val="006873DF"/>
    <w:rsid w:val="0069252F"/>
    <w:rsid w:val="00695500"/>
    <w:rsid w:val="00697743"/>
    <w:rsid w:val="006A18A6"/>
    <w:rsid w:val="006A5E2E"/>
    <w:rsid w:val="006B58B4"/>
    <w:rsid w:val="006B6845"/>
    <w:rsid w:val="006B6CD5"/>
    <w:rsid w:val="006C4805"/>
    <w:rsid w:val="006C5FA6"/>
    <w:rsid w:val="006E6AFC"/>
    <w:rsid w:val="006F00AE"/>
    <w:rsid w:val="006F2F59"/>
    <w:rsid w:val="006F30E0"/>
    <w:rsid w:val="006F5A5E"/>
    <w:rsid w:val="00701045"/>
    <w:rsid w:val="0071536F"/>
    <w:rsid w:val="0072204D"/>
    <w:rsid w:val="00722A2E"/>
    <w:rsid w:val="00723219"/>
    <w:rsid w:val="00735EBE"/>
    <w:rsid w:val="007453AE"/>
    <w:rsid w:val="00752351"/>
    <w:rsid w:val="00755630"/>
    <w:rsid w:val="00766006"/>
    <w:rsid w:val="00771870"/>
    <w:rsid w:val="00772457"/>
    <w:rsid w:val="007727EF"/>
    <w:rsid w:val="00784137"/>
    <w:rsid w:val="007A1BD7"/>
    <w:rsid w:val="007A6EEC"/>
    <w:rsid w:val="007A7E4F"/>
    <w:rsid w:val="007B0075"/>
    <w:rsid w:val="007B0E26"/>
    <w:rsid w:val="007B32A2"/>
    <w:rsid w:val="007F4F59"/>
    <w:rsid w:val="007F74F5"/>
    <w:rsid w:val="007F75AE"/>
    <w:rsid w:val="0080037B"/>
    <w:rsid w:val="00800EA7"/>
    <w:rsid w:val="008032BC"/>
    <w:rsid w:val="00806812"/>
    <w:rsid w:val="00811C7C"/>
    <w:rsid w:val="00812B15"/>
    <w:rsid w:val="008172E0"/>
    <w:rsid w:val="00821E03"/>
    <w:rsid w:val="00831190"/>
    <w:rsid w:val="00831FE1"/>
    <w:rsid w:val="008326D8"/>
    <w:rsid w:val="008374AB"/>
    <w:rsid w:val="00840418"/>
    <w:rsid w:val="00845AB5"/>
    <w:rsid w:val="0086472C"/>
    <w:rsid w:val="00871DF2"/>
    <w:rsid w:val="0087234E"/>
    <w:rsid w:val="00875C46"/>
    <w:rsid w:val="0088048C"/>
    <w:rsid w:val="00881A36"/>
    <w:rsid w:val="00886D4A"/>
    <w:rsid w:val="008871AB"/>
    <w:rsid w:val="00893A5B"/>
    <w:rsid w:val="00897C5C"/>
    <w:rsid w:val="008A7730"/>
    <w:rsid w:val="008B7F2C"/>
    <w:rsid w:val="008C692B"/>
    <w:rsid w:val="008C72A8"/>
    <w:rsid w:val="008D39DE"/>
    <w:rsid w:val="008D406B"/>
    <w:rsid w:val="008F0006"/>
    <w:rsid w:val="009022E0"/>
    <w:rsid w:val="00903DB3"/>
    <w:rsid w:val="0090681A"/>
    <w:rsid w:val="009109CD"/>
    <w:rsid w:val="00913929"/>
    <w:rsid w:val="00915625"/>
    <w:rsid w:val="00921C65"/>
    <w:rsid w:val="009230FB"/>
    <w:rsid w:val="00925911"/>
    <w:rsid w:val="00932D71"/>
    <w:rsid w:val="00933336"/>
    <w:rsid w:val="009359B7"/>
    <w:rsid w:val="009368C7"/>
    <w:rsid w:val="0094428F"/>
    <w:rsid w:val="00945CD6"/>
    <w:rsid w:val="009531FA"/>
    <w:rsid w:val="00953367"/>
    <w:rsid w:val="009604A7"/>
    <w:rsid w:val="00960787"/>
    <w:rsid w:val="00962E83"/>
    <w:rsid w:val="009648CE"/>
    <w:rsid w:val="00965907"/>
    <w:rsid w:val="009702D0"/>
    <w:rsid w:val="00970F02"/>
    <w:rsid w:val="00976E37"/>
    <w:rsid w:val="00984ADC"/>
    <w:rsid w:val="009A1F2D"/>
    <w:rsid w:val="009A5612"/>
    <w:rsid w:val="009B4159"/>
    <w:rsid w:val="009C7540"/>
    <w:rsid w:val="009D47D2"/>
    <w:rsid w:val="009E4858"/>
    <w:rsid w:val="009E691D"/>
    <w:rsid w:val="009F070C"/>
    <w:rsid w:val="009F178A"/>
    <w:rsid w:val="009F2E1D"/>
    <w:rsid w:val="009F6672"/>
    <w:rsid w:val="009F74FF"/>
    <w:rsid w:val="009F7502"/>
    <w:rsid w:val="00A00445"/>
    <w:rsid w:val="00A06E3D"/>
    <w:rsid w:val="00A11E0C"/>
    <w:rsid w:val="00A13D2C"/>
    <w:rsid w:val="00A15A47"/>
    <w:rsid w:val="00A16262"/>
    <w:rsid w:val="00A23976"/>
    <w:rsid w:val="00A23A2A"/>
    <w:rsid w:val="00A2607F"/>
    <w:rsid w:val="00A308CA"/>
    <w:rsid w:val="00A35E23"/>
    <w:rsid w:val="00A410A9"/>
    <w:rsid w:val="00A47B48"/>
    <w:rsid w:val="00A51819"/>
    <w:rsid w:val="00A53058"/>
    <w:rsid w:val="00A54442"/>
    <w:rsid w:val="00A574B9"/>
    <w:rsid w:val="00A614A8"/>
    <w:rsid w:val="00A70050"/>
    <w:rsid w:val="00A706E1"/>
    <w:rsid w:val="00A70882"/>
    <w:rsid w:val="00A71B15"/>
    <w:rsid w:val="00A7246B"/>
    <w:rsid w:val="00A72F80"/>
    <w:rsid w:val="00A8353E"/>
    <w:rsid w:val="00A857AD"/>
    <w:rsid w:val="00A95030"/>
    <w:rsid w:val="00A97B99"/>
    <w:rsid w:val="00AA29C0"/>
    <w:rsid w:val="00AA6F92"/>
    <w:rsid w:val="00AA7C33"/>
    <w:rsid w:val="00AB103C"/>
    <w:rsid w:val="00AB664E"/>
    <w:rsid w:val="00AC0801"/>
    <w:rsid w:val="00AC2F57"/>
    <w:rsid w:val="00AC321A"/>
    <w:rsid w:val="00AC4338"/>
    <w:rsid w:val="00AC4FA3"/>
    <w:rsid w:val="00AD0BBC"/>
    <w:rsid w:val="00AD3116"/>
    <w:rsid w:val="00AD6940"/>
    <w:rsid w:val="00AE091B"/>
    <w:rsid w:val="00AF021C"/>
    <w:rsid w:val="00AF12BA"/>
    <w:rsid w:val="00AF5B4A"/>
    <w:rsid w:val="00B04F86"/>
    <w:rsid w:val="00B06309"/>
    <w:rsid w:val="00B10C4B"/>
    <w:rsid w:val="00B14396"/>
    <w:rsid w:val="00B23CA0"/>
    <w:rsid w:val="00B26986"/>
    <w:rsid w:val="00B31439"/>
    <w:rsid w:val="00B3298D"/>
    <w:rsid w:val="00B44B10"/>
    <w:rsid w:val="00B44B46"/>
    <w:rsid w:val="00B615B6"/>
    <w:rsid w:val="00B75A1B"/>
    <w:rsid w:val="00B94714"/>
    <w:rsid w:val="00BB2259"/>
    <w:rsid w:val="00BB4444"/>
    <w:rsid w:val="00BB7B4B"/>
    <w:rsid w:val="00BC210D"/>
    <w:rsid w:val="00BC6C7C"/>
    <w:rsid w:val="00BD131D"/>
    <w:rsid w:val="00BD2EC6"/>
    <w:rsid w:val="00BD4CFB"/>
    <w:rsid w:val="00BD51AD"/>
    <w:rsid w:val="00BD6619"/>
    <w:rsid w:val="00BE17F5"/>
    <w:rsid w:val="00BE511C"/>
    <w:rsid w:val="00BF2211"/>
    <w:rsid w:val="00BF49A5"/>
    <w:rsid w:val="00C04C30"/>
    <w:rsid w:val="00C07B7C"/>
    <w:rsid w:val="00C12B95"/>
    <w:rsid w:val="00C13289"/>
    <w:rsid w:val="00C13306"/>
    <w:rsid w:val="00C17E86"/>
    <w:rsid w:val="00C204C8"/>
    <w:rsid w:val="00C2774E"/>
    <w:rsid w:val="00C32560"/>
    <w:rsid w:val="00C476CF"/>
    <w:rsid w:val="00C535B5"/>
    <w:rsid w:val="00C55C9A"/>
    <w:rsid w:val="00C56EA9"/>
    <w:rsid w:val="00C81240"/>
    <w:rsid w:val="00C84956"/>
    <w:rsid w:val="00C873F3"/>
    <w:rsid w:val="00C967D4"/>
    <w:rsid w:val="00CA4574"/>
    <w:rsid w:val="00CA7EC2"/>
    <w:rsid w:val="00CB1E4A"/>
    <w:rsid w:val="00CB2959"/>
    <w:rsid w:val="00CB4058"/>
    <w:rsid w:val="00CB5332"/>
    <w:rsid w:val="00CC0631"/>
    <w:rsid w:val="00CC1476"/>
    <w:rsid w:val="00CD0333"/>
    <w:rsid w:val="00CD0F7A"/>
    <w:rsid w:val="00CD317E"/>
    <w:rsid w:val="00CE54C3"/>
    <w:rsid w:val="00CE6EFF"/>
    <w:rsid w:val="00CF0162"/>
    <w:rsid w:val="00CF3834"/>
    <w:rsid w:val="00CF5ED2"/>
    <w:rsid w:val="00D012A6"/>
    <w:rsid w:val="00D05C61"/>
    <w:rsid w:val="00D06D5F"/>
    <w:rsid w:val="00D109ED"/>
    <w:rsid w:val="00D10A75"/>
    <w:rsid w:val="00D12F55"/>
    <w:rsid w:val="00D219D6"/>
    <w:rsid w:val="00D234B6"/>
    <w:rsid w:val="00D2403B"/>
    <w:rsid w:val="00D25D0D"/>
    <w:rsid w:val="00D3133E"/>
    <w:rsid w:val="00D3684A"/>
    <w:rsid w:val="00D519D9"/>
    <w:rsid w:val="00D54678"/>
    <w:rsid w:val="00D6293A"/>
    <w:rsid w:val="00D667D2"/>
    <w:rsid w:val="00D67880"/>
    <w:rsid w:val="00D775CA"/>
    <w:rsid w:val="00D77C84"/>
    <w:rsid w:val="00D80058"/>
    <w:rsid w:val="00D86F6B"/>
    <w:rsid w:val="00DA5DB1"/>
    <w:rsid w:val="00DA7CF5"/>
    <w:rsid w:val="00DB2528"/>
    <w:rsid w:val="00DB353C"/>
    <w:rsid w:val="00DB394C"/>
    <w:rsid w:val="00DB6542"/>
    <w:rsid w:val="00DC21B8"/>
    <w:rsid w:val="00DC7C9D"/>
    <w:rsid w:val="00DD0811"/>
    <w:rsid w:val="00DD1F3A"/>
    <w:rsid w:val="00DD4E22"/>
    <w:rsid w:val="00DE0E8D"/>
    <w:rsid w:val="00DF24CC"/>
    <w:rsid w:val="00DF5282"/>
    <w:rsid w:val="00E016A6"/>
    <w:rsid w:val="00E01D4A"/>
    <w:rsid w:val="00E03BA5"/>
    <w:rsid w:val="00E05A0A"/>
    <w:rsid w:val="00E06792"/>
    <w:rsid w:val="00E06CA3"/>
    <w:rsid w:val="00E15983"/>
    <w:rsid w:val="00E25D50"/>
    <w:rsid w:val="00E318BE"/>
    <w:rsid w:val="00E3727C"/>
    <w:rsid w:val="00E41D46"/>
    <w:rsid w:val="00E46799"/>
    <w:rsid w:val="00E47554"/>
    <w:rsid w:val="00E51E5F"/>
    <w:rsid w:val="00E56589"/>
    <w:rsid w:val="00E56ACE"/>
    <w:rsid w:val="00E63183"/>
    <w:rsid w:val="00E644E7"/>
    <w:rsid w:val="00E72649"/>
    <w:rsid w:val="00E72E9A"/>
    <w:rsid w:val="00E758D8"/>
    <w:rsid w:val="00E81706"/>
    <w:rsid w:val="00E84033"/>
    <w:rsid w:val="00EA796F"/>
    <w:rsid w:val="00EB5B17"/>
    <w:rsid w:val="00EB5B54"/>
    <w:rsid w:val="00EC05FA"/>
    <w:rsid w:val="00EC329F"/>
    <w:rsid w:val="00EC6101"/>
    <w:rsid w:val="00ED016E"/>
    <w:rsid w:val="00ED188B"/>
    <w:rsid w:val="00ED18BD"/>
    <w:rsid w:val="00ED3C85"/>
    <w:rsid w:val="00EE17E6"/>
    <w:rsid w:val="00EE68F1"/>
    <w:rsid w:val="00EE6F4F"/>
    <w:rsid w:val="00F00432"/>
    <w:rsid w:val="00F1165C"/>
    <w:rsid w:val="00F12519"/>
    <w:rsid w:val="00F20419"/>
    <w:rsid w:val="00F21D09"/>
    <w:rsid w:val="00F30E86"/>
    <w:rsid w:val="00F3157D"/>
    <w:rsid w:val="00F3426B"/>
    <w:rsid w:val="00F40AE7"/>
    <w:rsid w:val="00F47A1F"/>
    <w:rsid w:val="00F50925"/>
    <w:rsid w:val="00F50C38"/>
    <w:rsid w:val="00F51489"/>
    <w:rsid w:val="00F56220"/>
    <w:rsid w:val="00F6102D"/>
    <w:rsid w:val="00F647DC"/>
    <w:rsid w:val="00F65D9C"/>
    <w:rsid w:val="00F726B3"/>
    <w:rsid w:val="00F73374"/>
    <w:rsid w:val="00F81032"/>
    <w:rsid w:val="00F81FF6"/>
    <w:rsid w:val="00F83F84"/>
    <w:rsid w:val="00F866E1"/>
    <w:rsid w:val="00F90238"/>
    <w:rsid w:val="00F93449"/>
    <w:rsid w:val="00F95F02"/>
    <w:rsid w:val="00FB255A"/>
    <w:rsid w:val="00FB4467"/>
    <w:rsid w:val="00FC04C5"/>
    <w:rsid w:val="00FC2F8B"/>
    <w:rsid w:val="00FC4772"/>
    <w:rsid w:val="00FC633E"/>
    <w:rsid w:val="00FD1B70"/>
    <w:rsid w:val="00FD4662"/>
    <w:rsid w:val="00FD7600"/>
    <w:rsid w:val="00FE1C8E"/>
    <w:rsid w:val="00FF304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0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5A1"/>
    <w:rPr>
      <w:rFonts w:ascii="Garamond" w:hAnsi="Garamond"/>
      <w:sz w:val="24"/>
      <w:szCs w:val="24"/>
    </w:rPr>
  </w:style>
  <w:style w:type="paragraph" w:styleId="Heading1">
    <w:name w:val="heading 1"/>
    <w:basedOn w:val="Normal"/>
    <w:next w:val="Normal"/>
    <w:link w:val="Heading1Char"/>
    <w:qFormat/>
    <w:rsid w:val="005175A1"/>
    <w:pPr>
      <w:keepNext/>
      <w:spacing w:before="240" w:after="60"/>
      <w:outlineLvl w:val="0"/>
    </w:pPr>
    <w:rPr>
      <w:rFonts w:ascii="Calibri Light" w:eastAsia="Arial Unicode MS" w:hAnsi="Calibri Light" w:cs="Calibri Light"/>
      <w:noProof/>
      <w:color w:val="E44044"/>
      <w:sz w:val="32"/>
      <w:szCs w:val="40"/>
    </w:rPr>
  </w:style>
  <w:style w:type="paragraph" w:styleId="Heading2">
    <w:name w:val="heading 2"/>
    <w:basedOn w:val="Normal"/>
    <w:next w:val="Normal"/>
    <w:link w:val="Heading2Char"/>
    <w:unhideWhenUsed/>
    <w:qFormat/>
    <w:rsid w:val="005175A1"/>
    <w:pPr>
      <w:keepNext/>
      <w:spacing w:before="240" w:after="60"/>
      <w:outlineLvl w:val="1"/>
    </w:pPr>
    <w:rPr>
      <w:rFonts w:ascii="Calibri" w:hAnsi="Calibri"/>
      <w:b/>
      <w:bCs/>
      <w:i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character" w:customStyle="1" w:styleId="Heading1Char">
    <w:name w:val="Heading 1 Char"/>
    <w:link w:val="Heading1"/>
    <w:rsid w:val="005175A1"/>
    <w:rPr>
      <w:rFonts w:ascii="Calibri Light" w:eastAsia="Arial Unicode MS" w:hAnsi="Calibri Light" w:cs="Calibri Light"/>
      <w:noProof/>
      <w:color w:val="E44044"/>
      <w:sz w:val="32"/>
      <w:szCs w:val="40"/>
    </w:rPr>
  </w:style>
  <w:style w:type="character" w:customStyle="1" w:styleId="Heading2Char">
    <w:name w:val="Heading 2 Char"/>
    <w:link w:val="Heading2"/>
    <w:rsid w:val="005175A1"/>
    <w:rPr>
      <w:rFonts w:ascii="Calibri" w:hAnsi="Calibri"/>
      <w:b/>
      <w:bCs/>
      <w:iCs/>
      <w:color w:val="1E4F5C"/>
      <w:sz w:val="24"/>
      <w:szCs w:val="28"/>
    </w:rPr>
  </w:style>
  <w:style w:type="character" w:customStyle="1" w:styleId="UnresolvedMention1">
    <w:name w:val="Unresolved Mention1"/>
    <w:uiPriority w:val="99"/>
    <w:semiHidden/>
    <w:unhideWhenUsed/>
    <w:rsid w:val="003C337A"/>
    <w:rPr>
      <w:color w:val="808080"/>
      <w:shd w:val="clear" w:color="auto" w:fill="E6E6E6"/>
    </w:rPr>
  </w:style>
  <w:style w:type="character" w:styleId="FootnoteReference">
    <w:name w:val="footnote reference"/>
    <w:uiPriority w:val="99"/>
    <w:unhideWhenUsed/>
    <w:rsid w:val="0086472C"/>
    <w:rPr>
      <w:vertAlign w:val="superscript"/>
    </w:rPr>
  </w:style>
  <w:style w:type="paragraph" w:styleId="FootnoteText">
    <w:name w:val="footnote text"/>
    <w:basedOn w:val="Normal"/>
    <w:link w:val="FootnoteTextChar"/>
    <w:uiPriority w:val="99"/>
    <w:unhideWhenUsed/>
    <w:rsid w:val="0086472C"/>
    <w:pPr>
      <w:spacing w:before="60"/>
    </w:pPr>
    <w:rPr>
      <w:rFonts w:ascii="Calibri" w:eastAsia="Calibri" w:hAnsi="Calibri"/>
      <w:color w:val="727881"/>
      <w:sz w:val="16"/>
      <w:szCs w:val="20"/>
    </w:rPr>
  </w:style>
  <w:style w:type="character" w:customStyle="1" w:styleId="FootnoteTextChar">
    <w:name w:val="Footnote Text Char"/>
    <w:link w:val="FootnoteText"/>
    <w:uiPriority w:val="99"/>
    <w:rsid w:val="0086472C"/>
    <w:rPr>
      <w:rFonts w:ascii="Calibri" w:eastAsia="Calibri" w:hAnsi="Calibri"/>
      <w:color w:val="727881"/>
      <w:sz w:val="16"/>
    </w:rPr>
  </w:style>
  <w:style w:type="paragraph" w:styleId="ListParagraph">
    <w:name w:val="List Paragraph"/>
    <w:basedOn w:val="Normal"/>
    <w:uiPriority w:val="34"/>
    <w:qFormat/>
    <w:rsid w:val="0086472C"/>
    <w:pPr>
      <w:spacing w:before="60" w:after="120"/>
      <w:ind w:left="720"/>
      <w:contextualSpacing/>
    </w:pPr>
    <w:rPr>
      <w:rFonts w:eastAsia="Calibri"/>
      <w:color w:val="000000"/>
      <w:szCs w:val="22"/>
    </w:rPr>
  </w:style>
  <w:style w:type="paragraph" w:styleId="Revision">
    <w:name w:val="Revision"/>
    <w:hidden/>
    <w:uiPriority w:val="99"/>
    <w:semiHidden/>
    <w:rsid w:val="0001783C"/>
    <w:rPr>
      <w:rFonts w:ascii="Garamond" w:hAnsi="Garamond"/>
      <w:sz w:val="24"/>
      <w:szCs w:val="24"/>
    </w:rPr>
  </w:style>
  <w:style w:type="paragraph" w:styleId="TOCHeading">
    <w:name w:val="TOC Heading"/>
    <w:basedOn w:val="Heading1"/>
    <w:next w:val="Normal"/>
    <w:uiPriority w:val="39"/>
    <w:unhideWhenUsed/>
    <w:qFormat/>
    <w:rsid w:val="00AA7C33"/>
    <w:pPr>
      <w:keepLines/>
      <w:spacing w:after="0" w:line="259" w:lineRule="auto"/>
      <w:outlineLvl w:val="9"/>
    </w:pPr>
    <w:rPr>
      <w:rFonts w:asciiTheme="majorHAnsi" w:eastAsiaTheme="majorEastAsia" w:hAnsiTheme="majorHAnsi" w:cstheme="majorBidi"/>
      <w:noProof w:val="0"/>
      <w:color w:val="2F5496" w:themeColor="accent1" w:themeShade="BF"/>
      <w:szCs w:val="32"/>
    </w:rPr>
  </w:style>
  <w:style w:type="paragraph" w:styleId="TOC1">
    <w:name w:val="toc 1"/>
    <w:basedOn w:val="Normal"/>
    <w:next w:val="Normal"/>
    <w:autoRedefine/>
    <w:uiPriority w:val="39"/>
    <w:rsid w:val="00AA7C33"/>
    <w:pPr>
      <w:spacing w:after="100"/>
    </w:pPr>
  </w:style>
  <w:style w:type="paragraph" w:styleId="TOC2">
    <w:name w:val="toc 2"/>
    <w:basedOn w:val="Normal"/>
    <w:next w:val="Normal"/>
    <w:autoRedefine/>
    <w:uiPriority w:val="39"/>
    <w:rsid w:val="00AA7C33"/>
    <w:pPr>
      <w:spacing w:after="100"/>
      <w:ind w:left="240"/>
    </w:pPr>
  </w:style>
  <w:style w:type="character" w:customStyle="1" w:styleId="UnresolvedMention2">
    <w:name w:val="Unresolved Mention2"/>
    <w:basedOn w:val="DefaultParagraphFont"/>
    <w:uiPriority w:val="99"/>
    <w:semiHidden/>
    <w:unhideWhenUsed/>
    <w:rsid w:val="00DD4E22"/>
    <w:rPr>
      <w:color w:val="605E5C"/>
      <w:shd w:val="clear" w:color="auto" w:fill="E1DFDD"/>
    </w:rPr>
  </w:style>
  <w:style w:type="table" w:styleId="TableGrid">
    <w:name w:val="Table Grid"/>
    <w:basedOn w:val="TableNormal"/>
    <w:rsid w:val="0034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5A1"/>
    <w:rPr>
      <w:rFonts w:ascii="Garamond" w:hAnsi="Garamond"/>
      <w:sz w:val="24"/>
      <w:szCs w:val="24"/>
    </w:rPr>
  </w:style>
  <w:style w:type="paragraph" w:styleId="Heading1">
    <w:name w:val="heading 1"/>
    <w:basedOn w:val="Normal"/>
    <w:next w:val="Normal"/>
    <w:link w:val="Heading1Char"/>
    <w:qFormat/>
    <w:rsid w:val="005175A1"/>
    <w:pPr>
      <w:keepNext/>
      <w:spacing w:before="240" w:after="60"/>
      <w:outlineLvl w:val="0"/>
    </w:pPr>
    <w:rPr>
      <w:rFonts w:ascii="Calibri Light" w:eastAsia="Arial Unicode MS" w:hAnsi="Calibri Light" w:cs="Calibri Light"/>
      <w:noProof/>
      <w:color w:val="E44044"/>
      <w:sz w:val="32"/>
      <w:szCs w:val="40"/>
    </w:rPr>
  </w:style>
  <w:style w:type="paragraph" w:styleId="Heading2">
    <w:name w:val="heading 2"/>
    <w:basedOn w:val="Normal"/>
    <w:next w:val="Normal"/>
    <w:link w:val="Heading2Char"/>
    <w:unhideWhenUsed/>
    <w:qFormat/>
    <w:rsid w:val="005175A1"/>
    <w:pPr>
      <w:keepNext/>
      <w:spacing w:before="240" w:after="60"/>
      <w:outlineLvl w:val="1"/>
    </w:pPr>
    <w:rPr>
      <w:rFonts w:ascii="Calibri" w:hAnsi="Calibri"/>
      <w:b/>
      <w:bCs/>
      <w:i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character" w:customStyle="1" w:styleId="Heading1Char">
    <w:name w:val="Heading 1 Char"/>
    <w:link w:val="Heading1"/>
    <w:rsid w:val="005175A1"/>
    <w:rPr>
      <w:rFonts w:ascii="Calibri Light" w:eastAsia="Arial Unicode MS" w:hAnsi="Calibri Light" w:cs="Calibri Light"/>
      <w:noProof/>
      <w:color w:val="E44044"/>
      <w:sz w:val="32"/>
      <w:szCs w:val="40"/>
    </w:rPr>
  </w:style>
  <w:style w:type="character" w:customStyle="1" w:styleId="Heading2Char">
    <w:name w:val="Heading 2 Char"/>
    <w:link w:val="Heading2"/>
    <w:rsid w:val="005175A1"/>
    <w:rPr>
      <w:rFonts w:ascii="Calibri" w:hAnsi="Calibri"/>
      <w:b/>
      <w:bCs/>
      <w:iCs/>
      <w:color w:val="1E4F5C"/>
      <w:sz w:val="24"/>
      <w:szCs w:val="28"/>
    </w:rPr>
  </w:style>
  <w:style w:type="character" w:customStyle="1" w:styleId="UnresolvedMention1">
    <w:name w:val="Unresolved Mention1"/>
    <w:uiPriority w:val="99"/>
    <w:semiHidden/>
    <w:unhideWhenUsed/>
    <w:rsid w:val="003C337A"/>
    <w:rPr>
      <w:color w:val="808080"/>
      <w:shd w:val="clear" w:color="auto" w:fill="E6E6E6"/>
    </w:rPr>
  </w:style>
  <w:style w:type="character" w:styleId="FootnoteReference">
    <w:name w:val="footnote reference"/>
    <w:uiPriority w:val="99"/>
    <w:unhideWhenUsed/>
    <w:rsid w:val="0086472C"/>
    <w:rPr>
      <w:vertAlign w:val="superscript"/>
    </w:rPr>
  </w:style>
  <w:style w:type="paragraph" w:styleId="FootnoteText">
    <w:name w:val="footnote text"/>
    <w:basedOn w:val="Normal"/>
    <w:link w:val="FootnoteTextChar"/>
    <w:uiPriority w:val="99"/>
    <w:unhideWhenUsed/>
    <w:rsid w:val="0086472C"/>
    <w:pPr>
      <w:spacing w:before="60"/>
    </w:pPr>
    <w:rPr>
      <w:rFonts w:ascii="Calibri" w:eastAsia="Calibri" w:hAnsi="Calibri"/>
      <w:color w:val="727881"/>
      <w:sz w:val="16"/>
      <w:szCs w:val="20"/>
    </w:rPr>
  </w:style>
  <w:style w:type="character" w:customStyle="1" w:styleId="FootnoteTextChar">
    <w:name w:val="Footnote Text Char"/>
    <w:link w:val="FootnoteText"/>
    <w:uiPriority w:val="99"/>
    <w:rsid w:val="0086472C"/>
    <w:rPr>
      <w:rFonts w:ascii="Calibri" w:eastAsia="Calibri" w:hAnsi="Calibri"/>
      <w:color w:val="727881"/>
      <w:sz w:val="16"/>
    </w:rPr>
  </w:style>
  <w:style w:type="paragraph" w:styleId="ListParagraph">
    <w:name w:val="List Paragraph"/>
    <w:basedOn w:val="Normal"/>
    <w:uiPriority w:val="34"/>
    <w:qFormat/>
    <w:rsid w:val="0086472C"/>
    <w:pPr>
      <w:spacing w:before="60" w:after="120"/>
      <w:ind w:left="720"/>
      <w:contextualSpacing/>
    </w:pPr>
    <w:rPr>
      <w:rFonts w:eastAsia="Calibri"/>
      <w:color w:val="000000"/>
      <w:szCs w:val="22"/>
    </w:rPr>
  </w:style>
  <w:style w:type="paragraph" w:styleId="Revision">
    <w:name w:val="Revision"/>
    <w:hidden/>
    <w:uiPriority w:val="99"/>
    <w:semiHidden/>
    <w:rsid w:val="0001783C"/>
    <w:rPr>
      <w:rFonts w:ascii="Garamond" w:hAnsi="Garamond"/>
      <w:sz w:val="24"/>
      <w:szCs w:val="24"/>
    </w:rPr>
  </w:style>
  <w:style w:type="paragraph" w:styleId="TOCHeading">
    <w:name w:val="TOC Heading"/>
    <w:basedOn w:val="Heading1"/>
    <w:next w:val="Normal"/>
    <w:uiPriority w:val="39"/>
    <w:unhideWhenUsed/>
    <w:qFormat/>
    <w:rsid w:val="00AA7C33"/>
    <w:pPr>
      <w:keepLines/>
      <w:spacing w:after="0" w:line="259" w:lineRule="auto"/>
      <w:outlineLvl w:val="9"/>
    </w:pPr>
    <w:rPr>
      <w:rFonts w:asciiTheme="majorHAnsi" w:eastAsiaTheme="majorEastAsia" w:hAnsiTheme="majorHAnsi" w:cstheme="majorBidi"/>
      <w:noProof w:val="0"/>
      <w:color w:val="2F5496" w:themeColor="accent1" w:themeShade="BF"/>
      <w:szCs w:val="32"/>
    </w:rPr>
  </w:style>
  <w:style w:type="paragraph" w:styleId="TOC1">
    <w:name w:val="toc 1"/>
    <w:basedOn w:val="Normal"/>
    <w:next w:val="Normal"/>
    <w:autoRedefine/>
    <w:uiPriority w:val="39"/>
    <w:rsid w:val="00AA7C33"/>
    <w:pPr>
      <w:spacing w:after="100"/>
    </w:pPr>
  </w:style>
  <w:style w:type="paragraph" w:styleId="TOC2">
    <w:name w:val="toc 2"/>
    <w:basedOn w:val="Normal"/>
    <w:next w:val="Normal"/>
    <w:autoRedefine/>
    <w:uiPriority w:val="39"/>
    <w:rsid w:val="00AA7C33"/>
    <w:pPr>
      <w:spacing w:after="100"/>
      <w:ind w:left="240"/>
    </w:pPr>
  </w:style>
  <w:style w:type="character" w:customStyle="1" w:styleId="UnresolvedMention2">
    <w:name w:val="Unresolved Mention2"/>
    <w:basedOn w:val="DefaultParagraphFont"/>
    <w:uiPriority w:val="99"/>
    <w:semiHidden/>
    <w:unhideWhenUsed/>
    <w:rsid w:val="00DD4E22"/>
    <w:rPr>
      <w:color w:val="605E5C"/>
      <w:shd w:val="clear" w:color="auto" w:fill="E1DFDD"/>
    </w:rPr>
  </w:style>
  <w:style w:type="table" w:styleId="TableGrid">
    <w:name w:val="Table Grid"/>
    <w:basedOn w:val="TableNormal"/>
    <w:rsid w:val="0034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8669">
      <w:bodyDiv w:val="1"/>
      <w:marLeft w:val="0"/>
      <w:marRight w:val="0"/>
      <w:marTop w:val="0"/>
      <w:marBottom w:val="0"/>
      <w:divBdr>
        <w:top w:val="none" w:sz="0" w:space="0" w:color="auto"/>
        <w:left w:val="none" w:sz="0" w:space="0" w:color="auto"/>
        <w:bottom w:val="none" w:sz="0" w:space="0" w:color="auto"/>
        <w:right w:val="none" w:sz="0" w:space="0" w:color="auto"/>
      </w:divBdr>
    </w:div>
    <w:div w:id="218786762">
      <w:bodyDiv w:val="1"/>
      <w:marLeft w:val="0"/>
      <w:marRight w:val="0"/>
      <w:marTop w:val="0"/>
      <w:marBottom w:val="0"/>
      <w:divBdr>
        <w:top w:val="none" w:sz="0" w:space="0" w:color="auto"/>
        <w:left w:val="none" w:sz="0" w:space="0" w:color="auto"/>
        <w:bottom w:val="none" w:sz="0" w:space="0" w:color="auto"/>
        <w:right w:val="none" w:sz="0" w:space="0" w:color="auto"/>
      </w:divBdr>
    </w:div>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1234006122">
      <w:bodyDiv w:val="1"/>
      <w:marLeft w:val="0"/>
      <w:marRight w:val="0"/>
      <w:marTop w:val="0"/>
      <w:marBottom w:val="0"/>
      <w:divBdr>
        <w:top w:val="none" w:sz="0" w:space="0" w:color="auto"/>
        <w:left w:val="none" w:sz="0" w:space="0" w:color="auto"/>
        <w:bottom w:val="none" w:sz="0" w:space="0" w:color="auto"/>
        <w:right w:val="none" w:sz="0" w:space="0" w:color="auto"/>
      </w:divBdr>
    </w:div>
    <w:div w:id="1269773207">
      <w:bodyDiv w:val="1"/>
      <w:marLeft w:val="0"/>
      <w:marRight w:val="0"/>
      <w:marTop w:val="0"/>
      <w:marBottom w:val="0"/>
      <w:divBdr>
        <w:top w:val="none" w:sz="0" w:space="0" w:color="auto"/>
        <w:left w:val="none" w:sz="0" w:space="0" w:color="auto"/>
        <w:bottom w:val="none" w:sz="0" w:space="0" w:color="auto"/>
        <w:right w:val="none" w:sz="0" w:space="0" w:color="auto"/>
      </w:divBdr>
    </w:div>
    <w:div w:id="21155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63e2d8dbbc4bf2f1761cb9a06c6da4d4">
  <xsd:schema xmlns:xsd="http://www.w3.org/2001/XMLSchema" xmlns:xs="http://www.w3.org/2001/XMLSchema" xmlns:p="http://schemas.microsoft.com/office/2006/metadata/properties" xmlns:ns2="8b68f55a-098e-4376-89f2-565a00e9fab6" targetNamespace="http://schemas.microsoft.com/office/2006/metadata/properties" ma:root="true" ma:fieldsID="5bed1c070f702ab7f659afdc0bc56dd4"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3A62-D748-43F0-A177-E6C6CA17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A1E69-91A3-44B1-9F28-F2DBB448BF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381EC-85DC-4D9F-ADA9-71AEFF27CCB5}">
  <ds:schemaRefs>
    <ds:schemaRef ds:uri="http://schemas.microsoft.com/sharepoint/v3/contenttype/forms"/>
  </ds:schemaRefs>
</ds:datastoreItem>
</file>

<file path=customXml/itemProps4.xml><?xml version="1.0" encoding="utf-8"?>
<ds:datastoreItem xmlns:ds="http://schemas.openxmlformats.org/officeDocument/2006/customXml" ds:itemID="{035D44B7-DD33-4F18-A015-0888115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2009-01-26T19:35:00Z</cp:lastPrinted>
  <dcterms:created xsi:type="dcterms:W3CDTF">2019-02-25T14:07:00Z</dcterms:created>
  <dcterms:modified xsi:type="dcterms:W3CDTF">2019-02-25T14:07:00Z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0x010100A2C2D77742CB624C8EF07AEA9F180D3C</vt:lpwstr>
  </property>
</Properties>
</file>