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4A" w:rsidRDefault="002E33BC">
      <w:pPr>
        <w:pStyle w:val="Heading1"/>
        <w:ind w:left="1825" w:right="-15" w:hanging="1840"/>
      </w:pPr>
      <w:bookmarkStart w:id="0" w:name="_GoBack"/>
      <w:bookmarkEnd w:id="0"/>
      <w:r>
        <w:rPr>
          <w:b/>
        </w:rPr>
        <w:t>Federal Register</w:t>
      </w:r>
      <w:r>
        <w:t xml:space="preserve">/Vol. 83, No. 248/Friday, December 28, 2018/Notices </w:t>
      </w:r>
    </w:p>
    <w:p w:rsidR="00E26E4A" w:rsidRDefault="002E33BC">
      <w:pPr>
        <w:spacing w:after="0" w:line="259" w:lineRule="auto"/>
        <w:ind w:left="0" w:right="-1844" w:firstLine="0"/>
      </w:pPr>
      <w:r>
        <w:rPr>
          <w:rFonts w:ascii="Calibri" w:eastAsia="Calibri" w:hAnsi="Calibri" w:cs="Calibri"/>
          <w:noProof/>
          <w:sz w:val="22"/>
        </w:rPr>
        <mc:AlternateContent>
          <mc:Choice Requires="wpg">
            <w:drawing>
              <wp:inline distT="0" distB="0" distL="0" distR="0" wp14:anchorId="619ACDE2" wp14:editId="0AD93E6E">
                <wp:extent cx="6629400" cy="50800"/>
                <wp:effectExtent l="0" t="0" r="0" b="0"/>
                <wp:docPr id="6529" name="Group 6529"/>
                <wp:cNvGraphicFramePr/>
                <a:graphic xmlns:a="http://schemas.openxmlformats.org/drawingml/2006/main">
                  <a:graphicData uri="http://schemas.microsoft.com/office/word/2010/wordprocessingGroup">
                    <wpg:wgp>
                      <wpg:cNvGrpSpPr/>
                      <wpg:grpSpPr>
                        <a:xfrm>
                          <a:off x="0" y="0"/>
                          <a:ext cx="6629400" cy="50800"/>
                          <a:chOff x="0" y="0"/>
                          <a:chExt cx="6629400" cy="50800"/>
                        </a:xfrm>
                      </wpg:grpSpPr>
                      <wps:wsp>
                        <wps:cNvPr id="6" name="Shape 6"/>
                        <wps:cNvSpPr/>
                        <wps:spPr>
                          <a:xfrm>
                            <a:off x="0" y="0"/>
                            <a:ext cx="6629400" cy="0"/>
                          </a:xfrm>
                          <a:custGeom>
                            <a:avLst/>
                            <a:gdLst/>
                            <a:ahLst/>
                            <a:cxnLst/>
                            <a:rect l="0" t="0" r="0" b="0"/>
                            <a:pathLst>
                              <a:path w="6629400">
                                <a:moveTo>
                                  <a:pt x="0" y="0"/>
                                </a:moveTo>
                                <a:lnTo>
                                  <a:pt x="6629400" y="0"/>
                                </a:lnTo>
                              </a:path>
                            </a:pathLst>
                          </a:custGeom>
                          <a:ln w="27940" cap="flat">
                            <a:miter lim="127000"/>
                          </a:ln>
                        </wps:spPr>
                        <wps:style>
                          <a:lnRef idx="1">
                            <a:srgbClr val="000000"/>
                          </a:lnRef>
                          <a:fillRef idx="0">
                            <a:srgbClr val="000000">
                              <a:alpha val="0"/>
                            </a:srgbClr>
                          </a:fillRef>
                          <a:effectRef idx="0">
                            <a:scrgbClr r="0" g="0" b="0"/>
                          </a:effectRef>
                          <a:fontRef idx="none"/>
                        </wps:style>
                        <wps:bodyPr/>
                      </wps:wsp>
                      <wps:wsp>
                        <wps:cNvPr id="7" name="Shape 7"/>
                        <wps:cNvSpPr/>
                        <wps:spPr>
                          <a:xfrm>
                            <a:off x="0" y="5080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529" style="width:522pt;height:4pt;mso-position-horizontal-relative:char;mso-position-vertical-relative:line" coordsize="66294,508">
                <v:shape id="Shape 6" style="position:absolute;width:66294;height:0;left:0;top:0;" coordsize="6629400,0" path="m0,0l6629400,0">
                  <v:stroke weight="2.2pt" endcap="flat" joinstyle="miter" miterlimit="10" on="true" color="#000000"/>
                  <v:fill on="false" color="#000000" opacity="0"/>
                </v:shape>
                <v:shape id="Shape 7" style="position:absolute;width:66294;height:0;left:0;top:508;" coordsize="6629400,0" path="m0,0l6629400,0">
                  <v:stroke weight="0.3pt" endcap="flat" joinstyle="miter" miterlimit="10" on="true" color="#000000"/>
                  <v:fill on="false" color="#000000" opacity="0"/>
                </v:shape>
              </v:group>
            </w:pict>
          </mc:Fallback>
        </mc:AlternateContent>
      </w:r>
    </w:p>
    <w:p w:rsidR="00E26E4A" w:rsidRDefault="00E26E4A">
      <w:pPr>
        <w:sectPr w:rsidR="00E26E4A">
          <w:pgSz w:w="12240" w:h="15840"/>
          <w:pgMar w:top="690" w:right="2744" w:bottom="373" w:left="900" w:header="720" w:footer="720" w:gutter="0"/>
          <w:cols w:space="720"/>
        </w:sectPr>
      </w:pPr>
    </w:p>
    <w:p w:rsidR="00E26E4A" w:rsidRDefault="002E33BC">
      <w:pPr>
        <w:ind w:left="-5" w:right="12"/>
      </w:pPr>
      <w:r>
        <w:lastRenderedPageBreak/>
        <w:t xml:space="preserve">presented in the Draft EIS on subsistence activities, and to hold public hearings if it finds that any alternative may significantly restrict subsistence uses. The preliminary evaluation of subsistence impacts indicates that certain alternatives analyzed in the Draft EIS and the associated cumulative impacts may significantly restrict subsistence uses. Therefore, the BLM will hold a public hearing on subsistence resources and activities in conjunction with the public meeting on the Draft EIS in the potentially affected community of Kaktovik. </w:t>
      </w:r>
    </w:p>
    <w:p w:rsidR="00E26E4A" w:rsidRDefault="002E33BC">
      <w:pPr>
        <w:spacing w:after="56"/>
        <w:ind w:left="-15" w:right="12" w:firstLine="180"/>
      </w:pPr>
      <w:r>
        <w:t xml:space="preserve">Upon completion of a Final EIS and Record of Decision, the BLM intends to conduct lease sales in accordance with Public Law 115–97. </w:t>
      </w:r>
    </w:p>
    <w:p w:rsidR="00E26E4A" w:rsidRDefault="002E33BC">
      <w:pPr>
        <w:spacing w:after="107" w:line="248" w:lineRule="auto"/>
        <w:ind w:left="155" w:right="118"/>
      </w:pPr>
      <w:r>
        <w:rPr>
          <w:b/>
          <w:sz w:val="16"/>
        </w:rPr>
        <w:t xml:space="preserve">Authority: </w:t>
      </w:r>
      <w:r>
        <w:rPr>
          <w:sz w:val="16"/>
        </w:rPr>
        <w:t xml:space="preserve">40 CFR 1506.6(b). </w:t>
      </w:r>
    </w:p>
    <w:p w:rsidR="00E26E4A" w:rsidRDefault="002E33BC">
      <w:pPr>
        <w:pStyle w:val="Heading2"/>
        <w:ind w:left="-5"/>
      </w:pPr>
      <w:r>
        <w:t xml:space="preserve">Ted A. Murphy, </w:t>
      </w:r>
    </w:p>
    <w:p w:rsidR="00E26E4A" w:rsidRDefault="002E33BC">
      <w:pPr>
        <w:spacing w:after="39" w:line="233" w:lineRule="auto"/>
        <w:ind w:left="-5" w:right="0"/>
      </w:pPr>
      <w:r>
        <w:rPr>
          <w:i/>
          <w:sz w:val="16"/>
        </w:rPr>
        <w:t xml:space="preserve">Acting State Director, Alaska. </w:t>
      </w:r>
    </w:p>
    <w:p w:rsidR="00E26E4A" w:rsidRDefault="002E33BC">
      <w:pPr>
        <w:spacing w:after="45" w:line="259" w:lineRule="auto"/>
        <w:ind w:left="-5" w:right="0"/>
      </w:pPr>
      <w:r>
        <w:rPr>
          <w:sz w:val="14"/>
        </w:rPr>
        <w:t xml:space="preserve">[FR Doc. 2018–28049 Filed 12–27–18; 8:45 am] </w:t>
      </w:r>
    </w:p>
    <w:p w:rsidR="00E26E4A" w:rsidRDefault="002E33BC">
      <w:pPr>
        <w:spacing w:after="29" w:line="259" w:lineRule="auto"/>
        <w:ind w:left="-5" w:right="0"/>
      </w:pPr>
      <w:r>
        <w:rPr>
          <w:rFonts w:ascii="Arial" w:eastAsia="Arial" w:hAnsi="Arial" w:cs="Arial"/>
          <w:b/>
          <w:sz w:val="12"/>
        </w:rPr>
        <w:t xml:space="preserve">BILLING CODE 4310–JA–P </w:t>
      </w:r>
    </w:p>
    <w:p w:rsidR="00E26E4A" w:rsidRDefault="002E33BC">
      <w:pPr>
        <w:spacing w:after="234" w:line="259" w:lineRule="auto"/>
        <w:ind w:left="0" w:right="0" w:firstLine="0"/>
      </w:pPr>
      <w:r>
        <w:rPr>
          <w:rFonts w:ascii="Calibri" w:eastAsia="Calibri" w:hAnsi="Calibri" w:cs="Calibri"/>
          <w:noProof/>
          <w:sz w:val="22"/>
        </w:rPr>
        <mc:AlternateContent>
          <mc:Choice Requires="wpg">
            <w:drawing>
              <wp:inline distT="0" distB="0" distL="0" distR="0" wp14:anchorId="4B3CC7F2" wp14:editId="75CF5B6A">
                <wp:extent cx="2133600" cy="3810"/>
                <wp:effectExtent l="0" t="0" r="0" b="0"/>
                <wp:docPr id="6530" name="Group 6530"/>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37" name="Shape 37"/>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530" style="width:168pt;height:0.3pt;mso-position-horizontal-relative:char;mso-position-vertical-relative:line" coordsize="21336,38">
                <v:shape id="Shape 37" style="position:absolute;width:21336;height:0;left:0;top:0;" coordsize="2133600,0" path="m0,0l2133600,0">
                  <v:stroke weight="0.3pt" endcap="flat" joinstyle="miter" miterlimit="10" on="true" color="#000000"/>
                  <v:fill on="false" color="#000000" opacity="0"/>
                </v:shape>
              </v:group>
            </w:pict>
          </mc:Fallback>
        </mc:AlternateContent>
      </w:r>
    </w:p>
    <w:p w:rsidR="00E26E4A" w:rsidRDefault="002E33BC">
      <w:pPr>
        <w:spacing w:after="140" w:line="259" w:lineRule="auto"/>
        <w:ind w:left="-5" w:right="0"/>
      </w:pPr>
      <w:r>
        <w:rPr>
          <w:rFonts w:ascii="Arial" w:eastAsia="Arial" w:hAnsi="Arial" w:cs="Arial"/>
          <w:b/>
        </w:rPr>
        <w:t xml:space="preserve">DEPARTMENT OF THE INTERIOR </w:t>
      </w:r>
    </w:p>
    <w:p w:rsidR="00E26E4A" w:rsidRDefault="002E33BC">
      <w:pPr>
        <w:spacing w:after="140" w:line="259" w:lineRule="auto"/>
        <w:ind w:left="-5" w:right="0"/>
      </w:pPr>
      <w:r>
        <w:rPr>
          <w:rFonts w:ascii="Arial" w:eastAsia="Arial" w:hAnsi="Arial" w:cs="Arial"/>
          <w:b/>
        </w:rPr>
        <w:t xml:space="preserve">Bureau of Land Management </w:t>
      </w:r>
    </w:p>
    <w:p w:rsidR="00E26E4A" w:rsidRDefault="002E33BC">
      <w:pPr>
        <w:spacing w:after="179" w:line="235" w:lineRule="auto"/>
        <w:ind w:left="-5" w:right="0"/>
      </w:pPr>
      <w:r>
        <w:rPr>
          <w:rFonts w:ascii="Arial" w:eastAsia="Arial" w:hAnsi="Arial" w:cs="Arial"/>
          <w:b/>
          <w:sz w:val="16"/>
        </w:rPr>
        <w:t xml:space="preserve">[19X R4079V4 RX.12255301.3000000 AZA25613] </w:t>
      </w:r>
    </w:p>
    <w:p w:rsidR="00E26E4A" w:rsidRDefault="002E33BC">
      <w:pPr>
        <w:spacing w:after="0" w:line="259" w:lineRule="auto"/>
        <w:ind w:left="-5" w:right="0"/>
      </w:pPr>
      <w:r>
        <w:rPr>
          <w:rFonts w:ascii="Arial" w:eastAsia="Arial" w:hAnsi="Arial" w:cs="Arial"/>
          <w:b/>
        </w:rPr>
        <w:t xml:space="preserve">Notice of Proposed Withdrawal </w:t>
      </w:r>
    </w:p>
    <w:p w:rsidR="00E26E4A" w:rsidRDefault="002E33BC">
      <w:pPr>
        <w:spacing w:after="0" w:line="259" w:lineRule="auto"/>
        <w:ind w:left="-5" w:right="0"/>
      </w:pPr>
      <w:r>
        <w:rPr>
          <w:rFonts w:ascii="Arial" w:eastAsia="Arial" w:hAnsi="Arial" w:cs="Arial"/>
          <w:b/>
        </w:rPr>
        <w:t xml:space="preserve">Extension and Opportunity for the </w:t>
      </w:r>
    </w:p>
    <w:p w:rsidR="00E26E4A" w:rsidRDefault="002E33BC">
      <w:pPr>
        <w:spacing w:after="105" w:line="259" w:lineRule="auto"/>
        <w:ind w:left="-5" w:right="0"/>
      </w:pPr>
      <w:r>
        <w:rPr>
          <w:rFonts w:ascii="Arial" w:eastAsia="Arial" w:hAnsi="Arial" w:cs="Arial"/>
          <w:b/>
        </w:rPr>
        <w:t xml:space="preserve">Public Meeting, Lake Pleasant Expansion Area, Arizona </w:t>
      </w:r>
    </w:p>
    <w:p w:rsidR="00E26E4A" w:rsidRDefault="002E33BC">
      <w:pPr>
        <w:ind w:left="-5" w:right="12"/>
      </w:pPr>
      <w:r>
        <w:rPr>
          <w:rFonts w:ascii="Arial" w:eastAsia="Arial" w:hAnsi="Arial" w:cs="Arial"/>
          <w:b/>
          <w:sz w:val="15"/>
        </w:rPr>
        <w:t>AGENCY</w:t>
      </w:r>
      <w:r>
        <w:rPr>
          <w:rFonts w:ascii="Arial" w:eastAsia="Arial" w:hAnsi="Arial" w:cs="Arial"/>
          <w:b/>
        </w:rPr>
        <w:t xml:space="preserve">: </w:t>
      </w:r>
      <w:r>
        <w:t xml:space="preserve">Bureau of Land Management, </w:t>
      </w:r>
    </w:p>
    <w:p w:rsidR="00E26E4A" w:rsidRDefault="002E33BC">
      <w:pPr>
        <w:spacing w:after="44"/>
        <w:ind w:left="-5" w:right="12"/>
      </w:pPr>
      <w:r>
        <w:t xml:space="preserve">Interior. </w:t>
      </w:r>
    </w:p>
    <w:p w:rsidR="00E26E4A" w:rsidRDefault="002E33BC">
      <w:pPr>
        <w:ind w:left="-5" w:right="12"/>
      </w:pPr>
      <w:r>
        <w:rPr>
          <w:rFonts w:ascii="Arial" w:eastAsia="Arial" w:hAnsi="Arial" w:cs="Arial"/>
          <w:b/>
          <w:sz w:val="15"/>
        </w:rPr>
        <w:t>ACTION</w:t>
      </w:r>
      <w:r>
        <w:rPr>
          <w:rFonts w:ascii="Arial" w:eastAsia="Arial" w:hAnsi="Arial" w:cs="Arial"/>
          <w:b/>
        </w:rPr>
        <w:t xml:space="preserve">: </w:t>
      </w:r>
      <w:r>
        <w:t xml:space="preserve">Notice. </w:t>
      </w:r>
    </w:p>
    <w:p w:rsidR="00E26E4A" w:rsidRDefault="002E33BC">
      <w:pPr>
        <w:spacing w:after="116" w:line="259" w:lineRule="auto"/>
        <w:ind w:left="0" w:right="0" w:firstLine="0"/>
      </w:pPr>
      <w:r>
        <w:rPr>
          <w:rFonts w:ascii="Calibri" w:eastAsia="Calibri" w:hAnsi="Calibri" w:cs="Calibri"/>
          <w:noProof/>
          <w:sz w:val="22"/>
        </w:rPr>
        <mc:AlternateContent>
          <mc:Choice Requires="wpg">
            <w:drawing>
              <wp:inline distT="0" distB="0" distL="0" distR="0" wp14:anchorId="2EF2DCCE" wp14:editId="360DA8DF">
                <wp:extent cx="2133600" cy="3810"/>
                <wp:effectExtent l="0" t="0" r="0" b="0"/>
                <wp:docPr id="6531" name="Group 6531"/>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53" name="Shape 53"/>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531" style="width:168pt;height:0.3pt;mso-position-horizontal-relative:char;mso-position-vertical-relative:line" coordsize="21336,38">
                <v:shape id="Shape 53" style="position:absolute;width:21336;height:0;left:0;top:0;" coordsize="2133600,0" path="m0,0l2133600,0">
                  <v:stroke weight="0.3pt" endcap="flat" joinstyle="miter" miterlimit="10" on="true" color="#000000"/>
                  <v:fill on="false" color="#000000" opacity="0"/>
                </v:shape>
              </v:group>
            </w:pict>
          </mc:Fallback>
        </mc:AlternateContent>
      </w:r>
    </w:p>
    <w:p w:rsidR="00E26E4A" w:rsidRDefault="002E33BC">
      <w:pPr>
        <w:spacing w:after="40"/>
        <w:ind w:left="-5" w:right="12"/>
      </w:pPr>
      <w:r>
        <w:rPr>
          <w:rFonts w:ascii="Arial" w:eastAsia="Arial" w:hAnsi="Arial" w:cs="Arial"/>
          <w:b/>
          <w:sz w:val="15"/>
        </w:rPr>
        <w:t>SUMMARY</w:t>
      </w:r>
      <w:r>
        <w:rPr>
          <w:rFonts w:ascii="Arial" w:eastAsia="Arial" w:hAnsi="Arial" w:cs="Arial"/>
          <w:b/>
        </w:rPr>
        <w:t xml:space="preserve">: </w:t>
      </w:r>
      <w:r>
        <w:t xml:space="preserve">The Assistant Secretary— Land and Minerals Management proposes to extend the duration of Public Land Order (PLO) No. 7384 for an additional 20-year term. PLO No. 7384 withdrew 1,988.27 acres of public lands from surface entry and mining to protect the Bureau of Reclamation’s (BOR) Lake Pleasant expansion area. This Notice advises the public of an opportunity to comment on the proposed withdrawal extension and to request a public meeting. The lands have been and will remain open to mineral leasing. </w:t>
      </w:r>
    </w:p>
    <w:p w:rsidR="00E26E4A" w:rsidRDefault="002E33BC">
      <w:pPr>
        <w:spacing w:after="43"/>
        <w:ind w:left="-5" w:right="12"/>
      </w:pPr>
      <w:r>
        <w:rPr>
          <w:rFonts w:ascii="Arial" w:eastAsia="Arial" w:hAnsi="Arial" w:cs="Arial"/>
          <w:b/>
          <w:sz w:val="15"/>
        </w:rPr>
        <w:t>DATES</w:t>
      </w:r>
      <w:r>
        <w:rPr>
          <w:rFonts w:ascii="Arial" w:eastAsia="Arial" w:hAnsi="Arial" w:cs="Arial"/>
          <w:b/>
        </w:rPr>
        <w:t xml:space="preserve">: </w:t>
      </w:r>
      <w:r>
        <w:t xml:space="preserve">Comments and requests for a public meeting must be received by March 28, 2019. </w:t>
      </w:r>
    </w:p>
    <w:p w:rsidR="00E26E4A" w:rsidRDefault="002E33BC">
      <w:pPr>
        <w:ind w:left="-5" w:right="12"/>
      </w:pPr>
      <w:r>
        <w:rPr>
          <w:rFonts w:ascii="Arial" w:eastAsia="Arial" w:hAnsi="Arial" w:cs="Arial"/>
          <w:b/>
          <w:sz w:val="15"/>
        </w:rPr>
        <w:t>ADDRESSES</w:t>
      </w:r>
      <w:r>
        <w:rPr>
          <w:rFonts w:ascii="Arial" w:eastAsia="Arial" w:hAnsi="Arial" w:cs="Arial"/>
          <w:b/>
        </w:rPr>
        <w:t xml:space="preserve">: </w:t>
      </w:r>
      <w:r>
        <w:t xml:space="preserve">All comments and meeting requests should be mailed to the Bureau of Land (BLM) Arizona State Office, One North Central, Suite 800, Phoenix, </w:t>
      </w:r>
    </w:p>
    <w:p w:rsidR="00E26E4A" w:rsidRDefault="002E33BC">
      <w:pPr>
        <w:ind w:left="-5" w:right="12"/>
      </w:pPr>
      <w:r>
        <w:t xml:space="preserve">Arizona 85004 or faxed to 602–417– 9452. The BLM will not consider comments received via telephone calls. </w:t>
      </w:r>
    </w:p>
    <w:p w:rsidR="00E26E4A" w:rsidRDefault="002E33BC">
      <w:pPr>
        <w:spacing w:after="39"/>
        <w:ind w:left="-5" w:right="12"/>
      </w:pPr>
      <w:r>
        <w:rPr>
          <w:rFonts w:ascii="Arial" w:eastAsia="Arial" w:hAnsi="Arial" w:cs="Arial"/>
          <w:b/>
          <w:sz w:val="15"/>
        </w:rPr>
        <w:lastRenderedPageBreak/>
        <w:t>FOR FURTHER INFORMATION CONTACT</w:t>
      </w:r>
      <w:r>
        <w:rPr>
          <w:rFonts w:ascii="Arial" w:eastAsia="Arial" w:hAnsi="Arial" w:cs="Arial"/>
          <w:b/>
        </w:rPr>
        <w:t xml:space="preserve">: </w:t>
      </w:r>
      <w:r>
        <w:t xml:space="preserve">Sara Ferreira, Land Law Examiner, BLM, at 602–417–9598 or by email at </w:t>
      </w:r>
      <w:r>
        <w:rPr>
          <w:i/>
        </w:rPr>
        <w:t xml:space="preserve">sferreir@ blm.gov, </w:t>
      </w:r>
      <w:r>
        <w:t xml:space="preserve">or contact the BLM Arizona State Office, One North Central, Suite 800, Phoenix, Arizona 85004. Persons who use a telecommunications device for the deaf (TDD) may call the Federal Relay Service (FRS) at 1–800–877–8339 to contact the above individual. The FRS is available 24 hours a day, 7 days a week, to leave a message or question with the above individual. You will receive a reply during normal business hours. </w:t>
      </w:r>
    </w:p>
    <w:p w:rsidR="00E26E4A" w:rsidRDefault="002E33BC">
      <w:pPr>
        <w:spacing w:after="0" w:line="259" w:lineRule="auto"/>
        <w:ind w:left="0" w:right="0" w:firstLine="0"/>
      </w:pPr>
      <w:r>
        <w:rPr>
          <w:rFonts w:ascii="Arial" w:eastAsia="Arial" w:hAnsi="Arial" w:cs="Arial"/>
          <w:b/>
          <w:sz w:val="15"/>
        </w:rPr>
        <w:t>SUPPLEMENTARY INFORMATION</w:t>
      </w:r>
      <w:r>
        <w:rPr>
          <w:rFonts w:ascii="Arial" w:eastAsia="Arial" w:hAnsi="Arial" w:cs="Arial"/>
          <w:b/>
        </w:rPr>
        <w:t xml:space="preserve">: </w:t>
      </w:r>
      <w:r>
        <w:t xml:space="preserve">The BOR </w:t>
      </w:r>
    </w:p>
    <w:p w:rsidR="00E26E4A" w:rsidRDefault="002E33BC">
      <w:pPr>
        <w:ind w:left="-5" w:right="12"/>
      </w:pPr>
      <w:r>
        <w:t xml:space="preserve">has filed an application to extend, for an additional 20-year term, a withdrawal established by PLO No. 7384 (64 FR 19386) which will expire on April 19, </w:t>
      </w:r>
    </w:p>
    <w:p w:rsidR="00E26E4A" w:rsidRDefault="002E33BC">
      <w:pPr>
        <w:spacing w:after="152"/>
        <w:ind w:left="-5" w:right="12"/>
      </w:pPr>
      <w:r>
        <w:t xml:space="preserve">2019. The legal descriptions written in PLO No. 7384 are revised to reflect the Cadastral Survey’s Specifications for Descriptions of Land: </w:t>
      </w:r>
    </w:p>
    <w:p w:rsidR="00E26E4A" w:rsidRDefault="002E33BC">
      <w:pPr>
        <w:pStyle w:val="Heading2"/>
        <w:ind w:left="-5"/>
      </w:pPr>
      <w:r>
        <w:t xml:space="preserve">Gila and Salt River Meridian </w:t>
      </w:r>
    </w:p>
    <w:p w:rsidR="00E26E4A" w:rsidRDefault="002E33BC">
      <w:pPr>
        <w:spacing w:after="4" w:line="248" w:lineRule="auto"/>
        <w:ind w:right="118"/>
      </w:pPr>
      <w:r>
        <w:rPr>
          <w:sz w:val="16"/>
        </w:rPr>
        <w:t xml:space="preserve">T. 6 N., R. 1 E., </w:t>
      </w:r>
    </w:p>
    <w:p w:rsidR="00E26E4A" w:rsidRDefault="002E33BC">
      <w:pPr>
        <w:spacing w:after="4" w:line="248" w:lineRule="auto"/>
        <w:ind w:left="155" w:right="1390"/>
      </w:pPr>
      <w:r>
        <w:rPr>
          <w:sz w:val="16"/>
        </w:rPr>
        <w:t>sec. 3, a portion of lot 10; sec. 10, S</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 sec. 15, SW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xml:space="preserve">. </w:t>
      </w:r>
    </w:p>
    <w:p w:rsidR="00E26E4A" w:rsidRDefault="002E33BC">
      <w:pPr>
        <w:spacing w:after="4" w:line="248" w:lineRule="auto"/>
        <w:ind w:left="160" w:right="118" w:hanging="1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5144B47" wp14:editId="3698BB95">
                <wp:simplePos x="0" y="0"/>
                <wp:positionH relativeFrom="page">
                  <wp:posOffset>233807</wp:posOffset>
                </wp:positionH>
                <wp:positionV relativeFrom="page">
                  <wp:posOffset>8457120</wp:posOffset>
                </wp:positionV>
                <wp:extent cx="58738" cy="1372680"/>
                <wp:effectExtent l="0" t="0" r="0" b="0"/>
                <wp:wrapSquare wrapText="bothSides"/>
                <wp:docPr id="6533" name="Group 6533"/>
                <wp:cNvGraphicFramePr/>
                <a:graphic xmlns:a="http://schemas.openxmlformats.org/drawingml/2006/main">
                  <a:graphicData uri="http://schemas.microsoft.com/office/word/2010/wordprocessingGroup">
                    <wpg:wgp>
                      <wpg:cNvGrpSpPr/>
                      <wpg:grpSpPr>
                        <a:xfrm>
                          <a:off x="0" y="0"/>
                          <a:ext cx="58738" cy="1372680"/>
                          <a:chOff x="0" y="0"/>
                          <a:chExt cx="58738" cy="1372680"/>
                        </a:xfrm>
                      </wpg:grpSpPr>
                      <wps:wsp>
                        <wps:cNvPr id="435" name="Rectangle 435"/>
                        <wps:cNvSpPr/>
                        <wps:spPr>
                          <a:xfrm rot="-5399999">
                            <a:off x="-873771" y="420788"/>
                            <a:ext cx="1825664" cy="78121"/>
                          </a:xfrm>
                          <a:prstGeom prst="rect">
                            <a:avLst/>
                          </a:prstGeom>
                          <a:ln>
                            <a:noFill/>
                          </a:ln>
                        </wps:spPr>
                        <wps:txbx>
                          <w:txbxContent>
                            <w:p w:rsidR="00E26E4A" w:rsidRDefault="002E33BC">
                              <w:pPr>
                                <w:spacing w:after="160" w:line="259" w:lineRule="auto"/>
                                <w:ind w:left="0" w:right="0" w:firstLine="0"/>
                              </w:pPr>
                              <w:r>
                                <w:rPr>
                                  <w:rFonts w:ascii="Arial" w:eastAsia="Arial" w:hAnsi="Arial" w:cs="Arial"/>
                                  <w:color w:val="FFFFFF"/>
                                  <w:sz w:val="10"/>
                                </w:rPr>
                                <w:t>amozie on DSK3GDR082PROD with NOTICES1</w:t>
                              </w:r>
                            </w:p>
                          </w:txbxContent>
                        </wps:txbx>
                        <wps:bodyPr horzOverflow="overflow" vert="horz" lIns="0" tIns="0" rIns="0" bIns="0" rtlCol="0">
                          <a:noAutofit/>
                        </wps:bodyPr>
                      </wps:wsp>
                    </wpg:wgp>
                  </a:graphicData>
                </a:graphic>
              </wp:anchor>
            </w:drawing>
          </mc:Choice>
          <mc:Fallback>
            <w:pict>
              <v:group id="Group 6533" o:spid="_x0000_s1026" style="position:absolute;left:0;text-align:left;margin-left:18.4pt;margin-top:665.9pt;width:4.65pt;height:108.1pt;z-index:251658240;mso-position-horizontal-relative:page;mso-position-vertical-relative:page" coordsize="587,1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">
                <v:rect id="Rectangle 435" o:spid="_x0000_s1027" style="position:absolute;left:-8737;top:4208;width:18255;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vd8YA&#10;AADcAAAADwAAAGRycy9kb3ducmV2LnhtbESPS2sCQRCE7wH/w9BCbnHWaFRWRwmCbC4R4guP7U7v&#10;A3d61p1RN//eEQI5FlX1FTVbtKYSN2pcaVlBvxeBIE6tLjlXsNuu3iYgnEfWWFkmBb/kYDHvvMww&#10;1vbOP3Tb+FwECLsYFRTe17GULi3IoOvZmjh4mW0M+iCbXOoG7wFuKvkeRSNpsOSwUGBNy4LS8+Zq&#10;FOz72+shcesTH7PLePjtk3WWJ0q9dtvPKQhPrf8P/7W/tILh4AO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9vd8YAAADcAAAADwAAAAAAAAAAAAAAAACYAgAAZHJz&#10;L2Rvd25yZXYueG1sUEsFBgAAAAAEAAQA9QAAAIsDAAAAAA==&#10;" filled="f" stroked="f">
                  <v:textbox inset="0,0,0,0">
                    <w:txbxContent>
                      <w:p w:rsidR="00E26E4A" w:rsidRDefault="002E33BC">
                        <w:pPr>
                          <w:spacing w:after="160" w:line="259" w:lineRule="auto"/>
                          <w:ind w:left="0" w:right="0" w:firstLine="0"/>
                        </w:pPr>
                        <w:r>
                          <w:rPr>
                            <w:rFonts w:ascii="Arial" w:eastAsia="Arial" w:hAnsi="Arial" w:cs="Arial"/>
                            <w:color w:val="FFFFFF"/>
                            <w:sz w:val="10"/>
                          </w:rPr>
                          <w:t>amozie on DSK3GDR082PROD with NOTICES1</w:t>
                        </w:r>
                      </w:p>
                    </w:txbxContent>
                  </v:textbox>
                </v:rect>
                <w10:wrap type="square" anchorx="page" anchory="page"/>
              </v:group>
            </w:pict>
          </mc:Fallback>
        </mc:AlternateContent>
      </w:r>
      <w:r>
        <w:rPr>
          <w:sz w:val="16"/>
        </w:rPr>
        <w:t>T. 6 N., R. 1 W., sec. 1, lots 1, 2, 3, 5, 6, and 7, SW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E</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4</w:t>
      </w:r>
      <w:r>
        <w:rPr>
          <w:sz w:val="16"/>
        </w:rPr>
        <w:t>, and E</w:t>
      </w:r>
      <w:r>
        <w:rPr>
          <w:sz w:val="15"/>
          <w:vertAlign w:val="superscript"/>
        </w:rPr>
        <w:t>1</w:t>
      </w:r>
      <w:r>
        <w:rPr>
          <w:sz w:val="16"/>
        </w:rPr>
        <w:t>⁄</w:t>
      </w:r>
      <w:r>
        <w:rPr>
          <w:sz w:val="10"/>
        </w:rPr>
        <w:t>2</w:t>
      </w:r>
      <w:r>
        <w:rPr>
          <w:sz w:val="16"/>
        </w:rPr>
        <w:t>SW</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4</w:t>
      </w:r>
      <w:r>
        <w:rPr>
          <w:sz w:val="16"/>
        </w:rPr>
        <w:t>; sec. 12, lot 1 and E</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sec. 13, lots 1 thru 4, W</w:t>
      </w:r>
      <w:r>
        <w:rPr>
          <w:sz w:val="15"/>
          <w:vertAlign w:val="superscript"/>
        </w:rPr>
        <w:t>1</w:t>
      </w:r>
      <w:r>
        <w:rPr>
          <w:sz w:val="16"/>
        </w:rPr>
        <w:t>⁄</w:t>
      </w:r>
      <w:r>
        <w:rPr>
          <w:sz w:val="10"/>
        </w:rPr>
        <w:t>2</w:t>
      </w:r>
      <w:r>
        <w:rPr>
          <w:sz w:val="16"/>
        </w:rPr>
        <w:t>NE</w:t>
      </w:r>
      <w:r>
        <w:rPr>
          <w:sz w:val="15"/>
          <w:vertAlign w:val="superscript"/>
        </w:rPr>
        <w:t>1</w:t>
      </w:r>
      <w:r>
        <w:rPr>
          <w:sz w:val="16"/>
        </w:rPr>
        <w:t>⁄</w:t>
      </w:r>
      <w:r>
        <w:rPr>
          <w:sz w:val="10"/>
        </w:rPr>
        <w:t>4</w:t>
      </w:r>
      <w:r>
        <w:rPr>
          <w:sz w:val="16"/>
        </w:rPr>
        <w:t>, W</w:t>
      </w:r>
      <w:r>
        <w:rPr>
          <w:sz w:val="15"/>
          <w:vertAlign w:val="superscript"/>
        </w:rPr>
        <w:t>1</w:t>
      </w:r>
      <w:r>
        <w:rPr>
          <w:sz w:val="16"/>
        </w:rPr>
        <w:t>⁄</w:t>
      </w:r>
      <w:r>
        <w:rPr>
          <w:sz w:val="10"/>
        </w:rPr>
        <w:t>2</w:t>
      </w:r>
      <w:r>
        <w:rPr>
          <w:sz w:val="16"/>
        </w:rPr>
        <w:t>SE</w:t>
      </w:r>
      <w:r>
        <w:rPr>
          <w:sz w:val="15"/>
          <w:vertAlign w:val="superscript"/>
        </w:rPr>
        <w:t>1</w:t>
      </w:r>
      <w:r>
        <w:rPr>
          <w:sz w:val="16"/>
        </w:rPr>
        <w:t>⁄</w:t>
      </w:r>
      <w:r>
        <w:rPr>
          <w:sz w:val="10"/>
        </w:rPr>
        <w:t>4</w:t>
      </w:r>
      <w:r>
        <w:rPr>
          <w:sz w:val="16"/>
        </w:rPr>
        <w:t>, and that portion of the W</w:t>
      </w:r>
      <w:r>
        <w:rPr>
          <w:sz w:val="15"/>
          <w:vertAlign w:val="superscript"/>
        </w:rPr>
        <w:t>1</w:t>
      </w:r>
      <w:r>
        <w:rPr>
          <w:sz w:val="16"/>
        </w:rPr>
        <w:t>⁄</w:t>
      </w:r>
      <w:r>
        <w:rPr>
          <w:sz w:val="10"/>
        </w:rPr>
        <w:t xml:space="preserve">2 </w:t>
      </w:r>
      <w:r>
        <w:rPr>
          <w:sz w:val="16"/>
        </w:rPr>
        <w:t xml:space="preserve">lying east of the east right-of-way of the Castle Hot Springs Road. </w:t>
      </w:r>
    </w:p>
    <w:p w:rsidR="00E26E4A" w:rsidRDefault="002E33BC">
      <w:pPr>
        <w:spacing w:after="4" w:line="248" w:lineRule="auto"/>
        <w:ind w:left="160" w:right="1390" w:hanging="160"/>
      </w:pPr>
      <w:r>
        <w:rPr>
          <w:sz w:val="16"/>
        </w:rPr>
        <w:t xml:space="preserve">T. 7 N., R. 1 E., sec. 12, a portion of lot 2. </w:t>
      </w:r>
    </w:p>
    <w:p w:rsidR="00E26E4A" w:rsidRDefault="002E33BC">
      <w:pPr>
        <w:spacing w:after="4" w:line="248" w:lineRule="auto"/>
        <w:ind w:left="160" w:right="1232" w:hanging="160"/>
      </w:pPr>
      <w:r>
        <w:rPr>
          <w:sz w:val="16"/>
        </w:rPr>
        <w:t>T. 7 N., R. 1 W., sec. 13, W</w:t>
      </w:r>
      <w:r>
        <w:rPr>
          <w:sz w:val="15"/>
          <w:vertAlign w:val="superscript"/>
        </w:rPr>
        <w:t>1</w:t>
      </w:r>
      <w:r>
        <w:rPr>
          <w:sz w:val="16"/>
        </w:rPr>
        <w:t>⁄</w:t>
      </w:r>
      <w:r>
        <w:rPr>
          <w:sz w:val="10"/>
        </w:rPr>
        <w:t>2</w:t>
      </w:r>
      <w:r>
        <w:rPr>
          <w:sz w:val="16"/>
        </w:rPr>
        <w:t>SW</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 xml:space="preserve">4 </w:t>
      </w:r>
      <w:r>
        <w:rPr>
          <w:sz w:val="16"/>
        </w:rPr>
        <w:t xml:space="preserve">and </w:t>
      </w:r>
    </w:p>
    <w:p w:rsidR="00E26E4A" w:rsidRDefault="002E33BC">
      <w:pPr>
        <w:spacing w:after="4" w:line="248" w:lineRule="auto"/>
        <w:ind w:left="145" w:right="777" w:firstLine="160"/>
      </w:pPr>
      <w:r>
        <w:rPr>
          <w:sz w:val="16"/>
        </w:rPr>
        <w:t>SW</w:t>
      </w:r>
      <w:r>
        <w:rPr>
          <w:sz w:val="15"/>
          <w:vertAlign w:val="superscript"/>
        </w:rPr>
        <w:t>1</w:t>
      </w:r>
      <w:r>
        <w:rPr>
          <w:sz w:val="16"/>
        </w:rPr>
        <w:t>⁄</w:t>
      </w:r>
      <w:r>
        <w:rPr>
          <w:sz w:val="10"/>
        </w:rPr>
        <w:t>4</w:t>
      </w:r>
      <w:r>
        <w:rPr>
          <w:sz w:val="16"/>
        </w:rPr>
        <w:t>NW</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4</w:t>
      </w:r>
      <w:r>
        <w:rPr>
          <w:sz w:val="16"/>
        </w:rPr>
        <w:t>; sec. 23, E</w:t>
      </w:r>
      <w:r>
        <w:rPr>
          <w:sz w:val="15"/>
          <w:vertAlign w:val="superscript"/>
        </w:rPr>
        <w:t>1</w:t>
      </w:r>
      <w:r>
        <w:rPr>
          <w:sz w:val="16"/>
        </w:rPr>
        <w:t>⁄</w:t>
      </w:r>
      <w:r>
        <w:rPr>
          <w:sz w:val="10"/>
        </w:rPr>
        <w:t>2</w:t>
      </w:r>
      <w:r>
        <w:rPr>
          <w:sz w:val="16"/>
        </w:rPr>
        <w:t>NE</w:t>
      </w:r>
      <w:r>
        <w:rPr>
          <w:sz w:val="15"/>
          <w:vertAlign w:val="superscript"/>
        </w:rPr>
        <w:t>1</w:t>
      </w:r>
      <w:r>
        <w:rPr>
          <w:sz w:val="16"/>
        </w:rPr>
        <w:t>⁄</w:t>
      </w:r>
      <w:r>
        <w:rPr>
          <w:sz w:val="10"/>
        </w:rPr>
        <w:t>4</w:t>
      </w:r>
      <w:r>
        <w:rPr>
          <w:sz w:val="16"/>
        </w:rPr>
        <w:t>, E</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xml:space="preserve">, </w:t>
      </w:r>
    </w:p>
    <w:p w:rsidR="00E26E4A" w:rsidRDefault="002E33BC">
      <w:pPr>
        <w:spacing w:after="4" w:line="248" w:lineRule="auto"/>
        <w:ind w:left="330" w:right="118"/>
      </w:pPr>
      <w:r>
        <w:rPr>
          <w:sz w:val="16"/>
        </w:rPr>
        <w:t>E</w:t>
      </w:r>
      <w:r>
        <w:rPr>
          <w:sz w:val="15"/>
          <w:vertAlign w:val="superscript"/>
        </w:rPr>
        <w:t>1</w:t>
      </w:r>
      <w:r>
        <w:rPr>
          <w:sz w:val="16"/>
        </w:rPr>
        <w:t>⁄</w:t>
      </w:r>
      <w:r>
        <w:rPr>
          <w:sz w:val="10"/>
        </w:rPr>
        <w:t>2</w:t>
      </w:r>
      <w:r>
        <w:rPr>
          <w:sz w:val="16"/>
        </w:rPr>
        <w:t>SW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NE</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4</w:t>
      </w:r>
      <w:r>
        <w:rPr>
          <w:sz w:val="16"/>
        </w:rPr>
        <w:t xml:space="preserve">, </w:t>
      </w:r>
    </w:p>
    <w:p w:rsidR="00E26E4A" w:rsidRDefault="002E33BC">
      <w:pPr>
        <w:spacing w:after="4" w:line="248" w:lineRule="auto"/>
        <w:ind w:left="145" w:right="229" w:firstLine="160"/>
      </w:pPr>
      <w:r>
        <w:rPr>
          <w:sz w:val="16"/>
        </w:rPr>
        <w:t>E</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SE</w:t>
      </w:r>
      <w:r>
        <w:rPr>
          <w:sz w:val="15"/>
          <w:vertAlign w:val="superscript"/>
        </w:rPr>
        <w:t>1</w:t>
      </w:r>
      <w:r>
        <w:rPr>
          <w:sz w:val="16"/>
        </w:rPr>
        <w:t>⁄</w:t>
      </w:r>
      <w:r>
        <w:rPr>
          <w:sz w:val="10"/>
        </w:rPr>
        <w:t>4</w:t>
      </w:r>
      <w:r>
        <w:rPr>
          <w:sz w:val="16"/>
        </w:rPr>
        <w:t>, and S</w:t>
      </w:r>
      <w:r>
        <w:rPr>
          <w:sz w:val="15"/>
          <w:vertAlign w:val="superscript"/>
        </w:rPr>
        <w:t>1</w:t>
      </w:r>
      <w:r>
        <w:rPr>
          <w:sz w:val="16"/>
        </w:rPr>
        <w:t>⁄</w:t>
      </w:r>
      <w:r>
        <w:rPr>
          <w:sz w:val="10"/>
        </w:rPr>
        <w:t>2</w:t>
      </w:r>
      <w:r>
        <w:rPr>
          <w:sz w:val="16"/>
        </w:rPr>
        <w:t>SE</w:t>
      </w:r>
      <w:r>
        <w:rPr>
          <w:sz w:val="15"/>
          <w:vertAlign w:val="superscript"/>
        </w:rPr>
        <w:t>1</w:t>
      </w:r>
      <w:r>
        <w:rPr>
          <w:sz w:val="16"/>
        </w:rPr>
        <w:t>⁄</w:t>
      </w:r>
      <w:r>
        <w:rPr>
          <w:sz w:val="10"/>
        </w:rPr>
        <w:t>4</w:t>
      </w:r>
      <w:r>
        <w:rPr>
          <w:sz w:val="16"/>
        </w:rPr>
        <w:t>; sec. 24, W</w:t>
      </w:r>
      <w:r>
        <w:rPr>
          <w:sz w:val="15"/>
          <w:vertAlign w:val="superscript"/>
        </w:rPr>
        <w:t>1</w:t>
      </w:r>
      <w:r>
        <w:rPr>
          <w:sz w:val="16"/>
        </w:rPr>
        <w:t>⁄</w:t>
      </w:r>
      <w:r>
        <w:rPr>
          <w:sz w:val="10"/>
        </w:rPr>
        <w:t>2</w:t>
      </w:r>
      <w:r>
        <w:rPr>
          <w:sz w:val="16"/>
        </w:rPr>
        <w:t>NW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W</w:t>
      </w:r>
      <w:r>
        <w:rPr>
          <w:sz w:val="15"/>
          <w:vertAlign w:val="superscript"/>
        </w:rPr>
        <w:t>1</w:t>
      </w:r>
      <w:r>
        <w:rPr>
          <w:sz w:val="16"/>
        </w:rPr>
        <w:t>⁄</w:t>
      </w:r>
      <w:r>
        <w:rPr>
          <w:sz w:val="10"/>
        </w:rPr>
        <w:t>2</w:t>
      </w:r>
      <w:r>
        <w:rPr>
          <w:sz w:val="16"/>
        </w:rPr>
        <w:t>SW</w:t>
      </w:r>
      <w:r>
        <w:rPr>
          <w:sz w:val="15"/>
          <w:vertAlign w:val="superscript"/>
        </w:rPr>
        <w:t>1</w:t>
      </w:r>
      <w:r>
        <w:rPr>
          <w:sz w:val="16"/>
        </w:rPr>
        <w:t>⁄</w:t>
      </w:r>
      <w:r>
        <w:rPr>
          <w:sz w:val="10"/>
        </w:rPr>
        <w:t>4</w:t>
      </w:r>
      <w:r>
        <w:rPr>
          <w:sz w:val="16"/>
        </w:rPr>
        <w:t>NE</w:t>
      </w:r>
      <w:r>
        <w:rPr>
          <w:sz w:val="15"/>
          <w:vertAlign w:val="superscript"/>
        </w:rPr>
        <w:t>1</w:t>
      </w:r>
      <w:r>
        <w:rPr>
          <w:sz w:val="16"/>
        </w:rPr>
        <w:t>⁄</w:t>
      </w:r>
      <w:r>
        <w:rPr>
          <w:sz w:val="10"/>
        </w:rPr>
        <w:t>4</w:t>
      </w:r>
      <w:r>
        <w:rPr>
          <w:sz w:val="16"/>
        </w:rPr>
        <w:t>, and NW</w:t>
      </w:r>
      <w:r>
        <w:rPr>
          <w:sz w:val="15"/>
          <w:vertAlign w:val="superscript"/>
        </w:rPr>
        <w:t>1</w:t>
      </w:r>
      <w:r>
        <w:rPr>
          <w:sz w:val="16"/>
        </w:rPr>
        <w:t>⁄</w:t>
      </w:r>
      <w:r>
        <w:rPr>
          <w:sz w:val="10"/>
        </w:rPr>
        <w:t>4</w:t>
      </w:r>
      <w:r>
        <w:rPr>
          <w:sz w:val="16"/>
        </w:rPr>
        <w:t xml:space="preserve">; </w:t>
      </w:r>
    </w:p>
    <w:p w:rsidR="00E26E4A" w:rsidRDefault="002E33BC">
      <w:pPr>
        <w:spacing w:after="38" w:line="248" w:lineRule="auto"/>
        <w:ind w:left="155" w:right="118"/>
      </w:pPr>
      <w:r>
        <w:rPr>
          <w:sz w:val="16"/>
        </w:rPr>
        <w:t>sec. 25, NE</w:t>
      </w:r>
      <w:r>
        <w:rPr>
          <w:sz w:val="15"/>
          <w:vertAlign w:val="superscript"/>
        </w:rPr>
        <w:t>1</w:t>
      </w:r>
      <w:r>
        <w:rPr>
          <w:sz w:val="16"/>
        </w:rPr>
        <w:t>⁄</w:t>
      </w:r>
      <w:r>
        <w:rPr>
          <w:sz w:val="10"/>
        </w:rPr>
        <w:t xml:space="preserve">4 </w:t>
      </w:r>
      <w:r>
        <w:rPr>
          <w:sz w:val="16"/>
        </w:rPr>
        <w:t>and W</w:t>
      </w:r>
      <w:r>
        <w:rPr>
          <w:sz w:val="15"/>
          <w:vertAlign w:val="superscript"/>
        </w:rPr>
        <w:t>1</w:t>
      </w:r>
      <w:r>
        <w:rPr>
          <w:sz w:val="16"/>
        </w:rPr>
        <w:t>⁄</w:t>
      </w:r>
      <w:r>
        <w:rPr>
          <w:sz w:val="10"/>
        </w:rPr>
        <w:t>2</w:t>
      </w:r>
      <w:r>
        <w:rPr>
          <w:sz w:val="16"/>
        </w:rPr>
        <w:t xml:space="preserve">. </w:t>
      </w:r>
    </w:p>
    <w:p w:rsidR="00E26E4A" w:rsidRDefault="002E33BC">
      <w:pPr>
        <w:spacing w:after="0" w:line="242" w:lineRule="auto"/>
        <w:ind w:left="0" w:right="50" w:firstLine="160"/>
        <w:jc w:val="both"/>
      </w:pPr>
      <w:r>
        <w:rPr>
          <w:sz w:val="16"/>
        </w:rPr>
        <w:t xml:space="preserve">The areas described aggregate 1,988.27 acres in Maricopa and Yavapai Counties. </w:t>
      </w:r>
      <w:r>
        <w:t xml:space="preserve">The proposed withdrawal would continue with the purpose established by PLO No. 7384 to protect the capital investments and dispersed recreation in the BOR’s Lake Pleasant Expansion area. </w:t>
      </w:r>
    </w:p>
    <w:p w:rsidR="00E26E4A" w:rsidRDefault="002E33BC">
      <w:pPr>
        <w:ind w:left="-15" w:right="12" w:firstLine="180"/>
      </w:pPr>
      <w:r>
        <w:t xml:space="preserve">The use of a right-of-way, interagency agreement, or cooperative agreement would not provide adequate protection for the capital improvement investment that the BOR has made to the Lake </w:t>
      </w:r>
    </w:p>
    <w:p w:rsidR="00E26E4A" w:rsidRDefault="002E33BC">
      <w:pPr>
        <w:ind w:left="-5" w:right="12"/>
      </w:pPr>
      <w:r>
        <w:t xml:space="preserve">Pleasant expansion area. </w:t>
      </w:r>
    </w:p>
    <w:p w:rsidR="00E26E4A" w:rsidRDefault="002E33BC">
      <w:pPr>
        <w:ind w:left="-15" w:right="12" w:firstLine="180"/>
      </w:pPr>
      <w:r>
        <w:t xml:space="preserve">No additional water rights are needed to fulfill the purpose of the requested withdrawal extension. </w:t>
      </w:r>
    </w:p>
    <w:p w:rsidR="00E26E4A" w:rsidRDefault="002E33BC">
      <w:pPr>
        <w:ind w:left="-15" w:right="12" w:firstLine="180"/>
      </w:pPr>
      <w:r>
        <w:t xml:space="preserve">There are no suitable alternative sites since the land described contain the developed Lake Pleasant expansion area. </w:t>
      </w:r>
    </w:p>
    <w:p w:rsidR="00E26E4A" w:rsidRDefault="002E33BC">
      <w:pPr>
        <w:ind w:left="-15" w:right="12" w:firstLine="180"/>
      </w:pPr>
      <w:r>
        <w:t xml:space="preserve">All persons who wish to submit comments, suggestions, or objections in connection with </w:t>
      </w:r>
      <w:r>
        <w:lastRenderedPageBreak/>
        <w:t xml:space="preserve">the proposed withdrawal extension may present their views in writing to the BLM. </w:t>
      </w:r>
    </w:p>
    <w:p w:rsidR="00E26E4A" w:rsidRDefault="002E33BC">
      <w:pPr>
        <w:ind w:left="-15" w:right="12" w:firstLine="180"/>
      </w:pPr>
      <w:r>
        <w:t xml:space="preserve">Comments, including name and street address of respondents, will be available for public review stated in the </w:t>
      </w:r>
      <w:r>
        <w:rPr>
          <w:rFonts w:ascii="Arial" w:eastAsia="Arial" w:hAnsi="Arial" w:cs="Arial"/>
          <w:b/>
          <w:sz w:val="15"/>
        </w:rPr>
        <w:t xml:space="preserve">ADDRESSES </w:t>
      </w:r>
      <w:r>
        <w:t xml:space="preserve">section above during regular business hours 08:00 a.m. to 4:30 p.m., Monday through Friday, except Federal holidays. </w:t>
      </w:r>
    </w:p>
    <w:p w:rsidR="00E26E4A" w:rsidRDefault="002E33BC">
      <w:pPr>
        <w:ind w:left="-15" w:right="12" w:firstLine="180"/>
      </w:pPr>
      <w:r>
        <w:t xml:space="preserve">Before including your address, phone number, email address, or other personal identifying information in your comment, you should be aware that your entire comment including your personal identifying information may be made publicly available at any time. While you can ask us in your comment to withhold your personal identifying information from public review, we cannot guarantee that we will be able to do so. </w:t>
      </w:r>
    </w:p>
    <w:p w:rsidR="00E26E4A" w:rsidRDefault="002E33BC">
      <w:pPr>
        <w:ind w:left="-15" w:right="12" w:firstLine="180"/>
      </w:pPr>
      <w:r>
        <w:t xml:space="preserve">Notice is hereby given that an opportunity for a public meeting is afforded in connection with the proposed withdrawal extension. All interested persons who desire a public meeting for the purpose of being heard on the proposed withdrawal extension must submit written request to the State Director, BLM Arizona State Office at the address in the </w:t>
      </w:r>
      <w:r>
        <w:rPr>
          <w:rFonts w:ascii="Arial" w:eastAsia="Arial" w:hAnsi="Arial" w:cs="Arial"/>
          <w:b/>
          <w:sz w:val="15"/>
        </w:rPr>
        <w:t xml:space="preserve">ADDRESSES </w:t>
      </w:r>
      <w:r>
        <w:t xml:space="preserve">section, within 90 days from the publication of this Notice. If the authorized officer determines that a public meeting will be held, a Notice of the date, time, and place will be published in the </w:t>
      </w:r>
      <w:r>
        <w:rPr>
          <w:b/>
        </w:rPr>
        <w:t xml:space="preserve">Federal Register </w:t>
      </w:r>
      <w:r>
        <w:t xml:space="preserve">and local newspapers and post on the BLM website at </w:t>
      </w:r>
      <w:r>
        <w:rPr>
          <w:i/>
        </w:rPr>
        <w:t xml:space="preserve">www.blm.gov </w:t>
      </w:r>
      <w:r>
        <w:t xml:space="preserve">at least 30 days before the scheduled date of the meeting. </w:t>
      </w:r>
    </w:p>
    <w:p w:rsidR="00E26E4A" w:rsidRDefault="002E33BC">
      <w:pPr>
        <w:spacing w:after="56"/>
        <w:ind w:left="-15" w:right="12" w:firstLine="180"/>
      </w:pPr>
      <w:r>
        <w:t xml:space="preserve">The withdrawal application will be processed in accordance with the regulations set forth in 43 CFR 2310.4. </w:t>
      </w:r>
    </w:p>
    <w:p w:rsidR="00E26E4A" w:rsidRDefault="002E33BC">
      <w:pPr>
        <w:spacing w:after="70" w:line="248" w:lineRule="auto"/>
        <w:ind w:left="0" w:right="118" w:firstLine="160"/>
      </w:pPr>
      <w:r>
        <w:rPr>
          <w:b/>
          <w:sz w:val="16"/>
        </w:rPr>
        <w:t xml:space="preserve">Authority: </w:t>
      </w:r>
      <w:r>
        <w:rPr>
          <w:sz w:val="16"/>
        </w:rPr>
        <w:t xml:space="preserve">43 CFR 2310.3–1 and 43 CFR 2310.4. </w:t>
      </w:r>
    </w:p>
    <w:p w:rsidR="00E26E4A" w:rsidRDefault="002E33BC">
      <w:pPr>
        <w:spacing w:after="27" w:line="248" w:lineRule="auto"/>
        <w:ind w:left="155" w:right="118"/>
      </w:pPr>
      <w:r>
        <w:rPr>
          <w:sz w:val="16"/>
        </w:rPr>
        <w:t xml:space="preserve">Dated: December 20, 2018. </w:t>
      </w:r>
    </w:p>
    <w:p w:rsidR="00E26E4A" w:rsidRDefault="002E33BC">
      <w:pPr>
        <w:pStyle w:val="Heading2"/>
        <w:ind w:left="-5"/>
      </w:pPr>
      <w:r>
        <w:t xml:space="preserve">Joseph R. Balash, </w:t>
      </w:r>
    </w:p>
    <w:p w:rsidR="00E26E4A" w:rsidRDefault="002E33BC">
      <w:pPr>
        <w:spacing w:after="39" w:line="233" w:lineRule="auto"/>
        <w:ind w:left="-5" w:right="0"/>
      </w:pPr>
      <w:r>
        <w:rPr>
          <w:i/>
          <w:sz w:val="16"/>
        </w:rPr>
        <w:t xml:space="preserve">Assistant Secretary, Land and Minerals Management. </w:t>
      </w:r>
    </w:p>
    <w:p w:rsidR="00E26E4A" w:rsidRDefault="002E33BC">
      <w:pPr>
        <w:spacing w:after="45" w:line="259" w:lineRule="auto"/>
        <w:ind w:left="-5" w:right="0"/>
      </w:pPr>
      <w:r>
        <w:rPr>
          <w:sz w:val="14"/>
        </w:rPr>
        <w:t xml:space="preserve">[FR Doc. 2018–28287 Filed 12–27–18; 8:45 am] </w:t>
      </w:r>
    </w:p>
    <w:p w:rsidR="00E26E4A" w:rsidRDefault="002E33BC">
      <w:pPr>
        <w:spacing w:after="29" w:line="259" w:lineRule="auto"/>
        <w:ind w:left="-5" w:right="0"/>
      </w:pPr>
      <w:r>
        <w:rPr>
          <w:rFonts w:ascii="Arial" w:eastAsia="Arial" w:hAnsi="Arial" w:cs="Arial"/>
          <w:b/>
          <w:sz w:val="12"/>
        </w:rPr>
        <w:t xml:space="preserve">BILLING CODE 4332–90–P </w:t>
      </w:r>
    </w:p>
    <w:p w:rsidR="00E26E4A" w:rsidRDefault="002E33BC">
      <w:pPr>
        <w:spacing w:after="234" w:line="259" w:lineRule="auto"/>
        <w:ind w:left="0" w:right="-4" w:firstLine="0"/>
      </w:pPr>
      <w:r>
        <w:rPr>
          <w:rFonts w:ascii="Calibri" w:eastAsia="Calibri" w:hAnsi="Calibri" w:cs="Calibri"/>
          <w:noProof/>
          <w:sz w:val="22"/>
        </w:rPr>
        <mc:AlternateContent>
          <mc:Choice Requires="wpg">
            <w:drawing>
              <wp:inline distT="0" distB="0" distL="0" distR="0" wp14:anchorId="1C612656" wp14:editId="56087799">
                <wp:extent cx="2133600" cy="3810"/>
                <wp:effectExtent l="0" t="0" r="0" b="0"/>
                <wp:docPr id="6532" name="Group 6532"/>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421" name="Shape 421"/>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532" style="width:168pt;height:0.3pt;mso-position-horizontal-relative:char;mso-position-vertical-relative:line" coordsize="21336,38">
                <v:shape id="Shape 421" style="position:absolute;width:21336;height:0;left:0;top:0;" coordsize="2133600,0" path="m0,0l2133600,0">
                  <v:stroke weight="0.3pt" endcap="flat" joinstyle="miter" miterlimit="10" on="true" color="#000000"/>
                  <v:fill on="false" color="#000000" opacity="0"/>
                </v:shape>
              </v:group>
            </w:pict>
          </mc:Fallback>
        </mc:AlternateContent>
      </w:r>
    </w:p>
    <w:p w:rsidR="00E26E4A" w:rsidRDefault="002E33BC">
      <w:pPr>
        <w:spacing w:after="140" w:line="259" w:lineRule="auto"/>
        <w:ind w:left="-5" w:right="0"/>
      </w:pPr>
      <w:r>
        <w:rPr>
          <w:rFonts w:ascii="Arial" w:eastAsia="Arial" w:hAnsi="Arial" w:cs="Arial"/>
          <w:b/>
        </w:rPr>
        <w:t xml:space="preserve">DEPARTMENT OF THE INTERIOR </w:t>
      </w:r>
    </w:p>
    <w:p w:rsidR="00E26E4A" w:rsidRDefault="002E33BC">
      <w:pPr>
        <w:spacing w:after="224" w:line="259" w:lineRule="auto"/>
        <w:ind w:left="-5" w:right="0"/>
      </w:pPr>
      <w:r>
        <w:rPr>
          <w:rFonts w:ascii="Arial" w:eastAsia="Arial" w:hAnsi="Arial" w:cs="Arial"/>
          <w:b/>
        </w:rPr>
        <w:t xml:space="preserve">Bureau of Land Management </w:t>
      </w:r>
    </w:p>
    <w:p w:rsidR="00E26E4A" w:rsidRDefault="002E33BC">
      <w:pPr>
        <w:spacing w:after="179" w:line="235" w:lineRule="auto"/>
        <w:ind w:left="-5" w:right="0"/>
      </w:pPr>
      <w:r>
        <w:rPr>
          <w:rFonts w:ascii="Arial" w:eastAsia="Arial" w:hAnsi="Arial" w:cs="Arial"/>
          <w:b/>
          <w:sz w:val="16"/>
        </w:rPr>
        <w:t xml:space="preserve">[LLWO220000.L63100000.PH0000; OMB Control Number 1004–0058] </w:t>
      </w:r>
    </w:p>
    <w:p w:rsidR="00E26E4A" w:rsidRDefault="002E33BC">
      <w:pPr>
        <w:spacing w:after="0" w:line="259" w:lineRule="auto"/>
        <w:ind w:left="-5" w:right="0"/>
      </w:pPr>
      <w:r>
        <w:rPr>
          <w:rFonts w:ascii="Arial" w:eastAsia="Arial" w:hAnsi="Arial" w:cs="Arial"/>
          <w:b/>
        </w:rPr>
        <w:t xml:space="preserve">Agency Information Collection Activities; Forest Management </w:t>
      </w:r>
    </w:p>
    <w:p w:rsidR="00E26E4A" w:rsidRDefault="002E33BC">
      <w:pPr>
        <w:spacing w:after="113" w:line="259" w:lineRule="auto"/>
        <w:ind w:left="-5" w:right="0"/>
      </w:pPr>
      <w:r>
        <w:rPr>
          <w:rFonts w:ascii="Arial" w:eastAsia="Arial" w:hAnsi="Arial" w:cs="Arial"/>
          <w:b/>
        </w:rPr>
        <w:t xml:space="preserve">Decision Protest Process and Log Export and Substitution </w:t>
      </w:r>
    </w:p>
    <w:p w:rsidR="00E26E4A" w:rsidRDefault="002E33BC">
      <w:pPr>
        <w:ind w:left="-5" w:right="12"/>
      </w:pPr>
      <w:r>
        <w:rPr>
          <w:rFonts w:ascii="Arial" w:eastAsia="Arial" w:hAnsi="Arial" w:cs="Arial"/>
          <w:b/>
          <w:sz w:val="15"/>
        </w:rPr>
        <w:t>AGENCY</w:t>
      </w:r>
      <w:r>
        <w:rPr>
          <w:rFonts w:ascii="Arial" w:eastAsia="Arial" w:hAnsi="Arial" w:cs="Arial"/>
          <w:b/>
        </w:rPr>
        <w:t xml:space="preserve">: </w:t>
      </w:r>
      <w:r>
        <w:t xml:space="preserve">Bureau of Land Management, </w:t>
      </w:r>
    </w:p>
    <w:p w:rsidR="00E26E4A" w:rsidRDefault="002E33BC">
      <w:pPr>
        <w:ind w:left="-5" w:right="12"/>
      </w:pPr>
      <w:r>
        <w:t xml:space="preserve">Interior. </w:t>
      </w:r>
    </w:p>
    <w:p w:rsidR="00E26E4A" w:rsidRDefault="00E26E4A">
      <w:pPr>
        <w:sectPr w:rsidR="00E26E4A">
          <w:type w:val="continuous"/>
          <w:pgSz w:w="12240" w:h="15840"/>
          <w:pgMar w:top="1440" w:right="904" w:bottom="1440" w:left="900" w:header="720" w:footer="720" w:gutter="0"/>
          <w:cols w:num="3" w:space="134"/>
        </w:sectPr>
      </w:pPr>
    </w:p>
    <w:p w:rsidR="00E26E4A" w:rsidRDefault="002E33BC">
      <w:pPr>
        <w:tabs>
          <w:tab w:val="center" w:pos="2073"/>
          <w:tab w:val="center" w:pos="3099"/>
          <w:tab w:val="center" w:pos="3849"/>
          <w:tab w:val="center" w:pos="4596"/>
          <w:tab w:val="center" w:pos="5325"/>
          <w:tab w:val="center" w:pos="6036"/>
          <w:tab w:val="center" w:pos="7180"/>
          <w:tab w:val="center" w:pos="8274"/>
        </w:tabs>
        <w:spacing w:after="80" w:line="259" w:lineRule="auto"/>
        <w:ind w:left="-15" w:right="0" w:firstLine="0"/>
      </w:pPr>
      <w:r>
        <w:rPr>
          <w:rFonts w:ascii="Arial" w:eastAsia="Arial" w:hAnsi="Arial" w:cs="Arial"/>
          <w:color w:val="FFFFFF"/>
          <w:sz w:val="13"/>
        </w:rPr>
        <w:lastRenderedPageBreak/>
        <w:t xml:space="preserve">VerDate Sep&lt;11&gt;2014 </w:t>
      </w:r>
      <w:r>
        <w:rPr>
          <w:rFonts w:ascii="Arial" w:eastAsia="Arial" w:hAnsi="Arial" w:cs="Arial"/>
          <w:color w:val="FFFFFF"/>
          <w:sz w:val="13"/>
        </w:rPr>
        <w:tab/>
        <w:t>18:13 Dec 27, 2018</w:t>
      </w:r>
      <w:r>
        <w:rPr>
          <w:rFonts w:ascii="Arial" w:eastAsia="Arial" w:hAnsi="Arial" w:cs="Arial"/>
          <w:color w:val="FFFFFF"/>
          <w:sz w:val="13"/>
        </w:rPr>
        <w:tab/>
        <w:t>Jkt 247001</w:t>
      </w:r>
      <w:r>
        <w:rPr>
          <w:rFonts w:ascii="Arial" w:eastAsia="Arial" w:hAnsi="Arial" w:cs="Arial"/>
          <w:color w:val="FFFFFF"/>
          <w:sz w:val="13"/>
        </w:rPr>
        <w:tab/>
        <w:t>PO 00000</w:t>
      </w:r>
      <w:r>
        <w:rPr>
          <w:rFonts w:ascii="Arial" w:eastAsia="Arial" w:hAnsi="Arial" w:cs="Arial"/>
          <w:color w:val="FFFFFF"/>
          <w:sz w:val="13"/>
        </w:rPr>
        <w:tab/>
        <w:t>Frm 00128</w:t>
      </w:r>
      <w:r>
        <w:rPr>
          <w:rFonts w:ascii="Arial" w:eastAsia="Arial" w:hAnsi="Arial" w:cs="Arial"/>
          <w:color w:val="FFFFFF"/>
          <w:sz w:val="13"/>
        </w:rPr>
        <w:tab/>
        <w:t>Fmt 4703</w:t>
      </w:r>
      <w:r>
        <w:rPr>
          <w:rFonts w:ascii="Arial" w:eastAsia="Arial" w:hAnsi="Arial" w:cs="Arial"/>
          <w:color w:val="FFFFFF"/>
          <w:sz w:val="13"/>
        </w:rPr>
        <w:tab/>
        <w:t>Sfmt 4703</w:t>
      </w:r>
      <w:r>
        <w:rPr>
          <w:rFonts w:ascii="Arial" w:eastAsia="Arial" w:hAnsi="Arial" w:cs="Arial"/>
          <w:color w:val="FFFFFF"/>
          <w:sz w:val="13"/>
        </w:rPr>
        <w:tab/>
        <w:t>E:\FR\FM\28DEN1.SGM</w:t>
      </w:r>
      <w:r>
        <w:rPr>
          <w:rFonts w:ascii="Arial" w:eastAsia="Arial" w:hAnsi="Arial" w:cs="Arial"/>
          <w:color w:val="FFFFFF"/>
          <w:sz w:val="13"/>
        </w:rPr>
        <w:tab/>
        <w:t>28DEN1</w:t>
      </w:r>
    </w:p>
    <w:p w:rsidR="00E26E4A" w:rsidRDefault="002E33BC">
      <w:pPr>
        <w:pStyle w:val="Heading1"/>
        <w:numPr>
          <w:ilvl w:val="0"/>
          <w:numId w:val="0"/>
        </w:numPr>
        <w:tabs>
          <w:tab w:val="center" w:pos="5618"/>
          <w:tab w:val="right" w:pos="10840"/>
        </w:tabs>
        <w:ind w:right="-15"/>
      </w:pPr>
      <w:r>
        <w:rPr>
          <w:rFonts w:ascii="Calibri" w:eastAsia="Calibri" w:hAnsi="Calibri" w:cs="Calibri"/>
          <w:sz w:val="22"/>
        </w:rPr>
        <w:tab/>
      </w:r>
      <w:r>
        <w:rPr>
          <w:b/>
        </w:rPr>
        <w:t>Federal Register</w:t>
      </w:r>
      <w:r>
        <w:t xml:space="preserve">/Vol. 83, No. 248/Friday, December 28, 2018/Notices </w:t>
      </w:r>
      <w:r>
        <w:tab/>
      </w:r>
      <w:r>
        <w:rPr>
          <w:b/>
          <w:sz w:val="22"/>
        </w:rPr>
        <w:t xml:space="preserve">67339 </w:t>
      </w:r>
    </w:p>
    <w:p w:rsidR="00E26E4A" w:rsidRDefault="002E33BC">
      <w:pPr>
        <w:spacing w:after="0" w:line="259" w:lineRule="auto"/>
        <w:ind w:left="400" w:right="0" w:firstLine="0"/>
      </w:pPr>
      <w:r>
        <w:rPr>
          <w:rFonts w:ascii="Calibri" w:eastAsia="Calibri" w:hAnsi="Calibri" w:cs="Calibri"/>
          <w:noProof/>
          <w:sz w:val="22"/>
        </w:rPr>
        <mc:AlternateContent>
          <mc:Choice Requires="wpg">
            <w:drawing>
              <wp:inline distT="0" distB="0" distL="0" distR="0" wp14:anchorId="1DE117EE" wp14:editId="5F5FB5CA">
                <wp:extent cx="6629400" cy="50800"/>
                <wp:effectExtent l="0" t="0" r="0" b="0"/>
                <wp:docPr id="6260" name="Group 6260"/>
                <wp:cNvGraphicFramePr/>
                <a:graphic xmlns:a="http://schemas.openxmlformats.org/drawingml/2006/main">
                  <a:graphicData uri="http://schemas.microsoft.com/office/word/2010/wordprocessingGroup">
                    <wpg:wgp>
                      <wpg:cNvGrpSpPr/>
                      <wpg:grpSpPr>
                        <a:xfrm>
                          <a:off x="0" y="0"/>
                          <a:ext cx="6629400" cy="50800"/>
                          <a:chOff x="0" y="0"/>
                          <a:chExt cx="6629400" cy="50800"/>
                        </a:xfrm>
                      </wpg:grpSpPr>
                      <wps:wsp>
                        <wps:cNvPr id="484" name="Shape 484"/>
                        <wps:cNvSpPr/>
                        <wps:spPr>
                          <a:xfrm>
                            <a:off x="0" y="0"/>
                            <a:ext cx="6629400" cy="0"/>
                          </a:xfrm>
                          <a:custGeom>
                            <a:avLst/>
                            <a:gdLst/>
                            <a:ahLst/>
                            <a:cxnLst/>
                            <a:rect l="0" t="0" r="0" b="0"/>
                            <a:pathLst>
                              <a:path w="6629400">
                                <a:moveTo>
                                  <a:pt x="0" y="0"/>
                                </a:moveTo>
                                <a:lnTo>
                                  <a:pt x="6629400" y="0"/>
                                </a:lnTo>
                              </a:path>
                            </a:pathLst>
                          </a:custGeom>
                          <a:ln w="27940" cap="flat">
                            <a:miter lim="127000"/>
                          </a:ln>
                        </wps:spPr>
                        <wps:style>
                          <a:lnRef idx="1">
                            <a:srgbClr val="000000"/>
                          </a:lnRef>
                          <a:fillRef idx="0">
                            <a:srgbClr val="000000">
                              <a:alpha val="0"/>
                            </a:srgbClr>
                          </a:fillRef>
                          <a:effectRef idx="0">
                            <a:scrgbClr r="0" g="0" b="0"/>
                          </a:effectRef>
                          <a:fontRef idx="none"/>
                        </wps:style>
                        <wps:bodyPr/>
                      </wps:wsp>
                      <wps:wsp>
                        <wps:cNvPr id="485" name="Shape 485"/>
                        <wps:cNvSpPr/>
                        <wps:spPr>
                          <a:xfrm>
                            <a:off x="0" y="50800"/>
                            <a:ext cx="6629400" cy="0"/>
                          </a:xfrm>
                          <a:custGeom>
                            <a:avLst/>
                            <a:gdLst/>
                            <a:ahLst/>
                            <a:cxnLst/>
                            <a:rect l="0" t="0" r="0" b="0"/>
                            <a:pathLst>
                              <a:path w="6629400">
                                <a:moveTo>
                                  <a:pt x="0" y="0"/>
                                </a:moveTo>
                                <a:lnTo>
                                  <a:pt x="66294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260" style="width:522pt;height:4pt;mso-position-horizontal-relative:char;mso-position-vertical-relative:line" coordsize="66294,508">
                <v:shape id="Shape 484" style="position:absolute;width:66294;height:0;left:0;top:0;" coordsize="6629400,0" path="m0,0l6629400,0">
                  <v:stroke weight="2.2pt" endcap="flat" joinstyle="miter" miterlimit="10" on="true" color="#000000"/>
                  <v:fill on="false" color="#000000" opacity="0"/>
                </v:shape>
                <v:shape id="Shape 485" style="position:absolute;width:66294;height:0;left:0;top:508;" coordsize="6629400,0" path="m0,0l6629400,0">
                  <v:stroke weight="0.3pt" endcap="flat" joinstyle="miter" miterlimit="10" on="true" color="#000000"/>
                  <v:fill on="false" color="#000000" opacity="0"/>
                </v:shape>
              </v:group>
            </w:pict>
          </mc:Fallback>
        </mc:AlternateContent>
      </w:r>
    </w:p>
    <w:p w:rsidR="00E26E4A" w:rsidRDefault="00E26E4A">
      <w:pPr>
        <w:sectPr w:rsidR="00E26E4A">
          <w:type w:val="continuous"/>
          <w:pgSz w:w="12240" w:h="15840"/>
          <w:pgMar w:top="690" w:right="900" w:bottom="373" w:left="500" w:header="720" w:footer="720" w:gutter="0"/>
          <w:cols w:space="720"/>
        </w:sectPr>
      </w:pPr>
    </w:p>
    <w:p w:rsidR="00E26E4A" w:rsidRDefault="002E33BC">
      <w:pPr>
        <w:ind w:left="-5" w:right="12"/>
      </w:pPr>
      <w:r>
        <w:rPr>
          <w:rFonts w:ascii="Arial" w:eastAsia="Arial" w:hAnsi="Arial" w:cs="Arial"/>
          <w:b/>
          <w:sz w:val="15"/>
        </w:rPr>
        <w:lastRenderedPageBreak/>
        <w:t>ACTION</w:t>
      </w:r>
      <w:r>
        <w:rPr>
          <w:rFonts w:ascii="Arial" w:eastAsia="Arial" w:hAnsi="Arial" w:cs="Arial"/>
          <w:b/>
        </w:rPr>
        <w:t xml:space="preserve">: </w:t>
      </w:r>
      <w:r>
        <w:t xml:space="preserve">Notice of information collection; request for comment. </w:t>
      </w:r>
    </w:p>
    <w:p w:rsidR="00E26E4A" w:rsidRDefault="002E33BC">
      <w:pPr>
        <w:spacing w:after="106" w:line="259" w:lineRule="auto"/>
        <w:ind w:left="0" w:right="0" w:firstLine="0"/>
      </w:pPr>
      <w:r>
        <w:rPr>
          <w:rFonts w:ascii="Calibri" w:eastAsia="Calibri" w:hAnsi="Calibri" w:cs="Calibri"/>
          <w:noProof/>
          <w:sz w:val="22"/>
        </w:rPr>
        <mc:AlternateContent>
          <mc:Choice Requires="wpg">
            <w:drawing>
              <wp:inline distT="0" distB="0" distL="0" distR="0" wp14:anchorId="75CDE64A" wp14:editId="770891E7">
                <wp:extent cx="2133600" cy="3810"/>
                <wp:effectExtent l="0" t="0" r="0" b="0"/>
                <wp:docPr id="6261" name="Group 6261"/>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493" name="Shape 493"/>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261" style="width:168pt;height:0.3pt;mso-position-horizontal-relative:char;mso-position-vertical-relative:line" coordsize="21336,38">
                <v:shape id="Shape 493" style="position:absolute;width:21336;height:0;left:0;top:0;" coordsize="2133600,0" path="m0,0l2133600,0">
                  <v:stroke weight="0.3pt" endcap="flat" joinstyle="miter" miterlimit="10" on="true" color="#000000"/>
                  <v:fill on="false" color="#000000" opacity="0"/>
                </v:shape>
              </v:group>
            </w:pict>
          </mc:Fallback>
        </mc:AlternateContent>
      </w:r>
    </w:p>
    <w:p w:rsidR="00E26E4A" w:rsidRDefault="002E33BC">
      <w:pPr>
        <w:spacing w:after="30"/>
        <w:ind w:left="-5" w:right="12"/>
      </w:pPr>
      <w:r>
        <w:rPr>
          <w:rFonts w:ascii="Arial" w:eastAsia="Arial" w:hAnsi="Arial" w:cs="Arial"/>
          <w:b/>
          <w:sz w:val="15"/>
        </w:rPr>
        <w:lastRenderedPageBreak/>
        <w:t>SUMMARY</w:t>
      </w:r>
      <w:r>
        <w:rPr>
          <w:rFonts w:ascii="Arial" w:eastAsia="Arial" w:hAnsi="Arial" w:cs="Arial"/>
          <w:b/>
        </w:rPr>
        <w:t xml:space="preserve">: </w:t>
      </w:r>
      <w:r>
        <w:t xml:space="preserve">In accordance with the Paperwork Reduction Act of 1995, we, the Bureau of Land Management (BLM), are proposing to </w:t>
      </w:r>
      <w:r>
        <w:lastRenderedPageBreak/>
        <w:t xml:space="preserve">renew an information collection with revisions. </w:t>
      </w:r>
    </w:p>
    <w:p w:rsidR="00E26E4A" w:rsidRDefault="002E33BC">
      <w:pPr>
        <w:spacing w:after="34"/>
        <w:ind w:left="-5" w:right="12"/>
      </w:pPr>
      <w:r>
        <w:rPr>
          <w:rFonts w:ascii="Arial" w:eastAsia="Arial" w:hAnsi="Arial" w:cs="Arial"/>
          <w:b/>
          <w:sz w:val="15"/>
        </w:rPr>
        <w:lastRenderedPageBreak/>
        <w:t>DATES</w:t>
      </w:r>
      <w:r>
        <w:rPr>
          <w:rFonts w:ascii="Arial" w:eastAsia="Arial" w:hAnsi="Arial" w:cs="Arial"/>
          <w:b/>
        </w:rPr>
        <w:t xml:space="preserve">: </w:t>
      </w:r>
      <w:r>
        <w:t xml:space="preserve">Interested persons are invited to submit comments on or before February 26, 2019. </w:t>
      </w:r>
    </w:p>
    <w:p w:rsidR="00E26E4A" w:rsidRDefault="002E33BC">
      <w:pPr>
        <w:ind w:left="-5" w:right="12"/>
      </w:pPr>
      <w:r>
        <w:rPr>
          <w:rFonts w:ascii="Arial" w:eastAsia="Arial" w:hAnsi="Arial" w:cs="Arial"/>
          <w:b/>
          <w:sz w:val="15"/>
        </w:rPr>
        <w:t>ADDRESSES</w:t>
      </w:r>
      <w:r>
        <w:rPr>
          <w:rFonts w:ascii="Arial" w:eastAsia="Arial" w:hAnsi="Arial" w:cs="Arial"/>
          <w:b/>
        </w:rPr>
        <w:t xml:space="preserve">: </w:t>
      </w:r>
      <w:r>
        <w:t xml:space="preserve">Send your comments on this information collection request (ICR) by mail to the U.S. Department of the Interior, Bureau of Land Management, </w:t>
      </w:r>
    </w:p>
    <w:p w:rsidR="00E26E4A" w:rsidRDefault="002E33BC">
      <w:pPr>
        <w:ind w:left="-5" w:right="12"/>
      </w:pPr>
      <w:r>
        <w:t xml:space="preserve">1849 C Street NW, Room 2134LM, </w:t>
      </w:r>
    </w:p>
    <w:p w:rsidR="00E26E4A" w:rsidRDefault="002E33BC">
      <w:pPr>
        <w:spacing w:after="50"/>
        <w:ind w:left="-5" w:right="12"/>
      </w:pPr>
      <w:r>
        <w:t xml:space="preserve">Washington, DC 20240, Attention: Jean Sonneman; or by email to </w:t>
      </w:r>
      <w:r>
        <w:rPr>
          <w:i/>
        </w:rPr>
        <w:t xml:space="preserve">jesonnem@ blm.gov. </w:t>
      </w:r>
      <w:r>
        <w:t xml:space="preserve">Please reference OMB Control Number 1004–0058 in the subject line of your comments. </w:t>
      </w:r>
    </w:p>
    <w:p w:rsidR="00E26E4A" w:rsidRDefault="002E33BC">
      <w:pPr>
        <w:spacing w:after="49"/>
        <w:ind w:left="-5" w:right="12"/>
      </w:pPr>
      <w:r>
        <w:rPr>
          <w:rFonts w:ascii="Arial" w:eastAsia="Arial" w:hAnsi="Arial" w:cs="Arial"/>
          <w:b/>
          <w:sz w:val="15"/>
        </w:rPr>
        <w:t>FOR FURTHER INFORMATION CONTACT</w:t>
      </w:r>
      <w:r>
        <w:rPr>
          <w:rFonts w:ascii="Arial" w:eastAsia="Arial" w:hAnsi="Arial" w:cs="Arial"/>
          <w:b/>
        </w:rPr>
        <w:t xml:space="preserve">: </w:t>
      </w:r>
      <w:r>
        <w:t xml:space="preserve">To request additional information about this ICR, contact Christian Schumacher by email at </w:t>
      </w:r>
      <w:r>
        <w:rPr>
          <w:i/>
        </w:rPr>
        <w:t xml:space="preserve">c1schuma@blm.gov, </w:t>
      </w:r>
      <w:r>
        <w:t xml:space="preserve">or by telephone at 202–912–7433. </w:t>
      </w:r>
    </w:p>
    <w:p w:rsidR="00E26E4A" w:rsidRDefault="002E33BC">
      <w:pPr>
        <w:ind w:left="-5" w:right="12"/>
      </w:pPr>
      <w:r>
        <w:rPr>
          <w:rFonts w:ascii="Arial" w:eastAsia="Arial" w:hAnsi="Arial" w:cs="Arial"/>
          <w:b/>
          <w:sz w:val="15"/>
        </w:rPr>
        <w:t>SUPPLEMENTARY INFORMATION</w:t>
      </w:r>
      <w:r>
        <w:rPr>
          <w:rFonts w:ascii="Arial" w:eastAsia="Arial" w:hAnsi="Arial" w:cs="Arial"/>
          <w:b/>
        </w:rPr>
        <w:t xml:space="preserve">: </w:t>
      </w:r>
      <w:r>
        <w:t xml:space="preserve">In accordance with the Paperwork Reduction Act of 1995, we provide the general public and other Federal agencies with an opportunity to comment on new, proposed, revised, and continuing collections of information. This helps us assess the impact of our information collection requirements and minimize the public’s reporting burden. It also helps the public understand our information collection requirements and provide the requested data in the desired format. We are soliciting comments on the proposed ICR that is described below. We are especially interested in public comments addressing the following issues: (1) Is the collection necessary to the proper functions of the BLM; (2) will this information be processed and used in a timely manner; (3) is the estimate of burden accurate; (4) how might the BLM enhance the quality, utility, and clarity of the information to be collected; and (5) how might the BLM minimize the burden of this collection on the respondents, including through the use of information technology. </w:t>
      </w:r>
    </w:p>
    <w:p w:rsidR="00E26E4A" w:rsidRDefault="002E33BC">
      <w:pPr>
        <w:ind w:left="-15" w:right="12" w:firstLine="180"/>
      </w:pPr>
      <w:r>
        <w:t xml:space="preserve">Comments that you submit in response to this notice are a matter of public record. We will include or summarize each comment in our request to OMB to approve this ICR. Before including your address, phone number, email address, or other personal identifying information in your comment, you should be aware that your entire comment—including your personal identifying information—may be made publicly available at any time. While you can ask us in your comment to withhold your personal identifying information from public review, we cannot guarantee that we will be able to do so. </w:t>
      </w:r>
    </w:p>
    <w:p w:rsidR="00E26E4A" w:rsidRDefault="002E33BC">
      <w:pPr>
        <w:ind w:left="-15" w:right="12" w:firstLine="180"/>
      </w:pPr>
      <w:r>
        <w:rPr>
          <w:i/>
        </w:rPr>
        <w:t xml:space="preserve">Abstract: </w:t>
      </w:r>
      <w:r>
        <w:t xml:space="preserve">Control number 1004–0058, as currently approved, authorizes the collection </w:t>
      </w:r>
      <w:r>
        <w:lastRenderedPageBreak/>
        <w:t xml:space="preserve">of information that assists the BLM in enforcing timber export and substitution prohibitions. </w:t>
      </w:r>
    </w:p>
    <w:p w:rsidR="00E26E4A" w:rsidRDefault="002E33BC">
      <w:pPr>
        <w:ind w:left="-15" w:right="12" w:firstLine="180"/>
      </w:pPr>
      <w:r>
        <w:t xml:space="preserve">The BLM now requests that control number 1004–0058 be renewed and revised by adding 2 information collection activities that have been in use without a control number. </w:t>
      </w:r>
    </w:p>
    <w:p w:rsidR="00E26E4A" w:rsidRDefault="002E33BC">
      <w:pPr>
        <w:ind w:left="190" w:right="12"/>
      </w:pPr>
      <w:r>
        <w:t xml:space="preserve">One addition, ‘‘Log Scale and </w:t>
      </w:r>
    </w:p>
    <w:p w:rsidR="00E26E4A" w:rsidRDefault="002E33BC">
      <w:pPr>
        <w:ind w:left="-5" w:right="12"/>
      </w:pPr>
      <w:r>
        <w:t xml:space="preserve">Disposition of Timber Removed Report,’’ requires purchasers of Federal timber to report volumes of timber removed from Federal lands, and to identify processors of timber. Like the previously approved information collection activities, this activity assists the BLM in enforcing timber export and substitution prohibitions. </w:t>
      </w:r>
    </w:p>
    <w:p w:rsidR="00E26E4A" w:rsidRDefault="002E33BC">
      <w:pPr>
        <w:ind w:left="-15" w:right="12" w:firstLine="180"/>
      </w:pPr>
      <w:r>
        <w:t xml:space="preserve">The other addition, ‘‘Protests,’’ provides an opportunity to seek administrative remedies for forest management decisions. </w:t>
      </w:r>
    </w:p>
    <w:p w:rsidR="00E26E4A" w:rsidRDefault="002E33BC">
      <w:pPr>
        <w:spacing w:after="0" w:line="229" w:lineRule="auto"/>
        <w:ind w:left="190" w:right="102"/>
      </w:pPr>
      <w:r>
        <w:rPr>
          <w:i/>
        </w:rPr>
        <w:t xml:space="preserve">Title of Collection: </w:t>
      </w:r>
      <w:r>
        <w:t xml:space="preserve">Forest </w:t>
      </w:r>
    </w:p>
    <w:p w:rsidR="00E26E4A" w:rsidRDefault="002E33BC">
      <w:pPr>
        <w:ind w:left="-5" w:right="12"/>
      </w:pPr>
      <w:r>
        <w:t xml:space="preserve">Management Decision Protest Process and Log Export and Substitution. </w:t>
      </w:r>
    </w:p>
    <w:p w:rsidR="00E26E4A" w:rsidRDefault="002E33BC">
      <w:pPr>
        <w:spacing w:after="0" w:line="229" w:lineRule="auto"/>
        <w:ind w:left="190" w:right="102"/>
      </w:pPr>
      <w:r>
        <w:rPr>
          <w:i/>
        </w:rPr>
        <w:t xml:space="preserve">OMB Control Number: </w:t>
      </w:r>
      <w:r>
        <w:t xml:space="preserve">1004–0058. </w:t>
      </w:r>
    </w:p>
    <w:p w:rsidR="00E26E4A" w:rsidRDefault="002E33BC">
      <w:pPr>
        <w:ind w:left="-15" w:right="12" w:firstLine="18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ED22FD9" wp14:editId="00826516">
                <wp:simplePos x="0" y="0"/>
                <wp:positionH relativeFrom="page">
                  <wp:posOffset>233807</wp:posOffset>
                </wp:positionH>
                <wp:positionV relativeFrom="page">
                  <wp:posOffset>8457120</wp:posOffset>
                </wp:positionV>
                <wp:extent cx="58738" cy="1372680"/>
                <wp:effectExtent l="0" t="0" r="0" b="0"/>
                <wp:wrapSquare wrapText="bothSides"/>
                <wp:docPr id="6263" name="Group 6263"/>
                <wp:cNvGraphicFramePr/>
                <a:graphic xmlns:a="http://schemas.openxmlformats.org/drawingml/2006/main">
                  <a:graphicData uri="http://schemas.microsoft.com/office/word/2010/wordprocessingGroup">
                    <wpg:wgp>
                      <wpg:cNvGrpSpPr/>
                      <wpg:grpSpPr>
                        <a:xfrm>
                          <a:off x="0" y="0"/>
                          <a:ext cx="58738" cy="1372680"/>
                          <a:chOff x="0" y="0"/>
                          <a:chExt cx="58738" cy="1372680"/>
                        </a:xfrm>
                      </wpg:grpSpPr>
                      <wps:wsp>
                        <wps:cNvPr id="737" name="Rectangle 737"/>
                        <wps:cNvSpPr/>
                        <wps:spPr>
                          <a:xfrm rot="-5399999">
                            <a:off x="-873771" y="420788"/>
                            <a:ext cx="1825664" cy="78121"/>
                          </a:xfrm>
                          <a:prstGeom prst="rect">
                            <a:avLst/>
                          </a:prstGeom>
                          <a:ln>
                            <a:noFill/>
                          </a:ln>
                        </wps:spPr>
                        <wps:txbx>
                          <w:txbxContent>
                            <w:p w:rsidR="00E26E4A" w:rsidRDefault="002E33BC">
                              <w:pPr>
                                <w:spacing w:after="160" w:line="259" w:lineRule="auto"/>
                                <w:ind w:left="0" w:right="0" w:firstLine="0"/>
                              </w:pPr>
                              <w:r>
                                <w:rPr>
                                  <w:rFonts w:ascii="Arial" w:eastAsia="Arial" w:hAnsi="Arial" w:cs="Arial"/>
                                  <w:color w:val="FFFFFF"/>
                                  <w:sz w:val="10"/>
                                </w:rPr>
                                <w:t>amozie on DSK3GDR082PROD with NOTICES1</w:t>
                              </w:r>
                            </w:p>
                          </w:txbxContent>
                        </wps:txbx>
                        <wps:bodyPr horzOverflow="overflow" vert="horz" lIns="0" tIns="0" rIns="0" bIns="0" rtlCol="0">
                          <a:noAutofit/>
                        </wps:bodyPr>
                      </wps:wsp>
                    </wpg:wgp>
                  </a:graphicData>
                </a:graphic>
              </wp:anchor>
            </w:drawing>
          </mc:Choice>
          <mc:Fallback>
            <w:pict>
              <v:group id="Group 6263" o:spid="_x0000_s1028" style="position:absolute;left:0;text-align:left;margin-left:18.4pt;margin-top:665.9pt;width:4.65pt;height:108.1pt;z-index:251659264;mso-position-horizontal-relative:page;mso-position-vertical-relative:page" coordsize="587,1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">
                <v:rect id="Rectangle 737" o:spid="_x0000_s1029" style="position:absolute;left:-8737;top:4208;width:18255;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158YA&#10;AADcAAAADwAAAGRycy9kb3ducmV2LnhtbESPT2vCQBTE74V+h+UVeqsbrTQlZiNFkHhRqLbi8Zl9&#10;+UOzb2N21fjtuwWhx2FmfsOk88G04kK9aywrGI8iEMSF1Q1XCr52y5d3EM4ja2wtk4IbOZhnjw8p&#10;Jtpe+ZMuW1+JAGGXoILa+y6R0hU1GXQj2xEHr7S9QR9kX0nd4zXATSsnUfQmDTYcFmrsaFFT8bM9&#10;GwXf4915n7vNkQ/lKZ6ufb4pq1yp56fhYwbC0+D/w/f2SiuIX2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Q158YAAADcAAAADwAAAAAAAAAAAAAAAACYAgAAZHJz&#10;L2Rvd25yZXYueG1sUEsFBgAAAAAEAAQA9QAAAIsDAAAAAA==&#10;" filled="f" stroked="f">
                  <v:textbox inset="0,0,0,0">
                    <w:txbxContent>
                      <w:p w:rsidR="00E26E4A" w:rsidRDefault="002E33BC">
                        <w:pPr>
                          <w:spacing w:after="160" w:line="259" w:lineRule="auto"/>
                          <w:ind w:left="0" w:right="0" w:firstLine="0"/>
                        </w:pPr>
                        <w:r>
                          <w:rPr>
                            <w:rFonts w:ascii="Arial" w:eastAsia="Arial" w:hAnsi="Arial" w:cs="Arial"/>
                            <w:color w:val="FFFFFF"/>
                            <w:sz w:val="10"/>
                          </w:rPr>
                          <w:t>amozie on DSK3GDR082PROD with NOTICES1</w:t>
                        </w:r>
                      </w:p>
                    </w:txbxContent>
                  </v:textbox>
                </v:rect>
                <w10:wrap type="square" anchorx="page" anchory="page"/>
              </v:group>
            </w:pict>
          </mc:Fallback>
        </mc:AlternateContent>
      </w:r>
      <w:r>
        <w:rPr>
          <w:i/>
        </w:rPr>
        <w:t xml:space="preserve">Form Numbers: </w:t>
      </w:r>
      <w:r>
        <w:t xml:space="preserve">5450–17, 5460–15, and 5460–17. </w:t>
      </w:r>
    </w:p>
    <w:p w:rsidR="00E26E4A" w:rsidRDefault="002E33BC">
      <w:pPr>
        <w:ind w:left="-15" w:right="12" w:firstLine="180"/>
      </w:pPr>
      <w:r>
        <w:rPr>
          <w:i/>
        </w:rPr>
        <w:t xml:space="preserve">Type of Review: </w:t>
      </w:r>
      <w:r>
        <w:t xml:space="preserve">Revision of a currently approved collection. </w:t>
      </w:r>
    </w:p>
    <w:p w:rsidR="00E26E4A" w:rsidRDefault="002E33BC">
      <w:pPr>
        <w:ind w:left="-15" w:right="12" w:firstLine="180"/>
      </w:pPr>
      <w:r>
        <w:rPr>
          <w:i/>
        </w:rPr>
        <w:t xml:space="preserve">Respondents/Affected Public: </w:t>
      </w:r>
      <w:r>
        <w:t xml:space="preserve">Purchasers of Federal timber, their affiliates, and any person who wishes to protest a BLM forest management decision. </w:t>
      </w:r>
      <w:r>
        <w:rPr>
          <w:i/>
        </w:rPr>
        <w:t xml:space="preserve">Total Estimated Number of Annual Respondents: </w:t>
      </w:r>
      <w:r>
        <w:t xml:space="preserve">325. </w:t>
      </w:r>
      <w:r>
        <w:rPr>
          <w:i/>
        </w:rPr>
        <w:t xml:space="preserve">Total Estimated Number of Annual Responses: </w:t>
      </w:r>
      <w:r>
        <w:t xml:space="preserve">325. </w:t>
      </w:r>
    </w:p>
    <w:p w:rsidR="00E26E4A" w:rsidRDefault="002E33BC">
      <w:pPr>
        <w:spacing w:after="0" w:line="229" w:lineRule="auto"/>
        <w:ind w:left="-15" w:right="102" w:firstLine="180"/>
      </w:pPr>
      <w:r>
        <w:rPr>
          <w:i/>
        </w:rPr>
        <w:t xml:space="preserve">Estimated Completion Time per Response: </w:t>
      </w:r>
      <w:r>
        <w:t xml:space="preserve">Varies from 1 to 10 hours, depending on activity. </w:t>
      </w:r>
      <w:r>
        <w:rPr>
          <w:i/>
        </w:rPr>
        <w:t xml:space="preserve">Total Estimated Number of Annual Burden Hours: </w:t>
      </w:r>
      <w:r>
        <w:t xml:space="preserve">550. </w:t>
      </w:r>
      <w:r>
        <w:rPr>
          <w:i/>
        </w:rPr>
        <w:t xml:space="preserve">Respondent’s Obligation: </w:t>
      </w:r>
      <w:r>
        <w:t xml:space="preserve">Required to Obtain or Retain a Benefit. </w:t>
      </w:r>
    </w:p>
    <w:p w:rsidR="00E26E4A" w:rsidRDefault="002E33BC">
      <w:pPr>
        <w:spacing w:after="0" w:line="259" w:lineRule="auto"/>
        <w:ind w:left="0" w:right="77" w:firstLine="0"/>
        <w:jc w:val="right"/>
      </w:pPr>
      <w:r>
        <w:rPr>
          <w:i/>
        </w:rPr>
        <w:t xml:space="preserve">Frequency of Collection: </w:t>
      </w:r>
      <w:r>
        <w:t xml:space="preserve">On occasion. </w:t>
      </w:r>
    </w:p>
    <w:p w:rsidR="00E26E4A" w:rsidRDefault="002E33BC">
      <w:pPr>
        <w:spacing w:after="0" w:line="229" w:lineRule="auto"/>
        <w:ind w:left="-15" w:right="102" w:firstLine="180"/>
      </w:pPr>
      <w:r>
        <w:rPr>
          <w:i/>
        </w:rPr>
        <w:t xml:space="preserve">Total Estimated Annual Nonhour Burden Cost: </w:t>
      </w:r>
      <w:r>
        <w:t xml:space="preserve">$0. </w:t>
      </w:r>
    </w:p>
    <w:p w:rsidR="00E26E4A" w:rsidRDefault="002E33BC">
      <w:pPr>
        <w:ind w:left="-15" w:right="12" w:firstLine="180"/>
      </w:pPr>
      <w:r>
        <w:t xml:space="preserve">An agency may not conduct or sponsor, and a person is not required to respond to, a collection of information unless it displays a currently valid OMB control number. </w:t>
      </w:r>
    </w:p>
    <w:p w:rsidR="00E26E4A" w:rsidRDefault="002E33BC">
      <w:pPr>
        <w:spacing w:after="96"/>
        <w:ind w:left="-15" w:right="287" w:firstLine="180"/>
      </w:pPr>
      <w:r>
        <w:t xml:space="preserve">The authority for this action is the Paperwork Reduction Act of 1995 (44 U.S.C. 3501 </w:t>
      </w:r>
      <w:r>
        <w:rPr>
          <w:i/>
        </w:rPr>
        <w:t>et seq</w:t>
      </w:r>
      <w:r>
        <w:t xml:space="preserve">). </w:t>
      </w:r>
    </w:p>
    <w:p w:rsidR="00E26E4A" w:rsidRDefault="002E33BC">
      <w:pPr>
        <w:pStyle w:val="Heading2"/>
        <w:ind w:left="-5"/>
      </w:pPr>
      <w:r>
        <w:t xml:space="preserve">Jean Sonneman, </w:t>
      </w:r>
    </w:p>
    <w:p w:rsidR="00E26E4A" w:rsidRDefault="002E33BC">
      <w:pPr>
        <w:spacing w:after="39" w:line="233" w:lineRule="auto"/>
        <w:ind w:left="-5" w:right="0"/>
      </w:pPr>
      <w:r>
        <w:rPr>
          <w:i/>
          <w:sz w:val="16"/>
        </w:rPr>
        <w:t xml:space="preserve">Information Collection Clearance Officer, Bureau of Land Management. </w:t>
      </w:r>
    </w:p>
    <w:p w:rsidR="00E26E4A" w:rsidRDefault="002E33BC">
      <w:pPr>
        <w:spacing w:after="45" w:line="259" w:lineRule="auto"/>
        <w:ind w:left="-5" w:right="0"/>
      </w:pPr>
      <w:r>
        <w:rPr>
          <w:sz w:val="14"/>
        </w:rPr>
        <w:t xml:space="preserve">[FR Doc. 2018–28288 Filed 12–27–18; 8:45 am] </w:t>
      </w:r>
    </w:p>
    <w:p w:rsidR="00E26E4A" w:rsidRDefault="002E33BC">
      <w:pPr>
        <w:spacing w:after="29" w:line="259" w:lineRule="auto"/>
        <w:ind w:left="-5" w:right="0"/>
      </w:pPr>
      <w:r>
        <w:rPr>
          <w:rFonts w:ascii="Arial" w:eastAsia="Arial" w:hAnsi="Arial" w:cs="Arial"/>
          <w:b/>
          <w:sz w:val="12"/>
        </w:rPr>
        <w:t xml:space="preserve">BILLING CODE 4310–84–P </w:t>
      </w:r>
    </w:p>
    <w:p w:rsidR="00E26E4A" w:rsidRDefault="002E33BC">
      <w:pPr>
        <w:spacing w:after="140" w:line="259" w:lineRule="auto"/>
        <w:ind w:left="-5" w:right="0"/>
      </w:pPr>
      <w:r>
        <w:rPr>
          <w:rFonts w:ascii="Arial" w:eastAsia="Arial" w:hAnsi="Arial" w:cs="Arial"/>
          <w:b/>
        </w:rPr>
        <w:t xml:space="preserve">DEPARTMENT OF THE INTERIOR </w:t>
      </w:r>
    </w:p>
    <w:p w:rsidR="00E26E4A" w:rsidRDefault="002E33BC">
      <w:pPr>
        <w:spacing w:after="140" w:line="259" w:lineRule="auto"/>
        <w:ind w:left="-5" w:right="0"/>
      </w:pPr>
      <w:r>
        <w:rPr>
          <w:rFonts w:ascii="Arial" w:eastAsia="Arial" w:hAnsi="Arial" w:cs="Arial"/>
          <w:b/>
        </w:rPr>
        <w:t xml:space="preserve">National Park Service </w:t>
      </w:r>
    </w:p>
    <w:p w:rsidR="00E26E4A" w:rsidRDefault="002E33BC">
      <w:pPr>
        <w:spacing w:after="16" w:line="235" w:lineRule="auto"/>
        <w:ind w:left="-5" w:right="0"/>
      </w:pPr>
      <w:r>
        <w:rPr>
          <w:rFonts w:ascii="Arial" w:eastAsia="Arial" w:hAnsi="Arial" w:cs="Arial"/>
          <w:b/>
          <w:sz w:val="16"/>
        </w:rPr>
        <w:t xml:space="preserve">[NPS–WASO–NAGPRA–26990; </w:t>
      </w:r>
    </w:p>
    <w:p w:rsidR="00E26E4A" w:rsidRDefault="002E33BC">
      <w:pPr>
        <w:spacing w:after="179" w:line="235" w:lineRule="auto"/>
        <w:ind w:left="-5" w:right="0"/>
      </w:pPr>
      <w:r>
        <w:rPr>
          <w:rFonts w:ascii="Arial" w:eastAsia="Arial" w:hAnsi="Arial" w:cs="Arial"/>
          <w:b/>
          <w:sz w:val="16"/>
        </w:rPr>
        <w:t xml:space="preserve">PPWOCRADN0–PCU00RP15.R50000] </w:t>
      </w:r>
    </w:p>
    <w:p w:rsidR="00E26E4A" w:rsidRDefault="002E33BC">
      <w:pPr>
        <w:spacing w:after="105" w:line="259" w:lineRule="auto"/>
        <w:ind w:left="-5" w:right="0"/>
      </w:pPr>
      <w:r>
        <w:rPr>
          <w:rFonts w:ascii="Arial" w:eastAsia="Arial" w:hAnsi="Arial" w:cs="Arial"/>
          <w:b/>
        </w:rPr>
        <w:lastRenderedPageBreak/>
        <w:t xml:space="preserve">Native American Graves Protection and Repatriation Review Committee: Notice of Nomination Solicitation </w:t>
      </w:r>
    </w:p>
    <w:p w:rsidR="00E26E4A" w:rsidRDefault="002E33BC">
      <w:pPr>
        <w:spacing w:after="37"/>
        <w:ind w:left="-5" w:right="12"/>
      </w:pPr>
      <w:r>
        <w:rPr>
          <w:rFonts w:ascii="Arial" w:eastAsia="Arial" w:hAnsi="Arial" w:cs="Arial"/>
          <w:b/>
          <w:sz w:val="15"/>
        </w:rPr>
        <w:t>AGENCY</w:t>
      </w:r>
      <w:r>
        <w:rPr>
          <w:rFonts w:ascii="Arial" w:eastAsia="Arial" w:hAnsi="Arial" w:cs="Arial"/>
          <w:b/>
        </w:rPr>
        <w:t xml:space="preserve">: </w:t>
      </w:r>
      <w:r>
        <w:t xml:space="preserve">National Park Service, Interior. </w:t>
      </w:r>
      <w:r>
        <w:rPr>
          <w:rFonts w:ascii="Arial" w:eastAsia="Arial" w:hAnsi="Arial" w:cs="Arial"/>
          <w:b/>
          <w:sz w:val="15"/>
        </w:rPr>
        <w:t>ACTION</w:t>
      </w:r>
      <w:r>
        <w:rPr>
          <w:rFonts w:ascii="Arial" w:eastAsia="Arial" w:hAnsi="Arial" w:cs="Arial"/>
          <w:b/>
        </w:rPr>
        <w:t xml:space="preserve">: </w:t>
      </w:r>
      <w:r>
        <w:t xml:space="preserve">Request for nominations. </w:t>
      </w:r>
    </w:p>
    <w:p w:rsidR="00E26E4A" w:rsidRDefault="002E33BC">
      <w:pPr>
        <w:spacing w:after="115" w:line="259" w:lineRule="auto"/>
        <w:ind w:left="0" w:right="-5" w:firstLine="0"/>
      </w:pPr>
      <w:r>
        <w:rPr>
          <w:rFonts w:ascii="Calibri" w:eastAsia="Calibri" w:hAnsi="Calibri" w:cs="Calibri"/>
          <w:noProof/>
          <w:sz w:val="22"/>
        </w:rPr>
        <mc:AlternateContent>
          <mc:Choice Requires="wpg">
            <w:drawing>
              <wp:inline distT="0" distB="0" distL="0" distR="0" wp14:anchorId="256CBAE3" wp14:editId="574A4B4A">
                <wp:extent cx="2133600" cy="3810"/>
                <wp:effectExtent l="0" t="0" r="0" b="0"/>
                <wp:docPr id="6262" name="Group 6262"/>
                <wp:cNvGraphicFramePr/>
                <a:graphic xmlns:a="http://schemas.openxmlformats.org/drawingml/2006/main">
                  <a:graphicData uri="http://schemas.microsoft.com/office/word/2010/wordprocessingGroup">
                    <wpg:wgp>
                      <wpg:cNvGrpSpPr/>
                      <wpg:grpSpPr>
                        <a:xfrm>
                          <a:off x="0" y="0"/>
                          <a:ext cx="2133600" cy="3810"/>
                          <a:chOff x="0" y="0"/>
                          <a:chExt cx="2133600" cy="3810"/>
                        </a:xfrm>
                      </wpg:grpSpPr>
                      <wps:wsp>
                        <wps:cNvPr id="668" name="Shape 668"/>
                        <wps:cNvSpPr/>
                        <wps:spPr>
                          <a:xfrm>
                            <a:off x="0" y="0"/>
                            <a:ext cx="2133600" cy="0"/>
                          </a:xfrm>
                          <a:custGeom>
                            <a:avLst/>
                            <a:gdLst/>
                            <a:ahLst/>
                            <a:cxnLst/>
                            <a:rect l="0" t="0" r="0" b="0"/>
                            <a:pathLst>
                              <a:path w="2133600">
                                <a:moveTo>
                                  <a:pt x="0" y="0"/>
                                </a:moveTo>
                                <a:lnTo>
                                  <a:pt x="2133600" y="0"/>
                                </a:ln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262" style="width:168pt;height:0.3pt;mso-position-horizontal-relative:char;mso-position-vertical-relative:line" coordsize="21336,38">
                <v:shape id="Shape 668" style="position:absolute;width:21336;height:0;left:0;top:0;" coordsize="2133600,0" path="m0,0l2133600,0">
                  <v:stroke weight="0.3pt" endcap="flat" joinstyle="miter" miterlimit="10" on="true" color="#000000"/>
                  <v:fill on="false" color="#000000" opacity="0"/>
                </v:shape>
              </v:group>
            </w:pict>
          </mc:Fallback>
        </mc:AlternateContent>
      </w:r>
    </w:p>
    <w:p w:rsidR="00E26E4A" w:rsidRDefault="002E33BC">
      <w:pPr>
        <w:ind w:left="-5" w:right="12"/>
      </w:pPr>
      <w:r>
        <w:rPr>
          <w:rFonts w:ascii="Arial" w:eastAsia="Arial" w:hAnsi="Arial" w:cs="Arial"/>
          <w:b/>
          <w:sz w:val="15"/>
        </w:rPr>
        <w:t>SUMMARY</w:t>
      </w:r>
      <w:r>
        <w:rPr>
          <w:rFonts w:ascii="Arial" w:eastAsia="Arial" w:hAnsi="Arial" w:cs="Arial"/>
          <w:b/>
        </w:rPr>
        <w:t xml:space="preserve">: </w:t>
      </w:r>
      <w:r>
        <w:t xml:space="preserve">The National Park Service is soliciting nominations for one member of the Native American Graves Protection and Repatriation Review </w:t>
      </w:r>
    </w:p>
    <w:p w:rsidR="00E26E4A" w:rsidRDefault="002E33BC">
      <w:pPr>
        <w:spacing w:after="80"/>
        <w:ind w:left="-5" w:right="12"/>
      </w:pPr>
      <w:r>
        <w:t xml:space="preserve">Committee (Review Committee). The Secretary of the Interior will appoint one member from nominations submitted by Indian tribes, Native Hawaiian organizations, or traditional Native American religious leaders. The nominee must be a traditional Indian religious leader. The Review Committee was established by the Native American Graves Protection and Repatriation Act of 1990 (NAGPRA), and is regulated by the Federal Advisory Committee Act (FACA). </w:t>
      </w:r>
    </w:p>
    <w:p w:rsidR="00E26E4A" w:rsidRDefault="002E33BC">
      <w:pPr>
        <w:spacing w:after="45"/>
        <w:ind w:left="-5" w:right="12"/>
      </w:pPr>
      <w:r>
        <w:rPr>
          <w:rFonts w:ascii="Arial" w:eastAsia="Arial" w:hAnsi="Arial" w:cs="Arial"/>
          <w:b/>
          <w:sz w:val="15"/>
        </w:rPr>
        <w:t>DATES</w:t>
      </w:r>
      <w:r>
        <w:rPr>
          <w:rFonts w:ascii="Arial" w:eastAsia="Arial" w:hAnsi="Arial" w:cs="Arial"/>
          <w:b/>
        </w:rPr>
        <w:t xml:space="preserve">: </w:t>
      </w:r>
      <w:r>
        <w:t xml:space="preserve">Nominations must be received by March 28, 2019. </w:t>
      </w:r>
    </w:p>
    <w:p w:rsidR="00E26E4A" w:rsidRDefault="002E33BC">
      <w:pPr>
        <w:ind w:left="-5" w:right="12"/>
      </w:pPr>
      <w:r>
        <w:rPr>
          <w:rFonts w:ascii="Arial" w:eastAsia="Arial" w:hAnsi="Arial" w:cs="Arial"/>
          <w:b/>
          <w:sz w:val="15"/>
        </w:rPr>
        <w:t>ADDRESSES</w:t>
      </w:r>
      <w:r>
        <w:rPr>
          <w:rFonts w:ascii="Arial" w:eastAsia="Arial" w:hAnsi="Arial" w:cs="Arial"/>
          <w:b/>
        </w:rPr>
        <w:t xml:space="preserve">: </w:t>
      </w:r>
      <w:r>
        <w:t xml:space="preserve">Melanie O’Brien, Designated Federal Officer, Native </w:t>
      </w:r>
    </w:p>
    <w:p w:rsidR="00E26E4A" w:rsidRDefault="002E33BC">
      <w:pPr>
        <w:ind w:left="-5" w:right="12"/>
      </w:pPr>
      <w:r>
        <w:t xml:space="preserve">American Graves Protection and Repatriation Review Committee, </w:t>
      </w:r>
    </w:p>
    <w:p w:rsidR="00E26E4A" w:rsidRDefault="002E33BC">
      <w:pPr>
        <w:ind w:left="-5" w:right="12"/>
      </w:pPr>
      <w:r>
        <w:t xml:space="preserve">National NAGPRA Program (2253), </w:t>
      </w:r>
    </w:p>
    <w:p w:rsidR="00E26E4A" w:rsidRDefault="002E33BC">
      <w:pPr>
        <w:ind w:left="-5" w:right="12"/>
      </w:pPr>
      <w:r>
        <w:t xml:space="preserve">National Park Service, 1849 C Street </w:t>
      </w:r>
    </w:p>
    <w:p w:rsidR="00E26E4A" w:rsidRDefault="002E33BC">
      <w:pPr>
        <w:spacing w:after="73"/>
        <w:ind w:left="-5" w:right="12"/>
      </w:pPr>
      <w:r>
        <w:t xml:space="preserve">NW, Room 7360, Washington, DC 20240, (202) 354–2201 or via email </w:t>
      </w:r>
      <w:r>
        <w:rPr>
          <w:i/>
        </w:rPr>
        <w:t>nagpra</w:t>
      </w:r>
      <w:r>
        <w:rPr>
          <w:rFonts w:ascii="Segoe UI Symbol" w:eastAsia="Segoe UI Symbol" w:hAnsi="Segoe UI Symbol" w:cs="Segoe UI Symbol"/>
        </w:rPr>
        <w:t>_</w:t>
      </w:r>
      <w:r>
        <w:rPr>
          <w:i/>
        </w:rPr>
        <w:t xml:space="preserve">info@nps.gov. </w:t>
      </w:r>
    </w:p>
    <w:p w:rsidR="00E26E4A" w:rsidRDefault="002E33BC">
      <w:pPr>
        <w:ind w:left="-5" w:right="12"/>
      </w:pPr>
      <w:r>
        <w:rPr>
          <w:rFonts w:ascii="Arial" w:eastAsia="Arial" w:hAnsi="Arial" w:cs="Arial"/>
          <w:b/>
          <w:sz w:val="15"/>
        </w:rPr>
        <w:t>FOR FURTHER INFORMATION CONTACT</w:t>
      </w:r>
      <w:r>
        <w:rPr>
          <w:rFonts w:ascii="Arial" w:eastAsia="Arial" w:hAnsi="Arial" w:cs="Arial"/>
          <w:b/>
        </w:rPr>
        <w:t xml:space="preserve">: </w:t>
      </w:r>
      <w:r>
        <w:t xml:space="preserve">Melanie O’Brien, Designated Federal </w:t>
      </w:r>
    </w:p>
    <w:p w:rsidR="00E26E4A" w:rsidRDefault="002E33BC">
      <w:pPr>
        <w:ind w:left="-5" w:right="12"/>
      </w:pPr>
      <w:r>
        <w:t xml:space="preserve">Officer, Native American Graves </w:t>
      </w:r>
    </w:p>
    <w:p w:rsidR="00E26E4A" w:rsidRDefault="002E33BC">
      <w:pPr>
        <w:ind w:left="-5" w:right="12"/>
      </w:pPr>
      <w:r>
        <w:t xml:space="preserve">Protection and Repatriation Review </w:t>
      </w:r>
    </w:p>
    <w:p w:rsidR="00E26E4A" w:rsidRDefault="002E33BC">
      <w:pPr>
        <w:ind w:left="-5" w:right="12"/>
      </w:pPr>
      <w:r>
        <w:t xml:space="preserve">Committee, National NAGPRA Program </w:t>
      </w:r>
    </w:p>
    <w:p w:rsidR="00E26E4A" w:rsidRDefault="002E33BC">
      <w:pPr>
        <w:ind w:left="-5" w:right="12"/>
      </w:pPr>
      <w:r>
        <w:t xml:space="preserve">(2253), National Park Service, 1849 C </w:t>
      </w:r>
    </w:p>
    <w:p w:rsidR="00E26E4A" w:rsidRDefault="002E33BC">
      <w:pPr>
        <w:spacing w:after="34"/>
        <w:ind w:left="-5" w:right="12"/>
      </w:pPr>
      <w:r>
        <w:t xml:space="preserve">Street NW, Room 7360, Washington, DC 20240, (202) 354–2201 or via email </w:t>
      </w:r>
      <w:r>
        <w:rPr>
          <w:i/>
        </w:rPr>
        <w:t>nagpra</w:t>
      </w:r>
      <w:r>
        <w:rPr>
          <w:rFonts w:ascii="Segoe UI Symbol" w:eastAsia="Segoe UI Symbol" w:hAnsi="Segoe UI Symbol" w:cs="Segoe UI Symbol"/>
        </w:rPr>
        <w:t>_</w:t>
      </w:r>
      <w:r>
        <w:rPr>
          <w:i/>
        </w:rPr>
        <w:t xml:space="preserve">info@nps.gov. </w:t>
      </w:r>
    </w:p>
    <w:p w:rsidR="00E26E4A" w:rsidRDefault="002E33BC">
      <w:pPr>
        <w:ind w:left="-5" w:right="12"/>
      </w:pPr>
      <w:r>
        <w:rPr>
          <w:rFonts w:ascii="Arial" w:eastAsia="Arial" w:hAnsi="Arial" w:cs="Arial"/>
          <w:b/>
          <w:sz w:val="15"/>
        </w:rPr>
        <w:t>SUPPLEMENTARY INFORMATION</w:t>
      </w:r>
      <w:r>
        <w:rPr>
          <w:rFonts w:ascii="Arial" w:eastAsia="Arial" w:hAnsi="Arial" w:cs="Arial"/>
          <w:b/>
        </w:rPr>
        <w:t xml:space="preserve">: </w:t>
      </w:r>
      <w:r>
        <w:t xml:space="preserve">The Review Committee is responsible for: </w:t>
      </w:r>
    </w:p>
    <w:p w:rsidR="00E26E4A" w:rsidRDefault="002E33BC">
      <w:pPr>
        <w:numPr>
          <w:ilvl w:val="0"/>
          <w:numId w:val="1"/>
        </w:numPr>
        <w:ind w:right="12" w:firstLine="180"/>
      </w:pPr>
      <w:r>
        <w:t xml:space="preserve">Monitoring the NAGPRA inventory and identification process; </w:t>
      </w:r>
    </w:p>
    <w:p w:rsidR="00E26E4A" w:rsidRDefault="002E33BC">
      <w:pPr>
        <w:numPr>
          <w:ilvl w:val="0"/>
          <w:numId w:val="1"/>
        </w:numPr>
        <w:ind w:right="12" w:firstLine="180"/>
      </w:pPr>
      <w:r>
        <w:t xml:space="preserve">Reviewing and making findings related to the identity or cultural affiliation of cultural items, or the return of such items; </w:t>
      </w:r>
    </w:p>
    <w:p w:rsidR="00E26E4A" w:rsidRDefault="002E33BC">
      <w:pPr>
        <w:numPr>
          <w:ilvl w:val="0"/>
          <w:numId w:val="1"/>
        </w:numPr>
        <w:ind w:right="12" w:firstLine="180"/>
      </w:pPr>
      <w:r>
        <w:t xml:space="preserve">Facilitating the resolution of disputes; </w:t>
      </w:r>
    </w:p>
    <w:p w:rsidR="00E26E4A" w:rsidRDefault="002E33BC">
      <w:pPr>
        <w:numPr>
          <w:ilvl w:val="0"/>
          <w:numId w:val="1"/>
        </w:numPr>
        <w:ind w:right="12" w:firstLine="180"/>
      </w:pPr>
      <w:r>
        <w:t xml:space="preserve">Compiling an inventory of culturally unidentifiable human remains and developing a process for disposition of such remains; </w:t>
      </w:r>
    </w:p>
    <w:p w:rsidR="00E26E4A" w:rsidRDefault="002E33BC">
      <w:pPr>
        <w:numPr>
          <w:ilvl w:val="0"/>
          <w:numId w:val="1"/>
        </w:numPr>
        <w:ind w:right="12" w:firstLine="180"/>
      </w:pPr>
      <w:r>
        <w:t xml:space="preserve">Consulting with Indian tribes and Native Hawaiian organizations and museums on matters within the scope of </w:t>
      </w:r>
    </w:p>
    <w:p w:rsidR="00E26E4A" w:rsidRDefault="00E26E4A">
      <w:pPr>
        <w:sectPr w:rsidR="00E26E4A">
          <w:type w:val="continuous"/>
          <w:pgSz w:w="12240" w:h="15840"/>
          <w:pgMar w:top="1440" w:right="905" w:bottom="1440" w:left="900" w:header="720" w:footer="720" w:gutter="0"/>
          <w:cols w:num="3" w:space="130"/>
        </w:sectPr>
      </w:pPr>
    </w:p>
    <w:p w:rsidR="00E26E4A" w:rsidRDefault="002E33BC">
      <w:pPr>
        <w:tabs>
          <w:tab w:val="center" w:pos="2073"/>
          <w:tab w:val="center" w:pos="3099"/>
          <w:tab w:val="center" w:pos="3849"/>
          <w:tab w:val="center" w:pos="4596"/>
          <w:tab w:val="center" w:pos="5325"/>
          <w:tab w:val="center" w:pos="6036"/>
          <w:tab w:val="center" w:pos="7180"/>
          <w:tab w:val="right" w:pos="8519"/>
        </w:tabs>
        <w:spacing w:after="80" w:line="259" w:lineRule="auto"/>
        <w:ind w:left="-15" w:right="0" w:firstLine="0"/>
      </w:pPr>
      <w:r>
        <w:rPr>
          <w:rFonts w:ascii="Arial" w:eastAsia="Arial" w:hAnsi="Arial" w:cs="Arial"/>
          <w:color w:val="FFFFFF"/>
          <w:sz w:val="13"/>
        </w:rPr>
        <w:lastRenderedPageBreak/>
        <w:t xml:space="preserve">VerDate Sep&lt;11&gt;2014 </w:t>
      </w:r>
      <w:r>
        <w:rPr>
          <w:rFonts w:ascii="Arial" w:eastAsia="Arial" w:hAnsi="Arial" w:cs="Arial"/>
          <w:color w:val="FFFFFF"/>
          <w:sz w:val="13"/>
        </w:rPr>
        <w:tab/>
        <w:t>18:13 Dec 27, 2018</w:t>
      </w:r>
      <w:r>
        <w:rPr>
          <w:rFonts w:ascii="Arial" w:eastAsia="Arial" w:hAnsi="Arial" w:cs="Arial"/>
          <w:color w:val="FFFFFF"/>
          <w:sz w:val="13"/>
        </w:rPr>
        <w:tab/>
        <w:t>Jkt 247001</w:t>
      </w:r>
      <w:r>
        <w:rPr>
          <w:rFonts w:ascii="Arial" w:eastAsia="Arial" w:hAnsi="Arial" w:cs="Arial"/>
          <w:color w:val="FFFFFF"/>
          <w:sz w:val="13"/>
        </w:rPr>
        <w:tab/>
        <w:t>PO 00000</w:t>
      </w:r>
      <w:r>
        <w:rPr>
          <w:rFonts w:ascii="Arial" w:eastAsia="Arial" w:hAnsi="Arial" w:cs="Arial"/>
          <w:color w:val="FFFFFF"/>
          <w:sz w:val="13"/>
        </w:rPr>
        <w:tab/>
        <w:t>Frm 00129</w:t>
      </w:r>
      <w:r>
        <w:rPr>
          <w:rFonts w:ascii="Arial" w:eastAsia="Arial" w:hAnsi="Arial" w:cs="Arial"/>
          <w:color w:val="FFFFFF"/>
          <w:sz w:val="13"/>
        </w:rPr>
        <w:tab/>
        <w:t>Fmt 4703</w:t>
      </w:r>
      <w:r>
        <w:rPr>
          <w:rFonts w:ascii="Arial" w:eastAsia="Arial" w:hAnsi="Arial" w:cs="Arial"/>
          <w:color w:val="FFFFFF"/>
          <w:sz w:val="13"/>
        </w:rPr>
        <w:tab/>
        <w:t>Sfmt 4703</w:t>
      </w:r>
      <w:r>
        <w:rPr>
          <w:rFonts w:ascii="Arial" w:eastAsia="Arial" w:hAnsi="Arial" w:cs="Arial"/>
          <w:color w:val="FFFFFF"/>
          <w:sz w:val="13"/>
        </w:rPr>
        <w:tab/>
        <w:t>E:\FR\FM\28DEN1.SGM</w:t>
      </w:r>
      <w:r>
        <w:rPr>
          <w:rFonts w:ascii="Arial" w:eastAsia="Arial" w:hAnsi="Arial" w:cs="Arial"/>
          <w:color w:val="FFFFFF"/>
          <w:sz w:val="13"/>
        </w:rPr>
        <w:tab/>
        <w:t>28DEN1</w:t>
      </w:r>
    </w:p>
    <w:sectPr w:rsidR="00E26E4A">
      <w:type w:val="continuous"/>
      <w:pgSz w:w="12240" w:h="15840"/>
      <w:pgMar w:top="690" w:right="3221" w:bottom="373"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44E"/>
    <w:multiLevelType w:val="hybridMultilevel"/>
    <w:tmpl w:val="5B2C3FEC"/>
    <w:lvl w:ilvl="0" w:tplc="A61E3B30">
      <w:start w:val="67338"/>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446CB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55C29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28E4A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D4588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7E06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4BEE1A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DDADF5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B2238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725B56A7"/>
    <w:multiLevelType w:val="hybridMultilevel"/>
    <w:tmpl w:val="05222424"/>
    <w:lvl w:ilvl="0" w:tplc="E1481E3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098C4">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5FE9B72">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BA6FAE">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50783C">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668A3A4">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8C2CFE">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2E8C3E">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7477D8">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4A"/>
    <w:rsid w:val="002E33BC"/>
    <w:rsid w:val="00727669"/>
    <w:rsid w:val="00E2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6" w:lineRule="auto"/>
      <w:ind w:left="10" w:right="29"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20"/>
      <w:ind w:left="10" w:hanging="10"/>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6" w:lineRule="auto"/>
      <w:ind w:left="10" w:right="29"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20"/>
      <w:ind w:left="10" w:hanging="10"/>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Sonneman, Jean E</dc:creator>
  <cp:keywords/>
  <cp:lastModifiedBy>SYSTEM</cp:lastModifiedBy>
  <cp:revision>2</cp:revision>
  <dcterms:created xsi:type="dcterms:W3CDTF">2019-03-28T20:01:00Z</dcterms:created>
  <dcterms:modified xsi:type="dcterms:W3CDTF">2019-03-28T20:01:00Z</dcterms:modified>
</cp:coreProperties>
</file>