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2A843" w14:textId="77777777" w:rsidR="00FE0B50" w:rsidRPr="009F7E62" w:rsidRDefault="00FE0B50" w:rsidP="00057433">
      <w:pPr>
        <w:widowControl/>
        <w:tabs>
          <w:tab w:val="center" w:pos="4680"/>
        </w:tabs>
        <w:jc w:val="center"/>
        <w:rPr>
          <w:b/>
          <w:caps/>
        </w:rPr>
      </w:pPr>
      <w:bookmarkStart w:id="0" w:name="_GoBack"/>
      <w:bookmarkEnd w:id="0"/>
      <w:r w:rsidRPr="009F7E62">
        <w:rPr>
          <w:b/>
          <w:caps/>
        </w:rPr>
        <w:t xml:space="preserve">SUPPORTING STATEMENT </w:t>
      </w:r>
    </w:p>
    <w:p w14:paraId="1CEE1086" w14:textId="5D90E530" w:rsidR="004247A7" w:rsidRPr="009F7E62" w:rsidRDefault="004247A7" w:rsidP="00057433">
      <w:pPr>
        <w:widowControl/>
        <w:tabs>
          <w:tab w:val="center" w:pos="4680"/>
        </w:tabs>
        <w:jc w:val="center"/>
        <w:rPr>
          <w:b/>
          <w:caps/>
        </w:rPr>
      </w:pPr>
      <w:r w:rsidRPr="009F7E62">
        <w:rPr>
          <w:b/>
          <w:caps/>
        </w:rPr>
        <w:t xml:space="preserve">Unemployment Insurance </w:t>
      </w:r>
      <w:r w:rsidR="007C004A">
        <w:rPr>
          <w:b/>
          <w:caps/>
        </w:rPr>
        <w:t xml:space="preserve">(UI) </w:t>
      </w:r>
      <w:r w:rsidRPr="009F7E62">
        <w:rPr>
          <w:b/>
          <w:caps/>
        </w:rPr>
        <w:t>Trust Fund Activity</w:t>
      </w:r>
    </w:p>
    <w:p w14:paraId="73FC93A8" w14:textId="350D13CE" w:rsidR="00FE0B50" w:rsidRPr="009F7E62" w:rsidRDefault="002A68AB" w:rsidP="00057433">
      <w:pPr>
        <w:widowControl/>
        <w:tabs>
          <w:tab w:val="center" w:pos="4680"/>
        </w:tabs>
        <w:jc w:val="center"/>
        <w:rPr>
          <w:b/>
          <w:caps/>
        </w:rPr>
      </w:pPr>
      <w:r w:rsidRPr="009F7E62">
        <w:rPr>
          <w:b/>
          <w:caps/>
        </w:rPr>
        <w:t xml:space="preserve">OMB </w:t>
      </w:r>
      <w:r w:rsidR="00E344F4">
        <w:rPr>
          <w:b/>
          <w:caps/>
        </w:rPr>
        <w:t xml:space="preserve">Control Number </w:t>
      </w:r>
      <w:r w:rsidRPr="009F7E62">
        <w:rPr>
          <w:b/>
          <w:caps/>
        </w:rPr>
        <w:t>1205-0154</w:t>
      </w:r>
    </w:p>
    <w:p w14:paraId="3BB98FF7" w14:textId="3B8836FD" w:rsidR="00FE0B50" w:rsidRPr="009F7E62" w:rsidRDefault="00FE0B50" w:rsidP="00FE0B50">
      <w:pPr>
        <w:widowControl/>
        <w:rPr>
          <w:b/>
          <w:caps/>
        </w:rPr>
      </w:pPr>
    </w:p>
    <w:p w14:paraId="58D4BAFD" w14:textId="35E2AC2F" w:rsidR="00FE0B50" w:rsidRPr="0096584B" w:rsidRDefault="00FE0B50" w:rsidP="00FE0B50">
      <w:pPr>
        <w:widowControl/>
        <w:tabs>
          <w:tab w:val="left" w:pos="-1440"/>
        </w:tabs>
        <w:ind w:left="720" w:hanging="720"/>
        <w:rPr>
          <w:b/>
        </w:rPr>
      </w:pPr>
      <w:r w:rsidRPr="0096584B">
        <w:rPr>
          <w:b/>
        </w:rPr>
        <w:t>A.</w:t>
      </w:r>
      <w:r w:rsidRPr="0096584B">
        <w:rPr>
          <w:b/>
        </w:rPr>
        <w:tab/>
      </w:r>
      <w:r w:rsidRPr="007C004A">
        <w:rPr>
          <w:b/>
          <w:u w:val="single"/>
        </w:rPr>
        <w:t>Justification</w:t>
      </w:r>
      <w:r w:rsidR="007C004A">
        <w:rPr>
          <w:b/>
          <w:u w:val="single"/>
        </w:rPr>
        <w:t>.</w:t>
      </w:r>
    </w:p>
    <w:p w14:paraId="741667F4" w14:textId="2417E1AB" w:rsidR="00FE0B50" w:rsidRPr="00ED34EA" w:rsidRDefault="00FE0B50" w:rsidP="00FE0B50">
      <w:pPr>
        <w:widowControl/>
      </w:pPr>
    </w:p>
    <w:p w14:paraId="42EDA804" w14:textId="7CB4FC11" w:rsidR="00ED34EA" w:rsidRPr="00ED34EA" w:rsidRDefault="00ED34EA" w:rsidP="000605C7">
      <w:r w:rsidRPr="00ED34EA">
        <w:t>The Department of Labor, Employment and Training Administration (ETA</w:t>
      </w:r>
      <w:r w:rsidR="007C004A">
        <w:t>) is submitting for renewal a R</w:t>
      </w:r>
      <w:r w:rsidRPr="00ED34EA">
        <w:t xml:space="preserve">evision </w:t>
      </w:r>
      <w:r w:rsidR="007C004A">
        <w:t xml:space="preserve">information collection request (ICR) </w:t>
      </w:r>
      <w:r w:rsidRPr="00ED34EA">
        <w:t>for Unemployment Insu</w:t>
      </w:r>
      <w:r w:rsidR="007C004A">
        <w:t>rance (UI) Trust Fund Activity r</w:t>
      </w:r>
      <w:r w:rsidRPr="00ED34EA">
        <w:t xml:space="preserve">eports.  </w:t>
      </w:r>
      <w:r w:rsidRPr="000605C7">
        <w:t xml:space="preserve">The revision is the </w:t>
      </w:r>
      <w:r w:rsidRPr="00ED34EA">
        <w:t>removal of Form 8403A</w:t>
      </w:r>
      <w:r w:rsidRPr="000605C7">
        <w:t>, see item #15.</w:t>
      </w:r>
    </w:p>
    <w:p w14:paraId="433912EB" w14:textId="77777777" w:rsidR="00ED34EA" w:rsidRDefault="00ED34EA" w:rsidP="00FE0B50">
      <w:pPr>
        <w:widowControl/>
      </w:pPr>
    </w:p>
    <w:p w14:paraId="5FC32421" w14:textId="77777777" w:rsidR="00A162CB" w:rsidRPr="00CE7376" w:rsidRDefault="00A162CB" w:rsidP="00A162CB">
      <w:pPr>
        <w:widowControl/>
        <w:numPr>
          <w:ilvl w:val="0"/>
          <w:numId w:val="9"/>
        </w:numPr>
        <w:tabs>
          <w:tab w:val="right" w:pos="360"/>
        </w:tabs>
        <w:rPr>
          <w:i/>
        </w:rPr>
      </w:pPr>
      <w:r w:rsidRPr="00CE7376">
        <w:rPr>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34036901" w14:textId="77777777" w:rsidR="00FE0B50" w:rsidRDefault="00FE0B50" w:rsidP="00FE0B50">
      <w:pPr>
        <w:widowControl/>
      </w:pPr>
    </w:p>
    <w:p w14:paraId="01E02A3A" w14:textId="77777777" w:rsidR="00FE0B50" w:rsidRDefault="00FE0B50" w:rsidP="00081661">
      <w:pPr>
        <w:widowControl/>
        <w:ind w:left="720"/>
      </w:pPr>
      <w:bookmarkStart w:id="1" w:name="_Hlk518020599"/>
      <w:r>
        <w:t>The requirement in Federal law, the basis for all reporting, resides in the Social Security Act (SSA), Section 303(a)(6)</w:t>
      </w:r>
      <w:r w:rsidR="0099034C">
        <w:t>, 42 U.S.C. § 503(a)(6) ,</w:t>
      </w:r>
      <w:r>
        <w:t xml:space="preserve"> which gives the Secretary of Labor the authority to require the reporting of such information determined necessary to assure compliance with the provisions of the SSA.  In the case of the Unemployment Trust Fund (UTF) management reports comprising this submission, that authority extends to Departmental responsibilities (as Secretary of Labor) to assure that contributions collected are immediately paid over to the Secretary of the Treasury in conformity with Section 303(a)(4) of the SSA and section 3304(a)(3) of the Federal Unemployment Tax Act (FUTA); and that expenditure of all money withdrawn from the unemployment fund of a state is used exclusively for the payment of benefits, exclusive of refund (SSA, Section 303(a)(5), FUTA section 3304(a)(4)).</w:t>
      </w:r>
    </w:p>
    <w:bookmarkEnd w:id="1"/>
    <w:p w14:paraId="0FC0A4E7" w14:textId="77777777" w:rsidR="002D360C" w:rsidRDefault="002D360C" w:rsidP="00081661">
      <w:pPr>
        <w:widowControl/>
        <w:ind w:left="720"/>
      </w:pPr>
    </w:p>
    <w:p w14:paraId="6C82DD60" w14:textId="77777777" w:rsidR="00A162CB" w:rsidRPr="009F7E62" w:rsidRDefault="00A162CB" w:rsidP="009F7E62">
      <w:pPr>
        <w:pStyle w:val="ListParagraph"/>
        <w:widowControl/>
        <w:numPr>
          <w:ilvl w:val="0"/>
          <w:numId w:val="9"/>
        </w:numPr>
        <w:tabs>
          <w:tab w:val="right" w:pos="0"/>
        </w:tabs>
        <w:rPr>
          <w:i/>
        </w:rPr>
      </w:pPr>
      <w:r w:rsidRPr="009F7E62">
        <w:rPr>
          <w:i/>
        </w:rPr>
        <w:t>Indicate how, by whom, and for what purpose the information is to be used.  Except for a   new collection, indicate the actual use the agency has made of the information received from the current collection.</w:t>
      </w:r>
    </w:p>
    <w:p w14:paraId="37557052" w14:textId="77777777" w:rsidR="00FE0B50" w:rsidRDefault="00FE0B50" w:rsidP="00FE0B50">
      <w:pPr>
        <w:widowControl/>
        <w:tabs>
          <w:tab w:val="left" w:pos="-1440"/>
        </w:tabs>
      </w:pPr>
    </w:p>
    <w:p w14:paraId="63C2D520" w14:textId="77777777" w:rsidR="00FE0B50" w:rsidRDefault="00FE0B50" w:rsidP="00081661">
      <w:pPr>
        <w:widowControl/>
        <w:tabs>
          <w:tab w:val="left" w:pos="-1440"/>
        </w:tabs>
        <w:ind w:left="720"/>
      </w:pPr>
      <w:r>
        <w:t>The Employment and Training Administration (ETA) 2112 reports all financial transactions i.e., receipts, disbursements, adjustments and fund balance, of the state’s account in the UTF for the month.  This information is used by the Department’s Office of Chief Financial Officer (OCFO) and reported in the Department’s annual audited consolidated financial statements required by the Chief Financial Officer Act of 1990.  The UTF contains about 75% of the assets and liabilities of the statements.</w:t>
      </w:r>
    </w:p>
    <w:p w14:paraId="44771693" w14:textId="77777777" w:rsidR="009605AC" w:rsidRDefault="009605AC" w:rsidP="004576A9">
      <w:pPr>
        <w:widowControl/>
      </w:pPr>
    </w:p>
    <w:p w14:paraId="27A9D919" w14:textId="77777777" w:rsidR="00FE0B50" w:rsidRDefault="00FE0B50" w:rsidP="00081661">
      <w:pPr>
        <w:widowControl/>
        <w:ind w:left="720"/>
      </w:pPr>
      <w:r>
        <w:t>Other uses of these reports include:</w:t>
      </w:r>
    </w:p>
    <w:p w14:paraId="39FA69CD" w14:textId="77777777" w:rsidR="000D1F6E" w:rsidRDefault="000D1F6E" w:rsidP="000D1F6E">
      <w:pPr>
        <w:widowControl/>
        <w:ind w:left="1800"/>
      </w:pPr>
    </w:p>
    <w:p w14:paraId="56B9AF85" w14:textId="77777777" w:rsidR="00FE0B50" w:rsidRDefault="00FE0B50" w:rsidP="00081661">
      <w:pPr>
        <w:widowControl/>
        <w:numPr>
          <w:ilvl w:val="0"/>
          <w:numId w:val="7"/>
        </w:numPr>
      </w:pPr>
      <w:r>
        <w:t>The Division of Fiscal and Actuarial Services of the Office of Workforce Security (</w:t>
      </w:r>
      <w:r w:rsidR="009C7BF8">
        <w:t>OUI</w:t>
      </w:r>
      <w:r>
        <w:t xml:space="preserve">) utilizes the reported data each month to monitor UTF cash flow, identify excessive drawdown of funds for benefit payment from states' accounts in the UTF which could result in a sizeable loss of interest earnings to the UTF.  Data concerning Federal programs, Unemployment Compensation for Federal Employees (UCFE), Unemployment Compensation </w:t>
      </w:r>
      <w:r>
        <w:lastRenderedPageBreak/>
        <w:t>for Ex-</w:t>
      </w:r>
      <w:r w:rsidR="00241ADC">
        <w:t>Service members</w:t>
      </w:r>
      <w:r>
        <w:t xml:space="preserve"> (UCX), and Extended Benefits (EB), are extracted from the reports on a monthly basis and entered into computerized individual state records of account for reconciliation with the Bureau of Public Debt in the U.S. Treasury Department and for subsequent study and evaluation to identify trends and cash flow analysis.</w:t>
      </w:r>
    </w:p>
    <w:p w14:paraId="2C8F5730" w14:textId="77777777" w:rsidR="00FE0B50" w:rsidRDefault="00FE0B50" w:rsidP="00081661">
      <w:pPr>
        <w:widowControl/>
        <w:numPr>
          <w:ilvl w:val="0"/>
          <w:numId w:val="7"/>
        </w:numPr>
      </w:pPr>
      <w:r>
        <w:t xml:space="preserve">Data from the ETA 2112 are also used to generate monthly pertinent statistics on the Unemployment Insurance (UI) program, e.g., state UI benefit payments, extended benefit payments, other related program costs, projection to a State's Trust Fund solvency based on contributions collected and deposited and benefit payments. The data are included in the Handbook of Unemployment Insurance Financial Data which is published annually. </w:t>
      </w:r>
    </w:p>
    <w:p w14:paraId="1210860F" w14:textId="77777777" w:rsidR="00FE0B50" w:rsidRDefault="00FE0B50" w:rsidP="00081661">
      <w:pPr>
        <w:widowControl/>
        <w:numPr>
          <w:ilvl w:val="0"/>
          <w:numId w:val="7"/>
        </w:numPr>
      </w:pPr>
      <w:r>
        <w:t>The report also reflects monthly transactions relating to Title XII advances and repayments in those states borrowing from the Federal Unemployment Account (FUA). Monthly reporting is necessary to permit National Office cash management performance monitoring.</w:t>
      </w:r>
    </w:p>
    <w:p w14:paraId="1EF3BB14" w14:textId="77777777" w:rsidR="00FE0B50" w:rsidRDefault="00FE0B50" w:rsidP="00081661">
      <w:pPr>
        <w:widowControl/>
        <w:numPr>
          <w:ilvl w:val="0"/>
          <w:numId w:val="7"/>
        </w:numPr>
      </w:pPr>
      <w:r>
        <w:t xml:space="preserve">The data contained in this report have proved to be very valuable to National Office staff testifying before state legislative bodies attempting to strengthen the financing provisions of their state UI laws and in responding to inquiries from members of the Congress and certain committees.  The ETA 2112 also records expenditures and restoration of unemployment funds used for administrative purposes, pursuant to Section 903(c)(2) of SSA.  These "Reed Act" funds are available for non-benefit use upon appropriation by state legislatures. </w:t>
      </w:r>
    </w:p>
    <w:p w14:paraId="075CA8A3" w14:textId="77777777" w:rsidR="00FE0B50" w:rsidRDefault="00FE0B50" w:rsidP="00081661">
      <w:pPr>
        <w:widowControl/>
        <w:numPr>
          <w:ilvl w:val="0"/>
          <w:numId w:val="7"/>
        </w:numPr>
      </w:pPr>
      <w:r>
        <w:t>ETA 2112 data is used to verify states' requests to qualify for loan capping, and deferral of interest payments on Title XII loans.</w:t>
      </w:r>
    </w:p>
    <w:p w14:paraId="08BE3BCD" w14:textId="77777777" w:rsidR="00FE0B50" w:rsidRDefault="00FE0B50" w:rsidP="00081661">
      <w:pPr>
        <w:widowControl/>
        <w:ind w:left="720" w:firstLine="720"/>
      </w:pPr>
    </w:p>
    <w:p w14:paraId="0508DF00" w14:textId="77777777" w:rsidR="00FE0B50" w:rsidRDefault="00FE0B50" w:rsidP="00081661">
      <w:pPr>
        <w:widowControl/>
        <w:ind w:left="720"/>
      </w:pPr>
      <w:r>
        <w:t xml:space="preserve">The ETA 8401 (Monthly Analysis of Benefit Payment Account) </w:t>
      </w:r>
    </w:p>
    <w:p w14:paraId="405FA6F7" w14:textId="77777777" w:rsidR="00FE0B50" w:rsidRDefault="00FE0B50" w:rsidP="00081661">
      <w:pPr>
        <w:widowControl/>
        <w:ind w:left="720"/>
      </w:pPr>
      <w:r>
        <w:t>The ETA 8405 (Monthly Analysis of Clearing Account)</w:t>
      </w:r>
    </w:p>
    <w:p w14:paraId="309532C4" w14:textId="77777777" w:rsidR="00FE0B50" w:rsidRDefault="00FE0B50" w:rsidP="00081661">
      <w:pPr>
        <w:widowControl/>
        <w:ind w:left="720"/>
      </w:pPr>
    </w:p>
    <w:p w14:paraId="66C9454B" w14:textId="77777777" w:rsidR="00FE0B50" w:rsidRDefault="00FE0B50" w:rsidP="00081661">
      <w:pPr>
        <w:widowControl/>
        <w:ind w:left="720"/>
      </w:pPr>
      <w:r>
        <w:t>These reports, based on state books, reflect activities in the clearing account for the deposit of employer contributions, transfer of funds to state's account in the UTF, employer refunds and adjustments; and the benefit payment account for withdrawals from the UTF for the payment of unemployment benefits.  Monthly totals from these reports are carried forward to the appropriate ETA 2112 monthly report.</w:t>
      </w:r>
    </w:p>
    <w:p w14:paraId="52744202" w14:textId="77777777" w:rsidR="00956BE8" w:rsidRDefault="00956BE8" w:rsidP="00081661">
      <w:pPr>
        <w:widowControl/>
        <w:ind w:left="720"/>
      </w:pPr>
    </w:p>
    <w:p w14:paraId="36356251" w14:textId="518CBD7D" w:rsidR="00480FC7" w:rsidRDefault="00FE0B50" w:rsidP="000605C7">
      <w:pPr>
        <w:widowControl/>
        <w:numPr>
          <w:ilvl w:val="0"/>
          <w:numId w:val="8"/>
        </w:numPr>
        <w:tabs>
          <w:tab w:val="left" w:pos="-1440"/>
        </w:tabs>
      </w:pPr>
      <w:r>
        <w:t xml:space="preserve">The ETA 8405 is used to determine the timeliness of deposit of employer contributions and other funds to the UTF (e.g., benefit overpayment </w:t>
      </w:r>
    </w:p>
    <w:p w14:paraId="39099A30" w14:textId="77777777" w:rsidR="00FE0B50" w:rsidRDefault="00FE0B50" w:rsidP="00480FC7">
      <w:pPr>
        <w:widowControl/>
        <w:tabs>
          <w:tab w:val="left" w:pos="-1440"/>
        </w:tabs>
        <w:ind w:left="1800"/>
      </w:pPr>
      <w:r>
        <w:t>recoveries) to insure state compliance with section 303 (a)(4) of the SSA.  The report is also used to develop trial balances and other financial information to compile the Departmental annual consolidated financial statements.  Information reported is compared to Treasury reports for verifying transfers of funds to the UTF, and compliance with the immediate deposit requirements of SSA and the FUTA).</w:t>
      </w:r>
    </w:p>
    <w:p w14:paraId="406CF855" w14:textId="77777777" w:rsidR="009605AC" w:rsidRDefault="009605AC" w:rsidP="00480FC7">
      <w:pPr>
        <w:widowControl/>
        <w:tabs>
          <w:tab w:val="left" w:pos="-1440"/>
        </w:tabs>
        <w:ind w:left="1800"/>
      </w:pPr>
    </w:p>
    <w:p w14:paraId="2F7FA700" w14:textId="77777777" w:rsidR="00FE0B50" w:rsidRDefault="00FE0B50" w:rsidP="00956BE8">
      <w:pPr>
        <w:widowControl/>
        <w:numPr>
          <w:ilvl w:val="0"/>
          <w:numId w:val="8"/>
        </w:numPr>
        <w:tabs>
          <w:tab w:val="left" w:pos="-1440"/>
        </w:tabs>
      </w:pPr>
      <w:r>
        <w:lastRenderedPageBreak/>
        <w:t xml:space="preserve">The ETA 8401 is used to determine the timing of withdrawals of funds from the UTF to disbursements for the payment of unemployment compensation.  This information will be even more critical to DOL because of the provisions of the Cash Management Improvement Act of 1990, as amended, (CMIA) which require that states execute agreements with the U.S. Treasury to stipulate one method of drawdown of funds from the UTF.  The ETA 8405 will provide information to the DOL and Treasury to monitor compliance with the drawdown method stipulated in the Agreement.  ETA 8401 information is again needed for the compilation of DOL annual consolidated financial statements. </w:t>
      </w:r>
    </w:p>
    <w:p w14:paraId="4F3687D6" w14:textId="77777777" w:rsidR="00FE0B50" w:rsidRDefault="00FE0B50" w:rsidP="00081661">
      <w:pPr>
        <w:widowControl/>
        <w:ind w:left="1440"/>
      </w:pPr>
    </w:p>
    <w:p w14:paraId="7A05F89A" w14:textId="77777777" w:rsidR="00FE0B50" w:rsidRDefault="00FE0B50" w:rsidP="00081661">
      <w:pPr>
        <w:widowControl/>
        <w:ind w:left="720"/>
      </w:pPr>
      <w:r>
        <w:t>The ETA 8413 (Income/Expense Analysis – Benefit Payment Account)</w:t>
      </w:r>
    </w:p>
    <w:p w14:paraId="521F204F" w14:textId="77777777" w:rsidR="00FE0B50" w:rsidRDefault="00FE0B50" w:rsidP="00081661">
      <w:pPr>
        <w:widowControl/>
        <w:ind w:left="720"/>
      </w:pPr>
      <w:r>
        <w:t>The ETA 8414 (Income/Expense Analysis - Clearing Account)</w:t>
      </w:r>
    </w:p>
    <w:p w14:paraId="0F2753FD" w14:textId="77777777" w:rsidR="00FE0B50" w:rsidRDefault="00FE0B50" w:rsidP="00081661">
      <w:pPr>
        <w:widowControl/>
        <w:ind w:left="720"/>
      </w:pPr>
    </w:p>
    <w:p w14:paraId="72CDC9DA" w14:textId="77777777" w:rsidR="00FE0B50" w:rsidRDefault="00FE0B50" w:rsidP="00081661">
      <w:pPr>
        <w:widowControl/>
        <w:ind w:left="720"/>
      </w:pPr>
      <w:r>
        <w:t xml:space="preserve">These reports, based on the state depository institution records, reflect activities in these accounts in the </w:t>
      </w:r>
      <w:r w:rsidRPr="00B33904">
        <w:t>local bank</w:t>
      </w:r>
      <w:r w:rsidRPr="00241ADC">
        <w:t>.</w:t>
      </w:r>
      <w:r>
        <w:t xml:space="preserve">  The bank prepares basic information for the agency on a monthly basis.  The agency then assembles the complete reporting package, e.g., 8401-8405-8413-8414 and ETA 2112 and submits it electronically to the National Office.</w:t>
      </w:r>
      <w:r w:rsidR="007328C9">
        <w:t xml:space="preserve">  The basic information prepared by the banks </w:t>
      </w:r>
      <w:r w:rsidR="009319F5">
        <w:t xml:space="preserve">for the State agencies </w:t>
      </w:r>
      <w:r w:rsidR="007328C9">
        <w:t xml:space="preserve">is of the type routinely prepared for account holders; consequently, </w:t>
      </w:r>
      <w:r w:rsidR="003506E6">
        <w:t>no burden is claimed for that activity.  See 5 CFR 1320.</w:t>
      </w:r>
      <w:r w:rsidR="00AC150F">
        <w:t>3(b)(2).</w:t>
      </w:r>
    </w:p>
    <w:p w14:paraId="5BC5B232" w14:textId="77777777" w:rsidR="00FE0B50" w:rsidRDefault="00FE0B50" w:rsidP="00081661">
      <w:pPr>
        <w:widowControl/>
        <w:ind w:left="720"/>
      </w:pPr>
    </w:p>
    <w:p w14:paraId="4A5207B3" w14:textId="77777777" w:rsidR="00FE0B50" w:rsidRDefault="00FE0B50" w:rsidP="00081661">
      <w:pPr>
        <w:widowControl/>
        <w:ind w:left="720"/>
      </w:pPr>
      <w:r>
        <w:t>These reports provide information to the DOL to monitor bank account balances, bank charges, and bank compensation. Under provisions of the CMIA, information on bank charges reported in the ETA 8414 will be indispensable since states are allowed to pay charges for their benefit payment account from interest earnings on benefit payment account balances.</w:t>
      </w:r>
    </w:p>
    <w:p w14:paraId="47FE2835" w14:textId="77777777" w:rsidR="00FE0B50" w:rsidRDefault="00FE0B50" w:rsidP="00081661">
      <w:pPr>
        <w:widowControl/>
        <w:ind w:left="720"/>
      </w:pPr>
    </w:p>
    <w:p w14:paraId="7C594C59" w14:textId="77777777" w:rsidR="00FE0B50" w:rsidRDefault="00FE0B50" w:rsidP="00081661">
      <w:pPr>
        <w:widowControl/>
        <w:ind w:left="720"/>
      </w:pPr>
      <w:r>
        <w:t xml:space="preserve">The </w:t>
      </w:r>
      <w:r w:rsidR="009C7BF8">
        <w:t>OUI</w:t>
      </w:r>
      <w:r>
        <w:t xml:space="preserve"> has implemented an effective system for regularly monitoring state cash management and state banking arrangements to increase trust fund earnings.  The cash management performance monitoring system requires timely reporting by states on a monthly basis to effectively monitor cash management performance.  The ETA 8401, 8405, 8413, and 8414 reports are the key reports in the system.</w:t>
      </w:r>
    </w:p>
    <w:p w14:paraId="08D2DD09" w14:textId="77777777" w:rsidR="00FE0B50" w:rsidRDefault="00FE0B50" w:rsidP="00081661">
      <w:pPr>
        <w:widowControl/>
        <w:ind w:left="720"/>
      </w:pPr>
    </w:p>
    <w:p w14:paraId="1C76488F" w14:textId="77777777" w:rsidR="00FE0B50" w:rsidRDefault="00FE0B50" w:rsidP="00081661">
      <w:pPr>
        <w:widowControl/>
        <w:ind w:left="720"/>
      </w:pPr>
      <w:r>
        <w:t xml:space="preserve">The current cash management monitoring system is based on a monthly reporting system.  It is crucial that problems and deficiencies be identified as early as possible so that corrective action can be taken timely and efficient cash management monitoring will be accomplished.  Monthly reporting provides this capability. </w:t>
      </w:r>
    </w:p>
    <w:p w14:paraId="00CA68D3" w14:textId="77777777" w:rsidR="00FE0B50" w:rsidRDefault="00FE0B50" w:rsidP="00081661">
      <w:pPr>
        <w:widowControl/>
        <w:ind w:left="720" w:firstLine="720"/>
      </w:pPr>
    </w:p>
    <w:p w14:paraId="70241614" w14:textId="77777777" w:rsidR="00FE0B50" w:rsidRDefault="00FE0B50" w:rsidP="00081661">
      <w:pPr>
        <w:widowControl/>
        <w:ind w:left="720"/>
      </w:pPr>
      <w:r>
        <w:t>The ETA 8403 (Reed Act Activity)</w:t>
      </w:r>
    </w:p>
    <w:p w14:paraId="336FFCA5" w14:textId="77777777" w:rsidR="00FE0B50" w:rsidRDefault="00FE0B50" w:rsidP="00081661">
      <w:pPr>
        <w:widowControl/>
        <w:ind w:left="720"/>
      </w:pPr>
    </w:p>
    <w:p w14:paraId="6A3C233A" w14:textId="77777777" w:rsidR="00FE0B50" w:rsidRDefault="00FE0B50" w:rsidP="00081661">
      <w:pPr>
        <w:widowControl/>
        <w:ind w:left="720"/>
      </w:pPr>
      <w:r>
        <w:t xml:space="preserve">This report reflects each state’s Reed Act activities.  It is submitted only when there has been activity which requires updating the state’s Reed Act account. </w:t>
      </w:r>
    </w:p>
    <w:p w14:paraId="20204762" w14:textId="72468319" w:rsidR="002D360C" w:rsidRDefault="002D360C" w:rsidP="002D360C">
      <w:pPr>
        <w:widowControl/>
      </w:pPr>
    </w:p>
    <w:p w14:paraId="1620432E" w14:textId="77777777" w:rsidR="008F002D" w:rsidRDefault="008F002D" w:rsidP="002D360C">
      <w:pPr>
        <w:widowControl/>
      </w:pPr>
    </w:p>
    <w:p w14:paraId="115F2FE1" w14:textId="77777777" w:rsidR="00A162CB" w:rsidRPr="009F7E62" w:rsidRDefault="00A162CB" w:rsidP="009F7E62">
      <w:pPr>
        <w:pStyle w:val="ListParagraph"/>
        <w:widowControl/>
        <w:numPr>
          <w:ilvl w:val="0"/>
          <w:numId w:val="9"/>
        </w:numPr>
        <w:tabs>
          <w:tab w:val="right" w:pos="0"/>
        </w:tabs>
        <w:rPr>
          <w:i/>
        </w:rPr>
      </w:pPr>
      <w:r w:rsidRPr="009F7E62">
        <w:rPr>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5A1A6BF4" w14:textId="77777777" w:rsidR="00FE0B50" w:rsidRDefault="00FE0B50" w:rsidP="00FE0B50">
      <w:pPr>
        <w:widowControl/>
        <w:tabs>
          <w:tab w:val="left" w:pos="-1440"/>
        </w:tabs>
      </w:pPr>
    </w:p>
    <w:p w14:paraId="42AC46DB" w14:textId="77777777" w:rsidR="00FE0B50" w:rsidRDefault="00FE0B50" w:rsidP="00081661">
      <w:pPr>
        <w:ind w:left="720"/>
      </w:pPr>
      <w:r w:rsidRPr="000D4C25">
        <w:t xml:space="preserve">Current information processing and data gathering techniques in the states utilize electronic data processing equipment and computerized records.  </w:t>
      </w:r>
      <w:r>
        <w:t>The production of reports in entirely automated and the resulting electr</w:t>
      </w:r>
      <w:r w:rsidR="009C7BF8">
        <w:t>o</w:t>
      </w:r>
      <w:r>
        <w:t xml:space="preserve">nic reports are </w:t>
      </w:r>
      <w:r w:rsidRPr="000D4C25">
        <w:t xml:space="preserve">submitted electronically to the </w:t>
      </w:r>
      <w:r w:rsidR="009C7BF8">
        <w:t>OUI</w:t>
      </w:r>
      <w:r w:rsidRPr="000D4C25">
        <w:t>.</w:t>
      </w:r>
    </w:p>
    <w:p w14:paraId="662729E1" w14:textId="77777777" w:rsidR="002D360C" w:rsidRPr="000D4C25" w:rsidRDefault="002D360C" w:rsidP="00081661">
      <w:pPr>
        <w:ind w:left="720"/>
      </w:pPr>
    </w:p>
    <w:p w14:paraId="077E9347" w14:textId="4C39B62A" w:rsidR="00FE0B50" w:rsidRPr="009F7E62" w:rsidRDefault="002D360C" w:rsidP="009F7E62">
      <w:pPr>
        <w:pStyle w:val="ListParagraph"/>
        <w:widowControl/>
        <w:numPr>
          <w:ilvl w:val="0"/>
          <w:numId w:val="9"/>
        </w:numPr>
        <w:tabs>
          <w:tab w:val="left" w:pos="-1440"/>
        </w:tabs>
        <w:rPr>
          <w:i/>
        </w:rPr>
      </w:pPr>
      <w:r w:rsidRPr="009F7E62">
        <w:rPr>
          <w:i/>
        </w:rPr>
        <w:t>Describe efforts to identify duplication. Show specifically why any similar information already available cannot be used or modified for use for the purposes described in Item 2 above.</w:t>
      </w:r>
    </w:p>
    <w:p w14:paraId="1DE4CBE8" w14:textId="77777777" w:rsidR="00FE0B50" w:rsidRDefault="00FE0B50" w:rsidP="00FE0B50">
      <w:pPr>
        <w:widowControl/>
        <w:tabs>
          <w:tab w:val="left" w:pos="-1440"/>
        </w:tabs>
      </w:pPr>
    </w:p>
    <w:p w14:paraId="6D6F5733" w14:textId="77777777" w:rsidR="00FE0B50" w:rsidRDefault="00FE0B50" w:rsidP="00081661">
      <w:pPr>
        <w:widowControl/>
        <w:ind w:left="720"/>
      </w:pPr>
      <w:r>
        <w:t xml:space="preserve">The data reported on these reports </w:t>
      </w:r>
      <w:r w:rsidR="00812DE0">
        <w:t xml:space="preserve">are unique </w:t>
      </w:r>
      <w:r>
        <w:t>in the DOL/ETA reporting system</w:t>
      </w:r>
      <w:r w:rsidR="002D360C">
        <w:t>, and we are not aware of duplication of data.</w:t>
      </w:r>
    </w:p>
    <w:p w14:paraId="63712A26" w14:textId="77777777" w:rsidR="002D360C" w:rsidRDefault="002D360C" w:rsidP="00081661">
      <w:pPr>
        <w:widowControl/>
        <w:ind w:left="720"/>
      </w:pPr>
    </w:p>
    <w:p w14:paraId="076ADFEE" w14:textId="5D0E4AE3" w:rsidR="00FE0B50" w:rsidRPr="009F7E62" w:rsidRDefault="002D360C" w:rsidP="009F7E62">
      <w:pPr>
        <w:pStyle w:val="ListParagraph"/>
        <w:widowControl/>
        <w:numPr>
          <w:ilvl w:val="0"/>
          <w:numId w:val="9"/>
        </w:numPr>
        <w:rPr>
          <w:i/>
        </w:rPr>
      </w:pPr>
      <w:r w:rsidRPr="009F7E62">
        <w:rPr>
          <w:i/>
        </w:rPr>
        <w:t>If the collection of information impacts small businesses or other small en</w:t>
      </w:r>
      <w:r w:rsidR="007043A3" w:rsidRPr="009F7E62">
        <w:rPr>
          <w:i/>
        </w:rPr>
        <w:t>tities</w:t>
      </w:r>
      <w:r w:rsidRPr="009F7E62">
        <w:rPr>
          <w:i/>
        </w:rPr>
        <w:t>, describe any methods used to minimize burden.</w:t>
      </w:r>
    </w:p>
    <w:p w14:paraId="2A1D650F" w14:textId="77777777" w:rsidR="006F496F" w:rsidRDefault="006F496F" w:rsidP="00FE0B50">
      <w:pPr>
        <w:widowControl/>
      </w:pPr>
    </w:p>
    <w:p w14:paraId="44BAC1BF" w14:textId="77777777" w:rsidR="00FE0B50" w:rsidRDefault="00FE0B50" w:rsidP="00081661">
      <w:pPr>
        <w:widowControl/>
        <w:ind w:firstLine="720"/>
      </w:pPr>
      <w:r>
        <w:t>This collection does not impact small businesses</w:t>
      </w:r>
      <w:r w:rsidR="002D360C">
        <w:t xml:space="preserve"> or other small entities</w:t>
      </w:r>
      <w:r>
        <w:t>.</w:t>
      </w:r>
    </w:p>
    <w:p w14:paraId="4BA7994C" w14:textId="77777777" w:rsidR="002D360C" w:rsidRDefault="002D360C" w:rsidP="00081661">
      <w:pPr>
        <w:widowControl/>
        <w:ind w:firstLine="720"/>
      </w:pPr>
    </w:p>
    <w:p w14:paraId="77B0DB70" w14:textId="085BDA4F" w:rsidR="00FE0B50" w:rsidRPr="009F7E62" w:rsidRDefault="002D360C" w:rsidP="009F7E62">
      <w:pPr>
        <w:pStyle w:val="ListParagraph"/>
        <w:widowControl/>
        <w:numPr>
          <w:ilvl w:val="0"/>
          <w:numId w:val="9"/>
        </w:numPr>
        <w:rPr>
          <w:i/>
        </w:rPr>
      </w:pPr>
      <w:r w:rsidRPr="009F7E62">
        <w:rPr>
          <w:i/>
        </w:rPr>
        <w:t>Describe the consequence to Federal program or policy activities if the collection is not conducted or is conducted less frequently, as well as any technical or legal obstacles to reducing burden.</w:t>
      </w:r>
    </w:p>
    <w:p w14:paraId="56DF47EE" w14:textId="77777777" w:rsidR="00FE0B50" w:rsidRDefault="00FE0B50" w:rsidP="00FE0B50">
      <w:pPr>
        <w:widowControl/>
      </w:pPr>
    </w:p>
    <w:p w14:paraId="4ED75332" w14:textId="77777777" w:rsidR="00FE0B50" w:rsidRDefault="00FE0B50" w:rsidP="00081661">
      <w:pPr>
        <w:ind w:left="720"/>
      </w:pPr>
      <w:r w:rsidRPr="000D4C25">
        <w:t xml:space="preserve">The response to this item is discussed in the narrative response under #2 above.  Current Financial and Cash Management Systems are based on monthly reporting.  It is imperative that problems and deficiencies be identified as early as possible so that corrective actions can be taken immediately.  </w:t>
      </w:r>
      <w:r>
        <w:t>S</w:t>
      </w:r>
      <w:r w:rsidRPr="000D4C25">
        <w:t xml:space="preserve">tates </w:t>
      </w:r>
      <w:r>
        <w:t xml:space="preserve">also generally </w:t>
      </w:r>
      <w:r w:rsidRPr="000D4C25">
        <w:t>use monthly reporting/accounting cycles</w:t>
      </w:r>
      <w:r>
        <w:t xml:space="preserve"> which make the current frequency convenient.</w:t>
      </w:r>
    </w:p>
    <w:p w14:paraId="359F87EC" w14:textId="77777777" w:rsidR="000D1F6E" w:rsidRDefault="000D1F6E" w:rsidP="00E37BCE">
      <w:pPr>
        <w:widowControl/>
        <w:rPr>
          <w:i/>
        </w:rPr>
      </w:pPr>
    </w:p>
    <w:p w14:paraId="442E2BA5" w14:textId="02420EEF" w:rsidR="00FE0B50" w:rsidRPr="009F7E62" w:rsidRDefault="008E2D1A" w:rsidP="009F7E62">
      <w:pPr>
        <w:pStyle w:val="ListParagraph"/>
        <w:widowControl/>
        <w:numPr>
          <w:ilvl w:val="0"/>
          <w:numId w:val="9"/>
        </w:numPr>
        <w:rPr>
          <w:i/>
        </w:rPr>
      </w:pPr>
      <w:r w:rsidRPr="00B00B03">
        <w:rPr>
          <w:i/>
        </w:rPr>
        <w:t>Explain any special circumstances that would cause an information collection to be conducted in a manner</w:t>
      </w:r>
      <w:r>
        <w:rPr>
          <w:i/>
        </w:rPr>
        <w:t xml:space="preserve"> </w:t>
      </w:r>
      <w:r w:rsidRPr="0098639E">
        <w:rPr>
          <w:i/>
        </w:rPr>
        <w:t>that requires further explanation pursuant to regulations 5 CFR 1320.5</w:t>
      </w:r>
      <w:r>
        <w:rPr>
          <w:i/>
        </w:rPr>
        <w:t>.</w:t>
      </w:r>
    </w:p>
    <w:p w14:paraId="3A4D3AA6" w14:textId="77777777" w:rsidR="00480FC7" w:rsidRDefault="00480FC7" w:rsidP="00E37BCE">
      <w:pPr>
        <w:widowControl/>
      </w:pPr>
    </w:p>
    <w:p w14:paraId="3FCFC6C0" w14:textId="77777777" w:rsidR="00FE0B50" w:rsidRDefault="00FE0B50" w:rsidP="00081661">
      <w:pPr>
        <w:widowControl/>
        <w:ind w:firstLine="720"/>
      </w:pPr>
      <w:r>
        <w:t xml:space="preserve">This request contains no special circumstances.  </w:t>
      </w:r>
    </w:p>
    <w:p w14:paraId="2108826D" w14:textId="77777777" w:rsidR="002D360C" w:rsidRDefault="002D360C" w:rsidP="00081661">
      <w:pPr>
        <w:widowControl/>
        <w:ind w:firstLine="720"/>
      </w:pPr>
    </w:p>
    <w:p w14:paraId="5E805ECC" w14:textId="1C7BA82E" w:rsidR="002D360C" w:rsidRPr="009F7E62" w:rsidRDefault="002D360C" w:rsidP="009F7E62">
      <w:pPr>
        <w:pStyle w:val="ListParagraph"/>
        <w:widowControl/>
        <w:numPr>
          <w:ilvl w:val="0"/>
          <w:numId w:val="9"/>
        </w:numPr>
        <w:rPr>
          <w:i/>
        </w:rPr>
      </w:pPr>
      <w:r w:rsidRPr="009F7E62">
        <w:rPr>
          <w:i/>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7DC191B8" w14:textId="77777777" w:rsidR="002D360C" w:rsidRPr="00956BE8" w:rsidRDefault="002D360C" w:rsidP="002D360C">
      <w:pPr>
        <w:widowControl/>
        <w:rPr>
          <w:i/>
        </w:rPr>
      </w:pPr>
    </w:p>
    <w:p w14:paraId="06004957" w14:textId="77777777" w:rsidR="002D360C" w:rsidRPr="009F7E62" w:rsidRDefault="002D360C" w:rsidP="009F7E62">
      <w:pPr>
        <w:pStyle w:val="ListParagraph"/>
        <w:widowControl/>
        <w:rPr>
          <w:i/>
        </w:rPr>
      </w:pPr>
      <w:r w:rsidRPr="009F7E62">
        <w:rPr>
          <w:i/>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14:paraId="540A4E12" w14:textId="77777777" w:rsidR="002D360C" w:rsidRPr="00956BE8" w:rsidRDefault="002D360C" w:rsidP="002D360C">
      <w:pPr>
        <w:widowControl/>
        <w:rPr>
          <w:i/>
        </w:rPr>
      </w:pPr>
    </w:p>
    <w:p w14:paraId="2A61DC9C" w14:textId="77777777" w:rsidR="002D360C" w:rsidRPr="009F7E62" w:rsidRDefault="002D360C" w:rsidP="009F7E62">
      <w:pPr>
        <w:pStyle w:val="ListParagraph"/>
        <w:widowControl/>
        <w:rPr>
          <w:i/>
        </w:rPr>
      </w:pPr>
      <w:r w:rsidRPr="009F7E62">
        <w:rPr>
          <w:i/>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07591EDF" w14:textId="77777777" w:rsidR="00FE0B50" w:rsidRDefault="00FE0B50" w:rsidP="00FE0B50">
      <w:pPr>
        <w:widowControl/>
      </w:pPr>
    </w:p>
    <w:p w14:paraId="46F14FE2" w14:textId="4DC1EE64" w:rsidR="00E004D2" w:rsidRDefault="008F002D" w:rsidP="00081661">
      <w:pPr>
        <w:widowControl/>
        <w:ind w:left="720"/>
      </w:pPr>
      <w:r w:rsidRPr="008F002D">
        <w:t>In accordance with the Paperwork Reduction Act of 1995, the public was given 60 days to comment on the Federal Register Notice published on</w:t>
      </w:r>
      <w:r>
        <w:t xml:space="preserve"> </w:t>
      </w:r>
      <w:r w:rsidR="000605C7">
        <w:t xml:space="preserve">October 3, </w:t>
      </w:r>
      <w:r w:rsidR="000605C7" w:rsidRPr="00E63A3A">
        <w:t>2018</w:t>
      </w:r>
      <w:r w:rsidR="0000469D" w:rsidRPr="00E63A3A">
        <w:t xml:space="preserve"> (</w:t>
      </w:r>
      <w:r w:rsidR="000605C7" w:rsidRPr="00E63A3A">
        <w:t>83 FR 49951</w:t>
      </w:r>
      <w:r w:rsidR="0000469D" w:rsidRPr="00E63A3A">
        <w:t>)</w:t>
      </w:r>
      <w:r w:rsidR="00EC0979" w:rsidRPr="00E63A3A">
        <w:t>.</w:t>
      </w:r>
      <w:r w:rsidR="00EC0979">
        <w:t xml:space="preserve">  No </w:t>
      </w:r>
      <w:r>
        <w:t xml:space="preserve">public </w:t>
      </w:r>
      <w:r w:rsidR="00EC0979">
        <w:t>comments were received.</w:t>
      </w:r>
      <w:r>
        <w:t xml:space="preserve"> </w:t>
      </w:r>
    </w:p>
    <w:p w14:paraId="4E5E84A5" w14:textId="77777777" w:rsidR="00AA1935" w:rsidRDefault="00AA1935" w:rsidP="00081661">
      <w:pPr>
        <w:widowControl/>
        <w:ind w:left="720"/>
      </w:pPr>
    </w:p>
    <w:p w14:paraId="32925F7B" w14:textId="4340DC2F" w:rsidR="008B3D99" w:rsidRPr="009F7E62" w:rsidRDefault="00E004D2" w:rsidP="009F7E62">
      <w:pPr>
        <w:pStyle w:val="ListParagraph"/>
        <w:widowControl/>
        <w:numPr>
          <w:ilvl w:val="0"/>
          <w:numId w:val="9"/>
        </w:numPr>
        <w:rPr>
          <w:i/>
        </w:rPr>
      </w:pPr>
      <w:r w:rsidRPr="009F7E62">
        <w:rPr>
          <w:i/>
        </w:rPr>
        <w:t>Explain any decision to provide any payment or gift to respondents, other than remuneration of contractors or grantees.</w:t>
      </w:r>
    </w:p>
    <w:p w14:paraId="3465B079" w14:textId="77777777" w:rsidR="00FE0B50" w:rsidRDefault="00FE0B50" w:rsidP="00FE0B50">
      <w:pPr>
        <w:widowControl/>
        <w:tabs>
          <w:tab w:val="left" w:pos="-1440"/>
        </w:tabs>
      </w:pPr>
    </w:p>
    <w:p w14:paraId="3C2FF40A" w14:textId="77777777" w:rsidR="00FE0B50" w:rsidRDefault="00E004D2" w:rsidP="00FE0B50">
      <w:pPr>
        <w:widowControl/>
        <w:tabs>
          <w:tab w:val="left" w:pos="-1440"/>
        </w:tabs>
      </w:pPr>
      <w:r>
        <w:tab/>
      </w:r>
      <w:r w:rsidR="00FE0B50">
        <w:t>There are no payments</w:t>
      </w:r>
      <w:r>
        <w:t xml:space="preserve"> or gifts provided</w:t>
      </w:r>
      <w:r w:rsidR="00FE0B50">
        <w:t xml:space="preserve"> to respondents.</w:t>
      </w:r>
    </w:p>
    <w:p w14:paraId="16B1F48F" w14:textId="77777777" w:rsidR="00E004D2" w:rsidRDefault="00E004D2" w:rsidP="00FE0B50">
      <w:pPr>
        <w:widowControl/>
        <w:tabs>
          <w:tab w:val="left" w:pos="-1440"/>
        </w:tabs>
      </w:pPr>
    </w:p>
    <w:p w14:paraId="43FFCC05" w14:textId="2A4BBE2F" w:rsidR="00FE0B50" w:rsidRPr="009F7E62" w:rsidRDefault="00E004D2" w:rsidP="009F7E62">
      <w:pPr>
        <w:pStyle w:val="ListParagraph"/>
        <w:widowControl/>
        <w:numPr>
          <w:ilvl w:val="0"/>
          <w:numId w:val="9"/>
        </w:numPr>
        <w:tabs>
          <w:tab w:val="left" w:pos="-1440"/>
        </w:tabs>
        <w:rPr>
          <w:i/>
        </w:rPr>
      </w:pPr>
      <w:r w:rsidRPr="009F7E62">
        <w:rPr>
          <w:i/>
        </w:rPr>
        <w:t>Describe any assurance of confidentiality provided to respondents and the basis for the assurance in statute, regulation, or agency policy.</w:t>
      </w:r>
    </w:p>
    <w:p w14:paraId="4742ACE4" w14:textId="77777777" w:rsidR="00FE0B50" w:rsidRPr="00956BE8" w:rsidRDefault="00FE0B50" w:rsidP="00FE0B50">
      <w:pPr>
        <w:widowControl/>
        <w:tabs>
          <w:tab w:val="left" w:pos="-1440"/>
        </w:tabs>
        <w:rPr>
          <w:i/>
        </w:rPr>
      </w:pPr>
    </w:p>
    <w:p w14:paraId="63EF6ED5" w14:textId="77777777" w:rsidR="00FE0B50" w:rsidRDefault="00FE0B50" w:rsidP="00081661">
      <w:pPr>
        <w:widowControl/>
        <w:ind w:firstLine="720"/>
      </w:pPr>
      <w:r>
        <w:t>No confidential inform</w:t>
      </w:r>
      <w:r w:rsidR="008B3D99">
        <w:t>ation is collected</w:t>
      </w:r>
      <w:r w:rsidR="00031B15">
        <w:t>, and there is no expectation of confidentiality.</w:t>
      </w:r>
    </w:p>
    <w:p w14:paraId="737BD092" w14:textId="77777777" w:rsidR="00BC0D2E" w:rsidRDefault="00BC0D2E" w:rsidP="00081661">
      <w:pPr>
        <w:widowControl/>
        <w:ind w:left="720" w:hanging="720"/>
        <w:rPr>
          <w:i/>
        </w:rPr>
      </w:pPr>
    </w:p>
    <w:p w14:paraId="665EC6C1" w14:textId="002B42DC" w:rsidR="001A58A7" w:rsidRPr="008F002D" w:rsidRDefault="007F4AB0" w:rsidP="008F002D">
      <w:pPr>
        <w:pStyle w:val="ListParagraph"/>
        <w:widowControl/>
        <w:numPr>
          <w:ilvl w:val="0"/>
          <w:numId w:val="9"/>
        </w:numPr>
        <w:rPr>
          <w:i/>
        </w:rPr>
      </w:pPr>
      <w:r w:rsidRPr="009F7E62">
        <w:rPr>
          <w:i/>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w:t>
      </w:r>
      <w:r w:rsidR="00A162CB" w:rsidRPr="008F002D">
        <w:rPr>
          <w:i/>
        </w:rPr>
        <w:t>q</w:t>
      </w:r>
      <w:r w:rsidRPr="008F002D">
        <w:rPr>
          <w:i/>
        </w:rPr>
        <w:t xml:space="preserve">uestions necessary, the specific uses to be made of the information, the explanation to be </w:t>
      </w:r>
      <w:r w:rsidR="00865F21" w:rsidRPr="008F002D">
        <w:rPr>
          <w:i/>
        </w:rPr>
        <w:t xml:space="preserve">         </w:t>
      </w:r>
      <w:r w:rsidRPr="008F002D">
        <w:rPr>
          <w:i/>
        </w:rPr>
        <w:t>given to persons from whom the information is requested, and any steps to be taken to obtain their consent.</w:t>
      </w:r>
    </w:p>
    <w:p w14:paraId="5CFBCD6D" w14:textId="77777777" w:rsidR="00FE0B50" w:rsidRDefault="00FE0B50" w:rsidP="00FE0B50">
      <w:pPr>
        <w:widowControl/>
        <w:tabs>
          <w:tab w:val="left" w:pos="-1440"/>
        </w:tabs>
      </w:pPr>
    </w:p>
    <w:p w14:paraId="4304BD58" w14:textId="77777777" w:rsidR="00FE0B50" w:rsidRDefault="007F4AB0" w:rsidP="00FE0B50">
      <w:pPr>
        <w:widowControl/>
        <w:tabs>
          <w:tab w:val="left" w:pos="-1440"/>
        </w:tabs>
      </w:pPr>
      <w:r>
        <w:tab/>
      </w:r>
      <w:r w:rsidR="00FE0B50">
        <w:t>The data collection includes no questions of a sensitive nature.</w:t>
      </w:r>
    </w:p>
    <w:p w14:paraId="27E09E47" w14:textId="77777777" w:rsidR="00865F21" w:rsidRDefault="00865F21" w:rsidP="004576A9">
      <w:pPr>
        <w:widowControl/>
        <w:rPr>
          <w:i/>
        </w:rPr>
      </w:pPr>
    </w:p>
    <w:p w14:paraId="6F24E44E" w14:textId="38096499" w:rsidR="00FE0B50" w:rsidRPr="009F7E62" w:rsidRDefault="007F4AB0" w:rsidP="009F7E62">
      <w:pPr>
        <w:pStyle w:val="ListParagraph"/>
        <w:widowControl/>
        <w:numPr>
          <w:ilvl w:val="0"/>
          <w:numId w:val="9"/>
        </w:numPr>
        <w:rPr>
          <w:i/>
        </w:rPr>
      </w:pPr>
      <w:r w:rsidRPr="009F7E62">
        <w:rPr>
          <w:i/>
        </w:rPr>
        <w:t>Provide estimates of the hour burden of the collection of in</w:t>
      </w:r>
      <w:r w:rsidR="00160D82">
        <w:rPr>
          <w:i/>
        </w:rPr>
        <w:t xml:space="preserve">formation. </w:t>
      </w:r>
    </w:p>
    <w:p w14:paraId="75576E5B" w14:textId="77777777" w:rsidR="00FE0B50" w:rsidRPr="00956BE8" w:rsidRDefault="00FE0B50" w:rsidP="00FE0B50">
      <w:pPr>
        <w:widowControl/>
        <w:rPr>
          <w:i/>
        </w:rPr>
      </w:pPr>
    </w:p>
    <w:p w14:paraId="36319A29" w14:textId="5951A7D3" w:rsidR="00111F1C" w:rsidRDefault="00111F1C" w:rsidP="00081661">
      <w:pPr>
        <w:widowControl/>
        <w:tabs>
          <w:tab w:val="left" w:pos="-1440"/>
        </w:tabs>
        <w:ind w:left="720"/>
        <w:rPr>
          <w:rFonts w:hAnsi="Estrangelo Edessa"/>
        </w:rPr>
      </w:pPr>
      <w:r>
        <w:t>T</w:t>
      </w:r>
      <w:r w:rsidRPr="00111F1C">
        <w:t xml:space="preserve">able </w:t>
      </w:r>
      <w:r>
        <w:t xml:space="preserve">A.1 </w:t>
      </w:r>
      <w:r w:rsidRPr="00111F1C">
        <w:t>below shows ETA’s estimate of the proposed burden following changes mandated by PL 112-96, and as requested in this document, breaking down the total by report.</w:t>
      </w:r>
      <w:r w:rsidR="006E22CA">
        <w:t xml:space="preserve">  </w:t>
      </w:r>
      <w:r w:rsidR="00982974" w:rsidRPr="00982974">
        <w:t>In monetizing this burden, DOL used the FY 201</w:t>
      </w:r>
      <w:r w:rsidR="00885CE6">
        <w:t>8</w:t>
      </w:r>
      <w:r w:rsidR="00982974" w:rsidRPr="00982974">
        <w:t xml:space="preserve"> program planning average wage of State Workforce Agency staff of $</w:t>
      </w:r>
      <w:r w:rsidR="00885CE6" w:rsidRPr="00982974">
        <w:t>4</w:t>
      </w:r>
      <w:r w:rsidR="00885CE6">
        <w:t>8</w:t>
      </w:r>
      <w:r w:rsidR="00A14060">
        <w:t>.</w:t>
      </w:r>
      <w:r w:rsidR="00885CE6">
        <w:t>75</w:t>
      </w:r>
      <w:r w:rsidR="00982974" w:rsidRPr="00982974">
        <w:t xml:space="preserve">.  </w:t>
      </w:r>
      <w:r w:rsidR="00982974">
        <w:t xml:space="preserve">For each individual </w:t>
      </w:r>
      <w:r w:rsidR="006F3B2E">
        <w:t xml:space="preserve">ETA </w:t>
      </w:r>
      <w:r w:rsidR="00982974">
        <w:t xml:space="preserve">report, the estimated annual burden hours are multiplied by the program planning hourly wage to yield an estimate of respondent time.  </w:t>
      </w:r>
    </w:p>
    <w:p w14:paraId="27F3EF89" w14:textId="714774A1" w:rsidR="00111F1C" w:rsidRDefault="00111F1C" w:rsidP="00FE0B50">
      <w:pPr>
        <w:widowControl/>
        <w:tabs>
          <w:tab w:val="left" w:pos="-1440"/>
        </w:tabs>
        <w:rPr>
          <w:rFonts w:hAnsi="Estrangelo Edessa"/>
        </w:rPr>
      </w:pPr>
    </w:p>
    <w:p w14:paraId="5D5239F9" w14:textId="7766AA25" w:rsidR="008F002D" w:rsidRDefault="008F002D" w:rsidP="00FE0B50">
      <w:pPr>
        <w:widowControl/>
        <w:tabs>
          <w:tab w:val="left" w:pos="-1440"/>
        </w:tabs>
        <w:rPr>
          <w:rFonts w:hAnsi="Estrangelo Edessa"/>
        </w:rPr>
      </w:pPr>
    </w:p>
    <w:p w14:paraId="4157AB7C" w14:textId="77777777" w:rsidR="00E344F4" w:rsidRDefault="00E344F4" w:rsidP="00FE0B50">
      <w:pPr>
        <w:widowControl/>
        <w:tabs>
          <w:tab w:val="left" w:pos="-1440"/>
        </w:tabs>
        <w:rPr>
          <w:i/>
        </w:rPr>
      </w:pPr>
      <w:r>
        <w:rPr>
          <w:rFonts w:hAnsi="Estrangelo Edessa"/>
        </w:rPr>
        <w:tab/>
      </w:r>
      <w:r>
        <w:rPr>
          <w:i/>
        </w:rPr>
        <w:t xml:space="preserve">The following table can be used as a guide to calculate the total burden of an information </w:t>
      </w:r>
    </w:p>
    <w:p w14:paraId="29854757" w14:textId="76EDE5DF" w:rsidR="008F002D" w:rsidRDefault="00E344F4" w:rsidP="00FE0B50">
      <w:pPr>
        <w:widowControl/>
        <w:tabs>
          <w:tab w:val="left" w:pos="-1440"/>
        </w:tabs>
        <w:rPr>
          <w:rFonts w:hAnsi="Estrangelo Edessa"/>
        </w:rPr>
      </w:pPr>
      <w:r>
        <w:rPr>
          <w:i/>
        </w:rPr>
        <w:tab/>
        <w:t>collection.</w:t>
      </w:r>
    </w:p>
    <w:p w14:paraId="54393009" w14:textId="77777777" w:rsidR="00FE0B50" w:rsidRPr="00111F1C" w:rsidRDefault="00111F1C" w:rsidP="00160D82">
      <w:pPr>
        <w:widowControl/>
        <w:tabs>
          <w:tab w:val="left" w:pos="-1440"/>
        </w:tabs>
        <w:jc w:val="center"/>
        <w:rPr>
          <w:rFonts w:hAnsi="Estrangelo Edessa"/>
          <w:b/>
        </w:rPr>
      </w:pPr>
      <w:r w:rsidRPr="00111F1C">
        <w:rPr>
          <w:rFonts w:hAnsi="Estrangelo Edessa"/>
          <w:b/>
        </w:rPr>
        <w:t xml:space="preserve">Table A.1 </w:t>
      </w:r>
      <w:r w:rsidR="008141AC" w:rsidRPr="00111F1C">
        <w:rPr>
          <w:rFonts w:hAnsi="Estrangelo Edessa"/>
          <w:b/>
        </w:rPr>
        <w:t>Estimates of Total Annualized Burden, Including Proposed Changes</w:t>
      </w:r>
    </w:p>
    <w:p w14:paraId="40BC4367" w14:textId="4412BF14" w:rsidR="00944D0B" w:rsidRDefault="00944D0B" w:rsidP="007A7752">
      <w:pPr>
        <w:widowControl/>
        <w:ind w:left="720"/>
        <w:rPr>
          <w:sz w:val="23"/>
          <w:szCs w:val="23"/>
        </w:rPr>
      </w:pPr>
    </w:p>
    <w:tbl>
      <w:tblPr>
        <w:tblW w:w="10160" w:type="dxa"/>
        <w:tblInd w:w="-412" w:type="dxa"/>
        <w:tblLook w:val="04A0" w:firstRow="1" w:lastRow="0" w:firstColumn="1" w:lastColumn="0" w:noHBand="0" w:noVBand="1"/>
      </w:tblPr>
      <w:tblGrid>
        <w:gridCol w:w="1439"/>
        <w:gridCol w:w="1415"/>
        <w:gridCol w:w="1219"/>
        <w:gridCol w:w="1182"/>
        <w:gridCol w:w="1232"/>
        <w:gridCol w:w="1151"/>
        <w:gridCol w:w="889"/>
        <w:gridCol w:w="1633"/>
      </w:tblGrid>
      <w:tr w:rsidR="009F7E62" w:rsidRPr="008F002D" w14:paraId="48FCD126" w14:textId="77777777" w:rsidTr="00160D82">
        <w:trPr>
          <w:trHeight w:val="435"/>
        </w:trPr>
        <w:tc>
          <w:tcPr>
            <w:tcW w:w="143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C45C6F" w14:textId="77777777" w:rsidR="009F7E62" w:rsidRPr="008F002D" w:rsidRDefault="009F7E62" w:rsidP="009F7E62">
            <w:pPr>
              <w:widowControl/>
              <w:autoSpaceDE/>
              <w:autoSpaceDN/>
              <w:adjustRightInd/>
              <w:jc w:val="center"/>
              <w:rPr>
                <w:b/>
                <w:bCs/>
                <w:color w:val="000000"/>
                <w:sz w:val="22"/>
                <w:szCs w:val="22"/>
              </w:rPr>
            </w:pPr>
            <w:r w:rsidRPr="008F002D">
              <w:rPr>
                <w:b/>
                <w:bCs/>
                <w:color w:val="000000"/>
                <w:sz w:val="22"/>
                <w:szCs w:val="22"/>
              </w:rPr>
              <w:t>Activity</w:t>
            </w:r>
          </w:p>
        </w:tc>
        <w:tc>
          <w:tcPr>
            <w:tcW w:w="1415" w:type="dxa"/>
            <w:tcBorders>
              <w:top w:val="single" w:sz="8" w:space="0" w:color="auto"/>
              <w:left w:val="nil"/>
              <w:bottom w:val="single" w:sz="8" w:space="0" w:color="auto"/>
              <w:right w:val="single" w:sz="8" w:space="0" w:color="auto"/>
            </w:tcBorders>
            <w:shd w:val="clear" w:color="auto" w:fill="auto"/>
            <w:vAlign w:val="center"/>
            <w:hideMark/>
          </w:tcPr>
          <w:p w14:paraId="741AFF2A" w14:textId="3B43A5C4" w:rsidR="009F7E62" w:rsidRPr="008F002D" w:rsidRDefault="009F7E62" w:rsidP="009F7E62">
            <w:pPr>
              <w:widowControl/>
              <w:autoSpaceDE/>
              <w:autoSpaceDN/>
              <w:adjustRightInd/>
              <w:jc w:val="center"/>
              <w:rPr>
                <w:b/>
                <w:bCs/>
                <w:color w:val="000000"/>
                <w:sz w:val="22"/>
                <w:szCs w:val="22"/>
              </w:rPr>
            </w:pPr>
            <w:r w:rsidRPr="008F002D">
              <w:rPr>
                <w:b/>
                <w:bCs/>
                <w:color w:val="000000"/>
                <w:sz w:val="22"/>
                <w:szCs w:val="22"/>
              </w:rPr>
              <w:t>Respondents</w:t>
            </w:r>
          </w:p>
        </w:tc>
        <w:tc>
          <w:tcPr>
            <w:tcW w:w="1219" w:type="dxa"/>
            <w:tcBorders>
              <w:top w:val="single" w:sz="8" w:space="0" w:color="auto"/>
              <w:left w:val="nil"/>
              <w:bottom w:val="single" w:sz="8" w:space="0" w:color="auto"/>
              <w:right w:val="single" w:sz="8" w:space="0" w:color="auto"/>
            </w:tcBorders>
            <w:shd w:val="clear" w:color="auto" w:fill="auto"/>
            <w:vAlign w:val="center"/>
            <w:hideMark/>
          </w:tcPr>
          <w:p w14:paraId="4ABBDD3A" w14:textId="77777777" w:rsidR="009F7E62" w:rsidRPr="008F002D" w:rsidRDefault="009F7E62" w:rsidP="009F7E62">
            <w:pPr>
              <w:widowControl/>
              <w:autoSpaceDE/>
              <w:autoSpaceDN/>
              <w:adjustRightInd/>
              <w:jc w:val="center"/>
              <w:rPr>
                <w:b/>
                <w:bCs/>
                <w:color w:val="000000"/>
                <w:sz w:val="22"/>
                <w:szCs w:val="22"/>
              </w:rPr>
            </w:pPr>
            <w:r w:rsidRPr="008F002D">
              <w:rPr>
                <w:b/>
                <w:bCs/>
                <w:color w:val="000000"/>
                <w:sz w:val="22"/>
                <w:szCs w:val="22"/>
              </w:rPr>
              <w:t>Frequency</w:t>
            </w:r>
          </w:p>
        </w:tc>
        <w:tc>
          <w:tcPr>
            <w:tcW w:w="1182" w:type="dxa"/>
            <w:tcBorders>
              <w:top w:val="single" w:sz="8" w:space="0" w:color="auto"/>
              <w:left w:val="nil"/>
              <w:bottom w:val="single" w:sz="8" w:space="0" w:color="auto"/>
              <w:right w:val="single" w:sz="8" w:space="0" w:color="auto"/>
            </w:tcBorders>
            <w:shd w:val="clear" w:color="auto" w:fill="auto"/>
            <w:vAlign w:val="center"/>
            <w:hideMark/>
          </w:tcPr>
          <w:p w14:paraId="2422D45C" w14:textId="77777777" w:rsidR="009F7E62" w:rsidRPr="008F002D" w:rsidRDefault="009F7E62" w:rsidP="009F7E62">
            <w:pPr>
              <w:widowControl/>
              <w:autoSpaceDE/>
              <w:autoSpaceDN/>
              <w:adjustRightInd/>
              <w:jc w:val="center"/>
              <w:rPr>
                <w:b/>
                <w:bCs/>
                <w:color w:val="000000"/>
                <w:sz w:val="22"/>
                <w:szCs w:val="22"/>
              </w:rPr>
            </w:pPr>
            <w:r w:rsidRPr="008F002D">
              <w:rPr>
                <w:b/>
                <w:bCs/>
                <w:color w:val="000000"/>
                <w:sz w:val="22"/>
                <w:szCs w:val="22"/>
              </w:rPr>
              <w:t>Total Annual Responses</w:t>
            </w:r>
          </w:p>
        </w:tc>
        <w:tc>
          <w:tcPr>
            <w:tcW w:w="1232" w:type="dxa"/>
            <w:tcBorders>
              <w:top w:val="single" w:sz="8" w:space="0" w:color="auto"/>
              <w:left w:val="nil"/>
              <w:bottom w:val="single" w:sz="8" w:space="0" w:color="auto"/>
              <w:right w:val="single" w:sz="8" w:space="0" w:color="auto"/>
            </w:tcBorders>
            <w:shd w:val="clear" w:color="auto" w:fill="auto"/>
            <w:vAlign w:val="center"/>
            <w:hideMark/>
          </w:tcPr>
          <w:p w14:paraId="6739A28A" w14:textId="77777777" w:rsidR="009F7E62" w:rsidRPr="008F002D" w:rsidRDefault="009F7E62" w:rsidP="009F7E62">
            <w:pPr>
              <w:widowControl/>
              <w:autoSpaceDE/>
              <w:autoSpaceDN/>
              <w:adjustRightInd/>
              <w:jc w:val="center"/>
              <w:rPr>
                <w:b/>
                <w:bCs/>
                <w:color w:val="000000"/>
                <w:sz w:val="22"/>
                <w:szCs w:val="22"/>
              </w:rPr>
            </w:pPr>
            <w:r w:rsidRPr="008F002D">
              <w:rPr>
                <w:b/>
                <w:bCs/>
                <w:color w:val="000000"/>
                <w:sz w:val="22"/>
                <w:szCs w:val="22"/>
              </w:rPr>
              <w:t>Time Per Response</w:t>
            </w:r>
          </w:p>
        </w:tc>
        <w:tc>
          <w:tcPr>
            <w:tcW w:w="1151" w:type="dxa"/>
            <w:tcBorders>
              <w:top w:val="single" w:sz="8" w:space="0" w:color="auto"/>
              <w:left w:val="nil"/>
              <w:bottom w:val="single" w:sz="8" w:space="0" w:color="auto"/>
              <w:right w:val="single" w:sz="8" w:space="0" w:color="auto"/>
            </w:tcBorders>
            <w:shd w:val="clear" w:color="auto" w:fill="auto"/>
            <w:vAlign w:val="center"/>
            <w:hideMark/>
          </w:tcPr>
          <w:p w14:paraId="291D6F29" w14:textId="77777777" w:rsidR="009F7E62" w:rsidRPr="008F002D" w:rsidRDefault="009F7E62" w:rsidP="009F7E62">
            <w:pPr>
              <w:widowControl/>
              <w:autoSpaceDE/>
              <w:autoSpaceDN/>
              <w:adjustRightInd/>
              <w:jc w:val="center"/>
              <w:rPr>
                <w:b/>
                <w:bCs/>
                <w:color w:val="000000"/>
                <w:sz w:val="22"/>
                <w:szCs w:val="22"/>
              </w:rPr>
            </w:pPr>
            <w:r w:rsidRPr="008F002D">
              <w:rPr>
                <w:b/>
                <w:bCs/>
                <w:color w:val="000000"/>
                <w:sz w:val="22"/>
                <w:szCs w:val="22"/>
              </w:rPr>
              <w:t>Total Annual Burden (Hours)</w:t>
            </w:r>
          </w:p>
        </w:tc>
        <w:tc>
          <w:tcPr>
            <w:tcW w:w="889" w:type="dxa"/>
            <w:tcBorders>
              <w:top w:val="single" w:sz="8" w:space="0" w:color="auto"/>
              <w:left w:val="nil"/>
              <w:bottom w:val="single" w:sz="8" w:space="0" w:color="auto"/>
              <w:right w:val="single" w:sz="8" w:space="0" w:color="auto"/>
            </w:tcBorders>
            <w:shd w:val="clear" w:color="auto" w:fill="auto"/>
            <w:vAlign w:val="center"/>
            <w:hideMark/>
          </w:tcPr>
          <w:p w14:paraId="693E485E" w14:textId="77777777" w:rsidR="009F7E62" w:rsidRPr="008F002D" w:rsidRDefault="009F7E62" w:rsidP="009F7E62">
            <w:pPr>
              <w:widowControl/>
              <w:autoSpaceDE/>
              <w:autoSpaceDN/>
              <w:adjustRightInd/>
              <w:jc w:val="center"/>
              <w:rPr>
                <w:b/>
                <w:bCs/>
                <w:color w:val="000000"/>
                <w:sz w:val="22"/>
                <w:szCs w:val="22"/>
              </w:rPr>
            </w:pPr>
            <w:r w:rsidRPr="008F002D">
              <w:rPr>
                <w:b/>
                <w:bCs/>
                <w:color w:val="000000"/>
                <w:sz w:val="22"/>
                <w:szCs w:val="22"/>
              </w:rPr>
              <w:t>Hourly Rate*</w:t>
            </w:r>
          </w:p>
        </w:tc>
        <w:tc>
          <w:tcPr>
            <w:tcW w:w="1633" w:type="dxa"/>
            <w:tcBorders>
              <w:top w:val="single" w:sz="8" w:space="0" w:color="auto"/>
              <w:left w:val="nil"/>
              <w:bottom w:val="single" w:sz="8" w:space="0" w:color="auto"/>
              <w:right w:val="single" w:sz="8" w:space="0" w:color="auto"/>
            </w:tcBorders>
            <w:shd w:val="clear" w:color="auto" w:fill="auto"/>
            <w:vAlign w:val="center"/>
            <w:hideMark/>
          </w:tcPr>
          <w:p w14:paraId="156B1B23" w14:textId="77777777" w:rsidR="009F7E62" w:rsidRPr="008F002D" w:rsidRDefault="009F7E62" w:rsidP="009F7E62">
            <w:pPr>
              <w:widowControl/>
              <w:autoSpaceDE/>
              <w:autoSpaceDN/>
              <w:adjustRightInd/>
              <w:jc w:val="center"/>
              <w:rPr>
                <w:b/>
                <w:bCs/>
                <w:color w:val="000000"/>
                <w:sz w:val="22"/>
                <w:szCs w:val="22"/>
              </w:rPr>
            </w:pPr>
            <w:r w:rsidRPr="008F002D">
              <w:rPr>
                <w:b/>
                <w:bCs/>
                <w:color w:val="000000"/>
                <w:sz w:val="22"/>
                <w:szCs w:val="22"/>
              </w:rPr>
              <w:t>Monetized Value of Respondent Time</w:t>
            </w:r>
          </w:p>
        </w:tc>
      </w:tr>
      <w:tr w:rsidR="009F7E62" w:rsidRPr="008F002D" w14:paraId="54FCC2BC" w14:textId="77777777" w:rsidTr="00160D82">
        <w:trPr>
          <w:trHeight w:val="465"/>
        </w:trPr>
        <w:tc>
          <w:tcPr>
            <w:tcW w:w="1439" w:type="dxa"/>
            <w:tcBorders>
              <w:top w:val="nil"/>
              <w:left w:val="single" w:sz="8" w:space="0" w:color="auto"/>
              <w:bottom w:val="single" w:sz="8" w:space="0" w:color="auto"/>
              <w:right w:val="single" w:sz="8" w:space="0" w:color="auto"/>
            </w:tcBorders>
            <w:shd w:val="clear" w:color="auto" w:fill="auto"/>
            <w:vAlign w:val="center"/>
            <w:hideMark/>
          </w:tcPr>
          <w:p w14:paraId="25F08AEE"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Reporting of ETA 2112</w:t>
            </w:r>
          </w:p>
        </w:tc>
        <w:tc>
          <w:tcPr>
            <w:tcW w:w="1415" w:type="dxa"/>
            <w:tcBorders>
              <w:top w:val="nil"/>
              <w:left w:val="nil"/>
              <w:bottom w:val="single" w:sz="8" w:space="0" w:color="auto"/>
              <w:right w:val="single" w:sz="8" w:space="0" w:color="auto"/>
            </w:tcBorders>
            <w:shd w:val="clear" w:color="auto" w:fill="auto"/>
            <w:vAlign w:val="center"/>
            <w:hideMark/>
          </w:tcPr>
          <w:p w14:paraId="180E840F"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53</w:t>
            </w:r>
          </w:p>
        </w:tc>
        <w:tc>
          <w:tcPr>
            <w:tcW w:w="1219" w:type="dxa"/>
            <w:tcBorders>
              <w:top w:val="nil"/>
              <w:left w:val="nil"/>
              <w:bottom w:val="single" w:sz="8" w:space="0" w:color="auto"/>
              <w:right w:val="single" w:sz="8" w:space="0" w:color="auto"/>
            </w:tcBorders>
            <w:shd w:val="clear" w:color="auto" w:fill="auto"/>
            <w:vAlign w:val="center"/>
            <w:hideMark/>
          </w:tcPr>
          <w:p w14:paraId="7FED04BE"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12</w:t>
            </w:r>
          </w:p>
        </w:tc>
        <w:tc>
          <w:tcPr>
            <w:tcW w:w="1182" w:type="dxa"/>
            <w:tcBorders>
              <w:top w:val="nil"/>
              <w:left w:val="nil"/>
              <w:bottom w:val="single" w:sz="8" w:space="0" w:color="auto"/>
              <w:right w:val="single" w:sz="8" w:space="0" w:color="auto"/>
            </w:tcBorders>
            <w:shd w:val="clear" w:color="auto" w:fill="auto"/>
            <w:vAlign w:val="center"/>
            <w:hideMark/>
          </w:tcPr>
          <w:p w14:paraId="42DBF04C"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636</w:t>
            </w:r>
          </w:p>
        </w:tc>
        <w:tc>
          <w:tcPr>
            <w:tcW w:w="1232" w:type="dxa"/>
            <w:tcBorders>
              <w:top w:val="nil"/>
              <w:left w:val="nil"/>
              <w:bottom w:val="single" w:sz="8" w:space="0" w:color="auto"/>
              <w:right w:val="single" w:sz="8" w:space="0" w:color="auto"/>
            </w:tcBorders>
            <w:shd w:val="clear" w:color="auto" w:fill="auto"/>
            <w:vAlign w:val="center"/>
            <w:hideMark/>
          </w:tcPr>
          <w:p w14:paraId="0A9E7672"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0.5</w:t>
            </w:r>
          </w:p>
        </w:tc>
        <w:tc>
          <w:tcPr>
            <w:tcW w:w="1151" w:type="dxa"/>
            <w:tcBorders>
              <w:top w:val="nil"/>
              <w:left w:val="nil"/>
              <w:bottom w:val="single" w:sz="8" w:space="0" w:color="auto"/>
              <w:right w:val="single" w:sz="8" w:space="0" w:color="auto"/>
            </w:tcBorders>
            <w:shd w:val="clear" w:color="auto" w:fill="auto"/>
            <w:vAlign w:val="center"/>
            <w:hideMark/>
          </w:tcPr>
          <w:p w14:paraId="7C3296ED"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318</w:t>
            </w:r>
          </w:p>
        </w:tc>
        <w:tc>
          <w:tcPr>
            <w:tcW w:w="889" w:type="dxa"/>
            <w:tcBorders>
              <w:top w:val="nil"/>
              <w:left w:val="nil"/>
              <w:bottom w:val="single" w:sz="8" w:space="0" w:color="auto"/>
              <w:right w:val="single" w:sz="8" w:space="0" w:color="auto"/>
            </w:tcBorders>
            <w:shd w:val="clear" w:color="auto" w:fill="auto"/>
            <w:vAlign w:val="center"/>
            <w:hideMark/>
          </w:tcPr>
          <w:p w14:paraId="3BD5060C"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 xml:space="preserve">$48.75 </w:t>
            </w:r>
          </w:p>
        </w:tc>
        <w:tc>
          <w:tcPr>
            <w:tcW w:w="1633" w:type="dxa"/>
            <w:tcBorders>
              <w:top w:val="nil"/>
              <w:left w:val="nil"/>
              <w:bottom w:val="single" w:sz="8" w:space="0" w:color="auto"/>
              <w:right w:val="single" w:sz="8" w:space="0" w:color="auto"/>
            </w:tcBorders>
            <w:shd w:val="clear" w:color="auto" w:fill="auto"/>
            <w:vAlign w:val="center"/>
            <w:hideMark/>
          </w:tcPr>
          <w:p w14:paraId="7655CF40" w14:textId="5FE88814" w:rsidR="009F7E62" w:rsidRPr="008F002D" w:rsidRDefault="00E344F4" w:rsidP="009F7E62">
            <w:pPr>
              <w:widowControl/>
              <w:autoSpaceDE/>
              <w:autoSpaceDN/>
              <w:adjustRightInd/>
              <w:jc w:val="center"/>
              <w:rPr>
                <w:color w:val="000000"/>
                <w:sz w:val="22"/>
                <w:szCs w:val="22"/>
              </w:rPr>
            </w:pPr>
            <w:r>
              <w:rPr>
                <w:color w:val="000000"/>
                <w:sz w:val="22"/>
                <w:szCs w:val="22"/>
              </w:rPr>
              <w:t>$15,881</w:t>
            </w:r>
            <w:r w:rsidR="009F7E62" w:rsidRPr="008F002D">
              <w:rPr>
                <w:color w:val="000000"/>
                <w:sz w:val="22"/>
                <w:szCs w:val="22"/>
              </w:rPr>
              <w:t xml:space="preserve"> </w:t>
            </w:r>
          </w:p>
        </w:tc>
      </w:tr>
      <w:tr w:rsidR="009F7E62" w:rsidRPr="008F002D" w14:paraId="2B4F935D" w14:textId="77777777" w:rsidTr="00160D82">
        <w:trPr>
          <w:trHeight w:val="465"/>
        </w:trPr>
        <w:tc>
          <w:tcPr>
            <w:tcW w:w="1439" w:type="dxa"/>
            <w:tcBorders>
              <w:top w:val="nil"/>
              <w:left w:val="single" w:sz="8" w:space="0" w:color="auto"/>
              <w:bottom w:val="single" w:sz="8" w:space="0" w:color="auto"/>
              <w:right w:val="single" w:sz="8" w:space="0" w:color="auto"/>
            </w:tcBorders>
            <w:shd w:val="clear" w:color="auto" w:fill="auto"/>
            <w:vAlign w:val="center"/>
            <w:hideMark/>
          </w:tcPr>
          <w:p w14:paraId="7FC78321"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Reporting of ETA 8401</w:t>
            </w:r>
          </w:p>
        </w:tc>
        <w:tc>
          <w:tcPr>
            <w:tcW w:w="1415" w:type="dxa"/>
            <w:tcBorders>
              <w:top w:val="nil"/>
              <w:left w:val="nil"/>
              <w:bottom w:val="single" w:sz="8" w:space="0" w:color="auto"/>
              <w:right w:val="single" w:sz="8" w:space="0" w:color="auto"/>
            </w:tcBorders>
            <w:shd w:val="clear" w:color="auto" w:fill="auto"/>
            <w:vAlign w:val="center"/>
            <w:hideMark/>
          </w:tcPr>
          <w:p w14:paraId="23FE8B37"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53</w:t>
            </w:r>
          </w:p>
        </w:tc>
        <w:tc>
          <w:tcPr>
            <w:tcW w:w="1219" w:type="dxa"/>
            <w:tcBorders>
              <w:top w:val="nil"/>
              <w:left w:val="nil"/>
              <w:bottom w:val="single" w:sz="8" w:space="0" w:color="auto"/>
              <w:right w:val="single" w:sz="8" w:space="0" w:color="auto"/>
            </w:tcBorders>
            <w:shd w:val="clear" w:color="auto" w:fill="auto"/>
            <w:vAlign w:val="center"/>
            <w:hideMark/>
          </w:tcPr>
          <w:p w14:paraId="772F8B21"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12</w:t>
            </w:r>
          </w:p>
        </w:tc>
        <w:tc>
          <w:tcPr>
            <w:tcW w:w="1182" w:type="dxa"/>
            <w:tcBorders>
              <w:top w:val="nil"/>
              <w:left w:val="nil"/>
              <w:bottom w:val="single" w:sz="8" w:space="0" w:color="auto"/>
              <w:right w:val="single" w:sz="8" w:space="0" w:color="auto"/>
            </w:tcBorders>
            <w:shd w:val="clear" w:color="auto" w:fill="auto"/>
            <w:vAlign w:val="center"/>
            <w:hideMark/>
          </w:tcPr>
          <w:p w14:paraId="75F95C22"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636</w:t>
            </w:r>
          </w:p>
        </w:tc>
        <w:tc>
          <w:tcPr>
            <w:tcW w:w="1232" w:type="dxa"/>
            <w:tcBorders>
              <w:top w:val="nil"/>
              <w:left w:val="nil"/>
              <w:bottom w:val="single" w:sz="8" w:space="0" w:color="auto"/>
              <w:right w:val="single" w:sz="8" w:space="0" w:color="auto"/>
            </w:tcBorders>
            <w:shd w:val="clear" w:color="auto" w:fill="auto"/>
            <w:vAlign w:val="center"/>
            <w:hideMark/>
          </w:tcPr>
          <w:p w14:paraId="7A507AF6"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0.5</w:t>
            </w:r>
          </w:p>
        </w:tc>
        <w:tc>
          <w:tcPr>
            <w:tcW w:w="1151" w:type="dxa"/>
            <w:tcBorders>
              <w:top w:val="nil"/>
              <w:left w:val="nil"/>
              <w:bottom w:val="single" w:sz="8" w:space="0" w:color="auto"/>
              <w:right w:val="single" w:sz="8" w:space="0" w:color="auto"/>
            </w:tcBorders>
            <w:shd w:val="clear" w:color="auto" w:fill="auto"/>
            <w:vAlign w:val="center"/>
            <w:hideMark/>
          </w:tcPr>
          <w:p w14:paraId="7C8A1DE2"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318</w:t>
            </w:r>
          </w:p>
        </w:tc>
        <w:tc>
          <w:tcPr>
            <w:tcW w:w="889" w:type="dxa"/>
            <w:tcBorders>
              <w:top w:val="nil"/>
              <w:left w:val="nil"/>
              <w:bottom w:val="single" w:sz="8" w:space="0" w:color="auto"/>
              <w:right w:val="single" w:sz="8" w:space="0" w:color="auto"/>
            </w:tcBorders>
            <w:shd w:val="clear" w:color="auto" w:fill="auto"/>
            <w:vAlign w:val="center"/>
            <w:hideMark/>
          </w:tcPr>
          <w:p w14:paraId="59A9644E"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 xml:space="preserve">$48.75 </w:t>
            </w:r>
          </w:p>
        </w:tc>
        <w:tc>
          <w:tcPr>
            <w:tcW w:w="1633" w:type="dxa"/>
            <w:tcBorders>
              <w:top w:val="nil"/>
              <w:left w:val="nil"/>
              <w:bottom w:val="single" w:sz="8" w:space="0" w:color="auto"/>
              <w:right w:val="single" w:sz="8" w:space="0" w:color="auto"/>
            </w:tcBorders>
            <w:shd w:val="clear" w:color="auto" w:fill="auto"/>
            <w:vAlign w:val="center"/>
            <w:hideMark/>
          </w:tcPr>
          <w:p w14:paraId="5279F241" w14:textId="17EEBAEB" w:rsidR="009F7E62" w:rsidRPr="008F002D" w:rsidRDefault="00E344F4" w:rsidP="009F7E62">
            <w:pPr>
              <w:widowControl/>
              <w:autoSpaceDE/>
              <w:autoSpaceDN/>
              <w:adjustRightInd/>
              <w:jc w:val="center"/>
              <w:rPr>
                <w:color w:val="000000"/>
                <w:sz w:val="22"/>
                <w:szCs w:val="22"/>
              </w:rPr>
            </w:pPr>
            <w:r>
              <w:rPr>
                <w:color w:val="000000"/>
                <w:sz w:val="22"/>
                <w:szCs w:val="22"/>
              </w:rPr>
              <w:t>$15,881</w:t>
            </w:r>
          </w:p>
        </w:tc>
      </w:tr>
      <w:tr w:rsidR="009F7E62" w:rsidRPr="008F002D" w14:paraId="72817E30" w14:textId="77777777" w:rsidTr="00160D82">
        <w:trPr>
          <w:trHeight w:val="465"/>
        </w:trPr>
        <w:tc>
          <w:tcPr>
            <w:tcW w:w="1439" w:type="dxa"/>
            <w:tcBorders>
              <w:top w:val="nil"/>
              <w:left w:val="single" w:sz="8" w:space="0" w:color="auto"/>
              <w:bottom w:val="single" w:sz="8" w:space="0" w:color="auto"/>
              <w:right w:val="single" w:sz="8" w:space="0" w:color="auto"/>
            </w:tcBorders>
            <w:shd w:val="clear" w:color="auto" w:fill="auto"/>
            <w:vAlign w:val="center"/>
            <w:hideMark/>
          </w:tcPr>
          <w:p w14:paraId="26D511E8"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Reporting of ETA 8405</w:t>
            </w:r>
          </w:p>
        </w:tc>
        <w:tc>
          <w:tcPr>
            <w:tcW w:w="1415" w:type="dxa"/>
            <w:tcBorders>
              <w:top w:val="nil"/>
              <w:left w:val="nil"/>
              <w:bottom w:val="single" w:sz="8" w:space="0" w:color="auto"/>
              <w:right w:val="single" w:sz="8" w:space="0" w:color="auto"/>
            </w:tcBorders>
            <w:shd w:val="clear" w:color="auto" w:fill="auto"/>
            <w:vAlign w:val="center"/>
            <w:hideMark/>
          </w:tcPr>
          <w:p w14:paraId="571CB0D2"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53</w:t>
            </w:r>
          </w:p>
        </w:tc>
        <w:tc>
          <w:tcPr>
            <w:tcW w:w="1219" w:type="dxa"/>
            <w:tcBorders>
              <w:top w:val="nil"/>
              <w:left w:val="nil"/>
              <w:bottom w:val="single" w:sz="8" w:space="0" w:color="auto"/>
              <w:right w:val="single" w:sz="8" w:space="0" w:color="auto"/>
            </w:tcBorders>
            <w:shd w:val="clear" w:color="auto" w:fill="auto"/>
            <w:vAlign w:val="center"/>
            <w:hideMark/>
          </w:tcPr>
          <w:p w14:paraId="02B84355"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12</w:t>
            </w:r>
          </w:p>
        </w:tc>
        <w:tc>
          <w:tcPr>
            <w:tcW w:w="1182" w:type="dxa"/>
            <w:tcBorders>
              <w:top w:val="nil"/>
              <w:left w:val="nil"/>
              <w:bottom w:val="single" w:sz="8" w:space="0" w:color="auto"/>
              <w:right w:val="single" w:sz="8" w:space="0" w:color="auto"/>
            </w:tcBorders>
            <w:shd w:val="clear" w:color="auto" w:fill="auto"/>
            <w:vAlign w:val="center"/>
            <w:hideMark/>
          </w:tcPr>
          <w:p w14:paraId="71FBBB97"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636</w:t>
            </w:r>
          </w:p>
        </w:tc>
        <w:tc>
          <w:tcPr>
            <w:tcW w:w="1232" w:type="dxa"/>
            <w:tcBorders>
              <w:top w:val="nil"/>
              <w:left w:val="nil"/>
              <w:bottom w:val="single" w:sz="8" w:space="0" w:color="auto"/>
              <w:right w:val="single" w:sz="8" w:space="0" w:color="auto"/>
            </w:tcBorders>
            <w:shd w:val="clear" w:color="auto" w:fill="auto"/>
            <w:vAlign w:val="center"/>
            <w:hideMark/>
          </w:tcPr>
          <w:p w14:paraId="61587409"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0.5</w:t>
            </w:r>
          </w:p>
        </w:tc>
        <w:tc>
          <w:tcPr>
            <w:tcW w:w="1151" w:type="dxa"/>
            <w:tcBorders>
              <w:top w:val="nil"/>
              <w:left w:val="nil"/>
              <w:bottom w:val="single" w:sz="8" w:space="0" w:color="auto"/>
              <w:right w:val="single" w:sz="8" w:space="0" w:color="auto"/>
            </w:tcBorders>
            <w:shd w:val="clear" w:color="auto" w:fill="auto"/>
            <w:vAlign w:val="center"/>
            <w:hideMark/>
          </w:tcPr>
          <w:p w14:paraId="1968687F"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318</w:t>
            </w:r>
          </w:p>
        </w:tc>
        <w:tc>
          <w:tcPr>
            <w:tcW w:w="889" w:type="dxa"/>
            <w:tcBorders>
              <w:top w:val="nil"/>
              <w:left w:val="nil"/>
              <w:bottom w:val="single" w:sz="8" w:space="0" w:color="auto"/>
              <w:right w:val="single" w:sz="8" w:space="0" w:color="auto"/>
            </w:tcBorders>
            <w:shd w:val="clear" w:color="auto" w:fill="auto"/>
            <w:vAlign w:val="center"/>
            <w:hideMark/>
          </w:tcPr>
          <w:p w14:paraId="557D80D7"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 xml:space="preserve">$48.75 </w:t>
            </w:r>
          </w:p>
        </w:tc>
        <w:tc>
          <w:tcPr>
            <w:tcW w:w="1633" w:type="dxa"/>
            <w:tcBorders>
              <w:top w:val="nil"/>
              <w:left w:val="nil"/>
              <w:bottom w:val="single" w:sz="8" w:space="0" w:color="auto"/>
              <w:right w:val="single" w:sz="8" w:space="0" w:color="auto"/>
            </w:tcBorders>
            <w:shd w:val="clear" w:color="auto" w:fill="auto"/>
            <w:vAlign w:val="center"/>
            <w:hideMark/>
          </w:tcPr>
          <w:p w14:paraId="4AC4947E" w14:textId="79867778" w:rsidR="009F7E62" w:rsidRPr="008F002D" w:rsidRDefault="00E344F4" w:rsidP="009F7E62">
            <w:pPr>
              <w:widowControl/>
              <w:autoSpaceDE/>
              <w:autoSpaceDN/>
              <w:adjustRightInd/>
              <w:jc w:val="center"/>
              <w:rPr>
                <w:color w:val="000000"/>
                <w:sz w:val="22"/>
                <w:szCs w:val="22"/>
              </w:rPr>
            </w:pPr>
            <w:r>
              <w:rPr>
                <w:color w:val="000000"/>
                <w:sz w:val="22"/>
                <w:szCs w:val="22"/>
              </w:rPr>
              <w:t>$15,881</w:t>
            </w:r>
          </w:p>
        </w:tc>
      </w:tr>
      <w:tr w:rsidR="009F7E62" w:rsidRPr="008F002D" w14:paraId="06D85F4A" w14:textId="77777777" w:rsidTr="00160D82">
        <w:trPr>
          <w:trHeight w:val="465"/>
        </w:trPr>
        <w:tc>
          <w:tcPr>
            <w:tcW w:w="1439" w:type="dxa"/>
            <w:tcBorders>
              <w:top w:val="nil"/>
              <w:left w:val="single" w:sz="8" w:space="0" w:color="auto"/>
              <w:bottom w:val="single" w:sz="8" w:space="0" w:color="auto"/>
              <w:right w:val="single" w:sz="8" w:space="0" w:color="auto"/>
            </w:tcBorders>
            <w:shd w:val="clear" w:color="auto" w:fill="auto"/>
            <w:vAlign w:val="center"/>
            <w:hideMark/>
          </w:tcPr>
          <w:p w14:paraId="6CD2DE29"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Reporting of ETA 8413</w:t>
            </w:r>
          </w:p>
        </w:tc>
        <w:tc>
          <w:tcPr>
            <w:tcW w:w="1415" w:type="dxa"/>
            <w:tcBorders>
              <w:top w:val="nil"/>
              <w:left w:val="nil"/>
              <w:bottom w:val="single" w:sz="8" w:space="0" w:color="auto"/>
              <w:right w:val="single" w:sz="8" w:space="0" w:color="auto"/>
            </w:tcBorders>
            <w:shd w:val="clear" w:color="auto" w:fill="auto"/>
            <w:vAlign w:val="center"/>
            <w:hideMark/>
          </w:tcPr>
          <w:p w14:paraId="70A1CC4B"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53</w:t>
            </w:r>
          </w:p>
        </w:tc>
        <w:tc>
          <w:tcPr>
            <w:tcW w:w="1219" w:type="dxa"/>
            <w:tcBorders>
              <w:top w:val="nil"/>
              <w:left w:val="nil"/>
              <w:bottom w:val="single" w:sz="8" w:space="0" w:color="auto"/>
              <w:right w:val="single" w:sz="8" w:space="0" w:color="auto"/>
            </w:tcBorders>
            <w:shd w:val="clear" w:color="auto" w:fill="auto"/>
            <w:vAlign w:val="center"/>
            <w:hideMark/>
          </w:tcPr>
          <w:p w14:paraId="0A274DC3"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12</w:t>
            </w:r>
          </w:p>
        </w:tc>
        <w:tc>
          <w:tcPr>
            <w:tcW w:w="1182" w:type="dxa"/>
            <w:tcBorders>
              <w:top w:val="nil"/>
              <w:left w:val="nil"/>
              <w:bottom w:val="single" w:sz="8" w:space="0" w:color="auto"/>
              <w:right w:val="single" w:sz="8" w:space="0" w:color="auto"/>
            </w:tcBorders>
            <w:shd w:val="clear" w:color="auto" w:fill="auto"/>
            <w:vAlign w:val="center"/>
            <w:hideMark/>
          </w:tcPr>
          <w:p w14:paraId="20DEF6B4"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636</w:t>
            </w:r>
          </w:p>
        </w:tc>
        <w:tc>
          <w:tcPr>
            <w:tcW w:w="1232" w:type="dxa"/>
            <w:tcBorders>
              <w:top w:val="nil"/>
              <w:left w:val="nil"/>
              <w:bottom w:val="single" w:sz="8" w:space="0" w:color="auto"/>
              <w:right w:val="single" w:sz="8" w:space="0" w:color="auto"/>
            </w:tcBorders>
            <w:shd w:val="clear" w:color="auto" w:fill="auto"/>
            <w:vAlign w:val="center"/>
            <w:hideMark/>
          </w:tcPr>
          <w:p w14:paraId="24AB0819"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0.5</w:t>
            </w:r>
          </w:p>
        </w:tc>
        <w:tc>
          <w:tcPr>
            <w:tcW w:w="1151" w:type="dxa"/>
            <w:tcBorders>
              <w:top w:val="nil"/>
              <w:left w:val="nil"/>
              <w:bottom w:val="single" w:sz="8" w:space="0" w:color="auto"/>
              <w:right w:val="single" w:sz="8" w:space="0" w:color="auto"/>
            </w:tcBorders>
            <w:shd w:val="clear" w:color="auto" w:fill="auto"/>
            <w:vAlign w:val="center"/>
            <w:hideMark/>
          </w:tcPr>
          <w:p w14:paraId="50625D1B"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318</w:t>
            </w:r>
          </w:p>
        </w:tc>
        <w:tc>
          <w:tcPr>
            <w:tcW w:w="889" w:type="dxa"/>
            <w:tcBorders>
              <w:top w:val="nil"/>
              <w:left w:val="nil"/>
              <w:bottom w:val="single" w:sz="8" w:space="0" w:color="auto"/>
              <w:right w:val="single" w:sz="8" w:space="0" w:color="auto"/>
            </w:tcBorders>
            <w:shd w:val="clear" w:color="auto" w:fill="auto"/>
            <w:vAlign w:val="center"/>
            <w:hideMark/>
          </w:tcPr>
          <w:p w14:paraId="689AAD39" w14:textId="5AE097DE" w:rsidR="009F7E62" w:rsidRPr="008F002D" w:rsidRDefault="00917D77" w:rsidP="009F7E62">
            <w:pPr>
              <w:widowControl/>
              <w:autoSpaceDE/>
              <w:autoSpaceDN/>
              <w:adjustRightInd/>
              <w:jc w:val="center"/>
              <w:rPr>
                <w:color w:val="000000"/>
                <w:sz w:val="22"/>
                <w:szCs w:val="22"/>
              </w:rPr>
            </w:pPr>
            <w:r w:rsidRPr="008F002D">
              <w:rPr>
                <w:color w:val="000000"/>
                <w:sz w:val="22"/>
                <w:szCs w:val="22"/>
              </w:rPr>
              <w:t>$48.75</w:t>
            </w:r>
          </w:p>
        </w:tc>
        <w:tc>
          <w:tcPr>
            <w:tcW w:w="1633" w:type="dxa"/>
            <w:tcBorders>
              <w:top w:val="nil"/>
              <w:left w:val="nil"/>
              <w:bottom w:val="single" w:sz="8" w:space="0" w:color="auto"/>
              <w:right w:val="single" w:sz="8" w:space="0" w:color="auto"/>
            </w:tcBorders>
            <w:shd w:val="clear" w:color="auto" w:fill="auto"/>
            <w:vAlign w:val="center"/>
            <w:hideMark/>
          </w:tcPr>
          <w:p w14:paraId="10F44A70" w14:textId="4B4E3AD0" w:rsidR="009F7E62" w:rsidRPr="008F002D" w:rsidRDefault="00E344F4" w:rsidP="009F7E62">
            <w:pPr>
              <w:widowControl/>
              <w:autoSpaceDE/>
              <w:autoSpaceDN/>
              <w:adjustRightInd/>
              <w:jc w:val="center"/>
              <w:rPr>
                <w:color w:val="000000"/>
                <w:sz w:val="22"/>
                <w:szCs w:val="22"/>
              </w:rPr>
            </w:pPr>
            <w:r>
              <w:rPr>
                <w:color w:val="000000"/>
                <w:sz w:val="22"/>
                <w:szCs w:val="22"/>
              </w:rPr>
              <w:t>$15,881</w:t>
            </w:r>
          </w:p>
        </w:tc>
      </w:tr>
      <w:tr w:rsidR="009F7E62" w:rsidRPr="008F002D" w14:paraId="6D9459CF" w14:textId="77777777" w:rsidTr="00160D82">
        <w:trPr>
          <w:trHeight w:val="465"/>
        </w:trPr>
        <w:tc>
          <w:tcPr>
            <w:tcW w:w="1439" w:type="dxa"/>
            <w:tcBorders>
              <w:top w:val="nil"/>
              <w:left w:val="single" w:sz="8" w:space="0" w:color="auto"/>
              <w:bottom w:val="single" w:sz="8" w:space="0" w:color="auto"/>
              <w:right w:val="single" w:sz="8" w:space="0" w:color="auto"/>
            </w:tcBorders>
            <w:shd w:val="clear" w:color="auto" w:fill="auto"/>
            <w:vAlign w:val="center"/>
            <w:hideMark/>
          </w:tcPr>
          <w:p w14:paraId="35CC60FE"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Reporting of ETA 8414</w:t>
            </w:r>
          </w:p>
        </w:tc>
        <w:tc>
          <w:tcPr>
            <w:tcW w:w="1415" w:type="dxa"/>
            <w:tcBorders>
              <w:top w:val="nil"/>
              <w:left w:val="nil"/>
              <w:bottom w:val="single" w:sz="8" w:space="0" w:color="auto"/>
              <w:right w:val="single" w:sz="8" w:space="0" w:color="auto"/>
            </w:tcBorders>
            <w:shd w:val="clear" w:color="auto" w:fill="auto"/>
            <w:vAlign w:val="center"/>
            <w:hideMark/>
          </w:tcPr>
          <w:p w14:paraId="7CB1B235"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53</w:t>
            </w:r>
          </w:p>
        </w:tc>
        <w:tc>
          <w:tcPr>
            <w:tcW w:w="1219" w:type="dxa"/>
            <w:tcBorders>
              <w:top w:val="nil"/>
              <w:left w:val="nil"/>
              <w:bottom w:val="single" w:sz="8" w:space="0" w:color="auto"/>
              <w:right w:val="single" w:sz="8" w:space="0" w:color="auto"/>
            </w:tcBorders>
            <w:shd w:val="clear" w:color="auto" w:fill="auto"/>
            <w:vAlign w:val="center"/>
            <w:hideMark/>
          </w:tcPr>
          <w:p w14:paraId="480E9576"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12</w:t>
            </w:r>
          </w:p>
        </w:tc>
        <w:tc>
          <w:tcPr>
            <w:tcW w:w="1182" w:type="dxa"/>
            <w:tcBorders>
              <w:top w:val="nil"/>
              <w:left w:val="nil"/>
              <w:bottom w:val="single" w:sz="8" w:space="0" w:color="auto"/>
              <w:right w:val="single" w:sz="8" w:space="0" w:color="auto"/>
            </w:tcBorders>
            <w:shd w:val="clear" w:color="auto" w:fill="auto"/>
            <w:vAlign w:val="center"/>
            <w:hideMark/>
          </w:tcPr>
          <w:p w14:paraId="7288B398"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636</w:t>
            </w:r>
          </w:p>
        </w:tc>
        <w:tc>
          <w:tcPr>
            <w:tcW w:w="1232" w:type="dxa"/>
            <w:tcBorders>
              <w:top w:val="nil"/>
              <w:left w:val="nil"/>
              <w:bottom w:val="single" w:sz="8" w:space="0" w:color="auto"/>
              <w:right w:val="single" w:sz="8" w:space="0" w:color="auto"/>
            </w:tcBorders>
            <w:shd w:val="clear" w:color="auto" w:fill="auto"/>
            <w:vAlign w:val="center"/>
            <w:hideMark/>
          </w:tcPr>
          <w:p w14:paraId="015EC55C"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0.5</w:t>
            </w:r>
          </w:p>
        </w:tc>
        <w:tc>
          <w:tcPr>
            <w:tcW w:w="1151" w:type="dxa"/>
            <w:tcBorders>
              <w:top w:val="nil"/>
              <w:left w:val="nil"/>
              <w:bottom w:val="single" w:sz="8" w:space="0" w:color="auto"/>
              <w:right w:val="single" w:sz="8" w:space="0" w:color="auto"/>
            </w:tcBorders>
            <w:shd w:val="clear" w:color="auto" w:fill="auto"/>
            <w:vAlign w:val="center"/>
            <w:hideMark/>
          </w:tcPr>
          <w:p w14:paraId="2BC606B5"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318</w:t>
            </w:r>
          </w:p>
        </w:tc>
        <w:tc>
          <w:tcPr>
            <w:tcW w:w="889" w:type="dxa"/>
            <w:tcBorders>
              <w:top w:val="nil"/>
              <w:left w:val="nil"/>
              <w:bottom w:val="single" w:sz="8" w:space="0" w:color="auto"/>
              <w:right w:val="single" w:sz="8" w:space="0" w:color="auto"/>
            </w:tcBorders>
            <w:shd w:val="clear" w:color="auto" w:fill="auto"/>
            <w:vAlign w:val="center"/>
            <w:hideMark/>
          </w:tcPr>
          <w:p w14:paraId="66FC0EA4"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 xml:space="preserve">$48.75 </w:t>
            </w:r>
          </w:p>
        </w:tc>
        <w:tc>
          <w:tcPr>
            <w:tcW w:w="1633" w:type="dxa"/>
            <w:tcBorders>
              <w:top w:val="nil"/>
              <w:left w:val="nil"/>
              <w:bottom w:val="single" w:sz="8" w:space="0" w:color="auto"/>
              <w:right w:val="single" w:sz="8" w:space="0" w:color="auto"/>
            </w:tcBorders>
            <w:shd w:val="clear" w:color="auto" w:fill="auto"/>
            <w:vAlign w:val="center"/>
            <w:hideMark/>
          </w:tcPr>
          <w:p w14:paraId="6ECA9A74" w14:textId="3BFDF67F" w:rsidR="009F7E62" w:rsidRPr="008F002D" w:rsidRDefault="00E344F4" w:rsidP="009F7E62">
            <w:pPr>
              <w:widowControl/>
              <w:autoSpaceDE/>
              <w:autoSpaceDN/>
              <w:adjustRightInd/>
              <w:jc w:val="center"/>
              <w:rPr>
                <w:color w:val="000000"/>
                <w:sz w:val="22"/>
                <w:szCs w:val="22"/>
              </w:rPr>
            </w:pPr>
            <w:r>
              <w:rPr>
                <w:color w:val="000000"/>
                <w:sz w:val="22"/>
                <w:szCs w:val="22"/>
              </w:rPr>
              <w:t>$15,881</w:t>
            </w:r>
            <w:r w:rsidR="009F7E62" w:rsidRPr="008F002D">
              <w:rPr>
                <w:color w:val="000000"/>
                <w:sz w:val="22"/>
                <w:szCs w:val="22"/>
              </w:rPr>
              <w:t xml:space="preserve"> </w:t>
            </w:r>
          </w:p>
        </w:tc>
      </w:tr>
      <w:tr w:rsidR="009F7E62" w:rsidRPr="008F002D" w14:paraId="0C6880E0" w14:textId="77777777" w:rsidTr="00160D82">
        <w:trPr>
          <w:trHeight w:val="315"/>
        </w:trPr>
        <w:tc>
          <w:tcPr>
            <w:tcW w:w="1439" w:type="dxa"/>
            <w:tcBorders>
              <w:top w:val="nil"/>
              <w:left w:val="single" w:sz="8" w:space="0" w:color="auto"/>
              <w:bottom w:val="single" w:sz="8" w:space="0" w:color="auto"/>
              <w:right w:val="single" w:sz="8" w:space="0" w:color="auto"/>
            </w:tcBorders>
            <w:shd w:val="clear" w:color="auto" w:fill="auto"/>
            <w:vAlign w:val="center"/>
            <w:hideMark/>
          </w:tcPr>
          <w:p w14:paraId="6F465C32"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Reporting of 8403</w:t>
            </w:r>
          </w:p>
        </w:tc>
        <w:tc>
          <w:tcPr>
            <w:tcW w:w="1415" w:type="dxa"/>
            <w:tcBorders>
              <w:top w:val="nil"/>
              <w:left w:val="nil"/>
              <w:bottom w:val="single" w:sz="8" w:space="0" w:color="auto"/>
              <w:right w:val="single" w:sz="8" w:space="0" w:color="auto"/>
            </w:tcBorders>
            <w:shd w:val="clear" w:color="auto" w:fill="auto"/>
            <w:vAlign w:val="center"/>
            <w:hideMark/>
          </w:tcPr>
          <w:p w14:paraId="794BF00F"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53</w:t>
            </w:r>
          </w:p>
        </w:tc>
        <w:tc>
          <w:tcPr>
            <w:tcW w:w="1219" w:type="dxa"/>
            <w:tcBorders>
              <w:top w:val="nil"/>
              <w:left w:val="nil"/>
              <w:bottom w:val="single" w:sz="8" w:space="0" w:color="auto"/>
              <w:right w:val="single" w:sz="8" w:space="0" w:color="auto"/>
            </w:tcBorders>
            <w:shd w:val="clear" w:color="auto" w:fill="auto"/>
            <w:vAlign w:val="center"/>
            <w:hideMark/>
          </w:tcPr>
          <w:p w14:paraId="71456010"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12</w:t>
            </w:r>
          </w:p>
        </w:tc>
        <w:tc>
          <w:tcPr>
            <w:tcW w:w="1182" w:type="dxa"/>
            <w:tcBorders>
              <w:top w:val="nil"/>
              <w:left w:val="nil"/>
              <w:bottom w:val="single" w:sz="8" w:space="0" w:color="auto"/>
              <w:right w:val="single" w:sz="8" w:space="0" w:color="auto"/>
            </w:tcBorders>
            <w:shd w:val="clear" w:color="auto" w:fill="auto"/>
            <w:vAlign w:val="center"/>
            <w:hideMark/>
          </w:tcPr>
          <w:p w14:paraId="0D834651"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318</w:t>
            </w:r>
          </w:p>
        </w:tc>
        <w:tc>
          <w:tcPr>
            <w:tcW w:w="1232" w:type="dxa"/>
            <w:tcBorders>
              <w:top w:val="nil"/>
              <w:left w:val="nil"/>
              <w:bottom w:val="single" w:sz="8" w:space="0" w:color="auto"/>
              <w:right w:val="single" w:sz="8" w:space="0" w:color="auto"/>
            </w:tcBorders>
            <w:shd w:val="clear" w:color="auto" w:fill="auto"/>
            <w:vAlign w:val="center"/>
            <w:hideMark/>
          </w:tcPr>
          <w:p w14:paraId="002D58B0"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0.5</w:t>
            </w:r>
          </w:p>
        </w:tc>
        <w:tc>
          <w:tcPr>
            <w:tcW w:w="1151" w:type="dxa"/>
            <w:tcBorders>
              <w:top w:val="nil"/>
              <w:left w:val="nil"/>
              <w:bottom w:val="single" w:sz="8" w:space="0" w:color="auto"/>
              <w:right w:val="single" w:sz="8" w:space="0" w:color="auto"/>
            </w:tcBorders>
            <w:shd w:val="clear" w:color="auto" w:fill="auto"/>
            <w:vAlign w:val="center"/>
            <w:hideMark/>
          </w:tcPr>
          <w:p w14:paraId="66B00172"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159</w:t>
            </w:r>
          </w:p>
        </w:tc>
        <w:tc>
          <w:tcPr>
            <w:tcW w:w="889" w:type="dxa"/>
            <w:tcBorders>
              <w:top w:val="nil"/>
              <w:left w:val="nil"/>
              <w:bottom w:val="single" w:sz="8" w:space="0" w:color="auto"/>
              <w:right w:val="single" w:sz="8" w:space="0" w:color="auto"/>
            </w:tcBorders>
            <w:shd w:val="clear" w:color="auto" w:fill="auto"/>
            <w:vAlign w:val="center"/>
            <w:hideMark/>
          </w:tcPr>
          <w:p w14:paraId="09346463" w14:textId="77777777" w:rsidR="009F7E62" w:rsidRPr="008F002D" w:rsidRDefault="009F7E62" w:rsidP="009F7E62">
            <w:pPr>
              <w:widowControl/>
              <w:autoSpaceDE/>
              <w:autoSpaceDN/>
              <w:adjustRightInd/>
              <w:jc w:val="center"/>
              <w:rPr>
                <w:color w:val="000000"/>
                <w:sz w:val="22"/>
                <w:szCs w:val="22"/>
              </w:rPr>
            </w:pPr>
            <w:r w:rsidRPr="008F002D">
              <w:rPr>
                <w:color w:val="000000"/>
                <w:sz w:val="22"/>
                <w:szCs w:val="22"/>
              </w:rPr>
              <w:t xml:space="preserve">$48.75 </w:t>
            </w:r>
          </w:p>
        </w:tc>
        <w:tc>
          <w:tcPr>
            <w:tcW w:w="1633" w:type="dxa"/>
            <w:tcBorders>
              <w:top w:val="nil"/>
              <w:left w:val="nil"/>
              <w:bottom w:val="single" w:sz="8" w:space="0" w:color="auto"/>
              <w:right w:val="single" w:sz="8" w:space="0" w:color="auto"/>
            </w:tcBorders>
            <w:shd w:val="clear" w:color="auto" w:fill="auto"/>
            <w:vAlign w:val="center"/>
            <w:hideMark/>
          </w:tcPr>
          <w:p w14:paraId="39FBD007" w14:textId="71DFD9BC" w:rsidR="009F7E62" w:rsidRPr="008F002D" w:rsidRDefault="00E344F4" w:rsidP="009F7E62">
            <w:pPr>
              <w:widowControl/>
              <w:autoSpaceDE/>
              <w:autoSpaceDN/>
              <w:adjustRightInd/>
              <w:jc w:val="center"/>
              <w:rPr>
                <w:color w:val="000000"/>
                <w:sz w:val="22"/>
                <w:szCs w:val="22"/>
              </w:rPr>
            </w:pPr>
            <w:r>
              <w:rPr>
                <w:color w:val="000000"/>
                <w:sz w:val="22"/>
                <w:szCs w:val="22"/>
              </w:rPr>
              <w:t>$7,940</w:t>
            </w:r>
            <w:r w:rsidR="009F7E62" w:rsidRPr="008F002D">
              <w:rPr>
                <w:color w:val="000000"/>
                <w:sz w:val="22"/>
                <w:szCs w:val="22"/>
              </w:rPr>
              <w:t xml:space="preserve"> </w:t>
            </w:r>
          </w:p>
        </w:tc>
      </w:tr>
      <w:tr w:rsidR="009F7E62" w:rsidRPr="008F002D" w14:paraId="130D613D" w14:textId="77777777" w:rsidTr="00160D82">
        <w:trPr>
          <w:trHeight w:val="465"/>
        </w:trPr>
        <w:tc>
          <w:tcPr>
            <w:tcW w:w="1439" w:type="dxa"/>
            <w:tcBorders>
              <w:top w:val="nil"/>
              <w:left w:val="single" w:sz="8" w:space="0" w:color="auto"/>
              <w:bottom w:val="single" w:sz="8" w:space="0" w:color="auto"/>
              <w:right w:val="single" w:sz="8" w:space="0" w:color="auto"/>
            </w:tcBorders>
            <w:shd w:val="clear" w:color="auto" w:fill="auto"/>
            <w:vAlign w:val="center"/>
            <w:hideMark/>
          </w:tcPr>
          <w:p w14:paraId="2024CD2C" w14:textId="77777777" w:rsidR="009F7E62" w:rsidRPr="008F002D" w:rsidRDefault="009F7E62" w:rsidP="009F7E62">
            <w:pPr>
              <w:widowControl/>
              <w:autoSpaceDE/>
              <w:autoSpaceDN/>
              <w:adjustRightInd/>
              <w:jc w:val="center"/>
              <w:rPr>
                <w:b/>
                <w:i/>
                <w:color w:val="000000"/>
                <w:sz w:val="22"/>
                <w:szCs w:val="22"/>
              </w:rPr>
            </w:pPr>
            <w:r w:rsidRPr="008F002D">
              <w:rPr>
                <w:b/>
                <w:i/>
                <w:color w:val="000000"/>
                <w:sz w:val="22"/>
                <w:szCs w:val="22"/>
              </w:rPr>
              <w:t>Unduplicated Totals</w:t>
            </w:r>
          </w:p>
        </w:tc>
        <w:tc>
          <w:tcPr>
            <w:tcW w:w="1415" w:type="dxa"/>
            <w:tcBorders>
              <w:top w:val="nil"/>
              <w:left w:val="nil"/>
              <w:bottom w:val="single" w:sz="8" w:space="0" w:color="auto"/>
              <w:right w:val="single" w:sz="8" w:space="0" w:color="auto"/>
            </w:tcBorders>
            <w:shd w:val="clear" w:color="auto" w:fill="auto"/>
            <w:vAlign w:val="center"/>
            <w:hideMark/>
          </w:tcPr>
          <w:p w14:paraId="3EDFC283" w14:textId="77777777" w:rsidR="009F7E62" w:rsidRPr="008F002D" w:rsidRDefault="009F7E62" w:rsidP="009F7E62">
            <w:pPr>
              <w:widowControl/>
              <w:autoSpaceDE/>
              <w:autoSpaceDN/>
              <w:adjustRightInd/>
              <w:jc w:val="center"/>
              <w:rPr>
                <w:b/>
                <w:i/>
                <w:color w:val="000000"/>
                <w:sz w:val="22"/>
                <w:szCs w:val="22"/>
              </w:rPr>
            </w:pPr>
            <w:r w:rsidRPr="008F002D">
              <w:rPr>
                <w:b/>
                <w:i/>
                <w:color w:val="000000"/>
                <w:sz w:val="22"/>
                <w:szCs w:val="22"/>
              </w:rPr>
              <w:t>53</w:t>
            </w:r>
          </w:p>
        </w:tc>
        <w:tc>
          <w:tcPr>
            <w:tcW w:w="1219" w:type="dxa"/>
            <w:tcBorders>
              <w:top w:val="nil"/>
              <w:left w:val="nil"/>
              <w:bottom w:val="single" w:sz="8" w:space="0" w:color="auto"/>
              <w:right w:val="single" w:sz="8" w:space="0" w:color="auto"/>
            </w:tcBorders>
            <w:shd w:val="clear" w:color="auto" w:fill="auto"/>
            <w:vAlign w:val="center"/>
            <w:hideMark/>
          </w:tcPr>
          <w:p w14:paraId="2935F7E7" w14:textId="251F916B" w:rsidR="009F7E62" w:rsidRPr="008F002D" w:rsidRDefault="00160D82" w:rsidP="009F7E62">
            <w:pPr>
              <w:widowControl/>
              <w:autoSpaceDE/>
              <w:autoSpaceDN/>
              <w:adjustRightInd/>
              <w:jc w:val="center"/>
              <w:rPr>
                <w:b/>
                <w:i/>
                <w:color w:val="000000"/>
                <w:sz w:val="22"/>
                <w:szCs w:val="22"/>
              </w:rPr>
            </w:pPr>
            <w:r>
              <w:rPr>
                <w:b/>
                <w:i/>
                <w:color w:val="000000"/>
                <w:sz w:val="22"/>
                <w:szCs w:val="22"/>
              </w:rPr>
              <w:t>--</w:t>
            </w:r>
          </w:p>
        </w:tc>
        <w:tc>
          <w:tcPr>
            <w:tcW w:w="1182" w:type="dxa"/>
            <w:tcBorders>
              <w:top w:val="nil"/>
              <w:left w:val="nil"/>
              <w:bottom w:val="single" w:sz="8" w:space="0" w:color="auto"/>
              <w:right w:val="single" w:sz="8" w:space="0" w:color="auto"/>
            </w:tcBorders>
            <w:shd w:val="clear" w:color="auto" w:fill="auto"/>
            <w:vAlign w:val="center"/>
            <w:hideMark/>
          </w:tcPr>
          <w:p w14:paraId="16742A5E" w14:textId="16F474FF" w:rsidR="009F7E62" w:rsidRPr="008F002D" w:rsidRDefault="00344EC2" w:rsidP="00344EC2">
            <w:pPr>
              <w:widowControl/>
              <w:autoSpaceDE/>
              <w:autoSpaceDN/>
              <w:adjustRightInd/>
              <w:jc w:val="center"/>
              <w:rPr>
                <w:b/>
                <w:i/>
                <w:color w:val="000000"/>
                <w:sz w:val="22"/>
                <w:szCs w:val="22"/>
              </w:rPr>
            </w:pPr>
            <w:r w:rsidRPr="008F002D">
              <w:rPr>
                <w:b/>
                <w:i/>
                <w:color w:val="000000"/>
                <w:sz w:val="22"/>
                <w:szCs w:val="22"/>
              </w:rPr>
              <w:t>3</w:t>
            </w:r>
            <w:r w:rsidR="00160D82">
              <w:rPr>
                <w:b/>
                <w:i/>
                <w:color w:val="000000"/>
                <w:sz w:val="22"/>
                <w:szCs w:val="22"/>
              </w:rPr>
              <w:t>,</w:t>
            </w:r>
            <w:r w:rsidRPr="008F002D">
              <w:rPr>
                <w:b/>
                <w:i/>
                <w:color w:val="000000"/>
                <w:sz w:val="22"/>
                <w:szCs w:val="22"/>
              </w:rPr>
              <w:t>498</w:t>
            </w:r>
          </w:p>
        </w:tc>
        <w:tc>
          <w:tcPr>
            <w:tcW w:w="1232" w:type="dxa"/>
            <w:tcBorders>
              <w:top w:val="nil"/>
              <w:left w:val="nil"/>
              <w:bottom w:val="single" w:sz="8" w:space="0" w:color="auto"/>
              <w:right w:val="single" w:sz="8" w:space="0" w:color="auto"/>
            </w:tcBorders>
            <w:shd w:val="clear" w:color="auto" w:fill="auto"/>
            <w:vAlign w:val="center"/>
            <w:hideMark/>
          </w:tcPr>
          <w:p w14:paraId="018A1CA3" w14:textId="29D26663" w:rsidR="009F7E62" w:rsidRPr="008F002D" w:rsidRDefault="00160D82" w:rsidP="009F7E62">
            <w:pPr>
              <w:widowControl/>
              <w:autoSpaceDE/>
              <w:autoSpaceDN/>
              <w:adjustRightInd/>
              <w:jc w:val="center"/>
              <w:rPr>
                <w:b/>
                <w:i/>
                <w:color w:val="000000"/>
                <w:sz w:val="22"/>
                <w:szCs w:val="22"/>
              </w:rPr>
            </w:pPr>
            <w:r>
              <w:rPr>
                <w:b/>
                <w:i/>
                <w:color w:val="000000"/>
                <w:sz w:val="22"/>
                <w:szCs w:val="22"/>
              </w:rPr>
              <w:t>--</w:t>
            </w:r>
          </w:p>
        </w:tc>
        <w:tc>
          <w:tcPr>
            <w:tcW w:w="1151" w:type="dxa"/>
            <w:tcBorders>
              <w:top w:val="nil"/>
              <w:left w:val="nil"/>
              <w:bottom w:val="single" w:sz="8" w:space="0" w:color="auto"/>
              <w:right w:val="single" w:sz="8" w:space="0" w:color="auto"/>
            </w:tcBorders>
            <w:shd w:val="clear" w:color="auto" w:fill="auto"/>
            <w:vAlign w:val="center"/>
            <w:hideMark/>
          </w:tcPr>
          <w:p w14:paraId="2A794D71" w14:textId="7816F565" w:rsidR="009F7E62" w:rsidRPr="008F002D" w:rsidRDefault="009F7E62" w:rsidP="009F7E62">
            <w:pPr>
              <w:widowControl/>
              <w:autoSpaceDE/>
              <w:autoSpaceDN/>
              <w:adjustRightInd/>
              <w:jc w:val="center"/>
              <w:rPr>
                <w:b/>
                <w:i/>
                <w:color w:val="000000"/>
                <w:sz w:val="22"/>
                <w:szCs w:val="22"/>
              </w:rPr>
            </w:pPr>
            <w:r w:rsidRPr="008F002D">
              <w:rPr>
                <w:b/>
                <w:i/>
                <w:color w:val="000000"/>
                <w:sz w:val="22"/>
                <w:szCs w:val="22"/>
              </w:rPr>
              <w:t>1</w:t>
            </w:r>
            <w:r w:rsidR="00160D82">
              <w:rPr>
                <w:b/>
                <w:i/>
                <w:color w:val="000000"/>
                <w:sz w:val="22"/>
                <w:szCs w:val="22"/>
              </w:rPr>
              <w:t>,</w:t>
            </w:r>
            <w:r w:rsidRPr="008F002D">
              <w:rPr>
                <w:b/>
                <w:i/>
                <w:color w:val="000000"/>
                <w:sz w:val="22"/>
                <w:szCs w:val="22"/>
              </w:rPr>
              <w:t>749</w:t>
            </w:r>
          </w:p>
        </w:tc>
        <w:tc>
          <w:tcPr>
            <w:tcW w:w="889" w:type="dxa"/>
            <w:tcBorders>
              <w:top w:val="nil"/>
              <w:left w:val="nil"/>
              <w:bottom w:val="single" w:sz="8" w:space="0" w:color="auto"/>
              <w:right w:val="single" w:sz="8" w:space="0" w:color="auto"/>
            </w:tcBorders>
            <w:shd w:val="clear" w:color="auto" w:fill="auto"/>
            <w:vAlign w:val="center"/>
            <w:hideMark/>
          </w:tcPr>
          <w:p w14:paraId="0A9CB2AF" w14:textId="2831177D" w:rsidR="009F7E62" w:rsidRPr="008F002D" w:rsidRDefault="00160D82" w:rsidP="009F7E62">
            <w:pPr>
              <w:widowControl/>
              <w:autoSpaceDE/>
              <w:autoSpaceDN/>
              <w:adjustRightInd/>
              <w:jc w:val="center"/>
              <w:rPr>
                <w:b/>
                <w:i/>
                <w:color w:val="000000"/>
                <w:sz w:val="22"/>
                <w:szCs w:val="22"/>
              </w:rPr>
            </w:pPr>
            <w:r>
              <w:rPr>
                <w:b/>
                <w:i/>
                <w:color w:val="000000"/>
                <w:sz w:val="22"/>
                <w:szCs w:val="22"/>
              </w:rPr>
              <w:t>--</w:t>
            </w:r>
          </w:p>
        </w:tc>
        <w:tc>
          <w:tcPr>
            <w:tcW w:w="1633" w:type="dxa"/>
            <w:tcBorders>
              <w:top w:val="nil"/>
              <w:left w:val="nil"/>
              <w:bottom w:val="single" w:sz="8" w:space="0" w:color="auto"/>
              <w:right w:val="single" w:sz="8" w:space="0" w:color="auto"/>
            </w:tcBorders>
            <w:shd w:val="clear" w:color="auto" w:fill="auto"/>
            <w:vAlign w:val="center"/>
            <w:hideMark/>
          </w:tcPr>
          <w:p w14:paraId="387F9F41" w14:textId="32F9B638" w:rsidR="009F7E62" w:rsidRPr="008F002D" w:rsidRDefault="00E344F4" w:rsidP="009F7E62">
            <w:pPr>
              <w:widowControl/>
              <w:autoSpaceDE/>
              <w:autoSpaceDN/>
              <w:adjustRightInd/>
              <w:jc w:val="center"/>
              <w:rPr>
                <w:b/>
                <w:i/>
                <w:color w:val="000000"/>
                <w:sz w:val="22"/>
                <w:szCs w:val="22"/>
              </w:rPr>
            </w:pPr>
            <w:r>
              <w:rPr>
                <w:b/>
                <w:i/>
                <w:color w:val="000000"/>
                <w:sz w:val="22"/>
                <w:szCs w:val="22"/>
              </w:rPr>
              <w:t>$87,345</w:t>
            </w:r>
            <w:r w:rsidR="009F7E62" w:rsidRPr="008F002D">
              <w:rPr>
                <w:b/>
                <w:i/>
                <w:color w:val="000000"/>
                <w:sz w:val="22"/>
                <w:szCs w:val="22"/>
              </w:rPr>
              <w:t xml:space="preserve"> </w:t>
            </w:r>
          </w:p>
        </w:tc>
      </w:tr>
    </w:tbl>
    <w:p w14:paraId="761BCE67" w14:textId="7FC8B7A3" w:rsidR="007A7752" w:rsidRPr="00310C8E" w:rsidRDefault="007A7752" w:rsidP="007A7752">
      <w:pPr>
        <w:widowControl/>
        <w:ind w:left="720"/>
        <w:rPr>
          <w:sz w:val="23"/>
          <w:szCs w:val="23"/>
        </w:rPr>
      </w:pPr>
      <w:r w:rsidRPr="00310C8E">
        <w:rPr>
          <w:sz w:val="23"/>
          <w:szCs w:val="23"/>
        </w:rPr>
        <w:t>*Source: The hourly rate is computed by dividing the FY 2018 national average PS/PB annual salary for state staff as provided for through the distribu</w:t>
      </w:r>
      <w:r w:rsidR="00160D82">
        <w:rPr>
          <w:sz w:val="23"/>
          <w:szCs w:val="23"/>
        </w:rPr>
        <w:t xml:space="preserve">tion of state UI administrative </w:t>
      </w:r>
      <w:r w:rsidRPr="00E63A3A">
        <w:rPr>
          <w:sz w:val="23"/>
          <w:szCs w:val="23"/>
        </w:rPr>
        <w:t xml:space="preserve">grants </w:t>
      </w:r>
      <w:r w:rsidRPr="00E63A3A">
        <w:t xml:space="preserve">(https://wdr.doleta.gov/directives/attach/UIPL/UIPL_17-17.pdf) </w:t>
      </w:r>
      <w:r w:rsidRPr="00E63A3A">
        <w:rPr>
          <w:sz w:val="23"/>
          <w:szCs w:val="23"/>
        </w:rPr>
        <w:t>by the</w:t>
      </w:r>
      <w:r w:rsidRPr="00310C8E">
        <w:rPr>
          <w:sz w:val="23"/>
          <w:szCs w:val="23"/>
        </w:rPr>
        <w:t xml:space="preserve"> number of hours worked in a year (1,711). For FY 201</w:t>
      </w:r>
      <w:r w:rsidR="00885CE6">
        <w:rPr>
          <w:sz w:val="23"/>
          <w:szCs w:val="23"/>
        </w:rPr>
        <w:t>8</w:t>
      </w:r>
      <w:r w:rsidRPr="00310C8E">
        <w:rPr>
          <w:sz w:val="23"/>
          <w:szCs w:val="23"/>
        </w:rPr>
        <w:t>, this calculation was: $83,406/1,711 hours = $48.75 per hour.</w:t>
      </w:r>
    </w:p>
    <w:p w14:paraId="21B57852" w14:textId="77777777" w:rsidR="000644EA" w:rsidRDefault="000644EA" w:rsidP="00FE0B50">
      <w:pPr>
        <w:widowControl/>
        <w:ind w:left="720" w:right="720"/>
      </w:pPr>
    </w:p>
    <w:p w14:paraId="49D5AF1D" w14:textId="1E78355B" w:rsidR="007F4AB0" w:rsidRPr="009F7E62" w:rsidRDefault="000644EA" w:rsidP="009F7E62">
      <w:pPr>
        <w:pStyle w:val="ListParagraph"/>
        <w:widowControl/>
        <w:numPr>
          <w:ilvl w:val="0"/>
          <w:numId w:val="9"/>
        </w:numPr>
        <w:ind w:right="720"/>
        <w:rPr>
          <w:i/>
        </w:rPr>
      </w:pPr>
      <w:r w:rsidRPr="009F7E62">
        <w:rPr>
          <w:i/>
        </w:rPr>
        <w:t>Provide an estimate for the total annual cost burden to respondents or record keepers resulting from the collection of information. (Do not include the cost of any hour burden already reflected on the burden worksheet).</w:t>
      </w:r>
    </w:p>
    <w:p w14:paraId="25ABD6C2" w14:textId="77777777" w:rsidR="00FE0B50" w:rsidRDefault="00FE0B50" w:rsidP="00FE0B50">
      <w:pPr>
        <w:widowControl/>
      </w:pPr>
    </w:p>
    <w:p w14:paraId="4CDA5BE2" w14:textId="2E1CCA29" w:rsidR="00FE0B50" w:rsidRDefault="00FE0B50" w:rsidP="00160D82">
      <w:pPr>
        <w:widowControl/>
        <w:autoSpaceDE/>
        <w:autoSpaceDN/>
        <w:adjustRightInd/>
        <w:ind w:left="720"/>
      </w:pPr>
      <w:r>
        <w:t>There are no annualized costs to respondents.</w:t>
      </w:r>
      <w:r w:rsidR="004267E3">
        <w:t xml:space="preserve">  The computer hardware and software, as well as funding for staff time in state workforce agencies are </w:t>
      </w:r>
      <w:r w:rsidR="00160D82">
        <w:t xml:space="preserve">paid for by monies allocated </w:t>
      </w:r>
      <w:r w:rsidR="004267E3" w:rsidRPr="004267E3">
        <w:t xml:space="preserve">to states for administration from the Federal Government.  </w:t>
      </w:r>
      <w:r w:rsidR="004267E3">
        <w:t xml:space="preserve">Funding is provided for all reporting activities so no cost </w:t>
      </w:r>
      <w:r w:rsidR="004267E3" w:rsidRPr="004267E3">
        <w:t>breakout for specific reports</w:t>
      </w:r>
      <w:r w:rsidR="004267E3">
        <w:t xml:space="preserve"> can be computed</w:t>
      </w:r>
      <w:r w:rsidR="004267E3" w:rsidRPr="004267E3">
        <w:t>.  Th</w:t>
      </w:r>
      <w:r w:rsidR="004267E3">
        <w:t>ese</w:t>
      </w:r>
      <w:r w:rsidR="004267E3" w:rsidRPr="004267E3">
        <w:t xml:space="preserve"> </w:t>
      </w:r>
      <w:r w:rsidR="004267E3">
        <w:t>are</w:t>
      </w:r>
      <w:r w:rsidR="004267E3" w:rsidRPr="004267E3">
        <w:t xml:space="preserve"> well established report</w:t>
      </w:r>
      <w:r w:rsidR="004267E3">
        <w:t>s</w:t>
      </w:r>
      <w:r w:rsidR="004267E3" w:rsidRPr="004267E3">
        <w:t xml:space="preserve"> so there are no start</w:t>
      </w:r>
      <w:r w:rsidR="004267E3">
        <w:t>-</w:t>
      </w:r>
      <w:r w:rsidR="004267E3" w:rsidRPr="004267E3">
        <w:t>up costs.</w:t>
      </w:r>
    </w:p>
    <w:p w14:paraId="7003C584" w14:textId="77777777" w:rsidR="000644EA" w:rsidRDefault="000644EA" w:rsidP="00081661">
      <w:pPr>
        <w:widowControl/>
        <w:autoSpaceDE/>
        <w:autoSpaceDN/>
        <w:adjustRightInd/>
        <w:ind w:left="720"/>
      </w:pPr>
    </w:p>
    <w:p w14:paraId="5BBD3FAE" w14:textId="3A030B4F" w:rsidR="00885CE6" w:rsidRPr="00885CE6" w:rsidRDefault="000644EA" w:rsidP="009F7E62">
      <w:pPr>
        <w:pStyle w:val="ListParagraph"/>
        <w:widowControl/>
        <w:numPr>
          <w:ilvl w:val="0"/>
          <w:numId w:val="9"/>
        </w:numPr>
        <w:tabs>
          <w:tab w:val="left" w:pos="-1440"/>
        </w:tabs>
        <w:autoSpaceDE/>
        <w:autoSpaceDN/>
        <w:adjustRightInd/>
        <w:rPr>
          <w:i/>
        </w:rPr>
      </w:pPr>
      <w:bookmarkStart w:id="2" w:name="_Hlk518021864"/>
      <w:r w:rsidRPr="009F7E62">
        <w:rPr>
          <w:i/>
        </w:rPr>
        <w:t>P</w:t>
      </w:r>
      <w:bookmarkEnd w:id="2"/>
      <w:r w:rsidR="00885CE6" w:rsidRPr="00885CE6">
        <w:rPr>
          <w:i/>
        </w:rPr>
        <w:t>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14:paraId="0640D141" w14:textId="77777777" w:rsidR="00885CE6" w:rsidRPr="009F7E62" w:rsidRDefault="00885CE6" w:rsidP="009F7E62">
      <w:pPr>
        <w:pStyle w:val="ListParagraph"/>
        <w:widowControl/>
        <w:autoSpaceDE/>
        <w:autoSpaceDN/>
        <w:adjustRightInd/>
        <w:rPr>
          <w:i/>
        </w:rPr>
      </w:pPr>
    </w:p>
    <w:p w14:paraId="776B1E54" w14:textId="5A1C95C0" w:rsidR="00081661" w:rsidRDefault="000644EA" w:rsidP="00081661">
      <w:pPr>
        <w:widowControl/>
        <w:ind w:left="720"/>
      </w:pPr>
      <w:r>
        <w:t xml:space="preserve">ETA budgeted </w:t>
      </w:r>
      <w:r w:rsidR="00885CE6" w:rsidRPr="009F7E62">
        <w:rPr>
          <w:bCs/>
        </w:rPr>
        <w:t>$</w:t>
      </w:r>
      <w:r w:rsidR="008E2D1A">
        <w:rPr>
          <w:bCs/>
        </w:rPr>
        <w:t>994,897.94</w:t>
      </w:r>
      <w:r>
        <w:t xml:space="preserve"> to operate and maintain the Unemployment Insurance Required Reports system. </w:t>
      </w:r>
      <w:r w:rsidR="00160D82">
        <w:t xml:space="preserve"> </w:t>
      </w:r>
      <w:r>
        <w:t xml:space="preserve">Including the subject ICR, this system supports 30 information collections. </w:t>
      </w:r>
      <w:r w:rsidR="00160D82">
        <w:t xml:space="preserve"> </w:t>
      </w:r>
      <w:r>
        <w:t xml:space="preserve">For administrative purposes, each information collection is assumed to contribute an equal share of the cost for supporting the entire system; therefore the cost allocated to this ICR is estimated to be </w:t>
      </w:r>
      <w:r w:rsidR="00885CE6" w:rsidRPr="00CE7376">
        <w:t>$</w:t>
      </w:r>
      <w:r w:rsidR="008E2D1A">
        <w:t>33,163.26</w:t>
      </w:r>
      <w:r w:rsidR="00885CE6" w:rsidRPr="00CE7376">
        <w:t xml:space="preserve"> </w:t>
      </w:r>
      <w:r>
        <w:t>(</w:t>
      </w:r>
      <w:r w:rsidR="00885CE6" w:rsidRPr="009F7E62">
        <w:rPr>
          <w:bCs/>
        </w:rPr>
        <w:t>$</w:t>
      </w:r>
      <w:r w:rsidR="008E2D1A">
        <w:rPr>
          <w:bCs/>
        </w:rPr>
        <w:t>994,897.94</w:t>
      </w:r>
      <w:r w:rsidR="008E2D1A">
        <w:t xml:space="preserve"> </w:t>
      </w:r>
      <w:r>
        <w:t>system cost/ 30 information collections).</w:t>
      </w:r>
    </w:p>
    <w:p w14:paraId="6377772C" w14:textId="77777777" w:rsidR="00956BE8" w:rsidRDefault="00956BE8" w:rsidP="00081661">
      <w:pPr>
        <w:widowControl/>
        <w:ind w:left="720"/>
      </w:pPr>
    </w:p>
    <w:p w14:paraId="1488D796" w14:textId="77777777" w:rsidR="00FA3AA6" w:rsidRPr="000605C7" w:rsidRDefault="000644EA" w:rsidP="000605C7">
      <w:pPr>
        <w:pStyle w:val="ListParagraph"/>
        <w:widowControl/>
        <w:numPr>
          <w:ilvl w:val="0"/>
          <w:numId w:val="9"/>
        </w:numPr>
      </w:pPr>
      <w:r w:rsidRPr="000605C7">
        <w:rPr>
          <w:i/>
        </w:rPr>
        <w:t>Explain the reasons for any program changes or adjustments reported on the burden worksheet.</w:t>
      </w:r>
      <w:r w:rsidR="00F40762" w:rsidRPr="000605C7">
        <w:rPr>
          <w:i/>
        </w:rPr>
        <w:t xml:space="preserve"> </w:t>
      </w:r>
    </w:p>
    <w:p w14:paraId="49A391AB" w14:textId="77777777" w:rsidR="00FA3AA6" w:rsidRDefault="00FA3AA6" w:rsidP="000605C7">
      <w:pPr>
        <w:pStyle w:val="ListParagraph"/>
        <w:widowControl/>
        <w:rPr>
          <w:i/>
        </w:rPr>
      </w:pPr>
    </w:p>
    <w:p w14:paraId="06D1A615" w14:textId="1040014E" w:rsidR="00A11942" w:rsidRPr="00FA3AA6" w:rsidRDefault="00F40762" w:rsidP="000605C7">
      <w:pPr>
        <w:pStyle w:val="ListParagraph"/>
        <w:widowControl/>
      </w:pPr>
      <w:r w:rsidRPr="00FA3AA6">
        <w:t xml:space="preserve">Form 8403A is removed because it </w:t>
      </w:r>
      <w:r w:rsidR="003D707A" w:rsidRPr="00FA3AA6">
        <w:t>is no longer</w:t>
      </w:r>
      <w:r w:rsidR="00DC57DF">
        <w:t xml:space="preserve"> used. This causes a reduction of 106 annual responses and 53 annual burden hours. </w:t>
      </w:r>
      <w:r w:rsidR="00A11942" w:rsidRPr="00FA3AA6">
        <w:tab/>
        <w:t xml:space="preserve"> </w:t>
      </w:r>
    </w:p>
    <w:p w14:paraId="33DD37D1" w14:textId="77777777" w:rsidR="000644EA" w:rsidRDefault="000644EA" w:rsidP="00781FF3">
      <w:pPr>
        <w:widowControl/>
      </w:pPr>
    </w:p>
    <w:p w14:paraId="48B30BA4" w14:textId="1B811B94" w:rsidR="00672FA7" w:rsidRPr="009F7E62" w:rsidRDefault="000644EA" w:rsidP="009F7E62">
      <w:pPr>
        <w:pStyle w:val="ListParagraph"/>
        <w:widowControl/>
        <w:numPr>
          <w:ilvl w:val="0"/>
          <w:numId w:val="9"/>
        </w:numPr>
        <w:rPr>
          <w:i/>
        </w:rPr>
      </w:pPr>
      <w:r w:rsidRPr="009F7E62">
        <w:rPr>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7D26DB2" w14:textId="77777777" w:rsidR="000D1F6E" w:rsidRDefault="000D1F6E" w:rsidP="00E37BCE"/>
    <w:p w14:paraId="7EC6F457" w14:textId="598D9328" w:rsidR="00480FC7" w:rsidRPr="002265C0" w:rsidRDefault="00FE0B50" w:rsidP="00E37BCE">
      <w:pPr>
        <w:ind w:left="720"/>
      </w:pPr>
      <w:r w:rsidRPr="0096584B">
        <w:t>All of the items reported are used for program performance purposes</w:t>
      </w:r>
      <w:r w:rsidR="004267E3">
        <w:t>,</w:t>
      </w:r>
      <w:r w:rsidR="00885CE6">
        <w:t xml:space="preserve"> </w:t>
      </w:r>
      <w:r w:rsidR="004267E3">
        <w:t>and are a matter of public record</w:t>
      </w:r>
      <w:r w:rsidR="004267E3" w:rsidRPr="002265C0">
        <w:t>.</w:t>
      </w:r>
      <w:r w:rsidR="00081661" w:rsidRPr="002265C0">
        <w:t xml:space="preserve">  </w:t>
      </w:r>
      <w:r w:rsidR="00842CFF" w:rsidRPr="002265C0">
        <w:t xml:space="preserve">These data are made available to the public via the OUI website at </w:t>
      </w:r>
      <w:hyperlink r:id="rId9" w:history="1">
        <w:r w:rsidR="00842CFF" w:rsidRPr="002265C0">
          <w:rPr>
            <w:rStyle w:val="Hyperlink"/>
            <w:color w:val="auto"/>
          </w:rPr>
          <w:t>http://ows.doleta.gov/unemploy/DataDownloads.asp</w:t>
        </w:r>
      </w:hyperlink>
      <w:r w:rsidR="00160D82">
        <w:rPr>
          <w:rStyle w:val="Hyperlink"/>
          <w:color w:val="auto"/>
        </w:rPr>
        <w:t xml:space="preserve"> </w:t>
      </w:r>
    </w:p>
    <w:p w14:paraId="3198B407" w14:textId="77777777" w:rsidR="00480FC7" w:rsidRDefault="00480FC7" w:rsidP="00081661">
      <w:pPr>
        <w:widowControl/>
        <w:ind w:left="720" w:hanging="720"/>
        <w:rPr>
          <w:i/>
        </w:rPr>
      </w:pPr>
    </w:p>
    <w:p w14:paraId="4A3F4549" w14:textId="31BD1479" w:rsidR="008767DD" w:rsidRPr="009F7E62" w:rsidRDefault="00763FDC" w:rsidP="009F7E62">
      <w:pPr>
        <w:pStyle w:val="ListParagraph"/>
        <w:widowControl/>
        <w:numPr>
          <w:ilvl w:val="0"/>
          <w:numId w:val="9"/>
        </w:numPr>
        <w:rPr>
          <w:i/>
        </w:rPr>
      </w:pPr>
      <w:r w:rsidRPr="009F7E62">
        <w:rPr>
          <w:i/>
        </w:rPr>
        <w:t>If seeking approval to not display the expiration date for OMB approval of the information collection, explain the reasons that display would be inappropriate.</w:t>
      </w:r>
    </w:p>
    <w:p w14:paraId="7851EC10" w14:textId="77777777" w:rsidR="00FE0B50" w:rsidRDefault="00FE0B50" w:rsidP="00FE0B50">
      <w:pPr>
        <w:widowControl/>
      </w:pPr>
    </w:p>
    <w:p w14:paraId="79DA2D40" w14:textId="42B5E8F6" w:rsidR="00FE0B50" w:rsidRDefault="00160D82" w:rsidP="00081661">
      <w:pPr>
        <w:widowControl/>
        <w:ind w:firstLine="720"/>
      </w:pPr>
      <w:r>
        <w:t>T</w:t>
      </w:r>
      <w:r w:rsidR="00FE0B50">
        <w:t>he OMB control number and expiration date</w:t>
      </w:r>
      <w:r>
        <w:t xml:space="preserve"> are displayed.</w:t>
      </w:r>
    </w:p>
    <w:p w14:paraId="4206F1CD" w14:textId="77777777" w:rsidR="00B14CEE" w:rsidRDefault="00B14CEE" w:rsidP="00081661">
      <w:pPr>
        <w:widowControl/>
        <w:ind w:firstLine="720"/>
      </w:pPr>
    </w:p>
    <w:p w14:paraId="1F772190" w14:textId="1C21F37F" w:rsidR="00FE0B50" w:rsidRPr="009F7E62" w:rsidRDefault="00B14CEE" w:rsidP="009F7E62">
      <w:pPr>
        <w:pStyle w:val="ListParagraph"/>
        <w:widowControl/>
        <w:numPr>
          <w:ilvl w:val="0"/>
          <w:numId w:val="9"/>
        </w:numPr>
        <w:rPr>
          <w:i/>
        </w:rPr>
      </w:pPr>
      <w:r w:rsidRPr="009F7E62">
        <w:rPr>
          <w:i/>
        </w:rPr>
        <w:t xml:space="preserve">Explain each exception to the topics of the certification statement identified in         </w:t>
      </w:r>
      <w:r w:rsidR="00081661" w:rsidRPr="009F7E62">
        <w:rPr>
          <w:i/>
        </w:rPr>
        <w:t xml:space="preserve">     </w:t>
      </w:r>
      <w:r w:rsidRPr="009F7E62">
        <w:rPr>
          <w:i/>
        </w:rPr>
        <w:t>“Certification for Paper</w:t>
      </w:r>
      <w:r w:rsidR="00160D82">
        <w:rPr>
          <w:i/>
        </w:rPr>
        <w:t>work Reduction Act Submissions.”</w:t>
      </w:r>
    </w:p>
    <w:p w14:paraId="384F4DDB" w14:textId="77777777" w:rsidR="00FE0B50" w:rsidRPr="00956BE8" w:rsidRDefault="00FE0B50" w:rsidP="00FE0B50">
      <w:pPr>
        <w:widowControl/>
        <w:rPr>
          <w:i/>
        </w:rPr>
      </w:pPr>
    </w:p>
    <w:p w14:paraId="556A9B68" w14:textId="77777777" w:rsidR="00FE0B50" w:rsidRDefault="00FE0B50" w:rsidP="00081661">
      <w:pPr>
        <w:widowControl/>
        <w:ind w:firstLine="720"/>
      </w:pPr>
      <w:r>
        <w:t>There are no exceptions to the certification statement.</w:t>
      </w:r>
    </w:p>
    <w:p w14:paraId="75D8BE3E" w14:textId="0988DFEF" w:rsidR="001C3B7C" w:rsidRDefault="001C3B7C" w:rsidP="00081661">
      <w:pPr>
        <w:widowControl/>
        <w:ind w:firstLine="720"/>
      </w:pPr>
    </w:p>
    <w:p w14:paraId="630385A6" w14:textId="77777777" w:rsidR="00160D82" w:rsidRDefault="00160D82" w:rsidP="00081661">
      <w:pPr>
        <w:widowControl/>
        <w:ind w:firstLine="720"/>
      </w:pPr>
    </w:p>
    <w:p w14:paraId="17074C15" w14:textId="2C88826B" w:rsidR="001C3B7C" w:rsidRPr="00CE7376" w:rsidRDefault="001C3B7C" w:rsidP="001C3B7C">
      <w:pPr>
        <w:widowControl/>
        <w:tabs>
          <w:tab w:val="left" w:pos="-1440"/>
        </w:tabs>
        <w:ind w:left="900" w:hanging="900"/>
        <w:rPr>
          <w:b/>
        </w:rPr>
      </w:pPr>
      <w:r w:rsidRPr="00CE7376">
        <w:rPr>
          <w:b/>
        </w:rPr>
        <w:t>B.</w:t>
      </w:r>
      <w:r>
        <w:rPr>
          <w:b/>
        </w:rPr>
        <w:t xml:space="preserve"> </w:t>
      </w:r>
      <w:r w:rsidR="00160D82">
        <w:rPr>
          <w:b/>
        </w:rPr>
        <w:t xml:space="preserve">        </w:t>
      </w:r>
      <w:r w:rsidRPr="00E8212F">
        <w:rPr>
          <w:b/>
        </w:rPr>
        <w:t>Collections of Information Employing Statistical Methods</w:t>
      </w:r>
    </w:p>
    <w:p w14:paraId="0DFE8957" w14:textId="77777777" w:rsidR="001C3B7C" w:rsidRDefault="001C3B7C" w:rsidP="001C3B7C">
      <w:pPr>
        <w:widowControl/>
        <w:ind w:firstLine="720"/>
      </w:pPr>
      <w:r>
        <w:t xml:space="preserve"> </w:t>
      </w:r>
    </w:p>
    <w:p w14:paraId="78E77B8F" w14:textId="65257F86" w:rsidR="001C3B7C" w:rsidRPr="00E8212F" w:rsidRDefault="001C3B7C" w:rsidP="001C3B7C">
      <w:pPr>
        <w:widowControl/>
        <w:ind w:firstLine="720"/>
      </w:pPr>
      <w:r>
        <w:t xml:space="preserve"> </w:t>
      </w:r>
      <w:r w:rsidR="00160D82" w:rsidRPr="00160D82">
        <w:t>This information collection does not employ statistical methods.</w:t>
      </w:r>
      <w:r w:rsidR="00160D82">
        <w:t xml:space="preserve"> </w:t>
      </w:r>
    </w:p>
    <w:p w14:paraId="2B6033F3" w14:textId="1F1E0FD6" w:rsidR="00DD7D11" w:rsidRPr="00FE0B50" w:rsidRDefault="00DD7D11" w:rsidP="001C3B7C">
      <w:pPr>
        <w:widowControl/>
      </w:pPr>
    </w:p>
    <w:sectPr w:rsidR="00DD7D11" w:rsidRPr="00FE0B50" w:rsidSect="007C004A">
      <w:headerReference w:type="default" r:id="rId10"/>
      <w:footerReference w:type="even" r:id="rId11"/>
      <w:footerReference w:type="default" r:id="rId12"/>
      <w:headerReference w:type="first" r:id="rId13"/>
      <w:footerReference w:type="first" r:id="rId14"/>
      <w:pgSz w:w="12240" w:h="15840"/>
      <w:pgMar w:top="1677"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83FD6" w14:textId="77777777" w:rsidR="00396946" w:rsidRDefault="00396946">
      <w:r>
        <w:separator/>
      </w:r>
    </w:p>
  </w:endnote>
  <w:endnote w:type="continuationSeparator" w:id="0">
    <w:p w14:paraId="53969E84" w14:textId="77777777" w:rsidR="00396946" w:rsidRDefault="0039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strangelo Edessa">
    <w:panose1 w:val="030806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B5F59" w14:textId="77777777" w:rsidR="00EC0979" w:rsidRDefault="00EC0979" w:rsidP="009658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158E02" w14:textId="77777777" w:rsidR="00EC0979" w:rsidRDefault="00EC09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CA3A7" w14:textId="7D870478" w:rsidR="00EC0979" w:rsidRDefault="00EC0979" w:rsidP="009658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4950">
      <w:rPr>
        <w:rStyle w:val="PageNumber"/>
        <w:noProof/>
      </w:rPr>
      <w:t>2</w:t>
    </w:r>
    <w:r>
      <w:rPr>
        <w:rStyle w:val="PageNumber"/>
      </w:rPr>
      <w:fldChar w:fldCharType="end"/>
    </w:r>
  </w:p>
  <w:p w14:paraId="326F2F2F" w14:textId="77777777" w:rsidR="00EC0979" w:rsidRDefault="00EC09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8844B" w14:textId="7BB9B912" w:rsidR="001B080E" w:rsidRDefault="001B080E">
    <w:pPr>
      <w:pStyle w:val="Footer"/>
      <w:jc w:val="center"/>
    </w:pPr>
    <w:r>
      <w:fldChar w:fldCharType="begin"/>
    </w:r>
    <w:r>
      <w:instrText xml:space="preserve"> PAGE   \* MERGEFORMAT </w:instrText>
    </w:r>
    <w:r>
      <w:fldChar w:fldCharType="separate"/>
    </w:r>
    <w:r w:rsidR="00DA4950">
      <w:rPr>
        <w:noProof/>
      </w:rPr>
      <w:t>1</w:t>
    </w:r>
    <w:r>
      <w:rPr>
        <w:noProof/>
      </w:rPr>
      <w:fldChar w:fldCharType="end"/>
    </w:r>
  </w:p>
  <w:p w14:paraId="2707E7F2" w14:textId="77777777" w:rsidR="001B080E" w:rsidRDefault="001B08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94AB4" w14:textId="77777777" w:rsidR="00396946" w:rsidRDefault="00396946">
      <w:r>
        <w:separator/>
      </w:r>
    </w:p>
  </w:footnote>
  <w:footnote w:type="continuationSeparator" w:id="0">
    <w:p w14:paraId="6F026A29" w14:textId="77777777" w:rsidR="00396946" w:rsidRDefault="00396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A0230" w14:textId="51C21850" w:rsidR="00573DC5" w:rsidRPr="00573DC5" w:rsidRDefault="008F002D" w:rsidP="00573DC5">
    <w:pPr>
      <w:pStyle w:val="Header"/>
      <w:rPr>
        <w:sz w:val="20"/>
        <w:szCs w:val="20"/>
      </w:rPr>
    </w:pPr>
    <w:r w:rsidRPr="008F002D">
      <w:rPr>
        <w:sz w:val="20"/>
        <w:szCs w:val="20"/>
      </w:rPr>
      <w:t>Unemployment Insurance (UI) Trust Fund Activity</w:t>
    </w:r>
  </w:p>
  <w:p w14:paraId="36351A64" w14:textId="32A418E6" w:rsidR="00E63A3A" w:rsidRDefault="008F002D" w:rsidP="00573DC5">
    <w:pPr>
      <w:pStyle w:val="Header"/>
      <w:rPr>
        <w:sz w:val="20"/>
        <w:szCs w:val="20"/>
      </w:rPr>
    </w:pPr>
    <w:r>
      <w:rPr>
        <w:sz w:val="20"/>
        <w:szCs w:val="20"/>
      </w:rPr>
      <w:t>OMB Control No.</w:t>
    </w:r>
    <w:r w:rsidR="00573DC5" w:rsidRPr="00573DC5">
      <w:rPr>
        <w:sz w:val="20"/>
        <w:szCs w:val="20"/>
      </w:rPr>
      <w:t xml:space="preserve"> 1205-0154</w:t>
    </w:r>
    <w:r w:rsidR="00FA3AA6">
      <w:rPr>
        <w:sz w:val="20"/>
        <w:szCs w:val="20"/>
      </w:rPr>
      <w:t xml:space="preserve"> </w:t>
    </w:r>
  </w:p>
  <w:p w14:paraId="05122AAE" w14:textId="47826960" w:rsidR="00EC0979" w:rsidRDefault="008F002D" w:rsidP="00573DC5">
    <w:pPr>
      <w:pStyle w:val="Header"/>
      <w:rPr>
        <w:sz w:val="20"/>
        <w:szCs w:val="20"/>
      </w:rPr>
    </w:pPr>
    <w:r>
      <w:rPr>
        <w:sz w:val="20"/>
        <w:szCs w:val="20"/>
      </w:rPr>
      <w:t>January 2019</w:t>
    </w:r>
  </w:p>
  <w:p w14:paraId="24FC0B3C" w14:textId="77777777" w:rsidR="009605AC" w:rsidRPr="008F002D" w:rsidRDefault="009605AC" w:rsidP="00573D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1B165" w14:textId="208E2C93" w:rsidR="004247A7" w:rsidRDefault="004247A7" w:rsidP="002D5DB9">
    <w:pPr>
      <w:pStyle w:val="Header"/>
      <w:rPr>
        <w:sz w:val="20"/>
        <w:szCs w:val="20"/>
      </w:rPr>
    </w:pPr>
    <w:r w:rsidRPr="004247A7">
      <w:rPr>
        <w:sz w:val="20"/>
        <w:szCs w:val="20"/>
      </w:rPr>
      <w:t xml:space="preserve">Unemployment Insurance </w:t>
    </w:r>
    <w:r w:rsidR="007C004A">
      <w:rPr>
        <w:sz w:val="20"/>
        <w:szCs w:val="20"/>
      </w:rPr>
      <w:t xml:space="preserve">(UI) </w:t>
    </w:r>
    <w:r w:rsidRPr="004247A7">
      <w:rPr>
        <w:sz w:val="20"/>
        <w:szCs w:val="20"/>
      </w:rPr>
      <w:t>Trust Fund Activity</w:t>
    </w:r>
  </w:p>
  <w:p w14:paraId="0C867905" w14:textId="2CB4EBCB" w:rsidR="008E2D1A" w:rsidRDefault="007C004A">
    <w:pPr>
      <w:pStyle w:val="Header"/>
      <w:rPr>
        <w:sz w:val="20"/>
        <w:szCs w:val="20"/>
      </w:rPr>
    </w:pPr>
    <w:r>
      <w:rPr>
        <w:sz w:val="20"/>
        <w:szCs w:val="20"/>
      </w:rPr>
      <w:t>OMB Control No.</w:t>
    </w:r>
    <w:r w:rsidR="002D5DB9" w:rsidRPr="00573DC5">
      <w:rPr>
        <w:sz w:val="20"/>
        <w:szCs w:val="20"/>
      </w:rPr>
      <w:t xml:space="preserve"> 1205-0154</w:t>
    </w:r>
    <w:r w:rsidR="00AA1935">
      <w:rPr>
        <w:sz w:val="20"/>
        <w:szCs w:val="20"/>
      </w:rPr>
      <w:t xml:space="preserve"> </w:t>
    </w:r>
  </w:p>
  <w:p w14:paraId="6C5530AE" w14:textId="175FA342" w:rsidR="00745F9E" w:rsidRDefault="00E344F4">
    <w:pPr>
      <w:pStyle w:val="Header"/>
    </w:pPr>
    <w:r>
      <w:rPr>
        <w:sz w:val="20"/>
        <w:szCs w:val="20"/>
      </w:rPr>
      <w:t>February</w:t>
    </w:r>
    <w:r w:rsidR="00AA1935">
      <w:rPr>
        <w:sz w:val="20"/>
        <w:szCs w:val="20"/>
      </w:rPr>
      <w:t xml:space="preserve"> 201</w:t>
    </w:r>
    <w:r w:rsidR="007C004A">
      <w:rPr>
        <w:sz w:val="20"/>
        <w:szCs w:val="20"/>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87621"/>
    <w:multiLevelType w:val="hybridMultilevel"/>
    <w:tmpl w:val="48262E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4F22BDE"/>
    <w:multiLevelType w:val="hybridMultilevel"/>
    <w:tmpl w:val="FC8066C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C5283E"/>
    <w:multiLevelType w:val="hybridMultilevel"/>
    <w:tmpl w:val="68BEBB36"/>
    <w:lvl w:ilvl="0" w:tplc="8C66C93A">
      <w:start w:val="2"/>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D3D5DC6"/>
    <w:multiLevelType w:val="hybridMultilevel"/>
    <w:tmpl w:val="A858BB4E"/>
    <w:lvl w:ilvl="0" w:tplc="15C4513C">
      <w:start w:val="12"/>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341DA9"/>
    <w:multiLevelType w:val="hybridMultilevel"/>
    <w:tmpl w:val="FED033EC"/>
    <w:lvl w:ilvl="0" w:tplc="3DA4356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FE37939"/>
    <w:multiLevelType w:val="hybridMultilevel"/>
    <w:tmpl w:val="2F3439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E6B7B5C"/>
    <w:multiLevelType w:val="hybridMultilevel"/>
    <w:tmpl w:val="9E664D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C7D4D78"/>
    <w:multiLevelType w:val="hybridMultilevel"/>
    <w:tmpl w:val="8F0659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CBB5B48"/>
    <w:multiLevelType w:val="hybridMultilevel"/>
    <w:tmpl w:val="435CA8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F0C4477"/>
    <w:multiLevelType w:val="hybridMultilevel"/>
    <w:tmpl w:val="7C58DB38"/>
    <w:lvl w:ilvl="0" w:tplc="88A6B234">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7"/>
  </w:num>
  <w:num w:numId="6">
    <w:abstractNumId w:val="6"/>
  </w:num>
  <w:num w:numId="7">
    <w:abstractNumId w:val="5"/>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A6"/>
    <w:rsid w:val="0000469D"/>
    <w:rsid w:val="000046E9"/>
    <w:rsid w:val="00006BDF"/>
    <w:rsid w:val="000079B9"/>
    <w:rsid w:val="00007C16"/>
    <w:rsid w:val="00011216"/>
    <w:rsid w:val="00013071"/>
    <w:rsid w:val="00015205"/>
    <w:rsid w:val="000220FF"/>
    <w:rsid w:val="00022272"/>
    <w:rsid w:val="0002259E"/>
    <w:rsid w:val="00025207"/>
    <w:rsid w:val="00025473"/>
    <w:rsid w:val="00025DA0"/>
    <w:rsid w:val="00025EF9"/>
    <w:rsid w:val="00026D17"/>
    <w:rsid w:val="00027638"/>
    <w:rsid w:val="00027709"/>
    <w:rsid w:val="000279A8"/>
    <w:rsid w:val="00031B15"/>
    <w:rsid w:val="00031DDD"/>
    <w:rsid w:val="00037F4F"/>
    <w:rsid w:val="00041856"/>
    <w:rsid w:val="00041F99"/>
    <w:rsid w:val="00042282"/>
    <w:rsid w:val="00042906"/>
    <w:rsid w:val="000429E0"/>
    <w:rsid w:val="00043663"/>
    <w:rsid w:val="00045105"/>
    <w:rsid w:val="00046833"/>
    <w:rsid w:val="00047D66"/>
    <w:rsid w:val="00050BBA"/>
    <w:rsid w:val="00053141"/>
    <w:rsid w:val="000534F6"/>
    <w:rsid w:val="00057433"/>
    <w:rsid w:val="00057D22"/>
    <w:rsid w:val="000605C7"/>
    <w:rsid w:val="00061E1F"/>
    <w:rsid w:val="000644EA"/>
    <w:rsid w:val="00071243"/>
    <w:rsid w:val="00072B09"/>
    <w:rsid w:val="0007340D"/>
    <w:rsid w:val="00074428"/>
    <w:rsid w:val="00076689"/>
    <w:rsid w:val="00081661"/>
    <w:rsid w:val="000817DC"/>
    <w:rsid w:val="0008303D"/>
    <w:rsid w:val="00083604"/>
    <w:rsid w:val="0008733F"/>
    <w:rsid w:val="000900D5"/>
    <w:rsid w:val="0009041F"/>
    <w:rsid w:val="00090BDB"/>
    <w:rsid w:val="000918BB"/>
    <w:rsid w:val="00093044"/>
    <w:rsid w:val="00093750"/>
    <w:rsid w:val="00094A86"/>
    <w:rsid w:val="00095B3E"/>
    <w:rsid w:val="00096852"/>
    <w:rsid w:val="000A49DA"/>
    <w:rsid w:val="000A5CC8"/>
    <w:rsid w:val="000B101D"/>
    <w:rsid w:val="000B1164"/>
    <w:rsid w:val="000B387B"/>
    <w:rsid w:val="000B71BF"/>
    <w:rsid w:val="000B7328"/>
    <w:rsid w:val="000C080E"/>
    <w:rsid w:val="000C144E"/>
    <w:rsid w:val="000C296E"/>
    <w:rsid w:val="000D1F6E"/>
    <w:rsid w:val="000D2893"/>
    <w:rsid w:val="000D3A1E"/>
    <w:rsid w:val="000D4C25"/>
    <w:rsid w:val="000D535D"/>
    <w:rsid w:val="000D5D5C"/>
    <w:rsid w:val="000D5FE2"/>
    <w:rsid w:val="000E5BF8"/>
    <w:rsid w:val="000E7A1D"/>
    <w:rsid w:val="000E7C96"/>
    <w:rsid w:val="000E7CC4"/>
    <w:rsid w:val="000F106D"/>
    <w:rsid w:val="000F3BEA"/>
    <w:rsid w:val="000F4BB7"/>
    <w:rsid w:val="000F53BF"/>
    <w:rsid w:val="000F5CD2"/>
    <w:rsid w:val="00100375"/>
    <w:rsid w:val="00101526"/>
    <w:rsid w:val="00101E29"/>
    <w:rsid w:val="00101F2C"/>
    <w:rsid w:val="00102F7D"/>
    <w:rsid w:val="00104084"/>
    <w:rsid w:val="00107987"/>
    <w:rsid w:val="00110F85"/>
    <w:rsid w:val="00111F1C"/>
    <w:rsid w:val="0011287E"/>
    <w:rsid w:val="001146C3"/>
    <w:rsid w:val="00114D43"/>
    <w:rsid w:val="00117F08"/>
    <w:rsid w:val="00125E9B"/>
    <w:rsid w:val="0012616C"/>
    <w:rsid w:val="001261A0"/>
    <w:rsid w:val="00126B50"/>
    <w:rsid w:val="001303BA"/>
    <w:rsid w:val="00131103"/>
    <w:rsid w:val="00131C7D"/>
    <w:rsid w:val="00134E67"/>
    <w:rsid w:val="00136264"/>
    <w:rsid w:val="0013685D"/>
    <w:rsid w:val="00137F89"/>
    <w:rsid w:val="001442E7"/>
    <w:rsid w:val="0014463E"/>
    <w:rsid w:val="00144AC9"/>
    <w:rsid w:val="00144E3D"/>
    <w:rsid w:val="00147DF3"/>
    <w:rsid w:val="00147F68"/>
    <w:rsid w:val="00152C4D"/>
    <w:rsid w:val="00152DE6"/>
    <w:rsid w:val="00153C11"/>
    <w:rsid w:val="00154421"/>
    <w:rsid w:val="00156F0F"/>
    <w:rsid w:val="00160D82"/>
    <w:rsid w:val="001643CE"/>
    <w:rsid w:val="00165B4B"/>
    <w:rsid w:val="0016713F"/>
    <w:rsid w:val="00172BF8"/>
    <w:rsid w:val="00174CCC"/>
    <w:rsid w:val="001750CA"/>
    <w:rsid w:val="00175BCD"/>
    <w:rsid w:val="001772FA"/>
    <w:rsid w:val="0018002A"/>
    <w:rsid w:val="00186FA2"/>
    <w:rsid w:val="00190BA5"/>
    <w:rsid w:val="0019443C"/>
    <w:rsid w:val="00195DC7"/>
    <w:rsid w:val="001A1DA2"/>
    <w:rsid w:val="001A2012"/>
    <w:rsid w:val="001A4079"/>
    <w:rsid w:val="001A58A7"/>
    <w:rsid w:val="001B01E4"/>
    <w:rsid w:val="001B06A2"/>
    <w:rsid w:val="001B080E"/>
    <w:rsid w:val="001B200D"/>
    <w:rsid w:val="001B5EB7"/>
    <w:rsid w:val="001B6E43"/>
    <w:rsid w:val="001C03BF"/>
    <w:rsid w:val="001C199B"/>
    <w:rsid w:val="001C30A9"/>
    <w:rsid w:val="001C36EC"/>
    <w:rsid w:val="001C3B7C"/>
    <w:rsid w:val="001C53BB"/>
    <w:rsid w:val="001C57B4"/>
    <w:rsid w:val="001C6B25"/>
    <w:rsid w:val="001D0E4A"/>
    <w:rsid w:val="001D2D20"/>
    <w:rsid w:val="001E36BF"/>
    <w:rsid w:val="001E45B9"/>
    <w:rsid w:val="001E48DF"/>
    <w:rsid w:val="001E715E"/>
    <w:rsid w:val="001E7335"/>
    <w:rsid w:val="001F0FB6"/>
    <w:rsid w:val="001F238D"/>
    <w:rsid w:val="001F35E4"/>
    <w:rsid w:val="001F6BB5"/>
    <w:rsid w:val="001F6F5A"/>
    <w:rsid w:val="001F7334"/>
    <w:rsid w:val="001F7B72"/>
    <w:rsid w:val="00201566"/>
    <w:rsid w:val="00202D5D"/>
    <w:rsid w:val="00205066"/>
    <w:rsid w:val="002066B5"/>
    <w:rsid w:val="00210CF8"/>
    <w:rsid w:val="002118FA"/>
    <w:rsid w:val="00211F8D"/>
    <w:rsid w:val="00212590"/>
    <w:rsid w:val="00212D10"/>
    <w:rsid w:val="00214220"/>
    <w:rsid w:val="0021623B"/>
    <w:rsid w:val="0021681A"/>
    <w:rsid w:val="002265C0"/>
    <w:rsid w:val="00234714"/>
    <w:rsid w:val="00234968"/>
    <w:rsid w:val="00235B90"/>
    <w:rsid w:val="002361D9"/>
    <w:rsid w:val="002370D4"/>
    <w:rsid w:val="0023756E"/>
    <w:rsid w:val="00241ADC"/>
    <w:rsid w:val="00242B26"/>
    <w:rsid w:val="0024739A"/>
    <w:rsid w:val="00247428"/>
    <w:rsid w:val="0025451F"/>
    <w:rsid w:val="00254AE8"/>
    <w:rsid w:val="002550AC"/>
    <w:rsid w:val="00255B13"/>
    <w:rsid w:val="00256182"/>
    <w:rsid w:val="00260695"/>
    <w:rsid w:val="00261948"/>
    <w:rsid w:val="00262230"/>
    <w:rsid w:val="002640C7"/>
    <w:rsid w:val="002646FA"/>
    <w:rsid w:val="002671CA"/>
    <w:rsid w:val="00271277"/>
    <w:rsid w:val="002717EE"/>
    <w:rsid w:val="00272BCF"/>
    <w:rsid w:val="00274123"/>
    <w:rsid w:val="0027464F"/>
    <w:rsid w:val="00274C36"/>
    <w:rsid w:val="00281D18"/>
    <w:rsid w:val="002922BF"/>
    <w:rsid w:val="0029736A"/>
    <w:rsid w:val="002A2205"/>
    <w:rsid w:val="002A3FF5"/>
    <w:rsid w:val="002A669C"/>
    <w:rsid w:val="002A68AB"/>
    <w:rsid w:val="002B060E"/>
    <w:rsid w:val="002B265F"/>
    <w:rsid w:val="002B296C"/>
    <w:rsid w:val="002B4899"/>
    <w:rsid w:val="002C3353"/>
    <w:rsid w:val="002D05AF"/>
    <w:rsid w:val="002D360C"/>
    <w:rsid w:val="002D3A04"/>
    <w:rsid w:val="002D3B86"/>
    <w:rsid w:val="002D5429"/>
    <w:rsid w:val="002D5DB9"/>
    <w:rsid w:val="002E588A"/>
    <w:rsid w:val="002F033C"/>
    <w:rsid w:val="002F034C"/>
    <w:rsid w:val="002F0DF5"/>
    <w:rsid w:val="002F30FF"/>
    <w:rsid w:val="002F4CCE"/>
    <w:rsid w:val="002F5816"/>
    <w:rsid w:val="002F5881"/>
    <w:rsid w:val="002F5883"/>
    <w:rsid w:val="002F594A"/>
    <w:rsid w:val="002F5B41"/>
    <w:rsid w:val="00303C8E"/>
    <w:rsid w:val="0030417F"/>
    <w:rsid w:val="00305269"/>
    <w:rsid w:val="00310592"/>
    <w:rsid w:val="00316446"/>
    <w:rsid w:val="00317E19"/>
    <w:rsid w:val="00320C9E"/>
    <w:rsid w:val="00324F33"/>
    <w:rsid w:val="003267F3"/>
    <w:rsid w:val="00326B29"/>
    <w:rsid w:val="00331DFE"/>
    <w:rsid w:val="003324C2"/>
    <w:rsid w:val="003347A7"/>
    <w:rsid w:val="00334D33"/>
    <w:rsid w:val="0033636F"/>
    <w:rsid w:val="00344EC2"/>
    <w:rsid w:val="00344FAD"/>
    <w:rsid w:val="0034545E"/>
    <w:rsid w:val="00345DF8"/>
    <w:rsid w:val="003504DA"/>
    <w:rsid w:val="003506E6"/>
    <w:rsid w:val="00352314"/>
    <w:rsid w:val="00360A2F"/>
    <w:rsid w:val="00363E72"/>
    <w:rsid w:val="00365607"/>
    <w:rsid w:val="0036657E"/>
    <w:rsid w:val="003671F1"/>
    <w:rsid w:val="003718A2"/>
    <w:rsid w:val="00373684"/>
    <w:rsid w:val="00373CCE"/>
    <w:rsid w:val="003743DC"/>
    <w:rsid w:val="003751AA"/>
    <w:rsid w:val="0037606A"/>
    <w:rsid w:val="003803B7"/>
    <w:rsid w:val="00381CF0"/>
    <w:rsid w:val="0038286A"/>
    <w:rsid w:val="00384488"/>
    <w:rsid w:val="00385649"/>
    <w:rsid w:val="00391C43"/>
    <w:rsid w:val="0039554C"/>
    <w:rsid w:val="00395CC5"/>
    <w:rsid w:val="0039677B"/>
    <w:rsid w:val="00396946"/>
    <w:rsid w:val="003A0B1C"/>
    <w:rsid w:val="003A5CE4"/>
    <w:rsid w:val="003A6185"/>
    <w:rsid w:val="003A746B"/>
    <w:rsid w:val="003B0450"/>
    <w:rsid w:val="003B0AE5"/>
    <w:rsid w:val="003B5A01"/>
    <w:rsid w:val="003B6CA5"/>
    <w:rsid w:val="003B6F41"/>
    <w:rsid w:val="003C0B5A"/>
    <w:rsid w:val="003C13DB"/>
    <w:rsid w:val="003C61D5"/>
    <w:rsid w:val="003C7C50"/>
    <w:rsid w:val="003D2CE2"/>
    <w:rsid w:val="003D4340"/>
    <w:rsid w:val="003D52C0"/>
    <w:rsid w:val="003D597F"/>
    <w:rsid w:val="003D6334"/>
    <w:rsid w:val="003D707A"/>
    <w:rsid w:val="003D7135"/>
    <w:rsid w:val="003E4CEF"/>
    <w:rsid w:val="003E74D3"/>
    <w:rsid w:val="003E7E46"/>
    <w:rsid w:val="003F07C6"/>
    <w:rsid w:val="003F1F5D"/>
    <w:rsid w:val="003F4DD5"/>
    <w:rsid w:val="003F720B"/>
    <w:rsid w:val="003F7C66"/>
    <w:rsid w:val="004008A2"/>
    <w:rsid w:val="00406825"/>
    <w:rsid w:val="00406C87"/>
    <w:rsid w:val="00407F07"/>
    <w:rsid w:val="00412042"/>
    <w:rsid w:val="0041396E"/>
    <w:rsid w:val="004145C5"/>
    <w:rsid w:val="00414A7F"/>
    <w:rsid w:val="00415465"/>
    <w:rsid w:val="004209E9"/>
    <w:rsid w:val="004231A6"/>
    <w:rsid w:val="00423247"/>
    <w:rsid w:val="00423C66"/>
    <w:rsid w:val="004247A7"/>
    <w:rsid w:val="00426664"/>
    <w:rsid w:val="004267E3"/>
    <w:rsid w:val="0042768E"/>
    <w:rsid w:val="00431D97"/>
    <w:rsid w:val="00433623"/>
    <w:rsid w:val="00434AA1"/>
    <w:rsid w:val="00434BE8"/>
    <w:rsid w:val="00435FE3"/>
    <w:rsid w:val="004368D6"/>
    <w:rsid w:val="00436BC8"/>
    <w:rsid w:val="00440CF2"/>
    <w:rsid w:val="00442494"/>
    <w:rsid w:val="0044306B"/>
    <w:rsid w:val="0044440A"/>
    <w:rsid w:val="00445FEA"/>
    <w:rsid w:val="00450B62"/>
    <w:rsid w:val="00451451"/>
    <w:rsid w:val="00455AD0"/>
    <w:rsid w:val="004576A9"/>
    <w:rsid w:val="004577BE"/>
    <w:rsid w:val="00466048"/>
    <w:rsid w:val="004675F2"/>
    <w:rsid w:val="00467848"/>
    <w:rsid w:val="004705E0"/>
    <w:rsid w:val="00471C3E"/>
    <w:rsid w:val="00480FC7"/>
    <w:rsid w:val="00481402"/>
    <w:rsid w:val="00485DA3"/>
    <w:rsid w:val="004861FB"/>
    <w:rsid w:val="00487BA8"/>
    <w:rsid w:val="00490326"/>
    <w:rsid w:val="00492C00"/>
    <w:rsid w:val="004945A9"/>
    <w:rsid w:val="004946F6"/>
    <w:rsid w:val="0049760B"/>
    <w:rsid w:val="00497C43"/>
    <w:rsid w:val="004A0852"/>
    <w:rsid w:val="004A1C2F"/>
    <w:rsid w:val="004B136D"/>
    <w:rsid w:val="004B3783"/>
    <w:rsid w:val="004B3883"/>
    <w:rsid w:val="004B5C65"/>
    <w:rsid w:val="004B7583"/>
    <w:rsid w:val="004C09F2"/>
    <w:rsid w:val="004C4356"/>
    <w:rsid w:val="004C7144"/>
    <w:rsid w:val="004C73ED"/>
    <w:rsid w:val="004C7666"/>
    <w:rsid w:val="004D28DE"/>
    <w:rsid w:val="004D2C8C"/>
    <w:rsid w:val="004D4C36"/>
    <w:rsid w:val="004D6F88"/>
    <w:rsid w:val="004D7B0B"/>
    <w:rsid w:val="004E625D"/>
    <w:rsid w:val="004E68CD"/>
    <w:rsid w:val="004F0B0D"/>
    <w:rsid w:val="004F0F40"/>
    <w:rsid w:val="004F1115"/>
    <w:rsid w:val="004F2E1C"/>
    <w:rsid w:val="004F5AF7"/>
    <w:rsid w:val="005026C3"/>
    <w:rsid w:val="00505BAA"/>
    <w:rsid w:val="00506887"/>
    <w:rsid w:val="00506BC1"/>
    <w:rsid w:val="00510E06"/>
    <w:rsid w:val="00511F7F"/>
    <w:rsid w:val="00514714"/>
    <w:rsid w:val="00514D89"/>
    <w:rsid w:val="0051612E"/>
    <w:rsid w:val="00520B33"/>
    <w:rsid w:val="00520BE7"/>
    <w:rsid w:val="005218B5"/>
    <w:rsid w:val="00525586"/>
    <w:rsid w:val="0052661E"/>
    <w:rsid w:val="005273C5"/>
    <w:rsid w:val="00527DA0"/>
    <w:rsid w:val="0053262F"/>
    <w:rsid w:val="00532F89"/>
    <w:rsid w:val="005338EB"/>
    <w:rsid w:val="0054197A"/>
    <w:rsid w:val="00541B4E"/>
    <w:rsid w:val="0054264E"/>
    <w:rsid w:val="00544598"/>
    <w:rsid w:val="0054531C"/>
    <w:rsid w:val="005501DD"/>
    <w:rsid w:val="005509AD"/>
    <w:rsid w:val="00553A41"/>
    <w:rsid w:val="00553B9F"/>
    <w:rsid w:val="00555B4B"/>
    <w:rsid w:val="00555EF6"/>
    <w:rsid w:val="00563680"/>
    <w:rsid w:val="00564F63"/>
    <w:rsid w:val="00572752"/>
    <w:rsid w:val="005739DD"/>
    <w:rsid w:val="00573A7B"/>
    <w:rsid w:val="00573DC5"/>
    <w:rsid w:val="00580676"/>
    <w:rsid w:val="005828A1"/>
    <w:rsid w:val="0058296A"/>
    <w:rsid w:val="0058352F"/>
    <w:rsid w:val="005853CC"/>
    <w:rsid w:val="00586423"/>
    <w:rsid w:val="00586E8F"/>
    <w:rsid w:val="0059130B"/>
    <w:rsid w:val="00592D50"/>
    <w:rsid w:val="005934EF"/>
    <w:rsid w:val="00593FF9"/>
    <w:rsid w:val="005952B0"/>
    <w:rsid w:val="00596E52"/>
    <w:rsid w:val="005A4665"/>
    <w:rsid w:val="005B08A6"/>
    <w:rsid w:val="005B3D75"/>
    <w:rsid w:val="005B3FAA"/>
    <w:rsid w:val="005B6FE2"/>
    <w:rsid w:val="005C0CD5"/>
    <w:rsid w:val="005C3CF9"/>
    <w:rsid w:val="005D0E32"/>
    <w:rsid w:val="005D1920"/>
    <w:rsid w:val="005D4BEB"/>
    <w:rsid w:val="005D4F2F"/>
    <w:rsid w:val="005D66EA"/>
    <w:rsid w:val="005D6E2E"/>
    <w:rsid w:val="005E00E0"/>
    <w:rsid w:val="005E0771"/>
    <w:rsid w:val="005E0A86"/>
    <w:rsid w:val="005E13FE"/>
    <w:rsid w:val="005E2C61"/>
    <w:rsid w:val="005E7982"/>
    <w:rsid w:val="005F08C5"/>
    <w:rsid w:val="005F10C2"/>
    <w:rsid w:val="005F7F70"/>
    <w:rsid w:val="0060163A"/>
    <w:rsid w:val="006103A6"/>
    <w:rsid w:val="006114B3"/>
    <w:rsid w:val="00616F5B"/>
    <w:rsid w:val="00621913"/>
    <w:rsid w:val="00621C3E"/>
    <w:rsid w:val="00622114"/>
    <w:rsid w:val="00622525"/>
    <w:rsid w:val="00622AF4"/>
    <w:rsid w:val="00623487"/>
    <w:rsid w:val="0062530D"/>
    <w:rsid w:val="00626CF0"/>
    <w:rsid w:val="006272F7"/>
    <w:rsid w:val="00627E08"/>
    <w:rsid w:val="006306C4"/>
    <w:rsid w:val="00632933"/>
    <w:rsid w:val="0063302D"/>
    <w:rsid w:val="00633366"/>
    <w:rsid w:val="00634807"/>
    <w:rsid w:val="006353AC"/>
    <w:rsid w:val="006401D2"/>
    <w:rsid w:val="0064172D"/>
    <w:rsid w:val="00643069"/>
    <w:rsid w:val="006520E9"/>
    <w:rsid w:val="00653CBE"/>
    <w:rsid w:val="006546DB"/>
    <w:rsid w:val="00662112"/>
    <w:rsid w:val="00664FF5"/>
    <w:rsid w:val="0066519D"/>
    <w:rsid w:val="006659A7"/>
    <w:rsid w:val="00665A72"/>
    <w:rsid w:val="0066605A"/>
    <w:rsid w:val="00667BBA"/>
    <w:rsid w:val="006708B8"/>
    <w:rsid w:val="00670A35"/>
    <w:rsid w:val="00671D35"/>
    <w:rsid w:val="00672922"/>
    <w:rsid w:val="00672D75"/>
    <w:rsid w:val="00672FA7"/>
    <w:rsid w:val="006757E1"/>
    <w:rsid w:val="00677C83"/>
    <w:rsid w:val="006805CC"/>
    <w:rsid w:val="00681BD4"/>
    <w:rsid w:val="00684AA3"/>
    <w:rsid w:val="00687E1D"/>
    <w:rsid w:val="00690C96"/>
    <w:rsid w:val="00691714"/>
    <w:rsid w:val="006931E9"/>
    <w:rsid w:val="0069333E"/>
    <w:rsid w:val="00694811"/>
    <w:rsid w:val="00695FED"/>
    <w:rsid w:val="00696826"/>
    <w:rsid w:val="006A093B"/>
    <w:rsid w:val="006A3876"/>
    <w:rsid w:val="006A4D89"/>
    <w:rsid w:val="006A6F4F"/>
    <w:rsid w:val="006A75C3"/>
    <w:rsid w:val="006B3EB2"/>
    <w:rsid w:val="006B695C"/>
    <w:rsid w:val="006B7627"/>
    <w:rsid w:val="006C2412"/>
    <w:rsid w:val="006C2E50"/>
    <w:rsid w:val="006D0F7E"/>
    <w:rsid w:val="006D11FC"/>
    <w:rsid w:val="006D4F0A"/>
    <w:rsid w:val="006D5C6A"/>
    <w:rsid w:val="006E0404"/>
    <w:rsid w:val="006E0890"/>
    <w:rsid w:val="006E22CA"/>
    <w:rsid w:val="006E2398"/>
    <w:rsid w:val="006E260A"/>
    <w:rsid w:val="006E28DB"/>
    <w:rsid w:val="006E5DF1"/>
    <w:rsid w:val="006F2230"/>
    <w:rsid w:val="006F244A"/>
    <w:rsid w:val="006F29AF"/>
    <w:rsid w:val="006F3B2E"/>
    <w:rsid w:val="006F3BD3"/>
    <w:rsid w:val="006F4202"/>
    <w:rsid w:val="006F496F"/>
    <w:rsid w:val="006F6EFB"/>
    <w:rsid w:val="00701078"/>
    <w:rsid w:val="00701DE7"/>
    <w:rsid w:val="007043A3"/>
    <w:rsid w:val="00704F34"/>
    <w:rsid w:val="00706485"/>
    <w:rsid w:val="007069A1"/>
    <w:rsid w:val="007213F4"/>
    <w:rsid w:val="00722867"/>
    <w:rsid w:val="00722B17"/>
    <w:rsid w:val="00723663"/>
    <w:rsid w:val="00724801"/>
    <w:rsid w:val="007270B0"/>
    <w:rsid w:val="007277C0"/>
    <w:rsid w:val="0073065C"/>
    <w:rsid w:val="00731216"/>
    <w:rsid w:val="00731C12"/>
    <w:rsid w:val="00732243"/>
    <w:rsid w:val="007328C9"/>
    <w:rsid w:val="0073414B"/>
    <w:rsid w:val="00735099"/>
    <w:rsid w:val="00741419"/>
    <w:rsid w:val="00742C7F"/>
    <w:rsid w:val="00743F29"/>
    <w:rsid w:val="0074524D"/>
    <w:rsid w:val="00745B0F"/>
    <w:rsid w:val="00745F9E"/>
    <w:rsid w:val="0074773E"/>
    <w:rsid w:val="00750F7C"/>
    <w:rsid w:val="00751701"/>
    <w:rsid w:val="00756102"/>
    <w:rsid w:val="00757575"/>
    <w:rsid w:val="00757AE8"/>
    <w:rsid w:val="007621C7"/>
    <w:rsid w:val="007621F3"/>
    <w:rsid w:val="00763361"/>
    <w:rsid w:val="00763FDC"/>
    <w:rsid w:val="00765785"/>
    <w:rsid w:val="007679DB"/>
    <w:rsid w:val="007717E7"/>
    <w:rsid w:val="00771ECE"/>
    <w:rsid w:val="00772E37"/>
    <w:rsid w:val="007734B0"/>
    <w:rsid w:val="00777905"/>
    <w:rsid w:val="00781FF3"/>
    <w:rsid w:val="007842B1"/>
    <w:rsid w:val="007864F2"/>
    <w:rsid w:val="00787C34"/>
    <w:rsid w:val="00787D8C"/>
    <w:rsid w:val="007903C3"/>
    <w:rsid w:val="0079368C"/>
    <w:rsid w:val="00793C72"/>
    <w:rsid w:val="00794112"/>
    <w:rsid w:val="00794AD1"/>
    <w:rsid w:val="00794B85"/>
    <w:rsid w:val="007A4C5C"/>
    <w:rsid w:val="007A5927"/>
    <w:rsid w:val="007A7752"/>
    <w:rsid w:val="007B05CF"/>
    <w:rsid w:val="007B2BDC"/>
    <w:rsid w:val="007C004A"/>
    <w:rsid w:val="007C054A"/>
    <w:rsid w:val="007C34D8"/>
    <w:rsid w:val="007C6DE3"/>
    <w:rsid w:val="007C76AB"/>
    <w:rsid w:val="007D138A"/>
    <w:rsid w:val="007D2E7A"/>
    <w:rsid w:val="007D429A"/>
    <w:rsid w:val="007D7974"/>
    <w:rsid w:val="007E4BE7"/>
    <w:rsid w:val="007E4FD9"/>
    <w:rsid w:val="007E53B9"/>
    <w:rsid w:val="007E6193"/>
    <w:rsid w:val="007E7713"/>
    <w:rsid w:val="007F223F"/>
    <w:rsid w:val="007F2347"/>
    <w:rsid w:val="007F3C30"/>
    <w:rsid w:val="007F3DDF"/>
    <w:rsid w:val="007F46B4"/>
    <w:rsid w:val="007F4AB0"/>
    <w:rsid w:val="007F5D34"/>
    <w:rsid w:val="007F7854"/>
    <w:rsid w:val="00801453"/>
    <w:rsid w:val="00802027"/>
    <w:rsid w:val="008025A6"/>
    <w:rsid w:val="00804729"/>
    <w:rsid w:val="008056EB"/>
    <w:rsid w:val="0081137E"/>
    <w:rsid w:val="00812DE0"/>
    <w:rsid w:val="008141AC"/>
    <w:rsid w:val="00817582"/>
    <w:rsid w:val="00822BE9"/>
    <w:rsid w:val="00824D09"/>
    <w:rsid w:val="00825F64"/>
    <w:rsid w:val="00830797"/>
    <w:rsid w:val="00831A4A"/>
    <w:rsid w:val="008325F7"/>
    <w:rsid w:val="0083400A"/>
    <w:rsid w:val="008351AD"/>
    <w:rsid w:val="0083573D"/>
    <w:rsid w:val="00835F60"/>
    <w:rsid w:val="008361D4"/>
    <w:rsid w:val="0083633B"/>
    <w:rsid w:val="008364EC"/>
    <w:rsid w:val="00836DA5"/>
    <w:rsid w:val="00840FD6"/>
    <w:rsid w:val="00841390"/>
    <w:rsid w:val="00841C4C"/>
    <w:rsid w:val="00842CFF"/>
    <w:rsid w:val="00842FB6"/>
    <w:rsid w:val="00844744"/>
    <w:rsid w:val="00844CBD"/>
    <w:rsid w:val="00846189"/>
    <w:rsid w:val="008510CF"/>
    <w:rsid w:val="0085262B"/>
    <w:rsid w:val="008538CD"/>
    <w:rsid w:val="00853A3E"/>
    <w:rsid w:val="00855742"/>
    <w:rsid w:val="00855A96"/>
    <w:rsid w:val="00856622"/>
    <w:rsid w:val="008569E1"/>
    <w:rsid w:val="00860A38"/>
    <w:rsid w:val="00860BBD"/>
    <w:rsid w:val="00861495"/>
    <w:rsid w:val="00862099"/>
    <w:rsid w:val="00865F21"/>
    <w:rsid w:val="008738DC"/>
    <w:rsid w:val="0087467C"/>
    <w:rsid w:val="008747FE"/>
    <w:rsid w:val="00875977"/>
    <w:rsid w:val="00875B50"/>
    <w:rsid w:val="008765C0"/>
    <w:rsid w:val="008767DD"/>
    <w:rsid w:val="00880D45"/>
    <w:rsid w:val="00885CE6"/>
    <w:rsid w:val="00892A14"/>
    <w:rsid w:val="00894F88"/>
    <w:rsid w:val="008A116E"/>
    <w:rsid w:val="008A5D24"/>
    <w:rsid w:val="008B3D99"/>
    <w:rsid w:val="008C000D"/>
    <w:rsid w:val="008C01F9"/>
    <w:rsid w:val="008C0DE1"/>
    <w:rsid w:val="008C2F7E"/>
    <w:rsid w:val="008C435F"/>
    <w:rsid w:val="008D0B6A"/>
    <w:rsid w:val="008D2419"/>
    <w:rsid w:val="008D2771"/>
    <w:rsid w:val="008D5215"/>
    <w:rsid w:val="008D5603"/>
    <w:rsid w:val="008D5D57"/>
    <w:rsid w:val="008D6FD7"/>
    <w:rsid w:val="008E2D1A"/>
    <w:rsid w:val="008E393F"/>
    <w:rsid w:val="008E6283"/>
    <w:rsid w:val="008F002D"/>
    <w:rsid w:val="008F1EF2"/>
    <w:rsid w:val="008F2EC3"/>
    <w:rsid w:val="009002AE"/>
    <w:rsid w:val="00901D56"/>
    <w:rsid w:val="009023E9"/>
    <w:rsid w:val="00902672"/>
    <w:rsid w:val="00903FA2"/>
    <w:rsid w:val="009057D9"/>
    <w:rsid w:val="00907FC7"/>
    <w:rsid w:val="00911EE2"/>
    <w:rsid w:val="0091360E"/>
    <w:rsid w:val="00914683"/>
    <w:rsid w:val="0091600F"/>
    <w:rsid w:val="009162D6"/>
    <w:rsid w:val="00917593"/>
    <w:rsid w:val="0091798E"/>
    <w:rsid w:val="00917D77"/>
    <w:rsid w:val="00917E5B"/>
    <w:rsid w:val="009213D7"/>
    <w:rsid w:val="009227B4"/>
    <w:rsid w:val="00925E30"/>
    <w:rsid w:val="009319F5"/>
    <w:rsid w:val="00932A78"/>
    <w:rsid w:val="00937998"/>
    <w:rsid w:val="00937C47"/>
    <w:rsid w:val="00937E86"/>
    <w:rsid w:val="00940A36"/>
    <w:rsid w:val="009414D8"/>
    <w:rsid w:val="00943F8E"/>
    <w:rsid w:val="00944D0B"/>
    <w:rsid w:val="00945DCC"/>
    <w:rsid w:val="009469CB"/>
    <w:rsid w:val="00947BFD"/>
    <w:rsid w:val="0095259B"/>
    <w:rsid w:val="009537D1"/>
    <w:rsid w:val="0095412A"/>
    <w:rsid w:val="009568AD"/>
    <w:rsid w:val="00956BE8"/>
    <w:rsid w:val="00957A9C"/>
    <w:rsid w:val="009605AC"/>
    <w:rsid w:val="00960805"/>
    <w:rsid w:val="0096584B"/>
    <w:rsid w:val="00965959"/>
    <w:rsid w:val="00970DC1"/>
    <w:rsid w:val="00973497"/>
    <w:rsid w:val="00973D8E"/>
    <w:rsid w:val="00974120"/>
    <w:rsid w:val="009752FB"/>
    <w:rsid w:val="009760F2"/>
    <w:rsid w:val="00977650"/>
    <w:rsid w:val="009809DB"/>
    <w:rsid w:val="00982974"/>
    <w:rsid w:val="0099034C"/>
    <w:rsid w:val="00992F85"/>
    <w:rsid w:val="00995003"/>
    <w:rsid w:val="009976A1"/>
    <w:rsid w:val="009A270E"/>
    <w:rsid w:val="009A4454"/>
    <w:rsid w:val="009A7800"/>
    <w:rsid w:val="009B5D13"/>
    <w:rsid w:val="009B5F69"/>
    <w:rsid w:val="009B6147"/>
    <w:rsid w:val="009C331A"/>
    <w:rsid w:val="009C7353"/>
    <w:rsid w:val="009C7BF8"/>
    <w:rsid w:val="009D0BDD"/>
    <w:rsid w:val="009D147C"/>
    <w:rsid w:val="009D1713"/>
    <w:rsid w:val="009D1D26"/>
    <w:rsid w:val="009D400A"/>
    <w:rsid w:val="009D45F0"/>
    <w:rsid w:val="009D53EF"/>
    <w:rsid w:val="009D54CD"/>
    <w:rsid w:val="009D5D3A"/>
    <w:rsid w:val="009D6C28"/>
    <w:rsid w:val="009E05F8"/>
    <w:rsid w:val="009E0D1F"/>
    <w:rsid w:val="009E112A"/>
    <w:rsid w:val="009E4A35"/>
    <w:rsid w:val="009E4E4E"/>
    <w:rsid w:val="009E4F52"/>
    <w:rsid w:val="009E59B0"/>
    <w:rsid w:val="009E5AD1"/>
    <w:rsid w:val="009E6EDD"/>
    <w:rsid w:val="009F05F6"/>
    <w:rsid w:val="009F0BF5"/>
    <w:rsid w:val="009F22B3"/>
    <w:rsid w:val="009F7E62"/>
    <w:rsid w:val="00A0064A"/>
    <w:rsid w:val="00A01850"/>
    <w:rsid w:val="00A01B4A"/>
    <w:rsid w:val="00A021E6"/>
    <w:rsid w:val="00A03066"/>
    <w:rsid w:val="00A0318D"/>
    <w:rsid w:val="00A03270"/>
    <w:rsid w:val="00A03AE9"/>
    <w:rsid w:val="00A1011D"/>
    <w:rsid w:val="00A11942"/>
    <w:rsid w:val="00A11A83"/>
    <w:rsid w:val="00A13978"/>
    <w:rsid w:val="00A14014"/>
    <w:rsid w:val="00A14060"/>
    <w:rsid w:val="00A1424F"/>
    <w:rsid w:val="00A162CB"/>
    <w:rsid w:val="00A16C2A"/>
    <w:rsid w:val="00A26950"/>
    <w:rsid w:val="00A272FC"/>
    <w:rsid w:val="00A3057D"/>
    <w:rsid w:val="00A31DF1"/>
    <w:rsid w:val="00A3248F"/>
    <w:rsid w:val="00A33515"/>
    <w:rsid w:val="00A36EB0"/>
    <w:rsid w:val="00A37DB4"/>
    <w:rsid w:val="00A37DE3"/>
    <w:rsid w:val="00A37DF3"/>
    <w:rsid w:val="00A407BA"/>
    <w:rsid w:val="00A43065"/>
    <w:rsid w:val="00A46DC2"/>
    <w:rsid w:val="00A5044C"/>
    <w:rsid w:val="00A50E6D"/>
    <w:rsid w:val="00A54381"/>
    <w:rsid w:val="00A54E68"/>
    <w:rsid w:val="00A57245"/>
    <w:rsid w:val="00A60A57"/>
    <w:rsid w:val="00A649A3"/>
    <w:rsid w:val="00A70227"/>
    <w:rsid w:val="00A709A5"/>
    <w:rsid w:val="00A72755"/>
    <w:rsid w:val="00A729ED"/>
    <w:rsid w:val="00A7317B"/>
    <w:rsid w:val="00A75456"/>
    <w:rsid w:val="00A83BC0"/>
    <w:rsid w:val="00A90B24"/>
    <w:rsid w:val="00A91955"/>
    <w:rsid w:val="00A949E7"/>
    <w:rsid w:val="00AA1935"/>
    <w:rsid w:val="00AA1B75"/>
    <w:rsid w:val="00AB086B"/>
    <w:rsid w:val="00AB0EEF"/>
    <w:rsid w:val="00AB2D86"/>
    <w:rsid w:val="00AB32E9"/>
    <w:rsid w:val="00AB4A39"/>
    <w:rsid w:val="00AB4D8A"/>
    <w:rsid w:val="00AB68B3"/>
    <w:rsid w:val="00AC12EF"/>
    <w:rsid w:val="00AC150F"/>
    <w:rsid w:val="00AC3FF9"/>
    <w:rsid w:val="00AC4F8B"/>
    <w:rsid w:val="00AC718D"/>
    <w:rsid w:val="00AD0B37"/>
    <w:rsid w:val="00AD17DB"/>
    <w:rsid w:val="00AD1DC8"/>
    <w:rsid w:val="00AE22D4"/>
    <w:rsid w:val="00AE61E0"/>
    <w:rsid w:val="00AE65EB"/>
    <w:rsid w:val="00AE7E46"/>
    <w:rsid w:val="00AF0721"/>
    <w:rsid w:val="00AF0C06"/>
    <w:rsid w:val="00AF29EB"/>
    <w:rsid w:val="00AF350E"/>
    <w:rsid w:val="00AF4441"/>
    <w:rsid w:val="00AF60FF"/>
    <w:rsid w:val="00B00943"/>
    <w:rsid w:val="00B02709"/>
    <w:rsid w:val="00B03424"/>
    <w:rsid w:val="00B039AC"/>
    <w:rsid w:val="00B04F30"/>
    <w:rsid w:val="00B10DA0"/>
    <w:rsid w:val="00B1186B"/>
    <w:rsid w:val="00B14CEE"/>
    <w:rsid w:val="00B21923"/>
    <w:rsid w:val="00B27EA2"/>
    <w:rsid w:val="00B30495"/>
    <w:rsid w:val="00B30E97"/>
    <w:rsid w:val="00B33904"/>
    <w:rsid w:val="00B33984"/>
    <w:rsid w:val="00B36164"/>
    <w:rsid w:val="00B37233"/>
    <w:rsid w:val="00B40D04"/>
    <w:rsid w:val="00B40FAB"/>
    <w:rsid w:val="00B44D71"/>
    <w:rsid w:val="00B50088"/>
    <w:rsid w:val="00B50741"/>
    <w:rsid w:val="00B5102B"/>
    <w:rsid w:val="00B5176F"/>
    <w:rsid w:val="00B52207"/>
    <w:rsid w:val="00B564E4"/>
    <w:rsid w:val="00B61D9B"/>
    <w:rsid w:val="00B6319A"/>
    <w:rsid w:val="00B664AF"/>
    <w:rsid w:val="00B72F9D"/>
    <w:rsid w:val="00B73519"/>
    <w:rsid w:val="00B76E7A"/>
    <w:rsid w:val="00B8147E"/>
    <w:rsid w:val="00B81788"/>
    <w:rsid w:val="00B822B6"/>
    <w:rsid w:val="00B833ED"/>
    <w:rsid w:val="00B84341"/>
    <w:rsid w:val="00B85481"/>
    <w:rsid w:val="00B859DC"/>
    <w:rsid w:val="00B87D02"/>
    <w:rsid w:val="00B907E7"/>
    <w:rsid w:val="00B90A1E"/>
    <w:rsid w:val="00B914E2"/>
    <w:rsid w:val="00B934D4"/>
    <w:rsid w:val="00B93567"/>
    <w:rsid w:val="00B93AAB"/>
    <w:rsid w:val="00B94A81"/>
    <w:rsid w:val="00BA2A26"/>
    <w:rsid w:val="00BA2AC2"/>
    <w:rsid w:val="00BA3A39"/>
    <w:rsid w:val="00BA52F9"/>
    <w:rsid w:val="00BA7713"/>
    <w:rsid w:val="00BB6B09"/>
    <w:rsid w:val="00BC0D2E"/>
    <w:rsid w:val="00BC20C5"/>
    <w:rsid w:val="00BC32E1"/>
    <w:rsid w:val="00BC60B9"/>
    <w:rsid w:val="00BC69CB"/>
    <w:rsid w:val="00BC78E2"/>
    <w:rsid w:val="00BD0E34"/>
    <w:rsid w:val="00BD1E02"/>
    <w:rsid w:val="00BD2477"/>
    <w:rsid w:val="00BD34D8"/>
    <w:rsid w:val="00BD35CC"/>
    <w:rsid w:val="00BD4B25"/>
    <w:rsid w:val="00BD5499"/>
    <w:rsid w:val="00BE2680"/>
    <w:rsid w:val="00BE28BE"/>
    <w:rsid w:val="00BE38A8"/>
    <w:rsid w:val="00BE3DD5"/>
    <w:rsid w:val="00BE6C9E"/>
    <w:rsid w:val="00BE78E4"/>
    <w:rsid w:val="00BF0E51"/>
    <w:rsid w:val="00BF3D44"/>
    <w:rsid w:val="00C0154D"/>
    <w:rsid w:val="00C026C7"/>
    <w:rsid w:val="00C04375"/>
    <w:rsid w:val="00C07FAC"/>
    <w:rsid w:val="00C135DB"/>
    <w:rsid w:val="00C16C8E"/>
    <w:rsid w:val="00C17650"/>
    <w:rsid w:val="00C20E0E"/>
    <w:rsid w:val="00C25DDA"/>
    <w:rsid w:val="00C25DE4"/>
    <w:rsid w:val="00C3611F"/>
    <w:rsid w:val="00C4274B"/>
    <w:rsid w:val="00C44A8D"/>
    <w:rsid w:val="00C44EF7"/>
    <w:rsid w:val="00C461CE"/>
    <w:rsid w:val="00C47A22"/>
    <w:rsid w:val="00C539F3"/>
    <w:rsid w:val="00C5480B"/>
    <w:rsid w:val="00C55E51"/>
    <w:rsid w:val="00C60FA2"/>
    <w:rsid w:val="00C62BFA"/>
    <w:rsid w:val="00C6336F"/>
    <w:rsid w:val="00C708D6"/>
    <w:rsid w:val="00C7402E"/>
    <w:rsid w:val="00C74BFA"/>
    <w:rsid w:val="00C76595"/>
    <w:rsid w:val="00C812FB"/>
    <w:rsid w:val="00C81B16"/>
    <w:rsid w:val="00C836C5"/>
    <w:rsid w:val="00C86972"/>
    <w:rsid w:val="00C91E1D"/>
    <w:rsid w:val="00C9258F"/>
    <w:rsid w:val="00C9263D"/>
    <w:rsid w:val="00C92D66"/>
    <w:rsid w:val="00C95F92"/>
    <w:rsid w:val="00CA03AB"/>
    <w:rsid w:val="00CA4550"/>
    <w:rsid w:val="00CB2C13"/>
    <w:rsid w:val="00CB2CA4"/>
    <w:rsid w:val="00CB2EF2"/>
    <w:rsid w:val="00CB418B"/>
    <w:rsid w:val="00CB50C5"/>
    <w:rsid w:val="00CB78D6"/>
    <w:rsid w:val="00CC01BD"/>
    <w:rsid w:val="00CC0838"/>
    <w:rsid w:val="00CC1751"/>
    <w:rsid w:val="00CC3818"/>
    <w:rsid w:val="00CC38FC"/>
    <w:rsid w:val="00CC44F9"/>
    <w:rsid w:val="00CC5FA4"/>
    <w:rsid w:val="00CC74A1"/>
    <w:rsid w:val="00CC79A5"/>
    <w:rsid w:val="00CD2D36"/>
    <w:rsid w:val="00CD3073"/>
    <w:rsid w:val="00CD35E4"/>
    <w:rsid w:val="00CD4521"/>
    <w:rsid w:val="00CD5051"/>
    <w:rsid w:val="00CE1F4A"/>
    <w:rsid w:val="00CE20A5"/>
    <w:rsid w:val="00CE2B7F"/>
    <w:rsid w:val="00CE508D"/>
    <w:rsid w:val="00CE5E9F"/>
    <w:rsid w:val="00CE73A3"/>
    <w:rsid w:val="00CF0C2F"/>
    <w:rsid w:val="00CF0E17"/>
    <w:rsid w:val="00CF137A"/>
    <w:rsid w:val="00CF1D86"/>
    <w:rsid w:val="00CF3607"/>
    <w:rsid w:val="00CF6BAC"/>
    <w:rsid w:val="00D00266"/>
    <w:rsid w:val="00D018B1"/>
    <w:rsid w:val="00D02241"/>
    <w:rsid w:val="00D02765"/>
    <w:rsid w:val="00D027CC"/>
    <w:rsid w:val="00D04174"/>
    <w:rsid w:val="00D0561C"/>
    <w:rsid w:val="00D07492"/>
    <w:rsid w:val="00D10561"/>
    <w:rsid w:val="00D12FBC"/>
    <w:rsid w:val="00D14BDE"/>
    <w:rsid w:val="00D15278"/>
    <w:rsid w:val="00D20859"/>
    <w:rsid w:val="00D210C4"/>
    <w:rsid w:val="00D221C8"/>
    <w:rsid w:val="00D22950"/>
    <w:rsid w:val="00D22A9E"/>
    <w:rsid w:val="00D22F2A"/>
    <w:rsid w:val="00D244CA"/>
    <w:rsid w:val="00D2554D"/>
    <w:rsid w:val="00D266C4"/>
    <w:rsid w:val="00D323D3"/>
    <w:rsid w:val="00D3255F"/>
    <w:rsid w:val="00D35B49"/>
    <w:rsid w:val="00D43800"/>
    <w:rsid w:val="00D4402A"/>
    <w:rsid w:val="00D466FA"/>
    <w:rsid w:val="00D4718E"/>
    <w:rsid w:val="00D50C7B"/>
    <w:rsid w:val="00D5242C"/>
    <w:rsid w:val="00D5261D"/>
    <w:rsid w:val="00D537D5"/>
    <w:rsid w:val="00D576D5"/>
    <w:rsid w:val="00D60C8C"/>
    <w:rsid w:val="00D62647"/>
    <w:rsid w:val="00D627B2"/>
    <w:rsid w:val="00D63CAF"/>
    <w:rsid w:val="00D67907"/>
    <w:rsid w:val="00D7221C"/>
    <w:rsid w:val="00D74ADC"/>
    <w:rsid w:val="00D74C53"/>
    <w:rsid w:val="00D76AAA"/>
    <w:rsid w:val="00D81F65"/>
    <w:rsid w:val="00D82279"/>
    <w:rsid w:val="00D82DBE"/>
    <w:rsid w:val="00D83053"/>
    <w:rsid w:val="00D83619"/>
    <w:rsid w:val="00D84BB7"/>
    <w:rsid w:val="00D8522E"/>
    <w:rsid w:val="00D86183"/>
    <w:rsid w:val="00D94EDF"/>
    <w:rsid w:val="00D9597A"/>
    <w:rsid w:val="00D961B0"/>
    <w:rsid w:val="00D96D90"/>
    <w:rsid w:val="00DA022F"/>
    <w:rsid w:val="00DA27DA"/>
    <w:rsid w:val="00DA4950"/>
    <w:rsid w:val="00DA600C"/>
    <w:rsid w:val="00DB47D8"/>
    <w:rsid w:val="00DB6C81"/>
    <w:rsid w:val="00DC0E6E"/>
    <w:rsid w:val="00DC118D"/>
    <w:rsid w:val="00DC3F88"/>
    <w:rsid w:val="00DC4A60"/>
    <w:rsid w:val="00DC5502"/>
    <w:rsid w:val="00DC57DF"/>
    <w:rsid w:val="00DC76FE"/>
    <w:rsid w:val="00DD267D"/>
    <w:rsid w:val="00DD3F22"/>
    <w:rsid w:val="00DD4DD3"/>
    <w:rsid w:val="00DD69CB"/>
    <w:rsid w:val="00DD7D11"/>
    <w:rsid w:val="00DE0A56"/>
    <w:rsid w:val="00DE403E"/>
    <w:rsid w:val="00DF031E"/>
    <w:rsid w:val="00DF2AF3"/>
    <w:rsid w:val="00DF7A1B"/>
    <w:rsid w:val="00E004D2"/>
    <w:rsid w:val="00E05A20"/>
    <w:rsid w:val="00E10985"/>
    <w:rsid w:val="00E114EC"/>
    <w:rsid w:val="00E11FEE"/>
    <w:rsid w:val="00E1258A"/>
    <w:rsid w:val="00E140BC"/>
    <w:rsid w:val="00E14DC5"/>
    <w:rsid w:val="00E1637E"/>
    <w:rsid w:val="00E22A81"/>
    <w:rsid w:val="00E250D4"/>
    <w:rsid w:val="00E253D1"/>
    <w:rsid w:val="00E2575A"/>
    <w:rsid w:val="00E316E6"/>
    <w:rsid w:val="00E344F4"/>
    <w:rsid w:val="00E3645C"/>
    <w:rsid w:val="00E37BCE"/>
    <w:rsid w:val="00E42DC0"/>
    <w:rsid w:val="00E42EE4"/>
    <w:rsid w:val="00E446BF"/>
    <w:rsid w:val="00E452C3"/>
    <w:rsid w:val="00E461D4"/>
    <w:rsid w:val="00E535FD"/>
    <w:rsid w:val="00E54425"/>
    <w:rsid w:val="00E55A00"/>
    <w:rsid w:val="00E5698C"/>
    <w:rsid w:val="00E57935"/>
    <w:rsid w:val="00E612FB"/>
    <w:rsid w:val="00E63A3A"/>
    <w:rsid w:val="00E63C9B"/>
    <w:rsid w:val="00E645E3"/>
    <w:rsid w:val="00E714AC"/>
    <w:rsid w:val="00E72291"/>
    <w:rsid w:val="00E729A3"/>
    <w:rsid w:val="00E72B9A"/>
    <w:rsid w:val="00E74515"/>
    <w:rsid w:val="00E74972"/>
    <w:rsid w:val="00E75C2C"/>
    <w:rsid w:val="00E764B7"/>
    <w:rsid w:val="00E76F64"/>
    <w:rsid w:val="00E86019"/>
    <w:rsid w:val="00E8645E"/>
    <w:rsid w:val="00E90DAD"/>
    <w:rsid w:val="00E92939"/>
    <w:rsid w:val="00E955E7"/>
    <w:rsid w:val="00E95B57"/>
    <w:rsid w:val="00EA0116"/>
    <w:rsid w:val="00EA1C4D"/>
    <w:rsid w:val="00EB2730"/>
    <w:rsid w:val="00EB2912"/>
    <w:rsid w:val="00EB5558"/>
    <w:rsid w:val="00EB7593"/>
    <w:rsid w:val="00EC0979"/>
    <w:rsid w:val="00EC0E41"/>
    <w:rsid w:val="00EC1ABA"/>
    <w:rsid w:val="00EC4440"/>
    <w:rsid w:val="00EC52E6"/>
    <w:rsid w:val="00ED2560"/>
    <w:rsid w:val="00ED34EA"/>
    <w:rsid w:val="00EE2344"/>
    <w:rsid w:val="00EE5BC9"/>
    <w:rsid w:val="00EE7F92"/>
    <w:rsid w:val="00EF0133"/>
    <w:rsid w:val="00EF587F"/>
    <w:rsid w:val="00EF6101"/>
    <w:rsid w:val="00F00CA6"/>
    <w:rsid w:val="00F00FC1"/>
    <w:rsid w:val="00F0177B"/>
    <w:rsid w:val="00F02C4F"/>
    <w:rsid w:val="00F02D3F"/>
    <w:rsid w:val="00F03109"/>
    <w:rsid w:val="00F04CDF"/>
    <w:rsid w:val="00F050FC"/>
    <w:rsid w:val="00F10828"/>
    <w:rsid w:val="00F152B4"/>
    <w:rsid w:val="00F1594C"/>
    <w:rsid w:val="00F15DD3"/>
    <w:rsid w:val="00F208DB"/>
    <w:rsid w:val="00F234B5"/>
    <w:rsid w:val="00F263CA"/>
    <w:rsid w:val="00F26E38"/>
    <w:rsid w:val="00F30CF9"/>
    <w:rsid w:val="00F36A77"/>
    <w:rsid w:val="00F3758A"/>
    <w:rsid w:val="00F37E83"/>
    <w:rsid w:val="00F40762"/>
    <w:rsid w:val="00F40B1B"/>
    <w:rsid w:val="00F41F74"/>
    <w:rsid w:val="00F45414"/>
    <w:rsid w:val="00F4542C"/>
    <w:rsid w:val="00F4645A"/>
    <w:rsid w:val="00F478F5"/>
    <w:rsid w:val="00F513FD"/>
    <w:rsid w:val="00F51FCD"/>
    <w:rsid w:val="00F52B4A"/>
    <w:rsid w:val="00F606E4"/>
    <w:rsid w:val="00F60F78"/>
    <w:rsid w:val="00F618F0"/>
    <w:rsid w:val="00F621B3"/>
    <w:rsid w:val="00F63D60"/>
    <w:rsid w:val="00F6460C"/>
    <w:rsid w:val="00F661CD"/>
    <w:rsid w:val="00F7083D"/>
    <w:rsid w:val="00F721F1"/>
    <w:rsid w:val="00F726BA"/>
    <w:rsid w:val="00F8035F"/>
    <w:rsid w:val="00F8201E"/>
    <w:rsid w:val="00F8229D"/>
    <w:rsid w:val="00F84D20"/>
    <w:rsid w:val="00F85F03"/>
    <w:rsid w:val="00F906F7"/>
    <w:rsid w:val="00F907CC"/>
    <w:rsid w:val="00F90DAC"/>
    <w:rsid w:val="00F91626"/>
    <w:rsid w:val="00F93413"/>
    <w:rsid w:val="00F96261"/>
    <w:rsid w:val="00FA3AA6"/>
    <w:rsid w:val="00FA49A4"/>
    <w:rsid w:val="00FB4370"/>
    <w:rsid w:val="00FB4B56"/>
    <w:rsid w:val="00FB4B6F"/>
    <w:rsid w:val="00FB574A"/>
    <w:rsid w:val="00FB6B2C"/>
    <w:rsid w:val="00FC2FE7"/>
    <w:rsid w:val="00FC3FF3"/>
    <w:rsid w:val="00FC5554"/>
    <w:rsid w:val="00FC6A18"/>
    <w:rsid w:val="00FC7BC7"/>
    <w:rsid w:val="00FC7E09"/>
    <w:rsid w:val="00FD1E47"/>
    <w:rsid w:val="00FD46D3"/>
    <w:rsid w:val="00FD5429"/>
    <w:rsid w:val="00FE0B50"/>
    <w:rsid w:val="00FE679A"/>
    <w:rsid w:val="00FF3678"/>
    <w:rsid w:val="00FF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70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5A6"/>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025A6"/>
    <w:pPr>
      <w:tabs>
        <w:tab w:val="center" w:pos="4320"/>
        <w:tab w:val="right" w:pos="8640"/>
      </w:tabs>
    </w:pPr>
  </w:style>
  <w:style w:type="character" w:styleId="PageNumber">
    <w:name w:val="page number"/>
    <w:basedOn w:val="DefaultParagraphFont"/>
    <w:rsid w:val="008025A6"/>
  </w:style>
  <w:style w:type="paragraph" w:styleId="Header">
    <w:name w:val="header"/>
    <w:basedOn w:val="Normal"/>
    <w:link w:val="HeaderChar"/>
    <w:uiPriority w:val="99"/>
    <w:rsid w:val="008025A6"/>
    <w:pPr>
      <w:tabs>
        <w:tab w:val="center" w:pos="4320"/>
        <w:tab w:val="right" w:pos="8640"/>
      </w:tabs>
    </w:pPr>
  </w:style>
  <w:style w:type="paragraph" w:styleId="BalloonText">
    <w:name w:val="Balloon Text"/>
    <w:basedOn w:val="Normal"/>
    <w:semiHidden/>
    <w:rsid w:val="00C708D6"/>
    <w:rPr>
      <w:rFonts w:ascii="Tahoma" w:hAnsi="Tahoma" w:cs="Tahoma"/>
      <w:sz w:val="16"/>
      <w:szCs w:val="16"/>
    </w:rPr>
  </w:style>
  <w:style w:type="paragraph" w:customStyle="1" w:styleId="CM21">
    <w:name w:val="CM21"/>
    <w:basedOn w:val="Normal"/>
    <w:next w:val="Normal"/>
    <w:rsid w:val="00047D66"/>
    <w:pPr>
      <w:widowControl/>
    </w:pPr>
    <w:rPr>
      <w:rFonts w:ascii="Arial" w:hAnsi="Arial"/>
    </w:rPr>
  </w:style>
  <w:style w:type="character" w:styleId="Hyperlink">
    <w:name w:val="Hyperlink"/>
    <w:rsid w:val="002B4899"/>
    <w:rPr>
      <w:color w:val="0000FF"/>
      <w:u w:val="single"/>
    </w:rPr>
  </w:style>
  <w:style w:type="character" w:styleId="FollowedHyperlink">
    <w:name w:val="FollowedHyperlink"/>
    <w:rsid w:val="00190BA5"/>
    <w:rPr>
      <w:color w:val="800080"/>
      <w:u w:val="single"/>
    </w:rPr>
  </w:style>
  <w:style w:type="character" w:styleId="CommentReference">
    <w:name w:val="annotation reference"/>
    <w:rsid w:val="003A5CE4"/>
    <w:rPr>
      <w:sz w:val="16"/>
      <w:szCs w:val="16"/>
    </w:rPr>
  </w:style>
  <w:style w:type="paragraph" w:styleId="CommentText">
    <w:name w:val="annotation text"/>
    <w:basedOn w:val="Normal"/>
    <w:link w:val="CommentTextChar"/>
    <w:uiPriority w:val="99"/>
    <w:rsid w:val="003A5CE4"/>
    <w:rPr>
      <w:sz w:val="20"/>
      <w:szCs w:val="20"/>
    </w:rPr>
  </w:style>
  <w:style w:type="character" w:customStyle="1" w:styleId="CommentTextChar">
    <w:name w:val="Comment Text Char"/>
    <w:basedOn w:val="DefaultParagraphFont"/>
    <w:link w:val="CommentText"/>
    <w:uiPriority w:val="99"/>
    <w:rsid w:val="003A5CE4"/>
  </w:style>
  <w:style w:type="paragraph" w:styleId="CommentSubject">
    <w:name w:val="annotation subject"/>
    <w:basedOn w:val="CommentText"/>
    <w:next w:val="CommentText"/>
    <w:link w:val="CommentSubjectChar"/>
    <w:rsid w:val="003A5CE4"/>
    <w:rPr>
      <w:b/>
      <w:bCs/>
      <w:lang w:val="x-none" w:eastAsia="x-none"/>
    </w:rPr>
  </w:style>
  <w:style w:type="character" w:customStyle="1" w:styleId="CommentSubjectChar">
    <w:name w:val="Comment Subject Char"/>
    <w:link w:val="CommentSubject"/>
    <w:rsid w:val="003A5CE4"/>
    <w:rPr>
      <w:b/>
      <w:bCs/>
    </w:rPr>
  </w:style>
  <w:style w:type="character" w:customStyle="1" w:styleId="FooterChar">
    <w:name w:val="Footer Char"/>
    <w:link w:val="Footer"/>
    <w:uiPriority w:val="99"/>
    <w:rsid w:val="001B080E"/>
    <w:rPr>
      <w:sz w:val="24"/>
      <w:szCs w:val="24"/>
    </w:rPr>
  </w:style>
  <w:style w:type="character" w:customStyle="1" w:styleId="HeaderChar">
    <w:name w:val="Header Char"/>
    <w:link w:val="Header"/>
    <w:uiPriority w:val="99"/>
    <w:rsid w:val="00745F9E"/>
    <w:rPr>
      <w:sz w:val="24"/>
      <w:szCs w:val="24"/>
    </w:rPr>
  </w:style>
  <w:style w:type="paragraph" w:styleId="ListParagraph">
    <w:name w:val="List Paragraph"/>
    <w:basedOn w:val="Normal"/>
    <w:uiPriority w:val="34"/>
    <w:qFormat/>
    <w:rsid w:val="00081661"/>
    <w:pPr>
      <w:ind w:left="720"/>
    </w:pPr>
  </w:style>
  <w:style w:type="paragraph" w:styleId="Revision">
    <w:name w:val="Revision"/>
    <w:hidden/>
    <w:uiPriority w:val="99"/>
    <w:semiHidden/>
    <w:rsid w:val="004247A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5A6"/>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025A6"/>
    <w:pPr>
      <w:tabs>
        <w:tab w:val="center" w:pos="4320"/>
        <w:tab w:val="right" w:pos="8640"/>
      </w:tabs>
    </w:pPr>
  </w:style>
  <w:style w:type="character" w:styleId="PageNumber">
    <w:name w:val="page number"/>
    <w:basedOn w:val="DefaultParagraphFont"/>
    <w:rsid w:val="008025A6"/>
  </w:style>
  <w:style w:type="paragraph" w:styleId="Header">
    <w:name w:val="header"/>
    <w:basedOn w:val="Normal"/>
    <w:link w:val="HeaderChar"/>
    <w:uiPriority w:val="99"/>
    <w:rsid w:val="008025A6"/>
    <w:pPr>
      <w:tabs>
        <w:tab w:val="center" w:pos="4320"/>
        <w:tab w:val="right" w:pos="8640"/>
      </w:tabs>
    </w:pPr>
  </w:style>
  <w:style w:type="paragraph" w:styleId="BalloonText">
    <w:name w:val="Balloon Text"/>
    <w:basedOn w:val="Normal"/>
    <w:semiHidden/>
    <w:rsid w:val="00C708D6"/>
    <w:rPr>
      <w:rFonts w:ascii="Tahoma" w:hAnsi="Tahoma" w:cs="Tahoma"/>
      <w:sz w:val="16"/>
      <w:szCs w:val="16"/>
    </w:rPr>
  </w:style>
  <w:style w:type="paragraph" w:customStyle="1" w:styleId="CM21">
    <w:name w:val="CM21"/>
    <w:basedOn w:val="Normal"/>
    <w:next w:val="Normal"/>
    <w:rsid w:val="00047D66"/>
    <w:pPr>
      <w:widowControl/>
    </w:pPr>
    <w:rPr>
      <w:rFonts w:ascii="Arial" w:hAnsi="Arial"/>
    </w:rPr>
  </w:style>
  <w:style w:type="character" w:styleId="Hyperlink">
    <w:name w:val="Hyperlink"/>
    <w:rsid w:val="002B4899"/>
    <w:rPr>
      <w:color w:val="0000FF"/>
      <w:u w:val="single"/>
    </w:rPr>
  </w:style>
  <w:style w:type="character" w:styleId="FollowedHyperlink">
    <w:name w:val="FollowedHyperlink"/>
    <w:rsid w:val="00190BA5"/>
    <w:rPr>
      <w:color w:val="800080"/>
      <w:u w:val="single"/>
    </w:rPr>
  </w:style>
  <w:style w:type="character" w:styleId="CommentReference">
    <w:name w:val="annotation reference"/>
    <w:rsid w:val="003A5CE4"/>
    <w:rPr>
      <w:sz w:val="16"/>
      <w:szCs w:val="16"/>
    </w:rPr>
  </w:style>
  <w:style w:type="paragraph" w:styleId="CommentText">
    <w:name w:val="annotation text"/>
    <w:basedOn w:val="Normal"/>
    <w:link w:val="CommentTextChar"/>
    <w:uiPriority w:val="99"/>
    <w:rsid w:val="003A5CE4"/>
    <w:rPr>
      <w:sz w:val="20"/>
      <w:szCs w:val="20"/>
    </w:rPr>
  </w:style>
  <w:style w:type="character" w:customStyle="1" w:styleId="CommentTextChar">
    <w:name w:val="Comment Text Char"/>
    <w:basedOn w:val="DefaultParagraphFont"/>
    <w:link w:val="CommentText"/>
    <w:uiPriority w:val="99"/>
    <w:rsid w:val="003A5CE4"/>
  </w:style>
  <w:style w:type="paragraph" w:styleId="CommentSubject">
    <w:name w:val="annotation subject"/>
    <w:basedOn w:val="CommentText"/>
    <w:next w:val="CommentText"/>
    <w:link w:val="CommentSubjectChar"/>
    <w:rsid w:val="003A5CE4"/>
    <w:rPr>
      <w:b/>
      <w:bCs/>
      <w:lang w:val="x-none" w:eastAsia="x-none"/>
    </w:rPr>
  </w:style>
  <w:style w:type="character" w:customStyle="1" w:styleId="CommentSubjectChar">
    <w:name w:val="Comment Subject Char"/>
    <w:link w:val="CommentSubject"/>
    <w:rsid w:val="003A5CE4"/>
    <w:rPr>
      <w:b/>
      <w:bCs/>
    </w:rPr>
  </w:style>
  <w:style w:type="character" w:customStyle="1" w:styleId="FooterChar">
    <w:name w:val="Footer Char"/>
    <w:link w:val="Footer"/>
    <w:uiPriority w:val="99"/>
    <w:rsid w:val="001B080E"/>
    <w:rPr>
      <w:sz w:val="24"/>
      <w:szCs w:val="24"/>
    </w:rPr>
  </w:style>
  <w:style w:type="character" w:customStyle="1" w:styleId="HeaderChar">
    <w:name w:val="Header Char"/>
    <w:link w:val="Header"/>
    <w:uiPriority w:val="99"/>
    <w:rsid w:val="00745F9E"/>
    <w:rPr>
      <w:sz w:val="24"/>
      <w:szCs w:val="24"/>
    </w:rPr>
  </w:style>
  <w:style w:type="paragraph" w:styleId="ListParagraph">
    <w:name w:val="List Paragraph"/>
    <w:basedOn w:val="Normal"/>
    <w:uiPriority w:val="34"/>
    <w:qFormat/>
    <w:rsid w:val="00081661"/>
    <w:pPr>
      <w:ind w:left="720"/>
    </w:pPr>
  </w:style>
  <w:style w:type="paragraph" w:styleId="Revision">
    <w:name w:val="Revision"/>
    <w:hidden/>
    <w:uiPriority w:val="99"/>
    <w:semiHidden/>
    <w:rsid w:val="004247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5547">
      <w:bodyDiv w:val="1"/>
      <w:marLeft w:val="0"/>
      <w:marRight w:val="0"/>
      <w:marTop w:val="0"/>
      <w:marBottom w:val="0"/>
      <w:divBdr>
        <w:top w:val="none" w:sz="0" w:space="0" w:color="auto"/>
        <w:left w:val="none" w:sz="0" w:space="0" w:color="auto"/>
        <w:bottom w:val="none" w:sz="0" w:space="0" w:color="auto"/>
        <w:right w:val="none" w:sz="0" w:space="0" w:color="auto"/>
      </w:divBdr>
    </w:div>
    <w:div w:id="135415006">
      <w:bodyDiv w:val="1"/>
      <w:marLeft w:val="0"/>
      <w:marRight w:val="0"/>
      <w:marTop w:val="0"/>
      <w:marBottom w:val="0"/>
      <w:divBdr>
        <w:top w:val="none" w:sz="0" w:space="0" w:color="auto"/>
        <w:left w:val="none" w:sz="0" w:space="0" w:color="auto"/>
        <w:bottom w:val="none" w:sz="0" w:space="0" w:color="auto"/>
        <w:right w:val="none" w:sz="0" w:space="0" w:color="auto"/>
      </w:divBdr>
    </w:div>
    <w:div w:id="506986697">
      <w:bodyDiv w:val="1"/>
      <w:marLeft w:val="0"/>
      <w:marRight w:val="0"/>
      <w:marTop w:val="0"/>
      <w:marBottom w:val="0"/>
      <w:divBdr>
        <w:top w:val="none" w:sz="0" w:space="0" w:color="auto"/>
        <w:left w:val="none" w:sz="0" w:space="0" w:color="auto"/>
        <w:bottom w:val="none" w:sz="0" w:space="0" w:color="auto"/>
        <w:right w:val="none" w:sz="0" w:space="0" w:color="auto"/>
      </w:divBdr>
    </w:div>
    <w:div w:id="702902595">
      <w:bodyDiv w:val="1"/>
      <w:marLeft w:val="0"/>
      <w:marRight w:val="0"/>
      <w:marTop w:val="0"/>
      <w:marBottom w:val="0"/>
      <w:divBdr>
        <w:top w:val="none" w:sz="0" w:space="0" w:color="auto"/>
        <w:left w:val="none" w:sz="0" w:space="0" w:color="auto"/>
        <w:bottom w:val="none" w:sz="0" w:space="0" w:color="auto"/>
        <w:right w:val="none" w:sz="0" w:space="0" w:color="auto"/>
      </w:divBdr>
    </w:div>
    <w:div w:id="1500384782">
      <w:bodyDiv w:val="1"/>
      <w:marLeft w:val="0"/>
      <w:marRight w:val="0"/>
      <w:marTop w:val="0"/>
      <w:marBottom w:val="0"/>
      <w:divBdr>
        <w:top w:val="none" w:sz="0" w:space="0" w:color="auto"/>
        <w:left w:val="none" w:sz="0" w:space="0" w:color="auto"/>
        <w:bottom w:val="none" w:sz="0" w:space="0" w:color="auto"/>
        <w:right w:val="none" w:sz="0" w:space="0" w:color="auto"/>
      </w:divBdr>
    </w:div>
    <w:div w:id="1510410067">
      <w:bodyDiv w:val="1"/>
      <w:marLeft w:val="0"/>
      <w:marRight w:val="0"/>
      <w:marTop w:val="0"/>
      <w:marBottom w:val="0"/>
      <w:divBdr>
        <w:top w:val="none" w:sz="0" w:space="0" w:color="auto"/>
        <w:left w:val="none" w:sz="0" w:space="0" w:color="auto"/>
        <w:bottom w:val="none" w:sz="0" w:space="0" w:color="auto"/>
        <w:right w:val="none" w:sz="0" w:space="0" w:color="auto"/>
      </w:divBdr>
    </w:div>
    <w:div w:id="171792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ows.doleta.gov/unemploy/DataDownloads.asp"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44EA8-DD50-4FD1-918E-184661018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SUPPORTING STATEMENT FOR THE</vt:lpstr>
    </vt:vector>
  </TitlesOfParts>
  <Company>Employment &amp; Training Administration</Company>
  <LinksUpToDate>false</LinksUpToDate>
  <CharactersWithSpaces>16993</CharactersWithSpaces>
  <SharedDoc>false</SharedDoc>
  <HLinks>
    <vt:vector size="12" baseType="variant">
      <vt:variant>
        <vt:i4>6226013</vt:i4>
      </vt:variant>
      <vt:variant>
        <vt:i4>3</vt:i4>
      </vt:variant>
      <vt:variant>
        <vt:i4>0</vt:i4>
      </vt:variant>
      <vt:variant>
        <vt:i4>5</vt:i4>
      </vt:variant>
      <vt:variant>
        <vt:lpwstr>http://ows.doleta.gov/unemploy/DataDownloads.asp</vt:lpwstr>
      </vt:variant>
      <vt:variant>
        <vt:lpwstr/>
      </vt:variant>
      <vt:variant>
        <vt:i4>65609</vt:i4>
      </vt:variant>
      <vt:variant>
        <vt:i4>0</vt:i4>
      </vt:variant>
      <vt:variant>
        <vt:i4>0</vt:i4>
      </vt:variant>
      <vt:variant>
        <vt:i4>5</vt:i4>
      </vt:variant>
      <vt:variant>
        <vt:lpwstr>http://wdr.doleta.gov/directives/attach/UIPL/UIPL_19-14_Attachment_I_Acc.pdf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dc:title>
  <dc:creator>gibbons.scott</dc:creator>
  <cp:lastModifiedBy>SYSTEM</cp:lastModifiedBy>
  <cp:revision>2</cp:revision>
  <cp:lastPrinted>2018-07-12T13:55:00Z</cp:lastPrinted>
  <dcterms:created xsi:type="dcterms:W3CDTF">2019-02-04T16:20:00Z</dcterms:created>
  <dcterms:modified xsi:type="dcterms:W3CDTF">2019-02-04T16:20:00Z</dcterms:modified>
</cp:coreProperties>
</file>