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0840A" w14:textId="6F47670A" w:rsidR="009F212B" w:rsidRPr="00F62144" w:rsidRDefault="0042730B" w:rsidP="00B00E27">
      <w:pPr>
        <w:pStyle w:val="Heading1"/>
      </w:pPr>
      <w:bookmarkStart w:id="0" w:name="_GoBack"/>
      <w:bookmarkEnd w:id="0"/>
      <w:r w:rsidRPr="00F62144">
        <w:rPr>
          <w:noProof/>
        </w:rPr>
        <w:drawing>
          <wp:anchor distT="0" distB="0" distL="114300" distR="114300" simplePos="0" relativeHeight="251658240" behindDoc="0" locked="0" layoutInCell="1" allowOverlap="1" wp14:anchorId="02908B2E" wp14:editId="7E3811DD">
            <wp:simplePos x="0" y="0"/>
            <wp:positionH relativeFrom="page">
              <wp:align>right</wp:align>
            </wp:positionH>
            <wp:positionV relativeFrom="paragraph">
              <wp:posOffset>0</wp:posOffset>
            </wp:positionV>
            <wp:extent cx="7772400" cy="3189605"/>
            <wp:effectExtent l="0" t="0" r="0" b="0"/>
            <wp:wrapSquare wrapText="bothSides"/>
            <wp:docPr id="3" name="Picture 3"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46"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00507B2E" w:rsidRPr="00F62144">
        <w:rPr>
          <w:noProof/>
        </w:rPr>
        <w:drawing>
          <wp:anchor distT="0" distB="0" distL="114300" distR="114300" simplePos="0" relativeHeight="251657216" behindDoc="0" locked="0" layoutInCell="1" allowOverlap="1" wp14:anchorId="4812474B" wp14:editId="0045EA55">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GC_Black"/>
                    <pic:cNvPicPr>
                      <a:picLocks noChangeAspect="1" noChangeArrowheads="1"/>
                    </pic:cNvPicPr>
                  </pic:nvPicPr>
                  <pic:blipFill>
                    <a:blip r:embed="rId47" cstate="print"/>
                    <a:srcRect/>
                    <a:stretch>
                      <a:fillRect/>
                    </a:stretch>
                  </pic:blipFill>
                  <pic:spPr bwMode="auto">
                    <a:xfrm>
                      <a:off x="0" y="0"/>
                      <a:ext cx="2743200" cy="2067560"/>
                    </a:xfrm>
                    <a:prstGeom prst="rect">
                      <a:avLst/>
                    </a:prstGeom>
                    <a:noFill/>
                    <a:ln w="9525">
                      <a:noFill/>
                      <a:miter lim="800000"/>
                      <a:headEnd/>
                      <a:tailEnd/>
                    </a:ln>
                  </pic:spPr>
                </pic:pic>
              </a:graphicData>
            </a:graphic>
          </wp:anchor>
        </w:drawing>
      </w:r>
      <w:r w:rsidR="0023036C">
        <w:tab/>
      </w:r>
      <w:r w:rsidR="0023036C">
        <w:tab/>
      </w:r>
      <w:r w:rsidR="00200735">
        <w:tab/>
      </w:r>
    </w:p>
    <w:p w14:paraId="40363160" w14:textId="77777777" w:rsidR="009F212B" w:rsidRPr="00F62144" w:rsidRDefault="009F212B" w:rsidP="009F212B">
      <w:pPr>
        <w:autoSpaceDE w:val="0"/>
        <w:autoSpaceDN w:val="0"/>
        <w:adjustRightInd w:val="0"/>
        <w:spacing w:before="120"/>
        <w:rPr>
          <w:rFonts w:asciiTheme="minorHAnsi" w:hAnsiTheme="minorHAnsi"/>
          <w:sz w:val="22"/>
          <w:szCs w:val="22"/>
        </w:rPr>
      </w:pPr>
    </w:p>
    <w:p w14:paraId="7A10FD20" w14:textId="77777777" w:rsidR="009F212B" w:rsidRPr="00F62144" w:rsidRDefault="009F212B" w:rsidP="009F212B">
      <w:pPr>
        <w:autoSpaceDE w:val="0"/>
        <w:autoSpaceDN w:val="0"/>
        <w:adjustRightInd w:val="0"/>
        <w:spacing w:before="120"/>
        <w:rPr>
          <w:rFonts w:asciiTheme="minorHAnsi" w:hAnsiTheme="minorHAnsi"/>
          <w:sz w:val="22"/>
          <w:szCs w:val="22"/>
        </w:rPr>
      </w:pPr>
    </w:p>
    <w:p w14:paraId="78CBA457" w14:textId="77777777" w:rsidR="00173695" w:rsidRPr="00F62144" w:rsidRDefault="00173695" w:rsidP="009F212B">
      <w:pPr>
        <w:autoSpaceDE w:val="0"/>
        <w:autoSpaceDN w:val="0"/>
        <w:adjustRightInd w:val="0"/>
        <w:spacing w:before="120"/>
        <w:rPr>
          <w:rFonts w:asciiTheme="minorHAnsi" w:hAnsiTheme="minorHAnsi"/>
          <w:sz w:val="22"/>
          <w:szCs w:val="22"/>
        </w:rPr>
      </w:pPr>
    </w:p>
    <w:p w14:paraId="376C9737" w14:textId="77777777" w:rsidR="009F212B" w:rsidRPr="00F62144" w:rsidRDefault="009F212B" w:rsidP="009F212B">
      <w:pPr>
        <w:autoSpaceDE w:val="0"/>
        <w:autoSpaceDN w:val="0"/>
        <w:adjustRightInd w:val="0"/>
        <w:spacing w:before="120"/>
        <w:rPr>
          <w:rFonts w:asciiTheme="minorHAnsi" w:hAnsiTheme="minorHAnsi"/>
          <w:sz w:val="22"/>
          <w:szCs w:val="22"/>
        </w:rPr>
      </w:pPr>
    </w:p>
    <w:p w14:paraId="5BF1EB53" w14:textId="77777777" w:rsidR="005F5948" w:rsidRDefault="005C4F46" w:rsidP="005F5948">
      <w:pPr>
        <w:autoSpaceDE w:val="0"/>
        <w:autoSpaceDN w:val="0"/>
        <w:adjustRightInd w:val="0"/>
        <w:spacing w:before="120"/>
        <w:jc w:val="center"/>
        <w:rPr>
          <w:rFonts w:asciiTheme="minorHAnsi" w:hAnsiTheme="minorHAnsi"/>
          <w:b/>
          <w:sz w:val="72"/>
          <w:szCs w:val="72"/>
        </w:rPr>
      </w:pPr>
      <w:r>
        <w:rPr>
          <w:rFonts w:asciiTheme="minorHAnsi" w:hAnsiTheme="minorHAnsi"/>
          <w:b/>
          <w:sz w:val="72"/>
          <w:szCs w:val="72"/>
        </w:rPr>
        <w:t xml:space="preserve">Comprehensive </w:t>
      </w:r>
      <w:r w:rsidR="009F212B" w:rsidRPr="00F62144">
        <w:rPr>
          <w:rFonts w:asciiTheme="minorHAnsi" w:hAnsiTheme="minorHAnsi"/>
          <w:b/>
          <w:sz w:val="72"/>
          <w:szCs w:val="72"/>
        </w:rPr>
        <w:t xml:space="preserve">Premium </w:t>
      </w:r>
      <w:r>
        <w:rPr>
          <w:rFonts w:asciiTheme="minorHAnsi" w:hAnsiTheme="minorHAnsi"/>
          <w:b/>
          <w:sz w:val="72"/>
          <w:szCs w:val="72"/>
        </w:rPr>
        <w:t xml:space="preserve">Filing </w:t>
      </w:r>
      <w:r w:rsidR="005F5948" w:rsidRPr="00F62144">
        <w:rPr>
          <w:rFonts w:asciiTheme="minorHAnsi" w:hAnsiTheme="minorHAnsi"/>
          <w:b/>
          <w:sz w:val="72"/>
          <w:szCs w:val="72"/>
        </w:rPr>
        <w:t>Instructions</w:t>
      </w:r>
      <w:r>
        <w:rPr>
          <w:rFonts w:asciiTheme="minorHAnsi" w:hAnsiTheme="minorHAnsi"/>
          <w:b/>
          <w:sz w:val="72"/>
          <w:szCs w:val="72"/>
        </w:rPr>
        <w:t xml:space="preserve"> for </w:t>
      </w:r>
      <w:r w:rsidR="00AE348E">
        <w:rPr>
          <w:rFonts w:asciiTheme="minorHAnsi" w:hAnsiTheme="minorHAnsi"/>
          <w:b/>
          <w:sz w:val="72"/>
          <w:szCs w:val="72"/>
        </w:rPr>
        <w:t>2018</w:t>
      </w:r>
      <w:r>
        <w:rPr>
          <w:rFonts w:asciiTheme="minorHAnsi" w:hAnsiTheme="minorHAnsi"/>
          <w:b/>
          <w:sz w:val="72"/>
          <w:szCs w:val="72"/>
        </w:rPr>
        <w:t xml:space="preserve"> Plan Years</w:t>
      </w:r>
    </w:p>
    <w:p w14:paraId="6ADDC0E4" w14:textId="0E6C5FA6" w:rsidR="00CF5E57" w:rsidRDefault="00CF5E57" w:rsidP="005F5948">
      <w:pPr>
        <w:autoSpaceDE w:val="0"/>
        <w:autoSpaceDN w:val="0"/>
        <w:adjustRightInd w:val="0"/>
        <w:spacing w:before="120"/>
        <w:jc w:val="center"/>
        <w:rPr>
          <w:rFonts w:asciiTheme="minorHAnsi" w:hAnsiTheme="minorHAnsi"/>
          <w:b/>
          <w:sz w:val="72"/>
          <w:szCs w:val="72"/>
        </w:rPr>
      </w:pPr>
    </w:p>
    <w:p w14:paraId="6E9E14E8" w14:textId="77777777" w:rsidR="008522FD" w:rsidRPr="008522FD" w:rsidRDefault="008522FD" w:rsidP="005F5948">
      <w:pPr>
        <w:autoSpaceDE w:val="0"/>
        <w:autoSpaceDN w:val="0"/>
        <w:adjustRightInd w:val="0"/>
        <w:spacing w:before="120"/>
        <w:jc w:val="center"/>
        <w:rPr>
          <w:rFonts w:asciiTheme="minorHAnsi" w:hAnsiTheme="minorHAnsi"/>
          <w:b/>
          <w:sz w:val="52"/>
          <w:szCs w:val="72"/>
        </w:rPr>
      </w:pPr>
    </w:p>
    <w:p w14:paraId="5CF3E07D" w14:textId="46EA7DC8" w:rsidR="008522FD" w:rsidRPr="008522FD" w:rsidRDefault="008522FD">
      <w:pPr>
        <w:rPr>
          <w:rFonts w:asciiTheme="minorHAnsi" w:hAnsiTheme="minorHAnsi" w:cstheme="minorHAnsi"/>
          <w:sz w:val="20"/>
        </w:rPr>
      </w:pPr>
      <w:r w:rsidRPr="008522FD">
        <w:rPr>
          <w:rFonts w:asciiTheme="minorHAnsi" w:hAnsiTheme="minorHAnsi" w:cstheme="minorHAnsi"/>
          <w:sz w:val="20"/>
        </w:rPr>
        <w:t>Modified 2/12/2018 and 2/28/2018 to fix typos on pages 37 and 18</w:t>
      </w:r>
      <w:r w:rsidR="004606D8">
        <w:rPr>
          <w:rFonts w:asciiTheme="minorHAnsi" w:hAnsiTheme="minorHAnsi" w:cstheme="minorHAnsi"/>
          <w:sz w:val="20"/>
        </w:rPr>
        <w:t>, r</w:t>
      </w:r>
      <w:r w:rsidRPr="008522FD">
        <w:rPr>
          <w:rFonts w:asciiTheme="minorHAnsi" w:hAnsiTheme="minorHAnsi" w:cstheme="minorHAnsi"/>
          <w:sz w:val="20"/>
        </w:rPr>
        <w:t>espectively</w:t>
      </w:r>
      <w:r w:rsidR="00B91479">
        <w:rPr>
          <w:rFonts w:asciiTheme="minorHAnsi" w:hAnsiTheme="minorHAnsi" w:cstheme="minorHAnsi"/>
          <w:sz w:val="20"/>
        </w:rPr>
        <w:t xml:space="preserve">.  </w:t>
      </w:r>
      <w:r w:rsidR="00B91479" w:rsidRPr="00AE4906">
        <w:rPr>
          <w:rFonts w:asciiTheme="minorHAnsi" w:hAnsiTheme="minorHAnsi" w:cstheme="minorHAnsi"/>
          <w:sz w:val="20"/>
          <w:highlight w:val="yellow"/>
        </w:rPr>
        <w:t>Modified 9</w:t>
      </w:r>
      <w:r w:rsidR="00B91479" w:rsidRPr="004979B5">
        <w:rPr>
          <w:rFonts w:asciiTheme="minorHAnsi" w:hAnsiTheme="minorHAnsi" w:cstheme="minorHAnsi"/>
          <w:sz w:val="20"/>
          <w:highlight w:val="yellow"/>
        </w:rPr>
        <w:t>/?</w:t>
      </w:r>
      <w:r w:rsidR="00B91479" w:rsidRPr="00AE4906">
        <w:rPr>
          <w:rFonts w:asciiTheme="minorHAnsi" w:hAnsiTheme="minorHAnsi" w:cstheme="minorHAnsi"/>
          <w:sz w:val="20"/>
          <w:highlight w:val="yellow"/>
        </w:rPr>
        <w:t xml:space="preserve">/2018 to </w:t>
      </w:r>
      <w:r w:rsidR="001672DC">
        <w:rPr>
          <w:rFonts w:asciiTheme="minorHAnsi" w:hAnsiTheme="minorHAnsi" w:cstheme="minorHAnsi"/>
          <w:sz w:val="20"/>
          <w:highlight w:val="yellow"/>
        </w:rPr>
        <w:t xml:space="preserve">update payment address information on page 2 and to </w:t>
      </w:r>
      <w:r w:rsidR="00B91479" w:rsidRPr="00AE4906">
        <w:rPr>
          <w:rFonts w:asciiTheme="minorHAnsi" w:hAnsiTheme="minorHAnsi" w:cstheme="minorHAnsi"/>
          <w:sz w:val="20"/>
          <w:highlight w:val="yellow"/>
        </w:rPr>
        <w:t>clarify application of a Variable-rate Premium exemption on page 35</w:t>
      </w:r>
      <w:r w:rsidR="0018751E">
        <w:rPr>
          <w:rFonts w:asciiTheme="minorHAnsi" w:hAnsiTheme="minorHAnsi" w:cstheme="minorHAnsi"/>
          <w:sz w:val="20"/>
          <w:highlight w:val="yellow"/>
        </w:rPr>
        <w:t>.</w:t>
      </w:r>
    </w:p>
    <w:p w14:paraId="58E1B580" w14:textId="2B1B9A1C" w:rsidR="005F5948" w:rsidRPr="00F62144" w:rsidRDefault="005F5948">
      <w:pPr>
        <w:rPr>
          <w:b/>
        </w:rPr>
      </w:pPr>
      <w:r w:rsidRPr="00F62144">
        <w:rPr>
          <w:b/>
        </w:rPr>
        <w:br w:type="page"/>
      </w:r>
    </w:p>
    <w:tbl>
      <w:tblPr>
        <w:tblW w:w="9810" w:type="dxa"/>
        <w:tblLook w:val="01E0" w:firstRow="1" w:lastRow="1" w:firstColumn="1" w:lastColumn="1" w:noHBand="0" w:noVBand="0"/>
      </w:tblPr>
      <w:tblGrid>
        <w:gridCol w:w="345"/>
        <w:gridCol w:w="8511"/>
        <w:gridCol w:w="954"/>
      </w:tblGrid>
      <w:tr w:rsidR="000E230A" w:rsidRPr="00F62144" w14:paraId="4E3931B1" w14:textId="77777777" w:rsidTr="00F822D5">
        <w:trPr>
          <w:trHeight w:hRule="exact" w:val="360"/>
        </w:trPr>
        <w:tc>
          <w:tcPr>
            <w:tcW w:w="345" w:type="dxa"/>
          </w:tcPr>
          <w:p w14:paraId="65FCC91D" w14:textId="77777777" w:rsidR="002C09C3" w:rsidRPr="00F62144" w:rsidRDefault="002C09C3" w:rsidP="00DD28D6">
            <w:pPr>
              <w:tabs>
                <w:tab w:val="right" w:leader="dot" w:pos="7776"/>
              </w:tabs>
              <w:spacing w:before="120" w:after="100" w:afterAutospacing="1"/>
              <w:rPr>
                <w:rFonts w:asciiTheme="minorHAnsi" w:hAnsiTheme="minorHAnsi"/>
                <w:b/>
                <w:bCs/>
                <w:sz w:val="22"/>
                <w:szCs w:val="22"/>
              </w:rPr>
            </w:pPr>
          </w:p>
        </w:tc>
        <w:tc>
          <w:tcPr>
            <w:tcW w:w="8511" w:type="dxa"/>
            <w:vAlign w:val="center"/>
          </w:tcPr>
          <w:p w14:paraId="2DBC40AB" w14:textId="77777777" w:rsidR="002C09C3" w:rsidRPr="002F3575" w:rsidRDefault="00DD783E" w:rsidP="00175761">
            <w:pPr>
              <w:tabs>
                <w:tab w:val="right" w:leader="dot" w:pos="8262"/>
              </w:tabs>
              <w:spacing w:before="120" w:after="100" w:afterAutospacing="1"/>
              <w:rPr>
                <w:rFonts w:asciiTheme="minorHAnsi" w:hAnsiTheme="minorHAnsi"/>
                <w:b/>
                <w:bCs/>
                <w:sz w:val="22"/>
                <w:szCs w:val="22"/>
              </w:rPr>
            </w:pPr>
            <w:hyperlink w:anchor="toc1" w:history="1">
              <w:r w:rsidR="002C09C3" w:rsidRPr="002F3575">
                <w:rPr>
                  <w:rStyle w:val="Hyperlink"/>
                  <w:rFonts w:asciiTheme="minorHAnsi" w:hAnsiTheme="minorHAnsi"/>
                  <w:b/>
                  <w:bCs/>
                  <w:sz w:val="22"/>
                  <w:szCs w:val="22"/>
                  <w:u w:val="none"/>
                </w:rPr>
                <w:t>Introduction and What’s New</w:t>
              </w:r>
            </w:hyperlink>
            <w:r w:rsidR="002C09C3" w:rsidRPr="002F3575">
              <w:rPr>
                <w:rFonts w:asciiTheme="minorHAnsi" w:hAnsiTheme="minorHAnsi"/>
                <w:b/>
                <w:bCs/>
                <w:sz w:val="22"/>
                <w:szCs w:val="22"/>
              </w:rPr>
              <w:tab/>
            </w:r>
          </w:p>
        </w:tc>
        <w:tc>
          <w:tcPr>
            <w:tcW w:w="954" w:type="dxa"/>
            <w:vAlign w:val="center"/>
          </w:tcPr>
          <w:p w14:paraId="2A099F83" w14:textId="77777777" w:rsidR="002C09C3" w:rsidRPr="002F3575" w:rsidRDefault="00DD783E" w:rsidP="008F3CF9">
            <w:pPr>
              <w:spacing w:before="120" w:after="100" w:afterAutospacing="1"/>
              <w:jc w:val="right"/>
              <w:rPr>
                <w:rFonts w:asciiTheme="minorHAnsi" w:hAnsiTheme="minorHAnsi"/>
                <w:sz w:val="22"/>
                <w:szCs w:val="22"/>
              </w:rPr>
            </w:pPr>
            <w:hyperlink w:anchor="toc1" w:history="1">
              <w:r w:rsidR="002F7CB7" w:rsidRPr="002F3575">
                <w:rPr>
                  <w:rStyle w:val="Hyperlink"/>
                  <w:rFonts w:asciiTheme="minorHAnsi" w:hAnsiTheme="minorHAnsi"/>
                  <w:sz w:val="22"/>
                  <w:szCs w:val="22"/>
                  <w:u w:val="none"/>
                </w:rPr>
                <w:t>1</w:t>
              </w:r>
            </w:hyperlink>
          </w:p>
        </w:tc>
      </w:tr>
      <w:tr w:rsidR="000E230A" w:rsidRPr="00F62144" w14:paraId="731F9AC5" w14:textId="77777777" w:rsidTr="00F822D5">
        <w:trPr>
          <w:trHeight w:hRule="exact" w:val="360"/>
        </w:trPr>
        <w:tc>
          <w:tcPr>
            <w:tcW w:w="345" w:type="dxa"/>
          </w:tcPr>
          <w:p w14:paraId="0334299F" w14:textId="77777777" w:rsidR="002C09C3" w:rsidRPr="00F62144" w:rsidRDefault="002C09C3" w:rsidP="00DD28D6">
            <w:pPr>
              <w:tabs>
                <w:tab w:val="right" w:leader="dot" w:pos="7776"/>
              </w:tabs>
              <w:spacing w:before="120" w:after="100" w:afterAutospacing="1"/>
              <w:rPr>
                <w:rFonts w:asciiTheme="minorHAnsi" w:hAnsiTheme="minorHAnsi"/>
                <w:b/>
                <w:bCs/>
                <w:sz w:val="22"/>
                <w:szCs w:val="22"/>
              </w:rPr>
            </w:pPr>
          </w:p>
        </w:tc>
        <w:tc>
          <w:tcPr>
            <w:tcW w:w="8511" w:type="dxa"/>
            <w:vAlign w:val="center"/>
          </w:tcPr>
          <w:p w14:paraId="032D75D5" w14:textId="4042260D" w:rsidR="002C09C3" w:rsidRPr="002F3575" w:rsidRDefault="00DD783E" w:rsidP="002C09C3">
            <w:pPr>
              <w:tabs>
                <w:tab w:val="right" w:leader="dot" w:pos="8262"/>
              </w:tabs>
              <w:spacing w:before="120" w:after="100" w:afterAutospacing="1"/>
              <w:rPr>
                <w:rFonts w:asciiTheme="minorHAnsi" w:hAnsiTheme="minorHAnsi"/>
                <w:b/>
                <w:bCs/>
                <w:sz w:val="22"/>
                <w:szCs w:val="22"/>
              </w:rPr>
            </w:pPr>
            <w:hyperlink w:anchor="toc3" w:history="1">
              <w:r w:rsidR="002C09C3" w:rsidRPr="002F3575">
                <w:rPr>
                  <w:rStyle w:val="Hyperlink"/>
                  <w:rFonts w:asciiTheme="minorHAnsi" w:hAnsiTheme="minorHAnsi"/>
                  <w:b/>
                  <w:bCs/>
                  <w:sz w:val="22"/>
                  <w:szCs w:val="22"/>
                  <w:u w:val="none"/>
                </w:rPr>
                <w:t>Who Must File</w:t>
              </w:r>
            </w:hyperlink>
            <w:r w:rsidR="005C5B52">
              <w:rPr>
                <w:rStyle w:val="Hyperlink"/>
                <w:rFonts w:asciiTheme="minorHAnsi" w:hAnsiTheme="minorHAnsi"/>
                <w:b/>
                <w:bCs/>
                <w:sz w:val="22"/>
                <w:szCs w:val="22"/>
                <w:u w:val="none"/>
              </w:rPr>
              <w:t xml:space="preserve"> </w:t>
            </w:r>
            <w:r w:rsidR="002C09C3" w:rsidRPr="002F3575">
              <w:rPr>
                <w:rFonts w:asciiTheme="minorHAnsi" w:hAnsiTheme="minorHAnsi"/>
                <w:b/>
                <w:bCs/>
                <w:sz w:val="22"/>
                <w:szCs w:val="22"/>
              </w:rPr>
              <w:tab/>
            </w:r>
          </w:p>
        </w:tc>
        <w:tc>
          <w:tcPr>
            <w:tcW w:w="954" w:type="dxa"/>
            <w:vAlign w:val="center"/>
          </w:tcPr>
          <w:p w14:paraId="020E2149" w14:textId="77777777" w:rsidR="002C09C3" w:rsidRPr="002F3575" w:rsidRDefault="00DD783E" w:rsidP="00A719AB">
            <w:pPr>
              <w:autoSpaceDE w:val="0"/>
              <w:autoSpaceDN w:val="0"/>
              <w:adjustRightInd w:val="0"/>
              <w:spacing w:before="120" w:after="100" w:afterAutospacing="1"/>
              <w:jc w:val="right"/>
              <w:rPr>
                <w:rFonts w:asciiTheme="minorHAnsi" w:hAnsiTheme="minorHAnsi"/>
                <w:bCs/>
                <w:sz w:val="22"/>
                <w:szCs w:val="22"/>
              </w:rPr>
            </w:pPr>
            <w:hyperlink w:anchor="toc3" w:history="1">
              <w:r w:rsidR="002F7CB7" w:rsidRPr="002F3575">
                <w:rPr>
                  <w:rStyle w:val="Hyperlink"/>
                  <w:rFonts w:asciiTheme="minorHAnsi" w:hAnsiTheme="minorHAnsi"/>
                  <w:bCs/>
                  <w:sz w:val="22"/>
                  <w:szCs w:val="22"/>
                  <w:u w:val="none"/>
                </w:rPr>
                <w:t>3</w:t>
              </w:r>
            </w:hyperlink>
          </w:p>
        </w:tc>
      </w:tr>
      <w:tr w:rsidR="000E230A" w:rsidRPr="00F62144" w14:paraId="04360ECC" w14:textId="77777777" w:rsidTr="00F822D5">
        <w:trPr>
          <w:trHeight w:hRule="exact" w:val="360"/>
        </w:trPr>
        <w:tc>
          <w:tcPr>
            <w:tcW w:w="345" w:type="dxa"/>
          </w:tcPr>
          <w:p w14:paraId="1E81650E" w14:textId="77777777" w:rsidR="002C09C3" w:rsidRPr="00F62144" w:rsidRDefault="002C09C3" w:rsidP="00A719AB">
            <w:pPr>
              <w:tabs>
                <w:tab w:val="right" w:leader="dot" w:pos="7776"/>
              </w:tabs>
              <w:spacing w:before="120" w:after="100" w:afterAutospacing="1"/>
              <w:rPr>
                <w:rFonts w:asciiTheme="minorHAnsi" w:hAnsiTheme="minorHAnsi"/>
                <w:b/>
                <w:bCs/>
                <w:sz w:val="22"/>
                <w:szCs w:val="22"/>
              </w:rPr>
            </w:pPr>
          </w:p>
        </w:tc>
        <w:tc>
          <w:tcPr>
            <w:tcW w:w="8511" w:type="dxa"/>
            <w:vAlign w:val="center"/>
          </w:tcPr>
          <w:p w14:paraId="650E9397" w14:textId="77777777" w:rsidR="002C09C3" w:rsidRPr="002F3575" w:rsidRDefault="00DD783E" w:rsidP="002C09C3">
            <w:pPr>
              <w:tabs>
                <w:tab w:val="right" w:leader="dot" w:pos="8262"/>
              </w:tabs>
              <w:spacing w:before="120" w:after="100" w:afterAutospacing="1"/>
              <w:rPr>
                <w:rFonts w:asciiTheme="minorHAnsi" w:hAnsiTheme="minorHAnsi"/>
                <w:b/>
                <w:bCs/>
                <w:sz w:val="22"/>
                <w:szCs w:val="22"/>
              </w:rPr>
            </w:pPr>
            <w:hyperlink w:anchor="toc4" w:history="1">
              <w:r w:rsidR="002C09C3" w:rsidRPr="002F3575">
                <w:rPr>
                  <w:rStyle w:val="Hyperlink"/>
                  <w:rFonts w:asciiTheme="minorHAnsi" w:hAnsiTheme="minorHAnsi"/>
                  <w:b/>
                  <w:bCs/>
                  <w:sz w:val="22"/>
                  <w:szCs w:val="22"/>
                  <w:u w:val="none"/>
                </w:rPr>
                <w:t>When to File</w:t>
              </w:r>
            </w:hyperlink>
            <w:r w:rsidR="002C09C3" w:rsidRPr="002F3575">
              <w:rPr>
                <w:rFonts w:asciiTheme="minorHAnsi" w:hAnsiTheme="minorHAnsi"/>
                <w:b/>
                <w:bCs/>
                <w:sz w:val="22"/>
                <w:szCs w:val="22"/>
              </w:rPr>
              <w:tab/>
            </w:r>
          </w:p>
        </w:tc>
        <w:tc>
          <w:tcPr>
            <w:tcW w:w="954" w:type="dxa"/>
            <w:vAlign w:val="center"/>
          </w:tcPr>
          <w:p w14:paraId="7B40E8F6" w14:textId="77777777" w:rsidR="002C09C3" w:rsidRPr="002F3575" w:rsidRDefault="00DD783E" w:rsidP="00EC1F86">
            <w:pPr>
              <w:autoSpaceDE w:val="0"/>
              <w:autoSpaceDN w:val="0"/>
              <w:adjustRightInd w:val="0"/>
              <w:spacing w:before="120" w:after="100" w:afterAutospacing="1"/>
              <w:jc w:val="right"/>
              <w:rPr>
                <w:rFonts w:asciiTheme="minorHAnsi" w:hAnsiTheme="minorHAnsi"/>
                <w:bCs/>
                <w:sz w:val="22"/>
                <w:szCs w:val="22"/>
              </w:rPr>
            </w:pPr>
            <w:hyperlink w:anchor="toc4" w:history="1">
              <w:r w:rsidR="00493BB6" w:rsidRPr="002F3575">
                <w:rPr>
                  <w:rStyle w:val="Hyperlink"/>
                  <w:rFonts w:asciiTheme="minorHAnsi" w:hAnsiTheme="minorHAnsi"/>
                  <w:sz w:val="22"/>
                  <w:szCs w:val="22"/>
                  <w:u w:val="none"/>
                </w:rPr>
                <w:t>5</w:t>
              </w:r>
            </w:hyperlink>
          </w:p>
        </w:tc>
      </w:tr>
      <w:tr w:rsidR="000E230A" w:rsidRPr="00F62144" w14:paraId="293348EC" w14:textId="77777777" w:rsidTr="00F822D5">
        <w:trPr>
          <w:trHeight w:hRule="exact" w:val="360"/>
        </w:trPr>
        <w:tc>
          <w:tcPr>
            <w:tcW w:w="345" w:type="dxa"/>
          </w:tcPr>
          <w:p w14:paraId="28E24B1A" w14:textId="77777777" w:rsidR="002C09C3" w:rsidRPr="00F62144" w:rsidRDefault="002C09C3" w:rsidP="00A719AB">
            <w:pPr>
              <w:tabs>
                <w:tab w:val="right" w:leader="dot" w:pos="7776"/>
              </w:tabs>
              <w:spacing w:before="120" w:after="100" w:afterAutospacing="1"/>
              <w:rPr>
                <w:rFonts w:asciiTheme="minorHAnsi" w:hAnsiTheme="minorHAnsi"/>
                <w:b/>
                <w:bCs/>
                <w:sz w:val="22"/>
                <w:szCs w:val="22"/>
              </w:rPr>
            </w:pPr>
          </w:p>
        </w:tc>
        <w:tc>
          <w:tcPr>
            <w:tcW w:w="8511" w:type="dxa"/>
            <w:vAlign w:val="center"/>
          </w:tcPr>
          <w:p w14:paraId="0C67F79F" w14:textId="77777777" w:rsidR="002C09C3" w:rsidRPr="002F3575" w:rsidRDefault="00DD783E" w:rsidP="002C09C3">
            <w:pPr>
              <w:tabs>
                <w:tab w:val="right" w:leader="dot" w:pos="8262"/>
              </w:tabs>
              <w:spacing w:before="120" w:after="100" w:afterAutospacing="1"/>
              <w:rPr>
                <w:rFonts w:asciiTheme="minorHAnsi" w:hAnsiTheme="minorHAnsi"/>
                <w:b/>
                <w:bCs/>
                <w:sz w:val="22"/>
                <w:szCs w:val="22"/>
              </w:rPr>
            </w:pPr>
            <w:hyperlink w:anchor="toc8" w:history="1">
              <w:r w:rsidR="002C09C3" w:rsidRPr="002F3575">
                <w:rPr>
                  <w:rStyle w:val="Hyperlink"/>
                  <w:rFonts w:asciiTheme="minorHAnsi" w:hAnsiTheme="minorHAnsi"/>
                  <w:b/>
                  <w:bCs/>
                  <w:sz w:val="22"/>
                  <w:szCs w:val="22"/>
                  <w:u w:val="none"/>
                </w:rPr>
                <w:t>How to File</w:t>
              </w:r>
            </w:hyperlink>
            <w:r w:rsidR="00D63F40" w:rsidRPr="002F3575">
              <w:rPr>
                <w:rFonts w:asciiTheme="minorHAnsi" w:hAnsiTheme="minorHAnsi"/>
                <w:b/>
                <w:bCs/>
                <w:sz w:val="22"/>
                <w:szCs w:val="22"/>
              </w:rPr>
              <w:t xml:space="preserve"> </w:t>
            </w:r>
            <w:r w:rsidR="002C09C3" w:rsidRPr="002F3575">
              <w:rPr>
                <w:rFonts w:asciiTheme="minorHAnsi" w:hAnsiTheme="minorHAnsi"/>
                <w:b/>
                <w:bCs/>
                <w:sz w:val="22"/>
                <w:szCs w:val="22"/>
              </w:rPr>
              <w:tab/>
            </w:r>
          </w:p>
        </w:tc>
        <w:tc>
          <w:tcPr>
            <w:tcW w:w="954" w:type="dxa"/>
            <w:vAlign w:val="center"/>
          </w:tcPr>
          <w:p w14:paraId="0B9333B4" w14:textId="77777777" w:rsidR="002C09C3" w:rsidRPr="002F3575" w:rsidRDefault="00DD783E" w:rsidP="00AF75D4">
            <w:pPr>
              <w:autoSpaceDE w:val="0"/>
              <w:autoSpaceDN w:val="0"/>
              <w:adjustRightInd w:val="0"/>
              <w:spacing w:before="120" w:after="100" w:afterAutospacing="1"/>
              <w:jc w:val="right"/>
              <w:rPr>
                <w:rStyle w:val="Hyperlink"/>
                <w:rFonts w:asciiTheme="minorHAnsi" w:hAnsiTheme="minorHAnsi"/>
                <w:sz w:val="22"/>
                <w:szCs w:val="22"/>
                <w:u w:val="none"/>
              </w:rPr>
            </w:pPr>
            <w:hyperlink w:anchor="b16" w:history="1">
              <w:r w:rsidR="00493BB6" w:rsidRPr="002F3575">
                <w:rPr>
                  <w:rStyle w:val="Hyperlink"/>
                  <w:rFonts w:asciiTheme="minorHAnsi" w:hAnsiTheme="minorHAnsi"/>
                  <w:sz w:val="22"/>
                  <w:szCs w:val="22"/>
                  <w:u w:val="none"/>
                </w:rPr>
                <w:t>8</w:t>
              </w:r>
            </w:hyperlink>
          </w:p>
        </w:tc>
      </w:tr>
      <w:tr w:rsidR="000E230A" w:rsidRPr="00F62144" w14:paraId="5E4C5FA0" w14:textId="77777777" w:rsidTr="00F822D5">
        <w:trPr>
          <w:trHeight w:hRule="exact" w:val="360"/>
        </w:trPr>
        <w:tc>
          <w:tcPr>
            <w:tcW w:w="345" w:type="dxa"/>
          </w:tcPr>
          <w:p w14:paraId="2F8158FB" w14:textId="77777777" w:rsidR="002C09C3" w:rsidRPr="00F62144" w:rsidRDefault="002C09C3" w:rsidP="00A719AB">
            <w:pPr>
              <w:tabs>
                <w:tab w:val="right" w:leader="dot" w:pos="7776"/>
              </w:tabs>
              <w:spacing w:before="120" w:after="100" w:afterAutospacing="1"/>
              <w:rPr>
                <w:rFonts w:asciiTheme="minorHAnsi" w:hAnsiTheme="minorHAnsi"/>
                <w:b/>
                <w:bCs/>
                <w:sz w:val="22"/>
                <w:szCs w:val="22"/>
              </w:rPr>
            </w:pPr>
          </w:p>
        </w:tc>
        <w:tc>
          <w:tcPr>
            <w:tcW w:w="8511" w:type="dxa"/>
            <w:vAlign w:val="center"/>
          </w:tcPr>
          <w:p w14:paraId="103F6775" w14:textId="77777777" w:rsidR="002C09C3" w:rsidRPr="002F3575" w:rsidRDefault="00DD783E" w:rsidP="002C09C3">
            <w:pPr>
              <w:tabs>
                <w:tab w:val="right" w:leader="dot" w:pos="8262"/>
              </w:tabs>
              <w:spacing w:before="120" w:after="100" w:afterAutospacing="1"/>
              <w:rPr>
                <w:rFonts w:asciiTheme="minorHAnsi" w:hAnsiTheme="minorHAnsi"/>
                <w:b/>
                <w:bCs/>
                <w:sz w:val="22"/>
                <w:szCs w:val="22"/>
              </w:rPr>
            </w:pPr>
            <w:hyperlink w:anchor="toc9" w:history="1">
              <w:r w:rsidR="002C09C3" w:rsidRPr="002F3575">
                <w:rPr>
                  <w:rStyle w:val="Hyperlink"/>
                  <w:rFonts w:asciiTheme="minorHAnsi" w:hAnsiTheme="minorHAnsi"/>
                  <w:b/>
                  <w:bCs/>
                  <w:sz w:val="22"/>
                  <w:szCs w:val="22"/>
                  <w:u w:val="none"/>
                </w:rPr>
                <w:t>How to Count Participants</w:t>
              </w:r>
            </w:hyperlink>
            <w:r w:rsidR="00D63F40" w:rsidRPr="002F3575">
              <w:rPr>
                <w:rFonts w:asciiTheme="minorHAnsi" w:hAnsiTheme="minorHAnsi"/>
                <w:b/>
                <w:bCs/>
                <w:sz w:val="22"/>
                <w:szCs w:val="22"/>
              </w:rPr>
              <w:t xml:space="preserve"> </w:t>
            </w:r>
            <w:r w:rsidR="002C09C3" w:rsidRPr="002F3575">
              <w:rPr>
                <w:rFonts w:asciiTheme="minorHAnsi" w:hAnsiTheme="minorHAnsi"/>
                <w:b/>
                <w:bCs/>
                <w:sz w:val="22"/>
                <w:szCs w:val="22"/>
              </w:rPr>
              <w:tab/>
            </w:r>
          </w:p>
        </w:tc>
        <w:tc>
          <w:tcPr>
            <w:tcW w:w="954" w:type="dxa"/>
            <w:vAlign w:val="center"/>
          </w:tcPr>
          <w:p w14:paraId="6B70B7E9" w14:textId="77777777" w:rsidR="002C09C3" w:rsidRPr="002F3575" w:rsidRDefault="00DD783E" w:rsidP="00AF75D4">
            <w:pPr>
              <w:autoSpaceDE w:val="0"/>
              <w:autoSpaceDN w:val="0"/>
              <w:adjustRightInd w:val="0"/>
              <w:spacing w:before="120" w:after="100" w:afterAutospacing="1"/>
              <w:jc w:val="right"/>
              <w:rPr>
                <w:rStyle w:val="Hyperlink"/>
                <w:rFonts w:asciiTheme="minorHAnsi" w:hAnsiTheme="minorHAnsi"/>
                <w:sz w:val="22"/>
                <w:szCs w:val="22"/>
                <w:u w:val="none"/>
              </w:rPr>
            </w:pPr>
            <w:hyperlink w:anchor="toc9" w:history="1">
              <w:r w:rsidR="00493BB6" w:rsidRPr="002F3575">
                <w:rPr>
                  <w:rStyle w:val="Hyperlink"/>
                  <w:rFonts w:asciiTheme="minorHAnsi" w:hAnsiTheme="minorHAnsi"/>
                  <w:sz w:val="22"/>
                  <w:szCs w:val="22"/>
                  <w:u w:val="none"/>
                </w:rPr>
                <w:t>9</w:t>
              </w:r>
            </w:hyperlink>
          </w:p>
        </w:tc>
      </w:tr>
      <w:tr w:rsidR="000E230A" w:rsidRPr="00F62144" w14:paraId="3327F03C" w14:textId="77777777" w:rsidTr="00F822D5">
        <w:trPr>
          <w:trHeight w:hRule="exact" w:val="360"/>
        </w:trPr>
        <w:tc>
          <w:tcPr>
            <w:tcW w:w="345" w:type="dxa"/>
          </w:tcPr>
          <w:p w14:paraId="32FD723D" w14:textId="77777777" w:rsidR="002C09C3" w:rsidRPr="00F62144" w:rsidRDefault="002C09C3" w:rsidP="00A719AB">
            <w:pPr>
              <w:tabs>
                <w:tab w:val="right" w:leader="dot" w:pos="7776"/>
              </w:tabs>
              <w:spacing w:before="120" w:after="100" w:afterAutospacing="1"/>
              <w:rPr>
                <w:rFonts w:asciiTheme="minorHAnsi" w:hAnsiTheme="minorHAnsi"/>
                <w:b/>
                <w:bCs/>
                <w:sz w:val="22"/>
                <w:szCs w:val="22"/>
              </w:rPr>
            </w:pPr>
          </w:p>
        </w:tc>
        <w:tc>
          <w:tcPr>
            <w:tcW w:w="8511" w:type="dxa"/>
            <w:vAlign w:val="center"/>
          </w:tcPr>
          <w:p w14:paraId="40146454" w14:textId="77777777" w:rsidR="002C09C3" w:rsidRPr="002F3575" w:rsidRDefault="00DD783E" w:rsidP="002C09C3">
            <w:pPr>
              <w:tabs>
                <w:tab w:val="right" w:leader="dot" w:pos="8262"/>
              </w:tabs>
              <w:spacing w:before="120" w:after="100" w:afterAutospacing="1"/>
              <w:rPr>
                <w:rFonts w:asciiTheme="minorHAnsi" w:hAnsiTheme="minorHAnsi"/>
                <w:b/>
                <w:bCs/>
                <w:sz w:val="22"/>
                <w:szCs w:val="22"/>
              </w:rPr>
            </w:pPr>
            <w:hyperlink w:anchor="toc13" w:history="1">
              <w:r w:rsidR="002C09C3" w:rsidRPr="002F3575">
                <w:rPr>
                  <w:rStyle w:val="Hyperlink"/>
                  <w:rFonts w:asciiTheme="minorHAnsi" w:hAnsiTheme="minorHAnsi"/>
                  <w:b/>
                  <w:bCs/>
                  <w:sz w:val="22"/>
                  <w:szCs w:val="22"/>
                  <w:u w:val="none"/>
                </w:rPr>
                <w:t>How to Determine Unfunded Vested Benefits</w:t>
              </w:r>
            </w:hyperlink>
            <w:r w:rsidR="00D63F40" w:rsidRPr="002F3575">
              <w:rPr>
                <w:rFonts w:asciiTheme="minorHAnsi" w:hAnsiTheme="minorHAnsi"/>
                <w:b/>
                <w:bCs/>
                <w:sz w:val="22"/>
                <w:szCs w:val="22"/>
              </w:rPr>
              <w:t xml:space="preserve"> </w:t>
            </w:r>
            <w:r w:rsidR="002C09C3" w:rsidRPr="002F3575">
              <w:rPr>
                <w:rFonts w:asciiTheme="minorHAnsi" w:hAnsiTheme="minorHAnsi"/>
                <w:b/>
                <w:bCs/>
                <w:sz w:val="22"/>
                <w:szCs w:val="22"/>
              </w:rPr>
              <w:tab/>
            </w:r>
          </w:p>
        </w:tc>
        <w:tc>
          <w:tcPr>
            <w:tcW w:w="954" w:type="dxa"/>
            <w:vAlign w:val="center"/>
          </w:tcPr>
          <w:p w14:paraId="6959C002" w14:textId="77777777" w:rsidR="002C09C3" w:rsidRPr="002F3575" w:rsidRDefault="00DD783E" w:rsidP="00F02AC8">
            <w:pPr>
              <w:autoSpaceDE w:val="0"/>
              <w:autoSpaceDN w:val="0"/>
              <w:adjustRightInd w:val="0"/>
              <w:spacing w:before="120" w:after="100" w:afterAutospacing="1"/>
              <w:jc w:val="right"/>
              <w:rPr>
                <w:rStyle w:val="Hyperlink"/>
                <w:rFonts w:asciiTheme="minorHAnsi" w:hAnsiTheme="minorHAnsi"/>
                <w:sz w:val="22"/>
                <w:szCs w:val="22"/>
                <w:u w:val="none"/>
              </w:rPr>
            </w:pPr>
            <w:hyperlink w:anchor="toc13" w:history="1">
              <w:r w:rsidR="00AF75D4" w:rsidRPr="002F3575">
                <w:rPr>
                  <w:rStyle w:val="Hyperlink"/>
                  <w:rFonts w:asciiTheme="minorHAnsi" w:hAnsiTheme="minorHAnsi"/>
                  <w:sz w:val="22"/>
                  <w:szCs w:val="22"/>
                  <w:u w:val="none"/>
                </w:rPr>
                <w:t>1</w:t>
              </w:r>
              <w:r w:rsidR="00B8399D" w:rsidRPr="002F3575">
                <w:rPr>
                  <w:rStyle w:val="Hyperlink"/>
                  <w:rFonts w:asciiTheme="minorHAnsi" w:hAnsiTheme="minorHAnsi"/>
                  <w:sz w:val="22"/>
                  <w:szCs w:val="22"/>
                  <w:u w:val="none"/>
                </w:rPr>
                <w:t>2</w:t>
              </w:r>
            </w:hyperlink>
          </w:p>
        </w:tc>
      </w:tr>
      <w:tr w:rsidR="003F02D9" w:rsidRPr="00F62144" w14:paraId="7B5868AD" w14:textId="77777777" w:rsidTr="00F822D5">
        <w:trPr>
          <w:trHeight w:hRule="exact" w:val="360"/>
        </w:trPr>
        <w:tc>
          <w:tcPr>
            <w:tcW w:w="345" w:type="dxa"/>
          </w:tcPr>
          <w:p w14:paraId="1E37E9AB" w14:textId="77777777" w:rsidR="003F02D9" w:rsidRPr="00F62144" w:rsidRDefault="003F02D9" w:rsidP="003F02D9">
            <w:pPr>
              <w:tabs>
                <w:tab w:val="right" w:leader="dot" w:pos="7776"/>
              </w:tabs>
              <w:spacing w:before="120" w:after="100" w:afterAutospacing="1"/>
              <w:rPr>
                <w:rFonts w:asciiTheme="minorHAnsi" w:hAnsiTheme="minorHAnsi"/>
                <w:b/>
                <w:bCs/>
                <w:sz w:val="22"/>
                <w:szCs w:val="22"/>
              </w:rPr>
            </w:pPr>
          </w:p>
        </w:tc>
        <w:tc>
          <w:tcPr>
            <w:tcW w:w="8511" w:type="dxa"/>
            <w:vAlign w:val="center"/>
          </w:tcPr>
          <w:p w14:paraId="620BFD9E" w14:textId="77777777" w:rsidR="003F02D9" w:rsidRPr="002F3575" w:rsidRDefault="00DD783E" w:rsidP="003F02D9">
            <w:pPr>
              <w:tabs>
                <w:tab w:val="right" w:leader="dot" w:pos="8262"/>
              </w:tabs>
              <w:spacing w:before="120" w:after="100" w:afterAutospacing="1"/>
              <w:rPr>
                <w:b/>
              </w:rPr>
            </w:pPr>
            <w:hyperlink w:anchor="Spinoffs" w:history="1">
              <w:r w:rsidR="003F02D9" w:rsidRPr="002F3575">
                <w:rPr>
                  <w:rStyle w:val="Hyperlink"/>
                  <w:rFonts w:asciiTheme="minorHAnsi" w:hAnsiTheme="minorHAnsi"/>
                  <w:b/>
                  <w:bCs/>
                  <w:sz w:val="22"/>
                  <w:szCs w:val="22"/>
                  <w:u w:val="none"/>
                </w:rPr>
                <w:t>Spinoffs, Mergers and Consolidations</w:t>
              </w:r>
            </w:hyperlink>
            <w:r w:rsidR="003F02D9" w:rsidRPr="002F3575">
              <w:rPr>
                <w:rFonts w:asciiTheme="minorHAnsi" w:hAnsiTheme="minorHAnsi"/>
                <w:b/>
                <w:bCs/>
                <w:sz w:val="22"/>
                <w:szCs w:val="22"/>
              </w:rPr>
              <w:t xml:space="preserve"> </w:t>
            </w:r>
            <w:r w:rsidR="003F02D9" w:rsidRPr="002F3575">
              <w:rPr>
                <w:rFonts w:asciiTheme="minorHAnsi" w:hAnsiTheme="minorHAnsi"/>
                <w:b/>
                <w:bCs/>
                <w:sz w:val="22"/>
                <w:szCs w:val="22"/>
              </w:rPr>
              <w:tab/>
            </w:r>
          </w:p>
        </w:tc>
        <w:tc>
          <w:tcPr>
            <w:tcW w:w="954" w:type="dxa"/>
            <w:vAlign w:val="center"/>
          </w:tcPr>
          <w:p w14:paraId="010D6E98" w14:textId="77777777" w:rsidR="003F02D9" w:rsidRPr="002F3575" w:rsidRDefault="00DD783E" w:rsidP="003F02D9">
            <w:pPr>
              <w:autoSpaceDE w:val="0"/>
              <w:autoSpaceDN w:val="0"/>
              <w:adjustRightInd w:val="0"/>
              <w:spacing w:before="120" w:after="100" w:afterAutospacing="1"/>
              <w:jc w:val="right"/>
              <w:rPr>
                <w:rStyle w:val="Hyperlink"/>
                <w:rFonts w:asciiTheme="minorHAnsi" w:hAnsiTheme="minorHAnsi"/>
                <w:sz w:val="22"/>
                <w:szCs w:val="22"/>
                <w:u w:val="none"/>
              </w:rPr>
            </w:pPr>
            <w:hyperlink w:anchor="Spinoffs" w:history="1">
              <w:r w:rsidR="00493BB6" w:rsidRPr="002F3575">
                <w:rPr>
                  <w:rStyle w:val="Hyperlink"/>
                  <w:rFonts w:asciiTheme="minorHAnsi" w:hAnsiTheme="minorHAnsi"/>
                  <w:sz w:val="22"/>
                  <w:szCs w:val="22"/>
                  <w:u w:val="none"/>
                </w:rPr>
                <w:t>20</w:t>
              </w:r>
            </w:hyperlink>
          </w:p>
        </w:tc>
      </w:tr>
      <w:tr w:rsidR="003F02D9" w:rsidRPr="00F62144" w14:paraId="07880698" w14:textId="77777777" w:rsidTr="00F822D5">
        <w:trPr>
          <w:trHeight w:hRule="exact" w:val="360"/>
        </w:trPr>
        <w:tc>
          <w:tcPr>
            <w:tcW w:w="345" w:type="dxa"/>
          </w:tcPr>
          <w:p w14:paraId="09B49C2E" w14:textId="77777777" w:rsidR="003F02D9" w:rsidRPr="00F62144" w:rsidRDefault="003F02D9" w:rsidP="003F02D9">
            <w:pPr>
              <w:tabs>
                <w:tab w:val="right" w:leader="dot" w:pos="7776"/>
              </w:tabs>
              <w:spacing w:before="120" w:after="100" w:afterAutospacing="1"/>
              <w:rPr>
                <w:rFonts w:asciiTheme="minorHAnsi" w:hAnsiTheme="minorHAnsi"/>
                <w:b/>
                <w:bCs/>
                <w:sz w:val="22"/>
                <w:szCs w:val="22"/>
              </w:rPr>
            </w:pPr>
          </w:p>
        </w:tc>
        <w:tc>
          <w:tcPr>
            <w:tcW w:w="8511" w:type="dxa"/>
            <w:vAlign w:val="center"/>
          </w:tcPr>
          <w:p w14:paraId="70D83BF1" w14:textId="77777777" w:rsidR="003F02D9" w:rsidRPr="002F3575" w:rsidRDefault="00DD783E" w:rsidP="003F02D9">
            <w:pPr>
              <w:tabs>
                <w:tab w:val="right" w:leader="dot" w:pos="8262"/>
              </w:tabs>
              <w:spacing w:before="120" w:after="100" w:afterAutospacing="1"/>
              <w:rPr>
                <w:rFonts w:asciiTheme="minorHAnsi" w:hAnsiTheme="minorHAnsi"/>
                <w:b/>
                <w:bCs/>
                <w:sz w:val="22"/>
                <w:szCs w:val="22"/>
              </w:rPr>
            </w:pPr>
            <w:hyperlink w:anchor="toc21" w:history="1">
              <w:r w:rsidR="003F02D9" w:rsidRPr="002F3575">
                <w:rPr>
                  <w:rStyle w:val="Hyperlink"/>
                  <w:rFonts w:asciiTheme="minorHAnsi" w:hAnsiTheme="minorHAnsi"/>
                  <w:b/>
                  <w:bCs/>
                  <w:sz w:val="22"/>
                  <w:szCs w:val="22"/>
                  <w:u w:val="none"/>
                </w:rPr>
                <w:t>Data to be Submitted</w:t>
              </w:r>
            </w:hyperlink>
            <w:r w:rsidR="003F02D9" w:rsidRPr="002F3575">
              <w:rPr>
                <w:rFonts w:asciiTheme="minorHAnsi" w:hAnsiTheme="minorHAnsi"/>
                <w:b/>
                <w:bCs/>
                <w:sz w:val="22"/>
                <w:szCs w:val="22"/>
              </w:rPr>
              <w:t xml:space="preserve"> </w:t>
            </w:r>
            <w:r w:rsidR="003F02D9" w:rsidRPr="002F3575">
              <w:rPr>
                <w:rFonts w:asciiTheme="minorHAnsi" w:hAnsiTheme="minorHAnsi"/>
                <w:b/>
                <w:bCs/>
                <w:sz w:val="22"/>
                <w:szCs w:val="22"/>
              </w:rPr>
              <w:tab/>
            </w:r>
          </w:p>
        </w:tc>
        <w:tc>
          <w:tcPr>
            <w:tcW w:w="954" w:type="dxa"/>
            <w:vAlign w:val="center"/>
          </w:tcPr>
          <w:p w14:paraId="32808556" w14:textId="636BE2AA"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21" w:history="1">
              <w:r w:rsidR="00493BB6" w:rsidRPr="00F822D5">
                <w:rPr>
                  <w:rStyle w:val="Hyperlink"/>
                  <w:rFonts w:asciiTheme="minorHAnsi" w:hAnsiTheme="minorHAnsi"/>
                  <w:sz w:val="22"/>
                  <w:szCs w:val="22"/>
                </w:rPr>
                <w:t>2</w:t>
              </w:r>
              <w:r w:rsidR="00FA0CDB" w:rsidRPr="00F822D5">
                <w:rPr>
                  <w:rStyle w:val="Hyperlink"/>
                  <w:rFonts w:asciiTheme="minorHAnsi" w:hAnsiTheme="minorHAnsi"/>
                  <w:sz w:val="22"/>
                  <w:szCs w:val="22"/>
                </w:rPr>
                <w:t>6</w:t>
              </w:r>
            </w:hyperlink>
          </w:p>
        </w:tc>
      </w:tr>
      <w:tr w:rsidR="003F02D9" w:rsidRPr="00F62144" w14:paraId="325E1FF2" w14:textId="77777777" w:rsidTr="00F822D5">
        <w:trPr>
          <w:trHeight w:hRule="exact" w:val="360"/>
        </w:trPr>
        <w:tc>
          <w:tcPr>
            <w:tcW w:w="345" w:type="dxa"/>
          </w:tcPr>
          <w:p w14:paraId="08719A3D" w14:textId="77777777" w:rsidR="003F02D9" w:rsidRPr="00F62144" w:rsidRDefault="003F02D9" w:rsidP="003F02D9">
            <w:pPr>
              <w:tabs>
                <w:tab w:val="right" w:leader="dot" w:pos="7776"/>
              </w:tabs>
              <w:spacing w:before="120" w:after="100" w:afterAutospacing="1"/>
              <w:rPr>
                <w:rFonts w:asciiTheme="minorHAnsi" w:hAnsiTheme="minorHAnsi"/>
                <w:b/>
                <w:bCs/>
                <w:sz w:val="22"/>
                <w:szCs w:val="22"/>
              </w:rPr>
            </w:pPr>
          </w:p>
        </w:tc>
        <w:tc>
          <w:tcPr>
            <w:tcW w:w="8511" w:type="dxa"/>
            <w:vAlign w:val="center"/>
          </w:tcPr>
          <w:p w14:paraId="0936BF4D" w14:textId="77777777" w:rsidR="003F02D9" w:rsidRPr="002F3575" w:rsidRDefault="00DD783E" w:rsidP="003F02D9">
            <w:pPr>
              <w:tabs>
                <w:tab w:val="right" w:leader="dot" w:pos="8262"/>
              </w:tabs>
              <w:spacing w:before="120" w:after="100" w:afterAutospacing="1"/>
              <w:rPr>
                <w:rFonts w:asciiTheme="minorHAnsi" w:hAnsiTheme="minorHAnsi"/>
                <w:b/>
                <w:bCs/>
                <w:sz w:val="22"/>
                <w:szCs w:val="22"/>
              </w:rPr>
            </w:pPr>
            <w:hyperlink w:anchor="toc25" w:history="1">
              <w:r w:rsidR="003F02D9" w:rsidRPr="002F3575">
                <w:rPr>
                  <w:rStyle w:val="Hyperlink"/>
                  <w:rFonts w:asciiTheme="minorHAnsi" w:hAnsiTheme="minorHAnsi"/>
                  <w:b/>
                  <w:bCs/>
                  <w:sz w:val="22"/>
                  <w:szCs w:val="22"/>
                  <w:u w:val="none"/>
                </w:rPr>
                <w:t>Description of Data Elements</w:t>
              </w:r>
            </w:hyperlink>
            <w:r w:rsidR="003F02D9" w:rsidRPr="002F3575">
              <w:rPr>
                <w:rFonts w:asciiTheme="minorHAnsi" w:hAnsiTheme="minorHAnsi"/>
                <w:b/>
                <w:bCs/>
                <w:sz w:val="22"/>
                <w:szCs w:val="22"/>
              </w:rPr>
              <w:t xml:space="preserve"> </w:t>
            </w:r>
            <w:r w:rsidR="003F02D9" w:rsidRPr="002F3575">
              <w:rPr>
                <w:rFonts w:asciiTheme="minorHAnsi" w:hAnsiTheme="minorHAnsi"/>
                <w:b/>
                <w:bCs/>
                <w:sz w:val="22"/>
                <w:szCs w:val="22"/>
              </w:rPr>
              <w:tab/>
            </w:r>
          </w:p>
        </w:tc>
        <w:tc>
          <w:tcPr>
            <w:tcW w:w="954" w:type="dxa"/>
            <w:vAlign w:val="center"/>
          </w:tcPr>
          <w:p w14:paraId="145595BD" w14:textId="77777777"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25" w:history="1">
              <w:r w:rsidR="00FA0CDB">
                <w:rPr>
                  <w:rStyle w:val="Hyperlink"/>
                  <w:rFonts w:asciiTheme="minorHAnsi" w:hAnsiTheme="minorHAnsi"/>
                  <w:sz w:val="22"/>
                  <w:szCs w:val="22"/>
                  <w:u w:val="none"/>
                </w:rPr>
                <w:t>30</w:t>
              </w:r>
            </w:hyperlink>
          </w:p>
        </w:tc>
      </w:tr>
      <w:tr w:rsidR="003F02D9" w:rsidRPr="00F62144" w14:paraId="628093D9" w14:textId="77777777" w:rsidTr="00F822D5">
        <w:trPr>
          <w:trHeight w:hRule="exact" w:val="360"/>
        </w:trPr>
        <w:tc>
          <w:tcPr>
            <w:tcW w:w="345" w:type="dxa"/>
          </w:tcPr>
          <w:p w14:paraId="5FFC47CD" w14:textId="77777777" w:rsidR="003F02D9" w:rsidRPr="00F62144" w:rsidRDefault="003F02D9" w:rsidP="003F02D9">
            <w:pPr>
              <w:tabs>
                <w:tab w:val="right" w:leader="dot" w:pos="7776"/>
              </w:tabs>
              <w:spacing w:before="120" w:after="100" w:afterAutospacing="1"/>
              <w:rPr>
                <w:rFonts w:asciiTheme="minorHAnsi" w:hAnsiTheme="minorHAnsi"/>
                <w:b/>
                <w:bCs/>
                <w:sz w:val="22"/>
                <w:szCs w:val="22"/>
              </w:rPr>
            </w:pPr>
          </w:p>
        </w:tc>
        <w:tc>
          <w:tcPr>
            <w:tcW w:w="8511" w:type="dxa"/>
            <w:vAlign w:val="center"/>
          </w:tcPr>
          <w:p w14:paraId="6C5B68D9" w14:textId="77777777" w:rsidR="003F02D9" w:rsidRPr="002F3575" w:rsidRDefault="00DD783E" w:rsidP="003F02D9">
            <w:pPr>
              <w:tabs>
                <w:tab w:val="right" w:leader="dot" w:pos="8262"/>
              </w:tabs>
              <w:spacing w:before="120" w:after="100" w:afterAutospacing="1"/>
              <w:rPr>
                <w:rFonts w:asciiTheme="minorHAnsi" w:hAnsiTheme="minorHAnsi"/>
                <w:b/>
                <w:sz w:val="22"/>
                <w:szCs w:val="22"/>
              </w:rPr>
            </w:pPr>
            <w:hyperlink w:anchor="toc39" w:history="1">
              <w:r w:rsidR="003F02D9" w:rsidRPr="002F3575">
                <w:rPr>
                  <w:rStyle w:val="Hyperlink"/>
                  <w:rFonts w:asciiTheme="minorHAnsi" w:hAnsiTheme="minorHAnsi"/>
                  <w:b/>
                  <w:bCs/>
                  <w:sz w:val="22"/>
                  <w:szCs w:val="22"/>
                  <w:u w:val="none"/>
                </w:rPr>
                <w:t>Late Payment Charges</w:t>
              </w:r>
            </w:hyperlink>
            <w:r w:rsidR="003F02D9" w:rsidRPr="002F3575">
              <w:rPr>
                <w:rFonts w:asciiTheme="minorHAnsi" w:hAnsiTheme="minorHAnsi"/>
                <w:b/>
                <w:bCs/>
                <w:sz w:val="22"/>
                <w:szCs w:val="22"/>
              </w:rPr>
              <w:t xml:space="preserve"> </w:t>
            </w:r>
            <w:r w:rsidR="003F02D9" w:rsidRPr="002F3575">
              <w:rPr>
                <w:rFonts w:asciiTheme="minorHAnsi" w:hAnsiTheme="minorHAnsi"/>
                <w:b/>
                <w:bCs/>
                <w:sz w:val="22"/>
                <w:szCs w:val="22"/>
              </w:rPr>
              <w:tab/>
            </w:r>
          </w:p>
        </w:tc>
        <w:tc>
          <w:tcPr>
            <w:tcW w:w="954" w:type="dxa"/>
            <w:vAlign w:val="center"/>
          </w:tcPr>
          <w:p w14:paraId="09D243D2" w14:textId="20D506F7" w:rsidR="003F02D9" w:rsidRPr="002F3575" w:rsidRDefault="00DD783E" w:rsidP="00493837">
            <w:pPr>
              <w:autoSpaceDE w:val="0"/>
              <w:autoSpaceDN w:val="0"/>
              <w:adjustRightInd w:val="0"/>
              <w:spacing w:before="120" w:after="100" w:afterAutospacing="1"/>
              <w:jc w:val="right"/>
              <w:rPr>
                <w:rStyle w:val="Hyperlink"/>
                <w:rFonts w:asciiTheme="minorHAnsi" w:hAnsiTheme="minorHAnsi"/>
                <w:bCs/>
                <w:sz w:val="22"/>
                <w:szCs w:val="22"/>
                <w:u w:val="none"/>
              </w:rPr>
            </w:pPr>
            <w:hyperlink w:anchor="toc39" w:history="1">
              <w:r w:rsidR="009E40F9" w:rsidRPr="00F822D5">
                <w:rPr>
                  <w:rStyle w:val="Hyperlink"/>
                  <w:rFonts w:asciiTheme="minorHAnsi" w:hAnsiTheme="minorHAnsi"/>
                  <w:sz w:val="22"/>
                  <w:szCs w:val="22"/>
                </w:rPr>
                <w:t>4</w:t>
              </w:r>
              <w:r w:rsidR="00FA0CDB" w:rsidRPr="00F822D5">
                <w:rPr>
                  <w:rStyle w:val="Hyperlink"/>
                  <w:rFonts w:asciiTheme="minorHAnsi" w:hAnsiTheme="minorHAnsi"/>
                  <w:sz w:val="22"/>
                  <w:szCs w:val="22"/>
                </w:rPr>
                <w:t>3</w:t>
              </w:r>
            </w:hyperlink>
          </w:p>
        </w:tc>
      </w:tr>
      <w:tr w:rsidR="003F02D9" w:rsidRPr="00F62144" w14:paraId="419E9CB7" w14:textId="77777777" w:rsidTr="00F822D5">
        <w:trPr>
          <w:trHeight w:hRule="exact" w:val="360"/>
        </w:trPr>
        <w:tc>
          <w:tcPr>
            <w:tcW w:w="345" w:type="dxa"/>
          </w:tcPr>
          <w:p w14:paraId="79B4CD63" w14:textId="77777777" w:rsidR="003F02D9" w:rsidRPr="00F62144" w:rsidRDefault="003F02D9" w:rsidP="003F02D9">
            <w:pPr>
              <w:tabs>
                <w:tab w:val="right" w:leader="dot" w:pos="7776"/>
              </w:tabs>
              <w:spacing w:before="120" w:after="100" w:afterAutospacing="1"/>
              <w:rPr>
                <w:rFonts w:asciiTheme="minorHAnsi" w:hAnsiTheme="minorHAnsi"/>
                <w:b/>
                <w:bCs/>
                <w:sz w:val="22"/>
                <w:szCs w:val="22"/>
              </w:rPr>
            </w:pPr>
          </w:p>
        </w:tc>
        <w:tc>
          <w:tcPr>
            <w:tcW w:w="8511" w:type="dxa"/>
            <w:vAlign w:val="center"/>
          </w:tcPr>
          <w:p w14:paraId="28383BD6" w14:textId="77777777" w:rsidR="003F02D9" w:rsidRPr="002F3575" w:rsidRDefault="00DD783E" w:rsidP="003F02D9">
            <w:pPr>
              <w:tabs>
                <w:tab w:val="right" w:leader="dot" w:pos="8262"/>
              </w:tabs>
              <w:spacing w:before="120" w:after="100" w:afterAutospacing="1"/>
              <w:rPr>
                <w:rFonts w:asciiTheme="minorHAnsi" w:hAnsiTheme="minorHAnsi"/>
                <w:b/>
                <w:bCs/>
                <w:sz w:val="22"/>
                <w:szCs w:val="22"/>
              </w:rPr>
            </w:pPr>
            <w:hyperlink w:anchor="toc42" w:history="1">
              <w:r w:rsidR="003F02D9" w:rsidRPr="002F3575">
                <w:rPr>
                  <w:rStyle w:val="Hyperlink"/>
                  <w:rFonts w:asciiTheme="minorHAnsi" w:hAnsiTheme="minorHAnsi"/>
                  <w:b/>
                  <w:bCs/>
                  <w:sz w:val="22"/>
                  <w:szCs w:val="22"/>
                  <w:u w:val="none"/>
                </w:rPr>
                <w:t>Correcting Errors, Credit Balances and Reconciling Estimates</w:t>
              </w:r>
            </w:hyperlink>
            <w:r w:rsidR="003F02D9" w:rsidRPr="002F3575">
              <w:rPr>
                <w:rFonts w:asciiTheme="minorHAnsi" w:hAnsiTheme="minorHAnsi"/>
                <w:b/>
                <w:bCs/>
                <w:sz w:val="22"/>
                <w:szCs w:val="22"/>
              </w:rPr>
              <w:tab/>
            </w:r>
          </w:p>
        </w:tc>
        <w:tc>
          <w:tcPr>
            <w:tcW w:w="954" w:type="dxa"/>
            <w:vAlign w:val="center"/>
          </w:tcPr>
          <w:p w14:paraId="105C57BD" w14:textId="4481C0D0"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42" w:history="1">
              <w:r w:rsidR="003F02D9" w:rsidRPr="00F822D5">
                <w:rPr>
                  <w:rStyle w:val="Hyperlink"/>
                  <w:rFonts w:asciiTheme="minorHAnsi" w:hAnsiTheme="minorHAnsi"/>
                  <w:sz w:val="22"/>
                  <w:szCs w:val="22"/>
                </w:rPr>
                <w:t>4</w:t>
              </w:r>
              <w:r w:rsidR="00FA0CDB" w:rsidRPr="00F822D5">
                <w:rPr>
                  <w:rStyle w:val="Hyperlink"/>
                  <w:rFonts w:asciiTheme="minorHAnsi" w:hAnsiTheme="minorHAnsi"/>
                  <w:sz w:val="22"/>
                  <w:szCs w:val="22"/>
                </w:rPr>
                <w:t>6</w:t>
              </w:r>
            </w:hyperlink>
          </w:p>
        </w:tc>
      </w:tr>
      <w:tr w:rsidR="003F02D9" w:rsidRPr="00F62144" w14:paraId="7C7F0E50" w14:textId="77777777" w:rsidTr="00F822D5">
        <w:trPr>
          <w:trHeight w:hRule="exact" w:val="360"/>
        </w:trPr>
        <w:tc>
          <w:tcPr>
            <w:tcW w:w="345" w:type="dxa"/>
          </w:tcPr>
          <w:p w14:paraId="7CEEF503" w14:textId="77777777" w:rsidR="003F02D9" w:rsidRPr="00F62144" w:rsidRDefault="003F02D9" w:rsidP="003F02D9">
            <w:pPr>
              <w:tabs>
                <w:tab w:val="right" w:leader="dot" w:pos="7776"/>
              </w:tabs>
              <w:autoSpaceDE w:val="0"/>
              <w:autoSpaceDN w:val="0"/>
              <w:adjustRightInd w:val="0"/>
              <w:spacing w:before="120" w:after="100" w:afterAutospacing="1"/>
              <w:rPr>
                <w:rFonts w:asciiTheme="minorHAnsi" w:hAnsiTheme="minorHAnsi"/>
                <w:b/>
                <w:bCs/>
                <w:sz w:val="22"/>
                <w:szCs w:val="22"/>
              </w:rPr>
            </w:pPr>
          </w:p>
        </w:tc>
        <w:tc>
          <w:tcPr>
            <w:tcW w:w="8511" w:type="dxa"/>
            <w:vAlign w:val="center"/>
          </w:tcPr>
          <w:p w14:paraId="763A80CD" w14:textId="77777777" w:rsidR="003F02D9" w:rsidRPr="002F3575" w:rsidRDefault="00DD783E" w:rsidP="003F02D9">
            <w:pPr>
              <w:tabs>
                <w:tab w:val="right" w:leader="dot" w:pos="8262"/>
              </w:tabs>
              <w:autoSpaceDE w:val="0"/>
              <w:autoSpaceDN w:val="0"/>
              <w:adjustRightInd w:val="0"/>
              <w:spacing w:before="120" w:after="100" w:afterAutospacing="1"/>
              <w:rPr>
                <w:rFonts w:asciiTheme="minorHAnsi" w:hAnsiTheme="minorHAnsi"/>
                <w:b/>
                <w:bCs/>
                <w:sz w:val="22"/>
                <w:szCs w:val="22"/>
              </w:rPr>
            </w:pPr>
            <w:hyperlink w:anchor="toc45" w:history="1">
              <w:r w:rsidR="003F02D9" w:rsidRPr="002F3575">
                <w:rPr>
                  <w:rStyle w:val="Hyperlink"/>
                  <w:rFonts w:asciiTheme="minorHAnsi" w:hAnsiTheme="minorHAnsi"/>
                  <w:b/>
                  <w:bCs/>
                  <w:sz w:val="22"/>
                  <w:szCs w:val="22"/>
                  <w:u w:val="none"/>
                </w:rPr>
                <w:t>Recordkeeping Requirements and PBGC Audits</w:t>
              </w:r>
            </w:hyperlink>
            <w:r w:rsidR="003F02D9" w:rsidRPr="002F3575">
              <w:rPr>
                <w:rFonts w:asciiTheme="minorHAnsi" w:hAnsiTheme="minorHAnsi"/>
                <w:b/>
                <w:bCs/>
                <w:sz w:val="22"/>
                <w:szCs w:val="22"/>
              </w:rPr>
              <w:t xml:space="preserve"> </w:t>
            </w:r>
            <w:r w:rsidR="003F02D9" w:rsidRPr="002F3575">
              <w:rPr>
                <w:rFonts w:asciiTheme="minorHAnsi" w:hAnsiTheme="minorHAnsi"/>
                <w:b/>
                <w:bCs/>
                <w:sz w:val="22"/>
                <w:szCs w:val="22"/>
              </w:rPr>
              <w:tab/>
            </w:r>
          </w:p>
        </w:tc>
        <w:tc>
          <w:tcPr>
            <w:tcW w:w="954" w:type="dxa"/>
            <w:vAlign w:val="center"/>
          </w:tcPr>
          <w:p w14:paraId="3D6C3D79" w14:textId="4122CF49"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45" w:history="1">
              <w:r w:rsidR="003F02D9" w:rsidRPr="00F822D5">
                <w:rPr>
                  <w:rStyle w:val="Hyperlink"/>
                  <w:rFonts w:asciiTheme="minorHAnsi" w:hAnsiTheme="minorHAnsi"/>
                  <w:sz w:val="22"/>
                  <w:szCs w:val="22"/>
                </w:rPr>
                <w:t>4</w:t>
              </w:r>
              <w:r w:rsidR="00FA0CDB" w:rsidRPr="00F822D5">
                <w:rPr>
                  <w:rStyle w:val="Hyperlink"/>
                  <w:rFonts w:asciiTheme="minorHAnsi" w:hAnsiTheme="minorHAnsi"/>
                  <w:sz w:val="22"/>
                  <w:szCs w:val="22"/>
                </w:rPr>
                <w:t>9</w:t>
              </w:r>
            </w:hyperlink>
          </w:p>
        </w:tc>
      </w:tr>
      <w:tr w:rsidR="003F02D9" w:rsidRPr="00F62144" w14:paraId="237FDE54" w14:textId="77777777" w:rsidTr="00F822D5">
        <w:trPr>
          <w:trHeight w:hRule="exact" w:val="360"/>
        </w:trPr>
        <w:tc>
          <w:tcPr>
            <w:tcW w:w="345" w:type="dxa"/>
          </w:tcPr>
          <w:p w14:paraId="31551E95" w14:textId="77777777" w:rsidR="003F02D9" w:rsidRPr="00F62144" w:rsidRDefault="003F02D9" w:rsidP="003F02D9">
            <w:pPr>
              <w:tabs>
                <w:tab w:val="right" w:leader="dot" w:pos="7776"/>
              </w:tabs>
              <w:autoSpaceDE w:val="0"/>
              <w:autoSpaceDN w:val="0"/>
              <w:adjustRightInd w:val="0"/>
              <w:spacing w:before="120" w:after="100" w:afterAutospacing="1"/>
              <w:rPr>
                <w:rFonts w:asciiTheme="minorHAnsi" w:hAnsiTheme="minorHAnsi"/>
                <w:b/>
                <w:sz w:val="22"/>
                <w:szCs w:val="22"/>
              </w:rPr>
            </w:pPr>
          </w:p>
        </w:tc>
        <w:tc>
          <w:tcPr>
            <w:tcW w:w="8511" w:type="dxa"/>
            <w:vAlign w:val="center"/>
          </w:tcPr>
          <w:p w14:paraId="2982F600" w14:textId="77777777" w:rsidR="003F02D9" w:rsidRPr="002F3575" w:rsidRDefault="003F02D9" w:rsidP="003F02D9">
            <w:pPr>
              <w:tabs>
                <w:tab w:val="right" w:leader="dot" w:pos="7776"/>
              </w:tabs>
              <w:autoSpaceDE w:val="0"/>
              <w:autoSpaceDN w:val="0"/>
              <w:adjustRightInd w:val="0"/>
              <w:spacing w:before="120" w:after="100" w:afterAutospacing="1"/>
              <w:rPr>
                <w:rFonts w:asciiTheme="minorHAnsi" w:hAnsiTheme="minorHAnsi"/>
                <w:b/>
                <w:sz w:val="22"/>
                <w:szCs w:val="22"/>
              </w:rPr>
            </w:pPr>
            <w:r w:rsidRPr="002F3575">
              <w:rPr>
                <w:rFonts w:asciiTheme="minorHAnsi" w:hAnsiTheme="minorHAnsi"/>
                <w:b/>
                <w:sz w:val="22"/>
                <w:szCs w:val="22"/>
              </w:rPr>
              <w:t>Appendices</w:t>
            </w:r>
            <w:r w:rsidRPr="002F3575">
              <w:rPr>
                <w:rFonts w:asciiTheme="minorHAnsi" w:hAnsiTheme="minorHAnsi"/>
                <w:b/>
                <w:bCs/>
                <w:sz w:val="22"/>
                <w:szCs w:val="22"/>
              </w:rPr>
              <w:t xml:space="preserve"> </w:t>
            </w:r>
          </w:p>
        </w:tc>
        <w:tc>
          <w:tcPr>
            <w:tcW w:w="954" w:type="dxa"/>
            <w:vAlign w:val="center"/>
          </w:tcPr>
          <w:p w14:paraId="20241680" w14:textId="77777777" w:rsidR="003F02D9" w:rsidRPr="002F3575" w:rsidRDefault="003F02D9" w:rsidP="003F02D9">
            <w:pPr>
              <w:autoSpaceDE w:val="0"/>
              <w:autoSpaceDN w:val="0"/>
              <w:adjustRightInd w:val="0"/>
              <w:spacing w:before="120" w:after="100" w:afterAutospacing="1"/>
              <w:jc w:val="right"/>
              <w:rPr>
                <w:rStyle w:val="Hyperlink"/>
                <w:rFonts w:asciiTheme="minorHAnsi" w:hAnsiTheme="minorHAnsi"/>
                <w:sz w:val="22"/>
                <w:szCs w:val="22"/>
                <w:u w:val="none"/>
              </w:rPr>
            </w:pPr>
          </w:p>
        </w:tc>
      </w:tr>
      <w:tr w:rsidR="003F02D9" w:rsidRPr="00F62144" w14:paraId="69481D8D" w14:textId="77777777" w:rsidTr="00F822D5">
        <w:trPr>
          <w:trHeight w:hRule="exact" w:val="360"/>
        </w:trPr>
        <w:tc>
          <w:tcPr>
            <w:tcW w:w="345" w:type="dxa"/>
          </w:tcPr>
          <w:p w14:paraId="7B810E56" w14:textId="77777777" w:rsidR="003F02D9" w:rsidRPr="00F62144" w:rsidRDefault="003F02D9" w:rsidP="003F02D9">
            <w:pPr>
              <w:tabs>
                <w:tab w:val="right" w:leader="dot" w:pos="7776"/>
              </w:tabs>
              <w:autoSpaceDE w:val="0"/>
              <w:autoSpaceDN w:val="0"/>
              <w:adjustRightInd w:val="0"/>
              <w:spacing w:before="120" w:after="100" w:afterAutospacing="1"/>
              <w:ind w:left="360"/>
              <w:rPr>
                <w:rFonts w:asciiTheme="minorHAnsi" w:hAnsiTheme="minorHAnsi"/>
                <w:sz w:val="22"/>
                <w:szCs w:val="22"/>
              </w:rPr>
            </w:pPr>
          </w:p>
        </w:tc>
        <w:tc>
          <w:tcPr>
            <w:tcW w:w="8511" w:type="dxa"/>
            <w:vAlign w:val="center"/>
          </w:tcPr>
          <w:p w14:paraId="210FE092" w14:textId="77777777" w:rsidR="003F02D9" w:rsidRPr="002F3575" w:rsidRDefault="00DD783E" w:rsidP="003F02D9">
            <w:pPr>
              <w:numPr>
                <w:ilvl w:val="0"/>
                <w:numId w:val="17"/>
              </w:numPr>
              <w:tabs>
                <w:tab w:val="clear" w:pos="720"/>
                <w:tab w:val="num" w:pos="360"/>
                <w:tab w:val="right" w:leader="dot" w:pos="8172"/>
              </w:tabs>
              <w:autoSpaceDE w:val="0"/>
              <w:autoSpaceDN w:val="0"/>
              <w:adjustRightInd w:val="0"/>
              <w:spacing w:before="120" w:after="100" w:afterAutospacing="1"/>
              <w:ind w:left="360"/>
              <w:rPr>
                <w:rFonts w:asciiTheme="minorHAnsi" w:hAnsiTheme="minorHAnsi"/>
                <w:sz w:val="22"/>
                <w:szCs w:val="22"/>
              </w:rPr>
            </w:pPr>
            <w:hyperlink w:anchor="toc46" w:history="1">
              <w:r w:rsidR="003F02D9" w:rsidRPr="002F3575">
                <w:rPr>
                  <w:rStyle w:val="Hyperlink"/>
                  <w:rFonts w:asciiTheme="minorHAnsi" w:hAnsiTheme="minorHAnsi"/>
                  <w:sz w:val="22"/>
                  <w:szCs w:val="22"/>
                  <w:u w:val="none"/>
                </w:rPr>
                <w:t xml:space="preserve">Appendix 1 – </w:t>
              </w:r>
              <w:r w:rsidR="003F02D9" w:rsidRPr="002F3575">
                <w:rPr>
                  <w:rStyle w:val="Hyperlink"/>
                  <w:rFonts w:asciiTheme="minorHAnsi" w:hAnsiTheme="minorHAnsi"/>
                  <w:bCs/>
                  <w:sz w:val="22"/>
                  <w:szCs w:val="22"/>
                  <w:u w:val="none"/>
                </w:rPr>
                <w:t>Definitions</w:t>
              </w:r>
            </w:hyperlink>
            <w:r w:rsidR="003F02D9" w:rsidRPr="002F3575">
              <w:rPr>
                <w:rFonts w:asciiTheme="minorHAnsi" w:hAnsiTheme="minorHAnsi"/>
                <w:bCs/>
                <w:sz w:val="22"/>
                <w:szCs w:val="22"/>
              </w:rPr>
              <w:tab/>
            </w:r>
          </w:p>
        </w:tc>
        <w:tc>
          <w:tcPr>
            <w:tcW w:w="954" w:type="dxa"/>
            <w:vAlign w:val="center"/>
          </w:tcPr>
          <w:p w14:paraId="79270718" w14:textId="77777777"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46" w:history="1">
              <w:r w:rsidR="00FA0CDB">
                <w:rPr>
                  <w:rStyle w:val="Hyperlink"/>
                  <w:rFonts w:asciiTheme="minorHAnsi" w:hAnsiTheme="minorHAnsi"/>
                  <w:sz w:val="22"/>
                  <w:szCs w:val="22"/>
                  <w:u w:val="none"/>
                </w:rPr>
                <w:t>50</w:t>
              </w:r>
            </w:hyperlink>
          </w:p>
        </w:tc>
      </w:tr>
      <w:tr w:rsidR="003F02D9" w:rsidRPr="00F62144" w14:paraId="015EB46A" w14:textId="77777777" w:rsidTr="00F822D5">
        <w:trPr>
          <w:trHeight w:hRule="exact" w:val="360"/>
        </w:trPr>
        <w:tc>
          <w:tcPr>
            <w:tcW w:w="345" w:type="dxa"/>
          </w:tcPr>
          <w:p w14:paraId="0EA2918D" w14:textId="77777777" w:rsidR="003F02D9" w:rsidRPr="00F62144" w:rsidRDefault="003F02D9" w:rsidP="003F02D9">
            <w:pPr>
              <w:tabs>
                <w:tab w:val="right" w:leader="dot" w:pos="7776"/>
              </w:tabs>
              <w:autoSpaceDE w:val="0"/>
              <w:autoSpaceDN w:val="0"/>
              <w:adjustRightInd w:val="0"/>
              <w:spacing w:before="120" w:after="100" w:afterAutospacing="1"/>
              <w:ind w:left="360"/>
              <w:rPr>
                <w:rFonts w:asciiTheme="minorHAnsi" w:hAnsiTheme="minorHAnsi"/>
                <w:sz w:val="22"/>
                <w:szCs w:val="22"/>
              </w:rPr>
            </w:pPr>
          </w:p>
        </w:tc>
        <w:tc>
          <w:tcPr>
            <w:tcW w:w="8511" w:type="dxa"/>
            <w:vAlign w:val="center"/>
          </w:tcPr>
          <w:p w14:paraId="0DB69436" w14:textId="77777777" w:rsidR="003F02D9" w:rsidRPr="002F3575" w:rsidRDefault="00DD783E" w:rsidP="003F02D9">
            <w:pPr>
              <w:numPr>
                <w:ilvl w:val="0"/>
                <w:numId w:val="17"/>
              </w:numPr>
              <w:tabs>
                <w:tab w:val="clear" w:pos="720"/>
                <w:tab w:val="num" w:pos="360"/>
                <w:tab w:val="right" w:leader="dot" w:pos="8172"/>
              </w:tabs>
              <w:autoSpaceDE w:val="0"/>
              <w:autoSpaceDN w:val="0"/>
              <w:adjustRightInd w:val="0"/>
              <w:spacing w:before="120" w:after="100" w:afterAutospacing="1"/>
              <w:ind w:left="360"/>
              <w:rPr>
                <w:rFonts w:asciiTheme="minorHAnsi" w:hAnsiTheme="minorHAnsi"/>
                <w:sz w:val="22"/>
                <w:szCs w:val="22"/>
              </w:rPr>
            </w:pPr>
            <w:hyperlink w:anchor="toc50" w:history="1">
              <w:r w:rsidR="003F02D9" w:rsidRPr="002F3575">
                <w:rPr>
                  <w:rStyle w:val="Hyperlink"/>
                  <w:rFonts w:asciiTheme="minorHAnsi" w:hAnsiTheme="minorHAnsi"/>
                  <w:sz w:val="22"/>
                  <w:szCs w:val="22"/>
                  <w:u w:val="none"/>
                </w:rPr>
                <w:t>Appendix 2 – Contact information</w:t>
              </w:r>
            </w:hyperlink>
            <w:r w:rsidR="003F02D9" w:rsidRPr="002F3575">
              <w:rPr>
                <w:rFonts w:asciiTheme="minorHAnsi" w:hAnsiTheme="minorHAnsi"/>
                <w:sz w:val="22"/>
                <w:szCs w:val="22"/>
              </w:rPr>
              <w:tab/>
            </w:r>
          </w:p>
        </w:tc>
        <w:tc>
          <w:tcPr>
            <w:tcW w:w="954" w:type="dxa"/>
            <w:vAlign w:val="center"/>
          </w:tcPr>
          <w:p w14:paraId="306081C2" w14:textId="77777777"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50" w:history="1">
              <w:r w:rsidR="00493BB6" w:rsidRPr="002F3575">
                <w:rPr>
                  <w:rStyle w:val="Hyperlink"/>
                  <w:rFonts w:asciiTheme="minorHAnsi" w:hAnsiTheme="minorHAnsi"/>
                  <w:sz w:val="22"/>
                  <w:szCs w:val="22"/>
                  <w:u w:val="none"/>
                </w:rPr>
                <w:t>5</w:t>
              </w:r>
            </w:hyperlink>
            <w:r w:rsidR="00FA0CDB">
              <w:rPr>
                <w:rStyle w:val="Hyperlink"/>
                <w:rFonts w:asciiTheme="minorHAnsi" w:hAnsiTheme="minorHAnsi"/>
                <w:sz w:val="22"/>
                <w:szCs w:val="22"/>
                <w:u w:val="none"/>
              </w:rPr>
              <w:t>4</w:t>
            </w:r>
          </w:p>
        </w:tc>
      </w:tr>
      <w:tr w:rsidR="003F02D9" w:rsidRPr="00F62144" w14:paraId="14C4C524" w14:textId="77777777" w:rsidTr="00F822D5">
        <w:trPr>
          <w:trHeight w:hRule="exact" w:val="360"/>
        </w:trPr>
        <w:tc>
          <w:tcPr>
            <w:tcW w:w="345" w:type="dxa"/>
          </w:tcPr>
          <w:p w14:paraId="293BFE2E" w14:textId="77777777" w:rsidR="003F02D9" w:rsidRPr="00F62144" w:rsidRDefault="003F02D9" w:rsidP="003F02D9">
            <w:pPr>
              <w:tabs>
                <w:tab w:val="right" w:leader="dot" w:pos="7776"/>
              </w:tabs>
              <w:autoSpaceDE w:val="0"/>
              <w:autoSpaceDN w:val="0"/>
              <w:adjustRightInd w:val="0"/>
              <w:spacing w:before="120" w:after="100" w:afterAutospacing="1"/>
              <w:ind w:left="360"/>
              <w:rPr>
                <w:rFonts w:asciiTheme="minorHAnsi" w:hAnsiTheme="minorHAnsi"/>
                <w:sz w:val="22"/>
                <w:szCs w:val="22"/>
              </w:rPr>
            </w:pPr>
          </w:p>
        </w:tc>
        <w:tc>
          <w:tcPr>
            <w:tcW w:w="8511" w:type="dxa"/>
            <w:vAlign w:val="center"/>
          </w:tcPr>
          <w:p w14:paraId="7D9302F9" w14:textId="77777777" w:rsidR="003F02D9" w:rsidRPr="002F3575" w:rsidRDefault="00DD783E" w:rsidP="003F02D9">
            <w:pPr>
              <w:numPr>
                <w:ilvl w:val="0"/>
                <w:numId w:val="17"/>
              </w:numPr>
              <w:tabs>
                <w:tab w:val="clear" w:pos="720"/>
                <w:tab w:val="num" w:pos="360"/>
                <w:tab w:val="right" w:leader="dot" w:pos="8172"/>
              </w:tabs>
              <w:autoSpaceDE w:val="0"/>
              <w:autoSpaceDN w:val="0"/>
              <w:adjustRightInd w:val="0"/>
              <w:spacing w:before="120" w:after="100" w:afterAutospacing="1"/>
              <w:ind w:left="360"/>
              <w:rPr>
                <w:rFonts w:asciiTheme="minorHAnsi" w:hAnsiTheme="minorHAnsi"/>
                <w:sz w:val="22"/>
                <w:szCs w:val="22"/>
              </w:rPr>
            </w:pPr>
            <w:hyperlink w:anchor="toc52" w:history="1">
              <w:r w:rsidR="003F02D9" w:rsidRPr="002F3575">
                <w:rPr>
                  <w:rStyle w:val="Hyperlink"/>
                  <w:rFonts w:asciiTheme="minorHAnsi" w:hAnsiTheme="minorHAnsi"/>
                  <w:sz w:val="22"/>
                  <w:szCs w:val="22"/>
                  <w:u w:val="none"/>
                </w:rPr>
                <w:t>Appendix 3 – Online Premium Filing with My PAA</w:t>
              </w:r>
            </w:hyperlink>
            <w:r w:rsidR="003F02D9" w:rsidRPr="002F3575">
              <w:rPr>
                <w:rFonts w:asciiTheme="minorHAnsi" w:hAnsiTheme="minorHAnsi"/>
                <w:sz w:val="22"/>
                <w:szCs w:val="22"/>
              </w:rPr>
              <w:tab/>
            </w:r>
          </w:p>
        </w:tc>
        <w:tc>
          <w:tcPr>
            <w:tcW w:w="954" w:type="dxa"/>
            <w:vAlign w:val="center"/>
          </w:tcPr>
          <w:p w14:paraId="0BE6151E" w14:textId="77777777" w:rsidR="003F02D9" w:rsidRPr="002F3575" w:rsidRDefault="00DD783E" w:rsidP="00493837">
            <w:pPr>
              <w:autoSpaceDE w:val="0"/>
              <w:autoSpaceDN w:val="0"/>
              <w:adjustRightInd w:val="0"/>
              <w:spacing w:before="120" w:after="100" w:afterAutospacing="1"/>
              <w:jc w:val="right"/>
              <w:rPr>
                <w:rStyle w:val="Hyperlink"/>
                <w:rFonts w:asciiTheme="minorHAnsi" w:hAnsiTheme="minorHAnsi"/>
                <w:sz w:val="22"/>
                <w:szCs w:val="22"/>
                <w:u w:val="none"/>
              </w:rPr>
            </w:pPr>
            <w:hyperlink w:anchor="toc52" w:history="1">
              <w:r w:rsidR="003F02D9" w:rsidRPr="002F3575">
                <w:rPr>
                  <w:rStyle w:val="Hyperlink"/>
                  <w:rFonts w:asciiTheme="minorHAnsi" w:hAnsiTheme="minorHAnsi"/>
                  <w:sz w:val="22"/>
                  <w:szCs w:val="22"/>
                  <w:u w:val="none"/>
                </w:rPr>
                <w:t>5</w:t>
              </w:r>
            </w:hyperlink>
            <w:r w:rsidR="00FA0CDB">
              <w:rPr>
                <w:rStyle w:val="Hyperlink"/>
                <w:rFonts w:asciiTheme="minorHAnsi" w:hAnsiTheme="minorHAnsi"/>
                <w:sz w:val="22"/>
                <w:szCs w:val="22"/>
                <w:u w:val="none"/>
              </w:rPr>
              <w:t>6</w:t>
            </w:r>
          </w:p>
        </w:tc>
      </w:tr>
      <w:tr w:rsidR="006C4404" w:rsidRPr="00F62144" w14:paraId="76B0A7F6" w14:textId="77777777" w:rsidTr="00F822D5">
        <w:trPr>
          <w:trHeight w:hRule="exact" w:val="360"/>
        </w:trPr>
        <w:tc>
          <w:tcPr>
            <w:tcW w:w="345" w:type="dxa"/>
          </w:tcPr>
          <w:p w14:paraId="5BCBB41E" w14:textId="77777777" w:rsidR="006C4404" w:rsidRPr="00F62144" w:rsidRDefault="006C4404" w:rsidP="006C4404">
            <w:pPr>
              <w:tabs>
                <w:tab w:val="right" w:leader="dot" w:pos="7776"/>
              </w:tabs>
              <w:autoSpaceDE w:val="0"/>
              <w:autoSpaceDN w:val="0"/>
              <w:adjustRightInd w:val="0"/>
              <w:spacing w:before="120" w:after="100" w:afterAutospacing="1"/>
              <w:ind w:left="360"/>
              <w:rPr>
                <w:rFonts w:asciiTheme="minorHAnsi" w:hAnsiTheme="minorHAnsi"/>
                <w:sz w:val="22"/>
                <w:szCs w:val="22"/>
              </w:rPr>
            </w:pPr>
          </w:p>
        </w:tc>
        <w:tc>
          <w:tcPr>
            <w:tcW w:w="8511" w:type="dxa"/>
            <w:vAlign w:val="center"/>
          </w:tcPr>
          <w:p w14:paraId="30C9CC06" w14:textId="1328B729" w:rsidR="006C4404" w:rsidRPr="006C4404" w:rsidRDefault="00DD783E" w:rsidP="006C4404">
            <w:pPr>
              <w:numPr>
                <w:ilvl w:val="0"/>
                <w:numId w:val="17"/>
              </w:numPr>
              <w:tabs>
                <w:tab w:val="clear" w:pos="720"/>
                <w:tab w:val="num" w:pos="360"/>
                <w:tab w:val="right" w:leader="dot" w:pos="8172"/>
              </w:tabs>
              <w:autoSpaceDE w:val="0"/>
              <w:autoSpaceDN w:val="0"/>
              <w:adjustRightInd w:val="0"/>
              <w:spacing w:before="120" w:after="100" w:afterAutospacing="1"/>
              <w:ind w:left="360"/>
              <w:rPr>
                <w:rStyle w:val="Hyperlink"/>
                <w:rFonts w:asciiTheme="minorHAnsi" w:hAnsiTheme="minorHAnsi"/>
                <w:sz w:val="22"/>
                <w:szCs w:val="22"/>
                <w:u w:val="none"/>
              </w:rPr>
            </w:pPr>
            <w:hyperlink w:anchor="toc53" w:history="1">
              <w:r w:rsidR="006C4404" w:rsidRPr="00A931A1">
                <w:rPr>
                  <w:rStyle w:val="Hyperlink"/>
                  <w:rFonts w:asciiTheme="minorHAnsi" w:hAnsiTheme="minorHAnsi"/>
                  <w:sz w:val="22"/>
                  <w:szCs w:val="22"/>
                  <w:u w:val="none"/>
                </w:rPr>
                <w:t>Appendix 4 – Common Filing Errors</w:t>
              </w:r>
            </w:hyperlink>
            <w:r w:rsidR="006C4404" w:rsidRPr="00A931A1">
              <w:rPr>
                <w:rStyle w:val="Hyperlink"/>
                <w:rFonts w:asciiTheme="minorHAnsi" w:hAnsiTheme="minorHAnsi"/>
                <w:color w:val="auto"/>
                <w:sz w:val="22"/>
                <w:szCs w:val="22"/>
                <w:u w:val="none"/>
              </w:rPr>
              <w:tab/>
            </w:r>
          </w:p>
        </w:tc>
        <w:tc>
          <w:tcPr>
            <w:tcW w:w="954" w:type="dxa"/>
            <w:vAlign w:val="center"/>
          </w:tcPr>
          <w:p w14:paraId="48A4D5F3" w14:textId="0C428DE4" w:rsidR="006C4404" w:rsidRPr="006C4404" w:rsidRDefault="00DD783E" w:rsidP="006C4404">
            <w:pPr>
              <w:autoSpaceDE w:val="0"/>
              <w:autoSpaceDN w:val="0"/>
              <w:adjustRightInd w:val="0"/>
              <w:spacing w:before="120" w:after="100" w:afterAutospacing="1"/>
              <w:jc w:val="right"/>
              <w:rPr>
                <w:rStyle w:val="Hyperlink"/>
                <w:rFonts w:asciiTheme="minorHAnsi" w:hAnsiTheme="minorHAnsi"/>
                <w:sz w:val="22"/>
                <w:szCs w:val="22"/>
                <w:u w:val="none"/>
              </w:rPr>
            </w:pPr>
            <w:hyperlink w:anchor="toc53" w:history="1">
              <w:r w:rsidR="00FA0CDB">
                <w:rPr>
                  <w:rStyle w:val="Hyperlink"/>
                  <w:rFonts w:asciiTheme="minorHAnsi" w:hAnsiTheme="minorHAnsi"/>
                  <w:sz w:val="22"/>
                  <w:szCs w:val="22"/>
                  <w:u w:val="none"/>
                </w:rPr>
                <w:t>60</w:t>
              </w:r>
            </w:hyperlink>
          </w:p>
        </w:tc>
      </w:tr>
      <w:tr w:rsidR="006C4404" w:rsidRPr="00F62144" w14:paraId="179D0616" w14:textId="77777777" w:rsidTr="00F822D5">
        <w:trPr>
          <w:trHeight w:hRule="exact" w:val="360"/>
        </w:trPr>
        <w:tc>
          <w:tcPr>
            <w:tcW w:w="345" w:type="dxa"/>
          </w:tcPr>
          <w:p w14:paraId="72287CA7" w14:textId="77777777" w:rsidR="006C4404" w:rsidRPr="00F62144" w:rsidRDefault="006C4404" w:rsidP="006C4404">
            <w:pPr>
              <w:tabs>
                <w:tab w:val="right" w:leader="dot" w:pos="7776"/>
              </w:tabs>
              <w:autoSpaceDE w:val="0"/>
              <w:autoSpaceDN w:val="0"/>
              <w:adjustRightInd w:val="0"/>
              <w:spacing w:before="120" w:after="100" w:afterAutospacing="1"/>
              <w:ind w:left="360"/>
              <w:rPr>
                <w:rFonts w:asciiTheme="minorHAnsi" w:hAnsiTheme="minorHAnsi"/>
                <w:sz w:val="22"/>
                <w:szCs w:val="22"/>
              </w:rPr>
            </w:pPr>
          </w:p>
        </w:tc>
        <w:tc>
          <w:tcPr>
            <w:tcW w:w="8511" w:type="dxa"/>
            <w:vAlign w:val="center"/>
          </w:tcPr>
          <w:p w14:paraId="16430F47" w14:textId="77777777" w:rsidR="006C4404" w:rsidRPr="002F3575" w:rsidRDefault="00DD783E" w:rsidP="006C4404">
            <w:pPr>
              <w:numPr>
                <w:ilvl w:val="0"/>
                <w:numId w:val="17"/>
              </w:numPr>
              <w:tabs>
                <w:tab w:val="clear" w:pos="720"/>
                <w:tab w:val="num" w:pos="360"/>
                <w:tab w:val="right" w:leader="dot" w:pos="8172"/>
              </w:tabs>
              <w:autoSpaceDE w:val="0"/>
              <w:autoSpaceDN w:val="0"/>
              <w:adjustRightInd w:val="0"/>
              <w:spacing w:before="120" w:after="100" w:afterAutospacing="1"/>
              <w:ind w:left="360"/>
              <w:rPr>
                <w:rFonts w:asciiTheme="minorHAnsi" w:hAnsiTheme="minorHAnsi"/>
                <w:sz w:val="22"/>
                <w:szCs w:val="22"/>
              </w:rPr>
            </w:pPr>
            <w:hyperlink w:anchor="toc56" w:history="1">
              <w:r w:rsidR="006C4404">
                <w:rPr>
                  <w:rStyle w:val="Hyperlink"/>
                  <w:rFonts w:asciiTheme="minorHAnsi" w:hAnsiTheme="minorHAnsi"/>
                  <w:sz w:val="22"/>
                  <w:szCs w:val="22"/>
                  <w:u w:val="none"/>
                </w:rPr>
                <w:t>Appendix 5</w:t>
              </w:r>
              <w:r w:rsidR="006C4404" w:rsidRPr="002F3575">
                <w:rPr>
                  <w:rStyle w:val="Hyperlink"/>
                  <w:rFonts w:asciiTheme="minorHAnsi" w:hAnsiTheme="minorHAnsi"/>
                  <w:sz w:val="22"/>
                  <w:szCs w:val="22"/>
                  <w:u w:val="none"/>
                </w:rPr>
                <w:t xml:space="preserve"> – Paperwork Reduction Act Notice</w:t>
              </w:r>
            </w:hyperlink>
            <w:r w:rsidR="006C4404" w:rsidRPr="002F3575">
              <w:rPr>
                <w:rFonts w:asciiTheme="minorHAnsi" w:hAnsiTheme="minorHAnsi"/>
                <w:sz w:val="22"/>
                <w:szCs w:val="22"/>
              </w:rPr>
              <w:tab/>
            </w:r>
          </w:p>
        </w:tc>
        <w:tc>
          <w:tcPr>
            <w:tcW w:w="954" w:type="dxa"/>
            <w:vAlign w:val="center"/>
          </w:tcPr>
          <w:p w14:paraId="25ADCCF8" w14:textId="77777777" w:rsidR="006C4404" w:rsidRPr="002F3575" w:rsidRDefault="00FA0CDB" w:rsidP="006C4404">
            <w:pPr>
              <w:autoSpaceDE w:val="0"/>
              <w:autoSpaceDN w:val="0"/>
              <w:adjustRightInd w:val="0"/>
              <w:spacing w:before="120" w:after="100" w:afterAutospacing="1"/>
              <w:jc w:val="right"/>
              <w:rPr>
                <w:rStyle w:val="Hyperlink"/>
                <w:rFonts w:asciiTheme="minorHAnsi" w:hAnsiTheme="minorHAnsi"/>
                <w:sz w:val="22"/>
                <w:szCs w:val="22"/>
                <w:u w:val="none"/>
              </w:rPr>
            </w:pPr>
            <w:r w:rsidRPr="00FA0CDB">
              <w:rPr>
                <w:rStyle w:val="Hyperlink"/>
                <w:rFonts w:asciiTheme="minorHAnsi" w:hAnsiTheme="minorHAnsi"/>
                <w:sz w:val="22"/>
                <w:szCs w:val="22"/>
                <w:u w:val="none"/>
              </w:rPr>
              <w:t>61</w:t>
            </w:r>
            <w:hyperlink w:anchor="toc56" w:history="1"/>
          </w:p>
        </w:tc>
      </w:tr>
    </w:tbl>
    <w:p w14:paraId="7DFF321C"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42325E3F"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21567D51"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0E124B85" w14:textId="77777777" w:rsidR="00F12837" w:rsidRPr="00F62144" w:rsidRDefault="00F12837" w:rsidP="00F12837">
      <w:pPr>
        <w:autoSpaceDE w:val="0"/>
        <w:autoSpaceDN w:val="0"/>
        <w:adjustRightInd w:val="0"/>
        <w:spacing w:before="120"/>
        <w:rPr>
          <w:rFonts w:asciiTheme="minorHAnsi" w:hAnsiTheme="minorHAnsi"/>
          <w:b/>
          <w:bCs/>
        </w:rPr>
        <w:sectPr w:rsidR="00F12837" w:rsidRPr="00F62144" w:rsidSect="00996EBD">
          <w:headerReference w:type="even" r:id="rId48"/>
          <w:headerReference w:type="default" r:id="rId49"/>
          <w:footerReference w:type="even" r:id="rId50"/>
          <w:footerReference w:type="default" r:id="rId51"/>
          <w:headerReference w:type="first" r:id="rId52"/>
          <w:footerReference w:type="first" r:id="rId53"/>
          <w:pgSz w:w="12240" w:h="15840"/>
          <w:pgMar w:top="1440" w:right="1080" w:bottom="1440" w:left="1080" w:header="720" w:footer="720" w:gutter="0"/>
          <w:pgNumType w:start="1"/>
          <w:cols w:space="720"/>
          <w:noEndnote/>
          <w:titlePg/>
          <w:docGrid w:linePitch="326"/>
        </w:sectPr>
      </w:pPr>
    </w:p>
    <w:p w14:paraId="6EE7DE8B"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1" w:name="b15"/>
      <w:bookmarkStart w:id="2" w:name="toc1"/>
      <w:bookmarkEnd w:id="1"/>
      <w:bookmarkEnd w:id="2"/>
      <w:r w:rsidRPr="00F62144">
        <w:rPr>
          <w:rFonts w:asciiTheme="minorHAnsi" w:hAnsiTheme="minorHAnsi"/>
          <w:b/>
          <w:bCs/>
          <w:sz w:val="22"/>
          <w:szCs w:val="22"/>
        </w:rPr>
        <w:lastRenderedPageBreak/>
        <w:t>Introduction</w:t>
      </w:r>
    </w:p>
    <w:p w14:paraId="5051614C"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r:id="rId54" w:history="1">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r:id="rId55" w:history="1">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14:paraId="10B2D17C" w14:textId="27C9DCBC" w:rsidR="00F12837" w:rsidRPr="00F62144" w:rsidRDefault="00F12837" w:rsidP="00F12837">
      <w:pPr>
        <w:autoSpaceDE w:val="0"/>
        <w:autoSpaceDN w:val="0"/>
        <w:adjustRightInd w:val="0"/>
        <w:spacing w:before="120"/>
        <w:rPr>
          <w:rFonts w:asciiTheme="minorHAnsi" w:hAnsiTheme="minorHAnsi"/>
          <w:sz w:val="22"/>
          <w:szCs w:val="22"/>
        </w:rPr>
      </w:pPr>
      <w:bookmarkStart w:id="3" w:name="_Hlk522704101"/>
      <w:r w:rsidRPr="00F62144">
        <w:rPr>
          <w:rFonts w:asciiTheme="minorHAnsi" w:hAnsiTheme="minorHAnsi"/>
          <w:sz w:val="22"/>
          <w:szCs w:val="22"/>
        </w:rPr>
        <w:t>There are two kinds of annual premiums: the Flat-rate Premium, which applies to all plans, and the Variable-rate Premium, which applies only to Single-employer Plans.</w:t>
      </w:r>
      <w:r w:rsidR="00EE3F97">
        <w:rPr>
          <w:rFonts w:asciiTheme="minorHAnsi" w:hAnsiTheme="minorHAnsi"/>
          <w:sz w:val="22"/>
          <w:szCs w:val="22"/>
        </w:rPr>
        <w:t xml:space="preserve"> </w:t>
      </w:r>
      <w:r w:rsidRPr="00F62144">
        <w:rPr>
          <w:rFonts w:asciiTheme="minorHAnsi" w:hAnsiTheme="minorHAnsi"/>
          <w:sz w:val="22"/>
          <w:szCs w:val="22"/>
        </w:rPr>
        <w:t xml:space="preserve">Every covered plan under ERISA section 4021 must make a premium filing each year. The due dates </w:t>
      </w:r>
      <w:r w:rsidR="00B0063A" w:rsidRPr="00F62144">
        <w:rPr>
          <w:rFonts w:asciiTheme="minorHAnsi" w:hAnsiTheme="minorHAnsi"/>
          <w:sz w:val="22"/>
          <w:szCs w:val="22"/>
        </w:rPr>
        <w:t xml:space="preserve">are described in the </w:t>
      </w:r>
      <w:r w:rsidRPr="00F62144">
        <w:rPr>
          <w:rFonts w:asciiTheme="minorHAnsi" w:hAnsiTheme="minorHAnsi"/>
          <w:sz w:val="22"/>
          <w:szCs w:val="22"/>
        </w:rPr>
        <w:t>“</w:t>
      </w:r>
      <w:r w:rsidRPr="00EE3F97">
        <w:rPr>
          <w:rStyle w:val="Hyperlink"/>
          <w:rFonts w:ascii="Calibri" w:hAnsi="Calibri"/>
          <w:sz w:val="22"/>
        </w:rPr>
        <w:t>When to File</w:t>
      </w:r>
      <w:r w:rsidRPr="00F62144">
        <w:rPr>
          <w:rFonts w:asciiTheme="minorHAnsi" w:hAnsiTheme="minorHAnsi"/>
          <w:sz w:val="22"/>
          <w:szCs w:val="22"/>
        </w:rPr>
        <w:t>” section.</w:t>
      </w:r>
    </w:p>
    <w:bookmarkEnd w:id="3"/>
    <w:p w14:paraId="371B445C"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Electronic filing is mandatory for all plans. My Plan Administration Account (My PAA) is a secure Web-based application that enables pension plan professionals to electronically submit premium filings to PBGC in accordance with PBGC’s regulations. Electronic filings may be prepared using My PAA’s data entry screens or with compatible private-sector software. See “</w:t>
      </w:r>
      <w:hyperlink w:anchor="b16"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b17" w:history="1">
        <w:r w:rsidRPr="00F62144">
          <w:rPr>
            <w:rStyle w:val="Hyperlink"/>
            <w:rFonts w:asciiTheme="minorHAnsi" w:hAnsiTheme="minorHAnsi"/>
            <w:sz w:val="22"/>
            <w:szCs w:val="22"/>
          </w:rPr>
          <w:t>Appendix 3</w:t>
        </w:r>
      </w:hyperlink>
      <w:r w:rsidRPr="00F62144">
        <w:rPr>
          <w:rFonts w:asciiTheme="minorHAnsi" w:hAnsiTheme="minorHAnsi"/>
          <w:sz w:val="22"/>
          <w:szCs w:val="22"/>
        </w:rPr>
        <w:t>.</w:t>
      </w:r>
    </w:p>
    <w:p w14:paraId="2C1A4DBF" w14:textId="77777777" w:rsidR="00831DEB" w:rsidRDefault="00F12837" w:rsidP="00A2168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AE348E">
        <w:rPr>
          <w:rFonts w:asciiTheme="minorHAnsi" w:hAnsiTheme="minorHAnsi"/>
          <w:b/>
          <w:sz w:val="22"/>
          <w:szCs w:val="22"/>
        </w:rPr>
        <w:t>2018</w:t>
      </w:r>
      <w:r w:rsidRPr="00F62144">
        <w:rPr>
          <w:rFonts w:asciiTheme="minorHAnsi" w:hAnsiTheme="minorHAnsi"/>
          <w:sz w:val="22"/>
          <w:szCs w:val="22"/>
        </w:rPr>
        <w:t>, including instructions for each data element that must be reported.</w:t>
      </w:r>
      <w:r w:rsidR="005856AE" w:rsidRPr="00F62144">
        <w:rPr>
          <w:rFonts w:asciiTheme="minorHAnsi" w:hAnsiTheme="minorHAnsi"/>
          <w:sz w:val="22"/>
          <w:szCs w:val="22"/>
        </w:rPr>
        <w:t xml:space="preserve"> </w:t>
      </w:r>
      <w:r w:rsidR="00CC358F" w:rsidRPr="00F62144">
        <w:rPr>
          <w:rFonts w:asciiTheme="minorHAnsi" w:hAnsiTheme="minorHAnsi"/>
          <w:sz w:val="22"/>
          <w:szCs w:val="22"/>
        </w:rPr>
        <w:t xml:space="preserve"> </w:t>
      </w:r>
    </w:p>
    <w:p w14:paraId="08256771" w14:textId="77777777" w:rsidR="00831DEB" w:rsidRPr="00831DEB" w:rsidRDefault="00831DEB" w:rsidP="00A2168C">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2018</w:t>
      </w:r>
    </w:p>
    <w:p w14:paraId="1DFDFF5E" w14:textId="77777777" w:rsidR="00A2168C" w:rsidRDefault="00CC358F" w:rsidP="00A2168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00301F8F" w:rsidRPr="00281933">
        <w:rPr>
          <w:rFonts w:asciiTheme="minorHAnsi" w:hAnsiTheme="minorHAnsi"/>
          <w:sz w:val="22"/>
          <w:szCs w:val="22"/>
        </w:rPr>
        <w:t>from the</w:t>
      </w:r>
      <w:r w:rsidR="00E16DAA" w:rsidRPr="00281933">
        <w:rPr>
          <w:rFonts w:asciiTheme="minorHAnsi" w:hAnsiTheme="minorHAnsi"/>
          <w:sz w:val="22"/>
          <w:szCs w:val="22"/>
        </w:rPr>
        <w:t xml:space="preserve"> </w:t>
      </w:r>
      <w:r w:rsidR="00281933" w:rsidRPr="00281933">
        <w:rPr>
          <w:rFonts w:asciiTheme="minorHAnsi" w:hAnsiTheme="minorHAnsi"/>
          <w:sz w:val="22"/>
          <w:szCs w:val="22"/>
        </w:rPr>
        <w:t>“</w:t>
      </w:r>
      <w:hyperlink r:id="rId56" w:history="1">
        <w:r w:rsidR="00281933" w:rsidRPr="00281933">
          <w:rPr>
            <w:rStyle w:val="Hyperlink"/>
            <w:rFonts w:asciiTheme="minorHAnsi" w:hAnsiTheme="minorHAnsi"/>
            <w:sz w:val="22"/>
            <w:szCs w:val="22"/>
          </w:rPr>
          <w:t>Premium Payment Instructions and Addresses</w:t>
        </w:r>
      </w:hyperlink>
      <w:r w:rsidR="00281933" w:rsidRPr="00281933">
        <w:rPr>
          <w:rFonts w:asciiTheme="minorHAnsi" w:hAnsiTheme="minorHAnsi"/>
          <w:sz w:val="22"/>
          <w:szCs w:val="22"/>
        </w:rPr>
        <w:t xml:space="preserve">” </w:t>
      </w:r>
      <w:r w:rsidR="00153AA5">
        <w:rPr>
          <w:rFonts w:asciiTheme="minorHAnsi" w:hAnsiTheme="minorHAnsi"/>
          <w:sz w:val="22"/>
          <w:szCs w:val="22"/>
        </w:rPr>
        <w:t>webpage</w:t>
      </w:r>
      <w:r w:rsidR="00A2168C">
        <w:rPr>
          <w:rFonts w:asciiTheme="minorHAnsi" w:hAnsiTheme="minorHAnsi"/>
          <w:sz w:val="22"/>
          <w:szCs w:val="22"/>
        </w:rPr>
        <w:t>)</w:t>
      </w:r>
      <w:r w:rsidR="00E721C2">
        <w:rPr>
          <w:rFonts w:asciiTheme="minorHAnsi" w:hAnsiTheme="minorHAnsi"/>
          <w:sz w:val="22"/>
          <w:szCs w:val="22"/>
        </w:rPr>
        <w:t>.</w:t>
      </w:r>
      <w:r w:rsidR="00831DEB">
        <w:rPr>
          <w:rFonts w:asciiTheme="minorHAnsi" w:hAnsiTheme="minorHAnsi"/>
          <w:sz w:val="22"/>
          <w:szCs w:val="22"/>
        </w:rPr>
        <w:t xml:space="preserve">  </w:t>
      </w:r>
      <w:r w:rsidR="00F12837" w:rsidRPr="00F62144">
        <w:rPr>
          <w:rFonts w:asciiTheme="minorHAnsi" w:hAnsiTheme="minorHAnsi"/>
          <w:sz w:val="22"/>
          <w:szCs w:val="22"/>
        </w:rPr>
        <w:t xml:space="preserve">However, because contact information and information </w:t>
      </w:r>
      <w:r w:rsidR="00F12837" w:rsidRPr="00281933">
        <w:rPr>
          <w:rFonts w:asciiTheme="minorHAnsi" w:hAnsiTheme="minorHAnsi"/>
          <w:sz w:val="22"/>
          <w:szCs w:val="22"/>
        </w:rPr>
        <w:t>about electronic funds transfers change periodically, the most recent information should be used in</w:t>
      </w:r>
      <w:r w:rsidR="004460D0" w:rsidRPr="00281933">
        <w:rPr>
          <w:rFonts w:asciiTheme="minorHAnsi" w:hAnsiTheme="minorHAnsi"/>
          <w:sz w:val="22"/>
          <w:szCs w:val="22"/>
        </w:rPr>
        <w:t>stead</w:t>
      </w:r>
      <w:r w:rsidR="00F12837" w:rsidRPr="00281933">
        <w:rPr>
          <w:rFonts w:asciiTheme="minorHAnsi" w:hAnsiTheme="minorHAnsi"/>
          <w:sz w:val="22"/>
          <w:szCs w:val="22"/>
        </w:rPr>
        <w:t xml:space="preserve"> of the information included in an instructions booklet for a prior plan year.</w:t>
      </w:r>
      <w:r w:rsidR="00A2168C" w:rsidRPr="00281933">
        <w:rPr>
          <w:rFonts w:asciiTheme="minorHAnsi" w:hAnsiTheme="minorHAnsi"/>
          <w:sz w:val="22"/>
          <w:szCs w:val="22"/>
        </w:rPr>
        <w:t xml:space="preserve"> </w:t>
      </w:r>
    </w:p>
    <w:p w14:paraId="343A7E29" w14:textId="77777777" w:rsidR="00F12837" w:rsidRPr="00F62144" w:rsidRDefault="00F12837" w:rsidP="00F1283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14:paraId="4306A989" w14:textId="7CDBAEC8"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Appendix 1 provides definitions for terminology used this document. In general, the defined terms are capitalized to signal the reader to refer to Appendix 1 for more information.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p>
    <w:p w14:paraId="71A2C0E9" w14:textId="77777777" w:rsidR="008C130E" w:rsidRDefault="008C130E">
      <w:pPr>
        <w:rPr>
          <w:rFonts w:asciiTheme="minorHAnsi" w:hAnsiTheme="minorHAnsi"/>
          <w:b/>
          <w:sz w:val="22"/>
          <w:szCs w:val="22"/>
        </w:rPr>
      </w:pPr>
    </w:p>
    <w:p w14:paraId="0BCFAA2D" w14:textId="77777777" w:rsidR="003E0F67" w:rsidRPr="00F62144" w:rsidRDefault="003E0F67" w:rsidP="003E0F67">
      <w:pPr>
        <w:autoSpaceDE w:val="0"/>
        <w:autoSpaceDN w:val="0"/>
        <w:adjustRightInd w:val="0"/>
        <w:spacing w:before="120"/>
        <w:rPr>
          <w:rFonts w:asciiTheme="minorHAnsi" w:hAnsiTheme="minorHAnsi"/>
          <w:sz w:val="22"/>
          <w:szCs w:val="22"/>
        </w:rPr>
      </w:pPr>
      <w:bookmarkStart w:id="4" w:name="_Hlk522705642"/>
      <w:r w:rsidRPr="00F62144">
        <w:rPr>
          <w:rFonts w:asciiTheme="minorHAnsi" w:hAnsiTheme="minorHAnsi"/>
          <w:b/>
          <w:sz w:val="22"/>
          <w:szCs w:val="22"/>
        </w:rPr>
        <w:t xml:space="preserve">What’s New </w:t>
      </w:r>
    </w:p>
    <w:p w14:paraId="38C039D2" w14:textId="77777777" w:rsidR="00061245" w:rsidRDefault="003E0F67" w:rsidP="00996EB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AE348E">
        <w:rPr>
          <w:rFonts w:asciiTheme="minorHAnsi" w:hAnsiTheme="minorHAnsi"/>
          <w:sz w:val="22"/>
          <w:szCs w:val="22"/>
        </w:rPr>
        <w:t>2018</w:t>
      </w:r>
      <w:r w:rsidR="0066418C" w:rsidRPr="00F62144">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AE348E">
        <w:rPr>
          <w:rFonts w:asciiTheme="minorHAnsi" w:hAnsiTheme="minorHAnsi"/>
          <w:sz w:val="22"/>
          <w:szCs w:val="22"/>
        </w:rPr>
        <w:t>2017</w:t>
      </w:r>
      <w:r w:rsidRPr="00F62144">
        <w:rPr>
          <w:rFonts w:asciiTheme="minorHAnsi" w:hAnsiTheme="minorHAnsi"/>
          <w:sz w:val="22"/>
          <w:szCs w:val="22"/>
        </w:rPr>
        <w:t xml:space="preserve">. </w:t>
      </w:r>
      <w:r w:rsidR="00996EBD">
        <w:rPr>
          <w:rFonts w:asciiTheme="minorHAnsi" w:hAnsiTheme="minorHAnsi"/>
          <w:sz w:val="22"/>
          <w:szCs w:val="22"/>
        </w:rPr>
        <w:t xml:space="preserve"> </w:t>
      </w:r>
      <w:r w:rsidR="00061245">
        <w:rPr>
          <w:rFonts w:asciiTheme="minorHAnsi" w:hAnsiTheme="minorHAnsi"/>
          <w:sz w:val="22"/>
          <w:szCs w:val="22"/>
        </w:rPr>
        <w:t>Here are the key changes to note for 201</w:t>
      </w:r>
      <w:r w:rsidR="00AE348E">
        <w:rPr>
          <w:rFonts w:asciiTheme="minorHAnsi" w:hAnsiTheme="minorHAnsi"/>
          <w:sz w:val="22"/>
          <w:szCs w:val="22"/>
        </w:rPr>
        <w:t>8</w:t>
      </w:r>
      <w:r w:rsidR="00061245">
        <w:rPr>
          <w:rFonts w:asciiTheme="minorHAnsi" w:hAnsiTheme="minorHAnsi"/>
          <w:sz w:val="22"/>
          <w:szCs w:val="22"/>
        </w:rPr>
        <w:t>:</w:t>
      </w:r>
    </w:p>
    <w:p w14:paraId="2097BEAD" w14:textId="0530B21B" w:rsidR="00B91479" w:rsidRDefault="00B91479" w:rsidP="000A23AD">
      <w:pPr>
        <w:numPr>
          <w:ilvl w:val="0"/>
          <w:numId w:val="13"/>
        </w:numPr>
        <w:tabs>
          <w:tab w:val="clear" w:pos="720"/>
          <w:tab w:val="num" w:pos="360"/>
          <w:tab w:val="num" w:pos="630"/>
        </w:tabs>
        <w:autoSpaceDE w:val="0"/>
        <w:autoSpaceDN w:val="0"/>
        <w:adjustRightInd w:val="0"/>
        <w:spacing w:before="120"/>
        <w:ind w:left="360"/>
        <w:rPr>
          <w:rFonts w:asciiTheme="minorHAnsi" w:hAnsiTheme="minorHAnsi"/>
          <w:bCs/>
          <w:sz w:val="22"/>
          <w:szCs w:val="22"/>
        </w:rPr>
      </w:pPr>
      <w:bookmarkStart w:id="5" w:name="_Hlk522705544"/>
      <w:bookmarkEnd w:id="4"/>
      <w:r>
        <w:rPr>
          <w:rFonts w:asciiTheme="minorHAnsi" w:hAnsiTheme="minorHAnsi"/>
          <w:sz w:val="22"/>
          <w:szCs w:val="22"/>
        </w:rPr>
        <w:t>S</w:t>
      </w:r>
      <w:r w:rsidR="003D6871" w:rsidRPr="00B91479">
        <w:rPr>
          <w:rFonts w:asciiTheme="minorHAnsi" w:hAnsiTheme="minorHAnsi"/>
          <w:sz w:val="22"/>
          <w:szCs w:val="22"/>
        </w:rPr>
        <w:t xml:space="preserve">ingle-employer </w:t>
      </w:r>
      <w:r w:rsidR="003E0F67" w:rsidRPr="00B91479">
        <w:rPr>
          <w:rFonts w:asciiTheme="minorHAnsi" w:hAnsiTheme="minorHAnsi"/>
          <w:bCs/>
          <w:sz w:val="22"/>
          <w:szCs w:val="22"/>
        </w:rPr>
        <w:t>premium</w:t>
      </w:r>
      <w:r w:rsidR="003E0F67" w:rsidRPr="00B91479">
        <w:rPr>
          <w:rFonts w:asciiTheme="minorHAnsi" w:hAnsiTheme="minorHAnsi"/>
          <w:sz w:val="22"/>
          <w:szCs w:val="22"/>
        </w:rPr>
        <w:t xml:space="preserve"> rates</w:t>
      </w:r>
      <w:r w:rsidR="00996EBD" w:rsidRPr="00B91479">
        <w:rPr>
          <w:rFonts w:asciiTheme="minorHAnsi" w:hAnsiTheme="minorHAnsi"/>
          <w:sz w:val="22"/>
          <w:szCs w:val="22"/>
        </w:rPr>
        <w:t>:</w:t>
      </w:r>
      <w:r w:rsidR="002125D1" w:rsidRPr="00B91479">
        <w:rPr>
          <w:rFonts w:asciiTheme="minorHAnsi" w:hAnsiTheme="minorHAnsi"/>
          <w:sz w:val="22"/>
          <w:szCs w:val="22"/>
        </w:rPr>
        <w:t xml:space="preserve"> </w:t>
      </w:r>
      <w:r w:rsidR="00061245" w:rsidRPr="00B91479">
        <w:rPr>
          <w:rFonts w:asciiTheme="minorHAnsi" w:hAnsiTheme="minorHAnsi"/>
          <w:bCs/>
          <w:sz w:val="22"/>
          <w:szCs w:val="22"/>
        </w:rPr>
        <w:t>The flat-rate premium is $74 per-participant</w:t>
      </w:r>
      <w:r w:rsidR="008D5843" w:rsidRPr="00B91479">
        <w:rPr>
          <w:rFonts w:asciiTheme="minorHAnsi" w:hAnsiTheme="minorHAnsi"/>
          <w:bCs/>
          <w:sz w:val="22"/>
          <w:szCs w:val="22"/>
        </w:rPr>
        <w:t>,</w:t>
      </w:r>
      <w:r w:rsidR="00061245" w:rsidRPr="00B91479">
        <w:rPr>
          <w:rFonts w:asciiTheme="minorHAnsi" w:hAnsiTheme="minorHAnsi"/>
          <w:bCs/>
          <w:sz w:val="22"/>
          <w:szCs w:val="22"/>
        </w:rPr>
        <w:t xml:space="preserve"> up from $69; the variable-rate premium is $</w:t>
      </w:r>
      <w:r w:rsidR="00364E78" w:rsidRPr="00B91479">
        <w:rPr>
          <w:rFonts w:asciiTheme="minorHAnsi" w:hAnsiTheme="minorHAnsi"/>
          <w:bCs/>
          <w:sz w:val="22"/>
          <w:szCs w:val="22"/>
        </w:rPr>
        <w:t>38</w:t>
      </w:r>
      <w:r w:rsidR="00061245" w:rsidRPr="00B91479">
        <w:rPr>
          <w:rFonts w:asciiTheme="minorHAnsi" w:hAnsiTheme="minorHAnsi"/>
          <w:bCs/>
          <w:color w:val="00B050"/>
          <w:sz w:val="22"/>
          <w:szCs w:val="22"/>
        </w:rPr>
        <w:t xml:space="preserve"> </w:t>
      </w:r>
      <w:r w:rsidR="00061245" w:rsidRPr="00B91479">
        <w:rPr>
          <w:rFonts w:asciiTheme="minorHAnsi" w:hAnsiTheme="minorHAnsi"/>
          <w:bCs/>
          <w:sz w:val="22"/>
          <w:szCs w:val="22"/>
        </w:rPr>
        <w:t>per $1,000 of unfunded vested benefits</w:t>
      </w:r>
      <w:r w:rsidR="008D5843" w:rsidRPr="00B91479">
        <w:rPr>
          <w:rFonts w:asciiTheme="minorHAnsi" w:hAnsiTheme="minorHAnsi"/>
          <w:bCs/>
          <w:sz w:val="22"/>
          <w:szCs w:val="22"/>
        </w:rPr>
        <w:t xml:space="preserve"> capped at $</w:t>
      </w:r>
      <w:r w:rsidR="003D6871" w:rsidRPr="00B91479">
        <w:rPr>
          <w:rFonts w:asciiTheme="minorHAnsi" w:hAnsiTheme="minorHAnsi"/>
          <w:bCs/>
          <w:sz w:val="22"/>
          <w:szCs w:val="22"/>
        </w:rPr>
        <w:t>523</w:t>
      </w:r>
      <w:r w:rsidR="008D5843" w:rsidRPr="00B91479">
        <w:rPr>
          <w:rFonts w:asciiTheme="minorHAnsi" w:hAnsiTheme="minorHAnsi"/>
          <w:bCs/>
          <w:sz w:val="22"/>
          <w:szCs w:val="22"/>
        </w:rPr>
        <w:t xml:space="preserve"> times the number of participants</w:t>
      </w:r>
      <w:r w:rsidR="00061245" w:rsidRPr="00B91479">
        <w:rPr>
          <w:rFonts w:asciiTheme="minorHAnsi" w:hAnsiTheme="minorHAnsi"/>
          <w:bCs/>
          <w:sz w:val="22"/>
          <w:szCs w:val="22"/>
        </w:rPr>
        <w:t>, up from $34</w:t>
      </w:r>
      <w:r w:rsidR="008D5843" w:rsidRPr="00B91479">
        <w:rPr>
          <w:rFonts w:asciiTheme="minorHAnsi" w:hAnsiTheme="minorHAnsi"/>
          <w:bCs/>
          <w:sz w:val="22"/>
          <w:szCs w:val="22"/>
        </w:rPr>
        <w:t xml:space="preserve"> capped at $51</w:t>
      </w:r>
      <w:r w:rsidR="00061245" w:rsidRPr="00B91479">
        <w:rPr>
          <w:rFonts w:asciiTheme="minorHAnsi" w:hAnsiTheme="minorHAnsi"/>
          <w:bCs/>
          <w:sz w:val="22"/>
          <w:szCs w:val="22"/>
        </w:rPr>
        <w:t>7 times the number of participants.</w:t>
      </w:r>
    </w:p>
    <w:p w14:paraId="3D2D26F1" w14:textId="14215F50" w:rsidR="008D5843" w:rsidRPr="00B91479" w:rsidRDefault="003D6871" w:rsidP="000A23AD">
      <w:pPr>
        <w:numPr>
          <w:ilvl w:val="0"/>
          <w:numId w:val="13"/>
        </w:numPr>
        <w:tabs>
          <w:tab w:val="clear" w:pos="720"/>
          <w:tab w:val="num" w:pos="360"/>
          <w:tab w:val="num" w:pos="630"/>
        </w:tabs>
        <w:autoSpaceDE w:val="0"/>
        <w:autoSpaceDN w:val="0"/>
        <w:adjustRightInd w:val="0"/>
        <w:spacing w:before="120"/>
        <w:ind w:left="360"/>
        <w:rPr>
          <w:rFonts w:asciiTheme="minorHAnsi" w:hAnsiTheme="minorHAnsi"/>
          <w:bCs/>
          <w:sz w:val="22"/>
          <w:szCs w:val="22"/>
        </w:rPr>
      </w:pPr>
      <w:r w:rsidRPr="00B91479">
        <w:rPr>
          <w:rFonts w:asciiTheme="minorHAnsi" w:hAnsiTheme="minorHAnsi"/>
          <w:bCs/>
          <w:sz w:val="22"/>
          <w:szCs w:val="22"/>
        </w:rPr>
        <w:t xml:space="preserve">The flat-rate premium for </w:t>
      </w:r>
      <w:r w:rsidR="008D5843" w:rsidRPr="00B91479">
        <w:rPr>
          <w:rFonts w:asciiTheme="minorHAnsi" w:hAnsiTheme="minorHAnsi"/>
          <w:sz w:val="22"/>
          <w:szCs w:val="22"/>
        </w:rPr>
        <w:t>Multiemployer</w:t>
      </w:r>
      <w:r w:rsidR="008D5843" w:rsidRPr="00B91479">
        <w:rPr>
          <w:rFonts w:asciiTheme="minorHAnsi" w:hAnsiTheme="minorHAnsi"/>
          <w:bCs/>
          <w:sz w:val="22"/>
          <w:szCs w:val="22"/>
        </w:rPr>
        <w:t xml:space="preserve"> plans </w:t>
      </w:r>
      <w:r w:rsidRPr="00B91479">
        <w:rPr>
          <w:rFonts w:asciiTheme="minorHAnsi" w:hAnsiTheme="minorHAnsi"/>
          <w:bCs/>
          <w:sz w:val="22"/>
          <w:szCs w:val="22"/>
        </w:rPr>
        <w:t xml:space="preserve">remains at $28 </w:t>
      </w:r>
      <w:r w:rsidR="008D5843" w:rsidRPr="00B91479">
        <w:rPr>
          <w:rFonts w:asciiTheme="minorHAnsi" w:hAnsiTheme="minorHAnsi"/>
          <w:bCs/>
          <w:sz w:val="22"/>
          <w:szCs w:val="22"/>
        </w:rPr>
        <w:t>per-participant.</w:t>
      </w:r>
    </w:p>
    <w:bookmarkEnd w:id="5"/>
    <w:p w14:paraId="083BD07C" w14:textId="77777777" w:rsidR="00617A50" w:rsidRDefault="008D5843" w:rsidP="00CF5E57">
      <w:pPr>
        <w:numPr>
          <w:ilvl w:val="0"/>
          <w:numId w:val="13"/>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We e</w:t>
      </w:r>
      <w:r w:rsidR="00CF5E57">
        <w:rPr>
          <w:rFonts w:asciiTheme="minorHAnsi" w:hAnsiTheme="minorHAnsi"/>
          <w:bCs/>
          <w:sz w:val="22"/>
          <w:szCs w:val="22"/>
        </w:rPr>
        <w:t>xpanded the examples in the section about how to de</w:t>
      </w:r>
      <w:r w:rsidR="005334BA">
        <w:rPr>
          <w:rFonts w:asciiTheme="minorHAnsi" w:hAnsiTheme="minorHAnsi"/>
          <w:bCs/>
          <w:sz w:val="22"/>
          <w:szCs w:val="22"/>
        </w:rPr>
        <w:t>termin</w:t>
      </w:r>
      <w:r w:rsidR="00CF5E57">
        <w:rPr>
          <w:rFonts w:asciiTheme="minorHAnsi" w:hAnsiTheme="minorHAnsi"/>
          <w:bCs/>
          <w:sz w:val="22"/>
          <w:szCs w:val="22"/>
        </w:rPr>
        <w:t>e</w:t>
      </w:r>
      <w:r w:rsidR="005334BA">
        <w:rPr>
          <w:rFonts w:asciiTheme="minorHAnsi" w:hAnsiTheme="minorHAnsi"/>
          <w:bCs/>
          <w:sz w:val="22"/>
          <w:szCs w:val="22"/>
        </w:rPr>
        <w:t xml:space="preserve"> premiums </w:t>
      </w:r>
      <w:r w:rsidR="00FE6F1D">
        <w:rPr>
          <w:rFonts w:asciiTheme="minorHAnsi" w:hAnsiTheme="minorHAnsi"/>
          <w:bCs/>
          <w:sz w:val="22"/>
          <w:szCs w:val="22"/>
        </w:rPr>
        <w:t>in a year when a</w:t>
      </w:r>
      <w:r w:rsidR="005334BA">
        <w:rPr>
          <w:rFonts w:asciiTheme="minorHAnsi" w:hAnsiTheme="minorHAnsi"/>
          <w:bCs/>
          <w:sz w:val="22"/>
          <w:szCs w:val="22"/>
        </w:rPr>
        <w:t xml:space="preserve"> plan is involved with a S</w:t>
      </w:r>
      <w:r w:rsidR="00617A50">
        <w:rPr>
          <w:rFonts w:asciiTheme="minorHAnsi" w:hAnsiTheme="minorHAnsi"/>
          <w:bCs/>
          <w:sz w:val="22"/>
          <w:szCs w:val="22"/>
        </w:rPr>
        <w:t xml:space="preserve">pinoff, Merger or Consolidation.  </w:t>
      </w:r>
    </w:p>
    <w:p w14:paraId="52308D21" w14:textId="380145B5" w:rsidR="002F5DD1" w:rsidRDefault="002F5DD1" w:rsidP="00CF5E57">
      <w:pPr>
        <w:numPr>
          <w:ilvl w:val="0"/>
          <w:numId w:val="13"/>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We expanded the section about short plan years to provide additional information for </w:t>
      </w:r>
      <w:r w:rsidR="003B1FC1">
        <w:rPr>
          <w:rFonts w:asciiTheme="minorHAnsi" w:hAnsiTheme="minorHAnsi"/>
          <w:bCs/>
          <w:sz w:val="22"/>
          <w:szCs w:val="22"/>
        </w:rPr>
        <w:t xml:space="preserve">plans expecting to </w:t>
      </w:r>
      <w:r>
        <w:rPr>
          <w:rFonts w:asciiTheme="minorHAnsi" w:hAnsiTheme="minorHAnsi"/>
          <w:bCs/>
          <w:sz w:val="22"/>
          <w:szCs w:val="22"/>
        </w:rPr>
        <w:t xml:space="preserve">distribute assets during the 2018 plan year pursuant to a standard termination. </w:t>
      </w:r>
    </w:p>
    <w:p w14:paraId="55111031" w14:textId="77777777" w:rsidR="002125D1" w:rsidRDefault="006865A8" w:rsidP="006865A8">
      <w:pPr>
        <w:numPr>
          <w:ilvl w:val="0"/>
          <w:numId w:val="13"/>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We ad</w:t>
      </w:r>
      <w:r w:rsidRPr="008D5843">
        <w:rPr>
          <w:rFonts w:asciiTheme="minorHAnsi" w:hAnsiTheme="minorHAnsi"/>
          <w:bCs/>
          <w:sz w:val="22"/>
          <w:szCs w:val="22"/>
        </w:rPr>
        <w:t>ded a list of common filing errors (see next page)</w:t>
      </w:r>
      <w:r w:rsidR="00B94A95">
        <w:rPr>
          <w:rFonts w:asciiTheme="minorHAnsi" w:hAnsiTheme="minorHAnsi"/>
          <w:bCs/>
          <w:sz w:val="22"/>
          <w:szCs w:val="22"/>
        </w:rPr>
        <w:t xml:space="preserve"> and provided details about those errors in a new Appendix</w:t>
      </w:r>
      <w:r>
        <w:rPr>
          <w:rFonts w:asciiTheme="minorHAnsi" w:hAnsiTheme="minorHAnsi"/>
          <w:bCs/>
          <w:sz w:val="22"/>
          <w:szCs w:val="22"/>
        </w:rPr>
        <w:t>.</w:t>
      </w:r>
    </w:p>
    <w:p w14:paraId="79B9CBDB" w14:textId="2231EFA9" w:rsidR="0013683C" w:rsidRDefault="002125D1" w:rsidP="000A23AD">
      <w:pPr>
        <w:numPr>
          <w:ilvl w:val="0"/>
          <w:numId w:val="13"/>
        </w:numPr>
        <w:tabs>
          <w:tab w:val="clear" w:pos="720"/>
          <w:tab w:val="num" w:pos="360"/>
        </w:tabs>
        <w:autoSpaceDE w:val="0"/>
        <w:autoSpaceDN w:val="0"/>
        <w:adjustRightInd w:val="0"/>
        <w:spacing w:before="120"/>
        <w:ind w:left="360"/>
        <w:rPr>
          <w:rFonts w:asciiTheme="minorHAnsi" w:hAnsiTheme="minorHAnsi"/>
          <w:bCs/>
          <w:sz w:val="22"/>
          <w:szCs w:val="22"/>
          <w:highlight w:val="yellow"/>
        </w:rPr>
      </w:pPr>
      <w:r w:rsidRPr="00B91479">
        <w:rPr>
          <w:rFonts w:asciiTheme="minorHAnsi" w:hAnsiTheme="minorHAnsi"/>
          <w:bCs/>
          <w:sz w:val="22"/>
          <w:szCs w:val="22"/>
          <w:highlight w:val="yellow"/>
        </w:rPr>
        <w:t>We expanded the description of the variable-rate premium exemption for plans closing out during the year to clarify when the exemption applies.</w:t>
      </w:r>
    </w:p>
    <w:p w14:paraId="67CE9435" w14:textId="77777777" w:rsidR="006865A8" w:rsidRDefault="006865A8" w:rsidP="006865A8">
      <w:pPr>
        <w:autoSpaceDE w:val="0"/>
        <w:autoSpaceDN w:val="0"/>
        <w:adjustRightInd w:val="0"/>
        <w:spacing w:before="120"/>
        <w:ind w:left="360"/>
        <w:rPr>
          <w:rFonts w:asciiTheme="minorHAnsi" w:hAnsiTheme="minorHAnsi"/>
          <w:bCs/>
          <w:sz w:val="22"/>
          <w:szCs w:val="22"/>
        </w:rPr>
      </w:pPr>
    </w:p>
    <w:p w14:paraId="7B1894A2" w14:textId="77777777" w:rsidR="00547D7A" w:rsidRDefault="00547D7A" w:rsidP="00FE6F1D">
      <w:pPr>
        <w:autoSpaceDE w:val="0"/>
        <w:autoSpaceDN w:val="0"/>
        <w:adjustRightInd w:val="0"/>
        <w:spacing w:before="120"/>
        <w:ind w:left="-90" w:firstLine="90"/>
        <w:rPr>
          <w:rFonts w:asciiTheme="minorHAnsi" w:hAnsiTheme="minorHAnsi"/>
          <w:bCs/>
          <w:i/>
          <w:color w:val="FF0000"/>
          <w:sz w:val="22"/>
          <w:szCs w:val="22"/>
        </w:rPr>
      </w:pPr>
    </w:p>
    <w:tbl>
      <w:tblPr>
        <w:tblStyle w:val="TableGrid"/>
        <w:tblW w:w="0" w:type="auto"/>
        <w:jc w:val="center"/>
        <w:tblLook w:val="04A0" w:firstRow="1" w:lastRow="0" w:firstColumn="1" w:lastColumn="0" w:noHBand="0" w:noVBand="1"/>
      </w:tblPr>
      <w:tblGrid>
        <w:gridCol w:w="8905"/>
      </w:tblGrid>
      <w:tr w:rsidR="00062917" w14:paraId="126A52DF" w14:textId="77777777" w:rsidTr="00061245">
        <w:trPr>
          <w:jc w:val="center"/>
        </w:trPr>
        <w:tc>
          <w:tcPr>
            <w:tcW w:w="8905" w:type="dxa"/>
          </w:tcPr>
          <w:p w14:paraId="790B13D1" w14:textId="77777777" w:rsidR="00062917" w:rsidRPr="006E2BCF" w:rsidRDefault="0072587E" w:rsidP="00061245">
            <w:pPr>
              <w:jc w:val="center"/>
              <w:rPr>
                <w:rFonts w:asciiTheme="minorHAnsi" w:hAnsiTheme="minorHAnsi"/>
                <w:b/>
                <w:bCs/>
                <w:sz w:val="28"/>
                <w:szCs w:val="22"/>
              </w:rPr>
            </w:pPr>
            <w:bookmarkStart w:id="6" w:name="_Hlk522709868"/>
            <w:r>
              <w:rPr>
                <w:rFonts w:asciiTheme="minorHAnsi" w:hAnsiTheme="minorHAnsi"/>
                <w:b/>
                <w:bCs/>
                <w:sz w:val="28"/>
                <w:szCs w:val="22"/>
              </w:rPr>
              <w:t>C</w:t>
            </w:r>
            <w:r w:rsidR="00062917">
              <w:rPr>
                <w:rFonts w:asciiTheme="minorHAnsi" w:hAnsiTheme="minorHAnsi"/>
                <w:b/>
                <w:bCs/>
                <w:sz w:val="28"/>
                <w:szCs w:val="22"/>
              </w:rPr>
              <w:t>hanges to payment instructions</w:t>
            </w:r>
          </w:p>
          <w:p w14:paraId="526C7962" w14:textId="0D5505F9" w:rsidR="00654AF2" w:rsidRPr="004347E5" w:rsidRDefault="00654AF2" w:rsidP="00654AF2">
            <w:pPr>
              <w:autoSpaceDE w:val="0"/>
              <w:autoSpaceDN w:val="0"/>
              <w:spacing w:before="120"/>
              <w:ind w:hanging="21"/>
              <w:rPr>
                <w:rFonts w:asciiTheme="minorHAnsi" w:hAnsiTheme="minorHAnsi" w:cstheme="minorHAnsi"/>
                <w:sz w:val="22"/>
                <w:szCs w:val="22"/>
                <w:highlight w:val="yellow"/>
                <w:lang w:eastAsia="en-US"/>
              </w:rPr>
            </w:pPr>
            <w:r w:rsidRPr="004347E5">
              <w:rPr>
                <w:rFonts w:asciiTheme="minorHAnsi" w:hAnsiTheme="minorHAnsi" w:cstheme="minorHAnsi"/>
                <w:sz w:val="22"/>
                <w:szCs w:val="22"/>
                <w:highlight w:val="yellow"/>
              </w:rPr>
              <w:t>Instructions about where and how to send premium payments (both electronically and by U.S. mail) were recently changed.   Please refer to our “</w:t>
            </w:r>
            <w:hyperlink r:id="rId57" w:history="1">
              <w:r w:rsidRPr="004347E5">
                <w:rPr>
                  <w:rStyle w:val="Hyperlink"/>
                  <w:rFonts w:asciiTheme="minorHAnsi" w:hAnsiTheme="minorHAnsi" w:cstheme="minorHAnsi"/>
                  <w:sz w:val="22"/>
                  <w:szCs w:val="22"/>
                  <w:highlight w:val="yellow"/>
                </w:rPr>
                <w:t>Premium Payment Instructions and Addresses</w:t>
              </w:r>
            </w:hyperlink>
            <w:r w:rsidRPr="004347E5">
              <w:rPr>
                <w:rFonts w:asciiTheme="minorHAnsi" w:hAnsiTheme="minorHAnsi" w:cstheme="minorHAnsi"/>
                <w:sz w:val="22"/>
                <w:szCs w:val="22"/>
                <w:highlight w:val="yellow"/>
              </w:rPr>
              <w:t>” webpage for current:</w:t>
            </w:r>
          </w:p>
          <w:p w14:paraId="2679931F" w14:textId="47E44CD5" w:rsidR="00654AF2" w:rsidRPr="004347E5" w:rsidRDefault="00654AF2" w:rsidP="00654AF2">
            <w:pPr>
              <w:pStyle w:val="ListParagraph"/>
              <w:numPr>
                <w:ilvl w:val="0"/>
                <w:numId w:val="62"/>
              </w:numPr>
              <w:autoSpaceDE w:val="0"/>
              <w:autoSpaceDN w:val="0"/>
              <w:spacing w:before="120"/>
              <w:ind w:left="605" w:hanging="259"/>
              <w:contextualSpacing w:val="0"/>
              <w:rPr>
                <w:rFonts w:asciiTheme="minorHAnsi" w:hAnsiTheme="minorHAnsi" w:cstheme="minorHAnsi"/>
                <w:sz w:val="22"/>
                <w:szCs w:val="22"/>
                <w:highlight w:val="yellow"/>
              </w:rPr>
            </w:pPr>
            <w:r w:rsidRPr="004347E5">
              <w:rPr>
                <w:rFonts w:asciiTheme="minorHAnsi" w:hAnsiTheme="minorHAnsi" w:cstheme="minorHAnsi"/>
                <w:sz w:val="22"/>
                <w:szCs w:val="22"/>
                <w:highlight w:val="yellow"/>
              </w:rPr>
              <w:t xml:space="preserve">Mailing addresses for paper checks (both for U.S. Mail </w:t>
            </w:r>
            <w:r w:rsidR="000A23AD">
              <w:rPr>
                <w:rFonts w:asciiTheme="minorHAnsi" w:hAnsiTheme="minorHAnsi" w:cstheme="minorHAnsi"/>
                <w:sz w:val="22"/>
                <w:szCs w:val="22"/>
                <w:highlight w:val="yellow"/>
              </w:rPr>
              <w:t>and</w:t>
            </w:r>
            <w:r w:rsidRPr="004347E5">
              <w:rPr>
                <w:rFonts w:asciiTheme="minorHAnsi" w:hAnsiTheme="minorHAnsi" w:cstheme="minorHAnsi"/>
                <w:sz w:val="22"/>
                <w:szCs w:val="22"/>
                <w:highlight w:val="yellow"/>
              </w:rPr>
              <w:t xml:space="preserve"> other delivery services);</w:t>
            </w:r>
          </w:p>
          <w:p w14:paraId="210DE308" w14:textId="77777777" w:rsidR="00654AF2" w:rsidRPr="004347E5" w:rsidRDefault="00654AF2" w:rsidP="00654AF2">
            <w:pPr>
              <w:pStyle w:val="ListParagraph"/>
              <w:numPr>
                <w:ilvl w:val="0"/>
                <w:numId w:val="62"/>
              </w:numPr>
              <w:autoSpaceDE w:val="0"/>
              <w:autoSpaceDN w:val="0"/>
              <w:spacing w:before="120"/>
              <w:ind w:left="605" w:hanging="259"/>
              <w:contextualSpacing w:val="0"/>
              <w:rPr>
                <w:rFonts w:asciiTheme="minorHAnsi" w:hAnsiTheme="minorHAnsi" w:cstheme="minorHAnsi"/>
                <w:sz w:val="22"/>
                <w:szCs w:val="22"/>
                <w:highlight w:val="yellow"/>
              </w:rPr>
            </w:pPr>
            <w:r w:rsidRPr="004347E5">
              <w:rPr>
                <w:rFonts w:asciiTheme="minorHAnsi" w:hAnsiTheme="minorHAnsi" w:cstheme="minorHAnsi"/>
                <w:sz w:val="22"/>
                <w:szCs w:val="22"/>
                <w:highlight w:val="yellow"/>
              </w:rPr>
              <w:t>Wire transfer instructions for electronic payments initiated with your financial institution (ACH or Fedwire); and</w:t>
            </w:r>
          </w:p>
          <w:p w14:paraId="2CCB6A6C" w14:textId="77777777" w:rsidR="00654AF2" w:rsidRPr="004347E5" w:rsidRDefault="00654AF2" w:rsidP="00654AF2">
            <w:pPr>
              <w:pStyle w:val="ListParagraph"/>
              <w:numPr>
                <w:ilvl w:val="0"/>
                <w:numId w:val="62"/>
              </w:numPr>
              <w:autoSpaceDE w:val="0"/>
              <w:autoSpaceDN w:val="0"/>
              <w:spacing w:before="120"/>
              <w:ind w:left="605" w:hanging="259"/>
              <w:contextualSpacing w:val="0"/>
              <w:rPr>
                <w:rFonts w:asciiTheme="minorHAnsi" w:hAnsiTheme="minorHAnsi" w:cstheme="minorHAnsi"/>
                <w:sz w:val="22"/>
                <w:szCs w:val="22"/>
                <w:highlight w:val="yellow"/>
              </w:rPr>
            </w:pPr>
            <w:r w:rsidRPr="004347E5">
              <w:rPr>
                <w:rFonts w:asciiTheme="minorHAnsi" w:hAnsiTheme="minorHAnsi" w:cstheme="minorHAnsi"/>
                <w:sz w:val="22"/>
                <w:szCs w:val="22"/>
                <w:highlight w:val="yellow"/>
              </w:rPr>
              <w:t>PBGC Company ID that must be provided to your financial institution if your account has an ACH Debit Block.  This affects both payments made within My PAA and payments made via the pay.gov website.</w:t>
            </w:r>
          </w:p>
          <w:p w14:paraId="12BE73C6" w14:textId="77777777" w:rsidR="00654AF2" w:rsidRPr="00654AF2" w:rsidRDefault="00654AF2" w:rsidP="00654AF2">
            <w:pPr>
              <w:ind w:hanging="21"/>
              <w:rPr>
                <w:rFonts w:asciiTheme="minorHAnsi" w:hAnsiTheme="minorHAnsi" w:cstheme="minorHAnsi"/>
                <w:sz w:val="22"/>
                <w:szCs w:val="22"/>
              </w:rPr>
            </w:pPr>
          </w:p>
          <w:p w14:paraId="00D1F9D7" w14:textId="11D2CF04" w:rsidR="00062917" w:rsidRDefault="00654AF2" w:rsidP="00584815">
            <w:pPr>
              <w:ind w:hanging="21"/>
              <w:rPr>
                <w:rFonts w:asciiTheme="minorHAnsi" w:hAnsiTheme="minorHAnsi"/>
                <w:bCs/>
                <w:sz w:val="22"/>
                <w:szCs w:val="22"/>
              </w:rPr>
            </w:pPr>
            <w:r w:rsidRPr="00654AF2">
              <w:rPr>
                <w:rFonts w:asciiTheme="minorHAnsi" w:hAnsiTheme="minorHAnsi" w:cstheme="minorHAnsi"/>
                <w:sz w:val="22"/>
                <w:szCs w:val="22"/>
              </w:rPr>
              <w:t>Because the payment instructions are always subject to change, we encourage you to review our “</w:t>
            </w:r>
            <w:hyperlink r:id="rId58" w:history="1">
              <w:r w:rsidRPr="00654AF2">
                <w:rPr>
                  <w:rStyle w:val="Hyperlink"/>
                  <w:rFonts w:asciiTheme="minorHAnsi" w:hAnsiTheme="minorHAnsi" w:cstheme="minorHAnsi"/>
                  <w:sz w:val="22"/>
                  <w:szCs w:val="22"/>
                </w:rPr>
                <w:t>Premium Payment Instructions and Addresses</w:t>
              </w:r>
            </w:hyperlink>
            <w:r w:rsidRPr="00654AF2">
              <w:rPr>
                <w:rFonts w:asciiTheme="minorHAnsi" w:hAnsiTheme="minorHAnsi" w:cstheme="minorHAnsi"/>
                <w:sz w:val="22"/>
                <w:szCs w:val="22"/>
              </w:rPr>
              <w:t>” webpage each year before sending payment.  Payments not received timely because they sent were sent to outdated addresses or because of a debit block may be subject to late payment charges.</w:t>
            </w:r>
          </w:p>
        </w:tc>
      </w:tr>
      <w:bookmarkEnd w:id="6"/>
    </w:tbl>
    <w:p w14:paraId="13F9FD79" w14:textId="77777777" w:rsidR="00425B9F" w:rsidRPr="00062917" w:rsidRDefault="00425B9F" w:rsidP="00FE6F1D">
      <w:pPr>
        <w:autoSpaceDE w:val="0"/>
        <w:autoSpaceDN w:val="0"/>
        <w:adjustRightInd w:val="0"/>
        <w:spacing w:before="120"/>
        <w:ind w:left="-90" w:firstLine="90"/>
        <w:rPr>
          <w:rFonts w:asciiTheme="minorHAnsi" w:hAnsiTheme="minorHAnsi"/>
          <w:bCs/>
          <w:sz w:val="22"/>
          <w:szCs w:val="22"/>
        </w:rPr>
      </w:pPr>
    </w:p>
    <w:p w14:paraId="787DBC5E" w14:textId="77777777" w:rsidR="00062917" w:rsidRPr="00062917" w:rsidRDefault="00062917" w:rsidP="00FE6F1D">
      <w:pPr>
        <w:autoSpaceDE w:val="0"/>
        <w:autoSpaceDN w:val="0"/>
        <w:adjustRightInd w:val="0"/>
        <w:spacing w:before="120"/>
        <w:ind w:left="-90" w:firstLine="90"/>
        <w:rPr>
          <w:rFonts w:asciiTheme="minorHAnsi" w:hAnsiTheme="minorHAnsi"/>
          <w:bCs/>
          <w:sz w:val="22"/>
          <w:szCs w:val="22"/>
        </w:rPr>
      </w:pPr>
    </w:p>
    <w:tbl>
      <w:tblPr>
        <w:tblStyle w:val="TableGrid"/>
        <w:tblW w:w="0" w:type="auto"/>
        <w:jc w:val="center"/>
        <w:tblLook w:val="04A0" w:firstRow="1" w:lastRow="0" w:firstColumn="1" w:lastColumn="0" w:noHBand="0" w:noVBand="1"/>
      </w:tblPr>
      <w:tblGrid>
        <w:gridCol w:w="8905"/>
      </w:tblGrid>
      <w:tr w:rsidR="00831DEB" w14:paraId="1338A840" w14:textId="77777777" w:rsidTr="00061245">
        <w:trPr>
          <w:jc w:val="center"/>
        </w:trPr>
        <w:tc>
          <w:tcPr>
            <w:tcW w:w="8905" w:type="dxa"/>
          </w:tcPr>
          <w:p w14:paraId="4DAD48E3" w14:textId="77777777" w:rsidR="00EB5252" w:rsidRDefault="00831DEB" w:rsidP="00EB5252">
            <w:pPr>
              <w:tabs>
                <w:tab w:val="num" w:pos="360"/>
              </w:tabs>
              <w:jc w:val="center"/>
              <w:rPr>
                <w:rFonts w:asciiTheme="minorHAnsi" w:hAnsiTheme="minorHAnsi"/>
                <w:b/>
                <w:bCs/>
                <w:sz w:val="28"/>
                <w:szCs w:val="22"/>
              </w:rPr>
            </w:pPr>
            <w:r>
              <w:rPr>
                <w:rFonts w:asciiTheme="minorHAnsi" w:hAnsiTheme="minorHAnsi"/>
                <w:b/>
                <w:bCs/>
                <w:sz w:val="28"/>
                <w:szCs w:val="22"/>
              </w:rPr>
              <w:t>Common filing errors</w:t>
            </w:r>
          </w:p>
          <w:p w14:paraId="31D413AF" w14:textId="32973613" w:rsidR="00EB5252" w:rsidRPr="00EB5252" w:rsidRDefault="00EB5252" w:rsidP="00EB5252">
            <w:pPr>
              <w:numPr>
                <w:ilvl w:val="0"/>
                <w:numId w:val="13"/>
              </w:numPr>
              <w:tabs>
                <w:tab w:val="clear" w:pos="720"/>
                <w:tab w:val="num" w:pos="360"/>
              </w:tabs>
              <w:autoSpaceDE w:val="0"/>
              <w:autoSpaceDN w:val="0"/>
              <w:adjustRightInd w:val="0"/>
              <w:spacing w:before="120"/>
              <w:ind w:left="360"/>
              <w:rPr>
                <w:rFonts w:asciiTheme="minorHAnsi" w:eastAsia="Calibri" w:hAnsiTheme="minorHAnsi"/>
                <w:sz w:val="22"/>
                <w:szCs w:val="22"/>
              </w:rPr>
            </w:pPr>
            <w:r w:rsidRPr="00EB5252">
              <w:rPr>
                <w:rFonts w:asciiTheme="minorHAnsi" w:eastAsia="Calibri" w:hAnsiTheme="minorHAnsi"/>
                <w:sz w:val="22"/>
                <w:szCs w:val="22"/>
              </w:rPr>
              <w:t>Incorrect Identifying Information</w:t>
            </w:r>
          </w:p>
          <w:p w14:paraId="3003DCD1" w14:textId="77777777" w:rsidR="00EB5252" w:rsidRPr="00EB5252" w:rsidRDefault="00EB5252" w:rsidP="00EB5252">
            <w:pPr>
              <w:numPr>
                <w:ilvl w:val="0"/>
                <w:numId w:val="13"/>
              </w:numPr>
              <w:tabs>
                <w:tab w:val="clear" w:pos="720"/>
                <w:tab w:val="num" w:pos="360"/>
              </w:tabs>
              <w:autoSpaceDE w:val="0"/>
              <w:autoSpaceDN w:val="0"/>
              <w:adjustRightInd w:val="0"/>
              <w:spacing w:before="120"/>
              <w:ind w:left="360"/>
              <w:rPr>
                <w:rFonts w:asciiTheme="minorHAnsi" w:eastAsia="Calibri" w:hAnsiTheme="minorHAnsi"/>
                <w:sz w:val="22"/>
                <w:szCs w:val="22"/>
              </w:rPr>
            </w:pPr>
            <w:r w:rsidRPr="00EB5252">
              <w:rPr>
                <w:rFonts w:asciiTheme="minorHAnsi" w:eastAsia="Calibri" w:hAnsiTheme="minorHAnsi"/>
                <w:sz w:val="22"/>
                <w:szCs w:val="22"/>
              </w:rPr>
              <w:t>Sending Payment without Properly Identifying Plan</w:t>
            </w:r>
          </w:p>
          <w:p w14:paraId="1F3B1944" w14:textId="19148243" w:rsidR="00EB5252" w:rsidRPr="006607B9" w:rsidRDefault="00C9676E" w:rsidP="00EB5252">
            <w:pPr>
              <w:numPr>
                <w:ilvl w:val="0"/>
                <w:numId w:val="13"/>
              </w:numPr>
              <w:tabs>
                <w:tab w:val="clear" w:pos="720"/>
                <w:tab w:val="num" w:pos="360"/>
              </w:tabs>
              <w:autoSpaceDE w:val="0"/>
              <w:autoSpaceDN w:val="0"/>
              <w:adjustRightInd w:val="0"/>
              <w:spacing w:before="120"/>
              <w:ind w:left="360"/>
              <w:rPr>
                <w:rFonts w:asciiTheme="minorHAnsi" w:eastAsia="Calibri" w:hAnsiTheme="minorHAnsi"/>
                <w:sz w:val="22"/>
                <w:szCs w:val="22"/>
              </w:rPr>
            </w:pPr>
            <w:r w:rsidRPr="006607B9">
              <w:rPr>
                <w:rFonts w:asciiTheme="minorHAnsi" w:hAnsiTheme="minorHAnsi"/>
                <w:bCs/>
                <w:sz w:val="22"/>
                <w:szCs w:val="22"/>
              </w:rPr>
              <w:t>New Plans Failing to do a First Year Filing</w:t>
            </w:r>
          </w:p>
          <w:p w14:paraId="3945094A" w14:textId="77777777" w:rsidR="00EB5252" w:rsidRPr="00EB5252" w:rsidRDefault="00EB5252" w:rsidP="00EB5252">
            <w:pPr>
              <w:numPr>
                <w:ilvl w:val="0"/>
                <w:numId w:val="13"/>
              </w:numPr>
              <w:tabs>
                <w:tab w:val="clear" w:pos="720"/>
                <w:tab w:val="num" w:pos="360"/>
              </w:tabs>
              <w:autoSpaceDE w:val="0"/>
              <w:autoSpaceDN w:val="0"/>
              <w:adjustRightInd w:val="0"/>
              <w:spacing w:before="120"/>
              <w:ind w:left="360"/>
              <w:rPr>
                <w:rFonts w:asciiTheme="minorHAnsi" w:eastAsia="Calibri" w:hAnsiTheme="minorHAnsi"/>
                <w:sz w:val="22"/>
                <w:szCs w:val="22"/>
              </w:rPr>
            </w:pPr>
            <w:r w:rsidRPr="00EB5252">
              <w:rPr>
                <w:rFonts w:asciiTheme="minorHAnsi" w:eastAsia="Calibri" w:hAnsiTheme="minorHAnsi"/>
                <w:sz w:val="22"/>
                <w:szCs w:val="22"/>
              </w:rPr>
              <w:t xml:space="preserve">Small Plan Lookback Rule Inconsistencies </w:t>
            </w:r>
          </w:p>
          <w:p w14:paraId="4FB94FD6" w14:textId="7E4B5AA9" w:rsidR="00831DEB" w:rsidRDefault="00B94A95" w:rsidP="00B94A95">
            <w:pPr>
              <w:autoSpaceDE w:val="0"/>
              <w:autoSpaceDN w:val="0"/>
              <w:adjustRightInd w:val="0"/>
              <w:spacing w:before="120"/>
              <w:ind w:left="360" w:hanging="360"/>
              <w:rPr>
                <w:rFonts w:asciiTheme="minorHAnsi" w:hAnsiTheme="minorHAnsi"/>
                <w:bCs/>
                <w:sz w:val="22"/>
                <w:szCs w:val="22"/>
              </w:rPr>
            </w:pPr>
            <w:r>
              <w:rPr>
                <w:rFonts w:asciiTheme="minorHAnsi" w:hAnsiTheme="minorHAnsi"/>
                <w:bCs/>
                <w:sz w:val="22"/>
                <w:szCs w:val="22"/>
              </w:rPr>
              <w:t>Appendix 4 provides detailed information about these errors.</w:t>
            </w:r>
          </w:p>
        </w:tc>
      </w:tr>
    </w:tbl>
    <w:p w14:paraId="7F9B5B1D" w14:textId="77777777" w:rsidR="008B099F" w:rsidRDefault="008B099F" w:rsidP="00FE6F1D">
      <w:pPr>
        <w:autoSpaceDE w:val="0"/>
        <w:autoSpaceDN w:val="0"/>
        <w:adjustRightInd w:val="0"/>
        <w:spacing w:before="120"/>
        <w:ind w:left="-90" w:firstLine="90"/>
        <w:rPr>
          <w:rFonts w:asciiTheme="minorHAnsi" w:hAnsiTheme="minorHAnsi"/>
          <w:b/>
          <w:bCs/>
          <w:sz w:val="22"/>
          <w:szCs w:val="22"/>
        </w:rPr>
      </w:pPr>
    </w:p>
    <w:p w14:paraId="06036CC3" w14:textId="77777777" w:rsidR="00584DDC" w:rsidRPr="006775EA" w:rsidRDefault="00584DDC" w:rsidP="006775EA">
      <w:pPr>
        <w:autoSpaceDE w:val="0"/>
        <w:autoSpaceDN w:val="0"/>
        <w:adjustRightInd w:val="0"/>
        <w:spacing w:before="120"/>
        <w:rPr>
          <w:rFonts w:asciiTheme="minorHAnsi" w:hAnsiTheme="minorHAnsi"/>
          <w:b/>
          <w:bCs/>
          <w:sz w:val="22"/>
          <w:szCs w:val="22"/>
        </w:rPr>
        <w:sectPr w:rsidR="00584DDC" w:rsidRPr="006775EA" w:rsidSect="00AA1894">
          <w:headerReference w:type="even" r:id="rId59"/>
          <w:headerReference w:type="default" r:id="rId60"/>
          <w:footerReference w:type="default" r:id="rId61"/>
          <w:headerReference w:type="first" r:id="rId62"/>
          <w:pgSz w:w="12240" w:h="15840" w:code="1"/>
          <w:pgMar w:top="1440" w:right="1080" w:bottom="1440" w:left="1080" w:header="720" w:footer="720" w:gutter="0"/>
          <w:pgNumType w:start="1"/>
          <w:cols w:space="720"/>
          <w:noEndnote/>
        </w:sectPr>
      </w:pPr>
    </w:p>
    <w:p w14:paraId="4C7026D1"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7" w:name="toc3"/>
      <w:bookmarkEnd w:id="7"/>
      <w:r w:rsidRPr="00F62144">
        <w:rPr>
          <w:rFonts w:asciiTheme="minorHAnsi" w:hAnsiTheme="minorHAnsi"/>
          <w:b/>
          <w:bCs/>
          <w:sz w:val="22"/>
          <w:szCs w:val="22"/>
        </w:rPr>
        <w:t>All Covered Plans Must File</w:t>
      </w:r>
    </w:p>
    <w:p w14:paraId="058DFFB0"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Administrator of each pension plan covered under ERISA section 4021 is required to </w:t>
      </w:r>
      <w:r w:rsidR="00425B9F" w:rsidRPr="00F62144">
        <w:rPr>
          <w:rFonts w:asciiTheme="minorHAnsi" w:hAnsiTheme="minorHAnsi"/>
          <w:sz w:val="22"/>
          <w:szCs w:val="22"/>
        </w:rPr>
        <w:t xml:space="preserve">annually </w:t>
      </w:r>
      <w:r w:rsidRPr="00F62144">
        <w:rPr>
          <w:rFonts w:asciiTheme="minorHAnsi" w:hAnsiTheme="minorHAnsi"/>
          <w:sz w:val="22"/>
          <w:szCs w:val="22"/>
        </w:rPr>
        <w:t>file the prescribed premium information and pay the premium due in accordance with PBGC’s Premium Regulations and instructions.</w:t>
      </w:r>
    </w:p>
    <w:p w14:paraId="3396BBA9"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Most private-sector defined benefit plans that meet tax qualification requirements are covered. If you are uncertain whether your plan is covered, you should promptly request a coverage determination. Note that a request for a coverage determination does not extend the due date for any premium that is finally determined to be due.</w:t>
      </w:r>
    </w:p>
    <w:p w14:paraId="38AA0921"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your plan is covered, you must make a premium filing even if no premium is owed.</w:t>
      </w:r>
    </w:p>
    <w:p w14:paraId="6E2CFC72"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4EDD89DD" w14:textId="77777777" w:rsidR="00256B9B" w:rsidRDefault="00256B9B" w:rsidP="00F1283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Short Plan Years </w:t>
      </w:r>
    </w:p>
    <w:p w14:paraId="23FEC538" w14:textId="77777777" w:rsidR="0061174F" w:rsidRPr="00F068BD" w:rsidRDefault="00505ACB" w:rsidP="00F068BD">
      <w:pPr>
        <w:autoSpaceDE w:val="0"/>
        <w:autoSpaceDN w:val="0"/>
        <w:adjustRightInd w:val="0"/>
        <w:spacing w:before="120"/>
        <w:rPr>
          <w:rFonts w:asciiTheme="minorHAnsi" w:hAnsiTheme="minorHAnsi"/>
          <w:sz w:val="22"/>
          <w:szCs w:val="22"/>
        </w:rPr>
      </w:pPr>
      <w:r w:rsidRPr="00F068BD">
        <w:rPr>
          <w:rFonts w:asciiTheme="minorHAnsi" w:hAnsiTheme="minorHAnsi"/>
          <w:sz w:val="22"/>
          <w:szCs w:val="22"/>
        </w:rPr>
        <w:t>Premium filings are required for short plan years regardless of the reason why the</w:t>
      </w:r>
      <w:r w:rsidR="0061174F" w:rsidRPr="00F068BD">
        <w:rPr>
          <w:rFonts w:asciiTheme="minorHAnsi" w:hAnsiTheme="minorHAnsi"/>
          <w:sz w:val="22"/>
          <w:szCs w:val="22"/>
        </w:rPr>
        <w:t xml:space="preserve"> plan year cover</w:t>
      </w:r>
      <w:r w:rsidR="00D947D9" w:rsidRPr="00F068BD">
        <w:rPr>
          <w:rFonts w:asciiTheme="minorHAnsi" w:hAnsiTheme="minorHAnsi"/>
          <w:sz w:val="22"/>
          <w:szCs w:val="22"/>
        </w:rPr>
        <w:t>s</w:t>
      </w:r>
      <w:r w:rsidR="0061174F" w:rsidRPr="00F068BD">
        <w:rPr>
          <w:rFonts w:asciiTheme="minorHAnsi" w:hAnsiTheme="minorHAnsi"/>
          <w:sz w:val="22"/>
          <w:szCs w:val="22"/>
        </w:rPr>
        <w:t xml:space="preserve"> fewer than 12 full months.  Unless the plan qualifies for premium pro-ration (see below), a full year’s premium is owed for a short plan year.</w:t>
      </w:r>
      <w:r w:rsidR="0025019B" w:rsidDel="0025019B">
        <w:rPr>
          <w:rStyle w:val="CommentReference"/>
        </w:rPr>
        <w:t xml:space="preserve"> </w:t>
      </w:r>
    </w:p>
    <w:p w14:paraId="7FE0B853" w14:textId="77777777" w:rsidR="0061174F" w:rsidRPr="0061174F" w:rsidRDefault="0061174F" w:rsidP="00D85117">
      <w:pPr>
        <w:spacing w:before="120"/>
        <w:rPr>
          <w:rFonts w:ascii="Arial" w:eastAsia="Times New Roman" w:hAnsi="Arial" w:cs="Arial"/>
          <w:i/>
          <w:sz w:val="20"/>
          <w:szCs w:val="23"/>
          <w:lang w:eastAsia="en-US"/>
        </w:rPr>
      </w:pPr>
      <w:r w:rsidRPr="0061174F">
        <w:rPr>
          <w:rFonts w:ascii="Arial" w:eastAsia="Times New Roman" w:hAnsi="Arial" w:cs="Arial"/>
          <w:i/>
          <w:sz w:val="20"/>
          <w:szCs w:val="23"/>
          <w:lang w:eastAsia="en-US"/>
        </w:rPr>
        <w:t>Premium proration</w:t>
      </w:r>
    </w:p>
    <w:p w14:paraId="6B0C5730" w14:textId="77777777" w:rsidR="00C56B84" w:rsidRPr="00FE3E24" w:rsidRDefault="00A94C0E" w:rsidP="0061174F">
      <w:pPr>
        <w:spacing w:before="120"/>
        <w:rPr>
          <w:rFonts w:asciiTheme="minorHAnsi" w:hAnsiTheme="minorHAnsi"/>
          <w:sz w:val="22"/>
          <w:szCs w:val="22"/>
        </w:rPr>
      </w:pPr>
      <w:r w:rsidRPr="00FE3E24">
        <w:rPr>
          <w:rFonts w:asciiTheme="minorHAnsi" w:hAnsiTheme="minorHAnsi"/>
          <w:sz w:val="22"/>
          <w:szCs w:val="22"/>
        </w:rPr>
        <w:t>In some cases, p</w:t>
      </w:r>
      <w:r w:rsidR="00505ACB" w:rsidRPr="00FE3E24">
        <w:rPr>
          <w:rFonts w:asciiTheme="minorHAnsi" w:hAnsiTheme="minorHAnsi"/>
          <w:sz w:val="22"/>
          <w:szCs w:val="22"/>
        </w:rPr>
        <w:t>lan</w:t>
      </w:r>
      <w:r w:rsidR="00D947D9">
        <w:rPr>
          <w:rFonts w:asciiTheme="minorHAnsi" w:hAnsiTheme="minorHAnsi"/>
          <w:sz w:val="22"/>
          <w:szCs w:val="22"/>
        </w:rPr>
        <w:t>s</w:t>
      </w:r>
      <w:r w:rsidR="00505ACB" w:rsidRPr="00FE3E24">
        <w:rPr>
          <w:rFonts w:asciiTheme="minorHAnsi" w:hAnsiTheme="minorHAnsi"/>
          <w:sz w:val="22"/>
          <w:szCs w:val="22"/>
        </w:rPr>
        <w:t xml:space="preserve"> qualif</w:t>
      </w:r>
      <w:r w:rsidRPr="00FE3E24">
        <w:rPr>
          <w:rFonts w:asciiTheme="minorHAnsi" w:hAnsiTheme="minorHAnsi"/>
          <w:sz w:val="22"/>
          <w:szCs w:val="22"/>
        </w:rPr>
        <w:t>y</w:t>
      </w:r>
      <w:r w:rsidR="00505ACB" w:rsidRPr="00FE3E24">
        <w:rPr>
          <w:rFonts w:asciiTheme="minorHAnsi" w:hAnsiTheme="minorHAnsi"/>
          <w:sz w:val="22"/>
          <w:szCs w:val="22"/>
        </w:rPr>
        <w:t xml:space="preserve"> to pay a </w:t>
      </w:r>
      <w:r w:rsidR="00505ACB" w:rsidRPr="00FE3E24">
        <w:rPr>
          <w:rFonts w:asciiTheme="minorHAnsi" w:eastAsia="Times New Roman" w:hAnsiTheme="minorHAnsi" w:cs="Arial"/>
          <w:sz w:val="22"/>
          <w:szCs w:val="22"/>
          <w:lang w:eastAsia="en-US"/>
        </w:rPr>
        <w:t>prorated</w:t>
      </w:r>
      <w:r w:rsidR="00505ACB" w:rsidRPr="00FE3E24">
        <w:rPr>
          <w:rFonts w:asciiTheme="minorHAnsi" w:hAnsiTheme="minorHAnsi"/>
          <w:sz w:val="22"/>
          <w:szCs w:val="22"/>
        </w:rPr>
        <w:t xml:space="preserve"> premium </w:t>
      </w:r>
      <w:r w:rsidR="00003D27" w:rsidRPr="00FE3E24">
        <w:rPr>
          <w:rFonts w:asciiTheme="minorHAnsi" w:hAnsiTheme="minorHAnsi"/>
          <w:sz w:val="22"/>
          <w:szCs w:val="22"/>
        </w:rPr>
        <w:t xml:space="preserve">for </w:t>
      </w:r>
      <w:r w:rsidRPr="00FE3E24">
        <w:rPr>
          <w:rFonts w:asciiTheme="minorHAnsi" w:hAnsiTheme="minorHAnsi"/>
          <w:sz w:val="22"/>
          <w:szCs w:val="22"/>
        </w:rPr>
        <w:t xml:space="preserve">a short plan year.  For example, if a short plan year covers </w:t>
      </w:r>
      <w:r w:rsidR="00C56B84" w:rsidRPr="00FE3E24">
        <w:rPr>
          <w:rFonts w:asciiTheme="minorHAnsi" w:hAnsiTheme="minorHAnsi"/>
          <w:sz w:val="22"/>
          <w:szCs w:val="22"/>
        </w:rPr>
        <w:t>nine</w:t>
      </w:r>
      <w:r w:rsidRPr="00FE3E24">
        <w:rPr>
          <w:rFonts w:asciiTheme="minorHAnsi" w:hAnsiTheme="minorHAnsi"/>
          <w:sz w:val="22"/>
          <w:szCs w:val="22"/>
        </w:rPr>
        <w:t xml:space="preserve"> months </w:t>
      </w:r>
      <w:r w:rsidR="00C56B84" w:rsidRPr="00FE3E24">
        <w:rPr>
          <w:rFonts w:asciiTheme="minorHAnsi" w:hAnsiTheme="minorHAnsi"/>
          <w:sz w:val="22"/>
          <w:szCs w:val="22"/>
        </w:rPr>
        <w:t xml:space="preserve">(i.e., 75% of a full year) </w:t>
      </w:r>
      <w:r w:rsidRPr="00FE3E24">
        <w:rPr>
          <w:rFonts w:asciiTheme="minorHAnsi" w:hAnsiTheme="minorHAnsi"/>
          <w:sz w:val="22"/>
          <w:szCs w:val="22"/>
        </w:rPr>
        <w:t xml:space="preserve">and the plan is eligible for premium proration, the calculated premium would be reduced by </w:t>
      </w:r>
      <w:r w:rsidR="00C56B84" w:rsidRPr="00FE3E24">
        <w:rPr>
          <w:rFonts w:asciiTheme="minorHAnsi" w:hAnsiTheme="minorHAnsi"/>
          <w:sz w:val="22"/>
          <w:szCs w:val="22"/>
        </w:rPr>
        <w:t>25</w:t>
      </w:r>
      <w:r w:rsidRPr="00FE3E24">
        <w:rPr>
          <w:rFonts w:asciiTheme="minorHAnsi" w:hAnsiTheme="minorHAnsi"/>
          <w:sz w:val="22"/>
          <w:szCs w:val="22"/>
        </w:rPr>
        <w:t xml:space="preserve">%.  </w:t>
      </w:r>
    </w:p>
    <w:p w14:paraId="5379C333" w14:textId="77777777" w:rsidR="006E4C39" w:rsidRDefault="006E4C39" w:rsidP="006E4C39">
      <w:pPr>
        <w:kinsoku w:val="0"/>
        <w:spacing w:before="120"/>
        <w:rPr>
          <w:rFonts w:asciiTheme="minorHAnsi" w:hAnsiTheme="minorHAnsi"/>
          <w:sz w:val="22"/>
          <w:szCs w:val="22"/>
        </w:rPr>
      </w:pPr>
      <w:r>
        <w:rPr>
          <w:rFonts w:asciiTheme="minorHAnsi" w:hAnsiTheme="minorHAnsi"/>
          <w:sz w:val="22"/>
          <w:szCs w:val="22"/>
        </w:rPr>
        <w:t>Premiums are not pro-rated for short plan years created as the result of a mid-year Merger or Consolidation.   In other words, if a plan ceases to exist during the plan year because all if its assets and liabilities are transferred to another PBGC-insured plan</w:t>
      </w:r>
      <w:r w:rsidR="00E24AFB">
        <w:rPr>
          <w:rFonts w:asciiTheme="minorHAnsi" w:hAnsiTheme="minorHAnsi"/>
          <w:sz w:val="22"/>
          <w:szCs w:val="22"/>
        </w:rPr>
        <w:t xml:space="preserve">, a full </w:t>
      </w:r>
      <w:r w:rsidR="00F068BD">
        <w:rPr>
          <w:rFonts w:asciiTheme="minorHAnsi" w:hAnsiTheme="minorHAnsi"/>
          <w:sz w:val="22"/>
          <w:szCs w:val="22"/>
        </w:rPr>
        <w:t>year’s</w:t>
      </w:r>
      <w:r w:rsidR="00E24AFB">
        <w:rPr>
          <w:rFonts w:asciiTheme="minorHAnsi" w:hAnsiTheme="minorHAnsi"/>
          <w:sz w:val="22"/>
          <w:szCs w:val="22"/>
        </w:rPr>
        <w:t xml:space="preserve"> premium is owed for the final plan year of the plan ceasing to exist</w:t>
      </w:r>
      <w:r>
        <w:rPr>
          <w:rFonts w:asciiTheme="minorHAnsi" w:hAnsiTheme="minorHAnsi"/>
          <w:sz w:val="22"/>
          <w:szCs w:val="22"/>
        </w:rPr>
        <w:t xml:space="preserve">.  </w:t>
      </w:r>
    </w:p>
    <w:p w14:paraId="014251A0" w14:textId="77777777" w:rsidR="00505ACB" w:rsidRPr="00FE3E24" w:rsidRDefault="006E4C39" w:rsidP="0061174F">
      <w:pPr>
        <w:spacing w:before="120"/>
        <w:rPr>
          <w:rFonts w:asciiTheme="minorHAnsi" w:hAnsiTheme="minorHAnsi"/>
          <w:sz w:val="22"/>
          <w:szCs w:val="22"/>
        </w:rPr>
      </w:pPr>
      <w:r>
        <w:rPr>
          <w:rFonts w:asciiTheme="minorHAnsi" w:hAnsiTheme="minorHAnsi"/>
          <w:sz w:val="22"/>
          <w:szCs w:val="22"/>
        </w:rPr>
        <w:t xml:space="preserve">Premiums are pro-rated for short plan years if </w:t>
      </w:r>
      <w:r w:rsidR="00003D27" w:rsidRPr="00FE3E24">
        <w:rPr>
          <w:rFonts w:asciiTheme="minorHAnsi" w:hAnsiTheme="minorHAnsi"/>
          <w:sz w:val="22"/>
          <w:szCs w:val="22"/>
        </w:rPr>
        <w:t xml:space="preserve">that </w:t>
      </w:r>
      <w:r w:rsidR="00A94C0E" w:rsidRPr="00FE3E24">
        <w:rPr>
          <w:rFonts w:asciiTheme="minorHAnsi" w:hAnsiTheme="minorHAnsi"/>
          <w:sz w:val="22"/>
          <w:szCs w:val="22"/>
        </w:rPr>
        <w:t xml:space="preserve">short </w:t>
      </w:r>
      <w:r w:rsidR="00003D27" w:rsidRPr="00FE3E24">
        <w:rPr>
          <w:rFonts w:asciiTheme="minorHAnsi" w:hAnsiTheme="minorHAnsi"/>
          <w:sz w:val="22"/>
          <w:szCs w:val="22"/>
        </w:rPr>
        <w:t>plan year</w:t>
      </w:r>
      <w:r w:rsidR="00505ACB" w:rsidRPr="00FE3E24">
        <w:rPr>
          <w:rFonts w:asciiTheme="minorHAnsi" w:hAnsiTheme="minorHAnsi"/>
          <w:sz w:val="22"/>
          <w:szCs w:val="22"/>
        </w:rPr>
        <w:t xml:space="preserve">: </w:t>
      </w:r>
    </w:p>
    <w:p w14:paraId="68420F49" w14:textId="77777777" w:rsidR="00505ACB" w:rsidRPr="00FE3E24" w:rsidRDefault="00003D27" w:rsidP="005E1CB2">
      <w:pPr>
        <w:numPr>
          <w:ilvl w:val="0"/>
          <w:numId w:val="49"/>
        </w:numPr>
        <w:tabs>
          <w:tab w:val="clear" w:pos="720"/>
          <w:tab w:val="num" w:pos="630"/>
        </w:tabs>
        <w:autoSpaceDE w:val="0"/>
        <w:autoSpaceDN w:val="0"/>
        <w:spacing w:before="120"/>
        <w:ind w:left="270" w:hanging="270"/>
        <w:rPr>
          <w:rFonts w:asciiTheme="minorHAnsi" w:hAnsiTheme="minorHAnsi" w:cs="Calibri"/>
          <w:sz w:val="22"/>
          <w:szCs w:val="22"/>
        </w:rPr>
      </w:pPr>
      <w:r w:rsidRPr="00FE3E24">
        <w:rPr>
          <w:rFonts w:asciiTheme="minorHAnsi" w:hAnsiTheme="minorHAnsi" w:cs="Calibri"/>
          <w:sz w:val="22"/>
          <w:szCs w:val="22"/>
        </w:rPr>
        <w:t xml:space="preserve">Is </w:t>
      </w:r>
      <w:r w:rsidR="00A94C0E" w:rsidRPr="00FE3E24">
        <w:rPr>
          <w:rFonts w:asciiTheme="minorHAnsi" w:hAnsiTheme="minorHAnsi" w:cs="Calibri"/>
          <w:sz w:val="22"/>
          <w:szCs w:val="22"/>
        </w:rPr>
        <w:t>the</w:t>
      </w:r>
      <w:r w:rsidR="00505ACB" w:rsidRPr="00FE3E24">
        <w:rPr>
          <w:rFonts w:asciiTheme="minorHAnsi" w:hAnsiTheme="minorHAnsi" w:cs="Calibri"/>
          <w:sz w:val="22"/>
          <w:szCs w:val="22"/>
        </w:rPr>
        <w:t xml:space="preserve"> first year of a New Plan;</w:t>
      </w:r>
    </w:p>
    <w:p w14:paraId="49514B25" w14:textId="77777777" w:rsidR="00505ACB" w:rsidRPr="00FE3E24" w:rsidRDefault="00003D27" w:rsidP="005E1CB2">
      <w:pPr>
        <w:numPr>
          <w:ilvl w:val="0"/>
          <w:numId w:val="49"/>
        </w:numPr>
        <w:tabs>
          <w:tab w:val="clear" w:pos="720"/>
          <w:tab w:val="num" w:pos="630"/>
        </w:tabs>
        <w:autoSpaceDE w:val="0"/>
        <w:autoSpaceDN w:val="0"/>
        <w:spacing w:before="120"/>
        <w:ind w:left="270" w:hanging="270"/>
        <w:rPr>
          <w:rFonts w:asciiTheme="minorHAnsi" w:hAnsiTheme="minorHAnsi" w:cs="Calibri"/>
          <w:sz w:val="22"/>
          <w:szCs w:val="22"/>
        </w:rPr>
      </w:pPr>
      <w:r w:rsidRPr="00FE3E24">
        <w:rPr>
          <w:rFonts w:asciiTheme="minorHAnsi" w:hAnsiTheme="minorHAnsi" w:cs="Calibri"/>
          <w:sz w:val="22"/>
          <w:szCs w:val="22"/>
        </w:rPr>
        <w:t xml:space="preserve">Is </w:t>
      </w:r>
      <w:r w:rsidR="00505ACB" w:rsidRPr="00FE3E24">
        <w:rPr>
          <w:rFonts w:asciiTheme="minorHAnsi" w:hAnsiTheme="minorHAnsi" w:cs="Calibri"/>
          <w:sz w:val="22"/>
          <w:szCs w:val="22"/>
        </w:rPr>
        <w:t>created by:</w:t>
      </w:r>
    </w:p>
    <w:p w14:paraId="4EBCB7C3" w14:textId="77777777" w:rsidR="00505ACB" w:rsidRPr="00FE3E24" w:rsidRDefault="00505ACB" w:rsidP="005E1CB2">
      <w:pPr>
        <w:pStyle w:val="ListParagraph"/>
        <w:numPr>
          <w:ilvl w:val="2"/>
          <w:numId w:val="50"/>
        </w:numPr>
        <w:autoSpaceDE w:val="0"/>
        <w:autoSpaceDN w:val="0"/>
        <w:spacing w:before="120"/>
        <w:ind w:left="720" w:hanging="450"/>
        <w:contextualSpacing w:val="0"/>
        <w:rPr>
          <w:rFonts w:asciiTheme="minorHAnsi" w:hAnsiTheme="minorHAnsi" w:cs="Calibri"/>
          <w:sz w:val="22"/>
          <w:szCs w:val="22"/>
        </w:rPr>
      </w:pPr>
      <w:r w:rsidRPr="00FE3E24">
        <w:rPr>
          <w:rFonts w:asciiTheme="minorHAnsi" w:hAnsiTheme="minorHAnsi" w:cs="Calibri"/>
          <w:sz w:val="22"/>
          <w:szCs w:val="22"/>
        </w:rPr>
        <w:t>an amendment that changes the plan year</w:t>
      </w:r>
      <w:r w:rsidR="006E4C39">
        <w:rPr>
          <w:rStyle w:val="FootnoteReference"/>
          <w:rFonts w:asciiTheme="minorHAnsi" w:hAnsiTheme="minorHAnsi" w:cs="Calibri"/>
          <w:sz w:val="22"/>
          <w:szCs w:val="22"/>
        </w:rPr>
        <w:footnoteReference w:id="2"/>
      </w:r>
      <w:r w:rsidRPr="00FE3E24">
        <w:rPr>
          <w:rFonts w:asciiTheme="minorHAnsi" w:hAnsiTheme="minorHAnsi" w:cs="Calibri"/>
          <w:sz w:val="22"/>
          <w:szCs w:val="22"/>
        </w:rPr>
        <w:t xml:space="preserve">; </w:t>
      </w:r>
    </w:p>
    <w:p w14:paraId="38E28E34" w14:textId="77777777" w:rsidR="00505ACB" w:rsidRPr="00FE3E24" w:rsidRDefault="00505ACB" w:rsidP="005E1CB2">
      <w:pPr>
        <w:pStyle w:val="ListParagraph"/>
        <w:numPr>
          <w:ilvl w:val="2"/>
          <w:numId w:val="50"/>
        </w:numPr>
        <w:autoSpaceDE w:val="0"/>
        <w:autoSpaceDN w:val="0"/>
        <w:spacing w:before="120"/>
        <w:ind w:left="720" w:hanging="450"/>
        <w:contextualSpacing w:val="0"/>
        <w:rPr>
          <w:rFonts w:asciiTheme="minorHAnsi" w:hAnsiTheme="minorHAnsi" w:cs="Calibri"/>
          <w:sz w:val="22"/>
          <w:szCs w:val="22"/>
        </w:rPr>
      </w:pPr>
      <w:r w:rsidRPr="00FE3E24">
        <w:rPr>
          <w:rFonts w:asciiTheme="minorHAnsi" w:hAnsiTheme="minorHAnsi" w:cs="Calibri"/>
          <w:sz w:val="22"/>
          <w:szCs w:val="22"/>
        </w:rPr>
        <w:t>distribution of plan assets pursuant to plan termination; or</w:t>
      </w:r>
    </w:p>
    <w:p w14:paraId="66763CFA" w14:textId="77777777" w:rsidR="00505ACB" w:rsidRPr="00FE3E24" w:rsidRDefault="00505ACB" w:rsidP="005E1CB2">
      <w:pPr>
        <w:pStyle w:val="ListParagraph"/>
        <w:numPr>
          <w:ilvl w:val="2"/>
          <w:numId w:val="50"/>
        </w:numPr>
        <w:autoSpaceDE w:val="0"/>
        <w:autoSpaceDN w:val="0"/>
        <w:spacing w:before="120"/>
        <w:ind w:left="720" w:hanging="450"/>
        <w:contextualSpacing w:val="0"/>
        <w:rPr>
          <w:rFonts w:asciiTheme="minorHAnsi" w:hAnsiTheme="minorHAnsi" w:cs="Calibri"/>
          <w:sz w:val="22"/>
          <w:szCs w:val="22"/>
        </w:rPr>
      </w:pPr>
      <w:r w:rsidRPr="00FE3E24">
        <w:rPr>
          <w:rFonts w:asciiTheme="minorHAnsi" w:hAnsiTheme="minorHAnsi" w:cs="Calibri"/>
          <w:sz w:val="22"/>
          <w:szCs w:val="22"/>
        </w:rPr>
        <w:t>the appointment of a trustee for a Single-employer Plan under ERISA section 4042.</w:t>
      </w:r>
    </w:p>
    <w:p w14:paraId="610E25B9" w14:textId="77777777" w:rsidR="00505ACB" w:rsidRPr="00FE3E24" w:rsidRDefault="00505ACB" w:rsidP="005E1CB2">
      <w:pPr>
        <w:numPr>
          <w:ilvl w:val="0"/>
          <w:numId w:val="49"/>
        </w:numPr>
        <w:tabs>
          <w:tab w:val="clear" w:pos="720"/>
          <w:tab w:val="num" w:pos="630"/>
        </w:tabs>
        <w:autoSpaceDE w:val="0"/>
        <w:autoSpaceDN w:val="0"/>
        <w:spacing w:before="120"/>
        <w:ind w:left="270" w:hanging="270"/>
        <w:rPr>
          <w:rFonts w:asciiTheme="minorHAnsi" w:hAnsiTheme="minorHAnsi" w:cs="Calibri"/>
          <w:sz w:val="22"/>
          <w:szCs w:val="22"/>
        </w:rPr>
      </w:pPr>
      <w:r w:rsidRPr="00FE3E24">
        <w:rPr>
          <w:rFonts w:asciiTheme="minorHAnsi" w:hAnsiTheme="minorHAnsi" w:cs="Calibri"/>
          <w:sz w:val="22"/>
          <w:szCs w:val="22"/>
        </w:rPr>
        <w:t>Includes a portion of time in which the plan was not covered by PBGC, unless such period of non-coverage began after the first day of the plan year</w:t>
      </w:r>
      <w:r w:rsidRPr="00FE3E24">
        <w:rPr>
          <w:rStyle w:val="FootnoteReference"/>
          <w:rFonts w:asciiTheme="minorHAnsi" w:hAnsiTheme="minorHAnsi" w:cs="Calibri"/>
          <w:sz w:val="22"/>
          <w:szCs w:val="22"/>
        </w:rPr>
        <w:footnoteReference w:id="3"/>
      </w:r>
      <w:r w:rsidRPr="00FE3E24">
        <w:rPr>
          <w:rFonts w:asciiTheme="minorHAnsi" w:hAnsiTheme="minorHAnsi" w:cs="Calibri"/>
          <w:sz w:val="22"/>
          <w:szCs w:val="22"/>
        </w:rPr>
        <w:t xml:space="preserve"> .</w:t>
      </w:r>
    </w:p>
    <w:p w14:paraId="420BB631" w14:textId="77777777" w:rsidR="00371C35" w:rsidRPr="00371C35" w:rsidRDefault="00371C35" w:rsidP="00371C35">
      <w:pPr>
        <w:spacing w:before="120"/>
        <w:rPr>
          <w:rFonts w:asciiTheme="minorHAnsi" w:hAnsiTheme="minorHAnsi"/>
          <w:sz w:val="22"/>
          <w:szCs w:val="22"/>
          <w:lang w:eastAsia="en-US"/>
        </w:rPr>
      </w:pPr>
      <w:r w:rsidRPr="00371C35">
        <w:rPr>
          <w:rFonts w:asciiTheme="minorHAnsi" w:hAnsiTheme="minorHAnsi"/>
          <w:sz w:val="22"/>
          <w:szCs w:val="22"/>
        </w:rPr>
        <w:t>Note that the short year need not have ended by the time you pay a prorated premium, but if the plan year turns out to be longer than you anticipated, you will have to make up any premium underpayment, which will be subject to interest and penalties.  This happens fairly regularly with respect to plans that are expecting to distribute plan assets pursuant to a standard plan termination near the end of the year because it often takes longer than expected to complete the distribution.</w:t>
      </w:r>
    </w:p>
    <w:p w14:paraId="216B1F55" w14:textId="77777777" w:rsidR="00371C35" w:rsidRDefault="00371C35">
      <w:pPr>
        <w:rPr>
          <w:rFonts w:asciiTheme="minorHAnsi" w:hAnsiTheme="minorHAnsi"/>
          <w:i/>
          <w:iCs/>
          <w:sz w:val="22"/>
          <w:szCs w:val="22"/>
        </w:rPr>
      </w:pPr>
      <w:r>
        <w:rPr>
          <w:rFonts w:asciiTheme="minorHAnsi" w:hAnsiTheme="minorHAnsi"/>
          <w:i/>
          <w:iCs/>
          <w:sz w:val="22"/>
          <w:szCs w:val="22"/>
        </w:rPr>
        <w:br w:type="page"/>
      </w:r>
    </w:p>
    <w:p w14:paraId="565948AC" w14:textId="09ABDDDD" w:rsidR="00371C35" w:rsidRPr="00371C35" w:rsidRDefault="00371C35" w:rsidP="00371C35">
      <w:pPr>
        <w:spacing w:before="120"/>
        <w:rPr>
          <w:rFonts w:asciiTheme="minorHAnsi" w:hAnsiTheme="minorHAnsi"/>
          <w:i/>
          <w:iCs/>
          <w:sz w:val="22"/>
          <w:szCs w:val="22"/>
        </w:rPr>
      </w:pPr>
      <w:r w:rsidRPr="00371C35">
        <w:rPr>
          <w:rFonts w:asciiTheme="minorHAnsi" w:hAnsiTheme="minorHAnsi"/>
          <w:i/>
          <w:iCs/>
          <w:sz w:val="22"/>
          <w:szCs w:val="22"/>
        </w:rPr>
        <w:t>Alternate approach for plans anticipating a final distribution of assets</w:t>
      </w:r>
    </w:p>
    <w:p w14:paraId="3A45C447" w14:textId="77777777" w:rsidR="00371C35" w:rsidRPr="00371C35" w:rsidRDefault="00371C35" w:rsidP="00371C35">
      <w:pPr>
        <w:spacing w:before="120"/>
        <w:rPr>
          <w:rFonts w:asciiTheme="minorHAnsi" w:hAnsiTheme="minorHAnsi"/>
          <w:sz w:val="22"/>
          <w:szCs w:val="22"/>
        </w:rPr>
      </w:pPr>
      <w:r w:rsidRPr="00371C35">
        <w:rPr>
          <w:rFonts w:asciiTheme="minorHAnsi" w:hAnsiTheme="minorHAnsi"/>
          <w:sz w:val="22"/>
          <w:szCs w:val="22"/>
        </w:rPr>
        <w:t>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short plan year. With this approach, you would:</w:t>
      </w:r>
    </w:p>
    <w:p w14:paraId="2187B0CF" w14:textId="77777777" w:rsidR="00371C35" w:rsidRPr="00371C35" w:rsidRDefault="00371C35" w:rsidP="00371C35">
      <w:pPr>
        <w:numPr>
          <w:ilvl w:val="0"/>
          <w:numId w:val="59"/>
        </w:numPr>
        <w:autoSpaceDE w:val="0"/>
        <w:autoSpaceDN w:val="0"/>
        <w:spacing w:before="120"/>
        <w:ind w:left="360"/>
        <w:rPr>
          <w:rFonts w:asciiTheme="minorHAnsi" w:hAnsiTheme="minorHAnsi"/>
          <w:sz w:val="22"/>
          <w:szCs w:val="22"/>
        </w:rPr>
      </w:pPr>
      <w:r w:rsidRPr="00371C35">
        <w:rPr>
          <w:rFonts w:asciiTheme="minorHAnsi" w:hAnsiTheme="minorHAnsi"/>
          <w:sz w:val="22"/>
          <w:szCs w:val="22"/>
        </w:rPr>
        <w:t>Report that the premium filing is for the full plan year</w:t>
      </w:r>
    </w:p>
    <w:p w14:paraId="6D96C6F2" w14:textId="77777777" w:rsidR="00371C35" w:rsidRPr="00371C35" w:rsidRDefault="00371C35" w:rsidP="00371C35">
      <w:pPr>
        <w:numPr>
          <w:ilvl w:val="0"/>
          <w:numId w:val="59"/>
        </w:numPr>
        <w:autoSpaceDE w:val="0"/>
        <w:autoSpaceDN w:val="0"/>
        <w:spacing w:before="120"/>
        <w:ind w:left="360"/>
        <w:rPr>
          <w:rFonts w:asciiTheme="minorHAnsi" w:hAnsiTheme="minorHAnsi"/>
          <w:sz w:val="22"/>
          <w:szCs w:val="22"/>
        </w:rPr>
      </w:pPr>
      <w:r w:rsidRPr="00371C35">
        <w:rPr>
          <w:rFonts w:asciiTheme="minorHAnsi" w:hAnsiTheme="minorHAnsi"/>
          <w:sz w:val="22"/>
          <w:szCs w:val="22"/>
        </w:rPr>
        <w:t>Not report that the premium filing is the final filing for the plan</w:t>
      </w:r>
    </w:p>
    <w:p w14:paraId="4C5B1245" w14:textId="169643A5" w:rsidR="00371C35" w:rsidRPr="00371C35" w:rsidRDefault="00371C35" w:rsidP="00371C35">
      <w:pPr>
        <w:numPr>
          <w:ilvl w:val="0"/>
          <w:numId w:val="59"/>
        </w:numPr>
        <w:autoSpaceDE w:val="0"/>
        <w:autoSpaceDN w:val="0"/>
        <w:spacing w:before="120"/>
        <w:ind w:left="360"/>
        <w:rPr>
          <w:rFonts w:asciiTheme="minorHAnsi" w:hAnsiTheme="minorHAnsi"/>
          <w:sz w:val="22"/>
          <w:szCs w:val="22"/>
        </w:rPr>
      </w:pPr>
      <w:r w:rsidRPr="00371C35">
        <w:rPr>
          <w:rFonts w:asciiTheme="minorHAnsi" w:hAnsiTheme="minorHAnsi"/>
          <w:sz w:val="22"/>
          <w:szCs w:val="22"/>
        </w:rPr>
        <w:t>Pay the entire premium, without proration and with</w:t>
      </w:r>
      <w:r w:rsidR="007736F5">
        <w:rPr>
          <w:rFonts w:asciiTheme="minorHAnsi" w:hAnsiTheme="minorHAnsi"/>
          <w:sz w:val="22"/>
          <w:szCs w:val="22"/>
        </w:rPr>
        <w:t>out</w:t>
      </w:r>
      <w:r w:rsidRPr="00371C35">
        <w:rPr>
          <w:rFonts w:asciiTheme="minorHAnsi" w:hAnsiTheme="minorHAnsi"/>
          <w:sz w:val="22"/>
          <w:szCs w:val="22"/>
        </w:rPr>
        <w:t xml:space="preserve"> regard to the Variable-rate Premium exe</w:t>
      </w:r>
      <w:r w:rsidR="00F1420B">
        <w:rPr>
          <w:rFonts w:asciiTheme="minorHAnsi" w:hAnsiTheme="minorHAnsi"/>
          <w:sz w:val="22"/>
          <w:szCs w:val="22"/>
        </w:rPr>
        <w:t>mp</w:t>
      </w:r>
      <w:r w:rsidRPr="00371C35">
        <w:rPr>
          <w:rFonts w:asciiTheme="minorHAnsi" w:hAnsiTheme="minorHAnsi"/>
          <w:sz w:val="22"/>
          <w:szCs w:val="22"/>
        </w:rPr>
        <w:t>tion for plans distributing a</w:t>
      </w:r>
      <w:r>
        <w:rPr>
          <w:rFonts w:asciiTheme="minorHAnsi" w:hAnsiTheme="minorHAnsi"/>
          <w:sz w:val="22"/>
          <w:szCs w:val="22"/>
        </w:rPr>
        <w:t xml:space="preserve">ssets during the </w:t>
      </w:r>
      <w:r w:rsidRPr="005C5B52">
        <w:rPr>
          <w:rFonts w:asciiTheme="minorHAnsi" w:hAnsiTheme="minorHAnsi"/>
          <w:sz w:val="22"/>
          <w:szCs w:val="22"/>
        </w:rPr>
        <w:t>plan year (For information about exemption, see instructions for line 7c in</w:t>
      </w:r>
      <w:r w:rsidR="005C5B52">
        <w:rPr>
          <w:rFonts w:asciiTheme="minorHAnsi" w:hAnsiTheme="minorHAnsi"/>
          <w:sz w:val="22"/>
          <w:szCs w:val="22"/>
        </w:rPr>
        <w:t xml:space="preserve"> the</w:t>
      </w:r>
      <w:r w:rsidRPr="005C5B52">
        <w:rPr>
          <w:rFonts w:asciiTheme="minorHAnsi" w:hAnsiTheme="minorHAnsi"/>
          <w:sz w:val="22"/>
          <w:szCs w:val="22"/>
        </w:rPr>
        <w:t xml:space="preserve"> “</w:t>
      </w:r>
      <w:hyperlink w:anchor="toc25" w:history="1">
        <w:r w:rsidR="005C5B52" w:rsidRPr="005C5B52">
          <w:rPr>
            <w:rStyle w:val="Hyperlink"/>
            <w:rFonts w:asciiTheme="minorHAnsi" w:hAnsiTheme="minorHAnsi"/>
            <w:bCs/>
            <w:sz w:val="22"/>
            <w:szCs w:val="22"/>
            <w:u w:val="none"/>
          </w:rPr>
          <w:t>Description of Data Elements</w:t>
        </w:r>
      </w:hyperlink>
      <w:r>
        <w:rPr>
          <w:rFonts w:asciiTheme="minorHAnsi" w:hAnsiTheme="minorHAnsi"/>
          <w:sz w:val="22"/>
          <w:szCs w:val="22"/>
        </w:rPr>
        <w:t>”</w:t>
      </w:r>
      <w:r w:rsidRPr="00371C35">
        <w:rPr>
          <w:rFonts w:asciiTheme="minorHAnsi" w:hAnsiTheme="minorHAnsi"/>
          <w:sz w:val="22"/>
          <w:szCs w:val="22"/>
        </w:rPr>
        <w:t xml:space="preserve"> </w:t>
      </w:r>
      <w:r>
        <w:rPr>
          <w:rFonts w:asciiTheme="minorHAnsi" w:hAnsiTheme="minorHAnsi"/>
          <w:sz w:val="22"/>
          <w:szCs w:val="22"/>
        </w:rPr>
        <w:t>section</w:t>
      </w:r>
      <w:r w:rsidRPr="00371C35">
        <w:rPr>
          <w:rFonts w:asciiTheme="minorHAnsi" w:hAnsiTheme="minorHAnsi"/>
          <w:sz w:val="22"/>
          <w:szCs w:val="22"/>
        </w:rPr>
        <w:t>)</w:t>
      </w:r>
      <w:r>
        <w:rPr>
          <w:rFonts w:asciiTheme="minorHAnsi" w:hAnsiTheme="minorHAnsi"/>
          <w:sz w:val="22"/>
          <w:szCs w:val="22"/>
        </w:rPr>
        <w:t xml:space="preserve"> </w:t>
      </w:r>
    </w:p>
    <w:p w14:paraId="5CD8D1AF" w14:textId="1106EFF7" w:rsidR="00371C35" w:rsidRPr="00371C35" w:rsidRDefault="00371C35" w:rsidP="00371C35">
      <w:pPr>
        <w:autoSpaceDE w:val="0"/>
        <w:autoSpaceDN w:val="0"/>
        <w:spacing w:before="120"/>
        <w:rPr>
          <w:rFonts w:asciiTheme="minorHAnsi" w:hAnsiTheme="minorHAnsi"/>
          <w:sz w:val="22"/>
          <w:szCs w:val="22"/>
        </w:rPr>
      </w:pPr>
      <w:r w:rsidRPr="00371C35">
        <w:rPr>
          <w:rFonts w:asciiTheme="minorHAnsi" w:hAnsiTheme="minorHAnsi"/>
          <w:sz w:val="22"/>
          <w:szCs w:val="22"/>
        </w:rPr>
        <w:t>With this approach, it will not be necessary to amend the premium filing if it turns out the distributions are completed before year end.  Rather, after Form 501 (</w:t>
      </w:r>
      <w:r w:rsidR="002F5DD1" w:rsidRPr="002F5DD1">
        <w:rPr>
          <w:rFonts w:asciiTheme="minorHAnsi" w:hAnsiTheme="minorHAnsi"/>
          <w:sz w:val="22"/>
          <w:szCs w:val="22"/>
        </w:rPr>
        <w:t>Post-Distribution Certification</w:t>
      </w:r>
      <w:r w:rsidR="002F5DD1">
        <w:rPr>
          <w:rFonts w:asciiTheme="minorHAnsi" w:hAnsiTheme="minorHAnsi"/>
          <w:sz w:val="22"/>
          <w:szCs w:val="22"/>
        </w:rPr>
        <w:t>)</w:t>
      </w:r>
      <w:r w:rsidRPr="00371C35">
        <w:rPr>
          <w:rFonts w:asciiTheme="minorHAnsi" w:hAnsiTheme="minorHAnsi"/>
          <w:sz w:val="22"/>
          <w:szCs w:val="22"/>
        </w:rPr>
        <w:t xml:space="preserve"> is processed, PBGC will automatically prorate the premium, apply the Variable-rate premium exemption and close out the premium account. Any overpayment will be available for refund. The refund can be requested via email or in MyPAA.</w:t>
      </w:r>
    </w:p>
    <w:p w14:paraId="04F100A4" w14:textId="77777777" w:rsidR="00371C35" w:rsidRPr="00371C35" w:rsidRDefault="00371C35" w:rsidP="00371C35">
      <w:pPr>
        <w:spacing w:before="120"/>
      </w:pPr>
    </w:p>
    <w:p w14:paraId="4370DF56" w14:textId="77777777" w:rsidR="003F02D9" w:rsidRDefault="003F02D9">
      <w:pPr>
        <w:rPr>
          <w:rFonts w:asciiTheme="minorHAnsi" w:hAnsiTheme="minorHAnsi"/>
          <w:b/>
          <w:bCs/>
          <w:sz w:val="22"/>
          <w:szCs w:val="22"/>
        </w:rPr>
      </w:pPr>
      <w:r>
        <w:rPr>
          <w:rFonts w:asciiTheme="minorHAnsi" w:hAnsiTheme="minorHAnsi"/>
          <w:b/>
          <w:bCs/>
          <w:sz w:val="22"/>
          <w:szCs w:val="22"/>
        </w:rPr>
        <w:br w:type="page"/>
      </w:r>
    </w:p>
    <w:p w14:paraId="5C34BB96"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One Plan </w:t>
      </w:r>
      <w:r w:rsidR="0096508C" w:rsidRPr="00F62144">
        <w:rPr>
          <w:rFonts w:asciiTheme="minorHAnsi" w:hAnsiTheme="minorHAnsi"/>
          <w:b/>
          <w:bCs/>
          <w:sz w:val="22"/>
          <w:szCs w:val="22"/>
        </w:rPr>
        <w:t>or</w:t>
      </w:r>
      <w:r w:rsidRPr="00F62144">
        <w:rPr>
          <w:rFonts w:asciiTheme="minorHAnsi" w:hAnsiTheme="minorHAnsi"/>
          <w:b/>
          <w:bCs/>
          <w:sz w:val="22"/>
          <w:szCs w:val="22"/>
        </w:rPr>
        <w:t xml:space="preserve"> More Than One?</w:t>
      </w:r>
    </w:p>
    <w:p w14:paraId="6E0D3F0F"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several unrelated employers participate in a program of benefits wherein the funds attributable to each employer are available to pay benefits to all participants, then there is a single Multiemployer or Multiple-employer Plan and the Plan Administrator must file and pay premiums for the plan as a whole. Separate filings and premiums cannot be submitted for each individual employer.</w:t>
      </w:r>
    </w:p>
    <w:p w14:paraId="0D390CED"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several employers participate in a program of benefits wherein the funds attributable to each employer are available only to pay benefits to that employer’s employees, then there are several plans (one for each employer) and the Plan Administrator must file and pay premiums separately for the plan of each individual employer.</w:t>
      </w:r>
    </w:p>
    <w:p w14:paraId="60B197E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separate plans are maintained for different groups of employees, regardless of whether each is maintained by the same employer or by employers that are part of the same controlled group, then the Plan Administrator(s) must file and pay premiums separately for each plan.</w:t>
      </w:r>
    </w:p>
    <w:p w14:paraId="181DF893"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50D5EFF3"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When Filing Obligation Ceases</w:t>
      </w:r>
    </w:p>
    <w:p w14:paraId="3A63213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14:paraId="07FEBA1D" w14:textId="77777777" w:rsidR="00F12837" w:rsidRPr="00F62144" w:rsidRDefault="00F12837" w:rsidP="00023A8E">
      <w:pPr>
        <w:numPr>
          <w:ilvl w:val="0"/>
          <w:numId w:val="1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Plan assets are distributed in satisfaction of all Benefit Liabilities pursuant to the plan’s termination. </w:t>
      </w:r>
    </w:p>
    <w:p w14:paraId="5236B0AB" w14:textId="77777777" w:rsidR="00F12837" w:rsidRPr="00F62144" w:rsidRDefault="00F12837" w:rsidP="00023A8E">
      <w:pPr>
        <w:numPr>
          <w:ilvl w:val="0"/>
          <w:numId w:val="1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p>
    <w:p w14:paraId="17246A90" w14:textId="77777777" w:rsidR="00F12837" w:rsidRPr="00F62144" w:rsidRDefault="00F12837" w:rsidP="00023A8E">
      <w:pPr>
        <w:numPr>
          <w:ilvl w:val="0"/>
          <w:numId w:val="1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disappears by transferring all its assets and liabilities to one or more other plans in a Merger or Consolidation.</w:t>
      </w:r>
    </w:p>
    <w:p w14:paraId="6B18D301" w14:textId="77777777" w:rsidR="00F12837" w:rsidRPr="00F62144" w:rsidRDefault="00F12837" w:rsidP="00023A8E">
      <w:pPr>
        <w:numPr>
          <w:ilvl w:val="0"/>
          <w:numId w:val="1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ceases to be a covered plan under ERISA section 4021.</w:t>
      </w:r>
    </w:p>
    <w:p w14:paraId="3263AC2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14:paraId="34CFFF1A"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F62144">
        <w:rPr>
          <w:rFonts w:asciiTheme="minorHAnsi" w:hAnsiTheme="minorHAnsi"/>
          <w:sz w:val="22"/>
          <w:szCs w:val="22"/>
        </w:rPr>
        <w:t xml:space="preserve"> A calendar-year plan terminates in a standard termination with a </w:t>
      </w:r>
      <w:r w:rsidR="000B1E01" w:rsidRPr="00F62144">
        <w:rPr>
          <w:rFonts w:asciiTheme="minorHAnsi" w:hAnsiTheme="minorHAnsi"/>
          <w:sz w:val="22"/>
          <w:szCs w:val="22"/>
        </w:rPr>
        <w:t>termination date of September 29</w:t>
      </w:r>
      <w:r w:rsidRPr="00F62144">
        <w:rPr>
          <w:rFonts w:asciiTheme="minorHAnsi" w:hAnsiTheme="minorHAnsi"/>
          <w:sz w:val="22"/>
          <w:szCs w:val="22"/>
        </w:rPr>
        <w:t xml:space="preserve">, </w:t>
      </w:r>
      <w:r w:rsidR="00AE348E">
        <w:rPr>
          <w:rFonts w:asciiTheme="minorHAnsi" w:hAnsiTheme="minorHAnsi"/>
          <w:sz w:val="22"/>
          <w:szCs w:val="22"/>
        </w:rPr>
        <w:t>2017</w:t>
      </w:r>
      <w:r w:rsidRPr="00F62144">
        <w:rPr>
          <w:rFonts w:asciiTheme="minorHAnsi" w:hAnsiTheme="minorHAnsi"/>
          <w:sz w:val="22"/>
          <w:szCs w:val="22"/>
        </w:rPr>
        <w:t xml:space="preserve">. </w:t>
      </w:r>
      <w:r w:rsidR="000B1E01" w:rsidRPr="00F62144">
        <w:rPr>
          <w:rFonts w:asciiTheme="minorHAnsi" w:hAnsiTheme="minorHAnsi"/>
          <w:sz w:val="22"/>
          <w:szCs w:val="22"/>
        </w:rPr>
        <w:t>On April 6</w:t>
      </w:r>
      <w:r w:rsidRPr="00F62144">
        <w:rPr>
          <w:rFonts w:asciiTheme="minorHAnsi" w:hAnsiTheme="minorHAnsi"/>
          <w:sz w:val="22"/>
          <w:szCs w:val="22"/>
        </w:rPr>
        <w:t xml:space="preserve">, </w:t>
      </w:r>
      <w:r w:rsidR="00AE348E">
        <w:rPr>
          <w:rFonts w:asciiTheme="minorHAnsi" w:hAnsiTheme="minorHAnsi"/>
          <w:sz w:val="22"/>
          <w:szCs w:val="22"/>
        </w:rPr>
        <w:t>2018</w:t>
      </w:r>
      <w:r w:rsidRPr="00F62144">
        <w:rPr>
          <w:rFonts w:asciiTheme="minorHAnsi" w:hAnsiTheme="minorHAnsi"/>
          <w:sz w:val="22"/>
          <w:szCs w:val="22"/>
        </w:rPr>
        <w:t xml:space="preserve">, assets are distributed in satisfaction of all Benefit Liabilities. The Plan Administrator must file and make the premium payments for the </w:t>
      </w:r>
      <w:r w:rsidR="00AE348E">
        <w:rPr>
          <w:rFonts w:asciiTheme="minorHAnsi" w:hAnsiTheme="minorHAnsi"/>
          <w:sz w:val="22"/>
          <w:szCs w:val="22"/>
        </w:rPr>
        <w:t>2017</w:t>
      </w:r>
      <w:r w:rsidR="00B87170" w:rsidRPr="00F62144">
        <w:rPr>
          <w:rFonts w:asciiTheme="minorHAnsi" w:hAnsiTheme="minorHAnsi"/>
          <w:sz w:val="22"/>
          <w:szCs w:val="22"/>
        </w:rPr>
        <w:t xml:space="preserve"> </w:t>
      </w:r>
      <w:r w:rsidRPr="00F62144">
        <w:rPr>
          <w:rFonts w:asciiTheme="minorHAnsi" w:hAnsiTheme="minorHAnsi"/>
          <w:sz w:val="22"/>
          <w:szCs w:val="22"/>
        </w:rPr>
        <w:t xml:space="preserve">and </w:t>
      </w:r>
      <w:r w:rsidR="00AE348E">
        <w:rPr>
          <w:rFonts w:asciiTheme="minorHAnsi" w:hAnsiTheme="minorHAnsi"/>
          <w:sz w:val="22"/>
          <w:szCs w:val="22"/>
        </w:rPr>
        <w:t>2018</w:t>
      </w:r>
      <w:r w:rsidR="009C7F13" w:rsidRPr="00F62144">
        <w:rPr>
          <w:rFonts w:asciiTheme="minorHAnsi" w:hAnsiTheme="minorHAnsi"/>
          <w:sz w:val="22"/>
          <w:szCs w:val="22"/>
        </w:rPr>
        <w:t xml:space="preserve"> </w:t>
      </w:r>
      <w:r w:rsidRPr="00F62144">
        <w:rPr>
          <w:rFonts w:asciiTheme="minorHAnsi" w:hAnsiTheme="minorHAnsi"/>
          <w:sz w:val="22"/>
          <w:szCs w:val="22"/>
        </w:rPr>
        <w:t>plan years.</w:t>
      </w:r>
      <w:r w:rsidR="00066B37">
        <w:rPr>
          <w:rFonts w:asciiTheme="minorHAnsi" w:hAnsiTheme="minorHAnsi"/>
          <w:sz w:val="22"/>
          <w:szCs w:val="22"/>
        </w:rPr>
        <w:t xml:space="preserve"> </w:t>
      </w:r>
      <w:r w:rsidR="00F21244">
        <w:rPr>
          <w:rFonts w:asciiTheme="minorHAnsi" w:hAnsiTheme="minorHAnsi"/>
          <w:sz w:val="22"/>
          <w:szCs w:val="22"/>
        </w:rPr>
        <w:t xml:space="preserve"> </w:t>
      </w:r>
      <w:r w:rsidR="00066B37" w:rsidRPr="00066B37">
        <w:rPr>
          <w:rFonts w:asciiTheme="minorHAnsi" w:hAnsiTheme="minorHAnsi"/>
          <w:sz w:val="22"/>
          <w:szCs w:val="22"/>
        </w:rPr>
        <w:t>The</w:t>
      </w:r>
      <w:r w:rsidR="00066B37">
        <w:rPr>
          <w:rFonts w:asciiTheme="minorHAnsi" w:hAnsiTheme="minorHAnsi"/>
          <w:sz w:val="22"/>
          <w:szCs w:val="22"/>
        </w:rPr>
        <w:t>re is also an obligation to file a</w:t>
      </w:r>
      <w:r w:rsidR="00066B37" w:rsidRPr="00066B37">
        <w:rPr>
          <w:rFonts w:asciiTheme="minorHAnsi" w:hAnsiTheme="minorHAnsi"/>
          <w:sz w:val="22"/>
          <w:szCs w:val="22"/>
        </w:rPr>
        <w:t xml:space="preserve"> post-distribution certification (Form 501) as part the standard termination process</w:t>
      </w:r>
      <w:r w:rsidR="00066B37">
        <w:rPr>
          <w:rFonts w:asciiTheme="minorHAnsi" w:hAnsiTheme="minorHAnsi"/>
          <w:sz w:val="22"/>
          <w:szCs w:val="22"/>
        </w:rPr>
        <w:t>.</w:t>
      </w:r>
      <w:r w:rsidR="00066B37" w:rsidRPr="00066B37">
        <w:rPr>
          <w:rFonts w:asciiTheme="minorHAnsi" w:hAnsiTheme="minorHAnsi"/>
          <w:sz w:val="22"/>
          <w:szCs w:val="22"/>
        </w:rPr>
        <w:t xml:space="preserve"> See § 4041.29 for additional information.</w:t>
      </w:r>
    </w:p>
    <w:p w14:paraId="2A7A655C"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 </w:t>
      </w:r>
      <w:r w:rsidRPr="00F62144">
        <w:rPr>
          <w:rFonts w:asciiTheme="minorHAnsi" w:hAnsiTheme="minorHAnsi"/>
          <w:sz w:val="22"/>
          <w:szCs w:val="22"/>
        </w:rPr>
        <w:t>A plan with a plan year beginning July 1 and ending June 30 terminates in a distress termination wit</w:t>
      </w:r>
      <w:r w:rsidR="000B1E01" w:rsidRPr="00F62144">
        <w:rPr>
          <w:rFonts w:asciiTheme="minorHAnsi" w:hAnsiTheme="minorHAnsi"/>
          <w:sz w:val="22"/>
          <w:szCs w:val="22"/>
        </w:rPr>
        <w:t>h a termination date of April 27</w:t>
      </w:r>
      <w:r w:rsidRPr="00F62144">
        <w:rPr>
          <w:rFonts w:asciiTheme="minorHAnsi" w:hAnsiTheme="minorHAnsi"/>
          <w:sz w:val="22"/>
          <w:szCs w:val="22"/>
        </w:rPr>
        <w:t xml:space="preserve">, </w:t>
      </w:r>
      <w:r w:rsidR="00AE348E">
        <w:rPr>
          <w:rFonts w:asciiTheme="minorHAnsi" w:hAnsiTheme="minorHAnsi"/>
          <w:sz w:val="22"/>
          <w:szCs w:val="22"/>
        </w:rPr>
        <w:t>2018</w:t>
      </w:r>
      <w:r w:rsidRPr="00F62144">
        <w:rPr>
          <w:rFonts w:asciiTheme="minorHAnsi" w:hAnsiTheme="minorHAnsi"/>
          <w:sz w:val="22"/>
          <w:szCs w:val="22"/>
        </w:rPr>
        <w:t xml:space="preserve">. </w:t>
      </w:r>
      <w:r w:rsidR="000B1E01" w:rsidRPr="00F62144">
        <w:rPr>
          <w:rFonts w:asciiTheme="minorHAnsi" w:hAnsiTheme="minorHAnsi"/>
          <w:sz w:val="22"/>
          <w:szCs w:val="22"/>
        </w:rPr>
        <w:t>On July 6</w:t>
      </w:r>
      <w:r w:rsidRPr="00F62144">
        <w:rPr>
          <w:rFonts w:asciiTheme="minorHAnsi" w:hAnsiTheme="minorHAnsi"/>
          <w:sz w:val="22"/>
          <w:szCs w:val="22"/>
        </w:rPr>
        <w:t xml:space="preserve">, </w:t>
      </w:r>
      <w:r w:rsidR="00AE348E">
        <w:rPr>
          <w:rFonts w:asciiTheme="minorHAnsi" w:hAnsiTheme="minorHAnsi"/>
          <w:sz w:val="22"/>
          <w:szCs w:val="22"/>
        </w:rPr>
        <w:t>2018</w:t>
      </w:r>
      <w:r w:rsidRPr="00F62144">
        <w:rPr>
          <w:rFonts w:asciiTheme="minorHAnsi" w:hAnsiTheme="minorHAnsi"/>
          <w:sz w:val="22"/>
          <w:szCs w:val="22"/>
        </w:rPr>
        <w:t xml:space="preserve">, a trustee is appointed to administer the plan under ERISA section 4042. Premium filings and payments must be made for this plan for both the </w:t>
      </w:r>
      <w:r w:rsidR="00AE348E">
        <w:rPr>
          <w:rFonts w:asciiTheme="minorHAnsi" w:hAnsiTheme="minorHAnsi"/>
          <w:sz w:val="22"/>
          <w:szCs w:val="22"/>
        </w:rPr>
        <w:t>2017</w:t>
      </w:r>
      <w:r w:rsidR="00B87170" w:rsidRPr="00F62144">
        <w:rPr>
          <w:rFonts w:asciiTheme="minorHAnsi" w:hAnsiTheme="minorHAnsi"/>
          <w:sz w:val="22"/>
          <w:szCs w:val="22"/>
        </w:rPr>
        <w:t xml:space="preserve"> </w:t>
      </w:r>
      <w:r w:rsidRPr="00F62144">
        <w:rPr>
          <w:rFonts w:asciiTheme="minorHAnsi" w:hAnsiTheme="minorHAnsi"/>
          <w:sz w:val="22"/>
          <w:szCs w:val="22"/>
        </w:rPr>
        <w:t xml:space="preserve">and </w:t>
      </w:r>
      <w:r w:rsidR="00AE348E">
        <w:rPr>
          <w:rFonts w:asciiTheme="minorHAnsi" w:hAnsiTheme="minorHAnsi"/>
          <w:sz w:val="22"/>
          <w:szCs w:val="22"/>
        </w:rPr>
        <w:t>2018</w:t>
      </w:r>
      <w:r w:rsidR="00B87170" w:rsidRPr="00F62144">
        <w:rPr>
          <w:rFonts w:asciiTheme="minorHAnsi" w:hAnsiTheme="minorHAnsi"/>
          <w:sz w:val="22"/>
          <w:szCs w:val="22"/>
        </w:rPr>
        <w:t xml:space="preserve"> </w:t>
      </w:r>
      <w:r w:rsidRPr="00F62144">
        <w:rPr>
          <w:rFonts w:asciiTheme="minorHAnsi" w:hAnsiTheme="minorHAnsi"/>
          <w:sz w:val="22"/>
          <w:szCs w:val="22"/>
        </w:rPr>
        <w:t xml:space="preserve">plan years, because a trustee was not appointed until after the beginning of the </w:t>
      </w:r>
      <w:r w:rsidR="00AE348E">
        <w:rPr>
          <w:rFonts w:asciiTheme="minorHAnsi" w:hAnsiTheme="minorHAnsi"/>
          <w:sz w:val="22"/>
          <w:szCs w:val="22"/>
        </w:rPr>
        <w:t>2018</w:t>
      </w:r>
      <w:r w:rsidR="00B87170" w:rsidRPr="00F62144">
        <w:rPr>
          <w:rFonts w:asciiTheme="minorHAnsi" w:hAnsiTheme="minorHAnsi"/>
          <w:sz w:val="22"/>
          <w:szCs w:val="22"/>
        </w:rPr>
        <w:t xml:space="preserve"> </w:t>
      </w:r>
      <w:r w:rsidRPr="00F62144">
        <w:rPr>
          <w:rFonts w:asciiTheme="minorHAnsi" w:hAnsiTheme="minorHAnsi"/>
          <w:sz w:val="22"/>
          <w:szCs w:val="22"/>
        </w:rPr>
        <w:t xml:space="preserve">plan year. </w:t>
      </w:r>
    </w:p>
    <w:p w14:paraId="348F36E4" w14:textId="77777777" w:rsidR="00256B9B" w:rsidRPr="00F62144" w:rsidRDefault="00256B9B" w:rsidP="00F12837">
      <w:pPr>
        <w:autoSpaceDE w:val="0"/>
        <w:autoSpaceDN w:val="0"/>
        <w:adjustRightInd w:val="0"/>
        <w:spacing w:before="120"/>
        <w:rPr>
          <w:rFonts w:asciiTheme="minorHAnsi" w:hAnsiTheme="minorHAnsi"/>
          <w:b/>
          <w:bCs/>
          <w:sz w:val="22"/>
          <w:szCs w:val="22"/>
        </w:rPr>
        <w:sectPr w:rsidR="00256B9B" w:rsidRPr="00F62144" w:rsidSect="005C4FCB">
          <w:headerReference w:type="even" r:id="rId63"/>
          <w:headerReference w:type="default" r:id="rId64"/>
          <w:headerReference w:type="first" r:id="rId65"/>
          <w:pgSz w:w="12240" w:h="15840" w:code="1"/>
          <w:pgMar w:top="1440" w:right="1080" w:bottom="1440" w:left="1080" w:header="720" w:footer="720" w:gutter="0"/>
          <w:cols w:space="720"/>
          <w:noEndnote/>
          <w:docGrid w:linePitch="326"/>
        </w:sectPr>
      </w:pPr>
    </w:p>
    <w:p w14:paraId="753992B4" w14:textId="77777777" w:rsidR="00F12837" w:rsidRPr="00F62144" w:rsidRDefault="001C197D" w:rsidP="00F12837">
      <w:pPr>
        <w:autoSpaceDE w:val="0"/>
        <w:autoSpaceDN w:val="0"/>
        <w:adjustRightInd w:val="0"/>
        <w:spacing w:before="120"/>
        <w:rPr>
          <w:rFonts w:asciiTheme="minorHAnsi" w:hAnsiTheme="minorHAnsi"/>
          <w:b/>
          <w:bCs/>
          <w:sz w:val="22"/>
          <w:szCs w:val="22"/>
        </w:rPr>
      </w:pPr>
      <w:bookmarkStart w:id="8" w:name="b1"/>
      <w:bookmarkStart w:id="9" w:name="toc4"/>
      <w:bookmarkEnd w:id="8"/>
      <w:bookmarkEnd w:id="9"/>
      <w:r w:rsidRPr="00F62144">
        <w:rPr>
          <w:rFonts w:asciiTheme="minorHAnsi" w:hAnsiTheme="minorHAnsi"/>
          <w:b/>
          <w:bCs/>
          <w:sz w:val="22"/>
          <w:szCs w:val="22"/>
        </w:rPr>
        <w:t>Introduction</w:t>
      </w:r>
    </w:p>
    <w:p w14:paraId="3CBE0757"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 A filing includes both the submission of required data and the payment of any required premium. In general, if a filing is not made by the due date, late payment charges will apply. Late payment charges include both interest charges and penalty charges. See “</w:t>
      </w:r>
      <w:hyperlink w:anchor="b10"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14:paraId="612C697F" w14:textId="77777777" w:rsidR="00696EDC" w:rsidRPr="00F62144" w:rsidRDefault="00696EDC" w:rsidP="00F12837">
      <w:pPr>
        <w:autoSpaceDE w:val="0"/>
        <w:autoSpaceDN w:val="0"/>
        <w:adjustRightInd w:val="0"/>
        <w:spacing w:before="120"/>
        <w:rPr>
          <w:rFonts w:asciiTheme="minorHAnsi" w:hAnsiTheme="minorHAnsi"/>
          <w:b/>
          <w:bCs/>
          <w:sz w:val="22"/>
          <w:szCs w:val="22"/>
        </w:rPr>
      </w:pPr>
    </w:p>
    <w:p w14:paraId="7FD8259E" w14:textId="77777777" w:rsidR="00F12837" w:rsidRPr="00F62144" w:rsidRDefault="00C73101"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002E42AF" w:rsidRPr="00F62144">
        <w:rPr>
          <w:rFonts w:asciiTheme="minorHAnsi" w:hAnsiTheme="minorHAnsi"/>
          <w:b/>
          <w:bCs/>
          <w:sz w:val="22"/>
          <w:szCs w:val="22"/>
        </w:rPr>
        <w:t xml:space="preserve"> </w:t>
      </w:r>
      <w:r w:rsidR="00E47CC1" w:rsidRPr="00F62144">
        <w:rPr>
          <w:rFonts w:asciiTheme="minorHAnsi" w:hAnsiTheme="minorHAnsi"/>
          <w:b/>
          <w:bCs/>
          <w:sz w:val="22"/>
          <w:szCs w:val="22"/>
        </w:rPr>
        <w:t xml:space="preserve">Premium </w:t>
      </w:r>
      <w:r w:rsidR="0099421B" w:rsidRPr="00F62144">
        <w:rPr>
          <w:rFonts w:asciiTheme="minorHAnsi" w:hAnsiTheme="minorHAnsi"/>
          <w:b/>
          <w:bCs/>
          <w:sz w:val="22"/>
          <w:szCs w:val="22"/>
        </w:rPr>
        <w:t>Due Date</w:t>
      </w:r>
    </w:p>
    <w:p w14:paraId="2228219A" w14:textId="77777777" w:rsidR="0099421B" w:rsidRPr="00F62144" w:rsidRDefault="00696EDC" w:rsidP="009061D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00C73101" w:rsidRPr="00F62144">
        <w:rPr>
          <w:rFonts w:asciiTheme="minorHAnsi" w:hAnsiTheme="minorHAnsi"/>
          <w:sz w:val="22"/>
          <w:szCs w:val="22"/>
        </w:rPr>
        <w:t>Normal</w:t>
      </w:r>
      <w:r w:rsidRPr="00F62144">
        <w:rPr>
          <w:rFonts w:asciiTheme="minorHAnsi" w:hAnsiTheme="minorHAnsi"/>
          <w:sz w:val="22"/>
          <w:szCs w:val="22"/>
        </w:rPr>
        <w:t xml:space="preserve"> </w:t>
      </w:r>
      <w:r w:rsidR="00E47CC1" w:rsidRPr="00F62144">
        <w:rPr>
          <w:rFonts w:asciiTheme="minorHAnsi" w:hAnsiTheme="minorHAnsi"/>
          <w:sz w:val="22"/>
          <w:szCs w:val="22"/>
        </w:rPr>
        <w:t>Premium</w:t>
      </w:r>
      <w:r w:rsidR="00C73101" w:rsidRPr="00F62144">
        <w:rPr>
          <w:rFonts w:asciiTheme="minorHAnsi" w:hAnsiTheme="minorHAnsi"/>
          <w:sz w:val="22"/>
          <w:szCs w:val="22"/>
        </w:rPr>
        <w:t xml:space="preserve"> </w:t>
      </w:r>
      <w:r w:rsidRPr="00F62144">
        <w:rPr>
          <w:rFonts w:asciiTheme="minorHAnsi" w:hAnsiTheme="minorHAnsi"/>
          <w:sz w:val="22"/>
          <w:szCs w:val="22"/>
        </w:rPr>
        <w:t xml:space="preserve">Due Date applies </w:t>
      </w:r>
      <w:r w:rsidR="0099421B" w:rsidRPr="00F62144">
        <w:rPr>
          <w:rFonts w:asciiTheme="minorHAnsi" w:hAnsiTheme="minorHAnsi"/>
          <w:sz w:val="22"/>
          <w:szCs w:val="22"/>
        </w:rPr>
        <w:t>unless:</w:t>
      </w:r>
    </w:p>
    <w:p w14:paraId="789DC684" w14:textId="77777777" w:rsidR="00696EDC" w:rsidRPr="00F62144" w:rsidRDefault="00696EDC" w:rsidP="00023A8E">
      <w:pPr>
        <w:numPr>
          <w:ilvl w:val="0"/>
          <w:numId w:val="32"/>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0085638D" w:rsidRPr="00F62144">
        <w:rPr>
          <w:rFonts w:asciiTheme="minorHAnsi" w:hAnsiTheme="minorHAnsi"/>
          <w:bCs/>
          <w:sz w:val="22"/>
          <w:szCs w:val="22"/>
        </w:rPr>
        <w:t xml:space="preserve"> Covered</w:t>
      </w:r>
      <w:r w:rsidRPr="00F62144">
        <w:rPr>
          <w:rFonts w:asciiTheme="minorHAnsi" w:hAnsiTheme="minorHAnsi"/>
          <w:bCs/>
          <w:sz w:val="22"/>
          <w:szCs w:val="22"/>
        </w:rPr>
        <w:t xml:space="preserve"> Plan</w:t>
      </w:r>
      <w:r w:rsidR="007C57FF">
        <w:rPr>
          <w:rFonts w:asciiTheme="minorHAnsi" w:hAnsiTheme="minorHAnsi"/>
          <w:bCs/>
          <w:sz w:val="22"/>
          <w:szCs w:val="22"/>
        </w:rPr>
        <w:t xml:space="preserve"> (including plans created as the result of a mid-year spinoff from another plan)</w:t>
      </w:r>
      <w:r w:rsidRPr="00F62144">
        <w:rPr>
          <w:rFonts w:asciiTheme="minorHAnsi" w:hAnsiTheme="minorHAnsi"/>
          <w:bCs/>
          <w:sz w:val="22"/>
          <w:szCs w:val="22"/>
        </w:rPr>
        <w:t xml:space="preserve">, </w:t>
      </w:r>
    </w:p>
    <w:p w14:paraId="57D5B149" w14:textId="77777777" w:rsidR="00696EDC" w:rsidRPr="00F62144" w:rsidRDefault="00696EDC" w:rsidP="00023A8E">
      <w:pPr>
        <w:numPr>
          <w:ilvl w:val="0"/>
          <w:numId w:val="32"/>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The plan year </w:t>
      </w:r>
      <w:r w:rsidR="00167F08" w:rsidRPr="00F62144">
        <w:rPr>
          <w:rFonts w:asciiTheme="minorHAnsi" w:hAnsiTheme="minorHAnsi"/>
          <w:bCs/>
          <w:sz w:val="22"/>
          <w:szCs w:val="22"/>
        </w:rPr>
        <w:t>c</w:t>
      </w:r>
      <w:r w:rsidRPr="00F62144">
        <w:rPr>
          <w:rFonts w:asciiTheme="minorHAnsi" w:hAnsiTheme="minorHAnsi"/>
          <w:bCs/>
          <w:sz w:val="22"/>
          <w:szCs w:val="22"/>
        </w:rPr>
        <w:t>hanged since last year, or</w:t>
      </w:r>
    </w:p>
    <w:p w14:paraId="3BFF16C2" w14:textId="77777777" w:rsidR="00696EDC" w:rsidRPr="00F62144" w:rsidRDefault="00696EDC" w:rsidP="00023A8E">
      <w:pPr>
        <w:numPr>
          <w:ilvl w:val="0"/>
          <w:numId w:val="32"/>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All assets </w:t>
      </w:r>
      <w:r w:rsidR="00167F08" w:rsidRPr="00F62144">
        <w:rPr>
          <w:rFonts w:asciiTheme="minorHAnsi" w:hAnsiTheme="minorHAnsi"/>
          <w:bCs/>
          <w:sz w:val="22"/>
          <w:szCs w:val="22"/>
        </w:rPr>
        <w:t>are</w:t>
      </w:r>
      <w:r w:rsidRPr="00F62144">
        <w:rPr>
          <w:rFonts w:asciiTheme="minorHAnsi" w:hAnsiTheme="minorHAnsi"/>
          <w:bCs/>
          <w:sz w:val="22"/>
          <w:szCs w:val="22"/>
        </w:rPr>
        <w:t xml:space="preserve"> distributed </w:t>
      </w:r>
      <w:r w:rsidR="009A52B9" w:rsidRPr="00F62144">
        <w:rPr>
          <w:rFonts w:asciiTheme="minorHAnsi" w:hAnsiTheme="minorHAnsi"/>
          <w:bCs/>
          <w:sz w:val="22"/>
          <w:szCs w:val="22"/>
        </w:rPr>
        <w:t xml:space="preserve">during the Premium Payment Year pursuant to </w:t>
      </w:r>
      <w:r w:rsidRPr="00F62144">
        <w:rPr>
          <w:rFonts w:asciiTheme="minorHAnsi" w:hAnsiTheme="minorHAnsi"/>
          <w:bCs/>
          <w:sz w:val="22"/>
          <w:szCs w:val="22"/>
        </w:rPr>
        <w:t>a standard termination.</w:t>
      </w:r>
    </w:p>
    <w:p w14:paraId="4418F721" w14:textId="77777777" w:rsidR="00AC05CA" w:rsidRPr="00F62144" w:rsidRDefault="0099421B" w:rsidP="00AC05C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00C73101" w:rsidRPr="00F62144">
        <w:rPr>
          <w:rFonts w:asciiTheme="minorHAnsi" w:hAnsiTheme="minorHAnsi"/>
          <w:sz w:val="22"/>
          <w:szCs w:val="22"/>
        </w:rPr>
        <w:t>Normal</w:t>
      </w:r>
      <w:r w:rsidRPr="00F62144">
        <w:rPr>
          <w:rFonts w:asciiTheme="minorHAnsi" w:hAnsiTheme="minorHAnsi"/>
          <w:sz w:val="22"/>
          <w:szCs w:val="22"/>
        </w:rPr>
        <w:t xml:space="preserve"> </w:t>
      </w:r>
      <w:r w:rsidR="00E47CC1" w:rsidRPr="00F62144">
        <w:rPr>
          <w:rFonts w:asciiTheme="minorHAnsi" w:hAnsiTheme="minorHAnsi"/>
          <w:sz w:val="22"/>
          <w:szCs w:val="22"/>
        </w:rPr>
        <w:t>Premium</w:t>
      </w:r>
      <w:r w:rsidR="00C73101" w:rsidRPr="00F62144">
        <w:rPr>
          <w:rFonts w:asciiTheme="minorHAnsi" w:hAnsiTheme="minorHAnsi"/>
          <w:sz w:val="22"/>
          <w:szCs w:val="22"/>
        </w:rPr>
        <w:t xml:space="preserve"> </w:t>
      </w:r>
      <w:r w:rsidRPr="00F62144">
        <w:rPr>
          <w:rFonts w:asciiTheme="minorHAnsi" w:hAnsiTheme="minorHAnsi"/>
          <w:sz w:val="22"/>
          <w:szCs w:val="22"/>
        </w:rPr>
        <w:t xml:space="preserve">Due Date is </w:t>
      </w:r>
      <w:r w:rsidRPr="00F62144">
        <w:rPr>
          <w:rFonts w:asciiTheme="minorHAnsi" w:hAnsiTheme="minorHAnsi"/>
          <w:bCs/>
          <w:sz w:val="22"/>
          <w:szCs w:val="22"/>
        </w:rPr>
        <w:t>the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day of the 10</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full calendar month in the plan year (</w:t>
      </w:r>
      <w:r w:rsidRPr="00F62144">
        <w:rPr>
          <w:rFonts w:asciiTheme="minorHAnsi" w:hAnsiTheme="minorHAnsi"/>
          <w:bCs/>
          <w:i/>
          <w:sz w:val="22"/>
          <w:szCs w:val="22"/>
        </w:rPr>
        <w:t>e.g.</w:t>
      </w:r>
      <w:r w:rsidRPr="00F62144">
        <w:rPr>
          <w:rFonts w:asciiTheme="minorHAnsi" w:hAnsiTheme="minorHAnsi"/>
          <w:bCs/>
          <w:sz w:val="22"/>
          <w:szCs w:val="22"/>
        </w:rPr>
        <w:t>, generally October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for calendar-year plans).</w:t>
      </w:r>
      <w:r w:rsidRPr="00F62144">
        <w:rPr>
          <w:rStyle w:val="FootnoteReference"/>
          <w:rFonts w:asciiTheme="minorHAnsi" w:hAnsiTheme="minorHAnsi"/>
          <w:bCs/>
          <w:sz w:val="22"/>
          <w:szCs w:val="22"/>
        </w:rPr>
        <w:footnoteReference w:id="4"/>
      </w:r>
      <w:r w:rsidRPr="00F62144">
        <w:rPr>
          <w:rFonts w:asciiTheme="minorHAnsi" w:hAnsiTheme="minorHAnsi"/>
          <w:bCs/>
          <w:sz w:val="22"/>
          <w:szCs w:val="22"/>
        </w:rPr>
        <w:t xml:space="preserve">  </w:t>
      </w:r>
      <w:r w:rsidR="00AC05CA" w:rsidRPr="00F62144">
        <w:rPr>
          <w:rFonts w:asciiTheme="minorHAnsi" w:hAnsiTheme="minorHAnsi"/>
          <w:bCs/>
          <w:sz w:val="22"/>
          <w:szCs w:val="22"/>
        </w:rPr>
        <w:t xml:space="preserve"> If </w:t>
      </w:r>
      <w:r w:rsidR="00AC05CA" w:rsidRPr="00F62144">
        <w:rPr>
          <w:rFonts w:asciiTheme="minorHAnsi" w:hAnsiTheme="minorHAnsi"/>
          <w:sz w:val="22"/>
          <w:szCs w:val="22"/>
        </w:rPr>
        <w:t>the Normal Premium Due Date falls on a Saturday, Sunday or Federal Holiday</w:t>
      </w:r>
      <w:r w:rsidR="00FC34BB">
        <w:rPr>
          <w:rStyle w:val="FootnoteReference"/>
          <w:rFonts w:asciiTheme="minorHAnsi" w:hAnsiTheme="minorHAnsi"/>
          <w:sz w:val="22"/>
          <w:szCs w:val="22"/>
        </w:rPr>
        <w:footnoteReference w:id="5"/>
      </w:r>
      <w:r w:rsidR="00AC05CA" w:rsidRPr="00F62144">
        <w:rPr>
          <w:rFonts w:asciiTheme="minorHAnsi" w:hAnsiTheme="minorHAnsi"/>
          <w:sz w:val="22"/>
          <w:szCs w:val="22"/>
        </w:rPr>
        <w:t>, the due date is automatically extended to the next business day</w:t>
      </w:r>
      <w:r w:rsidR="00AC05CA" w:rsidRPr="00F62144">
        <w:rPr>
          <w:rStyle w:val="FootnoteReference"/>
          <w:rFonts w:asciiTheme="minorHAnsi" w:hAnsiTheme="minorHAnsi"/>
          <w:sz w:val="22"/>
          <w:szCs w:val="22"/>
        </w:rPr>
        <w:footnoteReference w:id="6"/>
      </w:r>
      <w:r w:rsidR="00AC05CA" w:rsidRPr="00F62144">
        <w:rPr>
          <w:rFonts w:asciiTheme="minorHAnsi" w:hAnsiTheme="minorHAnsi"/>
          <w:sz w:val="22"/>
          <w:szCs w:val="22"/>
        </w:rPr>
        <w:t xml:space="preserve">.  </w:t>
      </w:r>
    </w:p>
    <w:p w14:paraId="0CCD80FD" w14:textId="77777777" w:rsidR="00177E14"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following table shows the </w:t>
      </w:r>
      <w:r w:rsidR="00C73101" w:rsidRPr="00F62144">
        <w:rPr>
          <w:rFonts w:asciiTheme="minorHAnsi" w:hAnsiTheme="minorHAnsi"/>
          <w:sz w:val="22"/>
          <w:szCs w:val="22"/>
        </w:rPr>
        <w:t xml:space="preserve">Normal </w:t>
      </w:r>
      <w:r w:rsidR="00E47CC1" w:rsidRPr="00F62144">
        <w:rPr>
          <w:rFonts w:asciiTheme="minorHAnsi" w:hAnsiTheme="minorHAnsi"/>
          <w:sz w:val="22"/>
          <w:szCs w:val="22"/>
        </w:rPr>
        <w:t>Premium</w:t>
      </w:r>
      <w:r w:rsidR="00C73101" w:rsidRPr="00F62144">
        <w:rPr>
          <w:rFonts w:asciiTheme="minorHAnsi" w:hAnsiTheme="minorHAnsi"/>
          <w:sz w:val="22"/>
          <w:szCs w:val="22"/>
        </w:rPr>
        <w:t xml:space="preserve"> Due Dates</w:t>
      </w:r>
      <w:r w:rsidRPr="00F62144">
        <w:rPr>
          <w:rFonts w:asciiTheme="minorHAnsi" w:hAnsiTheme="minorHAnsi"/>
          <w:sz w:val="22"/>
          <w:szCs w:val="22"/>
        </w:rPr>
        <w:t xml:space="preserve"> for plan years beginning in </w:t>
      </w:r>
      <w:r w:rsidR="00AE348E">
        <w:rPr>
          <w:rFonts w:asciiTheme="minorHAnsi" w:hAnsiTheme="minorHAnsi"/>
          <w:sz w:val="22"/>
          <w:szCs w:val="22"/>
        </w:rPr>
        <w:t>2018</w:t>
      </w:r>
      <w:r w:rsidR="00C73101" w:rsidRPr="00F62144">
        <w:rPr>
          <w:rFonts w:asciiTheme="minorHAnsi" w:hAnsiTheme="minorHAnsi"/>
          <w:sz w:val="22"/>
          <w:szCs w:val="22"/>
        </w:rPr>
        <w:t>:</w:t>
      </w:r>
    </w:p>
    <w:p w14:paraId="42DA0EC6" w14:textId="77777777" w:rsidR="00675AA5" w:rsidRPr="00F62144" w:rsidRDefault="00675AA5" w:rsidP="00675AA5">
      <w:pPr>
        <w:pStyle w:val="FootnoteText"/>
        <w:ind w:left="180" w:hanging="180"/>
        <w:rPr>
          <w:rFonts w:ascii="Calibri" w:hAnsi="Calibri"/>
          <w:sz w:val="18"/>
          <w:szCs w:val="18"/>
        </w:rPr>
      </w:pPr>
    </w:p>
    <w:tbl>
      <w:tblPr>
        <w:tblW w:w="8529" w:type="dxa"/>
        <w:tblLook w:val="0000" w:firstRow="0" w:lastRow="0" w:firstColumn="0" w:lastColumn="0" w:noHBand="0" w:noVBand="0"/>
      </w:tblPr>
      <w:tblGrid>
        <w:gridCol w:w="2484"/>
        <w:gridCol w:w="1978"/>
        <w:gridCol w:w="2108"/>
        <w:gridCol w:w="1959"/>
      </w:tblGrid>
      <w:tr w:rsidR="008741F5" w:rsidRPr="00F62144" w14:paraId="37020DED" w14:textId="77777777" w:rsidTr="002F2508">
        <w:trPr>
          <w:trHeight w:val="360"/>
        </w:trPr>
        <w:tc>
          <w:tcPr>
            <w:tcW w:w="8529" w:type="dxa"/>
            <w:gridSpan w:val="4"/>
            <w:shd w:val="clear" w:color="auto" w:fill="auto"/>
            <w:noWrap/>
          </w:tcPr>
          <w:p w14:paraId="4275A9DB" w14:textId="77777777" w:rsidR="008741F5" w:rsidRPr="00F62144" w:rsidRDefault="00AE348E" w:rsidP="0066418C">
            <w:pPr>
              <w:spacing w:before="60"/>
              <w:jc w:val="center"/>
              <w:rPr>
                <w:rFonts w:asciiTheme="minorHAnsi" w:hAnsiTheme="minorHAnsi"/>
                <w:b/>
                <w:sz w:val="22"/>
                <w:szCs w:val="18"/>
              </w:rPr>
            </w:pPr>
            <w:r>
              <w:rPr>
                <w:rFonts w:asciiTheme="minorHAnsi" w:hAnsiTheme="minorHAnsi"/>
                <w:b/>
                <w:sz w:val="22"/>
                <w:szCs w:val="18"/>
              </w:rPr>
              <w:t>2018</w:t>
            </w:r>
            <w:r w:rsidR="0066418C" w:rsidRPr="00F62144">
              <w:rPr>
                <w:rFonts w:asciiTheme="minorHAnsi" w:hAnsiTheme="minorHAnsi"/>
                <w:b/>
                <w:sz w:val="22"/>
                <w:szCs w:val="18"/>
              </w:rPr>
              <w:t xml:space="preserve"> </w:t>
            </w:r>
            <w:r w:rsidR="008741F5" w:rsidRPr="00F62144">
              <w:rPr>
                <w:rFonts w:asciiTheme="minorHAnsi" w:hAnsiTheme="minorHAnsi"/>
                <w:b/>
                <w:sz w:val="22"/>
                <w:szCs w:val="18"/>
              </w:rPr>
              <w:t>Normal Premium Due Dates</w:t>
            </w:r>
          </w:p>
        </w:tc>
      </w:tr>
      <w:tr w:rsidR="00A07661" w:rsidRPr="00F62144" w14:paraId="04756B87" w14:textId="77777777" w:rsidTr="002F2508">
        <w:trPr>
          <w:trHeight w:val="270"/>
        </w:trPr>
        <w:tc>
          <w:tcPr>
            <w:tcW w:w="2484" w:type="dxa"/>
            <w:tcBorders>
              <w:top w:val="single" w:sz="4" w:space="0" w:color="auto"/>
              <w:left w:val="single" w:sz="4" w:space="0" w:color="auto"/>
            </w:tcBorders>
            <w:shd w:val="clear" w:color="auto" w:fill="auto"/>
            <w:vAlign w:val="center"/>
          </w:tcPr>
          <w:p w14:paraId="64DD0EFE" w14:textId="77777777" w:rsidR="008741F5" w:rsidRPr="00F62144" w:rsidRDefault="008741F5" w:rsidP="00671136">
            <w:pPr>
              <w:spacing w:before="60"/>
              <w:jc w:val="center"/>
              <w:rPr>
                <w:rFonts w:asciiTheme="minorHAnsi" w:hAnsiTheme="minorHAnsi"/>
                <w:sz w:val="22"/>
                <w:szCs w:val="18"/>
              </w:rPr>
            </w:pPr>
            <w:r w:rsidRPr="00F62144">
              <w:rPr>
                <w:rFonts w:asciiTheme="minorHAnsi" w:hAnsiTheme="minorHAnsi"/>
                <w:sz w:val="22"/>
                <w:szCs w:val="18"/>
              </w:rPr>
              <w:t>Premium Payment</w:t>
            </w:r>
            <w:r w:rsidRPr="00F62144">
              <w:rPr>
                <w:rFonts w:asciiTheme="minorHAnsi" w:hAnsiTheme="minorHAnsi"/>
                <w:sz w:val="22"/>
                <w:szCs w:val="18"/>
              </w:rPr>
              <w:br/>
              <w:t>Year Begins</w:t>
            </w:r>
          </w:p>
        </w:tc>
        <w:tc>
          <w:tcPr>
            <w:tcW w:w="1978" w:type="dxa"/>
            <w:tcBorders>
              <w:top w:val="single" w:sz="4" w:space="0" w:color="auto"/>
              <w:right w:val="single" w:sz="4" w:space="0" w:color="auto"/>
            </w:tcBorders>
            <w:shd w:val="clear" w:color="auto" w:fill="auto"/>
            <w:vAlign w:val="center"/>
          </w:tcPr>
          <w:p w14:paraId="0F951492" w14:textId="77777777" w:rsidR="008741F5" w:rsidRPr="00F62144" w:rsidRDefault="00BD2131" w:rsidP="00671136">
            <w:pPr>
              <w:spacing w:before="60"/>
              <w:jc w:val="center"/>
              <w:rPr>
                <w:rFonts w:asciiTheme="minorHAnsi" w:hAnsiTheme="minorHAnsi"/>
                <w:sz w:val="22"/>
                <w:szCs w:val="18"/>
              </w:rPr>
            </w:pPr>
            <w:r>
              <w:rPr>
                <w:rFonts w:asciiTheme="minorHAnsi" w:hAnsiTheme="minorHAnsi"/>
                <w:sz w:val="22"/>
                <w:szCs w:val="18"/>
              </w:rPr>
              <w:t>Normal Premium</w:t>
            </w:r>
            <w:r w:rsidR="008741F5" w:rsidRPr="00F62144">
              <w:rPr>
                <w:rFonts w:asciiTheme="minorHAnsi" w:hAnsiTheme="minorHAnsi"/>
                <w:sz w:val="22"/>
                <w:szCs w:val="18"/>
              </w:rPr>
              <w:t xml:space="preserve"> Due Date</w:t>
            </w:r>
          </w:p>
        </w:tc>
        <w:tc>
          <w:tcPr>
            <w:tcW w:w="2108" w:type="dxa"/>
            <w:tcBorders>
              <w:top w:val="single" w:sz="4" w:space="0" w:color="auto"/>
              <w:left w:val="single" w:sz="4" w:space="0" w:color="auto"/>
            </w:tcBorders>
            <w:vAlign w:val="center"/>
          </w:tcPr>
          <w:p w14:paraId="6542E6E6" w14:textId="77777777" w:rsidR="008741F5" w:rsidRPr="00F62144" w:rsidRDefault="008741F5" w:rsidP="00671136">
            <w:pPr>
              <w:spacing w:before="60"/>
              <w:jc w:val="center"/>
              <w:rPr>
                <w:rFonts w:asciiTheme="minorHAnsi" w:hAnsiTheme="minorHAnsi"/>
                <w:sz w:val="22"/>
                <w:szCs w:val="18"/>
              </w:rPr>
            </w:pPr>
            <w:r w:rsidRPr="00F62144">
              <w:rPr>
                <w:rFonts w:asciiTheme="minorHAnsi" w:hAnsiTheme="minorHAnsi"/>
                <w:sz w:val="22"/>
                <w:szCs w:val="18"/>
              </w:rPr>
              <w:t>Premium Payment</w:t>
            </w:r>
            <w:r w:rsidRPr="00F62144">
              <w:rPr>
                <w:rFonts w:asciiTheme="minorHAnsi" w:hAnsiTheme="minorHAnsi"/>
                <w:sz w:val="22"/>
                <w:szCs w:val="18"/>
              </w:rPr>
              <w:br/>
              <w:t>Year Begins</w:t>
            </w:r>
          </w:p>
        </w:tc>
        <w:tc>
          <w:tcPr>
            <w:tcW w:w="1959" w:type="dxa"/>
            <w:tcBorders>
              <w:top w:val="single" w:sz="4" w:space="0" w:color="auto"/>
              <w:right w:val="single" w:sz="4" w:space="0" w:color="auto"/>
            </w:tcBorders>
            <w:vAlign w:val="center"/>
          </w:tcPr>
          <w:p w14:paraId="52A0F8CB" w14:textId="77777777" w:rsidR="008741F5" w:rsidRPr="00F62144" w:rsidRDefault="00BD2131" w:rsidP="00671136">
            <w:pPr>
              <w:spacing w:before="60"/>
              <w:jc w:val="center"/>
              <w:rPr>
                <w:rFonts w:asciiTheme="minorHAnsi" w:hAnsiTheme="minorHAnsi"/>
                <w:sz w:val="22"/>
                <w:szCs w:val="18"/>
              </w:rPr>
            </w:pPr>
            <w:r>
              <w:rPr>
                <w:rFonts w:asciiTheme="minorHAnsi" w:hAnsiTheme="minorHAnsi"/>
                <w:sz w:val="22"/>
                <w:szCs w:val="18"/>
              </w:rPr>
              <w:t xml:space="preserve">Normal </w:t>
            </w:r>
            <w:r w:rsidR="008741F5" w:rsidRPr="00F62144">
              <w:rPr>
                <w:rFonts w:asciiTheme="minorHAnsi" w:hAnsiTheme="minorHAnsi"/>
                <w:sz w:val="22"/>
                <w:szCs w:val="18"/>
              </w:rPr>
              <w:t>Premium Due Date</w:t>
            </w:r>
          </w:p>
        </w:tc>
      </w:tr>
      <w:tr w:rsidR="00A07661" w:rsidRPr="00F62144" w14:paraId="7AFE5D77" w14:textId="77777777" w:rsidTr="002F2508">
        <w:trPr>
          <w:trHeight w:val="387"/>
        </w:trPr>
        <w:tc>
          <w:tcPr>
            <w:tcW w:w="2484" w:type="dxa"/>
            <w:tcBorders>
              <w:left w:val="single" w:sz="4" w:space="0" w:color="auto"/>
            </w:tcBorders>
            <w:shd w:val="clear" w:color="auto" w:fill="auto"/>
            <w:vAlign w:val="center"/>
          </w:tcPr>
          <w:p w14:paraId="27AABD1C" w14:textId="77777777" w:rsidR="008741F5" w:rsidRPr="00F62144" w:rsidRDefault="008741F5" w:rsidP="00671136">
            <w:pPr>
              <w:spacing w:before="60"/>
              <w:jc w:val="center"/>
              <w:rPr>
                <w:rFonts w:asciiTheme="minorHAnsi" w:hAnsiTheme="minorHAnsi"/>
                <w:sz w:val="22"/>
                <w:szCs w:val="18"/>
              </w:rPr>
            </w:pPr>
          </w:p>
        </w:tc>
        <w:tc>
          <w:tcPr>
            <w:tcW w:w="1978" w:type="dxa"/>
            <w:tcBorders>
              <w:right w:val="single" w:sz="4" w:space="0" w:color="auto"/>
            </w:tcBorders>
            <w:vAlign w:val="center"/>
          </w:tcPr>
          <w:p w14:paraId="5C25B54F" w14:textId="77777777" w:rsidR="008741F5" w:rsidRPr="00F62144" w:rsidRDefault="008741F5" w:rsidP="00671136">
            <w:pPr>
              <w:spacing w:before="60"/>
              <w:jc w:val="center"/>
              <w:rPr>
                <w:rFonts w:asciiTheme="minorHAnsi" w:hAnsiTheme="minorHAnsi"/>
                <w:sz w:val="22"/>
                <w:szCs w:val="18"/>
              </w:rPr>
            </w:pPr>
          </w:p>
        </w:tc>
        <w:tc>
          <w:tcPr>
            <w:tcW w:w="2108" w:type="dxa"/>
            <w:tcBorders>
              <w:left w:val="single" w:sz="4" w:space="0" w:color="auto"/>
            </w:tcBorders>
            <w:vAlign w:val="center"/>
          </w:tcPr>
          <w:p w14:paraId="2DA9853F" w14:textId="77777777" w:rsidR="008741F5" w:rsidRPr="00F62144" w:rsidRDefault="008741F5" w:rsidP="00671136">
            <w:pPr>
              <w:spacing w:before="60"/>
              <w:jc w:val="center"/>
              <w:rPr>
                <w:rFonts w:asciiTheme="minorHAnsi" w:hAnsiTheme="minorHAnsi"/>
                <w:sz w:val="22"/>
                <w:szCs w:val="18"/>
              </w:rPr>
            </w:pPr>
          </w:p>
        </w:tc>
        <w:tc>
          <w:tcPr>
            <w:tcW w:w="1959" w:type="dxa"/>
            <w:tcBorders>
              <w:left w:val="nil"/>
              <w:right w:val="single" w:sz="4" w:space="0" w:color="auto"/>
            </w:tcBorders>
            <w:vAlign w:val="center"/>
          </w:tcPr>
          <w:p w14:paraId="5B698ACA" w14:textId="77777777" w:rsidR="008741F5" w:rsidRPr="00F62144" w:rsidRDefault="008741F5" w:rsidP="00671136">
            <w:pPr>
              <w:spacing w:before="60"/>
              <w:jc w:val="center"/>
              <w:rPr>
                <w:rFonts w:asciiTheme="minorHAnsi" w:hAnsiTheme="minorHAnsi"/>
                <w:sz w:val="22"/>
                <w:szCs w:val="18"/>
              </w:rPr>
            </w:pPr>
          </w:p>
        </w:tc>
      </w:tr>
      <w:tr w:rsidR="00A07661" w:rsidRPr="00F62144" w14:paraId="62470AB4" w14:textId="77777777" w:rsidTr="002F2508">
        <w:trPr>
          <w:trHeight w:val="255"/>
        </w:trPr>
        <w:tc>
          <w:tcPr>
            <w:tcW w:w="2484" w:type="dxa"/>
            <w:tcBorders>
              <w:left w:val="single" w:sz="4" w:space="0" w:color="auto"/>
              <w:bottom w:val="nil"/>
            </w:tcBorders>
            <w:shd w:val="clear" w:color="auto" w:fill="auto"/>
            <w:noWrap/>
            <w:vAlign w:val="bottom"/>
          </w:tcPr>
          <w:p w14:paraId="0B54A8A0" w14:textId="77777777" w:rsidR="00D7685C" w:rsidRPr="00F62144" w:rsidRDefault="00D7685C" w:rsidP="00671136">
            <w:pPr>
              <w:spacing w:before="90"/>
              <w:jc w:val="center"/>
              <w:rPr>
                <w:rFonts w:asciiTheme="minorHAnsi" w:hAnsiTheme="minorHAnsi"/>
                <w:sz w:val="22"/>
                <w:szCs w:val="18"/>
              </w:rPr>
            </w:pPr>
            <w:r w:rsidRPr="00F62144">
              <w:rPr>
                <w:rFonts w:asciiTheme="minorHAnsi" w:hAnsiTheme="minorHAnsi"/>
                <w:sz w:val="22"/>
                <w:szCs w:val="18"/>
              </w:rPr>
              <w:t>1/1/</w:t>
            </w:r>
            <w:r w:rsidR="00AE348E">
              <w:rPr>
                <w:rFonts w:asciiTheme="minorHAnsi" w:hAnsiTheme="minorHAnsi"/>
                <w:sz w:val="22"/>
                <w:szCs w:val="18"/>
              </w:rPr>
              <w:t>2018</w:t>
            </w:r>
          </w:p>
        </w:tc>
        <w:tc>
          <w:tcPr>
            <w:tcW w:w="1978" w:type="dxa"/>
            <w:tcBorders>
              <w:bottom w:val="nil"/>
              <w:right w:val="single" w:sz="4" w:space="0" w:color="auto"/>
            </w:tcBorders>
            <w:vAlign w:val="bottom"/>
          </w:tcPr>
          <w:p w14:paraId="49D5C87B" w14:textId="77777777" w:rsidR="00D7685C" w:rsidRPr="00F62144" w:rsidRDefault="00D7685C" w:rsidP="002D294F">
            <w:pPr>
              <w:tabs>
                <w:tab w:val="right" w:pos="1458"/>
              </w:tabs>
              <w:spacing w:before="90"/>
              <w:ind w:right="124" w:firstLine="72"/>
              <w:jc w:val="center"/>
              <w:rPr>
                <w:rFonts w:asciiTheme="minorHAnsi" w:hAnsiTheme="minorHAnsi"/>
                <w:sz w:val="22"/>
                <w:vertAlign w:val="superscript"/>
              </w:rPr>
            </w:pPr>
            <w:r w:rsidRPr="00F62144">
              <w:rPr>
                <w:rFonts w:asciiTheme="minorHAnsi" w:hAnsiTheme="minorHAnsi"/>
                <w:sz w:val="22"/>
                <w:szCs w:val="18"/>
              </w:rPr>
              <w:t>10/1</w:t>
            </w:r>
            <w:r w:rsidR="00C227C2">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2018</w:t>
            </w:r>
            <w:r w:rsidR="00E37E5D">
              <w:rPr>
                <w:rFonts w:asciiTheme="minorHAnsi" w:hAnsiTheme="minorHAnsi"/>
                <w:sz w:val="22"/>
                <w:szCs w:val="18"/>
              </w:rPr>
              <w:t xml:space="preserve"> </w:t>
            </w:r>
          </w:p>
        </w:tc>
        <w:tc>
          <w:tcPr>
            <w:tcW w:w="2108" w:type="dxa"/>
            <w:tcBorders>
              <w:top w:val="nil"/>
              <w:left w:val="single" w:sz="4" w:space="0" w:color="auto"/>
              <w:bottom w:val="nil"/>
            </w:tcBorders>
            <w:vAlign w:val="bottom"/>
          </w:tcPr>
          <w:p w14:paraId="29790607" w14:textId="77777777" w:rsidR="00D7685C" w:rsidRPr="00F62144" w:rsidRDefault="00D7685C" w:rsidP="008F3A58">
            <w:pPr>
              <w:spacing w:before="90"/>
              <w:ind w:firstLine="219"/>
              <w:rPr>
                <w:rFonts w:asciiTheme="minorHAnsi" w:hAnsiTheme="minorHAnsi"/>
                <w:sz w:val="22"/>
                <w:szCs w:val="18"/>
              </w:rPr>
            </w:pPr>
          </w:p>
        </w:tc>
        <w:tc>
          <w:tcPr>
            <w:tcW w:w="1959" w:type="dxa"/>
            <w:tcBorders>
              <w:top w:val="nil"/>
              <w:left w:val="nil"/>
              <w:bottom w:val="nil"/>
              <w:right w:val="single" w:sz="4" w:space="0" w:color="auto"/>
            </w:tcBorders>
            <w:vAlign w:val="bottom"/>
          </w:tcPr>
          <w:p w14:paraId="22E9113D" w14:textId="77777777" w:rsidR="00D7685C" w:rsidRPr="00F62144" w:rsidRDefault="00D7685C" w:rsidP="008F3A58">
            <w:pPr>
              <w:spacing w:before="90"/>
              <w:rPr>
                <w:rFonts w:asciiTheme="minorHAnsi" w:hAnsiTheme="minorHAnsi"/>
                <w:sz w:val="22"/>
                <w:szCs w:val="18"/>
              </w:rPr>
            </w:pPr>
          </w:p>
        </w:tc>
      </w:tr>
      <w:tr w:rsidR="00A07661" w:rsidRPr="00F62144" w14:paraId="72AAFF32" w14:textId="77777777" w:rsidTr="002F2508">
        <w:trPr>
          <w:trHeight w:val="255"/>
        </w:trPr>
        <w:tc>
          <w:tcPr>
            <w:tcW w:w="2484" w:type="dxa"/>
            <w:tcBorders>
              <w:top w:val="nil"/>
              <w:left w:val="single" w:sz="4" w:space="0" w:color="auto"/>
              <w:bottom w:val="nil"/>
            </w:tcBorders>
            <w:shd w:val="clear" w:color="auto" w:fill="auto"/>
            <w:noWrap/>
            <w:vAlign w:val="bottom"/>
          </w:tcPr>
          <w:p w14:paraId="5A728869" w14:textId="77777777" w:rsidR="004D7EE8" w:rsidRPr="00F62144" w:rsidRDefault="004D7EE8" w:rsidP="003D6871">
            <w:pPr>
              <w:spacing w:before="90"/>
              <w:jc w:val="center"/>
              <w:rPr>
                <w:rFonts w:asciiTheme="minorHAnsi" w:hAnsiTheme="minorHAnsi"/>
                <w:sz w:val="22"/>
                <w:szCs w:val="18"/>
              </w:rPr>
            </w:pPr>
            <w:r w:rsidRPr="00F62144">
              <w:rPr>
                <w:rFonts w:asciiTheme="minorHAnsi" w:hAnsiTheme="minorHAnsi"/>
                <w:sz w:val="22"/>
                <w:szCs w:val="18"/>
              </w:rPr>
              <w:t>1/2 - 2/1/</w:t>
            </w:r>
            <w:r w:rsidR="00AE348E">
              <w:rPr>
                <w:rFonts w:asciiTheme="minorHAnsi" w:hAnsiTheme="minorHAnsi"/>
                <w:sz w:val="22"/>
                <w:szCs w:val="18"/>
              </w:rPr>
              <w:t>2018</w:t>
            </w:r>
          </w:p>
        </w:tc>
        <w:tc>
          <w:tcPr>
            <w:tcW w:w="1978" w:type="dxa"/>
            <w:tcBorders>
              <w:top w:val="nil"/>
              <w:bottom w:val="nil"/>
              <w:right w:val="single" w:sz="4" w:space="0" w:color="auto"/>
            </w:tcBorders>
            <w:vAlign w:val="bottom"/>
          </w:tcPr>
          <w:p w14:paraId="76E808FF" w14:textId="77777777" w:rsidR="004D7EE8" w:rsidRPr="00F62144" w:rsidRDefault="004D7EE8" w:rsidP="002D294F">
            <w:pPr>
              <w:tabs>
                <w:tab w:val="right" w:pos="1428"/>
              </w:tabs>
              <w:spacing w:before="90"/>
              <w:ind w:right="124" w:firstLine="72"/>
              <w:jc w:val="center"/>
              <w:rPr>
                <w:rFonts w:asciiTheme="minorHAnsi" w:hAnsiTheme="minorHAnsi"/>
                <w:sz w:val="22"/>
                <w:szCs w:val="18"/>
              </w:rPr>
            </w:pPr>
            <w:r w:rsidRPr="00F62144">
              <w:rPr>
                <w:rFonts w:asciiTheme="minorHAnsi" w:hAnsiTheme="minorHAnsi"/>
                <w:sz w:val="22"/>
                <w:szCs w:val="18"/>
              </w:rPr>
              <w:t>11/1</w:t>
            </w:r>
            <w:r w:rsidR="00AA42E7" w:rsidRPr="00F62144">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2018</w:t>
            </w:r>
            <w:r w:rsidR="00E37E5D">
              <w:rPr>
                <w:rFonts w:asciiTheme="minorHAnsi" w:hAnsiTheme="minorHAnsi"/>
                <w:sz w:val="22"/>
                <w:szCs w:val="18"/>
              </w:rPr>
              <w:t xml:space="preserve"> </w:t>
            </w:r>
          </w:p>
        </w:tc>
        <w:tc>
          <w:tcPr>
            <w:tcW w:w="2108" w:type="dxa"/>
            <w:tcBorders>
              <w:top w:val="nil"/>
              <w:left w:val="single" w:sz="4" w:space="0" w:color="auto"/>
              <w:bottom w:val="nil"/>
            </w:tcBorders>
            <w:vAlign w:val="bottom"/>
          </w:tcPr>
          <w:p w14:paraId="3EAE0B35" w14:textId="77777777" w:rsidR="004D7EE8" w:rsidRPr="00F62144" w:rsidRDefault="004D7EE8" w:rsidP="002D294F">
            <w:pPr>
              <w:spacing w:before="90"/>
              <w:ind w:right="162"/>
              <w:jc w:val="right"/>
              <w:rPr>
                <w:rFonts w:asciiTheme="minorHAnsi" w:hAnsiTheme="minorHAnsi"/>
                <w:sz w:val="22"/>
                <w:szCs w:val="18"/>
              </w:rPr>
            </w:pPr>
            <w:r w:rsidRPr="00F62144">
              <w:rPr>
                <w:rFonts w:asciiTheme="minorHAnsi" w:hAnsiTheme="minorHAnsi"/>
                <w:sz w:val="22"/>
                <w:szCs w:val="18"/>
              </w:rPr>
              <w:t>7/02 - 8/1/</w:t>
            </w:r>
            <w:r w:rsidR="00AE348E">
              <w:rPr>
                <w:rFonts w:asciiTheme="minorHAnsi" w:hAnsiTheme="minorHAnsi"/>
                <w:sz w:val="22"/>
                <w:szCs w:val="18"/>
              </w:rPr>
              <w:t>2018</w:t>
            </w:r>
          </w:p>
        </w:tc>
        <w:tc>
          <w:tcPr>
            <w:tcW w:w="1959" w:type="dxa"/>
            <w:tcBorders>
              <w:top w:val="nil"/>
              <w:left w:val="nil"/>
              <w:bottom w:val="nil"/>
              <w:right w:val="single" w:sz="4" w:space="0" w:color="auto"/>
            </w:tcBorders>
            <w:vAlign w:val="bottom"/>
          </w:tcPr>
          <w:p w14:paraId="35F0D1BD" w14:textId="77777777" w:rsidR="004D7EE8" w:rsidRPr="00F62144" w:rsidRDefault="004D7EE8" w:rsidP="002D294F">
            <w:pPr>
              <w:tabs>
                <w:tab w:val="right" w:pos="1428"/>
              </w:tabs>
              <w:spacing w:before="90"/>
              <w:ind w:right="321" w:firstLine="72"/>
              <w:jc w:val="right"/>
              <w:rPr>
                <w:rFonts w:asciiTheme="minorHAnsi" w:hAnsiTheme="minorHAnsi"/>
                <w:sz w:val="22"/>
                <w:szCs w:val="18"/>
              </w:rPr>
            </w:pPr>
            <w:r w:rsidRPr="00F62144">
              <w:rPr>
                <w:rFonts w:asciiTheme="minorHAnsi" w:hAnsiTheme="minorHAnsi"/>
                <w:sz w:val="22"/>
                <w:szCs w:val="18"/>
              </w:rPr>
              <w:t>5/1</w:t>
            </w:r>
            <w:r w:rsidR="00AA42E7" w:rsidRPr="00F62144">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2019</w:t>
            </w:r>
          </w:p>
        </w:tc>
      </w:tr>
      <w:tr w:rsidR="00A07661" w:rsidRPr="00F62144" w14:paraId="4093248C" w14:textId="77777777" w:rsidTr="002F2508">
        <w:trPr>
          <w:trHeight w:val="255"/>
        </w:trPr>
        <w:tc>
          <w:tcPr>
            <w:tcW w:w="2484" w:type="dxa"/>
            <w:tcBorders>
              <w:top w:val="nil"/>
              <w:left w:val="single" w:sz="4" w:space="0" w:color="auto"/>
              <w:bottom w:val="nil"/>
            </w:tcBorders>
            <w:shd w:val="clear" w:color="auto" w:fill="auto"/>
            <w:noWrap/>
            <w:vAlign w:val="bottom"/>
          </w:tcPr>
          <w:p w14:paraId="250D2291" w14:textId="77777777" w:rsidR="004D7EE8" w:rsidRPr="00F62144" w:rsidRDefault="004D7EE8" w:rsidP="003D6871">
            <w:pPr>
              <w:spacing w:before="90"/>
              <w:jc w:val="center"/>
              <w:rPr>
                <w:rFonts w:asciiTheme="minorHAnsi" w:hAnsiTheme="minorHAnsi"/>
                <w:sz w:val="22"/>
                <w:szCs w:val="18"/>
              </w:rPr>
            </w:pPr>
            <w:r w:rsidRPr="00F62144">
              <w:rPr>
                <w:rFonts w:asciiTheme="minorHAnsi" w:hAnsiTheme="minorHAnsi"/>
                <w:sz w:val="22"/>
                <w:szCs w:val="18"/>
              </w:rPr>
              <w:t>2/2 - 3/1/</w:t>
            </w:r>
            <w:r w:rsidR="00AE348E">
              <w:rPr>
                <w:rFonts w:asciiTheme="minorHAnsi" w:hAnsiTheme="minorHAnsi"/>
                <w:sz w:val="22"/>
                <w:szCs w:val="18"/>
              </w:rPr>
              <w:t>2018</w:t>
            </w:r>
          </w:p>
        </w:tc>
        <w:tc>
          <w:tcPr>
            <w:tcW w:w="1978" w:type="dxa"/>
            <w:tcBorders>
              <w:top w:val="nil"/>
              <w:bottom w:val="nil"/>
              <w:right w:val="single" w:sz="4" w:space="0" w:color="auto"/>
            </w:tcBorders>
            <w:vAlign w:val="bottom"/>
          </w:tcPr>
          <w:p w14:paraId="03F3E2D4" w14:textId="77777777" w:rsidR="004D7EE8" w:rsidRPr="00F62144" w:rsidRDefault="004D7EE8" w:rsidP="002F2508">
            <w:pPr>
              <w:tabs>
                <w:tab w:val="right" w:pos="1428"/>
              </w:tabs>
              <w:spacing w:before="90"/>
              <w:ind w:firstLine="72"/>
              <w:jc w:val="center"/>
              <w:rPr>
                <w:rFonts w:asciiTheme="minorHAnsi" w:hAnsiTheme="minorHAnsi"/>
                <w:sz w:val="22"/>
                <w:szCs w:val="18"/>
              </w:rPr>
            </w:pPr>
            <w:r w:rsidRPr="00F62144">
              <w:rPr>
                <w:rFonts w:asciiTheme="minorHAnsi" w:hAnsiTheme="minorHAnsi"/>
                <w:sz w:val="22"/>
                <w:szCs w:val="18"/>
              </w:rPr>
              <w:t>12/</w:t>
            </w:r>
            <w:r w:rsidR="00E37E5D" w:rsidRPr="00F62144">
              <w:rPr>
                <w:rFonts w:asciiTheme="minorHAnsi" w:hAnsiTheme="minorHAnsi"/>
                <w:sz w:val="22"/>
                <w:szCs w:val="18"/>
              </w:rPr>
              <w:t>1</w:t>
            </w:r>
            <w:r w:rsidR="00E37E5D">
              <w:rPr>
                <w:rFonts w:asciiTheme="minorHAnsi" w:hAnsiTheme="minorHAnsi"/>
                <w:sz w:val="22"/>
                <w:szCs w:val="18"/>
              </w:rPr>
              <w:t>7</w:t>
            </w:r>
            <w:r w:rsidRPr="00F62144">
              <w:rPr>
                <w:rFonts w:asciiTheme="minorHAnsi" w:hAnsiTheme="minorHAnsi"/>
                <w:sz w:val="22"/>
                <w:szCs w:val="18"/>
              </w:rPr>
              <w:t>/</w:t>
            </w:r>
            <w:r w:rsidR="00AE348E">
              <w:rPr>
                <w:rFonts w:asciiTheme="minorHAnsi" w:hAnsiTheme="minorHAnsi"/>
                <w:sz w:val="22"/>
                <w:szCs w:val="18"/>
              </w:rPr>
              <w:t>2018</w:t>
            </w:r>
            <w:r w:rsidR="00E37E5D" w:rsidRPr="00F62144">
              <w:rPr>
                <w:rFonts w:asciiTheme="minorHAnsi" w:hAnsiTheme="minorHAnsi"/>
                <w:sz w:val="22"/>
                <w:szCs w:val="18"/>
                <w:vertAlign w:val="superscript"/>
              </w:rPr>
              <w:t>*</w:t>
            </w:r>
          </w:p>
        </w:tc>
        <w:tc>
          <w:tcPr>
            <w:tcW w:w="2108" w:type="dxa"/>
            <w:tcBorders>
              <w:top w:val="nil"/>
              <w:left w:val="single" w:sz="4" w:space="0" w:color="auto"/>
              <w:bottom w:val="nil"/>
            </w:tcBorders>
            <w:vAlign w:val="bottom"/>
          </w:tcPr>
          <w:p w14:paraId="3E51A3CD" w14:textId="77777777" w:rsidR="004D7EE8" w:rsidRPr="00F62144" w:rsidRDefault="003D6871" w:rsidP="002D294F">
            <w:pPr>
              <w:spacing w:before="90"/>
              <w:ind w:right="162"/>
              <w:jc w:val="right"/>
              <w:rPr>
                <w:rFonts w:asciiTheme="minorHAnsi" w:hAnsiTheme="minorHAnsi"/>
                <w:sz w:val="22"/>
                <w:szCs w:val="18"/>
              </w:rPr>
            </w:pPr>
            <w:r>
              <w:rPr>
                <w:rFonts w:asciiTheme="minorHAnsi" w:hAnsiTheme="minorHAnsi"/>
                <w:sz w:val="22"/>
                <w:szCs w:val="18"/>
              </w:rPr>
              <w:t xml:space="preserve"> </w:t>
            </w:r>
            <w:r w:rsidR="004D7EE8" w:rsidRPr="00F62144">
              <w:rPr>
                <w:rFonts w:asciiTheme="minorHAnsi" w:hAnsiTheme="minorHAnsi"/>
                <w:sz w:val="22"/>
                <w:szCs w:val="18"/>
              </w:rPr>
              <w:t>8/2 - 9/1/</w:t>
            </w:r>
            <w:r w:rsidR="00AE348E">
              <w:rPr>
                <w:rFonts w:asciiTheme="minorHAnsi" w:hAnsiTheme="minorHAnsi"/>
                <w:sz w:val="22"/>
                <w:szCs w:val="18"/>
              </w:rPr>
              <w:t>2018</w:t>
            </w:r>
          </w:p>
        </w:tc>
        <w:tc>
          <w:tcPr>
            <w:tcW w:w="1959" w:type="dxa"/>
            <w:tcBorders>
              <w:top w:val="nil"/>
              <w:left w:val="nil"/>
              <w:bottom w:val="nil"/>
              <w:right w:val="single" w:sz="4" w:space="0" w:color="auto"/>
            </w:tcBorders>
            <w:vAlign w:val="bottom"/>
          </w:tcPr>
          <w:p w14:paraId="5D05BF92" w14:textId="77777777" w:rsidR="004D7EE8" w:rsidRPr="00F62144" w:rsidRDefault="004D7EE8" w:rsidP="002D294F">
            <w:pPr>
              <w:spacing w:before="90"/>
              <w:ind w:right="231" w:firstLine="72"/>
              <w:jc w:val="right"/>
              <w:rPr>
                <w:rFonts w:asciiTheme="minorHAnsi" w:hAnsiTheme="minorHAnsi"/>
                <w:sz w:val="22"/>
                <w:szCs w:val="18"/>
              </w:rPr>
            </w:pPr>
            <w:r w:rsidRPr="00F62144">
              <w:rPr>
                <w:rFonts w:asciiTheme="minorHAnsi" w:hAnsiTheme="minorHAnsi"/>
                <w:sz w:val="22"/>
                <w:szCs w:val="18"/>
              </w:rPr>
              <w:t>6/1</w:t>
            </w:r>
            <w:r w:rsidR="00E37E5D">
              <w:rPr>
                <w:rFonts w:asciiTheme="minorHAnsi" w:hAnsiTheme="minorHAnsi"/>
                <w:sz w:val="22"/>
                <w:szCs w:val="18"/>
              </w:rPr>
              <w:t>7</w:t>
            </w:r>
            <w:r w:rsidRPr="00F62144">
              <w:rPr>
                <w:rFonts w:asciiTheme="minorHAnsi" w:hAnsiTheme="minorHAnsi"/>
                <w:sz w:val="22"/>
                <w:szCs w:val="18"/>
              </w:rPr>
              <w:t>/</w:t>
            </w:r>
            <w:r w:rsidR="00AE348E">
              <w:rPr>
                <w:rFonts w:asciiTheme="minorHAnsi" w:hAnsiTheme="minorHAnsi"/>
                <w:sz w:val="22"/>
                <w:szCs w:val="18"/>
              </w:rPr>
              <w:t>2019</w:t>
            </w:r>
            <w:r w:rsidR="00E37E5D" w:rsidRPr="00BD2131">
              <w:rPr>
                <w:rFonts w:asciiTheme="minorHAnsi" w:hAnsiTheme="minorHAnsi"/>
                <w:sz w:val="22"/>
                <w:szCs w:val="18"/>
              </w:rPr>
              <w:t>*</w:t>
            </w:r>
          </w:p>
        </w:tc>
      </w:tr>
      <w:tr w:rsidR="00A07661" w:rsidRPr="00F62144" w14:paraId="4AFB1CFA" w14:textId="77777777" w:rsidTr="002F2508">
        <w:trPr>
          <w:trHeight w:val="255"/>
        </w:trPr>
        <w:tc>
          <w:tcPr>
            <w:tcW w:w="2484" w:type="dxa"/>
            <w:tcBorders>
              <w:top w:val="nil"/>
              <w:left w:val="single" w:sz="4" w:space="0" w:color="auto"/>
              <w:bottom w:val="nil"/>
            </w:tcBorders>
            <w:shd w:val="clear" w:color="auto" w:fill="auto"/>
            <w:noWrap/>
            <w:vAlign w:val="bottom"/>
          </w:tcPr>
          <w:p w14:paraId="67EDE6E6" w14:textId="77777777" w:rsidR="004D7EE8" w:rsidRPr="00F62144" w:rsidRDefault="004D7EE8" w:rsidP="003D6871">
            <w:pPr>
              <w:spacing w:before="90"/>
              <w:jc w:val="center"/>
              <w:rPr>
                <w:rFonts w:asciiTheme="minorHAnsi" w:hAnsiTheme="minorHAnsi"/>
                <w:sz w:val="22"/>
                <w:szCs w:val="18"/>
              </w:rPr>
            </w:pPr>
            <w:r w:rsidRPr="00F62144">
              <w:rPr>
                <w:rFonts w:asciiTheme="minorHAnsi" w:hAnsiTheme="minorHAnsi"/>
                <w:sz w:val="22"/>
                <w:szCs w:val="18"/>
              </w:rPr>
              <w:t>3/2 - 4/1/</w:t>
            </w:r>
            <w:r w:rsidR="00AE348E">
              <w:rPr>
                <w:rFonts w:asciiTheme="minorHAnsi" w:hAnsiTheme="minorHAnsi"/>
                <w:sz w:val="22"/>
                <w:szCs w:val="18"/>
              </w:rPr>
              <w:t>2018</w:t>
            </w:r>
          </w:p>
        </w:tc>
        <w:tc>
          <w:tcPr>
            <w:tcW w:w="1978" w:type="dxa"/>
            <w:tcBorders>
              <w:top w:val="nil"/>
              <w:bottom w:val="nil"/>
              <w:right w:val="single" w:sz="4" w:space="0" w:color="auto"/>
            </w:tcBorders>
            <w:vAlign w:val="bottom"/>
          </w:tcPr>
          <w:p w14:paraId="2CBFEFCE" w14:textId="77777777" w:rsidR="004D7EE8" w:rsidRPr="00F62144" w:rsidRDefault="004D7EE8" w:rsidP="00C12648">
            <w:pPr>
              <w:spacing w:before="90"/>
              <w:ind w:firstLine="72"/>
              <w:jc w:val="center"/>
              <w:rPr>
                <w:rFonts w:asciiTheme="minorHAnsi" w:hAnsiTheme="minorHAnsi"/>
                <w:sz w:val="22"/>
                <w:vertAlign w:val="superscript"/>
              </w:rPr>
            </w:pPr>
            <w:r w:rsidRPr="00F62144">
              <w:rPr>
                <w:rFonts w:asciiTheme="minorHAnsi" w:hAnsiTheme="minorHAnsi"/>
                <w:sz w:val="22"/>
                <w:szCs w:val="18"/>
              </w:rPr>
              <w:t>1/</w:t>
            </w:r>
            <w:r w:rsidR="0066418C" w:rsidRPr="00F62144">
              <w:rPr>
                <w:rFonts w:asciiTheme="minorHAnsi" w:hAnsiTheme="minorHAnsi"/>
                <w:sz w:val="22"/>
                <w:szCs w:val="18"/>
              </w:rPr>
              <w:t>1</w:t>
            </w:r>
            <w:r w:rsidR="00E37E5D">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2019</w:t>
            </w:r>
            <w:r w:rsidR="00E37E5D">
              <w:rPr>
                <w:rFonts w:asciiTheme="minorHAnsi" w:hAnsiTheme="minorHAnsi"/>
                <w:sz w:val="22"/>
                <w:szCs w:val="18"/>
                <w:vertAlign w:val="superscript"/>
              </w:rPr>
              <w:t xml:space="preserve"> </w:t>
            </w:r>
          </w:p>
        </w:tc>
        <w:tc>
          <w:tcPr>
            <w:tcW w:w="2108" w:type="dxa"/>
            <w:tcBorders>
              <w:top w:val="nil"/>
              <w:left w:val="single" w:sz="4" w:space="0" w:color="auto"/>
              <w:bottom w:val="nil"/>
            </w:tcBorders>
            <w:vAlign w:val="bottom"/>
          </w:tcPr>
          <w:p w14:paraId="5A5F7B0A" w14:textId="77777777" w:rsidR="004D7EE8" w:rsidRPr="00F62144" w:rsidRDefault="004D7EE8" w:rsidP="002D294F">
            <w:pPr>
              <w:spacing w:before="90"/>
              <w:ind w:right="162"/>
              <w:jc w:val="right"/>
              <w:rPr>
                <w:rFonts w:asciiTheme="minorHAnsi" w:hAnsiTheme="minorHAnsi"/>
                <w:sz w:val="22"/>
                <w:vertAlign w:val="superscript"/>
              </w:rPr>
            </w:pPr>
            <w:r w:rsidRPr="00F62144">
              <w:rPr>
                <w:rFonts w:asciiTheme="minorHAnsi" w:hAnsiTheme="minorHAnsi"/>
                <w:sz w:val="22"/>
                <w:szCs w:val="18"/>
              </w:rPr>
              <w:t>9/2 - 10/1/</w:t>
            </w:r>
            <w:r w:rsidR="00AE348E">
              <w:rPr>
                <w:rFonts w:asciiTheme="minorHAnsi" w:hAnsiTheme="minorHAnsi"/>
                <w:sz w:val="22"/>
                <w:szCs w:val="18"/>
              </w:rPr>
              <w:t>2018</w:t>
            </w:r>
          </w:p>
        </w:tc>
        <w:tc>
          <w:tcPr>
            <w:tcW w:w="1959" w:type="dxa"/>
            <w:tcBorders>
              <w:top w:val="nil"/>
              <w:left w:val="nil"/>
              <w:bottom w:val="nil"/>
              <w:right w:val="single" w:sz="4" w:space="0" w:color="auto"/>
            </w:tcBorders>
            <w:vAlign w:val="bottom"/>
          </w:tcPr>
          <w:p w14:paraId="1C001A3B" w14:textId="77777777" w:rsidR="004D7EE8" w:rsidRPr="00F62144" w:rsidRDefault="004D7EE8" w:rsidP="002D294F">
            <w:pPr>
              <w:tabs>
                <w:tab w:val="right" w:pos="1512"/>
              </w:tabs>
              <w:spacing w:before="90"/>
              <w:ind w:right="321" w:firstLine="72"/>
              <w:jc w:val="right"/>
              <w:rPr>
                <w:rFonts w:asciiTheme="minorHAnsi" w:hAnsiTheme="minorHAnsi"/>
                <w:sz w:val="22"/>
                <w:vertAlign w:val="superscript"/>
              </w:rPr>
            </w:pPr>
            <w:r w:rsidRPr="00F62144">
              <w:rPr>
                <w:rFonts w:asciiTheme="minorHAnsi" w:hAnsiTheme="minorHAnsi"/>
                <w:sz w:val="22"/>
                <w:szCs w:val="18"/>
              </w:rPr>
              <w:t>7/</w:t>
            </w:r>
            <w:r w:rsidR="0055364D" w:rsidRPr="00F62144">
              <w:rPr>
                <w:rFonts w:asciiTheme="minorHAnsi" w:hAnsiTheme="minorHAnsi"/>
                <w:sz w:val="22"/>
                <w:szCs w:val="18"/>
              </w:rPr>
              <w:t>1</w:t>
            </w:r>
            <w:r w:rsidR="00E37E5D">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2019</w:t>
            </w:r>
          </w:p>
        </w:tc>
      </w:tr>
      <w:tr w:rsidR="00A07661" w:rsidRPr="00F62144" w14:paraId="33C910AB" w14:textId="77777777" w:rsidTr="002F2508">
        <w:trPr>
          <w:trHeight w:val="255"/>
        </w:trPr>
        <w:tc>
          <w:tcPr>
            <w:tcW w:w="2484" w:type="dxa"/>
            <w:tcBorders>
              <w:top w:val="nil"/>
              <w:left w:val="single" w:sz="4" w:space="0" w:color="auto"/>
              <w:bottom w:val="nil"/>
            </w:tcBorders>
            <w:shd w:val="clear" w:color="auto" w:fill="auto"/>
            <w:noWrap/>
            <w:vAlign w:val="bottom"/>
          </w:tcPr>
          <w:p w14:paraId="1E9390F8" w14:textId="77777777" w:rsidR="004D7EE8" w:rsidRPr="00F62144" w:rsidRDefault="004D7EE8" w:rsidP="003D6871">
            <w:pPr>
              <w:spacing w:before="90"/>
              <w:jc w:val="center"/>
              <w:rPr>
                <w:rFonts w:asciiTheme="minorHAnsi" w:hAnsiTheme="minorHAnsi"/>
                <w:sz w:val="22"/>
                <w:vertAlign w:val="superscript"/>
              </w:rPr>
            </w:pPr>
            <w:r w:rsidRPr="00F62144">
              <w:rPr>
                <w:rFonts w:asciiTheme="minorHAnsi" w:hAnsiTheme="minorHAnsi"/>
                <w:sz w:val="22"/>
                <w:szCs w:val="18"/>
              </w:rPr>
              <w:t>4/2 - 5/</w:t>
            </w:r>
            <w:r w:rsidR="0037023F" w:rsidRPr="00F62144">
              <w:rPr>
                <w:rFonts w:asciiTheme="minorHAnsi" w:hAnsiTheme="minorHAnsi"/>
                <w:sz w:val="22"/>
                <w:szCs w:val="18"/>
              </w:rPr>
              <w:t>1</w:t>
            </w:r>
            <w:r w:rsidRPr="00F62144">
              <w:rPr>
                <w:rFonts w:asciiTheme="minorHAnsi" w:hAnsiTheme="minorHAnsi"/>
                <w:sz w:val="22"/>
                <w:szCs w:val="18"/>
              </w:rPr>
              <w:t>/</w:t>
            </w:r>
            <w:r w:rsidR="00AE348E">
              <w:rPr>
                <w:rFonts w:asciiTheme="minorHAnsi" w:hAnsiTheme="minorHAnsi"/>
                <w:sz w:val="22"/>
                <w:szCs w:val="18"/>
              </w:rPr>
              <w:t>2018</w:t>
            </w:r>
          </w:p>
        </w:tc>
        <w:tc>
          <w:tcPr>
            <w:tcW w:w="1978" w:type="dxa"/>
            <w:tcBorders>
              <w:top w:val="nil"/>
              <w:bottom w:val="nil"/>
              <w:right w:val="single" w:sz="4" w:space="0" w:color="auto"/>
            </w:tcBorders>
            <w:vAlign w:val="bottom"/>
          </w:tcPr>
          <w:p w14:paraId="1E2D2E05" w14:textId="77777777" w:rsidR="004D7EE8" w:rsidRPr="00F62144" w:rsidRDefault="004D7EE8" w:rsidP="00C12648">
            <w:pPr>
              <w:spacing w:before="90"/>
              <w:ind w:firstLine="72"/>
              <w:jc w:val="center"/>
              <w:rPr>
                <w:rFonts w:asciiTheme="minorHAnsi" w:hAnsiTheme="minorHAnsi"/>
                <w:sz w:val="22"/>
                <w:szCs w:val="18"/>
              </w:rPr>
            </w:pPr>
            <w:r w:rsidRPr="00F62144">
              <w:rPr>
                <w:rFonts w:asciiTheme="minorHAnsi" w:hAnsiTheme="minorHAnsi"/>
                <w:sz w:val="22"/>
                <w:szCs w:val="18"/>
              </w:rPr>
              <w:t>2/1</w:t>
            </w:r>
            <w:r w:rsidR="00AA42E7" w:rsidRPr="00F62144">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2019</w:t>
            </w:r>
          </w:p>
        </w:tc>
        <w:tc>
          <w:tcPr>
            <w:tcW w:w="2108" w:type="dxa"/>
            <w:tcBorders>
              <w:top w:val="nil"/>
              <w:left w:val="single" w:sz="4" w:space="0" w:color="auto"/>
              <w:bottom w:val="nil"/>
            </w:tcBorders>
            <w:vAlign w:val="bottom"/>
          </w:tcPr>
          <w:p w14:paraId="464B4AEF" w14:textId="77777777" w:rsidR="004D7EE8" w:rsidRPr="00F62144" w:rsidRDefault="004D7EE8" w:rsidP="002D294F">
            <w:pPr>
              <w:spacing w:before="90"/>
              <w:ind w:right="162"/>
              <w:jc w:val="right"/>
              <w:rPr>
                <w:rFonts w:asciiTheme="minorHAnsi" w:hAnsiTheme="minorHAnsi"/>
                <w:sz w:val="22"/>
                <w:szCs w:val="18"/>
              </w:rPr>
            </w:pPr>
            <w:r w:rsidRPr="00F62144">
              <w:rPr>
                <w:rFonts w:asciiTheme="minorHAnsi" w:hAnsiTheme="minorHAnsi"/>
                <w:sz w:val="22"/>
                <w:szCs w:val="18"/>
              </w:rPr>
              <w:t>10/2 - 11/1/</w:t>
            </w:r>
            <w:r w:rsidR="00AE348E">
              <w:rPr>
                <w:rFonts w:asciiTheme="minorHAnsi" w:hAnsiTheme="minorHAnsi"/>
                <w:sz w:val="22"/>
                <w:szCs w:val="18"/>
              </w:rPr>
              <w:t>2018</w:t>
            </w:r>
          </w:p>
        </w:tc>
        <w:tc>
          <w:tcPr>
            <w:tcW w:w="1959" w:type="dxa"/>
            <w:tcBorders>
              <w:top w:val="nil"/>
              <w:left w:val="nil"/>
              <w:bottom w:val="nil"/>
              <w:right w:val="single" w:sz="4" w:space="0" w:color="auto"/>
            </w:tcBorders>
            <w:vAlign w:val="bottom"/>
          </w:tcPr>
          <w:p w14:paraId="518699DA" w14:textId="77777777" w:rsidR="004D7EE8" w:rsidRPr="00F62144" w:rsidRDefault="00F63872" w:rsidP="002D294F">
            <w:pPr>
              <w:tabs>
                <w:tab w:val="right" w:pos="1428"/>
              </w:tabs>
              <w:spacing w:before="90"/>
              <w:ind w:right="321" w:firstLine="72"/>
              <w:jc w:val="right"/>
              <w:rPr>
                <w:rFonts w:asciiTheme="minorHAnsi" w:hAnsiTheme="minorHAnsi"/>
                <w:sz w:val="22"/>
                <w:szCs w:val="18"/>
              </w:rPr>
            </w:pPr>
            <w:r w:rsidRPr="00F62144">
              <w:rPr>
                <w:rFonts w:asciiTheme="minorHAnsi" w:hAnsiTheme="minorHAnsi"/>
                <w:sz w:val="22"/>
                <w:szCs w:val="18"/>
              </w:rPr>
              <w:t>8/15</w:t>
            </w:r>
            <w:r w:rsidR="004D7EE8" w:rsidRPr="00F62144">
              <w:rPr>
                <w:rFonts w:asciiTheme="minorHAnsi" w:hAnsiTheme="minorHAnsi"/>
                <w:sz w:val="22"/>
                <w:szCs w:val="18"/>
              </w:rPr>
              <w:t>/</w:t>
            </w:r>
            <w:r w:rsidR="00AE348E">
              <w:rPr>
                <w:rFonts w:asciiTheme="minorHAnsi" w:hAnsiTheme="minorHAnsi"/>
                <w:sz w:val="22"/>
                <w:szCs w:val="18"/>
              </w:rPr>
              <w:t>2019</w:t>
            </w:r>
          </w:p>
        </w:tc>
      </w:tr>
      <w:tr w:rsidR="00A07661" w:rsidRPr="00F62144" w14:paraId="1ED70009" w14:textId="77777777" w:rsidTr="002F2508">
        <w:trPr>
          <w:trHeight w:val="255"/>
        </w:trPr>
        <w:tc>
          <w:tcPr>
            <w:tcW w:w="2484" w:type="dxa"/>
            <w:tcBorders>
              <w:top w:val="nil"/>
              <w:left w:val="single" w:sz="4" w:space="0" w:color="auto"/>
              <w:bottom w:val="nil"/>
            </w:tcBorders>
            <w:shd w:val="clear" w:color="auto" w:fill="auto"/>
            <w:noWrap/>
            <w:vAlign w:val="bottom"/>
          </w:tcPr>
          <w:p w14:paraId="43914D1B" w14:textId="77777777" w:rsidR="004D7EE8" w:rsidRPr="00F62144" w:rsidRDefault="004D7EE8" w:rsidP="003D6871">
            <w:pPr>
              <w:spacing w:before="90"/>
              <w:jc w:val="center"/>
              <w:rPr>
                <w:rFonts w:asciiTheme="minorHAnsi" w:hAnsiTheme="minorHAnsi"/>
                <w:sz w:val="22"/>
                <w:szCs w:val="18"/>
              </w:rPr>
            </w:pPr>
            <w:r w:rsidRPr="00F62144">
              <w:rPr>
                <w:rFonts w:asciiTheme="minorHAnsi" w:hAnsiTheme="minorHAnsi"/>
                <w:sz w:val="22"/>
                <w:szCs w:val="18"/>
              </w:rPr>
              <w:t>5/2 - 6/1/</w:t>
            </w:r>
            <w:r w:rsidR="00AE348E">
              <w:rPr>
                <w:rFonts w:asciiTheme="minorHAnsi" w:hAnsiTheme="minorHAnsi"/>
                <w:sz w:val="22"/>
                <w:szCs w:val="18"/>
              </w:rPr>
              <w:t>2018</w:t>
            </w:r>
          </w:p>
        </w:tc>
        <w:tc>
          <w:tcPr>
            <w:tcW w:w="1978" w:type="dxa"/>
            <w:tcBorders>
              <w:top w:val="nil"/>
              <w:bottom w:val="nil"/>
              <w:right w:val="single" w:sz="4" w:space="0" w:color="auto"/>
            </w:tcBorders>
            <w:vAlign w:val="bottom"/>
          </w:tcPr>
          <w:p w14:paraId="3847EE9C" w14:textId="77777777" w:rsidR="004D7EE8" w:rsidRPr="00F62144" w:rsidRDefault="00677E51" w:rsidP="00C12648">
            <w:pPr>
              <w:spacing w:before="90"/>
              <w:ind w:firstLine="72"/>
              <w:jc w:val="center"/>
              <w:rPr>
                <w:rFonts w:asciiTheme="minorHAnsi" w:hAnsiTheme="minorHAnsi"/>
                <w:sz w:val="22"/>
                <w:szCs w:val="18"/>
              </w:rPr>
            </w:pPr>
            <w:r w:rsidRPr="00F62144">
              <w:rPr>
                <w:rFonts w:asciiTheme="minorHAnsi" w:hAnsiTheme="minorHAnsi"/>
                <w:sz w:val="22"/>
                <w:szCs w:val="18"/>
              </w:rPr>
              <w:t>3/15</w:t>
            </w:r>
            <w:r w:rsidR="004D7EE8" w:rsidRPr="00F62144">
              <w:rPr>
                <w:rFonts w:asciiTheme="minorHAnsi" w:hAnsiTheme="minorHAnsi"/>
                <w:sz w:val="22"/>
                <w:szCs w:val="18"/>
              </w:rPr>
              <w:t>/</w:t>
            </w:r>
            <w:r w:rsidR="00AE348E">
              <w:rPr>
                <w:rFonts w:asciiTheme="minorHAnsi" w:hAnsiTheme="minorHAnsi"/>
                <w:sz w:val="22"/>
                <w:szCs w:val="18"/>
              </w:rPr>
              <w:t>2019</w:t>
            </w:r>
          </w:p>
        </w:tc>
        <w:tc>
          <w:tcPr>
            <w:tcW w:w="2108" w:type="dxa"/>
            <w:tcBorders>
              <w:top w:val="nil"/>
              <w:left w:val="single" w:sz="4" w:space="0" w:color="auto"/>
            </w:tcBorders>
            <w:vAlign w:val="bottom"/>
          </w:tcPr>
          <w:p w14:paraId="3A999C6E" w14:textId="77777777" w:rsidR="004D7EE8" w:rsidRPr="00F62144" w:rsidRDefault="004D7EE8" w:rsidP="002D294F">
            <w:pPr>
              <w:spacing w:before="90"/>
              <w:ind w:right="162"/>
              <w:jc w:val="right"/>
              <w:rPr>
                <w:rFonts w:asciiTheme="minorHAnsi" w:hAnsiTheme="minorHAnsi"/>
                <w:sz w:val="22"/>
                <w:szCs w:val="18"/>
              </w:rPr>
            </w:pPr>
            <w:r w:rsidRPr="00F62144">
              <w:rPr>
                <w:rFonts w:asciiTheme="minorHAnsi" w:hAnsiTheme="minorHAnsi"/>
                <w:sz w:val="22"/>
                <w:szCs w:val="18"/>
              </w:rPr>
              <w:t>11/2 - 12/1/</w:t>
            </w:r>
            <w:r w:rsidR="00AE348E">
              <w:rPr>
                <w:rFonts w:asciiTheme="minorHAnsi" w:hAnsiTheme="minorHAnsi"/>
                <w:sz w:val="22"/>
                <w:szCs w:val="18"/>
              </w:rPr>
              <w:t>2018</w:t>
            </w:r>
          </w:p>
        </w:tc>
        <w:tc>
          <w:tcPr>
            <w:tcW w:w="1959" w:type="dxa"/>
            <w:tcBorders>
              <w:top w:val="nil"/>
              <w:left w:val="nil"/>
              <w:right w:val="single" w:sz="4" w:space="0" w:color="auto"/>
            </w:tcBorders>
            <w:vAlign w:val="bottom"/>
          </w:tcPr>
          <w:p w14:paraId="321305EC" w14:textId="77777777" w:rsidR="004D7EE8" w:rsidRPr="00F62144" w:rsidRDefault="004D7EE8" w:rsidP="002D294F">
            <w:pPr>
              <w:spacing w:before="90"/>
              <w:ind w:right="231" w:firstLine="72"/>
              <w:jc w:val="right"/>
              <w:rPr>
                <w:rFonts w:asciiTheme="minorHAnsi" w:hAnsiTheme="minorHAnsi"/>
                <w:sz w:val="22"/>
                <w:szCs w:val="18"/>
              </w:rPr>
            </w:pPr>
            <w:r w:rsidRPr="00F62144">
              <w:rPr>
                <w:rFonts w:asciiTheme="minorHAnsi" w:hAnsiTheme="minorHAnsi"/>
                <w:sz w:val="22"/>
                <w:szCs w:val="18"/>
              </w:rPr>
              <w:t>9/</w:t>
            </w:r>
            <w:r w:rsidR="0055364D" w:rsidRPr="00F62144">
              <w:rPr>
                <w:rFonts w:asciiTheme="minorHAnsi" w:hAnsiTheme="minorHAnsi"/>
                <w:sz w:val="22"/>
                <w:szCs w:val="18"/>
              </w:rPr>
              <w:t>1</w:t>
            </w:r>
            <w:r w:rsidR="00E37E5D">
              <w:rPr>
                <w:rFonts w:asciiTheme="minorHAnsi" w:hAnsiTheme="minorHAnsi"/>
                <w:sz w:val="22"/>
                <w:szCs w:val="18"/>
              </w:rPr>
              <w:t>6</w:t>
            </w:r>
            <w:r w:rsidRPr="00F62144">
              <w:rPr>
                <w:rFonts w:asciiTheme="minorHAnsi" w:hAnsiTheme="minorHAnsi"/>
                <w:sz w:val="22"/>
                <w:szCs w:val="18"/>
              </w:rPr>
              <w:t>/</w:t>
            </w:r>
            <w:r w:rsidR="00AE348E">
              <w:rPr>
                <w:rFonts w:asciiTheme="minorHAnsi" w:hAnsiTheme="minorHAnsi"/>
                <w:sz w:val="22"/>
                <w:szCs w:val="18"/>
              </w:rPr>
              <w:t>2019</w:t>
            </w:r>
            <w:r w:rsidR="00E37E5D" w:rsidRPr="00BD2131">
              <w:rPr>
                <w:rFonts w:asciiTheme="minorHAnsi" w:hAnsiTheme="minorHAnsi"/>
                <w:sz w:val="22"/>
                <w:szCs w:val="18"/>
              </w:rPr>
              <w:t>*</w:t>
            </w:r>
          </w:p>
        </w:tc>
      </w:tr>
      <w:tr w:rsidR="00A07661" w:rsidRPr="00F62144" w14:paraId="3E20CD94" w14:textId="77777777" w:rsidTr="002F2508">
        <w:trPr>
          <w:trHeight w:val="477"/>
        </w:trPr>
        <w:tc>
          <w:tcPr>
            <w:tcW w:w="2484" w:type="dxa"/>
            <w:tcBorders>
              <w:top w:val="nil"/>
              <w:left w:val="single" w:sz="4" w:space="0" w:color="auto"/>
              <w:bottom w:val="single" w:sz="4" w:space="0" w:color="auto"/>
            </w:tcBorders>
            <w:shd w:val="clear" w:color="auto" w:fill="auto"/>
            <w:noWrap/>
          </w:tcPr>
          <w:p w14:paraId="39290FD1" w14:textId="77777777" w:rsidR="004D7EE8" w:rsidRPr="00F62144" w:rsidRDefault="004D7EE8" w:rsidP="003D6871">
            <w:pPr>
              <w:spacing w:before="90"/>
              <w:jc w:val="center"/>
              <w:rPr>
                <w:rFonts w:asciiTheme="minorHAnsi" w:hAnsiTheme="minorHAnsi"/>
                <w:sz w:val="22"/>
                <w:szCs w:val="18"/>
              </w:rPr>
            </w:pPr>
            <w:r w:rsidRPr="00F62144">
              <w:rPr>
                <w:rFonts w:asciiTheme="minorHAnsi" w:hAnsiTheme="minorHAnsi"/>
                <w:sz w:val="22"/>
                <w:szCs w:val="18"/>
              </w:rPr>
              <w:t>6/2 - 7/1/</w:t>
            </w:r>
            <w:r w:rsidR="00AE348E">
              <w:rPr>
                <w:rFonts w:asciiTheme="minorHAnsi" w:hAnsiTheme="minorHAnsi"/>
                <w:sz w:val="22"/>
                <w:szCs w:val="18"/>
              </w:rPr>
              <w:t>2018</w:t>
            </w:r>
          </w:p>
        </w:tc>
        <w:tc>
          <w:tcPr>
            <w:tcW w:w="1978" w:type="dxa"/>
            <w:tcBorders>
              <w:top w:val="nil"/>
              <w:bottom w:val="single" w:sz="4" w:space="0" w:color="auto"/>
              <w:right w:val="single" w:sz="4" w:space="0" w:color="auto"/>
            </w:tcBorders>
          </w:tcPr>
          <w:p w14:paraId="7750A7C1" w14:textId="77777777" w:rsidR="004D7EE8" w:rsidRPr="00F62144" w:rsidRDefault="004D7EE8" w:rsidP="002F2508">
            <w:pPr>
              <w:tabs>
                <w:tab w:val="right" w:pos="1548"/>
              </w:tabs>
              <w:spacing w:before="90"/>
              <w:ind w:firstLine="72"/>
              <w:jc w:val="center"/>
              <w:rPr>
                <w:rFonts w:asciiTheme="minorHAnsi" w:hAnsiTheme="minorHAnsi"/>
                <w:sz w:val="22"/>
                <w:vertAlign w:val="superscript"/>
              </w:rPr>
            </w:pPr>
            <w:r w:rsidRPr="00F62144">
              <w:rPr>
                <w:rFonts w:asciiTheme="minorHAnsi" w:hAnsiTheme="minorHAnsi"/>
                <w:sz w:val="22"/>
                <w:szCs w:val="18"/>
              </w:rPr>
              <w:t>4/</w:t>
            </w:r>
            <w:r w:rsidR="0066418C" w:rsidRPr="00F62144">
              <w:rPr>
                <w:rFonts w:asciiTheme="minorHAnsi" w:hAnsiTheme="minorHAnsi"/>
                <w:sz w:val="22"/>
                <w:szCs w:val="18"/>
              </w:rPr>
              <w:t>1</w:t>
            </w:r>
            <w:r w:rsidR="00E37E5D">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2019</w:t>
            </w:r>
          </w:p>
        </w:tc>
        <w:tc>
          <w:tcPr>
            <w:tcW w:w="2108" w:type="dxa"/>
            <w:tcBorders>
              <w:top w:val="nil"/>
              <w:left w:val="single" w:sz="4" w:space="0" w:color="auto"/>
              <w:bottom w:val="single" w:sz="4" w:space="0" w:color="auto"/>
            </w:tcBorders>
          </w:tcPr>
          <w:p w14:paraId="6C40875A" w14:textId="77777777" w:rsidR="004D7EE8" w:rsidRPr="00F62144" w:rsidRDefault="004D7EE8" w:rsidP="002D294F">
            <w:pPr>
              <w:spacing w:before="90"/>
              <w:ind w:right="162"/>
              <w:jc w:val="right"/>
              <w:rPr>
                <w:rFonts w:asciiTheme="minorHAnsi" w:hAnsiTheme="minorHAnsi"/>
                <w:sz w:val="22"/>
                <w:vertAlign w:val="superscript"/>
              </w:rPr>
            </w:pPr>
            <w:r w:rsidRPr="00F62144">
              <w:rPr>
                <w:rFonts w:asciiTheme="minorHAnsi" w:hAnsiTheme="minorHAnsi"/>
                <w:sz w:val="22"/>
                <w:szCs w:val="18"/>
              </w:rPr>
              <w:t>12/2 - 12/31/</w:t>
            </w:r>
            <w:r w:rsidR="00AE348E">
              <w:rPr>
                <w:rFonts w:asciiTheme="minorHAnsi" w:hAnsiTheme="minorHAnsi"/>
                <w:sz w:val="22"/>
                <w:szCs w:val="18"/>
              </w:rPr>
              <w:t>2018</w:t>
            </w:r>
          </w:p>
        </w:tc>
        <w:tc>
          <w:tcPr>
            <w:tcW w:w="1959" w:type="dxa"/>
            <w:tcBorders>
              <w:top w:val="nil"/>
              <w:left w:val="nil"/>
              <w:bottom w:val="single" w:sz="4" w:space="0" w:color="auto"/>
              <w:right w:val="single" w:sz="4" w:space="0" w:color="auto"/>
            </w:tcBorders>
          </w:tcPr>
          <w:p w14:paraId="02958BCC" w14:textId="77777777" w:rsidR="004D7EE8" w:rsidRPr="00F62144" w:rsidRDefault="004D7EE8" w:rsidP="002D294F">
            <w:pPr>
              <w:tabs>
                <w:tab w:val="right" w:pos="1512"/>
              </w:tabs>
              <w:spacing w:before="90"/>
              <w:ind w:right="321" w:firstLine="72"/>
              <w:jc w:val="right"/>
              <w:rPr>
                <w:rFonts w:asciiTheme="minorHAnsi" w:hAnsiTheme="minorHAnsi"/>
                <w:sz w:val="22"/>
                <w:szCs w:val="18"/>
              </w:rPr>
            </w:pPr>
            <w:r w:rsidRPr="00F62144">
              <w:rPr>
                <w:rFonts w:asciiTheme="minorHAnsi" w:hAnsiTheme="minorHAnsi"/>
                <w:sz w:val="22"/>
                <w:szCs w:val="18"/>
              </w:rPr>
              <w:t>10/</w:t>
            </w:r>
            <w:r w:rsidR="0055364D" w:rsidRPr="00F62144">
              <w:rPr>
                <w:rFonts w:asciiTheme="minorHAnsi" w:hAnsiTheme="minorHAnsi"/>
                <w:sz w:val="22"/>
                <w:szCs w:val="18"/>
              </w:rPr>
              <w:t>1</w:t>
            </w:r>
            <w:r w:rsidR="0055364D">
              <w:rPr>
                <w:rFonts w:asciiTheme="minorHAnsi" w:hAnsiTheme="minorHAnsi"/>
                <w:sz w:val="22"/>
                <w:szCs w:val="18"/>
              </w:rPr>
              <w:t>5</w:t>
            </w:r>
            <w:r w:rsidRPr="00F62144">
              <w:rPr>
                <w:rFonts w:asciiTheme="minorHAnsi" w:hAnsiTheme="minorHAnsi"/>
                <w:sz w:val="22"/>
                <w:szCs w:val="18"/>
              </w:rPr>
              <w:t>/</w:t>
            </w:r>
            <w:r w:rsidR="00AE348E">
              <w:rPr>
                <w:rFonts w:asciiTheme="minorHAnsi" w:hAnsiTheme="minorHAnsi"/>
                <w:sz w:val="22"/>
                <w:szCs w:val="18"/>
              </w:rPr>
              <w:t>2019</w:t>
            </w:r>
          </w:p>
        </w:tc>
      </w:tr>
      <w:tr w:rsidR="004D7EE8" w:rsidRPr="00F62144" w14:paraId="199D5E88" w14:textId="77777777" w:rsidTr="002F2508">
        <w:trPr>
          <w:trHeight w:val="638"/>
        </w:trPr>
        <w:tc>
          <w:tcPr>
            <w:tcW w:w="8529" w:type="dxa"/>
            <w:gridSpan w:val="4"/>
            <w:tcBorders>
              <w:top w:val="single" w:sz="4" w:space="0" w:color="auto"/>
            </w:tcBorders>
            <w:shd w:val="clear" w:color="auto" w:fill="auto"/>
            <w:noWrap/>
          </w:tcPr>
          <w:p w14:paraId="0B7B70A7" w14:textId="77777777" w:rsidR="004D7EE8" w:rsidRPr="00F62144" w:rsidRDefault="001E4905" w:rsidP="00671136">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4D7EE8" w:rsidRPr="00F62144">
              <w:rPr>
                <w:rFonts w:asciiTheme="minorHAnsi" w:hAnsiTheme="minorHAnsi"/>
                <w:sz w:val="20"/>
                <w:szCs w:val="18"/>
              </w:rPr>
              <w:t xml:space="preserve"> The actual due date falls on a Saturday, Sunday or Federal Holiday, so the date shown above is the first business day following the actual due date.</w:t>
            </w:r>
          </w:p>
        </w:tc>
      </w:tr>
    </w:tbl>
    <w:p w14:paraId="45405329" w14:textId="77777777" w:rsidR="00472A7D" w:rsidRPr="00F62144" w:rsidRDefault="00472A7D" w:rsidP="00F12837">
      <w:pPr>
        <w:autoSpaceDE w:val="0"/>
        <w:autoSpaceDN w:val="0"/>
        <w:adjustRightInd w:val="0"/>
        <w:spacing w:before="120"/>
        <w:rPr>
          <w:rFonts w:asciiTheme="minorHAnsi" w:hAnsiTheme="minorHAnsi"/>
          <w:sz w:val="22"/>
          <w:szCs w:val="22"/>
        </w:rPr>
      </w:pPr>
    </w:p>
    <w:p w14:paraId="4FC317DF" w14:textId="77777777" w:rsidR="00F62144" w:rsidRDefault="00F62144">
      <w:pPr>
        <w:rPr>
          <w:rFonts w:asciiTheme="minorHAnsi" w:hAnsiTheme="minorHAnsi"/>
          <w:b/>
          <w:bCs/>
          <w:sz w:val="22"/>
          <w:szCs w:val="22"/>
        </w:rPr>
      </w:pPr>
      <w:r>
        <w:rPr>
          <w:rFonts w:asciiTheme="minorHAnsi" w:hAnsiTheme="minorHAnsi"/>
          <w:b/>
          <w:bCs/>
          <w:sz w:val="22"/>
          <w:szCs w:val="22"/>
        </w:rPr>
        <w:br w:type="page"/>
      </w:r>
    </w:p>
    <w:p w14:paraId="0A77A6E6" w14:textId="77777777" w:rsidR="00070B1A" w:rsidRPr="00F62144" w:rsidRDefault="00AA75B1" w:rsidP="00070B1A">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Due Date</w:t>
      </w:r>
      <w:r w:rsidR="00C73101" w:rsidRPr="00F62144">
        <w:rPr>
          <w:rFonts w:asciiTheme="minorHAnsi" w:hAnsiTheme="minorHAnsi"/>
          <w:b/>
          <w:bCs/>
          <w:sz w:val="22"/>
          <w:szCs w:val="22"/>
        </w:rPr>
        <w:t xml:space="preserve"> </w:t>
      </w:r>
      <w:r w:rsidR="00070B1A" w:rsidRPr="00F62144">
        <w:rPr>
          <w:rFonts w:asciiTheme="minorHAnsi" w:hAnsiTheme="minorHAnsi"/>
          <w:b/>
          <w:bCs/>
          <w:sz w:val="22"/>
          <w:szCs w:val="22"/>
        </w:rPr>
        <w:t>for Special Situations</w:t>
      </w:r>
    </w:p>
    <w:p w14:paraId="2B4A73B6" w14:textId="77777777" w:rsidR="00070B1A" w:rsidRPr="00F62144" w:rsidRDefault="0085638D" w:rsidP="00070B1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00B9719A" w:rsidRPr="00F62144">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00B9719A" w:rsidRPr="00F62144">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00070B1A" w:rsidRPr="00F62144">
        <w:rPr>
          <w:rFonts w:asciiTheme="minorHAnsi" w:hAnsiTheme="minorHAnsi"/>
          <w:sz w:val="22"/>
          <w:szCs w:val="22"/>
        </w:rPr>
        <w:t>:</w:t>
      </w:r>
    </w:p>
    <w:p w14:paraId="6245E2C2" w14:textId="77777777" w:rsidR="00070B1A" w:rsidRPr="00F62144" w:rsidRDefault="00070B1A" w:rsidP="00023A8E">
      <w:pPr>
        <w:numPr>
          <w:ilvl w:val="0"/>
          <w:numId w:val="32"/>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0085638D" w:rsidRPr="00F62144">
        <w:rPr>
          <w:rFonts w:asciiTheme="minorHAnsi" w:hAnsiTheme="minorHAnsi"/>
          <w:bCs/>
          <w:sz w:val="22"/>
          <w:szCs w:val="22"/>
        </w:rPr>
        <w:t xml:space="preserve"> Covered</w:t>
      </w:r>
      <w:r w:rsidRPr="00F62144">
        <w:rPr>
          <w:rFonts w:asciiTheme="minorHAnsi" w:hAnsiTheme="minorHAnsi"/>
          <w:bCs/>
          <w:sz w:val="22"/>
          <w:szCs w:val="22"/>
        </w:rPr>
        <w:t xml:space="preserve"> Plan, </w:t>
      </w:r>
    </w:p>
    <w:p w14:paraId="2E191DEB" w14:textId="77777777" w:rsidR="00070B1A" w:rsidRPr="00F62144" w:rsidRDefault="00070B1A" w:rsidP="00023A8E">
      <w:pPr>
        <w:numPr>
          <w:ilvl w:val="0"/>
          <w:numId w:val="32"/>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 or</w:t>
      </w:r>
    </w:p>
    <w:p w14:paraId="149D9A5D" w14:textId="77777777" w:rsidR="00070B1A" w:rsidRPr="00F62144" w:rsidRDefault="00070B1A" w:rsidP="00023A8E">
      <w:pPr>
        <w:numPr>
          <w:ilvl w:val="0"/>
          <w:numId w:val="32"/>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All assets </w:t>
      </w:r>
      <w:r w:rsidR="00167F08" w:rsidRPr="00F62144">
        <w:rPr>
          <w:rFonts w:asciiTheme="minorHAnsi" w:hAnsiTheme="minorHAnsi"/>
          <w:bCs/>
          <w:sz w:val="22"/>
          <w:szCs w:val="22"/>
        </w:rPr>
        <w:t xml:space="preserve">are </w:t>
      </w:r>
      <w:r w:rsidRPr="00F62144">
        <w:rPr>
          <w:rFonts w:asciiTheme="minorHAnsi" w:hAnsiTheme="minorHAnsi"/>
          <w:bCs/>
          <w:sz w:val="22"/>
          <w:szCs w:val="22"/>
        </w:rPr>
        <w:t xml:space="preserve">distributed </w:t>
      </w:r>
      <w:r w:rsidR="009A52B9" w:rsidRPr="00F62144">
        <w:rPr>
          <w:rFonts w:asciiTheme="minorHAnsi" w:hAnsiTheme="minorHAnsi"/>
          <w:bCs/>
          <w:sz w:val="22"/>
          <w:szCs w:val="22"/>
        </w:rPr>
        <w:t xml:space="preserve">during the Premium Payment Year pursuant to </w:t>
      </w:r>
      <w:r w:rsidRPr="00F62144">
        <w:rPr>
          <w:rFonts w:asciiTheme="minorHAnsi" w:hAnsiTheme="minorHAnsi"/>
          <w:bCs/>
          <w:sz w:val="22"/>
          <w:szCs w:val="22"/>
        </w:rPr>
        <w:t>a standard</w:t>
      </w:r>
      <w:r w:rsidR="00AA75B1" w:rsidRPr="00F62144">
        <w:rPr>
          <w:rFonts w:asciiTheme="minorHAnsi" w:hAnsiTheme="minorHAnsi"/>
          <w:bCs/>
          <w:sz w:val="22"/>
          <w:szCs w:val="22"/>
        </w:rPr>
        <w:t xml:space="preserve"> termination</w:t>
      </w:r>
      <w:r w:rsidRPr="00F62144">
        <w:rPr>
          <w:rFonts w:asciiTheme="minorHAnsi" w:hAnsiTheme="minorHAnsi"/>
          <w:bCs/>
          <w:sz w:val="22"/>
          <w:szCs w:val="22"/>
        </w:rPr>
        <w:t>.</w:t>
      </w:r>
    </w:p>
    <w:p w14:paraId="7D379B07" w14:textId="77777777" w:rsidR="00070B1A" w:rsidRPr="00F62144" w:rsidRDefault="00AA75B1" w:rsidP="00070B1A">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The due dates for these situations are described below.  </w:t>
      </w:r>
      <w:r w:rsidR="00070B1A" w:rsidRPr="00F62144">
        <w:rPr>
          <w:rFonts w:asciiTheme="minorHAnsi" w:hAnsiTheme="minorHAnsi"/>
          <w:bCs/>
          <w:sz w:val="22"/>
          <w:szCs w:val="22"/>
        </w:rPr>
        <w:t xml:space="preserve">For all of these situations, if </w:t>
      </w:r>
      <w:r w:rsidR="00070B1A" w:rsidRPr="00F62144">
        <w:rPr>
          <w:rFonts w:asciiTheme="minorHAnsi" w:hAnsiTheme="minorHAnsi"/>
          <w:sz w:val="22"/>
          <w:szCs w:val="22"/>
        </w:rPr>
        <w:t xml:space="preserve">the </w:t>
      </w:r>
      <w:r w:rsidRPr="00F62144">
        <w:rPr>
          <w:rFonts w:asciiTheme="minorHAnsi" w:hAnsiTheme="minorHAnsi"/>
          <w:sz w:val="22"/>
          <w:szCs w:val="22"/>
        </w:rPr>
        <w:t xml:space="preserve">adjusted </w:t>
      </w:r>
      <w:r w:rsidR="00070B1A" w:rsidRPr="00F62144">
        <w:rPr>
          <w:rFonts w:asciiTheme="minorHAnsi" w:hAnsiTheme="minorHAnsi"/>
          <w:sz w:val="22"/>
          <w:szCs w:val="22"/>
        </w:rPr>
        <w:t xml:space="preserve">due date falls on a Saturday, Sunday or Federal Holiday, the due date is automatically extended to the next business day.   </w:t>
      </w:r>
    </w:p>
    <w:p w14:paraId="5943530D" w14:textId="77777777" w:rsidR="003B487C" w:rsidRPr="00F62144" w:rsidRDefault="00F12837" w:rsidP="00F1283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New and Newly</w:t>
      </w:r>
      <w:r w:rsidR="0085638D" w:rsidRPr="00F62144">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006812A2" w:rsidRPr="00F62144">
        <w:rPr>
          <w:rFonts w:asciiTheme="minorHAnsi" w:hAnsiTheme="minorHAnsi"/>
          <w:bCs/>
          <w:sz w:val="22"/>
          <w:szCs w:val="22"/>
        </w:rPr>
        <w:t xml:space="preserve"> </w:t>
      </w:r>
    </w:p>
    <w:p w14:paraId="06D60F24" w14:textId="77777777" w:rsidR="00B9719A" w:rsidRPr="00F62144" w:rsidRDefault="00167F08" w:rsidP="009E5EE6">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006D0C11" w:rsidRPr="00F62144">
        <w:rPr>
          <w:rFonts w:asciiTheme="minorHAnsi" w:hAnsiTheme="minorHAnsi"/>
          <w:bCs/>
          <w:sz w:val="22"/>
          <w:szCs w:val="22"/>
        </w:rPr>
        <w:t xml:space="preserve"> first time filers </w:t>
      </w:r>
      <w:r w:rsidR="00BD3C4A" w:rsidRPr="00F62144">
        <w:rPr>
          <w:rFonts w:asciiTheme="minorHAnsi" w:hAnsiTheme="minorHAnsi"/>
          <w:bCs/>
          <w:sz w:val="22"/>
          <w:szCs w:val="22"/>
        </w:rPr>
        <w:t>cannot have their filings ready by the Normal Due Date</w:t>
      </w:r>
      <w:r w:rsidRPr="00F62144">
        <w:rPr>
          <w:rFonts w:asciiTheme="minorHAnsi" w:hAnsiTheme="minorHAnsi"/>
          <w:bCs/>
          <w:sz w:val="22"/>
          <w:szCs w:val="22"/>
        </w:rPr>
        <w:t xml:space="preserve">. For example, consider </w:t>
      </w:r>
      <w:r w:rsidR="00BD3C4A" w:rsidRPr="00F62144">
        <w:rPr>
          <w:rFonts w:asciiTheme="minorHAnsi" w:hAnsiTheme="minorHAnsi"/>
          <w:bCs/>
          <w:sz w:val="22"/>
          <w:szCs w:val="22"/>
        </w:rPr>
        <w:t>a calendar year plan that is adopted November 1</w:t>
      </w:r>
      <w:r w:rsidR="00B9719A" w:rsidRPr="00F62144">
        <w:rPr>
          <w:rFonts w:asciiTheme="minorHAnsi" w:hAnsiTheme="minorHAnsi"/>
          <w:bCs/>
          <w:sz w:val="22"/>
          <w:szCs w:val="22"/>
          <w:vertAlign w:val="superscript"/>
        </w:rPr>
        <w:t>st</w:t>
      </w:r>
      <w:r w:rsidR="00B9719A" w:rsidRPr="00F62144">
        <w:rPr>
          <w:rFonts w:asciiTheme="minorHAnsi" w:hAnsiTheme="minorHAnsi"/>
          <w:bCs/>
          <w:sz w:val="22"/>
          <w:szCs w:val="22"/>
        </w:rPr>
        <w:t xml:space="preserve"> </w:t>
      </w:r>
      <w:r w:rsidR="00BD3C4A" w:rsidRPr="00F62144">
        <w:rPr>
          <w:rFonts w:asciiTheme="minorHAnsi" w:hAnsiTheme="minorHAnsi"/>
          <w:bCs/>
          <w:sz w:val="22"/>
          <w:szCs w:val="22"/>
        </w:rPr>
        <w:t xml:space="preserve">with an effective date retroactive to January 1. </w:t>
      </w:r>
      <w:r w:rsidR="00B9719A" w:rsidRPr="00F62144">
        <w:rPr>
          <w:rFonts w:asciiTheme="minorHAnsi" w:hAnsiTheme="minorHAnsi"/>
          <w:bCs/>
          <w:sz w:val="22"/>
          <w:szCs w:val="22"/>
        </w:rPr>
        <w:t xml:space="preserve">Because the plan was adopted </w:t>
      </w:r>
      <w:r w:rsidR="00465AB7" w:rsidRPr="00F62144">
        <w:rPr>
          <w:rFonts w:asciiTheme="minorHAnsi" w:hAnsiTheme="minorHAnsi"/>
          <w:bCs/>
          <w:sz w:val="22"/>
          <w:szCs w:val="22"/>
        </w:rPr>
        <w:t xml:space="preserve">after </w:t>
      </w:r>
      <w:r w:rsidR="00B9719A" w:rsidRPr="00F62144">
        <w:rPr>
          <w:rFonts w:asciiTheme="minorHAnsi" w:hAnsiTheme="minorHAnsi"/>
          <w:bCs/>
          <w:sz w:val="22"/>
          <w:szCs w:val="22"/>
        </w:rPr>
        <w:t>the Normal Premium Due Date (October 1</w:t>
      </w:r>
      <w:r w:rsidR="00160182" w:rsidRPr="00F62144">
        <w:rPr>
          <w:rFonts w:asciiTheme="minorHAnsi" w:hAnsiTheme="minorHAnsi"/>
          <w:bCs/>
          <w:sz w:val="22"/>
          <w:szCs w:val="22"/>
        </w:rPr>
        <w:t>5</w:t>
      </w:r>
      <w:r w:rsidR="00B9719A" w:rsidRPr="00F62144">
        <w:rPr>
          <w:rFonts w:asciiTheme="minorHAnsi" w:hAnsiTheme="minorHAnsi"/>
          <w:bCs/>
          <w:sz w:val="22"/>
          <w:szCs w:val="22"/>
          <w:vertAlign w:val="superscript"/>
        </w:rPr>
        <w:t>t</w:t>
      </w:r>
      <w:r w:rsidR="00160182" w:rsidRPr="00F62144">
        <w:rPr>
          <w:rFonts w:asciiTheme="minorHAnsi" w:hAnsiTheme="minorHAnsi"/>
          <w:bCs/>
          <w:sz w:val="22"/>
          <w:szCs w:val="22"/>
          <w:vertAlign w:val="superscript"/>
        </w:rPr>
        <w:t>h</w:t>
      </w:r>
      <w:r w:rsidR="00B9719A" w:rsidRPr="00F62144">
        <w:rPr>
          <w:rFonts w:asciiTheme="minorHAnsi" w:hAnsiTheme="minorHAnsi"/>
          <w:bCs/>
          <w:sz w:val="22"/>
          <w:szCs w:val="22"/>
        </w:rPr>
        <w:t>)</w:t>
      </w:r>
      <w:r w:rsidR="00465AB7" w:rsidRPr="00F62144">
        <w:rPr>
          <w:rFonts w:asciiTheme="minorHAnsi" w:hAnsiTheme="minorHAnsi"/>
          <w:bCs/>
          <w:sz w:val="22"/>
          <w:szCs w:val="22"/>
        </w:rPr>
        <w:t>, a later due date is warranted.</w:t>
      </w:r>
      <w:r w:rsidR="007C57FF">
        <w:rPr>
          <w:rFonts w:asciiTheme="minorHAnsi" w:hAnsiTheme="minorHAnsi"/>
          <w:bCs/>
          <w:sz w:val="22"/>
          <w:szCs w:val="22"/>
        </w:rPr>
        <w:t xml:space="preserve">  Th</w:t>
      </w:r>
      <w:r w:rsidR="009927EA">
        <w:rPr>
          <w:rFonts w:asciiTheme="minorHAnsi" w:hAnsiTheme="minorHAnsi"/>
          <w:bCs/>
          <w:sz w:val="22"/>
          <w:szCs w:val="22"/>
        </w:rPr>
        <w:t>i</w:t>
      </w:r>
      <w:r w:rsidR="007C57FF">
        <w:rPr>
          <w:rFonts w:asciiTheme="minorHAnsi" w:hAnsiTheme="minorHAnsi"/>
          <w:bCs/>
          <w:sz w:val="22"/>
          <w:szCs w:val="22"/>
        </w:rPr>
        <w:t>s rule applies even if the New Plan was created as the result of a mid-year spinoff from another plan.</w:t>
      </w:r>
    </w:p>
    <w:p w14:paraId="5D0F7D64" w14:textId="77777777" w:rsidR="009E5EE6" w:rsidRPr="00F62144" w:rsidRDefault="00222664" w:rsidP="0062474C">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00696718" w:rsidRPr="00F62144">
        <w:rPr>
          <w:rFonts w:asciiTheme="minorHAnsi" w:hAnsiTheme="minorHAnsi"/>
          <w:bCs/>
          <w:sz w:val="22"/>
          <w:szCs w:val="22"/>
        </w:rPr>
        <w:t xml:space="preserve">such </w:t>
      </w:r>
      <w:r w:rsidR="00465AB7" w:rsidRPr="00F62144">
        <w:rPr>
          <w:rFonts w:asciiTheme="minorHAnsi" w:hAnsiTheme="minorHAnsi"/>
          <w:bCs/>
          <w:sz w:val="22"/>
          <w:szCs w:val="22"/>
        </w:rPr>
        <w:t xml:space="preserve">plans, </w:t>
      </w:r>
      <w:r w:rsidR="00BD3C4A" w:rsidRPr="00F62144">
        <w:rPr>
          <w:rFonts w:asciiTheme="minorHAnsi" w:hAnsiTheme="minorHAnsi"/>
          <w:bCs/>
          <w:sz w:val="22"/>
          <w:szCs w:val="22"/>
        </w:rPr>
        <w:t xml:space="preserve">the due date for </w:t>
      </w:r>
      <w:r w:rsidR="00167F08" w:rsidRPr="00F62144">
        <w:rPr>
          <w:rFonts w:asciiTheme="minorHAnsi" w:hAnsiTheme="minorHAnsi"/>
          <w:bCs/>
          <w:sz w:val="22"/>
          <w:szCs w:val="22"/>
        </w:rPr>
        <w:t xml:space="preserve">New and Newly </w:t>
      </w:r>
      <w:r w:rsidR="00B9719A" w:rsidRPr="00F62144">
        <w:rPr>
          <w:rFonts w:asciiTheme="minorHAnsi" w:hAnsiTheme="minorHAnsi"/>
          <w:bCs/>
          <w:sz w:val="22"/>
          <w:szCs w:val="22"/>
        </w:rPr>
        <w:t>C</w:t>
      </w:r>
      <w:r w:rsidR="00167F08" w:rsidRPr="00F62144">
        <w:rPr>
          <w:rFonts w:asciiTheme="minorHAnsi" w:hAnsiTheme="minorHAnsi"/>
          <w:bCs/>
          <w:sz w:val="22"/>
          <w:szCs w:val="22"/>
        </w:rPr>
        <w:t xml:space="preserve">overed </w:t>
      </w:r>
      <w:r w:rsidR="00B9719A" w:rsidRPr="00F62144">
        <w:rPr>
          <w:rFonts w:asciiTheme="minorHAnsi" w:hAnsiTheme="minorHAnsi"/>
          <w:bCs/>
          <w:sz w:val="22"/>
          <w:szCs w:val="22"/>
        </w:rPr>
        <w:t>Plans</w:t>
      </w:r>
      <w:r w:rsidR="00BD3C4A" w:rsidRPr="00F62144">
        <w:rPr>
          <w:rFonts w:asciiTheme="minorHAnsi" w:hAnsiTheme="minorHAnsi"/>
          <w:bCs/>
          <w:sz w:val="22"/>
          <w:szCs w:val="22"/>
        </w:rPr>
        <w:t xml:space="preserve"> is the late</w:t>
      </w:r>
      <w:r w:rsidRPr="00F62144">
        <w:rPr>
          <w:rFonts w:asciiTheme="minorHAnsi" w:hAnsiTheme="minorHAnsi"/>
          <w:bCs/>
          <w:sz w:val="22"/>
          <w:szCs w:val="22"/>
        </w:rPr>
        <w:t>st</w:t>
      </w:r>
      <w:r w:rsidR="00BD3C4A" w:rsidRPr="00F62144">
        <w:rPr>
          <w:rFonts w:asciiTheme="minorHAnsi" w:hAnsiTheme="minorHAnsi"/>
          <w:bCs/>
          <w:sz w:val="22"/>
          <w:szCs w:val="22"/>
        </w:rPr>
        <w:t xml:space="preserve"> of:</w:t>
      </w:r>
    </w:p>
    <w:p w14:paraId="364A50B4" w14:textId="77777777" w:rsidR="00BD3C4A" w:rsidRPr="00F62144" w:rsidRDefault="009E5EE6" w:rsidP="0062474C">
      <w:pPr>
        <w:numPr>
          <w:ilvl w:val="0"/>
          <w:numId w:val="1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00BD3C4A" w:rsidRPr="00F62144">
        <w:rPr>
          <w:rFonts w:asciiTheme="minorHAnsi" w:hAnsiTheme="minorHAnsi"/>
          <w:sz w:val="22"/>
          <w:szCs w:val="22"/>
        </w:rPr>
        <w:t>Normal Due Date</w:t>
      </w:r>
      <w:r w:rsidR="009A366D" w:rsidRPr="00F62144">
        <w:rPr>
          <w:rFonts w:asciiTheme="minorHAnsi" w:hAnsiTheme="minorHAnsi"/>
          <w:sz w:val="22"/>
          <w:szCs w:val="22"/>
        </w:rPr>
        <w:t>,</w:t>
      </w:r>
    </w:p>
    <w:p w14:paraId="5C06C807" w14:textId="77777777" w:rsidR="00023BA4" w:rsidRPr="00F62144" w:rsidRDefault="009E5EE6" w:rsidP="0062474C">
      <w:pPr>
        <w:numPr>
          <w:ilvl w:val="0"/>
          <w:numId w:val="1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90 days after the date of the plan’s adoption</w:t>
      </w:r>
      <w:r w:rsidR="005F1768" w:rsidRPr="00F62144">
        <w:rPr>
          <w:rFonts w:asciiTheme="minorHAnsi" w:hAnsiTheme="minorHAnsi"/>
          <w:sz w:val="22"/>
          <w:szCs w:val="22"/>
        </w:rPr>
        <w:t>,</w:t>
      </w:r>
    </w:p>
    <w:p w14:paraId="0B34AF0E" w14:textId="77777777" w:rsidR="00023BA4" w:rsidRPr="00F62144" w:rsidRDefault="009E5EE6" w:rsidP="0062474C">
      <w:pPr>
        <w:numPr>
          <w:ilvl w:val="0"/>
          <w:numId w:val="1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00023BA4" w:rsidRPr="00F62144">
        <w:rPr>
          <w:rFonts w:asciiTheme="minorHAnsi" w:hAnsiTheme="minorHAnsi"/>
          <w:sz w:val="22"/>
          <w:szCs w:val="22"/>
        </w:rPr>
        <w:t>, or</w:t>
      </w:r>
    </w:p>
    <w:p w14:paraId="7F2C5EE2" w14:textId="77777777" w:rsidR="009E5EE6" w:rsidRPr="00F62144" w:rsidRDefault="00023BA4" w:rsidP="0062474C">
      <w:pPr>
        <w:numPr>
          <w:ilvl w:val="0"/>
          <w:numId w:val="1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14:paraId="64410A25" w14:textId="77777777" w:rsidR="00803B69" w:rsidRPr="00F62144" w:rsidRDefault="00803B69" w:rsidP="0062474C">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0099158E" w:rsidRPr="00F62144">
        <w:rPr>
          <w:rFonts w:asciiTheme="minorHAnsi" w:hAnsiTheme="minorHAnsi"/>
          <w:bCs/>
          <w:sz w:val="22"/>
          <w:szCs w:val="22"/>
        </w:rPr>
        <w:t>:</w:t>
      </w:r>
      <w:r w:rsidR="00070B1A" w:rsidRPr="0062474C">
        <w:rPr>
          <w:rFonts w:asciiTheme="minorHAnsi" w:hAnsiTheme="minorHAnsi"/>
          <w:bCs/>
          <w:sz w:val="22"/>
          <w:szCs w:val="22"/>
        </w:rPr>
        <w:t xml:space="preserve"> </w:t>
      </w:r>
    </w:p>
    <w:p w14:paraId="2E2F2BFF" w14:textId="77777777" w:rsidR="004652CD" w:rsidRPr="00F62144" w:rsidRDefault="00F12837" w:rsidP="0062474C">
      <w:pPr>
        <w:autoSpaceDE w:val="0"/>
        <w:autoSpaceDN w:val="0"/>
        <w:adjustRightInd w:val="0"/>
        <w:spacing w:before="120"/>
        <w:rPr>
          <w:rFonts w:asciiTheme="minorHAnsi" w:hAnsiTheme="minorHAnsi"/>
          <w:bCs/>
          <w:sz w:val="22"/>
          <w:szCs w:val="22"/>
        </w:rPr>
      </w:pPr>
      <w:r w:rsidRPr="002B48CF">
        <w:rPr>
          <w:rFonts w:asciiTheme="minorHAnsi" w:hAnsiTheme="minorHAnsi"/>
          <w:bCs/>
          <w:i/>
          <w:sz w:val="22"/>
          <w:szCs w:val="22"/>
        </w:rPr>
        <w:t xml:space="preserve">Example </w:t>
      </w:r>
      <w:r w:rsidR="0025019B">
        <w:rPr>
          <w:rFonts w:asciiTheme="minorHAnsi" w:hAnsiTheme="minorHAnsi"/>
          <w:bCs/>
          <w:i/>
          <w:sz w:val="22"/>
          <w:szCs w:val="22"/>
        </w:rPr>
        <w:t>1</w:t>
      </w:r>
      <w:r w:rsidR="0025019B" w:rsidRPr="00EF626E">
        <w:rPr>
          <w:rFonts w:asciiTheme="minorHAnsi" w:hAnsiTheme="minorHAnsi"/>
          <w:bCs/>
          <w:sz w:val="22"/>
          <w:szCs w:val="22"/>
        </w:rPr>
        <w:t xml:space="preserve"> </w:t>
      </w:r>
      <w:r w:rsidRPr="00EF626E">
        <w:rPr>
          <w:rFonts w:asciiTheme="minorHAnsi" w:hAnsiTheme="minorHAnsi"/>
          <w:bCs/>
          <w:sz w:val="22"/>
          <w:szCs w:val="22"/>
        </w:rPr>
        <w:t xml:space="preserve">– </w:t>
      </w:r>
      <w:r w:rsidR="007E22BB" w:rsidRPr="002B48CF">
        <w:rPr>
          <w:rFonts w:asciiTheme="minorHAnsi" w:hAnsiTheme="minorHAnsi"/>
          <w:bCs/>
          <w:sz w:val="22"/>
          <w:szCs w:val="22"/>
        </w:rPr>
        <w:t xml:space="preserve">Plan </w:t>
      </w:r>
      <w:r w:rsidR="00283F33" w:rsidRPr="002B48CF">
        <w:rPr>
          <w:rFonts w:asciiTheme="minorHAnsi" w:hAnsiTheme="minorHAnsi"/>
          <w:bCs/>
          <w:sz w:val="22"/>
          <w:szCs w:val="22"/>
        </w:rPr>
        <w:t>B</w:t>
      </w:r>
      <w:r w:rsidR="007E22BB" w:rsidRPr="002B48CF">
        <w:rPr>
          <w:rFonts w:asciiTheme="minorHAnsi" w:hAnsiTheme="minorHAnsi"/>
          <w:bCs/>
          <w:sz w:val="22"/>
          <w:szCs w:val="22"/>
        </w:rPr>
        <w:t>, a calendar-year plan</w:t>
      </w:r>
      <w:r w:rsidR="004652CD" w:rsidRPr="002B48CF">
        <w:rPr>
          <w:rFonts w:asciiTheme="minorHAnsi" w:hAnsiTheme="minorHAnsi"/>
          <w:bCs/>
          <w:sz w:val="22"/>
          <w:szCs w:val="22"/>
        </w:rPr>
        <w:t xml:space="preserve"> was</w:t>
      </w:r>
      <w:r w:rsidRPr="002B48CF">
        <w:rPr>
          <w:rFonts w:asciiTheme="minorHAnsi" w:hAnsiTheme="minorHAnsi"/>
          <w:bCs/>
          <w:sz w:val="22"/>
          <w:szCs w:val="22"/>
        </w:rPr>
        <w:t xml:space="preserve"> adopted </w:t>
      </w:r>
      <w:r w:rsidR="004652CD" w:rsidRPr="002B48CF">
        <w:rPr>
          <w:rFonts w:asciiTheme="minorHAnsi" w:hAnsiTheme="minorHAnsi"/>
          <w:bCs/>
          <w:sz w:val="22"/>
          <w:szCs w:val="22"/>
        </w:rPr>
        <w:t xml:space="preserve">August 1, </w:t>
      </w:r>
      <w:r w:rsidR="00AE348E">
        <w:rPr>
          <w:rFonts w:asciiTheme="minorHAnsi" w:hAnsiTheme="minorHAnsi"/>
          <w:bCs/>
          <w:sz w:val="22"/>
          <w:szCs w:val="22"/>
        </w:rPr>
        <w:t>2018</w:t>
      </w:r>
      <w:r w:rsidR="0055364D" w:rsidRPr="002B48CF">
        <w:rPr>
          <w:rFonts w:asciiTheme="minorHAnsi" w:hAnsiTheme="minorHAnsi"/>
          <w:bCs/>
          <w:sz w:val="22"/>
          <w:szCs w:val="22"/>
        </w:rPr>
        <w:t xml:space="preserve"> </w:t>
      </w:r>
      <w:r w:rsidR="004652CD" w:rsidRPr="002B48CF">
        <w:rPr>
          <w:rFonts w:asciiTheme="minorHAnsi" w:hAnsiTheme="minorHAnsi"/>
          <w:bCs/>
          <w:sz w:val="22"/>
          <w:szCs w:val="22"/>
        </w:rPr>
        <w:t>with</w:t>
      </w:r>
      <w:r w:rsidR="004652CD" w:rsidRPr="0062474C">
        <w:rPr>
          <w:rFonts w:asciiTheme="minorHAnsi" w:hAnsiTheme="minorHAnsi"/>
          <w:bCs/>
          <w:sz w:val="22"/>
          <w:szCs w:val="22"/>
        </w:rPr>
        <w:t xml:space="preserve"> a retroactive effective date of </w:t>
      </w:r>
      <w:r w:rsidRPr="0062474C">
        <w:rPr>
          <w:rFonts w:asciiTheme="minorHAnsi" w:hAnsiTheme="minorHAnsi"/>
          <w:bCs/>
          <w:sz w:val="22"/>
          <w:szCs w:val="22"/>
        </w:rPr>
        <w:t xml:space="preserve">January 1, </w:t>
      </w:r>
      <w:r w:rsidR="00AE348E">
        <w:rPr>
          <w:rFonts w:asciiTheme="minorHAnsi" w:hAnsiTheme="minorHAnsi"/>
          <w:bCs/>
          <w:sz w:val="22"/>
          <w:szCs w:val="22"/>
        </w:rPr>
        <w:t>2018</w:t>
      </w:r>
      <w:r w:rsidR="006812A2" w:rsidRPr="0062474C">
        <w:rPr>
          <w:rFonts w:asciiTheme="minorHAnsi" w:hAnsiTheme="minorHAnsi"/>
          <w:bCs/>
          <w:sz w:val="22"/>
          <w:szCs w:val="22"/>
        </w:rPr>
        <w:t xml:space="preserve">. </w:t>
      </w:r>
      <w:r w:rsidR="007E22BB" w:rsidRPr="0062474C">
        <w:rPr>
          <w:rFonts w:asciiTheme="minorHAnsi" w:hAnsiTheme="minorHAnsi"/>
          <w:bCs/>
          <w:sz w:val="22"/>
          <w:szCs w:val="22"/>
        </w:rPr>
        <w:t xml:space="preserve"> Plan </w:t>
      </w:r>
      <w:r w:rsidR="00283F33">
        <w:rPr>
          <w:rFonts w:asciiTheme="minorHAnsi" w:hAnsiTheme="minorHAnsi"/>
          <w:bCs/>
          <w:sz w:val="22"/>
          <w:szCs w:val="22"/>
        </w:rPr>
        <w:t>B</w:t>
      </w:r>
      <w:r w:rsidR="007E22BB" w:rsidRPr="0062474C">
        <w:rPr>
          <w:rFonts w:asciiTheme="minorHAnsi" w:hAnsiTheme="minorHAnsi"/>
          <w:bCs/>
          <w:sz w:val="22"/>
          <w:szCs w:val="22"/>
        </w:rPr>
        <w:t xml:space="preserve"> is not a Continuation </w:t>
      </w:r>
      <w:r w:rsidR="007E22BB" w:rsidRPr="00F62144">
        <w:rPr>
          <w:rFonts w:asciiTheme="minorHAnsi" w:hAnsiTheme="minorHAnsi"/>
          <w:bCs/>
          <w:sz w:val="22"/>
          <w:szCs w:val="22"/>
        </w:rPr>
        <w:t>Plan</w:t>
      </w:r>
      <w:r w:rsidR="00A1555E" w:rsidRPr="00F62144">
        <w:rPr>
          <w:rFonts w:asciiTheme="minorHAnsi" w:hAnsiTheme="minorHAnsi"/>
          <w:bCs/>
          <w:sz w:val="22"/>
          <w:szCs w:val="22"/>
        </w:rPr>
        <w:t xml:space="preserve"> or a Small Plan</w:t>
      </w:r>
      <w:r w:rsidR="007E22BB" w:rsidRPr="00F62144">
        <w:rPr>
          <w:rFonts w:asciiTheme="minorHAnsi" w:hAnsiTheme="minorHAnsi"/>
          <w:bCs/>
          <w:sz w:val="22"/>
          <w:szCs w:val="22"/>
        </w:rPr>
        <w:t xml:space="preserve">.  </w:t>
      </w:r>
      <w:r w:rsidR="004652CD" w:rsidRPr="00F62144">
        <w:rPr>
          <w:rFonts w:asciiTheme="minorHAnsi" w:hAnsiTheme="minorHAnsi"/>
          <w:bCs/>
          <w:sz w:val="22"/>
          <w:szCs w:val="22"/>
        </w:rPr>
        <w:t xml:space="preserve">The due date for Plan </w:t>
      </w:r>
      <w:r w:rsidR="00283F33">
        <w:rPr>
          <w:rFonts w:asciiTheme="minorHAnsi" w:hAnsiTheme="minorHAnsi"/>
          <w:bCs/>
          <w:sz w:val="22"/>
          <w:szCs w:val="22"/>
        </w:rPr>
        <w:t>B</w:t>
      </w:r>
      <w:r w:rsidR="004652CD" w:rsidRPr="00F62144">
        <w:rPr>
          <w:rFonts w:asciiTheme="minorHAnsi" w:hAnsiTheme="minorHAnsi"/>
          <w:bCs/>
          <w:sz w:val="22"/>
          <w:szCs w:val="22"/>
        </w:rPr>
        <w:t xml:space="preserve">’s first premium filing is </w:t>
      </w:r>
      <w:r w:rsidR="00160182" w:rsidRPr="00F62144">
        <w:rPr>
          <w:rFonts w:asciiTheme="minorHAnsi" w:hAnsiTheme="minorHAnsi"/>
          <w:bCs/>
          <w:sz w:val="22"/>
          <w:szCs w:val="22"/>
        </w:rPr>
        <w:t>October 30</w:t>
      </w:r>
      <w:r w:rsidR="004652CD" w:rsidRPr="00F62144">
        <w:rPr>
          <w:rFonts w:asciiTheme="minorHAnsi" w:hAnsiTheme="minorHAnsi"/>
          <w:bCs/>
          <w:sz w:val="22"/>
          <w:szCs w:val="22"/>
        </w:rPr>
        <w:t xml:space="preserve">, </w:t>
      </w:r>
      <w:r w:rsidR="00AE348E">
        <w:rPr>
          <w:rFonts w:asciiTheme="minorHAnsi" w:hAnsiTheme="minorHAnsi"/>
          <w:bCs/>
          <w:sz w:val="22"/>
          <w:szCs w:val="22"/>
        </w:rPr>
        <w:t>2018</w:t>
      </w:r>
      <w:r w:rsidR="0055364D" w:rsidRPr="00F62144">
        <w:rPr>
          <w:rFonts w:asciiTheme="minorHAnsi" w:hAnsiTheme="minorHAnsi"/>
          <w:bCs/>
          <w:sz w:val="22"/>
          <w:szCs w:val="22"/>
        </w:rPr>
        <w:t xml:space="preserve"> </w:t>
      </w:r>
      <w:r w:rsidR="004652CD" w:rsidRPr="00F62144">
        <w:rPr>
          <w:rFonts w:asciiTheme="minorHAnsi" w:hAnsiTheme="minorHAnsi"/>
          <w:bCs/>
          <w:sz w:val="22"/>
          <w:szCs w:val="22"/>
        </w:rPr>
        <w:t xml:space="preserve">(90 days after August 1, </w:t>
      </w:r>
      <w:r w:rsidR="00AE348E">
        <w:rPr>
          <w:rFonts w:asciiTheme="minorHAnsi" w:hAnsiTheme="minorHAnsi"/>
          <w:bCs/>
          <w:sz w:val="22"/>
          <w:szCs w:val="22"/>
        </w:rPr>
        <w:t>2018</w:t>
      </w:r>
      <w:r w:rsidR="004652CD" w:rsidRPr="00F62144">
        <w:rPr>
          <w:rFonts w:asciiTheme="minorHAnsi" w:hAnsiTheme="minorHAnsi"/>
          <w:bCs/>
          <w:sz w:val="22"/>
          <w:szCs w:val="22"/>
        </w:rPr>
        <w:t>) because that date is later than the Normal Premium Due Date (October 1</w:t>
      </w:r>
      <w:r w:rsidR="000A5032">
        <w:rPr>
          <w:rFonts w:asciiTheme="minorHAnsi" w:hAnsiTheme="minorHAnsi"/>
          <w:bCs/>
          <w:sz w:val="22"/>
          <w:szCs w:val="22"/>
        </w:rPr>
        <w:t>5</w:t>
      </w:r>
      <w:r w:rsidR="004652CD" w:rsidRPr="00F62144">
        <w:rPr>
          <w:rFonts w:asciiTheme="minorHAnsi" w:hAnsiTheme="minorHAnsi"/>
          <w:bCs/>
          <w:sz w:val="22"/>
          <w:szCs w:val="22"/>
        </w:rPr>
        <w:t xml:space="preserve">, </w:t>
      </w:r>
      <w:r w:rsidR="00AE348E">
        <w:rPr>
          <w:rFonts w:asciiTheme="minorHAnsi" w:hAnsiTheme="minorHAnsi"/>
          <w:bCs/>
          <w:sz w:val="22"/>
          <w:szCs w:val="22"/>
        </w:rPr>
        <w:t>2018</w:t>
      </w:r>
      <w:r w:rsidR="004652CD" w:rsidRPr="00F62144">
        <w:rPr>
          <w:rFonts w:asciiTheme="minorHAnsi" w:hAnsiTheme="minorHAnsi"/>
          <w:bCs/>
          <w:sz w:val="22"/>
          <w:szCs w:val="22"/>
        </w:rPr>
        <w:t>).</w:t>
      </w:r>
    </w:p>
    <w:p w14:paraId="62B7A775" w14:textId="77777777" w:rsidR="00451662" w:rsidRPr="00F62144" w:rsidRDefault="004652CD" w:rsidP="0062474C">
      <w:pPr>
        <w:autoSpaceDE w:val="0"/>
        <w:autoSpaceDN w:val="0"/>
        <w:adjustRightInd w:val="0"/>
        <w:spacing w:before="120"/>
        <w:rPr>
          <w:rFonts w:asciiTheme="minorHAnsi" w:hAnsiTheme="minorHAnsi"/>
          <w:bCs/>
          <w:sz w:val="22"/>
          <w:szCs w:val="22"/>
        </w:rPr>
      </w:pPr>
      <w:r w:rsidRPr="007C57FF">
        <w:rPr>
          <w:rFonts w:asciiTheme="minorHAnsi" w:hAnsiTheme="minorHAnsi"/>
          <w:bCs/>
          <w:i/>
          <w:sz w:val="22"/>
          <w:szCs w:val="22"/>
        </w:rPr>
        <w:t xml:space="preserve">Example </w:t>
      </w:r>
      <w:r w:rsidR="0025019B">
        <w:rPr>
          <w:rFonts w:asciiTheme="minorHAnsi" w:hAnsiTheme="minorHAnsi"/>
          <w:bCs/>
          <w:i/>
          <w:sz w:val="22"/>
          <w:szCs w:val="22"/>
        </w:rPr>
        <w:t>2</w:t>
      </w:r>
      <w:r w:rsidR="00062753">
        <w:rPr>
          <w:rFonts w:asciiTheme="minorHAnsi" w:hAnsiTheme="minorHAnsi"/>
          <w:bCs/>
          <w:i/>
          <w:sz w:val="22"/>
          <w:szCs w:val="22"/>
        </w:rPr>
        <w:t xml:space="preserve"> </w:t>
      </w:r>
      <w:r w:rsidRPr="0062474C">
        <w:rPr>
          <w:rFonts w:asciiTheme="minorHAnsi" w:hAnsiTheme="minorHAnsi"/>
          <w:bCs/>
          <w:sz w:val="22"/>
          <w:szCs w:val="22"/>
        </w:rPr>
        <w:t xml:space="preserve">– The situation for Plan </w:t>
      </w:r>
      <w:r w:rsidR="00283F33">
        <w:rPr>
          <w:rFonts w:asciiTheme="minorHAnsi" w:hAnsiTheme="minorHAnsi"/>
          <w:bCs/>
          <w:sz w:val="22"/>
          <w:szCs w:val="22"/>
        </w:rPr>
        <w:t>C</w:t>
      </w:r>
      <w:r w:rsidRPr="0062474C">
        <w:rPr>
          <w:rFonts w:asciiTheme="minorHAnsi" w:hAnsiTheme="minorHAnsi"/>
          <w:bCs/>
          <w:sz w:val="22"/>
          <w:szCs w:val="22"/>
        </w:rPr>
        <w:t xml:space="preserve"> is identical to Plan </w:t>
      </w:r>
      <w:r w:rsidR="00283F33">
        <w:rPr>
          <w:rFonts w:asciiTheme="minorHAnsi" w:hAnsiTheme="minorHAnsi"/>
          <w:bCs/>
          <w:sz w:val="22"/>
          <w:szCs w:val="22"/>
        </w:rPr>
        <w:t>B</w:t>
      </w:r>
      <w:r w:rsidRPr="0062474C">
        <w:rPr>
          <w:rFonts w:asciiTheme="minorHAnsi" w:hAnsiTheme="minorHAnsi"/>
          <w:bCs/>
          <w:sz w:val="22"/>
          <w:szCs w:val="22"/>
        </w:rPr>
        <w:t xml:space="preserve"> (see Example </w:t>
      </w:r>
      <w:r w:rsidR="00824EDD">
        <w:rPr>
          <w:rFonts w:asciiTheme="minorHAnsi" w:hAnsiTheme="minorHAnsi"/>
          <w:bCs/>
          <w:sz w:val="22"/>
          <w:szCs w:val="22"/>
        </w:rPr>
        <w:t>2</w:t>
      </w:r>
      <w:r w:rsidRPr="0062474C">
        <w:rPr>
          <w:rFonts w:asciiTheme="minorHAnsi" w:hAnsiTheme="minorHAnsi"/>
          <w:bCs/>
          <w:sz w:val="22"/>
          <w:szCs w:val="22"/>
        </w:rPr>
        <w:t xml:space="preserve">) except that the plan was adopted one month earlier, July 1, </w:t>
      </w:r>
      <w:r w:rsidR="00AE348E">
        <w:rPr>
          <w:rFonts w:asciiTheme="minorHAnsi" w:hAnsiTheme="minorHAnsi"/>
          <w:bCs/>
          <w:sz w:val="22"/>
          <w:szCs w:val="22"/>
        </w:rPr>
        <w:t>2018</w:t>
      </w:r>
      <w:r w:rsidRPr="0062474C">
        <w:rPr>
          <w:rFonts w:asciiTheme="minorHAnsi" w:hAnsiTheme="minorHAnsi"/>
          <w:bCs/>
          <w:sz w:val="22"/>
          <w:szCs w:val="22"/>
        </w:rPr>
        <w:t xml:space="preserve">.  </w:t>
      </w:r>
      <w:r w:rsidRPr="00F62144">
        <w:rPr>
          <w:rFonts w:asciiTheme="minorHAnsi" w:hAnsiTheme="minorHAnsi"/>
          <w:bCs/>
          <w:sz w:val="22"/>
          <w:szCs w:val="22"/>
        </w:rPr>
        <w:t xml:space="preserve">The due date for Plan </w:t>
      </w:r>
      <w:r w:rsidR="00283F33">
        <w:rPr>
          <w:rFonts w:asciiTheme="minorHAnsi" w:hAnsiTheme="minorHAnsi"/>
          <w:bCs/>
          <w:sz w:val="22"/>
          <w:szCs w:val="22"/>
        </w:rPr>
        <w:t>C</w:t>
      </w:r>
      <w:r w:rsidRPr="00F62144">
        <w:rPr>
          <w:rFonts w:asciiTheme="minorHAnsi" w:hAnsiTheme="minorHAnsi"/>
          <w:bCs/>
          <w:sz w:val="22"/>
          <w:szCs w:val="22"/>
        </w:rPr>
        <w:t>’s first premium filing is October 1</w:t>
      </w:r>
      <w:r w:rsidR="000A5032">
        <w:rPr>
          <w:rFonts w:asciiTheme="minorHAnsi" w:hAnsiTheme="minorHAnsi"/>
          <w:bCs/>
          <w:sz w:val="22"/>
          <w:szCs w:val="22"/>
        </w:rPr>
        <w:t>5</w:t>
      </w:r>
      <w:r w:rsidRPr="00F62144">
        <w:rPr>
          <w:rFonts w:asciiTheme="minorHAnsi" w:hAnsiTheme="minorHAnsi"/>
          <w:bCs/>
          <w:sz w:val="22"/>
          <w:szCs w:val="22"/>
        </w:rPr>
        <w:t xml:space="preserve">, </w:t>
      </w:r>
      <w:r w:rsidR="00AE348E">
        <w:rPr>
          <w:rFonts w:asciiTheme="minorHAnsi" w:hAnsiTheme="minorHAnsi"/>
          <w:bCs/>
          <w:sz w:val="22"/>
          <w:szCs w:val="22"/>
        </w:rPr>
        <w:t>2018</w:t>
      </w:r>
      <w:r w:rsidRPr="00F62144">
        <w:rPr>
          <w:rFonts w:asciiTheme="minorHAnsi" w:hAnsiTheme="minorHAnsi"/>
          <w:bCs/>
          <w:sz w:val="22"/>
          <w:szCs w:val="22"/>
        </w:rPr>
        <w:t>, the Normal Premium Due Date because that date is later than 90 days after the adoption date</w:t>
      </w:r>
      <w:r w:rsidR="00451662" w:rsidRPr="00F62144">
        <w:rPr>
          <w:rFonts w:asciiTheme="minorHAnsi" w:hAnsiTheme="minorHAnsi"/>
          <w:bCs/>
          <w:sz w:val="22"/>
          <w:szCs w:val="22"/>
        </w:rPr>
        <w:t>.</w:t>
      </w:r>
    </w:p>
    <w:p w14:paraId="3AA01AD5" w14:textId="77777777" w:rsidR="00F12837" w:rsidRDefault="00F12837" w:rsidP="00B9719A">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25019B">
        <w:rPr>
          <w:rFonts w:asciiTheme="minorHAnsi" w:hAnsiTheme="minorHAnsi"/>
          <w:bCs/>
          <w:i/>
          <w:sz w:val="22"/>
          <w:szCs w:val="22"/>
        </w:rPr>
        <w:t>3</w:t>
      </w:r>
      <w:r w:rsidR="0025019B" w:rsidRPr="00F62144">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007E22BB" w:rsidRPr="00F62144">
        <w:rPr>
          <w:rFonts w:asciiTheme="minorHAnsi" w:hAnsiTheme="minorHAnsi"/>
          <w:bCs/>
          <w:sz w:val="22"/>
          <w:szCs w:val="22"/>
        </w:rPr>
        <w:t xml:space="preserve">Plan </w:t>
      </w:r>
      <w:r w:rsidR="007C57FF">
        <w:rPr>
          <w:rFonts w:asciiTheme="minorHAnsi" w:hAnsiTheme="minorHAnsi"/>
          <w:bCs/>
          <w:sz w:val="22"/>
          <w:szCs w:val="22"/>
        </w:rPr>
        <w:t>D</w:t>
      </w:r>
      <w:r w:rsidR="007E22BB" w:rsidRPr="00F62144">
        <w:rPr>
          <w:rFonts w:asciiTheme="minorHAnsi" w:hAnsiTheme="minorHAnsi"/>
          <w:bCs/>
          <w:sz w:val="22"/>
          <w:szCs w:val="22"/>
        </w:rPr>
        <w:t xml:space="preserve">, </w:t>
      </w:r>
      <w:r w:rsidRPr="00F62144">
        <w:rPr>
          <w:rFonts w:asciiTheme="minorHAnsi" w:hAnsiTheme="minorHAnsi"/>
          <w:bCs/>
          <w:sz w:val="22"/>
          <w:szCs w:val="22"/>
        </w:rPr>
        <w:t>a calendar plan year</w:t>
      </w:r>
      <w:r w:rsidR="00433DB3" w:rsidRPr="00F62144">
        <w:rPr>
          <w:rFonts w:asciiTheme="minorHAnsi" w:hAnsiTheme="minorHAnsi"/>
          <w:bCs/>
          <w:sz w:val="22"/>
          <w:szCs w:val="22"/>
        </w:rPr>
        <w:t xml:space="preserve"> plan</w:t>
      </w:r>
      <w:r w:rsidRPr="00F62144">
        <w:rPr>
          <w:rFonts w:asciiTheme="minorHAnsi" w:hAnsiTheme="minorHAnsi"/>
          <w:bCs/>
          <w:sz w:val="22"/>
          <w:szCs w:val="22"/>
        </w:rPr>
        <w:t xml:space="preserve">. </w:t>
      </w:r>
      <w:r w:rsidR="007E22BB" w:rsidRPr="00F62144">
        <w:rPr>
          <w:rFonts w:asciiTheme="minorHAnsi" w:hAnsiTheme="minorHAnsi"/>
          <w:bCs/>
          <w:sz w:val="22"/>
          <w:szCs w:val="22"/>
        </w:rPr>
        <w:t xml:space="preserve"> Fro</w:t>
      </w:r>
      <w:r w:rsidR="00B12F0D" w:rsidRPr="00F62144">
        <w:rPr>
          <w:rFonts w:asciiTheme="minorHAnsi" w:hAnsiTheme="minorHAnsi"/>
          <w:bCs/>
          <w:sz w:val="22"/>
          <w:szCs w:val="22"/>
        </w:rPr>
        <w:t>m</w:t>
      </w:r>
      <w:r w:rsidR="007E22BB" w:rsidRPr="00F62144">
        <w:rPr>
          <w:rFonts w:asciiTheme="minorHAnsi" w:hAnsiTheme="minorHAnsi"/>
          <w:bCs/>
          <w:sz w:val="22"/>
          <w:szCs w:val="22"/>
        </w:rPr>
        <w:t xml:space="preserve"> </w:t>
      </w:r>
      <w:r w:rsidR="007F7865" w:rsidRPr="00F62144">
        <w:rPr>
          <w:rFonts w:asciiTheme="minorHAnsi" w:hAnsiTheme="minorHAnsi"/>
          <w:bCs/>
          <w:sz w:val="22"/>
          <w:szCs w:val="22"/>
        </w:rPr>
        <w:t>plan inception</w:t>
      </w:r>
      <w:r w:rsidR="007E22BB" w:rsidRPr="00F62144">
        <w:rPr>
          <w:rFonts w:asciiTheme="minorHAnsi" w:hAnsiTheme="minorHAnsi"/>
          <w:bCs/>
          <w:sz w:val="22"/>
          <w:szCs w:val="22"/>
        </w:rPr>
        <w:t xml:space="preserve"> through </w:t>
      </w:r>
      <w:r w:rsidR="00ED3763" w:rsidRPr="00F62144">
        <w:rPr>
          <w:rFonts w:asciiTheme="minorHAnsi" w:hAnsiTheme="minorHAnsi"/>
          <w:bCs/>
          <w:sz w:val="22"/>
          <w:szCs w:val="22"/>
        </w:rPr>
        <w:t>September 30</w:t>
      </w:r>
      <w:r w:rsidR="007E22BB" w:rsidRPr="00F62144">
        <w:rPr>
          <w:rFonts w:asciiTheme="minorHAnsi" w:hAnsiTheme="minorHAnsi"/>
          <w:bCs/>
          <w:sz w:val="22"/>
          <w:szCs w:val="22"/>
        </w:rPr>
        <w:t xml:space="preserve">, </w:t>
      </w:r>
      <w:r w:rsidR="00AE348E">
        <w:rPr>
          <w:rFonts w:asciiTheme="minorHAnsi" w:hAnsiTheme="minorHAnsi"/>
          <w:bCs/>
          <w:sz w:val="22"/>
          <w:szCs w:val="22"/>
        </w:rPr>
        <w:t>2018</w:t>
      </w:r>
      <w:r w:rsidR="007E22BB" w:rsidRPr="00F62144">
        <w:rPr>
          <w:rFonts w:asciiTheme="minorHAnsi" w:hAnsiTheme="minorHAnsi"/>
          <w:bCs/>
          <w:sz w:val="22"/>
          <w:szCs w:val="22"/>
        </w:rPr>
        <w:t xml:space="preserve">, Plan </w:t>
      </w:r>
      <w:r w:rsidR="007C57FF">
        <w:rPr>
          <w:rFonts w:asciiTheme="minorHAnsi" w:hAnsiTheme="minorHAnsi"/>
          <w:bCs/>
          <w:sz w:val="22"/>
          <w:szCs w:val="22"/>
        </w:rPr>
        <w:t>D</w:t>
      </w:r>
      <w:r w:rsidR="007E22BB" w:rsidRPr="00F62144">
        <w:rPr>
          <w:rFonts w:asciiTheme="minorHAnsi" w:hAnsiTheme="minorHAnsi"/>
          <w:bCs/>
          <w:sz w:val="22"/>
          <w:szCs w:val="22"/>
        </w:rPr>
        <w:t xml:space="preserve"> </w:t>
      </w:r>
      <w:r w:rsidRPr="00F62144">
        <w:rPr>
          <w:rFonts w:asciiTheme="minorHAnsi" w:hAnsiTheme="minorHAnsi"/>
          <w:bCs/>
          <w:sz w:val="22"/>
          <w:szCs w:val="22"/>
        </w:rPr>
        <w:t xml:space="preserve">never had more than 25 active participants, </w:t>
      </w:r>
      <w:r w:rsidR="007E22BB" w:rsidRPr="00F62144">
        <w:rPr>
          <w:rFonts w:asciiTheme="minorHAnsi" w:hAnsiTheme="minorHAnsi"/>
          <w:bCs/>
          <w:sz w:val="22"/>
          <w:szCs w:val="22"/>
        </w:rPr>
        <w:t xml:space="preserve">and was </w:t>
      </w:r>
      <w:r w:rsidRPr="00F62144">
        <w:rPr>
          <w:rFonts w:asciiTheme="minorHAnsi" w:hAnsiTheme="minorHAnsi"/>
          <w:bCs/>
          <w:sz w:val="22"/>
          <w:szCs w:val="22"/>
        </w:rPr>
        <w:t xml:space="preserve">not a covered plan under ERISA section 4021. On October 1, </w:t>
      </w:r>
      <w:r w:rsidR="00AE348E">
        <w:rPr>
          <w:rFonts w:asciiTheme="minorHAnsi" w:hAnsiTheme="minorHAnsi"/>
          <w:bCs/>
          <w:sz w:val="22"/>
          <w:szCs w:val="22"/>
        </w:rPr>
        <w:t>2018</w:t>
      </w:r>
      <w:r w:rsidR="007E22BB" w:rsidRPr="00F62144">
        <w:rPr>
          <w:rFonts w:asciiTheme="minorHAnsi" w:hAnsiTheme="minorHAnsi"/>
          <w:bCs/>
          <w:sz w:val="22"/>
          <w:szCs w:val="22"/>
        </w:rPr>
        <w:t>, a few employees were hired and became covered by the plan resulting in a total active participant count of 26 and therefore, the plan became a covered plan on that date.  Plan </w:t>
      </w:r>
      <w:r w:rsidR="007C57FF">
        <w:rPr>
          <w:rFonts w:asciiTheme="minorHAnsi" w:hAnsiTheme="minorHAnsi"/>
          <w:bCs/>
          <w:sz w:val="22"/>
          <w:szCs w:val="22"/>
        </w:rPr>
        <w:t>D</w:t>
      </w:r>
      <w:r w:rsidR="007E22BB" w:rsidRPr="00F62144">
        <w:rPr>
          <w:rFonts w:asciiTheme="minorHAnsi" w:hAnsiTheme="minorHAnsi"/>
          <w:bCs/>
          <w:sz w:val="22"/>
          <w:szCs w:val="22"/>
        </w:rPr>
        <w:t xml:space="preserve"> </w:t>
      </w:r>
      <w:r w:rsidRPr="00F62144">
        <w:rPr>
          <w:rFonts w:asciiTheme="minorHAnsi" w:hAnsiTheme="minorHAnsi"/>
          <w:bCs/>
          <w:sz w:val="22"/>
          <w:szCs w:val="22"/>
        </w:rPr>
        <w:t xml:space="preserve">will continue to be a covered plan regardless of how many active participants the plan has in the future. </w:t>
      </w:r>
      <w:r w:rsidR="007E22BB" w:rsidRPr="00F62144">
        <w:rPr>
          <w:rFonts w:asciiTheme="minorHAnsi" w:hAnsiTheme="minorHAnsi"/>
          <w:bCs/>
          <w:sz w:val="22"/>
          <w:szCs w:val="22"/>
        </w:rPr>
        <w:t xml:space="preserve"> </w:t>
      </w:r>
      <w:r w:rsidRPr="00F62144">
        <w:rPr>
          <w:rFonts w:asciiTheme="minorHAnsi" w:hAnsiTheme="minorHAnsi"/>
          <w:bCs/>
          <w:sz w:val="22"/>
          <w:szCs w:val="22"/>
        </w:rPr>
        <w:t xml:space="preserve">Note that the Premium Payment Year begins on January 1, </w:t>
      </w:r>
      <w:r w:rsidR="00AE348E">
        <w:rPr>
          <w:rFonts w:asciiTheme="minorHAnsi" w:hAnsiTheme="minorHAnsi"/>
          <w:bCs/>
          <w:sz w:val="22"/>
          <w:szCs w:val="22"/>
        </w:rPr>
        <w:t>2018</w:t>
      </w:r>
      <w:r w:rsidRPr="00F62144">
        <w:rPr>
          <w:rFonts w:asciiTheme="minorHAnsi" w:hAnsiTheme="minorHAnsi"/>
          <w:bCs/>
          <w:sz w:val="22"/>
          <w:szCs w:val="22"/>
        </w:rPr>
        <w:t xml:space="preserve">, even though the plan did not become covered until after that date. </w:t>
      </w:r>
      <w:r w:rsidR="00ED3763" w:rsidRPr="00F62144">
        <w:rPr>
          <w:rFonts w:asciiTheme="minorHAnsi" w:hAnsiTheme="minorHAnsi"/>
          <w:bCs/>
          <w:sz w:val="22"/>
          <w:szCs w:val="22"/>
        </w:rPr>
        <w:t xml:space="preserve"> </w:t>
      </w:r>
      <w:r w:rsidRPr="00F62144">
        <w:rPr>
          <w:rFonts w:asciiTheme="minorHAnsi" w:hAnsiTheme="minorHAnsi"/>
          <w:bCs/>
          <w:sz w:val="22"/>
          <w:szCs w:val="22"/>
        </w:rPr>
        <w:t xml:space="preserve">The due date for the plan’s first premium filing </w:t>
      </w:r>
      <w:r w:rsidR="00ED3763" w:rsidRPr="00F62144">
        <w:rPr>
          <w:rFonts w:asciiTheme="minorHAnsi" w:hAnsiTheme="minorHAnsi"/>
          <w:bCs/>
          <w:sz w:val="22"/>
          <w:szCs w:val="22"/>
        </w:rPr>
        <w:t>is</w:t>
      </w:r>
      <w:r w:rsidR="00433DB3" w:rsidRPr="00F62144">
        <w:rPr>
          <w:rFonts w:asciiTheme="minorHAnsi" w:hAnsiTheme="minorHAnsi"/>
          <w:bCs/>
          <w:sz w:val="22"/>
          <w:szCs w:val="22"/>
        </w:rPr>
        <w:t xml:space="preserve"> </w:t>
      </w:r>
      <w:r w:rsidR="00D46C5B">
        <w:rPr>
          <w:rFonts w:asciiTheme="minorHAnsi" w:hAnsiTheme="minorHAnsi"/>
          <w:bCs/>
          <w:sz w:val="22"/>
          <w:szCs w:val="22"/>
        </w:rPr>
        <w:t>December 31</w:t>
      </w:r>
      <w:r w:rsidR="00433DB3" w:rsidRPr="00F62144">
        <w:rPr>
          <w:rFonts w:asciiTheme="minorHAnsi" w:hAnsiTheme="minorHAnsi"/>
          <w:bCs/>
          <w:sz w:val="22"/>
          <w:szCs w:val="22"/>
        </w:rPr>
        <w:t xml:space="preserve">, </w:t>
      </w:r>
      <w:r w:rsidR="00D46C5B">
        <w:rPr>
          <w:rFonts w:asciiTheme="minorHAnsi" w:hAnsiTheme="minorHAnsi"/>
          <w:bCs/>
          <w:sz w:val="22"/>
          <w:szCs w:val="22"/>
        </w:rPr>
        <w:t>2018</w:t>
      </w:r>
      <w:r w:rsidR="00D46C5B" w:rsidRPr="00F62144">
        <w:rPr>
          <w:rFonts w:asciiTheme="minorHAnsi" w:hAnsiTheme="minorHAnsi"/>
          <w:bCs/>
          <w:sz w:val="22"/>
          <w:szCs w:val="22"/>
        </w:rPr>
        <w:t xml:space="preserve"> </w:t>
      </w:r>
      <w:r w:rsidR="00433DB3" w:rsidRPr="00F62144">
        <w:rPr>
          <w:rFonts w:asciiTheme="minorHAnsi" w:hAnsiTheme="minorHAnsi"/>
          <w:bCs/>
          <w:sz w:val="22"/>
          <w:szCs w:val="22"/>
        </w:rPr>
        <w:t xml:space="preserve">(90 days after October 1, </w:t>
      </w:r>
      <w:r w:rsidR="00AE348E">
        <w:rPr>
          <w:rFonts w:asciiTheme="minorHAnsi" w:hAnsiTheme="minorHAnsi"/>
          <w:bCs/>
          <w:sz w:val="22"/>
          <w:szCs w:val="22"/>
        </w:rPr>
        <w:t>2018</w:t>
      </w:r>
      <w:r w:rsidR="008E5AE7">
        <w:rPr>
          <w:rFonts w:asciiTheme="minorHAnsi" w:hAnsiTheme="minorHAnsi"/>
          <w:bCs/>
          <w:sz w:val="22"/>
          <w:szCs w:val="22"/>
        </w:rPr>
        <w:t xml:space="preserve"> is a S</w:t>
      </w:r>
      <w:r w:rsidR="00BB1831">
        <w:rPr>
          <w:rFonts w:asciiTheme="minorHAnsi" w:hAnsiTheme="minorHAnsi"/>
          <w:bCs/>
          <w:sz w:val="22"/>
          <w:szCs w:val="22"/>
        </w:rPr>
        <w:t>unday</w:t>
      </w:r>
      <w:r w:rsidR="008E5AE7">
        <w:rPr>
          <w:rFonts w:asciiTheme="minorHAnsi" w:hAnsiTheme="minorHAnsi"/>
          <w:bCs/>
          <w:sz w:val="22"/>
          <w:szCs w:val="22"/>
        </w:rPr>
        <w:t xml:space="preserve">; </w:t>
      </w:r>
      <w:r w:rsidR="00D46C5B">
        <w:rPr>
          <w:rFonts w:asciiTheme="minorHAnsi" w:hAnsiTheme="minorHAnsi"/>
          <w:bCs/>
          <w:sz w:val="22"/>
          <w:szCs w:val="22"/>
        </w:rPr>
        <w:t>December 31</w:t>
      </w:r>
      <w:r w:rsidR="008E5AE7">
        <w:rPr>
          <w:rFonts w:asciiTheme="minorHAnsi" w:hAnsiTheme="minorHAnsi"/>
          <w:bCs/>
          <w:sz w:val="22"/>
          <w:szCs w:val="22"/>
        </w:rPr>
        <w:t xml:space="preserve"> is the first business day</w:t>
      </w:r>
      <w:r w:rsidR="00433DB3" w:rsidRPr="00F62144">
        <w:rPr>
          <w:rFonts w:asciiTheme="minorHAnsi" w:hAnsiTheme="minorHAnsi"/>
          <w:bCs/>
          <w:sz w:val="22"/>
          <w:szCs w:val="22"/>
        </w:rPr>
        <w:t>) because the date is later than</w:t>
      </w:r>
      <w:r w:rsidR="00ED3763" w:rsidRPr="00F62144">
        <w:rPr>
          <w:rFonts w:asciiTheme="minorHAnsi" w:hAnsiTheme="minorHAnsi"/>
          <w:bCs/>
          <w:sz w:val="22"/>
          <w:szCs w:val="22"/>
        </w:rPr>
        <w:t xml:space="preserve"> </w:t>
      </w:r>
      <w:r w:rsidR="00A1555E" w:rsidRPr="00F62144">
        <w:rPr>
          <w:rFonts w:asciiTheme="minorHAnsi" w:hAnsiTheme="minorHAnsi"/>
          <w:bCs/>
          <w:sz w:val="22"/>
          <w:szCs w:val="22"/>
        </w:rPr>
        <w:t xml:space="preserve">the Normal Premium Due Date </w:t>
      </w:r>
      <w:r w:rsidR="00433DB3" w:rsidRPr="00F62144">
        <w:rPr>
          <w:rFonts w:asciiTheme="minorHAnsi" w:hAnsiTheme="minorHAnsi"/>
          <w:bCs/>
          <w:sz w:val="22"/>
          <w:szCs w:val="22"/>
        </w:rPr>
        <w:t xml:space="preserve">(October </w:t>
      </w:r>
      <w:r w:rsidR="0055364D" w:rsidRPr="00F62144">
        <w:rPr>
          <w:rFonts w:asciiTheme="minorHAnsi" w:hAnsiTheme="minorHAnsi"/>
          <w:bCs/>
          <w:sz w:val="22"/>
          <w:szCs w:val="22"/>
        </w:rPr>
        <w:t>1</w:t>
      </w:r>
      <w:r w:rsidR="00D46C5B">
        <w:rPr>
          <w:rFonts w:asciiTheme="minorHAnsi" w:hAnsiTheme="minorHAnsi"/>
          <w:bCs/>
          <w:sz w:val="22"/>
          <w:szCs w:val="22"/>
        </w:rPr>
        <w:t>5</w:t>
      </w:r>
      <w:r w:rsidR="00433DB3" w:rsidRPr="00F62144">
        <w:rPr>
          <w:rFonts w:asciiTheme="minorHAnsi" w:hAnsiTheme="minorHAnsi"/>
          <w:bCs/>
          <w:sz w:val="22"/>
          <w:szCs w:val="22"/>
        </w:rPr>
        <w:t xml:space="preserve">, </w:t>
      </w:r>
      <w:r w:rsidR="00AE348E">
        <w:rPr>
          <w:rFonts w:asciiTheme="minorHAnsi" w:hAnsiTheme="minorHAnsi"/>
          <w:bCs/>
          <w:sz w:val="22"/>
          <w:szCs w:val="22"/>
        </w:rPr>
        <w:t>2018</w:t>
      </w:r>
      <w:r w:rsidR="00433DB3" w:rsidRPr="00F62144">
        <w:rPr>
          <w:rFonts w:asciiTheme="minorHAnsi" w:hAnsiTheme="minorHAnsi"/>
          <w:bCs/>
          <w:sz w:val="22"/>
          <w:szCs w:val="22"/>
        </w:rPr>
        <w:t>).</w:t>
      </w:r>
      <w:r w:rsidR="00ED3763" w:rsidRPr="00F62144">
        <w:rPr>
          <w:rFonts w:asciiTheme="minorHAnsi" w:hAnsiTheme="minorHAnsi"/>
          <w:bCs/>
          <w:sz w:val="22"/>
          <w:szCs w:val="22"/>
        </w:rPr>
        <w:t xml:space="preserve"> </w:t>
      </w:r>
    </w:p>
    <w:p w14:paraId="2B32235D" w14:textId="77777777" w:rsidR="00EB7B4D" w:rsidRDefault="00EB7B4D" w:rsidP="00EB7B4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 w:history="1">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due dates.</w:t>
      </w:r>
    </w:p>
    <w:p w14:paraId="3D83734A" w14:textId="77777777" w:rsidR="00F12837" w:rsidRPr="00F62144" w:rsidRDefault="00F62144" w:rsidP="0062474C">
      <w:pPr>
        <w:rPr>
          <w:rFonts w:asciiTheme="minorHAnsi" w:hAnsiTheme="minorHAnsi"/>
          <w:b/>
          <w:bCs/>
          <w:sz w:val="22"/>
          <w:szCs w:val="22"/>
        </w:rPr>
      </w:pPr>
      <w:r>
        <w:rPr>
          <w:rFonts w:asciiTheme="minorHAnsi" w:hAnsiTheme="minorHAnsi"/>
          <w:bCs/>
          <w:i/>
          <w:sz w:val="22"/>
          <w:szCs w:val="22"/>
        </w:rPr>
        <w:br w:type="page"/>
      </w:r>
      <w:r w:rsidR="00F12837" w:rsidRPr="00F62144">
        <w:rPr>
          <w:rFonts w:asciiTheme="minorHAnsi" w:hAnsiTheme="minorHAnsi"/>
          <w:bCs/>
          <w:i/>
          <w:sz w:val="22"/>
          <w:szCs w:val="22"/>
        </w:rPr>
        <w:t>Plans Changing Plan Years</w:t>
      </w:r>
      <w:r w:rsidR="006812A2" w:rsidRPr="00F62144">
        <w:rPr>
          <w:rFonts w:asciiTheme="minorHAnsi" w:hAnsiTheme="minorHAnsi"/>
          <w:b/>
          <w:bCs/>
          <w:sz w:val="22"/>
          <w:szCs w:val="22"/>
        </w:rPr>
        <w:t xml:space="preserve"> </w:t>
      </w:r>
    </w:p>
    <w:p w14:paraId="76EAA2D0"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For a plan that changes its plan year, the filing due dates for the short year are unaffected by the change in plan year. </w:t>
      </w:r>
      <w:r w:rsidR="00845D8F" w:rsidRPr="00F62144">
        <w:rPr>
          <w:rFonts w:asciiTheme="minorHAnsi" w:hAnsiTheme="minorHAnsi"/>
          <w:sz w:val="22"/>
          <w:szCs w:val="22"/>
        </w:rPr>
        <w:t xml:space="preserve"> However, for </w:t>
      </w:r>
      <w:r w:rsidRPr="00F62144">
        <w:rPr>
          <w:rFonts w:asciiTheme="minorHAnsi" w:hAnsiTheme="minorHAnsi"/>
          <w:sz w:val="22"/>
          <w:szCs w:val="22"/>
        </w:rPr>
        <w:t>the first plan year under the new cycle, the due date is whichever is later:</w:t>
      </w:r>
    </w:p>
    <w:p w14:paraId="227509F7" w14:textId="77777777" w:rsidR="0099158E" w:rsidRPr="00F62144" w:rsidRDefault="0099158E" w:rsidP="00023A8E">
      <w:pPr>
        <w:numPr>
          <w:ilvl w:val="0"/>
          <w:numId w:val="1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Normal </w:t>
      </w:r>
      <w:r w:rsidR="00E47CC1" w:rsidRPr="00F62144">
        <w:rPr>
          <w:rFonts w:asciiTheme="minorHAnsi" w:hAnsiTheme="minorHAnsi"/>
          <w:sz w:val="22"/>
          <w:szCs w:val="22"/>
        </w:rPr>
        <w:t>Premium</w:t>
      </w:r>
      <w:r w:rsidRPr="00F62144">
        <w:rPr>
          <w:rFonts w:asciiTheme="minorHAnsi" w:hAnsiTheme="minorHAnsi"/>
          <w:sz w:val="22"/>
          <w:szCs w:val="22"/>
        </w:rPr>
        <w:t xml:space="preserve"> Due Date, or</w:t>
      </w:r>
    </w:p>
    <w:p w14:paraId="7F0BFAB4" w14:textId="77777777" w:rsidR="00F12837" w:rsidRPr="00F62144" w:rsidRDefault="00F12837" w:rsidP="00023A8E">
      <w:pPr>
        <w:numPr>
          <w:ilvl w:val="0"/>
          <w:numId w:val="1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30 days following the date on which a plan amendment changing the plan year was adopted</w:t>
      </w:r>
      <w:r w:rsidR="0099158E" w:rsidRPr="00F62144">
        <w:rPr>
          <w:rFonts w:asciiTheme="minorHAnsi" w:hAnsiTheme="minorHAnsi"/>
          <w:bCs/>
          <w:sz w:val="22"/>
          <w:szCs w:val="22"/>
        </w:rPr>
        <w:t>.</w:t>
      </w:r>
      <w:r w:rsidRPr="00F62144">
        <w:rPr>
          <w:rFonts w:asciiTheme="minorHAnsi" w:hAnsiTheme="minorHAnsi"/>
          <w:bCs/>
          <w:sz w:val="22"/>
          <w:szCs w:val="22"/>
        </w:rPr>
        <w:t xml:space="preserve"> </w:t>
      </w:r>
    </w:p>
    <w:p w14:paraId="099DD184" w14:textId="77777777" w:rsidR="00E47CC1" w:rsidRPr="00F62144" w:rsidRDefault="00F12837" w:rsidP="00E47CC1">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r w:rsidR="00FC5E03" w:rsidRPr="00F62144">
        <w:rPr>
          <w:rFonts w:asciiTheme="minorHAnsi" w:hAnsiTheme="minorHAnsi"/>
          <w:sz w:val="22"/>
          <w:szCs w:val="22"/>
        </w:rPr>
        <w:t>:</w:t>
      </w:r>
    </w:p>
    <w:p w14:paraId="067B6DD4" w14:textId="77777777" w:rsidR="00F12837" w:rsidRPr="00F62144" w:rsidRDefault="00F12837" w:rsidP="00F1283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AE348E">
        <w:rPr>
          <w:rFonts w:asciiTheme="minorHAnsi" w:hAnsiTheme="minorHAnsi"/>
          <w:bCs/>
          <w:sz w:val="22"/>
          <w:szCs w:val="22"/>
        </w:rPr>
        <w:t>2018</w:t>
      </w:r>
      <w:r w:rsidRPr="00F62144">
        <w:rPr>
          <w:rFonts w:asciiTheme="minorHAnsi" w:hAnsiTheme="minorHAnsi"/>
          <w:bCs/>
          <w:sz w:val="22"/>
          <w:szCs w:val="22"/>
        </w:rPr>
        <w:t xml:space="preserve">, a </w:t>
      </w:r>
      <w:r w:rsidR="006812A2" w:rsidRPr="00F62144">
        <w:rPr>
          <w:rFonts w:asciiTheme="minorHAnsi" w:hAnsiTheme="minorHAnsi"/>
          <w:bCs/>
          <w:sz w:val="22"/>
          <w:szCs w:val="22"/>
        </w:rPr>
        <w:t>plan</w:t>
      </w:r>
      <w:r w:rsidRPr="00F62144">
        <w:rPr>
          <w:rFonts w:asciiTheme="minorHAnsi" w:hAnsiTheme="minorHAnsi"/>
          <w:bCs/>
          <w:sz w:val="22"/>
          <w:szCs w:val="22"/>
        </w:rPr>
        <w:t xml:space="preserve"> changes from a plan year beginning January 1 to a plan year beginning June 1. This results in a short plan year beginning January 1, </w:t>
      </w:r>
      <w:r w:rsidR="00AE348E">
        <w:rPr>
          <w:rFonts w:asciiTheme="minorHAnsi" w:hAnsiTheme="minorHAnsi"/>
          <w:bCs/>
          <w:sz w:val="22"/>
          <w:szCs w:val="22"/>
        </w:rPr>
        <w:t>2018</w:t>
      </w:r>
      <w:r w:rsidRPr="00F62144">
        <w:rPr>
          <w:rFonts w:asciiTheme="minorHAnsi" w:hAnsiTheme="minorHAnsi"/>
          <w:bCs/>
          <w:sz w:val="22"/>
          <w:szCs w:val="22"/>
        </w:rPr>
        <w:t xml:space="preserve">, and ending May 31, </w:t>
      </w:r>
      <w:r w:rsidR="00AE348E">
        <w:rPr>
          <w:rFonts w:asciiTheme="minorHAnsi" w:hAnsiTheme="minorHAnsi"/>
          <w:bCs/>
          <w:sz w:val="22"/>
          <w:szCs w:val="22"/>
        </w:rPr>
        <w:t>2018</w:t>
      </w:r>
      <w:r w:rsidRPr="00F62144">
        <w:rPr>
          <w:rFonts w:asciiTheme="minorHAnsi" w:hAnsiTheme="minorHAnsi"/>
          <w:bCs/>
          <w:sz w:val="22"/>
          <w:szCs w:val="22"/>
        </w:rPr>
        <w:t xml:space="preserve">. </w:t>
      </w:r>
      <w:r w:rsidR="006812A2" w:rsidRPr="00F62144">
        <w:rPr>
          <w:rFonts w:asciiTheme="minorHAnsi" w:hAnsiTheme="minorHAnsi"/>
          <w:bCs/>
          <w:sz w:val="22"/>
          <w:szCs w:val="22"/>
        </w:rPr>
        <w:t xml:space="preserve"> </w:t>
      </w:r>
      <w:r w:rsidRPr="00F62144">
        <w:rPr>
          <w:rFonts w:asciiTheme="minorHAnsi" w:hAnsiTheme="minorHAnsi"/>
          <w:bCs/>
          <w:sz w:val="22"/>
          <w:szCs w:val="22"/>
        </w:rPr>
        <w:t xml:space="preserve">Premiums for the short plan year are due </w:t>
      </w:r>
      <w:r w:rsidR="00AA75B1" w:rsidRPr="00F62144">
        <w:rPr>
          <w:rFonts w:asciiTheme="minorHAnsi" w:hAnsiTheme="minorHAnsi"/>
          <w:bCs/>
          <w:sz w:val="22"/>
          <w:szCs w:val="22"/>
        </w:rPr>
        <w:t xml:space="preserve">October </w:t>
      </w:r>
      <w:r w:rsidR="0055364D" w:rsidRPr="00F62144">
        <w:rPr>
          <w:rFonts w:asciiTheme="minorHAnsi" w:hAnsiTheme="minorHAnsi"/>
          <w:bCs/>
          <w:sz w:val="22"/>
          <w:szCs w:val="22"/>
        </w:rPr>
        <w:t>1</w:t>
      </w:r>
      <w:r w:rsidR="002419BC">
        <w:rPr>
          <w:rFonts w:asciiTheme="minorHAnsi" w:hAnsiTheme="minorHAnsi"/>
          <w:bCs/>
          <w:sz w:val="22"/>
          <w:szCs w:val="22"/>
        </w:rPr>
        <w:t>5</w:t>
      </w:r>
      <w:r w:rsidR="00AA75B1" w:rsidRPr="00F62144">
        <w:rPr>
          <w:rFonts w:asciiTheme="minorHAnsi" w:hAnsiTheme="minorHAnsi"/>
          <w:bCs/>
          <w:sz w:val="22"/>
          <w:szCs w:val="22"/>
        </w:rPr>
        <w:t xml:space="preserve">, </w:t>
      </w:r>
      <w:r w:rsidR="00AE348E">
        <w:rPr>
          <w:rFonts w:asciiTheme="minorHAnsi" w:hAnsiTheme="minorHAnsi"/>
          <w:bCs/>
          <w:sz w:val="22"/>
          <w:szCs w:val="22"/>
        </w:rPr>
        <w:t>2018</w:t>
      </w:r>
      <w:r w:rsidR="00E47CC1" w:rsidRPr="00F62144">
        <w:rPr>
          <w:rFonts w:asciiTheme="minorHAnsi" w:hAnsiTheme="minorHAnsi"/>
          <w:bCs/>
          <w:sz w:val="22"/>
          <w:szCs w:val="22"/>
        </w:rPr>
        <w:t>, the Normal Premium Due Date</w:t>
      </w:r>
      <w:r w:rsidR="00FF6EBB" w:rsidRPr="00F62144">
        <w:rPr>
          <w:rFonts w:asciiTheme="minorHAnsi" w:hAnsiTheme="minorHAnsi"/>
          <w:bCs/>
          <w:sz w:val="22"/>
          <w:szCs w:val="22"/>
        </w:rPr>
        <w:t>.</w:t>
      </w:r>
      <w:r w:rsidRPr="00F62144">
        <w:rPr>
          <w:rFonts w:asciiTheme="minorHAnsi" w:hAnsiTheme="minorHAnsi"/>
          <w:bCs/>
          <w:sz w:val="22"/>
          <w:szCs w:val="22"/>
        </w:rPr>
        <w:t xml:space="preserve"> </w:t>
      </w:r>
    </w:p>
    <w:p w14:paraId="48310C52" w14:textId="77777777" w:rsidR="00F12837" w:rsidRPr="00F62144" w:rsidRDefault="00F12837" w:rsidP="00F12837">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t xml:space="preserve">For the plan year beginning June 1, </w:t>
      </w:r>
      <w:r w:rsidR="00AE348E">
        <w:rPr>
          <w:rFonts w:asciiTheme="minorHAnsi" w:hAnsiTheme="minorHAnsi"/>
          <w:iCs/>
          <w:sz w:val="22"/>
          <w:szCs w:val="22"/>
        </w:rPr>
        <w:t>2018</w:t>
      </w:r>
      <w:r w:rsidR="006812A2" w:rsidRPr="00F62144">
        <w:rPr>
          <w:rFonts w:asciiTheme="minorHAnsi" w:hAnsiTheme="minorHAnsi"/>
          <w:iCs/>
          <w:sz w:val="22"/>
          <w:szCs w:val="22"/>
        </w:rPr>
        <w:t xml:space="preserve">, </w:t>
      </w:r>
      <w:r w:rsidR="00E47CC1" w:rsidRPr="00F62144">
        <w:rPr>
          <w:rFonts w:asciiTheme="minorHAnsi" w:hAnsiTheme="minorHAnsi"/>
          <w:iCs/>
          <w:sz w:val="22"/>
          <w:szCs w:val="22"/>
        </w:rPr>
        <w:t xml:space="preserve">the </w:t>
      </w:r>
      <w:r w:rsidR="006812A2" w:rsidRPr="00F62144">
        <w:rPr>
          <w:rFonts w:asciiTheme="minorHAnsi" w:hAnsiTheme="minorHAnsi"/>
          <w:iCs/>
          <w:sz w:val="22"/>
          <w:szCs w:val="22"/>
        </w:rPr>
        <w:t>premiums are</w:t>
      </w:r>
      <w:r w:rsidRPr="00F62144">
        <w:rPr>
          <w:rFonts w:asciiTheme="minorHAnsi" w:hAnsiTheme="minorHAnsi"/>
          <w:iCs/>
          <w:sz w:val="22"/>
          <w:szCs w:val="22"/>
        </w:rPr>
        <w:t xml:space="preserve"> due </w:t>
      </w:r>
      <w:r w:rsidR="00E47CC1" w:rsidRPr="00F62144">
        <w:rPr>
          <w:rFonts w:asciiTheme="minorHAnsi" w:hAnsiTheme="minorHAnsi"/>
          <w:iCs/>
          <w:sz w:val="22"/>
          <w:szCs w:val="22"/>
        </w:rPr>
        <w:t>by the Normal Premium Due Date</w:t>
      </w:r>
      <w:r w:rsidRPr="00F62144">
        <w:rPr>
          <w:rFonts w:asciiTheme="minorHAnsi" w:hAnsiTheme="minorHAnsi"/>
          <w:iCs/>
          <w:sz w:val="22"/>
          <w:szCs w:val="22"/>
        </w:rPr>
        <w:t xml:space="preserve"> (</w:t>
      </w:r>
      <w:r w:rsidR="00160182" w:rsidRPr="00F62144">
        <w:rPr>
          <w:rFonts w:asciiTheme="minorHAnsi" w:hAnsiTheme="minorHAnsi"/>
          <w:iCs/>
          <w:sz w:val="22"/>
          <w:szCs w:val="22"/>
        </w:rPr>
        <w:t>March</w:t>
      </w:r>
      <w:r w:rsidR="00AA75B1" w:rsidRPr="00F62144">
        <w:rPr>
          <w:rFonts w:asciiTheme="minorHAnsi" w:hAnsiTheme="minorHAnsi"/>
          <w:iCs/>
          <w:sz w:val="22"/>
          <w:szCs w:val="22"/>
        </w:rPr>
        <w:t xml:space="preserve"> 15,</w:t>
      </w:r>
      <w:r w:rsidR="004428F2" w:rsidRPr="00F62144">
        <w:rPr>
          <w:rFonts w:asciiTheme="minorHAnsi" w:hAnsiTheme="minorHAnsi"/>
          <w:iCs/>
          <w:sz w:val="22"/>
          <w:szCs w:val="22"/>
        </w:rPr>
        <w:t xml:space="preserve"> </w:t>
      </w:r>
      <w:r w:rsidR="00AE348E">
        <w:rPr>
          <w:rFonts w:asciiTheme="minorHAnsi" w:hAnsiTheme="minorHAnsi"/>
          <w:iCs/>
          <w:sz w:val="22"/>
          <w:szCs w:val="22"/>
        </w:rPr>
        <w:t>2019</w:t>
      </w:r>
      <w:r w:rsidRPr="00F62144">
        <w:rPr>
          <w:rFonts w:asciiTheme="minorHAnsi" w:hAnsiTheme="minorHAnsi"/>
          <w:iCs/>
          <w:sz w:val="22"/>
          <w:szCs w:val="22"/>
        </w:rPr>
        <w:t xml:space="preserve">) because that is later than 30 days after the date the plan amendment changing the plan year was adopted (December 31, </w:t>
      </w:r>
      <w:r w:rsidR="00AE348E">
        <w:rPr>
          <w:rFonts w:asciiTheme="minorHAnsi" w:hAnsiTheme="minorHAnsi"/>
          <w:iCs/>
          <w:sz w:val="22"/>
          <w:szCs w:val="22"/>
        </w:rPr>
        <w:t>2018</w:t>
      </w:r>
      <w:r w:rsidRPr="00F62144">
        <w:rPr>
          <w:rFonts w:asciiTheme="minorHAnsi" w:hAnsiTheme="minorHAnsi"/>
          <w:iCs/>
          <w:sz w:val="22"/>
          <w:szCs w:val="22"/>
        </w:rPr>
        <w:t>).</w:t>
      </w:r>
    </w:p>
    <w:p w14:paraId="1CB2895F" w14:textId="77777777" w:rsidR="00F12837" w:rsidRPr="00F62144" w:rsidRDefault="00F12837" w:rsidP="00F12837">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adopted on January </w:t>
      </w:r>
      <w:r w:rsidR="00B343F4" w:rsidRPr="00F62144">
        <w:rPr>
          <w:rFonts w:asciiTheme="minorHAnsi" w:hAnsiTheme="minorHAnsi"/>
          <w:bCs/>
          <w:sz w:val="22"/>
          <w:szCs w:val="22"/>
        </w:rPr>
        <w:t>6</w:t>
      </w:r>
      <w:r w:rsidRPr="00F62144">
        <w:rPr>
          <w:rFonts w:asciiTheme="minorHAnsi" w:hAnsiTheme="minorHAnsi"/>
          <w:bCs/>
          <w:sz w:val="22"/>
          <w:szCs w:val="22"/>
        </w:rPr>
        <w:t xml:space="preserve">, </w:t>
      </w:r>
      <w:r w:rsidR="00AE348E">
        <w:rPr>
          <w:rFonts w:asciiTheme="minorHAnsi" w:hAnsiTheme="minorHAnsi"/>
          <w:bCs/>
          <w:sz w:val="22"/>
          <w:szCs w:val="22"/>
        </w:rPr>
        <w:t>2019</w:t>
      </w:r>
      <w:r w:rsidRPr="00F62144">
        <w:rPr>
          <w:rFonts w:asciiTheme="minorHAnsi" w:hAnsiTheme="minorHAnsi"/>
          <w:bCs/>
          <w:sz w:val="22"/>
          <w:szCs w:val="22"/>
        </w:rPr>
        <w:t xml:space="preserve">, and made retroactively effective to April 1, </w:t>
      </w:r>
      <w:r w:rsidR="00AE348E">
        <w:rPr>
          <w:rFonts w:asciiTheme="minorHAnsi" w:hAnsiTheme="minorHAnsi"/>
          <w:bCs/>
          <w:sz w:val="22"/>
          <w:szCs w:val="22"/>
        </w:rPr>
        <w:t>2018</w:t>
      </w:r>
      <w:r w:rsidRPr="00F62144">
        <w:rPr>
          <w:rFonts w:asciiTheme="minorHAnsi" w:hAnsiTheme="minorHAnsi"/>
          <w:bCs/>
          <w:sz w:val="22"/>
          <w:szCs w:val="22"/>
        </w:rPr>
        <w:t xml:space="preserve">, a </w:t>
      </w:r>
      <w:r w:rsidR="00AA75B1" w:rsidRPr="00F62144">
        <w:rPr>
          <w:rFonts w:asciiTheme="minorHAnsi" w:hAnsiTheme="minorHAnsi"/>
          <w:bCs/>
          <w:sz w:val="22"/>
          <w:szCs w:val="22"/>
        </w:rPr>
        <w:t>p</w:t>
      </w:r>
      <w:r w:rsidRPr="00F62144">
        <w:rPr>
          <w:rFonts w:asciiTheme="minorHAnsi" w:hAnsiTheme="minorHAnsi"/>
          <w:bCs/>
          <w:sz w:val="22"/>
          <w:szCs w:val="22"/>
        </w:rPr>
        <w:t xml:space="preserve">lan changes from a plan year beginning on March 1 to a plan year beginning on April 1. For the March 1, </w:t>
      </w:r>
      <w:r w:rsidR="00AE348E">
        <w:rPr>
          <w:rFonts w:asciiTheme="minorHAnsi" w:hAnsiTheme="minorHAnsi"/>
          <w:bCs/>
          <w:sz w:val="22"/>
          <w:szCs w:val="22"/>
        </w:rPr>
        <w:t>2018</w:t>
      </w:r>
      <w:r w:rsidR="0055364D" w:rsidRPr="00F62144">
        <w:rPr>
          <w:rFonts w:asciiTheme="minorHAnsi" w:hAnsiTheme="minorHAnsi"/>
          <w:bCs/>
          <w:sz w:val="22"/>
          <w:szCs w:val="22"/>
        </w:rPr>
        <w:t xml:space="preserve"> </w:t>
      </w:r>
      <w:r w:rsidRPr="00F62144">
        <w:rPr>
          <w:rFonts w:asciiTheme="minorHAnsi" w:hAnsiTheme="minorHAnsi"/>
          <w:bCs/>
          <w:sz w:val="22"/>
          <w:szCs w:val="22"/>
        </w:rPr>
        <w:t xml:space="preserve">- March 31, </w:t>
      </w:r>
      <w:r w:rsidR="00AE348E">
        <w:rPr>
          <w:rFonts w:asciiTheme="minorHAnsi" w:hAnsiTheme="minorHAnsi"/>
          <w:bCs/>
          <w:sz w:val="22"/>
          <w:szCs w:val="22"/>
        </w:rPr>
        <w:t>2018</w:t>
      </w:r>
      <w:r w:rsidR="0055364D" w:rsidRPr="00F62144">
        <w:rPr>
          <w:rFonts w:asciiTheme="minorHAnsi" w:hAnsiTheme="minorHAnsi"/>
          <w:bCs/>
          <w:sz w:val="22"/>
          <w:szCs w:val="22"/>
        </w:rPr>
        <w:t xml:space="preserve"> </w:t>
      </w:r>
      <w:r w:rsidRPr="00F62144">
        <w:rPr>
          <w:rFonts w:asciiTheme="minorHAnsi" w:hAnsiTheme="minorHAnsi"/>
          <w:bCs/>
          <w:sz w:val="22"/>
          <w:szCs w:val="22"/>
        </w:rPr>
        <w:t xml:space="preserve">short plan year, </w:t>
      </w:r>
      <w:r w:rsidR="00AA75B1" w:rsidRPr="00F62144">
        <w:rPr>
          <w:rFonts w:asciiTheme="minorHAnsi" w:hAnsiTheme="minorHAnsi"/>
          <w:bCs/>
          <w:sz w:val="22"/>
          <w:szCs w:val="22"/>
        </w:rPr>
        <w:t>the premium is</w:t>
      </w:r>
      <w:r w:rsidRPr="00F62144">
        <w:rPr>
          <w:rFonts w:asciiTheme="minorHAnsi" w:hAnsiTheme="minorHAnsi"/>
          <w:bCs/>
          <w:sz w:val="22"/>
          <w:szCs w:val="22"/>
        </w:rPr>
        <w:t xml:space="preserve"> due December </w:t>
      </w:r>
      <w:r w:rsidR="00945E38" w:rsidRPr="00F62144">
        <w:rPr>
          <w:rFonts w:asciiTheme="minorHAnsi" w:hAnsiTheme="minorHAnsi"/>
          <w:bCs/>
          <w:sz w:val="22"/>
          <w:szCs w:val="22"/>
        </w:rPr>
        <w:t>1</w:t>
      </w:r>
      <w:r w:rsidR="00684F69">
        <w:rPr>
          <w:rFonts w:asciiTheme="minorHAnsi" w:hAnsiTheme="minorHAnsi"/>
          <w:bCs/>
          <w:sz w:val="22"/>
          <w:szCs w:val="22"/>
        </w:rPr>
        <w:t>7</w:t>
      </w:r>
      <w:r w:rsidRPr="00F62144">
        <w:rPr>
          <w:rFonts w:asciiTheme="minorHAnsi" w:hAnsiTheme="minorHAnsi"/>
          <w:bCs/>
          <w:sz w:val="22"/>
          <w:szCs w:val="22"/>
        </w:rPr>
        <w:t xml:space="preserve">, </w:t>
      </w:r>
      <w:r w:rsidR="00AE348E">
        <w:rPr>
          <w:rFonts w:asciiTheme="minorHAnsi" w:hAnsiTheme="minorHAnsi"/>
          <w:bCs/>
          <w:sz w:val="22"/>
          <w:szCs w:val="22"/>
        </w:rPr>
        <w:t>2018</w:t>
      </w:r>
      <w:r w:rsidR="00792FE3" w:rsidRPr="00F62144">
        <w:rPr>
          <w:rFonts w:asciiTheme="minorHAnsi" w:hAnsiTheme="minorHAnsi"/>
          <w:bCs/>
          <w:sz w:val="22"/>
          <w:szCs w:val="22"/>
        </w:rPr>
        <w:t>.</w:t>
      </w:r>
      <w:r w:rsidRPr="00F62144">
        <w:rPr>
          <w:rFonts w:asciiTheme="minorHAnsi" w:hAnsiTheme="minorHAnsi"/>
          <w:bCs/>
          <w:sz w:val="22"/>
          <w:szCs w:val="22"/>
        </w:rPr>
        <w:t xml:space="preserve"> </w:t>
      </w:r>
      <w:r w:rsidR="00AA75B1" w:rsidRPr="00F62144">
        <w:rPr>
          <w:rFonts w:asciiTheme="minorHAnsi" w:hAnsiTheme="minorHAnsi"/>
          <w:bCs/>
          <w:sz w:val="22"/>
          <w:szCs w:val="22"/>
        </w:rPr>
        <w:t xml:space="preserve"> </w:t>
      </w:r>
      <w:r w:rsidRPr="00F62144">
        <w:rPr>
          <w:rFonts w:asciiTheme="minorHAnsi" w:hAnsiTheme="minorHAnsi"/>
          <w:bCs/>
          <w:sz w:val="22"/>
          <w:szCs w:val="22"/>
        </w:rPr>
        <w:t xml:space="preserve">For the new plan year beginning April 1, </w:t>
      </w:r>
      <w:r w:rsidR="00AE348E">
        <w:rPr>
          <w:rFonts w:asciiTheme="minorHAnsi" w:hAnsiTheme="minorHAnsi"/>
          <w:bCs/>
          <w:sz w:val="22"/>
          <w:szCs w:val="22"/>
        </w:rPr>
        <w:t>2018</w:t>
      </w:r>
      <w:r w:rsidRPr="00F62144">
        <w:rPr>
          <w:rFonts w:asciiTheme="minorHAnsi" w:hAnsiTheme="minorHAnsi"/>
          <w:bCs/>
          <w:sz w:val="22"/>
          <w:szCs w:val="22"/>
        </w:rPr>
        <w:t xml:space="preserve">, the due date is 30 days after the adoption of the plan amendment changing the plan year (February </w:t>
      </w:r>
      <w:r w:rsidR="00B343F4" w:rsidRPr="00F62144">
        <w:rPr>
          <w:rFonts w:asciiTheme="minorHAnsi" w:hAnsiTheme="minorHAnsi"/>
          <w:bCs/>
          <w:sz w:val="22"/>
          <w:szCs w:val="22"/>
        </w:rPr>
        <w:t>5</w:t>
      </w:r>
      <w:r w:rsidRPr="00F62144">
        <w:rPr>
          <w:rFonts w:asciiTheme="minorHAnsi" w:hAnsiTheme="minorHAnsi"/>
          <w:bCs/>
          <w:sz w:val="22"/>
          <w:szCs w:val="22"/>
        </w:rPr>
        <w:t xml:space="preserve">, </w:t>
      </w:r>
      <w:r w:rsidR="00AE348E">
        <w:rPr>
          <w:rFonts w:asciiTheme="minorHAnsi" w:hAnsiTheme="minorHAnsi"/>
          <w:bCs/>
          <w:sz w:val="22"/>
          <w:szCs w:val="22"/>
        </w:rPr>
        <w:t>2019</w:t>
      </w:r>
      <w:r w:rsidRPr="00F62144">
        <w:rPr>
          <w:rFonts w:asciiTheme="minorHAnsi" w:hAnsiTheme="minorHAnsi"/>
          <w:bCs/>
          <w:sz w:val="22"/>
          <w:szCs w:val="22"/>
        </w:rPr>
        <w:t xml:space="preserve">) because that is later than the </w:t>
      </w:r>
      <w:r w:rsidR="00E47CC1" w:rsidRPr="00F62144">
        <w:rPr>
          <w:rFonts w:asciiTheme="minorHAnsi" w:hAnsiTheme="minorHAnsi"/>
          <w:bCs/>
          <w:sz w:val="22"/>
          <w:szCs w:val="22"/>
        </w:rPr>
        <w:t>Normal Premium Due Date</w:t>
      </w:r>
      <w:r w:rsidRPr="00F62144">
        <w:rPr>
          <w:rFonts w:asciiTheme="minorHAnsi" w:hAnsiTheme="minorHAnsi"/>
          <w:bCs/>
          <w:sz w:val="22"/>
          <w:szCs w:val="22"/>
        </w:rPr>
        <w:t xml:space="preserve"> (January </w:t>
      </w:r>
      <w:r w:rsidR="0055364D" w:rsidRPr="00F62144">
        <w:rPr>
          <w:rFonts w:asciiTheme="minorHAnsi" w:hAnsiTheme="minorHAnsi"/>
          <w:bCs/>
          <w:sz w:val="22"/>
          <w:szCs w:val="22"/>
        </w:rPr>
        <w:t>1</w:t>
      </w:r>
      <w:r w:rsidR="00632F69">
        <w:rPr>
          <w:rFonts w:asciiTheme="minorHAnsi" w:hAnsiTheme="minorHAnsi"/>
          <w:bCs/>
          <w:sz w:val="22"/>
          <w:szCs w:val="22"/>
        </w:rPr>
        <w:t>5</w:t>
      </w:r>
      <w:r w:rsidRPr="00F62144">
        <w:rPr>
          <w:rFonts w:asciiTheme="minorHAnsi" w:hAnsiTheme="minorHAnsi"/>
          <w:bCs/>
          <w:sz w:val="22"/>
          <w:szCs w:val="22"/>
        </w:rPr>
        <w:t xml:space="preserve">, </w:t>
      </w:r>
      <w:r w:rsidR="00AE348E">
        <w:rPr>
          <w:rFonts w:asciiTheme="minorHAnsi" w:hAnsiTheme="minorHAnsi"/>
          <w:bCs/>
          <w:sz w:val="22"/>
          <w:szCs w:val="22"/>
        </w:rPr>
        <w:t>2019</w:t>
      </w:r>
      <w:r w:rsidRPr="00F62144">
        <w:rPr>
          <w:rFonts w:asciiTheme="minorHAnsi" w:hAnsiTheme="minorHAnsi"/>
          <w:bCs/>
          <w:sz w:val="22"/>
          <w:szCs w:val="22"/>
        </w:rPr>
        <w:t>).</w:t>
      </w:r>
      <w:r w:rsidR="00E56D62" w:rsidRPr="00F62144">
        <w:rPr>
          <w:rFonts w:asciiTheme="minorHAnsi" w:hAnsiTheme="minorHAnsi"/>
          <w:bCs/>
          <w:sz w:val="22"/>
          <w:szCs w:val="22"/>
        </w:rPr>
        <w:t xml:space="preserve"> </w:t>
      </w:r>
    </w:p>
    <w:p w14:paraId="084CC45A" w14:textId="77777777" w:rsidR="00E83397" w:rsidRPr="00F62144" w:rsidRDefault="005027F0" w:rsidP="005A56AE">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Assets Distributed Pursuant to a Sta</w:t>
      </w:r>
      <w:r w:rsidR="00AE015F" w:rsidRPr="00F62144">
        <w:rPr>
          <w:rFonts w:asciiTheme="minorHAnsi" w:hAnsiTheme="minorHAnsi"/>
          <w:bCs/>
          <w:i/>
          <w:sz w:val="22"/>
          <w:szCs w:val="22"/>
        </w:rPr>
        <w:t>ndard Termination</w:t>
      </w:r>
    </w:p>
    <w:p w14:paraId="04156513" w14:textId="77777777" w:rsidR="00AE015F" w:rsidRPr="00F62144" w:rsidRDefault="005A56AE" w:rsidP="005A56AE">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00980258" w:rsidRPr="00F62144">
        <w:rPr>
          <w:rFonts w:asciiTheme="minorHAnsi" w:hAnsiTheme="minorHAnsi"/>
          <w:bCs/>
          <w:sz w:val="22"/>
          <w:szCs w:val="22"/>
        </w:rPr>
        <w:t>all plan assets are distributed pursuant to standard termination</w:t>
      </w:r>
      <w:r w:rsidRPr="00F62144">
        <w:rPr>
          <w:rFonts w:asciiTheme="minorHAnsi" w:hAnsiTheme="minorHAnsi"/>
          <w:bCs/>
          <w:sz w:val="22"/>
          <w:szCs w:val="22"/>
        </w:rPr>
        <w:t>,</w:t>
      </w:r>
      <w:r w:rsidR="00A01ACF" w:rsidRPr="00F62144">
        <w:rPr>
          <w:rFonts w:asciiTheme="minorHAnsi" w:hAnsiTheme="minorHAnsi"/>
          <w:bCs/>
          <w:sz w:val="22"/>
          <w:szCs w:val="22"/>
        </w:rPr>
        <w:t xml:space="preserve"> it’s possible that the employer</w:t>
      </w:r>
      <w:r w:rsidR="00222664" w:rsidRPr="00F62144">
        <w:rPr>
          <w:rFonts w:asciiTheme="minorHAnsi" w:hAnsiTheme="minorHAnsi"/>
          <w:bCs/>
          <w:sz w:val="22"/>
          <w:szCs w:val="22"/>
        </w:rPr>
        <w:t xml:space="preserve"> will be out of business or plan records and personnel will </w:t>
      </w:r>
      <w:r w:rsidR="002600E0" w:rsidRPr="00F62144">
        <w:rPr>
          <w:rFonts w:asciiTheme="minorHAnsi" w:hAnsiTheme="minorHAnsi"/>
          <w:bCs/>
          <w:sz w:val="22"/>
          <w:szCs w:val="22"/>
        </w:rPr>
        <w:t>not be</w:t>
      </w:r>
      <w:r w:rsidR="00222664" w:rsidRPr="00F62144">
        <w:rPr>
          <w:rFonts w:asciiTheme="minorHAnsi" w:hAnsiTheme="minorHAnsi"/>
          <w:bCs/>
          <w:sz w:val="22"/>
          <w:szCs w:val="22"/>
        </w:rPr>
        <w:t xml:space="preserve"> available</w:t>
      </w:r>
      <w:r w:rsidR="00A01ACF" w:rsidRPr="00F62144">
        <w:rPr>
          <w:rFonts w:asciiTheme="minorHAnsi" w:hAnsiTheme="minorHAnsi"/>
          <w:bCs/>
          <w:sz w:val="22"/>
          <w:szCs w:val="22"/>
        </w:rPr>
        <w:t xml:space="preserve"> </w:t>
      </w:r>
      <w:r w:rsidR="009B659D" w:rsidRPr="00F62144">
        <w:rPr>
          <w:rFonts w:asciiTheme="minorHAnsi" w:hAnsiTheme="minorHAnsi"/>
          <w:bCs/>
          <w:sz w:val="22"/>
          <w:szCs w:val="22"/>
        </w:rPr>
        <w:t xml:space="preserve">by </w:t>
      </w:r>
      <w:r w:rsidR="00A01ACF" w:rsidRPr="00F62144">
        <w:rPr>
          <w:rFonts w:asciiTheme="minorHAnsi" w:hAnsiTheme="minorHAnsi"/>
          <w:bCs/>
          <w:sz w:val="22"/>
          <w:szCs w:val="22"/>
        </w:rPr>
        <w:t xml:space="preserve">the Normal Premium Due Date.  To </w:t>
      </w:r>
      <w:r w:rsidR="00BD4BEE" w:rsidRPr="00F62144">
        <w:rPr>
          <w:rFonts w:asciiTheme="minorHAnsi" w:hAnsiTheme="minorHAnsi"/>
          <w:bCs/>
          <w:sz w:val="22"/>
          <w:szCs w:val="22"/>
        </w:rPr>
        <w:t>streamline</w:t>
      </w:r>
      <w:r w:rsidR="00BD4BEE" w:rsidRPr="00F62144">
        <w:rPr>
          <w:rFonts w:asciiTheme="minorHAnsi" w:hAnsiTheme="minorHAnsi"/>
          <w:sz w:val="22"/>
          <w:szCs w:val="22"/>
        </w:rPr>
        <w:t xml:space="preserve"> the final premium payment with the other activities related to a standard termination, </w:t>
      </w:r>
      <w:r w:rsidR="009D0F98" w:rsidRPr="00F62144">
        <w:rPr>
          <w:rFonts w:asciiTheme="minorHAnsi" w:hAnsiTheme="minorHAnsi"/>
          <w:sz w:val="22"/>
          <w:szCs w:val="22"/>
        </w:rPr>
        <w:t>the due date</w:t>
      </w:r>
      <w:r w:rsidR="00980258" w:rsidRPr="00F62144">
        <w:rPr>
          <w:rFonts w:asciiTheme="minorHAnsi" w:hAnsiTheme="minorHAnsi"/>
          <w:sz w:val="22"/>
          <w:szCs w:val="22"/>
        </w:rPr>
        <w:t xml:space="preserve"> </w:t>
      </w:r>
      <w:r w:rsidR="00BD4BEE" w:rsidRPr="00F62144">
        <w:rPr>
          <w:rFonts w:asciiTheme="minorHAnsi" w:hAnsiTheme="minorHAnsi"/>
          <w:sz w:val="22"/>
          <w:szCs w:val="22"/>
        </w:rPr>
        <w:t>for a plan in this situation i</w:t>
      </w:r>
      <w:r w:rsidR="00980258" w:rsidRPr="00F62144">
        <w:rPr>
          <w:rFonts w:asciiTheme="minorHAnsi" w:hAnsiTheme="minorHAnsi"/>
          <w:sz w:val="22"/>
          <w:szCs w:val="22"/>
        </w:rPr>
        <w:t>s the earlie</w:t>
      </w:r>
      <w:r w:rsidR="00BD4BEE" w:rsidRPr="00F62144">
        <w:rPr>
          <w:rFonts w:asciiTheme="minorHAnsi" w:hAnsiTheme="minorHAnsi"/>
          <w:sz w:val="22"/>
          <w:szCs w:val="22"/>
        </w:rPr>
        <w:t>r</w:t>
      </w:r>
      <w:r w:rsidR="00980258" w:rsidRPr="00F62144">
        <w:rPr>
          <w:rFonts w:asciiTheme="minorHAnsi" w:hAnsiTheme="minorHAnsi"/>
          <w:sz w:val="22"/>
          <w:szCs w:val="22"/>
        </w:rPr>
        <w:t xml:space="preserve"> of: </w:t>
      </w:r>
    </w:p>
    <w:p w14:paraId="43D33C1B" w14:textId="77777777" w:rsidR="00CD2258" w:rsidRPr="00F62144" w:rsidRDefault="00CD2258" w:rsidP="00023A8E">
      <w:pPr>
        <w:numPr>
          <w:ilvl w:val="0"/>
          <w:numId w:val="15"/>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00F4171B" w:rsidRPr="00F62144">
        <w:rPr>
          <w:rFonts w:asciiTheme="minorHAnsi" w:hAnsiTheme="minorHAnsi"/>
          <w:bCs/>
          <w:sz w:val="22"/>
          <w:szCs w:val="22"/>
        </w:rPr>
        <w:t>or</w:t>
      </w:r>
    </w:p>
    <w:p w14:paraId="19B5A61C" w14:textId="77777777" w:rsidR="00170845" w:rsidRPr="00F62144" w:rsidRDefault="00483CFD" w:rsidP="00023A8E">
      <w:pPr>
        <w:numPr>
          <w:ilvl w:val="0"/>
          <w:numId w:val="15"/>
        </w:numPr>
        <w:tabs>
          <w:tab w:val="clear" w:pos="720"/>
          <w:tab w:val="num" w:pos="36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Pr="00F62144">
        <w:rPr>
          <w:rStyle w:val="FootnoteReference"/>
          <w:rFonts w:asciiTheme="minorHAnsi" w:hAnsiTheme="minorHAnsi"/>
          <w:bCs/>
          <w:sz w:val="22"/>
          <w:szCs w:val="22"/>
        </w:rPr>
        <w:footnoteReference w:id="7"/>
      </w:r>
      <w:r w:rsidRPr="00F62144">
        <w:rPr>
          <w:rFonts w:asciiTheme="minorHAnsi" w:hAnsiTheme="minorHAnsi"/>
          <w:bCs/>
          <w:sz w:val="22"/>
          <w:szCs w:val="22"/>
        </w:rPr>
        <w:t xml:space="preserve"> is filed with us</w:t>
      </w:r>
      <w:r w:rsidR="00170845" w:rsidRPr="00F62144">
        <w:rPr>
          <w:rFonts w:asciiTheme="minorHAnsi" w:hAnsiTheme="minorHAnsi"/>
          <w:bCs/>
          <w:sz w:val="22"/>
          <w:szCs w:val="22"/>
        </w:rPr>
        <w:t xml:space="preserve">.  </w:t>
      </w:r>
    </w:p>
    <w:p w14:paraId="68B252E4" w14:textId="77777777" w:rsidR="00C6327A" w:rsidRPr="00F62144" w:rsidRDefault="00C6327A" w:rsidP="00C6327A">
      <w:pPr>
        <w:autoSpaceDE w:val="0"/>
        <w:autoSpaceDN w:val="0"/>
        <w:adjustRightInd w:val="0"/>
        <w:spacing w:before="120"/>
        <w:ind w:left="360"/>
        <w:rPr>
          <w:rFonts w:asciiTheme="minorHAnsi" w:hAnsiTheme="minorHAnsi"/>
          <w:i/>
          <w:sz w:val="22"/>
          <w:szCs w:val="22"/>
        </w:rPr>
      </w:pPr>
    </w:p>
    <w:p w14:paraId="1C22E30D" w14:textId="77777777" w:rsidR="00E47CC1" w:rsidRPr="00F62144" w:rsidRDefault="00E47CC1" w:rsidP="00E47CC1">
      <w:pPr>
        <w:spacing w:before="120"/>
        <w:rPr>
          <w:rFonts w:asciiTheme="minorHAnsi" w:eastAsia="Times New Roman" w:hAnsiTheme="minorHAnsi"/>
          <w:b/>
          <w:sz w:val="22"/>
          <w:szCs w:val="22"/>
        </w:rPr>
      </w:pPr>
      <w:r w:rsidRPr="00F62144">
        <w:rPr>
          <w:rFonts w:asciiTheme="minorHAnsi" w:eastAsia="Times New Roman" w:hAnsiTheme="minorHAnsi"/>
          <w:b/>
          <w:sz w:val="22"/>
          <w:szCs w:val="22"/>
        </w:rPr>
        <w:t xml:space="preserve">Disaster Relief </w:t>
      </w:r>
    </w:p>
    <w:p w14:paraId="016D249F" w14:textId="791B2D75" w:rsidR="00E76DAD" w:rsidRDefault="002F2508" w:rsidP="001249F3">
      <w:pPr>
        <w:spacing w:before="120"/>
        <w:rPr>
          <w:rFonts w:asciiTheme="minorHAnsi" w:hAnsiTheme="minorHAnsi"/>
          <w:sz w:val="22"/>
          <w:szCs w:val="22"/>
        </w:rPr>
      </w:pPr>
      <w:r w:rsidRPr="00C526C4">
        <w:rPr>
          <w:rFonts w:asciiTheme="minorHAnsi" w:hAnsiTheme="minorHAnsi"/>
          <w:sz w:val="22"/>
          <w:szCs w:val="22"/>
          <w:shd w:val="clear" w:color="auto" w:fill="FFFFFF" w:themeFill="background1"/>
        </w:rPr>
        <w:t>When the Internal Revenue Service provides relief to taxpayers that are unable to meet the filing deadline as a</w:t>
      </w:r>
      <w:r w:rsidRPr="008B1903">
        <w:rPr>
          <w:rFonts w:asciiTheme="minorHAnsi" w:hAnsiTheme="minorHAnsi"/>
          <w:sz w:val="22"/>
          <w:szCs w:val="22"/>
        </w:rPr>
        <w:t xml:space="preserve"> result of a major disaster (</w:t>
      </w:r>
      <w:r w:rsidRPr="008B1903">
        <w:rPr>
          <w:rFonts w:asciiTheme="minorHAnsi" w:hAnsiTheme="minorHAnsi"/>
          <w:i/>
          <w:iCs/>
          <w:sz w:val="22"/>
          <w:szCs w:val="22"/>
        </w:rPr>
        <w:t>e.g.</w:t>
      </w:r>
      <w:r w:rsidRPr="008B1903">
        <w:rPr>
          <w:rFonts w:asciiTheme="minorHAnsi" w:hAnsiTheme="minorHAnsi"/>
          <w:sz w:val="22"/>
          <w:szCs w:val="22"/>
        </w:rPr>
        <w:t>, a hurricane)</w:t>
      </w:r>
      <w:r>
        <w:rPr>
          <w:rFonts w:asciiTheme="minorHAnsi" w:hAnsiTheme="minorHAnsi"/>
          <w:sz w:val="22"/>
          <w:szCs w:val="22"/>
        </w:rPr>
        <w:t>,</w:t>
      </w:r>
      <w:r w:rsidRPr="008B1903">
        <w:rPr>
          <w:rFonts w:asciiTheme="minorHAnsi" w:hAnsiTheme="minorHAnsi"/>
          <w:sz w:val="22"/>
          <w:szCs w:val="22"/>
        </w:rPr>
        <w:t xml:space="preserve"> </w:t>
      </w:r>
      <w:r w:rsidRPr="00C526C4">
        <w:rPr>
          <w:rFonts w:asciiTheme="minorHAnsi" w:hAnsiTheme="minorHAnsi"/>
          <w:sz w:val="22"/>
          <w:szCs w:val="22"/>
        </w:rPr>
        <w:t xml:space="preserve">PBGC </w:t>
      </w:r>
      <w:r w:rsidR="00E76DAD">
        <w:rPr>
          <w:rFonts w:asciiTheme="minorHAnsi" w:hAnsiTheme="minorHAnsi"/>
          <w:sz w:val="22"/>
          <w:szCs w:val="22"/>
        </w:rPr>
        <w:t xml:space="preserve">also </w:t>
      </w:r>
      <w:r w:rsidRPr="00C526C4">
        <w:rPr>
          <w:rFonts w:asciiTheme="minorHAnsi" w:hAnsiTheme="minorHAnsi"/>
          <w:sz w:val="22"/>
          <w:szCs w:val="22"/>
        </w:rPr>
        <w:t xml:space="preserve">provides relief </w:t>
      </w:r>
      <w:r>
        <w:rPr>
          <w:rFonts w:asciiTheme="minorHAnsi" w:hAnsiTheme="minorHAnsi"/>
          <w:sz w:val="22"/>
          <w:szCs w:val="22"/>
        </w:rPr>
        <w:t>to affected plans</w:t>
      </w:r>
      <w:r w:rsidR="00E76DAD">
        <w:rPr>
          <w:rFonts w:asciiTheme="minorHAnsi" w:hAnsiTheme="minorHAnsi"/>
          <w:sz w:val="22"/>
          <w:szCs w:val="22"/>
        </w:rPr>
        <w:t xml:space="preserve">.  </w:t>
      </w:r>
      <w:r>
        <w:rPr>
          <w:rFonts w:asciiTheme="minorHAnsi" w:hAnsiTheme="minorHAnsi"/>
          <w:sz w:val="22"/>
          <w:szCs w:val="22"/>
        </w:rPr>
        <w:t xml:space="preserve"> </w:t>
      </w:r>
      <w:r w:rsidR="00E76DAD">
        <w:rPr>
          <w:rFonts w:asciiTheme="minorHAnsi" w:hAnsiTheme="minorHAnsi"/>
          <w:sz w:val="22"/>
          <w:szCs w:val="22"/>
        </w:rPr>
        <w:t xml:space="preserve">See the applicable guidance </w:t>
      </w:r>
      <w:hyperlink r:id="rId66" w:history="1">
        <w:r w:rsidRPr="0025621E">
          <w:rPr>
            <w:rStyle w:val="Hyperlink"/>
            <w:rFonts w:asciiTheme="minorHAnsi" w:hAnsiTheme="minorHAnsi"/>
            <w:sz w:val="22"/>
            <w:szCs w:val="22"/>
          </w:rPr>
          <w:t>PBGC’s Disaster Relief webpage</w:t>
        </w:r>
      </w:hyperlink>
      <w:r w:rsidRPr="00C526C4">
        <w:rPr>
          <w:rFonts w:asciiTheme="minorHAnsi" w:hAnsiTheme="minorHAnsi"/>
          <w:sz w:val="22"/>
          <w:szCs w:val="22"/>
        </w:rPr>
        <w:t xml:space="preserve"> for information</w:t>
      </w:r>
      <w:r w:rsidR="0025621E">
        <w:rPr>
          <w:rFonts w:asciiTheme="minorHAnsi" w:hAnsiTheme="minorHAnsi"/>
          <w:sz w:val="22"/>
          <w:szCs w:val="22"/>
        </w:rPr>
        <w:t xml:space="preserve"> on </w:t>
      </w:r>
      <w:r w:rsidR="00E76DAD">
        <w:rPr>
          <w:rFonts w:asciiTheme="minorHAnsi" w:hAnsiTheme="minorHAnsi"/>
          <w:sz w:val="22"/>
          <w:szCs w:val="22"/>
        </w:rPr>
        <w:t>what relief has been grant</w:t>
      </w:r>
      <w:r w:rsidR="00E02FAD">
        <w:rPr>
          <w:rFonts w:asciiTheme="minorHAnsi" w:hAnsiTheme="minorHAnsi"/>
          <w:sz w:val="22"/>
          <w:szCs w:val="22"/>
        </w:rPr>
        <w:t>ed</w:t>
      </w:r>
      <w:r w:rsidR="00E76DAD">
        <w:rPr>
          <w:rFonts w:asciiTheme="minorHAnsi" w:hAnsiTheme="minorHAnsi"/>
          <w:sz w:val="22"/>
          <w:szCs w:val="22"/>
        </w:rPr>
        <w:t xml:space="preserve">, </w:t>
      </w:r>
      <w:r w:rsidR="0025621E">
        <w:rPr>
          <w:rFonts w:asciiTheme="minorHAnsi" w:hAnsiTheme="minorHAnsi"/>
          <w:sz w:val="22"/>
          <w:szCs w:val="22"/>
        </w:rPr>
        <w:t xml:space="preserve">how to determine if your plan is eligible for </w:t>
      </w:r>
      <w:r w:rsidR="001249F3">
        <w:rPr>
          <w:rFonts w:asciiTheme="minorHAnsi" w:hAnsiTheme="minorHAnsi"/>
          <w:sz w:val="22"/>
          <w:szCs w:val="22"/>
        </w:rPr>
        <w:t xml:space="preserve">this </w:t>
      </w:r>
      <w:r w:rsidR="00E76DAD">
        <w:rPr>
          <w:rFonts w:asciiTheme="minorHAnsi" w:hAnsiTheme="minorHAnsi"/>
          <w:sz w:val="22"/>
          <w:szCs w:val="22"/>
        </w:rPr>
        <w:t>relief, and how to claim the relief.</w:t>
      </w:r>
    </w:p>
    <w:p w14:paraId="53229265" w14:textId="77777777" w:rsidR="002F2508" w:rsidRPr="00F62144" w:rsidRDefault="002F2508" w:rsidP="002F2508">
      <w:pPr>
        <w:autoSpaceDE w:val="0"/>
        <w:autoSpaceDN w:val="0"/>
        <w:adjustRightInd w:val="0"/>
        <w:spacing w:before="120"/>
        <w:rPr>
          <w:rFonts w:asciiTheme="minorHAnsi" w:hAnsiTheme="minorHAnsi"/>
          <w:b/>
          <w:bCs/>
          <w:sz w:val="22"/>
          <w:szCs w:val="22"/>
        </w:rPr>
      </w:pPr>
    </w:p>
    <w:p w14:paraId="70571417" w14:textId="77777777" w:rsidR="004D619C" w:rsidRPr="00F62144" w:rsidRDefault="004D619C" w:rsidP="004D619C">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14:paraId="57AAB522" w14:textId="77777777" w:rsidR="004D619C" w:rsidRPr="00F62144" w:rsidRDefault="004D619C" w:rsidP="004D619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00CD2258" w:rsidRPr="00F62144">
        <w:rPr>
          <w:rFonts w:asciiTheme="minorHAnsi" w:hAnsiTheme="minorHAnsi"/>
          <w:sz w:val="22"/>
          <w:szCs w:val="22"/>
        </w:rPr>
        <w:t>’s</w:t>
      </w:r>
      <w:r w:rsidR="007E73B1" w:rsidRPr="00F62144">
        <w:rPr>
          <w:rFonts w:asciiTheme="minorHAnsi" w:hAnsiTheme="minorHAnsi"/>
          <w:sz w:val="22"/>
          <w:szCs w:val="22"/>
        </w:rPr>
        <w:t xml:space="preserve"> premium payment regulation (</w:t>
      </w:r>
      <w:hyperlink r:id="rId67" w:history="1">
        <w:r w:rsidR="007E73B1" w:rsidRPr="00E51955">
          <w:rPr>
            <w:rStyle w:val="Hyperlink"/>
            <w:rFonts w:asciiTheme="minorHAnsi" w:hAnsiTheme="minorHAnsi"/>
            <w:sz w:val="22"/>
            <w:szCs w:val="22"/>
          </w:rPr>
          <w:t>29 CFR Part 4007</w:t>
        </w:r>
      </w:hyperlink>
      <w:r w:rsidR="007E73B1" w:rsidRPr="00F62144">
        <w:rPr>
          <w:rFonts w:asciiTheme="minorHAnsi" w:hAnsiTheme="minorHAnsi"/>
          <w:sz w:val="22"/>
          <w:szCs w:val="22"/>
        </w:rPr>
        <w:t>)</w:t>
      </w:r>
      <w:r w:rsidRPr="00F62144">
        <w:rPr>
          <w:rFonts w:asciiTheme="minorHAnsi" w:hAnsiTheme="minorHAnsi"/>
          <w:sz w:val="22"/>
          <w:szCs w:val="22"/>
        </w:rPr>
        <w:t xml:space="preserve">. </w:t>
      </w:r>
    </w:p>
    <w:p w14:paraId="4AF3C014" w14:textId="77777777" w:rsidR="004D619C" w:rsidRPr="00F62144" w:rsidRDefault="004D619C" w:rsidP="00F12837">
      <w:pPr>
        <w:autoSpaceDE w:val="0"/>
        <w:autoSpaceDN w:val="0"/>
        <w:adjustRightInd w:val="0"/>
        <w:spacing w:before="120"/>
        <w:rPr>
          <w:rFonts w:asciiTheme="minorHAnsi" w:hAnsiTheme="minorHAnsi"/>
          <w:b/>
          <w:bCs/>
          <w:sz w:val="22"/>
          <w:szCs w:val="22"/>
        </w:rPr>
      </w:pPr>
    </w:p>
    <w:p w14:paraId="041C9A3C" w14:textId="77777777" w:rsidR="004D619C" w:rsidRPr="00F62144" w:rsidRDefault="004D619C" w:rsidP="00F12837">
      <w:pPr>
        <w:autoSpaceDE w:val="0"/>
        <w:autoSpaceDN w:val="0"/>
        <w:adjustRightInd w:val="0"/>
        <w:spacing w:before="120"/>
        <w:rPr>
          <w:rFonts w:asciiTheme="minorHAnsi" w:hAnsiTheme="minorHAnsi"/>
          <w:b/>
          <w:bCs/>
          <w:sz w:val="22"/>
          <w:szCs w:val="22"/>
        </w:rPr>
        <w:sectPr w:rsidR="004D619C" w:rsidRPr="00F62144" w:rsidSect="005C4FCB">
          <w:headerReference w:type="even" r:id="rId68"/>
          <w:headerReference w:type="default" r:id="rId69"/>
          <w:headerReference w:type="first" r:id="rId70"/>
          <w:pgSz w:w="12240" w:h="15840" w:code="1"/>
          <w:pgMar w:top="1440" w:right="1080" w:bottom="1440" w:left="1080" w:header="720" w:footer="720" w:gutter="0"/>
          <w:cols w:space="720"/>
          <w:noEndnote/>
        </w:sectPr>
      </w:pPr>
    </w:p>
    <w:p w14:paraId="5855908A"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10" w:name="toc8"/>
      <w:bookmarkStart w:id="11" w:name="b16"/>
      <w:bookmarkEnd w:id="10"/>
      <w:bookmarkEnd w:id="11"/>
      <w:r w:rsidRPr="00F62144">
        <w:rPr>
          <w:rFonts w:asciiTheme="minorHAnsi" w:hAnsiTheme="minorHAnsi"/>
          <w:b/>
          <w:bCs/>
          <w:sz w:val="22"/>
          <w:szCs w:val="22"/>
        </w:rPr>
        <w:t>General</w:t>
      </w:r>
      <w:r w:rsidR="006812A2" w:rsidRPr="00F62144">
        <w:rPr>
          <w:rFonts w:asciiTheme="minorHAnsi" w:hAnsiTheme="minorHAnsi"/>
          <w:sz w:val="22"/>
          <w:szCs w:val="22"/>
        </w:rPr>
        <w:t xml:space="preserve"> </w:t>
      </w:r>
    </w:p>
    <w:p w14:paraId="6596E66E" w14:textId="77777777" w:rsidR="00F12837" w:rsidRPr="00F62144" w:rsidRDefault="00F12837" w:rsidP="00C454A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00C454AC" w:rsidRPr="00F62144">
        <w:rPr>
          <w:rFonts w:asciiTheme="minorHAnsi" w:hAnsiTheme="minorHAnsi"/>
          <w:sz w:val="22"/>
          <w:szCs w:val="22"/>
        </w:rPr>
        <w:t xml:space="preserve"> by completing and submitting a</w:t>
      </w:r>
      <w:r w:rsidRPr="00F62144">
        <w:rPr>
          <w:rFonts w:asciiTheme="minorHAnsi" w:hAnsiTheme="minorHAnsi"/>
          <w:sz w:val="22"/>
          <w:szCs w:val="22"/>
        </w:rPr>
        <w:t xml:space="preserve"> comprehensive premium </w:t>
      </w:r>
      <w:r w:rsidR="00C454AC" w:rsidRPr="00F62144">
        <w:rPr>
          <w:rFonts w:asciiTheme="minorHAnsi" w:hAnsiTheme="minorHAnsi"/>
          <w:sz w:val="22"/>
          <w:szCs w:val="22"/>
        </w:rPr>
        <w:t>filing.</w:t>
      </w:r>
    </w:p>
    <w:p w14:paraId="6913042B" w14:textId="77777777" w:rsidR="0073646F"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00562386" w:rsidRPr="00F62144">
        <w:rPr>
          <w:rFonts w:asciiTheme="minorHAnsi" w:hAnsiTheme="minorHAnsi"/>
          <w:sz w:val="22"/>
          <w:szCs w:val="22"/>
        </w:rPr>
        <w:t xml:space="preserve">is </w:t>
      </w:r>
      <w:r w:rsidRPr="00F62144">
        <w:rPr>
          <w:rFonts w:asciiTheme="minorHAnsi" w:hAnsiTheme="minorHAnsi"/>
          <w:sz w:val="22"/>
          <w:szCs w:val="22"/>
        </w:rPr>
        <w:t xml:space="preserve">included in the </w:t>
      </w:r>
      <w:r w:rsidR="00796CE2" w:rsidRPr="00F62144">
        <w:rPr>
          <w:rFonts w:asciiTheme="minorHAnsi" w:hAnsiTheme="minorHAnsi"/>
          <w:bCs/>
          <w:sz w:val="22"/>
          <w:szCs w:val="22"/>
        </w:rPr>
        <w:t>“</w:t>
      </w:r>
      <w:hyperlink w:anchor="b2" w:history="1">
        <w:r w:rsidR="00796CE2" w:rsidRPr="00F62144">
          <w:rPr>
            <w:rStyle w:val="Hyperlink"/>
            <w:rFonts w:asciiTheme="minorHAnsi" w:hAnsiTheme="minorHAnsi"/>
            <w:bCs/>
            <w:sz w:val="22"/>
            <w:szCs w:val="22"/>
          </w:rPr>
          <w:t>Data to be Submitted</w:t>
        </w:r>
      </w:hyperlink>
      <w:r w:rsidR="00796CE2" w:rsidRPr="00F62144">
        <w:rPr>
          <w:rFonts w:asciiTheme="minorHAnsi" w:hAnsiTheme="minorHAnsi"/>
          <w:bCs/>
          <w:sz w:val="22"/>
          <w:szCs w:val="22"/>
        </w:rPr>
        <w:t>”</w:t>
      </w:r>
      <w:r w:rsidRPr="00F62144">
        <w:rPr>
          <w:rFonts w:asciiTheme="minorHAnsi" w:hAnsiTheme="minorHAnsi"/>
          <w:sz w:val="22"/>
          <w:szCs w:val="22"/>
        </w:rPr>
        <w:t xml:space="preserve"> section. </w:t>
      </w:r>
      <w:r w:rsidR="00C454AC" w:rsidRPr="00F62144">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 The purpose of the “form” is to provide a comprehensive list of data that must be submitted electronically.</w:t>
      </w:r>
      <w:r w:rsidR="00296B57" w:rsidRPr="00F62144">
        <w:rPr>
          <w:rFonts w:asciiTheme="minorHAnsi" w:hAnsiTheme="minorHAnsi"/>
          <w:sz w:val="22"/>
          <w:szCs w:val="22"/>
        </w:rPr>
        <w:t xml:space="preserve"> </w:t>
      </w:r>
      <w:r w:rsidR="00796CE2" w:rsidRPr="00F62144">
        <w:rPr>
          <w:rFonts w:asciiTheme="minorHAnsi" w:hAnsiTheme="minorHAnsi"/>
          <w:sz w:val="22"/>
          <w:szCs w:val="22"/>
        </w:rPr>
        <w:t>Th</w:t>
      </w:r>
      <w:r w:rsidR="00CD2258" w:rsidRPr="00F62144">
        <w:rPr>
          <w:rFonts w:asciiTheme="minorHAnsi" w:hAnsiTheme="minorHAnsi"/>
          <w:sz w:val="22"/>
          <w:szCs w:val="22"/>
        </w:rPr>
        <w:t xml:space="preserve">ese </w:t>
      </w:r>
      <w:r w:rsidR="00796CE2" w:rsidRPr="00F62144">
        <w:rPr>
          <w:rFonts w:asciiTheme="minorHAnsi" w:hAnsiTheme="minorHAnsi"/>
          <w:sz w:val="22"/>
          <w:szCs w:val="22"/>
        </w:rPr>
        <w:t xml:space="preserve">instructions </w:t>
      </w:r>
      <w:r w:rsidR="00CD2258" w:rsidRPr="00F62144">
        <w:rPr>
          <w:rFonts w:asciiTheme="minorHAnsi" w:hAnsiTheme="minorHAnsi"/>
          <w:sz w:val="22"/>
          <w:szCs w:val="22"/>
        </w:rPr>
        <w:t xml:space="preserve">are written </w:t>
      </w:r>
      <w:r w:rsidR="00796CE2" w:rsidRPr="00F62144">
        <w:rPr>
          <w:rFonts w:asciiTheme="minorHAnsi" w:hAnsiTheme="minorHAnsi"/>
          <w:sz w:val="22"/>
          <w:szCs w:val="22"/>
        </w:rPr>
        <w:t>as if they related to the illustrative form</w:t>
      </w:r>
      <w:r w:rsidR="003C6DA7" w:rsidRPr="00F62144">
        <w:rPr>
          <w:rFonts w:asciiTheme="minorHAnsi" w:hAnsiTheme="minorHAnsi"/>
          <w:sz w:val="22"/>
          <w:szCs w:val="22"/>
        </w:rPr>
        <w:t xml:space="preserve"> (see “</w:t>
      </w:r>
      <w:hyperlink w:anchor="b3" w:history="1">
        <w:r w:rsidR="003C6DA7" w:rsidRPr="00F62144">
          <w:rPr>
            <w:rStyle w:val="Hyperlink"/>
            <w:rFonts w:asciiTheme="minorHAnsi" w:hAnsiTheme="minorHAnsi"/>
            <w:sz w:val="22"/>
            <w:szCs w:val="22"/>
          </w:rPr>
          <w:t>Description of Data Elements</w:t>
        </w:r>
      </w:hyperlink>
      <w:r w:rsidR="00183FAC" w:rsidRPr="00F62144">
        <w:rPr>
          <w:rFonts w:asciiTheme="minorHAnsi" w:hAnsiTheme="minorHAnsi"/>
          <w:sz w:val="22"/>
          <w:szCs w:val="22"/>
        </w:rPr>
        <w:t>”</w:t>
      </w:r>
      <w:r w:rsidR="00480BE2" w:rsidRPr="00F62144">
        <w:rPr>
          <w:rFonts w:asciiTheme="minorHAnsi" w:hAnsiTheme="minorHAnsi"/>
          <w:sz w:val="22"/>
          <w:szCs w:val="22"/>
        </w:rPr>
        <w:t xml:space="preserve"> </w:t>
      </w:r>
      <w:r w:rsidR="003C6DA7" w:rsidRPr="00F62144">
        <w:rPr>
          <w:rFonts w:asciiTheme="minorHAnsi" w:hAnsiTheme="minorHAnsi"/>
          <w:sz w:val="22"/>
          <w:szCs w:val="22"/>
        </w:rPr>
        <w:t>section).</w:t>
      </w:r>
      <w:r w:rsidR="00D13327" w:rsidRPr="00F62144">
        <w:rPr>
          <w:rFonts w:asciiTheme="minorHAnsi" w:hAnsiTheme="minorHAnsi"/>
          <w:sz w:val="22"/>
          <w:szCs w:val="22"/>
        </w:rPr>
        <w:t xml:space="preserve">  </w:t>
      </w:r>
      <w:r w:rsidRPr="00F62144">
        <w:rPr>
          <w:rFonts w:asciiTheme="minorHAnsi" w:hAnsiTheme="minorHAnsi"/>
          <w:sz w:val="22"/>
          <w:szCs w:val="22"/>
        </w:rPr>
        <w:t>Th</w:t>
      </w:r>
      <w:r w:rsidR="00480BE2" w:rsidRPr="00F62144">
        <w:rPr>
          <w:rFonts w:asciiTheme="minorHAnsi" w:hAnsiTheme="minorHAnsi"/>
          <w:sz w:val="22"/>
          <w:szCs w:val="22"/>
        </w:rPr>
        <w:t>e</w:t>
      </w:r>
      <w:r w:rsidRPr="00F62144">
        <w:rPr>
          <w:rFonts w:asciiTheme="minorHAnsi" w:hAnsiTheme="minorHAnsi"/>
          <w:sz w:val="22"/>
          <w:szCs w:val="22"/>
        </w:rPr>
        <w:t xml:space="preserve"> “form” </w:t>
      </w:r>
      <w:r w:rsidR="00C454AC" w:rsidRPr="00F62144">
        <w:rPr>
          <w:rFonts w:asciiTheme="minorHAnsi" w:hAnsiTheme="minorHAnsi"/>
          <w:sz w:val="22"/>
          <w:szCs w:val="22"/>
        </w:rPr>
        <w:t>is</w:t>
      </w:r>
      <w:r w:rsidRPr="00F62144">
        <w:rPr>
          <w:rFonts w:asciiTheme="minorHAnsi" w:hAnsiTheme="minorHAnsi"/>
          <w:sz w:val="22"/>
          <w:szCs w:val="22"/>
        </w:rPr>
        <w:t xml:space="preserve"> for illustrative purposes only</w:t>
      </w:r>
      <w:r w:rsidR="00D13327" w:rsidRPr="00F62144">
        <w:rPr>
          <w:rFonts w:asciiTheme="minorHAnsi" w:hAnsiTheme="minorHAnsi"/>
          <w:sz w:val="22"/>
          <w:szCs w:val="22"/>
        </w:rPr>
        <w:t>.</w:t>
      </w:r>
    </w:p>
    <w:p w14:paraId="1993C947" w14:textId="77777777" w:rsidR="00F62144" w:rsidRDefault="00F62144" w:rsidP="00F12837">
      <w:pPr>
        <w:autoSpaceDE w:val="0"/>
        <w:autoSpaceDN w:val="0"/>
        <w:adjustRightInd w:val="0"/>
        <w:spacing w:before="120"/>
        <w:rPr>
          <w:rFonts w:asciiTheme="minorHAnsi" w:hAnsiTheme="minorHAnsi"/>
          <w:b/>
          <w:sz w:val="22"/>
          <w:szCs w:val="22"/>
        </w:rPr>
      </w:pPr>
    </w:p>
    <w:p w14:paraId="559D7299" w14:textId="77777777" w:rsidR="00F12837" w:rsidRPr="00F62144" w:rsidRDefault="00F12837" w:rsidP="00F12837">
      <w:pPr>
        <w:autoSpaceDE w:val="0"/>
        <w:autoSpaceDN w:val="0"/>
        <w:adjustRightInd w:val="0"/>
        <w:spacing w:before="120"/>
        <w:rPr>
          <w:rFonts w:asciiTheme="minorHAnsi" w:hAnsiTheme="minorHAnsi"/>
          <w:b/>
          <w:sz w:val="22"/>
          <w:szCs w:val="22"/>
        </w:rPr>
      </w:pPr>
      <w:bookmarkStart w:id="12" w:name="_Hlk497397805"/>
      <w:r w:rsidRPr="00F62144">
        <w:rPr>
          <w:rFonts w:asciiTheme="minorHAnsi" w:hAnsiTheme="minorHAnsi"/>
          <w:b/>
          <w:sz w:val="22"/>
          <w:szCs w:val="22"/>
        </w:rPr>
        <w:t xml:space="preserve">Filing </w:t>
      </w:r>
      <w:r w:rsidR="00BB23D7" w:rsidRPr="00F62144">
        <w:rPr>
          <w:rFonts w:asciiTheme="minorHAnsi" w:hAnsiTheme="minorHAnsi"/>
          <w:b/>
          <w:sz w:val="22"/>
          <w:szCs w:val="22"/>
        </w:rPr>
        <w:t>Method</w:t>
      </w:r>
    </w:p>
    <w:p w14:paraId="14422E34" w14:textId="77777777" w:rsidR="00204C5A" w:rsidRDefault="00204C5A" w:rsidP="00F12837">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00F12837" w:rsidRPr="00F62144">
        <w:rPr>
          <w:rFonts w:asciiTheme="minorHAnsi" w:hAnsiTheme="minorHAnsi"/>
          <w:sz w:val="22"/>
          <w:szCs w:val="22"/>
        </w:rPr>
        <w:t>lectronic</w:t>
      </w:r>
      <w:r>
        <w:rPr>
          <w:rFonts w:asciiTheme="minorHAnsi" w:hAnsiTheme="minorHAnsi"/>
          <w:sz w:val="22"/>
          <w:szCs w:val="22"/>
        </w:rPr>
        <w:t>ally through P</w:t>
      </w:r>
      <w:r w:rsidR="00F12837" w:rsidRPr="00F62144">
        <w:rPr>
          <w:rFonts w:asciiTheme="minorHAnsi" w:hAnsiTheme="minorHAnsi"/>
          <w:sz w:val="22"/>
          <w:szCs w:val="22"/>
        </w:rPr>
        <w:t>BGC’s e</w:t>
      </w:r>
      <w:r w:rsidR="00C454AC" w:rsidRPr="00F62144">
        <w:rPr>
          <w:rFonts w:asciiTheme="minorHAnsi" w:hAnsiTheme="minorHAnsi"/>
          <w:sz w:val="22"/>
          <w:szCs w:val="22"/>
        </w:rPr>
        <w:noBreakHyphen/>
      </w:r>
      <w:r w:rsidR="00F12837" w:rsidRPr="00F62144">
        <w:rPr>
          <w:rFonts w:asciiTheme="minorHAnsi" w:hAnsiTheme="minorHAnsi"/>
          <w:sz w:val="22"/>
          <w:szCs w:val="22"/>
        </w:rPr>
        <w:t>filing application, My Plan Administration Account (My</w:t>
      </w:r>
      <w:r>
        <w:rPr>
          <w:rFonts w:asciiTheme="minorHAnsi" w:hAnsiTheme="minorHAnsi"/>
          <w:sz w:val="22"/>
          <w:szCs w:val="22"/>
        </w:rPr>
        <w:t> </w:t>
      </w:r>
      <w:r w:rsidR="00F12837" w:rsidRPr="00F62144">
        <w:rPr>
          <w:rFonts w:asciiTheme="minorHAnsi" w:hAnsiTheme="minorHAnsi"/>
          <w:sz w:val="22"/>
          <w:szCs w:val="22"/>
        </w:rPr>
        <w:t>PAA)</w:t>
      </w:r>
      <w:r>
        <w:rPr>
          <w:rFonts w:asciiTheme="minorHAnsi" w:hAnsiTheme="minorHAnsi"/>
          <w:sz w:val="22"/>
          <w:szCs w:val="22"/>
        </w:rPr>
        <w:t xml:space="preserve">.  </w:t>
      </w:r>
    </w:p>
    <w:p w14:paraId="49F33378" w14:textId="652FBC42" w:rsidR="00F12837" w:rsidRPr="00F62144" w:rsidRDefault="00DD783E" w:rsidP="00F12837">
      <w:pPr>
        <w:autoSpaceDE w:val="0"/>
        <w:autoSpaceDN w:val="0"/>
        <w:adjustRightInd w:val="0"/>
        <w:spacing w:before="120"/>
        <w:rPr>
          <w:rFonts w:asciiTheme="minorHAnsi" w:hAnsiTheme="minorHAnsi"/>
          <w:sz w:val="22"/>
          <w:szCs w:val="22"/>
        </w:rPr>
      </w:pPr>
      <w:hyperlink r:id="rId71" w:history="1"/>
      <w:r w:rsidR="00F12837" w:rsidRPr="00F62144">
        <w:rPr>
          <w:rFonts w:asciiTheme="minorHAnsi" w:hAnsiTheme="minorHAnsi"/>
          <w:sz w:val="22"/>
          <w:szCs w:val="22"/>
        </w:rPr>
        <w:t xml:space="preserve">You may prepare the filing directly using My PAA’s data entry screens. Alternatively, you may use </w:t>
      </w:r>
      <w:r w:rsidR="008D52A5" w:rsidRPr="00F62144">
        <w:rPr>
          <w:rFonts w:asciiTheme="minorHAnsi" w:hAnsiTheme="minorHAnsi"/>
          <w:sz w:val="22"/>
          <w:szCs w:val="22"/>
        </w:rPr>
        <w:t xml:space="preserve">approved </w:t>
      </w:r>
      <w:r w:rsidR="00F12837" w:rsidRPr="00F62144">
        <w:rPr>
          <w:rFonts w:asciiTheme="minorHAnsi" w:hAnsiTheme="minorHAnsi"/>
          <w:sz w:val="22"/>
          <w:szCs w:val="22"/>
        </w:rPr>
        <w:t>private-sector software to prepare a filing and then “import” the data into My PAA’s editing screens or “upload” the filing via My PAA</w:t>
      </w:r>
      <w:r w:rsidR="008D52A5" w:rsidRPr="00F62144">
        <w:rPr>
          <w:rFonts w:asciiTheme="minorHAnsi" w:hAnsiTheme="minorHAnsi"/>
          <w:sz w:val="22"/>
          <w:szCs w:val="22"/>
        </w:rPr>
        <w:t>.  Approved private</w:t>
      </w:r>
      <w:r w:rsidR="006860DA">
        <w:rPr>
          <w:rFonts w:asciiTheme="minorHAnsi" w:hAnsiTheme="minorHAnsi"/>
          <w:sz w:val="22"/>
          <w:szCs w:val="22"/>
        </w:rPr>
        <w:t>-</w:t>
      </w:r>
      <w:r w:rsidR="008D52A5" w:rsidRPr="00F62144">
        <w:rPr>
          <w:rFonts w:asciiTheme="minorHAnsi" w:hAnsiTheme="minorHAnsi"/>
          <w:sz w:val="22"/>
          <w:szCs w:val="22"/>
        </w:rPr>
        <w:t xml:space="preserve"> sector</w:t>
      </w:r>
      <w:r w:rsidR="006860DA">
        <w:rPr>
          <w:rFonts w:asciiTheme="minorHAnsi" w:hAnsiTheme="minorHAnsi"/>
          <w:sz w:val="22"/>
          <w:szCs w:val="22"/>
        </w:rPr>
        <w:t xml:space="preserve"> </w:t>
      </w:r>
      <w:r w:rsidR="008D52A5" w:rsidRPr="00F62144">
        <w:rPr>
          <w:rFonts w:asciiTheme="minorHAnsi" w:hAnsiTheme="minorHAnsi"/>
          <w:sz w:val="22"/>
          <w:szCs w:val="22"/>
        </w:rPr>
        <w:t xml:space="preserve">software </w:t>
      </w:r>
      <w:r w:rsidR="000B573E" w:rsidRPr="00F62144">
        <w:rPr>
          <w:rFonts w:asciiTheme="minorHAnsi" w:hAnsiTheme="minorHAnsi"/>
          <w:sz w:val="22"/>
          <w:szCs w:val="22"/>
        </w:rPr>
        <w:t xml:space="preserve">is </w:t>
      </w:r>
      <w:r w:rsidR="00F12837" w:rsidRPr="00F62144">
        <w:rPr>
          <w:rFonts w:asciiTheme="minorHAnsi" w:hAnsiTheme="minorHAnsi"/>
          <w:sz w:val="22"/>
          <w:szCs w:val="22"/>
        </w:rPr>
        <w:t xml:space="preserve">able to </w:t>
      </w:r>
      <w:r w:rsidR="00204C5A">
        <w:rPr>
          <w:rFonts w:asciiTheme="minorHAnsi" w:hAnsiTheme="minorHAnsi"/>
          <w:sz w:val="22"/>
          <w:szCs w:val="22"/>
        </w:rPr>
        <w:t>place</w:t>
      </w:r>
      <w:r w:rsidR="00F12837" w:rsidRPr="00F62144">
        <w:rPr>
          <w:rFonts w:asciiTheme="minorHAnsi" w:hAnsiTheme="minorHAnsi"/>
          <w:sz w:val="22"/>
          <w:szCs w:val="22"/>
        </w:rPr>
        <w:t xml:space="preserve"> your filing in an electronic file in</w:t>
      </w:r>
      <w:r w:rsidR="00204C5A">
        <w:rPr>
          <w:rFonts w:asciiTheme="minorHAnsi" w:hAnsiTheme="minorHAnsi"/>
          <w:sz w:val="22"/>
          <w:szCs w:val="22"/>
        </w:rPr>
        <w:t xml:space="preserve"> an </w:t>
      </w:r>
      <w:r w:rsidR="00F12837" w:rsidRPr="00F62144">
        <w:rPr>
          <w:rFonts w:asciiTheme="minorHAnsi" w:hAnsiTheme="minorHAnsi"/>
          <w:sz w:val="22"/>
          <w:szCs w:val="22"/>
        </w:rPr>
        <w:t xml:space="preserve">“XML” format </w:t>
      </w:r>
      <w:r w:rsidR="00204C5A">
        <w:rPr>
          <w:rFonts w:asciiTheme="minorHAnsi" w:hAnsiTheme="minorHAnsi"/>
          <w:sz w:val="22"/>
          <w:szCs w:val="22"/>
        </w:rPr>
        <w:t xml:space="preserve">that </w:t>
      </w:r>
      <w:r w:rsidR="00F12837" w:rsidRPr="00F62144">
        <w:rPr>
          <w:rFonts w:asciiTheme="minorHAnsi" w:hAnsiTheme="minorHAnsi"/>
          <w:sz w:val="22"/>
          <w:szCs w:val="22"/>
        </w:rPr>
        <w:t xml:space="preserve">meets PBGC specifications. </w:t>
      </w:r>
    </w:p>
    <w:p w14:paraId="120A4D60" w14:textId="77777777" w:rsidR="00BB5CDC" w:rsidRPr="00F62144" w:rsidRDefault="00BB5CDC" w:rsidP="00BB5CD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12"/>
      <w:r w:rsidRPr="00F62144">
        <w:rPr>
          <w:rFonts w:asciiTheme="minorHAnsi" w:hAnsiTheme="minorHAnsi"/>
          <w:sz w:val="22"/>
          <w:szCs w:val="22"/>
        </w:rPr>
        <w:t>filings (My PAA data entry screens or private</w:t>
      </w:r>
      <w:r w:rsidR="00142DE4" w:rsidRPr="00F62144">
        <w:rPr>
          <w:rFonts w:asciiTheme="minorHAnsi" w:hAnsiTheme="minorHAnsi"/>
          <w:sz w:val="22"/>
          <w:szCs w:val="22"/>
        </w:rPr>
        <w:t>-</w:t>
      </w:r>
      <w:r w:rsidRPr="00F62144">
        <w:rPr>
          <w:rFonts w:asciiTheme="minorHAnsi" w:hAnsiTheme="minorHAnsi"/>
          <w:sz w:val="22"/>
          <w:szCs w:val="22"/>
        </w:rPr>
        <w:t xml:space="preserve">sector software), the order in which the questions are asked may differ from the order shown on the forms. In addition, in some cases, the software may perform certain calculations instead of requiring that you manually enter each required data element. </w:t>
      </w:r>
    </w:p>
    <w:p w14:paraId="304719FE"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Appendix 3 provides an introduction to My PAA</w:t>
      </w:r>
      <w:r w:rsidR="008D52A5" w:rsidRPr="00F62144">
        <w:rPr>
          <w:rFonts w:asciiTheme="minorHAnsi" w:hAnsiTheme="minorHAnsi"/>
          <w:sz w:val="22"/>
          <w:szCs w:val="22"/>
        </w:rPr>
        <w:t>.</w:t>
      </w:r>
      <w:r w:rsidR="00A2168C">
        <w:rPr>
          <w:rFonts w:asciiTheme="minorHAnsi" w:hAnsiTheme="minorHAnsi"/>
          <w:sz w:val="22"/>
          <w:szCs w:val="22"/>
        </w:rPr>
        <w:t xml:space="preserve"> </w:t>
      </w:r>
      <w:r w:rsidR="001B7DD4">
        <w:rPr>
          <w:rFonts w:asciiTheme="minorHAnsi" w:hAnsiTheme="minorHAnsi"/>
          <w:sz w:val="22"/>
          <w:szCs w:val="22"/>
        </w:rPr>
        <w:t xml:space="preserve"> T</w:t>
      </w:r>
      <w:r w:rsidR="00A2168C" w:rsidRPr="00F62144">
        <w:rPr>
          <w:rFonts w:asciiTheme="minorHAnsi" w:hAnsiTheme="minorHAnsi"/>
          <w:sz w:val="22"/>
          <w:szCs w:val="22"/>
        </w:rPr>
        <w:t>he “</w:t>
      </w:r>
      <w:hyperlink r:id="rId72" w:history="1">
        <w:r w:rsidR="00A2168C" w:rsidRPr="00F62144">
          <w:rPr>
            <w:rStyle w:val="Hyperlink"/>
            <w:rFonts w:asciiTheme="minorHAnsi" w:hAnsiTheme="minorHAnsi"/>
            <w:sz w:val="22"/>
            <w:szCs w:val="22"/>
          </w:rPr>
          <w:t>Online Premium Filing (My PAA)</w:t>
        </w:r>
      </w:hyperlink>
      <w:r w:rsidR="00A2168C" w:rsidRPr="00F62144">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Pr>
          <w:rFonts w:asciiTheme="minorHAnsi" w:hAnsiTheme="minorHAnsi"/>
          <w:sz w:val="22"/>
          <w:szCs w:val="22"/>
        </w:rPr>
        <w:t>provides detailed</w:t>
      </w:r>
      <w:r w:rsidR="008D52A5" w:rsidRPr="00F62144">
        <w:rPr>
          <w:rFonts w:asciiTheme="minorHAnsi" w:hAnsiTheme="minorHAnsi"/>
          <w:sz w:val="22"/>
          <w:szCs w:val="22"/>
        </w:rPr>
        <w:t xml:space="preserve">, and often more up to date, </w:t>
      </w:r>
      <w:r w:rsidRPr="00F62144">
        <w:rPr>
          <w:rFonts w:asciiTheme="minorHAnsi" w:hAnsiTheme="minorHAnsi"/>
          <w:sz w:val="22"/>
          <w:szCs w:val="22"/>
        </w:rPr>
        <w:t>information</w:t>
      </w:r>
      <w:r w:rsidR="008D52A5" w:rsidRPr="00F62144">
        <w:rPr>
          <w:rFonts w:asciiTheme="minorHAnsi" w:hAnsiTheme="minorHAnsi"/>
          <w:sz w:val="22"/>
          <w:szCs w:val="22"/>
        </w:rPr>
        <w:t xml:space="preserve"> </w:t>
      </w:r>
      <w:r w:rsidRPr="00F62144">
        <w:rPr>
          <w:rFonts w:asciiTheme="minorHAnsi" w:hAnsiTheme="minorHAnsi"/>
          <w:sz w:val="22"/>
          <w:szCs w:val="22"/>
        </w:rPr>
        <w:t xml:space="preserve">about My PAA. </w:t>
      </w:r>
    </w:p>
    <w:p w14:paraId="32BCEF01" w14:textId="77777777" w:rsidR="00F12837" w:rsidRPr="00F62144" w:rsidRDefault="00F12837" w:rsidP="00F12837">
      <w:pPr>
        <w:autoSpaceDE w:val="0"/>
        <w:autoSpaceDN w:val="0"/>
        <w:adjustRightInd w:val="0"/>
        <w:spacing w:before="120"/>
        <w:rPr>
          <w:rFonts w:asciiTheme="minorHAnsi" w:hAnsiTheme="minorHAnsi"/>
          <w:b/>
          <w:sz w:val="22"/>
          <w:szCs w:val="22"/>
        </w:rPr>
      </w:pPr>
    </w:p>
    <w:p w14:paraId="1529C904"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00BB23D7" w:rsidRPr="00F62144">
        <w:rPr>
          <w:rFonts w:asciiTheme="minorHAnsi" w:hAnsiTheme="minorHAnsi"/>
          <w:b/>
          <w:sz w:val="22"/>
          <w:szCs w:val="22"/>
        </w:rPr>
        <w:t xml:space="preserve">Premiums </w:t>
      </w:r>
    </w:p>
    <w:p w14:paraId="7F115526" w14:textId="77777777" w:rsidR="000A347A" w:rsidRDefault="00471C5D" w:rsidP="00471C5D">
      <w:pPr>
        <w:autoSpaceDE w:val="0"/>
        <w:autoSpaceDN w:val="0"/>
        <w:spacing w:before="120"/>
        <w:rPr>
          <w:rFonts w:ascii="Calibri" w:hAnsi="Calibri"/>
          <w:sz w:val="22"/>
          <w:szCs w:val="22"/>
        </w:rPr>
      </w:pPr>
      <w:r w:rsidRPr="00F62144">
        <w:rPr>
          <w:rFonts w:ascii="Calibri" w:hAnsi="Calibri"/>
          <w:sz w:val="22"/>
          <w:szCs w:val="22"/>
          <w:lang w:eastAsia="en-US"/>
        </w:rPr>
        <w:t>Although e-filing of premium information through My PAA is mandatory, premium payments may be made either within My PAA or outside of My PAA. If you choose to pay within My PAA, you may pay by </w:t>
      </w:r>
      <w:r w:rsidRPr="00F62144">
        <w:rPr>
          <w:rFonts w:ascii="Calibri" w:hAnsi="Calibri"/>
          <w:lang w:eastAsia="en-US"/>
        </w:rPr>
        <w:t>an</w:t>
      </w:r>
      <w:r w:rsidRPr="00F62144">
        <w:rPr>
          <w:rFonts w:ascii="Calibri" w:hAnsi="Calibri"/>
          <w:sz w:val="22"/>
          <w:szCs w:val="22"/>
          <w:lang w:eastAsia="en-US"/>
        </w:rPr>
        <w:t xml:space="preserve"> electronic funds transfer using A</w:t>
      </w:r>
      <w:r w:rsidRPr="00F62144">
        <w:rPr>
          <w:rFonts w:ascii="Calibri" w:hAnsi="Calibri"/>
          <w:lang w:eastAsia="en-US"/>
        </w:rPr>
        <w:t>utomated Clearing House</w:t>
      </w:r>
      <w:r w:rsidRPr="00F62144">
        <w:rPr>
          <w:rFonts w:ascii="Calibri" w:hAnsi="Calibri"/>
          <w:sz w:val="22"/>
          <w:szCs w:val="22"/>
          <w:lang w:eastAsia="en-US"/>
        </w:rPr>
        <w:t> (ACH). If you pay outside of My</w:t>
      </w:r>
      <w:r w:rsidR="0064068B" w:rsidRPr="00F62144">
        <w:rPr>
          <w:rFonts w:ascii="Calibri" w:hAnsi="Calibri"/>
          <w:sz w:val="22"/>
          <w:szCs w:val="22"/>
          <w:lang w:eastAsia="en-US"/>
        </w:rPr>
        <w:t> </w:t>
      </w:r>
      <w:r w:rsidRPr="00F62144">
        <w:rPr>
          <w:rFonts w:ascii="Calibri" w:hAnsi="Calibri"/>
          <w:sz w:val="22"/>
          <w:szCs w:val="22"/>
          <w:lang w:eastAsia="en-US"/>
        </w:rPr>
        <w:t>PAA,</w:t>
      </w:r>
      <w:r w:rsidRPr="00F62144">
        <w:rPr>
          <w:rFonts w:ascii="Calibri" w:hAnsi="Calibri"/>
          <w:sz w:val="22"/>
          <w:szCs w:val="22"/>
        </w:rPr>
        <w:t> </w:t>
      </w:r>
      <w:r w:rsidRPr="00F62144">
        <w:rPr>
          <w:rFonts w:ascii="Calibri" w:hAnsi="Calibri"/>
          <w:sz w:val="22"/>
          <w:szCs w:val="22"/>
          <w:lang w:eastAsia="en-US"/>
        </w:rPr>
        <w:t>you may pay by electronic funds transfer (ACH or Fedwire)</w:t>
      </w:r>
      <w:r w:rsidR="006B0C24" w:rsidRPr="00F62144">
        <w:rPr>
          <w:rFonts w:ascii="Calibri" w:hAnsi="Calibri"/>
          <w:sz w:val="22"/>
          <w:szCs w:val="22"/>
          <w:lang w:eastAsia="en-US"/>
        </w:rPr>
        <w:t xml:space="preserve">, </w:t>
      </w:r>
      <w:r w:rsidRPr="00F62144">
        <w:rPr>
          <w:rFonts w:ascii="Calibri" w:hAnsi="Calibri"/>
          <w:sz w:val="22"/>
          <w:szCs w:val="22"/>
          <w:lang w:eastAsia="en-US"/>
        </w:rPr>
        <w:t>paper check or on-line via</w:t>
      </w:r>
      <w:r w:rsidR="00023BA4" w:rsidRPr="00F62144">
        <w:rPr>
          <w:rFonts w:ascii="Calibri" w:hAnsi="Calibri"/>
          <w:sz w:val="22"/>
          <w:szCs w:val="22"/>
          <w:lang w:eastAsia="en-US"/>
        </w:rPr>
        <w:t xml:space="preserve"> </w:t>
      </w:r>
      <w:hyperlink r:id="rId73" w:history="1">
        <w:r w:rsidR="00023BA4" w:rsidRPr="00F62144">
          <w:rPr>
            <w:rStyle w:val="Hyperlink"/>
            <w:rFonts w:ascii="Calibri" w:hAnsi="Calibri"/>
            <w:sz w:val="22"/>
            <w:szCs w:val="22"/>
            <w:lang w:eastAsia="en-US"/>
          </w:rPr>
          <w:t>www.pay.gov</w:t>
        </w:r>
      </w:hyperlink>
      <w:r w:rsidR="00204C5A">
        <w:rPr>
          <w:rStyle w:val="Hyperlink"/>
          <w:rFonts w:ascii="Calibri" w:hAnsi="Calibri"/>
          <w:sz w:val="22"/>
          <w:szCs w:val="22"/>
          <w:lang w:eastAsia="en-US"/>
        </w:rPr>
        <w:t>.</w:t>
      </w:r>
      <w:r w:rsidR="007002A9">
        <w:rPr>
          <w:rFonts w:ascii="Calibri" w:hAnsi="Calibri"/>
          <w:sz w:val="22"/>
          <w:szCs w:val="22"/>
        </w:rPr>
        <w:t xml:space="preserve"> </w:t>
      </w:r>
      <w:r w:rsidR="00204C5A">
        <w:rPr>
          <w:rFonts w:ascii="Calibri" w:hAnsi="Calibri"/>
          <w:sz w:val="22"/>
          <w:szCs w:val="22"/>
        </w:rPr>
        <w:t xml:space="preserve"> </w:t>
      </w:r>
      <w:r w:rsidR="007002A9">
        <w:rPr>
          <w:rFonts w:ascii="Calibri" w:hAnsi="Calibri"/>
          <w:sz w:val="22"/>
          <w:szCs w:val="22"/>
        </w:rPr>
        <w:t>Pay.gov is</w:t>
      </w:r>
      <w:r w:rsidRPr="00F62144">
        <w:rPr>
          <w:rFonts w:ascii="Calibri" w:hAnsi="Calibri"/>
          <w:sz w:val="22"/>
          <w:szCs w:val="22"/>
        </w:rPr>
        <w:t xml:space="preserve"> </w:t>
      </w:r>
      <w:r w:rsidR="00023BA4" w:rsidRPr="00F62144">
        <w:rPr>
          <w:rFonts w:ascii="Calibri" w:hAnsi="Calibri"/>
          <w:sz w:val="22"/>
          <w:szCs w:val="22"/>
        </w:rPr>
        <w:t xml:space="preserve">a </w:t>
      </w:r>
      <w:r w:rsidRPr="00F62144">
        <w:rPr>
          <w:rFonts w:ascii="Calibri" w:hAnsi="Calibri"/>
          <w:sz w:val="22"/>
          <w:szCs w:val="22"/>
        </w:rPr>
        <w:t>free, and user-friendly Federal website from which you can make secure electronic payments direct</w:t>
      </w:r>
      <w:r w:rsidR="00204C5A">
        <w:rPr>
          <w:rFonts w:ascii="Calibri" w:hAnsi="Calibri"/>
          <w:sz w:val="22"/>
          <w:szCs w:val="22"/>
        </w:rPr>
        <w:t>ly</w:t>
      </w:r>
      <w:r w:rsidRPr="00F62144">
        <w:rPr>
          <w:rFonts w:ascii="Calibri" w:hAnsi="Calibri"/>
          <w:sz w:val="22"/>
          <w:szCs w:val="22"/>
        </w:rPr>
        <w:t xml:space="preserve"> to many Federal Agencies, including PBGC. </w:t>
      </w:r>
      <w:r w:rsidRPr="00F62144">
        <w:rPr>
          <w:rFonts w:ascii="Calibri" w:hAnsi="Calibri"/>
          <w:sz w:val="22"/>
          <w:szCs w:val="22"/>
          <w:lang w:eastAsia="en-US"/>
        </w:rPr>
        <w:t xml:space="preserve"> We recommend using </w:t>
      </w:r>
      <w:r w:rsidR="00995DB8" w:rsidRPr="00F62144">
        <w:rPr>
          <w:rFonts w:ascii="Calibri" w:hAnsi="Calibri"/>
          <w:sz w:val="22"/>
          <w:szCs w:val="22"/>
          <w:lang w:eastAsia="en-US"/>
        </w:rPr>
        <w:t>P</w:t>
      </w:r>
      <w:r w:rsidRPr="00F62144">
        <w:rPr>
          <w:rFonts w:ascii="Calibri" w:hAnsi="Calibri"/>
          <w:sz w:val="22"/>
          <w:szCs w:val="22"/>
          <w:lang w:eastAsia="en-US"/>
        </w:rPr>
        <w:t xml:space="preserve">ay.gov to </w:t>
      </w:r>
      <w:r w:rsidRPr="00F62144">
        <w:rPr>
          <w:rFonts w:ascii="Calibri" w:hAnsi="Calibri"/>
          <w:sz w:val="22"/>
          <w:szCs w:val="22"/>
        </w:rPr>
        <w:t xml:space="preserve">minimize the potential for errors (e.g., incorrect account numbers).  </w:t>
      </w:r>
    </w:p>
    <w:p w14:paraId="56FC8392" w14:textId="77777777" w:rsidR="000728A7" w:rsidRDefault="000A347A" w:rsidP="00471C5D">
      <w:pPr>
        <w:autoSpaceDE w:val="0"/>
        <w:autoSpaceDN w:val="0"/>
        <w:spacing w:before="120"/>
        <w:rPr>
          <w:rFonts w:ascii="Calibri" w:hAnsi="Calibri"/>
          <w:sz w:val="22"/>
          <w:szCs w:val="22"/>
        </w:rPr>
      </w:pPr>
      <w:r>
        <w:rPr>
          <w:rFonts w:ascii="Calibri" w:hAnsi="Calibri"/>
          <w:sz w:val="22"/>
          <w:szCs w:val="22"/>
        </w:rPr>
        <w:t>Note re: debit blocks - If you are sending payment electronically, be sure</w:t>
      </w:r>
      <w:r w:rsidR="009E1E1F">
        <w:rPr>
          <w:rFonts w:ascii="Calibri" w:hAnsi="Calibri"/>
          <w:sz w:val="22"/>
          <w:szCs w:val="22"/>
        </w:rPr>
        <w:t xml:space="preserve"> to provide the PBGC Company ID to your financial institution </w:t>
      </w:r>
      <w:r w:rsidR="009E1E1F" w:rsidRPr="007A170C">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 A </w:t>
      </w:r>
      <w:r w:rsidR="000728A7">
        <w:rPr>
          <w:rFonts w:ascii="Calibri" w:hAnsi="Calibri"/>
          <w:sz w:val="22"/>
          <w:szCs w:val="22"/>
        </w:rPr>
        <w:t>d</w:t>
      </w:r>
      <w:r w:rsidR="00924257">
        <w:rPr>
          <w:rFonts w:ascii="Calibri" w:hAnsi="Calibri"/>
          <w:sz w:val="22"/>
          <w:szCs w:val="22"/>
        </w:rPr>
        <w:t xml:space="preserve">ebit </w:t>
      </w:r>
      <w:r w:rsidR="000728A7">
        <w:rPr>
          <w:rFonts w:ascii="Calibri" w:hAnsi="Calibri"/>
          <w:sz w:val="22"/>
          <w:szCs w:val="22"/>
        </w:rPr>
        <w:t>b</w:t>
      </w:r>
      <w:r w:rsidR="00924257">
        <w:rPr>
          <w:rFonts w:ascii="Calibri" w:hAnsi="Calibri"/>
          <w:sz w:val="22"/>
          <w:szCs w:val="22"/>
        </w:rPr>
        <w:t>lock is the most common reason for failed ACH payments, and the most common reason late p</w:t>
      </w:r>
      <w:r w:rsidR="000728A7">
        <w:rPr>
          <w:rFonts w:ascii="Calibri" w:hAnsi="Calibri"/>
          <w:sz w:val="22"/>
          <w:szCs w:val="22"/>
        </w:rPr>
        <w:t>remium p</w:t>
      </w:r>
      <w:r w:rsidR="00924257">
        <w:rPr>
          <w:rFonts w:ascii="Calibri" w:hAnsi="Calibri"/>
          <w:sz w:val="22"/>
          <w:szCs w:val="22"/>
        </w:rPr>
        <w:t>ayment</w:t>
      </w:r>
      <w:r w:rsidR="000728A7">
        <w:rPr>
          <w:rFonts w:ascii="Calibri" w:hAnsi="Calibri"/>
          <w:sz w:val="22"/>
          <w:szCs w:val="22"/>
        </w:rPr>
        <w:t xml:space="preserve"> penalties are assessed.</w:t>
      </w:r>
      <w:r w:rsidR="00924257">
        <w:rPr>
          <w:rFonts w:ascii="Calibri" w:hAnsi="Calibri"/>
          <w:sz w:val="22"/>
          <w:szCs w:val="22"/>
        </w:rPr>
        <w:t xml:space="preserve"> </w:t>
      </w:r>
      <w:r w:rsidR="009E1E1F">
        <w:rPr>
          <w:rFonts w:ascii="Calibri" w:hAnsi="Calibri"/>
          <w:sz w:val="22"/>
          <w:szCs w:val="22"/>
        </w:rPr>
        <w:t xml:space="preserve">  </w:t>
      </w:r>
    </w:p>
    <w:p w14:paraId="3050601E" w14:textId="77777777" w:rsidR="000A347A" w:rsidRDefault="00924257" w:rsidP="00471C5D">
      <w:pPr>
        <w:autoSpaceDE w:val="0"/>
        <w:autoSpaceDN w:val="0"/>
        <w:spacing w:before="120"/>
        <w:rPr>
          <w:rFonts w:ascii="Calibri" w:hAnsi="Calibri"/>
          <w:sz w:val="22"/>
          <w:szCs w:val="22"/>
        </w:rPr>
      </w:pPr>
      <w:r>
        <w:rPr>
          <w:rFonts w:ascii="Calibri" w:hAnsi="Calibri"/>
          <w:sz w:val="22"/>
          <w:szCs w:val="22"/>
        </w:rPr>
        <w:t>Currently, PBGC has two Company ID numbers, one for payments made within My PAA, and one for payments made outside of My PAA. Please refer to the payment instructions in My PAA or on PBGC.</w:t>
      </w:r>
      <w:r w:rsidR="009927EA">
        <w:rPr>
          <w:rFonts w:ascii="Calibri" w:hAnsi="Calibri"/>
          <w:sz w:val="22"/>
          <w:szCs w:val="22"/>
        </w:rPr>
        <w:t>gov</w:t>
      </w:r>
      <w:r>
        <w:rPr>
          <w:rFonts w:ascii="Calibri" w:hAnsi="Calibri"/>
          <w:sz w:val="22"/>
          <w:szCs w:val="22"/>
        </w:rPr>
        <w:t xml:space="preserve"> for up to date information.</w:t>
      </w:r>
    </w:p>
    <w:p w14:paraId="16841DD7" w14:textId="77777777" w:rsidR="00CC358F" w:rsidRPr="00F62144" w:rsidRDefault="00471C5D" w:rsidP="00204C5A">
      <w:pPr>
        <w:autoSpaceDE w:val="0"/>
        <w:autoSpaceDN w:val="0"/>
        <w:spacing w:before="120"/>
        <w:rPr>
          <w:rFonts w:asciiTheme="minorHAnsi" w:hAnsiTheme="minorHAnsi"/>
          <w:sz w:val="22"/>
          <w:szCs w:val="22"/>
        </w:rPr>
      </w:pPr>
      <w:r w:rsidRPr="00F62144">
        <w:rPr>
          <w:rFonts w:ascii="Calibri" w:hAnsi="Calibri"/>
          <w:sz w:val="22"/>
          <w:szCs w:val="22"/>
          <w:lang w:eastAsia="en-US"/>
        </w:rPr>
        <w:t xml:space="preserve">Additional information on payment options is included in </w:t>
      </w:r>
      <w:hyperlink w:anchor="b11" w:history="1">
        <w:r w:rsidRPr="0097696D">
          <w:rPr>
            <w:rStyle w:val="Hyperlink"/>
            <w:rFonts w:ascii="Calibri" w:hAnsi="Calibri"/>
            <w:sz w:val="22"/>
            <w:szCs w:val="22"/>
            <w:lang w:eastAsia="en-US"/>
          </w:rPr>
          <w:t>Appendix 3</w:t>
        </w:r>
      </w:hyperlink>
      <w:r w:rsidRPr="00F62144">
        <w:rPr>
          <w:rFonts w:ascii="Calibri" w:hAnsi="Calibri"/>
          <w:sz w:val="22"/>
          <w:szCs w:val="22"/>
          <w:lang w:eastAsia="en-US"/>
        </w:rPr>
        <w:t>.</w:t>
      </w:r>
    </w:p>
    <w:p w14:paraId="65798AC2" w14:textId="77777777" w:rsidR="00CC358F" w:rsidRPr="00F62144" w:rsidRDefault="00CC358F" w:rsidP="00F12837">
      <w:pPr>
        <w:autoSpaceDE w:val="0"/>
        <w:autoSpaceDN w:val="0"/>
        <w:adjustRightInd w:val="0"/>
        <w:spacing w:before="120"/>
        <w:rPr>
          <w:rFonts w:asciiTheme="minorHAnsi" w:hAnsiTheme="minorHAnsi"/>
          <w:b/>
          <w:bCs/>
          <w:sz w:val="22"/>
          <w:szCs w:val="22"/>
        </w:rPr>
        <w:sectPr w:rsidR="00CC358F" w:rsidRPr="00F62144" w:rsidSect="005C4FCB">
          <w:headerReference w:type="even" r:id="rId74"/>
          <w:headerReference w:type="default" r:id="rId75"/>
          <w:headerReference w:type="first" r:id="rId76"/>
          <w:pgSz w:w="12240" w:h="15840" w:code="1"/>
          <w:pgMar w:top="1440" w:right="1080" w:bottom="1440" w:left="1080" w:header="720" w:footer="720" w:gutter="0"/>
          <w:cols w:space="720"/>
          <w:noEndnote/>
        </w:sectPr>
      </w:pPr>
    </w:p>
    <w:p w14:paraId="02CD2386"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13" w:name="b4"/>
      <w:bookmarkStart w:id="14" w:name="b7"/>
      <w:bookmarkStart w:id="15" w:name="toc9"/>
      <w:bookmarkEnd w:id="13"/>
      <w:bookmarkEnd w:id="14"/>
      <w:bookmarkEnd w:id="15"/>
      <w:r w:rsidRPr="00F62144">
        <w:rPr>
          <w:rFonts w:asciiTheme="minorHAnsi" w:hAnsiTheme="minorHAnsi"/>
          <w:b/>
          <w:bCs/>
          <w:sz w:val="22"/>
          <w:szCs w:val="22"/>
        </w:rPr>
        <w:t>General</w:t>
      </w:r>
    </w:p>
    <w:p w14:paraId="12D88680"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Plan participants must be counted because Flat-rate Premiums</w:t>
      </w:r>
      <w:r w:rsidR="00C153E6" w:rsidRPr="00F62144">
        <w:rPr>
          <w:rFonts w:asciiTheme="minorHAnsi" w:hAnsiTheme="minorHAnsi"/>
          <w:bCs/>
          <w:sz w:val="22"/>
          <w:szCs w:val="22"/>
        </w:rPr>
        <w:t xml:space="preserve"> are</w:t>
      </w:r>
      <w:r w:rsidRPr="00F62144">
        <w:rPr>
          <w:rFonts w:asciiTheme="minorHAnsi" w:hAnsiTheme="minorHAnsi"/>
          <w:bCs/>
          <w:sz w:val="22"/>
          <w:szCs w:val="22"/>
        </w:rPr>
        <w:t xml:space="preserve"> based on the number of participants</w:t>
      </w:r>
      <w:r w:rsidR="00C454AC" w:rsidRPr="00F62144">
        <w:rPr>
          <w:rFonts w:asciiTheme="minorHAnsi" w:hAnsiTheme="minorHAnsi"/>
          <w:bCs/>
          <w:sz w:val="22"/>
          <w:szCs w:val="22"/>
        </w:rPr>
        <w:t xml:space="preserve">, as </w:t>
      </w:r>
      <w:r w:rsidR="00C153E6" w:rsidRPr="00F62144">
        <w:rPr>
          <w:rFonts w:asciiTheme="minorHAnsi" w:hAnsiTheme="minorHAnsi"/>
          <w:bCs/>
          <w:sz w:val="22"/>
          <w:szCs w:val="22"/>
        </w:rPr>
        <w:t xml:space="preserve">are both </w:t>
      </w:r>
      <w:r w:rsidR="00C454AC" w:rsidRPr="00F62144">
        <w:rPr>
          <w:rFonts w:asciiTheme="minorHAnsi" w:hAnsiTheme="minorHAnsi"/>
          <w:bCs/>
          <w:sz w:val="22"/>
          <w:szCs w:val="22"/>
        </w:rPr>
        <w:t>cap</w:t>
      </w:r>
      <w:r w:rsidR="00C153E6" w:rsidRPr="00F62144">
        <w:rPr>
          <w:rFonts w:asciiTheme="minorHAnsi" w:hAnsiTheme="minorHAnsi"/>
          <w:bCs/>
          <w:sz w:val="22"/>
          <w:szCs w:val="22"/>
        </w:rPr>
        <w:t xml:space="preserve">s on </w:t>
      </w:r>
      <w:r w:rsidR="008F3AAF" w:rsidRPr="00F62144">
        <w:rPr>
          <w:rFonts w:asciiTheme="minorHAnsi" w:hAnsiTheme="minorHAnsi"/>
          <w:bCs/>
          <w:sz w:val="22"/>
          <w:szCs w:val="22"/>
        </w:rPr>
        <w:t xml:space="preserve">the </w:t>
      </w:r>
      <w:r w:rsidR="00C153E6" w:rsidRPr="00F62144">
        <w:rPr>
          <w:rFonts w:asciiTheme="minorHAnsi" w:hAnsiTheme="minorHAnsi"/>
          <w:bCs/>
          <w:sz w:val="22"/>
          <w:szCs w:val="22"/>
        </w:rPr>
        <w:t>Variable-rate Premium (MAP-21 Cap and Small Employer Cap)</w:t>
      </w:r>
      <w:r w:rsidR="00AA1894" w:rsidRPr="00F62144">
        <w:rPr>
          <w:rFonts w:asciiTheme="minorHAnsi" w:hAnsiTheme="minorHAnsi"/>
          <w:bCs/>
          <w:sz w:val="22"/>
          <w:szCs w:val="22"/>
        </w:rPr>
        <w:t xml:space="preserve">. </w:t>
      </w:r>
      <w:r w:rsidRPr="00F62144">
        <w:rPr>
          <w:rFonts w:asciiTheme="minorHAnsi" w:hAnsiTheme="minorHAnsi"/>
          <w:bCs/>
          <w:sz w:val="22"/>
          <w:szCs w:val="22"/>
        </w:rPr>
        <w:t>In addition, the number of participants affects whe</w:t>
      </w:r>
      <w:r w:rsidR="00C454AC" w:rsidRPr="00F62144">
        <w:rPr>
          <w:rFonts w:asciiTheme="minorHAnsi" w:hAnsiTheme="minorHAnsi"/>
          <w:bCs/>
          <w:sz w:val="22"/>
          <w:szCs w:val="22"/>
        </w:rPr>
        <w:t>ther variable</w:t>
      </w:r>
      <w:r w:rsidR="00C454AC" w:rsidRPr="00F62144">
        <w:rPr>
          <w:rFonts w:asciiTheme="minorHAnsi" w:hAnsiTheme="minorHAnsi"/>
          <w:bCs/>
          <w:sz w:val="22"/>
          <w:szCs w:val="22"/>
        </w:rPr>
        <w:noBreakHyphen/>
        <w:t xml:space="preserve">rate premiums are based on current or prior </w:t>
      </w:r>
      <w:r w:rsidR="00AA1894" w:rsidRPr="00F62144">
        <w:rPr>
          <w:rFonts w:asciiTheme="minorHAnsi" w:hAnsiTheme="minorHAnsi"/>
          <w:bCs/>
          <w:sz w:val="22"/>
          <w:szCs w:val="22"/>
        </w:rPr>
        <w:t xml:space="preserve">(i.e., “lookback”) </w:t>
      </w:r>
      <w:r w:rsidR="00C454AC" w:rsidRPr="00F62144">
        <w:rPr>
          <w:rFonts w:asciiTheme="minorHAnsi" w:hAnsiTheme="minorHAnsi"/>
          <w:bCs/>
          <w:sz w:val="22"/>
          <w:szCs w:val="22"/>
        </w:rPr>
        <w:t>year measurements</w:t>
      </w:r>
      <w:r w:rsidR="00C153E6" w:rsidRPr="00F62144">
        <w:rPr>
          <w:rFonts w:asciiTheme="minorHAnsi" w:hAnsiTheme="minorHAnsi"/>
          <w:bCs/>
          <w:sz w:val="22"/>
          <w:szCs w:val="22"/>
        </w:rPr>
        <w:t xml:space="preserve">. </w:t>
      </w:r>
      <w:r w:rsidRPr="00F62144">
        <w:rPr>
          <w:rFonts w:asciiTheme="minorHAnsi" w:hAnsiTheme="minorHAnsi"/>
          <w:bCs/>
          <w:sz w:val="22"/>
          <w:szCs w:val="22"/>
        </w:rPr>
        <w:t>The date on which participants are counted is called the “Participant Count Date.</w:t>
      </w:r>
      <w:r w:rsidR="00392B9E" w:rsidRPr="00F62144">
        <w:rPr>
          <w:rFonts w:asciiTheme="minorHAnsi" w:hAnsiTheme="minorHAnsi"/>
          <w:bCs/>
          <w:sz w:val="22"/>
          <w:szCs w:val="22"/>
        </w:rPr>
        <w:t>”</w:t>
      </w:r>
      <w:r w:rsidRPr="00F62144">
        <w:rPr>
          <w:rFonts w:asciiTheme="minorHAnsi" w:hAnsiTheme="minorHAnsi"/>
          <w:b/>
          <w:bCs/>
          <w:sz w:val="22"/>
          <w:szCs w:val="22"/>
        </w:rPr>
        <w:t xml:space="preserve"> </w:t>
      </w:r>
    </w:p>
    <w:p w14:paraId="17ACA689" w14:textId="77777777" w:rsidR="00C153E6" w:rsidRPr="00F62144" w:rsidRDefault="00C153E6" w:rsidP="00F12837">
      <w:pPr>
        <w:autoSpaceDE w:val="0"/>
        <w:autoSpaceDN w:val="0"/>
        <w:adjustRightInd w:val="0"/>
        <w:spacing w:before="120"/>
        <w:rPr>
          <w:rFonts w:asciiTheme="minorHAnsi" w:hAnsiTheme="minorHAnsi"/>
          <w:b/>
          <w:bCs/>
          <w:sz w:val="22"/>
          <w:szCs w:val="22"/>
        </w:rPr>
      </w:pPr>
    </w:p>
    <w:p w14:paraId="557D8B91"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Participant Count Date</w:t>
      </w:r>
    </w:p>
    <w:p w14:paraId="4C60238D"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The Participant Count Date is the last day of the plan year preceding the Premium Payment Year</w:t>
      </w:r>
      <w:r w:rsidRPr="00F62144">
        <w:rPr>
          <w:rFonts w:asciiTheme="minorHAnsi" w:hAnsiTheme="minorHAnsi"/>
          <w:sz w:val="22"/>
          <w:szCs w:val="22"/>
        </w:rPr>
        <w:t xml:space="preserve"> except as follows: </w:t>
      </w:r>
      <w:r w:rsidR="00754553" w:rsidRPr="00F62144">
        <w:rPr>
          <w:rFonts w:asciiTheme="minorHAnsi" w:hAnsiTheme="minorHAnsi"/>
          <w:sz w:val="22"/>
          <w:szCs w:val="22"/>
        </w:rPr>
        <w:t xml:space="preserve"> </w:t>
      </w:r>
    </w:p>
    <w:p w14:paraId="1F40A4F4" w14:textId="77777777" w:rsidR="00F12837" w:rsidRPr="00F62144" w:rsidRDefault="00F12837" w:rsidP="00023A8E">
      <w:pPr>
        <w:numPr>
          <w:ilvl w:val="0"/>
          <w:numId w:val="12"/>
        </w:numPr>
        <w:tabs>
          <w:tab w:val="clear" w:pos="720"/>
          <w:tab w:val="num" w:pos="360"/>
        </w:tabs>
        <w:spacing w:before="120"/>
        <w:ind w:left="360"/>
        <w:rPr>
          <w:rFonts w:asciiTheme="minorHAnsi" w:hAnsiTheme="minorHAnsi"/>
          <w:sz w:val="22"/>
          <w:szCs w:val="22"/>
        </w:rPr>
      </w:pPr>
      <w:r w:rsidRPr="00F62144">
        <w:rPr>
          <w:rFonts w:asciiTheme="minorHAnsi" w:hAnsiTheme="minorHAnsi"/>
          <w:sz w:val="22"/>
          <w:szCs w:val="22"/>
        </w:rPr>
        <w:t>If the plan is a New Plan, the Participant Count Date is the first day of the Premium Payment Year (</w:t>
      </w:r>
      <w:r w:rsidRPr="00F62144">
        <w:rPr>
          <w:rFonts w:asciiTheme="minorHAnsi" w:hAnsiTheme="minorHAnsi"/>
          <w:i/>
          <w:sz w:val="22"/>
          <w:szCs w:val="22"/>
        </w:rPr>
        <w:t>i.e.</w:t>
      </w:r>
      <w:r w:rsidRPr="00F62144">
        <w:rPr>
          <w:rFonts w:asciiTheme="minorHAnsi" w:hAnsiTheme="minorHAnsi"/>
          <w:sz w:val="22"/>
          <w:szCs w:val="22"/>
        </w:rPr>
        <w:t xml:space="preserve">, the effective date). </w:t>
      </w:r>
    </w:p>
    <w:p w14:paraId="0E04D81F" w14:textId="77777777" w:rsidR="00C153E6"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the plan is a</w:t>
      </w:r>
      <w:r w:rsidRPr="00F62144">
        <w:rPr>
          <w:rFonts w:asciiTheme="minorHAnsi" w:hAnsiTheme="minorHAnsi"/>
          <w:i/>
          <w:sz w:val="22"/>
          <w:szCs w:val="22"/>
        </w:rPr>
        <w:t xml:space="preserve"> </w:t>
      </w:r>
      <w:r w:rsidRPr="00F62144">
        <w:rPr>
          <w:rFonts w:asciiTheme="minorHAnsi" w:hAnsiTheme="minorHAnsi"/>
          <w:sz w:val="22"/>
          <w:szCs w:val="22"/>
        </w:rPr>
        <w:t>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w:t>
      </w:r>
      <w:r w:rsidRPr="00F62144">
        <w:rPr>
          <w:rFonts w:asciiTheme="minorHAnsi" w:hAnsiTheme="minorHAnsi"/>
          <w:i/>
          <w:sz w:val="22"/>
          <w:szCs w:val="22"/>
        </w:rPr>
        <w:t>,</w:t>
      </w:r>
      <w:r w:rsidRPr="00F62144">
        <w:rPr>
          <w:rFonts w:asciiTheme="minorHAnsi" w:hAnsiTheme="minorHAnsi"/>
          <w:sz w:val="22"/>
          <w:szCs w:val="22"/>
        </w:rPr>
        <w:t xml:space="preserve"> the Participant Count Date is the first day of the Premium Payment Year</w:t>
      </w:r>
      <w:r w:rsidRPr="00F62144">
        <w:rPr>
          <w:rFonts w:asciiTheme="minorHAnsi" w:hAnsiTheme="minorHAnsi"/>
          <w:i/>
          <w:sz w:val="22"/>
          <w:szCs w:val="22"/>
        </w:rPr>
        <w:t xml:space="preserve">. </w:t>
      </w:r>
      <w:r w:rsidRPr="00F62144">
        <w:rPr>
          <w:rFonts w:asciiTheme="minorHAnsi" w:hAnsiTheme="minorHAnsi"/>
          <w:sz w:val="22"/>
          <w:szCs w:val="22"/>
        </w:rPr>
        <w:t xml:space="preserve">This is the case even if the plan </w:t>
      </w:r>
      <w:r w:rsidR="003548C9" w:rsidRPr="00F62144">
        <w:rPr>
          <w:rFonts w:asciiTheme="minorHAnsi" w:hAnsiTheme="minorHAnsi"/>
          <w:sz w:val="22"/>
          <w:szCs w:val="22"/>
        </w:rPr>
        <w:t>wasn’t</w:t>
      </w:r>
      <w:r w:rsidR="00C153E6" w:rsidRPr="00F62144">
        <w:rPr>
          <w:rFonts w:asciiTheme="minorHAnsi" w:hAnsiTheme="minorHAnsi"/>
          <w:sz w:val="22"/>
          <w:szCs w:val="22"/>
        </w:rPr>
        <w:t xml:space="preserve"> c</w:t>
      </w:r>
      <w:r w:rsidRPr="00F62144">
        <w:rPr>
          <w:rFonts w:asciiTheme="minorHAnsi" w:hAnsiTheme="minorHAnsi"/>
          <w:sz w:val="22"/>
          <w:szCs w:val="22"/>
        </w:rPr>
        <w:t>overed under ERISA section 4021</w:t>
      </w:r>
      <w:r w:rsidR="00C153E6" w:rsidRPr="00F62144">
        <w:rPr>
          <w:rFonts w:asciiTheme="minorHAnsi" w:hAnsiTheme="minorHAnsi"/>
          <w:sz w:val="22"/>
          <w:szCs w:val="22"/>
        </w:rPr>
        <w:t xml:space="preserve"> </w:t>
      </w:r>
      <w:r w:rsidR="003548C9" w:rsidRPr="00F62144">
        <w:rPr>
          <w:rFonts w:asciiTheme="minorHAnsi" w:hAnsiTheme="minorHAnsi"/>
          <w:sz w:val="22"/>
          <w:szCs w:val="22"/>
        </w:rPr>
        <w:t>on that date</w:t>
      </w:r>
      <w:r w:rsidR="00C153E6" w:rsidRPr="00F62144">
        <w:rPr>
          <w:rFonts w:asciiTheme="minorHAnsi" w:hAnsiTheme="minorHAnsi"/>
          <w:sz w:val="22"/>
          <w:szCs w:val="22"/>
        </w:rPr>
        <w:t>.</w:t>
      </w:r>
    </w:p>
    <w:p w14:paraId="6AE3C891" w14:textId="77777777" w:rsidR="00F12837" w:rsidRPr="00F62144" w:rsidRDefault="00F12837" w:rsidP="00023A8E">
      <w:pPr>
        <w:numPr>
          <w:ilvl w:val="0"/>
          <w:numId w:val="12"/>
        </w:numPr>
        <w:tabs>
          <w:tab w:val="clear" w:pos="720"/>
          <w:tab w:val="num" w:pos="360"/>
        </w:tabs>
        <w:spacing w:before="120"/>
        <w:ind w:left="360"/>
        <w:rPr>
          <w:rFonts w:asciiTheme="minorHAnsi" w:hAnsiTheme="minorHAnsi"/>
          <w:sz w:val="22"/>
          <w:szCs w:val="22"/>
        </w:rPr>
      </w:pPr>
      <w:r w:rsidRPr="00F62144">
        <w:rPr>
          <w:rFonts w:asciiTheme="minorHAnsi" w:hAnsiTheme="minorHAnsi"/>
          <w:sz w:val="22"/>
          <w:szCs w:val="22"/>
        </w:rPr>
        <w:t xml:space="preserve">If the plan is the </w:t>
      </w:r>
      <w:r w:rsidR="00BF1922">
        <w:rPr>
          <w:rFonts w:asciiTheme="minorHAnsi" w:hAnsiTheme="minorHAnsi"/>
          <w:sz w:val="22"/>
          <w:szCs w:val="22"/>
        </w:rPr>
        <w:t>Transferee Plan</w:t>
      </w:r>
      <w:r w:rsidRPr="00F62144">
        <w:rPr>
          <w:rFonts w:asciiTheme="minorHAnsi" w:hAnsiTheme="minorHAnsi"/>
          <w:sz w:val="22"/>
          <w:szCs w:val="22"/>
        </w:rPr>
        <w:t xml:space="preserve"> in a Merger </w:t>
      </w:r>
      <w:r w:rsidR="00C153E6" w:rsidRPr="00F62144">
        <w:rPr>
          <w:rFonts w:asciiTheme="minorHAnsi" w:hAnsiTheme="minorHAnsi"/>
          <w:sz w:val="22"/>
          <w:szCs w:val="22"/>
        </w:rPr>
        <w:t xml:space="preserve">(i.e., the continuing plan) </w:t>
      </w:r>
      <w:r w:rsidRPr="00F62144">
        <w:rPr>
          <w:rFonts w:asciiTheme="minorHAnsi" w:hAnsiTheme="minorHAnsi"/>
          <w:sz w:val="22"/>
          <w:szCs w:val="22"/>
        </w:rPr>
        <w:t xml:space="preserve">or the </w:t>
      </w:r>
      <w:r w:rsidR="00BF1922">
        <w:rPr>
          <w:rFonts w:asciiTheme="minorHAnsi" w:hAnsiTheme="minorHAnsi"/>
          <w:sz w:val="22"/>
          <w:szCs w:val="22"/>
        </w:rPr>
        <w:t>Transferor Plan</w:t>
      </w:r>
      <w:r w:rsidRPr="00F62144">
        <w:rPr>
          <w:rFonts w:asciiTheme="minorHAnsi" w:hAnsiTheme="minorHAnsi"/>
          <w:sz w:val="22"/>
          <w:szCs w:val="22"/>
        </w:rPr>
        <w:t xml:space="preserve"> in a Spinoff and the transaction meets the conditions described below, the Participant Count Date is the first day of the Premium Payment Year. A plan Merger or Spinoff is covered by this rule if:</w:t>
      </w:r>
    </w:p>
    <w:p w14:paraId="3F92626E" w14:textId="77777777" w:rsidR="00F12837" w:rsidRPr="00F62144" w:rsidRDefault="00F12837" w:rsidP="00023A8E">
      <w:pPr>
        <w:numPr>
          <w:ilvl w:val="0"/>
          <w:numId w:val="22"/>
        </w:numPr>
        <w:tabs>
          <w:tab w:val="clear" w:pos="144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a Merger is effective on the first day of the </w:t>
      </w:r>
      <w:r w:rsidR="00BF1922">
        <w:rPr>
          <w:rFonts w:asciiTheme="minorHAnsi" w:hAnsiTheme="minorHAnsi"/>
          <w:sz w:val="22"/>
          <w:szCs w:val="22"/>
        </w:rPr>
        <w:t>Transferee Plan</w:t>
      </w:r>
      <w:r w:rsidRPr="00F62144">
        <w:rPr>
          <w:rFonts w:asciiTheme="minorHAnsi" w:hAnsiTheme="minorHAnsi"/>
          <w:sz w:val="22"/>
          <w:szCs w:val="22"/>
        </w:rPr>
        <w:t xml:space="preserve">’s </w:t>
      </w:r>
      <w:r w:rsidR="00C153E6" w:rsidRPr="00F62144">
        <w:rPr>
          <w:rFonts w:asciiTheme="minorHAnsi" w:hAnsiTheme="minorHAnsi"/>
          <w:sz w:val="22"/>
          <w:szCs w:val="22"/>
        </w:rPr>
        <w:t>premium payment</w:t>
      </w:r>
      <w:r w:rsidRPr="00F62144">
        <w:rPr>
          <w:rFonts w:asciiTheme="minorHAnsi" w:hAnsiTheme="minorHAnsi"/>
          <w:sz w:val="22"/>
          <w:szCs w:val="22"/>
        </w:rPr>
        <w:t xml:space="preserve"> year, or a Spinoff is effective on the first day of the </w:t>
      </w:r>
      <w:r w:rsidR="00BF1922">
        <w:rPr>
          <w:rFonts w:asciiTheme="minorHAnsi" w:hAnsiTheme="minorHAnsi"/>
          <w:sz w:val="22"/>
          <w:szCs w:val="22"/>
        </w:rPr>
        <w:t>Transferor Plan</w:t>
      </w:r>
      <w:r w:rsidRPr="00F62144">
        <w:rPr>
          <w:rFonts w:asciiTheme="minorHAnsi" w:hAnsiTheme="minorHAnsi"/>
          <w:sz w:val="22"/>
          <w:szCs w:val="22"/>
        </w:rPr>
        <w:t xml:space="preserve">’s </w:t>
      </w:r>
      <w:r w:rsidR="00C153E6" w:rsidRPr="00F62144">
        <w:rPr>
          <w:rFonts w:asciiTheme="minorHAnsi" w:hAnsiTheme="minorHAnsi"/>
          <w:sz w:val="22"/>
          <w:szCs w:val="22"/>
        </w:rPr>
        <w:t xml:space="preserve">premium payment </w:t>
      </w:r>
      <w:r w:rsidRPr="00F62144">
        <w:rPr>
          <w:rFonts w:asciiTheme="minorHAnsi" w:hAnsiTheme="minorHAnsi"/>
          <w:sz w:val="22"/>
          <w:szCs w:val="22"/>
        </w:rPr>
        <w:t>year, and</w:t>
      </w:r>
    </w:p>
    <w:p w14:paraId="6DD6E442" w14:textId="77777777" w:rsidR="00F12837" w:rsidRPr="00F62144" w:rsidRDefault="00F12837" w:rsidP="00023A8E">
      <w:pPr>
        <w:numPr>
          <w:ilvl w:val="0"/>
          <w:numId w:val="22"/>
        </w:numPr>
        <w:tabs>
          <w:tab w:val="clear" w:pos="144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Merger or Spinoff is not </w:t>
      </w:r>
      <w:r w:rsidRPr="00F62144">
        <w:rPr>
          <w:rFonts w:asciiTheme="minorHAnsi" w:hAnsiTheme="minorHAnsi"/>
          <w:i/>
          <w:iCs/>
          <w:sz w:val="22"/>
          <w:szCs w:val="22"/>
        </w:rPr>
        <w:t>de minimis</w:t>
      </w:r>
      <w:r w:rsidRPr="00F62144">
        <w:rPr>
          <w:rFonts w:asciiTheme="minorHAnsi" w:hAnsiTheme="minorHAnsi"/>
          <w:sz w:val="22"/>
          <w:szCs w:val="22"/>
        </w:rPr>
        <w:t>, as defined in the regulations under section 414(</w:t>
      </w:r>
      <w:r w:rsidR="002711F5" w:rsidRPr="00F62144">
        <w:rPr>
          <w:rFonts w:asciiTheme="minorHAnsi" w:hAnsiTheme="minorHAnsi"/>
          <w:i/>
          <w:iCs/>
          <w:sz w:val="22"/>
          <w:szCs w:val="22"/>
        </w:rPr>
        <w:t>l</w:t>
      </w:r>
      <w:r w:rsidRPr="00F62144">
        <w:rPr>
          <w:rFonts w:asciiTheme="minorHAnsi" w:hAnsiTheme="minorHAnsi"/>
          <w:sz w:val="22"/>
          <w:szCs w:val="22"/>
        </w:rPr>
        <w:t>) of the Code with respect to Single-employer Plans, or in PBGC’s regulation under ERISA section 4231 (29 CFR Part 4231) with respect to Multiemployer Plans.</w:t>
      </w:r>
    </w:p>
    <w:p w14:paraId="67FFB10F" w14:textId="77777777" w:rsidR="00114D8E"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following examples illustrate the determination of the Participant Count Date. </w:t>
      </w:r>
    </w:p>
    <w:p w14:paraId="57387AA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An ongoing plan changes its plan year from a calendar year to a plan year that begins June 1, effective June 1, </w:t>
      </w:r>
      <w:r w:rsidR="00AE348E">
        <w:rPr>
          <w:rFonts w:asciiTheme="minorHAnsi" w:hAnsiTheme="minorHAnsi"/>
          <w:sz w:val="22"/>
          <w:szCs w:val="22"/>
        </w:rPr>
        <w:t>2018</w:t>
      </w:r>
      <w:r w:rsidRPr="00F62144">
        <w:rPr>
          <w:rFonts w:asciiTheme="minorHAnsi" w:hAnsiTheme="minorHAnsi"/>
          <w:sz w:val="22"/>
          <w:szCs w:val="22"/>
        </w:rPr>
        <w:t>. The Participant Count Date for the:</w:t>
      </w:r>
    </w:p>
    <w:p w14:paraId="2CC6D361"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January 1, </w:t>
      </w:r>
      <w:r w:rsidR="00AE348E">
        <w:rPr>
          <w:rFonts w:asciiTheme="minorHAnsi" w:hAnsiTheme="minorHAnsi"/>
          <w:sz w:val="22"/>
          <w:szCs w:val="22"/>
        </w:rPr>
        <w:t>2018</w:t>
      </w:r>
      <w:r w:rsidR="007F0956" w:rsidRPr="00F62144">
        <w:rPr>
          <w:rFonts w:asciiTheme="minorHAnsi" w:hAnsiTheme="minorHAnsi"/>
          <w:sz w:val="22"/>
          <w:szCs w:val="22"/>
        </w:rPr>
        <w:t xml:space="preserve"> </w:t>
      </w:r>
      <w:r w:rsidRPr="00F62144">
        <w:rPr>
          <w:rFonts w:asciiTheme="minorHAnsi" w:hAnsiTheme="minorHAnsi"/>
          <w:sz w:val="22"/>
          <w:szCs w:val="22"/>
        </w:rPr>
        <w:t xml:space="preserve">– May 31, </w:t>
      </w:r>
      <w:r w:rsidR="00AE348E">
        <w:rPr>
          <w:rFonts w:asciiTheme="minorHAnsi" w:hAnsiTheme="minorHAnsi"/>
          <w:sz w:val="22"/>
          <w:szCs w:val="22"/>
        </w:rPr>
        <w:t>2018</w:t>
      </w:r>
      <w:r w:rsidR="007F0956" w:rsidRPr="00F62144">
        <w:rPr>
          <w:rFonts w:asciiTheme="minorHAnsi" w:hAnsiTheme="minorHAnsi"/>
          <w:sz w:val="22"/>
          <w:szCs w:val="22"/>
        </w:rPr>
        <w:t xml:space="preserve"> </w:t>
      </w:r>
      <w:r w:rsidRPr="00F62144">
        <w:rPr>
          <w:rFonts w:asciiTheme="minorHAnsi" w:hAnsiTheme="minorHAnsi"/>
          <w:sz w:val="22"/>
          <w:szCs w:val="22"/>
        </w:rPr>
        <w:t xml:space="preserve">plan year is December 31, </w:t>
      </w:r>
      <w:r w:rsidR="00AE348E">
        <w:rPr>
          <w:rFonts w:asciiTheme="minorHAnsi" w:hAnsiTheme="minorHAnsi"/>
          <w:sz w:val="22"/>
          <w:szCs w:val="22"/>
        </w:rPr>
        <w:t>2017</w:t>
      </w:r>
      <w:r w:rsidRPr="00F62144">
        <w:rPr>
          <w:rFonts w:asciiTheme="minorHAnsi" w:hAnsiTheme="minorHAnsi"/>
          <w:sz w:val="22"/>
          <w:szCs w:val="22"/>
        </w:rPr>
        <w:t xml:space="preserve">, </w:t>
      </w:r>
    </w:p>
    <w:p w14:paraId="62A8013C"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June 1, </w:t>
      </w:r>
      <w:r w:rsidR="00AE348E">
        <w:rPr>
          <w:rFonts w:asciiTheme="minorHAnsi" w:hAnsiTheme="minorHAnsi"/>
          <w:sz w:val="22"/>
          <w:szCs w:val="22"/>
        </w:rPr>
        <w:t>2018</w:t>
      </w:r>
      <w:r w:rsidR="007F0956" w:rsidRPr="00F62144">
        <w:rPr>
          <w:rFonts w:asciiTheme="minorHAnsi" w:hAnsiTheme="minorHAnsi"/>
          <w:sz w:val="22"/>
          <w:szCs w:val="22"/>
        </w:rPr>
        <w:t xml:space="preserve"> </w:t>
      </w:r>
      <w:r w:rsidRPr="00F62144">
        <w:rPr>
          <w:rFonts w:asciiTheme="minorHAnsi" w:hAnsiTheme="minorHAnsi"/>
          <w:sz w:val="22"/>
          <w:szCs w:val="22"/>
        </w:rPr>
        <w:t xml:space="preserve">– May 31, </w:t>
      </w:r>
      <w:r w:rsidR="00AE348E">
        <w:rPr>
          <w:rFonts w:asciiTheme="minorHAnsi" w:hAnsiTheme="minorHAnsi"/>
          <w:sz w:val="22"/>
          <w:szCs w:val="22"/>
        </w:rPr>
        <w:t>2019</w:t>
      </w:r>
      <w:r w:rsidR="007F0956" w:rsidRPr="00F62144">
        <w:rPr>
          <w:rFonts w:asciiTheme="minorHAnsi" w:hAnsiTheme="minorHAnsi"/>
          <w:sz w:val="22"/>
          <w:szCs w:val="22"/>
        </w:rPr>
        <w:t xml:space="preserve"> </w:t>
      </w:r>
      <w:r w:rsidRPr="00F62144">
        <w:rPr>
          <w:rFonts w:asciiTheme="minorHAnsi" w:hAnsiTheme="minorHAnsi"/>
          <w:sz w:val="22"/>
          <w:szCs w:val="22"/>
        </w:rPr>
        <w:t xml:space="preserve">plan year is May 31, </w:t>
      </w:r>
      <w:r w:rsidR="00AE348E">
        <w:rPr>
          <w:rFonts w:asciiTheme="minorHAnsi" w:hAnsiTheme="minorHAnsi"/>
          <w:sz w:val="22"/>
          <w:szCs w:val="22"/>
        </w:rPr>
        <w:t>2018</w:t>
      </w:r>
      <w:r w:rsidRPr="00F62144">
        <w:rPr>
          <w:rFonts w:asciiTheme="minorHAnsi" w:hAnsiTheme="minorHAnsi"/>
          <w:sz w:val="22"/>
          <w:szCs w:val="22"/>
        </w:rPr>
        <w:t>.</w:t>
      </w:r>
    </w:p>
    <w:p w14:paraId="62444232"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new calendar-year plan is adopted February 18, </w:t>
      </w:r>
      <w:r w:rsidR="00AE348E">
        <w:rPr>
          <w:rFonts w:asciiTheme="minorHAnsi" w:hAnsiTheme="minorHAnsi"/>
          <w:sz w:val="22"/>
          <w:szCs w:val="22"/>
        </w:rPr>
        <w:t>2018</w:t>
      </w:r>
      <w:r w:rsidRPr="00F62144">
        <w:rPr>
          <w:rFonts w:asciiTheme="minorHAnsi" w:hAnsiTheme="minorHAnsi"/>
          <w:sz w:val="22"/>
          <w:szCs w:val="22"/>
        </w:rPr>
        <w:t xml:space="preserve">, retroactively effective as of January 1, </w:t>
      </w:r>
      <w:r w:rsidR="00AE348E">
        <w:rPr>
          <w:rFonts w:asciiTheme="minorHAnsi" w:hAnsiTheme="minorHAnsi"/>
          <w:sz w:val="22"/>
          <w:szCs w:val="22"/>
        </w:rPr>
        <w:t>2018</w:t>
      </w:r>
      <w:r w:rsidRPr="00F62144">
        <w:rPr>
          <w:rFonts w:asciiTheme="minorHAnsi" w:hAnsiTheme="minorHAnsi"/>
          <w:sz w:val="22"/>
          <w:szCs w:val="22"/>
        </w:rPr>
        <w:t>. The Participant Count Date is January 1,</w:t>
      </w:r>
      <w:r w:rsidR="00365BC0" w:rsidRPr="00F62144">
        <w:rPr>
          <w:rFonts w:asciiTheme="minorHAnsi" w:hAnsiTheme="minorHAnsi"/>
          <w:sz w:val="22"/>
          <w:szCs w:val="22"/>
        </w:rPr>
        <w:t xml:space="preserve"> </w:t>
      </w:r>
      <w:r w:rsidR="00AE348E">
        <w:rPr>
          <w:rFonts w:asciiTheme="minorHAnsi" w:hAnsiTheme="minorHAnsi"/>
          <w:sz w:val="22"/>
          <w:szCs w:val="22"/>
        </w:rPr>
        <w:t>2018</w:t>
      </w:r>
      <w:r w:rsidRPr="00F62144">
        <w:rPr>
          <w:rFonts w:asciiTheme="minorHAnsi" w:hAnsiTheme="minorHAnsi"/>
          <w:sz w:val="22"/>
          <w:szCs w:val="22"/>
        </w:rPr>
        <w:t>.</w:t>
      </w:r>
    </w:p>
    <w:p w14:paraId="6FAC6B7A"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3</w:t>
      </w:r>
      <w:r w:rsidRPr="00F62144">
        <w:rPr>
          <w:rFonts w:asciiTheme="minorHAnsi" w:hAnsiTheme="minorHAnsi"/>
          <w:sz w:val="22"/>
          <w:szCs w:val="22"/>
        </w:rPr>
        <w:t xml:space="preserve"> – A new calendar-year plan is adopted January 1, </w:t>
      </w:r>
      <w:r w:rsidR="00AE348E">
        <w:rPr>
          <w:rFonts w:asciiTheme="minorHAnsi" w:hAnsiTheme="minorHAnsi"/>
          <w:sz w:val="22"/>
          <w:szCs w:val="22"/>
        </w:rPr>
        <w:t>2018</w:t>
      </w:r>
      <w:r w:rsidRPr="00F62144">
        <w:rPr>
          <w:rFonts w:asciiTheme="minorHAnsi" w:hAnsiTheme="minorHAnsi"/>
          <w:sz w:val="22"/>
          <w:szCs w:val="22"/>
        </w:rPr>
        <w:t xml:space="preserve">, effective April 1, </w:t>
      </w:r>
      <w:r w:rsidR="00AE348E">
        <w:rPr>
          <w:rFonts w:asciiTheme="minorHAnsi" w:hAnsiTheme="minorHAnsi"/>
          <w:sz w:val="22"/>
          <w:szCs w:val="22"/>
        </w:rPr>
        <w:t>2018</w:t>
      </w:r>
      <w:r w:rsidRPr="00F62144">
        <w:rPr>
          <w:rFonts w:asciiTheme="minorHAnsi" w:hAnsiTheme="minorHAnsi"/>
          <w:sz w:val="22"/>
          <w:szCs w:val="22"/>
        </w:rPr>
        <w:t xml:space="preserve">. The Participant Count Date is April 1, </w:t>
      </w:r>
      <w:r w:rsidR="00AE348E">
        <w:rPr>
          <w:rFonts w:asciiTheme="minorHAnsi" w:hAnsiTheme="minorHAnsi"/>
          <w:sz w:val="22"/>
          <w:szCs w:val="22"/>
        </w:rPr>
        <w:t>2018</w:t>
      </w:r>
      <w:r w:rsidRPr="00F62144">
        <w:rPr>
          <w:rFonts w:asciiTheme="minorHAnsi" w:hAnsiTheme="minorHAnsi"/>
          <w:sz w:val="22"/>
          <w:szCs w:val="22"/>
        </w:rPr>
        <w:t>.</w:t>
      </w:r>
    </w:p>
    <w:p w14:paraId="44A41610" w14:textId="77777777"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062753">
        <w:rPr>
          <w:rFonts w:asciiTheme="minorHAnsi" w:hAnsiTheme="minorHAnsi"/>
          <w:i/>
          <w:sz w:val="22"/>
          <w:szCs w:val="22"/>
        </w:rPr>
        <w:t>4</w:t>
      </w:r>
      <w:r w:rsidRPr="00F62144">
        <w:rPr>
          <w:rFonts w:asciiTheme="minorHAnsi" w:hAnsiTheme="minorHAnsi"/>
          <w:sz w:val="22"/>
          <w:szCs w:val="22"/>
        </w:rPr>
        <w:t xml:space="preserve"> – A calendar-year plan that was not </w:t>
      </w:r>
      <w:r w:rsidR="00400A9D" w:rsidRPr="00F62144">
        <w:rPr>
          <w:rFonts w:asciiTheme="minorHAnsi" w:hAnsiTheme="minorHAnsi"/>
          <w:sz w:val="22"/>
          <w:szCs w:val="22"/>
        </w:rPr>
        <w:t xml:space="preserve">a </w:t>
      </w:r>
      <w:r w:rsidRPr="00F62144">
        <w:rPr>
          <w:rFonts w:asciiTheme="minorHAnsi" w:hAnsiTheme="minorHAnsi"/>
          <w:sz w:val="22"/>
          <w:szCs w:val="22"/>
        </w:rPr>
        <w:t xml:space="preserve">covered plan under ERISA section 4021 becomes covered on May 31, </w:t>
      </w:r>
      <w:r w:rsidR="00AE348E">
        <w:rPr>
          <w:rFonts w:asciiTheme="minorHAnsi" w:hAnsiTheme="minorHAnsi"/>
          <w:sz w:val="22"/>
          <w:szCs w:val="22"/>
        </w:rPr>
        <w:t>2018</w:t>
      </w:r>
      <w:r w:rsidRPr="00F62144">
        <w:rPr>
          <w:rFonts w:asciiTheme="minorHAnsi" w:hAnsiTheme="minorHAnsi"/>
          <w:sz w:val="22"/>
          <w:szCs w:val="22"/>
        </w:rPr>
        <w:t xml:space="preserve">. The first day of the Premium Payment Year is January 1, </w:t>
      </w:r>
      <w:r w:rsidR="00AE348E">
        <w:rPr>
          <w:rFonts w:asciiTheme="minorHAnsi" w:hAnsiTheme="minorHAnsi"/>
          <w:sz w:val="22"/>
          <w:szCs w:val="22"/>
        </w:rPr>
        <w:t>2018</w:t>
      </w:r>
      <w:r w:rsidRPr="00F62144">
        <w:rPr>
          <w:rFonts w:asciiTheme="minorHAnsi" w:hAnsiTheme="minorHAnsi"/>
          <w:sz w:val="22"/>
          <w:szCs w:val="22"/>
        </w:rPr>
        <w:t xml:space="preserve">, and the Participant Count Date is January 1, </w:t>
      </w:r>
      <w:r w:rsidR="00AE348E">
        <w:rPr>
          <w:rFonts w:asciiTheme="minorHAnsi" w:hAnsiTheme="minorHAnsi"/>
          <w:sz w:val="22"/>
          <w:szCs w:val="22"/>
        </w:rPr>
        <w:t>2018</w:t>
      </w:r>
      <w:r w:rsidRPr="00F62144">
        <w:rPr>
          <w:rFonts w:asciiTheme="minorHAnsi" w:hAnsiTheme="minorHAnsi"/>
          <w:sz w:val="22"/>
          <w:szCs w:val="22"/>
        </w:rPr>
        <w:t>.</w:t>
      </w:r>
    </w:p>
    <w:p w14:paraId="65EF4FA2" w14:textId="77777777" w:rsidR="00EB7B4D" w:rsidRDefault="00EB7B4D" w:rsidP="00EB7B4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 w:history="1">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the Participant Count Date.</w:t>
      </w:r>
    </w:p>
    <w:p w14:paraId="28CEE24E" w14:textId="77777777" w:rsidR="00062753" w:rsidRPr="00F62144" w:rsidRDefault="00062753" w:rsidP="00F12837">
      <w:pPr>
        <w:autoSpaceDE w:val="0"/>
        <w:autoSpaceDN w:val="0"/>
        <w:adjustRightInd w:val="0"/>
        <w:spacing w:before="120"/>
        <w:rPr>
          <w:rFonts w:asciiTheme="minorHAnsi" w:hAnsiTheme="minorHAnsi"/>
          <w:sz w:val="22"/>
          <w:szCs w:val="22"/>
        </w:rPr>
      </w:pPr>
    </w:p>
    <w:p w14:paraId="23CC85C2" w14:textId="77777777" w:rsidR="00062753" w:rsidRDefault="00062753">
      <w:pPr>
        <w:rPr>
          <w:rFonts w:asciiTheme="minorHAnsi" w:hAnsiTheme="minorHAnsi"/>
          <w:bCs/>
          <w:i/>
          <w:sz w:val="22"/>
          <w:szCs w:val="22"/>
        </w:rPr>
      </w:pPr>
      <w:r>
        <w:rPr>
          <w:rFonts w:asciiTheme="minorHAnsi" w:hAnsiTheme="minorHAnsi"/>
          <w:bCs/>
          <w:i/>
          <w:sz w:val="22"/>
          <w:szCs w:val="22"/>
        </w:rPr>
        <w:br w:type="page"/>
      </w:r>
    </w:p>
    <w:p w14:paraId="78341886"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Participant</w:t>
      </w:r>
    </w:p>
    <w:p w14:paraId="019DBD9A"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“participant” means an individual (whether active, inactive, retired, or deceased) with respect to whom the plan has Benefit Liabilities</w:t>
      </w:r>
      <w:r w:rsidR="00AA1894" w:rsidRPr="00F62144">
        <w:rPr>
          <w:rFonts w:asciiTheme="minorHAnsi" w:hAnsiTheme="minorHAnsi"/>
          <w:sz w:val="22"/>
          <w:szCs w:val="22"/>
        </w:rPr>
        <w:t xml:space="preserve"> as of the Participant Count Date</w:t>
      </w:r>
      <w:r w:rsidRPr="00F62144">
        <w:rPr>
          <w:rFonts w:asciiTheme="minorHAnsi" w:hAnsiTheme="minorHAnsi"/>
          <w:sz w:val="22"/>
          <w:szCs w:val="22"/>
        </w:rPr>
        <w:t>. Beneficiaries and alternate payees are not counted as participants. However, a deceased participant will continue to be counted as a participant if there are one or more beneficiaries or alternate payees who are receiving or have a right to receive benefits earned by the participant.</w:t>
      </w:r>
    </w:p>
    <w:p w14:paraId="1B7F663C"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An individual is not counted as a participant after all Benefit Liabilities with respect to the individual are distributed through the purchase of irrevocable commitments from an insurer or otherwise. In addition, a non-vested individual is not counted as a participant after:</w:t>
      </w:r>
    </w:p>
    <w:p w14:paraId="0181C280"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14:paraId="6A0F580A"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14:paraId="69B16E48"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14:paraId="56E0AA67" w14:textId="77777777" w:rsidR="00F12837" w:rsidRPr="00F62144" w:rsidRDefault="00F12837" w:rsidP="00F12837">
      <w:pPr>
        <w:autoSpaceDE w:val="0"/>
        <w:autoSpaceDN w:val="0"/>
        <w:adjustRightInd w:val="0"/>
        <w:spacing w:before="120"/>
        <w:rPr>
          <w:rFonts w:asciiTheme="minorHAnsi" w:hAnsiTheme="minorHAnsi"/>
          <w:b/>
          <w:iCs/>
          <w:sz w:val="22"/>
          <w:szCs w:val="22"/>
        </w:rPr>
      </w:pPr>
    </w:p>
    <w:p w14:paraId="03F620FD" w14:textId="77777777" w:rsidR="00F12837" w:rsidRPr="00F62144" w:rsidRDefault="00F12837" w:rsidP="00F1283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14:paraId="145C4F2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participants are deemed to be cashed out as of the date specified in the deemed cashout provision or, if no date is specified, as of the employment termination date. If the plan provides that zero benefit amounts will be deemed to be paid as soon as possible, terminated non-vested participants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14:paraId="345511FD"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005E7028" w:rsidRPr="00F62144">
        <w:rPr>
          <w:rFonts w:asciiTheme="minorHAnsi" w:hAnsiTheme="minorHAnsi"/>
          <w:sz w:val="22"/>
          <w:szCs w:val="22"/>
        </w:rPr>
        <w:t xml:space="preserve"> $5,000 or</w:t>
      </w:r>
      <w:r w:rsidRPr="00F62144">
        <w:rPr>
          <w:rFonts w:asciiTheme="minorHAnsi" w:hAnsiTheme="minorHAnsi"/>
          <w:sz w:val="22"/>
          <w:szCs w:val="22"/>
        </w:rPr>
        <w:t xml:space="preserve"> less), terminated non-vested participants are deemed to be cashed out in the same manner as terminated vested participants. If the plan is silent as to the timing of actual cashouts of terminated vested participants, the plan is deemed to read “as soon as practicable” and the terminated non-vested participants are deemed to be cashed out immediately upon termination of employment. If the plan specifies a date as of which actual cashouts of terminated vested participants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participants. These rules do not apply if, despite plan language, the plan has an obvious pattern or practice of delaying distributions for long periods. </w:t>
      </w:r>
    </w:p>
    <w:p w14:paraId="3E9FDEB1" w14:textId="77777777" w:rsidR="00114D8E" w:rsidRPr="00F62144" w:rsidRDefault="00114D8E">
      <w:pPr>
        <w:rPr>
          <w:rFonts w:asciiTheme="minorHAnsi" w:hAnsiTheme="minorHAnsi"/>
          <w:i/>
          <w:sz w:val="22"/>
          <w:szCs w:val="22"/>
        </w:rPr>
      </w:pPr>
    </w:p>
    <w:p w14:paraId="162F0698"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participant terminates employment and the participant’s vested benefit has a value of $5,000</w:t>
      </w:r>
      <w:r w:rsidR="005E7028" w:rsidRPr="00F62144">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participant in a lump sum as of the first of the month following termination of employment. Suppose further that no plan provisions specifically address payment of benefits upon termination of employment by non-vested participants. If a participant with a non-vested accrued benefit terminates employment on December 15, </w:t>
      </w:r>
      <w:r w:rsidR="00AE348E">
        <w:rPr>
          <w:rFonts w:asciiTheme="minorHAnsi" w:hAnsiTheme="minorHAnsi"/>
          <w:sz w:val="22"/>
          <w:szCs w:val="22"/>
        </w:rPr>
        <w:t>2017</w:t>
      </w:r>
      <w:r w:rsidRPr="00F62144">
        <w:rPr>
          <w:rFonts w:asciiTheme="minorHAnsi" w:hAnsiTheme="minorHAnsi"/>
          <w:sz w:val="22"/>
          <w:szCs w:val="22"/>
        </w:rPr>
        <w:t xml:space="preserve">, the participant will be included in the Participant Count as of December 31, </w:t>
      </w:r>
      <w:r w:rsidR="00AE348E">
        <w:rPr>
          <w:rFonts w:asciiTheme="minorHAnsi" w:hAnsiTheme="minorHAnsi"/>
          <w:sz w:val="22"/>
          <w:szCs w:val="22"/>
        </w:rPr>
        <w:t>2017</w:t>
      </w:r>
      <w:r w:rsidR="007F0956" w:rsidRPr="00F62144">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AE348E">
        <w:rPr>
          <w:rFonts w:asciiTheme="minorHAnsi" w:hAnsiTheme="minorHAnsi"/>
          <w:sz w:val="22"/>
          <w:szCs w:val="22"/>
        </w:rPr>
        <w:t>2018</w:t>
      </w:r>
      <w:r w:rsidRPr="00F62144">
        <w:rPr>
          <w:rFonts w:asciiTheme="minorHAnsi" w:hAnsiTheme="minorHAnsi"/>
          <w:sz w:val="22"/>
          <w:szCs w:val="22"/>
        </w:rPr>
        <w:t xml:space="preserve">, the first of the month following termination of employment). If, as is typically the case for a calendar-year plan, the plan’s Participant Count Date for </w:t>
      </w:r>
      <w:r w:rsidR="00AE348E">
        <w:rPr>
          <w:rFonts w:asciiTheme="minorHAnsi" w:hAnsiTheme="minorHAnsi"/>
          <w:sz w:val="22"/>
          <w:szCs w:val="22"/>
        </w:rPr>
        <w:t>2018</w:t>
      </w:r>
      <w:r w:rsidR="007F0956" w:rsidRPr="00F62144">
        <w:rPr>
          <w:rFonts w:asciiTheme="minorHAnsi" w:hAnsiTheme="minorHAnsi"/>
          <w:sz w:val="22"/>
          <w:szCs w:val="22"/>
        </w:rPr>
        <w:t xml:space="preserve"> </w:t>
      </w:r>
      <w:r w:rsidRPr="00F62144">
        <w:rPr>
          <w:rFonts w:asciiTheme="minorHAnsi" w:hAnsiTheme="minorHAnsi"/>
          <w:sz w:val="22"/>
          <w:szCs w:val="22"/>
        </w:rPr>
        <w:t xml:space="preserve">is December 31, </w:t>
      </w:r>
      <w:r w:rsidR="00AE348E">
        <w:rPr>
          <w:rFonts w:asciiTheme="minorHAnsi" w:hAnsiTheme="minorHAnsi"/>
          <w:sz w:val="22"/>
          <w:szCs w:val="22"/>
        </w:rPr>
        <w:t>2017</w:t>
      </w:r>
      <w:r w:rsidRPr="00F62144">
        <w:rPr>
          <w:rFonts w:asciiTheme="minorHAnsi" w:hAnsiTheme="minorHAnsi"/>
          <w:sz w:val="22"/>
          <w:szCs w:val="22"/>
        </w:rPr>
        <w:t xml:space="preserve">, a Flat-rate Premium must be paid for this participant for </w:t>
      </w:r>
      <w:r w:rsidR="00AE348E">
        <w:rPr>
          <w:rFonts w:asciiTheme="minorHAnsi" w:hAnsiTheme="minorHAnsi"/>
          <w:sz w:val="22"/>
          <w:szCs w:val="22"/>
        </w:rPr>
        <w:t>2018</w:t>
      </w:r>
      <w:r w:rsidRPr="00F62144">
        <w:rPr>
          <w:rFonts w:asciiTheme="minorHAnsi" w:hAnsiTheme="minorHAnsi"/>
          <w:sz w:val="22"/>
          <w:szCs w:val="22"/>
        </w:rPr>
        <w:t xml:space="preserve">. </w:t>
      </w:r>
    </w:p>
    <w:p w14:paraId="251CA3FA" w14:textId="77777777" w:rsidR="00F12837" w:rsidRPr="00F62144" w:rsidRDefault="00F12837" w:rsidP="00F12837">
      <w:pPr>
        <w:autoSpaceDE w:val="0"/>
        <w:autoSpaceDN w:val="0"/>
        <w:adjustRightInd w:val="0"/>
        <w:spacing w:before="120"/>
        <w:rPr>
          <w:rFonts w:asciiTheme="minorHAnsi" w:hAnsiTheme="minorHAnsi"/>
          <w:i/>
          <w:iCs/>
          <w:sz w:val="22"/>
          <w:szCs w:val="22"/>
        </w:rPr>
      </w:pPr>
    </w:p>
    <w:p w14:paraId="56CB6E7B" w14:textId="77777777" w:rsidR="00EB7B4D" w:rsidRDefault="00EB7B4D">
      <w:pPr>
        <w:rPr>
          <w:rFonts w:asciiTheme="minorHAnsi" w:hAnsiTheme="minorHAnsi"/>
          <w:b/>
          <w:iCs/>
          <w:sz w:val="22"/>
          <w:szCs w:val="22"/>
        </w:rPr>
      </w:pPr>
      <w:r>
        <w:rPr>
          <w:rFonts w:asciiTheme="minorHAnsi" w:hAnsiTheme="minorHAnsi"/>
          <w:b/>
          <w:iCs/>
          <w:sz w:val="22"/>
          <w:szCs w:val="22"/>
        </w:rPr>
        <w:br w:type="page"/>
      </w:r>
    </w:p>
    <w:p w14:paraId="555A5B85" w14:textId="77777777" w:rsidR="00F12837" w:rsidRPr="00F62144" w:rsidRDefault="00F12837" w:rsidP="00F1283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00BB23D7" w:rsidRPr="00F62144">
        <w:rPr>
          <w:rFonts w:asciiTheme="minorHAnsi" w:hAnsiTheme="minorHAnsi"/>
          <w:b/>
          <w:iCs/>
          <w:sz w:val="22"/>
          <w:szCs w:val="22"/>
        </w:rPr>
        <w:t>Service</w:t>
      </w:r>
    </w:p>
    <w:p w14:paraId="0675DA4E"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participant for premium purposes when the individual incurs a one-year break in service under the plan. </w:t>
      </w:r>
    </w:p>
    <w:p w14:paraId="7244A5C5" w14:textId="77777777" w:rsidR="00F12837" w:rsidRPr="00F62144" w:rsidRDefault="008F3AAF"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00F12837" w:rsidRPr="00F62144">
        <w:rPr>
          <w:rFonts w:asciiTheme="minorHAnsi" w:hAnsiTheme="minorHAnsi"/>
          <w:sz w:val="22"/>
          <w:szCs w:val="22"/>
        </w:rPr>
        <w:t xml:space="preserve">f the break in service occurs in a service computation period that coincides with the plan year </w:t>
      </w:r>
      <w:r w:rsidR="00F12837" w:rsidRPr="00F62144">
        <w:rPr>
          <w:rFonts w:asciiTheme="minorHAnsi" w:hAnsiTheme="minorHAnsi"/>
          <w:sz w:val="22"/>
          <w:szCs w:val="22"/>
          <w:u w:val="single"/>
        </w:rPr>
        <w:t>preceding</w:t>
      </w:r>
      <w:r w:rsidR="00F12837" w:rsidRPr="00F62144">
        <w:rPr>
          <w:rFonts w:asciiTheme="minorHAnsi" w:hAnsiTheme="minorHAnsi"/>
          <w:sz w:val="22"/>
          <w:szCs w:val="22"/>
        </w:rPr>
        <w:t xml:space="preserve"> the Premium Payment Year, we treat the individual as </w:t>
      </w:r>
      <w:r w:rsidR="00F12837" w:rsidRPr="00F62144">
        <w:rPr>
          <w:rFonts w:asciiTheme="minorHAnsi" w:hAnsiTheme="minorHAnsi"/>
          <w:sz w:val="22"/>
          <w:szCs w:val="22"/>
          <w:u w:val="single"/>
        </w:rPr>
        <w:t>not</w:t>
      </w:r>
      <w:r w:rsidR="00F12837" w:rsidRPr="00F62144">
        <w:rPr>
          <w:rFonts w:asciiTheme="minorHAnsi" w:hAnsiTheme="minorHAnsi"/>
          <w:sz w:val="22"/>
          <w:szCs w:val="22"/>
        </w:rPr>
        <w:t xml:space="preserve"> being a participant for purposes of determining the premium for the Premium Payment Year.</w:t>
      </w:r>
    </w:p>
    <w:p w14:paraId="4E9862B0"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participant who performs 500 or fewer hours of service in a service computation period incurs a one-year break in service as of the last day of the computation period. The plan also provides that the annual service computation period begins on the anniversary of a participant’s date of hire. Consider an employee who was hired on December 1, </w:t>
      </w:r>
      <w:r w:rsidR="00365D8B" w:rsidRPr="00F62144">
        <w:rPr>
          <w:rFonts w:asciiTheme="minorHAnsi" w:hAnsiTheme="minorHAnsi"/>
          <w:sz w:val="22"/>
          <w:szCs w:val="22"/>
        </w:rPr>
        <w:t>201</w:t>
      </w:r>
      <w:r w:rsidR="00365D8B">
        <w:rPr>
          <w:rFonts w:asciiTheme="minorHAnsi" w:hAnsiTheme="minorHAnsi"/>
          <w:sz w:val="22"/>
          <w:szCs w:val="22"/>
        </w:rPr>
        <w:t>1</w:t>
      </w:r>
      <w:r w:rsidRPr="00F62144">
        <w:rPr>
          <w:rFonts w:asciiTheme="minorHAnsi" w:hAnsiTheme="minorHAnsi"/>
          <w:sz w:val="22"/>
          <w:szCs w:val="22"/>
        </w:rPr>
        <w:t xml:space="preserve">, and terminates employment on February 1, </w:t>
      </w:r>
      <w:r w:rsidR="00AE348E">
        <w:rPr>
          <w:rFonts w:asciiTheme="minorHAnsi" w:hAnsiTheme="minorHAnsi"/>
          <w:sz w:val="22"/>
          <w:szCs w:val="22"/>
        </w:rPr>
        <w:t>2017</w:t>
      </w:r>
      <w:r w:rsidRPr="00F62144">
        <w:rPr>
          <w:rFonts w:asciiTheme="minorHAnsi" w:hAnsiTheme="minorHAnsi"/>
          <w:sz w:val="22"/>
          <w:szCs w:val="22"/>
        </w:rPr>
        <w:t xml:space="preserve">. Further assume that this participant does not perform more than 500 hours of service during the December 1, </w:t>
      </w:r>
      <w:r w:rsidR="00AE348E">
        <w:rPr>
          <w:rFonts w:asciiTheme="minorHAnsi" w:hAnsiTheme="minorHAnsi"/>
          <w:sz w:val="22"/>
          <w:szCs w:val="22"/>
        </w:rPr>
        <w:t>2015</w:t>
      </w:r>
      <w:r w:rsidR="00365D8B" w:rsidRPr="00F62144">
        <w:rPr>
          <w:rFonts w:asciiTheme="minorHAnsi" w:hAnsiTheme="minorHAnsi"/>
          <w:sz w:val="22"/>
          <w:szCs w:val="22"/>
        </w:rPr>
        <w:t xml:space="preserve"> </w:t>
      </w:r>
      <w:r w:rsidRPr="00F62144">
        <w:rPr>
          <w:rFonts w:asciiTheme="minorHAnsi" w:hAnsiTheme="minorHAnsi"/>
          <w:sz w:val="22"/>
          <w:szCs w:val="22"/>
        </w:rPr>
        <w:t xml:space="preserve">– November 30, </w:t>
      </w:r>
      <w:r w:rsidR="00AE348E">
        <w:rPr>
          <w:rFonts w:asciiTheme="minorHAnsi" w:hAnsiTheme="minorHAnsi"/>
          <w:sz w:val="22"/>
          <w:szCs w:val="22"/>
        </w:rPr>
        <w:t>2017</w:t>
      </w:r>
      <w:r w:rsidR="00365D8B" w:rsidRPr="00F62144">
        <w:rPr>
          <w:rFonts w:asciiTheme="minorHAnsi" w:hAnsiTheme="minorHAnsi"/>
          <w:sz w:val="22"/>
          <w:szCs w:val="22"/>
        </w:rPr>
        <w:t xml:space="preserve"> </w:t>
      </w:r>
      <w:r w:rsidRPr="00F62144">
        <w:rPr>
          <w:rFonts w:asciiTheme="minorHAnsi" w:hAnsiTheme="minorHAnsi"/>
          <w:sz w:val="22"/>
          <w:szCs w:val="22"/>
        </w:rPr>
        <w:t xml:space="preserve">computation period. This participant incurs a one-year break in service on November 30, </w:t>
      </w:r>
      <w:r w:rsidR="00AE348E">
        <w:rPr>
          <w:rFonts w:asciiTheme="minorHAnsi" w:hAnsiTheme="minorHAnsi"/>
          <w:sz w:val="22"/>
          <w:szCs w:val="22"/>
        </w:rPr>
        <w:t>2017</w:t>
      </w:r>
      <w:r w:rsidRPr="00F62144">
        <w:rPr>
          <w:rFonts w:asciiTheme="minorHAnsi" w:hAnsiTheme="minorHAnsi"/>
          <w:sz w:val="22"/>
          <w:szCs w:val="22"/>
        </w:rPr>
        <w:t xml:space="preserve">. Since the break occurred before December 31, </w:t>
      </w:r>
      <w:r w:rsidR="00AE348E">
        <w:rPr>
          <w:rFonts w:asciiTheme="minorHAnsi" w:hAnsiTheme="minorHAnsi"/>
          <w:sz w:val="22"/>
          <w:szCs w:val="22"/>
        </w:rPr>
        <w:t>2017</w:t>
      </w:r>
      <w:r w:rsidR="00365D8B" w:rsidRPr="00F62144">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AE348E">
        <w:rPr>
          <w:rFonts w:asciiTheme="minorHAnsi" w:hAnsiTheme="minorHAnsi"/>
          <w:sz w:val="22"/>
          <w:szCs w:val="22"/>
        </w:rPr>
        <w:t>2018</w:t>
      </w:r>
      <w:r w:rsidR="00365D8B" w:rsidRPr="00F62144">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AE348E">
        <w:rPr>
          <w:rFonts w:asciiTheme="minorHAnsi" w:hAnsiTheme="minorHAnsi"/>
          <w:sz w:val="22"/>
          <w:szCs w:val="22"/>
        </w:rPr>
        <w:t>2018</w:t>
      </w:r>
      <w:r w:rsidRPr="00F62144">
        <w:rPr>
          <w:rFonts w:asciiTheme="minorHAnsi" w:hAnsiTheme="minorHAnsi"/>
          <w:sz w:val="22"/>
          <w:szCs w:val="22"/>
        </w:rPr>
        <w:t>.</w:t>
      </w:r>
    </w:p>
    <w:p w14:paraId="470ED7F9"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participant who performs 500 or fewer hours of service in a service computation period incurs a one-year break in service as of the last day of the computation period. The plan also provides that the annual service computation period is the calendar year.</w:t>
      </w:r>
      <w:r w:rsidR="008D115A" w:rsidRPr="00F62144">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AE348E">
        <w:rPr>
          <w:rFonts w:asciiTheme="minorHAnsi" w:hAnsiTheme="minorHAnsi"/>
          <w:sz w:val="22"/>
          <w:szCs w:val="22"/>
        </w:rPr>
        <w:t>2017</w:t>
      </w:r>
      <w:r w:rsidR="00365D8B" w:rsidRPr="00F62144">
        <w:rPr>
          <w:rFonts w:asciiTheme="minorHAnsi" w:hAnsiTheme="minorHAnsi"/>
          <w:sz w:val="22"/>
          <w:szCs w:val="22"/>
        </w:rPr>
        <w:t xml:space="preserve"> </w:t>
      </w:r>
      <w:r w:rsidRPr="00F62144">
        <w:rPr>
          <w:rFonts w:asciiTheme="minorHAnsi" w:hAnsiTheme="minorHAnsi"/>
          <w:sz w:val="22"/>
          <w:szCs w:val="22"/>
        </w:rPr>
        <w:t xml:space="preserve">calendar-year computation period. This participant incurs a one-year break in service on December 31, </w:t>
      </w:r>
      <w:r w:rsidR="00AE348E">
        <w:rPr>
          <w:rFonts w:asciiTheme="minorHAnsi" w:hAnsiTheme="minorHAnsi"/>
          <w:sz w:val="22"/>
          <w:szCs w:val="22"/>
        </w:rPr>
        <w:t>2017</w:t>
      </w:r>
      <w:r w:rsidRPr="00F62144">
        <w:rPr>
          <w:rFonts w:asciiTheme="minorHAnsi" w:hAnsiTheme="minorHAnsi"/>
          <w:sz w:val="22"/>
          <w:szCs w:val="22"/>
        </w:rPr>
        <w:t xml:space="preserve">. Although the break occurs on the Participant Count Date for the </w:t>
      </w:r>
      <w:r w:rsidR="00AE348E">
        <w:rPr>
          <w:rFonts w:asciiTheme="minorHAnsi" w:hAnsiTheme="minorHAnsi"/>
          <w:sz w:val="22"/>
          <w:szCs w:val="22"/>
        </w:rPr>
        <w:t>2018</w:t>
      </w:r>
      <w:r w:rsidR="00365D8B" w:rsidRPr="00F62144">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AE348E">
        <w:rPr>
          <w:rFonts w:asciiTheme="minorHAnsi" w:hAnsiTheme="minorHAnsi"/>
          <w:sz w:val="22"/>
          <w:szCs w:val="22"/>
        </w:rPr>
        <w:t>2018</w:t>
      </w:r>
      <w:r w:rsidRPr="00F62144">
        <w:rPr>
          <w:rFonts w:asciiTheme="minorHAnsi" w:hAnsiTheme="minorHAnsi"/>
          <w:sz w:val="22"/>
          <w:szCs w:val="22"/>
        </w:rPr>
        <w:t>.</w:t>
      </w:r>
    </w:p>
    <w:p w14:paraId="1F8043BA" w14:textId="77777777" w:rsidR="00F12837" w:rsidRPr="00F62144" w:rsidRDefault="00F12837" w:rsidP="00F12837">
      <w:pPr>
        <w:spacing w:before="120"/>
        <w:jc w:val="center"/>
        <w:rPr>
          <w:rFonts w:asciiTheme="minorHAnsi" w:hAnsiTheme="minorHAnsi"/>
          <w:sz w:val="22"/>
          <w:szCs w:val="22"/>
        </w:rPr>
      </w:pPr>
    </w:p>
    <w:p w14:paraId="16B2E900" w14:textId="77777777" w:rsidR="00F12837" w:rsidRPr="00F62144" w:rsidRDefault="00F12837" w:rsidP="00F12837">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14:paraId="68A161D7"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Participant Count for the Premium Payment Year and the number of participants reported for item</w:t>
      </w:r>
      <w:r w:rsidR="008F3AAF" w:rsidRPr="00F62144">
        <w:rPr>
          <w:rFonts w:asciiTheme="minorHAnsi" w:hAnsiTheme="minorHAnsi"/>
          <w:sz w:val="22"/>
          <w:szCs w:val="22"/>
        </w:rPr>
        <w:t> </w:t>
      </w:r>
      <w:r w:rsidR="00722DA4" w:rsidRPr="00F62144">
        <w:rPr>
          <w:rFonts w:asciiTheme="minorHAnsi" w:hAnsiTheme="minorHAnsi"/>
          <w:sz w:val="22"/>
          <w:szCs w:val="22"/>
        </w:rPr>
        <w:t>6</w:t>
      </w:r>
      <w:r w:rsidRPr="00F62144">
        <w:rPr>
          <w:rFonts w:asciiTheme="minorHAnsi" w:hAnsiTheme="minorHAnsi"/>
          <w:sz w:val="22"/>
          <w:szCs w:val="22"/>
        </w:rPr>
        <w:t xml:space="preserve"> of Form 5500 for the plan year preceding the Premium Payment Year (</w:t>
      </w:r>
      <w:r w:rsidRPr="00F62144">
        <w:rPr>
          <w:rFonts w:asciiTheme="minorHAnsi" w:hAnsiTheme="minorHAnsi"/>
          <w:i/>
          <w:sz w:val="22"/>
          <w:szCs w:val="22"/>
        </w:rPr>
        <w:t>e.g.</w:t>
      </w:r>
      <w:r w:rsidRPr="00F62144">
        <w:rPr>
          <w:rFonts w:asciiTheme="minorHAnsi" w:hAnsiTheme="minorHAnsi"/>
          <w:sz w:val="22"/>
          <w:szCs w:val="22"/>
        </w:rPr>
        <w:t xml:space="preserve">, the </w:t>
      </w:r>
      <w:r w:rsidR="00AE348E">
        <w:rPr>
          <w:rFonts w:asciiTheme="minorHAnsi" w:hAnsiTheme="minorHAnsi"/>
          <w:sz w:val="22"/>
          <w:szCs w:val="22"/>
        </w:rPr>
        <w:t>2018</w:t>
      </w:r>
      <w:r w:rsidR="00365D8B" w:rsidRPr="00F62144">
        <w:rPr>
          <w:rFonts w:asciiTheme="minorHAnsi" w:hAnsiTheme="minorHAnsi"/>
          <w:sz w:val="22"/>
          <w:szCs w:val="22"/>
        </w:rPr>
        <w:t xml:space="preserve"> </w:t>
      </w:r>
      <w:r w:rsidRPr="00F62144">
        <w:rPr>
          <w:rFonts w:asciiTheme="minorHAnsi" w:hAnsiTheme="minorHAnsi"/>
          <w:sz w:val="22"/>
          <w:szCs w:val="22"/>
        </w:rPr>
        <w:t xml:space="preserve">premium filing and the </w:t>
      </w:r>
      <w:r w:rsidR="00AE348E">
        <w:rPr>
          <w:rFonts w:asciiTheme="minorHAnsi" w:hAnsiTheme="minorHAnsi"/>
          <w:sz w:val="22"/>
          <w:szCs w:val="22"/>
        </w:rPr>
        <w:t>2017</w:t>
      </w:r>
      <w:r w:rsidR="00365D8B" w:rsidRPr="00F62144">
        <w:rPr>
          <w:rFonts w:asciiTheme="minorHAnsi" w:hAnsiTheme="minorHAnsi"/>
          <w:sz w:val="22"/>
          <w:szCs w:val="22"/>
        </w:rPr>
        <w:t xml:space="preserve"> </w:t>
      </w:r>
      <w:r w:rsidRPr="00F62144">
        <w:rPr>
          <w:rFonts w:asciiTheme="minorHAnsi" w:hAnsiTheme="minorHAnsi"/>
          <w:sz w:val="22"/>
          <w:szCs w:val="22"/>
        </w:rPr>
        <w:t>Form 5500) are generally determined as of the same date (</w:t>
      </w:r>
      <w:r w:rsidRPr="00F62144">
        <w:rPr>
          <w:rFonts w:asciiTheme="minorHAnsi" w:hAnsiTheme="minorHAnsi"/>
          <w:i/>
          <w:sz w:val="22"/>
          <w:szCs w:val="22"/>
        </w:rPr>
        <w:t>i.e.</w:t>
      </w:r>
      <w:r w:rsidRPr="00F62144">
        <w:rPr>
          <w:rFonts w:asciiTheme="minorHAnsi" w:hAnsiTheme="minorHAnsi"/>
          <w:sz w:val="22"/>
          <w:szCs w:val="22"/>
        </w:rPr>
        <w:t>, the last day of the plan year preceding the Premium Payment Year). However, the two counts may differ. For example:</w:t>
      </w:r>
    </w:p>
    <w:p w14:paraId="123361D4" w14:textId="77777777" w:rsidR="00F12837" w:rsidRPr="00F62144" w:rsidRDefault="00F12837" w:rsidP="00023A8E">
      <w:pPr>
        <w:numPr>
          <w:ilvl w:val="0"/>
          <w:numId w:val="31"/>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w:t>
      </w:r>
      <w:r w:rsidR="00C153E6" w:rsidRPr="00F62144">
        <w:rPr>
          <w:rFonts w:asciiTheme="minorHAnsi" w:hAnsiTheme="minorHAnsi"/>
          <w:sz w:val="22"/>
          <w:szCs w:val="22"/>
        </w:rPr>
        <w:t>p</w:t>
      </w:r>
      <w:r w:rsidRPr="00F62144">
        <w:rPr>
          <w:rFonts w:asciiTheme="minorHAnsi" w:hAnsiTheme="minorHAnsi"/>
          <w:sz w:val="22"/>
          <w:szCs w:val="22"/>
        </w:rPr>
        <w:t xml:space="preserve">remium purposes, individuals who are earning or retaining credited service but with respect to whom a plan has no Benefit Liabilities are not counted as participants. But individuals who are earning or retaining credited service are considered to be participants for purposes of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of the Form 5500, even if the plan has no Benefit Liabilities with respect to them. </w:t>
      </w:r>
    </w:p>
    <w:p w14:paraId="583CCAFF" w14:textId="77777777" w:rsidR="00F12837" w:rsidRPr="00F62144" w:rsidRDefault="00F12837" w:rsidP="00023A8E">
      <w:pPr>
        <w:numPr>
          <w:ilvl w:val="0"/>
          <w:numId w:val="31"/>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There is a difference in the break-in-service rules that apply when counting participants for </w:t>
      </w:r>
      <w:r w:rsidR="00C153E6" w:rsidRPr="00F62144">
        <w:rPr>
          <w:rFonts w:asciiTheme="minorHAnsi" w:hAnsiTheme="minorHAnsi"/>
          <w:sz w:val="22"/>
          <w:szCs w:val="22"/>
        </w:rPr>
        <w:t>p</w:t>
      </w:r>
      <w:r w:rsidRPr="00F62144">
        <w:rPr>
          <w:rFonts w:asciiTheme="minorHAnsi" w:hAnsiTheme="minorHAnsi"/>
          <w:sz w:val="22"/>
          <w:szCs w:val="22"/>
        </w:rPr>
        <w:t xml:space="preserve">remium purposes and for purposes of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of Form 5500. For purposes of item </w:t>
      </w:r>
      <w:r w:rsidR="008F12C8" w:rsidRPr="00F62144">
        <w:rPr>
          <w:rFonts w:asciiTheme="minorHAnsi" w:hAnsiTheme="minorHAnsi"/>
          <w:sz w:val="22"/>
          <w:szCs w:val="22"/>
        </w:rPr>
        <w:t xml:space="preserve">6 </w:t>
      </w:r>
      <w:r w:rsidRPr="00F62144">
        <w:rPr>
          <w:rFonts w:asciiTheme="minorHAnsi" w:hAnsiTheme="minorHAnsi"/>
          <w:sz w:val="22"/>
          <w:szCs w:val="22"/>
        </w:rPr>
        <w:t xml:space="preserve">of Form 5500, whether a non-vested individual is excluded from the count because of a break in service depends upon the plan language; under the provisions of most plans, the instructions for item </w:t>
      </w:r>
      <w:r w:rsidR="008F12C8" w:rsidRPr="00F62144">
        <w:rPr>
          <w:rFonts w:asciiTheme="minorHAnsi" w:hAnsiTheme="minorHAnsi"/>
          <w:sz w:val="22"/>
          <w:szCs w:val="22"/>
        </w:rPr>
        <w:t xml:space="preserve">6 </w:t>
      </w:r>
      <w:r w:rsidRPr="00F62144">
        <w:rPr>
          <w:rFonts w:asciiTheme="minorHAnsi" w:hAnsiTheme="minorHAnsi"/>
          <w:sz w:val="22"/>
          <w:szCs w:val="22"/>
        </w:rPr>
        <w:t>would require that a separated non-vested individual be counted as a participant until the individual has incurred five or more consecutive one-year breaks in service. For premium purposes, on the other hand, a non-vested individual is excluded from the count because of a break in service when the individual has incurred a one-year break in service under the terms of the plan.</w:t>
      </w:r>
    </w:p>
    <w:p w14:paraId="2F446F55" w14:textId="77777777" w:rsidR="00EB7B4D" w:rsidRPr="00204C5A" w:rsidRDefault="00EB7B4D" w:rsidP="00204C5A">
      <w:pPr>
        <w:autoSpaceDE w:val="0"/>
        <w:autoSpaceDN w:val="0"/>
        <w:adjustRightInd w:val="0"/>
        <w:spacing w:before="120"/>
        <w:ind w:left="360"/>
        <w:rPr>
          <w:rFonts w:asciiTheme="minorHAnsi" w:hAnsiTheme="minorHAnsi"/>
          <w:sz w:val="22"/>
          <w:szCs w:val="22"/>
        </w:rPr>
      </w:pPr>
      <w:bookmarkStart w:id="16" w:name="b9"/>
      <w:bookmarkEnd w:id="16"/>
    </w:p>
    <w:p w14:paraId="6F6FC96C" w14:textId="77777777" w:rsidR="00EB7B4D" w:rsidRPr="00204C5A" w:rsidRDefault="00EB7B4D" w:rsidP="00204C5A">
      <w:pPr>
        <w:autoSpaceDE w:val="0"/>
        <w:autoSpaceDN w:val="0"/>
        <w:adjustRightInd w:val="0"/>
        <w:spacing w:before="120"/>
        <w:ind w:left="360"/>
        <w:rPr>
          <w:rFonts w:asciiTheme="minorHAnsi" w:hAnsiTheme="minorHAnsi"/>
          <w:b/>
          <w:bCs/>
          <w:sz w:val="22"/>
          <w:szCs w:val="22"/>
        </w:rPr>
        <w:sectPr w:rsidR="00EB7B4D" w:rsidRPr="00204C5A" w:rsidSect="005C4FCB">
          <w:headerReference w:type="even" r:id="rId77"/>
          <w:headerReference w:type="default" r:id="rId78"/>
          <w:headerReference w:type="first" r:id="rId79"/>
          <w:pgSz w:w="12240" w:h="15840" w:code="1"/>
          <w:pgMar w:top="1440" w:right="1080" w:bottom="1440" w:left="1080" w:header="720" w:footer="720" w:gutter="0"/>
          <w:cols w:space="720"/>
          <w:noEndnote/>
        </w:sectPr>
      </w:pPr>
    </w:p>
    <w:p w14:paraId="2E8F2142" w14:textId="77777777" w:rsidR="00F12837" w:rsidRPr="00F62144" w:rsidRDefault="00F12837" w:rsidP="00697BB7">
      <w:pPr>
        <w:spacing w:before="120"/>
        <w:rPr>
          <w:rFonts w:asciiTheme="minorHAnsi" w:hAnsiTheme="minorHAnsi"/>
          <w:b/>
          <w:sz w:val="22"/>
          <w:szCs w:val="22"/>
        </w:rPr>
      </w:pPr>
      <w:bookmarkStart w:id="17" w:name="toc13"/>
      <w:r w:rsidRPr="00F62144">
        <w:rPr>
          <w:rFonts w:asciiTheme="minorHAnsi" w:hAnsiTheme="minorHAnsi"/>
          <w:b/>
          <w:sz w:val="22"/>
          <w:szCs w:val="22"/>
        </w:rPr>
        <w:t>General</w:t>
      </w:r>
    </w:p>
    <w:bookmarkEnd w:id="17"/>
    <w:p w14:paraId="43FB9F8B" w14:textId="77777777" w:rsidR="001027F6" w:rsidRPr="00F62144" w:rsidRDefault="00F12837" w:rsidP="00697BB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00B96ABC" w:rsidRPr="00F62144">
        <w:rPr>
          <w:rFonts w:asciiTheme="minorHAnsi" w:hAnsiTheme="minorHAnsi"/>
          <w:sz w:val="22"/>
          <w:szCs w:val="22"/>
        </w:rPr>
        <w:t>(UVB</w:t>
      </w:r>
      <w:r w:rsidR="00C153E6" w:rsidRPr="00F62144">
        <w:rPr>
          <w:rFonts w:asciiTheme="minorHAnsi" w:hAnsiTheme="minorHAnsi"/>
          <w:sz w:val="22"/>
          <w:szCs w:val="22"/>
        </w:rPr>
        <w:t>s</w:t>
      </w:r>
      <w:r w:rsidR="00B96ABC" w:rsidRPr="00F62144">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 For Variable-rate Premium purposes, unfunded vested benefits means the excess, if any, of</w:t>
      </w:r>
      <w:r w:rsidR="000325B6" w:rsidRPr="00F62144">
        <w:rPr>
          <w:rFonts w:asciiTheme="minorHAnsi" w:hAnsiTheme="minorHAnsi"/>
          <w:sz w:val="22"/>
          <w:szCs w:val="22"/>
        </w:rPr>
        <w:t xml:space="preserve"> t</w:t>
      </w:r>
      <w:r w:rsidRPr="00F62144">
        <w:rPr>
          <w:rFonts w:asciiTheme="minorHAnsi" w:hAnsiTheme="minorHAnsi"/>
          <w:sz w:val="22"/>
          <w:szCs w:val="22"/>
        </w:rPr>
        <w:t>he Premium Funding Target, over</w:t>
      </w:r>
      <w:r w:rsidR="000325B6" w:rsidRPr="00F62144">
        <w:rPr>
          <w:rFonts w:asciiTheme="minorHAnsi" w:hAnsiTheme="minorHAnsi"/>
          <w:sz w:val="22"/>
          <w:szCs w:val="22"/>
        </w:rPr>
        <w:t xml:space="preserve"> t</w:t>
      </w:r>
      <w:r w:rsidRPr="00F62144">
        <w:rPr>
          <w:rFonts w:asciiTheme="minorHAnsi" w:hAnsiTheme="minorHAnsi"/>
          <w:sz w:val="22"/>
          <w:szCs w:val="22"/>
        </w:rPr>
        <w:t xml:space="preserve">he fair market value of plan assets. </w:t>
      </w:r>
      <w:r w:rsidR="000325B6" w:rsidRPr="00F62144">
        <w:rPr>
          <w:rFonts w:asciiTheme="minorHAnsi" w:hAnsiTheme="minorHAnsi"/>
          <w:sz w:val="22"/>
          <w:szCs w:val="22"/>
        </w:rPr>
        <w:t xml:space="preserve"> </w:t>
      </w:r>
      <w:r w:rsidR="001027F6" w:rsidRPr="00F62144">
        <w:rPr>
          <w:rFonts w:asciiTheme="minorHAnsi" w:hAnsiTheme="minorHAnsi"/>
          <w:sz w:val="22"/>
          <w:szCs w:val="22"/>
        </w:rPr>
        <w:t xml:space="preserve">This section describes how and when the Premium Funding Target and fair market value of plan assets are determined for this calculation. </w:t>
      </w:r>
    </w:p>
    <w:p w14:paraId="272464AD" w14:textId="77777777" w:rsidR="008A24D1" w:rsidRDefault="008A24D1" w:rsidP="00697BB7">
      <w:pPr>
        <w:spacing w:before="120"/>
        <w:rPr>
          <w:rFonts w:asciiTheme="minorHAnsi" w:hAnsiTheme="minorHAnsi"/>
          <w:b/>
          <w:sz w:val="22"/>
          <w:szCs w:val="22"/>
        </w:rPr>
      </w:pPr>
    </w:p>
    <w:p w14:paraId="3A36F7C5" w14:textId="77777777" w:rsidR="001D3389" w:rsidRPr="00F62144" w:rsidRDefault="00BC23FE" w:rsidP="00697BB7">
      <w:pPr>
        <w:spacing w:before="120"/>
        <w:rPr>
          <w:rFonts w:asciiTheme="minorHAnsi" w:hAnsiTheme="minorHAnsi"/>
          <w:b/>
          <w:sz w:val="22"/>
          <w:szCs w:val="22"/>
        </w:rPr>
      </w:pPr>
      <w:r w:rsidRPr="00F62144">
        <w:rPr>
          <w:rFonts w:asciiTheme="minorHAnsi" w:hAnsiTheme="minorHAnsi"/>
          <w:b/>
          <w:sz w:val="22"/>
          <w:szCs w:val="22"/>
        </w:rPr>
        <w:t>Which year’s UVBs</w:t>
      </w:r>
    </w:p>
    <w:p w14:paraId="69CC1FDF" w14:textId="77777777" w:rsidR="00874198" w:rsidRDefault="007A50B4" w:rsidP="00EE55DD">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008D115A" w:rsidRPr="00F62144">
        <w:rPr>
          <w:rFonts w:asciiTheme="minorHAnsi" w:hAnsiTheme="minorHAnsi"/>
          <w:sz w:val="22"/>
          <w:szCs w:val="22"/>
        </w:rPr>
        <w:t>s</w:t>
      </w:r>
      <w:r w:rsidRPr="00F62144">
        <w:rPr>
          <w:rFonts w:asciiTheme="minorHAnsi" w:hAnsiTheme="minorHAnsi"/>
          <w:sz w:val="22"/>
          <w:szCs w:val="22"/>
        </w:rPr>
        <w:t xml:space="preserve"> are based on UVBs for the Premium Payment Year.  However, Small Plans are subject to a Lookback Rule</w:t>
      </w:r>
      <w:r w:rsidR="00EB4841" w:rsidRPr="00F62144">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plan year preceding the Premium Payment Year </w:t>
      </w:r>
      <w:r w:rsidR="00551DEA" w:rsidRPr="00F62144">
        <w:rPr>
          <w:rFonts w:asciiTheme="minorHAnsi" w:hAnsiTheme="minorHAnsi"/>
          <w:sz w:val="22"/>
          <w:szCs w:val="22"/>
        </w:rPr>
        <w:t>- f</w:t>
      </w:r>
      <w:r w:rsidRPr="00F62144">
        <w:rPr>
          <w:rFonts w:asciiTheme="minorHAnsi" w:hAnsiTheme="minorHAnsi"/>
          <w:sz w:val="22"/>
          <w:szCs w:val="22"/>
        </w:rPr>
        <w:t xml:space="preserve">or example, </w:t>
      </w:r>
      <w:r w:rsidR="00907FD1" w:rsidRPr="00F62144">
        <w:rPr>
          <w:rFonts w:asciiTheme="minorHAnsi" w:hAnsiTheme="minorHAnsi"/>
          <w:sz w:val="22"/>
          <w:szCs w:val="22"/>
        </w:rPr>
        <w:t xml:space="preserve">under the Lookback Rule, </w:t>
      </w:r>
      <w:r w:rsidR="008D115A" w:rsidRPr="00F62144">
        <w:rPr>
          <w:rFonts w:asciiTheme="minorHAnsi" w:hAnsiTheme="minorHAnsi"/>
          <w:sz w:val="22"/>
          <w:szCs w:val="22"/>
        </w:rPr>
        <w:t xml:space="preserve">the </w:t>
      </w:r>
      <w:r w:rsidR="00AE348E">
        <w:rPr>
          <w:rFonts w:asciiTheme="minorHAnsi" w:hAnsiTheme="minorHAnsi"/>
          <w:sz w:val="22"/>
          <w:szCs w:val="22"/>
        </w:rPr>
        <w:t>2018</w:t>
      </w:r>
      <w:r w:rsidR="008D115A" w:rsidRPr="00F62144">
        <w:rPr>
          <w:rFonts w:asciiTheme="minorHAnsi" w:hAnsiTheme="minorHAnsi"/>
          <w:sz w:val="22"/>
          <w:szCs w:val="22"/>
        </w:rPr>
        <w:t xml:space="preserve"> Variable-rate Premium is based on </w:t>
      </w:r>
      <w:r w:rsidRPr="00F62144">
        <w:rPr>
          <w:rFonts w:asciiTheme="minorHAnsi" w:hAnsiTheme="minorHAnsi"/>
          <w:sz w:val="22"/>
          <w:szCs w:val="22"/>
        </w:rPr>
        <w:t>UV</w:t>
      </w:r>
      <w:r w:rsidR="008D115A" w:rsidRPr="00F62144">
        <w:rPr>
          <w:rFonts w:asciiTheme="minorHAnsi" w:hAnsiTheme="minorHAnsi"/>
          <w:sz w:val="22"/>
          <w:szCs w:val="22"/>
        </w:rPr>
        <w:t xml:space="preserve">Bs for </w:t>
      </w:r>
      <w:r w:rsidR="00AE348E">
        <w:rPr>
          <w:rFonts w:asciiTheme="minorHAnsi" w:hAnsiTheme="minorHAnsi"/>
          <w:sz w:val="22"/>
          <w:szCs w:val="22"/>
        </w:rPr>
        <w:t>2017</w:t>
      </w:r>
      <w:r w:rsidR="008D115A" w:rsidRPr="00F62144">
        <w:rPr>
          <w:rFonts w:asciiTheme="minorHAnsi" w:hAnsiTheme="minorHAnsi"/>
          <w:sz w:val="22"/>
          <w:szCs w:val="22"/>
        </w:rPr>
        <w:t xml:space="preserve"> (the Lookback Year).</w:t>
      </w:r>
      <w:r w:rsidR="001E082A" w:rsidRPr="00F62144">
        <w:rPr>
          <w:rFonts w:asciiTheme="minorHAnsi" w:hAnsiTheme="minorHAnsi"/>
          <w:sz w:val="22"/>
          <w:szCs w:val="22"/>
        </w:rPr>
        <w:t xml:space="preserve"> </w:t>
      </w:r>
      <w:r w:rsidR="00EE55DD" w:rsidRPr="00F62144">
        <w:rPr>
          <w:rFonts w:asciiTheme="minorHAnsi" w:hAnsiTheme="minorHAnsi"/>
          <w:sz w:val="22"/>
          <w:szCs w:val="22"/>
        </w:rPr>
        <w:t xml:space="preserve"> </w:t>
      </w:r>
    </w:p>
    <w:p w14:paraId="56EFB003" w14:textId="77777777" w:rsidR="008A24D1" w:rsidRDefault="00874198" w:rsidP="008A24D1">
      <w:pPr>
        <w:autoSpaceDE w:val="0"/>
        <w:autoSpaceDN w:val="0"/>
        <w:spacing w:before="120"/>
        <w:rPr>
          <w:rFonts w:asciiTheme="minorHAnsi" w:hAnsiTheme="minorHAnsi"/>
          <w:sz w:val="22"/>
          <w:szCs w:val="22"/>
        </w:rPr>
      </w:pPr>
      <w:r>
        <w:rPr>
          <w:rFonts w:asciiTheme="minorHAnsi" w:hAnsiTheme="minorHAnsi"/>
          <w:sz w:val="22"/>
          <w:szCs w:val="22"/>
        </w:rPr>
        <w:t xml:space="preserve">The lookback rule first </w:t>
      </w:r>
      <w:r w:rsidR="009849B1">
        <w:rPr>
          <w:rFonts w:asciiTheme="minorHAnsi" w:hAnsiTheme="minorHAnsi"/>
          <w:sz w:val="22"/>
          <w:szCs w:val="22"/>
        </w:rPr>
        <w:t xml:space="preserve">applied for </w:t>
      </w:r>
      <w:r w:rsidR="00AE348E">
        <w:rPr>
          <w:rFonts w:asciiTheme="minorHAnsi" w:hAnsiTheme="minorHAnsi"/>
          <w:sz w:val="22"/>
          <w:szCs w:val="22"/>
        </w:rPr>
        <w:t>201</w:t>
      </w:r>
      <w:r w:rsidR="008C7831">
        <w:rPr>
          <w:rFonts w:asciiTheme="minorHAnsi" w:hAnsiTheme="minorHAnsi"/>
          <w:sz w:val="22"/>
          <w:szCs w:val="22"/>
        </w:rPr>
        <w:t>4</w:t>
      </w:r>
      <w:r>
        <w:rPr>
          <w:rFonts w:asciiTheme="minorHAnsi" w:hAnsiTheme="minorHAnsi"/>
          <w:sz w:val="22"/>
          <w:szCs w:val="22"/>
        </w:rPr>
        <w:t xml:space="preserve"> plan years. At that time Small Plans were given automatic approval to </w:t>
      </w:r>
      <w:r w:rsidR="009849B1">
        <w:rPr>
          <w:rFonts w:asciiTheme="minorHAnsi" w:hAnsiTheme="minorHAnsi"/>
          <w:sz w:val="22"/>
          <w:szCs w:val="22"/>
        </w:rPr>
        <w:t xml:space="preserve">permanently </w:t>
      </w:r>
      <w:r>
        <w:rPr>
          <w:rFonts w:asciiTheme="minorHAnsi" w:hAnsiTheme="minorHAnsi"/>
          <w:sz w:val="22"/>
          <w:szCs w:val="22"/>
        </w:rPr>
        <w:t xml:space="preserve">opt out of the Lookback Rule </w:t>
      </w:r>
      <w:r w:rsidR="008A24D1">
        <w:rPr>
          <w:rFonts w:asciiTheme="minorHAnsi" w:hAnsiTheme="minorHAnsi"/>
          <w:sz w:val="22"/>
          <w:szCs w:val="22"/>
        </w:rPr>
        <w:t xml:space="preserve">(i.e., to </w:t>
      </w:r>
      <w:r w:rsidRPr="00F62144">
        <w:rPr>
          <w:rFonts w:asciiTheme="minorHAnsi" w:hAnsiTheme="minorHAnsi"/>
          <w:sz w:val="22"/>
          <w:szCs w:val="22"/>
        </w:rPr>
        <w:t xml:space="preserve">use </w:t>
      </w:r>
      <w:r>
        <w:rPr>
          <w:rFonts w:asciiTheme="minorHAnsi" w:hAnsiTheme="minorHAnsi"/>
          <w:sz w:val="22"/>
          <w:szCs w:val="22"/>
        </w:rPr>
        <w:t xml:space="preserve">current year </w:t>
      </w:r>
      <w:r w:rsidRPr="00F62144">
        <w:rPr>
          <w:rFonts w:asciiTheme="minorHAnsi" w:hAnsiTheme="minorHAnsi"/>
          <w:sz w:val="22"/>
          <w:szCs w:val="22"/>
        </w:rPr>
        <w:t>UVBs to determine the Variable</w:t>
      </w:r>
      <w:r w:rsidRPr="00F62144">
        <w:rPr>
          <w:rFonts w:asciiTheme="minorHAnsi" w:hAnsiTheme="minorHAnsi"/>
          <w:sz w:val="22"/>
          <w:szCs w:val="22"/>
        </w:rPr>
        <w:noBreakHyphen/>
        <w:t>rate Premium</w:t>
      </w:r>
      <w:r w:rsidR="008A24D1">
        <w:rPr>
          <w:rFonts w:asciiTheme="minorHAnsi" w:hAnsiTheme="minorHAnsi"/>
          <w:sz w:val="22"/>
          <w:szCs w:val="22"/>
        </w:rPr>
        <w:t>)</w:t>
      </w:r>
      <w:r w:rsidRPr="00F62144">
        <w:rPr>
          <w:rFonts w:asciiTheme="minorHAnsi" w:hAnsiTheme="minorHAnsi"/>
          <w:sz w:val="22"/>
          <w:szCs w:val="22"/>
        </w:rPr>
        <w:t>.</w:t>
      </w:r>
      <w:r>
        <w:rPr>
          <w:rFonts w:asciiTheme="minorHAnsi" w:hAnsiTheme="minorHAnsi"/>
          <w:sz w:val="22"/>
          <w:szCs w:val="22"/>
        </w:rPr>
        <w:t xml:space="preserve">  Most Small Plans </w:t>
      </w:r>
      <w:r w:rsidR="00BA28C0">
        <w:rPr>
          <w:rFonts w:asciiTheme="minorHAnsi" w:hAnsiTheme="minorHAnsi"/>
          <w:sz w:val="22"/>
          <w:szCs w:val="22"/>
        </w:rPr>
        <w:t xml:space="preserve">chose to do so. </w:t>
      </w:r>
      <w:r>
        <w:rPr>
          <w:rFonts w:asciiTheme="minorHAnsi" w:hAnsiTheme="minorHAnsi"/>
          <w:sz w:val="22"/>
          <w:szCs w:val="22"/>
        </w:rPr>
        <w:t xml:space="preserve">Those plans </w:t>
      </w:r>
      <w:r w:rsidR="009849B1">
        <w:rPr>
          <w:rFonts w:asciiTheme="minorHAnsi" w:hAnsiTheme="minorHAnsi"/>
          <w:sz w:val="22"/>
          <w:szCs w:val="22"/>
        </w:rPr>
        <w:t xml:space="preserve">must continue to </w:t>
      </w:r>
      <w:r w:rsidRPr="00F62144">
        <w:rPr>
          <w:rFonts w:asciiTheme="minorHAnsi" w:hAnsiTheme="minorHAnsi"/>
          <w:sz w:val="22"/>
          <w:szCs w:val="22"/>
        </w:rPr>
        <w:t>use current year UVBs to determine the Variable-rate Premium unless and until the</w:t>
      </w:r>
      <w:r w:rsidR="00BA28C0">
        <w:rPr>
          <w:rFonts w:asciiTheme="minorHAnsi" w:hAnsiTheme="minorHAnsi"/>
          <w:sz w:val="22"/>
          <w:szCs w:val="22"/>
        </w:rPr>
        <w:t xml:space="preserve">y </w:t>
      </w:r>
      <w:r w:rsidRPr="00F62144">
        <w:rPr>
          <w:rFonts w:asciiTheme="minorHAnsi" w:hAnsiTheme="minorHAnsi"/>
          <w:sz w:val="22"/>
          <w:szCs w:val="22"/>
        </w:rPr>
        <w:t>seek and receive permission from PBGC to start using the Lookback Rule in the future (or unless the plan ceases to be a Small Plan</w:t>
      </w:r>
      <w:r w:rsidR="00BA28C0">
        <w:rPr>
          <w:rFonts w:asciiTheme="minorHAnsi" w:hAnsiTheme="minorHAnsi"/>
          <w:sz w:val="22"/>
          <w:szCs w:val="22"/>
        </w:rPr>
        <w:t xml:space="preserve">). </w:t>
      </w:r>
      <w:r w:rsidR="008A24D1">
        <w:rPr>
          <w:rFonts w:asciiTheme="minorHAnsi" w:hAnsiTheme="minorHAnsi"/>
          <w:sz w:val="22"/>
          <w:szCs w:val="22"/>
        </w:rPr>
        <w:t xml:space="preserve">  </w:t>
      </w:r>
      <w:r w:rsidR="001173F6">
        <w:rPr>
          <w:rFonts w:asciiTheme="minorHAnsi" w:hAnsiTheme="minorHAnsi"/>
          <w:sz w:val="22"/>
          <w:szCs w:val="22"/>
        </w:rPr>
        <w:t xml:space="preserve">Information about </w:t>
      </w:r>
      <w:r w:rsidR="008A24D1">
        <w:rPr>
          <w:rFonts w:asciiTheme="minorHAnsi" w:hAnsiTheme="minorHAnsi"/>
          <w:sz w:val="22"/>
          <w:szCs w:val="22"/>
        </w:rPr>
        <w:t>how to seek such permission</w:t>
      </w:r>
      <w:r w:rsidR="001173F6">
        <w:rPr>
          <w:rFonts w:asciiTheme="minorHAnsi" w:hAnsiTheme="minorHAnsi"/>
          <w:sz w:val="22"/>
          <w:szCs w:val="22"/>
        </w:rPr>
        <w:t xml:space="preserve"> is covered later in this “Which year’s UVBs” section</w:t>
      </w:r>
      <w:r w:rsidR="008A24D1">
        <w:rPr>
          <w:rFonts w:asciiTheme="minorHAnsi" w:hAnsiTheme="minorHAnsi"/>
          <w:sz w:val="22"/>
          <w:szCs w:val="22"/>
        </w:rPr>
        <w:t>.</w:t>
      </w:r>
    </w:p>
    <w:p w14:paraId="4440428C" w14:textId="77777777" w:rsidR="00BA28C0" w:rsidRPr="00BA28C0" w:rsidRDefault="00BA28C0" w:rsidP="000F3524">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14:paraId="7045DE6E" w14:textId="77777777" w:rsidR="000F3524" w:rsidRPr="00F62144" w:rsidRDefault="000F3524" w:rsidP="000F3524">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  So, special rules apply.  If a New or Newly Covered Plan is Small and:</w:t>
      </w:r>
    </w:p>
    <w:p w14:paraId="43731F8A" w14:textId="77777777" w:rsidR="000F3524" w:rsidRPr="00F62144" w:rsidRDefault="000F3524" w:rsidP="006B3A46">
      <w:pPr>
        <w:numPr>
          <w:ilvl w:val="0"/>
          <w:numId w:val="31"/>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Was created as the result of a non </w:t>
      </w:r>
      <w:r w:rsidRPr="000F3524">
        <w:rPr>
          <w:rFonts w:asciiTheme="minorHAnsi" w:hAnsiTheme="minorHAnsi"/>
          <w:sz w:val="22"/>
          <w:szCs w:val="22"/>
        </w:rPr>
        <w:t xml:space="preserve">de minimis </w:t>
      </w:r>
      <w:r w:rsidR="00DA032F">
        <w:rPr>
          <w:rFonts w:asciiTheme="minorHAnsi" w:hAnsiTheme="minorHAnsi"/>
          <w:sz w:val="22"/>
          <w:szCs w:val="22"/>
        </w:rPr>
        <w:t>S</w:t>
      </w:r>
      <w:r w:rsidRPr="00F62144">
        <w:rPr>
          <w:rFonts w:asciiTheme="minorHAnsi" w:hAnsiTheme="minorHAnsi"/>
          <w:sz w:val="22"/>
          <w:szCs w:val="22"/>
        </w:rPr>
        <w:t>pinoff</w:t>
      </w:r>
      <w:r w:rsidRPr="001173F6">
        <w:rPr>
          <w:rFonts w:asciiTheme="minorHAnsi" w:hAnsiTheme="minorHAnsi"/>
          <w:sz w:val="22"/>
          <w:szCs w:val="22"/>
          <w:vertAlign w:val="superscript"/>
        </w:rPr>
        <w:footnoteReference w:id="8"/>
      </w:r>
      <w:r w:rsidRPr="00F62144">
        <w:rPr>
          <w:rFonts w:asciiTheme="minorHAnsi" w:hAnsiTheme="minorHAnsi"/>
          <w:sz w:val="22"/>
          <w:szCs w:val="22"/>
        </w:rPr>
        <w:t xml:space="preserve">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 These plans do, however, get more time to complete their filings (see “</w:t>
      </w:r>
      <w:hyperlink w:anchor="b1" w:history="1">
        <w:r w:rsidRPr="006B3A46">
          <w:rPr>
            <w:rFonts w:asciiTheme="minorHAnsi" w:hAnsiTheme="minorHAnsi"/>
            <w:sz w:val="22"/>
            <w:szCs w:val="22"/>
          </w:rPr>
          <w:t>When to File</w:t>
        </w:r>
      </w:hyperlink>
      <w:r w:rsidRPr="00F62144">
        <w:rPr>
          <w:rFonts w:asciiTheme="minorHAnsi" w:hAnsiTheme="minorHAnsi"/>
          <w:sz w:val="22"/>
          <w:szCs w:val="22"/>
        </w:rPr>
        <w:t xml:space="preserve">” section). </w:t>
      </w:r>
    </w:p>
    <w:p w14:paraId="328DDB75" w14:textId="77777777" w:rsidR="000F3524" w:rsidRPr="00F62144" w:rsidRDefault="000F3524" w:rsidP="006B3A46">
      <w:pPr>
        <w:numPr>
          <w:ilvl w:val="0"/>
          <w:numId w:val="31"/>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Is not a Continuation Plan, the plan is exempt from the Variable-rate Premium for its first year of filing.  Note that such a plan could be either a newly established plan or a plan resulting from a de minimis </w:t>
      </w:r>
      <w:r w:rsidR="007A17D5">
        <w:rPr>
          <w:rFonts w:asciiTheme="minorHAnsi" w:hAnsiTheme="minorHAnsi"/>
          <w:sz w:val="22"/>
          <w:szCs w:val="22"/>
        </w:rPr>
        <w:t>S</w:t>
      </w:r>
      <w:r w:rsidRPr="00F62144">
        <w:rPr>
          <w:rFonts w:asciiTheme="minorHAnsi" w:hAnsiTheme="minorHAnsi"/>
          <w:sz w:val="22"/>
          <w:szCs w:val="22"/>
        </w:rPr>
        <w:t>pinoff.  The exception applies in either case.</w:t>
      </w:r>
    </w:p>
    <w:p w14:paraId="0728E7AE" w14:textId="77777777" w:rsidR="006B3A46" w:rsidRDefault="00BA28C0" w:rsidP="00EE55DD">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14:paraId="474CBF53" w14:textId="77777777" w:rsidR="00C13D05" w:rsidRPr="00C13D05" w:rsidRDefault="00C13D05" w:rsidP="00C13D05">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AE348E">
        <w:rPr>
          <w:rFonts w:asciiTheme="minorHAnsi" w:hAnsiTheme="minorHAnsi"/>
          <w:i/>
          <w:sz w:val="22"/>
          <w:szCs w:val="22"/>
        </w:rPr>
        <w:t>2018</w:t>
      </w:r>
    </w:p>
    <w:p w14:paraId="6654A712" w14:textId="77777777" w:rsidR="00284874" w:rsidRDefault="00284874" w:rsidP="00284874">
      <w:pPr>
        <w:numPr>
          <w:ilvl w:val="0"/>
          <w:numId w:val="43"/>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AE348E">
        <w:rPr>
          <w:rFonts w:asciiTheme="minorHAnsi" w:hAnsiTheme="minorHAnsi"/>
          <w:sz w:val="22"/>
          <w:szCs w:val="22"/>
        </w:rPr>
        <w:t>2018</w:t>
      </w:r>
      <w:r w:rsidRPr="00F62144">
        <w:rPr>
          <w:rFonts w:asciiTheme="minorHAnsi" w:hAnsiTheme="minorHAnsi"/>
          <w:sz w:val="22"/>
          <w:szCs w:val="22"/>
        </w:rPr>
        <w:t xml:space="preserve">. </w:t>
      </w:r>
      <w:r>
        <w:rPr>
          <w:rFonts w:asciiTheme="minorHAnsi" w:hAnsiTheme="minorHAnsi"/>
          <w:sz w:val="22"/>
          <w:szCs w:val="22"/>
        </w:rPr>
        <w:t xml:space="preserve"> 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14:paraId="589A4829" w14:textId="77777777" w:rsidR="00C13D05" w:rsidRPr="00F62144" w:rsidRDefault="001452F8" w:rsidP="001452F8">
      <w:pPr>
        <w:numPr>
          <w:ilvl w:val="0"/>
          <w:numId w:val="43"/>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00C13D05" w:rsidRPr="00F62144">
        <w:rPr>
          <w:rFonts w:asciiTheme="minorHAnsi" w:hAnsiTheme="minorHAnsi"/>
          <w:sz w:val="22"/>
          <w:szCs w:val="22"/>
        </w:rPr>
        <w:t xml:space="preserve">If the </w:t>
      </w:r>
      <w:r w:rsidR="00AE348E">
        <w:rPr>
          <w:rFonts w:asciiTheme="minorHAnsi" w:hAnsiTheme="minorHAnsi"/>
          <w:sz w:val="22"/>
          <w:szCs w:val="22"/>
        </w:rPr>
        <w:t>2018</w:t>
      </w:r>
      <w:r w:rsidR="00C13D05" w:rsidRPr="00F62144">
        <w:rPr>
          <w:rFonts w:asciiTheme="minorHAnsi" w:hAnsiTheme="minorHAnsi"/>
          <w:sz w:val="22"/>
          <w:szCs w:val="22"/>
        </w:rPr>
        <w:t xml:space="preserve"> plan year is the first year for which a plan has the opportunity to opt out of the Lookback Rule, the plan may do so without first seeking permission from PBGC. For example, permission </w:t>
      </w:r>
      <w:r w:rsidR="00C13D05">
        <w:rPr>
          <w:rFonts w:asciiTheme="minorHAnsi" w:hAnsiTheme="minorHAnsi"/>
          <w:sz w:val="22"/>
          <w:szCs w:val="22"/>
        </w:rPr>
        <w:t xml:space="preserve">to opt out </w:t>
      </w:r>
      <w:r w:rsidR="00C13D05" w:rsidRPr="00F62144">
        <w:rPr>
          <w:rFonts w:asciiTheme="minorHAnsi" w:hAnsiTheme="minorHAnsi"/>
          <w:sz w:val="22"/>
          <w:szCs w:val="22"/>
        </w:rPr>
        <w:t>is not required if:</w:t>
      </w:r>
    </w:p>
    <w:p w14:paraId="31CF38F1" w14:textId="77777777" w:rsidR="00C13D05" w:rsidRPr="00F62144" w:rsidRDefault="00C13D05" w:rsidP="00FE3E24">
      <w:pPr>
        <w:numPr>
          <w:ilvl w:val="0"/>
          <w:numId w:val="4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Small Plan for </w:t>
      </w:r>
      <w:r w:rsidR="00AE348E">
        <w:rPr>
          <w:rFonts w:asciiTheme="minorHAnsi" w:hAnsiTheme="minorHAnsi"/>
          <w:sz w:val="22"/>
          <w:szCs w:val="22"/>
        </w:rPr>
        <w:t>2018</w:t>
      </w:r>
      <w:r w:rsidRPr="00F62144">
        <w:rPr>
          <w:rFonts w:asciiTheme="minorHAnsi" w:hAnsiTheme="minorHAnsi"/>
          <w:sz w:val="22"/>
          <w:szCs w:val="22"/>
        </w:rPr>
        <w:t>;</w:t>
      </w:r>
    </w:p>
    <w:p w14:paraId="75C84C8A" w14:textId="77777777" w:rsidR="00C13D05" w:rsidRPr="00F62144" w:rsidRDefault="001452F8" w:rsidP="00FE3E24">
      <w:pPr>
        <w:numPr>
          <w:ilvl w:val="0"/>
          <w:numId w:val="48"/>
        </w:numPr>
        <w:autoSpaceDE w:val="0"/>
        <w:autoSpaceDN w:val="0"/>
        <w:spacing w:before="120"/>
        <w:rPr>
          <w:rFonts w:asciiTheme="minorHAnsi" w:hAnsiTheme="minorHAnsi"/>
          <w:sz w:val="22"/>
          <w:szCs w:val="22"/>
        </w:rPr>
      </w:pPr>
      <w:r>
        <w:rPr>
          <w:rFonts w:asciiTheme="minorHAnsi" w:hAnsiTheme="minorHAnsi"/>
          <w:sz w:val="22"/>
          <w:szCs w:val="22"/>
        </w:rPr>
        <w:t>T</w:t>
      </w:r>
      <w:r w:rsidR="00C13D05"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AE348E">
        <w:rPr>
          <w:rFonts w:asciiTheme="minorHAnsi" w:hAnsiTheme="minorHAnsi"/>
          <w:sz w:val="22"/>
          <w:szCs w:val="22"/>
        </w:rPr>
        <w:t>2017</w:t>
      </w:r>
      <w:r>
        <w:rPr>
          <w:rFonts w:asciiTheme="minorHAnsi" w:hAnsiTheme="minorHAnsi"/>
          <w:sz w:val="22"/>
          <w:szCs w:val="22"/>
        </w:rPr>
        <w:t xml:space="preserve"> </w:t>
      </w:r>
      <w:r w:rsidR="00C13D05" w:rsidRPr="00F62144">
        <w:rPr>
          <w:rFonts w:asciiTheme="minorHAnsi" w:hAnsiTheme="minorHAnsi"/>
          <w:sz w:val="22"/>
          <w:szCs w:val="22"/>
        </w:rPr>
        <w:t xml:space="preserve">and was thus, required to use current year UVBs to determine its </w:t>
      </w:r>
      <w:r w:rsidR="00AE348E">
        <w:rPr>
          <w:rFonts w:asciiTheme="minorHAnsi" w:hAnsiTheme="minorHAnsi"/>
          <w:sz w:val="22"/>
          <w:szCs w:val="22"/>
        </w:rPr>
        <w:t>2017</w:t>
      </w:r>
      <w:r w:rsidR="00C13D05" w:rsidRPr="00F62144">
        <w:rPr>
          <w:rFonts w:asciiTheme="minorHAnsi" w:hAnsiTheme="minorHAnsi"/>
          <w:sz w:val="22"/>
          <w:szCs w:val="22"/>
        </w:rPr>
        <w:t xml:space="preserve"> Variable-rate Premium;</w:t>
      </w:r>
    </w:p>
    <w:p w14:paraId="202D45EB" w14:textId="77777777" w:rsidR="00C13D05" w:rsidRPr="001452F8" w:rsidRDefault="00C13D05" w:rsidP="00FE3E24">
      <w:pPr>
        <w:numPr>
          <w:ilvl w:val="0"/>
          <w:numId w:val="4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001452F8" w:rsidRPr="001452F8">
        <w:rPr>
          <w:rFonts w:asciiTheme="minorHAnsi" w:hAnsiTheme="minorHAnsi"/>
          <w:sz w:val="22"/>
          <w:szCs w:val="22"/>
        </w:rPr>
        <w:t xml:space="preserve"> e</w:t>
      </w:r>
      <w:r w:rsidRPr="001452F8">
        <w:rPr>
          <w:rFonts w:asciiTheme="minorHAnsi" w:hAnsiTheme="minorHAnsi"/>
          <w:sz w:val="22"/>
          <w:szCs w:val="22"/>
        </w:rPr>
        <w:t>xempt from the VRP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14:paraId="03DFFE8C" w14:textId="77777777" w:rsidR="001452F8" w:rsidRDefault="001452F8" w:rsidP="001452F8">
      <w:pPr>
        <w:spacing w:before="120"/>
        <w:ind w:left="360"/>
        <w:rPr>
          <w:rFonts w:asciiTheme="minorHAnsi" w:hAnsiTheme="minorHAnsi"/>
          <w:sz w:val="22"/>
          <w:szCs w:val="22"/>
        </w:rPr>
      </w:pPr>
      <w:r w:rsidRPr="001452F8">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Pr="001452F8">
        <w:rPr>
          <w:rFonts w:asciiTheme="minorHAnsi" w:hAnsiTheme="minorHAnsi"/>
          <w:sz w:val="20"/>
          <w:vertAlign w:val="superscript"/>
        </w:rPr>
        <w:footnoteReference w:id="9"/>
      </w:r>
      <w:r w:rsidRPr="001452F8">
        <w:rPr>
          <w:rFonts w:asciiTheme="minorHAnsi" w:hAnsiTheme="minorHAnsi"/>
          <w:sz w:val="18"/>
          <w:szCs w:val="22"/>
          <w:vertAlign w:val="superscript"/>
        </w:rPr>
        <w:t xml:space="preserve"> </w:t>
      </w:r>
      <w:r w:rsidRPr="001452F8">
        <w:rPr>
          <w:rFonts w:asciiTheme="minorHAnsi" w:hAnsiTheme="minorHAnsi"/>
          <w:sz w:val="22"/>
          <w:szCs w:val="22"/>
        </w:rPr>
        <w:t>is within the Premium Payment Year, we will expect all future filings to be completed using current year UVBs to determine the Variable</w:t>
      </w:r>
      <w:r w:rsidRPr="001452F8">
        <w:rPr>
          <w:rFonts w:asciiTheme="minorHAnsi" w:hAnsiTheme="minorHAnsi"/>
          <w:sz w:val="22"/>
          <w:szCs w:val="22"/>
        </w:rPr>
        <w:noBreakHyphen/>
        <w:t>rate Premium.  </w:t>
      </w:r>
    </w:p>
    <w:p w14:paraId="433500D9" w14:textId="77777777" w:rsidR="001452F8" w:rsidRPr="00F62144" w:rsidRDefault="001452F8" w:rsidP="001452F8">
      <w:pPr>
        <w:spacing w:before="120"/>
        <w:ind w:left="360"/>
        <w:rPr>
          <w:rFonts w:asciiTheme="minorHAnsi" w:hAnsiTheme="minorHAnsi"/>
          <w:i/>
          <w:sz w:val="22"/>
          <w:szCs w:val="22"/>
        </w:rPr>
      </w:pPr>
      <w:r w:rsidRPr="00F62144">
        <w:rPr>
          <w:rFonts w:asciiTheme="minorHAnsi" w:hAnsiTheme="minorHAnsi"/>
          <w:sz w:val="22"/>
          <w:szCs w:val="22"/>
        </w:rPr>
        <w:t>Note for small plans with year-end valuation dates – It is not practical for a small plan with a year</w:t>
      </w:r>
      <w:r w:rsidRPr="00F62144">
        <w:rPr>
          <w:rFonts w:asciiTheme="minorHAnsi" w:hAnsiTheme="minorHAnsi"/>
          <w:sz w:val="22"/>
          <w:szCs w:val="22"/>
        </w:rPr>
        <w:noBreakHyphen/>
        <w:t>end valuation date to opt out of the Lookback Rule. For example, consider a small plan with a calendar year plan year. Opting out of the Lookback Rule would mean measuring UVBs on December31</w:t>
      </w:r>
      <w:r w:rsidRPr="00F62144">
        <w:rPr>
          <w:rFonts w:asciiTheme="minorHAnsi" w:hAnsiTheme="minorHAnsi"/>
          <w:sz w:val="22"/>
          <w:szCs w:val="22"/>
          <w:vertAlign w:val="superscript"/>
        </w:rPr>
        <w:t>st</w:t>
      </w:r>
      <w:r w:rsidRPr="00F62144">
        <w:rPr>
          <w:rFonts w:asciiTheme="minorHAnsi" w:hAnsiTheme="minorHAnsi"/>
          <w:sz w:val="22"/>
          <w:szCs w:val="22"/>
        </w:rPr>
        <w:t xml:space="preserve">, two and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14:paraId="636E6351" w14:textId="77777777" w:rsidR="008C05C1" w:rsidRDefault="00DB2A9F" w:rsidP="0026762B">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sidR="008C05C1">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14:paraId="1CE4F624" w14:textId="77777777" w:rsidR="008C05C1" w:rsidRDefault="008C05C1" w:rsidP="00104356">
      <w:pPr>
        <w:spacing w:before="120"/>
        <w:rPr>
          <w:rFonts w:asciiTheme="minorHAnsi" w:hAnsiTheme="minorHAnsi"/>
          <w:sz w:val="22"/>
          <w:szCs w:val="22"/>
        </w:rPr>
      </w:pPr>
      <w:r>
        <w:rPr>
          <w:rFonts w:asciiTheme="minorHAnsi" w:hAnsiTheme="minorHAnsi"/>
          <w:sz w:val="22"/>
          <w:szCs w:val="22"/>
        </w:rPr>
        <w:t>As noted above, PBGC permission is required if:</w:t>
      </w:r>
    </w:p>
    <w:p w14:paraId="16C38325" w14:textId="77777777" w:rsidR="008C05C1" w:rsidRDefault="001173F6" w:rsidP="008C05C1">
      <w:pPr>
        <w:numPr>
          <w:ilvl w:val="0"/>
          <w:numId w:val="43"/>
        </w:numPr>
        <w:autoSpaceDE w:val="0"/>
        <w:autoSpaceDN w:val="0"/>
        <w:spacing w:before="120"/>
        <w:ind w:left="360"/>
        <w:rPr>
          <w:rFonts w:asciiTheme="minorHAnsi" w:hAnsiTheme="minorHAnsi"/>
          <w:sz w:val="22"/>
          <w:szCs w:val="22"/>
        </w:rPr>
      </w:pPr>
      <w:r>
        <w:rPr>
          <w:rFonts w:asciiTheme="minorHAnsi" w:hAnsiTheme="minorHAnsi"/>
          <w:sz w:val="22"/>
          <w:szCs w:val="22"/>
        </w:rPr>
        <w:t>a s</w:t>
      </w:r>
      <w:r w:rsidRPr="008C05C1">
        <w:rPr>
          <w:rFonts w:asciiTheme="minorHAnsi" w:hAnsiTheme="minorHAnsi"/>
          <w:sz w:val="22"/>
          <w:szCs w:val="22"/>
        </w:rPr>
        <w:t xml:space="preserve">mall plan that </w:t>
      </w:r>
      <w:r w:rsidR="008C05C1" w:rsidRPr="008C05C1">
        <w:rPr>
          <w:rFonts w:asciiTheme="minorHAnsi" w:hAnsiTheme="minorHAnsi"/>
          <w:sz w:val="22"/>
          <w:szCs w:val="22"/>
        </w:rPr>
        <w:t>had the opportunity to opt out of the Lookback Rul</w:t>
      </w:r>
      <w:r w:rsidR="008C05C1">
        <w:rPr>
          <w:rFonts w:asciiTheme="minorHAnsi" w:hAnsiTheme="minorHAnsi"/>
          <w:sz w:val="22"/>
          <w:szCs w:val="22"/>
        </w:rPr>
        <w:t xml:space="preserve">e in the past but chose not to, wants to opt out starting with </w:t>
      </w:r>
      <w:r w:rsidR="00AE348E">
        <w:rPr>
          <w:rFonts w:asciiTheme="minorHAnsi" w:hAnsiTheme="minorHAnsi"/>
          <w:sz w:val="22"/>
          <w:szCs w:val="22"/>
        </w:rPr>
        <w:t>2018</w:t>
      </w:r>
      <w:r w:rsidR="008C05C1">
        <w:rPr>
          <w:rFonts w:asciiTheme="minorHAnsi" w:hAnsiTheme="minorHAnsi"/>
          <w:sz w:val="22"/>
          <w:szCs w:val="22"/>
        </w:rPr>
        <w:t>, or</w:t>
      </w:r>
    </w:p>
    <w:p w14:paraId="658AE187" w14:textId="77777777" w:rsidR="008C05C1" w:rsidRDefault="001173F6" w:rsidP="008C05C1">
      <w:pPr>
        <w:numPr>
          <w:ilvl w:val="0"/>
          <w:numId w:val="43"/>
        </w:numPr>
        <w:autoSpaceDE w:val="0"/>
        <w:autoSpaceDN w:val="0"/>
        <w:spacing w:before="120"/>
        <w:ind w:left="360"/>
        <w:rPr>
          <w:rFonts w:asciiTheme="minorHAnsi" w:hAnsiTheme="minorHAnsi"/>
          <w:sz w:val="22"/>
          <w:szCs w:val="22"/>
        </w:rPr>
      </w:pPr>
      <w:r>
        <w:rPr>
          <w:rFonts w:asciiTheme="minorHAnsi" w:hAnsiTheme="minorHAnsi"/>
          <w:sz w:val="22"/>
          <w:szCs w:val="22"/>
        </w:rPr>
        <w:t>a s</w:t>
      </w:r>
      <w:r w:rsidRPr="008C05C1">
        <w:rPr>
          <w:rFonts w:asciiTheme="minorHAnsi" w:hAnsiTheme="minorHAnsi"/>
          <w:sz w:val="22"/>
          <w:szCs w:val="22"/>
        </w:rPr>
        <w:t xml:space="preserve">mall plan that </w:t>
      </w:r>
      <w:r w:rsidR="008C05C1">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sidR="008C05C1">
        <w:rPr>
          <w:rFonts w:asciiTheme="minorHAnsi" w:hAnsiTheme="minorHAnsi"/>
          <w:sz w:val="22"/>
          <w:szCs w:val="22"/>
        </w:rPr>
        <w:t xml:space="preserve">ule starting with </w:t>
      </w:r>
      <w:r w:rsidR="00AE348E">
        <w:rPr>
          <w:rFonts w:asciiTheme="minorHAnsi" w:hAnsiTheme="minorHAnsi"/>
          <w:sz w:val="22"/>
          <w:szCs w:val="22"/>
        </w:rPr>
        <w:t>2018</w:t>
      </w:r>
      <w:r w:rsidR="008C05C1">
        <w:rPr>
          <w:rFonts w:asciiTheme="minorHAnsi" w:hAnsiTheme="minorHAnsi"/>
          <w:sz w:val="22"/>
          <w:szCs w:val="22"/>
        </w:rPr>
        <w:t>.</w:t>
      </w:r>
    </w:p>
    <w:p w14:paraId="1BFAF600" w14:textId="77777777" w:rsidR="00C75033" w:rsidRPr="00F62144" w:rsidRDefault="008C05C1" w:rsidP="00C75033">
      <w:pPr>
        <w:spacing w:before="120"/>
        <w:rPr>
          <w:rFonts w:asciiTheme="minorHAnsi" w:hAnsiTheme="minorHAnsi"/>
          <w:sz w:val="22"/>
          <w:szCs w:val="22"/>
        </w:rPr>
      </w:pPr>
      <w:r>
        <w:rPr>
          <w:rFonts w:asciiTheme="minorHAnsi" w:hAnsiTheme="minorHAnsi"/>
          <w:sz w:val="22"/>
          <w:szCs w:val="22"/>
        </w:rPr>
        <w:t xml:space="preserve">In either case, </w:t>
      </w:r>
      <w:r w:rsidR="00C75033">
        <w:rPr>
          <w:rFonts w:asciiTheme="minorHAnsi" w:hAnsiTheme="minorHAnsi"/>
          <w:sz w:val="22"/>
          <w:szCs w:val="22"/>
        </w:rPr>
        <w:t>t</w:t>
      </w:r>
      <w:r w:rsidR="00C75033" w:rsidRPr="00F62144">
        <w:rPr>
          <w:rFonts w:asciiTheme="minorHAnsi" w:hAnsiTheme="minorHAnsi"/>
          <w:sz w:val="22"/>
          <w:szCs w:val="22"/>
        </w:rPr>
        <w:t xml:space="preserve">o request permission, send an email with “Request re: Lookback Rule” in the subject line to premiums@pbgc.gov at least 60 days before the due date.  In the email, you must identify the plan and explain the reason the plan wants to </w:t>
      </w:r>
      <w:r w:rsidR="00C75033">
        <w:rPr>
          <w:rFonts w:asciiTheme="minorHAnsi" w:hAnsiTheme="minorHAnsi"/>
          <w:sz w:val="22"/>
          <w:szCs w:val="22"/>
        </w:rPr>
        <w:t xml:space="preserve">change its previously established process for determining UVBs.  </w:t>
      </w:r>
      <w:r w:rsidR="00C75033" w:rsidRPr="00F62144">
        <w:rPr>
          <w:rFonts w:asciiTheme="minorHAnsi" w:hAnsiTheme="minorHAnsi"/>
          <w:sz w:val="22"/>
          <w:szCs w:val="22"/>
        </w:rPr>
        <w:t xml:space="preserve">PBGC will reply to acknowledge receipt of such requests.  If you do not receive an acknowledgement within two business days, please call PBGC at 1 (800) 736-2444 to confirm that your request was received.  </w:t>
      </w:r>
    </w:p>
    <w:p w14:paraId="05BC1E71" w14:textId="77777777" w:rsidR="00776DFB" w:rsidRDefault="00104356" w:rsidP="00104356">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 xml:space="preserve">.  </w:t>
      </w:r>
      <w:r w:rsidR="00776DFB" w:rsidRPr="00776DFB">
        <w:rPr>
          <w:rFonts w:asciiTheme="minorHAnsi" w:hAnsiTheme="minorHAnsi"/>
          <w:sz w:val="22"/>
          <w:szCs w:val="22"/>
        </w:rPr>
        <w:t>PBGC will not grant requests made solely to reduce premiums.</w:t>
      </w:r>
    </w:p>
    <w:p w14:paraId="1CE8909F" w14:textId="55BBFAEA" w:rsidR="00104356" w:rsidRPr="00F62144" w:rsidRDefault="00104356" w:rsidP="0010435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00CE5584" w:rsidRPr="00F62144">
        <w:rPr>
          <w:rFonts w:ascii="Calibri" w:hAnsi="Calibri" w:cs="Calibri"/>
          <w:sz w:val="22"/>
          <w:szCs w:val="22"/>
        </w:rPr>
        <w:t>call us at the 800</w:t>
      </w:r>
      <w:r w:rsidR="00556E11">
        <w:rPr>
          <w:rFonts w:ascii="Calibri" w:hAnsi="Calibri" w:cs="Calibri"/>
          <w:sz w:val="22"/>
          <w:szCs w:val="22"/>
        </w:rPr>
        <w:t xml:space="preserve"> </w:t>
      </w:r>
      <w:r w:rsidR="00CE5584" w:rsidRPr="00F62144">
        <w:rPr>
          <w:rFonts w:ascii="Calibri" w:hAnsi="Calibri" w:cs="Calibri"/>
          <w:sz w:val="22"/>
          <w:szCs w:val="22"/>
        </w:rPr>
        <w:t>number shown above</w:t>
      </w:r>
      <w:r w:rsidRPr="00F62144">
        <w:rPr>
          <w:rFonts w:ascii="Calibri" w:hAnsi="Calibri" w:cs="Calibri"/>
          <w:sz w:val="22"/>
          <w:szCs w:val="22"/>
        </w:rPr>
        <w:t>, as you will need the determination to make a timely premium filing.</w:t>
      </w:r>
    </w:p>
    <w:p w14:paraId="2100E6C0" w14:textId="77777777" w:rsidR="00694D1C" w:rsidRPr="00F62144" w:rsidRDefault="00694D1C">
      <w:pPr>
        <w:rPr>
          <w:rFonts w:asciiTheme="minorHAnsi" w:hAnsiTheme="minorHAnsi"/>
          <w:i/>
          <w:sz w:val="22"/>
          <w:szCs w:val="22"/>
        </w:rPr>
      </w:pPr>
    </w:p>
    <w:p w14:paraId="3AA11610" w14:textId="77777777" w:rsidR="00815BB2" w:rsidRPr="00F62144" w:rsidRDefault="00815BB2" w:rsidP="00697BB7">
      <w:pPr>
        <w:spacing w:before="120"/>
        <w:rPr>
          <w:rFonts w:asciiTheme="minorHAnsi" w:hAnsiTheme="minorHAnsi"/>
          <w:i/>
          <w:sz w:val="22"/>
          <w:szCs w:val="22"/>
        </w:rPr>
      </w:pPr>
      <w:r w:rsidRPr="00F62144">
        <w:rPr>
          <w:rFonts w:asciiTheme="minorHAnsi" w:hAnsiTheme="minorHAnsi"/>
          <w:i/>
          <w:sz w:val="22"/>
          <w:szCs w:val="22"/>
        </w:rPr>
        <w:t>Measurement date</w:t>
      </w:r>
    </w:p>
    <w:p w14:paraId="50D83423" w14:textId="77777777" w:rsidR="00C75033" w:rsidRDefault="00AB1AA4" w:rsidP="00697BB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007A5BD6" w:rsidRPr="00F62144">
        <w:rPr>
          <w:rFonts w:asciiTheme="minorHAnsi" w:hAnsiTheme="minorHAnsi"/>
          <w:sz w:val="22"/>
          <w:szCs w:val="22"/>
        </w:rPr>
        <w:t>are measured on the funding valuation date (i.e., the measurement date for determining the minimum required contribution)</w:t>
      </w:r>
      <w:r w:rsidR="00815BB2" w:rsidRPr="00F62144">
        <w:rPr>
          <w:rFonts w:asciiTheme="minorHAnsi" w:hAnsiTheme="minorHAnsi"/>
          <w:sz w:val="22"/>
          <w:szCs w:val="22"/>
        </w:rPr>
        <w:t xml:space="preserve"> for the applicable </w:t>
      </w:r>
      <w:r w:rsidR="00167D9C" w:rsidRPr="00F62144">
        <w:rPr>
          <w:rFonts w:asciiTheme="minorHAnsi" w:hAnsiTheme="minorHAnsi"/>
          <w:sz w:val="22"/>
          <w:szCs w:val="22"/>
        </w:rPr>
        <w:t xml:space="preserve">plan </w:t>
      </w:r>
      <w:r w:rsidR="00815BB2" w:rsidRPr="00F62144">
        <w:rPr>
          <w:rFonts w:asciiTheme="minorHAnsi" w:hAnsiTheme="minorHAnsi"/>
          <w:sz w:val="22"/>
          <w:szCs w:val="22"/>
        </w:rPr>
        <w:t>year (</w:t>
      </w:r>
      <w:r w:rsidR="00167D9C" w:rsidRPr="00F62144">
        <w:rPr>
          <w:rFonts w:asciiTheme="minorHAnsi" w:hAnsiTheme="minorHAnsi"/>
          <w:sz w:val="22"/>
          <w:szCs w:val="22"/>
        </w:rPr>
        <w:t>i.e.</w:t>
      </w:r>
      <w:r w:rsidR="00D4174C">
        <w:rPr>
          <w:rFonts w:asciiTheme="minorHAnsi" w:hAnsiTheme="minorHAnsi"/>
          <w:sz w:val="22"/>
          <w:szCs w:val="22"/>
        </w:rPr>
        <w:t>,</w:t>
      </w:r>
      <w:r w:rsidR="00167D9C" w:rsidRPr="00F62144">
        <w:rPr>
          <w:rFonts w:asciiTheme="minorHAnsi" w:hAnsiTheme="minorHAnsi"/>
          <w:sz w:val="22"/>
          <w:szCs w:val="22"/>
        </w:rPr>
        <w:t xml:space="preserve"> either the </w:t>
      </w:r>
      <w:r w:rsidR="00815BB2" w:rsidRPr="00F62144">
        <w:rPr>
          <w:rFonts w:asciiTheme="minorHAnsi" w:hAnsiTheme="minorHAnsi"/>
          <w:sz w:val="22"/>
          <w:szCs w:val="22"/>
        </w:rPr>
        <w:t>Premium Payment Year</w:t>
      </w:r>
      <w:r w:rsidR="00167D9C" w:rsidRPr="00F62144">
        <w:rPr>
          <w:rFonts w:asciiTheme="minorHAnsi" w:hAnsiTheme="minorHAnsi"/>
          <w:sz w:val="22"/>
          <w:szCs w:val="22"/>
        </w:rPr>
        <w:t xml:space="preserve"> or the Lookback Year, depending on whether the Lookback Rule applies)</w:t>
      </w:r>
      <w:r w:rsidR="007A5BD6" w:rsidRPr="00F62144">
        <w:rPr>
          <w:rFonts w:asciiTheme="minorHAnsi" w:hAnsiTheme="minorHAnsi"/>
          <w:sz w:val="22"/>
          <w:szCs w:val="22"/>
        </w:rPr>
        <w:t>.  Regardless of whether the Lookback Rule applies, this date is called the UVB Valuation Date to distinguish it from the Participant Count Date (see “</w:t>
      </w:r>
      <w:hyperlink w:anchor="b4" w:history="1">
        <w:r w:rsidR="007A5BD6" w:rsidRPr="00F62144">
          <w:rPr>
            <w:rStyle w:val="Hyperlink"/>
            <w:rFonts w:asciiTheme="minorHAnsi" w:hAnsiTheme="minorHAnsi"/>
            <w:sz w:val="22"/>
            <w:szCs w:val="22"/>
          </w:rPr>
          <w:t>How to Count Participants</w:t>
        </w:r>
      </w:hyperlink>
      <w:r w:rsidR="007A5BD6" w:rsidRPr="00F62144">
        <w:rPr>
          <w:rFonts w:asciiTheme="minorHAnsi" w:hAnsiTheme="minorHAnsi"/>
          <w:sz w:val="22"/>
          <w:szCs w:val="22"/>
        </w:rPr>
        <w:t xml:space="preserve">” section). </w:t>
      </w:r>
      <w:r w:rsidR="00167D9C" w:rsidRPr="00F62144">
        <w:rPr>
          <w:rFonts w:asciiTheme="minorHAnsi" w:hAnsiTheme="minorHAnsi"/>
          <w:sz w:val="22"/>
          <w:szCs w:val="22"/>
        </w:rPr>
        <w:t xml:space="preserve"> </w:t>
      </w:r>
    </w:p>
    <w:p w14:paraId="1154F1C4" w14:textId="77777777" w:rsidR="00CD02F4" w:rsidRPr="00F62144" w:rsidRDefault="00167D9C" w:rsidP="00697BB7">
      <w:pPr>
        <w:spacing w:before="120"/>
        <w:rPr>
          <w:rFonts w:asciiTheme="minorHAnsi" w:hAnsiTheme="minorHAnsi"/>
          <w:b/>
          <w:sz w:val="22"/>
          <w:szCs w:val="22"/>
        </w:rPr>
      </w:pPr>
      <w:r w:rsidRPr="00F62144">
        <w:rPr>
          <w:rFonts w:asciiTheme="minorHAnsi" w:hAnsiTheme="minorHAnsi"/>
          <w:sz w:val="22"/>
          <w:szCs w:val="22"/>
        </w:rPr>
        <w:t>So, for plans</w:t>
      </w:r>
      <w:r w:rsidR="00193E5D" w:rsidRPr="00F62144">
        <w:rPr>
          <w:rFonts w:asciiTheme="minorHAnsi" w:hAnsiTheme="minorHAnsi"/>
          <w:sz w:val="22"/>
          <w:szCs w:val="22"/>
        </w:rPr>
        <w:t xml:space="preserve"> using</w:t>
      </w:r>
      <w:r w:rsidR="00DE098C" w:rsidRPr="00F62144">
        <w:rPr>
          <w:rFonts w:asciiTheme="minorHAnsi" w:hAnsiTheme="minorHAnsi"/>
          <w:sz w:val="22"/>
          <w:szCs w:val="22"/>
        </w:rPr>
        <w:t xml:space="preserve"> </w:t>
      </w:r>
      <w:r w:rsidR="006D0919" w:rsidRPr="00F62144">
        <w:rPr>
          <w:rFonts w:asciiTheme="minorHAnsi" w:hAnsiTheme="minorHAnsi"/>
          <w:sz w:val="22"/>
          <w:szCs w:val="22"/>
        </w:rPr>
        <w:t xml:space="preserve">the Lookback Rule, the UVB </w:t>
      </w:r>
      <w:r w:rsidRPr="00F62144">
        <w:rPr>
          <w:rFonts w:asciiTheme="minorHAnsi" w:hAnsiTheme="minorHAnsi"/>
          <w:sz w:val="22"/>
          <w:szCs w:val="22"/>
        </w:rPr>
        <w:t>V</w:t>
      </w:r>
      <w:r w:rsidR="006D0919" w:rsidRPr="00F62144">
        <w:rPr>
          <w:rFonts w:asciiTheme="minorHAnsi" w:hAnsiTheme="minorHAnsi"/>
          <w:sz w:val="22"/>
          <w:szCs w:val="22"/>
        </w:rPr>
        <w:t xml:space="preserve">aluation </w:t>
      </w:r>
      <w:r w:rsidRPr="00F62144">
        <w:rPr>
          <w:rFonts w:asciiTheme="minorHAnsi" w:hAnsiTheme="minorHAnsi"/>
          <w:sz w:val="22"/>
          <w:szCs w:val="22"/>
        </w:rPr>
        <w:t>D</w:t>
      </w:r>
      <w:r w:rsidR="006D0919" w:rsidRPr="00F62144">
        <w:rPr>
          <w:rFonts w:asciiTheme="minorHAnsi" w:hAnsiTheme="minorHAnsi"/>
          <w:sz w:val="22"/>
          <w:szCs w:val="22"/>
        </w:rPr>
        <w:t xml:space="preserve">ate is </w:t>
      </w:r>
      <w:r w:rsidRPr="00F62144">
        <w:rPr>
          <w:rFonts w:asciiTheme="minorHAnsi" w:hAnsiTheme="minorHAnsi"/>
          <w:sz w:val="22"/>
          <w:szCs w:val="22"/>
        </w:rPr>
        <w:t xml:space="preserve">the </w:t>
      </w:r>
      <w:r w:rsidR="00564C0B" w:rsidRPr="00F62144">
        <w:rPr>
          <w:rFonts w:asciiTheme="minorHAnsi" w:hAnsiTheme="minorHAnsi"/>
          <w:sz w:val="22"/>
          <w:szCs w:val="22"/>
        </w:rPr>
        <w:t xml:space="preserve">valuation date used to determine the minimum required contribution (i.e., “the funding valuation date”) </w:t>
      </w:r>
      <w:r w:rsidR="006D0919" w:rsidRPr="00F62144">
        <w:rPr>
          <w:rFonts w:asciiTheme="minorHAnsi" w:hAnsiTheme="minorHAnsi"/>
          <w:sz w:val="22"/>
          <w:szCs w:val="22"/>
        </w:rPr>
        <w:t>for the Lookback Year</w:t>
      </w:r>
      <w:r w:rsidR="00564C0B" w:rsidRPr="00F62144">
        <w:rPr>
          <w:rFonts w:asciiTheme="minorHAnsi" w:hAnsiTheme="minorHAnsi"/>
          <w:sz w:val="22"/>
          <w:szCs w:val="22"/>
        </w:rPr>
        <w:t>.</w:t>
      </w:r>
      <w:r w:rsidRPr="00F62144">
        <w:rPr>
          <w:rFonts w:asciiTheme="minorHAnsi" w:hAnsiTheme="minorHAnsi"/>
          <w:sz w:val="22"/>
          <w:szCs w:val="22"/>
        </w:rPr>
        <w:t xml:space="preserve"> For all other plans, the UVB Valuation Date </w:t>
      </w:r>
      <w:r w:rsidR="006D0919" w:rsidRPr="00F62144">
        <w:rPr>
          <w:rFonts w:asciiTheme="minorHAnsi" w:hAnsiTheme="minorHAnsi"/>
          <w:sz w:val="22"/>
          <w:szCs w:val="22"/>
        </w:rPr>
        <w:t>is the funding valuation date for the Premium Payment Year.</w:t>
      </w:r>
    </w:p>
    <w:p w14:paraId="02CBB7E2" w14:textId="77777777" w:rsidR="006D0919" w:rsidRPr="00F62144" w:rsidRDefault="007F25A2" w:rsidP="00697BB7">
      <w:pPr>
        <w:spacing w:before="120"/>
        <w:rPr>
          <w:rFonts w:asciiTheme="minorHAnsi" w:hAnsiTheme="minorHAnsi"/>
          <w:b/>
          <w:sz w:val="22"/>
          <w:szCs w:val="22"/>
        </w:rPr>
      </w:pPr>
      <w:r w:rsidRPr="00F62144">
        <w:rPr>
          <w:rFonts w:asciiTheme="minorHAnsi" w:hAnsiTheme="minorHAnsi"/>
          <w:b/>
          <w:sz w:val="22"/>
          <w:szCs w:val="22"/>
        </w:rPr>
        <w:t>E</w:t>
      </w:r>
      <w:r w:rsidR="006D0919" w:rsidRPr="00F62144">
        <w:rPr>
          <w:rFonts w:asciiTheme="minorHAnsi" w:hAnsiTheme="minorHAnsi"/>
          <w:b/>
          <w:sz w:val="22"/>
          <w:szCs w:val="22"/>
        </w:rPr>
        <w:t>xamples</w:t>
      </w:r>
    </w:p>
    <w:p w14:paraId="5C5A1E1C" w14:textId="77777777" w:rsidR="000613A2" w:rsidRPr="00F62144" w:rsidRDefault="000613A2" w:rsidP="00697BB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006D0919" w:rsidRPr="00F62144">
        <w:rPr>
          <w:rFonts w:asciiTheme="minorHAnsi" w:hAnsiTheme="minorHAnsi"/>
          <w:sz w:val="22"/>
          <w:szCs w:val="22"/>
        </w:rPr>
        <w:t>these</w:t>
      </w:r>
      <w:r w:rsidRPr="00F62144">
        <w:rPr>
          <w:rFonts w:asciiTheme="minorHAnsi" w:hAnsiTheme="minorHAnsi"/>
          <w:sz w:val="22"/>
          <w:szCs w:val="22"/>
        </w:rPr>
        <w:t xml:space="preserve"> rules:</w:t>
      </w:r>
    </w:p>
    <w:p w14:paraId="0841FD2E" w14:textId="77777777" w:rsidR="007E22BB" w:rsidRPr="00F62144" w:rsidRDefault="007E22BB" w:rsidP="00697BB7">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  Plan A’s Variable-Rate Premium for </w:t>
      </w:r>
      <w:r w:rsidR="00AE348E">
        <w:rPr>
          <w:rFonts w:asciiTheme="minorHAnsi" w:hAnsiTheme="minorHAnsi"/>
          <w:sz w:val="22"/>
          <w:szCs w:val="22"/>
        </w:rPr>
        <w:t>2018</w:t>
      </w:r>
      <w:r w:rsidRPr="00F62144">
        <w:rPr>
          <w:rFonts w:asciiTheme="minorHAnsi" w:hAnsiTheme="minorHAnsi"/>
          <w:sz w:val="22"/>
          <w:szCs w:val="22"/>
        </w:rPr>
        <w:t xml:space="preserve"> is based on UVBs for </w:t>
      </w:r>
      <w:r w:rsidR="00AE348E">
        <w:rPr>
          <w:rFonts w:asciiTheme="minorHAnsi" w:hAnsiTheme="minorHAnsi"/>
          <w:sz w:val="22"/>
          <w:szCs w:val="22"/>
        </w:rPr>
        <w:t>2018</w:t>
      </w:r>
      <w:r w:rsidR="000359FF" w:rsidRPr="00F62144">
        <w:rPr>
          <w:rFonts w:asciiTheme="minorHAnsi" w:hAnsiTheme="minorHAnsi"/>
          <w:sz w:val="22"/>
          <w:szCs w:val="22"/>
        </w:rPr>
        <w:t xml:space="preserve"> (i.e., the Premium Payment Year) </w:t>
      </w:r>
      <w:r w:rsidRPr="00F62144">
        <w:rPr>
          <w:rFonts w:asciiTheme="minorHAnsi" w:hAnsiTheme="minorHAnsi"/>
          <w:sz w:val="22"/>
          <w:szCs w:val="22"/>
        </w:rPr>
        <w:t>measured as of 1/1/</w:t>
      </w:r>
      <w:r w:rsidR="00AE348E">
        <w:rPr>
          <w:rFonts w:asciiTheme="minorHAnsi" w:hAnsiTheme="minorHAnsi"/>
          <w:sz w:val="22"/>
          <w:szCs w:val="22"/>
        </w:rPr>
        <w:t>2018</w:t>
      </w:r>
      <w:r w:rsidRPr="00F62144">
        <w:rPr>
          <w:rFonts w:asciiTheme="minorHAnsi" w:hAnsiTheme="minorHAnsi"/>
          <w:sz w:val="22"/>
          <w:szCs w:val="22"/>
        </w:rPr>
        <w:t>.  This result is not dependent on whether the plan is a Continuation Plan.</w:t>
      </w:r>
    </w:p>
    <w:p w14:paraId="669A927E" w14:textId="77777777" w:rsidR="007E22BB" w:rsidRPr="00F62144" w:rsidRDefault="007E22BB" w:rsidP="002205F7">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 </w:t>
      </w:r>
      <w:r w:rsidR="002553E6" w:rsidRPr="00F62144">
        <w:rPr>
          <w:rFonts w:asciiTheme="minorHAnsi" w:hAnsiTheme="minorHAnsi"/>
          <w:sz w:val="22"/>
          <w:szCs w:val="22"/>
        </w:rPr>
        <w:t>and is therefore is subject to the Lookback Rule.  Plan B has</w:t>
      </w:r>
      <w:r w:rsidRPr="00F62144">
        <w:rPr>
          <w:rFonts w:asciiTheme="minorHAnsi" w:hAnsiTheme="minorHAnsi"/>
          <w:sz w:val="22"/>
          <w:szCs w:val="22"/>
        </w:rPr>
        <w:t xml:space="preserve"> a calendar year plan year and a beginning of year valuation date</w:t>
      </w:r>
      <w:r w:rsidR="002553E6" w:rsidRPr="00F62144">
        <w:rPr>
          <w:rFonts w:asciiTheme="minorHAnsi" w:hAnsiTheme="minorHAnsi"/>
          <w:sz w:val="22"/>
          <w:szCs w:val="22"/>
        </w:rPr>
        <w:t xml:space="preserve">. </w:t>
      </w:r>
      <w:r w:rsidR="00694D1C" w:rsidRPr="00F62144">
        <w:rPr>
          <w:rFonts w:asciiTheme="minorHAnsi" w:hAnsiTheme="minorHAnsi"/>
          <w:sz w:val="22"/>
          <w:szCs w:val="22"/>
        </w:rPr>
        <w:t xml:space="preserve">Plan B did not submit a request a PBGC regarding the Lookback Rule.  </w:t>
      </w:r>
      <w:r w:rsidR="00551DEA" w:rsidRPr="00F62144">
        <w:rPr>
          <w:rFonts w:asciiTheme="minorHAnsi" w:hAnsiTheme="minorHAnsi"/>
          <w:sz w:val="22"/>
          <w:szCs w:val="22"/>
        </w:rPr>
        <w:t xml:space="preserve">If </w:t>
      </w:r>
      <w:r w:rsidRPr="00F62144">
        <w:rPr>
          <w:rFonts w:asciiTheme="minorHAnsi" w:hAnsiTheme="minorHAnsi"/>
          <w:sz w:val="22"/>
          <w:szCs w:val="22"/>
        </w:rPr>
        <w:t>Plan B</w:t>
      </w:r>
      <w:r w:rsidR="002205F7" w:rsidRPr="00F62144">
        <w:rPr>
          <w:rFonts w:asciiTheme="minorHAnsi" w:hAnsiTheme="minorHAnsi"/>
          <w:sz w:val="22"/>
          <w:szCs w:val="22"/>
        </w:rPr>
        <w:t xml:space="preserve"> </w:t>
      </w:r>
      <w:r w:rsidR="009926FF" w:rsidRPr="00F62144">
        <w:rPr>
          <w:rFonts w:asciiTheme="minorHAnsi" w:hAnsiTheme="minorHAnsi"/>
          <w:sz w:val="22"/>
          <w:szCs w:val="22"/>
        </w:rPr>
        <w:t xml:space="preserve">did </w:t>
      </w:r>
      <w:r w:rsidR="002553E6" w:rsidRPr="00F62144">
        <w:rPr>
          <w:rFonts w:asciiTheme="minorHAnsi" w:hAnsiTheme="minorHAnsi"/>
          <w:sz w:val="22"/>
          <w:szCs w:val="22"/>
        </w:rPr>
        <w:t>not opt out of the Lo</w:t>
      </w:r>
      <w:r w:rsidRPr="00F62144">
        <w:rPr>
          <w:rFonts w:asciiTheme="minorHAnsi" w:hAnsiTheme="minorHAnsi"/>
          <w:sz w:val="22"/>
          <w:szCs w:val="22"/>
        </w:rPr>
        <w:t>okback Rule</w:t>
      </w:r>
      <w:r w:rsidR="009926FF" w:rsidRPr="00F62144">
        <w:rPr>
          <w:rFonts w:asciiTheme="minorHAnsi" w:hAnsiTheme="minorHAnsi"/>
          <w:sz w:val="22"/>
          <w:szCs w:val="22"/>
        </w:rPr>
        <w:t xml:space="preserve"> for </w:t>
      </w:r>
      <w:r w:rsidR="00AE348E">
        <w:rPr>
          <w:rFonts w:asciiTheme="minorHAnsi" w:hAnsiTheme="minorHAnsi"/>
          <w:sz w:val="22"/>
          <w:szCs w:val="22"/>
        </w:rPr>
        <w:t>2017</w:t>
      </w:r>
      <w:r w:rsidRPr="00F62144">
        <w:rPr>
          <w:rFonts w:asciiTheme="minorHAnsi" w:hAnsiTheme="minorHAnsi"/>
          <w:sz w:val="22"/>
          <w:szCs w:val="22"/>
        </w:rPr>
        <w:t xml:space="preserve">, its Variable-rate Premium for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is based on UVBs for</w:t>
      </w:r>
      <w:r w:rsidR="000359FF" w:rsidRPr="00F62144">
        <w:rPr>
          <w:rFonts w:asciiTheme="minorHAnsi" w:hAnsiTheme="minorHAnsi"/>
          <w:sz w:val="22"/>
          <w:szCs w:val="22"/>
        </w:rPr>
        <w:t xml:space="preserve"> the plan year beginning in </w:t>
      </w:r>
      <w:r w:rsidR="00AE348E">
        <w:rPr>
          <w:rFonts w:asciiTheme="minorHAnsi" w:hAnsiTheme="minorHAnsi"/>
          <w:sz w:val="22"/>
          <w:szCs w:val="22"/>
        </w:rPr>
        <w:t>2017</w:t>
      </w:r>
      <w:r w:rsidR="00D00079" w:rsidRPr="00F62144">
        <w:rPr>
          <w:rFonts w:asciiTheme="minorHAnsi" w:hAnsiTheme="minorHAnsi"/>
          <w:sz w:val="22"/>
          <w:szCs w:val="22"/>
        </w:rPr>
        <w:t xml:space="preserve"> </w:t>
      </w:r>
      <w:r w:rsidR="00694D1C" w:rsidRPr="00F62144">
        <w:rPr>
          <w:rFonts w:asciiTheme="minorHAnsi" w:hAnsiTheme="minorHAnsi"/>
          <w:sz w:val="22"/>
          <w:szCs w:val="22"/>
        </w:rPr>
        <w:t>measured as of 1/1/</w:t>
      </w:r>
      <w:r w:rsidR="00AE348E">
        <w:rPr>
          <w:rFonts w:asciiTheme="minorHAnsi" w:hAnsiTheme="minorHAnsi"/>
          <w:sz w:val="22"/>
          <w:szCs w:val="22"/>
        </w:rPr>
        <w:t>2017</w:t>
      </w:r>
      <w:r w:rsidR="002205F7" w:rsidRPr="00F62144">
        <w:rPr>
          <w:rFonts w:asciiTheme="minorHAnsi" w:hAnsiTheme="minorHAnsi"/>
          <w:sz w:val="22"/>
          <w:szCs w:val="22"/>
        </w:rPr>
        <w:t xml:space="preserve">.  If Plan B </w:t>
      </w:r>
      <w:r w:rsidR="00DF674A" w:rsidRPr="00F62144">
        <w:rPr>
          <w:rFonts w:asciiTheme="minorHAnsi" w:hAnsiTheme="minorHAnsi"/>
          <w:sz w:val="22"/>
          <w:szCs w:val="22"/>
        </w:rPr>
        <w:t>opt</w:t>
      </w:r>
      <w:r w:rsidR="00694D1C" w:rsidRPr="00F62144">
        <w:rPr>
          <w:rFonts w:asciiTheme="minorHAnsi" w:hAnsiTheme="minorHAnsi"/>
          <w:sz w:val="22"/>
          <w:szCs w:val="22"/>
        </w:rPr>
        <w:t>ed</w:t>
      </w:r>
      <w:r w:rsidR="00DF674A" w:rsidRPr="00F62144">
        <w:rPr>
          <w:rFonts w:asciiTheme="minorHAnsi" w:hAnsiTheme="minorHAnsi"/>
          <w:sz w:val="22"/>
          <w:szCs w:val="22"/>
        </w:rPr>
        <w:t xml:space="preserve"> </w:t>
      </w:r>
      <w:r w:rsidR="00551DEA" w:rsidRPr="00F62144">
        <w:rPr>
          <w:rFonts w:asciiTheme="minorHAnsi" w:hAnsiTheme="minorHAnsi"/>
          <w:sz w:val="22"/>
          <w:szCs w:val="22"/>
        </w:rPr>
        <w:t>out of the Lookback Rule</w:t>
      </w:r>
      <w:r w:rsidR="009926FF" w:rsidRPr="00F62144">
        <w:rPr>
          <w:rFonts w:asciiTheme="minorHAnsi" w:hAnsiTheme="minorHAnsi"/>
          <w:sz w:val="22"/>
          <w:szCs w:val="22"/>
        </w:rPr>
        <w:t xml:space="preserve"> for </w:t>
      </w:r>
      <w:r w:rsidR="00AE348E">
        <w:rPr>
          <w:rFonts w:asciiTheme="minorHAnsi" w:hAnsiTheme="minorHAnsi"/>
          <w:sz w:val="22"/>
          <w:szCs w:val="22"/>
        </w:rPr>
        <w:t>2017</w:t>
      </w:r>
      <w:r w:rsidR="00551DEA" w:rsidRPr="00F62144">
        <w:rPr>
          <w:rFonts w:asciiTheme="minorHAnsi" w:hAnsiTheme="minorHAnsi"/>
          <w:sz w:val="22"/>
          <w:szCs w:val="22"/>
        </w:rPr>
        <w:t xml:space="preserve">, its Variable-rate Premium for </w:t>
      </w:r>
      <w:r w:rsidR="00AE348E">
        <w:rPr>
          <w:rFonts w:asciiTheme="minorHAnsi" w:hAnsiTheme="minorHAnsi"/>
          <w:sz w:val="22"/>
          <w:szCs w:val="22"/>
        </w:rPr>
        <w:t>2018</w:t>
      </w:r>
      <w:r w:rsidR="00D00079" w:rsidRPr="00F62144">
        <w:rPr>
          <w:rFonts w:asciiTheme="minorHAnsi" w:hAnsiTheme="minorHAnsi"/>
          <w:sz w:val="22"/>
          <w:szCs w:val="22"/>
        </w:rPr>
        <w:t xml:space="preserve"> </w:t>
      </w:r>
      <w:r w:rsidR="00551DEA" w:rsidRPr="00F62144">
        <w:rPr>
          <w:rFonts w:asciiTheme="minorHAnsi" w:hAnsiTheme="minorHAnsi"/>
          <w:sz w:val="22"/>
          <w:szCs w:val="22"/>
        </w:rPr>
        <w:t xml:space="preserve">is based on UVBs for the plan year beginning in </w:t>
      </w:r>
      <w:r w:rsidR="00AE348E">
        <w:rPr>
          <w:rFonts w:asciiTheme="minorHAnsi" w:hAnsiTheme="minorHAnsi"/>
          <w:sz w:val="22"/>
          <w:szCs w:val="22"/>
        </w:rPr>
        <w:t>2018</w:t>
      </w:r>
      <w:r w:rsidR="00D00079" w:rsidRPr="00F62144">
        <w:rPr>
          <w:rFonts w:asciiTheme="minorHAnsi" w:hAnsiTheme="minorHAnsi"/>
          <w:sz w:val="22"/>
          <w:szCs w:val="22"/>
        </w:rPr>
        <w:t xml:space="preserve"> </w:t>
      </w:r>
      <w:r w:rsidR="00551DEA" w:rsidRPr="00F62144">
        <w:rPr>
          <w:rFonts w:asciiTheme="minorHAnsi" w:hAnsiTheme="minorHAnsi"/>
          <w:sz w:val="22"/>
          <w:szCs w:val="22"/>
        </w:rPr>
        <w:t>measured as of 1/1/</w:t>
      </w:r>
      <w:r w:rsidR="00AE348E">
        <w:rPr>
          <w:rFonts w:asciiTheme="minorHAnsi" w:hAnsiTheme="minorHAnsi"/>
          <w:sz w:val="22"/>
          <w:szCs w:val="22"/>
        </w:rPr>
        <w:t>2018</w:t>
      </w:r>
      <w:r w:rsidR="00551DEA" w:rsidRPr="00F62144">
        <w:rPr>
          <w:rFonts w:asciiTheme="minorHAnsi" w:hAnsiTheme="minorHAnsi"/>
          <w:sz w:val="22"/>
          <w:szCs w:val="22"/>
        </w:rPr>
        <w:t xml:space="preserve">.  </w:t>
      </w:r>
    </w:p>
    <w:p w14:paraId="52F2E23C" w14:textId="77777777" w:rsidR="0022553E" w:rsidRPr="00F62144" w:rsidRDefault="007E22BB" w:rsidP="00697BB7">
      <w:pPr>
        <w:spacing w:before="120"/>
        <w:rPr>
          <w:rFonts w:asciiTheme="minorHAnsi" w:hAnsiTheme="minorHAnsi"/>
          <w:sz w:val="22"/>
          <w:szCs w:val="22"/>
        </w:rPr>
      </w:pPr>
      <w:r w:rsidRPr="00F62144">
        <w:rPr>
          <w:rFonts w:asciiTheme="minorHAnsi" w:hAnsiTheme="minorHAnsi"/>
          <w:i/>
          <w:sz w:val="22"/>
          <w:szCs w:val="22"/>
        </w:rPr>
        <w:t xml:space="preserve">Example </w:t>
      </w:r>
      <w:r w:rsidR="002205F7" w:rsidRPr="00F62144">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2205F7" w:rsidRPr="00F62144">
        <w:rPr>
          <w:rFonts w:asciiTheme="minorHAnsi" w:hAnsiTheme="minorHAnsi"/>
          <w:sz w:val="22"/>
          <w:szCs w:val="22"/>
        </w:rPr>
        <w:t>C</w:t>
      </w:r>
      <w:r w:rsidRPr="00F62144">
        <w:rPr>
          <w:rFonts w:asciiTheme="minorHAnsi" w:hAnsiTheme="minorHAnsi"/>
          <w:sz w:val="22"/>
          <w:szCs w:val="22"/>
        </w:rPr>
        <w:t xml:space="preserve"> is a New Small Plan with a calendar year plan year and a </w:t>
      </w:r>
      <w:r w:rsidR="009F5036" w:rsidRPr="00F62144">
        <w:rPr>
          <w:rFonts w:asciiTheme="minorHAnsi" w:hAnsiTheme="minorHAnsi"/>
          <w:sz w:val="22"/>
          <w:szCs w:val="22"/>
        </w:rPr>
        <w:t>beginning of year</w:t>
      </w:r>
      <w:r w:rsidRPr="00F62144">
        <w:rPr>
          <w:rFonts w:asciiTheme="minorHAnsi" w:hAnsiTheme="minorHAnsi"/>
          <w:sz w:val="22"/>
          <w:szCs w:val="22"/>
        </w:rPr>
        <w:t xml:space="preserve"> valuation date.  Plan </w:t>
      </w:r>
      <w:r w:rsidR="002205F7" w:rsidRPr="00F62144">
        <w:rPr>
          <w:rFonts w:asciiTheme="minorHAnsi" w:hAnsiTheme="minorHAnsi"/>
          <w:sz w:val="22"/>
          <w:szCs w:val="22"/>
        </w:rPr>
        <w:t>C</w:t>
      </w:r>
      <w:r w:rsidRPr="00F62144">
        <w:rPr>
          <w:rFonts w:asciiTheme="minorHAnsi" w:hAnsiTheme="minorHAnsi"/>
          <w:sz w:val="22"/>
          <w:szCs w:val="22"/>
        </w:rPr>
        <w:t xml:space="preserve"> was created as the result of a </w:t>
      </w:r>
      <w:r w:rsidR="00B44EFA" w:rsidRPr="00F62144">
        <w:rPr>
          <w:rFonts w:asciiTheme="minorHAnsi" w:hAnsiTheme="minorHAnsi"/>
          <w:sz w:val="22"/>
          <w:szCs w:val="22"/>
        </w:rPr>
        <w:t xml:space="preserve">non </w:t>
      </w:r>
      <w:r w:rsidR="00D06E81" w:rsidRPr="00F62144">
        <w:rPr>
          <w:rFonts w:asciiTheme="minorHAnsi" w:hAnsiTheme="minorHAnsi"/>
          <w:i/>
          <w:iCs/>
          <w:sz w:val="22"/>
          <w:szCs w:val="22"/>
        </w:rPr>
        <w:t>de minimis</w:t>
      </w:r>
      <w:r w:rsidR="00B44EFA" w:rsidRPr="00F62144">
        <w:rPr>
          <w:rFonts w:asciiTheme="minorHAnsi" w:hAnsiTheme="minorHAnsi"/>
          <w:sz w:val="22"/>
          <w:szCs w:val="22"/>
        </w:rPr>
        <w:t xml:space="preserve"> </w:t>
      </w:r>
      <w:r w:rsidR="001870B3">
        <w:rPr>
          <w:rFonts w:asciiTheme="minorHAnsi" w:hAnsiTheme="minorHAnsi"/>
          <w:sz w:val="22"/>
          <w:szCs w:val="22"/>
        </w:rPr>
        <w:t>S</w:t>
      </w:r>
      <w:r w:rsidRPr="00F62144">
        <w:rPr>
          <w:rFonts w:asciiTheme="minorHAnsi" w:hAnsiTheme="minorHAnsi"/>
          <w:sz w:val="22"/>
          <w:szCs w:val="22"/>
        </w:rPr>
        <w:t xml:space="preserve">pin-off </w:t>
      </w:r>
      <w:r w:rsidR="00DF3CB6" w:rsidRPr="00F62144">
        <w:rPr>
          <w:rFonts w:asciiTheme="minorHAnsi" w:hAnsiTheme="minorHAnsi"/>
          <w:sz w:val="22"/>
          <w:szCs w:val="22"/>
        </w:rPr>
        <w:t xml:space="preserve">on </w:t>
      </w:r>
      <w:r w:rsidR="000C62CA" w:rsidRPr="00F62144">
        <w:rPr>
          <w:rFonts w:asciiTheme="minorHAnsi" w:hAnsiTheme="minorHAnsi"/>
          <w:sz w:val="22"/>
          <w:szCs w:val="22"/>
        </w:rPr>
        <w:t>1/1/</w:t>
      </w:r>
      <w:r w:rsidR="00AE348E">
        <w:rPr>
          <w:rFonts w:asciiTheme="minorHAnsi" w:hAnsiTheme="minorHAnsi"/>
          <w:sz w:val="22"/>
          <w:szCs w:val="22"/>
        </w:rPr>
        <w:t>2017</w:t>
      </w:r>
      <w:r w:rsidR="00DF3CB6" w:rsidRPr="00F62144">
        <w:rPr>
          <w:rFonts w:asciiTheme="minorHAnsi" w:hAnsiTheme="minorHAnsi"/>
          <w:sz w:val="22"/>
          <w:szCs w:val="22"/>
        </w:rPr>
        <w:t xml:space="preserve"> </w:t>
      </w:r>
      <w:r w:rsidRPr="00F62144">
        <w:rPr>
          <w:rFonts w:asciiTheme="minorHAnsi" w:hAnsiTheme="minorHAnsi"/>
          <w:sz w:val="22"/>
          <w:szCs w:val="22"/>
        </w:rPr>
        <w:t xml:space="preserve">and is therefore considered a Continuation Plan for </w:t>
      </w:r>
      <w:r w:rsidR="00AE348E">
        <w:rPr>
          <w:rFonts w:asciiTheme="minorHAnsi" w:hAnsiTheme="minorHAnsi"/>
          <w:sz w:val="22"/>
          <w:szCs w:val="22"/>
        </w:rPr>
        <w:t>2017</w:t>
      </w:r>
      <w:r w:rsidRPr="00F62144">
        <w:rPr>
          <w:rFonts w:asciiTheme="minorHAnsi" w:hAnsiTheme="minorHAnsi"/>
          <w:sz w:val="22"/>
          <w:szCs w:val="22"/>
        </w:rPr>
        <w:t xml:space="preserve">. </w:t>
      </w:r>
      <w:r w:rsidR="009F5036" w:rsidRPr="00F62144">
        <w:rPr>
          <w:rFonts w:asciiTheme="minorHAnsi" w:hAnsiTheme="minorHAnsi"/>
          <w:sz w:val="22"/>
          <w:szCs w:val="22"/>
        </w:rPr>
        <w:t xml:space="preserve"> As a Continuation Plan, </w:t>
      </w:r>
      <w:r w:rsidR="002E277D" w:rsidRPr="00F62144">
        <w:rPr>
          <w:rFonts w:asciiTheme="minorHAnsi" w:hAnsiTheme="minorHAnsi"/>
          <w:sz w:val="22"/>
          <w:szCs w:val="22"/>
        </w:rPr>
        <w:t xml:space="preserve">Plan </w:t>
      </w:r>
      <w:r w:rsidR="002205F7" w:rsidRPr="00F62144">
        <w:rPr>
          <w:rFonts w:asciiTheme="minorHAnsi" w:hAnsiTheme="minorHAnsi"/>
          <w:sz w:val="22"/>
          <w:szCs w:val="22"/>
        </w:rPr>
        <w:t>C</w:t>
      </w:r>
      <w:r w:rsidR="002E277D" w:rsidRPr="00F62144">
        <w:rPr>
          <w:rFonts w:asciiTheme="minorHAnsi" w:hAnsiTheme="minorHAnsi"/>
          <w:sz w:val="22"/>
          <w:szCs w:val="22"/>
        </w:rPr>
        <w:t xml:space="preserve"> is </w:t>
      </w:r>
      <w:r w:rsidR="009F5036" w:rsidRPr="00F62144">
        <w:rPr>
          <w:rFonts w:asciiTheme="minorHAnsi" w:hAnsiTheme="minorHAnsi"/>
          <w:sz w:val="22"/>
          <w:szCs w:val="22"/>
        </w:rPr>
        <w:t xml:space="preserve">not subject to </w:t>
      </w:r>
      <w:r w:rsidR="002E277D" w:rsidRPr="00F62144">
        <w:rPr>
          <w:rFonts w:asciiTheme="minorHAnsi" w:hAnsiTheme="minorHAnsi"/>
          <w:sz w:val="22"/>
          <w:szCs w:val="22"/>
        </w:rPr>
        <w:t xml:space="preserve">the Lookback Rule for </w:t>
      </w:r>
      <w:r w:rsidR="00AE348E">
        <w:rPr>
          <w:rFonts w:asciiTheme="minorHAnsi" w:hAnsiTheme="minorHAnsi"/>
          <w:sz w:val="22"/>
          <w:szCs w:val="22"/>
        </w:rPr>
        <w:t>2017</w:t>
      </w:r>
      <w:r w:rsidR="000C62CA" w:rsidRPr="00F62144">
        <w:rPr>
          <w:rFonts w:asciiTheme="minorHAnsi" w:hAnsiTheme="minorHAnsi"/>
          <w:sz w:val="22"/>
          <w:szCs w:val="22"/>
        </w:rPr>
        <w:t xml:space="preserve"> (because there is no prior year to look back to). That means UVBs are measured as 1/1/</w:t>
      </w:r>
      <w:r w:rsidR="00AE348E">
        <w:rPr>
          <w:rFonts w:asciiTheme="minorHAnsi" w:hAnsiTheme="minorHAnsi"/>
          <w:sz w:val="22"/>
          <w:szCs w:val="22"/>
        </w:rPr>
        <w:t>2017</w:t>
      </w:r>
      <w:r w:rsidR="000C62CA" w:rsidRPr="00F62144">
        <w:rPr>
          <w:rStyle w:val="FootnoteReference"/>
          <w:rFonts w:asciiTheme="minorHAnsi" w:hAnsiTheme="minorHAnsi"/>
          <w:sz w:val="22"/>
          <w:szCs w:val="22"/>
        </w:rPr>
        <w:footnoteReference w:id="10"/>
      </w:r>
      <w:r w:rsidR="000C62CA" w:rsidRPr="00F62144">
        <w:rPr>
          <w:rFonts w:asciiTheme="minorHAnsi" w:hAnsiTheme="minorHAnsi"/>
          <w:sz w:val="22"/>
          <w:szCs w:val="22"/>
        </w:rPr>
        <w:t xml:space="preserve">. </w:t>
      </w:r>
      <w:r w:rsidR="009F5036" w:rsidRPr="00F62144">
        <w:rPr>
          <w:rFonts w:asciiTheme="minorHAnsi" w:hAnsiTheme="minorHAnsi"/>
          <w:sz w:val="22"/>
          <w:szCs w:val="22"/>
        </w:rPr>
        <w:t xml:space="preserve"> </w:t>
      </w:r>
    </w:p>
    <w:p w14:paraId="4ADDF84E" w14:textId="77777777" w:rsidR="000D36EA" w:rsidRPr="00F62144" w:rsidRDefault="000D36EA" w:rsidP="002205F7">
      <w:pPr>
        <w:spacing w:before="120"/>
        <w:rPr>
          <w:rFonts w:asciiTheme="minorHAnsi" w:hAnsiTheme="minorHAnsi"/>
          <w:sz w:val="22"/>
          <w:szCs w:val="22"/>
        </w:rPr>
      </w:pPr>
      <w:r w:rsidRPr="00F62144">
        <w:rPr>
          <w:rFonts w:asciiTheme="minorHAnsi" w:hAnsiTheme="minorHAnsi"/>
          <w:i/>
          <w:sz w:val="22"/>
          <w:szCs w:val="22"/>
        </w:rPr>
        <w:t xml:space="preserve">Example </w:t>
      </w:r>
      <w:r w:rsidR="002205F7" w:rsidRPr="00F62144">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2205F7" w:rsidRPr="00F62144">
        <w:rPr>
          <w:rFonts w:asciiTheme="minorHAnsi" w:hAnsiTheme="minorHAnsi"/>
          <w:sz w:val="22"/>
          <w:szCs w:val="22"/>
        </w:rPr>
        <w:t>D</w:t>
      </w:r>
      <w:r w:rsidRPr="00F62144">
        <w:rPr>
          <w:rFonts w:asciiTheme="minorHAnsi" w:hAnsiTheme="minorHAnsi"/>
          <w:sz w:val="22"/>
          <w:szCs w:val="22"/>
        </w:rPr>
        <w:t xml:space="preserve"> is a pre-</w:t>
      </w:r>
      <w:r w:rsidR="002205F7" w:rsidRPr="00F62144">
        <w:rPr>
          <w:rFonts w:asciiTheme="minorHAnsi" w:hAnsiTheme="minorHAnsi"/>
          <w:sz w:val="22"/>
          <w:szCs w:val="22"/>
        </w:rPr>
        <w:t>existing Plan</w:t>
      </w:r>
      <w:r w:rsidRPr="00F62144">
        <w:rPr>
          <w:rFonts w:asciiTheme="minorHAnsi" w:hAnsiTheme="minorHAnsi"/>
          <w:sz w:val="22"/>
          <w:szCs w:val="22"/>
        </w:rPr>
        <w:t xml:space="preserve"> which has a calendar year plan year and a beginning of year valuation date.  Plan </w:t>
      </w:r>
      <w:r w:rsidR="002205F7" w:rsidRPr="00F62144">
        <w:rPr>
          <w:rFonts w:asciiTheme="minorHAnsi" w:hAnsiTheme="minorHAnsi"/>
          <w:sz w:val="22"/>
          <w:szCs w:val="22"/>
        </w:rPr>
        <w:t>D</w:t>
      </w:r>
      <w:r w:rsidRPr="00F62144">
        <w:rPr>
          <w:rFonts w:asciiTheme="minorHAnsi" w:hAnsiTheme="minorHAnsi"/>
          <w:sz w:val="22"/>
          <w:szCs w:val="22"/>
        </w:rPr>
        <w:t xml:space="preserve"> had a participant count of 102 for </w:t>
      </w:r>
      <w:r w:rsidR="00AE348E">
        <w:rPr>
          <w:rFonts w:asciiTheme="minorHAnsi" w:hAnsiTheme="minorHAnsi"/>
          <w:sz w:val="22"/>
          <w:szCs w:val="22"/>
        </w:rPr>
        <w:t>2017</w:t>
      </w:r>
      <w:r w:rsidRPr="00F62144">
        <w:rPr>
          <w:rFonts w:asciiTheme="minorHAnsi" w:hAnsiTheme="minorHAnsi"/>
          <w:sz w:val="22"/>
          <w:szCs w:val="22"/>
        </w:rPr>
        <w:t xml:space="preserve">, but due to attrition, its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 xml:space="preserve">participant count is 98. Thus, Plan </w:t>
      </w:r>
      <w:r w:rsidR="002205F7" w:rsidRPr="00F62144">
        <w:rPr>
          <w:rFonts w:asciiTheme="minorHAnsi" w:hAnsiTheme="minorHAnsi"/>
          <w:sz w:val="22"/>
          <w:szCs w:val="22"/>
        </w:rPr>
        <w:t>D</w:t>
      </w:r>
      <w:r w:rsidRPr="00F62144">
        <w:rPr>
          <w:rFonts w:asciiTheme="minorHAnsi" w:hAnsiTheme="minorHAnsi"/>
          <w:sz w:val="22"/>
          <w:szCs w:val="22"/>
        </w:rPr>
        <w:t xml:space="preserve"> is now subject to the Lookback Rule. </w:t>
      </w:r>
      <w:r w:rsidR="002205F7" w:rsidRPr="00F62144">
        <w:rPr>
          <w:rFonts w:asciiTheme="minorHAnsi" w:hAnsiTheme="minorHAnsi"/>
          <w:sz w:val="22"/>
          <w:szCs w:val="22"/>
        </w:rPr>
        <w:t xml:space="preserve"> That means </w:t>
      </w:r>
      <w:r w:rsidRPr="00F62144">
        <w:rPr>
          <w:rFonts w:asciiTheme="minorHAnsi" w:hAnsiTheme="minorHAnsi"/>
          <w:sz w:val="22"/>
          <w:szCs w:val="22"/>
        </w:rPr>
        <w:t xml:space="preserve">Plan </w:t>
      </w:r>
      <w:r w:rsidR="002205F7" w:rsidRPr="00F62144">
        <w:rPr>
          <w:rFonts w:asciiTheme="minorHAnsi" w:hAnsiTheme="minorHAnsi"/>
          <w:sz w:val="22"/>
          <w:szCs w:val="22"/>
        </w:rPr>
        <w:t>D’s</w:t>
      </w:r>
      <w:r w:rsidRPr="00F62144">
        <w:rPr>
          <w:rFonts w:asciiTheme="minorHAnsi" w:hAnsiTheme="minorHAnsi"/>
          <w:sz w:val="22"/>
          <w:szCs w:val="22"/>
        </w:rPr>
        <w:t xml:space="preserve"> Variable-rate Premium for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AE348E">
        <w:rPr>
          <w:rFonts w:asciiTheme="minorHAnsi" w:hAnsiTheme="minorHAnsi"/>
          <w:sz w:val="22"/>
          <w:szCs w:val="22"/>
        </w:rPr>
        <w:t>2017</w:t>
      </w:r>
      <w:r w:rsidR="00D00079" w:rsidRPr="00F62144">
        <w:rPr>
          <w:rFonts w:asciiTheme="minorHAnsi" w:hAnsiTheme="minorHAnsi"/>
          <w:sz w:val="22"/>
          <w:szCs w:val="22"/>
        </w:rPr>
        <w:t xml:space="preserve"> </w:t>
      </w:r>
      <w:r w:rsidRPr="00F62144">
        <w:rPr>
          <w:rFonts w:asciiTheme="minorHAnsi" w:hAnsiTheme="minorHAnsi"/>
          <w:sz w:val="22"/>
          <w:szCs w:val="22"/>
        </w:rPr>
        <w:t>(i.e., the “Lookback Year” measured as of 1/1/</w:t>
      </w:r>
      <w:r w:rsidR="00AE348E">
        <w:rPr>
          <w:rFonts w:asciiTheme="minorHAnsi" w:hAnsiTheme="minorHAnsi"/>
          <w:sz w:val="22"/>
          <w:szCs w:val="22"/>
        </w:rPr>
        <w:t>2017</w:t>
      </w:r>
      <w:r w:rsidRPr="00F62144">
        <w:rPr>
          <w:rFonts w:asciiTheme="minorHAnsi" w:hAnsiTheme="minorHAnsi"/>
          <w:sz w:val="22"/>
          <w:szCs w:val="22"/>
        </w:rPr>
        <w:t>)</w:t>
      </w:r>
      <w:r w:rsidR="002205F7" w:rsidRPr="00F62144">
        <w:rPr>
          <w:rFonts w:asciiTheme="minorHAnsi" w:hAnsiTheme="minorHAnsi"/>
          <w:sz w:val="22"/>
          <w:szCs w:val="22"/>
        </w:rPr>
        <w:t xml:space="preserve">, the same UVBs that were used to determine the </w:t>
      </w:r>
      <w:r w:rsidR="00AE348E">
        <w:rPr>
          <w:rFonts w:asciiTheme="minorHAnsi" w:hAnsiTheme="minorHAnsi"/>
          <w:sz w:val="22"/>
          <w:szCs w:val="22"/>
        </w:rPr>
        <w:t>2017</w:t>
      </w:r>
      <w:r w:rsidR="00D00079" w:rsidRPr="00F62144">
        <w:rPr>
          <w:rFonts w:asciiTheme="minorHAnsi" w:hAnsiTheme="minorHAnsi"/>
          <w:sz w:val="22"/>
          <w:szCs w:val="22"/>
        </w:rPr>
        <w:t xml:space="preserve"> </w:t>
      </w:r>
      <w:r w:rsidR="002205F7" w:rsidRPr="00F62144">
        <w:rPr>
          <w:rFonts w:asciiTheme="minorHAnsi" w:hAnsiTheme="minorHAnsi"/>
          <w:sz w:val="22"/>
          <w:szCs w:val="22"/>
        </w:rPr>
        <w:t>VRP.  Alternatively, Plan D may opt</w:t>
      </w:r>
      <w:r w:rsidRPr="00F62144">
        <w:rPr>
          <w:rFonts w:asciiTheme="minorHAnsi" w:hAnsiTheme="minorHAnsi"/>
          <w:sz w:val="22"/>
          <w:szCs w:val="22"/>
        </w:rPr>
        <w:t xml:space="preserve"> out of the Lookback Rule, </w:t>
      </w:r>
      <w:r w:rsidR="002205F7" w:rsidRPr="00F62144">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AE348E">
        <w:rPr>
          <w:rFonts w:asciiTheme="minorHAnsi" w:hAnsiTheme="minorHAnsi"/>
          <w:sz w:val="22"/>
          <w:szCs w:val="22"/>
        </w:rPr>
        <w:t>2018</w:t>
      </w:r>
      <w:r w:rsidR="00D00079" w:rsidRPr="00F62144">
        <w:rPr>
          <w:rFonts w:asciiTheme="minorHAnsi" w:hAnsiTheme="minorHAnsi"/>
          <w:sz w:val="22"/>
          <w:szCs w:val="22"/>
        </w:rPr>
        <w:t xml:space="preserve"> </w:t>
      </w:r>
      <w:r w:rsidR="002205F7" w:rsidRPr="00F62144">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measured as of 1/1/</w:t>
      </w:r>
      <w:r w:rsidR="00AE348E">
        <w:rPr>
          <w:rFonts w:asciiTheme="minorHAnsi" w:hAnsiTheme="minorHAnsi"/>
          <w:sz w:val="22"/>
          <w:szCs w:val="22"/>
        </w:rPr>
        <w:t>2018</w:t>
      </w:r>
      <w:r w:rsidRPr="00F62144">
        <w:rPr>
          <w:rFonts w:asciiTheme="minorHAnsi" w:hAnsiTheme="minorHAnsi"/>
          <w:sz w:val="22"/>
          <w:szCs w:val="22"/>
        </w:rPr>
        <w:t xml:space="preserve">.  </w:t>
      </w:r>
    </w:p>
    <w:p w14:paraId="408BA061" w14:textId="77777777" w:rsidR="002205F7" w:rsidRPr="00F62144" w:rsidRDefault="002205F7">
      <w:pPr>
        <w:rPr>
          <w:rFonts w:asciiTheme="minorHAnsi" w:hAnsiTheme="minorHAnsi"/>
          <w:b/>
          <w:sz w:val="22"/>
          <w:szCs w:val="22"/>
        </w:rPr>
      </w:pPr>
    </w:p>
    <w:p w14:paraId="47946D20" w14:textId="77777777" w:rsidR="00F12837" w:rsidRPr="00F62144" w:rsidRDefault="00F12837" w:rsidP="00697BB7">
      <w:pPr>
        <w:spacing w:before="120"/>
        <w:rPr>
          <w:rFonts w:asciiTheme="minorHAnsi" w:hAnsiTheme="minorHAnsi"/>
          <w:b/>
          <w:sz w:val="22"/>
          <w:szCs w:val="22"/>
        </w:rPr>
      </w:pPr>
      <w:r w:rsidRPr="00F62144">
        <w:rPr>
          <w:rFonts w:asciiTheme="minorHAnsi" w:hAnsiTheme="minorHAnsi"/>
          <w:b/>
          <w:sz w:val="22"/>
          <w:szCs w:val="22"/>
        </w:rPr>
        <w:t>Premium Funding Target</w:t>
      </w:r>
    </w:p>
    <w:p w14:paraId="242B2DD5" w14:textId="77777777" w:rsidR="00F12837" w:rsidRPr="00F62144" w:rsidRDefault="00F12837" w:rsidP="00697BB7">
      <w:pPr>
        <w:spacing w:before="120"/>
        <w:rPr>
          <w:rFonts w:asciiTheme="minorHAnsi" w:hAnsiTheme="minorHAnsi"/>
          <w:sz w:val="22"/>
          <w:szCs w:val="22"/>
        </w:rPr>
      </w:pPr>
      <w:r w:rsidRPr="00F62144">
        <w:rPr>
          <w:rFonts w:asciiTheme="minorHAnsi" w:hAnsiTheme="minorHAnsi"/>
          <w:sz w:val="22"/>
          <w:szCs w:val="22"/>
        </w:rPr>
        <w:t xml:space="preserve">The Premium Funding Target is the liability measure underlying the UVB calculation. It is determined the same way the funding target is determined under ERISA section 303 (minimum funding requirements) except that only vested benefits are included, and a special premium discount rate structure is used. </w:t>
      </w:r>
      <w:r w:rsidR="00C03694" w:rsidRPr="00F6214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000671F5" w:rsidRPr="00F62144">
        <w:rPr>
          <w:rFonts w:asciiTheme="minorHAnsi" w:hAnsiTheme="minorHAnsi"/>
          <w:sz w:val="22"/>
          <w:szCs w:val="22"/>
        </w:rPr>
        <w:t xml:space="preserve"> 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000671F5" w:rsidRPr="00F62144">
        <w:rPr>
          <w:rFonts w:asciiTheme="minorHAnsi" w:hAnsiTheme="minorHAnsi"/>
          <w:sz w:val="22"/>
          <w:szCs w:val="22"/>
        </w:rPr>
        <w:t xml:space="preserve">smoothed </w:t>
      </w:r>
      <w:r w:rsidRPr="00F62144">
        <w:rPr>
          <w:rFonts w:asciiTheme="minorHAnsi" w:hAnsiTheme="minorHAnsi"/>
          <w:sz w:val="22"/>
          <w:szCs w:val="22"/>
        </w:rPr>
        <w:t>discount rates</w:t>
      </w:r>
      <w:r w:rsidR="000671F5" w:rsidRPr="00F62144">
        <w:rPr>
          <w:rFonts w:asciiTheme="minorHAnsi" w:hAnsiTheme="minorHAnsi"/>
          <w:sz w:val="22"/>
          <w:szCs w:val="22"/>
        </w:rPr>
        <w:t xml:space="preserve">, similar to, and in some cases identical to, the rates </w:t>
      </w:r>
      <w:r w:rsidRPr="00F62144">
        <w:rPr>
          <w:rFonts w:asciiTheme="minorHAnsi" w:hAnsiTheme="minorHAnsi"/>
          <w:sz w:val="22"/>
          <w:szCs w:val="22"/>
        </w:rPr>
        <w:t xml:space="preserve">used to determine the minimum required contribution. Different terminology is used to describe the Premium Funding Target depending on whether this election is in effect. </w:t>
      </w:r>
    </w:p>
    <w:p w14:paraId="278A099D" w14:textId="77777777" w:rsidR="00EC3EEA" w:rsidRPr="00F62144" w:rsidRDefault="00F12837" w:rsidP="00023A8E">
      <w:pPr>
        <w:numPr>
          <w:ilvl w:val="0"/>
          <w:numId w:val="28"/>
        </w:numPr>
        <w:tabs>
          <w:tab w:val="clear" w:pos="720"/>
          <w:tab w:val="num" w:pos="360"/>
        </w:tabs>
        <w:autoSpaceDE w:val="0"/>
        <w:autoSpaceDN w:val="0"/>
        <w:adjustRightInd w:val="0"/>
        <w:spacing w:before="120"/>
        <w:ind w:left="360"/>
        <w:rPr>
          <w:rFonts w:asciiTheme="minorHAnsi" w:eastAsia="Times New Roman"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 The discount rates used to determine the Standard Premium Funding Target are</w:t>
      </w:r>
      <w:r w:rsidR="00F65109" w:rsidRPr="00F62144">
        <w:rPr>
          <w:rFonts w:asciiTheme="minorHAnsi" w:hAnsiTheme="minorHAnsi"/>
          <w:sz w:val="22"/>
          <w:szCs w:val="22"/>
        </w:rPr>
        <w:t xml:space="preserve"> the </w:t>
      </w:r>
      <w:r w:rsidR="001363B1" w:rsidRPr="00F62144">
        <w:rPr>
          <w:rFonts w:asciiTheme="minorHAnsi" w:hAnsiTheme="minorHAnsi"/>
          <w:sz w:val="22"/>
          <w:szCs w:val="22"/>
        </w:rPr>
        <w:t xml:space="preserve">ERISA section 4006(a)(3)(E)(iv)) </w:t>
      </w:r>
      <w:r w:rsidR="00F65109" w:rsidRPr="00F62144">
        <w:rPr>
          <w:rFonts w:asciiTheme="minorHAnsi" w:hAnsiTheme="minorHAnsi"/>
          <w:sz w:val="22"/>
          <w:szCs w:val="22"/>
        </w:rPr>
        <w:t>segment rates for</w:t>
      </w:r>
      <w:r w:rsidR="00EC3EEA" w:rsidRPr="00F62144">
        <w:rPr>
          <w:rFonts w:asciiTheme="minorHAnsi" w:hAnsiTheme="minorHAnsi"/>
          <w:sz w:val="22"/>
          <w:szCs w:val="22"/>
        </w:rPr>
        <w:t>:</w:t>
      </w:r>
    </w:p>
    <w:p w14:paraId="759F9F94" w14:textId="77777777" w:rsidR="00EC3EEA" w:rsidRPr="00F62144" w:rsidRDefault="00EC3EEA" w:rsidP="00023A8E">
      <w:pPr>
        <w:numPr>
          <w:ilvl w:val="1"/>
          <w:numId w:val="44"/>
        </w:numPr>
        <w:tabs>
          <w:tab w:val="clear" w:pos="1440"/>
          <w:tab w:val="num" w:pos="810"/>
        </w:tabs>
        <w:autoSpaceDE w:val="0"/>
        <w:autoSpaceDN w:val="0"/>
        <w:adjustRightInd w:val="0"/>
        <w:spacing w:before="120"/>
        <w:ind w:left="810" w:hanging="450"/>
        <w:rPr>
          <w:rFonts w:asciiTheme="minorHAnsi" w:eastAsia="Times New Roman" w:hAnsiTheme="minorHAnsi"/>
          <w:sz w:val="22"/>
          <w:szCs w:val="22"/>
        </w:rPr>
      </w:pPr>
      <w:r w:rsidRPr="00F62144">
        <w:rPr>
          <w:rFonts w:asciiTheme="minorHAnsi" w:hAnsiTheme="minorHAnsi"/>
          <w:sz w:val="22"/>
          <w:szCs w:val="22"/>
        </w:rPr>
        <w:t xml:space="preserve">In the case of a </w:t>
      </w:r>
      <w:r w:rsidR="00193E5D" w:rsidRPr="00F62144">
        <w:rPr>
          <w:rFonts w:asciiTheme="minorHAnsi" w:hAnsiTheme="minorHAnsi"/>
          <w:sz w:val="22"/>
          <w:szCs w:val="22"/>
        </w:rPr>
        <w:t>Small P</w:t>
      </w:r>
      <w:r w:rsidRPr="00F62144">
        <w:rPr>
          <w:rFonts w:asciiTheme="minorHAnsi" w:hAnsiTheme="minorHAnsi"/>
          <w:sz w:val="22"/>
          <w:szCs w:val="22"/>
        </w:rPr>
        <w:t xml:space="preserve">lan </w:t>
      </w:r>
      <w:r w:rsidR="00193E5D" w:rsidRPr="00F62144">
        <w:rPr>
          <w:rFonts w:asciiTheme="minorHAnsi" w:hAnsiTheme="minorHAnsi"/>
          <w:sz w:val="22"/>
          <w:szCs w:val="22"/>
        </w:rPr>
        <w:t xml:space="preserve">using </w:t>
      </w:r>
      <w:r w:rsidRPr="00F62144">
        <w:rPr>
          <w:rFonts w:asciiTheme="minorHAnsi" w:hAnsiTheme="minorHAnsi"/>
          <w:sz w:val="22"/>
          <w:szCs w:val="22"/>
        </w:rPr>
        <w:t xml:space="preserve">the Lookback Rule, </w:t>
      </w:r>
      <w:r w:rsidR="00F12837" w:rsidRPr="00F62144">
        <w:rPr>
          <w:rFonts w:asciiTheme="minorHAnsi" w:hAnsiTheme="minorHAnsi"/>
          <w:sz w:val="22"/>
          <w:szCs w:val="22"/>
        </w:rPr>
        <w:t xml:space="preserve">the month </w:t>
      </w:r>
      <w:r w:rsidR="001363B1" w:rsidRPr="00F62144">
        <w:rPr>
          <w:rFonts w:asciiTheme="minorHAnsi" w:hAnsiTheme="minorHAnsi"/>
          <w:sz w:val="22"/>
          <w:szCs w:val="22"/>
        </w:rPr>
        <w:t>before</w:t>
      </w:r>
      <w:r w:rsidR="00F12837" w:rsidRPr="00F62144">
        <w:rPr>
          <w:rFonts w:asciiTheme="minorHAnsi" w:hAnsiTheme="minorHAnsi"/>
          <w:sz w:val="22"/>
          <w:szCs w:val="22"/>
        </w:rPr>
        <w:t xml:space="preserve"> the month in which the </w:t>
      </w:r>
      <w:r w:rsidRPr="00F62144">
        <w:rPr>
          <w:rFonts w:asciiTheme="minorHAnsi" w:hAnsiTheme="minorHAnsi"/>
          <w:sz w:val="22"/>
          <w:szCs w:val="22"/>
        </w:rPr>
        <w:t>Lookback Year</w:t>
      </w:r>
      <w:r w:rsidR="00F12837" w:rsidRPr="00F62144">
        <w:rPr>
          <w:rFonts w:asciiTheme="minorHAnsi" w:hAnsiTheme="minorHAnsi"/>
          <w:sz w:val="22"/>
          <w:szCs w:val="22"/>
        </w:rPr>
        <w:t xml:space="preserve"> begins</w:t>
      </w:r>
      <w:r w:rsidRPr="00F62144">
        <w:rPr>
          <w:rFonts w:asciiTheme="minorHAnsi" w:hAnsiTheme="minorHAnsi"/>
          <w:sz w:val="22"/>
          <w:szCs w:val="22"/>
        </w:rPr>
        <w:t>.</w:t>
      </w:r>
    </w:p>
    <w:p w14:paraId="07B9DEEA" w14:textId="77777777" w:rsidR="00EC3EEA" w:rsidRPr="00F62144" w:rsidRDefault="00EC3EEA" w:rsidP="00023A8E">
      <w:pPr>
        <w:numPr>
          <w:ilvl w:val="1"/>
          <w:numId w:val="44"/>
        </w:numPr>
        <w:tabs>
          <w:tab w:val="clear" w:pos="1440"/>
          <w:tab w:val="num" w:pos="810"/>
        </w:tabs>
        <w:autoSpaceDE w:val="0"/>
        <w:autoSpaceDN w:val="0"/>
        <w:adjustRightInd w:val="0"/>
        <w:spacing w:before="120"/>
        <w:ind w:left="810" w:hanging="450"/>
        <w:rPr>
          <w:rFonts w:asciiTheme="minorHAnsi" w:eastAsia="Times New Roman" w:hAnsiTheme="minorHAnsi"/>
          <w:sz w:val="22"/>
          <w:szCs w:val="22"/>
        </w:rPr>
      </w:pPr>
      <w:r w:rsidRPr="00F62144">
        <w:rPr>
          <w:rFonts w:asciiTheme="minorHAnsi" w:hAnsiTheme="minorHAnsi"/>
          <w:sz w:val="22"/>
          <w:szCs w:val="22"/>
        </w:rPr>
        <w:t xml:space="preserve">In the case of any other plan, the month </w:t>
      </w:r>
      <w:r w:rsidR="001363B1" w:rsidRPr="00F62144">
        <w:rPr>
          <w:rFonts w:asciiTheme="minorHAnsi" w:hAnsiTheme="minorHAnsi"/>
          <w:sz w:val="22"/>
          <w:szCs w:val="22"/>
        </w:rPr>
        <w:t>before</w:t>
      </w:r>
      <w:r w:rsidRPr="00F62144">
        <w:rPr>
          <w:rFonts w:asciiTheme="minorHAnsi" w:hAnsiTheme="minorHAnsi"/>
          <w:sz w:val="22"/>
          <w:szCs w:val="22"/>
        </w:rPr>
        <w:t xml:space="preserve"> the month in which the </w:t>
      </w:r>
      <w:r w:rsidR="006D10F1" w:rsidRPr="00F62144">
        <w:rPr>
          <w:rFonts w:asciiTheme="minorHAnsi" w:hAnsiTheme="minorHAnsi"/>
          <w:sz w:val="22"/>
          <w:szCs w:val="22"/>
        </w:rPr>
        <w:t>Premium Payment</w:t>
      </w:r>
      <w:r w:rsidRPr="00F62144">
        <w:rPr>
          <w:rFonts w:asciiTheme="minorHAnsi" w:hAnsiTheme="minorHAnsi"/>
          <w:sz w:val="22"/>
          <w:szCs w:val="22"/>
        </w:rPr>
        <w:t xml:space="preserve"> Year begins</w:t>
      </w:r>
      <w:r w:rsidR="00F65109" w:rsidRPr="00F62144">
        <w:rPr>
          <w:rFonts w:asciiTheme="minorHAnsi" w:hAnsiTheme="minorHAnsi"/>
          <w:sz w:val="22"/>
          <w:szCs w:val="22"/>
        </w:rPr>
        <w:t>.</w:t>
      </w:r>
    </w:p>
    <w:p w14:paraId="00A96B16" w14:textId="77777777" w:rsidR="00F12837" w:rsidRPr="00F62144" w:rsidRDefault="00F12837" w:rsidP="00697BB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 However,</w:t>
      </w:r>
      <w:r w:rsidR="005E3B81" w:rsidRPr="00F62144">
        <w:rPr>
          <w:rFonts w:asciiTheme="minorHAnsi" w:hAnsiTheme="minorHAnsi"/>
          <w:sz w:val="22"/>
          <w:szCs w:val="22"/>
        </w:rPr>
        <w:t xml:space="preserve"> unlike ERISA 303 segment rates</w:t>
      </w:r>
      <w:r w:rsidR="001363B1" w:rsidRPr="00F62144">
        <w:rPr>
          <w:rFonts w:asciiTheme="minorHAnsi" w:hAnsiTheme="minorHAnsi"/>
          <w:sz w:val="22"/>
          <w:szCs w:val="22"/>
        </w:rPr>
        <w:t xml:space="preserve"> which are averaged over 24 months, the segment rates used to determine the Standard Premium Funding Target are</w:t>
      </w:r>
      <w:r w:rsidR="005E3B81" w:rsidRPr="00F62144">
        <w:rPr>
          <w:rFonts w:asciiTheme="minorHAnsi" w:hAnsiTheme="minorHAnsi"/>
          <w:sz w:val="22"/>
          <w:szCs w:val="22"/>
        </w:rPr>
        <w:t xml:space="preserve"> not </w:t>
      </w:r>
      <w:r w:rsidR="000B7E25" w:rsidRPr="00F62144">
        <w:rPr>
          <w:rFonts w:asciiTheme="minorHAnsi" w:hAnsiTheme="minorHAnsi"/>
          <w:sz w:val="22"/>
          <w:szCs w:val="22"/>
        </w:rPr>
        <w:t>averaged</w:t>
      </w:r>
      <w:r w:rsidR="001363B1" w:rsidRPr="00F62144">
        <w:rPr>
          <w:rFonts w:asciiTheme="minorHAnsi" w:hAnsiTheme="minorHAnsi"/>
          <w:sz w:val="22"/>
          <w:szCs w:val="22"/>
        </w:rPr>
        <w:t>.</w:t>
      </w:r>
      <w:r w:rsidR="005E3B81" w:rsidRPr="00F62144">
        <w:rPr>
          <w:rFonts w:asciiTheme="minorHAnsi" w:hAnsiTheme="minorHAnsi"/>
          <w:sz w:val="22"/>
          <w:szCs w:val="22"/>
        </w:rPr>
        <w:t xml:space="preserve"> </w:t>
      </w:r>
      <w:r w:rsidR="000B7E25" w:rsidRPr="00F62144">
        <w:rPr>
          <w:rFonts w:asciiTheme="minorHAnsi" w:hAnsiTheme="minorHAnsi"/>
          <w:sz w:val="22"/>
          <w:szCs w:val="22"/>
        </w:rPr>
        <w:t xml:space="preserve"> </w:t>
      </w:r>
      <w:r w:rsidRPr="00F62144">
        <w:rPr>
          <w:rFonts w:asciiTheme="minorHAnsi" w:hAnsiTheme="minorHAnsi"/>
          <w:sz w:val="22"/>
          <w:szCs w:val="22"/>
        </w:rPr>
        <w:t>The</w:t>
      </w:r>
      <w:r w:rsidR="001363B1" w:rsidRPr="00F62144">
        <w:rPr>
          <w:rFonts w:asciiTheme="minorHAnsi" w:hAnsiTheme="minorHAnsi"/>
          <w:sz w:val="22"/>
          <w:szCs w:val="22"/>
        </w:rPr>
        <w:t>se</w:t>
      </w:r>
      <w:r w:rsidRPr="00F62144">
        <w:rPr>
          <w:rFonts w:asciiTheme="minorHAnsi" w:hAnsiTheme="minorHAnsi"/>
          <w:sz w:val="22"/>
          <w:szCs w:val="22"/>
        </w:rPr>
        <w:t xml:space="preserve"> </w:t>
      </w:r>
      <w:r w:rsidR="001363B1" w:rsidRPr="00F62144">
        <w:rPr>
          <w:rFonts w:asciiTheme="minorHAnsi" w:hAnsiTheme="minorHAnsi"/>
          <w:sz w:val="22"/>
          <w:szCs w:val="22"/>
        </w:rPr>
        <w:t>“</w:t>
      </w:r>
      <w:r w:rsidR="000B7E25" w:rsidRPr="00F62144">
        <w:rPr>
          <w:rFonts w:asciiTheme="minorHAnsi" w:hAnsiTheme="minorHAnsi"/>
          <w:sz w:val="22"/>
          <w:szCs w:val="22"/>
        </w:rPr>
        <w:t>spot</w:t>
      </w:r>
      <w:r w:rsidR="001363B1" w:rsidRPr="00F62144">
        <w:rPr>
          <w:rFonts w:asciiTheme="minorHAnsi" w:hAnsiTheme="minorHAnsi"/>
          <w:sz w:val="22"/>
          <w:szCs w:val="22"/>
        </w:rPr>
        <w:t>”</w:t>
      </w:r>
      <w:r w:rsidR="000B7E25" w:rsidRPr="00F62144">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the </w:t>
      </w:r>
      <w:r w:rsidR="000F25B3" w:rsidRPr="00F62144">
        <w:rPr>
          <w:rFonts w:asciiTheme="minorHAnsi" w:hAnsiTheme="minorHAnsi"/>
          <w:sz w:val="22"/>
          <w:szCs w:val="22"/>
        </w:rPr>
        <w:t>“</w:t>
      </w:r>
      <w:hyperlink r:id="rId80" w:history="1">
        <w:r w:rsidR="000F25B3" w:rsidRPr="00F62144">
          <w:rPr>
            <w:rStyle w:val="Hyperlink"/>
            <w:rFonts w:asciiTheme="minorHAnsi" w:hAnsiTheme="minorHAnsi"/>
            <w:sz w:val="22"/>
            <w:szCs w:val="22"/>
          </w:rPr>
          <w:t>Interest Rates and Factors</w:t>
        </w:r>
      </w:hyperlink>
      <w:r w:rsidR="000F25B3" w:rsidRPr="00F62144">
        <w:rPr>
          <w:rFonts w:asciiTheme="minorHAnsi" w:hAnsiTheme="minorHAnsi"/>
          <w:sz w:val="22"/>
          <w:szCs w:val="22"/>
        </w:rPr>
        <w:t xml:space="preserve">” section of the </w:t>
      </w:r>
      <w:r w:rsidRPr="00F62144">
        <w:rPr>
          <w:rFonts w:asciiTheme="minorHAnsi" w:hAnsiTheme="minorHAnsi"/>
          <w:sz w:val="22"/>
          <w:szCs w:val="22"/>
        </w:rPr>
        <w:t xml:space="preserve">Practitioners </w:t>
      </w:r>
      <w:r w:rsidR="000B7E25" w:rsidRPr="00F62144">
        <w:rPr>
          <w:rFonts w:asciiTheme="minorHAnsi" w:hAnsiTheme="minorHAnsi"/>
          <w:sz w:val="22"/>
          <w:szCs w:val="22"/>
        </w:rPr>
        <w:t xml:space="preserve">Page </w:t>
      </w:r>
      <w:r w:rsidR="00A24B4F">
        <w:rPr>
          <w:rFonts w:asciiTheme="minorHAnsi" w:hAnsiTheme="minorHAnsi"/>
          <w:sz w:val="22"/>
          <w:szCs w:val="22"/>
        </w:rPr>
        <w:t xml:space="preserve">on </w:t>
      </w:r>
      <w:hyperlink r:id="rId81" w:history="1">
        <w:r w:rsidR="00A24B4F" w:rsidRPr="00A24B4F">
          <w:rPr>
            <w:rStyle w:val="Hyperlink"/>
            <w:rFonts w:asciiTheme="minorHAnsi" w:hAnsiTheme="minorHAnsi"/>
            <w:sz w:val="22"/>
            <w:szCs w:val="22"/>
          </w:rPr>
          <w:t>PBGC’s website</w:t>
        </w:r>
      </w:hyperlink>
      <w:r w:rsidRPr="00F62144">
        <w:rPr>
          <w:rFonts w:asciiTheme="minorHAnsi" w:hAnsiTheme="minorHAnsi"/>
          <w:sz w:val="22"/>
          <w:szCs w:val="22"/>
        </w:rPr>
        <w:t xml:space="preserve">. </w:t>
      </w:r>
    </w:p>
    <w:p w14:paraId="7E7DE7AE" w14:textId="77777777" w:rsidR="000F25B3" w:rsidRPr="00F62144" w:rsidRDefault="005E3B81" w:rsidP="00023A8E">
      <w:pPr>
        <w:numPr>
          <w:ilvl w:val="0"/>
          <w:numId w:val="2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  The Alternative Premium Funding Target is determined using the discount rates that would have been used to determine the ERISA section 303 funding target</w:t>
      </w:r>
      <w:r w:rsidR="0049639B" w:rsidRPr="00F62144">
        <w:rPr>
          <w:rStyle w:val="FootnoteReference"/>
          <w:rFonts w:asciiTheme="minorHAnsi" w:hAnsiTheme="minorHAnsi"/>
          <w:sz w:val="22"/>
          <w:szCs w:val="22"/>
        </w:rPr>
        <w:footnoteReference w:id="11"/>
      </w:r>
      <w:r w:rsidRPr="00F62144">
        <w:rPr>
          <w:rFonts w:asciiTheme="minorHAnsi" w:hAnsiTheme="minorHAnsi"/>
          <w:sz w:val="22"/>
          <w:szCs w:val="22"/>
        </w:rPr>
        <w:t xml:space="preserve"> for the Premium Payment Year (or, for a plan </w:t>
      </w:r>
      <w:r w:rsidR="00193E5D" w:rsidRPr="00F62144">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  Thus, if an election is made under:</w:t>
      </w:r>
    </w:p>
    <w:p w14:paraId="3F2E035C" w14:textId="77777777" w:rsidR="00F12837" w:rsidRPr="00F62144" w:rsidRDefault="00F12837" w:rsidP="00023A8E">
      <w:pPr>
        <w:numPr>
          <w:ilvl w:val="1"/>
          <w:numId w:val="29"/>
        </w:numPr>
        <w:tabs>
          <w:tab w:val="clear" w:pos="1440"/>
          <w:tab w:val="num" w:pos="720"/>
        </w:tabs>
        <w:autoSpaceDE w:val="0"/>
        <w:autoSpaceDN w:val="0"/>
        <w:adjustRightInd w:val="0"/>
        <w:spacing w:before="120"/>
        <w:ind w:left="720"/>
        <w:rPr>
          <w:rFonts w:asciiTheme="minorHAnsi" w:eastAsia="Times New Roman"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00A64117" w:rsidRPr="00F62144">
        <w:rPr>
          <w:rFonts w:asciiTheme="minorHAnsi" w:hAnsiTheme="minorHAnsi"/>
          <w:sz w:val="22"/>
          <w:szCs w:val="22"/>
        </w:rPr>
        <w:t xml:space="preserve"> or</w:t>
      </w:r>
    </w:p>
    <w:p w14:paraId="6343BD42" w14:textId="77777777" w:rsidR="00F12837" w:rsidRPr="00F62144" w:rsidRDefault="00F12837" w:rsidP="00023A8E">
      <w:pPr>
        <w:numPr>
          <w:ilvl w:val="1"/>
          <w:numId w:val="29"/>
        </w:numPr>
        <w:tabs>
          <w:tab w:val="clear" w:pos="1440"/>
          <w:tab w:val="num" w:pos="720"/>
        </w:tabs>
        <w:autoSpaceDE w:val="0"/>
        <w:autoSpaceDN w:val="0"/>
        <w:adjustRightInd w:val="0"/>
        <w:spacing w:before="120"/>
        <w:ind w:left="720"/>
        <w:rPr>
          <w:rFonts w:asciiTheme="minorHAnsi" w:eastAsia="Times New Roman"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00AF56F0" w:rsidRPr="00F62144">
        <w:rPr>
          <w:rFonts w:asciiTheme="minorHAnsi" w:hAnsiTheme="minorHAnsi"/>
          <w:sz w:val="22"/>
          <w:szCs w:val="22"/>
        </w:rPr>
        <w:t xml:space="preserve">, determined </w:t>
      </w:r>
      <w:r w:rsidR="00D13551" w:rsidRPr="00F62144">
        <w:rPr>
          <w:rFonts w:asciiTheme="minorHAnsi" w:hAnsiTheme="minorHAnsi"/>
          <w:sz w:val="22"/>
          <w:szCs w:val="22"/>
        </w:rPr>
        <w:t>without regard to t</w:t>
      </w:r>
      <w:r w:rsidR="00AF56F0" w:rsidRPr="00F62144">
        <w:rPr>
          <w:rFonts w:asciiTheme="minorHAnsi" w:hAnsiTheme="minorHAnsi"/>
          <w:sz w:val="22"/>
          <w:szCs w:val="22"/>
        </w:rPr>
        <w:t xml:space="preserve">he </w:t>
      </w:r>
      <w:r w:rsidR="00F84FF4">
        <w:rPr>
          <w:rFonts w:asciiTheme="minorHAnsi" w:hAnsiTheme="minorHAnsi"/>
          <w:sz w:val="22"/>
          <w:szCs w:val="22"/>
        </w:rPr>
        <w:t>Interest Rate</w:t>
      </w:r>
      <w:r w:rsidR="00F84FF4" w:rsidRPr="00F62144">
        <w:rPr>
          <w:rFonts w:asciiTheme="minorHAnsi" w:hAnsiTheme="minorHAnsi"/>
          <w:sz w:val="22"/>
          <w:szCs w:val="22"/>
        </w:rPr>
        <w:t xml:space="preserve"> </w:t>
      </w:r>
      <w:r w:rsidR="005010B2" w:rsidRPr="00F62144">
        <w:rPr>
          <w:rFonts w:asciiTheme="minorHAnsi" w:hAnsiTheme="minorHAnsi"/>
          <w:sz w:val="22"/>
          <w:szCs w:val="22"/>
        </w:rPr>
        <w:t>S</w:t>
      </w:r>
      <w:r w:rsidR="00AF56F0" w:rsidRPr="00F62144">
        <w:rPr>
          <w:rFonts w:asciiTheme="minorHAnsi" w:hAnsiTheme="minorHAnsi"/>
          <w:sz w:val="22"/>
          <w:szCs w:val="22"/>
        </w:rPr>
        <w:t xml:space="preserve">tabilization </w:t>
      </w:r>
      <w:r w:rsidR="005010B2" w:rsidRPr="00F62144">
        <w:rPr>
          <w:rFonts w:asciiTheme="minorHAnsi" w:hAnsiTheme="minorHAnsi"/>
          <w:sz w:val="22"/>
          <w:szCs w:val="22"/>
        </w:rPr>
        <w:t>Rules</w:t>
      </w:r>
      <w:r w:rsidR="00AF56F0" w:rsidRPr="00F62144">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00A64117" w:rsidRPr="00F62144">
        <w:rPr>
          <w:rFonts w:asciiTheme="minorHAnsi" w:hAnsiTheme="minorHAnsi"/>
          <w:sz w:val="22"/>
          <w:szCs w:val="22"/>
        </w:rPr>
        <w:t>.</w:t>
      </w:r>
    </w:p>
    <w:p w14:paraId="38C068D7" w14:textId="77777777" w:rsidR="00F327C7" w:rsidRPr="00F62144" w:rsidRDefault="00DD5FEC" w:rsidP="00697BB7">
      <w:pPr>
        <w:spacing w:before="120"/>
        <w:rPr>
          <w:rFonts w:asciiTheme="minorHAnsi" w:hAnsiTheme="minorHAnsi"/>
          <w:sz w:val="22"/>
          <w:szCs w:val="22"/>
        </w:rPr>
      </w:pPr>
      <w:r w:rsidRPr="00F62144">
        <w:rPr>
          <w:rFonts w:asciiTheme="minorHAnsi" w:hAnsiTheme="minorHAnsi"/>
          <w:sz w:val="22"/>
          <w:szCs w:val="22"/>
        </w:rPr>
        <w:t xml:space="preserve">Until an election is officially revoked, it remains in place.  </w:t>
      </w:r>
      <w:r w:rsidR="00F12837" w:rsidRPr="00F62144">
        <w:rPr>
          <w:rFonts w:asciiTheme="minorHAnsi" w:hAnsiTheme="minorHAnsi"/>
          <w:sz w:val="22"/>
          <w:szCs w:val="22"/>
        </w:rPr>
        <w:t xml:space="preserve">An election to use the Alternative Premium Funding Target cannot be revoked for five </w:t>
      </w:r>
      <w:r w:rsidR="0017795C" w:rsidRPr="00F62144">
        <w:rPr>
          <w:rFonts w:asciiTheme="minorHAnsi" w:hAnsiTheme="minorHAnsi"/>
          <w:sz w:val="22"/>
          <w:szCs w:val="22"/>
        </w:rPr>
        <w:t>calendar year</w:t>
      </w:r>
      <w:r w:rsidR="00F327C7" w:rsidRPr="00F62144">
        <w:rPr>
          <w:rFonts w:asciiTheme="minorHAnsi" w:hAnsiTheme="minorHAnsi"/>
          <w:sz w:val="22"/>
          <w:szCs w:val="22"/>
        </w:rPr>
        <w:t>s</w:t>
      </w:r>
      <w:r w:rsidR="00F12837" w:rsidRPr="00F62144">
        <w:rPr>
          <w:rFonts w:asciiTheme="minorHAnsi" w:hAnsiTheme="minorHAnsi"/>
          <w:sz w:val="22"/>
          <w:szCs w:val="22"/>
        </w:rPr>
        <w:t xml:space="preserve">. </w:t>
      </w:r>
      <w:r w:rsidR="0017795C" w:rsidRPr="00F62144">
        <w:rPr>
          <w:rFonts w:asciiTheme="minorHAnsi" w:hAnsiTheme="minorHAnsi"/>
          <w:sz w:val="22"/>
          <w:szCs w:val="22"/>
        </w:rPr>
        <w:t xml:space="preserve"> </w:t>
      </w:r>
      <w:r w:rsidR="00584FA2" w:rsidRPr="00F62144">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00584FA2" w:rsidRPr="00F62144">
        <w:rPr>
          <w:rFonts w:asciiTheme="minorHAnsi" w:hAnsiTheme="minorHAnsi"/>
          <w:sz w:val="22"/>
          <w:szCs w:val="22"/>
        </w:rPr>
        <w:t xml:space="preserve"> years. T</w:t>
      </w:r>
      <w:r w:rsidR="00F327C7" w:rsidRPr="00F62144">
        <w:rPr>
          <w:rFonts w:asciiTheme="minorHAnsi" w:hAnsiTheme="minorHAnsi"/>
          <w:sz w:val="22"/>
          <w:szCs w:val="22"/>
        </w:rPr>
        <w:t>he following example illustrate</w:t>
      </w:r>
      <w:r w:rsidR="007655F4" w:rsidRPr="00F62144">
        <w:rPr>
          <w:rFonts w:asciiTheme="minorHAnsi" w:hAnsiTheme="minorHAnsi"/>
          <w:sz w:val="22"/>
          <w:szCs w:val="22"/>
        </w:rPr>
        <w:t>s</w:t>
      </w:r>
      <w:r w:rsidR="00F327C7" w:rsidRPr="00F62144">
        <w:rPr>
          <w:rFonts w:asciiTheme="minorHAnsi" w:hAnsiTheme="minorHAnsi"/>
          <w:sz w:val="22"/>
          <w:szCs w:val="22"/>
        </w:rPr>
        <w:t xml:space="preserve"> the rules</w:t>
      </w:r>
      <w:r w:rsidR="00D0445F" w:rsidRPr="00F62144">
        <w:rPr>
          <w:rFonts w:asciiTheme="minorHAnsi" w:hAnsiTheme="minorHAnsi"/>
          <w:sz w:val="22"/>
          <w:szCs w:val="22"/>
        </w:rPr>
        <w:t xml:space="preserve"> on making and revoking an election to use the Alternative Premium Funding Target.</w:t>
      </w:r>
    </w:p>
    <w:p w14:paraId="4882CE1B" w14:textId="77777777" w:rsidR="000325B6" w:rsidRPr="00F62144" w:rsidRDefault="000325B6">
      <w:pPr>
        <w:rPr>
          <w:rFonts w:asciiTheme="minorHAnsi" w:hAnsiTheme="minorHAnsi"/>
          <w:i/>
          <w:sz w:val="22"/>
          <w:szCs w:val="22"/>
        </w:rPr>
      </w:pPr>
    </w:p>
    <w:p w14:paraId="5D29BF05" w14:textId="77777777" w:rsidR="00BB256F" w:rsidRPr="00F62144" w:rsidRDefault="00BB256F" w:rsidP="00697BB7">
      <w:pPr>
        <w:spacing w:before="120"/>
        <w:rPr>
          <w:rFonts w:asciiTheme="minorHAnsi" w:hAnsiTheme="minorHAnsi"/>
          <w:sz w:val="22"/>
          <w:szCs w:val="22"/>
        </w:rPr>
      </w:pPr>
      <w:r w:rsidRPr="00F62144">
        <w:rPr>
          <w:rFonts w:asciiTheme="minorHAnsi" w:hAnsiTheme="minorHAnsi"/>
          <w:i/>
          <w:sz w:val="22"/>
          <w:szCs w:val="22"/>
        </w:rPr>
        <w:t xml:space="preserve">Example </w:t>
      </w:r>
      <w:r w:rsidR="0049639B" w:rsidRPr="00F62144">
        <w:rPr>
          <w:rFonts w:asciiTheme="minorHAnsi" w:hAnsiTheme="minorHAnsi"/>
          <w:i/>
          <w:sz w:val="22"/>
          <w:szCs w:val="22"/>
        </w:rPr>
        <w:t>–</w:t>
      </w:r>
      <w:r w:rsidR="0049639B" w:rsidRPr="00F62144">
        <w:rPr>
          <w:rFonts w:asciiTheme="minorHAnsi" w:hAnsiTheme="minorHAnsi"/>
          <w:sz w:val="22"/>
          <w:szCs w:val="22"/>
        </w:rPr>
        <w:t xml:space="preserve"> Plan</w:t>
      </w:r>
      <w:r w:rsidR="00F327C7" w:rsidRPr="00F62144">
        <w:rPr>
          <w:rFonts w:asciiTheme="minorHAnsi" w:hAnsiTheme="minorHAnsi"/>
          <w:sz w:val="22"/>
          <w:szCs w:val="22"/>
        </w:rPr>
        <w:t xml:space="preserve"> A first makes an election to use the Alternative Premium Funding Target for </w:t>
      </w:r>
      <w:r w:rsidR="0017795C" w:rsidRPr="00F62144">
        <w:rPr>
          <w:rFonts w:asciiTheme="minorHAnsi" w:hAnsiTheme="minorHAnsi"/>
          <w:sz w:val="22"/>
          <w:szCs w:val="22"/>
        </w:rPr>
        <w:t xml:space="preserve">a plan year that begins on April 1, </w:t>
      </w:r>
      <w:r w:rsidR="00AE348E">
        <w:rPr>
          <w:rFonts w:asciiTheme="minorHAnsi" w:hAnsiTheme="minorHAnsi"/>
          <w:sz w:val="22"/>
          <w:szCs w:val="22"/>
        </w:rPr>
        <w:t>2018</w:t>
      </w:r>
      <w:r w:rsidR="00F327C7" w:rsidRPr="00F62144">
        <w:rPr>
          <w:rFonts w:asciiTheme="minorHAnsi" w:hAnsiTheme="minorHAnsi"/>
          <w:sz w:val="22"/>
          <w:szCs w:val="22"/>
        </w:rPr>
        <w:t xml:space="preserve">.   In this case, </w:t>
      </w:r>
      <w:r w:rsidR="0017795C" w:rsidRPr="00F62144">
        <w:rPr>
          <w:rFonts w:asciiTheme="minorHAnsi" w:hAnsiTheme="minorHAnsi"/>
          <w:sz w:val="22"/>
          <w:szCs w:val="22"/>
        </w:rPr>
        <w:t xml:space="preserve">the Alternative Premium Funding Target must be used to determine unfunded vested benefits for all plan years beginning before April 1, </w:t>
      </w:r>
      <w:r w:rsidR="00BD2F93" w:rsidRPr="00F62144">
        <w:rPr>
          <w:rFonts w:asciiTheme="minorHAnsi" w:hAnsiTheme="minorHAnsi"/>
          <w:sz w:val="22"/>
          <w:szCs w:val="22"/>
        </w:rPr>
        <w:t>202</w:t>
      </w:r>
      <w:r w:rsidR="00BD2F93">
        <w:rPr>
          <w:rFonts w:asciiTheme="minorHAnsi" w:hAnsiTheme="minorHAnsi"/>
          <w:sz w:val="22"/>
          <w:szCs w:val="22"/>
        </w:rPr>
        <w:t>3</w:t>
      </w:r>
      <w:r w:rsidR="0017795C" w:rsidRPr="00F62144">
        <w:rPr>
          <w:rFonts w:asciiTheme="minorHAnsi" w:hAnsiTheme="minorHAnsi"/>
          <w:sz w:val="22"/>
          <w:szCs w:val="22"/>
        </w:rPr>
        <w:t xml:space="preserve">.  </w:t>
      </w:r>
      <w:r w:rsidR="00F327C7" w:rsidRPr="00F62144">
        <w:rPr>
          <w:rFonts w:asciiTheme="minorHAnsi" w:hAnsiTheme="minorHAnsi"/>
          <w:sz w:val="22"/>
          <w:szCs w:val="22"/>
        </w:rPr>
        <w:t xml:space="preserve"> </w:t>
      </w:r>
      <w:r w:rsidR="001E2E48" w:rsidRPr="00F62144">
        <w:rPr>
          <w:rFonts w:asciiTheme="minorHAnsi" w:hAnsiTheme="minorHAnsi"/>
          <w:sz w:val="22"/>
          <w:szCs w:val="22"/>
        </w:rPr>
        <w:t xml:space="preserve">The plan may revoke the election first effective for any plan year beginning on or after April 1, </w:t>
      </w:r>
      <w:r w:rsidR="003426C5" w:rsidRPr="00F62144">
        <w:rPr>
          <w:rFonts w:asciiTheme="minorHAnsi" w:hAnsiTheme="minorHAnsi"/>
          <w:sz w:val="22"/>
          <w:szCs w:val="22"/>
        </w:rPr>
        <w:t>202</w:t>
      </w:r>
      <w:r w:rsidR="003426C5">
        <w:rPr>
          <w:rFonts w:asciiTheme="minorHAnsi" w:hAnsiTheme="minorHAnsi"/>
          <w:sz w:val="22"/>
          <w:szCs w:val="22"/>
        </w:rPr>
        <w:t>3</w:t>
      </w:r>
      <w:r w:rsidR="001E2E48" w:rsidRPr="00F62144">
        <w:rPr>
          <w:rFonts w:asciiTheme="minorHAnsi" w:hAnsiTheme="minorHAnsi"/>
          <w:sz w:val="22"/>
          <w:szCs w:val="22"/>
        </w:rPr>
        <w:t xml:space="preserve">, but unless the election is revoked, it will remain in place.  </w:t>
      </w:r>
    </w:p>
    <w:p w14:paraId="2591FB29" w14:textId="77777777" w:rsidR="00A8171A" w:rsidRPr="00F62144" w:rsidRDefault="00F327C7" w:rsidP="000325B6">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00A76B10" w:rsidRPr="00F62144">
        <w:rPr>
          <w:rFonts w:asciiTheme="minorHAnsi" w:hAnsiTheme="minorHAnsi"/>
          <w:sz w:val="22"/>
          <w:szCs w:val="22"/>
        </w:rPr>
        <w:t xml:space="preserve"> </w:t>
      </w:r>
      <w:r w:rsidRPr="00F62144">
        <w:rPr>
          <w:rFonts w:asciiTheme="minorHAnsi" w:hAnsiTheme="minorHAnsi"/>
          <w:sz w:val="22"/>
          <w:szCs w:val="22"/>
        </w:rPr>
        <w:t>change</w:t>
      </w:r>
      <w:r w:rsidR="00A76B10" w:rsidRPr="00F62144">
        <w:rPr>
          <w:rFonts w:asciiTheme="minorHAnsi" w:hAnsiTheme="minorHAnsi"/>
          <w:sz w:val="22"/>
          <w:szCs w:val="22"/>
        </w:rPr>
        <w:t>s</w:t>
      </w:r>
      <w:r w:rsidRPr="00F62144">
        <w:rPr>
          <w:rFonts w:asciiTheme="minorHAnsi" w:hAnsiTheme="minorHAnsi"/>
          <w:sz w:val="22"/>
          <w:szCs w:val="22"/>
        </w:rPr>
        <w:t xml:space="preserve">.  For example, if the plan year is changed to the calendar year first effective January 1, </w:t>
      </w:r>
      <w:r w:rsidR="003426C5" w:rsidRPr="00F62144">
        <w:rPr>
          <w:rFonts w:asciiTheme="minorHAnsi" w:hAnsiTheme="minorHAnsi"/>
          <w:sz w:val="22"/>
          <w:szCs w:val="22"/>
        </w:rPr>
        <w:t>202</w:t>
      </w:r>
      <w:r w:rsidR="003426C5">
        <w:rPr>
          <w:rFonts w:asciiTheme="minorHAnsi" w:hAnsiTheme="minorHAnsi"/>
          <w:sz w:val="22"/>
          <w:szCs w:val="22"/>
        </w:rPr>
        <w:t>3</w:t>
      </w:r>
      <w:r w:rsidRPr="00F62144">
        <w:rPr>
          <w:rFonts w:asciiTheme="minorHAnsi" w:hAnsiTheme="minorHAnsi"/>
          <w:sz w:val="22"/>
          <w:szCs w:val="22"/>
        </w:rPr>
        <w:t xml:space="preserve">, the Alternative Premium Funding Target must be used for the short plan year April 1, </w:t>
      </w:r>
      <w:r w:rsidR="003426C5" w:rsidRPr="00F62144">
        <w:rPr>
          <w:rFonts w:asciiTheme="minorHAnsi" w:hAnsiTheme="minorHAnsi"/>
          <w:sz w:val="22"/>
          <w:szCs w:val="22"/>
        </w:rPr>
        <w:t>20</w:t>
      </w:r>
      <w:r w:rsidR="003426C5">
        <w:rPr>
          <w:rFonts w:asciiTheme="minorHAnsi" w:hAnsiTheme="minorHAnsi"/>
          <w:sz w:val="22"/>
          <w:szCs w:val="22"/>
        </w:rPr>
        <w:t>22</w:t>
      </w:r>
      <w:r w:rsidR="003426C5" w:rsidRPr="00F62144">
        <w:rPr>
          <w:rFonts w:asciiTheme="minorHAnsi" w:hAnsiTheme="minorHAnsi"/>
          <w:sz w:val="22"/>
          <w:szCs w:val="22"/>
        </w:rPr>
        <w:t xml:space="preserve"> </w:t>
      </w:r>
      <w:r w:rsidRPr="00F62144">
        <w:rPr>
          <w:rFonts w:asciiTheme="minorHAnsi" w:hAnsiTheme="minorHAnsi"/>
          <w:sz w:val="22"/>
          <w:szCs w:val="22"/>
        </w:rPr>
        <w:t xml:space="preserve">– December 31, </w:t>
      </w:r>
      <w:r w:rsidR="003426C5" w:rsidRPr="00F62144">
        <w:rPr>
          <w:rFonts w:asciiTheme="minorHAnsi" w:hAnsiTheme="minorHAnsi"/>
          <w:sz w:val="22"/>
          <w:szCs w:val="22"/>
        </w:rPr>
        <w:t>20</w:t>
      </w:r>
      <w:r w:rsidR="003426C5">
        <w:rPr>
          <w:rFonts w:asciiTheme="minorHAnsi" w:hAnsiTheme="minorHAnsi"/>
          <w:sz w:val="22"/>
          <w:szCs w:val="22"/>
        </w:rPr>
        <w:t>22</w:t>
      </w:r>
      <w:r w:rsidR="003426C5" w:rsidRPr="00F62144">
        <w:rPr>
          <w:rFonts w:asciiTheme="minorHAnsi" w:hAnsiTheme="minorHAnsi"/>
          <w:sz w:val="22"/>
          <w:szCs w:val="22"/>
        </w:rPr>
        <w:t xml:space="preserve"> </w:t>
      </w:r>
      <w:r w:rsidRPr="00F62144">
        <w:rPr>
          <w:rFonts w:asciiTheme="minorHAnsi" w:hAnsiTheme="minorHAnsi"/>
          <w:sz w:val="22"/>
          <w:szCs w:val="22"/>
        </w:rPr>
        <w:t xml:space="preserve">and for the January 1, </w:t>
      </w:r>
      <w:r w:rsidR="003426C5" w:rsidRPr="00F62144">
        <w:rPr>
          <w:rFonts w:asciiTheme="minorHAnsi" w:hAnsiTheme="minorHAnsi"/>
          <w:sz w:val="22"/>
          <w:szCs w:val="22"/>
        </w:rPr>
        <w:t>202</w:t>
      </w:r>
      <w:r w:rsidR="003426C5">
        <w:rPr>
          <w:rFonts w:asciiTheme="minorHAnsi" w:hAnsiTheme="minorHAnsi"/>
          <w:sz w:val="22"/>
          <w:szCs w:val="22"/>
        </w:rPr>
        <w:t>3</w:t>
      </w:r>
      <w:r w:rsidR="003426C5" w:rsidRPr="00F62144">
        <w:rPr>
          <w:rFonts w:asciiTheme="minorHAnsi" w:hAnsiTheme="minorHAnsi"/>
          <w:sz w:val="22"/>
          <w:szCs w:val="22"/>
        </w:rPr>
        <w:t xml:space="preserve"> </w:t>
      </w:r>
      <w:r w:rsidRPr="00F62144">
        <w:rPr>
          <w:rFonts w:asciiTheme="minorHAnsi" w:hAnsiTheme="minorHAnsi"/>
          <w:sz w:val="22"/>
          <w:szCs w:val="22"/>
        </w:rPr>
        <w:t xml:space="preserve">– December 31, </w:t>
      </w:r>
      <w:r w:rsidR="003426C5" w:rsidRPr="00F62144">
        <w:rPr>
          <w:rFonts w:asciiTheme="minorHAnsi" w:hAnsiTheme="minorHAnsi"/>
          <w:sz w:val="22"/>
          <w:szCs w:val="22"/>
        </w:rPr>
        <w:t>202</w:t>
      </w:r>
      <w:r w:rsidR="003426C5">
        <w:rPr>
          <w:rFonts w:asciiTheme="minorHAnsi" w:hAnsiTheme="minorHAnsi"/>
          <w:sz w:val="22"/>
          <w:szCs w:val="22"/>
        </w:rPr>
        <w:t>3</w:t>
      </w:r>
      <w:r w:rsidR="003426C5" w:rsidRPr="00F62144">
        <w:rPr>
          <w:rFonts w:asciiTheme="minorHAnsi" w:hAnsiTheme="minorHAnsi"/>
          <w:sz w:val="22"/>
          <w:szCs w:val="22"/>
        </w:rPr>
        <w:t xml:space="preserve"> </w:t>
      </w:r>
      <w:r w:rsidRPr="00F62144">
        <w:rPr>
          <w:rFonts w:asciiTheme="minorHAnsi" w:hAnsiTheme="minorHAnsi"/>
          <w:sz w:val="22"/>
          <w:szCs w:val="22"/>
        </w:rPr>
        <w:t xml:space="preserve">plan year.   The </w:t>
      </w:r>
      <w:r w:rsidR="00A76B10" w:rsidRPr="00F62144">
        <w:rPr>
          <w:rFonts w:asciiTheme="minorHAnsi" w:hAnsiTheme="minorHAnsi"/>
          <w:sz w:val="22"/>
          <w:szCs w:val="22"/>
        </w:rPr>
        <w:t xml:space="preserve">first plan year for which </w:t>
      </w:r>
      <w:r w:rsidR="005E7028" w:rsidRPr="00F62144">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00A76B10" w:rsidRPr="00F62144">
        <w:rPr>
          <w:rFonts w:asciiTheme="minorHAnsi" w:hAnsiTheme="minorHAnsi"/>
          <w:sz w:val="22"/>
          <w:szCs w:val="22"/>
        </w:rPr>
        <w:t xml:space="preserve">is the </w:t>
      </w:r>
      <w:r w:rsidR="003426C5" w:rsidRPr="00F62144">
        <w:rPr>
          <w:rFonts w:asciiTheme="minorHAnsi" w:hAnsiTheme="minorHAnsi"/>
          <w:sz w:val="22"/>
          <w:szCs w:val="22"/>
        </w:rPr>
        <w:t>202</w:t>
      </w:r>
      <w:r w:rsidR="003426C5">
        <w:rPr>
          <w:rFonts w:asciiTheme="minorHAnsi" w:hAnsiTheme="minorHAnsi"/>
          <w:sz w:val="22"/>
          <w:szCs w:val="22"/>
        </w:rPr>
        <w:t>4</w:t>
      </w:r>
      <w:r w:rsidR="003426C5" w:rsidRPr="00F62144">
        <w:rPr>
          <w:rFonts w:asciiTheme="minorHAnsi" w:hAnsiTheme="minorHAnsi"/>
          <w:sz w:val="22"/>
          <w:szCs w:val="22"/>
        </w:rPr>
        <w:t xml:space="preserve"> </w:t>
      </w:r>
      <w:r w:rsidRPr="00F62144">
        <w:rPr>
          <w:rFonts w:asciiTheme="minorHAnsi" w:hAnsiTheme="minorHAnsi"/>
          <w:sz w:val="22"/>
          <w:szCs w:val="22"/>
        </w:rPr>
        <w:t>plan year.</w:t>
      </w:r>
      <w:r w:rsidR="000325B6" w:rsidRPr="00F62144">
        <w:rPr>
          <w:rFonts w:asciiTheme="minorHAnsi" w:hAnsiTheme="minorHAnsi"/>
          <w:sz w:val="22"/>
          <w:szCs w:val="22"/>
        </w:rPr>
        <w:t xml:space="preserve">  </w:t>
      </w:r>
    </w:p>
    <w:p w14:paraId="6C5D0D4A" w14:textId="77777777" w:rsidR="006D38C5" w:rsidRDefault="006D38C5" w:rsidP="006D38C5">
      <w:pPr>
        <w:rPr>
          <w:rFonts w:asciiTheme="minorHAnsi" w:hAnsiTheme="minorHAnsi"/>
          <w:b/>
          <w:sz w:val="22"/>
          <w:szCs w:val="22"/>
        </w:rPr>
      </w:pPr>
      <w:bookmarkStart w:id="18" w:name="b8"/>
      <w:bookmarkEnd w:id="18"/>
    </w:p>
    <w:p w14:paraId="48D3AEF7" w14:textId="77777777" w:rsidR="002D294F" w:rsidRDefault="002D294F">
      <w:pPr>
        <w:rPr>
          <w:rFonts w:asciiTheme="minorHAnsi" w:hAnsiTheme="minorHAnsi"/>
          <w:b/>
          <w:sz w:val="22"/>
          <w:szCs w:val="22"/>
        </w:rPr>
      </w:pPr>
      <w:r>
        <w:rPr>
          <w:rFonts w:asciiTheme="minorHAnsi" w:hAnsiTheme="minorHAnsi"/>
          <w:b/>
          <w:sz w:val="22"/>
          <w:szCs w:val="22"/>
        </w:rPr>
        <w:br w:type="page"/>
      </w:r>
    </w:p>
    <w:p w14:paraId="7BEC26E6" w14:textId="77777777" w:rsidR="00DF005C" w:rsidRPr="00F62144" w:rsidRDefault="00412B65" w:rsidP="006D38C5">
      <w:pPr>
        <w:rPr>
          <w:rFonts w:asciiTheme="minorHAnsi" w:hAnsiTheme="minorHAnsi"/>
          <w:sz w:val="22"/>
          <w:szCs w:val="22"/>
        </w:rPr>
      </w:pPr>
      <w:r w:rsidRPr="00F62144">
        <w:rPr>
          <w:rFonts w:asciiTheme="minorHAnsi" w:hAnsiTheme="minorHAnsi"/>
          <w:b/>
          <w:sz w:val="22"/>
          <w:szCs w:val="22"/>
        </w:rPr>
        <w:t>T</w:t>
      </w:r>
      <w:r w:rsidR="00F12837" w:rsidRPr="00F62144">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00F12837" w:rsidRPr="00F62144">
        <w:rPr>
          <w:rFonts w:asciiTheme="minorHAnsi" w:hAnsiTheme="minorHAnsi"/>
          <w:b/>
          <w:sz w:val="22"/>
          <w:szCs w:val="22"/>
        </w:rPr>
        <w:t xml:space="preserve"> date. </w:t>
      </w:r>
      <w:r w:rsidR="00F12837" w:rsidRPr="00F62144">
        <w:rPr>
          <w:rFonts w:asciiTheme="minorHAnsi" w:hAnsiTheme="minorHAnsi"/>
          <w:sz w:val="22"/>
          <w:szCs w:val="22"/>
        </w:rPr>
        <w:t>An election to use (or revoke) the Alternative Premium Funding Target is made as part of the comprehensive premium filing</w:t>
      </w:r>
      <w:r w:rsidR="006323E7" w:rsidRPr="00F62144">
        <w:rPr>
          <w:rFonts w:asciiTheme="minorHAnsi" w:hAnsiTheme="minorHAnsi"/>
          <w:sz w:val="22"/>
          <w:szCs w:val="22"/>
        </w:rPr>
        <w:t xml:space="preserve">. </w:t>
      </w:r>
      <w:r w:rsidR="00DF005C" w:rsidRPr="00F62144">
        <w:rPr>
          <w:rFonts w:asciiTheme="minorHAnsi" w:hAnsiTheme="minorHAnsi"/>
          <w:sz w:val="22"/>
          <w:szCs w:val="22"/>
        </w:rPr>
        <w:t xml:space="preserve">If an election </w:t>
      </w:r>
      <w:r w:rsidR="00E071D1" w:rsidRPr="00F62144">
        <w:rPr>
          <w:rFonts w:asciiTheme="minorHAnsi" w:hAnsiTheme="minorHAnsi"/>
          <w:sz w:val="22"/>
          <w:szCs w:val="22"/>
        </w:rPr>
        <w:t>(or revocation)</w:t>
      </w:r>
      <w:r w:rsidR="00DF005C" w:rsidRPr="00F62144">
        <w:rPr>
          <w:rFonts w:asciiTheme="minorHAnsi" w:hAnsiTheme="minorHAnsi"/>
          <w:sz w:val="22"/>
          <w:szCs w:val="22"/>
        </w:rPr>
        <w:t xml:space="preserve"> is not made as part of the comprehensive filing, it may be made as part of an amended filing </w:t>
      </w:r>
      <w:r w:rsidR="00DF005C" w:rsidRPr="00F62144">
        <w:rPr>
          <w:rFonts w:asciiTheme="minorHAnsi" w:hAnsiTheme="minorHAnsi"/>
          <w:sz w:val="22"/>
          <w:szCs w:val="22"/>
          <w:u w:val="single"/>
        </w:rPr>
        <w:t>only if</w:t>
      </w:r>
      <w:r w:rsidR="00DF005C" w:rsidRPr="00F62144">
        <w:rPr>
          <w:rFonts w:asciiTheme="minorHAnsi" w:hAnsiTheme="minorHAnsi"/>
          <w:sz w:val="22"/>
          <w:szCs w:val="22"/>
        </w:rPr>
        <w:t xml:space="preserve"> the amended filing </w:t>
      </w:r>
      <w:r w:rsidR="00DD5FEC" w:rsidRPr="00F62144">
        <w:rPr>
          <w:rFonts w:asciiTheme="minorHAnsi" w:hAnsiTheme="minorHAnsi"/>
          <w:sz w:val="22"/>
          <w:szCs w:val="22"/>
        </w:rPr>
        <w:t>is</w:t>
      </w:r>
      <w:r w:rsidR="00DF005C" w:rsidRPr="00F62144">
        <w:rPr>
          <w:rFonts w:asciiTheme="minorHAnsi" w:hAnsiTheme="minorHAnsi"/>
          <w:sz w:val="22"/>
          <w:szCs w:val="22"/>
        </w:rPr>
        <w:t xml:space="preserve"> </w:t>
      </w:r>
      <w:r w:rsidR="003E5361" w:rsidRPr="00F62144">
        <w:rPr>
          <w:rFonts w:asciiTheme="minorHAnsi" w:hAnsiTheme="minorHAnsi"/>
          <w:sz w:val="22"/>
          <w:szCs w:val="22"/>
        </w:rPr>
        <w:t>made on or before the due date.</w:t>
      </w:r>
    </w:p>
    <w:p w14:paraId="2D9D3859" w14:textId="77777777" w:rsidR="00F12837" w:rsidRPr="00F62144" w:rsidRDefault="0049639B" w:rsidP="00697BB7">
      <w:pPr>
        <w:spacing w:before="120"/>
        <w:rPr>
          <w:rFonts w:asciiTheme="minorHAnsi" w:hAnsiTheme="minorHAnsi"/>
          <w:i/>
          <w:sz w:val="22"/>
          <w:szCs w:val="22"/>
        </w:rPr>
      </w:pPr>
      <w:r w:rsidRPr="00F62144">
        <w:rPr>
          <w:rFonts w:asciiTheme="minorHAnsi" w:hAnsiTheme="minorHAnsi"/>
          <w:i/>
          <w:sz w:val="22"/>
          <w:szCs w:val="22"/>
        </w:rPr>
        <w:t>V</w:t>
      </w:r>
      <w:r w:rsidR="00F12837" w:rsidRPr="00F62144">
        <w:rPr>
          <w:rFonts w:asciiTheme="minorHAnsi" w:hAnsiTheme="minorHAnsi"/>
          <w:i/>
          <w:sz w:val="22"/>
          <w:szCs w:val="22"/>
        </w:rPr>
        <w:t xml:space="preserve">ested </w:t>
      </w:r>
      <w:r w:rsidR="00BB23D7" w:rsidRPr="00F62144">
        <w:rPr>
          <w:rFonts w:asciiTheme="minorHAnsi" w:hAnsiTheme="minorHAnsi"/>
          <w:i/>
          <w:sz w:val="22"/>
          <w:szCs w:val="22"/>
        </w:rPr>
        <w:t>Benefits</w:t>
      </w:r>
    </w:p>
    <w:p w14:paraId="03876C4D" w14:textId="77777777" w:rsidR="00F12837" w:rsidRPr="00F62144" w:rsidRDefault="00160182" w:rsidP="00697BB7">
      <w:pPr>
        <w:spacing w:before="120"/>
        <w:rPr>
          <w:rFonts w:asciiTheme="minorHAnsi" w:hAnsiTheme="minorHAnsi"/>
          <w:sz w:val="22"/>
          <w:szCs w:val="22"/>
        </w:rPr>
      </w:pPr>
      <w:r w:rsidRPr="00F62144">
        <w:rPr>
          <w:rFonts w:asciiTheme="minorHAnsi" w:hAnsiTheme="minorHAnsi"/>
          <w:sz w:val="22"/>
          <w:szCs w:val="22"/>
        </w:rPr>
        <w:t>O</w:t>
      </w:r>
      <w:r w:rsidR="00F12837" w:rsidRPr="00F62144">
        <w:rPr>
          <w:rFonts w:asciiTheme="minorHAnsi" w:hAnsiTheme="minorHAnsi"/>
          <w:sz w:val="22"/>
          <w:szCs w:val="22"/>
        </w:rPr>
        <w:t>nly vested benefits are taken into account when determining the Premium Funding Target. For this purpose, a benefit does not fail to be considered vested solely because it is not protected under Code section 411(d)(6) and thus may be eliminated or reduced by the adoption of a plan amendment or by the occurrence of a condition or event. Such a benefit is vested for premium purposes (if the other requirements for vesting have been met) so long as the benefit has not actually been eliminated or reduced. In addition, certain benefits payable upon a participant’s death do not fail to be considered vested solely because the participant is still living. The benefits to which this rule applies are a qualified pre-retirement survivor annuity (QPSA), a post-retirement survivor annuity such as the annuity paid after a participant’s death under a joint-and-survivor or certain-and-continuous option, and a benefit that returns a participant’s accumulated mandatory employee contributions.</w:t>
      </w:r>
    </w:p>
    <w:p w14:paraId="7D5281C3" w14:textId="77777777" w:rsidR="00F12837" w:rsidRPr="00F62144" w:rsidRDefault="00F12837" w:rsidP="00697BB7">
      <w:pPr>
        <w:spacing w:before="120"/>
        <w:rPr>
          <w:rFonts w:asciiTheme="minorHAnsi" w:hAnsiTheme="minorHAnsi"/>
          <w:sz w:val="22"/>
          <w:szCs w:val="22"/>
        </w:rPr>
      </w:pPr>
      <w:r w:rsidRPr="00F62144">
        <w:rPr>
          <w:rFonts w:asciiTheme="minorHAnsi" w:hAnsiTheme="minorHAnsi"/>
          <w:sz w:val="22"/>
          <w:szCs w:val="22"/>
        </w:rPr>
        <w:t>Also, a participant’s pre-retirement lump-sum death benefit (other than a benefit that returns accumulated mandatory employee contributions or a QPSA paid as a lump sum) is not vested if the participant is living. Similarly, a disability benefit is not vested if the participant is not disabled. The following examples illustrate these concepts:</w:t>
      </w:r>
    </w:p>
    <w:p w14:paraId="61491418" w14:textId="77777777" w:rsidR="00375FE7" w:rsidRPr="00F62144" w:rsidRDefault="004C098A" w:rsidP="00697BB7">
      <w:pPr>
        <w:spacing w:before="120"/>
        <w:rPr>
          <w:rFonts w:asciiTheme="minorHAnsi" w:hAnsiTheme="minorHAnsi"/>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Under Plan A, if a participant retires at or after age 55 but before age 62, the participant receives a temporary supplement from retirement until age 62.</w:t>
      </w:r>
      <w:r w:rsidR="006D2428" w:rsidRPr="00F62144">
        <w:rPr>
          <w:rFonts w:asciiTheme="minorHAnsi" w:hAnsiTheme="minorHAnsi"/>
          <w:sz w:val="22"/>
          <w:szCs w:val="22"/>
        </w:rPr>
        <w:t xml:space="preserve"> The supplement is not a </w:t>
      </w:r>
      <w:r w:rsidR="00506272" w:rsidRPr="00F62144">
        <w:rPr>
          <w:rFonts w:asciiTheme="minorHAnsi" w:hAnsiTheme="minorHAnsi"/>
          <w:sz w:val="22"/>
          <w:szCs w:val="22"/>
        </w:rPr>
        <w:t>qualified social security supplement (</w:t>
      </w:r>
      <w:r w:rsidR="00B27383" w:rsidRPr="00F62144">
        <w:rPr>
          <w:rFonts w:asciiTheme="minorHAnsi" w:hAnsiTheme="minorHAnsi"/>
          <w:sz w:val="22"/>
          <w:szCs w:val="22"/>
        </w:rPr>
        <w:t>QSUPP)</w:t>
      </w:r>
      <w:r w:rsidRPr="00F62144">
        <w:rPr>
          <w:rFonts w:asciiTheme="minorHAnsi" w:hAnsiTheme="minorHAnsi"/>
          <w:sz w:val="22"/>
          <w:szCs w:val="22"/>
        </w:rPr>
        <w:t xml:space="preserve"> as defined in Treasury Reg. §1.401(a)(4)-12, and is not protected under Code section 411(d)(6). The temporary supplement is considered vested, and its value is included in the premium funding target, for each participant who, on the UVB </w:t>
      </w:r>
      <w:r w:rsidR="001F2183" w:rsidRPr="00F62144">
        <w:rPr>
          <w:rFonts w:asciiTheme="minorHAnsi" w:hAnsiTheme="minorHAnsi"/>
          <w:sz w:val="22"/>
          <w:szCs w:val="22"/>
        </w:rPr>
        <w:t>V</w:t>
      </w:r>
      <w:r w:rsidRPr="00F62144">
        <w:rPr>
          <w:rFonts w:asciiTheme="minorHAnsi" w:hAnsiTheme="minorHAnsi"/>
          <w:sz w:val="22"/>
          <w:szCs w:val="22"/>
        </w:rPr>
        <w:t xml:space="preserve">aluation </w:t>
      </w:r>
      <w:r w:rsidR="001F2183" w:rsidRPr="00F62144">
        <w:rPr>
          <w:rFonts w:asciiTheme="minorHAnsi" w:hAnsiTheme="minorHAnsi"/>
          <w:sz w:val="22"/>
          <w:szCs w:val="22"/>
        </w:rPr>
        <w:t>D</w:t>
      </w:r>
      <w:r w:rsidRPr="00F62144">
        <w:rPr>
          <w:rFonts w:asciiTheme="minorHAnsi" w:hAnsiTheme="minorHAnsi"/>
          <w:sz w:val="22"/>
          <w:szCs w:val="22"/>
        </w:rPr>
        <w:t xml:space="preserve">ate, is at least 55 but less than 62, and thus eligible for the supplement. The calculation is unaffected by the fact that the plan could be amended to remove the supplement after the UVB </w:t>
      </w:r>
      <w:r w:rsidR="00700ECA" w:rsidRPr="00F62144">
        <w:rPr>
          <w:rFonts w:asciiTheme="minorHAnsi" w:hAnsiTheme="minorHAnsi"/>
          <w:sz w:val="22"/>
          <w:szCs w:val="22"/>
        </w:rPr>
        <w:t>Valuation Date</w:t>
      </w:r>
      <w:r w:rsidR="00375FE7" w:rsidRPr="00F62144">
        <w:rPr>
          <w:rFonts w:asciiTheme="minorHAnsi" w:hAnsiTheme="minorHAnsi"/>
          <w:sz w:val="22"/>
          <w:szCs w:val="22"/>
        </w:rPr>
        <w:t>.</w:t>
      </w:r>
    </w:p>
    <w:p w14:paraId="4B94B91B" w14:textId="77777777" w:rsidR="004C098A" w:rsidRPr="00F62144" w:rsidRDefault="004C098A" w:rsidP="00697BB7">
      <w:pPr>
        <w:spacing w:before="12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participant who has five years of service, at no charge to the participant. The QPSA is considered vested, and its value is included in the premium funding target, for each participant who, on the UVB </w:t>
      </w:r>
      <w:r w:rsidR="001F2183" w:rsidRPr="00F62144">
        <w:rPr>
          <w:rFonts w:asciiTheme="minorHAnsi" w:hAnsiTheme="minorHAnsi"/>
          <w:sz w:val="22"/>
          <w:szCs w:val="22"/>
        </w:rPr>
        <w:t>V</w:t>
      </w:r>
      <w:r w:rsidRPr="00F62144">
        <w:rPr>
          <w:rFonts w:asciiTheme="minorHAnsi" w:hAnsiTheme="minorHAnsi"/>
          <w:sz w:val="22"/>
          <w:szCs w:val="22"/>
        </w:rPr>
        <w:t xml:space="preserve">aluation </w:t>
      </w:r>
      <w:r w:rsidR="001F2183" w:rsidRPr="00F62144">
        <w:rPr>
          <w:rFonts w:asciiTheme="minorHAnsi" w:hAnsiTheme="minorHAnsi"/>
          <w:sz w:val="22"/>
          <w:szCs w:val="22"/>
        </w:rPr>
        <w:t>D</w:t>
      </w:r>
      <w:r w:rsidRPr="00F62144">
        <w:rPr>
          <w:rFonts w:asciiTheme="minorHAnsi" w:hAnsiTheme="minorHAnsi"/>
          <w:sz w:val="22"/>
          <w:szCs w:val="22"/>
        </w:rPr>
        <w:t>ate, has five years of service and is thus eligible for the QPSA. The calculation is unaffected by the fact that the participant is alive on that date.</w:t>
      </w:r>
    </w:p>
    <w:p w14:paraId="238E193A" w14:textId="77777777" w:rsidR="000D2D67" w:rsidRPr="00F62144" w:rsidRDefault="000D2D67" w:rsidP="00697BB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14:paraId="1D6A8670" w14:textId="77777777" w:rsidR="00C256C4" w:rsidRPr="00F62144" w:rsidRDefault="000D2D67" w:rsidP="00697BB7">
      <w:pPr>
        <w:spacing w:before="120"/>
        <w:rPr>
          <w:rFonts w:asciiTheme="minorHAnsi" w:hAnsiTheme="minorHAnsi"/>
          <w:bCs/>
          <w:sz w:val="22"/>
          <w:szCs w:val="22"/>
        </w:rPr>
      </w:pPr>
      <w:r w:rsidRPr="00F62144">
        <w:rPr>
          <w:rFonts w:asciiTheme="minorHAnsi" w:hAnsiTheme="minorHAnsi"/>
          <w:sz w:val="22"/>
          <w:szCs w:val="22"/>
        </w:rPr>
        <w:t xml:space="preserve">If the Premium Funding Target is not known by the due date, an estimated Variable-rate Premium may be paid on the due date.  Doing so triggers </w:t>
      </w:r>
      <w:r w:rsidR="00DD5FEC" w:rsidRPr="00F62144">
        <w:rPr>
          <w:rFonts w:asciiTheme="minorHAnsi" w:hAnsiTheme="minorHAnsi"/>
          <w:sz w:val="22"/>
          <w:szCs w:val="22"/>
        </w:rPr>
        <w:t xml:space="preserve">a requirement </w:t>
      </w:r>
      <w:r w:rsidRPr="00F62144">
        <w:rPr>
          <w:rFonts w:asciiTheme="minorHAnsi" w:hAnsiTheme="minorHAnsi"/>
          <w:sz w:val="22"/>
          <w:szCs w:val="22"/>
        </w:rPr>
        <w:t>to submit an amended filing at a later date to reconcile the actual Variable</w:t>
      </w:r>
      <w:r w:rsidRPr="00F62144">
        <w:rPr>
          <w:rFonts w:asciiTheme="minorHAnsi" w:hAnsiTheme="minorHAnsi"/>
          <w:sz w:val="22"/>
          <w:szCs w:val="22"/>
        </w:rPr>
        <w:noBreakHyphen/>
        <w:t>rate Premium with the estimate.  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  For additional information</w:t>
      </w:r>
      <w:r w:rsidR="005F1768" w:rsidRPr="00F62144">
        <w:rPr>
          <w:rFonts w:asciiTheme="minorHAnsi" w:hAnsiTheme="minorHAnsi"/>
          <w:sz w:val="22"/>
          <w:szCs w:val="22"/>
        </w:rPr>
        <w:t>,</w:t>
      </w:r>
      <w:r w:rsidRPr="00F62144">
        <w:rPr>
          <w:rFonts w:asciiTheme="minorHAnsi" w:hAnsiTheme="minorHAnsi"/>
          <w:sz w:val="22"/>
          <w:szCs w:val="22"/>
        </w:rPr>
        <w:t xml:space="preserve"> see “</w:t>
      </w:r>
      <w:hyperlink w:anchor="b5" w:history="1">
        <w:r w:rsidRPr="00F62144">
          <w:rPr>
            <w:rStyle w:val="Hyperlink"/>
            <w:rFonts w:asciiTheme="minorHAnsi" w:hAnsiTheme="minorHAnsi"/>
            <w:sz w:val="22"/>
            <w:szCs w:val="22"/>
          </w:rPr>
          <w:t xml:space="preserve">Automatic Penalty Waiver for </w:t>
        </w:r>
        <w:r w:rsidR="005F1768" w:rsidRPr="00F62144">
          <w:rPr>
            <w:rStyle w:val="Hyperlink"/>
            <w:rFonts w:asciiTheme="minorHAnsi" w:hAnsiTheme="minorHAnsi"/>
            <w:sz w:val="22"/>
            <w:szCs w:val="22"/>
          </w:rPr>
          <w:t xml:space="preserve">Certain </w:t>
        </w:r>
        <w:r w:rsidRPr="00F62144">
          <w:rPr>
            <w:rStyle w:val="Hyperlink"/>
            <w:rFonts w:asciiTheme="minorHAnsi" w:hAnsiTheme="minorHAnsi"/>
            <w:sz w:val="22"/>
            <w:szCs w:val="22"/>
          </w:rPr>
          <w:t>Late Variable-Rate Premiums</w:t>
        </w:r>
      </w:hyperlink>
      <w:r w:rsidRPr="00F62144">
        <w:rPr>
          <w:rFonts w:asciiTheme="minorHAnsi" w:hAnsiTheme="minorHAnsi"/>
          <w:sz w:val="22"/>
          <w:szCs w:val="22"/>
        </w:rPr>
        <w:t>” in the “Late Payment Charges” section.</w:t>
      </w:r>
    </w:p>
    <w:p w14:paraId="1AB42B4A" w14:textId="77777777" w:rsidR="00DD5FEC" w:rsidRPr="00F62144" w:rsidRDefault="00DD5FEC" w:rsidP="002A2C8A">
      <w:pPr>
        <w:rPr>
          <w:rFonts w:asciiTheme="minorHAnsi" w:hAnsiTheme="minorHAnsi"/>
          <w:b/>
          <w:sz w:val="22"/>
          <w:szCs w:val="22"/>
        </w:rPr>
      </w:pPr>
    </w:p>
    <w:p w14:paraId="0CED7CFE" w14:textId="77777777" w:rsidR="006D38C5" w:rsidRDefault="006D38C5" w:rsidP="002A2C8A">
      <w:pPr>
        <w:rPr>
          <w:rFonts w:asciiTheme="minorHAnsi" w:hAnsiTheme="minorHAnsi"/>
          <w:b/>
          <w:sz w:val="22"/>
          <w:szCs w:val="22"/>
        </w:rPr>
      </w:pPr>
    </w:p>
    <w:p w14:paraId="0DE0DE37" w14:textId="77777777" w:rsidR="002D294F" w:rsidRDefault="002D294F">
      <w:pPr>
        <w:rPr>
          <w:rFonts w:asciiTheme="minorHAnsi" w:hAnsiTheme="minorHAnsi"/>
          <w:b/>
          <w:sz w:val="22"/>
          <w:szCs w:val="22"/>
        </w:rPr>
      </w:pPr>
      <w:r>
        <w:rPr>
          <w:rFonts w:asciiTheme="minorHAnsi" w:hAnsiTheme="minorHAnsi"/>
          <w:b/>
          <w:sz w:val="22"/>
          <w:szCs w:val="22"/>
        </w:rPr>
        <w:br w:type="page"/>
      </w:r>
    </w:p>
    <w:p w14:paraId="06B99177" w14:textId="77777777" w:rsidR="00F12837" w:rsidRPr="00F62144" w:rsidRDefault="00F12837" w:rsidP="002A2C8A">
      <w:pPr>
        <w:rPr>
          <w:rFonts w:asciiTheme="minorHAnsi" w:hAnsiTheme="minorHAnsi"/>
          <w:b/>
          <w:sz w:val="22"/>
          <w:szCs w:val="22"/>
        </w:rPr>
      </w:pPr>
      <w:r w:rsidRPr="00F62144">
        <w:rPr>
          <w:rFonts w:asciiTheme="minorHAnsi" w:hAnsiTheme="minorHAnsi"/>
          <w:b/>
          <w:sz w:val="22"/>
          <w:szCs w:val="22"/>
        </w:rPr>
        <w:t>Fair Market Value of Plan Assets</w:t>
      </w:r>
    </w:p>
    <w:p w14:paraId="180E3F86" w14:textId="77777777" w:rsidR="00F12837" w:rsidRPr="00F62144" w:rsidRDefault="00F12837" w:rsidP="00697BB7">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008D4798" w:rsidRPr="00F62144">
        <w:rPr>
          <w:rFonts w:asciiTheme="minorHAnsi" w:hAnsiTheme="minorHAnsi"/>
          <w:sz w:val="22"/>
          <w:szCs w:val="22"/>
        </w:rPr>
        <w:t xml:space="preserve">without regard to </w:t>
      </w:r>
      <w:r w:rsidRPr="00F62144">
        <w:rPr>
          <w:rFonts w:asciiTheme="minorHAnsi" w:hAnsiTheme="minorHAnsi"/>
          <w:sz w:val="22"/>
          <w:szCs w:val="22"/>
        </w:rPr>
        <w:t>any averaging method. For premium purposes, the market value of assets is measured on the UVB Valuation Date and adjusted to account for contribution receipts using the same methodology as is used for funding purposes.</w:t>
      </w:r>
    </w:p>
    <w:p w14:paraId="75A7C17B" w14:textId="77777777" w:rsidR="00F12837" w:rsidRPr="00F62144" w:rsidRDefault="00F12837" w:rsidP="00632A5A">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00BB256F" w:rsidRPr="00F62144">
        <w:rPr>
          <w:rFonts w:asciiTheme="minorHAnsi" w:hAnsiTheme="minorHAnsi"/>
          <w:i/>
          <w:sz w:val="22"/>
          <w:szCs w:val="22"/>
        </w:rPr>
        <w:t xml:space="preserve"> </w:t>
      </w:r>
    </w:p>
    <w:p w14:paraId="3FB688AA" w14:textId="5D86F4B6" w:rsidR="00DE098C" w:rsidRPr="00F62144" w:rsidRDefault="00F12837" w:rsidP="00002DD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00BB256F" w:rsidRPr="00F62144">
        <w:rPr>
          <w:rFonts w:asciiTheme="minorHAnsi" w:hAnsiTheme="minorHAnsi"/>
          <w:sz w:val="22"/>
          <w:szCs w:val="22"/>
        </w:rPr>
        <w:t xml:space="preserve"> </w:t>
      </w:r>
      <w:r w:rsidRPr="00F62144">
        <w:rPr>
          <w:rFonts w:asciiTheme="minorHAnsi" w:hAnsiTheme="minorHAnsi"/>
          <w:sz w:val="22"/>
          <w:szCs w:val="22"/>
        </w:rPr>
        <w:t xml:space="preserve">for the plan year </w:t>
      </w:r>
      <w:r w:rsidR="00D2190F" w:rsidRPr="00F62144">
        <w:rPr>
          <w:rFonts w:asciiTheme="minorHAnsi" w:hAnsiTheme="minorHAnsi"/>
          <w:sz w:val="22"/>
          <w:szCs w:val="22"/>
        </w:rPr>
        <w:t xml:space="preserve">prior to the Premium Payment Year (or, in the case of a plan </w:t>
      </w:r>
      <w:r w:rsidR="00193E5D" w:rsidRPr="00F62144">
        <w:rPr>
          <w:rFonts w:asciiTheme="minorHAnsi" w:hAnsiTheme="minorHAnsi"/>
          <w:sz w:val="22"/>
          <w:szCs w:val="22"/>
        </w:rPr>
        <w:t xml:space="preserve">using </w:t>
      </w:r>
      <w:r w:rsidR="00D2190F" w:rsidRPr="00F62144">
        <w:rPr>
          <w:rFonts w:asciiTheme="minorHAnsi" w:hAnsiTheme="minorHAnsi"/>
          <w:sz w:val="22"/>
          <w:szCs w:val="22"/>
        </w:rPr>
        <w:t xml:space="preserve">the Lookback Rule, the plan year </w:t>
      </w:r>
      <w:r w:rsidR="002126DE" w:rsidRPr="00F62144">
        <w:rPr>
          <w:rFonts w:asciiTheme="minorHAnsi" w:hAnsiTheme="minorHAnsi"/>
          <w:sz w:val="22"/>
          <w:szCs w:val="22"/>
        </w:rPr>
        <w:t xml:space="preserve">preceding </w:t>
      </w:r>
      <w:r w:rsidR="00D2190F" w:rsidRPr="00F62144">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0059737A" w:rsidRPr="00F62144">
        <w:rPr>
          <w:rFonts w:asciiTheme="minorHAnsi" w:hAnsiTheme="minorHAnsi"/>
          <w:sz w:val="22"/>
          <w:szCs w:val="22"/>
        </w:rPr>
        <w:t>i</w:t>
      </w:r>
      <w:r w:rsidR="002126DE" w:rsidRPr="00F62144">
        <w:rPr>
          <w:rFonts w:asciiTheme="minorHAnsi" w:hAnsiTheme="minorHAnsi"/>
          <w:sz w:val="22"/>
          <w:szCs w:val="22"/>
        </w:rPr>
        <w:t>s increased to reflect t</w:t>
      </w:r>
      <w:r w:rsidR="0059737A" w:rsidRPr="00F62144">
        <w:rPr>
          <w:rFonts w:asciiTheme="minorHAnsi" w:hAnsiTheme="minorHAnsi"/>
          <w:sz w:val="22"/>
          <w:szCs w:val="22"/>
        </w:rPr>
        <w:t>he value of s</w:t>
      </w:r>
      <w:r w:rsidRPr="00F62144">
        <w:rPr>
          <w:rFonts w:asciiTheme="minorHAnsi" w:hAnsiTheme="minorHAnsi"/>
          <w:sz w:val="22"/>
          <w:szCs w:val="22"/>
        </w:rPr>
        <w:t>uch contributions</w:t>
      </w:r>
      <w:r w:rsidR="0059737A" w:rsidRPr="00F62144">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0059737A" w:rsidRPr="00F62144">
        <w:rPr>
          <w:rFonts w:asciiTheme="minorHAnsi" w:hAnsiTheme="minorHAnsi"/>
          <w:sz w:val="22"/>
          <w:szCs w:val="22"/>
        </w:rPr>
        <w:t xml:space="preserve">.  </w:t>
      </w:r>
      <w:r w:rsidR="00002DD6" w:rsidRPr="00F62144">
        <w:rPr>
          <w:rFonts w:asciiTheme="minorHAnsi" w:hAnsiTheme="minorHAnsi"/>
          <w:sz w:val="22"/>
          <w:szCs w:val="22"/>
        </w:rPr>
        <w:t xml:space="preserve"> The discount rate for this purpose is the ERISA section 303(h)(2)(A) </w:t>
      </w:r>
      <w:r w:rsidR="002126DE" w:rsidRPr="00F62144">
        <w:rPr>
          <w:rFonts w:asciiTheme="minorHAnsi" w:hAnsiTheme="minorHAnsi"/>
          <w:sz w:val="22"/>
          <w:szCs w:val="22"/>
        </w:rPr>
        <w:t>effective interest rate for the plan year for which the contributions were made (as reported in item 5 of Schedule SB)</w:t>
      </w:r>
      <w:r w:rsidR="00002DD6" w:rsidRPr="00F62144">
        <w:rPr>
          <w:rFonts w:asciiTheme="minorHAnsi" w:hAnsiTheme="minorHAnsi"/>
          <w:sz w:val="22"/>
          <w:szCs w:val="22"/>
        </w:rPr>
        <w:t>.</w:t>
      </w:r>
      <w:r w:rsidR="00DE098C" w:rsidRPr="00F62144">
        <w:rPr>
          <w:rFonts w:asciiTheme="minorHAnsi" w:hAnsiTheme="minorHAnsi"/>
          <w:sz w:val="22"/>
          <w:szCs w:val="22"/>
        </w:rPr>
        <w:t xml:space="preserve"> </w:t>
      </w:r>
      <w:r w:rsidR="002126DE" w:rsidRPr="00F62144">
        <w:rPr>
          <w:rFonts w:asciiTheme="minorHAnsi" w:hAnsiTheme="minorHAnsi"/>
          <w:sz w:val="22"/>
          <w:szCs w:val="22"/>
        </w:rPr>
        <w:t xml:space="preserve">For example, </w:t>
      </w:r>
      <w:r w:rsidR="00002DD6" w:rsidRPr="00F62144">
        <w:rPr>
          <w:rFonts w:asciiTheme="minorHAnsi" w:hAnsiTheme="minorHAnsi"/>
          <w:sz w:val="22"/>
          <w:szCs w:val="22"/>
        </w:rPr>
        <w:t>consider a calendar year plan with a January 1</w:t>
      </w:r>
      <w:r w:rsidR="002125D1">
        <w:rPr>
          <w:rFonts w:asciiTheme="minorHAnsi" w:hAnsiTheme="minorHAnsi"/>
          <w:sz w:val="22"/>
          <w:szCs w:val="22"/>
        </w:rPr>
        <w:t xml:space="preserve"> </w:t>
      </w:r>
      <w:r w:rsidR="00002DD6" w:rsidRPr="00F62144">
        <w:rPr>
          <w:rFonts w:asciiTheme="minorHAnsi" w:hAnsiTheme="minorHAnsi"/>
          <w:sz w:val="22"/>
          <w:szCs w:val="22"/>
        </w:rPr>
        <w:t xml:space="preserve">UVB valuation date.  </w:t>
      </w:r>
    </w:p>
    <w:p w14:paraId="58A5BAB2" w14:textId="77777777" w:rsidR="00F12837" w:rsidRPr="00F62144" w:rsidRDefault="00002DD6" w:rsidP="00002DD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 xml:space="preserve">for the </w:t>
      </w:r>
      <w:r w:rsidR="00AE348E">
        <w:rPr>
          <w:rFonts w:asciiTheme="minorHAnsi" w:hAnsiTheme="minorHAnsi"/>
          <w:sz w:val="22"/>
          <w:szCs w:val="22"/>
        </w:rPr>
        <w:t>2017</w:t>
      </w:r>
      <w:r w:rsidR="00D00079" w:rsidRPr="00F62144">
        <w:rPr>
          <w:rFonts w:asciiTheme="minorHAnsi" w:hAnsiTheme="minorHAnsi"/>
          <w:sz w:val="22"/>
          <w:szCs w:val="22"/>
        </w:rPr>
        <w:t xml:space="preserve"> </w:t>
      </w:r>
      <w:r w:rsidRPr="00F62144">
        <w:rPr>
          <w:rFonts w:asciiTheme="minorHAnsi" w:hAnsiTheme="minorHAnsi"/>
          <w:sz w:val="22"/>
          <w:szCs w:val="22"/>
        </w:rPr>
        <w:t xml:space="preserve">plan year </w:t>
      </w:r>
      <w:r w:rsidR="007F7865" w:rsidRPr="00F62144">
        <w:rPr>
          <w:rFonts w:asciiTheme="minorHAnsi" w:hAnsiTheme="minorHAnsi"/>
          <w:sz w:val="22"/>
          <w:szCs w:val="22"/>
        </w:rPr>
        <w:t>are included</w:t>
      </w:r>
      <w:r w:rsidRPr="00F62144">
        <w:rPr>
          <w:rFonts w:asciiTheme="minorHAnsi" w:hAnsiTheme="minorHAnsi"/>
          <w:sz w:val="22"/>
          <w:szCs w:val="22"/>
        </w:rPr>
        <w:t xml:space="preserve"> in the January 1,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asset value.   Such contributions are discount</w:t>
      </w:r>
      <w:r w:rsidR="00EB22BE" w:rsidRPr="00F62144">
        <w:rPr>
          <w:rFonts w:asciiTheme="minorHAnsi" w:hAnsiTheme="minorHAnsi"/>
          <w:sz w:val="22"/>
          <w:szCs w:val="22"/>
        </w:rPr>
        <w:t>ed</w:t>
      </w:r>
      <w:r w:rsidRPr="00F62144">
        <w:rPr>
          <w:rFonts w:asciiTheme="minorHAnsi" w:hAnsiTheme="minorHAnsi"/>
          <w:sz w:val="22"/>
          <w:szCs w:val="22"/>
        </w:rPr>
        <w:t xml:space="preserve"> from the date made to January 1, </w:t>
      </w:r>
      <w:r w:rsidR="00AE348E">
        <w:rPr>
          <w:rFonts w:asciiTheme="minorHAnsi" w:hAnsiTheme="minorHAnsi"/>
          <w:sz w:val="22"/>
          <w:szCs w:val="22"/>
        </w:rPr>
        <w:t>2018</w:t>
      </w:r>
      <w:r w:rsidR="00D00079" w:rsidRPr="00F62144">
        <w:rPr>
          <w:rFonts w:asciiTheme="minorHAnsi" w:hAnsiTheme="minorHAnsi"/>
          <w:sz w:val="22"/>
          <w:szCs w:val="22"/>
        </w:rPr>
        <w:t xml:space="preserve"> </w:t>
      </w:r>
      <w:r w:rsidRPr="00F62144">
        <w:rPr>
          <w:rFonts w:asciiTheme="minorHAnsi" w:hAnsiTheme="minorHAnsi"/>
          <w:sz w:val="22"/>
          <w:szCs w:val="22"/>
        </w:rPr>
        <w:t xml:space="preserve">using the </w:t>
      </w:r>
      <w:r w:rsidR="00AE348E">
        <w:rPr>
          <w:rFonts w:asciiTheme="minorHAnsi" w:hAnsiTheme="minorHAnsi"/>
          <w:sz w:val="22"/>
          <w:szCs w:val="22"/>
        </w:rPr>
        <w:t>2017</w:t>
      </w:r>
      <w:r w:rsidR="00D00079" w:rsidRPr="00F62144">
        <w:rPr>
          <w:rFonts w:asciiTheme="minorHAnsi" w:hAnsiTheme="minorHAnsi"/>
          <w:sz w:val="22"/>
          <w:szCs w:val="22"/>
        </w:rPr>
        <w:t xml:space="preserve"> </w:t>
      </w:r>
      <w:r w:rsidRPr="00F62144">
        <w:rPr>
          <w:rFonts w:asciiTheme="minorHAnsi" w:hAnsiTheme="minorHAnsi"/>
          <w:sz w:val="22"/>
          <w:szCs w:val="22"/>
        </w:rPr>
        <w:t>effective interest rate.</w:t>
      </w:r>
      <w:r w:rsidR="00DE098C" w:rsidRPr="00F62144">
        <w:rPr>
          <w:rFonts w:asciiTheme="minorHAnsi" w:hAnsiTheme="minorHAnsi"/>
          <w:sz w:val="22"/>
          <w:szCs w:val="22"/>
        </w:rPr>
        <w:t xml:space="preserve"> </w:t>
      </w:r>
      <w:r w:rsidR="00584FA2" w:rsidRPr="00F62144">
        <w:rPr>
          <w:rFonts w:asciiTheme="minorHAnsi" w:hAnsiTheme="minorHAnsi"/>
          <w:sz w:val="22"/>
          <w:szCs w:val="22"/>
        </w:rPr>
        <w:t>Such</w:t>
      </w:r>
      <w:r w:rsidR="00F12837" w:rsidRPr="00F62144">
        <w:rPr>
          <w:rFonts w:asciiTheme="minorHAnsi" w:hAnsiTheme="minorHAnsi"/>
          <w:sz w:val="22"/>
          <w:szCs w:val="22"/>
        </w:rPr>
        <w:t xml:space="preserve"> contributions are included only to the extent </w:t>
      </w:r>
      <w:r w:rsidR="001363B1" w:rsidRPr="00F62144">
        <w:rPr>
          <w:rFonts w:asciiTheme="minorHAnsi" w:hAnsiTheme="minorHAnsi"/>
          <w:sz w:val="22"/>
          <w:szCs w:val="22"/>
        </w:rPr>
        <w:t>made</w:t>
      </w:r>
      <w:r w:rsidR="00F12837" w:rsidRPr="00F62144">
        <w:rPr>
          <w:rFonts w:asciiTheme="minorHAnsi" w:hAnsiTheme="minorHAnsi"/>
          <w:sz w:val="22"/>
          <w:szCs w:val="22"/>
        </w:rPr>
        <w:t xml:space="preserve"> by the date of </w:t>
      </w:r>
      <w:r w:rsidR="00DD5FEC" w:rsidRPr="00F62144">
        <w:rPr>
          <w:rFonts w:asciiTheme="minorHAnsi" w:hAnsiTheme="minorHAnsi"/>
          <w:sz w:val="22"/>
          <w:szCs w:val="22"/>
        </w:rPr>
        <w:t>the</w:t>
      </w:r>
      <w:r w:rsidR="00F12837" w:rsidRPr="00F62144">
        <w:rPr>
          <w:rFonts w:asciiTheme="minorHAnsi" w:hAnsiTheme="minorHAnsi"/>
          <w:sz w:val="22"/>
          <w:szCs w:val="22"/>
        </w:rPr>
        <w:t xml:space="preserve"> premium filing.</w:t>
      </w:r>
    </w:p>
    <w:p w14:paraId="68F82FCE" w14:textId="77777777" w:rsidR="00F12837" w:rsidRPr="00F62144" w:rsidRDefault="00F12837" w:rsidP="00F1283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14:paraId="144ED651"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00D2190F" w:rsidRPr="00F62144">
        <w:rPr>
          <w:rFonts w:asciiTheme="minorHAnsi" w:hAnsiTheme="minorHAnsi"/>
          <w:sz w:val="22"/>
          <w:szCs w:val="22"/>
        </w:rPr>
        <w:t>Premium Payment Year</w:t>
      </w:r>
      <w:r w:rsidRPr="00F62144">
        <w:rPr>
          <w:rFonts w:asciiTheme="minorHAnsi" w:hAnsiTheme="minorHAnsi"/>
          <w:sz w:val="22"/>
          <w:szCs w:val="22"/>
        </w:rPr>
        <w:t xml:space="preserve"> </w:t>
      </w:r>
      <w:r w:rsidR="00D2190F" w:rsidRPr="00F62144">
        <w:rPr>
          <w:rFonts w:asciiTheme="minorHAnsi" w:hAnsiTheme="minorHAnsi"/>
          <w:sz w:val="22"/>
          <w:szCs w:val="22"/>
        </w:rPr>
        <w:t xml:space="preserve">(or, in the case of a plan </w:t>
      </w:r>
      <w:r w:rsidR="00193E5D" w:rsidRPr="00F62144">
        <w:rPr>
          <w:rFonts w:asciiTheme="minorHAnsi" w:hAnsiTheme="minorHAnsi"/>
          <w:sz w:val="22"/>
          <w:szCs w:val="22"/>
        </w:rPr>
        <w:t>using</w:t>
      </w:r>
      <w:r w:rsidR="00D2190F" w:rsidRPr="00F62144">
        <w:rPr>
          <w:rFonts w:asciiTheme="minorHAnsi" w:hAnsiTheme="minorHAnsi"/>
          <w:sz w:val="22"/>
          <w:szCs w:val="22"/>
        </w:rPr>
        <w:t xml:space="preserve"> the Lookback Rule, the Lookback Year), </w:t>
      </w:r>
      <w:r w:rsidRPr="00F62144">
        <w:rPr>
          <w:rFonts w:asciiTheme="minorHAnsi" w:hAnsiTheme="minorHAnsi"/>
          <w:sz w:val="22"/>
          <w:szCs w:val="22"/>
        </w:rPr>
        <w:t xml:space="preserve">are made before the UVB Valuation Date, the market value is decreased to exclude the adjusted value of these current year contributions. For this adjustment, </w:t>
      </w:r>
      <w:r w:rsidR="00055521" w:rsidRPr="00F62144">
        <w:rPr>
          <w:rFonts w:asciiTheme="minorHAnsi" w:hAnsiTheme="minorHAnsi"/>
          <w:sz w:val="22"/>
          <w:szCs w:val="22"/>
        </w:rPr>
        <w:t>such</w:t>
      </w:r>
      <w:r w:rsidRPr="00F62144">
        <w:rPr>
          <w:rFonts w:asciiTheme="minorHAnsi" w:hAnsiTheme="minorHAnsi"/>
          <w:sz w:val="22"/>
          <w:szCs w:val="22"/>
        </w:rPr>
        <w:t xml:space="preserve"> are increased to the UVB Valuation Date using the ERISA section 303(h)(2)(A) effective interest rate for the plan year</w:t>
      </w:r>
      <w:r w:rsidR="00D2190F" w:rsidRPr="00F62144">
        <w:rPr>
          <w:rFonts w:asciiTheme="minorHAnsi" w:hAnsiTheme="minorHAnsi"/>
          <w:sz w:val="22"/>
          <w:szCs w:val="22"/>
        </w:rPr>
        <w:t xml:space="preserve"> for which they were made</w:t>
      </w:r>
      <w:r w:rsidRPr="00F62144">
        <w:rPr>
          <w:rFonts w:asciiTheme="minorHAnsi" w:hAnsiTheme="minorHAnsi"/>
          <w:sz w:val="22"/>
          <w:szCs w:val="22"/>
        </w:rPr>
        <w:t>.</w:t>
      </w:r>
      <w:r w:rsidR="008D4798" w:rsidRPr="00F62144">
        <w:rPr>
          <w:rFonts w:asciiTheme="minorHAnsi" w:hAnsiTheme="minorHAnsi"/>
          <w:sz w:val="22"/>
          <w:szCs w:val="22"/>
        </w:rPr>
        <w:t xml:space="preserve">  T</w:t>
      </w:r>
      <w:r w:rsidRPr="00F62144">
        <w:rPr>
          <w:rFonts w:asciiTheme="minorHAnsi" w:hAnsiTheme="minorHAnsi"/>
          <w:sz w:val="22"/>
          <w:szCs w:val="22"/>
        </w:rPr>
        <w:t>his can happen only if the UVB Valuation Date is after the beginning of the plan year.</w:t>
      </w:r>
    </w:p>
    <w:p w14:paraId="2F80AB28" w14:textId="77777777" w:rsidR="00F12837" w:rsidRPr="00F62144" w:rsidRDefault="00F12837" w:rsidP="00F1283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14:paraId="7632ED2D" w14:textId="77777777" w:rsidR="0059737A" w:rsidRPr="00F62144" w:rsidRDefault="0059737A" w:rsidP="00A76B10">
      <w:pPr>
        <w:kinsoku w:val="0"/>
        <w:spacing w:before="120"/>
        <w:rPr>
          <w:rFonts w:asciiTheme="minorHAnsi" w:hAnsiTheme="minorHAnsi"/>
          <w:sz w:val="22"/>
          <w:szCs w:val="22"/>
        </w:rPr>
      </w:pPr>
      <w:r w:rsidRPr="00F62144">
        <w:rPr>
          <w:rFonts w:asciiTheme="minorHAnsi" w:hAnsiTheme="minorHAnsi"/>
          <w:sz w:val="22"/>
          <w:szCs w:val="22"/>
        </w:rPr>
        <w:t>In the case of:</w:t>
      </w:r>
    </w:p>
    <w:p w14:paraId="1AC1DAC6" w14:textId="77777777" w:rsidR="0059737A" w:rsidRPr="00F62144" w:rsidRDefault="0059737A" w:rsidP="00023A8E">
      <w:pPr>
        <w:numPr>
          <w:ilvl w:val="1"/>
          <w:numId w:val="41"/>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00193E5D" w:rsidRPr="00F62144">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14:paraId="19F2A87C" w14:textId="77777777" w:rsidR="0059737A" w:rsidRPr="00F62144" w:rsidRDefault="0059737A" w:rsidP="00023A8E">
      <w:pPr>
        <w:numPr>
          <w:ilvl w:val="1"/>
          <w:numId w:val="41"/>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any other plan, the asset value reported here is generally the same as the market value of assets required to be reported in the Schedule SB for the Premium Payment Year (item 2a).   </w:t>
      </w:r>
    </w:p>
    <w:p w14:paraId="0D366CA0" w14:textId="77777777" w:rsidR="0059737A" w:rsidRPr="00F62144" w:rsidRDefault="0059737A" w:rsidP="00A76B10">
      <w:pPr>
        <w:spacing w:before="120"/>
        <w:rPr>
          <w:rFonts w:asciiTheme="minorHAnsi" w:hAnsiTheme="minorHAnsi"/>
          <w:sz w:val="22"/>
          <w:szCs w:val="22"/>
        </w:rPr>
      </w:pPr>
      <w:r w:rsidRPr="00F62144">
        <w:rPr>
          <w:rFonts w:asciiTheme="minorHAnsi" w:hAnsiTheme="minorHAnsi"/>
          <w:sz w:val="22"/>
          <w:szCs w:val="22"/>
        </w:rPr>
        <w:t>The amounts would differ only if a premium filing is made before the premium due date and prior year contributions are made after the premium filing is made (and thus not included in assets).</w:t>
      </w:r>
    </w:p>
    <w:p w14:paraId="7BF1E5DA" w14:textId="77777777" w:rsidR="00E93313" w:rsidRDefault="00E93313">
      <w:pPr>
        <w:rPr>
          <w:rFonts w:asciiTheme="minorHAnsi" w:hAnsiTheme="minorHAnsi"/>
          <w:b/>
          <w:sz w:val="22"/>
          <w:szCs w:val="22"/>
        </w:rPr>
      </w:pPr>
      <w:r>
        <w:rPr>
          <w:rFonts w:asciiTheme="minorHAnsi" w:hAnsiTheme="minorHAnsi"/>
          <w:b/>
          <w:sz w:val="22"/>
          <w:szCs w:val="22"/>
        </w:rPr>
        <w:br w:type="page"/>
      </w:r>
    </w:p>
    <w:p w14:paraId="0A0BD116" w14:textId="77777777" w:rsidR="00114D8E" w:rsidRPr="00F62144" w:rsidRDefault="00114D8E" w:rsidP="0082013B">
      <w:pPr>
        <w:spacing w:before="120"/>
        <w:rPr>
          <w:rFonts w:asciiTheme="minorHAnsi" w:hAnsiTheme="minorHAnsi"/>
          <w:b/>
          <w:sz w:val="22"/>
          <w:szCs w:val="22"/>
        </w:rPr>
      </w:pPr>
      <w:r w:rsidRPr="00F62144">
        <w:rPr>
          <w:rFonts w:asciiTheme="minorHAnsi" w:hAnsiTheme="minorHAnsi"/>
          <w:b/>
          <w:sz w:val="22"/>
          <w:szCs w:val="22"/>
        </w:rPr>
        <w:t xml:space="preserve">Summary  </w:t>
      </w:r>
    </w:p>
    <w:p w14:paraId="0260FA42" w14:textId="77777777" w:rsidR="00694D1C" w:rsidRPr="00F62144" w:rsidRDefault="00D63A92" w:rsidP="00584FA2">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004441E0" w:rsidRPr="00F62144">
        <w:rPr>
          <w:rFonts w:asciiTheme="minorHAnsi" w:hAnsiTheme="minorHAnsi"/>
          <w:sz w:val="22"/>
          <w:szCs w:val="22"/>
        </w:rPr>
        <w:t xml:space="preserve">Variable-rate premiums </w:t>
      </w:r>
      <w:r w:rsidR="0082013B" w:rsidRPr="00F62144">
        <w:rPr>
          <w:rFonts w:asciiTheme="minorHAnsi" w:hAnsiTheme="minorHAnsi"/>
          <w:sz w:val="22"/>
          <w:szCs w:val="22"/>
        </w:rPr>
        <w:t xml:space="preserve">for </w:t>
      </w:r>
      <w:r w:rsidR="00AE348E">
        <w:rPr>
          <w:rFonts w:asciiTheme="minorHAnsi" w:hAnsiTheme="minorHAnsi"/>
          <w:sz w:val="22"/>
          <w:szCs w:val="22"/>
        </w:rPr>
        <w:t>2018</w:t>
      </w:r>
      <w:r w:rsidRPr="00F62144">
        <w:rPr>
          <w:rFonts w:asciiTheme="minorHAnsi" w:hAnsiTheme="minorHAnsi"/>
          <w:sz w:val="22"/>
          <w:szCs w:val="22"/>
        </w:rPr>
        <w:t xml:space="preserve">.  </w:t>
      </w:r>
      <w:r w:rsidR="0082013B" w:rsidRPr="00F62144">
        <w:rPr>
          <w:rFonts w:asciiTheme="minorHAnsi" w:hAnsiTheme="minorHAnsi"/>
          <w:sz w:val="22"/>
          <w:szCs w:val="22"/>
        </w:rPr>
        <w:t xml:space="preserve">Although Participant Count Date is not used to determine </w:t>
      </w:r>
      <w:r w:rsidR="004441E0" w:rsidRPr="00F62144">
        <w:rPr>
          <w:rFonts w:asciiTheme="minorHAnsi" w:hAnsiTheme="minorHAnsi"/>
          <w:sz w:val="22"/>
          <w:szCs w:val="22"/>
        </w:rPr>
        <w:t>the Variable-rate premium</w:t>
      </w:r>
      <w:r w:rsidR="0082013B" w:rsidRPr="00F62144">
        <w:rPr>
          <w:rFonts w:asciiTheme="minorHAnsi" w:hAnsiTheme="minorHAnsi"/>
          <w:sz w:val="22"/>
          <w:szCs w:val="22"/>
        </w:rPr>
        <w:t xml:space="preserve">, it is included in the table so that all of the variables affecting premium calculations </w:t>
      </w:r>
      <w:r w:rsidR="006D10F1" w:rsidRPr="00F62144">
        <w:rPr>
          <w:rFonts w:asciiTheme="minorHAnsi" w:hAnsiTheme="minorHAnsi"/>
          <w:sz w:val="22"/>
          <w:szCs w:val="22"/>
        </w:rPr>
        <w:t>are</w:t>
      </w:r>
      <w:r w:rsidR="0082013B" w:rsidRPr="00F62144">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r w:rsidR="0082013B" w:rsidRPr="00F62144">
        <w:rPr>
          <w:rFonts w:asciiTheme="minorHAnsi" w:hAnsiTheme="minorHAnsi"/>
          <w:sz w:val="22"/>
          <w:szCs w:val="22"/>
        </w:rPr>
        <w:t xml:space="preserve">  </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2149"/>
        <w:gridCol w:w="2441"/>
        <w:gridCol w:w="2072"/>
        <w:gridCol w:w="2176"/>
      </w:tblGrid>
      <w:tr w:rsidR="0082013B" w:rsidRPr="00F62144" w14:paraId="4AA6EAFA" w14:textId="77777777" w:rsidTr="00A8171A">
        <w:trPr>
          <w:trHeight w:val="144"/>
          <w:jc w:val="center"/>
        </w:trPr>
        <w:tc>
          <w:tcPr>
            <w:tcW w:w="10477" w:type="dxa"/>
            <w:gridSpan w:val="5"/>
            <w:tcBorders>
              <w:top w:val="nil"/>
              <w:left w:val="nil"/>
              <w:bottom w:val="single" w:sz="4" w:space="0" w:color="auto"/>
              <w:right w:val="nil"/>
            </w:tcBorders>
          </w:tcPr>
          <w:p w14:paraId="5D6D7178" w14:textId="77777777" w:rsidR="0082013B" w:rsidRPr="00F62144" w:rsidRDefault="0082013B" w:rsidP="0082013B">
            <w:pPr>
              <w:spacing w:before="90" w:after="60"/>
              <w:jc w:val="center"/>
              <w:rPr>
                <w:rFonts w:asciiTheme="minorHAnsi" w:hAnsiTheme="minorHAnsi"/>
                <w:b/>
                <w:sz w:val="22"/>
                <w:szCs w:val="20"/>
              </w:rPr>
            </w:pPr>
            <w:r w:rsidRPr="00F62144">
              <w:rPr>
                <w:rFonts w:asciiTheme="minorHAnsi" w:hAnsiTheme="minorHAnsi"/>
                <w:b/>
                <w:sz w:val="22"/>
                <w:szCs w:val="20"/>
              </w:rPr>
              <w:t>Summary</w:t>
            </w:r>
            <w:r w:rsidR="000B4496" w:rsidRPr="00F62144">
              <w:rPr>
                <w:rStyle w:val="FootnoteReference"/>
                <w:rFonts w:asciiTheme="minorHAnsi" w:hAnsiTheme="minorHAnsi"/>
                <w:b/>
                <w:sz w:val="22"/>
                <w:szCs w:val="20"/>
              </w:rPr>
              <w:footnoteReference w:id="12"/>
            </w:r>
          </w:p>
        </w:tc>
      </w:tr>
      <w:tr w:rsidR="006F1A83" w:rsidRPr="00F62144" w14:paraId="0D31F61A" w14:textId="77777777" w:rsidTr="00A8171A">
        <w:trPr>
          <w:trHeight w:val="144"/>
          <w:jc w:val="center"/>
        </w:trPr>
        <w:tc>
          <w:tcPr>
            <w:tcW w:w="1639" w:type="dxa"/>
            <w:tcBorders>
              <w:top w:val="single" w:sz="4" w:space="0" w:color="auto"/>
              <w:left w:val="single" w:sz="4" w:space="0" w:color="auto"/>
              <w:bottom w:val="single" w:sz="4" w:space="0" w:color="auto"/>
              <w:right w:val="single" w:sz="4" w:space="0" w:color="auto"/>
            </w:tcBorders>
          </w:tcPr>
          <w:p w14:paraId="00915643" w14:textId="77777777" w:rsidR="00D63A92" w:rsidRPr="00F62144" w:rsidRDefault="00D63A92" w:rsidP="00C84979">
            <w:pPr>
              <w:spacing w:before="90" w:after="60"/>
              <w:jc w:val="center"/>
              <w:rPr>
                <w:rFonts w:asciiTheme="minorHAnsi" w:hAnsiTheme="minorHAnsi"/>
                <w:b/>
                <w:sz w:val="22"/>
                <w:szCs w:val="20"/>
              </w:rPr>
            </w:pPr>
          </w:p>
        </w:tc>
        <w:tc>
          <w:tcPr>
            <w:tcW w:w="4590" w:type="dxa"/>
            <w:gridSpan w:val="2"/>
            <w:tcBorders>
              <w:top w:val="single" w:sz="4" w:space="0" w:color="auto"/>
              <w:left w:val="single" w:sz="4" w:space="0" w:color="auto"/>
              <w:bottom w:val="single" w:sz="4" w:space="0" w:color="auto"/>
              <w:right w:val="single" w:sz="4" w:space="0" w:color="auto"/>
            </w:tcBorders>
          </w:tcPr>
          <w:p w14:paraId="62A6E8DB" w14:textId="77777777" w:rsidR="00D63A92" w:rsidRPr="00F62144" w:rsidRDefault="00D63A92" w:rsidP="00C84979">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14:paraId="38401352" w14:textId="77777777" w:rsidR="00D63A92" w:rsidRPr="00F62144" w:rsidRDefault="00D63A92" w:rsidP="00C84979">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rsidR="0036326F" w:rsidRPr="00F62144" w14:paraId="33CB1785" w14:textId="77777777" w:rsidTr="00A8171A">
        <w:trPr>
          <w:trHeight w:val="144"/>
          <w:jc w:val="center"/>
        </w:trPr>
        <w:tc>
          <w:tcPr>
            <w:tcW w:w="1639" w:type="dxa"/>
            <w:tcBorders>
              <w:top w:val="single" w:sz="4" w:space="0" w:color="auto"/>
              <w:left w:val="single" w:sz="4" w:space="0" w:color="auto"/>
              <w:bottom w:val="single" w:sz="4" w:space="0" w:color="auto"/>
              <w:right w:val="single" w:sz="4" w:space="0" w:color="auto"/>
            </w:tcBorders>
          </w:tcPr>
          <w:p w14:paraId="50BAF798" w14:textId="77777777" w:rsidR="00D63A92" w:rsidRPr="00F62144" w:rsidRDefault="00D63A92" w:rsidP="00C84979">
            <w:pPr>
              <w:spacing w:before="90" w:after="60"/>
              <w:rPr>
                <w:rFonts w:asciiTheme="minorHAnsi" w:hAnsiTheme="minorHAnsi"/>
                <w:sz w:val="20"/>
                <w:szCs w:val="20"/>
              </w:rPr>
            </w:pPr>
          </w:p>
        </w:tc>
        <w:tc>
          <w:tcPr>
            <w:tcW w:w="2149" w:type="dxa"/>
            <w:tcBorders>
              <w:top w:val="single" w:sz="4" w:space="0" w:color="auto"/>
              <w:left w:val="single" w:sz="4" w:space="0" w:color="auto"/>
              <w:bottom w:val="single" w:sz="4" w:space="0" w:color="auto"/>
              <w:right w:val="nil"/>
            </w:tcBorders>
          </w:tcPr>
          <w:p w14:paraId="2FB96C3E" w14:textId="77777777" w:rsidR="00D63A92" w:rsidRPr="00F62144" w:rsidRDefault="00D63A92" w:rsidP="00C84979">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14:paraId="777A612F" w14:textId="77777777" w:rsidR="00D63A92" w:rsidRPr="00F62144" w:rsidRDefault="00D63A92" w:rsidP="00C84979">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14:paraId="2CEF4009" w14:textId="77777777" w:rsidR="00D63A92" w:rsidRPr="00F62144" w:rsidRDefault="00D63A92" w:rsidP="00C84979">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14:paraId="71786BC3" w14:textId="77777777" w:rsidR="00D63A92" w:rsidRPr="00F62144" w:rsidRDefault="00D63A92" w:rsidP="00C84979">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rsidR="001E2E48" w:rsidRPr="00F62144" w14:paraId="2257103E" w14:textId="77777777" w:rsidTr="00A8171A">
        <w:trPr>
          <w:trHeight w:val="144"/>
          <w:jc w:val="center"/>
        </w:trPr>
        <w:tc>
          <w:tcPr>
            <w:tcW w:w="1639" w:type="dxa"/>
            <w:tcBorders>
              <w:top w:val="single" w:sz="4" w:space="0" w:color="auto"/>
              <w:left w:val="single" w:sz="4" w:space="0" w:color="auto"/>
              <w:bottom w:val="single" w:sz="4" w:space="0" w:color="auto"/>
              <w:right w:val="single" w:sz="4" w:space="0" w:color="auto"/>
            </w:tcBorders>
          </w:tcPr>
          <w:p w14:paraId="11521094" w14:textId="77777777" w:rsidR="001E2E48" w:rsidRPr="00F62144" w:rsidRDefault="001E2E48" w:rsidP="00152C49">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149" w:type="dxa"/>
            <w:tcBorders>
              <w:top w:val="single" w:sz="4" w:space="0" w:color="auto"/>
              <w:left w:val="single" w:sz="4" w:space="0" w:color="auto"/>
              <w:bottom w:val="single" w:sz="4" w:space="0" w:color="auto"/>
              <w:right w:val="nil"/>
            </w:tcBorders>
          </w:tcPr>
          <w:p w14:paraId="1452A747"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00CE184F" w:rsidRPr="00F62144">
              <w:rPr>
                <w:rFonts w:asciiTheme="minorHAnsi" w:hAnsiTheme="minorHAnsi"/>
                <w:sz w:val="18"/>
                <w:szCs w:val="20"/>
              </w:rPr>
              <w:br/>
            </w:r>
            <w:r w:rsidR="00AE348E">
              <w:rPr>
                <w:rFonts w:asciiTheme="minorHAnsi" w:hAnsiTheme="minorHAnsi"/>
                <w:sz w:val="18"/>
                <w:szCs w:val="20"/>
              </w:rPr>
              <w:t>2017</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14:paraId="41E81A65"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Last day of</w:t>
            </w:r>
            <w:r w:rsidR="00CE184F" w:rsidRPr="00F62144">
              <w:rPr>
                <w:rFonts w:asciiTheme="minorHAnsi" w:hAnsiTheme="minorHAnsi"/>
                <w:sz w:val="18"/>
                <w:szCs w:val="20"/>
              </w:rPr>
              <w:br/>
            </w:r>
            <w:r w:rsidR="00AE348E">
              <w:rPr>
                <w:rFonts w:asciiTheme="minorHAnsi" w:hAnsiTheme="minorHAnsi"/>
                <w:sz w:val="18"/>
                <w:szCs w:val="20"/>
              </w:rPr>
              <w:t>2017</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14:paraId="00497919"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00CE184F" w:rsidRPr="00F62144">
              <w:rPr>
                <w:rFonts w:asciiTheme="minorHAnsi" w:hAnsiTheme="minorHAnsi"/>
                <w:sz w:val="18"/>
                <w:szCs w:val="20"/>
              </w:rPr>
              <w:br/>
            </w:r>
            <w:r w:rsidR="00AE348E">
              <w:rPr>
                <w:rFonts w:asciiTheme="minorHAnsi" w:hAnsiTheme="minorHAnsi"/>
                <w:sz w:val="18"/>
                <w:szCs w:val="20"/>
              </w:rPr>
              <w:t>2017</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14:paraId="1DB776D8"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00CE184F" w:rsidRPr="00F62144">
              <w:rPr>
                <w:rFonts w:asciiTheme="minorHAnsi" w:hAnsiTheme="minorHAnsi"/>
                <w:sz w:val="18"/>
                <w:szCs w:val="20"/>
              </w:rPr>
              <w:br/>
            </w:r>
            <w:r w:rsidR="00AE348E">
              <w:rPr>
                <w:rFonts w:asciiTheme="minorHAnsi" w:hAnsiTheme="minorHAnsi"/>
                <w:sz w:val="18"/>
                <w:szCs w:val="20"/>
              </w:rPr>
              <w:t>2017</w:t>
            </w:r>
            <w:r w:rsidR="00F310BB" w:rsidRPr="00F62144">
              <w:rPr>
                <w:rFonts w:asciiTheme="minorHAnsi" w:hAnsiTheme="minorHAnsi"/>
                <w:sz w:val="18"/>
                <w:szCs w:val="20"/>
              </w:rPr>
              <w:t xml:space="preserve"> </w:t>
            </w:r>
            <w:r w:rsidRPr="00F62144">
              <w:rPr>
                <w:rFonts w:asciiTheme="minorHAnsi" w:hAnsiTheme="minorHAnsi"/>
                <w:sz w:val="18"/>
                <w:szCs w:val="20"/>
              </w:rPr>
              <w:t>plan year</w:t>
            </w:r>
          </w:p>
        </w:tc>
      </w:tr>
      <w:tr w:rsidR="001E2E48" w:rsidRPr="00F62144" w14:paraId="16B610E9" w14:textId="77777777" w:rsidTr="00A8171A">
        <w:trPr>
          <w:trHeight w:val="144"/>
          <w:jc w:val="center"/>
        </w:trPr>
        <w:tc>
          <w:tcPr>
            <w:tcW w:w="1639" w:type="dxa"/>
            <w:tcBorders>
              <w:top w:val="single" w:sz="4" w:space="0" w:color="auto"/>
              <w:left w:val="single" w:sz="4" w:space="0" w:color="auto"/>
              <w:bottom w:val="single" w:sz="4" w:space="0" w:color="auto"/>
              <w:right w:val="single" w:sz="4" w:space="0" w:color="auto"/>
            </w:tcBorders>
          </w:tcPr>
          <w:p w14:paraId="0116DF3D" w14:textId="77777777" w:rsidR="001E2E48" w:rsidRPr="00F62144" w:rsidRDefault="001E2E48" w:rsidP="00C84979">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149" w:type="dxa"/>
            <w:tcBorders>
              <w:top w:val="single" w:sz="4" w:space="0" w:color="auto"/>
              <w:left w:val="single" w:sz="4" w:space="0" w:color="auto"/>
              <w:bottom w:val="single" w:sz="4" w:space="0" w:color="auto"/>
              <w:right w:val="nil"/>
            </w:tcBorders>
          </w:tcPr>
          <w:p w14:paraId="657EC9ED"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 xml:space="preserve">date for </w:t>
            </w:r>
            <w:r w:rsidR="00AE348E">
              <w:rPr>
                <w:rFonts w:asciiTheme="minorHAnsi" w:hAnsiTheme="minorHAnsi"/>
                <w:sz w:val="18"/>
                <w:szCs w:val="20"/>
              </w:rPr>
              <w:t>2017</w:t>
            </w:r>
          </w:p>
        </w:tc>
        <w:tc>
          <w:tcPr>
            <w:tcW w:w="2441" w:type="dxa"/>
            <w:tcBorders>
              <w:top w:val="single" w:sz="4" w:space="0" w:color="auto"/>
              <w:left w:val="nil"/>
              <w:bottom w:val="single" w:sz="4" w:space="0" w:color="auto"/>
              <w:right w:val="single" w:sz="4" w:space="0" w:color="auto"/>
            </w:tcBorders>
          </w:tcPr>
          <w:p w14:paraId="4C156DBA"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 xml:space="preserve">date for </w:t>
            </w:r>
            <w:r w:rsidR="00AE348E">
              <w:rPr>
                <w:rFonts w:asciiTheme="minorHAnsi" w:hAnsiTheme="minorHAnsi"/>
                <w:sz w:val="18"/>
                <w:szCs w:val="20"/>
              </w:rPr>
              <w:t>2017</w:t>
            </w:r>
          </w:p>
        </w:tc>
        <w:tc>
          <w:tcPr>
            <w:tcW w:w="2072" w:type="dxa"/>
            <w:tcBorders>
              <w:top w:val="single" w:sz="4" w:space="0" w:color="auto"/>
              <w:left w:val="single" w:sz="4" w:space="0" w:color="auto"/>
              <w:bottom w:val="single" w:sz="4" w:space="0" w:color="auto"/>
              <w:right w:val="nil"/>
            </w:tcBorders>
          </w:tcPr>
          <w:p w14:paraId="6D1F5BB3"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date</w:t>
            </w:r>
            <w:r w:rsidR="00CE184F" w:rsidRPr="00F62144">
              <w:rPr>
                <w:rFonts w:asciiTheme="minorHAnsi" w:hAnsiTheme="minorHAnsi"/>
                <w:sz w:val="18"/>
                <w:szCs w:val="20"/>
              </w:rPr>
              <w:t xml:space="preserve"> </w:t>
            </w:r>
            <w:r w:rsidRPr="00F62144">
              <w:rPr>
                <w:rFonts w:asciiTheme="minorHAnsi" w:hAnsiTheme="minorHAnsi"/>
                <w:sz w:val="18"/>
                <w:szCs w:val="20"/>
              </w:rPr>
              <w:t xml:space="preserve">for </w:t>
            </w:r>
            <w:r w:rsidR="00AE348E">
              <w:rPr>
                <w:rFonts w:asciiTheme="minorHAnsi" w:hAnsiTheme="minorHAnsi"/>
                <w:sz w:val="18"/>
                <w:szCs w:val="20"/>
              </w:rPr>
              <w:t>2018</w:t>
            </w:r>
          </w:p>
        </w:tc>
        <w:tc>
          <w:tcPr>
            <w:tcW w:w="2176" w:type="dxa"/>
            <w:tcBorders>
              <w:top w:val="single" w:sz="4" w:space="0" w:color="auto"/>
              <w:left w:val="nil"/>
              <w:bottom w:val="single" w:sz="4" w:space="0" w:color="auto"/>
              <w:right w:val="single" w:sz="4" w:space="0" w:color="auto"/>
            </w:tcBorders>
          </w:tcPr>
          <w:p w14:paraId="670DC7C7"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00CE184F" w:rsidRPr="00F62144">
              <w:rPr>
                <w:rFonts w:asciiTheme="minorHAnsi" w:hAnsiTheme="minorHAnsi"/>
                <w:sz w:val="18"/>
                <w:szCs w:val="20"/>
              </w:rPr>
              <w:br/>
            </w:r>
            <w:r w:rsidRPr="00F62144">
              <w:rPr>
                <w:rFonts w:asciiTheme="minorHAnsi" w:hAnsiTheme="minorHAnsi"/>
                <w:sz w:val="18"/>
                <w:szCs w:val="20"/>
              </w:rPr>
              <w:t xml:space="preserve">date for </w:t>
            </w:r>
            <w:r w:rsidR="00AE348E">
              <w:rPr>
                <w:rFonts w:asciiTheme="minorHAnsi" w:hAnsiTheme="minorHAnsi"/>
                <w:sz w:val="18"/>
                <w:szCs w:val="20"/>
              </w:rPr>
              <w:t>2018</w:t>
            </w:r>
          </w:p>
        </w:tc>
      </w:tr>
      <w:tr w:rsidR="001E2E48" w:rsidRPr="00F62144" w14:paraId="1CEFFFDA" w14:textId="77777777" w:rsidTr="00A8171A">
        <w:trPr>
          <w:trHeight w:val="144"/>
          <w:jc w:val="center"/>
        </w:trPr>
        <w:tc>
          <w:tcPr>
            <w:tcW w:w="1639" w:type="dxa"/>
            <w:tcBorders>
              <w:top w:val="single" w:sz="4" w:space="0" w:color="auto"/>
              <w:left w:val="single" w:sz="4" w:space="0" w:color="auto"/>
              <w:bottom w:val="single" w:sz="4" w:space="0" w:color="auto"/>
              <w:right w:val="single" w:sz="4" w:space="0" w:color="auto"/>
            </w:tcBorders>
          </w:tcPr>
          <w:p w14:paraId="61B37889" w14:textId="77777777" w:rsidR="001E2E48" w:rsidRPr="00F62144" w:rsidRDefault="001E2E48" w:rsidP="001363B1">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149" w:type="dxa"/>
            <w:tcBorders>
              <w:top w:val="single" w:sz="4" w:space="0" w:color="auto"/>
              <w:left w:val="single" w:sz="4" w:space="0" w:color="auto"/>
              <w:bottom w:val="single" w:sz="4" w:space="0" w:color="auto"/>
              <w:right w:val="nil"/>
            </w:tcBorders>
          </w:tcPr>
          <w:p w14:paraId="3D23FAF5"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 xml:space="preserve"> benefits included in</w:t>
            </w:r>
            <w:r w:rsidR="00CE184F" w:rsidRPr="00F62144">
              <w:rPr>
                <w:rFonts w:asciiTheme="minorHAnsi" w:hAnsiTheme="minorHAnsi"/>
                <w:sz w:val="18"/>
                <w:szCs w:val="20"/>
              </w:rPr>
              <w:br/>
            </w:r>
            <w:r w:rsidRPr="00F62144">
              <w:rPr>
                <w:rFonts w:asciiTheme="minorHAnsi" w:hAnsiTheme="minorHAnsi"/>
                <w:sz w:val="18"/>
                <w:szCs w:val="20"/>
              </w:rPr>
              <w:t xml:space="preserve"> </w:t>
            </w:r>
            <w:r w:rsidR="00AE348E">
              <w:rPr>
                <w:rFonts w:asciiTheme="minorHAnsi" w:hAnsiTheme="minorHAnsi"/>
                <w:sz w:val="18"/>
                <w:szCs w:val="20"/>
              </w:rPr>
              <w:t>2017</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14:paraId="285F6505"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benefits included in</w:t>
            </w:r>
            <w:r w:rsidR="00CE184F" w:rsidRPr="00F62144">
              <w:rPr>
                <w:rFonts w:asciiTheme="minorHAnsi" w:hAnsiTheme="minorHAnsi"/>
                <w:sz w:val="18"/>
                <w:szCs w:val="20"/>
              </w:rPr>
              <w:br/>
            </w:r>
            <w:r w:rsidRPr="00F62144">
              <w:rPr>
                <w:rFonts w:asciiTheme="minorHAnsi" w:hAnsiTheme="minorHAnsi"/>
                <w:sz w:val="18"/>
                <w:szCs w:val="20"/>
              </w:rPr>
              <w:t xml:space="preserve"> </w:t>
            </w:r>
            <w:r w:rsidR="00AE348E">
              <w:rPr>
                <w:rFonts w:asciiTheme="minorHAnsi" w:hAnsiTheme="minorHAnsi"/>
                <w:sz w:val="18"/>
                <w:szCs w:val="20"/>
              </w:rPr>
              <w:t>2017</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14:paraId="6EB32663"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benefits included in</w:t>
            </w:r>
            <w:r w:rsidR="00CE184F" w:rsidRPr="00F62144">
              <w:rPr>
                <w:rFonts w:asciiTheme="minorHAnsi" w:hAnsiTheme="minorHAnsi"/>
                <w:sz w:val="18"/>
                <w:szCs w:val="20"/>
              </w:rPr>
              <w:br/>
            </w:r>
            <w:r w:rsidR="00AE348E">
              <w:rPr>
                <w:rFonts w:asciiTheme="minorHAnsi" w:hAnsiTheme="minorHAnsi"/>
                <w:sz w:val="18"/>
                <w:szCs w:val="20"/>
              </w:rPr>
              <w:t>2018</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14:paraId="69D49F4B"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00CE184F" w:rsidRPr="00F62144">
              <w:rPr>
                <w:rFonts w:asciiTheme="minorHAnsi" w:hAnsiTheme="minorHAnsi"/>
                <w:sz w:val="18"/>
                <w:szCs w:val="20"/>
              </w:rPr>
              <w:br/>
            </w:r>
            <w:r w:rsidRPr="00F62144">
              <w:rPr>
                <w:rFonts w:asciiTheme="minorHAnsi" w:hAnsiTheme="minorHAnsi"/>
                <w:sz w:val="18"/>
                <w:szCs w:val="20"/>
              </w:rPr>
              <w:t>benefits included in</w:t>
            </w:r>
            <w:r w:rsidR="00CE184F" w:rsidRPr="00F62144">
              <w:rPr>
                <w:rFonts w:asciiTheme="minorHAnsi" w:hAnsiTheme="minorHAnsi"/>
                <w:sz w:val="18"/>
                <w:szCs w:val="20"/>
              </w:rPr>
              <w:br/>
            </w:r>
            <w:r w:rsidR="00AE348E">
              <w:rPr>
                <w:rFonts w:asciiTheme="minorHAnsi" w:hAnsiTheme="minorHAnsi"/>
                <w:sz w:val="18"/>
                <w:szCs w:val="20"/>
              </w:rPr>
              <w:t>2018</w:t>
            </w:r>
            <w:r w:rsidR="00F310BB" w:rsidRPr="00F62144">
              <w:rPr>
                <w:rFonts w:asciiTheme="minorHAnsi" w:hAnsiTheme="minorHAnsi"/>
                <w:sz w:val="18"/>
                <w:szCs w:val="20"/>
              </w:rPr>
              <w:t xml:space="preserve"> </w:t>
            </w:r>
            <w:r w:rsidRPr="00F62144">
              <w:rPr>
                <w:rFonts w:asciiTheme="minorHAnsi" w:hAnsiTheme="minorHAnsi"/>
                <w:sz w:val="18"/>
                <w:szCs w:val="20"/>
              </w:rPr>
              <w:t>funding target</w:t>
            </w:r>
          </w:p>
        </w:tc>
      </w:tr>
      <w:tr w:rsidR="001E2E48" w:rsidRPr="00F62144" w14:paraId="25D8BC38" w14:textId="77777777" w:rsidTr="00A8171A">
        <w:trPr>
          <w:trHeight w:val="251"/>
          <w:jc w:val="center"/>
        </w:trPr>
        <w:tc>
          <w:tcPr>
            <w:tcW w:w="1639" w:type="dxa"/>
            <w:tcBorders>
              <w:top w:val="single" w:sz="4" w:space="0" w:color="auto"/>
              <w:left w:val="single" w:sz="4" w:space="0" w:color="auto"/>
              <w:bottom w:val="nil"/>
              <w:right w:val="single" w:sz="4" w:space="0" w:color="auto"/>
            </w:tcBorders>
          </w:tcPr>
          <w:p w14:paraId="3E370E7C" w14:textId="77777777" w:rsidR="001E2E48" w:rsidRPr="00F62144" w:rsidRDefault="001E2E48" w:rsidP="000325B6">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90" w:type="dxa"/>
            <w:gridSpan w:val="2"/>
            <w:tcBorders>
              <w:top w:val="single" w:sz="4" w:space="0" w:color="auto"/>
              <w:left w:val="single" w:sz="4" w:space="0" w:color="auto"/>
              <w:bottom w:val="nil"/>
              <w:right w:val="single" w:sz="4" w:space="0" w:color="auto"/>
            </w:tcBorders>
          </w:tcPr>
          <w:p w14:paraId="61337F0A" w14:textId="77777777" w:rsidR="001E2E48" w:rsidRPr="00F62144" w:rsidRDefault="001E2E48" w:rsidP="00C84979">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14:paraId="0F9D943A" w14:textId="77777777" w:rsidR="001E2E48" w:rsidRPr="00F62144" w:rsidRDefault="001E2E48" w:rsidP="00C84979">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14:paraId="2B4C36A2" w14:textId="77777777" w:rsidR="001E2E48" w:rsidRPr="00F62144" w:rsidRDefault="001E2E48" w:rsidP="00C84979">
            <w:pPr>
              <w:spacing w:before="90" w:after="60"/>
              <w:jc w:val="center"/>
              <w:rPr>
                <w:rFonts w:asciiTheme="minorHAnsi" w:hAnsiTheme="minorHAnsi"/>
                <w:sz w:val="18"/>
                <w:szCs w:val="20"/>
              </w:rPr>
            </w:pPr>
          </w:p>
        </w:tc>
      </w:tr>
      <w:tr w:rsidR="001E2E48" w:rsidRPr="00F62144" w14:paraId="393B722D" w14:textId="77777777" w:rsidTr="00A8171A">
        <w:trPr>
          <w:trHeight w:val="144"/>
          <w:jc w:val="center"/>
        </w:trPr>
        <w:tc>
          <w:tcPr>
            <w:tcW w:w="1639" w:type="dxa"/>
            <w:tcBorders>
              <w:top w:val="nil"/>
              <w:left w:val="single" w:sz="4" w:space="0" w:color="auto"/>
              <w:bottom w:val="nil"/>
              <w:right w:val="single" w:sz="4" w:space="0" w:color="auto"/>
            </w:tcBorders>
          </w:tcPr>
          <w:p w14:paraId="06B9823F" w14:textId="77777777" w:rsidR="001E2E48" w:rsidRPr="00F62144" w:rsidRDefault="001E2E48" w:rsidP="00023A8E">
            <w:pPr>
              <w:pStyle w:val="ListParagraph"/>
              <w:numPr>
                <w:ilvl w:val="0"/>
                <w:numId w:val="45"/>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149" w:type="dxa"/>
            <w:tcBorders>
              <w:top w:val="nil"/>
              <w:left w:val="single" w:sz="4" w:space="0" w:color="auto"/>
              <w:bottom w:val="nil"/>
              <w:right w:val="nil"/>
            </w:tcBorders>
          </w:tcPr>
          <w:p w14:paraId="15C64C75" w14:textId="77777777" w:rsidR="001E2E48" w:rsidRPr="00F62144" w:rsidRDefault="00791983" w:rsidP="003562E2">
            <w:pPr>
              <w:spacing w:before="90" w:after="60"/>
              <w:jc w:val="center"/>
              <w:rPr>
                <w:rFonts w:asciiTheme="minorHAnsi" w:hAnsiTheme="minorHAnsi"/>
                <w:sz w:val="18"/>
                <w:szCs w:val="20"/>
              </w:rPr>
            </w:pPr>
            <w:r>
              <w:rPr>
                <w:rFonts w:asciiTheme="minorHAnsi" w:hAnsiTheme="minorHAnsi"/>
                <w:sz w:val="18"/>
                <w:szCs w:val="20"/>
              </w:rPr>
              <w:t>S</w:t>
            </w:r>
            <w:r w:rsidR="001E2E48" w:rsidRPr="00F62144">
              <w:rPr>
                <w:rFonts w:asciiTheme="minorHAnsi" w:hAnsiTheme="minorHAnsi"/>
                <w:sz w:val="18"/>
                <w:szCs w:val="20"/>
              </w:rPr>
              <w:t>pot segment rates</w:t>
            </w:r>
            <w:r>
              <w:rPr>
                <w:rFonts w:asciiTheme="minorHAnsi" w:hAnsiTheme="minorHAnsi"/>
                <w:sz w:val="18"/>
                <w:szCs w:val="20"/>
              </w:rPr>
              <w:t xml:space="preserve"> for month before </w:t>
            </w:r>
            <w:r w:rsidR="00AE348E">
              <w:rPr>
                <w:rFonts w:asciiTheme="minorHAnsi" w:hAnsiTheme="minorHAnsi"/>
                <w:sz w:val="18"/>
                <w:szCs w:val="20"/>
              </w:rPr>
              <w:t>2017</w:t>
            </w:r>
            <w:r>
              <w:rPr>
                <w:rFonts w:asciiTheme="minorHAnsi" w:hAnsiTheme="minorHAnsi"/>
                <w:sz w:val="18"/>
                <w:szCs w:val="20"/>
              </w:rPr>
              <w:t xml:space="preserve"> plan year begins </w:t>
            </w:r>
          </w:p>
        </w:tc>
        <w:tc>
          <w:tcPr>
            <w:tcW w:w="2441" w:type="dxa"/>
            <w:tcBorders>
              <w:top w:val="nil"/>
              <w:left w:val="nil"/>
              <w:bottom w:val="nil"/>
              <w:right w:val="single" w:sz="4" w:space="0" w:color="auto"/>
            </w:tcBorders>
          </w:tcPr>
          <w:p w14:paraId="736FE65D"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00CE184F" w:rsidRPr="00F62144">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AE348E">
              <w:rPr>
                <w:rFonts w:asciiTheme="minorHAnsi" w:hAnsiTheme="minorHAnsi"/>
                <w:sz w:val="18"/>
                <w:szCs w:val="20"/>
              </w:rPr>
              <w:t>2017</w:t>
            </w:r>
            <w:r w:rsidR="00F310BB" w:rsidRPr="00F62144">
              <w:rPr>
                <w:rFonts w:asciiTheme="minorHAnsi" w:hAnsiTheme="minorHAnsi"/>
                <w:sz w:val="18"/>
                <w:szCs w:val="20"/>
              </w:rPr>
              <w:t xml:space="preserve"> </w:t>
            </w:r>
            <w:r w:rsidR="00CE184F" w:rsidRPr="00F62144">
              <w:rPr>
                <w:rFonts w:asciiTheme="minorHAnsi" w:hAnsiTheme="minorHAnsi"/>
                <w:sz w:val="18"/>
                <w:szCs w:val="20"/>
              </w:rPr>
              <w:t xml:space="preserve">if </w:t>
            </w:r>
            <w:r w:rsidR="00F84FF4">
              <w:rPr>
                <w:rFonts w:asciiTheme="minorHAnsi" w:hAnsiTheme="minorHAnsi"/>
                <w:sz w:val="18"/>
                <w:szCs w:val="20"/>
              </w:rPr>
              <w:t xml:space="preserve">Interest Rate </w:t>
            </w:r>
            <w:r w:rsidR="00F84FF4" w:rsidRPr="00F62144">
              <w:rPr>
                <w:rFonts w:asciiTheme="minorHAnsi" w:hAnsiTheme="minorHAnsi"/>
                <w:sz w:val="18"/>
                <w:szCs w:val="20"/>
              </w:rPr>
              <w:t xml:space="preserve"> </w:t>
            </w:r>
            <w:r w:rsidR="00F84FF4">
              <w:rPr>
                <w:rFonts w:asciiTheme="minorHAnsi" w:hAnsiTheme="minorHAnsi"/>
                <w:sz w:val="18"/>
                <w:szCs w:val="20"/>
              </w:rPr>
              <w:t>S</w:t>
            </w:r>
            <w:r w:rsidR="00CE184F" w:rsidRPr="00F62144">
              <w:rPr>
                <w:rFonts w:asciiTheme="minorHAnsi" w:hAnsiTheme="minorHAnsi"/>
                <w:sz w:val="18"/>
                <w:szCs w:val="20"/>
              </w:rPr>
              <w:t xml:space="preserve">tabilization </w:t>
            </w:r>
            <w:r w:rsidR="00F84FF4">
              <w:rPr>
                <w:rFonts w:asciiTheme="minorHAnsi" w:hAnsiTheme="minorHAnsi"/>
                <w:sz w:val="18"/>
                <w:szCs w:val="20"/>
              </w:rPr>
              <w:t>R</w:t>
            </w:r>
            <w:r w:rsidR="00CE184F" w:rsidRPr="00F62144">
              <w:rPr>
                <w:rFonts w:asciiTheme="minorHAnsi" w:hAnsiTheme="minorHAnsi"/>
                <w:sz w:val="18"/>
                <w:szCs w:val="20"/>
              </w:rPr>
              <w:t>ules had not applied</w:t>
            </w:r>
            <w:r w:rsidRPr="00F62144">
              <w:rPr>
                <w:rStyle w:val="FootnoteReference"/>
                <w:rFonts w:asciiTheme="minorHAnsi" w:hAnsiTheme="minorHAnsi"/>
                <w:sz w:val="18"/>
                <w:szCs w:val="20"/>
              </w:rPr>
              <w:footnoteReference w:id="13"/>
            </w:r>
          </w:p>
        </w:tc>
        <w:tc>
          <w:tcPr>
            <w:tcW w:w="2072" w:type="dxa"/>
            <w:tcBorders>
              <w:top w:val="nil"/>
              <w:left w:val="single" w:sz="4" w:space="0" w:color="auto"/>
              <w:bottom w:val="nil"/>
              <w:right w:val="nil"/>
            </w:tcBorders>
          </w:tcPr>
          <w:p w14:paraId="26E57107" w14:textId="77777777" w:rsidR="001E2E48" w:rsidRPr="00F62144" w:rsidRDefault="00CE184F" w:rsidP="003562E2">
            <w:pPr>
              <w:spacing w:before="90" w:after="60"/>
              <w:jc w:val="center"/>
              <w:rPr>
                <w:rFonts w:asciiTheme="minorHAnsi" w:hAnsiTheme="minorHAnsi"/>
                <w:sz w:val="18"/>
                <w:szCs w:val="20"/>
              </w:rPr>
            </w:pPr>
            <w:r w:rsidRPr="00F62144">
              <w:rPr>
                <w:rFonts w:asciiTheme="minorHAnsi" w:hAnsiTheme="minorHAnsi"/>
                <w:sz w:val="18"/>
                <w:szCs w:val="20"/>
              </w:rPr>
              <w:br/>
            </w:r>
            <w:r w:rsidR="001E2E48" w:rsidRPr="00F62144">
              <w:rPr>
                <w:rFonts w:asciiTheme="minorHAnsi" w:hAnsiTheme="minorHAnsi"/>
                <w:sz w:val="18"/>
                <w:szCs w:val="20"/>
              </w:rPr>
              <w:t xml:space="preserve"> </w:t>
            </w:r>
            <w:r w:rsidR="00791983">
              <w:rPr>
                <w:rFonts w:asciiTheme="minorHAnsi" w:hAnsiTheme="minorHAnsi"/>
                <w:sz w:val="18"/>
                <w:szCs w:val="20"/>
              </w:rPr>
              <w:t>S</w:t>
            </w:r>
            <w:r w:rsidR="001E2E48"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AE348E">
              <w:rPr>
                <w:rFonts w:asciiTheme="minorHAnsi" w:hAnsiTheme="minorHAnsi"/>
                <w:sz w:val="18"/>
                <w:szCs w:val="20"/>
              </w:rPr>
              <w:t>2018</w:t>
            </w:r>
            <w:r w:rsidR="00791983">
              <w:rPr>
                <w:rFonts w:asciiTheme="minorHAnsi" w:hAnsiTheme="minorHAnsi"/>
                <w:sz w:val="18"/>
                <w:szCs w:val="20"/>
              </w:rPr>
              <w:t xml:space="preserve"> plan year begins </w:t>
            </w:r>
          </w:p>
        </w:tc>
        <w:tc>
          <w:tcPr>
            <w:tcW w:w="2176" w:type="dxa"/>
            <w:tcBorders>
              <w:top w:val="nil"/>
              <w:left w:val="nil"/>
              <w:bottom w:val="nil"/>
              <w:right w:val="single" w:sz="4" w:space="0" w:color="auto"/>
            </w:tcBorders>
          </w:tcPr>
          <w:p w14:paraId="4B2DDB1B"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00CE184F" w:rsidRPr="00F62144">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AE348E">
              <w:rPr>
                <w:rFonts w:asciiTheme="minorHAnsi" w:hAnsiTheme="minorHAnsi"/>
                <w:sz w:val="18"/>
                <w:szCs w:val="20"/>
              </w:rPr>
              <w:t>2018</w:t>
            </w:r>
            <w:r w:rsidR="00F310BB" w:rsidRPr="00F62144">
              <w:rPr>
                <w:rFonts w:asciiTheme="minorHAnsi" w:hAnsiTheme="minorHAnsi"/>
                <w:sz w:val="18"/>
                <w:szCs w:val="20"/>
              </w:rPr>
              <w:t xml:space="preserve"> </w:t>
            </w:r>
            <w:r w:rsidRPr="00F62144">
              <w:rPr>
                <w:rFonts w:asciiTheme="minorHAnsi" w:hAnsiTheme="minorHAnsi"/>
                <w:sz w:val="18"/>
                <w:szCs w:val="20"/>
              </w:rPr>
              <w:t>if</w:t>
            </w:r>
            <w:r w:rsidR="00CE184F" w:rsidRPr="00F62144">
              <w:rPr>
                <w:rFonts w:asciiTheme="minorHAnsi" w:hAnsiTheme="minorHAnsi"/>
                <w:sz w:val="18"/>
                <w:szCs w:val="20"/>
              </w:rPr>
              <w:t xml:space="preserve"> </w:t>
            </w:r>
            <w:r w:rsidR="00F84FF4">
              <w:rPr>
                <w:rFonts w:asciiTheme="minorHAnsi" w:hAnsiTheme="minorHAnsi"/>
                <w:sz w:val="18"/>
                <w:szCs w:val="20"/>
              </w:rPr>
              <w:t>Interest Rate</w:t>
            </w:r>
            <w:r w:rsidR="00F84FF4" w:rsidRPr="00F62144">
              <w:rPr>
                <w:rFonts w:asciiTheme="minorHAnsi" w:hAnsiTheme="minorHAnsi"/>
                <w:sz w:val="18"/>
                <w:szCs w:val="20"/>
              </w:rPr>
              <w:t xml:space="preserve"> </w:t>
            </w:r>
            <w:r w:rsidR="00F84FF4">
              <w:rPr>
                <w:rFonts w:asciiTheme="minorHAnsi" w:hAnsiTheme="minorHAnsi"/>
                <w:sz w:val="18"/>
                <w:szCs w:val="20"/>
              </w:rPr>
              <w:t>S</w:t>
            </w:r>
            <w:r w:rsidR="00CE184F" w:rsidRPr="00F62144">
              <w:rPr>
                <w:rFonts w:asciiTheme="minorHAnsi" w:hAnsiTheme="minorHAnsi"/>
                <w:sz w:val="18"/>
                <w:szCs w:val="20"/>
              </w:rPr>
              <w:t xml:space="preserve">tabilization </w:t>
            </w:r>
            <w:r w:rsidR="00F84FF4">
              <w:rPr>
                <w:rFonts w:asciiTheme="minorHAnsi" w:hAnsiTheme="minorHAnsi"/>
                <w:sz w:val="18"/>
                <w:szCs w:val="20"/>
              </w:rPr>
              <w:t>R</w:t>
            </w:r>
            <w:r w:rsidR="00CE184F" w:rsidRPr="00F62144">
              <w:rPr>
                <w:rFonts w:asciiTheme="minorHAnsi" w:hAnsiTheme="minorHAnsi"/>
                <w:sz w:val="18"/>
                <w:szCs w:val="20"/>
              </w:rPr>
              <w:t>ules did not apply</w:t>
            </w:r>
            <w:r w:rsidR="00273584" w:rsidRPr="00F62144">
              <w:rPr>
                <w:rFonts w:asciiTheme="minorHAnsi" w:hAnsiTheme="minorHAnsi"/>
                <w:sz w:val="18"/>
                <w:szCs w:val="20"/>
                <w:vertAlign w:val="superscript"/>
              </w:rPr>
              <w:t>1</w:t>
            </w:r>
            <w:r w:rsidR="00CE184F" w:rsidRPr="00F62144">
              <w:rPr>
                <w:rFonts w:asciiTheme="minorHAnsi" w:hAnsiTheme="minorHAnsi"/>
                <w:sz w:val="18"/>
                <w:szCs w:val="20"/>
                <w:vertAlign w:val="superscript"/>
              </w:rPr>
              <w:t>1</w:t>
            </w:r>
          </w:p>
        </w:tc>
      </w:tr>
      <w:tr w:rsidR="001E2E48" w:rsidRPr="00F62144" w14:paraId="15F9875D" w14:textId="77777777" w:rsidTr="00A8171A">
        <w:trPr>
          <w:trHeight w:val="144"/>
          <w:jc w:val="center"/>
        </w:trPr>
        <w:tc>
          <w:tcPr>
            <w:tcW w:w="1639" w:type="dxa"/>
            <w:tcBorders>
              <w:top w:val="nil"/>
              <w:left w:val="single" w:sz="4" w:space="0" w:color="auto"/>
              <w:bottom w:val="single" w:sz="4" w:space="0" w:color="auto"/>
              <w:right w:val="single" w:sz="4" w:space="0" w:color="auto"/>
            </w:tcBorders>
          </w:tcPr>
          <w:p w14:paraId="3897FA3F" w14:textId="77777777" w:rsidR="001E2E48" w:rsidRPr="00F62144" w:rsidRDefault="001E2E48" w:rsidP="00023A8E">
            <w:pPr>
              <w:pStyle w:val="ListParagraph"/>
              <w:numPr>
                <w:ilvl w:val="0"/>
                <w:numId w:val="45"/>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149" w:type="dxa"/>
            <w:tcBorders>
              <w:top w:val="nil"/>
              <w:left w:val="single" w:sz="4" w:space="0" w:color="auto"/>
              <w:bottom w:val="single" w:sz="4" w:space="0" w:color="auto"/>
              <w:right w:val="nil"/>
            </w:tcBorders>
          </w:tcPr>
          <w:p w14:paraId="39680AD2"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E348E">
              <w:rPr>
                <w:rFonts w:asciiTheme="minorHAnsi" w:hAnsiTheme="minorHAnsi"/>
                <w:sz w:val="18"/>
                <w:szCs w:val="20"/>
              </w:rPr>
              <w:t>2017</w:t>
            </w:r>
          </w:p>
        </w:tc>
        <w:tc>
          <w:tcPr>
            <w:tcW w:w="2441" w:type="dxa"/>
            <w:tcBorders>
              <w:top w:val="nil"/>
              <w:left w:val="nil"/>
              <w:bottom w:val="single" w:sz="4" w:space="0" w:color="auto"/>
              <w:right w:val="single" w:sz="4" w:space="0" w:color="auto"/>
            </w:tcBorders>
          </w:tcPr>
          <w:p w14:paraId="6773DC26"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E348E">
              <w:rPr>
                <w:rFonts w:asciiTheme="minorHAnsi" w:hAnsiTheme="minorHAnsi"/>
                <w:sz w:val="18"/>
                <w:szCs w:val="20"/>
              </w:rPr>
              <w:t>2017</w:t>
            </w:r>
          </w:p>
        </w:tc>
        <w:tc>
          <w:tcPr>
            <w:tcW w:w="2072" w:type="dxa"/>
            <w:tcBorders>
              <w:top w:val="nil"/>
              <w:left w:val="single" w:sz="4" w:space="0" w:color="auto"/>
              <w:bottom w:val="single" w:sz="4" w:space="0" w:color="auto"/>
              <w:right w:val="nil"/>
            </w:tcBorders>
          </w:tcPr>
          <w:p w14:paraId="62D1910B"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E348E">
              <w:rPr>
                <w:rFonts w:asciiTheme="minorHAnsi" w:hAnsiTheme="minorHAnsi"/>
                <w:sz w:val="18"/>
                <w:szCs w:val="20"/>
              </w:rPr>
              <w:t>2018</w:t>
            </w:r>
          </w:p>
        </w:tc>
        <w:tc>
          <w:tcPr>
            <w:tcW w:w="2176" w:type="dxa"/>
            <w:tcBorders>
              <w:top w:val="nil"/>
              <w:left w:val="nil"/>
              <w:bottom w:val="single" w:sz="4" w:space="0" w:color="auto"/>
              <w:right w:val="single" w:sz="4" w:space="0" w:color="auto"/>
            </w:tcBorders>
          </w:tcPr>
          <w:p w14:paraId="1CB63AC6"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AE348E">
              <w:rPr>
                <w:rFonts w:asciiTheme="minorHAnsi" w:hAnsiTheme="minorHAnsi"/>
                <w:sz w:val="18"/>
                <w:szCs w:val="20"/>
              </w:rPr>
              <w:t>2018</w:t>
            </w:r>
          </w:p>
        </w:tc>
      </w:tr>
      <w:tr w:rsidR="001E2E48" w:rsidRPr="00F62144" w14:paraId="271B88A9" w14:textId="77777777" w:rsidTr="00A8171A">
        <w:trPr>
          <w:trHeight w:val="144"/>
          <w:jc w:val="center"/>
        </w:trPr>
        <w:tc>
          <w:tcPr>
            <w:tcW w:w="1639" w:type="dxa"/>
            <w:tcBorders>
              <w:top w:val="single" w:sz="4" w:space="0" w:color="auto"/>
              <w:left w:val="single" w:sz="4" w:space="0" w:color="auto"/>
              <w:bottom w:val="single" w:sz="4" w:space="0" w:color="auto"/>
              <w:right w:val="single" w:sz="4" w:space="0" w:color="auto"/>
            </w:tcBorders>
          </w:tcPr>
          <w:p w14:paraId="20CAAE90" w14:textId="77777777" w:rsidR="001E2E48" w:rsidRPr="00F62144" w:rsidRDefault="001E2E48" w:rsidP="00C92E0E">
            <w:pPr>
              <w:spacing w:before="90" w:after="60"/>
              <w:rPr>
                <w:rFonts w:asciiTheme="minorHAnsi" w:hAnsiTheme="minorHAnsi"/>
                <w:sz w:val="18"/>
                <w:szCs w:val="20"/>
              </w:rPr>
            </w:pPr>
            <w:r w:rsidRPr="00F62144">
              <w:rPr>
                <w:rFonts w:asciiTheme="minorHAnsi" w:hAnsiTheme="minorHAnsi"/>
                <w:sz w:val="18"/>
                <w:szCs w:val="20"/>
              </w:rPr>
              <w:t>At-risk status</w:t>
            </w:r>
          </w:p>
        </w:tc>
        <w:tc>
          <w:tcPr>
            <w:tcW w:w="2149" w:type="dxa"/>
            <w:tcBorders>
              <w:top w:val="single" w:sz="4" w:space="0" w:color="auto"/>
              <w:left w:val="single" w:sz="4" w:space="0" w:color="auto"/>
              <w:bottom w:val="single" w:sz="4" w:space="0" w:color="auto"/>
              <w:right w:val="nil"/>
            </w:tcBorders>
          </w:tcPr>
          <w:p w14:paraId="1A97917F"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AE348E">
              <w:rPr>
                <w:rFonts w:asciiTheme="minorHAnsi" w:hAnsiTheme="minorHAnsi"/>
                <w:sz w:val="18"/>
                <w:szCs w:val="20"/>
              </w:rPr>
              <w:t>2017</w:t>
            </w:r>
          </w:p>
        </w:tc>
        <w:tc>
          <w:tcPr>
            <w:tcW w:w="2441" w:type="dxa"/>
            <w:tcBorders>
              <w:top w:val="single" w:sz="4" w:space="0" w:color="auto"/>
              <w:left w:val="nil"/>
              <w:bottom w:val="single" w:sz="4" w:space="0" w:color="auto"/>
              <w:right w:val="single" w:sz="4" w:space="0" w:color="auto"/>
            </w:tcBorders>
          </w:tcPr>
          <w:p w14:paraId="43B57E0B"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AE348E">
              <w:rPr>
                <w:rFonts w:asciiTheme="minorHAnsi" w:hAnsiTheme="minorHAnsi"/>
                <w:sz w:val="18"/>
                <w:szCs w:val="20"/>
              </w:rPr>
              <w:t>2017</w:t>
            </w:r>
          </w:p>
        </w:tc>
        <w:tc>
          <w:tcPr>
            <w:tcW w:w="2072" w:type="dxa"/>
            <w:tcBorders>
              <w:top w:val="single" w:sz="4" w:space="0" w:color="auto"/>
              <w:left w:val="single" w:sz="4" w:space="0" w:color="auto"/>
              <w:bottom w:val="single" w:sz="4" w:space="0" w:color="auto"/>
              <w:right w:val="nil"/>
            </w:tcBorders>
          </w:tcPr>
          <w:p w14:paraId="24B13BB9"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AE348E">
              <w:rPr>
                <w:rFonts w:asciiTheme="minorHAnsi" w:hAnsiTheme="minorHAnsi"/>
                <w:sz w:val="18"/>
                <w:szCs w:val="20"/>
              </w:rPr>
              <w:t>2018</w:t>
            </w:r>
          </w:p>
        </w:tc>
        <w:tc>
          <w:tcPr>
            <w:tcW w:w="2176" w:type="dxa"/>
            <w:tcBorders>
              <w:top w:val="single" w:sz="4" w:space="0" w:color="auto"/>
              <w:left w:val="nil"/>
              <w:bottom w:val="single" w:sz="4" w:space="0" w:color="auto"/>
              <w:right w:val="single" w:sz="4" w:space="0" w:color="auto"/>
            </w:tcBorders>
          </w:tcPr>
          <w:p w14:paraId="3E4CE5E0" w14:textId="77777777" w:rsidR="001E2E48" w:rsidRPr="00F62144" w:rsidRDefault="001E2E48" w:rsidP="00F310BB">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AE348E">
              <w:rPr>
                <w:rFonts w:asciiTheme="minorHAnsi" w:hAnsiTheme="minorHAnsi"/>
                <w:sz w:val="18"/>
                <w:szCs w:val="20"/>
              </w:rPr>
              <w:t>2018</w:t>
            </w:r>
          </w:p>
        </w:tc>
      </w:tr>
      <w:tr w:rsidR="001E2E48" w:rsidRPr="00F62144" w14:paraId="2CC3C158" w14:textId="77777777" w:rsidTr="00A8171A">
        <w:trPr>
          <w:trHeight w:val="144"/>
          <w:jc w:val="center"/>
        </w:trPr>
        <w:tc>
          <w:tcPr>
            <w:tcW w:w="1639" w:type="dxa"/>
            <w:tcBorders>
              <w:top w:val="single" w:sz="4" w:space="0" w:color="auto"/>
              <w:left w:val="single" w:sz="4" w:space="0" w:color="auto"/>
              <w:bottom w:val="nil"/>
              <w:right w:val="single" w:sz="4" w:space="0" w:color="auto"/>
            </w:tcBorders>
          </w:tcPr>
          <w:p w14:paraId="66567D68" w14:textId="77777777" w:rsidR="001E2E48" w:rsidRPr="00F62144" w:rsidRDefault="001E2E48" w:rsidP="000325B6">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590" w:type="dxa"/>
            <w:gridSpan w:val="2"/>
            <w:tcBorders>
              <w:top w:val="single" w:sz="4" w:space="0" w:color="auto"/>
              <w:left w:val="single" w:sz="4" w:space="0" w:color="auto"/>
              <w:bottom w:val="nil"/>
              <w:right w:val="single" w:sz="4" w:space="0" w:color="auto"/>
            </w:tcBorders>
          </w:tcPr>
          <w:p w14:paraId="1F15D999" w14:textId="77777777" w:rsidR="001E2E48" w:rsidRPr="00F62144" w:rsidRDefault="001E2E48" w:rsidP="00C84979">
            <w:pPr>
              <w:spacing w:before="90" w:after="60"/>
              <w:jc w:val="center"/>
              <w:rPr>
                <w:rFonts w:asciiTheme="minorHAnsi" w:hAnsiTheme="minorHAnsi"/>
                <w:color w:val="000000" w:themeColor="text1"/>
                <w:sz w:val="18"/>
                <w:szCs w:val="20"/>
              </w:rPr>
            </w:pPr>
          </w:p>
        </w:tc>
        <w:tc>
          <w:tcPr>
            <w:tcW w:w="2072" w:type="dxa"/>
            <w:tcBorders>
              <w:top w:val="single" w:sz="4" w:space="0" w:color="auto"/>
              <w:left w:val="single" w:sz="4" w:space="0" w:color="auto"/>
              <w:bottom w:val="nil"/>
              <w:right w:val="nil"/>
            </w:tcBorders>
          </w:tcPr>
          <w:p w14:paraId="24497BC1" w14:textId="77777777" w:rsidR="001E2E48" w:rsidRPr="00F62144" w:rsidRDefault="001E2E48" w:rsidP="00C84979">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14:paraId="321D654B" w14:textId="77777777" w:rsidR="001E2E48" w:rsidRPr="00F62144" w:rsidRDefault="001E2E48" w:rsidP="00C84979">
            <w:pPr>
              <w:spacing w:before="90" w:after="60"/>
              <w:jc w:val="center"/>
              <w:rPr>
                <w:rFonts w:asciiTheme="minorHAnsi" w:hAnsiTheme="minorHAnsi"/>
                <w:color w:val="000000" w:themeColor="text1"/>
                <w:sz w:val="18"/>
                <w:szCs w:val="20"/>
              </w:rPr>
            </w:pPr>
          </w:p>
        </w:tc>
      </w:tr>
      <w:tr w:rsidR="001E2E48" w:rsidRPr="00F62144" w14:paraId="453B7E75" w14:textId="77777777" w:rsidTr="00A8171A">
        <w:trPr>
          <w:trHeight w:val="144"/>
          <w:jc w:val="center"/>
        </w:trPr>
        <w:tc>
          <w:tcPr>
            <w:tcW w:w="1639" w:type="dxa"/>
            <w:tcBorders>
              <w:top w:val="nil"/>
              <w:left w:val="single" w:sz="4" w:space="0" w:color="auto"/>
              <w:bottom w:val="nil"/>
              <w:right w:val="single" w:sz="4" w:space="0" w:color="auto"/>
            </w:tcBorders>
          </w:tcPr>
          <w:p w14:paraId="6CDD114D" w14:textId="77777777" w:rsidR="001E2E48" w:rsidRPr="00F62144" w:rsidRDefault="001E2E48" w:rsidP="00023A8E">
            <w:pPr>
              <w:pStyle w:val="ListParagraph"/>
              <w:numPr>
                <w:ilvl w:val="0"/>
                <w:numId w:val="45"/>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tcBorders>
              <w:top w:val="nil"/>
              <w:left w:val="single" w:sz="4" w:space="0" w:color="auto"/>
              <w:bottom w:val="nil"/>
              <w:right w:val="nil"/>
            </w:tcBorders>
          </w:tcPr>
          <w:p w14:paraId="77EDA9FC" w14:textId="77777777" w:rsidR="001E2E48" w:rsidRPr="00F62144" w:rsidRDefault="001E2E48" w:rsidP="00F310BB">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AE348E">
              <w:rPr>
                <w:rFonts w:asciiTheme="minorHAnsi" w:hAnsiTheme="minorHAnsi"/>
                <w:color w:val="000000" w:themeColor="text1"/>
                <w:sz w:val="18"/>
                <w:szCs w:val="20"/>
              </w:rPr>
              <w:t>2017</w:t>
            </w:r>
            <w:r w:rsidR="00F310BB" w:rsidRPr="00F62144">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  Otherwise, N/A.</w:t>
            </w:r>
          </w:p>
        </w:tc>
        <w:tc>
          <w:tcPr>
            <w:tcW w:w="2441" w:type="dxa"/>
            <w:tcBorders>
              <w:top w:val="nil"/>
              <w:left w:val="nil"/>
              <w:bottom w:val="nil"/>
              <w:right w:val="single" w:sz="4" w:space="0" w:color="auto"/>
            </w:tcBorders>
          </w:tcPr>
          <w:p w14:paraId="739F21DA" w14:textId="77777777" w:rsidR="001E2E48" w:rsidRPr="00F62144" w:rsidRDefault="001E2E48" w:rsidP="00F310BB">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AE348E">
              <w:rPr>
                <w:rFonts w:asciiTheme="minorHAnsi" w:hAnsiTheme="minorHAnsi"/>
                <w:color w:val="000000" w:themeColor="text1"/>
                <w:sz w:val="18"/>
                <w:szCs w:val="20"/>
              </w:rPr>
              <w:t>2017</w:t>
            </w:r>
            <w:r w:rsidR="00F310BB" w:rsidRPr="00F62144">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c>
          <w:tcPr>
            <w:tcW w:w="2072" w:type="dxa"/>
            <w:tcBorders>
              <w:top w:val="nil"/>
              <w:left w:val="single" w:sz="4" w:space="0" w:color="auto"/>
              <w:bottom w:val="nil"/>
              <w:right w:val="nil"/>
            </w:tcBorders>
          </w:tcPr>
          <w:p w14:paraId="3AE2AB65" w14:textId="77777777" w:rsidR="001E2E48" w:rsidRPr="00F62144" w:rsidRDefault="001E2E48" w:rsidP="00F310BB">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AE348E">
              <w:rPr>
                <w:rFonts w:asciiTheme="minorHAnsi" w:hAnsiTheme="minorHAnsi"/>
                <w:color w:val="000000" w:themeColor="text1"/>
                <w:sz w:val="18"/>
                <w:szCs w:val="20"/>
              </w:rPr>
              <w:t>2018</w:t>
            </w:r>
            <w:r w:rsidR="00F310BB" w:rsidRPr="00F62144">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  Otherwise, N/A.</w:t>
            </w:r>
          </w:p>
        </w:tc>
        <w:tc>
          <w:tcPr>
            <w:tcW w:w="2176" w:type="dxa"/>
            <w:tcBorders>
              <w:top w:val="nil"/>
              <w:left w:val="nil"/>
              <w:bottom w:val="nil"/>
              <w:right w:val="single" w:sz="4" w:space="0" w:color="auto"/>
            </w:tcBorders>
          </w:tcPr>
          <w:p w14:paraId="24D61DA1" w14:textId="77777777" w:rsidR="001E2E48" w:rsidRPr="00F62144" w:rsidRDefault="001E2E48" w:rsidP="00F310BB">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AE348E">
              <w:rPr>
                <w:rFonts w:asciiTheme="minorHAnsi" w:hAnsiTheme="minorHAnsi"/>
                <w:color w:val="000000" w:themeColor="text1"/>
                <w:sz w:val="18"/>
                <w:szCs w:val="20"/>
              </w:rPr>
              <w:t>2018</w:t>
            </w:r>
            <w:r w:rsidR="00F310BB" w:rsidRPr="00F62144">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r>
      <w:tr w:rsidR="001E2E48" w:rsidRPr="00F62144" w14:paraId="33B65169" w14:textId="77777777" w:rsidTr="00A8171A">
        <w:trPr>
          <w:trHeight w:val="144"/>
          <w:jc w:val="center"/>
        </w:trPr>
        <w:tc>
          <w:tcPr>
            <w:tcW w:w="1639" w:type="dxa"/>
            <w:tcBorders>
              <w:top w:val="nil"/>
              <w:left w:val="single" w:sz="4" w:space="0" w:color="auto"/>
              <w:bottom w:val="single" w:sz="4" w:space="0" w:color="auto"/>
              <w:right w:val="single" w:sz="4" w:space="0" w:color="auto"/>
            </w:tcBorders>
            <w:hideMark/>
          </w:tcPr>
          <w:p w14:paraId="166F2799" w14:textId="77777777" w:rsidR="001E2E48" w:rsidRPr="00F62144" w:rsidRDefault="001E2E48" w:rsidP="00023A8E">
            <w:pPr>
              <w:pStyle w:val="ListParagraph"/>
              <w:numPr>
                <w:ilvl w:val="0"/>
                <w:numId w:val="45"/>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tcBorders>
              <w:top w:val="nil"/>
              <w:left w:val="single" w:sz="4" w:space="0" w:color="auto"/>
              <w:bottom w:val="single" w:sz="4" w:space="0" w:color="auto"/>
              <w:right w:val="nil"/>
            </w:tcBorders>
            <w:hideMark/>
          </w:tcPr>
          <w:p w14:paraId="414ECAEF" w14:textId="77777777" w:rsidR="001E2E48" w:rsidRPr="00F62144" w:rsidRDefault="001E2E48" w:rsidP="00F310BB">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00633AA9" w:rsidRPr="00F62144">
              <w:rPr>
                <w:rFonts w:asciiTheme="minorHAnsi" w:hAnsiTheme="minorHAnsi"/>
                <w:color w:val="000000" w:themeColor="text1"/>
                <w:sz w:val="18"/>
                <w:szCs w:val="20"/>
              </w:rPr>
              <w:br/>
            </w:r>
            <w:r w:rsidRPr="00F62144">
              <w:rPr>
                <w:rFonts w:asciiTheme="minorHAnsi" w:hAnsiTheme="minorHAnsi"/>
                <w:color w:val="000000" w:themeColor="text1"/>
                <w:sz w:val="18"/>
                <w:szCs w:val="20"/>
              </w:rP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E348E">
              <w:rPr>
                <w:rFonts w:asciiTheme="minorHAnsi" w:hAnsiTheme="minorHAnsi"/>
                <w:color w:val="000000" w:themeColor="text1"/>
                <w:sz w:val="18"/>
                <w:szCs w:val="20"/>
              </w:rPr>
              <w:t>2017</w:t>
            </w:r>
            <w:r w:rsidR="00F310BB" w:rsidRPr="00F62144">
              <w:rPr>
                <w:rFonts w:asciiTheme="minorHAnsi" w:hAnsiTheme="minorHAnsi"/>
                <w:color w:val="000000" w:themeColor="text1"/>
                <w:sz w:val="18"/>
                <w:szCs w:val="20"/>
              </w:rPr>
              <w:t xml:space="preserve"> </w:t>
            </w:r>
          </w:p>
        </w:tc>
        <w:tc>
          <w:tcPr>
            <w:tcW w:w="2441" w:type="dxa"/>
            <w:tcBorders>
              <w:top w:val="nil"/>
              <w:left w:val="nil"/>
              <w:bottom w:val="single" w:sz="4" w:space="0" w:color="auto"/>
              <w:right w:val="single" w:sz="4" w:space="0" w:color="auto"/>
            </w:tcBorders>
            <w:hideMark/>
          </w:tcPr>
          <w:p w14:paraId="06CC0F11" w14:textId="77777777" w:rsidR="001E2E48" w:rsidRPr="00F62144" w:rsidRDefault="001E2E48" w:rsidP="00F310BB">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E348E">
              <w:rPr>
                <w:rFonts w:asciiTheme="minorHAnsi" w:hAnsiTheme="minorHAnsi"/>
                <w:color w:val="000000" w:themeColor="text1"/>
                <w:sz w:val="18"/>
                <w:szCs w:val="20"/>
              </w:rPr>
              <w:t>2017</w:t>
            </w:r>
            <w:r w:rsidR="00F310BB" w:rsidRPr="00F62144">
              <w:rPr>
                <w:rFonts w:asciiTheme="minorHAnsi" w:hAnsiTheme="minorHAnsi"/>
                <w:color w:val="000000" w:themeColor="text1"/>
                <w:sz w:val="18"/>
                <w:szCs w:val="20"/>
              </w:rPr>
              <w:t xml:space="preserve"> </w:t>
            </w:r>
          </w:p>
        </w:tc>
        <w:tc>
          <w:tcPr>
            <w:tcW w:w="2072" w:type="dxa"/>
            <w:tcBorders>
              <w:top w:val="nil"/>
              <w:left w:val="single" w:sz="4" w:space="0" w:color="auto"/>
              <w:bottom w:val="single" w:sz="4" w:space="0" w:color="auto"/>
              <w:right w:val="nil"/>
            </w:tcBorders>
          </w:tcPr>
          <w:p w14:paraId="5D6AA34A" w14:textId="77777777" w:rsidR="001E2E48" w:rsidRPr="00F62144" w:rsidRDefault="001E2E48" w:rsidP="00F310BB">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AE348E">
              <w:rPr>
                <w:rFonts w:asciiTheme="minorHAnsi" w:hAnsiTheme="minorHAnsi"/>
                <w:color w:val="000000" w:themeColor="text1"/>
                <w:sz w:val="18"/>
                <w:szCs w:val="20"/>
              </w:rPr>
              <w:t>2018</w:t>
            </w:r>
            <w:r w:rsidR="00F310BB" w:rsidRPr="00F62144">
              <w:rPr>
                <w:rFonts w:asciiTheme="minorHAnsi" w:hAnsiTheme="minorHAnsi"/>
                <w:color w:val="000000" w:themeColor="text1"/>
                <w:sz w:val="18"/>
                <w:szCs w:val="20"/>
              </w:rPr>
              <w:t xml:space="preserve"> </w:t>
            </w:r>
          </w:p>
        </w:tc>
        <w:tc>
          <w:tcPr>
            <w:tcW w:w="2176" w:type="dxa"/>
            <w:tcBorders>
              <w:top w:val="nil"/>
              <w:left w:val="nil"/>
              <w:bottom w:val="single" w:sz="4" w:space="0" w:color="auto"/>
              <w:right w:val="single" w:sz="4" w:space="0" w:color="auto"/>
            </w:tcBorders>
          </w:tcPr>
          <w:p w14:paraId="5F073CDA" w14:textId="77777777" w:rsidR="001E2E48" w:rsidRPr="00F62144" w:rsidRDefault="001E2E48" w:rsidP="00F310BB">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E348E">
              <w:rPr>
                <w:rFonts w:asciiTheme="minorHAnsi" w:hAnsiTheme="minorHAnsi"/>
                <w:color w:val="000000" w:themeColor="text1"/>
                <w:sz w:val="18"/>
                <w:szCs w:val="20"/>
              </w:rPr>
              <w:t>2018</w:t>
            </w:r>
            <w:r w:rsidR="00F310BB" w:rsidRPr="00F62144">
              <w:rPr>
                <w:rFonts w:asciiTheme="minorHAnsi" w:hAnsiTheme="minorHAnsi"/>
                <w:color w:val="000000" w:themeColor="text1"/>
                <w:sz w:val="18"/>
                <w:szCs w:val="20"/>
              </w:rPr>
              <w:t xml:space="preserve"> </w:t>
            </w:r>
          </w:p>
        </w:tc>
      </w:tr>
    </w:tbl>
    <w:p w14:paraId="745DF74B" w14:textId="77777777" w:rsidR="00DE098C" w:rsidRPr="00F62144" w:rsidRDefault="00DE098C" w:rsidP="00DE098C">
      <w:pPr>
        <w:spacing w:before="120"/>
        <w:rPr>
          <w:rFonts w:asciiTheme="minorHAnsi" w:hAnsiTheme="minorHAnsi"/>
          <w:b/>
          <w:sz w:val="22"/>
          <w:szCs w:val="22"/>
        </w:rPr>
      </w:pPr>
      <w:bookmarkStart w:id="19" w:name="b30"/>
      <w:bookmarkEnd w:id="19"/>
      <w:r w:rsidRPr="00F62144">
        <w:rPr>
          <w:rFonts w:asciiTheme="minorHAnsi" w:hAnsiTheme="minorHAnsi"/>
          <w:b/>
          <w:sz w:val="22"/>
          <w:szCs w:val="22"/>
        </w:rPr>
        <w:t xml:space="preserve">Plans Subject to Special Funding Rules </w:t>
      </w:r>
    </w:p>
    <w:p w14:paraId="53E4E365" w14:textId="77777777" w:rsidR="003951E3" w:rsidRDefault="00DE098C" w:rsidP="00DE098C">
      <w:pPr>
        <w:spacing w:before="120"/>
        <w:rPr>
          <w:rFonts w:asciiTheme="minorHAnsi" w:hAnsiTheme="minorHAnsi"/>
          <w:sz w:val="22"/>
          <w:szCs w:val="22"/>
        </w:rPr>
      </w:pPr>
      <w:r w:rsidRPr="00F62144">
        <w:rPr>
          <w:rFonts w:asciiTheme="minorHAnsi" w:hAnsiTheme="minorHAnsi"/>
          <w:sz w:val="22"/>
          <w:szCs w:val="22"/>
        </w:rPr>
        <w:t xml:space="preserve">Plans </w:t>
      </w:r>
      <w:r w:rsidR="003951E3">
        <w:rPr>
          <w:rFonts w:asciiTheme="minorHAnsi" w:hAnsiTheme="minorHAnsi"/>
          <w:sz w:val="22"/>
          <w:szCs w:val="22"/>
        </w:rPr>
        <w:t>covered by any of the special funding rules listed below m</w:t>
      </w:r>
      <w:r w:rsidRPr="00F62144">
        <w:rPr>
          <w:rFonts w:asciiTheme="minorHAnsi" w:hAnsiTheme="minorHAnsi"/>
          <w:sz w:val="22"/>
          <w:szCs w:val="22"/>
        </w:rPr>
        <w:t xml:space="preserve">ust determine UVBs in the same manner (and using the same discount rate basis) as all other plans. </w:t>
      </w:r>
      <w:r w:rsidR="003951E3">
        <w:rPr>
          <w:rFonts w:asciiTheme="minorHAnsi" w:hAnsiTheme="minorHAnsi"/>
          <w:sz w:val="22"/>
          <w:szCs w:val="22"/>
        </w:rPr>
        <w:t xml:space="preserve">   </w:t>
      </w:r>
      <w:r w:rsidR="002D294F">
        <w:rPr>
          <w:rFonts w:asciiTheme="minorHAnsi" w:hAnsiTheme="minorHAnsi"/>
          <w:sz w:val="22"/>
          <w:szCs w:val="22"/>
        </w:rPr>
        <w:t>This includes:</w:t>
      </w:r>
    </w:p>
    <w:p w14:paraId="0EF469F1" w14:textId="77777777" w:rsidR="003951E3" w:rsidRPr="003951E3" w:rsidRDefault="003951E3" w:rsidP="003951E3">
      <w:pPr>
        <w:numPr>
          <w:ilvl w:val="1"/>
          <w:numId w:val="41"/>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 xml:space="preserve">The Cooperative and Small Employer Charity Pension Flexibility Act, Public Law 113-97, dealing with certain defined benefit pension plans maintained by more than one employer. </w:t>
      </w:r>
    </w:p>
    <w:p w14:paraId="51910AA2" w14:textId="77777777" w:rsidR="003951E3" w:rsidRPr="003951E3" w:rsidRDefault="003951E3" w:rsidP="003951E3">
      <w:pPr>
        <w:numPr>
          <w:ilvl w:val="1"/>
          <w:numId w:val="41"/>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of 402(b) of the Pension Protection Act of 2006, Public Law 109-280, dealing with certain frozen plans of commercial passenger airlines and airline caterers.</w:t>
      </w:r>
    </w:p>
    <w:p w14:paraId="4451B8A6" w14:textId="77777777" w:rsidR="00DE098C" w:rsidRDefault="00DE098C" w:rsidP="002D294F">
      <w:pPr>
        <w:spacing w:before="120"/>
        <w:ind w:left="270"/>
        <w:rPr>
          <w:rFonts w:asciiTheme="minorHAnsi" w:hAnsiTheme="minorHAnsi"/>
          <w:sz w:val="22"/>
          <w:szCs w:val="22"/>
        </w:rPr>
      </w:pPr>
      <w:r w:rsidRPr="00F62144">
        <w:rPr>
          <w:rFonts w:asciiTheme="minorHAnsi" w:hAnsiTheme="minorHAnsi"/>
          <w:sz w:val="22"/>
          <w:szCs w:val="22"/>
        </w:rPr>
        <w:t>In particular, under Section 402 of PPA 2006, certain plans may elect to use an 8.25% discount rate for funding purposes and other plans may elect to use an 8.85% discount rate. These rates may not be used to determine UVBs, even if the Alternative Premium Funding Target is elected.</w:t>
      </w:r>
    </w:p>
    <w:p w14:paraId="0E25A34E" w14:textId="77777777" w:rsidR="003951E3" w:rsidRDefault="008E221D" w:rsidP="003951E3">
      <w:pPr>
        <w:spacing w:before="120"/>
        <w:rPr>
          <w:rFonts w:ascii="Arial" w:hAnsi="Arial" w:cs="Arial"/>
          <w:sz w:val="20"/>
          <w:szCs w:val="20"/>
        </w:rPr>
      </w:pPr>
      <w:r>
        <w:rPr>
          <w:rFonts w:asciiTheme="minorHAnsi" w:hAnsiTheme="minorHAnsi"/>
          <w:sz w:val="22"/>
          <w:szCs w:val="22"/>
        </w:rPr>
        <w:br/>
      </w:r>
    </w:p>
    <w:p w14:paraId="54F6A97F" w14:textId="77777777" w:rsidR="00031934" w:rsidRPr="00F62144" w:rsidRDefault="00031934">
      <w:pPr>
        <w:rPr>
          <w:rFonts w:asciiTheme="minorHAnsi" w:hAnsiTheme="minorHAnsi"/>
          <w:sz w:val="22"/>
          <w:szCs w:val="22"/>
        </w:rPr>
      </w:pPr>
      <w:r w:rsidRPr="00F62144">
        <w:rPr>
          <w:rFonts w:asciiTheme="minorHAnsi" w:hAnsiTheme="minorHAnsi"/>
          <w:sz w:val="22"/>
          <w:szCs w:val="22"/>
        </w:rPr>
        <w:br w:type="page"/>
      </w:r>
    </w:p>
    <w:p w14:paraId="15D155E4" w14:textId="77777777" w:rsidR="00F86650" w:rsidRDefault="00F86650" w:rsidP="00632A5A">
      <w:pPr>
        <w:spacing w:before="120"/>
        <w:rPr>
          <w:rFonts w:asciiTheme="minorHAnsi" w:hAnsiTheme="minorHAnsi"/>
          <w:sz w:val="22"/>
          <w:szCs w:val="22"/>
        </w:rPr>
        <w:sectPr w:rsidR="00F86650" w:rsidSect="000325B6">
          <w:headerReference w:type="even" r:id="rId82"/>
          <w:headerReference w:type="default" r:id="rId83"/>
          <w:headerReference w:type="first" r:id="rId84"/>
          <w:pgSz w:w="12240" w:h="15840" w:code="1"/>
          <w:pgMar w:top="1152" w:right="1440" w:bottom="1152" w:left="1440" w:header="720" w:footer="720" w:gutter="0"/>
          <w:cols w:space="720"/>
          <w:noEndnote/>
          <w:docGrid w:linePitch="326"/>
        </w:sectPr>
      </w:pPr>
    </w:p>
    <w:p w14:paraId="1AD8BCC2" w14:textId="77777777" w:rsidR="00B00E27" w:rsidRPr="00F62144" w:rsidRDefault="00B00E27" w:rsidP="00E550BA">
      <w:pPr>
        <w:autoSpaceDE w:val="0"/>
        <w:autoSpaceDN w:val="0"/>
        <w:adjustRightInd w:val="0"/>
        <w:spacing w:before="120"/>
        <w:rPr>
          <w:rFonts w:asciiTheme="minorHAnsi" w:hAnsiTheme="minorHAnsi"/>
          <w:b/>
          <w:bCs/>
          <w:sz w:val="22"/>
          <w:szCs w:val="22"/>
        </w:rPr>
      </w:pPr>
      <w:bookmarkStart w:id="20" w:name="Spinoffs"/>
      <w:r w:rsidRPr="00F62144">
        <w:rPr>
          <w:rFonts w:asciiTheme="minorHAnsi" w:hAnsiTheme="minorHAnsi"/>
          <w:b/>
          <w:bCs/>
          <w:sz w:val="22"/>
          <w:szCs w:val="22"/>
        </w:rPr>
        <w:t>General</w:t>
      </w:r>
    </w:p>
    <w:bookmarkEnd w:id="20"/>
    <w:p w14:paraId="07CE2969" w14:textId="77777777" w:rsidR="00E550BA" w:rsidRDefault="00B00E27" w:rsidP="00355E48">
      <w:pPr>
        <w:spacing w:before="120"/>
        <w:rPr>
          <w:rFonts w:asciiTheme="minorHAnsi" w:hAnsiTheme="minorHAnsi"/>
          <w:sz w:val="22"/>
          <w:szCs w:val="22"/>
        </w:rPr>
      </w:pPr>
      <w:r w:rsidRPr="00355E48">
        <w:rPr>
          <w:rFonts w:asciiTheme="minorHAnsi" w:hAnsiTheme="minorHAnsi"/>
          <w:sz w:val="22"/>
          <w:szCs w:val="22"/>
        </w:rPr>
        <w:t xml:space="preserve">This section provides additional guidance for plans involved in a </w:t>
      </w:r>
      <w:r w:rsidR="00EC3CFD">
        <w:rPr>
          <w:rFonts w:asciiTheme="minorHAnsi" w:hAnsiTheme="minorHAnsi"/>
          <w:sz w:val="22"/>
          <w:szCs w:val="22"/>
        </w:rPr>
        <w:t>S</w:t>
      </w:r>
      <w:r w:rsidR="00EC3CFD" w:rsidRPr="00355E48">
        <w:rPr>
          <w:rFonts w:asciiTheme="minorHAnsi" w:hAnsiTheme="minorHAnsi"/>
          <w:sz w:val="22"/>
          <w:szCs w:val="22"/>
        </w:rPr>
        <w:t>pinoff</w:t>
      </w:r>
      <w:r w:rsidR="00EC3CFD">
        <w:rPr>
          <w:rFonts w:asciiTheme="minorHAnsi" w:hAnsiTheme="minorHAnsi"/>
          <w:sz w:val="22"/>
          <w:szCs w:val="22"/>
        </w:rPr>
        <w:t>, M</w:t>
      </w:r>
      <w:r w:rsidRPr="00355E48">
        <w:rPr>
          <w:rFonts w:asciiTheme="minorHAnsi" w:hAnsiTheme="minorHAnsi"/>
          <w:sz w:val="22"/>
          <w:szCs w:val="22"/>
        </w:rPr>
        <w:t>erger</w:t>
      </w:r>
      <w:r w:rsidR="009216DA">
        <w:rPr>
          <w:rFonts w:asciiTheme="minorHAnsi" w:hAnsiTheme="minorHAnsi"/>
          <w:sz w:val="22"/>
          <w:szCs w:val="22"/>
        </w:rPr>
        <w:t>,</w:t>
      </w:r>
      <w:r w:rsidRPr="00355E48">
        <w:rPr>
          <w:rFonts w:asciiTheme="minorHAnsi" w:hAnsiTheme="minorHAnsi"/>
          <w:sz w:val="22"/>
          <w:szCs w:val="22"/>
        </w:rPr>
        <w:t xml:space="preserve"> or </w:t>
      </w:r>
      <w:r w:rsidR="00EC3CFD">
        <w:rPr>
          <w:rFonts w:asciiTheme="minorHAnsi" w:hAnsiTheme="minorHAnsi"/>
          <w:sz w:val="22"/>
          <w:szCs w:val="22"/>
        </w:rPr>
        <w:t>C</w:t>
      </w:r>
      <w:r w:rsidRPr="00355E48">
        <w:rPr>
          <w:rFonts w:asciiTheme="minorHAnsi" w:hAnsiTheme="minorHAnsi"/>
          <w:sz w:val="22"/>
          <w:szCs w:val="22"/>
        </w:rPr>
        <w:t xml:space="preserve">onsolidation. </w:t>
      </w:r>
      <w:r w:rsidR="00A05A18">
        <w:rPr>
          <w:rFonts w:asciiTheme="minorHAnsi" w:hAnsiTheme="minorHAnsi"/>
          <w:sz w:val="22"/>
          <w:szCs w:val="22"/>
        </w:rPr>
        <w:t xml:space="preserve"> Plans considering any of these transactions are encouraged to read this section carefully before finalizing the transaction because decisions that have little impact on funding requirements can have a significant impact on the amount of premium due and the due date.  For example, with respect to </w:t>
      </w:r>
      <w:r w:rsidR="00CE753E" w:rsidRPr="00CE753E">
        <w:rPr>
          <w:rFonts w:asciiTheme="minorHAnsi" w:hAnsiTheme="minorHAnsi"/>
          <w:sz w:val="22"/>
          <w:szCs w:val="22"/>
        </w:rPr>
        <w:t xml:space="preserve">a non </w:t>
      </w:r>
      <w:r w:rsidR="00CE753E" w:rsidRPr="00CE753E">
        <w:rPr>
          <w:rFonts w:asciiTheme="minorHAnsi" w:hAnsiTheme="minorHAnsi"/>
          <w:i/>
          <w:sz w:val="22"/>
          <w:szCs w:val="22"/>
        </w:rPr>
        <w:t>de minimis</w:t>
      </w:r>
      <w:r w:rsidR="00CE753E">
        <w:rPr>
          <w:i/>
          <w:iCs/>
          <w:sz w:val="22"/>
          <w:szCs w:val="22"/>
        </w:rPr>
        <w:t xml:space="preserve"> </w:t>
      </w:r>
      <w:r w:rsidR="00A05A18">
        <w:rPr>
          <w:rFonts w:asciiTheme="minorHAnsi" w:hAnsiTheme="minorHAnsi"/>
          <w:sz w:val="22"/>
          <w:szCs w:val="22"/>
        </w:rPr>
        <w:t xml:space="preserve">Spinoff to a New Plan, the aggregate premium due for both plans will generally be less if the Spinoff occurs at the beginning of the plan year. Also, when combining two plans, aggregate premium amounts will differ depending on, for example, whether Plan A is merged into Plan B, Plan B is merged into Plan A, or the two plans are consolidated into a New Plan C.  </w:t>
      </w:r>
    </w:p>
    <w:p w14:paraId="0B1746D6" w14:textId="77777777" w:rsidR="00E822BE" w:rsidRPr="00355E48" w:rsidRDefault="00E822BE" w:rsidP="00E822BE">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  Filers are cautioned to review the Lookback Rule provisions in either of these situations (See “How to Determine UVBs” section).</w:t>
      </w:r>
    </w:p>
    <w:p w14:paraId="1705413B" w14:textId="77777777" w:rsidR="00A05A18" w:rsidRPr="00355E48" w:rsidRDefault="00A05A18" w:rsidP="00A05A18">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Comprehensive Premium Filing in items that request information about “Transfers from other plans” and “Transfers to other plans”.</w:t>
      </w:r>
      <w:r w:rsidRPr="00355E48">
        <w:rPr>
          <w:rFonts w:asciiTheme="minorHAnsi" w:hAnsiTheme="minorHAnsi"/>
          <w:sz w:val="22"/>
          <w:szCs w:val="22"/>
        </w:rPr>
        <w:t xml:space="preserve">  See “Description of Data Elements” section, items 14 and 15.</w:t>
      </w:r>
    </w:p>
    <w:p w14:paraId="3FA444D5" w14:textId="77777777" w:rsidR="00A05A18" w:rsidRDefault="00A05A18" w:rsidP="00E550BA">
      <w:pPr>
        <w:autoSpaceDE w:val="0"/>
        <w:autoSpaceDN w:val="0"/>
        <w:adjustRightInd w:val="0"/>
        <w:spacing w:before="120"/>
        <w:rPr>
          <w:rFonts w:asciiTheme="minorHAnsi" w:hAnsiTheme="minorHAnsi"/>
          <w:b/>
          <w:bCs/>
          <w:sz w:val="22"/>
          <w:szCs w:val="22"/>
        </w:rPr>
      </w:pPr>
    </w:p>
    <w:p w14:paraId="1BF17566" w14:textId="77777777" w:rsidR="00B00E27" w:rsidRDefault="00B00E27" w:rsidP="00E550BA">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14:paraId="1931919D" w14:textId="77777777" w:rsidR="00B00E27" w:rsidRDefault="00B00E27" w:rsidP="00E550BA">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 xml:space="preserve">.  </w:t>
      </w:r>
    </w:p>
    <w:p w14:paraId="1DABF96C" w14:textId="77777777" w:rsidR="00B00E27" w:rsidRDefault="00B00E27" w:rsidP="00E550BA">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If the </w:t>
      </w:r>
      <w:r w:rsidR="00EC3CFD">
        <w:rPr>
          <w:rFonts w:asciiTheme="minorHAnsi" w:hAnsiTheme="minorHAnsi"/>
          <w:bCs/>
          <w:sz w:val="22"/>
          <w:szCs w:val="22"/>
        </w:rPr>
        <w:t xml:space="preserve">Spinoff is not </w:t>
      </w:r>
      <w:r w:rsidR="00EC3CFD" w:rsidRPr="00F62144">
        <w:rPr>
          <w:rFonts w:asciiTheme="minorHAnsi" w:hAnsiTheme="minorHAnsi"/>
          <w:i/>
          <w:sz w:val="22"/>
          <w:szCs w:val="22"/>
        </w:rPr>
        <w:t>de minimis</w:t>
      </w:r>
      <w:r w:rsidR="00EC3CFD">
        <w:rPr>
          <w:rFonts w:asciiTheme="minorHAnsi" w:hAnsiTheme="minorHAnsi"/>
          <w:i/>
          <w:sz w:val="22"/>
          <w:szCs w:val="22"/>
        </w:rPr>
        <w:t xml:space="preserve"> </w:t>
      </w:r>
      <w:r w:rsidR="00EC3CFD">
        <w:rPr>
          <w:rFonts w:asciiTheme="minorHAnsi" w:hAnsiTheme="minorHAnsi"/>
          <w:bCs/>
          <w:sz w:val="22"/>
          <w:szCs w:val="22"/>
        </w:rPr>
        <w:t xml:space="preserve">and the </w:t>
      </w:r>
      <w:r w:rsidR="00104B0B">
        <w:rPr>
          <w:rFonts w:asciiTheme="minorHAnsi" w:hAnsiTheme="minorHAnsi"/>
          <w:bCs/>
          <w:sz w:val="22"/>
          <w:szCs w:val="22"/>
        </w:rPr>
        <w:t>T</w:t>
      </w:r>
      <w:r w:rsidRPr="004C0AAA">
        <w:rPr>
          <w:rFonts w:asciiTheme="minorHAnsi" w:hAnsiTheme="minorHAnsi"/>
          <w:bCs/>
          <w:sz w:val="22"/>
          <w:szCs w:val="22"/>
        </w:rPr>
        <w:t xml:space="preserve">ransferee plan </w:t>
      </w:r>
      <w:r>
        <w:rPr>
          <w:rFonts w:asciiTheme="minorHAnsi" w:hAnsiTheme="minorHAnsi"/>
          <w:bCs/>
          <w:sz w:val="22"/>
          <w:szCs w:val="22"/>
        </w:rPr>
        <w:t>is</w:t>
      </w:r>
      <w:r w:rsidRPr="004C0AAA">
        <w:rPr>
          <w:rFonts w:asciiTheme="minorHAnsi" w:hAnsiTheme="minorHAnsi"/>
          <w:bCs/>
          <w:sz w:val="22"/>
          <w:szCs w:val="22"/>
        </w:rPr>
        <w:t xml:space="preserve"> a</w:t>
      </w:r>
      <w:r>
        <w:rPr>
          <w:rFonts w:asciiTheme="minorHAnsi" w:hAnsiTheme="minorHAnsi"/>
          <w:bCs/>
          <w:sz w:val="22"/>
          <w:szCs w:val="22"/>
        </w:rPr>
        <w:t xml:space="preserve"> New Plan</w:t>
      </w:r>
      <w:r w:rsidR="00104B0B">
        <w:rPr>
          <w:rFonts w:asciiTheme="minorHAnsi" w:hAnsiTheme="minorHAnsi"/>
          <w:bCs/>
          <w:sz w:val="22"/>
          <w:szCs w:val="22"/>
        </w:rPr>
        <w:t>,</w:t>
      </w:r>
      <w:r w:rsidR="00E550BA">
        <w:rPr>
          <w:rFonts w:asciiTheme="minorHAnsi" w:hAnsiTheme="minorHAnsi"/>
          <w:bCs/>
          <w:sz w:val="22"/>
          <w:szCs w:val="22"/>
        </w:rPr>
        <w:t xml:space="preserve"> it is, by definition, a Continuation Plan.  A</w:t>
      </w:r>
      <w:r>
        <w:rPr>
          <w:rFonts w:asciiTheme="minorHAnsi" w:hAnsiTheme="minorHAnsi"/>
          <w:bCs/>
          <w:sz w:val="22"/>
          <w:szCs w:val="22"/>
        </w:rPr>
        <w:t xml:space="preserve">ll of the special rules applicable to New Plans </w:t>
      </w:r>
      <w:r w:rsidR="00E550BA">
        <w:rPr>
          <w:rFonts w:asciiTheme="minorHAnsi" w:hAnsiTheme="minorHAnsi"/>
          <w:bCs/>
          <w:sz w:val="22"/>
          <w:szCs w:val="22"/>
        </w:rPr>
        <w:t xml:space="preserve">and Continuation Plans </w:t>
      </w:r>
      <w:r>
        <w:rPr>
          <w:rFonts w:asciiTheme="minorHAnsi" w:hAnsiTheme="minorHAnsi"/>
          <w:bCs/>
          <w:sz w:val="22"/>
          <w:szCs w:val="22"/>
        </w:rPr>
        <w:t xml:space="preserve">apply. </w:t>
      </w:r>
      <w:r w:rsidR="00A05A18">
        <w:rPr>
          <w:rFonts w:asciiTheme="minorHAnsi" w:hAnsiTheme="minorHAnsi"/>
          <w:bCs/>
          <w:sz w:val="22"/>
          <w:szCs w:val="22"/>
        </w:rPr>
        <w:t xml:space="preserve">  </w:t>
      </w:r>
      <w:r>
        <w:rPr>
          <w:rFonts w:asciiTheme="minorHAnsi" w:hAnsiTheme="minorHAnsi"/>
          <w:bCs/>
          <w:sz w:val="22"/>
          <w:szCs w:val="22"/>
        </w:rPr>
        <w:t xml:space="preserve">For example, for the </w:t>
      </w:r>
      <w:r w:rsidR="00104B0B">
        <w:rPr>
          <w:rFonts w:asciiTheme="minorHAnsi" w:hAnsiTheme="minorHAnsi"/>
          <w:bCs/>
          <w:sz w:val="22"/>
          <w:szCs w:val="22"/>
        </w:rPr>
        <w:t xml:space="preserve">plan’s </w:t>
      </w:r>
      <w:r>
        <w:rPr>
          <w:rFonts w:asciiTheme="minorHAnsi" w:hAnsiTheme="minorHAnsi"/>
          <w:bCs/>
          <w:sz w:val="22"/>
          <w:szCs w:val="22"/>
        </w:rPr>
        <w:t>first plan year</w:t>
      </w:r>
      <w:r w:rsidR="00104B0B">
        <w:rPr>
          <w:rFonts w:asciiTheme="minorHAnsi" w:hAnsiTheme="minorHAnsi"/>
          <w:bCs/>
          <w:sz w:val="22"/>
          <w:szCs w:val="22"/>
        </w:rPr>
        <w:t>:</w:t>
      </w:r>
    </w:p>
    <w:p w14:paraId="698C5F5A" w14:textId="77777777" w:rsidR="00B00E27" w:rsidRPr="00A05A18" w:rsidRDefault="00A05A18" w:rsidP="00A05A18">
      <w:pPr>
        <w:numPr>
          <w:ilvl w:val="0"/>
          <w:numId w:val="11"/>
        </w:numPr>
        <w:tabs>
          <w:tab w:val="clear" w:pos="720"/>
          <w:tab w:val="num" w:pos="360"/>
          <w:tab w:val="num" w:pos="45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asciiTheme="minorHAnsi" w:hAnsiTheme="minorHAnsi" w:cs="Calibri"/>
          <w:sz w:val="22"/>
          <w:szCs w:val="22"/>
        </w:rPr>
        <w:t>transaction</w:t>
      </w:r>
      <w:r w:rsidRPr="00A05A18">
        <w:rPr>
          <w:rFonts w:asciiTheme="minorHAnsi" w:hAnsiTheme="minorHAnsi"/>
          <w:sz w:val="22"/>
          <w:szCs w:val="22"/>
        </w:rPr>
        <w:t xml:space="preserve"> occurs and the plan’s UVB Valuation Date, the due date might be later than the </w:t>
      </w:r>
      <w:r w:rsidR="00B00E27" w:rsidRPr="00A05A18">
        <w:rPr>
          <w:rFonts w:asciiTheme="minorHAnsi" w:hAnsiTheme="minorHAnsi"/>
          <w:sz w:val="22"/>
          <w:szCs w:val="22"/>
        </w:rPr>
        <w:t>Normal Due Date</w:t>
      </w:r>
      <w:r>
        <w:rPr>
          <w:rFonts w:asciiTheme="minorHAnsi" w:hAnsiTheme="minorHAnsi"/>
          <w:sz w:val="22"/>
          <w:szCs w:val="22"/>
        </w:rPr>
        <w:t xml:space="preserve"> (see “When to File” section).</w:t>
      </w:r>
    </w:p>
    <w:p w14:paraId="4932E599" w14:textId="77777777" w:rsidR="00B00E27" w:rsidRDefault="00B00E27" w:rsidP="00E550BA">
      <w:pPr>
        <w:numPr>
          <w:ilvl w:val="0"/>
          <w:numId w:val="11"/>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the first day of the premium payment year (see “How to Count Participants” section</w:t>
      </w:r>
      <w:r>
        <w:rPr>
          <w:rFonts w:asciiTheme="minorHAnsi" w:hAnsiTheme="minorHAnsi" w:cs="Calibri"/>
          <w:sz w:val="22"/>
          <w:szCs w:val="22"/>
        </w:rPr>
        <w:t>)</w:t>
      </w:r>
      <w:r w:rsidRPr="00BE2D0F">
        <w:rPr>
          <w:rFonts w:asciiTheme="minorHAnsi" w:hAnsiTheme="minorHAnsi" w:cs="Calibri"/>
          <w:sz w:val="22"/>
          <w:szCs w:val="22"/>
        </w:rPr>
        <w:t>.</w:t>
      </w:r>
    </w:p>
    <w:p w14:paraId="409EF99F" w14:textId="77777777" w:rsidR="00B00E27" w:rsidRDefault="00355E48" w:rsidP="00E550BA">
      <w:pPr>
        <w:numPr>
          <w:ilvl w:val="0"/>
          <w:numId w:val="11"/>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The Standard Premium Funding Target is used to </w:t>
      </w:r>
      <w:r w:rsidR="00B00E27" w:rsidRPr="00E73EE2">
        <w:rPr>
          <w:rFonts w:asciiTheme="minorHAnsi" w:hAnsiTheme="minorHAnsi" w:cs="Calibri"/>
          <w:sz w:val="22"/>
          <w:szCs w:val="22"/>
        </w:rPr>
        <w:t>determin</w:t>
      </w:r>
      <w:r>
        <w:rPr>
          <w:rFonts w:asciiTheme="minorHAnsi" w:hAnsiTheme="minorHAnsi" w:cs="Calibri"/>
          <w:sz w:val="22"/>
          <w:szCs w:val="22"/>
        </w:rPr>
        <w:t xml:space="preserve">e the Variable-rate Premium unless the </w:t>
      </w:r>
      <w:r w:rsidR="00B00E27" w:rsidRPr="00E73EE2">
        <w:rPr>
          <w:rFonts w:asciiTheme="minorHAnsi" w:hAnsiTheme="minorHAnsi" w:cs="Calibri"/>
          <w:sz w:val="22"/>
          <w:szCs w:val="22"/>
        </w:rPr>
        <w:t>plan ma</w:t>
      </w:r>
      <w:r>
        <w:rPr>
          <w:rFonts w:asciiTheme="minorHAnsi" w:hAnsiTheme="minorHAnsi" w:cs="Calibri"/>
          <w:sz w:val="22"/>
          <w:szCs w:val="22"/>
        </w:rPr>
        <w:t xml:space="preserve">kes a timely </w:t>
      </w:r>
      <w:r w:rsidR="00B00E27" w:rsidRPr="00E73EE2">
        <w:rPr>
          <w:rFonts w:asciiTheme="minorHAnsi" w:hAnsiTheme="minorHAnsi" w:cs="Calibri"/>
          <w:sz w:val="22"/>
          <w:szCs w:val="22"/>
        </w:rPr>
        <w:t>elect</w:t>
      </w:r>
      <w:r>
        <w:rPr>
          <w:rFonts w:asciiTheme="minorHAnsi" w:hAnsiTheme="minorHAnsi" w:cs="Calibri"/>
          <w:sz w:val="22"/>
          <w:szCs w:val="22"/>
        </w:rPr>
        <w:t xml:space="preserve">ion </w:t>
      </w:r>
      <w:r w:rsidR="00B00E27" w:rsidRPr="00E73EE2">
        <w:rPr>
          <w:rFonts w:asciiTheme="minorHAnsi" w:hAnsiTheme="minorHAnsi" w:cs="Calibri"/>
          <w:sz w:val="22"/>
          <w:szCs w:val="22"/>
        </w:rPr>
        <w:t>to use the Alternative Premium Funding Target</w:t>
      </w:r>
      <w:r>
        <w:rPr>
          <w:rFonts w:asciiTheme="minorHAnsi" w:hAnsiTheme="minorHAnsi" w:cs="Calibri"/>
          <w:sz w:val="22"/>
          <w:szCs w:val="22"/>
        </w:rPr>
        <w:t xml:space="preserve">.  This is the case </w:t>
      </w:r>
      <w:r w:rsidR="00104B0B">
        <w:rPr>
          <w:rFonts w:asciiTheme="minorHAnsi" w:hAnsiTheme="minorHAnsi" w:cs="Calibri"/>
          <w:sz w:val="22"/>
          <w:szCs w:val="22"/>
        </w:rPr>
        <w:t>even if t</w:t>
      </w:r>
      <w:r>
        <w:rPr>
          <w:rFonts w:asciiTheme="minorHAnsi" w:hAnsiTheme="minorHAnsi" w:cs="Calibri"/>
          <w:sz w:val="22"/>
          <w:szCs w:val="22"/>
        </w:rPr>
        <w:t xml:space="preserve">he </w:t>
      </w:r>
      <w:r w:rsidR="00104B0B">
        <w:rPr>
          <w:rFonts w:asciiTheme="minorHAnsi" w:hAnsiTheme="minorHAnsi" w:cs="Calibri"/>
          <w:sz w:val="22"/>
          <w:szCs w:val="22"/>
        </w:rPr>
        <w:t>T</w:t>
      </w:r>
      <w:r>
        <w:rPr>
          <w:rFonts w:asciiTheme="minorHAnsi" w:hAnsiTheme="minorHAnsi" w:cs="Calibri"/>
          <w:sz w:val="22"/>
          <w:szCs w:val="22"/>
        </w:rPr>
        <w:t xml:space="preserve">ransferor </w:t>
      </w:r>
      <w:r w:rsidR="00104B0B">
        <w:rPr>
          <w:rFonts w:asciiTheme="minorHAnsi" w:hAnsiTheme="minorHAnsi" w:cs="Calibri"/>
          <w:sz w:val="22"/>
          <w:szCs w:val="22"/>
        </w:rPr>
        <w:t>P</w:t>
      </w:r>
      <w:r>
        <w:rPr>
          <w:rFonts w:asciiTheme="minorHAnsi" w:hAnsiTheme="minorHAnsi" w:cs="Calibri"/>
          <w:sz w:val="22"/>
          <w:szCs w:val="22"/>
        </w:rPr>
        <w:t>lan</w:t>
      </w:r>
      <w:r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p>
    <w:p w14:paraId="2DDB16D7" w14:textId="77777777" w:rsidR="00E550BA" w:rsidRPr="00E73EE2" w:rsidRDefault="00E550BA" w:rsidP="00E550BA">
      <w:pPr>
        <w:numPr>
          <w:ilvl w:val="0"/>
          <w:numId w:val="11"/>
        </w:numPr>
        <w:tabs>
          <w:tab w:val="clear" w:pos="720"/>
          <w:tab w:val="num" w:pos="45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If the plan is a Small Plan, the Lookback Rule does not apply because there is no prior plan year to look back to.  The Lookback Rule will automatically apply for the plan’s second year of existence, unless the plan opts out of using that rule (See “How to Determine Unfunded Vested Benefits”).</w:t>
      </w:r>
    </w:p>
    <w:p w14:paraId="4907F3EC" w14:textId="77777777" w:rsidR="00CC13B1" w:rsidRDefault="00CC13B1" w:rsidP="00CC13B1">
      <w:pPr>
        <w:autoSpaceDE w:val="0"/>
        <w:autoSpaceDN w:val="0"/>
        <w:adjustRightInd w:val="0"/>
        <w:spacing w:before="120"/>
        <w:rPr>
          <w:rFonts w:asciiTheme="minorHAnsi" w:hAnsiTheme="minorHAnsi"/>
          <w:sz w:val="22"/>
        </w:rPr>
      </w:pPr>
      <w:r>
        <w:rPr>
          <w:rFonts w:asciiTheme="minorHAnsi" w:hAnsiTheme="minorHAnsi"/>
          <w:sz w:val="22"/>
          <w:szCs w:val="22"/>
        </w:rPr>
        <w:t xml:space="preserve">   </w:t>
      </w:r>
      <w:r w:rsidRPr="00E822BE">
        <w:rPr>
          <w:rFonts w:asciiTheme="minorHAnsi" w:hAnsiTheme="minorHAnsi"/>
          <w:sz w:val="22"/>
        </w:rPr>
        <w:t xml:space="preserve"> </w:t>
      </w:r>
    </w:p>
    <w:p w14:paraId="512578F4" w14:textId="77777777" w:rsidR="00B00E27" w:rsidRPr="00DC11E2" w:rsidRDefault="00B00E27" w:rsidP="00DC11E2">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14:paraId="259E08C7" w14:textId="77777777" w:rsidR="00B00E27" w:rsidRDefault="00B00E27" w:rsidP="00DC11E2">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 xml:space="preserve">.  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 xml:space="preserve">. </w:t>
      </w:r>
      <w:r>
        <w:rPr>
          <w:rFonts w:asciiTheme="minorHAnsi" w:hAnsiTheme="minorHAnsi"/>
          <w:sz w:val="22"/>
          <w:szCs w:val="22"/>
        </w:rPr>
        <w:t xml:space="preserve"> </w:t>
      </w:r>
    </w:p>
    <w:p w14:paraId="3AC36F7E" w14:textId="77777777" w:rsidR="00710548" w:rsidRDefault="0009090D" w:rsidP="00E822BE">
      <w:pPr>
        <w:autoSpaceDE w:val="0"/>
        <w:autoSpaceDN w:val="0"/>
        <w:adjustRightInd w:val="0"/>
        <w:spacing w:before="120"/>
        <w:rPr>
          <w:rFonts w:asciiTheme="minorHAnsi" w:hAnsiTheme="minorHAnsi"/>
          <w:sz w:val="22"/>
        </w:rPr>
      </w:pPr>
      <w:r>
        <w:rPr>
          <w:rFonts w:asciiTheme="minorHAnsi" w:hAnsiTheme="minorHAnsi"/>
          <w:sz w:val="22"/>
          <w:szCs w:val="22"/>
        </w:rPr>
        <w:t xml:space="preserve">If, as the result of </w:t>
      </w:r>
      <w:r w:rsidR="00CC4CBB">
        <w:rPr>
          <w:rFonts w:asciiTheme="minorHAnsi" w:hAnsiTheme="minorHAnsi"/>
          <w:sz w:val="22"/>
          <w:szCs w:val="22"/>
        </w:rPr>
        <w:t xml:space="preserve">a </w:t>
      </w:r>
      <w:r>
        <w:rPr>
          <w:rFonts w:asciiTheme="minorHAnsi" w:hAnsiTheme="minorHAnsi"/>
          <w:sz w:val="22"/>
          <w:szCs w:val="22"/>
        </w:rPr>
        <w:t>Merger, a plan ceases to exist, in addition to reporting information about the transaction, note that the fact that the filing is the last filing for the plan</w:t>
      </w:r>
      <w:r w:rsidR="00364997">
        <w:rPr>
          <w:rFonts w:asciiTheme="minorHAnsi" w:hAnsiTheme="minorHAnsi"/>
          <w:sz w:val="22"/>
          <w:szCs w:val="22"/>
        </w:rPr>
        <w:t xml:space="preserve"> must also be reported.</w:t>
      </w:r>
      <w:r w:rsidR="00364997">
        <w:rPr>
          <w:rStyle w:val="FootnoteReference"/>
          <w:rFonts w:asciiTheme="minorHAnsi" w:hAnsiTheme="minorHAnsi"/>
          <w:sz w:val="22"/>
          <w:szCs w:val="22"/>
        </w:rPr>
        <w:footnoteReference w:id="14"/>
      </w:r>
      <w:r>
        <w:rPr>
          <w:rFonts w:asciiTheme="minorHAnsi" w:hAnsiTheme="minorHAnsi"/>
          <w:sz w:val="22"/>
          <w:szCs w:val="22"/>
        </w:rPr>
        <w:t xml:space="preserve"> (See</w:t>
      </w:r>
      <w:r w:rsidRPr="0009090D">
        <w:rPr>
          <w:rFonts w:asciiTheme="minorHAnsi" w:hAnsiTheme="minorHAnsi"/>
          <w:sz w:val="22"/>
          <w:szCs w:val="22"/>
        </w:rPr>
        <w:t xml:space="preserve"> </w:t>
      </w:r>
      <w:r w:rsidRPr="00355E48">
        <w:rPr>
          <w:rFonts w:asciiTheme="minorHAnsi" w:hAnsiTheme="minorHAnsi"/>
          <w:sz w:val="22"/>
          <w:szCs w:val="22"/>
        </w:rPr>
        <w:t>“Description of Data Elements” section, items 1</w:t>
      </w:r>
      <w:r>
        <w:rPr>
          <w:rFonts w:asciiTheme="minorHAnsi" w:hAnsiTheme="minorHAnsi"/>
          <w:sz w:val="22"/>
          <w:szCs w:val="22"/>
        </w:rPr>
        <w:t xml:space="preserve">3). </w:t>
      </w:r>
      <w:r w:rsidR="00E822BE">
        <w:rPr>
          <w:rFonts w:asciiTheme="minorHAnsi" w:hAnsiTheme="minorHAnsi"/>
          <w:sz w:val="22"/>
          <w:szCs w:val="22"/>
        </w:rPr>
        <w:t xml:space="preserve">  </w:t>
      </w:r>
      <w:r w:rsidR="00364997" w:rsidRPr="00E822BE">
        <w:rPr>
          <w:rFonts w:asciiTheme="minorHAnsi" w:hAnsiTheme="minorHAnsi"/>
          <w:sz w:val="22"/>
        </w:rPr>
        <w:t xml:space="preserve"> </w:t>
      </w:r>
    </w:p>
    <w:p w14:paraId="76990D43" w14:textId="77777777" w:rsidR="00E822BE" w:rsidRDefault="00E822BE" w:rsidP="00DC11E2">
      <w:pPr>
        <w:autoSpaceDE w:val="0"/>
        <w:autoSpaceDN w:val="0"/>
        <w:adjustRightInd w:val="0"/>
        <w:spacing w:before="120"/>
        <w:rPr>
          <w:rFonts w:asciiTheme="minorHAnsi" w:hAnsiTheme="minorHAnsi"/>
          <w:b/>
          <w:bCs/>
          <w:sz w:val="22"/>
          <w:szCs w:val="22"/>
        </w:rPr>
      </w:pPr>
    </w:p>
    <w:p w14:paraId="689EB108" w14:textId="77777777" w:rsidR="005B217E" w:rsidRDefault="00B00E27" w:rsidP="00DC11E2">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Consolidations</w:t>
      </w:r>
    </w:p>
    <w:p w14:paraId="2AFA7D1D" w14:textId="77777777" w:rsidR="00B00E27" w:rsidRDefault="00B00E27" w:rsidP="001B1049">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“Consolidation” is a transaction in which two or more plans transfer all of their assets and liabilities to a New Plan and, as a result, cease to exist (because the </w:t>
      </w:r>
      <w:r w:rsidR="00BF1922">
        <w:rPr>
          <w:rFonts w:asciiTheme="minorHAnsi" w:hAnsiTheme="minorHAnsi"/>
          <w:sz w:val="22"/>
          <w:szCs w:val="22"/>
        </w:rPr>
        <w:t>Transferor Plan</w:t>
      </w:r>
      <w:r w:rsidRPr="00DC030D">
        <w:rPr>
          <w:rFonts w:asciiTheme="minorHAnsi" w:hAnsiTheme="minorHAnsi"/>
          <w:sz w:val="22"/>
          <w:szCs w:val="22"/>
        </w:rPr>
        <w:t xml:space="preserve">s become part of the new transferee plan). It differs from a Merger because in a Merger, the </w:t>
      </w:r>
      <w:r w:rsidR="00D25C6A">
        <w:rPr>
          <w:rFonts w:asciiTheme="minorHAnsi" w:hAnsiTheme="minorHAnsi"/>
          <w:sz w:val="22"/>
          <w:szCs w:val="22"/>
        </w:rPr>
        <w:t>T</w:t>
      </w:r>
      <w:r w:rsidRPr="00DC030D">
        <w:rPr>
          <w:rFonts w:asciiTheme="minorHAnsi" w:hAnsiTheme="minorHAnsi"/>
          <w:sz w:val="22"/>
          <w:szCs w:val="22"/>
        </w:rPr>
        <w:t xml:space="preserve">ransferee </w:t>
      </w:r>
      <w:r w:rsidR="00D25C6A">
        <w:rPr>
          <w:rFonts w:asciiTheme="minorHAnsi" w:hAnsiTheme="minorHAnsi"/>
          <w:sz w:val="22"/>
          <w:szCs w:val="22"/>
        </w:rPr>
        <w:t>P</w:t>
      </w:r>
      <w:r w:rsidRPr="00DC030D">
        <w:rPr>
          <w:rFonts w:asciiTheme="minorHAnsi" w:hAnsiTheme="minorHAnsi"/>
          <w:sz w:val="22"/>
          <w:szCs w:val="22"/>
        </w:rPr>
        <w:t xml:space="preserve">lan existed before the transaction. In a Consolidation, the </w:t>
      </w:r>
      <w:r w:rsidR="00BF1922">
        <w:rPr>
          <w:rFonts w:asciiTheme="minorHAnsi" w:hAnsiTheme="minorHAnsi"/>
          <w:sz w:val="22"/>
          <w:szCs w:val="22"/>
        </w:rPr>
        <w:t>Transferee Plan</w:t>
      </w:r>
      <w:r w:rsidRPr="00DC030D">
        <w:rPr>
          <w:rFonts w:asciiTheme="minorHAnsi" w:hAnsiTheme="minorHAnsi"/>
          <w:sz w:val="22"/>
          <w:szCs w:val="22"/>
        </w:rPr>
        <w:t xml:space="preserve"> is a New Plan that is created in the Consolidation. Thus, the plan that exists after a Consolidation follows the premium filing rules for New Plan.</w:t>
      </w:r>
    </w:p>
    <w:p w14:paraId="669E8904" w14:textId="77777777" w:rsidR="00E822BE" w:rsidRDefault="00364997" w:rsidP="00E822BE">
      <w:pPr>
        <w:autoSpaceDE w:val="0"/>
        <w:autoSpaceDN w:val="0"/>
        <w:adjustRightInd w:val="0"/>
        <w:spacing w:before="120"/>
        <w:rPr>
          <w:rFonts w:asciiTheme="minorHAnsi" w:hAnsiTheme="minorHAnsi"/>
          <w:b/>
          <w:bCs/>
          <w:sz w:val="22"/>
          <w:szCs w:val="22"/>
        </w:rPr>
      </w:pPr>
      <w:r>
        <w:rPr>
          <w:rFonts w:asciiTheme="minorHAnsi" w:hAnsiTheme="minorHAnsi"/>
          <w:sz w:val="22"/>
          <w:szCs w:val="22"/>
        </w:rPr>
        <w:t xml:space="preserve">If, as the result of </w:t>
      </w:r>
      <w:r w:rsidR="00057E5E">
        <w:rPr>
          <w:rFonts w:asciiTheme="minorHAnsi" w:hAnsiTheme="minorHAnsi"/>
          <w:sz w:val="22"/>
          <w:szCs w:val="22"/>
        </w:rPr>
        <w:t>a C</w:t>
      </w:r>
      <w:r>
        <w:rPr>
          <w:rFonts w:asciiTheme="minorHAnsi" w:hAnsiTheme="minorHAnsi"/>
          <w:sz w:val="22"/>
          <w:szCs w:val="22"/>
        </w:rPr>
        <w:t>onsolidation, a plan ceases to exist, in addition to reporting information about the transaction, note that the fact that the filing is the last filing for the plan must also be reported.</w:t>
      </w:r>
      <w:r w:rsidR="00E822BE">
        <w:rPr>
          <w:rFonts w:asciiTheme="minorHAnsi" w:hAnsiTheme="minorHAnsi"/>
          <w:sz w:val="22"/>
          <w:szCs w:val="22"/>
        </w:rPr>
        <w:t xml:space="preserve">  (See</w:t>
      </w:r>
      <w:r w:rsidR="00E822BE" w:rsidRPr="0009090D">
        <w:rPr>
          <w:rFonts w:asciiTheme="minorHAnsi" w:hAnsiTheme="minorHAnsi"/>
          <w:sz w:val="22"/>
          <w:szCs w:val="22"/>
        </w:rPr>
        <w:t xml:space="preserve"> </w:t>
      </w:r>
      <w:r w:rsidR="00E822BE" w:rsidRPr="00355E48">
        <w:rPr>
          <w:rFonts w:asciiTheme="minorHAnsi" w:hAnsiTheme="minorHAnsi"/>
          <w:sz w:val="22"/>
          <w:szCs w:val="22"/>
        </w:rPr>
        <w:t>“Description of Data Elements” section, items 1</w:t>
      </w:r>
      <w:r w:rsidR="00E822BE">
        <w:rPr>
          <w:rFonts w:asciiTheme="minorHAnsi" w:hAnsiTheme="minorHAnsi"/>
          <w:sz w:val="22"/>
          <w:szCs w:val="22"/>
        </w:rPr>
        <w:t>3).</w:t>
      </w:r>
      <w:r w:rsidR="00E822BE" w:rsidRPr="00E822BE">
        <w:rPr>
          <w:rFonts w:asciiTheme="minorHAnsi" w:hAnsiTheme="minorHAnsi"/>
          <w:sz w:val="22"/>
          <w:szCs w:val="22"/>
          <w:vertAlign w:val="superscript"/>
        </w:rPr>
        <w:t>1</w:t>
      </w:r>
      <w:r w:rsidR="00C966BF">
        <w:rPr>
          <w:rFonts w:asciiTheme="minorHAnsi" w:hAnsiTheme="minorHAnsi"/>
          <w:sz w:val="22"/>
          <w:szCs w:val="22"/>
          <w:vertAlign w:val="superscript"/>
        </w:rPr>
        <w:t>3</w:t>
      </w:r>
      <w:r w:rsidR="00E822BE">
        <w:rPr>
          <w:rFonts w:asciiTheme="minorHAnsi" w:hAnsiTheme="minorHAnsi"/>
          <w:sz w:val="22"/>
          <w:szCs w:val="22"/>
        </w:rPr>
        <w:t xml:space="preserve">   </w:t>
      </w:r>
      <w:r w:rsidR="00E822BE" w:rsidRPr="00E822BE">
        <w:rPr>
          <w:rFonts w:asciiTheme="minorHAnsi" w:hAnsiTheme="minorHAnsi"/>
          <w:sz w:val="22"/>
        </w:rPr>
        <w:t xml:space="preserve"> </w:t>
      </w:r>
    </w:p>
    <w:p w14:paraId="6AFB433B" w14:textId="77777777" w:rsidR="00E822BE" w:rsidRDefault="00E822BE" w:rsidP="00364997">
      <w:pPr>
        <w:spacing w:before="120"/>
        <w:rPr>
          <w:rFonts w:asciiTheme="minorHAnsi" w:hAnsiTheme="minorHAnsi"/>
          <w:sz w:val="22"/>
          <w:szCs w:val="22"/>
        </w:rPr>
      </w:pPr>
    </w:p>
    <w:p w14:paraId="444F1409" w14:textId="77777777" w:rsidR="005B217E" w:rsidRPr="00DC030D" w:rsidRDefault="005B217E" w:rsidP="00D25C6A">
      <w:pPr>
        <w:autoSpaceDE w:val="0"/>
        <w:autoSpaceDN w:val="0"/>
        <w:adjustRightInd w:val="0"/>
        <w:spacing w:before="120"/>
        <w:rPr>
          <w:rFonts w:asciiTheme="minorHAnsi" w:hAnsiTheme="minorHAnsi"/>
          <w:sz w:val="22"/>
          <w:szCs w:val="22"/>
        </w:rPr>
      </w:pPr>
      <w:r>
        <w:rPr>
          <w:rFonts w:asciiTheme="minorHAnsi" w:hAnsiTheme="minorHAnsi"/>
          <w:b/>
          <w:bCs/>
          <w:sz w:val="22"/>
          <w:szCs w:val="22"/>
        </w:rPr>
        <w:t>Examples</w:t>
      </w:r>
    </w:p>
    <w:p w14:paraId="28C082CD" w14:textId="77777777" w:rsidR="009319F3" w:rsidRPr="00102A90" w:rsidRDefault="009319F3" w:rsidP="00102A90">
      <w:pPr>
        <w:pStyle w:val="FootnoteText"/>
        <w:rPr>
          <w:rFonts w:asciiTheme="minorHAnsi" w:hAnsiTheme="minorHAnsi"/>
          <w:sz w:val="22"/>
          <w:szCs w:val="22"/>
        </w:rPr>
      </w:pPr>
      <w:r w:rsidRPr="009319F3">
        <w:rPr>
          <w:rFonts w:asciiTheme="minorHAnsi" w:hAnsiTheme="minorHAnsi"/>
          <w:sz w:val="22"/>
          <w:szCs w:val="22"/>
        </w:rPr>
        <w:t xml:space="preserve">The following examples illustrate the </w:t>
      </w:r>
      <w:r w:rsidR="00C04D2D">
        <w:rPr>
          <w:rFonts w:asciiTheme="minorHAnsi" w:hAnsiTheme="minorHAnsi"/>
          <w:sz w:val="22"/>
          <w:szCs w:val="22"/>
        </w:rPr>
        <w:t>effect of these transactions on premiums</w:t>
      </w:r>
      <w:r w:rsidR="00102A90">
        <w:rPr>
          <w:rFonts w:asciiTheme="minorHAnsi" w:hAnsiTheme="minorHAnsi"/>
          <w:sz w:val="22"/>
          <w:szCs w:val="22"/>
        </w:rPr>
        <w:t>.</w:t>
      </w:r>
      <w:r w:rsidR="00102A90" w:rsidRPr="00102A90">
        <w:rPr>
          <w:rFonts w:asciiTheme="minorHAnsi" w:hAnsiTheme="minorHAnsi"/>
          <w:sz w:val="22"/>
          <w:szCs w:val="22"/>
        </w:rPr>
        <w:t xml:space="preserve"> </w:t>
      </w:r>
      <w:r w:rsidR="00102A90">
        <w:rPr>
          <w:rFonts w:asciiTheme="minorHAnsi" w:hAnsiTheme="minorHAnsi"/>
          <w:sz w:val="22"/>
          <w:szCs w:val="22"/>
        </w:rPr>
        <w:t xml:space="preserve"> </w:t>
      </w:r>
      <w:r w:rsidR="00102A90" w:rsidRPr="00102A90">
        <w:rPr>
          <w:rFonts w:asciiTheme="minorHAnsi" w:hAnsiTheme="minorHAnsi"/>
          <w:sz w:val="22"/>
          <w:szCs w:val="22"/>
        </w:rPr>
        <w:t>For purposes of these examples, assume all plans have been covered by PBGC since inception</w:t>
      </w:r>
      <w:r w:rsidR="00073A44">
        <w:rPr>
          <w:rFonts w:asciiTheme="minorHAnsi" w:hAnsiTheme="minorHAnsi"/>
          <w:sz w:val="22"/>
          <w:szCs w:val="22"/>
        </w:rPr>
        <w:t xml:space="preserve"> and </w:t>
      </w:r>
      <w:r w:rsidR="00102A90" w:rsidRPr="00102A90">
        <w:rPr>
          <w:rFonts w:asciiTheme="minorHAnsi" w:hAnsiTheme="minorHAnsi"/>
          <w:sz w:val="22"/>
          <w:szCs w:val="22"/>
        </w:rPr>
        <w:t>that none of the affected plans are Small Plans</w:t>
      </w:r>
      <w:r w:rsidR="00114AA2">
        <w:rPr>
          <w:rFonts w:asciiTheme="minorHAnsi" w:hAnsiTheme="minorHAnsi"/>
          <w:sz w:val="22"/>
          <w:szCs w:val="22"/>
        </w:rPr>
        <w:t xml:space="preserve"> (which means they all have beginning of year valuation dates and none of them use the Lookback rule for determining unfunded vested benefits)</w:t>
      </w:r>
      <w:r w:rsidR="00073A44">
        <w:rPr>
          <w:rFonts w:asciiTheme="minorHAnsi" w:hAnsiTheme="minorHAnsi"/>
          <w:sz w:val="22"/>
          <w:szCs w:val="22"/>
        </w:rPr>
        <w:t>.</w:t>
      </w:r>
      <w:r w:rsidRPr="00102A90">
        <w:rPr>
          <w:rFonts w:asciiTheme="minorHAnsi" w:hAnsiTheme="minorHAnsi"/>
          <w:sz w:val="22"/>
          <w:szCs w:val="22"/>
        </w:rPr>
        <w:t xml:space="preserve"> </w:t>
      </w:r>
    </w:p>
    <w:p w14:paraId="7C66AAAA" w14:textId="77777777" w:rsidR="00F05D32" w:rsidRDefault="00C04D2D" w:rsidP="00C04D2D">
      <w:pPr>
        <w:tabs>
          <w:tab w:val="num" w:pos="450"/>
        </w:tabs>
        <w:spacing w:before="120"/>
        <w:rPr>
          <w:rFonts w:asciiTheme="minorHAnsi" w:hAnsiTheme="minorHAnsi" w:cs="Calibri"/>
          <w:sz w:val="22"/>
          <w:szCs w:val="22"/>
        </w:rPr>
      </w:pPr>
      <w:r w:rsidRPr="005B217E">
        <w:rPr>
          <w:rFonts w:asciiTheme="minorHAnsi" w:hAnsiTheme="minorHAnsi"/>
          <w:i/>
          <w:sz w:val="22"/>
          <w:szCs w:val="22"/>
        </w:rPr>
        <w:t xml:space="preserve">Example </w:t>
      </w:r>
      <w:r>
        <w:rPr>
          <w:rFonts w:asciiTheme="minorHAnsi" w:hAnsiTheme="minorHAnsi"/>
          <w:i/>
          <w:sz w:val="22"/>
          <w:szCs w:val="22"/>
        </w:rPr>
        <w:t>1</w:t>
      </w:r>
      <w:r w:rsidRPr="005B217E">
        <w:rPr>
          <w:rFonts w:asciiTheme="minorHAnsi" w:hAnsiTheme="minorHAnsi"/>
          <w:i/>
          <w:sz w:val="22"/>
          <w:szCs w:val="22"/>
        </w:rPr>
        <w:t xml:space="preserve"> (</w:t>
      </w:r>
      <w:r>
        <w:rPr>
          <w:rFonts w:asciiTheme="minorHAnsi" w:hAnsiTheme="minorHAnsi"/>
          <w:i/>
          <w:sz w:val="22"/>
          <w:szCs w:val="22"/>
        </w:rPr>
        <w:t>Beginning of Plan Year</w:t>
      </w:r>
      <w:r w:rsidRPr="005B217E">
        <w:rPr>
          <w:rFonts w:asciiTheme="minorHAnsi" w:hAnsiTheme="minorHAnsi"/>
          <w:i/>
          <w:sz w:val="22"/>
          <w:szCs w:val="22"/>
        </w:rPr>
        <w:t xml:space="preserve"> Spinoff to a New Plan)</w:t>
      </w:r>
      <w:r w:rsidRPr="005B217E">
        <w:rPr>
          <w:rFonts w:asciiTheme="minorHAnsi" w:hAnsiTheme="minorHAnsi"/>
          <w:sz w:val="22"/>
          <w:szCs w:val="22"/>
        </w:rPr>
        <w:t xml:space="preserve"> </w:t>
      </w:r>
      <w:r>
        <w:rPr>
          <w:rFonts w:asciiTheme="minorHAnsi" w:hAnsiTheme="minorHAnsi"/>
          <w:sz w:val="22"/>
          <w:szCs w:val="22"/>
        </w:rPr>
        <w:t xml:space="preserve">— </w:t>
      </w:r>
      <w:r w:rsidR="00902E6D" w:rsidRPr="00D85117">
        <w:rPr>
          <w:rFonts w:asciiTheme="minorHAnsi" w:hAnsiTheme="minorHAnsi" w:cs="Calibri"/>
          <w:sz w:val="22"/>
          <w:szCs w:val="22"/>
        </w:rPr>
        <w:t xml:space="preserve">Plan B is created </w:t>
      </w:r>
      <w:r w:rsidR="00902E6D">
        <w:rPr>
          <w:rFonts w:asciiTheme="minorHAnsi" w:hAnsiTheme="minorHAnsi" w:cs="Calibri"/>
          <w:sz w:val="22"/>
          <w:szCs w:val="22"/>
        </w:rPr>
        <w:t xml:space="preserve">at the beginning of 2018 as the </w:t>
      </w:r>
      <w:r w:rsidR="00902E6D" w:rsidRPr="00D85117">
        <w:rPr>
          <w:rFonts w:asciiTheme="minorHAnsi" w:hAnsiTheme="minorHAnsi" w:cs="Calibri"/>
          <w:sz w:val="22"/>
          <w:szCs w:val="22"/>
        </w:rPr>
        <w:t xml:space="preserve">result of a </w:t>
      </w:r>
      <w:r w:rsidR="00902E6D">
        <w:rPr>
          <w:rFonts w:asciiTheme="minorHAnsi" w:hAnsiTheme="minorHAnsi" w:cs="Calibri"/>
          <w:sz w:val="22"/>
          <w:szCs w:val="22"/>
        </w:rPr>
        <w:t xml:space="preserve">non </w:t>
      </w:r>
      <w:r w:rsidR="00902E6D" w:rsidRPr="00102A90">
        <w:rPr>
          <w:rFonts w:asciiTheme="minorHAnsi" w:hAnsiTheme="minorHAnsi" w:cs="Calibri"/>
          <w:i/>
          <w:sz w:val="22"/>
          <w:szCs w:val="22"/>
        </w:rPr>
        <w:t>de minimis</w:t>
      </w:r>
      <w:r w:rsidR="00902E6D">
        <w:rPr>
          <w:rFonts w:asciiTheme="minorHAnsi" w:hAnsiTheme="minorHAnsi" w:cs="Calibri"/>
          <w:sz w:val="22"/>
          <w:szCs w:val="22"/>
        </w:rPr>
        <w:t xml:space="preserve"> S</w:t>
      </w:r>
      <w:r w:rsidR="00902E6D" w:rsidRPr="00D85117">
        <w:rPr>
          <w:rFonts w:asciiTheme="minorHAnsi" w:hAnsiTheme="minorHAnsi" w:cs="Calibri"/>
          <w:sz w:val="22"/>
          <w:szCs w:val="22"/>
        </w:rPr>
        <w:t>pinoff from Plan A (a plan with a calendar year plan year). Plan B will also have a calendar year plan</w:t>
      </w:r>
      <w:r w:rsidR="00902E6D">
        <w:rPr>
          <w:rFonts w:asciiTheme="minorHAnsi" w:hAnsiTheme="minorHAnsi" w:cs="Calibri"/>
          <w:sz w:val="22"/>
          <w:szCs w:val="22"/>
        </w:rPr>
        <w:t>.</w:t>
      </w:r>
      <w:r>
        <w:rPr>
          <w:rFonts w:asciiTheme="minorHAnsi" w:hAnsiTheme="minorHAnsi" w:cs="Calibri"/>
          <w:sz w:val="22"/>
          <w:szCs w:val="22"/>
        </w:rPr>
        <w:t xml:space="preserve"> </w:t>
      </w:r>
      <w:r w:rsidR="00F05D32">
        <w:rPr>
          <w:rFonts w:asciiTheme="minorHAnsi" w:hAnsiTheme="minorHAnsi" w:cs="Calibri"/>
          <w:sz w:val="22"/>
          <w:szCs w:val="22"/>
        </w:rPr>
        <w:t>Plan A made an election to use the Alternative Premium Funding Target in 20</w:t>
      </w:r>
      <w:r w:rsidR="000D0F8E">
        <w:rPr>
          <w:rFonts w:asciiTheme="minorHAnsi" w:hAnsiTheme="minorHAnsi" w:cs="Calibri"/>
          <w:sz w:val="22"/>
          <w:szCs w:val="22"/>
        </w:rPr>
        <w:t>10</w:t>
      </w:r>
      <w:r w:rsidR="00F05D32">
        <w:rPr>
          <w:rFonts w:asciiTheme="minorHAnsi" w:hAnsiTheme="minorHAnsi" w:cs="Calibri"/>
          <w:sz w:val="22"/>
          <w:szCs w:val="22"/>
        </w:rPr>
        <w:t xml:space="preserve">; such election is still in effect.  </w:t>
      </w:r>
    </w:p>
    <w:p w14:paraId="09AE44CE" w14:textId="77777777" w:rsidR="00C04D2D" w:rsidRDefault="00C04D2D" w:rsidP="00C04D2D">
      <w:pPr>
        <w:tabs>
          <w:tab w:val="num" w:pos="450"/>
        </w:tabs>
        <w:spacing w:before="120"/>
        <w:rPr>
          <w:rFonts w:asciiTheme="minorHAnsi" w:hAnsiTheme="minorHAnsi"/>
          <w:sz w:val="22"/>
          <w:szCs w:val="22"/>
        </w:rPr>
      </w:pPr>
      <w:r>
        <w:rPr>
          <w:rFonts w:asciiTheme="minorHAnsi" w:hAnsiTheme="minorHAnsi"/>
          <w:sz w:val="22"/>
          <w:szCs w:val="22"/>
        </w:rPr>
        <w:t xml:space="preserve">For </w:t>
      </w:r>
      <w:r w:rsidR="00AE348E">
        <w:rPr>
          <w:rFonts w:asciiTheme="minorHAnsi" w:hAnsiTheme="minorHAnsi"/>
          <w:sz w:val="22"/>
          <w:szCs w:val="22"/>
        </w:rPr>
        <w:t>2018</w:t>
      </w:r>
      <w:r>
        <w:rPr>
          <w:rFonts w:asciiTheme="minorHAnsi" w:hAnsiTheme="minorHAnsi"/>
          <w:sz w:val="22"/>
          <w:szCs w:val="22"/>
        </w:rPr>
        <w:t>, premiums for these plans are determined as follows:</w:t>
      </w:r>
    </w:p>
    <w:p w14:paraId="7D924EDA" w14:textId="77777777" w:rsidR="00C42D45" w:rsidRPr="00295025" w:rsidRDefault="00C42D45" w:rsidP="000B337D">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sidRPr="00295025">
        <w:rPr>
          <w:rFonts w:asciiTheme="minorHAnsi" w:hAnsiTheme="minorHAnsi"/>
          <w:sz w:val="22"/>
          <w:szCs w:val="22"/>
        </w:rPr>
        <w:t>Due date —</w:t>
      </w:r>
      <w:r>
        <w:rPr>
          <w:rFonts w:asciiTheme="minorHAnsi" w:hAnsiTheme="minorHAnsi"/>
          <w:sz w:val="22"/>
          <w:szCs w:val="22"/>
        </w:rPr>
        <w:t xml:space="preserve"> Premiums for both plans are due </w:t>
      </w:r>
      <w:r w:rsidRPr="008F3C9A">
        <w:rPr>
          <w:rFonts w:asciiTheme="minorHAnsi" w:hAnsiTheme="minorHAnsi"/>
          <w:sz w:val="22"/>
          <w:szCs w:val="22"/>
        </w:rPr>
        <w:t>October 1</w:t>
      </w:r>
      <w:r w:rsidR="0020497D">
        <w:rPr>
          <w:rFonts w:asciiTheme="minorHAnsi" w:hAnsiTheme="minorHAnsi"/>
          <w:sz w:val="22"/>
          <w:szCs w:val="22"/>
        </w:rPr>
        <w:t>5</w:t>
      </w:r>
      <w:r w:rsidRPr="008F3C9A">
        <w:rPr>
          <w:rFonts w:asciiTheme="minorHAnsi" w:hAnsiTheme="minorHAnsi"/>
          <w:sz w:val="22"/>
          <w:szCs w:val="22"/>
        </w:rPr>
        <w:t xml:space="preserve">, </w:t>
      </w:r>
      <w:r w:rsidR="00AE348E">
        <w:rPr>
          <w:rFonts w:asciiTheme="minorHAnsi" w:hAnsiTheme="minorHAnsi"/>
          <w:sz w:val="22"/>
          <w:szCs w:val="22"/>
        </w:rPr>
        <w:t>2018</w:t>
      </w:r>
      <w:r w:rsidRPr="008F3C9A">
        <w:rPr>
          <w:rFonts w:asciiTheme="minorHAnsi" w:hAnsiTheme="minorHAnsi"/>
          <w:sz w:val="22"/>
          <w:szCs w:val="22"/>
        </w:rPr>
        <w:t xml:space="preserve">.  </w:t>
      </w:r>
      <w:r>
        <w:rPr>
          <w:rFonts w:asciiTheme="minorHAnsi" w:hAnsiTheme="minorHAnsi"/>
          <w:sz w:val="22"/>
          <w:szCs w:val="22"/>
        </w:rPr>
        <w:t xml:space="preserve"> </w:t>
      </w:r>
    </w:p>
    <w:p w14:paraId="70E7EDFD" w14:textId="77777777" w:rsidR="00C04D2D" w:rsidRDefault="00C04D2D" w:rsidP="000B337D">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Participant Count Date:</w:t>
      </w:r>
    </w:p>
    <w:p w14:paraId="0CA1F93A" w14:textId="77777777" w:rsidR="00C04D2D" w:rsidRDefault="00C04D2D" w:rsidP="000B337D">
      <w:pPr>
        <w:numPr>
          <w:ilvl w:val="1"/>
          <w:numId w:val="14"/>
        </w:numPr>
        <w:tabs>
          <w:tab w:val="clear" w:pos="1440"/>
          <w:tab w:val="num" w:pos="360"/>
          <w:tab w:val="num" w:pos="81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Plan A: Because the Spinoff occurred </w:t>
      </w:r>
      <w:r w:rsidR="00902E6D">
        <w:rPr>
          <w:rFonts w:asciiTheme="minorHAnsi" w:hAnsiTheme="minorHAnsi"/>
          <w:sz w:val="22"/>
          <w:szCs w:val="22"/>
        </w:rPr>
        <w:t xml:space="preserve">at the beginning of </w:t>
      </w:r>
      <w:r>
        <w:rPr>
          <w:rFonts w:asciiTheme="minorHAnsi" w:hAnsiTheme="minorHAnsi"/>
          <w:sz w:val="22"/>
          <w:szCs w:val="22"/>
        </w:rPr>
        <w:t xml:space="preserve">Plan A’s plan year, Plan A’s </w:t>
      </w:r>
      <w:r w:rsidR="00AE348E">
        <w:rPr>
          <w:rFonts w:asciiTheme="minorHAnsi" w:hAnsiTheme="minorHAnsi"/>
          <w:sz w:val="22"/>
          <w:szCs w:val="22"/>
        </w:rPr>
        <w:t>2018</w:t>
      </w:r>
      <w:r w:rsidRPr="00295025">
        <w:rPr>
          <w:rFonts w:asciiTheme="minorHAnsi" w:hAnsiTheme="minorHAnsi"/>
          <w:sz w:val="22"/>
          <w:szCs w:val="22"/>
        </w:rPr>
        <w:t xml:space="preserve"> </w:t>
      </w:r>
      <w:r w:rsidR="00902E6D">
        <w:rPr>
          <w:rFonts w:asciiTheme="minorHAnsi" w:hAnsiTheme="minorHAnsi"/>
          <w:sz w:val="22"/>
          <w:szCs w:val="22"/>
        </w:rPr>
        <w:t>F</w:t>
      </w:r>
      <w:r w:rsidRPr="00295025">
        <w:rPr>
          <w:rFonts w:asciiTheme="minorHAnsi" w:hAnsiTheme="minorHAnsi"/>
          <w:sz w:val="22"/>
          <w:szCs w:val="22"/>
        </w:rPr>
        <w:t>lat</w:t>
      </w:r>
      <w:r w:rsidR="00902E6D">
        <w:rPr>
          <w:rFonts w:asciiTheme="minorHAnsi" w:hAnsiTheme="minorHAnsi"/>
          <w:sz w:val="22"/>
          <w:szCs w:val="22"/>
        </w:rPr>
        <w:noBreakHyphen/>
        <w:t>R</w:t>
      </w:r>
      <w:r w:rsidRPr="00295025">
        <w:rPr>
          <w:rFonts w:asciiTheme="minorHAnsi" w:hAnsiTheme="minorHAnsi"/>
          <w:sz w:val="22"/>
          <w:szCs w:val="22"/>
        </w:rPr>
        <w:t xml:space="preserve">ate </w:t>
      </w:r>
      <w:r>
        <w:rPr>
          <w:rFonts w:asciiTheme="minorHAnsi" w:hAnsiTheme="minorHAnsi"/>
          <w:sz w:val="22"/>
          <w:szCs w:val="22"/>
        </w:rPr>
        <w:t>P</w:t>
      </w:r>
      <w:r w:rsidRPr="00295025">
        <w:rPr>
          <w:rFonts w:asciiTheme="minorHAnsi" w:hAnsiTheme="minorHAnsi"/>
          <w:sz w:val="22"/>
          <w:szCs w:val="22"/>
        </w:rPr>
        <w:t>remium</w:t>
      </w:r>
      <w:r>
        <w:rPr>
          <w:rFonts w:asciiTheme="minorHAnsi" w:hAnsiTheme="minorHAnsi"/>
          <w:sz w:val="22"/>
          <w:szCs w:val="22"/>
        </w:rPr>
        <w:t xml:space="preserve"> is based on the participant count on the first day of the plan year (January</w:t>
      </w:r>
      <w:r w:rsidRPr="00295025">
        <w:rPr>
          <w:rFonts w:asciiTheme="minorHAnsi" w:hAnsiTheme="minorHAnsi"/>
          <w:sz w:val="22"/>
          <w:szCs w:val="22"/>
        </w:rPr>
        <w:t xml:space="preserve"> 1, </w:t>
      </w:r>
      <w:r w:rsidR="00AE348E">
        <w:rPr>
          <w:rFonts w:asciiTheme="minorHAnsi" w:hAnsiTheme="minorHAnsi"/>
          <w:sz w:val="22"/>
          <w:szCs w:val="22"/>
        </w:rPr>
        <w:t>2018</w:t>
      </w:r>
      <w:r>
        <w:rPr>
          <w:rFonts w:asciiTheme="minorHAnsi" w:hAnsiTheme="minorHAnsi"/>
          <w:sz w:val="22"/>
          <w:szCs w:val="22"/>
        </w:rPr>
        <w:t xml:space="preserve">) instead of the last day of the prior year (December 31, </w:t>
      </w:r>
      <w:r w:rsidR="00AE348E">
        <w:rPr>
          <w:rFonts w:asciiTheme="minorHAnsi" w:hAnsiTheme="minorHAnsi"/>
          <w:sz w:val="22"/>
          <w:szCs w:val="22"/>
        </w:rPr>
        <w:t>2017</w:t>
      </w:r>
      <w:r>
        <w:rPr>
          <w:rFonts w:asciiTheme="minorHAnsi" w:hAnsiTheme="minorHAnsi"/>
          <w:sz w:val="22"/>
          <w:szCs w:val="22"/>
        </w:rPr>
        <w:t>).</w:t>
      </w:r>
      <w:r w:rsidRPr="0024600C">
        <w:rPr>
          <w:rFonts w:asciiTheme="minorHAnsi" w:hAnsiTheme="minorHAnsi"/>
          <w:sz w:val="22"/>
          <w:szCs w:val="22"/>
        </w:rPr>
        <w:t xml:space="preserve"> </w:t>
      </w:r>
      <w:r w:rsidRPr="00F62144">
        <w:rPr>
          <w:rFonts w:asciiTheme="minorHAnsi" w:hAnsiTheme="minorHAnsi"/>
          <w:sz w:val="22"/>
          <w:szCs w:val="22"/>
        </w:rPr>
        <w:t xml:space="preserve">See </w:t>
      </w:r>
      <w:r>
        <w:rPr>
          <w:rFonts w:asciiTheme="minorHAnsi" w:hAnsiTheme="minorHAnsi"/>
          <w:sz w:val="22"/>
          <w:szCs w:val="22"/>
        </w:rPr>
        <w:t xml:space="preserve">special rule re: beginning of year </w:t>
      </w:r>
      <w:r w:rsidR="009A1588">
        <w:rPr>
          <w:rFonts w:asciiTheme="minorHAnsi" w:hAnsiTheme="minorHAnsi"/>
          <w:sz w:val="22"/>
          <w:szCs w:val="22"/>
        </w:rPr>
        <w:t xml:space="preserve">non de minimis </w:t>
      </w:r>
      <w:r>
        <w:rPr>
          <w:rFonts w:asciiTheme="minorHAnsi" w:hAnsiTheme="minorHAnsi"/>
          <w:sz w:val="22"/>
          <w:szCs w:val="22"/>
        </w:rPr>
        <w:t xml:space="preserve">Spinoffs in </w:t>
      </w:r>
      <w:r w:rsidRPr="00F62144">
        <w:rPr>
          <w:rFonts w:asciiTheme="minorHAnsi" w:hAnsiTheme="minorHAnsi"/>
          <w:sz w:val="22"/>
          <w:szCs w:val="22"/>
        </w:rPr>
        <w:t>“</w:t>
      </w:r>
      <w:hyperlink w:anchor="b7"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Pr>
          <w:rFonts w:asciiTheme="minorHAnsi" w:hAnsiTheme="minorHAnsi"/>
          <w:sz w:val="22"/>
          <w:szCs w:val="22"/>
        </w:rPr>
        <w:t>.</w:t>
      </w:r>
    </w:p>
    <w:p w14:paraId="3CE2D25A" w14:textId="77777777" w:rsidR="00C04D2D" w:rsidRDefault="00C04D2D" w:rsidP="000B337D">
      <w:pPr>
        <w:numPr>
          <w:ilvl w:val="1"/>
          <w:numId w:val="14"/>
        </w:numPr>
        <w:tabs>
          <w:tab w:val="clear" w:pos="1440"/>
          <w:tab w:val="num" w:pos="360"/>
          <w:tab w:val="num" w:pos="81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Plan B: Because Plan B is a New Plan, its Participant Count Date is also the first day of the plan year (January 1, </w:t>
      </w:r>
      <w:r w:rsidR="00AE348E">
        <w:rPr>
          <w:rFonts w:asciiTheme="minorHAnsi" w:hAnsiTheme="minorHAnsi"/>
          <w:sz w:val="22"/>
          <w:szCs w:val="22"/>
        </w:rPr>
        <w:t>2018</w:t>
      </w:r>
      <w:r>
        <w:rPr>
          <w:rFonts w:asciiTheme="minorHAnsi" w:hAnsiTheme="minorHAnsi"/>
          <w:sz w:val="22"/>
          <w:szCs w:val="22"/>
        </w:rPr>
        <w:t>).</w:t>
      </w:r>
    </w:p>
    <w:p w14:paraId="64ACADF2" w14:textId="77777777" w:rsidR="009A1588" w:rsidRPr="009A1588" w:rsidRDefault="009A1588" w:rsidP="000B337D">
      <w:pPr>
        <w:pStyle w:val="FootnoteText"/>
        <w:spacing w:before="120"/>
        <w:ind w:left="450"/>
        <w:rPr>
          <w:rFonts w:asciiTheme="minorHAnsi" w:hAnsiTheme="minorHAnsi"/>
          <w:sz w:val="22"/>
          <w:szCs w:val="22"/>
        </w:rPr>
      </w:pPr>
      <w:r w:rsidRPr="009A1588">
        <w:rPr>
          <w:rFonts w:asciiTheme="minorHAnsi" w:hAnsiTheme="minorHAnsi"/>
          <w:sz w:val="22"/>
          <w:szCs w:val="22"/>
        </w:rPr>
        <w:t xml:space="preserve">Note – if the Spinoff </w:t>
      </w:r>
      <w:r w:rsidR="000B337D">
        <w:rPr>
          <w:rFonts w:asciiTheme="minorHAnsi" w:hAnsiTheme="minorHAnsi"/>
          <w:sz w:val="22"/>
          <w:szCs w:val="22"/>
        </w:rPr>
        <w:t xml:space="preserve">had been </w:t>
      </w:r>
      <w:r w:rsidRPr="000B337D">
        <w:rPr>
          <w:rFonts w:asciiTheme="minorHAnsi" w:hAnsiTheme="minorHAnsi"/>
          <w:i/>
          <w:sz w:val="22"/>
          <w:szCs w:val="22"/>
        </w:rPr>
        <w:t>de minimis</w:t>
      </w:r>
      <w:r w:rsidRPr="009A1588">
        <w:rPr>
          <w:rFonts w:asciiTheme="minorHAnsi" w:hAnsiTheme="minorHAnsi"/>
          <w:sz w:val="22"/>
          <w:szCs w:val="22"/>
        </w:rPr>
        <w:t xml:space="preserve">, the special Participant Count Date rule </w:t>
      </w:r>
      <w:r w:rsidR="000B337D">
        <w:rPr>
          <w:rFonts w:asciiTheme="minorHAnsi" w:hAnsiTheme="minorHAnsi"/>
          <w:sz w:val="22"/>
          <w:szCs w:val="22"/>
        </w:rPr>
        <w:t xml:space="preserve">would not apply (i.e., Plan A’s Participant Count Date would have been </w:t>
      </w:r>
      <w:r w:rsidR="000B337D">
        <w:rPr>
          <w:rFonts w:ascii="Arial" w:hAnsi="Arial" w:cs="Arial"/>
        </w:rPr>
        <w:t xml:space="preserve">December 31, 2017).  Because Plan B’s Participant Count Date is January 1, 2018, that means </w:t>
      </w:r>
      <w:r w:rsidRPr="009A1588">
        <w:rPr>
          <w:rFonts w:asciiTheme="minorHAnsi" w:hAnsiTheme="minorHAnsi"/>
          <w:sz w:val="22"/>
          <w:szCs w:val="22"/>
        </w:rPr>
        <w:t>both plans would have owed Flat-</w:t>
      </w:r>
      <w:r w:rsidR="00902E6D">
        <w:rPr>
          <w:rFonts w:asciiTheme="minorHAnsi" w:hAnsiTheme="minorHAnsi"/>
          <w:sz w:val="22"/>
          <w:szCs w:val="22"/>
        </w:rPr>
        <w:t>R</w:t>
      </w:r>
      <w:r w:rsidRPr="009A1588">
        <w:rPr>
          <w:rFonts w:asciiTheme="minorHAnsi" w:hAnsiTheme="minorHAnsi"/>
          <w:sz w:val="22"/>
          <w:szCs w:val="22"/>
        </w:rPr>
        <w:t xml:space="preserve">ate </w:t>
      </w:r>
      <w:r>
        <w:rPr>
          <w:rFonts w:asciiTheme="minorHAnsi" w:hAnsiTheme="minorHAnsi"/>
          <w:sz w:val="22"/>
          <w:szCs w:val="22"/>
        </w:rPr>
        <w:t>P</w:t>
      </w:r>
      <w:r w:rsidRPr="009A1588">
        <w:rPr>
          <w:rFonts w:asciiTheme="minorHAnsi" w:hAnsiTheme="minorHAnsi"/>
          <w:sz w:val="22"/>
          <w:szCs w:val="22"/>
        </w:rPr>
        <w:t xml:space="preserve">remiums on behalf of </w:t>
      </w:r>
      <w:r w:rsidR="000B337D" w:rsidRPr="000B337D">
        <w:rPr>
          <w:rFonts w:asciiTheme="minorHAnsi" w:hAnsiTheme="minorHAnsi"/>
          <w:sz w:val="22"/>
          <w:szCs w:val="22"/>
        </w:rPr>
        <w:t>the participants that were spun off from Plan A to Plan B. </w:t>
      </w:r>
    </w:p>
    <w:p w14:paraId="4F9A024B" w14:textId="77777777" w:rsidR="008B33A1" w:rsidRDefault="008B33A1" w:rsidP="008B33A1">
      <w:pPr>
        <w:tabs>
          <w:tab w:val="num" w:pos="810"/>
        </w:tabs>
        <w:autoSpaceDE w:val="0"/>
        <w:autoSpaceDN w:val="0"/>
        <w:adjustRightInd w:val="0"/>
        <w:spacing w:before="120"/>
        <w:ind w:left="720"/>
        <w:rPr>
          <w:rFonts w:asciiTheme="minorHAnsi" w:hAnsiTheme="minorHAnsi"/>
          <w:sz w:val="22"/>
          <w:szCs w:val="22"/>
        </w:rPr>
      </w:pPr>
    </w:p>
    <w:p w14:paraId="6256C7DE" w14:textId="77777777" w:rsidR="00C04D2D" w:rsidRDefault="00C04D2D" w:rsidP="00C04D2D">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Unfunded Vested Benefits as of January 1, </w:t>
      </w:r>
      <w:r w:rsidR="00AE348E">
        <w:rPr>
          <w:rFonts w:asciiTheme="minorHAnsi" w:hAnsiTheme="minorHAnsi"/>
          <w:sz w:val="22"/>
          <w:szCs w:val="22"/>
        </w:rPr>
        <w:t>2018</w:t>
      </w:r>
      <w:r>
        <w:rPr>
          <w:rFonts w:asciiTheme="minorHAnsi" w:hAnsiTheme="minorHAnsi"/>
          <w:sz w:val="22"/>
          <w:szCs w:val="22"/>
        </w:rPr>
        <w:t>.</w:t>
      </w:r>
    </w:p>
    <w:p w14:paraId="363E7A92" w14:textId="77777777" w:rsidR="00C04D2D" w:rsidRDefault="00C04D2D" w:rsidP="00C04D2D">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Premium Funding Target:</w:t>
      </w:r>
    </w:p>
    <w:p w14:paraId="15F11499" w14:textId="77777777" w:rsidR="00F05D32" w:rsidRDefault="00C04D2D" w:rsidP="00277A04">
      <w:pPr>
        <w:numPr>
          <w:ilvl w:val="1"/>
          <w:numId w:val="14"/>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 xml:space="preserve">Plan A: </w:t>
      </w:r>
      <w:r w:rsidR="00F05D32" w:rsidRPr="00F05D32">
        <w:rPr>
          <w:rFonts w:asciiTheme="minorHAnsi" w:hAnsiTheme="minorHAnsi"/>
          <w:sz w:val="22"/>
          <w:szCs w:val="22"/>
        </w:rPr>
        <w:t xml:space="preserve"> The </w:t>
      </w:r>
      <w:r w:rsidRPr="00F05D32">
        <w:rPr>
          <w:rFonts w:asciiTheme="minorHAnsi" w:hAnsiTheme="minorHAnsi"/>
          <w:sz w:val="22"/>
          <w:szCs w:val="22"/>
        </w:rPr>
        <w:t xml:space="preserve">Alternative Premium Funding Target </w:t>
      </w:r>
      <w:r w:rsidR="00F05D32" w:rsidRPr="00F05D32">
        <w:rPr>
          <w:rFonts w:asciiTheme="minorHAnsi" w:hAnsiTheme="minorHAnsi"/>
          <w:sz w:val="22"/>
          <w:szCs w:val="22"/>
        </w:rPr>
        <w:t>is used unless the election is r</w:t>
      </w:r>
      <w:r w:rsidRPr="00F05D32">
        <w:rPr>
          <w:rFonts w:asciiTheme="minorHAnsi" w:hAnsiTheme="minorHAnsi"/>
          <w:sz w:val="22"/>
          <w:szCs w:val="22"/>
        </w:rPr>
        <w:t xml:space="preserve">evoked as part of the </w:t>
      </w:r>
      <w:r w:rsidR="00AE348E">
        <w:rPr>
          <w:rFonts w:asciiTheme="minorHAnsi" w:hAnsiTheme="minorHAnsi"/>
          <w:sz w:val="22"/>
          <w:szCs w:val="22"/>
        </w:rPr>
        <w:t>2018</w:t>
      </w:r>
      <w:r w:rsidRPr="00F05D32">
        <w:rPr>
          <w:rFonts w:asciiTheme="minorHAnsi" w:hAnsiTheme="minorHAnsi"/>
          <w:sz w:val="22"/>
          <w:szCs w:val="22"/>
        </w:rPr>
        <w:t xml:space="preserve"> Comprehensive Premium</w:t>
      </w:r>
      <w:r w:rsidR="00F05D32" w:rsidRPr="00F05D32">
        <w:rPr>
          <w:rFonts w:asciiTheme="minorHAnsi" w:hAnsiTheme="minorHAnsi"/>
          <w:sz w:val="22"/>
          <w:szCs w:val="22"/>
        </w:rPr>
        <w:t xml:space="preserve"> Filing</w:t>
      </w:r>
      <w:r w:rsidR="00F05D32">
        <w:rPr>
          <w:rFonts w:asciiTheme="minorHAnsi" w:hAnsiTheme="minorHAnsi"/>
          <w:sz w:val="22"/>
          <w:szCs w:val="22"/>
        </w:rPr>
        <w:t>.</w:t>
      </w:r>
    </w:p>
    <w:p w14:paraId="5CAFF817" w14:textId="77777777" w:rsidR="00C04D2D" w:rsidRPr="00F05D32" w:rsidRDefault="00C04D2D" w:rsidP="00277A04">
      <w:pPr>
        <w:numPr>
          <w:ilvl w:val="1"/>
          <w:numId w:val="14"/>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 xml:space="preserve">Plan B:  As a New Plan, the Variable-Rate Premium must be determined using the Standard Premium Funding Target unless the Plan makes a timely election to use the Alternative Premium Funding Target (as part of its </w:t>
      </w:r>
      <w:r w:rsidR="00AE348E">
        <w:rPr>
          <w:rFonts w:asciiTheme="minorHAnsi" w:hAnsiTheme="minorHAnsi"/>
          <w:sz w:val="22"/>
          <w:szCs w:val="22"/>
        </w:rPr>
        <w:t>2018</w:t>
      </w:r>
      <w:r w:rsidRPr="00F05D32">
        <w:rPr>
          <w:rFonts w:asciiTheme="minorHAnsi" w:hAnsiTheme="minorHAnsi"/>
          <w:sz w:val="22"/>
          <w:szCs w:val="22"/>
        </w:rPr>
        <w:t xml:space="preserve"> filing).</w:t>
      </w:r>
    </w:p>
    <w:p w14:paraId="65CD6145" w14:textId="77777777" w:rsidR="00C42D45" w:rsidRDefault="00C42D45" w:rsidP="00C42D45">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Proration — Neither plan qualifies to pro-rate its </w:t>
      </w:r>
      <w:r w:rsidR="00AE348E">
        <w:rPr>
          <w:rFonts w:asciiTheme="minorHAnsi" w:hAnsiTheme="minorHAnsi"/>
          <w:sz w:val="22"/>
          <w:szCs w:val="22"/>
        </w:rPr>
        <w:t>2018</w:t>
      </w:r>
      <w:r>
        <w:rPr>
          <w:rFonts w:asciiTheme="minorHAnsi" w:hAnsiTheme="minorHAnsi"/>
          <w:sz w:val="22"/>
          <w:szCs w:val="22"/>
        </w:rPr>
        <w:t xml:space="preserve"> premium.</w:t>
      </w:r>
    </w:p>
    <w:p w14:paraId="131988E2" w14:textId="77777777" w:rsidR="00C04D2D" w:rsidRDefault="00C04D2D" w:rsidP="00C04D2D">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Comprehensive Premium Filing —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w:t>
      </w:r>
      <w:r>
        <w:rPr>
          <w:rFonts w:asciiTheme="minorHAnsi" w:hAnsiTheme="minorHAnsi"/>
          <w:sz w:val="22"/>
          <w:szCs w:val="22"/>
        </w:rPr>
        <w:t>in the “Tr</w:t>
      </w:r>
      <w:r w:rsidRPr="001B1049">
        <w:rPr>
          <w:rFonts w:asciiTheme="minorHAnsi" w:hAnsiTheme="minorHAnsi"/>
          <w:sz w:val="22"/>
          <w:szCs w:val="22"/>
        </w:rPr>
        <w:t xml:space="preserve">ansfers </w:t>
      </w:r>
      <w:r w:rsidRPr="00133D57">
        <w:rPr>
          <w:rFonts w:asciiTheme="minorHAnsi" w:hAnsiTheme="minorHAnsi"/>
          <w:sz w:val="22"/>
          <w:szCs w:val="22"/>
          <w:u w:val="single"/>
        </w:rPr>
        <w:t>to</w:t>
      </w:r>
      <w:r w:rsidRPr="001B1049">
        <w:rPr>
          <w:rFonts w:asciiTheme="minorHAnsi" w:hAnsiTheme="minorHAnsi"/>
          <w:sz w:val="22"/>
          <w:szCs w:val="22"/>
        </w:rPr>
        <w:t xml:space="preserve"> other plans</w:t>
      </w:r>
      <w:r>
        <w:rPr>
          <w:rFonts w:asciiTheme="minorHAnsi" w:hAnsiTheme="minorHAnsi"/>
          <w:sz w:val="22"/>
          <w:szCs w:val="22"/>
        </w:rPr>
        <w:t xml:space="preserve">” item and </w:t>
      </w:r>
      <w:r w:rsidRPr="001B1049">
        <w:rPr>
          <w:rFonts w:asciiTheme="minorHAnsi" w:hAnsiTheme="minorHAnsi"/>
          <w:sz w:val="22"/>
          <w:szCs w:val="22"/>
        </w:rPr>
        <w:t xml:space="preserve">Plan B reports the </w:t>
      </w:r>
      <w:r w:rsidR="0085387A">
        <w:rPr>
          <w:rFonts w:asciiTheme="minorHAnsi" w:hAnsiTheme="minorHAnsi"/>
          <w:sz w:val="22"/>
          <w:szCs w:val="22"/>
        </w:rPr>
        <w:t>S</w:t>
      </w:r>
      <w:r w:rsidRPr="001B1049">
        <w:rPr>
          <w:rFonts w:asciiTheme="minorHAnsi" w:hAnsiTheme="minorHAnsi"/>
          <w:sz w:val="22"/>
          <w:szCs w:val="22"/>
        </w:rPr>
        <w:t xml:space="preserve">pinoff in </w:t>
      </w:r>
      <w:r>
        <w:rPr>
          <w:rFonts w:asciiTheme="minorHAnsi" w:hAnsiTheme="minorHAnsi"/>
          <w:sz w:val="22"/>
          <w:szCs w:val="22"/>
        </w:rPr>
        <w:t>the “Tra</w:t>
      </w:r>
      <w:r w:rsidRPr="001B1049">
        <w:rPr>
          <w:rFonts w:asciiTheme="minorHAnsi" w:hAnsiTheme="minorHAnsi"/>
          <w:sz w:val="22"/>
          <w:szCs w:val="22"/>
        </w:rPr>
        <w:t xml:space="preserve">nsfers </w:t>
      </w:r>
      <w:r w:rsidRPr="00133D57">
        <w:rPr>
          <w:rFonts w:asciiTheme="minorHAnsi" w:hAnsiTheme="minorHAnsi"/>
          <w:sz w:val="22"/>
          <w:szCs w:val="22"/>
          <w:u w:val="single"/>
        </w:rPr>
        <w:t>from</w:t>
      </w:r>
      <w:r w:rsidRPr="001B1049">
        <w:rPr>
          <w:rFonts w:asciiTheme="minorHAnsi" w:hAnsiTheme="minorHAnsi"/>
          <w:sz w:val="22"/>
          <w:szCs w:val="22"/>
        </w:rPr>
        <w:t xml:space="preserve"> other plans</w:t>
      </w:r>
      <w:r>
        <w:rPr>
          <w:rFonts w:asciiTheme="minorHAnsi" w:hAnsiTheme="minorHAnsi"/>
          <w:sz w:val="22"/>
          <w:szCs w:val="22"/>
        </w:rPr>
        <w:t>” item.</w:t>
      </w:r>
    </w:p>
    <w:p w14:paraId="55A50065" w14:textId="77777777" w:rsidR="008B33A1" w:rsidRDefault="008B33A1" w:rsidP="00C04D2D">
      <w:pPr>
        <w:autoSpaceDE w:val="0"/>
        <w:autoSpaceDN w:val="0"/>
        <w:adjustRightInd w:val="0"/>
        <w:spacing w:before="120"/>
        <w:rPr>
          <w:rFonts w:asciiTheme="minorHAnsi" w:hAnsiTheme="minorHAnsi"/>
          <w:i/>
          <w:sz w:val="22"/>
          <w:szCs w:val="22"/>
        </w:rPr>
      </w:pPr>
    </w:p>
    <w:p w14:paraId="360D08AB" w14:textId="77777777" w:rsidR="00A174D6" w:rsidRPr="00926233" w:rsidRDefault="00B00E27" w:rsidP="00C04D2D">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AE348E">
        <w:rPr>
          <w:rFonts w:asciiTheme="minorHAnsi" w:hAnsiTheme="minorHAnsi"/>
          <w:sz w:val="22"/>
          <w:szCs w:val="22"/>
        </w:rPr>
        <w:t>2018</w:t>
      </w:r>
      <w:r w:rsidRPr="00926233">
        <w:rPr>
          <w:rFonts w:asciiTheme="minorHAnsi" w:hAnsiTheme="minorHAnsi"/>
          <w:sz w:val="22"/>
          <w:szCs w:val="22"/>
        </w:rPr>
        <w:t xml:space="preserve"> 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 xml:space="preserve">.  </w:t>
      </w:r>
      <w:r w:rsidR="00C27376">
        <w:rPr>
          <w:rFonts w:asciiTheme="minorHAnsi" w:hAnsiTheme="minorHAnsi" w:cs="Calibri"/>
          <w:sz w:val="22"/>
          <w:szCs w:val="22"/>
        </w:rPr>
        <w:t>Plan</w:t>
      </w:r>
      <w:r w:rsidR="0034194C" w:rsidRPr="00926233">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34194C">
        <w:rPr>
          <w:rFonts w:asciiTheme="minorHAnsi" w:hAnsiTheme="minorHAnsi"/>
          <w:sz w:val="22"/>
          <w:szCs w:val="22"/>
        </w:rPr>
        <w:t xml:space="preserve">short </w:t>
      </w:r>
      <w:r w:rsidR="0034194C" w:rsidRPr="00926233">
        <w:rPr>
          <w:rFonts w:asciiTheme="minorHAnsi" w:hAnsiTheme="minorHAnsi"/>
          <w:sz w:val="22"/>
          <w:szCs w:val="22"/>
        </w:rPr>
        <w:t>plan year</w:t>
      </w:r>
      <w:r w:rsidR="0034194C">
        <w:rPr>
          <w:rFonts w:asciiTheme="minorHAnsi" w:hAnsiTheme="minorHAnsi"/>
          <w:sz w:val="22"/>
          <w:szCs w:val="22"/>
        </w:rPr>
        <w:t xml:space="preserve"> (i.e., </w:t>
      </w:r>
      <w:r w:rsidR="0034194C" w:rsidRPr="00926233">
        <w:rPr>
          <w:rFonts w:asciiTheme="minorHAnsi" w:hAnsiTheme="minorHAnsi"/>
          <w:sz w:val="22"/>
          <w:szCs w:val="22"/>
        </w:rPr>
        <w:t xml:space="preserve">July 1, </w:t>
      </w:r>
      <w:r w:rsidR="00AE348E">
        <w:rPr>
          <w:rFonts w:asciiTheme="minorHAnsi" w:hAnsiTheme="minorHAnsi"/>
          <w:sz w:val="22"/>
          <w:szCs w:val="22"/>
        </w:rPr>
        <w:t>2018</w:t>
      </w:r>
      <w:r w:rsidR="0034194C" w:rsidRPr="00926233">
        <w:rPr>
          <w:rFonts w:asciiTheme="minorHAnsi" w:hAnsiTheme="minorHAnsi"/>
          <w:sz w:val="22"/>
          <w:szCs w:val="22"/>
        </w:rPr>
        <w:t xml:space="preserve"> – December 31, </w:t>
      </w:r>
      <w:r w:rsidR="00AE348E">
        <w:rPr>
          <w:rFonts w:asciiTheme="minorHAnsi" w:hAnsiTheme="minorHAnsi"/>
          <w:sz w:val="22"/>
          <w:szCs w:val="22"/>
        </w:rPr>
        <w:t>2018</w:t>
      </w:r>
      <w:r w:rsidR="0034194C" w:rsidRPr="00926233">
        <w:rPr>
          <w:rFonts w:asciiTheme="minorHAnsi" w:hAnsiTheme="minorHAnsi"/>
          <w:sz w:val="22"/>
          <w:szCs w:val="22"/>
        </w:rPr>
        <w:t>)</w:t>
      </w:r>
      <w:r w:rsidR="0034194C">
        <w:rPr>
          <w:rFonts w:asciiTheme="minorHAnsi" w:hAnsiTheme="minorHAnsi"/>
          <w:sz w:val="22"/>
          <w:szCs w:val="22"/>
        </w:rPr>
        <w:t xml:space="preserve">. </w:t>
      </w:r>
      <w:r w:rsidR="00C04D2D">
        <w:rPr>
          <w:rFonts w:asciiTheme="minorHAnsi" w:hAnsiTheme="minorHAnsi"/>
          <w:sz w:val="22"/>
          <w:szCs w:val="22"/>
        </w:rPr>
        <w:t xml:space="preserve"> 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00C27376" w:rsidRPr="00D85117">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E04D82">
        <w:rPr>
          <w:rFonts w:asciiTheme="minorHAnsi" w:hAnsiTheme="minorHAnsi"/>
          <w:sz w:val="22"/>
          <w:szCs w:val="22"/>
        </w:rPr>
        <w:t xml:space="preserve"> </w:t>
      </w:r>
      <w:r w:rsidR="001852AA">
        <w:rPr>
          <w:rFonts w:asciiTheme="minorHAnsi" w:hAnsiTheme="minorHAnsi"/>
          <w:sz w:val="22"/>
          <w:szCs w:val="22"/>
        </w:rPr>
        <w:t xml:space="preserve"> For </w:t>
      </w:r>
      <w:r w:rsidR="00AE348E">
        <w:rPr>
          <w:rFonts w:asciiTheme="minorHAnsi" w:hAnsiTheme="minorHAnsi"/>
          <w:sz w:val="22"/>
          <w:szCs w:val="22"/>
        </w:rPr>
        <w:t>2018</w:t>
      </w:r>
      <w:r w:rsidR="001852AA">
        <w:rPr>
          <w:rFonts w:asciiTheme="minorHAnsi" w:hAnsiTheme="minorHAnsi"/>
          <w:sz w:val="22"/>
          <w:szCs w:val="22"/>
        </w:rPr>
        <w:t>, premiums are determined as follows:</w:t>
      </w:r>
    </w:p>
    <w:p w14:paraId="2D126A21" w14:textId="77777777" w:rsidR="001852AA" w:rsidRDefault="001852AA" w:rsidP="001852AA">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sidRPr="001852AA">
        <w:rPr>
          <w:rFonts w:asciiTheme="minorHAnsi" w:hAnsiTheme="minorHAnsi"/>
          <w:sz w:val="22"/>
          <w:szCs w:val="22"/>
        </w:rPr>
        <w:t xml:space="preserve">The Spinoff has no effect on Plan A’s </w:t>
      </w:r>
      <w:r w:rsidR="00AE348E">
        <w:rPr>
          <w:rFonts w:asciiTheme="minorHAnsi" w:hAnsiTheme="minorHAnsi"/>
          <w:sz w:val="22"/>
          <w:szCs w:val="22"/>
        </w:rPr>
        <w:t>2018</w:t>
      </w:r>
      <w:r w:rsidRPr="001852AA">
        <w:rPr>
          <w:rFonts w:asciiTheme="minorHAnsi" w:hAnsiTheme="minorHAnsi"/>
          <w:sz w:val="22"/>
          <w:szCs w:val="22"/>
        </w:rPr>
        <w:t xml:space="preserve"> premium oblig</w:t>
      </w:r>
      <w:r>
        <w:rPr>
          <w:rFonts w:asciiTheme="minorHAnsi" w:hAnsiTheme="minorHAnsi"/>
          <w:sz w:val="22"/>
          <w:szCs w:val="22"/>
        </w:rPr>
        <w:t>ation. That means:</w:t>
      </w:r>
    </w:p>
    <w:p w14:paraId="367E3DF2" w14:textId="77777777" w:rsidR="001852AA" w:rsidRDefault="001852AA" w:rsidP="001852AA">
      <w:pPr>
        <w:numPr>
          <w:ilvl w:val="1"/>
          <w:numId w:val="14"/>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Pr="008F3C9A">
        <w:rPr>
          <w:rFonts w:asciiTheme="minorHAnsi" w:hAnsiTheme="minorHAnsi"/>
          <w:sz w:val="22"/>
          <w:szCs w:val="22"/>
        </w:rPr>
        <w:t>October 1</w:t>
      </w:r>
      <w:r w:rsidR="007A64D9">
        <w:rPr>
          <w:rFonts w:asciiTheme="minorHAnsi" w:hAnsiTheme="minorHAnsi"/>
          <w:sz w:val="22"/>
          <w:szCs w:val="22"/>
        </w:rPr>
        <w:t>5</w:t>
      </w:r>
      <w:r w:rsidRPr="008F3C9A">
        <w:rPr>
          <w:rFonts w:asciiTheme="minorHAnsi" w:hAnsiTheme="minorHAnsi"/>
          <w:sz w:val="22"/>
          <w:szCs w:val="22"/>
        </w:rPr>
        <w:t xml:space="preserve">, </w:t>
      </w:r>
      <w:r w:rsidR="00AE348E">
        <w:rPr>
          <w:rFonts w:asciiTheme="minorHAnsi" w:hAnsiTheme="minorHAnsi"/>
          <w:sz w:val="22"/>
          <w:szCs w:val="22"/>
        </w:rPr>
        <w:t>2018</w:t>
      </w:r>
      <w:r w:rsidRPr="008F3C9A">
        <w:rPr>
          <w:rFonts w:asciiTheme="minorHAnsi" w:hAnsiTheme="minorHAnsi"/>
          <w:sz w:val="22"/>
          <w:szCs w:val="22"/>
        </w:rPr>
        <w:t xml:space="preserve">.  </w:t>
      </w:r>
      <w:r>
        <w:rPr>
          <w:rFonts w:asciiTheme="minorHAnsi" w:hAnsiTheme="minorHAnsi"/>
          <w:sz w:val="22"/>
          <w:szCs w:val="22"/>
        </w:rPr>
        <w:t xml:space="preserve"> </w:t>
      </w:r>
    </w:p>
    <w:p w14:paraId="241B2B1B" w14:textId="77777777" w:rsidR="001852AA" w:rsidRDefault="00B77922" w:rsidP="001852AA">
      <w:pPr>
        <w:numPr>
          <w:ilvl w:val="1"/>
          <w:numId w:val="14"/>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Based on the p</w:t>
      </w:r>
      <w:r w:rsidR="001852AA">
        <w:rPr>
          <w:rFonts w:asciiTheme="minorHAnsi" w:hAnsiTheme="minorHAnsi"/>
          <w:sz w:val="22"/>
          <w:szCs w:val="22"/>
        </w:rPr>
        <w:t>articipant</w:t>
      </w:r>
      <w:r>
        <w:rPr>
          <w:rFonts w:asciiTheme="minorHAnsi" w:hAnsiTheme="minorHAnsi"/>
          <w:sz w:val="22"/>
          <w:szCs w:val="22"/>
        </w:rPr>
        <w:t xml:space="preserve"> count as of </w:t>
      </w:r>
      <w:r w:rsidR="00B00E27" w:rsidRPr="001852AA">
        <w:rPr>
          <w:rFonts w:asciiTheme="minorHAnsi" w:hAnsiTheme="minorHAnsi"/>
          <w:sz w:val="22"/>
          <w:szCs w:val="22"/>
        </w:rPr>
        <w:t xml:space="preserve">December 31, </w:t>
      </w:r>
      <w:r w:rsidR="00AE348E">
        <w:rPr>
          <w:rFonts w:asciiTheme="minorHAnsi" w:hAnsiTheme="minorHAnsi"/>
          <w:sz w:val="22"/>
          <w:szCs w:val="22"/>
        </w:rPr>
        <w:t>2017</w:t>
      </w:r>
      <w:r>
        <w:rPr>
          <w:rFonts w:asciiTheme="minorHAnsi" w:hAnsiTheme="minorHAnsi"/>
          <w:sz w:val="22"/>
          <w:szCs w:val="22"/>
        </w:rPr>
        <w:t xml:space="preserve">.  There is no adjustment for </w:t>
      </w:r>
      <w:r w:rsidR="00B00E27" w:rsidRPr="001852AA">
        <w:rPr>
          <w:rFonts w:asciiTheme="minorHAnsi" w:hAnsiTheme="minorHAnsi"/>
          <w:sz w:val="22"/>
          <w:szCs w:val="22"/>
        </w:rPr>
        <w:t>participants who are spun off later in the year.</w:t>
      </w:r>
      <w:r w:rsidR="00A174D6" w:rsidRPr="001852AA">
        <w:rPr>
          <w:rFonts w:asciiTheme="minorHAnsi" w:hAnsiTheme="minorHAnsi"/>
          <w:sz w:val="22"/>
          <w:szCs w:val="22"/>
        </w:rPr>
        <w:t xml:space="preserve">  </w:t>
      </w:r>
    </w:p>
    <w:p w14:paraId="41517B82" w14:textId="77777777" w:rsidR="00F57CFD" w:rsidRDefault="00F57CFD" w:rsidP="001852AA">
      <w:pPr>
        <w:numPr>
          <w:ilvl w:val="1"/>
          <w:numId w:val="14"/>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Pr>
          <w:rFonts w:asciiTheme="minorHAnsi" w:hAnsiTheme="minorHAnsi"/>
          <w:sz w:val="22"/>
          <w:szCs w:val="22"/>
        </w:rPr>
        <w:t>Unfunded Vested Benefits are:</w:t>
      </w:r>
    </w:p>
    <w:p w14:paraId="6DFBF5C0" w14:textId="77777777" w:rsidR="00F57CFD" w:rsidRDefault="00C27376" w:rsidP="00877B4F">
      <w:pPr>
        <w:numPr>
          <w:ilvl w:val="2"/>
          <w:numId w:val="54"/>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sidR="00F57CFD">
        <w:rPr>
          <w:rFonts w:asciiTheme="minorHAnsi" w:hAnsiTheme="minorHAnsi"/>
          <w:sz w:val="22"/>
          <w:szCs w:val="22"/>
        </w:rPr>
        <w:t xml:space="preserve"> </w:t>
      </w:r>
      <w:r w:rsidR="00F57CFD" w:rsidRPr="001852AA">
        <w:rPr>
          <w:rFonts w:asciiTheme="minorHAnsi" w:hAnsiTheme="minorHAnsi"/>
          <w:sz w:val="22"/>
          <w:szCs w:val="22"/>
        </w:rPr>
        <w:t xml:space="preserve">as of January 1, </w:t>
      </w:r>
      <w:r w:rsidR="00AE348E">
        <w:rPr>
          <w:rFonts w:asciiTheme="minorHAnsi" w:hAnsiTheme="minorHAnsi"/>
          <w:sz w:val="22"/>
          <w:szCs w:val="22"/>
        </w:rPr>
        <w:t>2018</w:t>
      </w:r>
      <w:r w:rsidR="00F57CFD">
        <w:rPr>
          <w:rFonts w:asciiTheme="minorHAnsi" w:hAnsiTheme="minorHAnsi"/>
          <w:sz w:val="22"/>
          <w:szCs w:val="22"/>
        </w:rPr>
        <w:t>.  There is no</w:t>
      </w:r>
      <w:r w:rsidR="00F57CFD" w:rsidRPr="001852AA">
        <w:rPr>
          <w:rFonts w:asciiTheme="minorHAnsi" w:hAnsiTheme="minorHAnsi"/>
          <w:sz w:val="22"/>
          <w:szCs w:val="22"/>
        </w:rPr>
        <w:t xml:space="preserve"> adjustment for the assets and/or liabilities that are spun off later in the year</w:t>
      </w:r>
      <w:r w:rsidR="00F57CFD">
        <w:rPr>
          <w:rFonts w:asciiTheme="minorHAnsi" w:hAnsiTheme="minorHAnsi"/>
          <w:sz w:val="22"/>
          <w:szCs w:val="22"/>
        </w:rPr>
        <w:t>.</w:t>
      </w:r>
    </w:p>
    <w:p w14:paraId="760FCA8C" w14:textId="77777777" w:rsidR="00F57CFD" w:rsidRDefault="00F57CFD" w:rsidP="00877B4F">
      <w:pPr>
        <w:numPr>
          <w:ilvl w:val="2"/>
          <w:numId w:val="54"/>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AE348E">
        <w:rPr>
          <w:rFonts w:asciiTheme="minorHAnsi" w:hAnsiTheme="minorHAnsi"/>
          <w:sz w:val="22"/>
          <w:szCs w:val="22"/>
        </w:rPr>
        <w:t>2018</w:t>
      </w:r>
      <w:r>
        <w:rPr>
          <w:rFonts w:asciiTheme="minorHAnsi" w:hAnsiTheme="minorHAnsi"/>
          <w:sz w:val="22"/>
          <w:szCs w:val="22"/>
        </w:rPr>
        <w:t xml:space="preserve"> filing).</w:t>
      </w:r>
    </w:p>
    <w:p w14:paraId="56DA4A2E" w14:textId="77777777" w:rsidR="00B00E27" w:rsidRPr="00A174D6" w:rsidRDefault="00B00E27" w:rsidP="00B77922">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sidRPr="005B217E">
        <w:rPr>
          <w:rFonts w:asciiTheme="minorHAnsi" w:hAnsiTheme="minorHAnsi"/>
          <w:sz w:val="22"/>
          <w:szCs w:val="22"/>
        </w:rPr>
        <w:t xml:space="preserve">Plan B is </w:t>
      </w:r>
      <w:r w:rsidR="00A174D6" w:rsidRPr="005B217E">
        <w:rPr>
          <w:rFonts w:asciiTheme="minorHAnsi" w:hAnsiTheme="minorHAnsi"/>
          <w:sz w:val="22"/>
          <w:szCs w:val="22"/>
        </w:rPr>
        <w:t>subject to special rules because it is a New Plan</w:t>
      </w:r>
      <w:r w:rsidRPr="005B217E">
        <w:rPr>
          <w:rFonts w:asciiTheme="minorHAnsi" w:hAnsiTheme="minorHAnsi"/>
          <w:sz w:val="22"/>
          <w:szCs w:val="22"/>
        </w:rPr>
        <w:t xml:space="preserve">. </w:t>
      </w:r>
      <w:r w:rsidR="00A174D6" w:rsidRPr="005B217E">
        <w:rPr>
          <w:rFonts w:asciiTheme="minorHAnsi" w:hAnsiTheme="minorHAnsi"/>
          <w:sz w:val="22"/>
          <w:szCs w:val="22"/>
        </w:rPr>
        <w:t xml:space="preserve"> For example</w:t>
      </w:r>
      <w:r w:rsidRPr="00A174D6">
        <w:rPr>
          <w:rFonts w:asciiTheme="minorHAnsi" w:hAnsiTheme="minorHAnsi"/>
          <w:sz w:val="22"/>
          <w:szCs w:val="22"/>
        </w:rPr>
        <w:t>:</w:t>
      </w:r>
    </w:p>
    <w:p w14:paraId="0F5CA127" w14:textId="77777777" w:rsidR="00B00E27" w:rsidRPr="00295025" w:rsidRDefault="00B00E27" w:rsidP="00B77922">
      <w:pPr>
        <w:numPr>
          <w:ilvl w:val="1"/>
          <w:numId w:val="14"/>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AE348E">
        <w:rPr>
          <w:rFonts w:asciiTheme="minorHAnsi" w:hAnsiTheme="minorHAnsi"/>
          <w:sz w:val="22"/>
          <w:szCs w:val="22"/>
        </w:rPr>
        <w:t>2019</w:t>
      </w:r>
      <w:r>
        <w:rPr>
          <w:rFonts w:asciiTheme="minorHAnsi" w:hAnsiTheme="minorHAnsi"/>
          <w:sz w:val="22"/>
          <w:szCs w:val="22"/>
        </w:rPr>
        <w:t xml:space="preserve"> (i.e.,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AE348E">
        <w:rPr>
          <w:rFonts w:asciiTheme="minorHAnsi" w:hAnsiTheme="minorHAnsi"/>
          <w:sz w:val="22"/>
          <w:szCs w:val="22"/>
        </w:rPr>
        <w:t>2018</w:t>
      </w:r>
      <w:r>
        <w:rPr>
          <w:rFonts w:asciiTheme="minorHAnsi" w:hAnsiTheme="minorHAnsi"/>
          <w:sz w:val="22"/>
          <w:szCs w:val="22"/>
        </w:rPr>
        <w:t xml:space="preserve">).  </w:t>
      </w:r>
    </w:p>
    <w:p w14:paraId="6F9F11DB" w14:textId="77777777" w:rsidR="00B00E27" w:rsidRDefault="00B77922" w:rsidP="00B77922">
      <w:pPr>
        <w:numPr>
          <w:ilvl w:val="1"/>
          <w:numId w:val="14"/>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w:t>
      </w:r>
      <w:r w:rsidR="003014D1">
        <w:rPr>
          <w:rFonts w:asciiTheme="minorHAnsi" w:hAnsiTheme="minorHAnsi"/>
          <w:sz w:val="22"/>
          <w:szCs w:val="22"/>
        </w:rPr>
        <w:t>ased on the participant count on</w:t>
      </w:r>
      <w:r w:rsidR="00A174D6">
        <w:rPr>
          <w:rFonts w:asciiTheme="minorHAnsi" w:hAnsiTheme="minorHAnsi"/>
          <w:sz w:val="22"/>
          <w:szCs w:val="22"/>
        </w:rPr>
        <w:t xml:space="preserve"> </w:t>
      </w:r>
      <w:r w:rsidR="00B00E27" w:rsidRPr="00295025">
        <w:rPr>
          <w:rFonts w:asciiTheme="minorHAnsi" w:hAnsiTheme="minorHAnsi"/>
          <w:sz w:val="22"/>
          <w:szCs w:val="22"/>
        </w:rPr>
        <w:t xml:space="preserve">July 1, </w:t>
      </w:r>
      <w:r w:rsidR="00AE348E">
        <w:rPr>
          <w:rFonts w:asciiTheme="minorHAnsi" w:hAnsiTheme="minorHAnsi"/>
          <w:sz w:val="22"/>
          <w:szCs w:val="22"/>
        </w:rPr>
        <w:t>2018</w:t>
      </w:r>
      <w:r w:rsidR="00B00E27" w:rsidRPr="00295025">
        <w:rPr>
          <w:rFonts w:asciiTheme="minorHAnsi" w:hAnsiTheme="minorHAnsi"/>
          <w:sz w:val="22"/>
          <w:szCs w:val="22"/>
        </w:rPr>
        <w:t xml:space="preserve">. </w:t>
      </w:r>
      <w:r w:rsidR="00A174D6">
        <w:rPr>
          <w:rFonts w:asciiTheme="minorHAnsi" w:hAnsiTheme="minorHAnsi"/>
          <w:sz w:val="22"/>
          <w:szCs w:val="22"/>
        </w:rPr>
        <w:t xml:space="preserve"> </w:t>
      </w:r>
      <w:r w:rsidR="003014D1">
        <w:rPr>
          <w:rFonts w:asciiTheme="minorHAnsi" w:hAnsiTheme="minorHAnsi"/>
          <w:sz w:val="22"/>
          <w:szCs w:val="22"/>
        </w:rPr>
        <w:t>The fact that s</w:t>
      </w:r>
      <w:r w:rsidR="00B00E27" w:rsidRPr="00295025">
        <w:rPr>
          <w:rFonts w:asciiTheme="minorHAnsi" w:hAnsiTheme="minorHAnsi"/>
          <w:sz w:val="22"/>
          <w:szCs w:val="22"/>
        </w:rPr>
        <w:t xml:space="preserve">ome of these participants may have been included in the participant count for Plan A’s </w:t>
      </w:r>
      <w:r w:rsidR="00AE348E">
        <w:rPr>
          <w:rFonts w:asciiTheme="minorHAnsi" w:hAnsiTheme="minorHAnsi"/>
          <w:sz w:val="22"/>
          <w:szCs w:val="22"/>
        </w:rPr>
        <w:t>2018</w:t>
      </w:r>
      <w:r w:rsidR="00B00E27" w:rsidRPr="00295025">
        <w:rPr>
          <w:rFonts w:asciiTheme="minorHAnsi" w:hAnsiTheme="minorHAnsi"/>
          <w:sz w:val="22"/>
          <w:szCs w:val="22"/>
        </w:rPr>
        <w:t xml:space="preserve"> Flat-rate premium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 xml:space="preserve">.  </w:t>
      </w:r>
    </w:p>
    <w:p w14:paraId="447D03B5" w14:textId="77777777" w:rsidR="003014D1" w:rsidRDefault="00B00E27" w:rsidP="00B77922">
      <w:pPr>
        <w:numPr>
          <w:ilvl w:val="1"/>
          <w:numId w:val="14"/>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3014D1">
        <w:rPr>
          <w:rFonts w:asciiTheme="minorHAnsi" w:hAnsiTheme="minorHAnsi"/>
          <w:sz w:val="22"/>
          <w:szCs w:val="22"/>
        </w:rPr>
        <w:t>Unfunded Vested Benefits are:</w:t>
      </w:r>
    </w:p>
    <w:p w14:paraId="0B04080E" w14:textId="77777777" w:rsidR="00B00E27" w:rsidRDefault="00DC11E2" w:rsidP="00877B4F">
      <w:pPr>
        <w:numPr>
          <w:ilvl w:val="2"/>
          <w:numId w:val="53"/>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00B00E27"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14:paraId="34B5B7A2" w14:textId="77777777" w:rsidR="003014D1" w:rsidRDefault="003014D1" w:rsidP="00877B4F">
      <w:pPr>
        <w:numPr>
          <w:ilvl w:val="2"/>
          <w:numId w:val="53"/>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AE348E">
        <w:rPr>
          <w:rFonts w:asciiTheme="minorHAnsi" w:hAnsiTheme="minorHAnsi"/>
          <w:sz w:val="22"/>
          <w:szCs w:val="22"/>
        </w:rPr>
        <w:t>2018</w:t>
      </w:r>
      <w:r>
        <w:rPr>
          <w:rFonts w:asciiTheme="minorHAnsi" w:hAnsiTheme="minorHAnsi"/>
          <w:sz w:val="22"/>
          <w:szCs w:val="22"/>
        </w:rPr>
        <w:t xml:space="preserve"> filing).</w:t>
      </w:r>
    </w:p>
    <w:p w14:paraId="3A52A4AF" w14:textId="77777777" w:rsidR="00E92BE2" w:rsidRDefault="00E92BE2">
      <w:pPr>
        <w:rPr>
          <w:rFonts w:asciiTheme="minorHAnsi" w:hAnsiTheme="minorHAnsi"/>
          <w:sz w:val="22"/>
          <w:szCs w:val="22"/>
        </w:rPr>
      </w:pPr>
      <w:r>
        <w:rPr>
          <w:rFonts w:asciiTheme="minorHAnsi" w:hAnsiTheme="minorHAnsi"/>
          <w:sz w:val="22"/>
          <w:szCs w:val="22"/>
        </w:rPr>
        <w:br w:type="page"/>
      </w:r>
    </w:p>
    <w:p w14:paraId="0F849775" w14:textId="77777777" w:rsidR="00D25C6A" w:rsidRDefault="00A174D6" w:rsidP="00B77922">
      <w:pPr>
        <w:numPr>
          <w:ilvl w:val="1"/>
          <w:numId w:val="14"/>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short plan year and the plan was created as the result of a Spinoff, the </w:t>
      </w:r>
      <w:r w:rsidR="00AE348E">
        <w:rPr>
          <w:rFonts w:asciiTheme="minorHAnsi" w:hAnsiTheme="minorHAnsi"/>
          <w:sz w:val="22"/>
          <w:szCs w:val="22"/>
        </w:rPr>
        <w:t>2018</w:t>
      </w:r>
      <w:r w:rsidR="003014D1">
        <w:rPr>
          <w:rFonts w:asciiTheme="minorHAnsi" w:hAnsiTheme="minorHAnsi"/>
          <w:sz w:val="22"/>
          <w:szCs w:val="22"/>
        </w:rPr>
        <w:t xml:space="preserve"> premium is prorated.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3014D1">
        <w:rPr>
          <w:rFonts w:asciiTheme="minorHAnsi" w:hAnsiTheme="minorHAnsi"/>
          <w:sz w:val="22"/>
          <w:szCs w:val="22"/>
        </w:rPr>
        <w:t xml:space="preserve">short </w:t>
      </w:r>
      <w:r w:rsidRPr="00295025">
        <w:rPr>
          <w:rFonts w:asciiTheme="minorHAnsi" w:hAnsiTheme="minorHAnsi"/>
          <w:sz w:val="22"/>
          <w:szCs w:val="22"/>
        </w:rPr>
        <w:t>plan year</w:t>
      </w:r>
      <w:r w:rsidR="003014D1">
        <w:rPr>
          <w:rFonts w:asciiTheme="minorHAnsi" w:hAnsiTheme="minorHAnsi"/>
          <w:sz w:val="22"/>
          <w:szCs w:val="22"/>
        </w:rPr>
        <w:t xml:space="preserve"> </w:t>
      </w:r>
      <w:r w:rsidR="003014D1" w:rsidRPr="00295025">
        <w:rPr>
          <w:rFonts w:asciiTheme="minorHAnsi" w:hAnsiTheme="minorHAnsi"/>
          <w:sz w:val="22"/>
          <w:szCs w:val="22"/>
        </w:rPr>
        <w:t xml:space="preserve">(July 1, </w:t>
      </w:r>
      <w:r w:rsidR="00AE348E">
        <w:rPr>
          <w:rFonts w:asciiTheme="minorHAnsi" w:hAnsiTheme="minorHAnsi"/>
          <w:sz w:val="22"/>
          <w:szCs w:val="22"/>
        </w:rPr>
        <w:t>2018</w:t>
      </w:r>
      <w:r w:rsidR="003014D1" w:rsidRPr="00295025">
        <w:rPr>
          <w:rFonts w:asciiTheme="minorHAnsi" w:hAnsiTheme="minorHAnsi"/>
          <w:sz w:val="22"/>
          <w:szCs w:val="22"/>
        </w:rPr>
        <w:t xml:space="preserve"> – December</w:t>
      </w:r>
      <w:r w:rsidR="003014D1">
        <w:rPr>
          <w:rFonts w:asciiTheme="minorHAnsi" w:hAnsiTheme="minorHAnsi"/>
          <w:sz w:val="22"/>
          <w:szCs w:val="22"/>
        </w:rPr>
        <w:t xml:space="preserve"> </w:t>
      </w:r>
      <w:r w:rsidR="003014D1" w:rsidRPr="00295025">
        <w:rPr>
          <w:rFonts w:asciiTheme="minorHAnsi" w:hAnsiTheme="minorHAnsi"/>
          <w:sz w:val="22"/>
          <w:szCs w:val="22"/>
        </w:rPr>
        <w:t xml:space="preserve">31, </w:t>
      </w:r>
      <w:r w:rsidR="00AE348E">
        <w:rPr>
          <w:rFonts w:asciiTheme="minorHAnsi" w:hAnsiTheme="minorHAnsi"/>
          <w:sz w:val="22"/>
          <w:szCs w:val="22"/>
        </w:rPr>
        <w:t>2018</w:t>
      </w:r>
      <w:r w:rsidR="003014D1" w:rsidRPr="00295025">
        <w:rPr>
          <w:rFonts w:asciiTheme="minorHAnsi" w:hAnsiTheme="minorHAnsi"/>
          <w:sz w:val="22"/>
          <w:szCs w:val="22"/>
        </w:rPr>
        <w:t>)</w:t>
      </w:r>
      <w:r w:rsidRPr="00295025">
        <w:rPr>
          <w:rFonts w:asciiTheme="minorHAnsi" w:hAnsiTheme="minorHAnsi"/>
          <w:sz w:val="22"/>
          <w:szCs w:val="22"/>
        </w:rPr>
        <w:t xml:space="preserve">, </w:t>
      </w:r>
      <w:r w:rsidR="00B77922">
        <w:rPr>
          <w:rFonts w:asciiTheme="minorHAnsi" w:hAnsiTheme="minorHAnsi"/>
          <w:sz w:val="22"/>
          <w:szCs w:val="22"/>
        </w:rPr>
        <w:t xml:space="preserve">so </w:t>
      </w:r>
      <w:r w:rsidRPr="00295025">
        <w:rPr>
          <w:rFonts w:asciiTheme="minorHAnsi" w:hAnsiTheme="minorHAnsi"/>
          <w:sz w:val="22"/>
          <w:szCs w:val="22"/>
        </w:rPr>
        <w:t xml:space="preserve">the plan owes 50% (i.e., 6/12) of the otherwise determined premium. </w:t>
      </w:r>
      <w:r w:rsidR="00D25C6A">
        <w:rPr>
          <w:rFonts w:asciiTheme="minorHAnsi" w:hAnsiTheme="minorHAnsi"/>
          <w:sz w:val="22"/>
          <w:szCs w:val="22"/>
        </w:rPr>
        <w:t xml:space="preserve"> </w:t>
      </w:r>
      <w:r w:rsidRPr="00295025">
        <w:rPr>
          <w:rFonts w:asciiTheme="minorHAnsi" w:hAnsiTheme="minorHAnsi"/>
          <w:sz w:val="22"/>
          <w:szCs w:val="22"/>
        </w:rPr>
        <w:t xml:space="preserve">Note that for proration purposes, a partial month is treated as a full month. So, </w:t>
      </w:r>
      <w:r w:rsidR="00B71346">
        <w:rPr>
          <w:rFonts w:asciiTheme="minorHAnsi" w:hAnsiTheme="minorHAnsi"/>
          <w:sz w:val="22"/>
          <w:szCs w:val="22"/>
        </w:rPr>
        <w:t>had</w:t>
      </w:r>
      <w:r w:rsidRPr="00295025">
        <w:rPr>
          <w:rFonts w:asciiTheme="minorHAnsi" w:hAnsiTheme="minorHAnsi"/>
          <w:sz w:val="22"/>
          <w:szCs w:val="22"/>
        </w:rPr>
        <w:t xml:space="preserve"> the </w:t>
      </w:r>
      <w:r w:rsidR="007A17D5">
        <w:rPr>
          <w:rFonts w:asciiTheme="minorHAnsi" w:hAnsiTheme="minorHAnsi"/>
          <w:sz w:val="22"/>
          <w:szCs w:val="22"/>
        </w:rPr>
        <w:t>S</w:t>
      </w:r>
      <w:r w:rsidRPr="00295025">
        <w:rPr>
          <w:rFonts w:asciiTheme="minorHAnsi" w:hAnsiTheme="minorHAnsi"/>
          <w:sz w:val="22"/>
          <w:szCs w:val="22"/>
        </w:rPr>
        <w:t>pinoff had occurred on July 2</w:t>
      </w:r>
      <w:r w:rsidR="00D25C6A">
        <w:rPr>
          <w:rFonts w:asciiTheme="minorHAnsi" w:hAnsiTheme="minorHAnsi"/>
          <w:sz w:val="22"/>
          <w:szCs w:val="22"/>
        </w:rPr>
        <w:t>5th instead of July 1st, the result would be the same.</w:t>
      </w:r>
    </w:p>
    <w:p w14:paraId="6CB31AB9" w14:textId="77777777" w:rsidR="00B71346" w:rsidRPr="001B1049" w:rsidRDefault="00B71346" w:rsidP="00B71346">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Reporting on Comprehensive Premium Filing —</w:t>
      </w:r>
      <w:r w:rsidR="00F57CFD">
        <w:rPr>
          <w:rFonts w:asciiTheme="minorHAnsi" w:hAnsiTheme="minorHAnsi"/>
          <w:sz w:val="22"/>
          <w:szCs w:val="22"/>
        </w:rPr>
        <w:t xml:space="preserve">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in </w:t>
      </w:r>
      <w:r w:rsidR="00133D57">
        <w:rPr>
          <w:rFonts w:asciiTheme="minorHAnsi" w:hAnsiTheme="minorHAnsi"/>
          <w:sz w:val="22"/>
          <w:szCs w:val="22"/>
        </w:rPr>
        <w:t>the “T</w:t>
      </w:r>
      <w:r w:rsidRPr="001B1049">
        <w:rPr>
          <w:rFonts w:asciiTheme="minorHAnsi" w:hAnsiTheme="minorHAnsi"/>
          <w:sz w:val="22"/>
          <w:szCs w:val="22"/>
        </w:rPr>
        <w:t>ransfers to other plans</w:t>
      </w:r>
      <w:r w:rsidR="00133D57">
        <w:rPr>
          <w:rFonts w:asciiTheme="minorHAnsi" w:hAnsiTheme="minorHAnsi"/>
          <w:sz w:val="22"/>
          <w:szCs w:val="22"/>
        </w:rPr>
        <w:t>” item</w:t>
      </w:r>
      <w:r w:rsidRPr="001B1049">
        <w:rPr>
          <w:rFonts w:asciiTheme="minorHAnsi" w:hAnsiTheme="minorHAnsi"/>
          <w:sz w:val="22"/>
          <w:szCs w:val="22"/>
        </w:rPr>
        <w:t xml:space="preserve">. Plan B </w:t>
      </w:r>
      <w:r w:rsidR="00EF4211" w:rsidRPr="001B1049">
        <w:rPr>
          <w:rFonts w:asciiTheme="minorHAnsi" w:hAnsiTheme="minorHAnsi"/>
          <w:sz w:val="22"/>
          <w:szCs w:val="22"/>
        </w:rPr>
        <w:t xml:space="preserve">reports the </w:t>
      </w:r>
      <w:r w:rsidR="00EF4211">
        <w:rPr>
          <w:rFonts w:asciiTheme="minorHAnsi" w:hAnsiTheme="minorHAnsi"/>
          <w:sz w:val="22"/>
          <w:szCs w:val="22"/>
        </w:rPr>
        <w:t>S</w:t>
      </w:r>
      <w:r w:rsidR="00EF4211" w:rsidRPr="001B1049">
        <w:rPr>
          <w:rFonts w:asciiTheme="minorHAnsi" w:hAnsiTheme="minorHAnsi"/>
          <w:sz w:val="22"/>
          <w:szCs w:val="22"/>
        </w:rPr>
        <w:t xml:space="preserve">pinoff in </w:t>
      </w:r>
      <w:r w:rsidR="00EF4211">
        <w:rPr>
          <w:rFonts w:asciiTheme="minorHAnsi" w:hAnsiTheme="minorHAnsi"/>
          <w:sz w:val="22"/>
          <w:szCs w:val="22"/>
        </w:rPr>
        <w:t>the “T</w:t>
      </w:r>
      <w:r w:rsidR="00EF4211" w:rsidRPr="001B1049">
        <w:rPr>
          <w:rFonts w:asciiTheme="minorHAnsi" w:hAnsiTheme="minorHAnsi"/>
          <w:sz w:val="22"/>
          <w:szCs w:val="22"/>
        </w:rPr>
        <w:t xml:space="preserve">ransfers </w:t>
      </w:r>
      <w:r w:rsidR="00EF4211">
        <w:rPr>
          <w:rFonts w:asciiTheme="minorHAnsi" w:hAnsiTheme="minorHAnsi"/>
          <w:sz w:val="22"/>
          <w:szCs w:val="22"/>
        </w:rPr>
        <w:t>from</w:t>
      </w:r>
      <w:r w:rsidR="00EF4211" w:rsidRPr="001B1049">
        <w:rPr>
          <w:rFonts w:asciiTheme="minorHAnsi" w:hAnsiTheme="minorHAnsi"/>
          <w:sz w:val="22"/>
          <w:szCs w:val="22"/>
        </w:rPr>
        <w:t xml:space="preserve"> other plans</w:t>
      </w:r>
      <w:r w:rsidR="00EF4211">
        <w:rPr>
          <w:rFonts w:asciiTheme="minorHAnsi" w:hAnsiTheme="minorHAnsi"/>
          <w:sz w:val="22"/>
          <w:szCs w:val="22"/>
        </w:rPr>
        <w:t>” item</w:t>
      </w:r>
      <w:r w:rsidR="00EF4211" w:rsidRPr="001B1049">
        <w:rPr>
          <w:rFonts w:asciiTheme="minorHAnsi" w:hAnsiTheme="minorHAnsi"/>
          <w:sz w:val="22"/>
          <w:szCs w:val="22"/>
        </w:rPr>
        <w:t>.</w:t>
      </w:r>
    </w:p>
    <w:p w14:paraId="2E152664" w14:textId="77777777" w:rsidR="00114AA2" w:rsidRDefault="00114AA2" w:rsidP="005B4DF6">
      <w:pPr>
        <w:spacing w:before="120"/>
        <w:rPr>
          <w:rFonts w:asciiTheme="minorHAnsi" w:eastAsia="Times New Roman" w:hAnsiTheme="minorHAnsi" w:cs="Arial"/>
          <w:i/>
          <w:sz w:val="22"/>
          <w:szCs w:val="22"/>
          <w:lang w:eastAsia="en-US"/>
        </w:rPr>
      </w:pPr>
    </w:p>
    <w:p w14:paraId="7C6E957A" w14:textId="77777777" w:rsidR="005B4DF6" w:rsidRDefault="005B4DF6" w:rsidP="005B4DF6">
      <w:pPr>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sidR="00C04D2D">
        <w:rPr>
          <w:rFonts w:asciiTheme="minorHAnsi" w:eastAsia="Times New Roman" w:hAnsiTheme="minorHAnsi" w:cs="Arial"/>
          <w:i/>
          <w:sz w:val="22"/>
          <w:szCs w:val="22"/>
          <w:lang w:eastAsia="en-US"/>
        </w:rPr>
        <w:t>3</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(Mid-year </w:t>
      </w:r>
      <w:r w:rsidRPr="00A03730">
        <w:rPr>
          <w:rFonts w:asciiTheme="minorHAnsi" w:eastAsia="Times New Roman" w:hAnsiTheme="minorHAnsi" w:cs="Arial"/>
          <w:i/>
          <w:sz w:val="22"/>
          <w:szCs w:val="22"/>
          <w:lang w:eastAsia="en-US"/>
        </w:rPr>
        <w:t>Spinoff</w:t>
      </w:r>
      <w:r>
        <w:rPr>
          <w:rFonts w:asciiTheme="minorHAnsi" w:eastAsia="Times New Roman" w:hAnsiTheme="minorHAnsi" w:cs="Arial"/>
          <w:i/>
          <w:sz w:val="22"/>
          <w:szCs w:val="22"/>
          <w:lang w:eastAsia="en-US"/>
        </w:rPr>
        <w:t xml:space="preserve"> to a pre-existing plan) </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 xml:space="preserve">calendar year plans. Both plans made an election in </w:t>
      </w:r>
      <w:r w:rsidR="00AE348E">
        <w:rPr>
          <w:rFonts w:asciiTheme="minorHAnsi" w:hAnsiTheme="minorHAnsi" w:cs="Calibri"/>
          <w:sz w:val="22"/>
          <w:szCs w:val="22"/>
        </w:rPr>
        <w:t>2015</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 xml:space="preserve">that is still in effect.  On July 1, </w:t>
      </w:r>
      <w:r w:rsidR="00AE348E">
        <w:rPr>
          <w:rFonts w:asciiTheme="minorHAnsi" w:hAnsiTheme="minorHAnsi" w:cs="Calibri"/>
          <w:sz w:val="22"/>
          <w:szCs w:val="22"/>
        </w:rPr>
        <w:t>2018</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participants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 xml:space="preserve">. </w:t>
      </w:r>
      <w:r>
        <w:rPr>
          <w:rFonts w:asciiTheme="minorHAnsi" w:hAnsiTheme="minorHAnsi" w:cs="Calibri"/>
          <w:sz w:val="22"/>
          <w:szCs w:val="22"/>
        </w:rPr>
        <w:t xml:space="preserve"> </w:t>
      </w:r>
    </w:p>
    <w:p w14:paraId="396970A4" w14:textId="77777777" w:rsidR="00C04D2D" w:rsidRDefault="0073280D" w:rsidP="0073280D">
      <w:pPr>
        <w:tabs>
          <w:tab w:val="num" w:pos="540"/>
        </w:tabs>
        <w:spacing w:before="120"/>
        <w:rPr>
          <w:rFonts w:asciiTheme="minorHAnsi" w:hAnsiTheme="minorHAnsi"/>
          <w:sz w:val="22"/>
          <w:szCs w:val="22"/>
        </w:rPr>
      </w:pPr>
      <w:r>
        <w:rPr>
          <w:rFonts w:asciiTheme="minorHAnsi" w:hAnsiTheme="minorHAnsi" w:cs="Calibr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AE348E">
        <w:rPr>
          <w:rFonts w:asciiTheme="minorHAnsi" w:hAnsiTheme="minorHAnsi"/>
          <w:sz w:val="22"/>
          <w:szCs w:val="22"/>
        </w:rPr>
        <w:t>2018</w:t>
      </w:r>
      <w:r w:rsidR="00945DC0">
        <w:rPr>
          <w:rFonts w:asciiTheme="minorHAnsi" w:hAnsiTheme="minorHAnsi"/>
          <w:sz w:val="22"/>
          <w:szCs w:val="22"/>
        </w:rPr>
        <w:t xml:space="preserve"> plan year of </w:t>
      </w:r>
      <w:r w:rsidR="005B4DF6">
        <w:rPr>
          <w:rFonts w:asciiTheme="minorHAnsi" w:hAnsiTheme="minorHAnsi"/>
          <w:sz w:val="22"/>
          <w:szCs w:val="22"/>
        </w:rPr>
        <w:t xml:space="preserve">either plan.  </w:t>
      </w:r>
      <w:r w:rsidR="00C04D2D" w:rsidRPr="001B1049">
        <w:rPr>
          <w:rFonts w:asciiTheme="minorHAnsi" w:hAnsiTheme="minorHAnsi"/>
          <w:sz w:val="22"/>
          <w:szCs w:val="22"/>
        </w:rPr>
        <w:t xml:space="preserve">Plan A reports the </w:t>
      </w:r>
      <w:r w:rsidR="00C04D2D">
        <w:rPr>
          <w:rFonts w:asciiTheme="minorHAnsi" w:hAnsiTheme="minorHAnsi"/>
          <w:sz w:val="22"/>
          <w:szCs w:val="22"/>
        </w:rPr>
        <w:t>S</w:t>
      </w:r>
      <w:r w:rsidR="00C04D2D" w:rsidRPr="001B1049">
        <w:rPr>
          <w:rFonts w:asciiTheme="minorHAnsi" w:hAnsiTheme="minorHAnsi"/>
          <w:sz w:val="22"/>
          <w:szCs w:val="22"/>
        </w:rPr>
        <w:t xml:space="preserve">pinoff </w:t>
      </w:r>
      <w:r w:rsidR="00C04D2D">
        <w:rPr>
          <w:rFonts w:asciiTheme="minorHAnsi" w:hAnsiTheme="minorHAnsi"/>
          <w:sz w:val="22"/>
          <w:szCs w:val="22"/>
        </w:rPr>
        <w:t>in the “Tr</w:t>
      </w:r>
      <w:r w:rsidR="00C04D2D" w:rsidRPr="001B1049">
        <w:rPr>
          <w:rFonts w:asciiTheme="minorHAnsi" w:hAnsiTheme="minorHAnsi"/>
          <w:sz w:val="22"/>
          <w:szCs w:val="22"/>
        </w:rPr>
        <w:t xml:space="preserve">ansfers </w:t>
      </w:r>
      <w:r w:rsidR="00C04D2D" w:rsidRPr="00133D57">
        <w:rPr>
          <w:rFonts w:asciiTheme="minorHAnsi" w:hAnsiTheme="minorHAnsi"/>
          <w:sz w:val="22"/>
          <w:szCs w:val="22"/>
          <w:u w:val="single"/>
        </w:rPr>
        <w:t>to</w:t>
      </w:r>
      <w:r w:rsidR="00C04D2D" w:rsidRPr="001B1049">
        <w:rPr>
          <w:rFonts w:asciiTheme="minorHAnsi" w:hAnsiTheme="minorHAnsi"/>
          <w:sz w:val="22"/>
          <w:szCs w:val="22"/>
        </w:rPr>
        <w:t xml:space="preserve"> other plans</w:t>
      </w:r>
      <w:r w:rsidR="00C04D2D">
        <w:rPr>
          <w:rFonts w:asciiTheme="minorHAnsi" w:hAnsiTheme="minorHAnsi"/>
          <w:sz w:val="22"/>
          <w:szCs w:val="22"/>
        </w:rPr>
        <w:t xml:space="preserve">” item and </w:t>
      </w:r>
      <w:r w:rsidR="00C04D2D" w:rsidRPr="001B1049">
        <w:rPr>
          <w:rFonts w:asciiTheme="minorHAnsi" w:hAnsiTheme="minorHAnsi"/>
          <w:sz w:val="22"/>
          <w:szCs w:val="22"/>
        </w:rPr>
        <w:t xml:space="preserve">Plan B reports the </w:t>
      </w:r>
      <w:r w:rsidR="007A17D5">
        <w:rPr>
          <w:rFonts w:asciiTheme="minorHAnsi" w:hAnsiTheme="minorHAnsi"/>
          <w:sz w:val="22"/>
          <w:szCs w:val="22"/>
        </w:rPr>
        <w:t>S</w:t>
      </w:r>
      <w:r w:rsidR="00C04D2D" w:rsidRPr="001B1049">
        <w:rPr>
          <w:rFonts w:asciiTheme="minorHAnsi" w:hAnsiTheme="minorHAnsi"/>
          <w:sz w:val="22"/>
          <w:szCs w:val="22"/>
        </w:rPr>
        <w:t xml:space="preserve">pinoff in </w:t>
      </w:r>
      <w:r w:rsidR="00C04D2D">
        <w:rPr>
          <w:rFonts w:asciiTheme="minorHAnsi" w:hAnsiTheme="minorHAnsi"/>
          <w:sz w:val="22"/>
          <w:szCs w:val="22"/>
        </w:rPr>
        <w:t>the “Tra</w:t>
      </w:r>
      <w:r w:rsidR="00C04D2D" w:rsidRPr="001B1049">
        <w:rPr>
          <w:rFonts w:asciiTheme="minorHAnsi" w:hAnsiTheme="minorHAnsi"/>
          <w:sz w:val="22"/>
          <w:szCs w:val="22"/>
        </w:rPr>
        <w:t xml:space="preserve">nsfers </w:t>
      </w:r>
      <w:r w:rsidR="00C04D2D" w:rsidRPr="00133D57">
        <w:rPr>
          <w:rFonts w:asciiTheme="minorHAnsi" w:hAnsiTheme="minorHAnsi"/>
          <w:sz w:val="22"/>
          <w:szCs w:val="22"/>
          <w:u w:val="single"/>
        </w:rPr>
        <w:t>from</w:t>
      </w:r>
      <w:r w:rsidR="00C04D2D" w:rsidRPr="001B1049">
        <w:rPr>
          <w:rFonts w:asciiTheme="minorHAnsi" w:hAnsiTheme="minorHAnsi"/>
          <w:sz w:val="22"/>
          <w:szCs w:val="22"/>
        </w:rPr>
        <w:t xml:space="preserve"> other plans</w:t>
      </w:r>
      <w:r w:rsidR="00C04D2D">
        <w:rPr>
          <w:rFonts w:asciiTheme="minorHAnsi" w:hAnsiTheme="minorHAnsi"/>
          <w:sz w:val="22"/>
          <w:szCs w:val="22"/>
        </w:rPr>
        <w:t>” item.</w:t>
      </w:r>
    </w:p>
    <w:p w14:paraId="1D131F38" w14:textId="77777777" w:rsidR="007260B3" w:rsidRDefault="007260B3" w:rsidP="003C6CA0">
      <w:pPr>
        <w:tabs>
          <w:tab w:val="num" w:pos="450"/>
        </w:tabs>
        <w:spacing w:before="120"/>
        <w:rPr>
          <w:rFonts w:asciiTheme="minorHAnsi" w:eastAsia="Times New Roman" w:hAnsiTheme="minorHAnsi" w:cs="Arial"/>
          <w:i/>
          <w:sz w:val="22"/>
          <w:szCs w:val="22"/>
          <w:lang w:eastAsia="en-US"/>
        </w:rPr>
      </w:pPr>
    </w:p>
    <w:p w14:paraId="01A16071" w14:textId="77777777" w:rsidR="00C42D45" w:rsidRDefault="003C6CA0" w:rsidP="003C6CA0">
      <w:pPr>
        <w:tabs>
          <w:tab w:val="num" w:pos="450"/>
        </w:tabs>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Pr>
          <w:rFonts w:asciiTheme="minorHAnsi" w:eastAsia="Times New Roman" w:hAnsiTheme="minorHAnsi" w:cs="Arial"/>
          <w:i/>
          <w:sz w:val="22"/>
          <w:szCs w:val="22"/>
          <w:lang w:eastAsia="en-US"/>
        </w:rPr>
        <w:t>4</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(Beginning of year Merger) </w:t>
      </w:r>
      <w:r w:rsidR="0034194C">
        <w:rPr>
          <w:rFonts w:asciiTheme="minorHAnsi" w:hAnsiTheme="minorHAnsi"/>
          <w:sz w:val="22"/>
          <w:szCs w:val="22"/>
        </w:rPr>
        <w:t xml:space="preserve">— </w:t>
      </w:r>
      <w:r>
        <w:rPr>
          <w:rFonts w:asciiTheme="minorHAnsi" w:hAnsiTheme="minorHAnsi" w:cs="Calibri"/>
          <w:sz w:val="22"/>
          <w:szCs w:val="22"/>
        </w:rPr>
        <w:t xml:space="preserve">Plans A and B are both calendar year plans.  </w:t>
      </w:r>
      <w:r w:rsidR="00C42D45">
        <w:rPr>
          <w:rFonts w:asciiTheme="minorHAnsi" w:hAnsiTheme="minorHAnsi" w:cs="Calibri"/>
          <w:sz w:val="22"/>
          <w:szCs w:val="22"/>
        </w:rPr>
        <w:t xml:space="preserve">On January 1, </w:t>
      </w:r>
      <w:r w:rsidR="00AE348E">
        <w:rPr>
          <w:rFonts w:asciiTheme="minorHAnsi" w:hAnsiTheme="minorHAnsi" w:cs="Calibri"/>
          <w:sz w:val="22"/>
          <w:szCs w:val="22"/>
        </w:rPr>
        <w:t>2018</w:t>
      </w:r>
      <w:r w:rsidR="00C42D45">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 xml:space="preserve">. </w:t>
      </w:r>
      <w:r w:rsidR="00073A44">
        <w:rPr>
          <w:rFonts w:asciiTheme="minorHAnsi" w:hAnsiTheme="minorHAnsi" w:cs="Calibri"/>
          <w:sz w:val="22"/>
          <w:szCs w:val="22"/>
        </w:rPr>
        <w:t xml:space="preserve"> The merger is not </w:t>
      </w:r>
      <w:r w:rsidR="00073A44" w:rsidRPr="00073A44">
        <w:rPr>
          <w:rFonts w:asciiTheme="minorHAnsi" w:hAnsiTheme="minorHAnsi" w:cs="Calibri"/>
          <w:i/>
          <w:sz w:val="22"/>
          <w:szCs w:val="22"/>
        </w:rPr>
        <w:t>de</w:t>
      </w:r>
      <w:r w:rsidR="00073A44">
        <w:rPr>
          <w:rFonts w:asciiTheme="minorHAnsi" w:hAnsiTheme="minorHAnsi" w:cs="Calibri"/>
          <w:i/>
          <w:sz w:val="22"/>
          <w:szCs w:val="22"/>
        </w:rPr>
        <w:t> </w:t>
      </w:r>
      <w:r w:rsidR="00073A44" w:rsidRPr="00073A44">
        <w:rPr>
          <w:rFonts w:asciiTheme="minorHAnsi" w:hAnsiTheme="minorHAnsi" w:cs="Calibri"/>
          <w:i/>
          <w:sz w:val="22"/>
          <w:szCs w:val="22"/>
        </w:rPr>
        <w:t>minimis.</w:t>
      </w:r>
    </w:p>
    <w:p w14:paraId="26FD9243" w14:textId="77777777" w:rsidR="00000F82" w:rsidRDefault="00000F82" w:rsidP="003C6CA0">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AE348E">
        <w:rPr>
          <w:rFonts w:asciiTheme="minorHAnsi" w:hAnsiTheme="minorHAnsi" w:cs="Calibri"/>
          <w:sz w:val="22"/>
          <w:szCs w:val="22"/>
        </w:rPr>
        <w:t>2018</w:t>
      </w:r>
      <w:r>
        <w:rPr>
          <w:rFonts w:asciiTheme="minorHAnsi" w:hAnsiTheme="minorHAnsi" w:cs="Calibri"/>
          <w:sz w:val="22"/>
          <w:szCs w:val="22"/>
        </w:rPr>
        <w:t xml:space="preserve"> premiums is as follows</w:t>
      </w:r>
      <w:r w:rsidR="00C42D45">
        <w:rPr>
          <w:rFonts w:asciiTheme="minorHAnsi" w:hAnsiTheme="minorHAnsi" w:cs="Calibri"/>
          <w:sz w:val="22"/>
          <w:szCs w:val="22"/>
        </w:rPr>
        <w:t>:</w:t>
      </w:r>
    </w:p>
    <w:p w14:paraId="68E0EB8E" w14:textId="77777777" w:rsidR="00E80F23" w:rsidRDefault="00073A44" w:rsidP="00E80F23">
      <w:pPr>
        <w:numPr>
          <w:ilvl w:val="0"/>
          <w:numId w:val="14"/>
        </w:numPr>
        <w:tabs>
          <w:tab w:val="clear" w:pos="720"/>
          <w:tab w:val="num" w:pos="450"/>
          <w:tab w:val="num" w:pos="540"/>
        </w:tabs>
        <w:autoSpaceDE w:val="0"/>
        <w:autoSpaceDN w:val="0"/>
        <w:adjustRightInd w:val="0"/>
        <w:spacing w:before="120"/>
        <w:ind w:left="36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 xml:space="preserve">(1) was non </w:t>
      </w:r>
      <w:r w:rsidRPr="00073A44">
        <w:rPr>
          <w:rFonts w:asciiTheme="minorHAnsi" w:hAnsiTheme="minorHAnsi" w:cs="Calibri"/>
          <w:i/>
          <w:sz w:val="22"/>
          <w:szCs w:val="22"/>
        </w:rPr>
        <w:t>de minimis</w:t>
      </w:r>
      <w:r>
        <w:rPr>
          <w:rFonts w:asciiTheme="minorHAnsi" w:hAnsiTheme="minorHAnsi" w:cs="Calibri"/>
          <w:sz w:val="22"/>
          <w:szCs w:val="22"/>
        </w:rPr>
        <w:t xml:space="preserve"> and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0073280D" w:rsidRPr="0024600C">
        <w:rPr>
          <w:rFonts w:asciiTheme="minorHAnsi" w:hAnsiTheme="minorHAnsi" w:cs="Calibri"/>
          <w:sz w:val="22"/>
          <w:szCs w:val="22"/>
        </w:rPr>
        <w:t xml:space="preserve">Plan A’s </w:t>
      </w:r>
      <w:r w:rsidR="00AE348E">
        <w:rPr>
          <w:rFonts w:asciiTheme="minorHAnsi" w:hAnsiTheme="minorHAnsi" w:cs="Calibri"/>
          <w:sz w:val="22"/>
          <w:szCs w:val="22"/>
        </w:rPr>
        <w:t>2018</w:t>
      </w:r>
      <w:r w:rsidR="0073280D" w:rsidRPr="0024600C">
        <w:rPr>
          <w:rFonts w:asciiTheme="minorHAnsi" w:hAnsiTheme="minorHAnsi" w:cs="Calibri"/>
          <w:sz w:val="22"/>
          <w:szCs w:val="22"/>
        </w:rPr>
        <w:t xml:space="preserve"> flat-rate Premium is based on the participant count on the first day of the plan year (January 1, </w:t>
      </w:r>
      <w:r w:rsidR="00AE348E">
        <w:rPr>
          <w:rFonts w:asciiTheme="minorHAnsi" w:hAnsiTheme="minorHAnsi" w:cs="Calibri"/>
          <w:sz w:val="22"/>
          <w:szCs w:val="22"/>
        </w:rPr>
        <w:t>2018</w:t>
      </w:r>
      <w:r w:rsidR="0073280D" w:rsidRPr="0024600C">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AE348E">
        <w:rPr>
          <w:rFonts w:asciiTheme="minorHAnsi" w:hAnsiTheme="minorHAnsi" w:cs="Calibri"/>
          <w:sz w:val="22"/>
          <w:szCs w:val="22"/>
        </w:rPr>
        <w:t>2017</w:t>
      </w:r>
      <w:r w:rsidR="0073280D">
        <w:rPr>
          <w:rFonts w:asciiTheme="minorHAnsi" w:hAnsiTheme="minorHAnsi" w:cs="Calibri"/>
          <w:sz w:val="22"/>
          <w:szCs w:val="22"/>
        </w:rPr>
        <w:t>)</w:t>
      </w:r>
      <w:r>
        <w:rPr>
          <w:rFonts w:asciiTheme="minorHAnsi" w:hAnsiTheme="minorHAnsi" w:cs="Calibri"/>
          <w:sz w:val="22"/>
          <w:szCs w:val="22"/>
        </w:rPr>
        <w:t>.</w:t>
      </w:r>
      <w:r w:rsidR="0073280D">
        <w:rPr>
          <w:rFonts w:asciiTheme="minorHAnsi" w:hAnsiTheme="minorHAnsi" w:cs="Calibri"/>
          <w:sz w:val="22"/>
          <w:szCs w:val="22"/>
        </w:rPr>
        <w:t xml:space="preserve"> </w:t>
      </w:r>
      <w:r w:rsidR="00E80F23">
        <w:rPr>
          <w:rFonts w:asciiTheme="minorHAnsi" w:hAnsiTheme="minorHAnsi"/>
          <w:sz w:val="22"/>
          <w:szCs w:val="22"/>
        </w:rPr>
        <w:t>(</w:t>
      </w:r>
      <w:r w:rsidR="00E80F23" w:rsidRPr="00F62144">
        <w:rPr>
          <w:rFonts w:asciiTheme="minorHAnsi" w:hAnsiTheme="minorHAnsi"/>
          <w:sz w:val="22"/>
          <w:szCs w:val="22"/>
        </w:rPr>
        <w:t xml:space="preserve">See </w:t>
      </w:r>
      <w:r w:rsidR="00E80F23">
        <w:rPr>
          <w:rFonts w:asciiTheme="minorHAnsi" w:hAnsiTheme="minorHAnsi"/>
          <w:sz w:val="22"/>
          <w:szCs w:val="22"/>
        </w:rPr>
        <w:t xml:space="preserve">special rule re: beginning of year Mergers in </w:t>
      </w:r>
      <w:r w:rsidR="00E80F23" w:rsidRPr="00F62144">
        <w:rPr>
          <w:rFonts w:asciiTheme="minorHAnsi" w:hAnsiTheme="minorHAnsi"/>
          <w:sz w:val="22"/>
          <w:szCs w:val="22"/>
        </w:rPr>
        <w:t>“</w:t>
      </w:r>
      <w:hyperlink w:anchor="b7" w:history="1">
        <w:r w:rsidR="00E80F23" w:rsidRPr="00F62144">
          <w:rPr>
            <w:rStyle w:val="Hyperlink"/>
            <w:rFonts w:asciiTheme="minorHAnsi" w:hAnsiTheme="minorHAnsi"/>
            <w:sz w:val="22"/>
            <w:szCs w:val="22"/>
          </w:rPr>
          <w:t>How to Count Participants</w:t>
        </w:r>
      </w:hyperlink>
      <w:r w:rsidR="00E80F23" w:rsidRPr="00F62144">
        <w:rPr>
          <w:rFonts w:asciiTheme="minorHAnsi" w:hAnsiTheme="minorHAnsi"/>
          <w:sz w:val="22"/>
          <w:szCs w:val="22"/>
        </w:rPr>
        <w:t>” section</w:t>
      </w:r>
      <w:r w:rsidR="00E80F23">
        <w:rPr>
          <w:rFonts w:asciiTheme="minorHAnsi" w:hAnsiTheme="minorHAnsi"/>
          <w:sz w:val="22"/>
          <w:szCs w:val="22"/>
        </w:rPr>
        <w:t>).</w:t>
      </w:r>
    </w:p>
    <w:p w14:paraId="17B99C6A" w14:textId="77777777" w:rsidR="00E80F23" w:rsidRDefault="00E80F23" w:rsidP="00E80F23">
      <w:pPr>
        <w:numPr>
          <w:ilvl w:val="0"/>
          <w:numId w:val="14"/>
        </w:numPr>
        <w:tabs>
          <w:tab w:val="clear" w:pos="720"/>
          <w:tab w:val="num" w:pos="540"/>
        </w:tabs>
        <w:autoSpaceDE w:val="0"/>
        <w:autoSpaceDN w:val="0"/>
        <w:adjustRightInd w:val="0"/>
        <w:spacing w:before="120"/>
        <w:ind w:left="36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AE348E">
        <w:rPr>
          <w:rFonts w:asciiTheme="minorHAnsi" w:hAnsiTheme="minorHAnsi"/>
          <w:sz w:val="22"/>
          <w:szCs w:val="22"/>
        </w:rPr>
        <w:t>2018</w:t>
      </w:r>
      <w:r w:rsidRPr="00E80F23">
        <w:rPr>
          <w:rFonts w:asciiTheme="minorHAnsi" w:hAnsiTheme="minorHAnsi"/>
          <w:sz w:val="22"/>
          <w:szCs w:val="22"/>
        </w:rPr>
        <w:t xml:space="preserve"> Comprehensive Premium Filing</w:t>
      </w:r>
      <w:r w:rsidR="0073280D" w:rsidRPr="0073280D">
        <w:rPr>
          <w:rFonts w:asciiTheme="minorHAnsi" w:hAnsiTheme="minorHAnsi" w:cs="Calibri"/>
          <w:sz w:val="22"/>
          <w:szCs w:val="22"/>
        </w:rPr>
        <w:t xml:space="preserve"> </w:t>
      </w:r>
      <w:r w:rsidR="0073280D">
        <w:rPr>
          <w:rFonts w:asciiTheme="minorHAnsi" w:hAnsiTheme="minorHAnsi" w:cs="Calibri"/>
          <w:sz w:val="22"/>
          <w:szCs w:val="22"/>
        </w:rPr>
        <w:t>b</w:t>
      </w:r>
      <w:r w:rsidR="0073280D" w:rsidRPr="00E80F23">
        <w:rPr>
          <w:rFonts w:asciiTheme="minorHAnsi" w:hAnsiTheme="minorHAnsi" w:cs="Calibri"/>
          <w:sz w:val="22"/>
          <w:szCs w:val="22"/>
        </w:rPr>
        <w:t>ecause</w:t>
      </w:r>
      <w:r w:rsidR="0073280D" w:rsidRPr="00E80F23">
        <w:rPr>
          <w:rFonts w:asciiTheme="minorHAnsi" w:hAnsiTheme="minorHAnsi"/>
          <w:sz w:val="22"/>
          <w:szCs w:val="22"/>
        </w:rPr>
        <w:t xml:space="preserve"> the plan ceased to exist on what would have been the first day of Plan B’s </w:t>
      </w:r>
      <w:r w:rsidR="00AE348E">
        <w:rPr>
          <w:rFonts w:asciiTheme="minorHAnsi" w:hAnsiTheme="minorHAnsi"/>
          <w:sz w:val="22"/>
          <w:szCs w:val="22"/>
        </w:rPr>
        <w:t>2018</w:t>
      </w:r>
      <w:r w:rsidR="0073280D" w:rsidRPr="00E80F23">
        <w:rPr>
          <w:rFonts w:asciiTheme="minorHAnsi" w:hAnsiTheme="minorHAnsi"/>
          <w:sz w:val="22"/>
          <w:szCs w:val="22"/>
        </w:rPr>
        <w:t xml:space="preserve"> plan year</w:t>
      </w:r>
      <w:r w:rsidRPr="00E80F23">
        <w:rPr>
          <w:rFonts w:asciiTheme="minorHAnsi" w:hAnsiTheme="minorHAnsi"/>
          <w:sz w:val="22"/>
          <w:szCs w:val="22"/>
        </w:rPr>
        <w:t xml:space="preserve">.  In other words, the </w:t>
      </w:r>
      <w:r w:rsidRPr="00E80F23">
        <w:rPr>
          <w:rFonts w:asciiTheme="minorHAnsi" w:hAnsiTheme="minorHAnsi" w:cs="Calibri"/>
          <w:sz w:val="22"/>
          <w:szCs w:val="22"/>
        </w:rPr>
        <w:t xml:space="preserve">Merger is deemed to be effective before the </w:t>
      </w:r>
      <w:r w:rsidR="00AE348E">
        <w:rPr>
          <w:rFonts w:asciiTheme="minorHAnsi" w:hAnsiTheme="minorHAnsi" w:cs="Calibri"/>
          <w:sz w:val="22"/>
          <w:szCs w:val="22"/>
        </w:rPr>
        <w:t>2018</w:t>
      </w:r>
      <w:r w:rsidRPr="00E80F23">
        <w:rPr>
          <w:rFonts w:asciiTheme="minorHAnsi" w:hAnsiTheme="minorHAnsi" w:cs="Calibri"/>
          <w:sz w:val="22"/>
          <w:szCs w:val="22"/>
        </w:rPr>
        <w:t xml:space="preserve"> plan year</w:t>
      </w:r>
      <w:r>
        <w:rPr>
          <w:rFonts w:asciiTheme="minorHAnsi" w:hAnsiTheme="minorHAnsi" w:cs="Calibri"/>
          <w:sz w:val="22"/>
          <w:szCs w:val="22"/>
        </w:rPr>
        <w:t xml:space="preserve"> begins.</w:t>
      </w:r>
    </w:p>
    <w:p w14:paraId="46B24701" w14:textId="77777777" w:rsidR="003C6CA0" w:rsidRDefault="0073280D" w:rsidP="001F7140">
      <w:pPr>
        <w:numPr>
          <w:ilvl w:val="0"/>
          <w:numId w:val="14"/>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sidRPr="0073280D">
        <w:rPr>
          <w:rFonts w:asciiTheme="minorHAnsi" w:hAnsiTheme="minorHAnsi"/>
          <w:sz w:val="22"/>
          <w:szCs w:val="22"/>
        </w:rPr>
        <w:t>P</w:t>
      </w:r>
      <w:r w:rsidR="00827D4C" w:rsidRPr="0073280D">
        <w:rPr>
          <w:rFonts w:asciiTheme="minorHAnsi" w:hAnsiTheme="minorHAnsi"/>
          <w:sz w:val="22"/>
          <w:szCs w:val="22"/>
        </w:rPr>
        <w:t xml:space="preserve">lan </w:t>
      </w:r>
      <w:r w:rsidR="003C6CA0" w:rsidRPr="0073280D">
        <w:rPr>
          <w:rFonts w:asciiTheme="minorHAnsi" w:hAnsiTheme="minorHAnsi" w:cs="Calibri"/>
          <w:sz w:val="22"/>
          <w:szCs w:val="22"/>
        </w:rPr>
        <w:t xml:space="preserve">A reports the </w:t>
      </w:r>
      <w:r w:rsidR="00827D4C" w:rsidRPr="0073280D">
        <w:rPr>
          <w:rFonts w:asciiTheme="minorHAnsi" w:hAnsiTheme="minorHAnsi" w:cs="Calibri"/>
          <w:sz w:val="22"/>
          <w:szCs w:val="22"/>
        </w:rPr>
        <w:t>M</w:t>
      </w:r>
      <w:r w:rsidR="003C6CA0" w:rsidRPr="0073280D">
        <w:rPr>
          <w:rFonts w:asciiTheme="minorHAnsi" w:hAnsiTheme="minorHAnsi" w:cs="Calibri"/>
          <w:sz w:val="22"/>
          <w:szCs w:val="22"/>
        </w:rPr>
        <w:t xml:space="preserve">erger in </w:t>
      </w:r>
      <w:r w:rsidR="00DB6CF5" w:rsidRPr="0073280D">
        <w:rPr>
          <w:rFonts w:asciiTheme="minorHAnsi" w:hAnsiTheme="minorHAnsi" w:cs="Calibri"/>
          <w:sz w:val="22"/>
          <w:szCs w:val="22"/>
        </w:rPr>
        <w:t>the “T</w:t>
      </w:r>
      <w:r w:rsidR="003C6CA0" w:rsidRPr="0073280D">
        <w:rPr>
          <w:rFonts w:asciiTheme="minorHAnsi" w:hAnsiTheme="minorHAnsi" w:cs="Calibri"/>
          <w:sz w:val="22"/>
          <w:szCs w:val="22"/>
        </w:rPr>
        <w:t>ransfers from other plans</w:t>
      </w:r>
      <w:r w:rsidR="00DB6CF5" w:rsidRPr="0073280D">
        <w:rPr>
          <w:rFonts w:asciiTheme="minorHAnsi" w:hAnsiTheme="minorHAnsi" w:cs="Calibri"/>
          <w:sz w:val="22"/>
          <w:szCs w:val="22"/>
        </w:rPr>
        <w:t>” item</w:t>
      </w:r>
      <w:r w:rsidR="003C6CA0" w:rsidRPr="0073280D">
        <w:rPr>
          <w:rFonts w:asciiTheme="minorHAnsi" w:hAnsiTheme="minorHAnsi" w:cs="Calibri"/>
          <w:sz w:val="22"/>
          <w:szCs w:val="22"/>
        </w:rPr>
        <w:t xml:space="preserve">. </w:t>
      </w:r>
      <w:r>
        <w:rPr>
          <w:rFonts w:asciiTheme="minorHAnsi" w:hAnsiTheme="minorHAnsi" w:cs="Calibri"/>
          <w:sz w:val="22"/>
          <w:szCs w:val="22"/>
        </w:rPr>
        <w:t>Because</w:t>
      </w:r>
      <w:r w:rsidR="00827D4C" w:rsidRPr="0073280D">
        <w:rPr>
          <w:rFonts w:asciiTheme="minorHAnsi" w:hAnsiTheme="minorHAnsi" w:cs="Calibri"/>
          <w:sz w:val="22"/>
          <w:szCs w:val="22"/>
        </w:rPr>
        <w:t xml:space="preserve"> the Merger did not occur until after the due date for </w:t>
      </w:r>
      <w:r w:rsidR="003C6CA0" w:rsidRPr="0073280D">
        <w:rPr>
          <w:rFonts w:asciiTheme="minorHAnsi" w:hAnsiTheme="minorHAnsi" w:cs="Calibri"/>
          <w:sz w:val="22"/>
          <w:szCs w:val="22"/>
        </w:rPr>
        <w:t>Plan B</w:t>
      </w:r>
      <w:r w:rsidR="00827D4C" w:rsidRPr="0073280D">
        <w:rPr>
          <w:rFonts w:asciiTheme="minorHAnsi" w:hAnsiTheme="minorHAnsi" w:cs="Calibri"/>
          <w:sz w:val="22"/>
          <w:szCs w:val="22"/>
        </w:rPr>
        <w:t xml:space="preserve">’s </w:t>
      </w:r>
      <w:r w:rsidR="00AE348E">
        <w:rPr>
          <w:rFonts w:asciiTheme="minorHAnsi" w:hAnsiTheme="minorHAnsi" w:cs="Calibri"/>
          <w:sz w:val="22"/>
          <w:szCs w:val="22"/>
        </w:rPr>
        <w:t>2017</w:t>
      </w:r>
      <w:r w:rsidR="00827D4C" w:rsidRPr="0073280D">
        <w:rPr>
          <w:rFonts w:asciiTheme="minorHAnsi" w:hAnsiTheme="minorHAnsi" w:cs="Calibri"/>
          <w:sz w:val="22"/>
          <w:szCs w:val="22"/>
        </w:rPr>
        <w:t xml:space="preserve"> Comprehensive Premium Filing, PBGC expects that Plan B would not have reported that </w:t>
      </w:r>
      <w:r w:rsidR="00AE348E">
        <w:rPr>
          <w:rFonts w:asciiTheme="minorHAnsi" w:hAnsiTheme="minorHAnsi" w:cs="Calibri"/>
          <w:sz w:val="22"/>
          <w:szCs w:val="22"/>
        </w:rPr>
        <w:t>2017</w:t>
      </w:r>
      <w:r w:rsidR="00827D4C" w:rsidRPr="0073280D">
        <w:rPr>
          <w:rFonts w:asciiTheme="minorHAnsi" w:hAnsiTheme="minorHAnsi" w:cs="Calibri"/>
          <w:sz w:val="22"/>
          <w:szCs w:val="22"/>
        </w:rPr>
        <w:t xml:space="preserve"> would be its “Final Filing” as part of </w:t>
      </w:r>
      <w:r w:rsidR="007260B3" w:rsidRPr="0073280D">
        <w:rPr>
          <w:rFonts w:asciiTheme="minorHAnsi" w:hAnsiTheme="minorHAnsi" w:cs="Calibri"/>
          <w:sz w:val="22"/>
          <w:szCs w:val="22"/>
        </w:rPr>
        <w:t>its</w:t>
      </w:r>
      <w:r w:rsidR="00827D4C" w:rsidRPr="0073280D">
        <w:rPr>
          <w:rFonts w:asciiTheme="minorHAnsi" w:hAnsiTheme="minorHAnsi" w:cs="Calibri"/>
          <w:sz w:val="22"/>
          <w:szCs w:val="22"/>
        </w:rPr>
        <w:t xml:space="preserve"> </w:t>
      </w:r>
      <w:r w:rsidR="00AE348E">
        <w:rPr>
          <w:rFonts w:asciiTheme="minorHAnsi" w:hAnsiTheme="minorHAnsi" w:cs="Calibri"/>
          <w:sz w:val="22"/>
          <w:szCs w:val="22"/>
        </w:rPr>
        <w:t>2017</w:t>
      </w:r>
      <w:r w:rsidR="00827D4C" w:rsidRPr="0073280D">
        <w:rPr>
          <w:rFonts w:asciiTheme="minorHAnsi" w:hAnsiTheme="minorHAnsi" w:cs="Calibri"/>
          <w:sz w:val="22"/>
          <w:szCs w:val="22"/>
        </w:rPr>
        <w:t xml:space="preserve"> filing.  As long as Plan A properly reported the Merger in its </w:t>
      </w:r>
      <w:r w:rsidR="00AE348E">
        <w:rPr>
          <w:rFonts w:asciiTheme="minorHAnsi" w:hAnsiTheme="minorHAnsi" w:cs="Calibri"/>
          <w:sz w:val="22"/>
          <w:szCs w:val="22"/>
        </w:rPr>
        <w:t>2018</w:t>
      </w:r>
      <w:r w:rsidR="00827D4C" w:rsidRPr="0073280D">
        <w:rPr>
          <w:rFonts w:asciiTheme="minorHAnsi" w:hAnsiTheme="minorHAnsi" w:cs="Calibri"/>
          <w:sz w:val="22"/>
          <w:szCs w:val="22"/>
        </w:rPr>
        <w:t xml:space="preserve"> filing, it is not necessary to amend Plan B’s </w:t>
      </w:r>
      <w:r w:rsidR="00AE348E">
        <w:rPr>
          <w:rFonts w:asciiTheme="minorHAnsi" w:hAnsiTheme="minorHAnsi" w:cs="Calibri"/>
          <w:sz w:val="22"/>
          <w:szCs w:val="22"/>
        </w:rPr>
        <w:t>2017</w:t>
      </w:r>
      <w:r w:rsidR="00827D4C" w:rsidRPr="0073280D">
        <w:rPr>
          <w:rFonts w:asciiTheme="minorHAnsi" w:hAnsiTheme="minorHAnsi" w:cs="Calibri"/>
          <w:sz w:val="22"/>
          <w:szCs w:val="22"/>
        </w:rPr>
        <w:t xml:space="preserve"> filing to indicate that it’s the final filing.  </w:t>
      </w:r>
    </w:p>
    <w:p w14:paraId="405AC98E" w14:textId="77777777" w:rsidR="00073A44" w:rsidRPr="0073280D" w:rsidRDefault="00073A44" w:rsidP="00073A44">
      <w:pPr>
        <w:tabs>
          <w:tab w:val="num" w:pos="720"/>
        </w:tabs>
        <w:autoSpaceDE w:val="0"/>
        <w:autoSpaceDN w:val="0"/>
        <w:adjustRightInd w:val="0"/>
        <w:spacing w:before="120"/>
        <w:rPr>
          <w:rFonts w:asciiTheme="minorHAnsi" w:hAnsiTheme="minorHAnsi" w:cs="Calibri"/>
          <w:sz w:val="22"/>
          <w:szCs w:val="22"/>
        </w:rPr>
      </w:pPr>
    </w:p>
    <w:p w14:paraId="75F31E68" w14:textId="77777777" w:rsidR="004D5FA9" w:rsidRDefault="00073A44" w:rsidP="00073A44">
      <w:pPr>
        <w:pStyle w:val="FootnoteText"/>
        <w:spacing w:before="120"/>
        <w:rPr>
          <w:rFonts w:asciiTheme="minorHAnsi" w:hAnsiTheme="minorHAnsi"/>
          <w:sz w:val="22"/>
          <w:szCs w:val="22"/>
        </w:rPr>
      </w:pPr>
      <w:r w:rsidRPr="009A1588">
        <w:rPr>
          <w:rFonts w:asciiTheme="minorHAnsi" w:hAnsiTheme="minorHAnsi"/>
          <w:sz w:val="22"/>
          <w:szCs w:val="22"/>
        </w:rPr>
        <w:t xml:space="preserve">Note – if the </w:t>
      </w:r>
      <w:r>
        <w:rPr>
          <w:rFonts w:asciiTheme="minorHAnsi" w:hAnsiTheme="minorHAnsi"/>
          <w:sz w:val="22"/>
          <w:szCs w:val="22"/>
        </w:rPr>
        <w:t>Merger</w:t>
      </w:r>
      <w:r w:rsidRPr="009A1588">
        <w:rPr>
          <w:rFonts w:asciiTheme="minorHAnsi" w:hAnsiTheme="minorHAnsi"/>
          <w:sz w:val="22"/>
          <w:szCs w:val="22"/>
        </w:rPr>
        <w:t xml:space="preserve"> </w:t>
      </w:r>
      <w:r>
        <w:rPr>
          <w:rFonts w:asciiTheme="minorHAnsi" w:hAnsiTheme="minorHAnsi"/>
          <w:sz w:val="22"/>
          <w:szCs w:val="22"/>
        </w:rPr>
        <w:t xml:space="preserve">had been </w:t>
      </w:r>
      <w:r w:rsidRPr="000B337D">
        <w:rPr>
          <w:rFonts w:asciiTheme="minorHAnsi" w:hAnsiTheme="minorHAnsi"/>
          <w:i/>
          <w:sz w:val="22"/>
          <w:szCs w:val="22"/>
        </w:rPr>
        <w:t>de minimis</w:t>
      </w:r>
      <w:r w:rsidRPr="009A1588">
        <w:rPr>
          <w:rFonts w:asciiTheme="minorHAnsi" w:hAnsiTheme="minorHAnsi"/>
          <w:sz w:val="22"/>
          <w:szCs w:val="22"/>
        </w:rPr>
        <w:t xml:space="preserve">, the special Participant Count Date rule </w:t>
      </w:r>
      <w:r>
        <w:rPr>
          <w:rFonts w:asciiTheme="minorHAnsi" w:hAnsiTheme="minorHAnsi"/>
          <w:sz w:val="22"/>
          <w:szCs w:val="22"/>
        </w:rPr>
        <w:t xml:space="preserve">would not apply (i.e., Plan A’s Participant Count Date would have been </w:t>
      </w:r>
      <w:r>
        <w:rPr>
          <w:rFonts w:ascii="Arial" w:hAnsi="Arial" w:cs="Arial"/>
        </w:rPr>
        <w:t>December 31, 2017).  Because Plan B</w:t>
      </w:r>
      <w:r w:rsidR="004D5FA9">
        <w:rPr>
          <w:rFonts w:ascii="Arial" w:hAnsi="Arial" w:cs="Arial"/>
        </w:rPr>
        <w:t xml:space="preserve"> owes no premium for 2018, </w:t>
      </w:r>
      <w:r>
        <w:rPr>
          <w:rFonts w:ascii="Arial" w:hAnsi="Arial" w:cs="Arial"/>
        </w:rPr>
        <w:t xml:space="preserve">that means </w:t>
      </w:r>
      <w:r w:rsidR="004D5FA9">
        <w:rPr>
          <w:rFonts w:ascii="Arial" w:hAnsi="Arial" w:cs="Arial"/>
        </w:rPr>
        <w:t>neither plan would have</w:t>
      </w:r>
      <w:r w:rsidRPr="009A1588">
        <w:rPr>
          <w:rFonts w:asciiTheme="minorHAnsi" w:hAnsiTheme="minorHAnsi"/>
          <w:sz w:val="22"/>
          <w:szCs w:val="22"/>
        </w:rPr>
        <w:t xml:space="preserve"> owed Flat-</w:t>
      </w:r>
      <w:r>
        <w:rPr>
          <w:rFonts w:asciiTheme="minorHAnsi" w:hAnsiTheme="minorHAnsi"/>
          <w:sz w:val="22"/>
          <w:szCs w:val="22"/>
        </w:rPr>
        <w:t>R</w:t>
      </w:r>
      <w:r w:rsidRPr="009A1588">
        <w:rPr>
          <w:rFonts w:asciiTheme="minorHAnsi" w:hAnsiTheme="minorHAnsi"/>
          <w:sz w:val="22"/>
          <w:szCs w:val="22"/>
        </w:rPr>
        <w:t xml:space="preserve">ate </w:t>
      </w:r>
      <w:r>
        <w:rPr>
          <w:rFonts w:asciiTheme="minorHAnsi" w:hAnsiTheme="minorHAnsi"/>
          <w:sz w:val="22"/>
          <w:szCs w:val="22"/>
        </w:rPr>
        <w:t>P</w:t>
      </w:r>
      <w:r w:rsidRPr="009A1588">
        <w:rPr>
          <w:rFonts w:asciiTheme="minorHAnsi" w:hAnsiTheme="minorHAnsi"/>
          <w:sz w:val="22"/>
          <w:szCs w:val="22"/>
        </w:rPr>
        <w:t xml:space="preserve">remiums on behalf of </w:t>
      </w:r>
      <w:r w:rsidRPr="000B337D">
        <w:rPr>
          <w:rFonts w:asciiTheme="minorHAnsi" w:hAnsiTheme="minorHAnsi"/>
          <w:sz w:val="22"/>
          <w:szCs w:val="22"/>
        </w:rPr>
        <w:t xml:space="preserve">the </w:t>
      </w:r>
      <w:r w:rsidR="004D5FA9">
        <w:rPr>
          <w:rFonts w:asciiTheme="minorHAnsi" w:hAnsiTheme="minorHAnsi"/>
          <w:sz w:val="22"/>
          <w:szCs w:val="22"/>
        </w:rPr>
        <w:t xml:space="preserve">former Plan B </w:t>
      </w:r>
      <w:r w:rsidRPr="000B337D">
        <w:rPr>
          <w:rFonts w:asciiTheme="minorHAnsi" w:hAnsiTheme="minorHAnsi"/>
          <w:sz w:val="22"/>
          <w:szCs w:val="22"/>
        </w:rPr>
        <w:t xml:space="preserve">participants that were </w:t>
      </w:r>
      <w:r w:rsidR="004D5FA9">
        <w:rPr>
          <w:rFonts w:asciiTheme="minorHAnsi" w:hAnsiTheme="minorHAnsi"/>
          <w:sz w:val="22"/>
          <w:szCs w:val="22"/>
        </w:rPr>
        <w:t>merged into Plan A at the beginning of 2018.</w:t>
      </w:r>
    </w:p>
    <w:p w14:paraId="0AE2631C" w14:textId="77777777" w:rsidR="007260B3" w:rsidRDefault="007260B3" w:rsidP="007260B3">
      <w:pPr>
        <w:rPr>
          <w:rFonts w:asciiTheme="minorHAnsi" w:eastAsia="Times New Roman" w:hAnsiTheme="minorHAnsi" w:cs="Arial"/>
          <w:i/>
          <w:sz w:val="22"/>
          <w:szCs w:val="22"/>
          <w:lang w:eastAsia="en-US"/>
        </w:rPr>
      </w:pPr>
    </w:p>
    <w:p w14:paraId="2A00EF3B" w14:textId="77777777" w:rsidR="00C42D45" w:rsidRDefault="007260B3" w:rsidP="007260B3">
      <w:pPr>
        <w:autoSpaceDE w:val="0"/>
        <w:autoSpaceDN w:val="0"/>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Pr>
          <w:rFonts w:asciiTheme="minorHAnsi" w:eastAsia="Times New Roman" w:hAnsiTheme="minorHAnsi" w:cs="Arial"/>
          <w:i/>
          <w:sz w:val="22"/>
          <w:szCs w:val="22"/>
          <w:lang w:eastAsia="en-US"/>
        </w:rPr>
        <w:t>5</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114AA2">
        <w:rPr>
          <w:rFonts w:asciiTheme="minorHAnsi" w:hAnsiTheme="minorHAnsi" w:cs="Calibri"/>
          <w:sz w:val="22"/>
          <w:szCs w:val="22"/>
        </w:rPr>
        <w:t xml:space="preserve"> </w:t>
      </w:r>
      <w:r>
        <w:rPr>
          <w:rFonts w:asciiTheme="minorHAnsi" w:hAnsiTheme="minorHAnsi" w:cs="Calibri"/>
          <w:sz w:val="22"/>
          <w:szCs w:val="22"/>
        </w:rPr>
        <w:t xml:space="preserve"> On February 1, </w:t>
      </w:r>
      <w:r w:rsidR="00AE348E">
        <w:rPr>
          <w:rFonts w:asciiTheme="minorHAnsi" w:hAnsiTheme="minorHAnsi" w:cs="Calibri"/>
          <w:sz w:val="22"/>
          <w:szCs w:val="22"/>
        </w:rPr>
        <w:t>2018</w:t>
      </w:r>
      <w:r w:rsidR="00C42D45">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C42D45">
        <w:rPr>
          <w:rFonts w:asciiTheme="minorHAnsi" w:hAnsiTheme="minorHAnsi" w:cs="Calibri"/>
          <w:sz w:val="22"/>
          <w:szCs w:val="22"/>
        </w:rPr>
        <w:t>.</w:t>
      </w:r>
      <w:r w:rsidRPr="00D85117">
        <w:rPr>
          <w:rFonts w:asciiTheme="minorHAnsi" w:hAnsiTheme="minorHAnsi" w:cs="Calibri"/>
          <w:sz w:val="22"/>
          <w:szCs w:val="22"/>
        </w:rPr>
        <w:t xml:space="preserve"> </w:t>
      </w:r>
    </w:p>
    <w:p w14:paraId="00E67DE8" w14:textId="77777777" w:rsidR="007260B3" w:rsidRDefault="00000F82" w:rsidP="007260B3">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AE348E">
        <w:rPr>
          <w:rFonts w:asciiTheme="minorHAnsi" w:hAnsiTheme="minorHAnsi" w:cs="Calibri"/>
          <w:sz w:val="22"/>
          <w:szCs w:val="22"/>
        </w:rPr>
        <w:t>2018</w:t>
      </w:r>
      <w:r>
        <w:rPr>
          <w:rFonts w:asciiTheme="minorHAnsi" w:hAnsiTheme="minorHAnsi" w:cs="Calibri"/>
          <w:sz w:val="22"/>
          <w:szCs w:val="22"/>
        </w:rPr>
        <w:t xml:space="preserve"> premiums is as follows</w:t>
      </w:r>
      <w:r w:rsidR="007260B3">
        <w:rPr>
          <w:rFonts w:asciiTheme="minorHAnsi" w:hAnsiTheme="minorHAnsi" w:cs="Calibri"/>
          <w:sz w:val="22"/>
          <w:szCs w:val="22"/>
        </w:rPr>
        <w:t>:</w:t>
      </w:r>
    </w:p>
    <w:p w14:paraId="2578EE19" w14:textId="77777777" w:rsidR="002D21C9" w:rsidRPr="00E0142E" w:rsidRDefault="002D21C9" w:rsidP="002D21C9">
      <w:pPr>
        <w:numPr>
          <w:ilvl w:val="0"/>
          <w:numId w:val="14"/>
        </w:numPr>
        <w:tabs>
          <w:tab w:val="clear" w:pos="720"/>
          <w:tab w:val="num" w:pos="540"/>
        </w:tabs>
        <w:autoSpaceDE w:val="0"/>
        <w:autoSpaceDN w:val="0"/>
        <w:adjustRightInd w:val="0"/>
        <w:spacing w:before="120"/>
        <w:ind w:left="360"/>
        <w:rPr>
          <w:rFonts w:asciiTheme="minorHAnsi" w:eastAsia="Times New Roman" w:hAnsiTheme="minorHAnsi" w:cs="Arial"/>
          <w:sz w:val="22"/>
          <w:szCs w:val="22"/>
          <w:lang w:eastAsia="en-US"/>
        </w:rPr>
      </w:pPr>
      <w:r w:rsidRPr="001852AA">
        <w:rPr>
          <w:rFonts w:asciiTheme="minorHAnsi" w:hAnsiTheme="minorHAnsi"/>
          <w:sz w:val="22"/>
          <w:szCs w:val="22"/>
        </w:rPr>
        <w:t xml:space="preserve">The </w:t>
      </w:r>
      <w:r>
        <w:rPr>
          <w:rFonts w:asciiTheme="minorHAnsi" w:hAnsiTheme="minorHAnsi"/>
          <w:sz w:val="22"/>
          <w:szCs w:val="22"/>
        </w:rPr>
        <w:t>Merger</w:t>
      </w:r>
      <w:r w:rsidRPr="001852AA">
        <w:rPr>
          <w:rFonts w:asciiTheme="minorHAnsi" w:hAnsiTheme="minorHAnsi"/>
          <w:sz w:val="22"/>
          <w:szCs w:val="22"/>
        </w:rPr>
        <w:t xml:space="preserve"> has no effect on Plan A’s premium oblig</w:t>
      </w:r>
      <w:r>
        <w:rPr>
          <w:rFonts w:asciiTheme="minorHAnsi" w:hAnsiTheme="minorHAnsi"/>
          <w:sz w:val="22"/>
          <w:szCs w:val="22"/>
        </w:rPr>
        <w:t xml:space="preserve">ation.  Among other things, that means the Flat-rate Premium is based on the participant count as of December 31, </w:t>
      </w:r>
      <w:r w:rsidR="00AE348E">
        <w:rPr>
          <w:rFonts w:asciiTheme="minorHAnsi" w:hAnsiTheme="minorHAnsi"/>
          <w:sz w:val="22"/>
          <w:szCs w:val="22"/>
        </w:rPr>
        <w:t>2017</w:t>
      </w:r>
      <w:r>
        <w:rPr>
          <w:rFonts w:asciiTheme="minorHAnsi" w:hAnsiTheme="minorHAnsi"/>
          <w:sz w:val="22"/>
          <w:szCs w:val="22"/>
        </w:rPr>
        <w:t xml:space="preserve"> (i.e., the Plan B participants that merged into Plan A on February 1, </w:t>
      </w:r>
      <w:r w:rsidR="00AE348E">
        <w:rPr>
          <w:rFonts w:asciiTheme="minorHAnsi" w:hAnsiTheme="minorHAnsi"/>
          <w:sz w:val="22"/>
          <w:szCs w:val="22"/>
        </w:rPr>
        <w:t>2018</w:t>
      </w:r>
      <w:r>
        <w:rPr>
          <w:rFonts w:asciiTheme="minorHAnsi" w:hAnsiTheme="minorHAnsi"/>
          <w:sz w:val="22"/>
          <w:szCs w:val="22"/>
        </w:rPr>
        <w:t xml:space="preserve"> are not included). </w:t>
      </w:r>
    </w:p>
    <w:p w14:paraId="2B52ED22" w14:textId="77777777" w:rsidR="00E0142E" w:rsidRPr="006302E3" w:rsidRDefault="00E0142E" w:rsidP="00E0142E">
      <w:pPr>
        <w:numPr>
          <w:ilvl w:val="0"/>
          <w:numId w:val="14"/>
        </w:numPr>
        <w:tabs>
          <w:tab w:val="clear" w:pos="720"/>
          <w:tab w:val="num" w:pos="540"/>
        </w:tabs>
        <w:autoSpaceDE w:val="0"/>
        <w:autoSpaceDN w:val="0"/>
        <w:adjustRightInd w:val="0"/>
        <w:spacing w:before="120"/>
        <w:ind w:left="360"/>
        <w:rPr>
          <w:rFonts w:asciiTheme="minorHAnsi" w:eastAsia="Times New Roman" w:hAnsiTheme="minorHAnsi" w:cs="Arial"/>
          <w:sz w:val="22"/>
          <w:szCs w:val="22"/>
          <w:lang w:eastAsia="en-US"/>
        </w:rPr>
      </w:pPr>
      <w:r w:rsidRPr="00E80F23">
        <w:rPr>
          <w:rFonts w:asciiTheme="minorHAnsi" w:hAnsiTheme="minorHAnsi"/>
          <w:sz w:val="22"/>
          <w:szCs w:val="22"/>
        </w:rPr>
        <w:t>Plan B is not required to submit a 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Pr>
          <w:rFonts w:asciiTheme="minorHAnsi" w:hAnsiTheme="minorHAnsi"/>
          <w:sz w:val="22"/>
          <w:szCs w:val="22"/>
        </w:rPr>
        <w:t xml:space="preserve">before its </w:t>
      </w:r>
      <w:r w:rsidR="00AE348E">
        <w:rPr>
          <w:rFonts w:asciiTheme="minorHAnsi" w:hAnsiTheme="minorHAnsi"/>
          <w:sz w:val="22"/>
          <w:szCs w:val="22"/>
        </w:rPr>
        <w:t>2018</w:t>
      </w:r>
      <w:r>
        <w:rPr>
          <w:rFonts w:asciiTheme="minorHAnsi" w:hAnsiTheme="minorHAnsi"/>
          <w:sz w:val="22"/>
          <w:szCs w:val="22"/>
        </w:rPr>
        <w:t xml:space="preserve"> plan year would have begun (i.e., before March 1, </w:t>
      </w:r>
      <w:r w:rsidR="00AE348E">
        <w:rPr>
          <w:rFonts w:asciiTheme="minorHAnsi" w:hAnsiTheme="minorHAnsi"/>
          <w:sz w:val="22"/>
          <w:szCs w:val="22"/>
        </w:rPr>
        <w:t>2018</w:t>
      </w:r>
      <w:r>
        <w:rPr>
          <w:rFonts w:asciiTheme="minorHAnsi" w:hAnsiTheme="minorHAnsi"/>
          <w:sz w:val="22"/>
          <w:szCs w:val="22"/>
        </w:rPr>
        <w:t>).</w:t>
      </w:r>
    </w:p>
    <w:p w14:paraId="275FEB3C" w14:textId="77777777" w:rsidR="00E0142E" w:rsidRPr="00E0142E" w:rsidRDefault="006302E3" w:rsidP="00E0142E">
      <w:pPr>
        <w:numPr>
          <w:ilvl w:val="0"/>
          <w:numId w:val="14"/>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sidRPr="006302E3">
        <w:rPr>
          <w:rFonts w:asciiTheme="minorHAnsi" w:eastAsia="Times New Roman" w:hAnsiTheme="minorHAnsi" w:cs="Arial"/>
          <w:sz w:val="22"/>
          <w:szCs w:val="22"/>
          <w:lang w:eastAsia="en-US"/>
        </w:rPr>
        <w:t xml:space="preserve">Plan A reports the </w:t>
      </w:r>
      <w:r w:rsidR="00E0142E">
        <w:rPr>
          <w:rFonts w:asciiTheme="minorHAnsi" w:eastAsia="Times New Roman" w:hAnsiTheme="minorHAnsi" w:cs="Arial"/>
          <w:sz w:val="22"/>
          <w:szCs w:val="22"/>
          <w:lang w:eastAsia="en-US"/>
        </w:rPr>
        <w:t>M</w:t>
      </w:r>
      <w:r w:rsidRPr="006302E3">
        <w:rPr>
          <w:rFonts w:asciiTheme="minorHAnsi" w:eastAsia="Times New Roman" w:hAnsiTheme="minorHAnsi" w:cs="Arial"/>
          <w:sz w:val="22"/>
          <w:szCs w:val="22"/>
          <w:lang w:eastAsia="en-US"/>
        </w:rPr>
        <w:t xml:space="preserve">erger in </w:t>
      </w:r>
      <w:r w:rsidR="00E0142E">
        <w:rPr>
          <w:rFonts w:asciiTheme="minorHAnsi" w:eastAsia="Times New Roman" w:hAnsiTheme="minorHAnsi" w:cs="Arial"/>
          <w:sz w:val="22"/>
          <w:szCs w:val="22"/>
          <w:lang w:eastAsia="en-US"/>
        </w:rPr>
        <w:t>the “</w:t>
      </w:r>
      <w:r w:rsidRPr="006302E3">
        <w:rPr>
          <w:rFonts w:asciiTheme="minorHAnsi" w:eastAsia="Times New Roman" w:hAnsiTheme="minorHAnsi" w:cs="Arial"/>
          <w:sz w:val="22"/>
          <w:szCs w:val="22"/>
          <w:lang w:eastAsia="en-US"/>
        </w:rPr>
        <w:t>Transfers from other plans</w:t>
      </w:r>
      <w:r w:rsidR="00E0142E">
        <w:rPr>
          <w:rFonts w:asciiTheme="minorHAnsi" w:eastAsia="Times New Roman" w:hAnsiTheme="minorHAnsi" w:cs="Arial"/>
          <w:sz w:val="22"/>
          <w:szCs w:val="22"/>
          <w:lang w:eastAsia="en-US"/>
        </w:rPr>
        <w:t xml:space="preserve">” item. </w:t>
      </w:r>
    </w:p>
    <w:p w14:paraId="25D02FA2" w14:textId="77777777" w:rsidR="00E0142E" w:rsidRPr="0073280D" w:rsidRDefault="00E0142E" w:rsidP="00E0142E">
      <w:pPr>
        <w:numPr>
          <w:ilvl w:val="0"/>
          <w:numId w:val="14"/>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Pr>
          <w:rFonts w:asciiTheme="minorHAnsi" w:hAnsiTheme="minorHAnsi" w:cs="Calibri"/>
          <w:sz w:val="22"/>
          <w:szCs w:val="22"/>
        </w:rPr>
        <w:t>Because</w:t>
      </w:r>
      <w:r w:rsidRPr="0073280D">
        <w:rPr>
          <w:rFonts w:asciiTheme="minorHAnsi" w:hAnsiTheme="minorHAnsi" w:cs="Calibri"/>
          <w:sz w:val="22"/>
          <w:szCs w:val="22"/>
        </w:rPr>
        <w:t xml:space="preserve"> the Merger did not occur until after the due date for Plan B’s </w:t>
      </w:r>
      <w:r w:rsidR="00AE348E">
        <w:rPr>
          <w:rFonts w:asciiTheme="minorHAnsi" w:hAnsiTheme="minorHAnsi" w:cs="Calibri"/>
          <w:sz w:val="22"/>
          <w:szCs w:val="22"/>
        </w:rPr>
        <w:t>2017</w:t>
      </w:r>
      <w:r w:rsidRPr="0073280D">
        <w:rPr>
          <w:rFonts w:asciiTheme="minorHAnsi" w:hAnsiTheme="minorHAnsi" w:cs="Calibri"/>
          <w:sz w:val="22"/>
          <w:szCs w:val="22"/>
        </w:rPr>
        <w:t xml:space="preserve"> Comprehensive Premium Filing, PBGC expects that Plan B would not have reported that </w:t>
      </w:r>
      <w:r w:rsidR="00AE348E">
        <w:rPr>
          <w:rFonts w:asciiTheme="minorHAnsi" w:hAnsiTheme="minorHAnsi" w:cs="Calibri"/>
          <w:sz w:val="22"/>
          <w:szCs w:val="22"/>
        </w:rPr>
        <w:t>2017</w:t>
      </w:r>
      <w:r w:rsidRPr="0073280D">
        <w:rPr>
          <w:rFonts w:asciiTheme="minorHAnsi" w:hAnsiTheme="minorHAnsi" w:cs="Calibri"/>
          <w:sz w:val="22"/>
          <w:szCs w:val="22"/>
        </w:rPr>
        <w:t xml:space="preserve"> would be its “Final Filing” as part of its </w:t>
      </w:r>
      <w:r w:rsidR="00AE348E">
        <w:rPr>
          <w:rFonts w:asciiTheme="minorHAnsi" w:hAnsiTheme="minorHAnsi" w:cs="Calibri"/>
          <w:sz w:val="22"/>
          <w:szCs w:val="22"/>
        </w:rPr>
        <w:t>2017</w:t>
      </w:r>
      <w:r w:rsidRPr="0073280D">
        <w:rPr>
          <w:rFonts w:asciiTheme="minorHAnsi" w:hAnsiTheme="minorHAnsi" w:cs="Calibri"/>
          <w:sz w:val="22"/>
          <w:szCs w:val="22"/>
        </w:rPr>
        <w:t xml:space="preserve"> filing. As long as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AE348E">
        <w:rPr>
          <w:rFonts w:asciiTheme="minorHAnsi" w:hAnsiTheme="minorHAnsi" w:cs="Calibri"/>
          <w:sz w:val="22"/>
          <w:szCs w:val="22"/>
        </w:rPr>
        <w:t>2018</w:t>
      </w:r>
      <w:r w:rsidRPr="0073280D">
        <w:rPr>
          <w:rFonts w:asciiTheme="minorHAnsi" w:hAnsiTheme="minorHAnsi" w:cs="Calibri"/>
          <w:sz w:val="22"/>
          <w:szCs w:val="22"/>
        </w:rPr>
        <w:t xml:space="preserve"> filing, it is not necessary to amend Plan B’s </w:t>
      </w:r>
      <w:r w:rsidR="00AE348E">
        <w:rPr>
          <w:rFonts w:asciiTheme="minorHAnsi" w:hAnsiTheme="minorHAnsi" w:cs="Calibri"/>
          <w:sz w:val="22"/>
          <w:szCs w:val="22"/>
        </w:rPr>
        <w:t>2017</w:t>
      </w:r>
      <w:r w:rsidRPr="0073280D">
        <w:rPr>
          <w:rFonts w:asciiTheme="minorHAnsi" w:hAnsiTheme="minorHAnsi" w:cs="Calibri"/>
          <w:sz w:val="22"/>
          <w:szCs w:val="22"/>
        </w:rPr>
        <w:t xml:space="preserve"> filing to indicate that it’s the final filing.  </w:t>
      </w:r>
    </w:p>
    <w:p w14:paraId="3EC018FB" w14:textId="77777777" w:rsidR="004C3C73" w:rsidRDefault="004C3C73" w:rsidP="001F7140">
      <w:pPr>
        <w:autoSpaceDE w:val="0"/>
        <w:autoSpaceDN w:val="0"/>
        <w:spacing w:before="120"/>
        <w:rPr>
          <w:rFonts w:asciiTheme="minorHAnsi" w:eastAsia="Times New Roman" w:hAnsiTheme="minorHAnsi" w:cs="Arial"/>
          <w:i/>
          <w:sz w:val="22"/>
          <w:szCs w:val="22"/>
          <w:lang w:eastAsia="en-US"/>
        </w:rPr>
      </w:pPr>
    </w:p>
    <w:p w14:paraId="6A8B1D13" w14:textId="77777777" w:rsidR="00EB0D91" w:rsidRDefault="001F7140" w:rsidP="001F7140">
      <w:pPr>
        <w:autoSpaceDE w:val="0"/>
        <w:autoSpaceDN w:val="0"/>
        <w:spacing w:before="120"/>
        <w:rPr>
          <w:rFonts w:asciiTheme="minorHAnsi" w:hAnsiTheme="minorHAnsi" w:cs="Calibri"/>
          <w:sz w:val="22"/>
          <w:szCs w:val="22"/>
        </w:rPr>
      </w:pPr>
      <w:r w:rsidRPr="00A03730">
        <w:rPr>
          <w:rFonts w:asciiTheme="minorHAnsi" w:eastAsia="Times New Roman" w:hAnsiTheme="minorHAnsi" w:cs="Arial"/>
          <w:i/>
          <w:sz w:val="22"/>
          <w:szCs w:val="22"/>
          <w:lang w:eastAsia="en-US"/>
        </w:rPr>
        <w:t xml:space="preserve">Example </w:t>
      </w:r>
      <w:r>
        <w:rPr>
          <w:rFonts w:asciiTheme="minorHAnsi" w:eastAsia="Times New Roman" w:hAnsiTheme="minorHAnsi" w:cs="Arial"/>
          <w:i/>
          <w:sz w:val="22"/>
          <w:szCs w:val="22"/>
          <w:lang w:eastAsia="en-US"/>
        </w:rPr>
        <w:t>6</w:t>
      </w:r>
      <w:r w:rsidRPr="00A03730">
        <w:rPr>
          <w:rFonts w:asciiTheme="minorHAnsi" w:eastAsia="Times New Roman" w:hAnsiTheme="minorHAnsi" w:cs="Arial"/>
          <w:i/>
          <w:sz w:val="22"/>
          <w:szCs w:val="22"/>
          <w:lang w:eastAsia="en-US"/>
        </w:rPr>
        <w:t xml:space="preserve"> </w:t>
      </w:r>
      <w:r>
        <w:rPr>
          <w:rFonts w:asciiTheme="minorHAnsi" w:eastAsia="Times New Roman"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 xml:space="preserve">Plan A is a calendar year plan. Plan B has a plan year that begins on October 1.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AE348E">
        <w:rPr>
          <w:rFonts w:asciiTheme="minorHAnsi" w:hAnsiTheme="minorHAnsi" w:cs="Calibri"/>
          <w:sz w:val="22"/>
          <w:szCs w:val="22"/>
        </w:rPr>
        <w:t>2018</w:t>
      </w:r>
      <w:r w:rsidR="00000F82">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14:paraId="75E759C9" w14:textId="77777777" w:rsidR="00F5238F" w:rsidRPr="00F5238F" w:rsidRDefault="00F5238F" w:rsidP="00277A04">
      <w:pPr>
        <w:numPr>
          <w:ilvl w:val="0"/>
          <w:numId w:val="14"/>
        </w:numPr>
        <w:tabs>
          <w:tab w:val="clear" w:pos="720"/>
          <w:tab w:val="num" w:pos="450"/>
          <w:tab w:val="num" w:pos="540"/>
        </w:tabs>
        <w:autoSpaceDE w:val="0"/>
        <w:autoSpaceDN w:val="0"/>
        <w:adjustRightInd w:val="0"/>
        <w:spacing w:before="120"/>
        <w:ind w:left="360"/>
        <w:rPr>
          <w:rFonts w:asciiTheme="minorHAnsi" w:hAnsiTheme="minorHAnsi" w:cs="Calibri"/>
          <w:sz w:val="22"/>
          <w:szCs w:val="22"/>
        </w:rPr>
      </w:pPr>
      <w:r>
        <w:rPr>
          <w:rFonts w:asciiTheme="minorHAnsi" w:hAnsiTheme="minorHAnsi"/>
          <w:sz w:val="22"/>
          <w:szCs w:val="22"/>
        </w:rPr>
        <w:t xml:space="preserve">Plan A: </w:t>
      </w:r>
      <w:r w:rsidR="002D21C9" w:rsidRPr="00F5238F">
        <w:rPr>
          <w:rFonts w:asciiTheme="minorHAnsi" w:hAnsiTheme="minorHAnsi"/>
          <w:sz w:val="22"/>
          <w:szCs w:val="22"/>
        </w:rPr>
        <w:t xml:space="preserve">The Merger has no effect on the amount of Plan A’s </w:t>
      </w:r>
      <w:r w:rsidR="00AE348E">
        <w:rPr>
          <w:rFonts w:asciiTheme="minorHAnsi" w:hAnsiTheme="minorHAnsi"/>
          <w:sz w:val="22"/>
          <w:szCs w:val="22"/>
        </w:rPr>
        <w:t>2018</w:t>
      </w:r>
      <w:r w:rsidR="002D21C9" w:rsidRPr="00F5238F">
        <w:rPr>
          <w:rFonts w:asciiTheme="minorHAnsi" w:hAnsiTheme="minorHAnsi"/>
          <w:sz w:val="22"/>
          <w:szCs w:val="22"/>
        </w:rPr>
        <w:t xml:space="preserve"> premium.  </w:t>
      </w:r>
      <w:r w:rsidRPr="00F5238F">
        <w:rPr>
          <w:rFonts w:asciiTheme="minorHAnsi" w:hAnsiTheme="minorHAnsi"/>
          <w:sz w:val="22"/>
          <w:szCs w:val="22"/>
        </w:rPr>
        <w:t>Because</w:t>
      </w:r>
      <w:r w:rsidR="002D21C9" w:rsidRPr="00F5238F">
        <w:rPr>
          <w:rFonts w:asciiTheme="minorHAnsi" w:hAnsiTheme="minorHAnsi"/>
          <w:sz w:val="22"/>
          <w:szCs w:val="22"/>
        </w:rPr>
        <w:t xml:space="preserve"> the Merger occurs after the due date for Plan A’s </w:t>
      </w:r>
      <w:r w:rsidR="00AE348E">
        <w:rPr>
          <w:rFonts w:asciiTheme="minorHAnsi" w:hAnsiTheme="minorHAnsi"/>
          <w:sz w:val="22"/>
          <w:szCs w:val="22"/>
        </w:rPr>
        <w:t>2018</w:t>
      </w:r>
      <w:r w:rsidR="002D21C9" w:rsidRPr="00F5238F">
        <w:rPr>
          <w:rFonts w:asciiTheme="minorHAnsi" w:hAnsiTheme="minorHAnsi"/>
          <w:sz w:val="22"/>
          <w:szCs w:val="22"/>
        </w:rPr>
        <w:t xml:space="preserve"> Comprehensive Premium Filing, </w:t>
      </w:r>
      <w:r w:rsidRPr="00F5238F">
        <w:rPr>
          <w:rFonts w:asciiTheme="minorHAnsi" w:hAnsiTheme="minorHAnsi"/>
          <w:sz w:val="22"/>
          <w:szCs w:val="22"/>
        </w:rPr>
        <w:t xml:space="preserve">Plan A will not report the Merger in </w:t>
      </w:r>
      <w:r w:rsidRPr="00F5238F">
        <w:rPr>
          <w:rFonts w:asciiTheme="minorHAnsi" w:hAnsiTheme="minorHAnsi" w:cs="Calibri"/>
          <w:sz w:val="22"/>
          <w:szCs w:val="22"/>
        </w:rPr>
        <w:t xml:space="preserve">in the “Transfers from other plans” item until the </w:t>
      </w:r>
      <w:r w:rsidR="00AE348E">
        <w:rPr>
          <w:rFonts w:asciiTheme="minorHAnsi" w:hAnsiTheme="minorHAnsi" w:cs="Calibri"/>
          <w:sz w:val="22"/>
          <w:szCs w:val="22"/>
        </w:rPr>
        <w:t>2019</w:t>
      </w:r>
      <w:r w:rsidRPr="00F5238F">
        <w:rPr>
          <w:rFonts w:asciiTheme="minorHAnsi" w:hAnsiTheme="minorHAnsi" w:cs="Calibri"/>
          <w:sz w:val="22"/>
          <w:szCs w:val="22"/>
        </w:rPr>
        <w:t xml:space="preserve"> filing.</w:t>
      </w:r>
    </w:p>
    <w:p w14:paraId="476C65D6" w14:textId="74B7C2B4" w:rsidR="00C42D45" w:rsidRDefault="00F5238F" w:rsidP="00C42D45">
      <w:pPr>
        <w:numPr>
          <w:ilvl w:val="0"/>
          <w:numId w:val="14"/>
        </w:numPr>
        <w:tabs>
          <w:tab w:val="clear" w:pos="720"/>
          <w:tab w:val="num" w:pos="450"/>
          <w:tab w:val="num" w:pos="540"/>
        </w:tabs>
        <w:autoSpaceDE w:val="0"/>
        <w:autoSpaceDN w:val="0"/>
        <w:adjustRightInd w:val="0"/>
        <w:spacing w:before="120"/>
        <w:ind w:left="360"/>
        <w:rPr>
          <w:rFonts w:asciiTheme="minorHAnsi" w:hAnsiTheme="minorHAnsi"/>
          <w:sz w:val="22"/>
          <w:szCs w:val="22"/>
        </w:rPr>
      </w:pPr>
      <w:r w:rsidRPr="00C42D45">
        <w:rPr>
          <w:rFonts w:asciiTheme="minorHAnsi" w:hAnsiTheme="minorHAnsi" w:cs="Calibri"/>
          <w:sz w:val="22"/>
          <w:szCs w:val="22"/>
        </w:rPr>
        <w:t xml:space="preserve">Plan B: </w:t>
      </w:r>
      <w:r w:rsidR="00C42D45" w:rsidRPr="00C42D45">
        <w:rPr>
          <w:rFonts w:asciiTheme="minorHAnsi" w:hAnsiTheme="minorHAnsi" w:cs="Calibri"/>
          <w:sz w:val="22"/>
          <w:szCs w:val="22"/>
        </w:rPr>
        <w:t xml:space="preserve"> </w:t>
      </w:r>
      <w:r w:rsidR="00B91FDC" w:rsidRPr="00C42D45">
        <w:rPr>
          <w:rFonts w:asciiTheme="minorHAnsi" w:hAnsiTheme="minorHAnsi"/>
          <w:sz w:val="22"/>
          <w:szCs w:val="22"/>
        </w:rPr>
        <w:t xml:space="preserve">Although </w:t>
      </w:r>
      <w:r w:rsidR="00EA4353" w:rsidRPr="00C42D45">
        <w:rPr>
          <w:rFonts w:asciiTheme="minorHAnsi" w:hAnsiTheme="minorHAnsi"/>
          <w:sz w:val="22"/>
          <w:szCs w:val="22"/>
        </w:rPr>
        <w:t xml:space="preserve">Plan B’s </w:t>
      </w:r>
      <w:r w:rsidR="00AE348E">
        <w:rPr>
          <w:rFonts w:asciiTheme="minorHAnsi" w:hAnsiTheme="minorHAnsi"/>
          <w:sz w:val="22"/>
          <w:szCs w:val="22"/>
        </w:rPr>
        <w:t>2018</w:t>
      </w:r>
      <w:r w:rsidR="00EA4353" w:rsidRPr="00C42D45">
        <w:rPr>
          <w:rFonts w:asciiTheme="minorHAnsi" w:hAnsiTheme="minorHAnsi"/>
          <w:sz w:val="22"/>
          <w:szCs w:val="22"/>
        </w:rPr>
        <w:t xml:space="preserve"> plan year is a short plan year (October 1, </w:t>
      </w:r>
      <w:r w:rsidR="00AE348E">
        <w:rPr>
          <w:rFonts w:asciiTheme="minorHAnsi" w:hAnsiTheme="minorHAnsi"/>
          <w:sz w:val="22"/>
          <w:szCs w:val="22"/>
        </w:rPr>
        <w:t>2018</w:t>
      </w:r>
      <w:r w:rsidR="00EA4353" w:rsidRPr="00C42D45">
        <w:rPr>
          <w:rFonts w:asciiTheme="minorHAnsi" w:hAnsiTheme="minorHAnsi"/>
          <w:sz w:val="22"/>
          <w:szCs w:val="22"/>
        </w:rPr>
        <w:t xml:space="preserve"> – November 30, </w:t>
      </w:r>
      <w:r w:rsidR="00AE348E">
        <w:rPr>
          <w:rFonts w:asciiTheme="minorHAnsi" w:hAnsiTheme="minorHAnsi"/>
          <w:sz w:val="22"/>
          <w:szCs w:val="22"/>
        </w:rPr>
        <w:t>2018</w:t>
      </w:r>
      <w:r w:rsidR="00EA4353" w:rsidRPr="00C42D45">
        <w:rPr>
          <w:rFonts w:asciiTheme="minorHAnsi" w:hAnsiTheme="minorHAnsi"/>
          <w:sz w:val="22"/>
          <w:szCs w:val="22"/>
        </w:rPr>
        <w:t>)</w:t>
      </w:r>
      <w:r w:rsidR="00B91FDC" w:rsidRPr="00C42D45">
        <w:rPr>
          <w:rFonts w:asciiTheme="minorHAnsi" w:hAnsiTheme="minorHAnsi"/>
          <w:sz w:val="22"/>
          <w:szCs w:val="22"/>
        </w:rPr>
        <w:t xml:space="preserve">, Plan B’s </w:t>
      </w:r>
      <w:r w:rsidR="00AE348E">
        <w:rPr>
          <w:rFonts w:asciiTheme="minorHAnsi" w:hAnsiTheme="minorHAnsi"/>
          <w:sz w:val="22"/>
          <w:szCs w:val="22"/>
        </w:rPr>
        <w:t>2018</w:t>
      </w:r>
      <w:r w:rsidR="00B91FDC" w:rsidRPr="00C42D45">
        <w:rPr>
          <w:rFonts w:asciiTheme="minorHAnsi" w:hAnsiTheme="minorHAnsi"/>
          <w:sz w:val="22"/>
          <w:szCs w:val="22"/>
        </w:rPr>
        <w:t xml:space="preserve"> premium is not pro-rated because the </w:t>
      </w:r>
      <w:r w:rsidR="00556E11">
        <w:rPr>
          <w:rFonts w:asciiTheme="minorHAnsi" w:hAnsiTheme="minorHAnsi"/>
          <w:sz w:val="22"/>
          <w:szCs w:val="22"/>
        </w:rPr>
        <w:t xml:space="preserve">short plan year was created as </w:t>
      </w:r>
      <w:r w:rsidR="00B91FDC" w:rsidRPr="00C42D45">
        <w:rPr>
          <w:rFonts w:asciiTheme="minorHAnsi" w:hAnsiTheme="minorHAnsi"/>
          <w:sz w:val="22"/>
          <w:szCs w:val="22"/>
        </w:rPr>
        <w:t>the result of a mid-year Merger.</w:t>
      </w:r>
      <w:r w:rsidRPr="00C42D45">
        <w:rPr>
          <w:rFonts w:asciiTheme="minorHAnsi" w:hAnsiTheme="minorHAnsi"/>
          <w:sz w:val="22"/>
          <w:szCs w:val="22"/>
        </w:rPr>
        <w:t xml:space="preserve">  </w:t>
      </w:r>
      <w:r w:rsidR="00C42D45">
        <w:rPr>
          <w:rFonts w:asciiTheme="minorHAnsi" w:hAnsiTheme="minorHAnsi"/>
          <w:sz w:val="22"/>
          <w:szCs w:val="22"/>
        </w:rPr>
        <w:t xml:space="preserve">In its </w:t>
      </w:r>
      <w:r w:rsidR="00AE348E">
        <w:rPr>
          <w:rFonts w:asciiTheme="minorHAnsi" w:hAnsiTheme="minorHAnsi"/>
          <w:sz w:val="22"/>
          <w:szCs w:val="22"/>
        </w:rPr>
        <w:t>2018</w:t>
      </w:r>
      <w:r w:rsidR="00C42D45">
        <w:rPr>
          <w:rFonts w:asciiTheme="minorHAnsi" w:hAnsiTheme="minorHAnsi"/>
          <w:sz w:val="22"/>
          <w:szCs w:val="22"/>
        </w:rPr>
        <w:t xml:space="preserve"> Comprehensive Premium Filing, </w:t>
      </w:r>
      <w:r w:rsidR="00C42D45" w:rsidRPr="001B1049">
        <w:rPr>
          <w:rFonts w:asciiTheme="minorHAnsi" w:hAnsiTheme="minorHAnsi"/>
          <w:sz w:val="22"/>
          <w:szCs w:val="22"/>
        </w:rPr>
        <w:t xml:space="preserve">Plan </w:t>
      </w:r>
      <w:r w:rsidR="00C42D45">
        <w:rPr>
          <w:rFonts w:asciiTheme="minorHAnsi" w:hAnsiTheme="minorHAnsi"/>
          <w:sz w:val="22"/>
          <w:szCs w:val="22"/>
        </w:rPr>
        <w:t>B</w:t>
      </w:r>
      <w:r w:rsidR="00C42D45" w:rsidRPr="001B1049">
        <w:rPr>
          <w:rFonts w:asciiTheme="minorHAnsi" w:hAnsiTheme="minorHAnsi"/>
          <w:sz w:val="22"/>
          <w:szCs w:val="22"/>
        </w:rPr>
        <w:t xml:space="preserve"> reports the </w:t>
      </w:r>
      <w:r w:rsidR="00C42D45">
        <w:rPr>
          <w:rFonts w:asciiTheme="minorHAnsi" w:hAnsiTheme="minorHAnsi"/>
          <w:sz w:val="22"/>
          <w:szCs w:val="22"/>
        </w:rPr>
        <w:t>Merger in</w:t>
      </w:r>
      <w:r w:rsidR="00C42D45" w:rsidRPr="001B1049">
        <w:rPr>
          <w:rFonts w:asciiTheme="minorHAnsi" w:hAnsiTheme="minorHAnsi"/>
          <w:sz w:val="22"/>
          <w:szCs w:val="22"/>
        </w:rPr>
        <w:t xml:space="preserve"> </w:t>
      </w:r>
      <w:r w:rsidR="00C42D45">
        <w:rPr>
          <w:rFonts w:asciiTheme="minorHAnsi" w:hAnsiTheme="minorHAnsi"/>
          <w:sz w:val="22"/>
          <w:szCs w:val="22"/>
        </w:rPr>
        <w:t>the “T</w:t>
      </w:r>
      <w:r w:rsidR="00C42D45" w:rsidRPr="001B1049">
        <w:rPr>
          <w:rFonts w:asciiTheme="minorHAnsi" w:hAnsiTheme="minorHAnsi"/>
          <w:sz w:val="22"/>
          <w:szCs w:val="22"/>
        </w:rPr>
        <w:t>ransfers to other plans</w:t>
      </w:r>
      <w:r w:rsidR="00C42D45">
        <w:rPr>
          <w:rFonts w:asciiTheme="minorHAnsi" w:hAnsiTheme="minorHAnsi"/>
          <w:sz w:val="22"/>
          <w:szCs w:val="22"/>
        </w:rPr>
        <w:t xml:space="preserve">” item and in the “Final Filing” item.  </w:t>
      </w:r>
    </w:p>
    <w:p w14:paraId="248B9949" w14:textId="77777777" w:rsidR="001F7140" w:rsidRDefault="001F7140" w:rsidP="001F7140">
      <w:pPr>
        <w:rPr>
          <w:rFonts w:asciiTheme="minorHAnsi" w:eastAsia="Times New Roman" w:hAnsiTheme="minorHAnsi" w:cs="Arial"/>
          <w:i/>
          <w:sz w:val="22"/>
          <w:szCs w:val="22"/>
          <w:lang w:eastAsia="en-US"/>
        </w:rPr>
      </w:pPr>
    </w:p>
    <w:p w14:paraId="1A84577E" w14:textId="77777777" w:rsidR="00D91F0B" w:rsidRDefault="009319F3" w:rsidP="009319F3">
      <w:pPr>
        <w:spacing w:before="120"/>
        <w:rPr>
          <w:rFonts w:asciiTheme="minorHAnsi" w:hAnsiTheme="minorHAnsi" w:cs="Calibri"/>
          <w:sz w:val="22"/>
          <w:szCs w:val="22"/>
        </w:rPr>
      </w:pPr>
      <w:r>
        <w:rPr>
          <w:rFonts w:asciiTheme="minorHAnsi" w:eastAsia="Times New Roman" w:hAnsiTheme="minorHAnsi" w:cs="Arial"/>
          <w:i/>
          <w:sz w:val="22"/>
          <w:szCs w:val="22"/>
          <w:lang w:eastAsia="en-US"/>
        </w:rPr>
        <w:t xml:space="preserve">Example </w:t>
      </w:r>
      <w:r w:rsidR="001F7140">
        <w:rPr>
          <w:rFonts w:asciiTheme="minorHAnsi" w:eastAsia="Times New Roman" w:hAnsiTheme="minorHAnsi" w:cs="Arial"/>
          <w:i/>
          <w:sz w:val="22"/>
          <w:szCs w:val="22"/>
          <w:lang w:eastAsia="en-US"/>
        </w:rPr>
        <w:t>7</w:t>
      </w:r>
      <w:r>
        <w:rPr>
          <w:rFonts w:asciiTheme="minorHAnsi" w:eastAsia="Times New Roman" w:hAnsiTheme="minorHAnsi" w:cs="Arial"/>
          <w:i/>
          <w:sz w:val="22"/>
          <w:szCs w:val="22"/>
          <w:lang w:eastAsia="en-US"/>
        </w:rPr>
        <w:t xml:space="preserve"> (</w:t>
      </w:r>
      <w:r w:rsidR="00B00E27">
        <w:rPr>
          <w:rFonts w:asciiTheme="minorHAnsi" w:eastAsia="Times New Roman" w:hAnsiTheme="minorHAnsi" w:cs="Arial"/>
          <w:i/>
          <w:sz w:val="22"/>
          <w:szCs w:val="22"/>
          <w:lang w:eastAsia="en-US"/>
        </w:rPr>
        <w:t>Consolidation</w:t>
      </w:r>
      <w:r>
        <w:rPr>
          <w:rFonts w:asciiTheme="minorHAnsi" w:eastAsia="Times New Roman" w:hAnsiTheme="minorHAnsi" w:cs="Arial"/>
          <w:i/>
          <w:sz w:val="22"/>
          <w:szCs w:val="22"/>
          <w:lang w:eastAsia="en-US"/>
        </w:rPr>
        <w:t xml:space="preserve">) - </w:t>
      </w:r>
      <w:r w:rsidR="006E0271">
        <w:rPr>
          <w:rFonts w:asciiTheme="minorHAnsi" w:hAnsiTheme="minorHAnsi" w:cs="Calibri"/>
          <w:sz w:val="22"/>
          <w:szCs w:val="22"/>
        </w:rPr>
        <w:t xml:space="preserve">On March 1, </w:t>
      </w:r>
      <w:r w:rsidR="00AE348E">
        <w:rPr>
          <w:rFonts w:asciiTheme="minorHAnsi" w:hAnsiTheme="minorHAnsi" w:cs="Calibri"/>
          <w:sz w:val="22"/>
          <w:szCs w:val="22"/>
        </w:rPr>
        <w:t>2018</w:t>
      </w:r>
      <w:r w:rsidR="006E0271">
        <w:rPr>
          <w:rFonts w:asciiTheme="minorHAnsi" w:hAnsiTheme="minorHAnsi" w:cs="Calibri"/>
          <w:sz w:val="22"/>
          <w:szCs w:val="22"/>
        </w:rPr>
        <w:t>, three plans (A, B, and C)</w:t>
      </w:r>
      <w:r w:rsidR="006E0271" w:rsidRPr="00D85117">
        <w:rPr>
          <w:rFonts w:asciiTheme="minorHAnsi" w:hAnsiTheme="minorHAnsi" w:cs="Calibri"/>
          <w:sz w:val="22"/>
          <w:szCs w:val="22"/>
        </w:rPr>
        <w:t xml:space="preserve"> </w:t>
      </w:r>
      <w:r w:rsidR="006E0271">
        <w:rPr>
          <w:rFonts w:asciiTheme="minorHAnsi" w:hAnsiTheme="minorHAnsi" w:cs="Calibri"/>
          <w:sz w:val="22"/>
          <w:szCs w:val="22"/>
        </w:rPr>
        <w:t>were consolidated into a New Plan D and thus ceased to exist.  Prior to the Consolidation, Plan A</w:t>
      </w:r>
      <w:r w:rsidR="00B00E27">
        <w:rPr>
          <w:rFonts w:asciiTheme="minorHAnsi" w:hAnsiTheme="minorHAnsi" w:cs="Calibri"/>
          <w:sz w:val="22"/>
          <w:szCs w:val="22"/>
        </w:rPr>
        <w:t xml:space="preserve"> </w:t>
      </w:r>
      <w:r w:rsidR="006E0271">
        <w:rPr>
          <w:rFonts w:asciiTheme="minorHAnsi" w:hAnsiTheme="minorHAnsi" w:cs="Calibri"/>
          <w:sz w:val="22"/>
          <w:szCs w:val="22"/>
        </w:rPr>
        <w:t xml:space="preserve">had </w:t>
      </w:r>
      <w:r w:rsidR="00B00E27">
        <w:rPr>
          <w:rFonts w:asciiTheme="minorHAnsi" w:hAnsiTheme="minorHAnsi" w:cs="Calibri"/>
          <w:sz w:val="22"/>
          <w:szCs w:val="22"/>
        </w:rPr>
        <w:t>a calendar year plan</w:t>
      </w:r>
      <w:r w:rsidR="006E0271">
        <w:rPr>
          <w:rFonts w:asciiTheme="minorHAnsi" w:hAnsiTheme="minorHAnsi" w:cs="Calibri"/>
          <w:sz w:val="22"/>
          <w:szCs w:val="22"/>
        </w:rPr>
        <w:t xml:space="preserve"> year</w:t>
      </w:r>
      <w:r w:rsidR="00FF78D3">
        <w:rPr>
          <w:rFonts w:asciiTheme="minorHAnsi" w:hAnsiTheme="minorHAnsi" w:cs="Calibri"/>
          <w:sz w:val="22"/>
          <w:szCs w:val="22"/>
        </w:rPr>
        <w:t xml:space="preserve">.  Plan B and C’s plan years began on </w:t>
      </w:r>
      <w:r w:rsidR="00B00E27">
        <w:rPr>
          <w:rFonts w:asciiTheme="minorHAnsi" w:hAnsiTheme="minorHAnsi" w:cs="Calibri"/>
          <w:sz w:val="22"/>
          <w:szCs w:val="22"/>
        </w:rPr>
        <w:t>March 1</w:t>
      </w:r>
      <w:r w:rsidR="00FF78D3">
        <w:rPr>
          <w:rFonts w:asciiTheme="minorHAnsi" w:hAnsiTheme="minorHAnsi" w:cs="Calibri"/>
          <w:sz w:val="22"/>
          <w:szCs w:val="22"/>
        </w:rPr>
        <w:t xml:space="preserve"> and October 1, respectively.  </w:t>
      </w:r>
      <w:r w:rsidR="00E81CD5">
        <w:rPr>
          <w:rFonts w:asciiTheme="minorHAnsi" w:hAnsiTheme="minorHAnsi" w:cs="Calibri"/>
          <w:sz w:val="22"/>
          <w:szCs w:val="22"/>
        </w:rPr>
        <w:t xml:space="preserve">Neither Plan A, B or C was a Small Plan.  </w:t>
      </w:r>
      <w:r w:rsidR="00D91F0B">
        <w:rPr>
          <w:rFonts w:asciiTheme="minorHAnsi" w:hAnsiTheme="minorHAnsi" w:cs="Calibri"/>
          <w:sz w:val="22"/>
          <w:szCs w:val="22"/>
        </w:rPr>
        <w:t xml:space="preserve">Plan D has a calendar year plan year.  </w:t>
      </w:r>
    </w:p>
    <w:p w14:paraId="621D4BAC" w14:textId="77777777" w:rsidR="00E81CD5" w:rsidRDefault="00AE348E" w:rsidP="009319F3">
      <w:pPr>
        <w:spacing w:before="120"/>
        <w:rPr>
          <w:rFonts w:asciiTheme="minorHAnsi" w:hAnsiTheme="minorHAnsi" w:cs="Calibri"/>
          <w:sz w:val="22"/>
          <w:szCs w:val="22"/>
        </w:rPr>
      </w:pPr>
      <w:r>
        <w:rPr>
          <w:rFonts w:asciiTheme="minorHAnsi" w:hAnsiTheme="minorHAnsi" w:cs="Calibri"/>
          <w:sz w:val="22"/>
          <w:szCs w:val="22"/>
        </w:rPr>
        <w:t>2018</w:t>
      </w:r>
      <w:r w:rsidR="00743F4C">
        <w:rPr>
          <w:rFonts w:asciiTheme="minorHAnsi" w:hAnsiTheme="minorHAnsi" w:cs="Calibri"/>
          <w:sz w:val="22"/>
          <w:szCs w:val="22"/>
        </w:rPr>
        <w:t xml:space="preserve"> premiums are determined as follows:</w:t>
      </w:r>
    </w:p>
    <w:p w14:paraId="18ECE997" w14:textId="77777777" w:rsidR="00743F4C" w:rsidRDefault="00743F4C" w:rsidP="00743F4C">
      <w:pPr>
        <w:numPr>
          <w:ilvl w:val="0"/>
          <w:numId w:val="14"/>
        </w:numPr>
        <w:tabs>
          <w:tab w:val="clear" w:pos="720"/>
          <w:tab w:val="num" w:pos="540"/>
        </w:tabs>
        <w:autoSpaceDE w:val="0"/>
        <w:autoSpaceDN w:val="0"/>
        <w:adjustRightInd w:val="0"/>
        <w:spacing w:before="120"/>
        <w:ind w:left="360"/>
        <w:rPr>
          <w:rFonts w:asciiTheme="minorHAnsi" w:hAnsiTheme="minorHAnsi"/>
          <w:sz w:val="22"/>
          <w:szCs w:val="22"/>
        </w:rPr>
      </w:pPr>
      <w:r w:rsidRPr="00743F4C">
        <w:rPr>
          <w:rFonts w:asciiTheme="minorHAnsi" w:hAnsiTheme="minorHAnsi"/>
          <w:sz w:val="22"/>
          <w:szCs w:val="22"/>
        </w:rPr>
        <w:t xml:space="preserve">Plan A </w:t>
      </w:r>
      <w:r>
        <w:rPr>
          <w:rFonts w:asciiTheme="minorHAnsi" w:hAnsiTheme="minorHAnsi"/>
          <w:sz w:val="22"/>
          <w:szCs w:val="22"/>
        </w:rPr>
        <w:t xml:space="preserve">– The </w:t>
      </w:r>
      <w:r w:rsidR="00DF5789">
        <w:rPr>
          <w:rFonts w:asciiTheme="minorHAnsi" w:hAnsiTheme="minorHAnsi"/>
          <w:sz w:val="22"/>
          <w:szCs w:val="22"/>
        </w:rPr>
        <w:t>C</w:t>
      </w:r>
      <w:r>
        <w:rPr>
          <w:rFonts w:asciiTheme="minorHAnsi" w:hAnsiTheme="minorHAnsi"/>
          <w:sz w:val="22"/>
          <w:szCs w:val="22"/>
        </w:rPr>
        <w:t xml:space="preserve">onsolidation has no effect on the amount of the </w:t>
      </w:r>
      <w:r w:rsidR="00AE348E">
        <w:rPr>
          <w:rFonts w:asciiTheme="minorHAnsi" w:hAnsiTheme="minorHAnsi"/>
          <w:sz w:val="22"/>
          <w:szCs w:val="22"/>
        </w:rPr>
        <w:t>2018</w:t>
      </w:r>
      <w:r>
        <w:rPr>
          <w:rFonts w:asciiTheme="minorHAnsi" w:hAnsiTheme="minorHAnsi"/>
          <w:sz w:val="22"/>
          <w:szCs w:val="22"/>
        </w:rPr>
        <w:t xml:space="preserve"> premium owed or the due date.  Despite the short plan year (January 1, </w:t>
      </w:r>
      <w:r w:rsidR="00AE348E">
        <w:rPr>
          <w:rFonts w:asciiTheme="minorHAnsi" w:hAnsiTheme="minorHAnsi"/>
          <w:sz w:val="22"/>
          <w:szCs w:val="22"/>
        </w:rPr>
        <w:t>2018</w:t>
      </w:r>
      <w:r>
        <w:rPr>
          <w:rFonts w:asciiTheme="minorHAnsi" w:hAnsiTheme="minorHAnsi"/>
          <w:sz w:val="22"/>
          <w:szCs w:val="22"/>
        </w:rPr>
        <w:t xml:space="preserve"> </w:t>
      </w:r>
      <w:r w:rsidR="009A76E0">
        <w:rPr>
          <w:rFonts w:asciiTheme="minorHAnsi" w:hAnsiTheme="minorHAnsi"/>
          <w:sz w:val="22"/>
          <w:szCs w:val="22"/>
        </w:rPr>
        <w:t>–</w:t>
      </w:r>
      <w:r>
        <w:rPr>
          <w:rFonts w:asciiTheme="minorHAnsi" w:hAnsiTheme="minorHAnsi"/>
          <w:sz w:val="22"/>
          <w:szCs w:val="22"/>
        </w:rPr>
        <w:t xml:space="preserve"> </w:t>
      </w:r>
      <w:r w:rsidR="009A76E0">
        <w:rPr>
          <w:rFonts w:asciiTheme="minorHAnsi" w:hAnsiTheme="minorHAnsi"/>
          <w:sz w:val="22"/>
          <w:szCs w:val="22"/>
        </w:rPr>
        <w:t xml:space="preserve">February 28, </w:t>
      </w:r>
      <w:r w:rsidR="00AE348E">
        <w:rPr>
          <w:rFonts w:asciiTheme="minorHAnsi" w:hAnsiTheme="minorHAnsi"/>
          <w:sz w:val="22"/>
          <w:szCs w:val="22"/>
        </w:rPr>
        <w:t>2018</w:t>
      </w:r>
      <w:r>
        <w:rPr>
          <w:rFonts w:asciiTheme="minorHAnsi" w:hAnsiTheme="minorHAnsi"/>
          <w:sz w:val="22"/>
          <w:szCs w:val="22"/>
        </w:rPr>
        <w:t>), the plan does not qualify for premium pro-ration.</w:t>
      </w:r>
    </w:p>
    <w:p w14:paraId="53CA131B" w14:textId="77777777" w:rsidR="005B4DF6" w:rsidRDefault="00743F4C" w:rsidP="005B4DF6">
      <w:pPr>
        <w:numPr>
          <w:ilvl w:val="0"/>
          <w:numId w:val="14"/>
        </w:numPr>
        <w:tabs>
          <w:tab w:val="clear" w:pos="720"/>
          <w:tab w:val="num" w:pos="540"/>
        </w:tabs>
        <w:autoSpaceDE w:val="0"/>
        <w:autoSpaceDN w:val="0"/>
        <w:adjustRightInd w:val="0"/>
        <w:spacing w:before="120"/>
        <w:ind w:left="360"/>
        <w:rPr>
          <w:rFonts w:asciiTheme="minorHAnsi" w:hAnsiTheme="minorHAnsi" w:cs="Calibri"/>
          <w:sz w:val="22"/>
          <w:szCs w:val="22"/>
        </w:rPr>
      </w:pPr>
      <w:r w:rsidRPr="00743F4C">
        <w:rPr>
          <w:rFonts w:asciiTheme="minorHAnsi" w:hAnsiTheme="minorHAnsi"/>
          <w:sz w:val="22"/>
          <w:szCs w:val="22"/>
        </w:rPr>
        <w:t xml:space="preserve">Plan </w:t>
      </w:r>
      <w:r w:rsidR="005E4C55" w:rsidRPr="00743F4C">
        <w:rPr>
          <w:rFonts w:asciiTheme="minorHAnsi" w:hAnsiTheme="minorHAnsi"/>
          <w:sz w:val="22"/>
          <w:szCs w:val="22"/>
        </w:rPr>
        <w:t>B –</w:t>
      </w:r>
      <w:r>
        <w:rPr>
          <w:rFonts w:asciiTheme="minorHAnsi" w:hAnsiTheme="minorHAnsi"/>
          <w:sz w:val="22"/>
          <w:szCs w:val="22"/>
        </w:rPr>
        <w:t xml:space="preserve"> Because the plan ceased to exi</w:t>
      </w:r>
      <w:r w:rsidR="00E80F23">
        <w:rPr>
          <w:rFonts w:asciiTheme="minorHAnsi" w:hAnsiTheme="minorHAnsi"/>
          <w:sz w:val="22"/>
          <w:szCs w:val="22"/>
        </w:rPr>
        <w:t>s</w:t>
      </w:r>
      <w:r>
        <w:rPr>
          <w:rFonts w:asciiTheme="minorHAnsi" w:hAnsiTheme="minorHAnsi"/>
          <w:sz w:val="22"/>
          <w:szCs w:val="22"/>
        </w:rPr>
        <w:t xml:space="preserve">t on what would have been the first day of Plan B’s </w:t>
      </w:r>
      <w:r w:rsidR="00AE348E">
        <w:rPr>
          <w:rFonts w:asciiTheme="minorHAnsi" w:hAnsiTheme="minorHAnsi"/>
          <w:sz w:val="22"/>
          <w:szCs w:val="22"/>
        </w:rPr>
        <w:t>2018</w:t>
      </w:r>
      <w:r>
        <w:rPr>
          <w:rFonts w:asciiTheme="minorHAnsi" w:hAnsiTheme="minorHAnsi"/>
          <w:sz w:val="22"/>
          <w:szCs w:val="22"/>
        </w:rPr>
        <w:t xml:space="preserve"> plan year, Plan B is not </w:t>
      </w:r>
      <w:r w:rsidR="005E4C55">
        <w:rPr>
          <w:rFonts w:asciiTheme="minorHAnsi" w:hAnsiTheme="minorHAnsi"/>
          <w:sz w:val="22"/>
          <w:szCs w:val="22"/>
        </w:rPr>
        <w:t xml:space="preserve">required to submit a </w:t>
      </w:r>
      <w:r w:rsidR="00AE348E">
        <w:rPr>
          <w:rFonts w:asciiTheme="minorHAnsi" w:hAnsiTheme="minorHAnsi"/>
          <w:sz w:val="22"/>
          <w:szCs w:val="22"/>
        </w:rPr>
        <w:t>2018</w:t>
      </w:r>
      <w:r w:rsidR="005E4C55">
        <w:rPr>
          <w:rFonts w:asciiTheme="minorHAnsi" w:hAnsiTheme="minorHAnsi"/>
          <w:sz w:val="22"/>
          <w:szCs w:val="22"/>
        </w:rPr>
        <w:t xml:space="preserve"> Comprehensive Premium Filing. </w:t>
      </w:r>
      <w:r w:rsidR="005B4DF6" w:rsidRPr="00E80F23">
        <w:rPr>
          <w:rFonts w:asciiTheme="minorHAnsi" w:hAnsiTheme="minorHAnsi"/>
          <w:sz w:val="22"/>
          <w:szCs w:val="22"/>
        </w:rPr>
        <w:t xml:space="preserve"> In other words, the </w:t>
      </w:r>
      <w:r w:rsidR="005B4DF6">
        <w:rPr>
          <w:rFonts w:asciiTheme="minorHAnsi" w:hAnsiTheme="minorHAnsi" w:cs="Calibri"/>
          <w:sz w:val="22"/>
          <w:szCs w:val="22"/>
        </w:rPr>
        <w:t>Consolidation</w:t>
      </w:r>
      <w:r w:rsidR="005B4DF6" w:rsidRPr="00E80F23">
        <w:rPr>
          <w:rFonts w:asciiTheme="minorHAnsi" w:hAnsiTheme="minorHAnsi" w:cs="Calibri"/>
          <w:sz w:val="22"/>
          <w:szCs w:val="22"/>
        </w:rPr>
        <w:t xml:space="preserve"> is deemed to be effective before the </w:t>
      </w:r>
      <w:r w:rsidR="00AE348E">
        <w:rPr>
          <w:rFonts w:asciiTheme="minorHAnsi" w:hAnsiTheme="minorHAnsi" w:cs="Calibri"/>
          <w:sz w:val="22"/>
          <w:szCs w:val="22"/>
        </w:rPr>
        <w:t>2018</w:t>
      </w:r>
      <w:r w:rsidR="005B4DF6" w:rsidRPr="00E80F23">
        <w:rPr>
          <w:rFonts w:asciiTheme="minorHAnsi" w:hAnsiTheme="minorHAnsi" w:cs="Calibri"/>
          <w:sz w:val="22"/>
          <w:szCs w:val="22"/>
        </w:rPr>
        <w:t xml:space="preserve"> plan year</w:t>
      </w:r>
      <w:r w:rsidR="005B4DF6">
        <w:rPr>
          <w:rFonts w:asciiTheme="minorHAnsi" w:hAnsiTheme="minorHAnsi" w:cs="Calibri"/>
          <w:sz w:val="22"/>
          <w:szCs w:val="22"/>
        </w:rPr>
        <w:t xml:space="preserve"> begins.</w:t>
      </w:r>
    </w:p>
    <w:p w14:paraId="0A4BD711" w14:textId="635370A2" w:rsidR="00743F4C" w:rsidRDefault="00743F4C" w:rsidP="009A76E0">
      <w:pPr>
        <w:numPr>
          <w:ilvl w:val="0"/>
          <w:numId w:val="14"/>
        </w:numPr>
        <w:tabs>
          <w:tab w:val="clear" w:pos="720"/>
          <w:tab w:val="num" w:pos="540"/>
        </w:tabs>
        <w:autoSpaceDE w:val="0"/>
        <w:autoSpaceDN w:val="0"/>
        <w:adjustRightInd w:val="0"/>
        <w:spacing w:before="120"/>
        <w:ind w:left="360"/>
        <w:rPr>
          <w:rFonts w:asciiTheme="minorHAnsi" w:hAnsiTheme="minorHAnsi" w:cs="Calibri"/>
          <w:sz w:val="22"/>
          <w:szCs w:val="22"/>
        </w:rPr>
      </w:pPr>
      <w:r w:rsidRPr="009A76E0">
        <w:rPr>
          <w:rFonts w:asciiTheme="minorHAnsi" w:hAnsiTheme="minorHAnsi"/>
          <w:sz w:val="22"/>
          <w:szCs w:val="22"/>
        </w:rPr>
        <w:t>Plan C</w:t>
      </w:r>
      <w:r w:rsidR="009A76E0" w:rsidRPr="009A76E0">
        <w:rPr>
          <w:rFonts w:asciiTheme="minorHAnsi" w:hAnsiTheme="minorHAnsi"/>
          <w:sz w:val="22"/>
          <w:szCs w:val="22"/>
        </w:rPr>
        <w:t xml:space="preserve"> </w:t>
      </w:r>
      <w:r w:rsidR="005E4C55" w:rsidRPr="009A76E0">
        <w:rPr>
          <w:rFonts w:asciiTheme="minorHAnsi" w:hAnsiTheme="minorHAnsi"/>
          <w:sz w:val="22"/>
          <w:szCs w:val="22"/>
        </w:rPr>
        <w:t xml:space="preserve">– </w:t>
      </w:r>
      <w:r w:rsidR="009A76E0" w:rsidRPr="009A76E0">
        <w:rPr>
          <w:rFonts w:asciiTheme="minorHAnsi" w:hAnsiTheme="minorHAnsi"/>
          <w:sz w:val="22"/>
          <w:szCs w:val="22"/>
        </w:rPr>
        <w:t>Because th</w:t>
      </w:r>
      <w:r w:rsidR="005E4C55" w:rsidRPr="009A76E0">
        <w:rPr>
          <w:rFonts w:asciiTheme="minorHAnsi" w:hAnsiTheme="minorHAnsi"/>
          <w:sz w:val="22"/>
          <w:szCs w:val="22"/>
        </w:rPr>
        <w:t xml:space="preserve">e </w:t>
      </w:r>
      <w:r w:rsidR="00DF5789">
        <w:rPr>
          <w:rFonts w:asciiTheme="minorHAnsi" w:hAnsiTheme="minorHAnsi"/>
          <w:sz w:val="22"/>
          <w:szCs w:val="22"/>
        </w:rPr>
        <w:t>C</w:t>
      </w:r>
      <w:r w:rsidR="005E4C55" w:rsidRPr="009A76E0">
        <w:rPr>
          <w:rFonts w:asciiTheme="minorHAnsi" w:hAnsiTheme="minorHAnsi"/>
          <w:sz w:val="22"/>
          <w:szCs w:val="22"/>
        </w:rPr>
        <w:t xml:space="preserve">onsolidation </w:t>
      </w:r>
      <w:r w:rsidR="009A76E0" w:rsidRPr="009A76E0">
        <w:rPr>
          <w:rFonts w:asciiTheme="minorHAnsi" w:hAnsiTheme="minorHAnsi"/>
          <w:sz w:val="22"/>
          <w:szCs w:val="22"/>
        </w:rPr>
        <w:t xml:space="preserve">occurred before Plan C’s </w:t>
      </w:r>
      <w:r w:rsidR="00AE348E">
        <w:rPr>
          <w:rFonts w:asciiTheme="minorHAnsi" w:hAnsiTheme="minorHAnsi"/>
          <w:sz w:val="22"/>
          <w:szCs w:val="22"/>
        </w:rPr>
        <w:t>2018</w:t>
      </w:r>
      <w:r w:rsidR="009A76E0" w:rsidRPr="009A76E0">
        <w:rPr>
          <w:rFonts w:asciiTheme="minorHAnsi" w:hAnsiTheme="minorHAnsi"/>
          <w:sz w:val="22"/>
          <w:szCs w:val="22"/>
        </w:rPr>
        <w:t xml:space="preserve"> plan year began, Plan C is not required to submit a </w:t>
      </w:r>
      <w:r w:rsidR="00AE348E">
        <w:rPr>
          <w:rFonts w:asciiTheme="minorHAnsi" w:hAnsiTheme="minorHAnsi"/>
          <w:sz w:val="22"/>
          <w:szCs w:val="22"/>
        </w:rPr>
        <w:t>2018</w:t>
      </w:r>
      <w:r w:rsidR="009A76E0" w:rsidRPr="009A76E0">
        <w:rPr>
          <w:rFonts w:asciiTheme="minorHAnsi" w:hAnsiTheme="minorHAnsi"/>
          <w:sz w:val="22"/>
          <w:szCs w:val="22"/>
        </w:rPr>
        <w:t xml:space="preserve"> Comprehensive Premium Filing. </w:t>
      </w:r>
      <w:r w:rsidR="00D91F0B">
        <w:rPr>
          <w:rFonts w:asciiTheme="minorHAnsi" w:hAnsiTheme="minorHAnsi"/>
          <w:sz w:val="22"/>
          <w:szCs w:val="22"/>
        </w:rPr>
        <w:t xml:space="preserve"> </w:t>
      </w:r>
      <w:r w:rsidR="009A76E0" w:rsidRPr="009A76E0">
        <w:rPr>
          <w:rFonts w:asciiTheme="minorHAnsi" w:hAnsiTheme="minorHAnsi"/>
          <w:sz w:val="22"/>
          <w:szCs w:val="22"/>
        </w:rPr>
        <w:t xml:space="preserve">Although the Consolidation occurs during Plan C’s </w:t>
      </w:r>
      <w:r w:rsidR="00AE348E">
        <w:rPr>
          <w:rFonts w:asciiTheme="minorHAnsi" w:hAnsiTheme="minorHAnsi"/>
          <w:sz w:val="22"/>
          <w:szCs w:val="22"/>
        </w:rPr>
        <w:t>2017</w:t>
      </w:r>
      <w:r w:rsidR="009A76E0" w:rsidRPr="009A76E0">
        <w:rPr>
          <w:rFonts w:asciiTheme="minorHAnsi" w:hAnsiTheme="minorHAnsi"/>
          <w:sz w:val="22"/>
          <w:szCs w:val="22"/>
        </w:rPr>
        <w:t xml:space="preserve"> final short plan year (October 1, </w:t>
      </w:r>
      <w:r w:rsidR="00AE348E">
        <w:rPr>
          <w:rFonts w:asciiTheme="minorHAnsi" w:hAnsiTheme="minorHAnsi"/>
          <w:sz w:val="22"/>
          <w:szCs w:val="22"/>
        </w:rPr>
        <w:t>2017</w:t>
      </w:r>
      <w:r w:rsidR="009A76E0" w:rsidRPr="009A76E0">
        <w:rPr>
          <w:rFonts w:asciiTheme="minorHAnsi" w:hAnsiTheme="minorHAnsi"/>
          <w:sz w:val="22"/>
          <w:szCs w:val="22"/>
        </w:rPr>
        <w:t xml:space="preserve"> – February 28, </w:t>
      </w:r>
      <w:r w:rsidR="00AE348E">
        <w:rPr>
          <w:rFonts w:asciiTheme="minorHAnsi" w:hAnsiTheme="minorHAnsi"/>
          <w:sz w:val="22"/>
          <w:szCs w:val="22"/>
        </w:rPr>
        <w:t>2018</w:t>
      </w:r>
      <w:r w:rsidR="009A76E0" w:rsidRPr="009A76E0">
        <w:rPr>
          <w:rFonts w:asciiTheme="minorHAnsi" w:hAnsiTheme="minorHAnsi"/>
          <w:sz w:val="22"/>
          <w:szCs w:val="22"/>
        </w:rPr>
        <w:t xml:space="preserve">), it has no effect on the due date or the amount due for </w:t>
      </w:r>
      <w:r w:rsidR="00AE348E">
        <w:rPr>
          <w:rFonts w:asciiTheme="minorHAnsi" w:hAnsiTheme="minorHAnsi"/>
          <w:sz w:val="22"/>
          <w:szCs w:val="22"/>
        </w:rPr>
        <w:t>2017</w:t>
      </w:r>
      <w:r w:rsidR="009A76E0" w:rsidRPr="009A76E0">
        <w:rPr>
          <w:rFonts w:asciiTheme="minorHAnsi" w:hAnsiTheme="minorHAnsi"/>
          <w:sz w:val="22"/>
          <w:szCs w:val="22"/>
        </w:rPr>
        <w:t xml:space="preserve"> (i.e., the </w:t>
      </w:r>
      <w:r w:rsidR="005E4C55" w:rsidRPr="009A76E0">
        <w:rPr>
          <w:rFonts w:asciiTheme="minorHAnsi" w:hAnsiTheme="minorHAnsi"/>
          <w:sz w:val="22"/>
          <w:szCs w:val="22"/>
        </w:rPr>
        <w:t>plan does not qualify for premium pro-ration</w:t>
      </w:r>
      <w:r w:rsidR="009A76E0" w:rsidRPr="009A76E0">
        <w:rPr>
          <w:rFonts w:asciiTheme="minorHAnsi" w:hAnsiTheme="minorHAnsi"/>
          <w:sz w:val="22"/>
          <w:szCs w:val="22"/>
        </w:rPr>
        <w:t>)</w:t>
      </w:r>
      <w:r w:rsidR="005E4C55" w:rsidRPr="009A76E0">
        <w:rPr>
          <w:rFonts w:asciiTheme="minorHAnsi" w:hAnsiTheme="minorHAnsi"/>
          <w:sz w:val="22"/>
          <w:szCs w:val="22"/>
        </w:rPr>
        <w:t>.</w:t>
      </w:r>
      <w:r w:rsidR="009A76E0" w:rsidRPr="009A76E0">
        <w:rPr>
          <w:rFonts w:asciiTheme="minorHAnsi" w:hAnsiTheme="minorHAnsi"/>
          <w:sz w:val="22"/>
          <w:szCs w:val="22"/>
        </w:rPr>
        <w:t xml:space="preserve"> </w:t>
      </w:r>
    </w:p>
    <w:p w14:paraId="1A865C01" w14:textId="77777777" w:rsidR="00D91F0B" w:rsidRDefault="009A76E0" w:rsidP="001F7140">
      <w:pPr>
        <w:numPr>
          <w:ilvl w:val="0"/>
          <w:numId w:val="14"/>
        </w:numPr>
        <w:tabs>
          <w:tab w:val="clear" w:pos="720"/>
          <w:tab w:val="num" w:pos="540"/>
        </w:tabs>
        <w:autoSpaceDE w:val="0"/>
        <w:autoSpaceDN w:val="0"/>
        <w:adjustRightInd w:val="0"/>
        <w:spacing w:before="120"/>
        <w:ind w:left="360"/>
        <w:rPr>
          <w:rFonts w:asciiTheme="minorHAnsi" w:hAnsiTheme="minorHAnsi" w:cs="Calibri"/>
          <w:sz w:val="22"/>
          <w:szCs w:val="22"/>
        </w:rPr>
      </w:pPr>
      <w:r w:rsidRPr="00D91F0B">
        <w:rPr>
          <w:rFonts w:asciiTheme="minorHAnsi" w:hAnsiTheme="minorHAnsi"/>
          <w:sz w:val="22"/>
          <w:szCs w:val="22"/>
        </w:rPr>
        <w:t>Plan D – Because Plan D is a New Plan</w:t>
      </w:r>
      <w:r w:rsidR="00D91F0B" w:rsidRPr="00D91F0B">
        <w:rPr>
          <w:rFonts w:asciiTheme="minorHAnsi" w:hAnsiTheme="minorHAnsi"/>
          <w:sz w:val="22"/>
          <w:szCs w:val="22"/>
        </w:rPr>
        <w:t xml:space="preserve"> and, because it </w:t>
      </w:r>
      <w:r w:rsidR="00D91F0B" w:rsidRPr="00D91F0B">
        <w:rPr>
          <w:rFonts w:asciiTheme="minorHAnsi" w:eastAsia="Times New Roman" w:hAnsiTheme="minorHAnsi" w:cs="Arial"/>
          <w:sz w:val="22"/>
          <w:szCs w:val="22"/>
          <w:lang w:eastAsia="en-US"/>
        </w:rPr>
        <w:t xml:space="preserve">was created as the result of a </w:t>
      </w:r>
      <w:r w:rsidR="00E857DB">
        <w:rPr>
          <w:rFonts w:asciiTheme="minorHAnsi" w:eastAsia="Times New Roman" w:hAnsiTheme="minorHAnsi" w:cs="Arial"/>
          <w:sz w:val="22"/>
          <w:szCs w:val="22"/>
          <w:lang w:eastAsia="en-US"/>
        </w:rPr>
        <w:t>Consolidation</w:t>
      </w:r>
      <w:r w:rsidR="00D91F0B" w:rsidRPr="00D91F0B">
        <w:rPr>
          <w:rFonts w:asciiTheme="minorHAnsi" w:eastAsia="Times New Roman" w:hAnsiTheme="minorHAnsi" w:cs="Arial"/>
          <w:sz w:val="22"/>
          <w:szCs w:val="22"/>
          <w:lang w:eastAsia="en-US"/>
        </w:rPr>
        <w:t>, it is also a Continuation Plan.  Like a</w:t>
      </w:r>
      <w:r w:rsidR="00B00E27" w:rsidRPr="00D91F0B">
        <w:rPr>
          <w:rFonts w:asciiTheme="minorHAnsi" w:eastAsia="Times New Roman" w:hAnsiTheme="minorHAnsi" w:cs="Arial"/>
          <w:sz w:val="22"/>
          <w:szCs w:val="22"/>
          <w:lang w:eastAsia="en-US"/>
        </w:rPr>
        <w:t>ll New Plans, Plan D owes premiums for its first (short) plan year of coverage</w:t>
      </w:r>
      <w:r w:rsidR="00D91F0B" w:rsidRPr="00D91F0B">
        <w:rPr>
          <w:rFonts w:asciiTheme="minorHAnsi" w:hAnsiTheme="minorHAnsi" w:cs="Calibri"/>
          <w:sz w:val="22"/>
          <w:szCs w:val="22"/>
        </w:rPr>
        <w:t xml:space="preserve"> March 1, </w:t>
      </w:r>
      <w:r w:rsidR="00AE348E">
        <w:rPr>
          <w:rFonts w:asciiTheme="minorHAnsi" w:hAnsiTheme="minorHAnsi" w:cs="Calibri"/>
          <w:sz w:val="22"/>
          <w:szCs w:val="22"/>
        </w:rPr>
        <w:t>2018</w:t>
      </w:r>
      <w:r w:rsidR="00D91F0B" w:rsidRPr="00D91F0B">
        <w:rPr>
          <w:rFonts w:asciiTheme="minorHAnsi" w:hAnsiTheme="minorHAnsi" w:cs="Calibri"/>
          <w:sz w:val="22"/>
          <w:szCs w:val="22"/>
        </w:rPr>
        <w:t xml:space="preserve"> – December 31, </w:t>
      </w:r>
      <w:r w:rsidR="00AE348E">
        <w:rPr>
          <w:rFonts w:asciiTheme="minorHAnsi" w:hAnsiTheme="minorHAnsi" w:cs="Calibri"/>
          <w:sz w:val="22"/>
          <w:szCs w:val="22"/>
        </w:rPr>
        <w:t>2018</w:t>
      </w:r>
      <w:r w:rsidR="00B00E27" w:rsidRPr="00D91F0B">
        <w:rPr>
          <w:rFonts w:asciiTheme="minorHAnsi" w:eastAsia="Times New Roman" w:hAnsiTheme="minorHAnsi" w:cs="Arial"/>
          <w:sz w:val="22"/>
          <w:szCs w:val="22"/>
          <w:lang w:eastAsia="en-US"/>
        </w:rPr>
        <w:t>.</w:t>
      </w:r>
      <w:r w:rsidR="00B00E27" w:rsidRPr="00D91F0B">
        <w:rPr>
          <w:rFonts w:asciiTheme="minorHAnsi" w:hAnsiTheme="minorHAnsi" w:cs="Calibri"/>
          <w:sz w:val="22"/>
          <w:szCs w:val="22"/>
        </w:rPr>
        <w:t xml:space="preserve"> </w:t>
      </w:r>
      <w:r w:rsidR="00D91F0B" w:rsidRPr="00D91F0B">
        <w:rPr>
          <w:rFonts w:asciiTheme="minorHAnsi" w:hAnsiTheme="minorHAnsi" w:cs="Calibri"/>
          <w:sz w:val="22"/>
          <w:szCs w:val="22"/>
        </w:rPr>
        <w:t xml:space="preserve"> </w:t>
      </w:r>
      <w:r w:rsidR="00B00E27" w:rsidRPr="00D91F0B">
        <w:rPr>
          <w:rFonts w:asciiTheme="minorHAnsi" w:hAnsiTheme="minorHAnsi" w:cs="Calibri"/>
          <w:sz w:val="22"/>
          <w:szCs w:val="22"/>
        </w:rPr>
        <w:t xml:space="preserve">Because the short plan year was created as the result of a </w:t>
      </w:r>
      <w:r w:rsidR="00E857DB">
        <w:rPr>
          <w:rFonts w:asciiTheme="minorHAnsi" w:hAnsiTheme="minorHAnsi" w:cs="Calibri"/>
          <w:sz w:val="22"/>
          <w:szCs w:val="22"/>
        </w:rPr>
        <w:t>Consolidation</w:t>
      </w:r>
      <w:r w:rsidR="00B00E27" w:rsidRPr="00D91F0B">
        <w:rPr>
          <w:rFonts w:asciiTheme="minorHAnsi" w:hAnsiTheme="minorHAnsi" w:cs="Calibri"/>
          <w:sz w:val="22"/>
          <w:szCs w:val="22"/>
        </w:rPr>
        <w:t xml:space="preserve">, the premium is prorated. </w:t>
      </w:r>
      <w:r w:rsidR="00D91F0B" w:rsidRPr="00D91F0B">
        <w:rPr>
          <w:rFonts w:asciiTheme="minorHAnsi" w:hAnsiTheme="minorHAnsi" w:cs="Calibri"/>
          <w:sz w:val="22"/>
          <w:szCs w:val="22"/>
        </w:rPr>
        <w:t xml:space="preserve"> </w:t>
      </w:r>
    </w:p>
    <w:p w14:paraId="2F844803" w14:textId="77777777" w:rsidR="00E768A6" w:rsidRDefault="00D91F0B" w:rsidP="00D91F0B">
      <w:pPr>
        <w:spacing w:before="120"/>
        <w:ind w:left="360"/>
        <w:rPr>
          <w:rFonts w:asciiTheme="minorHAnsi" w:hAnsiTheme="minorHAnsi" w:cs="Calibri"/>
          <w:sz w:val="22"/>
          <w:szCs w:val="22"/>
        </w:rPr>
      </w:pPr>
      <w:r w:rsidRPr="00D91F0B">
        <w:rPr>
          <w:rFonts w:asciiTheme="minorHAnsi" w:hAnsiTheme="minorHAnsi" w:cs="Calibri"/>
          <w:sz w:val="22"/>
          <w:szCs w:val="22"/>
        </w:rPr>
        <w:t xml:space="preserve">The Participant Count Date is March 1, </w:t>
      </w:r>
      <w:r w:rsidR="00AE348E">
        <w:rPr>
          <w:rFonts w:asciiTheme="minorHAnsi" w:hAnsiTheme="minorHAnsi" w:cs="Calibri"/>
          <w:sz w:val="22"/>
          <w:szCs w:val="22"/>
        </w:rPr>
        <w:t>2018</w:t>
      </w:r>
      <w:r w:rsidRPr="00D91F0B">
        <w:rPr>
          <w:rFonts w:asciiTheme="minorHAnsi" w:hAnsiTheme="minorHAnsi" w:cs="Calibri"/>
          <w:sz w:val="22"/>
          <w:szCs w:val="22"/>
        </w:rPr>
        <w:t xml:space="preserve">.  </w:t>
      </w:r>
      <w:r>
        <w:rPr>
          <w:rFonts w:asciiTheme="minorHAnsi" w:hAnsiTheme="minorHAnsi" w:cs="Calibri"/>
          <w:sz w:val="22"/>
          <w:szCs w:val="22"/>
        </w:rPr>
        <w:t xml:space="preserve">The fact that </w:t>
      </w:r>
      <w:r w:rsidR="00AE348E">
        <w:rPr>
          <w:rFonts w:asciiTheme="minorHAnsi" w:hAnsiTheme="minorHAnsi" w:cs="Calibri"/>
          <w:sz w:val="22"/>
          <w:szCs w:val="22"/>
        </w:rPr>
        <w:t>2018</w:t>
      </w:r>
      <w:r>
        <w:rPr>
          <w:rFonts w:asciiTheme="minorHAnsi" w:hAnsiTheme="minorHAnsi" w:cs="Calibri"/>
          <w:sz w:val="22"/>
          <w:szCs w:val="22"/>
        </w:rPr>
        <w:t xml:space="preserve"> Flat-rate Premiums for some, or all, of those participants might have been </w:t>
      </w:r>
      <w:r w:rsidR="00E768A6">
        <w:rPr>
          <w:rFonts w:asciiTheme="minorHAnsi" w:hAnsiTheme="minorHAnsi" w:cs="Calibri"/>
          <w:sz w:val="22"/>
          <w:szCs w:val="22"/>
        </w:rPr>
        <w:t>paid by Plan A or Plan B has no impact on Plan D’s Flat-rate Premium.</w:t>
      </w:r>
    </w:p>
    <w:p w14:paraId="00CB7708" w14:textId="77777777" w:rsidR="00B00E27" w:rsidRPr="00E81CD5" w:rsidRDefault="00D91F0B" w:rsidP="00D91F0B">
      <w:pPr>
        <w:spacing w:before="120"/>
        <w:ind w:left="360"/>
        <w:rPr>
          <w:rFonts w:asciiTheme="minorHAnsi" w:hAnsiTheme="minorHAnsi" w:cs="Calibri"/>
          <w:sz w:val="22"/>
          <w:szCs w:val="22"/>
        </w:rPr>
      </w:pPr>
      <w:r w:rsidRPr="00D91F0B">
        <w:rPr>
          <w:rFonts w:asciiTheme="minorHAnsi" w:hAnsiTheme="minorHAnsi" w:cs="Calibri"/>
          <w:sz w:val="22"/>
          <w:szCs w:val="22"/>
        </w:rPr>
        <w:t>The Variable</w:t>
      </w:r>
      <w:r w:rsidR="004C0692">
        <w:rPr>
          <w:rFonts w:asciiTheme="minorHAnsi" w:hAnsiTheme="minorHAnsi" w:cs="Calibri"/>
          <w:sz w:val="22"/>
          <w:szCs w:val="22"/>
        </w:rPr>
        <w:t>-rate</w:t>
      </w:r>
      <w:r w:rsidRPr="00D91F0B">
        <w:rPr>
          <w:rFonts w:asciiTheme="minorHAnsi" w:hAnsiTheme="minorHAnsi"/>
          <w:sz w:val="22"/>
          <w:szCs w:val="22"/>
        </w:rPr>
        <w:t xml:space="preserve"> Premium must be determined using the Standard Premium Funding Target unless the Plan makes a timely election to use the Alternative Premium Funding Target (as part of its </w:t>
      </w:r>
      <w:r w:rsidR="00AE348E">
        <w:rPr>
          <w:rFonts w:asciiTheme="minorHAnsi" w:hAnsiTheme="minorHAnsi"/>
          <w:sz w:val="22"/>
          <w:szCs w:val="22"/>
        </w:rPr>
        <w:t>2018</w:t>
      </w:r>
      <w:r w:rsidRPr="00D91F0B">
        <w:rPr>
          <w:rFonts w:asciiTheme="minorHAnsi" w:hAnsiTheme="minorHAnsi"/>
          <w:sz w:val="22"/>
          <w:szCs w:val="22"/>
        </w:rPr>
        <w:t xml:space="preserve"> filing).</w:t>
      </w:r>
    </w:p>
    <w:p w14:paraId="18A21C84" w14:textId="77777777" w:rsidR="00E768A6" w:rsidRDefault="00E768A6" w:rsidP="00E768A6">
      <w:pPr>
        <w:numPr>
          <w:ilvl w:val="0"/>
          <w:numId w:val="14"/>
        </w:numPr>
        <w:tabs>
          <w:tab w:val="clear" w:pos="720"/>
          <w:tab w:val="num" w:pos="540"/>
        </w:tabs>
        <w:autoSpaceDE w:val="0"/>
        <w:autoSpaceDN w:val="0"/>
        <w:adjustRightInd w:val="0"/>
        <w:spacing w:before="120"/>
        <w:ind w:left="36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Other reporting</w:t>
      </w:r>
    </w:p>
    <w:p w14:paraId="1E2CA6AF" w14:textId="77777777" w:rsidR="00B00E27" w:rsidRDefault="00B00E27" w:rsidP="00E768A6">
      <w:pPr>
        <w:numPr>
          <w:ilvl w:val="1"/>
          <w:numId w:val="14"/>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Plan</w:t>
      </w:r>
      <w:r w:rsidR="00E768A6">
        <w:rPr>
          <w:rFonts w:asciiTheme="minorHAnsi" w:eastAsia="Times New Roman" w:hAnsiTheme="minorHAnsi" w:cs="Arial"/>
          <w:sz w:val="22"/>
          <w:szCs w:val="22"/>
          <w:lang w:eastAsia="en-US"/>
        </w:rPr>
        <w:t>s</w:t>
      </w:r>
      <w:r>
        <w:rPr>
          <w:rFonts w:asciiTheme="minorHAnsi" w:eastAsia="Times New Roman" w:hAnsiTheme="minorHAnsi" w:cs="Arial"/>
          <w:sz w:val="22"/>
          <w:szCs w:val="22"/>
          <w:lang w:eastAsia="en-US"/>
        </w:rPr>
        <w:t xml:space="preserve"> A</w:t>
      </w:r>
      <w:r w:rsidR="00E768A6">
        <w:rPr>
          <w:rFonts w:asciiTheme="minorHAnsi" w:eastAsia="Times New Roman" w:hAnsiTheme="minorHAnsi" w:cs="Arial"/>
          <w:sz w:val="22"/>
          <w:szCs w:val="22"/>
          <w:lang w:eastAsia="en-US"/>
        </w:rPr>
        <w:t xml:space="preserve"> </w:t>
      </w:r>
      <w:r>
        <w:rPr>
          <w:rFonts w:asciiTheme="minorHAnsi" w:eastAsia="Times New Roman" w:hAnsiTheme="minorHAnsi" w:cs="Arial"/>
          <w:sz w:val="22"/>
          <w:szCs w:val="22"/>
          <w:lang w:eastAsia="en-US"/>
        </w:rPr>
        <w:t>report</w:t>
      </w:r>
      <w:r w:rsidR="004C0692">
        <w:rPr>
          <w:rFonts w:asciiTheme="minorHAnsi" w:eastAsia="Times New Roman" w:hAnsiTheme="minorHAnsi" w:cs="Arial"/>
          <w:sz w:val="22"/>
          <w:szCs w:val="22"/>
          <w:lang w:eastAsia="en-US"/>
        </w:rPr>
        <w:t>s</w:t>
      </w:r>
      <w:r>
        <w:rPr>
          <w:rFonts w:asciiTheme="minorHAnsi" w:eastAsia="Times New Roman" w:hAnsiTheme="minorHAnsi" w:cs="Arial"/>
          <w:sz w:val="22"/>
          <w:szCs w:val="22"/>
          <w:lang w:eastAsia="en-US"/>
        </w:rPr>
        <w:t xml:space="preserve"> the </w:t>
      </w:r>
      <w:r w:rsidR="00E768A6">
        <w:rPr>
          <w:rFonts w:asciiTheme="minorHAnsi" w:eastAsia="Times New Roman" w:hAnsiTheme="minorHAnsi" w:cs="Arial"/>
          <w:sz w:val="22"/>
          <w:szCs w:val="22"/>
          <w:lang w:eastAsia="en-US"/>
        </w:rPr>
        <w:t>C</w:t>
      </w:r>
      <w:r>
        <w:rPr>
          <w:rFonts w:asciiTheme="minorHAnsi" w:eastAsia="Times New Roman" w:hAnsiTheme="minorHAnsi" w:cs="Arial"/>
          <w:sz w:val="22"/>
          <w:szCs w:val="22"/>
          <w:lang w:eastAsia="en-US"/>
        </w:rPr>
        <w:t xml:space="preserve">onsolidation </w:t>
      </w:r>
      <w:r w:rsidRPr="00E31F27">
        <w:rPr>
          <w:rFonts w:asciiTheme="minorHAnsi" w:eastAsia="Times New Roman" w:hAnsiTheme="minorHAnsi" w:cs="Arial"/>
          <w:sz w:val="22"/>
          <w:szCs w:val="22"/>
          <w:lang w:eastAsia="en-US"/>
        </w:rPr>
        <w:t>in item 15 (</w:t>
      </w:r>
      <w:r w:rsidR="00E768A6">
        <w:rPr>
          <w:rFonts w:asciiTheme="minorHAnsi" w:eastAsia="Times New Roman" w:hAnsiTheme="minorHAnsi" w:cs="Arial"/>
          <w:sz w:val="22"/>
          <w:szCs w:val="22"/>
          <w:lang w:eastAsia="en-US"/>
        </w:rPr>
        <w:t>T</w:t>
      </w:r>
      <w:r w:rsidRPr="00E31F27">
        <w:rPr>
          <w:rFonts w:asciiTheme="minorHAnsi" w:eastAsia="Times New Roman" w:hAnsiTheme="minorHAnsi" w:cs="Arial"/>
          <w:sz w:val="22"/>
          <w:szCs w:val="22"/>
          <w:lang w:eastAsia="en-US"/>
        </w:rPr>
        <w:t>ransfers to other plans)</w:t>
      </w:r>
      <w:r>
        <w:rPr>
          <w:rFonts w:asciiTheme="minorHAnsi" w:eastAsia="Times New Roman" w:hAnsiTheme="minorHAnsi" w:cs="Arial"/>
          <w:sz w:val="22"/>
          <w:szCs w:val="22"/>
          <w:lang w:eastAsia="en-US"/>
        </w:rPr>
        <w:t xml:space="preserve"> of its </w:t>
      </w:r>
      <w:r w:rsidR="00AE348E">
        <w:rPr>
          <w:rFonts w:asciiTheme="minorHAnsi" w:eastAsia="Times New Roman" w:hAnsiTheme="minorHAnsi" w:cs="Arial"/>
          <w:sz w:val="22"/>
          <w:szCs w:val="22"/>
          <w:lang w:eastAsia="en-US"/>
        </w:rPr>
        <w:t>2018</w:t>
      </w:r>
      <w:r>
        <w:rPr>
          <w:rFonts w:asciiTheme="minorHAnsi" w:eastAsia="Times New Roman" w:hAnsiTheme="minorHAnsi" w:cs="Arial"/>
          <w:sz w:val="22"/>
          <w:szCs w:val="22"/>
          <w:lang w:eastAsia="en-US"/>
        </w:rPr>
        <w:t xml:space="preserve"> filing</w:t>
      </w:r>
      <w:r w:rsidR="00E768A6">
        <w:rPr>
          <w:rFonts w:asciiTheme="minorHAnsi" w:eastAsia="Times New Roman" w:hAnsiTheme="minorHAnsi" w:cs="Arial"/>
          <w:sz w:val="22"/>
          <w:szCs w:val="22"/>
          <w:lang w:eastAsia="en-US"/>
        </w:rPr>
        <w:t xml:space="preserve"> and indicates that its </w:t>
      </w:r>
      <w:r w:rsidR="00AE348E">
        <w:rPr>
          <w:rFonts w:asciiTheme="minorHAnsi" w:eastAsia="Times New Roman" w:hAnsiTheme="minorHAnsi" w:cs="Arial"/>
          <w:sz w:val="22"/>
          <w:szCs w:val="22"/>
          <w:lang w:eastAsia="en-US"/>
        </w:rPr>
        <w:t>2018</w:t>
      </w:r>
      <w:r w:rsidR="00E768A6">
        <w:rPr>
          <w:rFonts w:asciiTheme="minorHAnsi" w:eastAsia="Times New Roman" w:hAnsiTheme="minorHAnsi" w:cs="Arial"/>
          <w:sz w:val="22"/>
          <w:szCs w:val="22"/>
          <w:lang w:eastAsia="en-US"/>
        </w:rPr>
        <w:t xml:space="preserve"> filing will be the last filing in </w:t>
      </w:r>
      <w:r>
        <w:rPr>
          <w:rFonts w:asciiTheme="minorHAnsi" w:eastAsia="Times New Roman" w:hAnsiTheme="minorHAnsi" w:cs="Arial"/>
          <w:sz w:val="22"/>
          <w:szCs w:val="22"/>
          <w:lang w:eastAsia="en-US"/>
        </w:rPr>
        <w:t xml:space="preserve">item 13. </w:t>
      </w:r>
    </w:p>
    <w:p w14:paraId="3203456E" w14:textId="77777777" w:rsidR="00B00E27" w:rsidRDefault="00B00E27" w:rsidP="001F7140">
      <w:pPr>
        <w:numPr>
          <w:ilvl w:val="1"/>
          <w:numId w:val="14"/>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sidRPr="00E768A6">
        <w:rPr>
          <w:rFonts w:asciiTheme="minorHAnsi" w:eastAsia="Times New Roman" w:hAnsiTheme="minorHAnsi" w:cs="Arial"/>
          <w:sz w:val="22"/>
          <w:szCs w:val="22"/>
          <w:lang w:eastAsia="en-US"/>
        </w:rPr>
        <w:t>Plan B does not repo</w:t>
      </w:r>
      <w:r w:rsidR="00E768A6" w:rsidRPr="00E768A6">
        <w:rPr>
          <w:rFonts w:asciiTheme="minorHAnsi" w:eastAsia="Times New Roman" w:hAnsiTheme="minorHAnsi" w:cs="Arial"/>
          <w:sz w:val="22"/>
          <w:szCs w:val="22"/>
          <w:lang w:eastAsia="en-US"/>
        </w:rPr>
        <w:t xml:space="preserve">rt the Consolidation because </w:t>
      </w:r>
      <w:r w:rsidR="00CD76DC">
        <w:rPr>
          <w:rFonts w:asciiTheme="minorHAnsi" w:eastAsia="Times New Roman" w:hAnsiTheme="minorHAnsi" w:cs="Arial"/>
          <w:sz w:val="22"/>
          <w:szCs w:val="22"/>
          <w:lang w:eastAsia="en-US"/>
        </w:rPr>
        <w:t>it occurred after</w:t>
      </w:r>
      <w:r w:rsidR="00CD76DC" w:rsidRPr="00E768A6">
        <w:rPr>
          <w:rFonts w:asciiTheme="minorHAnsi" w:eastAsia="Times New Roman" w:hAnsiTheme="minorHAnsi" w:cs="Arial"/>
          <w:sz w:val="22"/>
          <w:szCs w:val="22"/>
          <w:lang w:eastAsia="en-US"/>
        </w:rPr>
        <w:t xml:space="preserve"> </w:t>
      </w:r>
      <w:r w:rsidR="00E768A6" w:rsidRPr="00E768A6">
        <w:rPr>
          <w:rFonts w:asciiTheme="minorHAnsi" w:eastAsia="Times New Roman" w:hAnsiTheme="minorHAnsi" w:cs="Arial"/>
          <w:sz w:val="22"/>
          <w:szCs w:val="22"/>
          <w:lang w:eastAsia="en-US"/>
        </w:rPr>
        <w:t xml:space="preserve">the </w:t>
      </w:r>
      <w:r w:rsidR="00AE348E">
        <w:rPr>
          <w:rFonts w:asciiTheme="minorHAnsi" w:eastAsia="Times New Roman" w:hAnsiTheme="minorHAnsi" w:cs="Arial"/>
          <w:sz w:val="22"/>
          <w:szCs w:val="22"/>
          <w:lang w:eastAsia="en-US"/>
        </w:rPr>
        <w:t>2017</w:t>
      </w:r>
      <w:r w:rsidR="00E768A6" w:rsidRPr="00E768A6">
        <w:rPr>
          <w:rFonts w:asciiTheme="minorHAnsi" w:eastAsia="Times New Roman" w:hAnsiTheme="minorHAnsi" w:cs="Arial"/>
          <w:sz w:val="22"/>
          <w:szCs w:val="22"/>
          <w:lang w:eastAsia="en-US"/>
        </w:rPr>
        <w:t xml:space="preserve"> filing was due.  </w:t>
      </w:r>
    </w:p>
    <w:p w14:paraId="428B517C" w14:textId="77777777" w:rsidR="00B00E27" w:rsidRDefault="00B00E27" w:rsidP="00E768A6">
      <w:pPr>
        <w:numPr>
          <w:ilvl w:val="1"/>
          <w:numId w:val="14"/>
        </w:numPr>
        <w:tabs>
          <w:tab w:val="clear" w:pos="1440"/>
        </w:tabs>
        <w:autoSpaceDE w:val="0"/>
        <w:autoSpaceDN w:val="0"/>
        <w:adjustRightInd w:val="0"/>
        <w:spacing w:before="120"/>
        <w:ind w:left="720"/>
        <w:rPr>
          <w:rFonts w:asciiTheme="minorHAnsi" w:eastAsia="Times New Roman" w:hAnsiTheme="minorHAnsi" w:cs="Arial"/>
          <w:sz w:val="22"/>
          <w:szCs w:val="22"/>
          <w:lang w:eastAsia="en-US"/>
        </w:rPr>
      </w:pPr>
      <w:r>
        <w:rPr>
          <w:rFonts w:asciiTheme="minorHAnsi" w:eastAsia="Times New Roman" w:hAnsiTheme="minorHAnsi" w:cs="Arial"/>
          <w:sz w:val="22"/>
          <w:szCs w:val="22"/>
          <w:lang w:eastAsia="en-US"/>
        </w:rPr>
        <w:t xml:space="preserve">Plan D reports all three transfers </w:t>
      </w:r>
      <w:r w:rsidRPr="00E31F27">
        <w:rPr>
          <w:rFonts w:asciiTheme="minorHAnsi" w:eastAsia="Times New Roman" w:hAnsiTheme="minorHAnsi" w:cs="Arial"/>
          <w:sz w:val="22"/>
          <w:szCs w:val="22"/>
          <w:lang w:eastAsia="en-US"/>
        </w:rPr>
        <w:t>in item 1</w:t>
      </w:r>
      <w:r>
        <w:rPr>
          <w:rFonts w:asciiTheme="minorHAnsi" w:eastAsia="Times New Roman" w:hAnsiTheme="minorHAnsi" w:cs="Arial"/>
          <w:sz w:val="22"/>
          <w:szCs w:val="22"/>
          <w:lang w:eastAsia="en-US"/>
        </w:rPr>
        <w:t>4</w:t>
      </w:r>
      <w:r w:rsidRPr="00E31F27">
        <w:rPr>
          <w:rFonts w:asciiTheme="minorHAnsi" w:eastAsia="Times New Roman" w:hAnsiTheme="minorHAnsi" w:cs="Arial"/>
          <w:sz w:val="22"/>
          <w:szCs w:val="22"/>
          <w:lang w:eastAsia="en-US"/>
        </w:rPr>
        <w:t xml:space="preserve"> (</w:t>
      </w:r>
      <w:r w:rsidR="00E768A6">
        <w:rPr>
          <w:rFonts w:asciiTheme="minorHAnsi" w:eastAsia="Times New Roman" w:hAnsiTheme="minorHAnsi" w:cs="Arial"/>
          <w:sz w:val="22"/>
          <w:szCs w:val="22"/>
          <w:lang w:eastAsia="en-US"/>
        </w:rPr>
        <w:t>T</w:t>
      </w:r>
      <w:r w:rsidRPr="00E31F27">
        <w:rPr>
          <w:rFonts w:asciiTheme="minorHAnsi" w:eastAsia="Times New Roman" w:hAnsiTheme="minorHAnsi" w:cs="Arial"/>
          <w:sz w:val="22"/>
          <w:szCs w:val="22"/>
          <w:lang w:eastAsia="en-US"/>
        </w:rPr>
        <w:t xml:space="preserve">ransfers </w:t>
      </w:r>
      <w:r>
        <w:rPr>
          <w:rFonts w:asciiTheme="minorHAnsi" w:eastAsia="Times New Roman" w:hAnsiTheme="minorHAnsi" w:cs="Arial"/>
          <w:sz w:val="22"/>
          <w:szCs w:val="22"/>
          <w:lang w:eastAsia="en-US"/>
        </w:rPr>
        <w:t>from</w:t>
      </w:r>
      <w:r w:rsidRPr="00E31F27">
        <w:rPr>
          <w:rFonts w:asciiTheme="minorHAnsi" w:eastAsia="Times New Roman" w:hAnsiTheme="minorHAnsi" w:cs="Arial"/>
          <w:sz w:val="22"/>
          <w:szCs w:val="22"/>
          <w:lang w:eastAsia="en-US"/>
        </w:rPr>
        <w:t xml:space="preserve"> other plans)</w:t>
      </w:r>
      <w:r>
        <w:rPr>
          <w:rFonts w:asciiTheme="minorHAnsi" w:eastAsia="Times New Roman" w:hAnsiTheme="minorHAnsi" w:cs="Arial"/>
          <w:sz w:val="22"/>
          <w:szCs w:val="22"/>
          <w:lang w:eastAsia="en-US"/>
        </w:rPr>
        <w:t xml:space="preserve"> of its </w:t>
      </w:r>
      <w:r w:rsidR="00AE348E">
        <w:rPr>
          <w:rFonts w:asciiTheme="minorHAnsi" w:eastAsia="Times New Roman" w:hAnsiTheme="minorHAnsi" w:cs="Arial"/>
          <w:sz w:val="22"/>
          <w:szCs w:val="22"/>
          <w:lang w:eastAsia="en-US"/>
        </w:rPr>
        <w:t>2018</w:t>
      </w:r>
      <w:r>
        <w:rPr>
          <w:rFonts w:asciiTheme="minorHAnsi" w:eastAsia="Times New Roman" w:hAnsiTheme="minorHAnsi" w:cs="Arial"/>
          <w:sz w:val="22"/>
          <w:szCs w:val="22"/>
          <w:lang w:eastAsia="en-US"/>
        </w:rPr>
        <w:t xml:space="preserve"> filing</w:t>
      </w:r>
      <w:r w:rsidRPr="00E31F27">
        <w:rPr>
          <w:rFonts w:asciiTheme="minorHAnsi" w:eastAsia="Times New Roman" w:hAnsiTheme="minorHAnsi" w:cs="Arial"/>
          <w:sz w:val="22"/>
          <w:szCs w:val="22"/>
          <w:lang w:eastAsia="en-US"/>
        </w:rPr>
        <w:t>.</w:t>
      </w:r>
    </w:p>
    <w:p w14:paraId="75C1CCEF" w14:textId="77777777" w:rsidR="00031934" w:rsidRPr="0096233C" w:rsidRDefault="00031934" w:rsidP="0096233C">
      <w:pPr>
        <w:sectPr w:rsidR="00031934" w:rsidRPr="0096233C" w:rsidSect="000325B6">
          <w:headerReference w:type="default" r:id="rId85"/>
          <w:pgSz w:w="12240" w:h="15840" w:code="1"/>
          <w:pgMar w:top="1152" w:right="1440" w:bottom="1152" w:left="1440" w:header="720" w:footer="720" w:gutter="0"/>
          <w:cols w:space="720"/>
          <w:noEndnote/>
          <w:docGrid w:linePitch="326"/>
        </w:sectPr>
      </w:pPr>
    </w:p>
    <w:tbl>
      <w:tblPr>
        <w:tblpPr w:leftFromText="180" w:rightFromText="180" w:vertAnchor="page" w:horzAnchor="margin" w:tblpXSpec="center" w:tblpY="1321"/>
        <w:tblW w:w="10998" w:type="dxa"/>
        <w:tblLayout w:type="fixed"/>
        <w:tblLook w:val="01E0" w:firstRow="1" w:lastRow="1" w:firstColumn="1" w:lastColumn="1" w:noHBand="0" w:noVBand="0"/>
      </w:tblPr>
      <w:tblGrid>
        <w:gridCol w:w="1368"/>
        <w:gridCol w:w="1440"/>
        <w:gridCol w:w="990"/>
        <w:gridCol w:w="1620"/>
        <w:gridCol w:w="396"/>
        <w:gridCol w:w="274"/>
        <w:gridCol w:w="1490"/>
        <w:gridCol w:w="450"/>
        <w:gridCol w:w="2970"/>
      </w:tblGrid>
      <w:tr w:rsidR="009414CF" w:rsidRPr="00F62144" w14:paraId="0CF329F6" w14:textId="77777777" w:rsidTr="00A5585D">
        <w:trPr>
          <w:cantSplit/>
          <w:trHeight w:val="270"/>
        </w:trPr>
        <w:tc>
          <w:tcPr>
            <w:tcW w:w="2808" w:type="dxa"/>
            <w:gridSpan w:val="2"/>
            <w:shd w:val="clear" w:color="auto" w:fill="auto"/>
            <w:vAlign w:val="center"/>
          </w:tcPr>
          <w:p w14:paraId="26DFEEE7" w14:textId="77777777" w:rsidR="009414CF" w:rsidRPr="00F62144" w:rsidRDefault="009414CF" w:rsidP="009414CF">
            <w:pPr>
              <w:spacing w:before="80"/>
              <w:rPr>
                <w:rFonts w:asciiTheme="minorHAnsi" w:hAnsiTheme="minorHAnsi"/>
                <w:color w:val="000000"/>
                <w:sz w:val="16"/>
                <w:szCs w:val="16"/>
              </w:rPr>
            </w:pPr>
          </w:p>
        </w:tc>
        <w:tc>
          <w:tcPr>
            <w:tcW w:w="5220" w:type="dxa"/>
            <w:gridSpan w:val="6"/>
            <w:shd w:val="clear" w:color="auto" w:fill="auto"/>
            <w:vAlign w:val="center"/>
          </w:tcPr>
          <w:p w14:paraId="77DCD3FB" w14:textId="77777777" w:rsidR="009414CF" w:rsidRPr="00F62144" w:rsidRDefault="009414CF" w:rsidP="009414CF">
            <w:pPr>
              <w:spacing w:before="80"/>
              <w:jc w:val="center"/>
              <w:rPr>
                <w:rFonts w:asciiTheme="minorHAnsi" w:hAnsiTheme="minorHAnsi"/>
                <w:b/>
                <w:color w:val="000000"/>
                <w:sz w:val="16"/>
              </w:rPr>
            </w:pPr>
            <w:bookmarkStart w:id="21" w:name="b2"/>
            <w:bookmarkStart w:id="22" w:name="toc21"/>
            <w:bookmarkEnd w:id="21"/>
            <w:bookmarkEnd w:id="22"/>
            <w:r w:rsidRPr="00F62144">
              <w:rPr>
                <w:rFonts w:asciiTheme="minorHAnsi" w:hAnsiTheme="minorHAnsi"/>
                <w:b/>
                <w:color w:val="000000"/>
                <w:sz w:val="20"/>
                <w:szCs w:val="20"/>
              </w:rPr>
              <w:t>Form is for Illustrative Purpose Only</w:t>
            </w:r>
          </w:p>
        </w:tc>
        <w:tc>
          <w:tcPr>
            <w:tcW w:w="2970" w:type="dxa"/>
            <w:shd w:val="clear" w:color="auto" w:fill="auto"/>
            <w:vAlign w:val="center"/>
          </w:tcPr>
          <w:p w14:paraId="6DBD29A2" w14:textId="77777777" w:rsidR="009414CF" w:rsidRPr="00F62144" w:rsidRDefault="009414CF" w:rsidP="009414CF">
            <w:pPr>
              <w:spacing w:before="80"/>
              <w:jc w:val="center"/>
              <w:rPr>
                <w:rFonts w:asciiTheme="minorHAnsi" w:hAnsiTheme="minorHAnsi"/>
                <w:color w:val="000000"/>
                <w:sz w:val="16"/>
                <w:szCs w:val="16"/>
              </w:rPr>
            </w:pPr>
          </w:p>
        </w:tc>
      </w:tr>
      <w:tr w:rsidR="00AC063D" w:rsidRPr="00F62144" w14:paraId="2C09AA00" w14:textId="77777777" w:rsidTr="00A5585D">
        <w:trPr>
          <w:cantSplit/>
          <w:trHeight w:val="219"/>
        </w:trPr>
        <w:tc>
          <w:tcPr>
            <w:tcW w:w="2808" w:type="dxa"/>
            <w:gridSpan w:val="2"/>
            <w:shd w:val="clear" w:color="auto" w:fill="auto"/>
            <w:vAlign w:val="center"/>
          </w:tcPr>
          <w:p w14:paraId="679D6A74" w14:textId="77777777" w:rsidR="00AC063D" w:rsidRPr="00F62144" w:rsidRDefault="00AC063D" w:rsidP="009414CF">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bookmarkStart w:id="23" w:name="Check49"/>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23"/>
          </w:p>
        </w:tc>
        <w:tc>
          <w:tcPr>
            <w:tcW w:w="5220" w:type="dxa"/>
            <w:gridSpan w:val="6"/>
            <w:shd w:val="clear" w:color="auto" w:fill="auto"/>
            <w:vAlign w:val="center"/>
          </w:tcPr>
          <w:p w14:paraId="1D09C4CD" w14:textId="77777777" w:rsidR="00AC063D" w:rsidRPr="00F62144" w:rsidRDefault="00AE348E" w:rsidP="009414CF">
            <w:pPr>
              <w:spacing w:before="80"/>
              <w:jc w:val="center"/>
              <w:rPr>
                <w:rFonts w:asciiTheme="minorHAnsi" w:hAnsiTheme="minorHAnsi"/>
                <w:b/>
                <w:color w:val="000000"/>
                <w:sz w:val="16"/>
              </w:rPr>
            </w:pPr>
            <w:r>
              <w:rPr>
                <w:rFonts w:asciiTheme="minorHAnsi" w:hAnsiTheme="minorHAnsi"/>
                <w:b/>
                <w:color w:val="000000"/>
                <w:sz w:val="16"/>
              </w:rPr>
              <w:t>2018</w:t>
            </w:r>
            <w:r w:rsidR="00AC063D" w:rsidRPr="00F62144">
              <w:rPr>
                <w:rFonts w:asciiTheme="minorHAnsi" w:hAnsiTheme="minorHAnsi"/>
                <w:b/>
                <w:color w:val="000000"/>
                <w:sz w:val="16"/>
              </w:rPr>
              <w:t xml:space="preserve"> PBGC Comprehensive Premium Filing</w:t>
            </w:r>
          </w:p>
        </w:tc>
        <w:tc>
          <w:tcPr>
            <w:tcW w:w="2970" w:type="dxa"/>
            <w:shd w:val="clear" w:color="auto" w:fill="auto"/>
            <w:vAlign w:val="center"/>
          </w:tcPr>
          <w:p w14:paraId="1ACFAC17" w14:textId="77777777" w:rsidR="00AC063D" w:rsidRPr="00F62144" w:rsidRDefault="00AC063D" w:rsidP="009414CF">
            <w:pPr>
              <w:spacing w:before="80"/>
              <w:jc w:val="center"/>
              <w:rPr>
                <w:rFonts w:asciiTheme="minorHAnsi" w:hAnsiTheme="minorHAnsi"/>
                <w:b/>
                <w:color w:val="000000"/>
                <w:sz w:val="16"/>
              </w:rPr>
            </w:pPr>
            <w:r w:rsidRPr="00F62144">
              <w:rPr>
                <w:rFonts w:asciiTheme="minorHAnsi" w:hAnsiTheme="minorHAnsi"/>
                <w:color w:val="000000"/>
                <w:sz w:val="16"/>
                <w:szCs w:val="16"/>
              </w:rPr>
              <w:t xml:space="preserve"> Disaster Relief (enter code) _ _ - _ _ </w:t>
            </w:r>
          </w:p>
        </w:tc>
      </w:tr>
      <w:tr w:rsidR="00AC063D" w:rsidRPr="00F62144" w14:paraId="60C4F431" w14:textId="77777777" w:rsidTr="00AC063D">
        <w:trPr>
          <w:cantSplit/>
          <w:trHeight w:val="251"/>
        </w:trPr>
        <w:tc>
          <w:tcPr>
            <w:tcW w:w="10998" w:type="dxa"/>
            <w:gridSpan w:val="9"/>
            <w:tcBorders>
              <w:top w:val="single" w:sz="4" w:space="0" w:color="auto"/>
              <w:left w:val="single" w:sz="4" w:space="0" w:color="auto"/>
              <w:right w:val="single" w:sz="4" w:space="0" w:color="auto"/>
            </w:tcBorders>
            <w:shd w:val="clear" w:color="auto" w:fill="auto"/>
            <w:vAlign w:val="center"/>
          </w:tcPr>
          <w:p w14:paraId="09CB8BF5" w14:textId="77777777" w:rsidR="00AC063D" w:rsidRPr="00F62144" w:rsidRDefault="00AC063D" w:rsidP="009414CF">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rsidR="00AC063D" w:rsidRPr="00F62144" w14:paraId="63E9D3D0" w14:textId="77777777" w:rsidTr="00A5585D">
        <w:trPr>
          <w:cantSplit/>
          <w:trHeight w:val="191"/>
        </w:trPr>
        <w:tc>
          <w:tcPr>
            <w:tcW w:w="10998" w:type="dxa"/>
            <w:gridSpan w:val="9"/>
            <w:tcBorders>
              <w:top w:val="single" w:sz="4" w:space="0" w:color="auto"/>
              <w:left w:val="single" w:sz="4" w:space="0" w:color="auto"/>
              <w:right w:val="single" w:sz="4" w:space="0" w:color="auto"/>
            </w:tcBorders>
            <w:shd w:val="clear" w:color="auto" w:fill="auto"/>
            <w:vAlign w:val="center"/>
          </w:tcPr>
          <w:p w14:paraId="7ED8F2DC" w14:textId="77777777" w:rsidR="00AC063D" w:rsidRPr="00F62144" w:rsidRDefault="00AC063D" w:rsidP="009414CF">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rsidR="00AC063D" w:rsidRPr="00F62144" w14:paraId="03BFB6E3" w14:textId="77777777" w:rsidTr="00A5585D">
        <w:trPr>
          <w:cantSplit/>
          <w:trHeight w:val="174"/>
        </w:trPr>
        <w:tc>
          <w:tcPr>
            <w:tcW w:w="10998" w:type="dxa"/>
            <w:gridSpan w:val="9"/>
            <w:tcBorders>
              <w:left w:val="single" w:sz="4" w:space="0" w:color="auto"/>
              <w:right w:val="single" w:sz="4" w:space="0" w:color="auto"/>
            </w:tcBorders>
            <w:shd w:val="clear" w:color="auto" w:fill="auto"/>
            <w:vAlign w:val="center"/>
          </w:tcPr>
          <w:p w14:paraId="1C6FB000" w14:textId="77777777" w:rsidR="00AC063D" w:rsidRPr="00F62144" w:rsidRDefault="00AC063D" w:rsidP="009414CF">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 ___________________________________________________________________________________________________</w:t>
            </w:r>
          </w:p>
        </w:tc>
      </w:tr>
      <w:tr w:rsidR="00AC063D" w:rsidRPr="00F62144" w14:paraId="6C65E17F" w14:textId="77777777" w:rsidTr="00AC063D">
        <w:trPr>
          <w:cantSplit/>
          <w:trHeight w:val="320"/>
        </w:trPr>
        <w:tc>
          <w:tcPr>
            <w:tcW w:w="6088" w:type="dxa"/>
            <w:gridSpan w:val="6"/>
            <w:tcBorders>
              <w:left w:val="single" w:sz="4" w:space="0" w:color="auto"/>
              <w:bottom w:val="single" w:sz="4" w:space="0" w:color="auto"/>
            </w:tcBorders>
            <w:shd w:val="clear" w:color="auto" w:fill="auto"/>
            <w:vAlign w:val="center"/>
          </w:tcPr>
          <w:p w14:paraId="6CD7CF7F" w14:textId="77777777" w:rsidR="00AC063D" w:rsidRPr="00F62144" w:rsidRDefault="00AC063D" w:rsidP="009414CF">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0" w:type="dxa"/>
            <w:gridSpan w:val="3"/>
            <w:tcBorders>
              <w:bottom w:val="single" w:sz="4" w:space="0" w:color="auto"/>
              <w:right w:val="single" w:sz="4" w:space="0" w:color="auto"/>
            </w:tcBorders>
            <w:shd w:val="clear" w:color="auto" w:fill="auto"/>
            <w:vAlign w:val="center"/>
          </w:tcPr>
          <w:p w14:paraId="2E401B59" w14:textId="77777777" w:rsidR="00AC063D" w:rsidRPr="00F62144" w:rsidRDefault="00AC063D" w:rsidP="009414CF">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rsidR="00AC063D" w:rsidRPr="00F62144" w14:paraId="683595DE" w14:textId="77777777" w:rsidTr="00A5585D">
        <w:trPr>
          <w:cantSplit/>
          <w:trHeight w:val="119"/>
        </w:trPr>
        <w:tc>
          <w:tcPr>
            <w:tcW w:w="10998" w:type="dxa"/>
            <w:gridSpan w:val="9"/>
            <w:tcBorders>
              <w:top w:val="single" w:sz="4" w:space="0" w:color="auto"/>
              <w:left w:val="single" w:sz="4" w:space="0" w:color="auto"/>
              <w:right w:val="single" w:sz="4" w:space="0" w:color="auto"/>
            </w:tcBorders>
            <w:shd w:val="clear" w:color="auto" w:fill="auto"/>
            <w:vAlign w:val="center"/>
          </w:tcPr>
          <w:p w14:paraId="1B88BFDF" w14:textId="77777777" w:rsidR="00AC063D" w:rsidRPr="00F62144" w:rsidRDefault="00AC063D" w:rsidP="009414CF">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rsidR="00AC063D" w:rsidRPr="00F62144" w14:paraId="60840347" w14:textId="77777777" w:rsidTr="00AC063D">
        <w:trPr>
          <w:cantSplit/>
          <w:trHeight w:val="239"/>
        </w:trPr>
        <w:tc>
          <w:tcPr>
            <w:tcW w:w="10998" w:type="dxa"/>
            <w:gridSpan w:val="9"/>
            <w:tcBorders>
              <w:left w:val="single" w:sz="4" w:space="0" w:color="auto"/>
              <w:right w:val="single" w:sz="4" w:space="0" w:color="auto"/>
            </w:tcBorders>
            <w:shd w:val="clear" w:color="auto" w:fill="auto"/>
            <w:vAlign w:val="center"/>
          </w:tcPr>
          <w:p w14:paraId="6AC346E7" w14:textId="77777777" w:rsidR="00AC063D" w:rsidRPr="00F62144" w:rsidRDefault="00AC063D" w:rsidP="009414CF">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 ___________________________________________________________________________________________________________</w:t>
            </w:r>
          </w:p>
        </w:tc>
      </w:tr>
      <w:tr w:rsidR="00AC063D" w:rsidRPr="00F62144" w14:paraId="6C21251D" w14:textId="77777777" w:rsidTr="00AC063D">
        <w:trPr>
          <w:cantSplit/>
          <w:trHeight w:val="251"/>
        </w:trPr>
        <w:tc>
          <w:tcPr>
            <w:tcW w:w="10998" w:type="dxa"/>
            <w:gridSpan w:val="9"/>
            <w:tcBorders>
              <w:left w:val="single" w:sz="4" w:space="0" w:color="auto"/>
              <w:right w:val="single" w:sz="4" w:space="0" w:color="auto"/>
            </w:tcBorders>
            <w:shd w:val="clear" w:color="auto" w:fill="auto"/>
            <w:vAlign w:val="center"/>
          </w:tcPr>
          <w:p w14:paraId="437EA232" w14:textId="77777777" w:rsidR="00AC063D" w:rsidRPr="00F62144" w:rsidRDefault="00AC063D" w:rsidP="009414CF">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 _____________________________________________________________________________________________________</w:t>
            </w:r>
          </w:p>
        </w:tc>
      </w:tr>
      <w:tr w:rsidR="00AC063D" w:rsidRPr="00F62144" w14:paraId="7A3F679D" w14:textId="77777777" w:rsidTr="00AC063D">
        <w:trPr>
          <w:cantSplit/>
          <w:trHeight w:val="237"/>
        </w:trPr>
        <w:tc>
          <w:tcPr>
            <w:tcW w:w="10998" w:type="dxa"/>
            <w:gridSpan w:val="9"/>
            <w:tcBorders>
              <w:left w:val="single" w:sz="4" w:space="0" w:color="auto"/>
              <w:right w:val="single" w:sz="4" w:space="0" w:color="auto"/>
            </w:tcBorders>
            <w:shd w:val="clear" w:color="auto" w:fill="auto"/>
            <w:vAlign w:val="center"/>
          </w:tcPr>
          <w:p w14:paraId="4E99B847" w14:textId="77777777" w:rsidR="00AC063D" w:rsidRPr="00F62144" w:rsidRDefault="00AC063D" w:rsidP="009414CF">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Address line 2 _____________________________________________________________________________________________________</w:t>
            </w:r>
          </w:p>
        </w:tc>
      </w:tr>
      <w:tr w:rsidR="00AC063D" w:rsidRPr="00F62144" w14:paraId="37BAF7F9" w14:textId="77777777" w:rsidTr="00AC063D">
        <w:trPr>
          <w:cantSplit/>
          <w:trHeight w:val="230"/>
        </w:trPr>
        <w:tc>
          <w:tcPr>
            <w:tcW w:w="3798" w:type="dxa"/>
            <w:gridSpan w:val="3"/>
            <w:tcBorders>
              <w:left w:val="single" w:sz="4" w:space="0" w:color="auto"/>
            </w:tcBorders>
            <w:shd w:val="clear" w:color="auto" w:fill="auto"/>
            <w:vAlign w:val="center"/>
          </w:tcPr>
          <w:p w14:paraId="6D76DA7C" w14:textId="77777777" w:rsidR="00AC063D" w:rsidRPr="00F62144" w:rsidRDefault="00AC063D" w:rsidP="009414CF">
            <w:pPr>
              <w:spacing w:before="80"/>
              <w:ind w:firstLine="216"/>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City _________________________</w:t>
            </w:r>
          </w:p>
        </w:tc>
        <w:tc>
          <w:tcPr>
            <w:tcW w:w="1620" w:type="dxa"/>
            <w:shd w:val="clear" w:color="auto" w:fill="auto"/>
            <w:vAlign w:val="center"/>
          </w:tcPr>
          <w:p w14:paraId="03A8A8FB" w14:textId="77777777" w:rsidR="00AC063D" w:rsidRPr="00F62144" w:rsidRDefault="00AC063D" w:rsidP="009414CF">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 ______</w:t>
            </w:r>
          </w:p>
        </w:tc>
        <w:tc>
          <w:tcPr>
            <w:tcW w:w="2160" w:type="dxa"/>
            <w:gridSpan w:val="3"/>
            <w:shd w:val="clear" w:color="auto" w:fill="auto"/>
            <w:vAlign w:val="center"/>
          </w:tcPr>
          <w:p w14:paraId="7867683E" w14:textId="77777777" w:rsidR="00AC063D" w:rsidRPr="00F62144" w:rsidRDefault="00AC063D" w:rsidP="009414CF">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Zip _______________</w:t>
            </w:r>
          </w:p>
        </w:tc>
        <w:tc>
          <w:tcPr>
            <w:tcW w:w="3420" w:type="dxa"/>
            <w:gridSpan w:val="2"/>
            <w:tcBorders>
              <w:right w:val="single" w:sz="4" w:space="0" w:color="auto"/>
            </w:tcBorders>
            <w:shd w:val="clear" w:color="auto" w:fill="auto"/>
            <w:vAlign w:val="center"/>
          </w:tcPr>
          <w:p w14:paraId="3217022B" w14:textId="77777777" w:rsidR="00AC063D" w:rsidRPr="00F62144" w:rsidRDefault="00AC063D" w:rsidP="009414CF">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Country (if not U.S.) _____________</w:t>
            </w:r>
          </w:p>
        </w:tc>
      </w:tr>
      <w:tr w:rsidR="00AC063D" w:rsidRPr="00F62144" w14:paraId="023B8035" w14:textId="77777777" w:rsidTr="00A5585D">
        <w:trPr>
          <w:cantSplit/>
          <w:trHeight w:val="183"/>
        </w:trPr>
        <w:tc>
          <w:tcPr>
            <w:tcW w:w="10998" w:type="dxa"/>
            <w:gridSpan w:val="9"/>
            <w:tcBorders>
              <w:left w:val="single" w:sz="4" w:space="0" w:color="auto"/>
              <w:right w:val="single" w:sz="4" w:space="0" w:color="auto"/>
            </w:tcBorders>
            <w:shd w:val="clear" w:color="auto" w:fill="auto"/>
            <w:vAlign w:val="center"/>
          </w:tcPr>
          <w:p w14:paraId="1AC7E8D2" w14:textId="77777777" w:rsidR="00AC063D" w:rsidRPr="00F62144" w:rsidRDefault="00AC063D" w:rsidP="009414CF">
            <w:pPr>
              <w:spacing w:before="80"/>
              <w:ind w:firstLine="216"/>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rsidR="00AC063D" w:rsidRPr="00F62144" w14:paraId="2FDECF9E" w14:textId="77777777" w:rsidTr="00AC063D">
        <w:trPr>
          <w:cantSplit/>
          <w:trHeight w:val="158"/>
        </w:trPr>
        <w:tc>
          <w:tcPr>
            <w:tcW w:w="10998" w:type="dxa"/>
            <w:gridSpan w:val="9"/>
            <w:tcBorders>
              <w:left w:val="single" w:sz="4" w:space="0" w:color="auto"/>
              <w:right w:val="single" w:sz="4" w:space="0" w:color="auto"/>
            </w:tcBorders>
            <w:shd w:val="clear" w:color="auto" w:fill="auto"/>
            <w:vAlign w:val="center"/>
          </w:tcPr>
          <w:p w14:paraId="3FB22268" w14:textId="77777777" w:rsidR="00AC063D" w:rsidRPr="00F62144" w:rsidRDefault="00AC063D" w:rsidP="001738E2">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______________________________________________________________   </w:t>
            </w:r>
          </w:p>
        </w:tc>
      </w:tr>
      <w:tr w:rsidR="00AC063D" w:rsidRPr="00F62144" w14:paraId="68AFCD43" w14:textId="77777777" w:rsidTr="00AC063D">
        <w:trPr>
          <w:cantSplit/>
          <w:trHeight w:val="331"/>
        </w:trPr>
        <w:tc>
          <w:tcPr>
            <w:tcW w:w="10998" w:type="dxa"/>
            <w:gridSpan w:val="9"/>
            <w:tcBorders>
              <w:left w:val="single" w:sz="4" w:space="0" w:color="auto"/>
              <w:right w:val="single" w:sz="4" w:space="0" w:color="auto"/>
            </w:tcBorders>
            <w:shd w:val="clear" w:color="auto" w:fill="auto"/>
            <w:vAlign w:val="center"/>
          </w:tcPr>
          <w:p w14:paraId="11CFB718" w14:textId="77777777" w:rsidR="00AC063D" w:rsidRPr="00F62144" w:rsidRDefault="00AC063D" w:rsidP="009414CF">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___________________________________________________ </w:t>
            </w: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rsidR="002A2C8A" w:rsidRPr="00F62144" w14:paraId="4A7D5E46" w14:textId="77777777" w:rsidTr="00AC063D">
        <w:trPr>
          <w:cantSplit/>
          <w:trHeight w:val="331"/>
        </w:trPr>
        <w:tc>
          <w:tcPr>
            <w:tcW w:w="10998" w:type="dxa"/>
            <w:gridSpan w:val="9"/>
            <w:tcBorders>
              <w:left w:val="single" w:sz="4" w:space="0" w:color="auto"/>
              <w:right w:val="single" w:sz="4" w:space="0" w:color="auto"/>
            </w:tcBorders>
            <w:shd w:val="clear" w:color="auto" w:fill="auto"/>
            <w:vAlign w:val="center"/>
          </w:tcPr>
          <w:p w14:paraId="3B62705C" w14:textId="77777777" w:rsidR="002A2C8A" w:rsidRPr="00F62144" w:rsidRDefault="002A2C8A" w:rsidP="00684E20">
            <w:pPr>
              <w:spacing w:before="80"/>
              <w:ind w:firstLine="216"/>
              <w:rPr>
                <w:rFonts w:asciiTheme="minorHAnsi" w:hAnsiTheme="minorHAnsi"/>
                <w:b/>
                <w:color w:val="000000"/>
                <w:sz w:val="16"/>
                <w:szCs w:val="16"/>
              </w:rPr>
            </w:pPr>
            <w:r w:rsidRPr="00F62144">
              <w:rPr>
                <w:rFonts w:asciiTheme="minorHAnsi" w:hAnsiTheme="minorHAnsi"/>
                <w:b/>
                <w:sz w:val="16"/>
                <w:szCs w:val="16"/>
              </w:rPr>
              <w:t>i Alternat</w:t>
            </w:r>
            <w:r w:rsidR="00684E20" w:rsidRPr="00F62144">
              <w:rPr>
                <w:rFonts w:asciiTheme="minorHAnsi" w:hAnsiTheme="minorHAnsi"/>
                <w:b/>
                <w:sz w:val="16"/>
                <w:szCs w:val="16"/>
              </w:rPr>
              <w:t>ive</w:t>
            </w:r>
            <w:r w:rsidRPr="00F62144">
              <w:rPr>
                <w:rFonts w:asciiTheme="minorHAnsi" w:hAnsiTheme="minorHAnsi"/>
                <w:b/>
                <w:sz w:val="16"/>
                <w:szCs w:val="16"/>
              </w:rPr>
              <w:t xml:space="preserve"> phone number for Insured Plans List on pbgc.gov: _ _ _ -_ _ _ - _ _ _ _ ext _ _ _ _ _</w:t>
            </w:r>
            <w:r w:rsidRPr="00F62144">
              <w:rPr>
                <w:rFonts w:asciiTheme="minorHAnsi" w:hAnsiTheme="minorHAnsi"/>
                <w:sz w:val="16"/>
                <w:szCs w:val="16"/>
              </w:rPr>
              <w:t xml:space="preserve">  </w:t>
            </w:r>
          </w:p>
        </w:tc>
      </w:tr>
      <w:tr w:rsidR="00AC063D" w:rsidRPr="00F62144" w14:paraId="191F3169" w14:textId="77777777" w:rsidTr="00AC063D">
        <w:trPr>
          <w:cantSplit/>
          <w:trHeight w:val="331"/>
        </w:trPr>
        <w:tc>
          <w:tcPr>
            <w:tcW w:w="10998" w:type="dxa"/>
            <w:gridSpan w:val="9"/>
            <w:tcBorders>
              <w:top w:val="single" w:sz="4" w:space="0" w:color="auto"/>
              <w:left w:val="single" w:sz="4" w:space="0" w:color="auto"/>
              <w:right w:val="single" w:sz="4" w:space="0" w:color="auto"/>
            </w:tcBorders>
            <w:shd w:val="clear" w:color="auto" w:fill="auto"/>
            <w:vAlign w:val="center"/>
          </w:tcPr>
          <w:p w14:paraId="46969000" w14:textId="77777777" w:rsidR="00AC063D" w:rsidRPr="00F62144" w:rsidRDefault="00AC063D" w:rsidP="009414CF">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rsidR="00AC063D" w:rsidRPr="00F62144" w14:paraId="7D60E8A3" w14:textId="77777777" w:rsidTr="009414CF">
        <w:trPr>
          <w:cantSplit/>
          <w:trHeight w:val="212"/>
        </w:trPr>
        <w:tc>
          <w:tcPr>
            <w:tcW w:w="10998" w:type="dxa"/>
            <w:gridSpan w:val="9"/>
            <w:tcBorders>
              <w:left w:val="single" w:sz="4" w:space="0" w:color="auto"/>
              <w:right w:val="single" w:sz="4" w:space="0" w:color="auto"/>
            </w:tcBorders>
            <w:shd w:val="clear" w:color="auto" w:fill="auto"/>
            <w:vAlign w:val="center"/>
          </w:tcPr>
          <w:p w14:paraId="5CB741B7" w14:textId="77777777" w:rsidR="00AC063D" w:rsidRPr="00F62144" w:rsidRDefault="00AC063D" w:rsidP="009414CF">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___________________________________________________________________________________   </w:t>
            </w:r>
          </w:p>
        </w:tc>
      </w:tr>
      <w:tr w:rsidR="00AC063D" w:rsidRPr="00F62144" w14:paraId="186FF092" w14:textId="77777777" w:rsidTr="00AC063D">
        <w:trPr>
          <w:cantSplit/>
          <w:trHeight w:val="311"/>
        </w:trPr>
        <w:tc>
          <w:tcPr>
            <w:tcW w:w="10998" w:type="dxa"/>
            <w:gridSpan w:val="9"/>
            <w:tcBorders>
              <w:left w:val="single" w:sz="4" w:space="0" w:color="auto"/>
              <w:right w:val="single" w:sz="4" w:space="0" w:color="auto"/>
            </w:tcBorders>
            <w:shd w:val="clear" w:color="auto" w:fill="auto"/>
            <w:vAlign w:val="center"/>
          </w:tcPr>
          <w:p w14:paraId="09C9A948" w14:textId="77777777" w:rsidR="00AC063D" w:rsidRPr="00F62144" w:rsidRDefault="00AC063D" w:rsidP="009414CF">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___________________________________________________ </w:t>
            </w: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rsidR="00AC063D" w:rsidRPr="00F62144" w14:paraId="000607BD" w14:textId="77777777" w:rsidTr="009414CF">
        <w:trPr>
          <w:cantSplit/>
          <w:trHeight w:val="112"/>
        </w:trPr>
        <w:tc>
          <w:tcPr>
            <w:tcW w:w="10998" w:type="dxa"/>
            <w:gridSpan w:val="9"/>
            <w:tcBorders>
              <w:top w:val="single" w:sz="4" w:space="0" w:color="auto"/>
              <w:left w:val="single" w:sz="4" w:space="0" w:color="auto"/>
              <w:right w:val="single" w:sz="4" w:space="0" w:color="auto"/>
            </w:tcBorders>
            <w:shd w:val="clear" w:color="auto" w:fill="auto"/>
            <w:vAlign w:val="bottom"/>
          </w:tcPr>
          <w:p w14:paraId="196CDA79" w14:textId="77777777" w:rsidR="00AC063D" w:rsidRPr="00F62144" w:rsidRDefault="00AC063D" w:rsidP="009414CF">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rsidR="00AC063D" w:rsidRPr="00F62144" w14:paraId="6DC8673B" w14:textId="77777777" w:rsidTr="0016182A">
        <w:trPr>
          <w:cantSplit/>
          <w:trHeight w:val="266"/>
        </w:trPr>
        <w:tc>
          <w:tcPr>
            <w:tcW w:w="1368" w:type="dxa"/>
            <w:tcBorders>
              <w:left w:val="single" w:sz="4" w:space="0" w:color="auto"/>
            </w:tcBorders>
            <w:shd w:val="clear" w:color="auto" w:fill="auto"/>
            <w:vAlign w:val="bottom"/>
          </w:tcPr>
          <w:p w14:paraId="02637E7C" w14:textId="77777777" w:rsidR="00AC063D" w:rsidRPr="00F62144" w:rsidRDefault="00AC063D" w:rsidP="009414CF">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0016182A" w:rsidRPr="00F62144">
              <w:rPr>
                <w:rFonts w:asciiTheme="minorHAnsi" w:hAnsiTheme="minorHAnsi"/>
                <w:b/>
                <w:color w:val="000000"/>
                <w:sz w:val="16"/>
                <w:szCs w:val="16"/>
              </w:rPr>
              <w:t xml:space="preserve"> </w:t>
            </w:r>
            <w:r w:rsidRPr="00F62144">
              <w:rPr>
                <w:rFonts w:asciiTheme="minorHAnsi" w:hAnsiTheme="minorHAnsi"/>
                <w:color w:val="000000"/>
                <w:sz w:val="16"/>
                <w:szCs w:val="16"/>
              </w:rPr>
              <w:t>Plan name</w:t>
            </w:r>
          </w:p>
        </w:tc>
        <w:tc>
          <w:tcPr>
            <w:tcW w:w="9630" w:type="dxa"/>
            <w:gridSpan w:val="8"/>
            <w:tcBorders>
              <w:right w:val="single" w:sz="4" w:space="0" w:color="auto"/>
            </w:tcBorders>
            <w:shd w:val="clear" w:color="auto" w:fill="auto"/>
            <w:vAlign w:val="center"/>
          </w:tcPr>
          <w:p w14:paraId="3DF7FD97" w14:textId="77777777" w:rsidR="00AC063D" w:rsidRPr="00F62144" w:rsidRDefault="00AC063D" w:rsidP="0016182A">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w:t>
            </w:r>
            <w:r w:rsidR="0016182A" w:rsidRPr="00F62144">
              <w:rPr>
                <w:rFonts w:asciiTheme="minorHAnsi" w:hAnsiTheme="minorHAnsi"/>
                <w:color w:val="000000"/>
                <w:sz w:val="16"/>
                <w:szCs w:val="16"/>
              </w:rPr>
              <w:t>____________</w:t>
            </w:r>
            <w:r w:rsidRPr="00F62144">
              <w:rPr>
                <w:rFonts w:asciiTheme="minorHAnsi" w:hAnsiTheme="minorHAnsi"/>
                <w:color w:val="000000"/>
                <w:sz w:val="16"/>
                <w:szCs w:val="16"/>
              </w:rPr>
              <w:t>__________________________________</w:t>
            </w:r>
          </w:p>
        </w:tc>
      </w:tr>
      <w:tr w:rsidR="00AC063D" w:rsidRPr="00F62144" w14:paraId="30119100" w14:textId="77777777" w:rsidTr="00AC063D">
        <w:trPr>
          <w:cantSplit/>
          <w:trHeight w:val="185"/>
        </w:trPr>
        <w:tc>
          <w:tcPr>
            <w:tcW w:w="10998" w:type="dxa"/>
            <w:gridSpan w:val="9"/>
            <w:tcBorders>
              <w:left w:val="single" w:sz="4" w:space="0" w:color="auto"/>
              <w:right w:val="single" w:sz="4" w:space="0" w:color="auto"/>
            </w:tcBorders>
            <w:shd w:val="clear" w:color="auto" w:fill="auto"/>
            <w:vAlign w:val="center"/>
          </w:tcPr>
          <w:p w14:paraId="3C2D4735" w14:textId="77777777" w:rsidR="00AC063D" w:rsidRPr="00F62144" w:rsidRDefault="00AC063D" w:rsidP="009414CF">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rsidR="00AC063D" w:rsidRPr="00F62144" w14:paraId="38A6FD27" w14:textId="77777777" w:rsidTr="00AC063D">
        <w:trPr>
          <w:cantSplit/>
          <w:trHeight w:val="279"/>
        </w:trPr>
        <w:tc>
          <w:tcPr>
            <w:tcW w:w="10998" w:type="dxa"/>
            <w:gridSpan w:val="9"/>
            <w:tcBorders>
              <w:left w:val="single" w:sz="4" w:space="0" w:color="auto"/>
              <w:right w:val="single" w:sz="4" w:space="0" w:color="auto"/>
            </w:tcBorders>
            <w:shd w:val="clear" w:color="auto" w:fill="auto"/>
            <w:vAlign w:val="bottom"/>
          </w:tcPr>
          <w:p w14:paraId="2CF47130" w14:textId="77777777" w:rsidR="00AC063D" w:rsidRPr="00F62144" w:rsidRDefault="00AC063D" w:rsidP="009414CF">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rsidR="00AC063D" w:rsidRPr="00F62144" w14:paraId="3E5A4B33" w14:textId="77777777" w:rsidTr="00AC063D">
        <w:trPr>
          <w:cantSplit/>
          <w:trHeight w:val="323"/>
        </w:trPr>
        <w:tc>
          <w:tcPr>
            <w:tcW w:w="10998" w:type="dxa"/>
            <w:gridSpan w:val="9"/>
            <w:tcBorders>
              <w:left w:val="single" w:sz="4" w:space="0" w:color="auto"/>
              <w:right w:val="single" w:sz="4" w:space="0" w:color="auto"/>
            </w:tcBorders>
            <w:shd w:val="clear" w:color="auto" w:fill="auto"/>
            <w:vAlign w:val="bottom"/>
          </w:tcPr>
          <w:p w14:paraId="794A9C47" w14:textId="77777777" w:rsidR="00AC063D" w:rsidRPr="00F62144" w:rsidRDefault="00AC063D" w:rsidP="00626DAA">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b18"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sidR="00E93313">
              <w:rPr>
                <w:rFonts w:asciiTheme="minorHAnsi" w:hAnsiTheme="minorHAnsi"/>
                <w:color w:val="000000" w:themeColor="text1"/>
                <w:sz w:val="16"/>
                <w:szCs w:val="16"/>
              </w:rPr>
              <w:t xml:space="preserve">  </w:t>
            </w:r>
            <w:r w:rsidR="00E93313" w:rsidRPr="00E93313">
              <w:rPr>
                <w:rFonts w:asciiTheme="minorHAnsi" w:hAnsiTheme="minorHAnsi"/>
                <w:color w:val="FF0000"/>
                <w:sz w:val="16"/>
                <w:szCs w:val="16"/>
              </w:rPr>
              <w:t xml:space="preserve"> </w:t>
            </w:r>
          </w:p>
        </w:tc>
      </w:tr>
      <w:tr w:rsidR="00AC063D" w:rsidRPr="00F62144" w14:paraId="107605F6" w14:textId="77777777" w:rsidTr="00AC063D">
        <w:trPr>
          <w:cantSplit/>
          <w:trHeight w:val="323"/>
        </w:trPr>
        <w:tc>
          <w:tcPr>
            <w:tcW w:w="10998" w:type="dxa"/>
            <w:gridSpan w:val="9"/>
            <w:tcBorders>
              <w:left w:val="single" w:sz="4" w:space="0" w:color="auto"/>
              <w:right w:val="single" w:sz="4" w:space="0" w:color="auto"/>
            </w:tcBorders>
            <w:shd w:val="clear" w:color="auto" w:fill="auto"/>
            <w:vAlign w:val="bottom"/>
          </w:tcPr>
          <w:p w14:paraId="2903C3A9" w14:textId="77777777" w:rsidR="00AC063D" w:rsidRPr="00F62144" w:rsidRDefault="00AC063D" w:rsidP="009414CF">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 .</w:t>
            </w:r>
          </w:p>
        </w:tc>
      </w:tr>
      <w:tr w:rsidR="00AC063D" w:rsidRPr="00F62144" w14:paraId="20B5AF78" w14:textId="77777777" w:rsidTr="00AC063D">
        <w:trPr>
          <w:cantSplit/>
          <w:trHeight w:val="323"/>
        </w:trPr>
        <w:tc>
          <w:tcPr>
            <w:tcW w:w="10998" w:type="dxa"/>
            <w:gridSpan w:val="9"/>
            <w:tcBorders>
              <w:left w:val="single" w:sz="4" w:space="0" w:color="auto"/>
              <w:right w:val="single" w:sz="4" w:space="0" w:color="auto"/>
            </w:tcBorders>
            <w:shd w:val="clear" w:color="auto" w:fill="auto"/>
            <w:vAlign w:val="bottom"/>
          </w:tcPr>
          <w:p w14:paraId="1ACF607F" w14:textId="77777777" w:rsidR="00AC063D" w:rsidRPr="00F62144" w:rsidRDefault="00AC063D" w:rsidP="009414CF">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bookmarkStart w:id="24" w:name="Check5"/>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24"/>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 (</w:t>
            </w:r>
            <w:r w:rsidRPr="00F62144">
              <w:rPr>
                <w:rFonts w:asciiTheme="minorHAnsi" w:hAnsiTheme="minorHAnsi"/>
                <w:i/>
                <w:color w:val="000000"/>
                <w:sz w:val="16"/>
                <w:szCs w:val="16"/>
              </w:rPr>
              <w:t>i.e.</w:t>
            </w:r>
            <w:r w:rsidRPr="00F62144">
              <w:rPr>
                <w:rFonts w:asciiTheme="minorHAnsi" w:hAnsiTheme="minorHAnsi"/>
                <w:color w:val="000000"/>
                <w:sz w:val="16"/>
                <w:szCs w:val="16"/>
              </w:rPr>
              <w:t>, if plan has less than a full year of coverage).</w:t>
            </w:r>
          </w:p>
        </w:tc>
      </w:tr>
      <w:tr w:rsidR="00AC063D" w:rsidRPr="00F62144" w14:paraId="6A55412B" w14:textId="77777777" w:rsidTr="00AC063D">
        <w:trPr>
          <w:cantSplit/>
          <w:trHeight w:val="323"/>
        </w:trPr>
        <w:tc>
          <w:tcPr>
            <w:tcW w:w="10998" w:type="dxa"/>
            <w:gridSpan w:val="9"/>
            <w:tcBorders>
              <w:left w:val="single" w:sz="4" w:space="0" w:color="auto"/>
              <w:right w:val="single" w:sz="4" w:space="0" w:color="auto"/>
            </w:tcBorders>
            <w:shd w:val="clear" w:color="auto" w:fill="auto"/>
            <w:vAlign w:val="bottom"/>
          </w:tcPr>
          <w:p w14:paraId="7519656F" w14:textId="77777777" w:rsidR="00AC063D" w:rsidRPr="00F62144" w:rsidRDefault="00AC063D" w:rsidP="009414CF">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rsidR="00AC063D" w:rsidRPr="00F62144" w14:paraId="73E26756" w14:textId="77777777" w:rsidTr="00A5585D">
        <w:trPr>
          <w:cantSplit/>
          <w:trHeight w:val="219"/>
        </w:trPr>
        <w:tc>
          <w:tcPr>
            <w:tcW w:w="5814" w:type="dxa"/>
            <w:gridSpan w:val="5"/>
            <w:tcBorders>
              <w:left w:val="single" w:sz="4" w:space="0" w:color="auto"/>
            </w:tcBorders>
            <w:shd w:val="clear" w:color="auto" w:fill="auto"/>
            <w:vAlign w:val="bottom"/>
          </w:tcPr>
          <w:p w14:paraId="63B1F38C" w14:textId="77777777" w:rsidR="00AC063D" w:rsidRPr="00F62144" w:rsidRDefault="00AC063D" w:rsidP="009414CF">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w:t>
            </w:r>
            <w:r w:rsidR="00A5585D"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lang w:val="nl-NL"/>
              </w:rPr>
              <w:t xml:space="preserve">EIN and PN: EIN _ _ _ _ _ _ _ _ _ PN _ _ _ </w:t>
            </w:r>
          </w:p>
        </w:tc>
        <w:tc>
          <w:tcPr>
            <w:tcW w:w="5184" w:type="dxa"/>
            <w:gridSpan w:val="4"/>
            <w:tcBorders>
              <w:left w:val="nil"/>
              <w:right w:val="single" w:sz="4" w:space="0" w:color="auto"/>
            </w:tcBorders>
            <w:shd w:val="clear" w:color="auto" w:fill="auto"/>
            <w:vAlign w:val="bottom"/>
          </w:tcPr>
          <w:p w14:paraId="3CD93566" w14:textId="77777777" w:rsidR="00AC063D" w:rsidRPr="00F62144" w:rsidRDefault="00AC063D" w:rsidP="009414CF">
            <w:pPr>
              <w:spacing w:before="80"/>
              <w:rPr>
                <w:rFonts w:asciiTheme="minorHAnsi" w:hAnsiTheme="minorHAnsi"/>
                <w:color w:val="000000"/>
                <w:sz w:val="16"/>
                <w:szCs w:val="16"/>
                <w:lang w:val="nl-NL"/>
              </w:rPr>
            </w:pPr>
          </w:p>
        </w:tc>
      </w:tr>
      <w:tr w:rsidR="00AC063D" w:rsidRPr="00F62144" w14:paraId="47D713A5" w14:textId="77777777" w:rsidTr="00AC063D">
        <w:trPr>
          <w:cantSplit/>
          <w:trHeight w:val="522"/>
        </w:trPr>
        <w:tc>
          <w:tcPr>
            <w:tcW w:w="10998" w:type="dxa"/>
            <w:gridSpan w:val="9"/>
            <w:tcBorders>
              <w:left w:val="single" w:sz="4" w:space="0" w:color="auto"/>
              <w:right w:val="single" w:sz="4" w:space="0" w:color="auto"/>
            </w:tcBorders>
            <w:shd w:val="clear" w:color="auto" w:fill="auto"/>
            <w:vAlign w:val="bottom"/>
          </w:tcPr>
          <w:p w14:paraId="4FA353EA" w14:textId="77777777" w:rsidR="00AC063D" w:rsidRPr="00F62144" w:rsidRDefault="00AC063D" w:rsidP="009414CF">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w:t>
            </w:r>
            <w:r w:rsidR="00A5585D" w:rsidRPr="00F62144">
              <w:rPr>
                <w:rFonts w:asciiTheme="minorHAnsi" w:hAnsiTheme="minorHAnsi"/>
                <w:color w:val="000000"/>
                <w:sz w:val="16"/>
                <w:szCs w:val="16"/>
              </w:rPr>
              <w:t xml:space="preserve"> </w:t>
            </w:r>
            <w:r w:rsidRPr="00F62144">
              <w:rPr>
                <w:rFonts w:asciiTheme="minorHAnsi" w:hAnsiTheme="minorHAnsi"/>
                <w:color w:val="000000"/>
                <w:sz w:val="16"/>
                <w:szCs w:val="16"/>
              </w:rPr>
              <w:t xml:space="preserve">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w:t>
            </w:r>
            <w:r w:rsidR="00A5585D" w:rsidRPr="00F62144">
              <w:rPr>
                <w:rFonts w:asciiTheme="minorHAnsi" w:hAnsiTheme="minorHAnsi"/>
                <w:color w:val="000000"/>
                <w:sz w:val="16"/>
                <w:szCs w:val="16"/>
              </w:rPr>
              <w:t xml:space="preserve"> most recent premium filing:   </w:t>
            </w:r>
            <w:r w:rsidR="00A5585D" w:rsidRPr="00F62144">
              <w:rPr>
                <w:rFonts w:asciiTheme="minorHAnsi" w:hAnsiTheme="minorHAnsi"/>
                <w:color w:val="000000"/>
                <w:sz w:val="16"/>
                <w:szCs w:val="16"/>
              </w:rPr>
              <w:br/>
            </w:r>
            <w:r w:rsidRPr="00F62144">
              <w:rPr>
                <w:rFonts w:asciiTheme="minorHAnsi" w:hAnsiTheme="minorHAnsi"/>
                <w:color w:val="000000"/>
                <w:sz w:val="16"/>
                <w:szCs w:val="16"/>
              </w:rPr>
              <w:t xml:space="preserve">EIN _ _ _ _ _ _ _ _ _ PN _ _ _. Otherwise, skip to item 4c(3). </w:t>
            </w:r>
          </w:p>
        </w:tc>
      </w:tr>
      <w:tr w:rsidR="00AC063D" w:rsidRPr="00F62144" w14:paraId="6A5FB2A0" w14:textId="77777777" w:rsidTr="00A5585D">
        <w:trPr>
          <w:cantSplit/>
          <w:trHeight w:val="336"/>
        </w:trPr>
        <w:tc>
          <w:tcPr>
            <w:tcW w:w="10998" w:type="dxa"/>
            <w:gridSpan w:val="9"/>
            <w:tcBorders>
              <w:left w:val="single" w:sz="4" w:space="0" w:color="auto"/>
              <w:right w:val="single" w:sz="4" w:space="0" w:color="auto"/>
            </w:tcBorders>
            <w:shd w:val="clear" w:color="auto" w:fill="auto"/>
            <w:vAlign w:val="center"/>
          </w:tcPr>
          <w:p w14:paraId="21198067" w14:textId="77777777" w:rsidR="00AC063D" w:rsidRPr="00F62144" w:rsidRDefault="00AC063D" w:rsidP="00A5585D">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(3)</w:t>
            </w:r>
            <w:r w:rsidR="00A5585D" w:rsidRPr="00F62144">
              <w:rPr>
                <w:rFonts w:asciiTheme="minorHAnsi" w:hAnsiTheme="minorHAnsi"/>
                <w:b/>
                <w:color w:val="000000"/>
                <w:sz w:val="16"/>
                <w:szCs w:val="16"/>
              </w:rPr>
              <w:t xml:space="preserve">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AE348E">
              <w:rPr>
                <w:rFonts w:asciiTheme="minorHAnsi" w:hAnsiTheme="minorHAnsi"/>
                <w:color w:val="000000"/>
                <w:sz w:val="16"/>
                <w:szCs w:val="16"/>
              </w:rPr>
              <w:t>2017</w:t>
            </w:r>
            <w:r w:rsidRPr="00F62144">
              <w:rPr>
                <w:rFonts w:asciiTheme="minorHAnsi" w:hAnsiTheme="minorHAnsi"/>
                <w:color w:val="000000"/>
                <w:sz w:val="16"/>
                <w:szCs w:val="16"/>
              </w:rPr>
              <w:t xml:space="preserve"> Form 5500, enter EIN and PN from </w:t>
            </w:r>
            <w:r w:rsidR="00AE348E">
              <w:rPr>
                <w:rFonts w:asciiTheme="minorHAnsi" w:hAnsiTheme="minorHAnsi"/>
                <w:color w:val="000000"/>
                <w:sz w:val="16"/>
                <w:szCs w:val="16"/>
              </w:rPr>
              <w:t>2017</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w:t>
            </w:r>
            <w:r w:rsidR="00A5585D" w:rsidRPr="00F62144">
              <w:rPr>
                <w:rFonts w:asciiTheme="minorHAnsi" w:hAnsiTheme="minorHAnsi"/>
                <w:color w:val="000000"/>
                <w:sz w:val="16"/>
                <w:szCs w:val="16"/>
              </w:rPr>
              <w:t>________________________________</w:t>
            </w:r>
            <w:r w:rsidRPr="00F62144">
              <w:rPr>
                <w:rFonts w:asciiTheme="minorHAnsi" w:hAnsiTheme="minorHAnsi"/>
                <w:color w:val="000000"/>
                <w:sz w:val="16"/>
                <w:szCs w:val="16"/>
              </w:rPr>
              <w:t xml:space="preserve">__   </w:t>
            </w:r>
          </w:p>
        </w:tc>
      </w:tr>
      <w:tr w:rsidR="00AC063D" w:rsidRPr="00F62144" w14:paraId="6DCC60B6" w14:textId="77777777" w:rsidTr="00AC063D">
        <w:trPr>
          <w:cantSplit/>
          <w:trHeight w:val="255"/>
        </w:trPr>
        <w:tc>
          <w:tcPr>
            <w:tcW w:w="10998" w:type="dxa"/>
            <w:gridSpan w:val="9"/>
            <w:tcBorders>
              <w:left w:val="single" w:sz="4" w:space="0" w:color="auto"/>
              <w:right w:val="single" w:sz="4" w:space="0" w:color="auto"/>
            </w:tcBorders>
            <w:shd w:val="clear" w:color="auto" w:fill="auto"/>
            <w:vAlign w:val="bottom"/>
          </w:tcPr>
          <w:p w14:paraId="7454A1B4" w14:textId="77777777" w:rsidR="00AC063D" w:rsidRPr="00F62144" w:rsidRDefault="00AC063D" w:rsidP="009414CF">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rsidR="00AC063D" w:rsidRPr="00F62144" w14:paraId="2A05FA17" w14:textId="77777777" w:rsidTr="00AC063D">
        <w:trPr>
          <w:cantSplit/>
          <w:trHeight w:val="255"/>
        </w:trPr>
        <w:tc>
          <w:tcPr>
            <w:tcW w:w="10998" w:type="dxa"/>
            <w:gridSpan w:val="9"/>
            <w:tcBorders>
              <w:left w:val="single" w:sz="4" w:space="0" w:color="auto"/>
              <w:right w:val="single" w:sz="4" w:space="0" w:color="auto"/>
            </w:tcBorders>
            <w:shd w:val="clear" w:color="auto" w:fill="auto"/>
            <w:vAlign w:val="bottom"/>
          </w:tcPr>
          <w:p w14:paraId="54A71CBA" w14:textId="77777777" w:rsidR="00AC063D" w:rsidRPr="00F62144" w:rsidRDefault="00AC063D" w:rsidP="009414CF">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bookmarkStart w:id="25" w:name="Check7"/>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25"/>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bookmarkStart w:id="26" w:name="Check8"/>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26"/>
            <w:r w:rsidRPr="00F62144">
              <w:rPr>
                <w:rFonts w:asciiTheme="minorHAnsi" w:hAnsiTheme="minorHAnsi"/>
                <w:color w:val="000000"/>
                <w:sz w:val="16"/>
                <w:szCs w:val="16"/>
              </w:rPr>
              <w:t xml:space="preserve"> Single-employer (including multiple-employer plans) </w:t>
            </w:r>
          </w:p>
        </w:tc>
      </w:tr>
      <w:tr w:rsidR="00AC063D" w:rsidRPr="00F62144" w14:paraId="49155B23" w14:textId="77777777" w:rsidTr="00AC063D">
        <w:trPr>
          <w:cantSplit/>
          <w:trHeight w:val="183"/>
        </w:trPr>
        <w:tc>
          <w:tcPr>
            <w:tcW w:w="10998" w:type="dxa"/>
            <w:gridSpan w:val="9"/>
            <w:tcBorders>
              <w:left w:val="single" w:sz="4" w:space="0" w:color="auto"/>
              <w:right w:val="single" w:sz="4" w:space="0" w:color="auto"/>
            </w:tcBorders>
            <w:shd w:val="clear" w:color="auto" w:fill="auto"/>
            <w:vAlign w:val="bottom"/>
          </w:tcPr>
          <w:p w14:paraId="42581B1F" w14:textId="77777777" w:rsidR="00AC063D" w:rsidRPr="00F62144" w:rsidRDefault="00AC063D" w:rsidP="0085638D">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w:t>
            </w:r>
            <w:r w:rsidR="0085638D" w:rsidRPr="00F62144">
              <w:rPr>
                <w:rFonts w:asciiTheme="minorHAnsi" w:hAnsiTheme="minorHAnsi"/>
                <w:color w:val="000000" w:themeColor="text1"/>
                <w:sz w:val="16"/>
                <w:szCs w:val="16"/>
              </w:rPr>
              <w:t xml:space="preserve"> covered</w:t>
            </w:r>
            <w:r w:rsidRPr="00F62144">
              <w:rPr>
                <w:rFonts w:asciiTheme="minorHAnsi" w:hAnsiTheme="minorHAnsi"/>
                <w:color w:val="000000" w:themeColor="text1"/>
                <w:sz w:val="16"/>
                <w:szCs w:val="16"/>
              </w:rPr>
              <w:t xml:space="preserve"> plan and provide the following information: </w:t>
            </w:r>
          </w:p>
        </w:tc>
      </w:tr>
      <w:tr w:rsidR="00AC063D" w:rsidRPr="00F62144" w14:paraId="2D7A0A44" w14:textId="77777777" w:rsidTr="00AC063D">
        <w:trPr>
          <w:cantSplit/>
          <w:trHeight w:val="318"/>
        </w:trPr>
        <w:tc>
          <w:tcPr>
            <w:tcW w:w="10998" w:type="dxa"/>
            <w:gridSpan w:val="9"/>
            <w:tcBorders>
              <w:left w:val="single" w:sz="4" w:space="0" w:color="auto"/>
              <w:right w:val="single" w:sz="4" w:space="0" w:color="auto"/>
            </w:tcBorders>
            <w:shd w:val="clear" w:color="auto" w:fill="auto"/>
            <w:vAlign w:val="center"/>
          </w:tcPr>
          <w:p w14:paraId="5356369D" w14:textId="77777777" w:rsidR="00AC063D" w:rsidRPr="00F62144" w:rsidRDefault="00AC063D" w:rsidP="001738E2">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rsidR="00AC063D" w:rsidRPr="00F62144" w14:paraId="1EB7EA22" w14:textId="77777777" w:rsidTr="002A2C8A">
        <w:trPr>
          <w:cantSplit/>
          <w:trHeight w:val="273"/>
        </w:trPr>
        <w:tc>
          <w:tcPr>
            <w:tcW w:w="10998" w:type="dxa"/>
            <w:gridSpan w:val="9"/>
            <w:tcBorders>
              <w:left w:val="single" w:sz="4" w:space="0" w:color="auto"/>
              <w:bottom w:val="single" w:sz="4" w:space="0" w:color="auto"/>
              <w:right w:val="single" w:sz="4" w:space="0" w:color="auto"/>
            </w:tcBorders>
            <w:shd w:val="clear" w:color="auto" w:fill="auto"/>
            <w:vAlign w:val="center"/>
          </w:tcPr>
          <w:p w14:paraId="3DE89564" w14:textId="77777777" w:rsidR="00AC063D" w:rsidRPr="00F62144" w:rsidRDefault="00AC063D" w:rsidP="009414CF">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b18"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p w14:paraId="109DD4CD" w14:textId="77777777" w:rsidR="00E66D65" w:rsidRPr="00F62144" w:rsidRDefault="00E66D65" w:rsidP="00726077">
      <w:pPr>
        <w:tabs>
          <w:tab w:val="num" w:pos="630"/>
        </w:tabs>
        <w:spacing w:before="120" w:after="200" w:line="276" w:lineRule="auto"/>
        <w:ind w:left="-270" w:right="-360"/>
      </w:pPr>
      <w:r w:rsidRPr="00F62144">
        <w:br w:type="page"/>
      </w:r>
    </w:p>
    <w:tbl>
      <w:tblPr>
        <w:tblpPr w:leftFromText="180" w:rightFromText="180" w:vertAnchor="page" w:horzAnchor="margin" w:tblpXSpec="center" w:tblpY="1321"/>
        <w:tblW w:w="10998" w:type="dxa"/>
        <w:tblLayout w:type="fixed"/>
        <w:tblLook w:val="01E0" w:firstRow="1" w:lastRow="1" w:firstColumn="1" w:lastColumn="1" w:noHBand="0" w:noVBand="0"/>
      </w:tblPr>
      <w:tblGrid>
        <w:gridCol w:w="9468"/>
        <w:gridCol w:w="1530"/>
      </w:tblGrid>
      <w:tr w:rsidR="00AC063D" w:rsidRPr="00F62144" w14:paraId="27712429" w14:textId="77777777" w:rsidTr="00E66D65">
        <w:trPr>
          <w:cantSplit/>
          <w:trHeight w:val="220"/>
        </w:trPr>
        <w:tc>
          <w:tcPr>
            <w:tcW w:w="10998" w:type="dxa"/>
            <w:gridSpan w:val="2"/>
            <w:tcBorders>
              <w:top w:val="single" w:sz="4" w:space="0" w:color="auto"/>
              <w:left w:val="single" w:sz="4" w:space="0" w:color="auto"/>
              <w:bottom w:val="single" w:sz="4" w:space="0" w:color="auto"/>
              <w:right w:val="single" w:sz="4" w:space="0" w:color="auto"/>
            </w:tcBorders>
            <w:shd w:val="clear" w:color="auto" w:fill="auto"/>
          </w:tcPr>
          <w:p w14:paraId="11F963AA" w14:textId="77777777" w:rsidR="00AC063D" w:rsidRPr="00F62144" w:rsidRDefault="00AC063D" w:rsidP="009414CF">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rsidR="00AC063D" w:rsidRPr="00F62144" w14:paraId="29D98092" w14:textId="77777777" w:rsidTr="009414CF">
        <w:trPr>
          <w:cantSplit/>
          <w:trHeight w:val="175"/>
        </w:trPr>
        <w:tc>
          <w:tcPr>
            <w:tcW w:w="9468" w:type="dxa"/>
            <w:tcBorders>
              <w:top w:val="single" w:sz="4" w:space="0" w:color="auto"/>
              <w:left w:val="single" w:sz="4" w:space="0" w:color="auto"/>
            </w:tcBorders>
            <w:shd w:val="clear" w:color="auto" w:fill="auto"/>
            <w:vAlign w:val="center"/>
          </w:tcPr>
          <w:p w14:paraId="3A850399" w14:textId="77777777" w:rsidR="00AC063D" w:rsidRPr="00F62144" w:rsidRDefault="00AC063D" w:rsidP="009414CF">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premium </w:t>
            </w:r>
          </w:p>
        </w:tc>
        <w:tc>
          <w:tcPr>
            <w:tcW w:w="1530" w:type="dxa"/>
            <w:tcBorders>
              <w:top w:val="single" w:sz="4" w:space="0" w:color="auto"/>
              <w:right w:val="single" w:sz="4" w:space="0" w:color="auto"/>
            </w:tcBorders>
            <w:shd w:val="clear" w:color="auto" w:fill="auto"/>
            <w:vAlign w:val="center"/>
          </w:tcPr>
          <w:p w14:paraId="1BE7E218" w14:textId="77777777" w:rsidR="00AC063D" w:rsidRPr="00F62144" w:rsidRDefault="00AC063D" w:rsidP="009414CF">
            <w:pPr>
              <w:spacing w:before="80"/>
              <w:jc w:val="center"/>
              <w:rPr>
                <w:rFonts w:asciiTheme="minorHAnsi" w:hAnsiTheme="minorHAnsi"/>
                <w:color w:val="000000"/>
                <w:sz w:val="16"/>
                <w:szCs w:val="16"/>
              </w:rPr>
            </w:pPr>
          </w:p>
        </w:tc>
      </w:tr>
      <w:tr w:rsidR="00AC063D" w:rsidRPr="00F62144" w14:paraId="0C184DA6" w14:textId="77777777" w:rsidTr="009414CF">
        <w:trPr>
          <w:cantSplit/>
          <w:trHeight w:val="239"/>
        </w:trPr>
        <w:tc>
          <w:tcPr>
            <w:tcW w:w="10998" w:type="dxa"/>
            <w:gridSpan w:val="2"/>
            <w:tcBorders>
              <w:left w:val="single" w:sz="4" w:space="0" w:color="auto"/>
              <w:right w:val="single" w:sz="4" w:space="0" w:color="auto"/>
            </w:tcBorders>
            <w:shd w:val="clear" w:color="auto" w:fill="auto"/>
            <w:vAlign w:val="center"/>
          </w:tcPr>
          <w:p w14:paraId="18263051" w14:textId="77777777" w:rsidR="00AC063D" w:rsidRPr="00F62144" w:rsidRDefault="00AC063D" w:rsidP="009414CF">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rsidR="00AC063D" w:rsidRPr="00F62144" w14:paraId="7744485C" w14:textId="77777777" w:rsidTr="00CF3DD0">
        <w:trPr>
          <w:cantSplit/>
          <w:trHeight w:val="194"/>
        </w:trPr>
        <w:tc>
          <w:tcPr>
            <w:tcW w:w="9468" w:type="dxa"/>
            <w:tcBorders>
              <w:left w:val="single" w:sz="4" w:space="0" w:color="auto"/>
            </w:tcBorders>
            <w:shd w:val="clear" w:color="auto" w:fill="auto"/>
            <w:vAlign w:val="center"/>
          </w:tcPr>
          <w:p w14:paraId="1B6791F4" w14:textId="77777777" w:rsidR="00AC063D" w:rsidRPr="00F62144" w:rsidRDefault="00AC063D" w:rsidP="009414CF">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0" w:type="dxa"/>
            <w:tcBorders>
              <w:right w:val="single" w:sz="4" w:space="0" w:color="auto"/>
            </w:tcBorders>
            <w:shd w:val="clear" w:color="auto" w:fill="auto"/>
            <w:vAlign w:val="center"/>
          </w:tcPr>
          <w:p w14:paraId="6F56FD67" w14:textId="77777777" w:rsidR="00AC063D" w:rsidRPr="00F62144" w:rsidRDefault="00AC063D" w:rsidP="009414CF">
            <w:pPr>
              <w:spacing w:before="80"/>
              <w:jc w:val="center"/>
              <w:rPr>
                <w:rFonts w:asciiTheme="minorHAnsi" w:hAnsiTheme="minorHAnsi"/>
                <w:color w:val="000000"/>
                <w:sz w:val="16"/>
                <w:szCs w:val="16"/>
              </w:rPr>
            </w:pPr>
          </w:p>
        </w:tc>
      </w:tr>
      <w:tr w:rsidR="00AC063D" w:rsidRPr="00F62144" w14:paraId="1FABE65C" w14:textId="77777777" w:rsidTr="00CF3DD0">
        <w:trPr>
          <w:cantSplit/>
          <w:trHeight w:val="167"/>
        </w:trPr>
        <w:tc>
          <w:tcPr>
            <w:tcW w:w="9468" w:type="dxa"/>
            <w:tcBorders>
              <w:left w:val="single" w:sz="4" w:space="0" w:color="auto"/>
            </w:tcBorders>
            <w:shd w:val="clear" w:color="auto" w:fill="auto"/>
            <w:vAlign w:val="center"/>
          </w:tcPr>
          <w:p w14:paraId="1198D9A6" w14:textId="77777777" w:rsidR="00AC063D" w:rsidRPr="00F62144" w:rsidRDefault="00AC063D" w:rsidP="002D294F">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00A5585D" w:rsidRPr="00F62144">
              <w:rPr>
                <w:rFonts w:asciiTheme="minorHAnsi" w:hAnsiTheme="minorHAnsi"/>
                <w:b/>
                <w:color w:val="000000"/>
                <w:sz w:val="16"/>
                <w:szCs w:val="16"/>
              </w:rPr>
              <w:t xml:space="preserve"> </w:t>
            </w:r>
            <w:r w:rsidRPr="00F62144">
              <w:rPr>
                <w:rFonts w:asciiTheme="minorHAnsi" w:hAnsiTheme="minorHAnsi"/>
                <w:color w:val="000000"/>
                <w:sz w:val="16"/>
                <w:szCs w:val="16"/>
              </w:rPr>
              <w:t xml:space="preserve"> Applicable rate (Single-employer plans enter $</w:t>
            </w:r>
            <w:r w:rsidR="00425B9F">
              <w:rPr>
                <w:rFonts w:asciiTheme="minorHAnsi" w:hAnsiTheme="minorHAnsi"/>
                <w:color w:val="000000"/>
                <w:sz w:val="16"/>
                <w:szCs w:val="16"/>
              </w:rPr>
              <w:t>74</w:t>
            </w:r>
            <w:r w:rsidRPr="00F62144">
              <w:rPr>
                <w:rFonts w:asciiTheme="minorHAnsi" w:hAnsiTheme="minorHAnsi"/>
                <w:color w:val="000000"/>
                <w:sz w:val="16"/>
                <w:szCs w:val="16"/>
              </w:rPr>
              <w:t>; Multiemployer plans, ente</w:t>
            </w:r>
            <w:r w:rsidR="00CB4483" w:rsidRPr="00F62144">
              <w:rPr>
                <w:rFonts w:asciiTheme="minorHAnsi" w:hAnsiTheme="minorHAnsi"/>
                <w:color w:val="000000"/>
                <w:sz w:val="16"/>
                <w:szCs w:val="16"/>
              </w:rPr>
              <w:t>r $</w:t>
            </w:r>
            <w:r w:rsidR="002D294F">
              <w:rPr>
                <w:rFonts w:asciiTheme="minorHAnsi" w:hAnsiTheme="minorHAnsi"/>
                <w:color w:val="000000"/>
                <w:sz w:val="16"/>
                <w:szCs w:val="16"/>
              </w:rPr>
              <w:t>28</w:t>
            </w:r>
            <w:r w:rsidR="00CB4483" w:rsidRPr="00F62144">
              <w:rPr>
                <w:rFonts w:asciiTheme="minorHAnsi" w:hAnsiTheme="minorHAnsi"/>
                <w:color w:val="000000"/>
                <w:sz w:val="16"/>
                <w:szCs w:val="16"/>
              </w:rPr>
              <w:t>)</w:t>
            </w:r>
          </w:p>
        </w:tc>
        <w:tc>
          <w:tcPr>
            <w:tcW w:w="1530" w:type="dxa"/>
            <w:tcBorders>
              <w:right w:val="single" w:sz="4" w:space="0" w:color="auto"/>
            </w:tcBorders>
            <w:shd w:val="clear" w:color="auto" w:fill="auto"/>
            <w:vAlign w:val="center"/>
          </w:tcPr>
          <w:p w14:paraId="2FE28242" w14:textId="77777777" w:rsidR="00AC063D" w:rsidRPr="00F62144" w:rsidRDefault="00AC063D" w:rsidP="009414CF">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AC063D" w:rsidRPr="00F62144" w14:paraId="5AF25B70" w14:textId="77777777" w:rsidTr="00A5585D">
        <w:trPr>
          <w:cantSplit/>
          <w:trHeight w:val="140"/>
        </w:trPr>
        <w:tc>
          <w:tcPr>
            <w:tcW w:w="9468" w:type="dxa"/>
            <w:tcBorders>
              <w:left w:val="single" w:sz="4" w:space="0" w:color="auto"/>
            </w:tcBorders>
            <w:shd w:val="clear" w:color="auto" w:fill="auto"/>
            <w:vAlign w:val="center"/>
          </w:tcPr>
          <w:p w14:paraId="20B11CBC" w14:textId="77777777" w:rsidR="00AC063D" w:rsidRPr="00F62144" w:rsidRDefault="00AC063D" w:rsidP="009414CF">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w:t>
            </w:r>
            <w:r w:rsidR="00A5585D" w:rsidRPr="00F62144">
              <w:rPr>
                <w:rFonts w:asciiTheme="minorHAnsi" w:hAnsiTheme="minorHAnsi"/>
                <w:color w:val="000000"/>
                <w:sz w:val="16"/>
                <w:szCs w:val="16"/>
              </w:rPr>
              <w:t xml:space="preserve"> </w:t>
            </w:r>
            <w:r w:rsidRPr="00F62144">
              <w:rPr>
                <w:rFonts w:asciiTheme="minorHAnsi" w:hAnsiTheme="minorHAnsi"/>
                <w:color w:val="000000"/>
                <w:sz w:val="16"/>
                <w:szCs w:val="16"/>
              </w:rPr>
              <w:t>Participant count as of participant count date</w:t>
            </w:r>
          </w:p>
        </w:tc>
        <w:tc>
          <w:tcPr>
            <w:tcW w:w="1530" w:type="dxa"/>
            <w:tcBorders>
              <w:right w:val="single" w:sz="4" w:space="0" w:color="auto"/>
            </w:tcBorders>
            <w:shd w:val="clear" w:color="auto" w:fill="auto"/>
            <w:vAlign w:val="center"/>
          </w:tcPr>
          <w:p w14:paraId="45A80C72" w14:textId="77777777" w:rsidR="00AC063D" w:rsidRPr="00F62144" w:rsidRDefault="00AC063D" w:rsidP="009414CF">
            <w:pPr>
              <w:spacing w:before="80"/>
              <w:jc w:val="center"/>
              <w:rPr>
                <w:rFonts w:asciiTheme="minorHAnsi" w:hAnsiTheme="minorHAnsi"/>
                <w:color w:val="000000"/>
                <w:sz w:val="16"/>
                <w:szCs w:val="16"/>
              </w:rPr>
            </w:pPr>
          </w:p>
        </w:tc>
      </w:tr>
      <w:tr w:rsidR="00A5585D" w:rsidRPr="00F62144" w14:paraId="42AA27AB" w14:textId="77777777" w:rsidTr="0036660E">
        <w:trPr>
          <w:cantSplit/>
          <w:trHeight w:val="363"/>
        </w:trPr>
        <w:tc>
          <w:tcPr>
            <w:tcW w:w="9468" w:type="dxa"/>
            <w:tcBorders>
              <w:left w:val="single" w:sz="4" w:space="0" w:color="auto"/>
            </w:tcBorders>
            <w:shd w:val="clear" w:color="auto" w:fill="auto"/>
            <w:vAlign w:val="center"/>
          </w:tcPr>
          <w:p w14:paraId="1EAAB25A" w14:textId="77777777" w:rsidR="00A5585D" w:rsidRPr="00F62144" w:rsidRDefault="00A5585D" w:rsidP="000969BA">
            <w:pPr>
              <w:spacing w:before="80"/>
              <w:ind w:firstLine="630"/>
              <w:rPr>
                <w:rFonts w:asciiTheme="minorHAnsi" w:hAnsiTheme="minorHAnsi"/>
                <w:color w:val="000000"/>
                <w:sz w:val="16"/>
                <w:szCs w:val="16"/>
              </w:rPr>
            </w:pPr>
            <w:r w:rsidRPr="00F62144">
              <w:rPr>
                <w:rFonts w:asciiTheme="minorHAnsi" w:hAnsiTheme="minorHAnsi"/>
                <w:color w:val="000000"/>
                <w:sz w:val="16"/>
                <w:szCs w:val="16"/>
              </w:rPr>
              <w:t>Active</w:t>
            </w:r>
            <w:r w:rsidR="000969BA" w:rsidRPr="00F62144">
              <w:rPr>
                <w:rFonts w:asciiTheme="minorHAnsi" w:hAnsiTheme="minorHAnsi"/>
                <w:color w:val="000000"/>
                <w:sz w:val="16"/>
                <w:szCs w:val="16"/>
              </w:rPr>
              <w:t>: ___________           Terminated vested  _____________           Retirees and beneficiaries: _______________                      Total:</w:t>
            </w:r>
          </w:p>
        </w:tc>
        <w:tc>
          <w:tcPr>
            <w:tcW w:w="1530" w:type="dxa"/>
            <w:tcBorders>
              <w:right w:val="single" w:sz="4" w:space="0" w:color="auto"/>
            </w:tcBorders>
            <w:shd w:val="clear" w:color="auto" w:fill="auto"/>
            <w:vAlign w:val="center"/>
          </w:tcPr>
          <w:p w14:paraId="1588F84C" w14:textId="77777777" w:rsidR="00A5585D" w:rsidRPr="00F62144" w:rsidRDefault="00A5585D" w:rsidP="009414CF">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AC063D" w:rsidRPr="00F62144" w14:paraId="28E852F5" w14:textId="77777777" w:rsidTr="0036660E">
        <w:trPr>
          <w:cantSplit/>
          <w:trHeight w:val="363"/>
        </w:trPr>
        <w:tc>
          <w:tcPr>
            <w:tcW w:w="9468" w:type="dxa"/>
            <w:tcBorders>
              <w:left w:val="single" w:sz="4" w:space="0" w:color="auto"/>
              <w:bottom w:val="single" w:sz="4" w:space="0" w:color="auto"/>
            </w:tcBorders>
            <w:shd w:val="clear" w:color="auto" w:fill="auto"/>
            <w:vAlign w:val="center"/>
          </w:tcPr>
          <w:p w14:paraId="14C09D78" w14:textId="77777777" w:rsidR="00AC063D" w:rsidRPr="00F62144" w:rsidRDefault="00AC063D" w:rsidP="009414CF">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w:t>
            </w:r>
            <w:r w:rsidR="00A5585D" w:rsidRPr="00F62144">
              <w:rPr>
                <w:rFonts w:asciiTheme="minorHAnsi" w:hAnsiTheme="minorHAnsi"/>
                <w:color w:val="000000"/>
                <w:sz w:val="16"/>
                <w:szCs w:val="16"/>
              </w:rPr>
              <w:t xml:space="preserve"> </w:t>
            </w:r>
            <w:r w:rsidRPr="00F62144">
              <w:rPr>
                <w:rFonts w:asciiTheme="minorHAnsi" w:hAnsiTheme="minorHAnsi"/>
                <w:color w:val="000000"/>
                <w:sz w:val="16"/>
                <w:szCs w:val="16"/>
              </w:rPr>
              <w:t>Flat-rate premium (item 5b(1) x item 5b(2))</w:t>
            </w:r>
          </w:p>
        </w:tc>
        <w:tc>
          <w:tcPr>
            <w:tcW w:w="1530" w:type="dxa"/>
            <w:tcBorders>
              <w:bottom w:val="single" w:sz="4" w:space="0" w:color="auto"/>
              <w:right w:val="single" w:sz="4" w:space="0" w:color="auto"/>
            </w:tcBorders>
            <w:shd w:val="clear" w:color="auto" w:fill="auto"/>
            <w:vAlign w:val="center"/>
          </w:tcPr>
          <w:p w14:paraId="3C65CFF9" w14:textId="77777777" w:rsidR="00AC063D" w:rsidRPr="00F62144" w:rsidRDefault="00AC063D" w:rsidP="009414CF">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31" w:type="dxa"/>
        <w:jc w:val="center"/>
        <w:tblLayout w:type="fixed"/>
        <w:tblLook w:val="01E0" w:firstRow="1" w:lastRow="1" w:firstColumn="1" w:lastColumn="1" w:noHBand="0" w:noVBand="0"/>
      </w:tblPr>
      <w:tblGrid>
        <w:gridCol w:w="39"/>
        <w:gridCol w:w="2057"/>
        <w:gridCol w:w="1890"/>
        <w:gridCol w:w="1980"/>
        <w:gridCol w:w="810"/>
        <w:gridCol w:w="1170"/>
        <w:gridCol w:w="1347"/>
        <w:gridCol w:w="903"/>
        <w:gridCol w:w="835"/>
      </w:tblGrid>
      <w:tr w:rsidR="0036660E" w:rsidRPr="00F62144" w14:paraId="26E5D4A3" w14:textId="77777777" w:rsidTr="00E01C01">
        <w:trPr>
          <w:gridBefore w:val="1"/>
          <w:wBefore w:w="39" w:type="dxa"/>
          <w:cantSplit/>
          <w:trHeight w:val="440"/>
          <w:jc w:val="center"/>
        </w:trPr>
        <w:tc>
          <w:tcPr>
            <w:tcW w:w="10992" w:type="dxa"/>
            <w:gridSpan w:val="8"/>
            <w:shd w:val="clear" w:color="auto" w:fill="auto"/>
            <w:vAlign w:val="center"/>
          </w:tcPr>
          <w:p w14:paraId="73C35020" w14:textId="77777777" w:rsidR="0036660E" w:rsidRPr="00F62144" w:rsidRDefault="0036660E" w:rsidP="003B0C35">
            <w:pPr>
              <w:spacing w:before="80"/>
              <w:jc w:val="center"/>
              <w:rPr>
                <w:rFonts w:asciiTheme="minorHAnsi" w:hAnsiTheme="minorHAnsi"/>
                <w:b/>
                <w:bCs/>
                <w:color w:val="000000"/>
              </w:rPr>
            </w:pPr>
          </w:p>
        </w:tc>
      </w:tr>
      <w:tr w:rsidR="009414CF" w:rsidRPr="00F62144" w14:paraId="7DCC7D2A" w14:textId="77777777" w:rsidTr="00E01C01">
        <w:trPr>
          <w:gridBefore w:val="1"/>
          <w:wBefore w:w="39" w:type="dxa"/>
          <w:cantSplit/>
          <w:trHeight w:val="440"/>
          <w:jc w:val="center"/>
        </w:trPr>
        <w:tc>
          <w:tcPr>
            <w:tcW w:w="109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1B322D" w14:textId="77777777" w:rsidR="009414CF" w:rsidRPr="00F62144" w:rsidRDefault="009414CF" w:rsidP="003B0C35">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III – Variable-rate Premium Information</w:t>
            </w:r>
          </w:p>
          <w:p w14:paraId="6060D4B1" w14:textId="77777777" w:rsidR="009414CF" w:rsidRPr="00F62144" w:rsidRDefault="009414CF" w:rsidP="003B0C35">
            <w:pPr>
              <w:spacing w:before="80"/>
              <w:jc w:val="center"/>
              <w:rPr>
                <w:rFonts w:asciiTheme="minorHAnsi" w:hAnsiTheme="minorHAnsi"/>
                <w:b/>
                <w:color w:val="000000"/>
                <w:sz w:val="20"/>
                <w:szCs w:val="20"/>
              </w:rPr>
            </w:pPr>
            <w:r w:rsidRPr="00F62144">
              <w:rPr>
                <w:rFonts w:asciiTheme="minorHAnsi" w:hAnsiTheme="minorHAnsi"/>
                <w:b/>
                <w:i/>
                <w:color w:val="000000"/>
                <w:sz w:val="20"/>
                <w:szCs w:val="16"/>
              </w:rPr>
              <w:t>Multiemployer plans — Skip to Part IV</w:t>
            </w:r>
          </w:p>
        </w:tc>
      </w:tr>
      <w:tr w:rsidR="009414CF" w:rsidRPr="00F62144" w14:paraId="4BF7E89F" w14:textId="77777777" w:rsidTr="00E01C01">
        <w:trPr>
          <w:gridBefore w:val="1"/>
          <w:wBefore w:w="39" w:type="dxa"/>
          <w:cantSplit/>
          <w:trHeight w:val="346"/>
          <w:jc w:val="center"/>
        </w:trPr>
        <w:tc>
          <w:tcPr>
            <w:tcW w:w="10992" w:type="dxa"/>
            <w:gridSpan w:val="8"/>
            <w:tcBorders>
              <w:top w:val="single" w:sz="4" w:space="0" w:color="auto"/>
              <w:left w:val="single" w:sz="4" w:space="0" w:color="auto"/>
              <w:right w:val="single" w:sz="4" w:space="0" w:color="auto"/>
            </w:tcBorders>
            <w:shd w:val="clear" w:color="auto" w:fill="auto"/>
            <w:vAlign w:val="center"/>
          </w:tcPr>
          <w:p w14:paraId="28EA9F8F" w14:textId="77777777" w:rsidR="003B0C35" w:rsidRPr="00F62144" w:rsidRDefault="009414CF" w:rsidP="003B0C35">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p>
        </w:tc>
      </w:tr>
      <w:tr w:rsidR="003B0C35" w:rsidRPr="00F62144" w14:paraId="2CD58956" w14:textId="77777777" w:rsidTr="00E01C01">
        <w:trPr>
          <w:gridBefore w:val="1"/>
          <w:wBefore w:w="39" w:type="dxa"/>
          <w:cantSplit/>
          <w:trHeight w:val="188"/>
          <w:jc w:val="center"/>
        </w:trPr>
        <w:tc>
          <w:tcPr>
            <w:tcW w:w="10992" w:type="dxa"/>
            <w:gridSpan w:val="8"/>
            <w:tcBorders>
              <w:left w:val="single" w:sz="4" w:space="0" w:color="auto"/>
              <w:right w:val="single" w:sz="4" w:space="0" w:color="auto"/>
            </w:tcBorders>
            <w:shd w:val="clear" w:color="auto" w:fill="auto"/>
            <w:vAlign w:val="center"/>
          </w:tcPr>
          <w:p w14:paraId="00A3F408" w14:textId="77777777" w:rsidR="003B0C35" w:rsidRPr="00F62144" w:rsidRDefault="003B0C35" w:rsidP="003B0C35">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 Premium Funding Target Election or Revocation</w:t>
            </w:r>
          </w:p>
        </w:tc>
      </w:tr>
      <w:tr w:rsidR="009414CF" w:rsidRPr="00F62144" w14:paraId="51ECCEDA" w14:textId="77777777" w:rsidTr="00E01C01">
        <w:trPr>
          <w:gridBefore w:val="1"/>
          <w:wBefore w:w="39" w:type="dxa"/>
          <w:cantSplit/>
          <w:trHeight w:val="188"/>
          <w:jc w:val="center"/>
        </w:trPr>
        <w:tc>
          <w:tcPr>
            <w:tcW w:w="10992" w:type="dxa"/>
            <w:gridSpan w:val="8"/>
            <w:tcBorders>
              <w:left w:val="single" w:sz="4" w:space="0" w:color="auto"/>
              <w:right w:val="single" w:sz="4" w:space="0" w:color="auto"/>
            </w:tcBorders>
            <w:shd w:val="clear" w:color="auto" w:fill="auto"/>
            <w:vAlign w:val="center"/>
          </w:tcPr>
          <w:p w14:paraId="17026517" w14:textId="77777777" w:rsidR="009414CF" w:rsidRPr="00F62144" w:rsidRDefault="009414CF" w:rsidP="003B0C35">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bookmarkStart w:id="27" w:name="Check1"/>
            <w:r w:rsidRPr="00F62144">
              <w:rPr>
                <w:rFonts w:asciiTheme="minorHAnsi" w:hAnsiTheme="minorHAnsi"/>
                <w:color w:val="000000"/>
                <w:sz w:val="16"/>
                <w:szCs w:val="20"/>
              </w:rPr>
              <w:instrText xml:space="preserve"> FORMCHECKBOX </w:instrText>
            </w:r>
            <w:r w:rsidR="00DD783E">
              <w:rPr>
                <w:rFonts w:asciiTheme="minorHAnsi" w:hAnsiTheme="minorHAnsi"/>
                <w:color w:val="000000"/>
                <w:sz w:val="16"/>
                <w:szCs w:val="20"/>
              </w:rPr>
            </w:r>
            <w:r w:rsidR="00DD783E">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bookmarkEnd w:id="27"/>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rsidR="009414CF" w:rsidRPr="00F62144" w14:paraId="65F2083A" w14:textId="77777777" w:rsidTr="00E01C01">
        <w:trPr>
          <w:gridBefore w:val="1"/>
          <w:wBefore w:w="39" w:type="dxa"/>
          <w:cantSplit/>
          <w:trHeight w:val="918"/>
          <w:jc w:val="center"/>
        </w:trPr>
        <w:tc>
          <w:tcPr>
            <w:tcW w:w="10992" w:type="dxa"/>
            <w:gridSpan w:val="8"/>
            <w:tcBorders>
              <w:left w:val="single" w:sz="4" w:space="0" w:color="auto"/>
              <w:bottom w:val="single" w:sz="4" w:space="0" w:color="auto"/>
              <w:right w:val="single" w:sz="4" w:space="0" w:color="auto"/>
            </w:tcBorders>
            <w:shd w:val="clear" w:color="auto" w:fill="auto"/>
            <w:vAlign w:val="center"/>
          </w:tcPr>
          <w:p w14:paraId="04C858D4" w14:textId="77777777" w:rsidR="009414CF" w:rsidRPr="00F62144" w:rsidRDefault="009414CF" w:rsidP="003B0C35">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bookmarkStart w:id="28" w:name="Check6"/>
            <w:r w:rsidRPr="00F62144">
              <w:rPr>
                <w:rFonts w:asciiTheme="minorHAnsi" w:hAnsiTheme="minorHAnsi"/>
                <w:b/>
                <w:color w:val="000000"/>
                <w:sz w:val="16"/>
                <w:szCs w:val="16"/>
              </w:rPr>
              <w:instrText xml:space="preserve"> FORMCHECKBOX </w:instrText>
            </w:r>
            <w:r w:rsidR="00DD783E">
              <w:rPr>
                <w:rFonts w:asciiTheme="minorHAnsi" w:hAnsiTheme="minorHAnsi"/>
                <w:b/>
                <w:color w:val="000000"/>
                <w:sz w:val="16"/>
                <w:szCs w:val="16"/>
              </w:rPr>
            </w:r>
            <w:r w:rsidR="00DD783E">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bookmarkEnd w:id="28"/>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14:paraId="15046DB9" w14:textId="77777777" w:rsidR="009414CF" w:rsidRPr="00F62144" w:rsidRDefault="009414CF" w:rsidP="003B0C35">
            <w:pPr>
              <w:spacing w:before="80"/>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rsidR="009414CF" w:rsidRPr="00F62144" w14:paraId="5CF8468F" w14:textId="77777777" w:rsidTr="00E01C01">
        <w:trPr>
          <w:gridBefore w:val="1"/>
          <w:wBefore w:w="39" w:type="dxa"/>
          <w:cantSplit/>
          <w:trHeight w:val="188"/>
          <w:jc w:val="center"/>
        </w:trPr>
        <w:tc>
          <w:tcPr>
            <w:tcW w:w="10992" w:type="dxa"/>
            <w:gridSpan w:val="8"/>
            <w:tcBorders>
              <w:top w:val="single" w:sz="4" w:space="0" w:color="auto"/>
              <w:left w:val="single" w:sz="4" w:space="0" w:color="auto"/>
              <w:right w:val="single" w:sz="4" w:space="0" w:color="auto"/>
            </w:tcBorders>
            <w:shd w:val="clear" w:color="auto" w:fill="auto"/>
            <w:vAlign w:val="center"/>
          </w:tcPr>
          <w:p w14:paraId="113297DA" w14:textId="77777777" w:rsidR="009414CF" w:rsidRPr="00F62144" w:rsidRDefault="009414CF" w:rsidP="003B0C35">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7 Variable-rate premium (VRP)</w:t>
            </w:r>
          </w:p>
        </w:tc>
      </w:tr>
      <w:tr w:rsidR="009414CF" w:rsidRPr="00F62144" w14:paraId="11F0F61E" w14:textId="77777777" w:rsidTr="00E01C01">
        <w:trPr>
          <w:gridBefore w:val="1"/>
          <w:wBefore w:w="39" w:type="dxa"/>
          <w:cantSplit/>
          <w:trHeight w:val="252"/>
          <w:jc w:val="center"/>
        </w:trPr>
        <w:tc>
          <w:tcPr>
            <w:tcW w:w="10992" w:type="dxa"/>
            <w:gridSpan w:val="8"/>
            <w:tcBorders>
              <w:left w:val="single" w:sz="4" w:space="0" w:color="auto"/>
              <w:right w:val="single" w:sz="4" w:space="0" w:color="auto"/>
            </w:tcBorders>
            <w:shd w:val="clear" w:color="auto" w:fill="auto"/>
            <w:vAlign w:val="center"/>
          </w:tcPr>
          <w:p w14:paraId="3BB7B6EA" w14:textId="77777777" w:rsidR="009414CF" w:rsidRPr="00F62144" w:rsidRDefault="009414CF" w:rsidP="003B0C35">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w:t>
            </w:r>
            <w:r w:rsidR="00CE0EAE" w:rsidRPr="00F62144">
              <w:rPr>
                <w:rFonts w:asciiTheme="minorHAnsi" w:hAnsiTheme="minorHAnsi"/>
                <w:color w:val="000000"/>
                <w:sz w:val="16"/>
                <w:szCs w:val="16"/>
              </w:rPr>
              <w:t xml:space="preserve">  </w:t>
            </w:r>
          </w:p>
        </w:tc>
      </w:tr>
      <w:tr w:rsidR="009414CF" w:rsidRPr="00F62144" w14:paraId="3D209D26" w14:textId="77777777" w:rsidTr="00E01C01">
        <w:trPr>
          <w:gridBefore w:val="1"/>
          <w:wBefore w:w="39" w:type="dxa"/>
          <w:cantSplit/>
          <w:trHeight w:val="234"/>
          <w:jc w:val="center"/>
        </w:trPr>
        <w:tc>
          <w:tcPr>
            <w:tcW w:w="6737" w:type="dxa"/>
            <w:gridSpan w:val="4"/>
            <w:tcBorders>
              <w:left w:val="single" w:sz="4" w:space="0" w:color="auto"/>
            </w:tcBorders>
            <w:shd w:val="clear" w:color="auto" w:fill="auto"/>
            <w:vAlign w:val="center"/>
          </w:tcPr>
          <w:p w14:paraId="641E9ED5" w14:textId="77777777" w:rsidR="009414CF" w:rsidRPr="00F62144" w:rsidRDefault="00CE0EAE" w:rsidP="003B0C35">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w:t>
            </w:r>
            <w:r w:rsidR="0085638D" w:rsidRPr="00F62144">
              <w:rPr>
                <w:rFonts w:asciiTheme="minorHAnsi" w:hAnsiTheme="minorHAnsi"/>
                <w:color w:val="000000" w:themeColor="text1"/>
                <w:sz w:val="16"/>
                <w:szCs w:val="16"/>
              </w:rPr>
              <w:t xml:space="preserve"> covered</w:t>
            </w:r>
            <w:r w:rsidRPr="00F62144">
              <w:rPr>
                <w:rFonts w:asciiTheme="minorHAnsi" w:hAnsiTheme="minorHAnsi"/>
                <w:color w:val="000000" w:themeColor="text1"/>
                <w:sz w:val="16"/>
                <w:szCs w:val="16"/>
              </w:rPr>
              <w:t xml:space="preserve"> small plan other than a continuation plan</w:t>
            </w:r>
          </w:p>
        </w:tc>
        <w:tc>
          <w:tcPr>
            <w:tcW w:w="4255" w:type="dxa"/>
            <w:gridSpan w:val="4"/>
            <w:tcBorders>
              <w:left w:val="nil"/>
              <w:right w:val="single" w:sz="4" w:space="0" w:color="auto"/>
            </w:tcBorders>
            <w:shd w:val="clear" w:color="auto" w:fill="auto"/>
            <w:vAlign w:val="center"/>
          </w:tcPr>
          <w:p w14:paraId="05C04B97" w14:textId="77777777" w:rsidR="009414CF" w:rsidRPr="00F62144" w:rsidRDefault="009414CF" w:rsidP="003B0C35">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rsidR="009414CF" w:rsidRPr="00F62144" w14:paraId="16068ED3" w14:textId="77777777" w:rsidTr="00E01C01">
        <w:trPr>
          <w:gridBefore w:val="1"/>
          <w:wBefore w:w="39" w:type="dxa"/>
          <w:cantSplit/>
          <w:trHeight w:val="234"/>
          <w:jc w:val="center"/>
        </w:trPr>
        <w:tc>
          <w:tcPr>
            <w:tcW w:w="6737" w:type="dxa"/>
            <w:gridSpan w:val="4"/>
            <w:tcBorders>
              <w:left w:val="single" w:sz="4" w:space="0" w:color="auto"/>
            </w:tcBorders>
            <w:shd w:val="clear" w:color="auto" w:fill="auto"/>
            <w:vAlign w:val="center"/>
          </w:tcPr>
          <w:p w14:paraId="2739849C" w14:textId="77777777" w:rsidR="009414CF" w:rsidRPr="00F62144" w:rsidRDefault="009414CF" w:rsidP="003B0C35">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bookmarkStart w:id="29" w:name="Check14"/>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29"/>
            <w:r w:rsidRPr="00F62144">
              <w:rPr>
                <w:rFonts w:asciiTheme="minorHAnsi" w:hAnsiTheme="minorHAnsi"/>
                <w:color w:val="000000" w:themeColor="text1"/>
                <w:sz w:val="16"/>
                <w:szCs w:val="16"/>
              </w:rPr>
              <w:t xml:space="preserve">   Standard termination with a final distribution during the premium payment year</w:t>
            </w:r>
          </w:p>
        </w:tc>
        <w:tc>
          <w:tcPr>
            <w:tcW w:w="4255" w:type="dxa"/>
            <w:gridSpan w:val="4"/>
            <w:tcBorders>
              <w:left w:val="nil"/>
              <w:right w:val="single" w:sz="4" w:space="0" w:color="auto"/>
            </w:tcBorders>
            <w:shd w:val="clear" w:color="auto" w:fill="auto"/>
            <w:vAlign w:val="center"/>
          </w:tcPr>
          <w:p w14:paraId="64A12B49" w14:textId="77777777" w:rsidR="009414CF" w:rsidRPr="00F62144" w:rsidRDefault="009414CF" w:rsidP="003B0C35">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bookmarkStart w:id="30" w:name="Check16"/>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30"/>
            <w:r w:rsidRPr="00F62144">
              <w:rPr>
                <w:rFonts w:asciiTheme="minorHAnsi" w:hAnsiTheme="minorHAnsi"/>
                <w:color w:val="000000" w:themeColor="text1"/>
                <w:sz w:val="16"/>
                <w:szCs w:val="16"/>
              </w:rPr>
              <w:t xml:space="preserve">  412(e)(3) plan  </w:t>
            </w:r>
          </w:p>
        </w:tc>
      </w:tr>
      <w:tr w:rsidR="009414CF" w:rsidRPr="00F62144" w14:paraId="25D10371" w14:textId="77777777" w:rsidTr="00E01C01">
        <w:trPr>
          <w:gridBefore w:val="1"/>
          <w:wBefore w:w="39" w:type="dxa"/>
          <w:cantSplit/>
          <w:trHeight w:val="252"/>
          <w:jc w:val="center"/>
        </w:trPr>
        <w:tc>
          <w:tcPr>
            <w:tcW w:w="10992" w:type="dxa"/>
            <w:gridSpan w:val="8"/>
            <w:tcBorders>
              <w:left w:val="single" w:sz="4" w:space="0" w:color="auto"/>
              <w:right w:val="single" w:sz="4" w:space="0" w:color="auto"/>
            </w:tcBorders>
            <w:shd w:val="clear" w:color="auto" w:fill="auto"/>
            <w:vAlign w:val="center"/>
          </w:tcPr>
          <w:p w14:paraId="14A1FF6F" w14:textId="77777777" w:rsidR="009414CF" w:rsidRPr="00F62144" w:rsidRDefault="00CE0EAE" w:rsidP="003B0C35">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bookmarkStart w:id="31" w:name="Check15"/>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31"/>
            <w:r w:rsidRPr="00F62144">
              <w:rPr>
                <w:rFonts w:asciiTheme="minorHAnsi" w:hAnsiTheme="minorHAnsi"/>
                <w:color w:val="000000" w:themeColor="text1"/>
                <w:sz w:val="16"/>
                <w:szCs w:val="16"/>
              </w:rPr>
              <w:t xml:space="preserve">   Standard termination with a proposed termination</w:t>
            </w:r>
            <w:r w:rsidR="00C86987"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t>date in a prior year (proposed termination date:  _ _ /_ _ /_ _ _ _)</w:t>
            </w:r>
          </w:p>
        </w:tc>
      </w:tr>
      <w:tr w:rsidR="009414CF" w:rsidRPr="00F62144" w14:paraId="1B98FB4F" w14:textId="77777777" w:rsidTr="00E01C01">
        <w:trPr>
          <w:gridBefore w:val="1"/>
          <w:wBefore w:w="39" w:type="dxa"/>
          <w:cantSplit/>
          <w:trHeight w:val="252"/>
          <w:jc w:val="center"/>
        </w:trPr>
        <w:tc>
          <w:tcPr>
            <w:tcW w:w="10992" w:type="dxa"/>
            <w:gridSpan w:val="8"/>
            <w:tcBorders>
              <w:left w:val="single" w:sz="4" w:space="0" w:color="auto"/>
              <w:right w:val="single" w:sz="4" w:space="0" w:color="auto"/>
            </w:tcBorders>
            <w:shd w:val="clear" w:color="auto" w:fill="auto"/>
            <w:vAlign w:val="center"/>
          </w:tcPr>
          <w:p w14:paraId="5E7DCFC7" w14:textId="77777777" w:rsidR="009414CF" w:rsidRPr="00F62144" w:rsidRDefault="009414CF" w:rsidP="0052605F">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bookmarkStart w:id="32" w:name="Check13"/>
            <w:r w:rsidRPr="00F62144">
              <w:rPr>
                <w:rFonts w:asciiTheme="minorHAnsi" w:hAnsiTheme="minorHAnsi"/>
                <w:color w:val="000000" w:themeColor="text1"/>
                <w:sz w:val="16"/>
                <w:szCs w:val="16"/>
              </w:rPr>
              <w:instrText xml:space="preserve"> FORMCHECKBOX </w:instrText>
            </w:r>
            <w:r w:rsidR="00DD783E">
              <w:rPr>
                <w:rFonts w:asciiTheme="minorHAnsi" w:hAnsiTheme="minorHAnsi"/>
                <w:color w:val="000000" w:themeColor="text1"/>
                <w:sz w:val="16"/>
                <w:szCs w:val="16"/>
              </w:rPr>
            </w:r>
            <w:r w:rsidR="00DD783E">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32"/>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rsidR="009414CF" w:rsidRPr="00F62144" w14:paraId="79615F75" w14:textId="77777777" w:rsidTr="00E01C01">
        <w:trPr>
          <w:gridBefore w:val="1"/>
          <w:wBefore w:w="39" w:type="dxa"/>
          <w:cantSplit/>
          <w:trHeight w:val="288"/>
          <w:jc w:val="center"/>
        </w:trPr>
        <w:tc>
          <w:tcPr>
            <w:tcW w:w="10992" w:type="dxa"/>
            <w:gridSpan w:val="8"/>
            <w:tcBorders>
              <w:left w:val="single" w:sz="4" w:space="0" w:color="auto"/>
              <w:right w:val="single" w:sz="4" w:space="0" w:color="auto"/>
            </w:tcBorders>
            <w:shd w:val="clear" w:color="auto" w:fill="auto"/>
            <w:vAlign w:val="center"/>
          </w:tcPr>
          <w:p w14:paraId="56EDBC65" w14:textId="77777777" w:rsidR="009414CF" w:rsidRPr="00F62144" w:rsidRDefault="009414CF" w:rsidP="003B0C35">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rsidR="009414CF" w:rsidRPr="00F62144" w14:paraId="0B657A34" w14:textId="77777777" w:rsidTr="00E01C01">
        <w:trPr>
          <w:gridBefore w:val="1"/>
          <w:wBefore w:w="39" w:type="dxa"/>
          <w:cantSplit/>
          <w:trHeight w:val="243"/>
          <w:jc w:val="center"/>
        </w:trPr>
        <w:tc>
          <w:tcPr>
            <w:tcW w:w="10992" w:type="dxa"/>
            <w:gridSpan w:val="8"/>
            <w:tcBorders>
              <w:left w:val="single" w:sz="4" w:space="0" w:color="auto"/>
              <w:right w:val="single" w:sz="4" w:space="0" w:color="auto"/>
            </w:tcBorders>
            <w:shd w:val="clear" w:color="auto" w:fill="auto"/>
            <w:vAlign w:val="center"/>
          </w:tcPr>
          <w:p w14:paraId="2797F382" w14:textId="77777777" w:rsidR="009414CF" w:rsidRPr="00F62144" w:rsidRDefault="009414CF" w:rsidP="004D348A">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Premium funding target method:  </w:t>
            </w:r>
            <w:r w:rsidRPr="00F62144">
              <w:rPr>
                <w:rFonts w:asciiTheme="minorHAnsi" w:hAnsiTheme="minorHAnsi"/>
                <w:color w:val="000000"/>
                <w:sz w:val="16"/>
                <w:szCs w:val="16"/>
              </w:rPr>
              <w:fldChar w:fldCharType="begin">
                <w:ffData>
                  <w:name w:val="Check17"/>
                  <w:enabled/>
                  <w:calcOnExit w:val="0"/>
                  <w:checkBox>
                    <w:sizeAuto/>
                    <w:default w:val="0"/>
                  </w:checkBox>
                </w:ffData>
              </w:fldChar>
            </w:r>
            <w:bookmarkStart w:id="33" w:name="Check17"/>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33"/>
            <w:r w:rsidRPr="00F62144">
              <w:rPr>
                <w:rFonts w:asciiTheme="minorHAnsi" w:hAnsiTheme="minorHAnsi"/>
                <w:color w:val="000000"/>
                <w:sz w:val="16"/>
                <w:szCs w:val="16"/>
              </w:rPr>
              <w:t xml:space="preserve"> Standard  </w:t>
            </w:r>
            <w:r w:rsidRPr="00F62144">
              <w:rPr>
                <w:rFonts w:asciiTheme="minorHAnsi" w:hAnsiTheme="minorHAnsi"/>
                <w:color w:val="000000"/>
                <w:sz w:val="16"/>
                <w:szCs w:val="16"/>
              </w:rPr>
              <w:fldChar w:fldCharType="begin">
                <w:ffData>
                  <w:name w:val="Check18"/>
                  <w:enabled/>
                  <w:calcOnExit w:val="0"/>
                  <w:checkBox>
                    <w:sizeAuto/>
                    <w:default w:val="0"/>
                  </w:checkBox>
                </w:ffData>
              </w:fldChar>
            </w:r>
            <w:bookmarkStart w:id="34" w:name="Check18"/>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34"/>
            <w:r w:rsidRPr="00F62144">
              <w:rPr>
                <w:rFonts w:asciiTheme="minorHAnsi" w:hAnsiTheme="minorHAnsi"/>
                <w:color w:val="000000"/>
                <w:sz w:val="16"/>
                <w:szCs w:val="16"/>
              </w:rPr>
              <w:t xml:space="preserve"> Alternative  </w:t>
            </w:r>
          </w:p>
        </w:tc>
      </w:tr>
      <w:tr w:rsidR="009414CF" w:rsidRPr="00F62144" w14:paraId="5E41E88E" w14:textId="77777777" w:rsidTr="00E01C01">
        <w:trPr>
          <w:gridBefore w:val="1"/>
          <w:wBefore w:w="39" w:type="dxa"/>
          <w:cantSplit/>
          <w:trHeight w:val="252"/>
          <w:jc w:val="center"/>
        </w:trPr>
        <w:tc>
          <w:tcPr>
            <w:tcW w:w="2057" w:type="dxa"/>
            <w:tcBorders>
              <w:left w:val="single" w:sz="4" w:space="0" w:color="auto"/>
            </w:tcBorders>
            <w:shd w:val="clear" w:color="auto" w:fill="auto"/>
            <w:vAlign w:val="center"/>
          </w:tcPr>
          <w:p w14:paraId="4F0DC44D" w14:textId="77777777" w:rsidR="009414CF" w:rsidRPr="00F62144" w:rsidRDefault="009414CF" w:rsidP="003B0C35">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Discount rate(s):</w:t>
            </w:r>
          </w:p>
        </w:tc>
        <w:tc>
          <w:tcPr>
            <w:tcW w:w="1890" w:type="dxa"/>
            <w:shd w:val="clear" w:color="auto" w:fill="auto"/>
            <w:vAlign w:val="center"/>
          </w:tcPr>
          <w:p w14:paraId="5E30ACA4"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1</w:t>
            </w:r>
            <w:r w:rsidRPr="00F62144">
              <w:rPr>
                <w:rFonts w:asciiTheme="minorHAnsi" w:hAnsiTheme="minorHAnsi"/>
                <w:color w:val="000000"/>
                <w:sz w:val="16"/>
                <w:szCs w:val="16"/>
                <w:vertAlign w:val="superscript"/>
              </w:rPr>
              <w:t>st</w:t>
            </w:r>
            <w:r w:rsidRPr="00F62144">
              <w:rPr>
                <w:rFonts w:asciiTheme="minorHAnsi" w:hAnsiTheme="minorHAnsi"/>
                <w:color w:val="000000"/>
                <w:sz w:val="16"/>
                <w:szCs w:val="16"/>
              </w:rPr>
              <w:t xml:space="preserve"> segment ____%</w:t>
            </w:r>
          </w:p>
        </w:tc>
        <w:tc>
          <w:tcPr>
            <w:tcW w:w="1980" w:type="dxa"/>
            <w:shd w:val="clear" w:color="auto" w:fill="auto"/>
            <w:vAlign w:val="center"/>
          </w:tcPr>
          <w:p w14:paraId="0C5BF449"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2</w:t>
            </w:r>
            <w:r w:rsidRPr="00F62144">
              <w:rPr>
                <w:rFonts w:asciiTheme="minorHAnsi" w:hAnsiTheme="minorHAnsi"/>
                <w:color w:val="000000"/>
                <w:sz w:val="16"/>
                <w:szCs w:val="16"/>
                <w:vertAlign w:val="superscript"/>
              </w:rPr>
              <w:t>nd</w:t>
            </w:r>
            <w:r w:rsidRPr="00F62144">
              <w:rPr>
                <w:rFonts w:asciiTheme="minorHAnsi" w:hAnsiTheme="minorHAnsi"/>
                <w:color w:val="000000"/>
                <w:sz w:val="16"/>
                <w:szCs w:val="16"/>
              </w:rPr>
              <w:t xml:space="preserve"> segment ____%</w:t>
            </w:r>
          </w:p>
        </w:tc>
        <w:tc>
          <w:tcPr>
            <w:tcW w:w="1980" w:type="dxa"/>
            <w:gridSpan w:val="2"/>
            <w:shd w:val="clear" w:color="auto" w:fill="auto"/>
            <w:vAlign w:val="center"/>
          </w:tcPr>
          <w:p w14:paraId="3EB74CCB"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3</w:t>
            </w:r>
            <w:r w:rsidRPr="00F62144">
              <w:rPr>
                <w:rFonts w:asciiTheme="minorHAnsi" w:hAnsiTheme="minorHAnsi"/>
                <w:color w:val="000000"/>
                <w:sz w:val="16"/>
                <w:szCs w:val="16"/>
                <w:vertAlign w:val="superscript"/>
              </w:rPr>
              <w:t>rd</w:t>
            </w:r>
            <w:r w:rsidRPr="00F62144">
              <w:rPr>
                <w:rFonts w:asciiTheme="minorHAnsi" w:hAnsiTheme="minorHAnsi"/>
                <w:color w:val="000000"/>
                <w:sz w:val="16"/>
                <w:szCs w:val="16"/>
              </w:rPr>
              <w:t xml:space="preserve"> segment ____%</w:t>
            </w:r>
          </w:p>
        </w:tc>
        <w:tc>
          <w:tcPr>
            <w:tcW w:w="2250" w:type="dxa"/>
            <w:gridSpan w:val="2"/>
            <w:shd w:val="clear" w:color="auto" w:fill="auto"/>
            <w:vAlign w:val="center"/>
          </w:tcPr>
          <w:p w14:paraId="1909CB09" w14:textId="77777777" w:rsidR="009414CF" w:rsidRPr="00F62144" w:rsidRDefault="009414CF" w:rsidP="003B0C35">
            <w:pPr>
              <w:spacing w:before="80"/>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19"/>
                  <w:enabled/>
                  <w:calcOnExit w:val="0"/>
                  <w:checkBox>
                    <w:sizeAuto/>
                    <w:default w:val="0"/>
                  </w:checkBox>
                </w:ffData>
              </w:fldChar>
            </w:r>
            <w:bookmarkStart w:id="35" w:name="Check19"/>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35"/>
            <w:r w:rsidRPr="00F62144">
              <w:rPr>
                <w:rFonts w:asciiTheme="minorHAnsi" w:hAnsiTheme="minorHAnsi"/>
                <w:color w:val="000000"/>
                <w:sz w:val="16"/>
                <w:szCs w:val="16"/>
              </w:rPr>
              <w:t>N/A, full yield curve used</w:t>
            </w:r>
          </w:p>
        </w:tc>
        <w:tc>
          <w:tcPr>
            <w:tcW w:w="835" w:type="dxa"/>
            <w:tcBorders>
              <w:left w:val="nil"/>
              <w:right w:val="single" w:sz="4" w:space="0" w:color="auto"/>
            </w:tcBorders>
            <w:shd w:val="clear" w:color="auto" w:fill="auto"/>
            <w:vAlign w:val="center"/>
          </w:tcPr>
          <w:p w14:paraId="27BED018" w14:textId="77777777" w:rsidR="009414CF" w:rsidRPr="00F62144" w:rsidRDefault="009414CF" w:rsidP="003B0C35">
            <w:pPr>
              <w:spacing w:before="80"/>
              <w:jc w:val="center"/>
              <w:rPr>
                <w:rFonts w:asciiTheme="minorHAnsi" w:hAnsiTheme="minorHAnsi"/>
                <w:color w:val="000000"/>
                <w:sz w:val="16"/>
                <w:szCs w:val="16"/>
              </w:rPr>
            </w:pPr>
          </w:p>
        </w:tc>
      </w:tr>
      <w:tr w:rsidR="009414CF" w:rsidRPr="00F62144" w14:paraId="16E34A09"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21838680" w14:textId="77777777" w:rsidR="009414CF" w:rsidRPr="00F62144" w:rsidRDefault="009414CF" w:rsidP="003B0C35">
            <w:pPr>
              <w:spacing w:before="80"/>
              <w:ind w:left="360"/>
              <w:rPr>
                <w:rFonts w:asciiTheme="minorHAnsi" w:hAnsiTheme="minorHAnsi"/>
                <w:b/>
                <w:color w:val="000000"/>
                <w:sz w:val="16"/>
                <w:szCs w:val="16"/>
              </w:rPr>
            </w:pPr>
            <w:bookmarkStart w:id="36" w:name="b29"/>
            <w:bookmarkEnd w:id="36"/>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UVB valuation date: Month ___ Day ___ Year ____</w:t>
            </w:r>
          </w:p>
        </w:tc>
        <w:tc>
          <w:tcPr>
            <w:tcW w:w="1738" w:type="dxa"/>
            <w:gridSpan w:val="2"/>
            <w:tcBorders>
              <w:right w:val="single" w:sz="4" w:space="0" w:color="auto"/>
            </w:tcBorders>
            <w:shd w:val="clear" w:color="auto" w:fill="auto"/>
            <w:vAlign w:val="center"/>
          </w:tcPr>
          <w:p w14:paraId="4DCB9A17" w14:textId="77777777" w:rsidR="009414CF" w:rsidRPr="00F62144" w:rsidRDefault="009414CF" w:rsidP="003B0C35">
            <w:pPr>
              <w:spacing w:before="80"/>
              <w:jc w:val="center"/>
              <w:rPr>
                <w:rFonts w:asciiTheme="minorHAnsi" w:hAnsiTheme="minorHAnsi"/>
                <w:color w:val="000000"/>
                <w:sz w:val="16"/>
                <w:szCs w:val="16"/>
              </w:rPr>
            </w:pPr>
          </w:p>
        </w:tc>
      </w:tr>
      <w:tr w:rsidR="009414CF" w:rsidRPr="00F62144" w14:paraId="03EEA6DC" w14:textId="77777777" w:rsidTr="00E01C01">
        <w:trPr>
          <w:gridBefore w:val="1"/>
          <w:wBefore w:w="39" w:type="dxa"/>
          <w:cantSplit/>
          <w:trHeight w:val="288"/>
          <w:jc w:val="center"/>
        </w:trPr>
        <w:tc>
          <w:tcPr>
            <w:tcW w:w="10992" w:type="dxa"/>
            <w:gridSpan w:val="8"/>
            <w:tcBorders>
              <w:left w:val="single" w:sz="4" w:space="0" w:color="auto"/>
              <w:right w:val="single" w:sz="4" w:space="0" w:color="auto"/>
            </w:tcBorders>
            <w:shd w:val="clear" w:color="auto" w:fill="auto"/>
            <w:vAlign w:val="center"/>
          </w:tcPr>
          <w:p w14:paraId="289C0167" w14:textId="77777777" w:rsidR="009414CF" w:rsidRPr="00F62144" w:rsidRDefault="009414CF" w:rsidP="003B0C35">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d</w:t>
            </w:r>
            <w:r w:rsidRPr="00F62144">
              <w:rPr>
                <w:rFonts w:asciiTheme="minorHAnsi" w:hAnsiTheme="minorHAnsi"/>
                <w:color w:val="000000"/>
                <w:sz w:val="16"/>
                <w:szCs w:val="16"/>
              </w:rPr>
              <w:t xml:space="preserve"> Premium funding target as of UVB valuation date –  </w:t>
            </w:r>
            <w:r w:rsidRPr="00F62144">
              <w:rPr>
                <w:rFonts w:asciiTheme="minorHAnsi" w:hAnsiTheme="minorHAnsi"/>
                <w:color w:val="000000"/>
                <w:sz w:val="16"/>
                <w:szCs w:val="16"/>
              </w:rPr>
              <w:fldChar w:fldCharType="begin">
                <w:ffData>
                  <w:name w:val="Check20"/>
                  <w:enabled/>
                  <w:calcOnExit w:val="0"/>
                  <w:checkBox>
                    <w:sizeAuto/>
                    <w:default w:val="0"/>
                  </w:checkBox>
                </w:ffData>
              </w:fldChar>
            </w:r>
            <w:bookmarkStart w:id="37" w:name="Check20"/>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37"/>
            <w:r w:rsidRPr="00F62144">
              <w:rPr>
                <w:rFonts w:asciiTheme="minorHAnsi" w:hAnsiTheme="minorHAnsi"/>
                <w:color w:val="000000"/>
                <w:sz w:val="16"/>
                <w:szCs w:val="16"/>
              </w:rPr>
              <w:t xml:space="preserve"> Check box if the reported premium funding target information is an estimate. </w:t>
            </w:r>
          </w:p>
        </w:tc>
      </w:tr>
      <w:tr w:rsidR="009414CF" w:rsidRPr="00F62144" w14:paraId="16828C97" w14:textId="77777777" w:rsidTr="00E01C01">
        <w:trPr>
          <w:gridBefore w:val="1"/>
          <w:wBefore w:w="39" w:type="dxa"/>
          <w:cantSplit/>
          <w:trHeight w:val="243"/>
          <w:jc w:val="center"/>
        </w:trPr>
        <w:tc>
          <w:tcPr>
            <w:tcW w:w="9254" w:type="dxa"/>
            <w:gridSpan w:val="6"/>
            <w:tcBorders>
              <w:left w:val="single" w:sz="4" w:space="0" w:color="auto"/>
            </w:tcBorders>
            <w:shd w:val="clear" w:color="auto" w:fill="auto"/>
            <w:vAlign w:val="center"/>
          </w:tcPr>
          <w:p w14:paraId="7584029C" w14:textId="77777777" w:rsidR="009414CF" w:rsidRPr="00F62144" w:rsidRDefault="009414CF" w:rsidP="003B0C35">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Attributable to active participants</w:t>
            </w:r>
          </w:p>
        </w:tc>
        <w:tc>
          <w:tcPr>
            <w:tcW w:w="1738" w:type="dxa"/>
            <w:gridSpan w:val="2"/>
            <w:tcBorders>
              <w:right w:val="single" w:sz="4" w:space="0" w:color="auto"/>
            </w:tcBorders>
            <w:shd w:val="clear" w:color="auto" w:fill="auto"/>
            <w:vAlign w:val="center"/>
          </w:tcPr>
          <w:p w14:paraId="64651FD1"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49733621"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29583368" w14:textId="77777777" w:rsidR="009414CF" w:rsidRPr="00F62144" w:rsidRDefault="009414CF" w:rsidP="003B0C35">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Attributable to terminated vested participants</w:t>
            </w:r>
          </w:p>
        </w:tc>
        <w:tc>
          <w:tcPr>
            <w:tcW w:w="1738" w:type="dxa"/>
            <w:gridSpan w:val="2"/>
            <w:tcBorders>
              <w:right w:val="single" w:sz="4" w:space="0" w:color="auto"/>
            </w:tcBorders>
            <w:shd w:val="clear" w:color="auto" w:fill="auto"/>
            <w:vAlign w:val="center"/>
          </w:tcPr>
          <w:p w14:paraId="37B8D940"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6EA5D6DC"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63F06D92" w14:textId="77777777" w:rsidR="009414CF" w:rsidRPr="00F62144" w:rsidRDefault="009414CF" w:rsidP="003B0C35">
            <w:pPr>
              <w:spacing w:before="80"/>
              <w:ind w:left="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Attributable to retirees and beneficiaries receiving payment </w:t>
            </w:r>
          </w:p>
        </w:tc>
        <w:tc>
          <w:tcPr>
            <w:tcW w:w="1738" w:type="dxa"/>
            <w:gridSpan w:val="2"/>
            <w:tcBorders>
              <w:right w:val="single" w:sz="4" w:space="0" w:color="auto"/>
            </w:tcBorders>
            <w:shd w:val="clear" w:color="auto" w:fill="auto"/>
            <w:vAlign w:val="center"/>
          </w:tcPr>
          <w:p w14:paraId="19A87539"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56BC6F68"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6B3096E0" w14:textId="77777777" w:rsidR="009414CF" w:rsidRPr="00F62144" w:rsidRDefault="009414CF" w:rsidP="003B0C35">
            <w:pPr>
              <w:spacing w:before="80"/>
              <w:ind w:left="360"/>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Total premium funding target (item 7d(1) + item 7d(2) + item 7d(3))</w:t>
            </w:r>
          </w:p>
        </w:tc>
        <w:tc>
          <w:tcPr>
            <w:tcW w:w="1738" w:type="dxa"/>
            <w:gridSpan w:val="2"/>
            <w:tcBorders>
              <w:right w:val="single" w:sz="4" w:space="0" w:color="auto"/>
            </w:tcBorders>
            <w:shd w:val="clear" w:color="auto" w:fill="auto"/>
            <w:vAlign w:val="center"/>
          </w:tcPr>
          <w:p w14:paraId="42191160"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6AEF1395"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160AD954" w14:textId="77777777" w:rsidR="009414CF" w:rsidRPr="00F62144" w:rsidRDefault="009414CF" w:rsidP="003B0C35">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Market value of assets as of UVB valuation date</w:t>
            </w:r>
          </w:p>
        </w:tc>
        <w:tc>
          <w:tcPr>
            <w:tcW w:w="1738" w:type="dxa"/>
            <w:gridSpan w:val="2"/>
            <w:tcBorders>
              <w:right w:val="single" w:sz="4" w:space="0" w:color="auto"/>
            </w:tcBorders>
            <w:shd w:val="clear" w:color="auto" w:fill="auto"/>
            <w:vAlign w:val="center"/>
          </w:tcPr>
          <w:p w14:paraId="39401840"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045CF6CE"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70CF2E24" w14:textId="77777777" w:rsidR="009414CF" w:rsidRPr="00F62144" w:rsidRDefault="009414CF" w:rsidP="003B0C35">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f</w:t>
            </w:r>
            <w:r w:rsidRPr="00F62144">
              <w:rPr>
                <w:rFonts w:asciiTheme="minorHAnsi" w:hAnsiTheme="minorHAnsi"/>
                <w:color w:val="000000"/>
                <w:sz w:val="16"/>
                <w:szCs w:val="16"/>
              </w:rPr>
              <w:t xml:space="preserve"> Unfunded vested benefits (excess, if any, of item 7d(4) over item 7e, rounded up to the next $1,000)</w:t>
            </w:r>
          </w:p>
        </w:tc>
        <w:tc>
          <w:tcPr>
            <w:tcW w:w="1738" w:type="dxa"/>
            <w:gridSpan w:val="2"/>
            <w:tcBorders>
              <w:right w:val="single" w:sz="4" w:space="0" w:color="auto"/>
            </w:tcBorders>
            <w:shd w:val="clear" w:color="auto" w:fill="auto"/>
            <w:vAlign w:val="center"/>
          </w:tcPr>
          <w:p w14:paraId="572A1463"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292D76D0"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7D74F255" w14:textId="77777777" w:rsidR="009414CF" w:rsidRPr="00F62144" w:rsidRDefault="009414CF" w:rsidP="00364E78">
            <w:pPr>
              <w:spacing w:before="80"/>
              <w:ind w:left="691" w:hanging="475"/>
              <w:rPr>
                <w:rFonts w:asciiTheme="minorHAnsi" w:hAnsiTheme="minorHAnsi"/>
                <w:sz w:val="16"/>
                <w:szCs w:val="16"/>
              </w:rPr>
            </w:pPr>
            <w:r w:rsidRPr="00F62144">
              <w:rPr>
                <w:rFonts w:asciiTheme="minorHAnsi" w:hAnsiTheme="minorHAnsi"/>
                <w:b/>
                <w:sz w:val="16"/>
                <w:szCs w:val="16"/>
              </w:rPr>
              <w:t>g</w:t>
            </w:r>
            <w:r w:rsidRPr="00F62144">
              <w:rPr>
                <w:rFonts w:asciiTheme="minorHAnsi" w:hAnsiTheme="minorHAnsi"/>
                <w:sz w:val="16"/>
                <w:szCs w:val="16"/>
              </w:rPr>
              <w:t xml:space="preserve"> Uncapped variable-rate premium (item 7f x</w:t>
            </w:r>
            <w:r w:rsidR="00CB4483" w:rsidRPr="00F62144">
              <w:rPr>
                <w:rFonts w:asciiTheme="minorHAnsi" w:hAnsiTheme="minorHAnsi"/>
                <w:sz w:val="16"/>
                <w:szCs w:val="16"/>
              </w:rPr>
              <w:t xml:space="preserve"> </w:t>
            </w:r>
            <w:r w:rsidR="00995A95">
              <w:rPr>
                <w:rFonts w:asciiTheme="minorHAnsi" w:hAnsiTheme="minorHAnsi"/>
                <w:sz w:val="16"/>
                <w:szCs w:val="16"/>
              </w:rPr>
              <w:t>0.0</w:t>
            </w:r>
            <w:r w:rsidR="00364E78">
              <w:rPr>
                <w:rFonts w:asciiTheme="minorHAnsi" w:hAnsiTheme="minorHAnsi"/>
                <w:sz w:val="16"/>
                <w:szCs w:val="16"/>
              </w:rPr>
              <w:t>38</w:t>
            </w:r>
            <w:r w:rsidRPr="00F62144">
              <w:rPr>
                <w:rFonts w:asciiTheme="minorHAnsi" w:hAnsiTheme="minorHAnsi"/>
                <w:sz w:val="16"/>
                <w:szCs w:val="16"/>
              </w:rPr>
              <w:t>)</w:t>
            </w:r>
          </w:p>
        </w:tc>
        <w:tc>
          <w:tcPr>
            <w:tcW w:w="1738" w:type="dxa"/>
            <w:gridSpan w:val="2"/>
            <w:tcBorders>
              <w:right w:val="single" w:sz="4" w:space="0" w:color="auto"/>
            </w:tcBorders>
            <w:shd w:val="clear" w:color="auto" w:fill="auto"/>
            <w:vAlign w:val="center"/>
          </w:tcPr>
          <w:p w14:paraId="0A819B3F"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2F8E8DBF" w14:textId="77777777" w:rsidTr="00E01C01">
        <w:trPr>
          <w:gridBefore w:val="1"/>
          <w:wBefore w:w="39" w:type="dxa"/>
          <w:cantSplit/>
          <w:trHeight w:val="243"/>
          <w:jc w:val="center"/>
        </w:trPr>
        <w:tc>
          <w:tcPr>
            <w:tcW w:w="9254" w:type="dxa"/>
            <w:gridSpan w:val="6"/>
            <w:tcBorders>
              <w:left w:val="single" w:sz="4" w:space="0" w:color="auto"/>
            </w:tcBorders>
            <w:shd w:val="clear" w:color="auto" w:fill="auto"/>
            <w:vAlign w:val="center"/>
          </w:tcPr>
          <w:p w14:paraId="5033C282" w14:textId="77777777" w:rsidR="009414CF" w:rsidRPr="00F62144" w:rsidRDefault="009414CF" w:rsidP="003B0C35">
            <w:pPr>
              <w:spacing w:before="80"/>
              <w:ind w:left="691" w:hanging="475"/>
              <w:rPr>
                <w:rFonts w:asciiTheme="minorHAnsi" w:hAnsiTheme="minorHAnsi"/>
                <w:sz w:val="16"/>
                <w:szCs w:val="16"/>
              </w:rPr>
            </w:pPr>
            <w:r w:rsidRPr="00F62144">
              <w:rPr>
                <w:rFonts w:asciiTheme="minorHAnsi" w:hAnsiTheme="minorHAnsi"/>
                <w:b/>
                <w:sz w:val="16"/>
                <w:szCs w:val="16"/>
              </w:rPr>
              <w:t xml:space="preserve">h </w:t>
            </w:r>
            <w:r w:rsidRPr="00F62144">
              <w:rPr>
                <w:rFonts w:asciiTheme="minorHAnsi" w:hAnsiTheme="minorHAnsi"/>
                <w:sz w:val="16"/>
                <w:szCs w:val="16"/>
              </w:rPr>
              <w:t>Maximum VRP</w:t>
            </w:r>
          </w:p>
        </w:tc>
        <w:tc>
          <w:tcPr>
            <w:tcW w:w="1738" w:type="dxa"/>
            <w:gridSpan w:val="2"/>
            <w:tcBorders>
              <w:right w:val="single" w:sz="4" w:space="0" w:color="auto"/>
            </w:tcBorders>
            <w:shd w:val="clear" w:color="auto" w:fill="auto"/>
            <w:vAlign w:val="center"/>
          </w:tcPr>
          <w:p w14:paraId="6CB9D0DD" w14:textId="77777777" w:rsidR="009414CF" w:rsidRPr="00F62144" w:rsidRDefault="009414CF" w:rsidP="003B0C35">
            <w:pPr>
              <w:spacing w:before="80"/>
              <w:jc w:val="center"/>
              <w:rPr>
                <w:rFonts w:asciiTheme="minorHAnsi" w:hAnsiTheme="minorHAnsi"/>
                <w:color w:val="000000"/>
                <w:sz w:val="16"/>
                <w:szCs w:val="16"/>
              </w:rPr>
            </w:pPr>
          </w:p>
        </w:tc>
      </w:tr>
      <w:tr w:rsidR="009414CF" w:rsidRPr="00F62144" w14:paraId="24973737" w14:textId="77777777" w:rsidTr="00E01C01">
        <w:trPr>
          <w:gridBefore w:val="1"/>
          <w:wBefore w:w="39" w:type="dxa"/>
          <w:cantSplit/>
          <w:trHeight w:val="288"/>
          <w:jc w:val="center"/>
        </w:trPr>
        <w:tc>
          <w:tcPr>
            <w:tcW w:w="9254" w:type="dxa"/>
            <w:gridSpan w:val="6"/>
            <w:tcBorders>
              <w:left w:val="single" w:sz="4" w:space="0" w:color="auto"/>
            </w:tcBorders>
            <w:shd w:val="clear" w:color="auto" w:fill="auto"/>
            <w:vAlign w:val="center"/>
          </w:tcPr>
          <w:p w14:paraId="0AE09BC0" w14:textId="77777777" w:rsidR="009414CF" w:rsidRPr="00F62144" w:rsidRDefault="009414CF" w:rsidP="002D294F">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CB4483" w:rsidRPr="00F62144">
              <w:rPr>
                <w:rFonts w:asciiTheme="minorHAnsi" w:hAnsiTheme="minorHAnsi"/>
                <w:sz w:val="16"/>
                <w:szCs w:val="16"/>
              </w:rPr>
              <w:t xml:space="preserve"> ($</w:t>
            </w:r>
            <w:r w:rsidR="002D294F">
              <w:rPr>
                <w:rFonts w:asciiTheme="minorHAnsi" w:hAnsiTheme="minorHAnsi"/>
                <w:sz w:val="16"/>
                <w:szCs w:val="16"/>
              </w:rPr>
              <w:t>523</w:t>
            </w:r>
            <w:r w:rsidR="00D566B2" w:rsidRPr="00F62144">
              <w:rPr>
                <w:rFonts w:asciiTheme="minorHAnsi" w:hAnsiTheme="minorHAnsi"/>
                <w:sz w:val="16"/>
                <w:szCs w:val="16"/>
              </w:rPr>
              <w:t xml:space="preserve"> </w:t>
            </w:r>
            <w:r w:rsidRPr="00F62144">
              <w:rPr>
                <w:rFonts w:asciiTheme="minorHAnsi" w:hAnsiTheme="minorHAnsi"/>
                <w:sz w:val="16"/>
                <w:szCs w:val="16"/>
              </w:rPr>
              <w:t>x item 5b(2))</w:t>
            </w:r>
          </w:p>
        </w:tc>
        <w:tc>
          <w:tcPr>
            <w:tcW w:w="1738" w:type="dxa"/>
            <w:gridSpan w:val="2"/>
            <w:tcBorders>
              <w:right w:val="single" w:sz="4" w:space="0" w:color="auto"/>
            </w:tcBorders>
            <w:shd w:val="clear" w:color="auto" w:fill="auto"/>
            <w:vAlign w:val="center"/>
          </w:tcPr>
          <w:p w14:paraId="65C3D38A"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77D924C4" w14:textId="77777777" w:rsidTr="00E01C01">
        <w:trPr>
          <w:gridBefore w:val="1"/>
          <w:wBefore w:w="39" w:type="dxa"/>
          <w:cantSplit/>
          <w:trHeight w:val="234"/>
          <w:jc w:val="center"/>
        </w:trPr>
        <w:tc>
          <w:tcPr>
            <w:tcW w:w="9254" w:type="dxa"/>
            <w:gridSpan w:val="6"/>
            <w:tcBorders>
              <w:left w:val="single" w:sz="4" w:space="0" w:color="auto"/>
            </w:tcBorders>
            <w:shd w:val="clear" w:color="auto" w:fill="auto"/>
            <w:vAlign w:val="center"/>
          </w:tcPr>
          <w:p w14:paraId="582E09E7" w14:textId="77777777" w:rsidR="009414CF" w:rsidRPr="00F62144" w:rsidRDefault="009414CF" w:rsidP="003B0C35">
            <w:pPr>
              <w:spacing w:before="80"/>
              <w:ind w:left="1001" w:hanging="630"/>
              <w:rPr>
                <w:rFonts w:asciiTheme="minorHAnsi" w:hAnsiTheme="minorHAnsi"/>
                <w:sz w:val="16"/>
                <w:szCs w:val="16"/>
              </w:rPr>
            </w:pPr>
            <w:r w:rsidRPr="00F62144">
              <w:rPr>
                <w:rFonts w:asciiTheme="minorHAnsi" w:hAnsiTheme="minorHAnsi"/>
                <w:b/>
                <w:sz w:val="16"/>
                <w:szCs w:val="16"/>
              </w:rPr>
              <w:t>(2)</w:t>
            </w:r>
            <w:r w:rsidRPr="00F62144">
              <w:rPr>
                <w:rFonts w:asciiTheme="minorHAnsi" w:hAnsiTheme="minorHAnsi"/>
                <w:sz w:val="16"/>
                <w:szCs w:val="16"/>
              </w:rPr>
              <w:t xml:space="preserve"> Small employer cap, if applicable ($5 x item 5b(2) x item 5b(2)) – Omit this item if plan is not eligible for this cap</w:t>
            </w:r>
          </w:p>
        </w:tc>
        <w:tc>
          <w:tcPr>
            <w:tcW w:w="1738" w:type="dxa"/>
            <w:gridSpan w:val="2"/>
            <w:tcBorders>
              <w:right w:val="single" w:sz="4" w:space="0" w:color="auto"/>
            </w:tcBorders>
            <w:shd w:val="clear" w:color="auto" w:fill="auto"/>
            <w:vAlign w:val="center"/>
          </w:tcPr>
          <w:p w14:paraId="793EC359"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27983335" w14:textId="77777777" w:rsidTr="00E01C01">
        <w:trPr>
          <w:gridBefore w:val="1"/>
          <w:wBefore w:w="39" w:type="dxa"/>
          <w:cantSplit/>
          <w:trHeight w:val="252"/>
          <w:jc w:val="center"/>
        </w:trPr>
        <w:tc>
          <w:tcPr>
            <w:tcW w:w="9254" w:type="dxa"/>
            <w:gridSpan w:val="6"/>
            <w:tcBorders>
              <w:left w:val="single" w:sz="4" w:space="0" w:color="auto"/>
            </w:tcBorders>
            <w:shd w:val="clear" w:color="auto" w:fill="auto"/>
            <w:vAlign w:val="center"/>
          </w:tcPr>
          <w:p w14:paraId="606461B9" w14:textId="77777777" w:rsidR="009414CF" w:rsidRPr="00F62144" w:rsidRDefault="009414CF" w:rsidP="004D348A">
            <w:pPr>
              <w:spacing w:before="80"/>
              <w:ind w:left="638" w:hanging="267"/>
              <w:rPr>
                <w:rFonts w:asciiTheme="minorHAnsi" w:hAnsiTheme="minorHAnsi"/>
                <w:sz w:val="16"/>
                <w:szCs w:val="16"/>
              </w:rPr>
            </w:pPr>
            <w:r w:rsidRPr="00F62144">
              <w:rPr>
                <w:rFonts w:asciiTheme="minorHAnsi" w:hAnsiTheme="minorHAnsi"/>
                <w:b/>
                <w:sz w:val="16"/>
                <w:szCs w:val="16"/>
              </w:rPr>
              <w:t>(3)</w:t>
            </w:r>
            <w:r w:rsidRPr="00F62144">
              <w:rPr>
                <w:rFonts w:asciiTheme="minorHAnsi" w:hAnsiTheme="minorHAnsi"/>
                <w:sz w:val="16"/>
                <w:szCs w:val="16"/>
              </w:rPr>
              <w:t xml:space="preserve"> Maximum variable-rate premium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the lesser of item 7h(1) and 7h(2). Otherwise, item 7h(1).</w:t>
            </w:r>
          </w:p>
        </w:tc>
        <w:tc>
          <w:tcPr>
            <w:tcW w:w="1738" w:type="dxa"/>
            <w:gridSpan w:val="2"/>
            <w:tcBorders>
              <w:right w:val="single" w:sz="4" w:space="0" w:color="auto"/>
            </w:tcBorders>
            <w:shd w:val="clear" w:color="auto" w:fill="auto"/>
            <w:vAlign w:val="center"/>
          </w:tcPr>
          <w:p w14:paraId="0605CD0E"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002655BD" w14:textId="77777777" w:rsidTr="00E01C01">
        <w:trPr>
          <w:gridBefore w:val="1"/>
          <w:wBefore w:w="39" w:type="dxa"/>
          <w:cantSplit/>
          <w:trHeight w:val="315"/>
          <w:jc w:val="center"/>
        </w:trPr>
        <w:tc>
          <w:tcPr>
            <w:tcW w:w="9254" w:type="dxa"/>
            <w:gridSpan w:val="6"/>
            <w:tcBorders>
              <w:left w:val="single" w:sz="4" w:space="0" w:color="auto"/>
              <w:bottom w:val="single" w:sz="4" w:space="0" w:color="auto"/>
            </w:tcBorders>
            <w:shd w:val="clear" w:color="auto" w:fill="auto"/>
            <w:vAlign w:val="center"/>
          </w:tcPr>
          <w:p w14:paraId="14F136AC" w14:textId="77777777" w:rsidR="009414CF" w:rsidRPr="00F62144" w:rsidRDefault="009414CF" w:rsidP="00D433E0">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Variable-rate premium  </w:t>
            </w:r>
            <w:r w:rsidRPr="00F62144">
              <w:rPr>
                <w:rFonts w:asciiTheme="minorHAnsi" w:hAnsiTheme="minorHAnsi"/>
                <w:b/>
                <w:sz w:val="16"/>
                <w:szCs w:val="16"/>
              </w:rPr>
              <w:t xml:space="preserve">— </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738" w:type="dxa"/>
            <w:gridSpan w:val="2"/>
            <w:tcBorders>
              <w:bottom w:val="single" w:sz="4" w:space="0" w:color="auto"/>
              <w:right w:val="single" w:sz="4" w:space="0" w:color="auto"/>
            </w:tcBorders>
            <w:shd w:val="clear" w:color="auto" w:fill="auto"/>
            <w:vAlign w:val="center"/>
          </w:tcPr>
          <w:p w14:paraId="04CB23BA" w14:textId="77777777" w:rsidR="009414CF" w:rsidRPr="00F62144" w:rsidRDefault="009414CF" w:rsidP="003B0C35">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009414CF" w:rsidRPr="00F62144" w14:paraId="666C133D" w14:textId="77777777" w:rsidTr="00E01C01">
        <w:trPr>
          <w:cantSplit/>
          <w:trHeight w:val="90"/>
          <w:jc w:val="center"/>
        </w:trPr>
        <w:tc>
          <w:tcPr>
            <w:tcW w:w="1103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B3EBDB" w14:textId="77777777" w:rsidR="009414CF" w:rsidRPr="00F62144" w:rsidRDefault="009414CF" w:rsidP="00DA03E8">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rsidR="009414CF" w:rsidRPr="00F62144" w14:paraId="52778286" w14:textId="77777777" w:rsidTr="00E01C01">
        <w:trPr>
          <w:cantSplit/>
          <w:trHeight w:val="179"/>
          <w:jc w:val="center"/>
        </w:trPr>
        <w:tc>
          <w:tcPr>
            <w:tcW w:w="9293" w:type="dxa"/>
            <w:gridSpan w:val="7"/>
            <w:tcBorders>
              <w:top w:val="single" w:sz="4" w:space="0" w:color="auto"/>
              <w:left w:val="single" w:sz="4" w:space="0" w:color="auto"/>
            </w:tcBorders>
            <w:shd w:val="clear" w:color="auto" w:fill="auto"/>
            <w:vAlign w:val="center"/>
          </w:tcPr>
          <w:p w14:paraId="5B2AFBDA" w14:textId="77777777" w:rsidR="009414CF" w:rsidRPr="00F62144" w:rsidRDefault="009414CF" w:rsidP="00DA03E8">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gridSpan w:val="2"/>
            <w:tcBorders>
              <w:top w:val="single" w:sz="4" w:space="0" w:color="auto"/>
              <w:right w:val="single" w:sz="4" w:space="0" w:color="auto"/>
            </w:tcBorders>
            <w:shd w:val="clear" w:color="auto" w:fill="auto"/>
            <w:vAlign w:val="center"/>
          </w:tcPr>
          <w:p w14:paraId="1B0CBB3B" w14:textId="77777777" w:rsidR="009414CF" w:rsidRPr="00F62144" w:rsidRDefault="009414CF" w:rsidP="00DA03E8">
            <w:pPr>
              <w:spacing w:before="120"/>
              <w:jc w:val="center"/>
              <w:rPr>
                <w:rFonts w:asciiTheme="minorHAnsi" w:hAnsiTheme="minorHAnsi"/>
                <w:color w:val="000000"/>
                <w:sz w:val="16"/>
                <w:szCs w:val="16"/>
              </w:rPr>
            </w:pPr>
          </w:p>
        </w:tc>
      </w:tr>
      <w:tr w:rsidR="009414CF" w:rsidRPr="00F62144" w14:paraId="09CC545C" w14:textId="77777777" w:rsidTr="00E01C01">
        <w:trPr>
          <w:cantSplit/>
          <w:trHeight w:val="333"/>
          <w:jc w:val="center"/>
        </w:trPr>
        <w:tc>
          <w:tcPr>
            <w:tcW w:w="5966" w:type="dxa"/>
            <w:gridSpan w:val="4"/>
            <w:tcBorders>
              <w:left w:val="single" w:sz="4" w:space="0" w:color="auto"/>
            </w:tcBorders>
            <w:shd w:val="clear" w:color="auto" w:fill="auto"/>
            <w:vAlign w:val="center"/>
          </w:tcPr>
          <w:p w14:paraId="4DD74272" w14:textId="77777777" w:rsidR="009414CF" w:rsidRPr="00F62144" w:rsidRDefault="009414CF" w:rsidP="00DA03E8">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short plan year </w:t>
            </w:r>
          </w:p>
        </w:tc>
        <w:tc>
          <w:tcPr>
            <w:tcW w:w="3327" w:type="dxa"/>
            <w:gridSpan w:val="3"/>
            <w:tcBorders>
              <w:left w:val="nil"/>
            </w:tcBorders>
            <w:shd w:val="clear" w:color="auto" w:fill="auto"/>
            <w:vAlign w:val="center"/>
          </w:tcPr>
          <w:p w14:paraId="561CDB3E" w14:textId="77777777" w:rsidR="009414CF" w:rsidRPr="00F62144" w:rsidRDefault="009414CF" w:rsidP="00DA03E8">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gridSpan w:val="2"/>
            <w:tcBorders>
              <w:right w:val="single" w:sz="4" w:space="0" w:color="auto"/>
            </w:tcBorders>
            <w:shd w:val="clear" w:color="auto" w:fill="auto"/>
            <w:vAlign w:val="center"/>
          </w:tcPr>
          <w:p w14:paraId="2C13AC78" w14:textId="77777777" w:rsidR="009414CF" w:rsidRPr="00F62144" w:rsidRDefault="009414CF" w:rsidP="00DA03E8">
            <w:pPr>
              <w:spacing w:before="120"/>
              <w:jc w:val="center"/>
              <w:rPr>
                <w:rFonts w:asciiTheme="minorHAnsi" w:hAnsiTheme="minorHAnsi"/>
                <w:color w:val="000000"/>
                <w:sz w:val="16"/>
                <w:szCs w:val="16"/>
              </w:rPr>
            </w:pPr>
          </w:p>
        </w:tc>
      </w:tr>
      <w:tr w:rsidR="009414CF" w:rsidRPr="00F62144" w14:paraId="24C742B6" w14:textId="77777777" w:rsidTr="00E01C01">
        <w:trPr>
          <w:cantSplit/>
          <w:trHeight w:val="405"/>
          <w:jc w:val="center"/>
        </w:trPr>
        <w:tc>
          <w:tcPr>
            <w:tcW w:w="5966" w:type="dxa"/>
            <w:gridSpan w:val="4"/>
            <w:tcBorders>
              <w:left w:val="single" w:sz="4" w:space="0" w:color="auto"/>
              <w:bottom w:val="single" w:sz="4" w:space="0" w:color="auto"/>
            </w:tcBorders>
            <w:shd w:val="clear" w:color="auto" w:fill="auto"/>
            <w:vAlign w:val="center"/>
          </w:tcPr>
          <w:p w14:paraId="7ECCFBF3" w14:textId="77777777" w:rsidR="009414CF" w:rsidRPr="00F62144" w:rsidRDefault="009414CF" w:rsidP="00DA03E8">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3327" w:type="dxa"/>
            <w:gridSpan w:val="3"/>
            <w:tcBorders>
              <w:left w:val="nil"/>
              <w:bottom w:val="single" w:sz="4" w:space="0" w:color="auto"/>
            </w:tcBorders>
            <w:shd w:val="clear" w:color="auto" w:fill="auto"/>
            <w:vAlign w:val="center"/>
          </w:tcPr>
          <w:p w14:paraId="18EA91C4" w14:textId="77777777" w:rsidR="009414CF" w:rsidRPr="00F62144" w:rsidRDefault="009414CF" w:rsidP="00DA03E8">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gridSpan w:val="2"/>
            <w:tcBorders>
              <w:bottom w:val="single" w:sz="4" w:space="0" w:color="auto"/>
              <w:right w:val="single" w:sz="4" w:space="0" w:color="auto"/>
            </w:tcBorders>
            <w:shd w:val="clear" w:color="auto" w:fill="auto"/>
            <w:vAlign w:val="center"/>
          </w:tcPr>
          <w:p w14:paraId="79E6C2AC" w14:textId="77777777" w:rsidR="009414CF" w:rsidRPr="00F62144" w:rsidRDefault="009414CF" w:rsidP="00DA03E8">
            <w:pPr>
              <w:spacing w:before="120"/>
              <w:jc w:val="center"/>
              <w:rPr>
                <w:rFonts w:asciiTheme="minorHAnsi" w:hAnsiTheme="minorHAnsi"/>
                <w:color w:val="000000"/>
                <w:sz w:val="16"/>
                <w:szCs w:val="16"/>
              </w:rPr>
            </w:pPr>
          </w:p>
        </w:tc>
      </w:tr>
      <w:tr w:rsidR="009414CF" w:rsidRPr="00F62144" w14:paraId="799645C0" w14:textId="77777777" w:rsidTr="00E01C01">
        <w:trPr>
          <w:cantSplit/>
          <w:trHeight w:val="638"/>
          <w:jc w:val="center"/>
        </w:trPr>
        <w:tc>
          <w:tcPr>
            <w:tcW w:w="9293" w:type="dxa"/>
            <w:gridSpan w:val="7"/>
            <w:tcBorders>
              <w:top w:val="single" w:sz="4" w:space="0" w:color="auto"/>
              <w:left w:val="single" w:sz="4" w:space="0" w:color="auto"/>
              <w:bottom w:val="single" w:sz="4" w:space="0" w:color="auto"/>
            </w:tcBorders>
            <w:shd w:val="clear" w:color="auto" w:fill="auto"/>
            <w:vAlign w:val="center"/>
          </w:tcPr>
          <w:p w14:paraId="0B570E45" w14:textId="77777777" w:rsidR="009414CF" w:rsidRPr="00F62144" w:rsidRDefault="009414CF" w:rsidP="00DA03E8">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gridSpan w:val="2"/>
            <w:tcBorders>
              <w:top w:val="single" w:sz="4" w:space="0" w:color="auto"/>
              <w:bottom w:val="single" w:sz="4" w:space="0" w:color="auto"/>
              <w:right w:val="single" w:sz="4" w:space="0" w:color="auto"/>
            </w:tcBorders>
            <w:shd w:val="clear" w:color="auto" w:fill="auto"/>
            <w:vAlign w:val="center"/>
          </w:tcPr>
          <w:p w14:paraId="25CB31DA" w14:textId="77777777" w:rsidR="009414CF" w:rsidRPr="00F62144" w:rsidRDefault="009414CF" w:rsidP="00DA03E8">
            <w:pPr>
              <w:spacing w:before="80"/>
              <w:jc w:val="center"/>
              <w:rPr>
                <w:rFonts w:asciiTheme="minorHAnsi" w:hAnsiTheme="minorHAnsi"/>
                <w:color w:val="000000"/>
                <w:sz w:val="16"/>
                <w:szCs w:val="16"/>
              </w:rPr>
            </w:pPr>
          </w:p>
          <w:p w14:paraId="7F44484A" w14:textId="77777777" w:rsidR="009414CF" w:rsidRPr="00F62144" w:rsidRDefault="009414CF" w:rsidP="00DA03E8">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14:paraId="14FED528" w14:textId="77777777" w:rsidR="003B0C35" w:rsidRPr="00F62144" w:rsidRDefault="003B0C35">
      <w:pPr>
        <w:rPr>
          <w:rFonts w:asciiTheme="minorHAnsi" w:hAnsiTheme="minorHAnsi"/>
          <w:noProof/>
          <w:lang w:eastAsia="en-US"/>
        </w:rPr>
      </w:pPr>
    </w:p>
    <w:tbl>
      <w:tblPr>
        <w:tblW w:w="11065" w:type="dxa"/>
        <w:jc w:val="center"/>
        <w:tblLayout w:type="fixed"/>
        <w:tblLook w:val="01E0" w:firstRow="1" w:lastRow="1" w:firstColumn="1" w:lastColumn="1" w:noHBand="0" w:noVBand="0"/>
      </w:tblPr>
      <w:tblGrid>
        <w:gridCol w:w="3193"/>
        <w:gridCol w:w="2993"/>
        <w:gridCol w:w="931"/>
        <w:gridCol w:w="2353"/>
        <w:gridCol w:w="1595"/>
      </w:tblGrid>
      <w:tr w:rsidR="00AC063D" w:rsidRPr="00F62144" w14:paraId="441268F2" w14:textId="77777777" w:rsidTr="00AC063D">
        <w:trPr>
          <w:cantSplit/>
          <w:trHeight w:val="252"/>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44237F" w14:textId="77777777" w:rsidR="00AC063D" w:rsidRPr="00F62144" w:rsidRDefault="00AC063D" w:rsidP="00AC063D">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rsidR="00AC063D" w:rsidRPr="00F62144" w14:paraId="3E06B683" w14:textId="77777777" w:rsidTr="00AC063D">
        <w:trPr>
          <w:cantSplit/>
          <w:trHeight w:val="152"/>
          <w:jc w:val="center"/>
        </w:trPr>
        <w:tc>
          <w:tcPr>
            <w:tcW w:w="9470" w:type="dxa"/>
            <w:gridSpan w:val="4"/>
            <w:tcBorders>
              <w:top w:val="single" w:sz="4" w:space="0" w:color="auto"/>
              <w:left w:val="single" w:sz="4" w:space="0" w:color="auto"/>
            </w:tcBorders>
            <w:shd w:val="clear" w:color="auto" w:fill="auto"/>
            <w:vAlign w:val="center"/>
          </w:tcPr>
          <w:p w14:paraId="1150F365" w14:textId="77777777" w:rsidR="00AC063D" w:rsidRPr="00F62144" w:rsidRDefault="00AC063D" w:rsidP="00AC063D">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5" w:type="dxa"/>
            <w:tcBorders>
              <w:top w:val="single" w:sz="4" w:space="0" w:color="auto"/>
              <w:right w:val="single" w:sz="4" w:space="0" w:color="auto"/>
            </w:tcBorders>
            <w:shd w:val="clear" w:color="auto" w:fill="auto"/>
            <w:vAlign w:val="center"/>
          </w:tcPr>
          <w:p w14:paraId="6996173F" w14:textId="77777777" w:rsidR="00AC063D" w:rsidRPr="00F62144" w:rsidRDefault="00AC063D" w:rsidP="00AC063D">
            <w:pPr>
              <w:spacing w:before="120"/>
              <w:jc w:val="center"/>
              <w:rPr>
                <w:rFonts w:asciiTheme="minorHAnsi" w:hAnsiTheme="minorHAnsi"/>
                <w:color w:val="000000"/>
                <w:sz w:val="16"/>
                <w:szCs w:val="16"/>
              </w:rPr>
            </w:pPr>
          </w:p>
        </w:tc>
      </w:tr>
      <w:tr w:rsidR="00AC063D" w:rsidRPr="00F62144" w14:paraId="70DBF5A6" w14:textId="77777777" w:rsidTr="00AC063D">
        <w:trPr>
          <w:cantSplit/>
          <w:trHeight w:val="225"/>
          <w:jc w:val="center"/>
        </w:trPr>
        <w:tc>
          <w:tcPr>
            <w:tcW w:w="9470" w:type="dxa"/>
            <w:gridSpan w:val="4"/>
            <w:tcBorders>
              <w:left w:val="single" w:sz="4" w:space="0" w:color="auto"/>
            </w:tcBorders>
            <w:shd w:val="clear" w:color="auto" w:fill="auto"/>
            <w:vAlign w:val="center"/>
          </w:tcPr>
          <w:p w14:paraId="22948546" w14:textId="77777777" w:rsidR="00AC063D" w:rsidRPr="00F62144" w:rsidRDefault="00AC063D" w:rsidP="00AC063D">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p>
        </w:tc>
        <w:tc>
          <w:tcPr>
            <w:tcW w:w="1595" w:type="dxa"/>
            <w:tcBorders>
              <w:left w:val="nil"/>
              <w:right w:val="single" w:sz="4" w:space="0" w:color="auto"/>
            </w:tcBorders>
            <w:shd w:val="clear" w:color="auto" w:fill="auto"/>
            <w:vAlign w:val="center"/>
          </w:tcPr>
          <w:p w14:paraId="36C9A56C" w14:textId="77777777" w:rsidR="00AC063D" w:rsidRPr="00F62144" w:rsidRDefault="00AC063D" w:rsidP="00AC063D">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AC063D" w:rsidRPr="00F62144" w14:paraId="24ED59E1" w14:textId="77777777" w:rsidTr="00AC063D">
        <w:trPr>
          <w:cantSplit/>
          <w:trHeight w:val="225"/>
          <w:jc w:val="center"/>
        </w:trPr>
        <w:tc>
          <w:tcPr>
            <w:tcW w:w="9470" w:type="dxa"/>
            <w:gridSpan w:val="4"/>
            <w:tcBorders>
              <w:left w:val="single" w:sz="4" w:space="0" w:color="auto"/>
            </w:tcBorders>
            <w:shd w:val="clear" w:color="auto" w:fill="auto"/>
            <w:vAlign w:val="center"/>
          </w:tcPr>
          <w:p w14:paraId="416BE434" w14:textId="77777777" w:rsidR="00AC063D" w:rsidRPr="00F62144" w:rsidRDefault="00AC063D" w:rsidP="00AC063D">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w:t>
            </w:r>
            <w:bookmarkStart w:id="38" w:name="b26"/>
            <w:bookmarkEnd w:id="38"/>
            <w:r w:rsidRPr="00F62144">
              <w:rPr>
                <w:rFonts w:asciiTheme="minorHAnsi" w:hAnsiTheme="minorHAnsi"/>
                <w:color w:val="000000"/>
                <w:sz w:val="16"/>
                <w:szCs w:val="16"/>
              </w:rPr>
              <w:t xml:space="preserve">Outstanding credit from the plan year immediately preceding the premium payment year </w:t>
            </w:r>
          </w:p>
        </w:tc>
        <w:tc>
          <w:tcPr>
            <w:tcW w:w="1595" w:type="dxa"/>
            <w:tcBorders>
              <w:left w:val="nil"/>
              <w:right w:val="single" w:sz="4" w:space="0" w:color="auto"/>
            </w:tcBorders>
            <w:shd w:val="clear" w:color="auto" w:fill="auto"/>
            <w:vAlign w:val="center"/>
          </w:tcPr>
          <w:p w14:paraId="631E8551" w14:textId="77777777" w:rsidR="00AC063D" w:rsidRPr="00F62144" w:rsidRDefault="00AC063D" w:rsidP="00AC063D">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AC063D" w:rsidRPr="00F62144" w14:paraId="2535725C" w14:textId="77777777" w:rsidTr="00AC063D">
        <w:trPr>
          <w:cantSplit/>
          <w:trHeight w:val="270"/>
          <w:jc w:val="center"/>
        </w:trPr>
        <w:tc>
          <w:tcPr>
            <w:tcW w:w="9470" w:type="dxa"/>
            <w:gridSpan w:val="4"/>
            <w:tcBorders>
              <w:left w:val="single" w:sz="4" w:space="0" w:color="auto"/>
            </w:tcBorders>
            <w:shd w:val="clear" w:color="auto" w:fill="auto"/>
            <w:vAlign w:val="center"/>
          </w:tcPr>
          <w:p w14:paraId="409DE454" w14:textId="77777777" w:rsidR="00AC063D" w:rsidRPr="00F62144" w:rsidRDefault="00AC063D" w:rsidP="00AC063D">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Total (item 10a + item 10b)</w:t>
            </w:r>
          </w:p>
        </w:tc>
        <w:tc>
          <w:tcPr>
            <w:tcW w:w="1595" w:type="dxa"/>
            <w:tcBorders>
              <w:left w:val="nil"/>
              <w:right w:val="single" w:sz="4" w:space="0" w:color="auto"/>
            </w:tcBorders>
            <w:shd w:val="clear" w:color="auto" w:fill="auto"/>
            <w:vAlign w:val="center"/>
          </w:tcPr>
          <w:p w14:paraId="044D5152" w14:textId="77777777" w:rsidR="00AC063D" w:rsidRPr="00F62144" w:rsidRDefault="00AC063D" w:rsidP="00AC063D">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AC063D" w:rsidRPr="00F62144" w14:paraId="757B44D3" w14:textId="77777777" w:rsidTr="00AC063D">
        <w:trPr>
          <w:cantSplit/>
          <w:trHeight w:val="215"/>
          <w:jc w:val="center"/>
        </w:trPr>
        <w:tc>
          <w:tcPr>
            <w:tcW w:w="9470" w:type="dxa"/>
            <w:gridSpan w:val="4"/>
            <w:tcBorders>
              <w:top w:val="single" w:sz="4" w:space="0" w:color="auto"/>
              <w:left w:val="single" w:sz="4" w:space="0" w:color="auto"/>
            </w:tcBorders>
            <w:shd w:val="clear" w:color="auto" w:fill="auto"/>
            <w:vAlign w:val="center"/>
          </w:tcPr>
          <w:p w14:paraId="0E70F669" w14:textId="77777777" w:rsidR="00AC063D" w:rsidRPr="00F62144" w:rsidRDefault="00AC063D" w:rsidP="00AC063D">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5" w:type="dxa"/>
            <w:tcBorders>
              <w:top w:val="single" w:sz="4" w:space="0" w:color="auto"/>
              <w:right w:val="single" w:sz="4" w:space="0" w:color="auto"/>
            </w:tcBorders>
            <w:shd w:val="clear" w:color="auto" w:fill="auto"/>
            <w:vAlign w:val="center"/>
          </w:tcPr>
          <w:p w14:paraId="1EA9DC75" w14:textId="77777777" w:rsidR="00AC063D" w:rsidRPr="00F62144" w:rsidRDefault="00AC063D" w:rsidP="00AC063D">
            <w:pPr>
              <w:spacing w:before="120"/>
              <w:rPr>
                <w:rFonts w:asciiTheme="minorHAnsi" w:hAnsiTheme="minorHAnsi"/>
                <w:b/>
                <w:color w:val="000000"/>
                <w:sz w:val="16"/>
                <w:szCs w:val="16"/>
              </w:rPr>
            </w:pPr>
            <w:r w:rsidRPr="00F62144">
              <w:rPr>
                <w:rFonts w:asciiTheme="minorHAnsi" w:hAnsiTheme="minorHAnsi"/>
                <w:b/>
                <w:color w:val="000000"/>
                <w:sz w:val="16"/>
                <w:szCs w:val="16"/>
              </w:rPr>
              <w:t>______________</w:t>
            </w:r>
          </w:p>
        </w:tc>
      </w:tr>
      <w:tr w:rsidR="00AC063D" w:rsidRPr="00F62144" w14:paraId="06799971" w14:textId="77777777" w:rsidTr="00AC063D">
        <w:trPr>
          <w:cantSplit/>
          <w:trHeight w:val="252"/>
          <w:jc w:val="center"/>
        </w:trPr>
        <w:tc>
          <w:tcPr>
            <w:tcW w:w="9470" w:type="dxa"/>
            <w:gridSpan w:val="4"/>
            <w:tcBorders>
              <w:top w:val="single" w:sz="4" w:space="0" w:color="auto"/>
              <w:left w:val="single" w:sz="4" w:space="0" w:color="auto"/>
            </w:tcBorders>
            <w:shd w:val="clear" w:color="auto" w:fill="auto"/>
            <w:vAlign w:val="center"/>
          </w:tcPr>
          <w:p w14:paraId="150C4811" w14:textId="77777777" w:rsidR="00AC063D" w:rsidRPr="00F62144" w:rsidRDefault="00AC063D" w:rsidP="00AC063D">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5" w:type="dxa"/>
            <w:tcBorders>
              <w:top w:val="single" w:sz="4" w:space="0" w:color="auto"/>
              <w:right w:val="single" w:sz="4" w:space="0" w:color="auto"/>
            </w:tcBorders>
            <w:shd w:val="clear" w:color="auto" w:fill="auto"/>
            <w:vAlign w:val="center"/>
          </w:tcPr>
          <w:p w14:paraId="13357FEE" w14:textId="77777777" w:rsidR="00AC063D" w:rsidRPr="00F62144" w:rsidRDefault="00AC063D" w:rsidP="00AC063D">
            <w:pPr>
              <w:spacing w:before="120"/>
              <w:jc w:val="center"/>
              <w:rPr>
                <w:rFonts w:asciiTheme="minorHAnsi" w:hAnsiTheme="minorHAnsi"/>
                <w:color w:val="000000"/>
                <w:sz w:val="16"/>
                <w:szCs w:val="16"/>
              </w:rPr>
            </w:pPr>
          </w:p>
        </w:tc>
      </w:tr>
      <w:tr w:rsidR="00AC063D" w:rsidRPr="00F62144" w14:paraId="1F92B299" w14:textId="77777777" w:rsidTr="00AC063D">
        <w:trPr>
          <w:cantSplit/>
          <w:trHeight w:val="225"/>
          <w:jc w:val="center"/>
        </w:trPr>
        <w:tc>
          <w:tcPr>
            <w:tcW w:w="9470" w:type="dxa"/>
            <w:gridSpan w:val="4"/>
            <w:tcBorders>
              <w:left w:val="single" w:sz="4" w:space="0" w:color="auto"/>
            </w:tcBorders>
            <w:shd w:val="clear" w:color="auto" w:fill="auto"/>
            <w:vAlign w:val="center"/>
          </w:tcPr>
          <w:p w14:paraId="02003E93" w14:textId="77777777" w:rsidR="00AC063D" w:rsidRPr="00F62144" w:rsidRDefault="00AC063D" w:rsidP="00AC063D">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5" w:type="dxa"/>
            <w:tcBorders>
              <w:right w:val="single" w:sz="4" w:space="0" w:color="auto"/>
            </w:tcBorders>
            <w:shd w:val="clear" w:color="auto" w:fill="auto"/>
            <w:vAlign w:val="center"/>
          </w:tcPr>
          <w:p w14:paraId="5E6D3B8F" w14:textId="77777777" w:rsidR="00AC063D" w:rsidRPr="00F62144" w:rsidRDefault="00AC063D" w:rsidP="00AC063D">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004D348A" w:rsidRPr="00F62144" w14:paraId="39160EA0" w14:textId="77777777" w:rsidTr="00061965">
        <w:trPr>
          <w:cantSplit/>
          <w:trHeight w:hRule="exact" w:val="522"/>
          <w:jc w:val="center"/>
        </w:trPr>
        <w:tc>
          <w:tcPr>
            <w:tcW w:w="3193" w:type="dxa"/>
            <w:tcBorders>
              <w:left w:val="single" w:sz="4" w:space="0" w:color="auto"/>
            </w:tcBorders>
            <w:shd w:val="clear" w:color="auto" w:fill="auto"/>
          </w:tcPr>
          <w:p w14:paraId="59DA534C" w14:textId="77777777" w:rsidR="004D348A" w:rsidRPr="00F62144" w:rsidRDefault="004D348A" w:rsidP="006D5C26">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w:t>
            </w:r>
            <w:r w:rsidR="00061965" w:rsidRPr="00F62144">
              <w:rPr>
                <w:rFonts w:asciiTheme="minorHAnsi" w:hAnsiTheme="minorHAnsi"/>
                <w:color w:val="000000"/>
                <w:sz w:val="16"/>
                <w:szCs w:val="16"/>
              </w:rPr>
              <w:t xml:space="preserve"> </w:t>
            </w:r>
            <w:r w:rsidRPr="00F62144">
              <w:rPr>
                <w:rFonts w:asciiTheme="minorHAnsi" w:hAnsiTheme="minorHAnsi"/>
                <w:color w:val="000000"/>
                <w:sz w:val="16"/>
                <w:szCs w:val="16"/>
              </w:rPr>
              <w:t xml:space="preserve">one):   </w:t>
            </w:r>
            <w:r w:rsidRPr="00F62144">
              <w:rPr>
                <w:rFonts w:asciiTheme="minorHAnsi" w:hAnsiTheme="minorHAnsi"/>
                <w:color w:val="000000"/>
                <w:sz w:val="16"/>
                <w:szCs w:val="16"/>
              </w:rPr>
              <w:br/>
            </w:r>
          </w:p>
        </w:tc>
        <w:tc>
          <w:tcPr>
            <w:tcW w:w="7872" w:type="dxa"/>
            <w:gridSpan w:val="4"/>
            <w:tcBorders>
              <w:left w:val="nil"/>
              <w:right w:val="single" w:sz="4" w:space="0" w:color="auto"/>
            </w:tcBorders>
            <w:shd w:val="clear" w:color="auto" w:fill="auto"/>
          </w:tcPr>
          <w:p w14:paraId="27BA81E6" w14:textId="77777777" w:rsidR="004D348A" w:rsidRPr="00F62144" w:rsidRDefault="004D348A" w:rsidP="004D348A">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bookmarkStart w:id="39" w:name="Check34"/>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39"/>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bookmarkStart w:id="40" w:name="Check35"/>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0"/>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bookmarkStart w:id="41" w:name="Check36"/>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1"/>
            <w:r w:rsidRPr="00F62144">
              <w:rPr>
                <w:rFonts w:asciiTheme="minorHAnsi" w:hAnsiTheme="minorHAnsi"/>
                <w:color w:val="000000"/>
                <w:sz w:val="16"/>
                <w:szCs w:val="16"/>
              </w:rPr>
              <w:t xml:space="preserve">  Refund by electronic funds transfer (</w:t>
            </w:r>
            <w:r w:rsidR="00277D52">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rsidR="00AC063D" w:rsidRPr="00F62144" w14:paraId="24D61DB4" w14:textId="77777777" w:rsidTr="00061965">
        <w:trPr>
          <w:cantSplit/>
          <w:trHeight w:val="225"/>
          <w:jc w:val="center"/>
        </w:trPr>
        <w:tc>
          <w:tcPr>
            <w:tcW w:w="3193" w:type="dxa"/>
            <w:tcBorders>
              <w:left w:val="single" w:sz="4" w:space="0" w:color="auto"/>
            </w:tcBorders>
            <w:shd w:val="clear" w:color="auto" w:fill="auto"/>
            <w:vAlign w:val="center"/>
          </w:tcPr>
          <w:p w14:paraId="1E3BE133" w14:textId="77777777" w:rsidR="00AC063D" w:rsidRPr="00F62144" w:rsidRDefault="00AC063D" w:rsidP="00AC063D">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sidR="00277D52">
              <w:rPr>
                <w:rFonts w:asciiTheme="minorHAnsi" w:hAnsiTheme="minorHAnsi"/>
                <w:color w:val="000000"/>
                <w:sz w:val="16"/>
                <w:szCs w:val="16"/>
              </w:rPr>
              <w:t>ACH</w:t>
            </w:r>
            <w:r w:rsidR="00277D52" w:rsidRPr="00F62144">
              <w:rPr>
                <w:rFonts w:asciiTheme="minorHAnsi" w:hAnsiTheme="minorHAnsi"/>
                <w:color w:val="000000"/>
                <w:sz w:val="16"/>
                <w:szCs w:val="16"/>
              </w:rPr>
              <w:t xml:space="preserve"> </w:t>
            </w:r>
            <w:r w:rsidRPr="00F62144">
              <w:rPr>
                <w:rFonts w:asciiTheme="minorHAnsi" w:hAnsiTheme="minorHAnsi"/>
                <w:color w:val="000000"/>
                <w:sz w:val="16"/>
                <w:szCs w:val="16"/>
              </w:rPr>
              <w:t>refund:</w:t>
            </w:r>
          </w:p>
        </w:tc>
        <w:tc>
          <w:tcPr>
            <w:tcW w:w="3924" w:type="dxa"/>
            <w:gridSpan w:val="2"/>
            <w:shd w:val="clear" w:color="auto" w:fill="auto"/>
            <w:vAlign w:val="center"/>
          </w:tcPr>
          <w:p w14:paraId="7A3B2988" w14:textId="77777777" w:rsidR="00AC063D" w:rsidRPr="00F62144" w:rsidRDefault="00AC063D" w:rsidP="00AC063D">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bookmarkStart w:id="42" w:name="Check37"/>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2"/>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bookmarkStart w:id="43" w:name="Check38"/>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3"/>
            <w:r w:rsidRPr="00F62144">
              <w:rPr>
                <w:rFonts w:asciiTheme="minorHAnsi" w:hAnsiTheme="minorHAnsi"/>
                <w:color w:val="000000"/>
                <w:sz w:val="16"/>
                <w:szCs w:val="16"/>
              </w:rPr>
              <w:t xml:space="preserve"> Savings</w:t>
            </w:r>
          </w:p>
        </w:tc>
        <w:tc>
          <w:tcPr>
            <w:tcW w:w="3948" w:type="dxa"/>
            <w:gridSpan w:val="2"/>
            <w:tcBorders>
              <w:left w:val="nil"/>
              <w:right w:val="single" w:sz="4" w:space="0" w:color="auto"/>
            </w:tcBorders>
            <w:shd w:val="clear" w:color="auto" w:fill="auto"/>
            <w:vAlign w:val="center"/>
          </w:tcPr>
          <w:p w14:paraId="4AB53599" w14:textId="77777777" w:rsidR="00AC063D" w:rsidRPr="00F62144" w:rsidRDefault="00AC063D" w:rsidP="00AC063D">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rsidR="00AC063D" w:rsidRPr="00F62144" w14:paraId="6E9CBF4B" w14:textId="77777777" w:rsidTr="00AC063D">
        <w:trPr>
          <w:cantSplit/>
          <w:trHeight w:val="450"/>
          <w:jc w:val="center"/>
        </w:trPr>
        <w:tc>
          <w:tcPr>
            <w:tcW w:w="7117" w:type="dxa"/>
            <w:gridSpan w:val="3"/>
            <w:tcBorders>
              <w:left w:val="single" w:sz="4" w:space="0" w:color="auto"/>
              <w:bottom w:val="single" w:sz="4" w:space="0" w:color="auto"/>
            </w:tcBorders>
            <w:shd w:val="clear" w:color="auto" w:fill="auto"/>
            <w:vAlign w:val="center"/>
          </w:tcPr>
          <w:p w14:paraId="453E442D" w14:textId="77777777" w:rsidR="00AC063D" w:rsidRPr="00F62144" w:rsidRDefault="00AC063D" w:rsidP="00AC063D">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48" w:type="dxa"/>
            <w:gridSpan w:val="2"/>
            <w:tcBorders>
              <w:bottom w:val="single" w:sz="4" w:space="0" w:color="auto"/>
              <w:right w:val="single" w:sz="4" w:space="0" w:color="auto"/>
            </w:tcBorders>
            <w:shd w:val="clear" w:color="auto" w:fill="auto"/>
            <w:vAlign w:val="center"/>
          </w:tcPr>
          <w:p w14:paraId="00CA5EA0" w14:textId="77777777" w:rsidR="00AC063D" w:rsidRPr="00F62144" w:rsidRDefault="00277D52" w:rsidP="00AC063D">
            <w:pPr>
              <w:spacing w:before="120"/>
              <w:rPr>
                <w:rFonts w:asciiTheme="minorHAnsi" w:hAnsiTheme="minorHAnsi"/>
                <w:color w:val="000000"/>
                <w:sz w:val="16"/>
                <w:szCs w:val="16"/>
              </w:rPr>
            </w:pPr>
            <w:r>
              <w:rPr>
                <w:rFonts w:asciiTheme="minorHAnsi" w:hAnsiTheme="minorHAnsi"/>
                <w:color w:val="000000"/>
                <w:sz w:val="16"/>
                <w:szCs w:val="16"/>
              </w:rPr>
              <w:t>A</w:t>
            </w:r>
            <w:r w:rsidR="00AC063D" w:rsidRPr="00F62144">
              <w:rPr>
                <w:rFonts w:asciiTheme="minorHAnsi" w:hAnsiTheme="minorHAnsi"/>
                <w:color w:val="000000"/>
                <w:sz w:val="16"/>
                <w:szCs w:val="16"/>
              </w:rPr>
              <w:t>ccount number  _</w:t>
            </w:r>
            <w:r w:rsidRPr="00F62144">
              <w:rPr>
                <w:rFonts w:asciiTheme="minorHAnsi" w:hAnsiTheme="minorHAnsi"/>
                <w:color w:val="000000"/>
                <w:sz w:val="16"/>
                <w:szCs w:val="16"/>
              </w:rPr>
              <w:t>______________</w:t>
            </w:r>
            <w:r w:rsidR="00AC063D" w:rsidRPr="00F62144">
              <w:rPr>
                <w:rFonts w:asciiTheme="minorHAnsi" w:hAnsiTheme="minorHAnsi"/>
                <w:color w:val="000000"/>
                <w:sz w:val="16"/>
                <w:szCs w:val="16"/>
              </w:rPr>
              <w:t>____________</w:t>
            </w:r>
          </w:p>
        </w:tc>
      </w:tr>
      <w:tr w:rsidR="00AC063D" w:rsidRPr="00F62144" w14:paraId="1C8B5609" w14:textId="77777777" w:rsidTr="00E66D65">
        <w:trPr>
          <w:cantSplit/>
          <w:trHeight w:hRule="exact" w:val="370"/>
          <w:jc w:val="center"/>
        </w:trPr>
        <w:tc>
          <w:tcPr>
            <w:tcW w:w="11065" w:type="dxa"/>
            <w:gridSpan w:val="5"/>
            <w:tcBorders>
              <w:top w:val="single" w:sz="4" w:space="0" w:color="auto"/>
              <w:bottom w:val="single" w:sz="4" w:space="0" w:color="auto"/>
            </w:tcBorders>
            <w:shd w:val="clear" w:color="auto" w:fill="auto"/>
            <w:vAlign w:val="center"/>
          </w:tcPr>
          <w:p w14:paraId="0E638FAB" w14:textId="77777777" w:rsidR="00AC063D" w:rsidRPr="00F62144" w:rsidRDefault="00AC063D" w:rsidP="00AC063D">
            <w:pPr>
              <w:spacing w:before="120"/>
              <w:jc w:val="center"/>
              <w:rPr>
                <w:rFonts w:asciiTheme="minorHAnsi" w:hAnsiTheme="minorHAnsi"/>
                <w:b/>
                <w:color w:val="000000"/>
                <w:sz w:val="20"/>
                <w:szCs w:val="20"/>
              </w:rPr>
            </w:pPr>
          </w:p>
        </w:tc>
      </w:tr>
      <w:tr w:rsidR="00AC063D" w:rsidRPr="00F62144" w14:paraId="781E257A" w14:textId="77777777" w:rsidTr="00AC063D">
        <w:trPr>
          <w:cantSplit/>
          <w:trHeight w:val="332"/>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70529D" w14:textId="77777777" w:rsidR="00AC063D" w:rsidRPr="00F62144" w:rsidRDefault="00AC063D" w:rsidP="00AC063D">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rsidR="00AC063D" w:rsidRPr="00F62144" w14:paraId="447DCEC5" w14:textId="77777777" w:rsidTr="00AC063D">
        <w:trPr>
          <w:cantSplit/>
          <w:trHeight w:val="414"/>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90AE5C" w14:textId="77777777" w:rsidR="00AC063D" w:rsidRPr="00F62144" w:rsidRDefault="00AC063D" w:rsidP="00AC063D">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 xml:space="preserve">13 Final filing – </w:t>
            </w:r>
            <w:r w:rsidRPr="00F62144">
              <w:rPr>
                <w:rFonts w:asciiTheme="minorHAnsi" w:hAnsiTheme="minorHAnsi"/>
                <w:color w:val="000000"/>
                <w:sz w:val="16"/>
                <w:szCs w:val="16"/>
              </w:rPr>
              <w:t>If this is the last filing for this plan, enter the date of event _ _ /_ _ / _ _ _ _ and check box that best describes why filing obligation is ceasing:</w:t>
            </w:r>
            <w:r w:rsidR="004D348A" w:rsidRPr="00F62144">
              <w:rPr>
                <w:rFonts w:asciiTheme="minorHAnsi" w:hAnsiTheme="minorHAnsi"/>
                <w:color w:val="000000"/>
                <w:sz w:val="16"/>
                <w:szCs w:val="16"/>
              </w:rPr>
              <w:b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39"/>
                  <w:enabled/>
                  <w:calcOnExit w:val="0"/>
                  <w:checkBox>
                    <w:sizeAuto/>
                    <w:default w:val="0"/>
                  </w:checkBox>
                </w:ffData>
              </w:fldChar>
            </w:r>
            <w:bookmarkStart w:id="44" w:name="Check39"/>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4"/>
            <w:r w:rsidRPr="00F62144">
              <w:rPr>
                <w:rFonts w:asciiTheme="minorHAnsi" w:hAnsiTheme="minorHAnsi"/>
                <w:color w:val="000000"/>
                <w:sz w:val="16"/>
                <w:szCs w:val="16"/>
              </w:rPr>
              <w:t xml:space="preserve">Merger/Consolidation  </w:t>
            </w:r>
            <w:r w:rsidRPr="00F62144">
              <w:rPr>
                <w:rFonts w:asciiTheme="minorHAnsi" w:hAnsiTheme="minorHAnsi"/>
                <w:color w:val="000000"/>
                <w:sz w:val="16"/>
                <w:szCs w:val="16"/>
              </w:rPr>
              <w:fldChar w:fldCharType="begin">
                <w:ffData>
                  <w:name w:val="Check40"/>
                  <w:enabled/>
                  <w:calcOnExit w:val="0"/>
                  <w:checkBox>
                    <w:sizeAuto/>
                    <w:default w:val="0"/>
                  </w:checkBox>
                </w:ffData>
              </w:fldChar>
            </w:r>
            <w:bookmarkStart w:id="45" w:name="Check40"/>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5"/>
            <w:r w:rsidRPr="00F62144">
              <w:rPr>
                <w:rFonts w:asciiTheme="minorHAnsi" w:hAnsiTheme="minorHAnsi"/>
                <w:color w:val="000000"/>
                <w:sz w:val="16"/>
                <w:szCs w:val="16"/>
              </w:rPr>
              <w:t xml:space="preserve">Trusteeship  </w:t>
            </w:r>
            <w:r w:rsidRPr="00F62144">
              <w:rPr>
                <w:rFonts w:asciiTheme="minorHAnsi" w:hAnsiTheme="minorHAnsi"/>
                <w:color w:val="000000"/>
                <w:sz w:val="16"/>
                <w:szCs w:val="16"/>
              </w:rPr>
              <w:fldChar w:fldCharType="begin">
                <w:ffData>
                  <w:name w:val="Check40"/>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Distribution pursuant to termination  </w:t>
            </w:r>
            <w:r w:rsidRPr="00F62144">
              <w:rPr>
                <w:rFonts w:asciiTheme="minorHAnsi" w:hAnsiTheme="minorHAnsi"/>
                <w:color w:val="000000"/>
                <w:sz w:val="16"/>
                <w:szCs w:val="16"/>
              </w:rPr>
              <w:fldChar w:fldCharType="begin">
                <w:ffData>
                  <w:name w:val="Check41"/>
                  <w:enabled/>
                  <w:calcOnExit w:val="0"/>
                  <w:checkBox>
                    <w:sizeAuto/>
                    <w:default w:val="0"/>
                  </w:checkBox>
                </w:ffData>
              </w:fldChar>
            </w:r>
            <w:bookmarkStart w:id="46" w:name="Check41"/>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6"/>
            <w:r w:rsidRPr="00F62144">
              <w:rPr>
                <w:rFonts w:asciiTheme="minorHAnsi" w:hAnsiTheme="minorHAnsi"/>
                <w:color w:val="000000"/>
                <w:sz w:val="16"/>
                <w:szCs w:val="16"/>
              </w:rPr>
              <w:t xml:space="preserve">Cessation of covered status </w:t>
            </w:r>
          </w:p>
        </w:tc>
      </w:tr>
      <w:tr w:rsidR="00AC063D" w:rsidRPr="00F62144" w14:paraId="1F85B0CA" w14:textId="77777777" w:rsidTr="00AC063D">
        <w:trPr>
          <w:cantSplit/>
          <w:trHeight w:val="522"/>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2972431E" w14:textId="77777777" w:rsidR="00AC063D" w:rsidRPr="00F62144" w:rsidRDefault="00AC063D" w:rsidP="0085638D">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 xml:space="preserve">14 Transfers from other plans – </w:t>
            </w:r>
            <w:r w:rsidRPr="00F62144">
              <w:rPr>
                <w:rFonts w:asciiTheme="minorHAnsi" w:hAnsiTheme="minorHAnsi"/>
                <w:color w:val="000000"/>
                <w:sz w:val="16"/>
                <w:szCs w:val="16"/>
              </w:rPr>
              <w:t>If another plan transferred assets or liabilities to this plan since the most recent comprehensive premium filing, provide the following information with respect to each plan from which assets or liabilities were transferred (if transfer involved a new or newly</w:t>
            </w:r>
            <w:r w:rsidR="0085638D" w:rsidRPr="00F62144">
              <w:rPr>
                <w:rFonts w:asciiTheme="minorHAnsi" w:hAnsiTheme="minorHAnsi"/>
                <w:color w:val="000000"/>
                <w:sz w:val="16"/>
                <w:szCs w:val="16"/>
              </w:rPr>
              <w:t xml:space="preserve"> covered</w:t>
            </w:r>
            <w:r w:rsidRPr="00F62144">
              <w:rPr>
                <w:rFonts w:asciiTheme="minorHAnsi" w:hAnsiTheme="minorHAnsi"/>
                <w:color w:val="000000"/>
                <w:sz w:val="16"/>
                <w:szCs w:val="16"/>
              </w:rPr>
              <w:t xml:space="preserve"> plan, see </w:t>
            </w:r>
            <w:hyperlink w:anchor="b19" w:history="1">
              <w:r w:rsidRPr="00F62144">
                <w:rPr>
                  <w:rStyle w:val="Hyperlink"/>
                  <w:rFonts w:asciiTheme="minorHAnsi" w:hAnsiTheme="minorHAnsi"/>
                  <w:sz w:val="16"/>
                  <w:szCs w:val="16"/>
                </w:rPr>
                <w:t>instructions</w:t>
              </w:r>
            </w:hyperlink>
            <w:r w:rsidRPr="00F62144">
              <w:rPr>
                <w:rFonts w:asciiTheme="minorHAnsi" w:hAnsiTheme="minorHAnsi"/>
                <w:color w:val="000000"/>
                <w:sz w:val="16"/>
                <w:szCs w:val="16"/>
              </w:rPr>
              <w:t xml:space="preserve">). </w:t>
            </w:r>
          </w:p>
        </w:tc>
      </w:tr>
      <w:tr w:rsidR="00AC063D" w:rsidRPr="00F62144" w14:paraId="1F66DBBD" w14:textId="77777777" w:rsidTr="00AC063D">
        <w:trPr>
          <w:cantSplit/>
          <w:trHeight w:val="261"/>
          <w:jc w:val="center"/>
        </w:trPr>
        <w:tc>
          <w:tcPr>
            <w:tcW w:w="11065" w:type="dxa"/>
            <w:gridSpan w:val="5"/>
            <w:tcBorders>
              <w:left w:val="single" w:sz="4" w:space="0" w:color="auto"/>
              <w:right w:val="single" w:sz="4" w:space="0" w:color="auto"/>
            </w:tcBorders>
            <w:shd w:val="clear" w:color="auto" w:fill="auto"/>
          </w:tcPr>
          <w:p w14:paraId="66DBF585" w14:textId="77777777" w:rsidR="00AC063D" w:rsidRPr="00F62144" w:rsidRDefault="00AC063D" w:rsidP="00AC063D">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bookmarkStart w:id="47" w:name="Check26"/>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7"/>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bookmarkStart w:id="48" w:name="Check27"/>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8"/>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bookmarkStart w:id="49" w:name="Check28"/>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9"/>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bookmarkStart w:id="50" w:name="Check29"/>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0"/>
            <w:r w:rsidRPr="00F62144">
              <w:rPr>
                <w:rFonts w:asciiTheme="minorHAnsi" w:hAnsiTheme="minorHAnsi"/>
                <w:color w:val="000000"/>
                <w:sz w:val="16"/>
                <w:szCs w:val="16"/>
              </w:rPr>
              <w:t xml:space="preserve"> Other</w:t>
            </w:r>
          </w:p>
        </w:tc>
      </w:tr>
      <w:tr w:rsidR="00AC063D" w:rsidRPr="00F62144" w14:paraId="11199A2B" w14:textId="77777777" w:rsidTr="00AC063D">
        <w:trPr>
          <w:cantSplit/>
          <w:trHeight w:val="405"/>
          <w:jc w:val="center"/>
        </w:trPr>
        <w:tc>
          <w:tcPr>
            <w:tcW w:w="11065" w:type="dxa"/>
            <w:gridSpan w:val="5"/>
            <w:tcBorders>
              <w:left w:val="single" w:sz="4" w:space="0" w:color="auto"/>
              <w:right w:val="single" w:sz="4" w:space="0" w:color="auto"/>
            </w:tcBorders>
            <w:shd w:val="clear" w:color="auto" w:fill="auto"/>
          </w:tcPr>
          <w:p w14:paraId="4808B521" w14:textId="77777777" w:rsidR="00AC063D" w:rsidRPr="00F62144" w:rsidRDefault="00AC063D" w:rsidP="00AC063D">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30"/>
                  <w:enabled/>
                  <w:calcOnExit w:val="0"/>
                  <w:checkBox>
                    <w:sizeAuto/>
                    <w:default w:val="0"/>
                  </w:checkBox>
                </w:ffData>
              </w:fldChar>
            </w:r>
            <w:bookmarkStart w:id="51" w:name="Check30"/>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1"/>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31"/>
                  <w:enabled/>
                  <w:calcOnExit w:val="0"/>
                  <w:checkBox>
                    <w:sizeAuto/>
                    <w:default w:val="0"/>
                  </w:checkBox>
                </w:ffData>
              </w:fldChar>
            </w:r>
            <w:bookmarkStart w:id="52" w:name="Check31"/>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2"/>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32"/>
                  <w:enabled/>
                  <w:calcOnExit w:val="0"/>
                  <w:checkBox>
                    <w:sizeAuto/>
                    <w:default w:val="0"/>
                  </w:checkBox>
                </w:ffData>
              </w:fldChar>
            </w:r>
            <w:bookmarkStart w:id="53" w:name="Check32"/>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3"/>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33"/>
                  <w:enabled/>
                  <w:calcOnExit w:val="0"/>
                  <w:checkBox>
                    <w:sizeAuto/>
                    <w:default w:val="0"/>
                  </w:checkBox>
                </w:ffData>
              </w:fldChar>
            </w:r>
            <w:bookmarkStart w:id="54" w:name="Check33"/>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4"/>
            <w:r w:rsidRPr="00F62144">
              <w:rPr>
                <w:rFonts w:asciiTheme="minorHAnsi" w:hAnsiTheme="minorHAnsi"/>
                <w:color w:val="000000"/>
                <w:sz w:val="16"/>
                <w:szCs w:val="16"/>
              </w:rPr>
              <w:t xml:space="preserve"> Other</w:t>
            </w:r>
          </w:p>
        </w:tc>
      </w:tr>
      <w:tr w:rsidR="00AC063D" w:rsidRPr="00F62144" w14:paraId="02FE43DE" w14:textId="77777777" w:rsidTr="00AC063D">
        <w:trPr>
          <w:cantSplit/>
          <w:trHeight w:val="450"/>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1E3C1BAB" w14:textId="77777777" w:rsidR="00AC063D" w:rsidRPr="00F62144" w:rsidRDefault="00AC063D" w:rsidP="0085638D">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 xml:space="preserve">15 Transfers to other plans – </w:t>
            </w:r>
            <w:r w:rsidRPr="00F62144">
              <w:rPr>
                <w:rFonts w:asciiTheme="minorHAnsi" w:hAnsiTheme="minorHAnsi"/>
                <w:color w:val="000000"/>
                <w:sz w:val="16"/>
                <w:szCs w:val="16"/>
              </w:rPr>
              <w:t>If this plan transferred assets or liabilities to another plan since the most recent comprehensive premium filing, provide the following information with respect to each plan to which the assets or liabilities were transferred (if transfer involved a new or newly</w:t>
            </w:r>
            <w:r w:rsidR="0085638D" w:rsidRPr="00F62144">
              <w:rPr>
                <w:rFonts w:asciiTheme="minorHAnsi" w:hAnsiTheme="minorHAnsi"/>
                <w:color w:val="000000"/>
                <w:sz w:val="16"/>
                <w:szCs w:val="16"/>
              </w:rPr>
              <w:t xml:space="preserve"> covered</w:t>
            </w:r>
            <w:r w:rsidRPr="00F62144">
              <w:rPr>
                <w:rFonts w:asciiTheme="minorHAnsi" w:hAnsiTheme="minorHAnsi"/>
                <w:color w:val="000000"/>
                <w:sz w:val="16"/>
                <w:szCs w:val="16"/>
              </w:rPr>
              <w:t xml:space="preserve"> plan, see </w:t>
            </w:r>
            <w:hyperlink w:anchor="b20" w:history="1">
              <w:r w:rsidRPr="00F62144">
                <w:rPr>
                  <w:rStyle w:val="Hyperlink"/>
                  <w:rFonts w:asciiTheme="minorHAnsi" w:hAnsiTheme="minorHAnsi"/>
                  <w:sz w:val="16"/>
                  <w:szCs w:val="16"/>
                </w:rPr>
                <w:t>instructions</w:t>
              </w:r>
            </w:hyperlink>
            <w:r w:rsidRPr="00F62144">
              <w:rPr>
                <w:rFonts w:asciiTheme="minorHAnsi" w:hAnsiTheme="minorHAnsi"/>
                <w:color w:val="000000"/>
                <w:sz w:val="16"/>
                <w:szCs w:val="16"/>
              </w:rPr>
              <w:t xml:space="preserve">). </w:t>
            </w:r>
          </w:p>
        </w:tc>
      </w:tr>
      <w:tr w:rsidR="00AC063D" w:rsidRPr="00F62144" w14:paraId="5E2F5375" w14:textId="77777777" w:rsidTr="00AC063D">
        <w:trPr>
          <w:cantSplit/>
          <w:trHeight w:val="261"/>
          <w:jc w:val="center"/>
        </w:trPr>
        <w:tc>
          <w:tcPr>
            <w:tcW w:w="11065" w:type="dxa"/>
            <w:gridSpan w:val="5"/>
            <w:tcBorders>
              <w:left w:val="single" w:sz="4" w:space="0" w:color="auto"/>
              <w:right w:val="single" w:sz="4" w:space="0" w:color="auto"/>
            </w:tcBorders>
            <w:shd w:val="clear" w:color="auto" w:fill="auto"/>
          </w:tcPr>
          <w:p w14:paraId="6F7E5FD5" w14:textId="77777777" w:rsidR="00AC063D" w:rsidRPr="00F62144" w:rsidRDefault="00AC063D" w:rsidP="00AC063D">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tr w:rsidR="00AC063D" w:rsidRPr="00F62144" w14:paraId="4BC21CBD" w14:textId="77777777" w:rsidTr="00AC063D">
        <w:trPr>
          <w:cantSplit/>
          <w:trHeight w:val="450"/>
          <w:jc w:val="center"/>
        </w:trPr>
        <w:tc>
          <w:tcPr>
            <w:tcW w:w="11065" w:type="dxa"/>
            <w:gridSpan w:val="5"/>
            <w:tcBorders>
              <w:left w:val="single" w:sz="4" w:space="0" w:color="auto"/>
              <w:bottom w:val="single" w:sz="4" w:space="0" w:color="auto"/>
              <w:right w:val="single" w:sz="4" w:space="0" w:color="auto"/>
            </w:tcBorders>
            <w:shd w:val="clear" w:color="auto" w:fill="auto"/>
          </w:tcPr>
          <w:p w14:paraId="58A1A19E" w14:textId="77777777" w:rsidR="00AC063D" w:rsidRPr="00F62144" w:rsidRDefault="00AC063D" w:rsidP="00AC063D">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tr w:rsidR="00AC063D" w:rsidRPr="00F62144" w14:paraId="44BF2C04" w14:textId="77777777" w:rsidTr="00AC063D">
        <w:trPr>
          <w:cantSplit/>
          <w:trHeight w:val="450"/>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D55F8A" w14:textId="77777777" w:rsidR="00AC063D" w:rsidRPr="00F62144" w:rsidRDefault="00AC063D" w:rsidP="00AC063D">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16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 </w:t>
            </w:r>
          </w:p>
        </w:tc>
      </w:tr>
      <w:tr w:rsidR="00AC063D" w:rsidRPr="00F62144" w14:paraId="5F016929" w14:textId="77777777" w:rsidTr="00AC063D">
        <w:trPr>
          <w:cantSplit/>
          <w:trHeight w:val="450"/>
          <w:jc w:val="center"/>
        </w:trPr>
        <w:tc>
          <w:tcPr>
            <w:tcW w:w="11065" w:type="dxa"/>
            <w:gridSpan w:val="5"/>
            <w:tcBorders>
              <w:top w:val="single" w:sz="4" w:space="0" w:color="auto"/>
              <w:left w:val="single" w:sz="4" w:space="0" w:color="auto"/>
              <w:right w:val="single" w:sz="4" w:space="0" w:color="auto"/>
            </w:tcBorders>
            <w:shd w:val="clear" w:color="auto" w:fill="auto"/>
            <w:vAlign w:val="center"/>
          </w:tcPr>
          <w:p w14:paraId="75086B18" w14:textId="77777777" w:rsidR="00AC063D" w:rsidRPr="00F62144" w:rsidRDefault="00AC063D" w:rsidP="00AC063D">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17</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rsidR="00AC063D" w:rsidRPr="00F62144" w14:paraId="113C0F0D" w14:textId="77777777" w:rsidTr="00AC063D">
        <w:trPr>
          <w:cantSplit/>
          <w:trHeight w:val="242"/>
          <w:jc w:val="center"/>
        </w:trPr>
        <w:tc>
          <w:tcPr>
            <w:tcW w:w="6186" w:type="dxa"/>
            <w:gridSpan w:val="2"/>
            <w:tcBorders>
              <w:left w:val="single" w:sz="4" w:space="0" w:color="auto"/>
            </w:tcBorders>
            <w:shd w:val="clear" w:color="auto" w:fill="auto"/>
            <w:vAlign w:val="center"/>
          </w:tcPr>
          <w:p w14:paraId="542C2408" w14:textId="77777777" w:rsidR="00AC063D" w:rsidRPr="00F62144" w:rsidRDefault="00AC063D" w:rsidP="00AC063D">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bookmarkStart w:id="55" w:name="Check21"/>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5"/>
            <w:r w:rsidRPr="00F62144">
              <w:rPr>
                <w:rFonts w:asciiTheme="minorHAnsi" w:hAnsiTheme="minorHAnsi"/>
                <w:color w:val="000000"/>
                <w:sz w:val="16"/>
                <w:szCs w:val="16"/>
              </w:rPr>
              <w:t xml:space="preserve"> For all participants, both pay and service are frozen </w:t>
            </w:r>
          </w:p>
        </w:tc>
        <w:tc>
          <w:tcPr>
            <w:tcW w:w="4879" w:type="dxa"/>
            <w:gridSpan w:val="3"/>
            <w:tcBorders>
              <w:right w:val="single" w:sz="4" w:space="0" w:color="auto"/>
            </w:tcBorders>
            <w:shd w:val="clear" w:color="auto" w:fill="auto"/>
            <w:vAlign w:val="center"/>
          </w:tcPr>
          <w:p w14:paraId="3C6F3474" w14:textId="77777777" w:rsidR="00AC063D" w:rsidRPr="00F62144" w:rsidRDefault="00AC063D" w:rsidP="00AC063D">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bookmarkStart w:id="56" w:name="Check23"/>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6"/>
            <w:r w:rsidRPr="00F62144">
              <w:rPr>
                <w:rFonts w:asciiTheme="minorHAnsi" w:hAnsiTheme="minorHAnsi"/>
                <w:color w:val="000000"/>
                <w:sz w:val="16"/>
                <w:szCs w:val="16"/>
              </w:rPr>
              <w:t xml:space="preserve"> For all participants, service is frozen, pay is not </w:t>
            </w:r>
          </w:p>
        </w:tc>
      </w:tr>
      <w:tr w:rsidR="00AC063D" w:rsidRPr="00F62144" w14:paraId="5BD825AD" w14:textId="77777777" w:rsidTr="00AC063D">
        <w:trPr>
          <w:cantSplit/>
          <w:trHeight w:val="242"/>
          <w:jc w:val="center"/>
        </w:trPr>
        <w:tc>
          <w:tcPr>
            <w:tcW w:w="6186" w:type="dxa"/>
            <w:gridSpan w:val="2"/>
            <w:tcBorders>
              <w:left w:val="single" w:sz="4" w:space="0" w:color="auto"/>
            </w:tcBorders>
            <w:shd w:val="clear" w:color="auto" w:fill="auto"/>
            <w:vAlign w:val="center"/>
          </w:tcPr>
          <w:p w14:paraId="481A0F15" w14:textId="77777777" w:rsidR="00AC063D" w:rsidRPr="00F62144" w:rsidRDefault="00AC063D" w:rsidP="00AC063D">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bookmarkStart w:id="57" w:name="Check22"/>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7"/>
            <w:r w:rsidRPr="00F62144">
              <w:rPr>
                <w:rFonts w:asciiTheme="minorHAnsi" w:hAnsiTheme="minorHAnsi"/>
                <w:color w:val="000000"/>
                <w:sz w:val="16"/>
                <w:szCs w:val="16"/>
              </w:rPr>
              <w:t xml:space="preserve"> For some participants, both pay and service are frozen</w:t>
            </w:r>
          </w:p>
        </w:tc>
        <w:tc>
          <w:tcPr>
            <w:tcW w:w="4879" w:type="dxa"/>
            <w:gridSpan w:val="3"/>
            <w:tcBorders>
              <w:right w:val="single" w:sz="4" w:space="0" w:color="auto"/>
            </w:tcBorders>
            <w:shd w:val="clear" w:color="auto" w:fill="auto"/>
            <w:vAlign w:val="center"/>
          </w:tcPr>
          <w:p w14:paraId="2AC17CA9" w14:textId="77777777" w:rsidR="00AC063D" w:rsidRPr="00F62144" w:rsidRDefault="00AC063D" w:rsidP="00AC063D">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bookmarkStart w:id="58" w:name="Check24"/>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8"/>
            <w:r w:rsidRPr="00F62144">
              <w:rPr>
                <w:rFonts w:asciiTheme="minorHAnsi" w:hAnsiTheme="minorHAnsi"/>
                <w:color w:val="000000"/>
                <w:sz w:val="16"/>
                <w:szCs w:val="16"/>
              </w:rPr>
              <w:t xml:space="preserve"> For some participants, service is frozen, pay is not</w:t>
            </w:r>
          </w:p>
        </w:tc>
      </w:tr>
      <w:tr w:rsidR="00AC063D" w:rsidRPr="00F62144" w14:paraId="06D4D386" w14:textId="77777777" w:rsidTr="00AC063D">
        <w:trPr>
          <w:cantSplit/>
          <w:trHeight w:val="423"/>
          <w:jc w:val="center"/>
        </w:trPr>
        <w:tc>
          <w:tcPr>
            <w:tcW w:w="11065" w:type="dxa"/>
            <w:gridSpan w:val="5"/>
            <w:tcBorders>
              <w:left w:val="single" w:sz="4" w:space="0" w:color="auto"/>
              <w:bottom w:val="single" w:sz="4" w:space="0" w:color="auto"/>
              <w:right w:val="single" w:sz="4" w:space="0" w:color="auto"/>
            </w:tcBorders>
            <w:shd w:val="clear" w:color="auto" w:fill="auto"/>
            <w:vAlign w:val="center"/>
          </w:tcPr>
          <w:p w14:paraId="0E2A463A" w14:textId="77777777" w:rsidR="00AC063D" w:rsidRPr="00F62144" w:rsidRDefault="00AC063D" w:rsidP="00AC063D">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bookmarkStart w:id="59" w:name="Check25"/>
            <w:r w:rsidRPr="00F62144">
              <w:rPr>
                <w:rFonts w:asciiTheme="minorHAnsi" w:hAnsiTheme="minorHAnsi"/>
                <w:color w:val="000000"/>
                <w:sz w:val="16"/>
                <w:szCs w:val="16"/>
              </w:rPr>
              <w:instrText xml:space="preserve"> FORMCHECKBOX </w:instrText>
            </w:r>
            <w:r w:rsidR="00DD783E">
              <w:rPr>
                <w:rFonts w:asciiTheme="minorHAnsi" w:hAnsiTheme="minorHAnsi"/>
                <w:color w:val="000000"/>
                <w:sz w:val="16"/>
                <w:szCs w:val="16"/>
              </w:rPr>
            </w:r>
            <w:r w:rsidR="00DD783E">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9"/>
            <w:r w:rsidRPr="00F62144">
              <w:rPr>
                <w:rFonts w:asciiTheme="minorHAnsi" w:hAnsiTheme="minorHAnsi"/>
                <w:color w:val="000000"/>
                <w:sz w:val="16"/>
                <w:szCs w:val="16"/>
              </w:rPr>
              <w:t xml:space="preserve"> Other (enter explanation)________________________________________________________________________________</w:t>
            </w:r>
          </w:p>
        </w:tc>
      </w:tr>
    </w:tbl>
    <w:p w14:paraId="2DC374DA" w14:textId="77777777" w:rsidR="0036660E" w:rsidRPr="00F62144" w:rsidRDefault="0036660E">
      <w:r w:rsidRPr="00F62144">
        <w:br w:type="page"/>
      </w:r>
    </w:p>
    <w:tbl>
      <w:tblPr>
        <w:tblW w:w="11065" w:type="dxa"/>
        <w:jc w:val="center"/>
        <w:tblLayout w:type="fixed"/>
        <w:tblLook w:val="01E0" w:firstRow="1" w:lastRow="1" w:firstColumn="1" w:lastColumn="1" w:noHBand="0" w:noVBand="0"/>
      </w:tblPr>
      <w:tblGrid>
        <w:gridCol w:w="5305"/>
        <w:gridCol w:w="5760"/>
      </w:tblGrid>
      <w:tr w:rsidR="00F20EDD" w:rsidRPr="00F62144" w14:paraId="0116CAFA" w14:textId="77777777" w:rsidTr="006D3A2A">
        <w:trPr>
          <w:cantSplit/>
          <w:trHeight w:hRule="exact" w:val="360"/>
          <w:jc w:val="center"/>
        </w:trPr>
        <w:tc>
          <w:tcPr>
            <w:tcW w:w="11065" w:type="dxa"/>
            <w:gridSpan w:val="2"/>
            <w:tcBorders>
              <w:top w:val="single" w:sz="4" w:space="0" w:color="auto"/>
              <w:left w:val="single" w:sz="4" w:space="0" w:color="auto"/>
              <w:right w:val="single" w:sz="4" w:space="0" w:color="auto"/>
            </w:tcBorders>
            <w:shd w:val="clear" w:color="auto" w:fill="auto"/>
            <w:vAlign w:val="center"/>
          </w:tcPr>
          <w:p w14:paraId="3E669960" w14:textId="77777777" w:rsidR="0036660E" w:rsidRPr="00F62144" w:rsidRDefault="0036660E" w:rsidP="0055523A">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18. Risk transfer activity – </w:t>
            </w:r>
            <w:r w:rsidR="0055523A" w:rsidRPr="00F62144">
              <w:rPr>
                <w:rFonts w:asciiTheme="minorHAnsi" w:hAnsiTheme="minorHAnsi"/>
                <w:color w:val="000000" w:themeColor="text1"/>
                <w:sz w:val="16"/>
                <w:szCs w:val="16"/>
              </w:rPr>
              <w:t>Do not complete</w:t>
            </w:r>
            <w:r w:rsidR="008C4DEE" w:rsidRPr="00F62144">
              <w:rPr>
                <w:rFonts w:asciiTheme="minorHAnsi" w:hAnsiTheme="minorHAnsi"/>
                <w:color w:val="000000" w:themeColor="text1"/>
                <w:sz w:val="16"/>
              </w:rPr>
              <w:t xml:space="preserve"> </w:t>
            </w:r>
            <w:r w:rsidRPr="00F62144">
              <w:rPr>
                <w:rFonts w:asciiTheme="minorHAnsi" w:hAnsiTheme="minorHAnsi"/>
                <w:color w:val="000000" w:themeColor="text1"/>
                <w:sz w:val="16"/>
              </w:rPr>
              <w:t>this item if this is the last filing for this plan</w:t>
            </w:r>
          </w:p>
        </w:tc>
      </w:tr>
      <w:tr w:rsidR="00F20EDD" w:rsidRPr="00F62144" w14:paraId="4F5B1666" w14:textId="77777777" w:rsidTr="00306156">
        <w:trPr>
          <w:cantSplit/>
          <w:trHeight w:hRule="exact" w:val="612"/>
          <w:jc w:val="center"/>
        </w:trPr>
        <w:tc>
          <w:tcPr>
            <w:tcW w:w="11065" w:type="dxa"/>
            <w:gridSpan w:val="2"/>
            <w:tcBorders>
              <w:left w:val="single" w:sz="4" w:space="0" w:color="auto"/>
              <w:right w:val="single" w:sz="4" w:space="0" w:color="auto"/>
            </w:tcBorders>
            <w:shd w:val="clear" w:color="auto" w:fill="auto"/>
            <w:vAlign w:val="center"/>
          </w:tcPr>
          <w:p w14:paraId="627576CA" w14:textId="77777777" w:rsidR="0036660E" w:rsidRPr="003B0739" w:rsidRDefault="008C4DEE" w:rsidP="00306156">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000436FE" w:rsidRPr="003B0739">
              <w:rPr>
                <w:rFonts w:ascii="Calibri" w:hAnsi="Calibri"/>
                <w:color w:val="000000" w:themeColor="text1"/>
                <w:sz w:val="16"/>
                <w:szCs w:val="16"/>
              </w:rPr>
              <w:t>Lump Sum Windows:  If the plan provided one or more Lump Sum Windows during the time period described in the instructions, report the number of persons eligible to elect a lump sum under any such window and the number who elected a lump sum:</w:t>
            </w:r>
          </w:p>
        </w:tc>
      </w:tr>
      <w:tr w:rsidR="00306156" w:rsidRPr="00F62144" w14:paraId="17024344" w14:textId="77777777" w:rsidTr="00306156">
        <w:trPr>
          <w:cantSplit/>
          <w:trHeight w:hRule="exact" w:val="270"/>
          <w:jc w:val="center"/>
        </w:trPr>
        <w:tc>
          <w:tcPr>
            <w:tcW w:w="5305" w:type="dxa"/>
            <w:tcBorders>
              <w:left w:val="single" w:sz="4" w:space="0" w:color="auto"/>
            </w:tcBorders>
            <w:shd w:val="clear" w:color="auto" w:fill="auto"/>
          </w:tcPr>
          <w:p w14:paraId="74772563" w14:textId="77777777" w:rsidR="00306156" w:rsidRPr="003B0739" w:rsidRDefault="00306156" w:rsidP="00306156">
            <w:pPr>
              <w:pStyle w:val="ListParagraph"/>
              <w:ind w:left="745" w:right="-108" w:hanging="408"/>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(1) </w:t>
            </w:r>
            <w:r w:rsidRPr="003B0739">
              <w:rPr>
                <w:rFonts w:asciiTheme="minorHAnsi" w:hAnsiTheme="minorHAnsi"/>
                <w:color w:val="000000" w:themeColor="text1"/>
                <w:sz w:val="16"/>
                <w:szCs w:val="16"/>
              </w:rPr>
              <w:t>Persons eligible to elect lump sum _______</w:t>
            </w:r>
          </w:p>
        </w:tc>
        <w:tc>
          <w:tcPr>
            <w:tcW w:w="5760" w:type="dxa"/>
            <w:tcBorders>
              <w:right w:val="single" w:sz="4" w:space="0" w:color="auto"/>
            </w:tcBorders>
            <w:shd w:val="clear" w:color="auto" w:fill="auto"/>
            <w:vAlign w:val="center"/>
          </w:tcPr>
          <w:p w14:paraId="19E23B1B" w14:textId="77777777" w:rsidR="00306156" w:rsidRPr="003B0739" w:rsidRDefault="00306156" w:rsidP="003B0739">
            <w:pPr>
              <w:ind w:left="360" w:right="114" w:hanging="36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Persons who elected lump sum _______</w:t>
            </w:r>
          </w:p>
        </w:tc>
      </w:tr>
      <w:tr w:rsidR="00F20EDD" w:rsidRPr="00F62144" w14:paraId="15319A94" w14:textId="77777777" w:rsidTr="00306156">
        <w:trPr>
          <w:cantSplit/>
          <w:trHeight w:hRule="exact" w:val="450"/>
          <w:jc w:val="center"/>
        </w:trPr>
        <w:tc>
          <w:tcPr>
            <w:tcW w:w="11065" w:type="dxa"/>
            <w:gridSpan w:val="2"/>
            <w:tcBorders>
              <w:left w:val="single" w:sz="4" w:space="0" w:color="auto"/>
              <w:right w:val="single" w:sz="4" w:space="0" w:color="auto"/>
            </w:tcBorders>
            <w:shd w:val="clear" w:color="auto" w:fill="auto"/>
            <w:vAlign w:val="center"/>
          </w:tcPr>
          <w:p w14:paraId="4CDB53FB" w14:textId="77777777" w:rsidR="00CA1DFB" w:rsidRPr="003B0739" w:rsidRDefault="00CA1DFB" w:rsidP="0055523A">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0055523A" w:rsidRPr="003B0739">
              <w:rPr>
                <w:rFonts w:ascii="Calibri" w:hAnsi="Calibri"/>
                <w:color w:val="000000" w:themeColor="text1"/>
                <w:sz w:val="16"/>
                <w:szCs w:val="16"/>
              </w:rPr>
              <w:t>If, during the time period described in the instructions, the plan purchased annuities for a group of people, report the number of persons for whom an annuity was purchased:</w:t>
            </w:r>
          </w:p>
        </w:tc>
      </w:tr>
      <w:tr w:rsidR="00F20EDD" w:rsidRPr="00F62144" w14:paraId="72D59863" w14:textId="77777777" w:rsidTr="00306156">
        <w:trPr>
          <w:cantSplit/>
          <w:trHeight w:hRule="exact" w:val="270"/>
          <w:jc w:val="center"/>
        </w:trPr>
        <w:tc>
          <w:tcPr>
            <w:tcW w:w="5305" w:type="dxa"/>
            <w:tcBorders>
              <w:left w:val="single" w:sz="4" w:space="0" w:color="auto"/>
              <w:bottom w:val="single" w:sz="4" w:space="0" w:color="auto"/>
            </w:tcBorders>
            <w:shd w:val="clear" w:color="auto" w:fill="auto"/>
            <w:vAlign w:val="center"/>
          </w:tcPr>
          <w:p w14:paraId="2B03E3CD" w14:textId="77777777" w:rsidR="0055523A" w:rsidRPr="003B0739" w:rsidRDefault="0055523A" w:rsidP="003B0739">
            <w:pPr>
              <w:ind w:left="540" w:hanging="203"/>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(1) </w:t>
            </w:r>
            <w:r w:rsidRPr="003B0739">
              <w:rPr>
                <w:rFonts w:asciiTheme="minorHAnsi" w:hAnsiTheme="minorHAnsi"/>
                <w:color w:val="000000" w:themeColor="text1"/>
                <w:sz w:val="16"/>
                <w:szCs w:val="16"/>
              </w:rPr>
              <w:t>Persons not in pay status when annuity was purchased:   </w:t>
            </w:r>
            <w:r w:rsidR="00A471BB" w:rsidRPr="003B0739">
              <w:rPr>
                <w:rFonts w:asciiTheme="minorHAnsi" w:hAnsiTheme="minorHAnsi"/>
                <w:color w:val="000000" w:themeColor="text1"/>
                <w:sz w:val="16"/>
                <w:szCs w:val="16"/>
              </w:rPr>
              <w:t>_</w:t>
            </w:r>
            <w:r w:rsidRPr="003B0739">
              <w:rPr>
                <w:rFonts w:asciiTheme="minorHAnsi" w:hAnsiTheme="minorHAnsi"/>
                <w:color w:val="000000" w:themeColor="text1"/>
                <w:sz w:val="16"/>
                <w:szCs w:val="16"/>
              </w:rPr>
              <w:t>______</w:t>
            </w:r>
          </w:p>
        </w:tc>
        <w:tc>
          <w:tcPr>
            <w:tcW w:w="5760" w:type="dxa"/>
            <w:tcBorders>
              <w:bottom w:val="single" w:sz="4" w:space="0" w:color="auto"/>
              <w:right w:val="single" w:sz="4" w:space="0" w:color="auto"/>
            </w:tcBorders>
            <w:shd w:val="clear" w:color="auto" w:fill="auto"/>
            <w:vAlign w:val="center"/>
          </w:tcPr>
          <w:p w14:paraId="4F47069D" w14:textId="77777777" w:rsidR="0055523A" w:rsidRPr="003B0739" w:rsidRDefault="00306156" w:rsidP="00306156">
            <w:pPr>
              <w:ind w:left="540" w:hanging="54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Persons</w:t>
            </w:r>
            <w:r w:rsidR="003B0739">
              <w:rPr>
                <w:rFonts w:asciiTheme="minorHAnsi" w:hAnsiTheme="minorHAnsi"/>
                <w:color w:val="000000" w:themeColor="text1"/>
                <w:sz w:val="16"/>
                <w:szCs w:val="16"/>
              </w:rPr>
              <w:t xml:space="preserve"> in</w:t>
            </w:r>
            <w:r w:rsidRPr="003B0739">
              <w:rPr>
                <w:rFonts w:asciiTheme="minorHAnsi" w:hAnsiTheme="minorHAnsi"/>
                <w:color w:val="000000" w:themeColor="text1"/>
                <w:sz w:val="16"/>
                <w:szCs w:val="16"/>
              </w:rPr>
              <w:t xml:space="preserve"> pay status when annuity was purchased:   _______</w:t>
            </w:r>
          </w:p>
        </w:tc>
      </w:tr>
      <w:tr w:rsidR="0055523A" w:rsidRPr="00F62144" w14:paraId="580BA2F0" w14:textId="77777777" w:rsidTr="006D3A2A">
        <w:trPr>
          <w:cantSplit/>
          <w:trHeight w:hRule="exact" w:val="360"/>
          <w:jc w:val="center"/>
        </w:trPr>
        <w:tc>
          <w:tcPr>
            <w:tcW w:w="11065" w:type="dxa"/>
            <w:gridSpan w:val="2"/>
            <w:tcBorders>
              <w:top w:val="single" w:sz="4" w:space="0" w:color="auto"/>
              <w:left w:val="single" w:sz="4" w:space="0" w:color="auto"/>
              <w:right w:val="single" w:sz="4" w:space="0" w:color="auto"/>
            </w:tcBorders>
            <w:shd w:val="clear" w:color="auto" w:fill="auto"/>
            <w:vAlign w:val="center"/>
          </w:tcPr>
          <w:p w14:paraId="074408A0" w14:textId="7393FD5F" w:rsidR="0055523A" w:rsidRPr="00F62144" w:rsidRDefault="00D31D4E" w:rsidP="00CA1DFB">
            <w:pPr>
              <w:ind w:left="540" w:hanging="540"/>
              <w:rPr>
                <w:rFonts w:asciiTheme="minorHAnsi" w:hAnsiTheme="minorHAnsi"/>
                <w:b/>
                <w:sz w:val="16"/>
                <w:szCs w:val="16"/>
              </w:rPr>
            </w:pPr>
            <w:r>
              <w:rPr>
                <w:rFonts w:asciiTheme="minorHAnsi" w:hAnsiTheme="minorHAnsi"/>
                <w:b/>
                <w:sz w:val="16"/>
                <w:szCs w:val="16"/>
              </w:rPr>
              <w:t>amen</w:t>
            </w:r>
          </w:p>
        </w:tc>
      </w:tr>
      <w:tr w:rsidR="0055523A" w:rsidRPr="00F62144" w14:paraId="6C453BB3" w14:textId="77777777" w:rsidTr="00686F25">
        <w:trPr>
          <w:cantSplit/>
          <w:trHeight w:hRule="exact" w:val="639"/>
          <w:jc w:val="center"/>
        </w:trPr>
        <w:tc>
          <w:tcPr>
            <w:tcW w:w="11065" w:type="dxa"/>
            <w:gridSpan w:val="2"/>
            <w:tcBorders>
              <w:left w:val="single" w:sz="4" w:space="0" w:color="auto"/>
              <w:right w:val="single" w:sz="4" w:space="0" w:color="auto"/>
            </w:tcBorders>
            <w:shd w:val="clear" w:color="auto" w:fill="auto"/>
          </w:tcPr>
          <w:p w14:paraId="5176AF99" w14:textId="77777777" w:rsidR="0055523A" w:rsidRPr="00F62144" w:rsidRDefault="0055523A" w:rsidP="00CA1DFB">
            <w:pPr>
              <w:ind w:left="446" w:hanging="144"/>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14:paraId="513B5553" w14:textId="77777777" w:rsidR="0055523A" w:rsidRPr="00F62144" w:rsidRDefault="0055523A" w:rsidP="00CA1DFB">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rsidR="0055523A" w:rsidRPr="00F62144" w14:paraId="01B91200" w14:textId="77777777" w:rsidTr="00CA1DFB">
        <w:trPr>
          <w:cantSplit/>
          <w:trHeight w:hRule="exact" w:val="558"/>
          <w:jc w:val="center"/>
        </w:trPr>
        <w:tc>
          <w:tcPr>
            <w:tcW w:w="11065" w:type="dxa"/>
            <w:gridSpan w:val="2"/>
            <w:tcBorders>
              <w:left w:val="single" w:sz="4" w:space="0" w:color="auto"/>
              <w:right w:val="single" w:sz="4" w:space="0" w:color="auto"/>
            </w:tcBorders>
            <w:shd w:val="clear" w:color="auto" w:fill="auto"/>
            <w:vAlign w:val="center"/>
          </w:tcPr>
          <w:p w14:paraId="3710271B" w14:textId="77777777" w:rsidR="0055523A" w:rsidRPr="00F62144" w:rsidRDefault="0055523A" w:rsidP="00CA1DFB">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rsidR="0055523A" w:rsidRPr="00F62144" w14:paraId="3C3A9F3F" w14:textId="77777777" w:rsidTr="00A26137">
        <w:trPr>
          <w:cantSplit/>
          <w:trHeight w:hRule="exact" w:val="954"/>
          <w:jc w:val="center"/>
        </w:trPr>
        <w:tc>
          <w:tcPr>
            <w:tcW w:w="11065" w:type="dxa"/>
            <w:gridSpan w:val="2"/>
            <w:tcBorders>
              <w:left w:val="single" w:sz="4" w:space="0" w:color="auto"/>
              <w:bottom w:val="single" w:sz="4" w:space="0" w:color="auto"/>
              <w:right w:val="single" w:sz="4" w:space="0" w:color="auto"/>
            </w:tcBorders>
            <w:shd w:val="clear" w:color="auto" w:fill="auto"/>
          </w:tcPr>
          <w:p w14:paraId="33F43FA6" w14:textId="77777777" w:rsidR="0055523A" w:rsidRPr="00F62144" w:rsidRDefault="0055523A" w:rsidP="0055523A">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Variable-rate Premium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bl>
    <w:p w14:paraId="2FFBF97F" w14:textId="77777777" w:rsidR="001E72E6" w:rsidRPr="00F62144" w:rsidRDefault="001E72E6" w:rsidP="007429C4">
      <w:pPr>
        <w:rPr>
          <w:rFonts w:asciiTheme="minorHAnsi" w:hAnsiTheme="minorHAnsi"/>
          <w:noProof/>
          <w:sz w:val="16"/>
          <w:szCs w:val="16"/>
          <w:lang w:eastAsia="en-US"/>
        </w:rPr>
      </w:pPr>
    </w:p>
    <w:tbl>
      <w:tblPr>
        <w:tblW w:w="11115" w:type="dxa"/>
        <w:jc w:val="center"/>
        <w:tblLayout w:type="fixed"/>
        <w:tblLook w:val="01E0" w:firstRow="1" w:lastRow="1" w:firstColumn="1" w:lastColumn="1" w:noHBand="0" w:noVBand="0"/>
      </w:tblPr>
      <w:tblGrid>
        <w:gridCol w:w="5610"/>
        <w:gridCol w:w="569"/>
        <w:gridCol w:w="4936"/>
      </w:tblGrid>
      <w:tr w:rsidR="00AC063D" w:rsidRPr="00F62144" w14:paraId="2A5FF76F" w14:textId="77777777" w:rsidTr="00AC063D">
        <w:trPr>
          <w:cantSplit/>
          <w:trHeight w:val="272"/>
          <w:jc w:val="center"/>
        </w:trPr>
        <w:tc>
          <w:tcPr>
            <w:tcW w:w="11115" w:type="dxa"/>
            <w:gridSpan w:val="3"/>
            <w:tcBorders>
              <w:top w:val="single" w:sz="4" w:space="0" w:color="auto"/>
              <w:left w:val="single" w:sz="4" w:space="0" w:color="auto"/>
              <w:right w:val="single" w:sz="4" w:space="0" w:color="auto"/>
            </w:tcBorders>
            <w:shd w:val="clear" w:color="auto" w:fill="auto"/>
            <w:vAlign w:val="center"/>
          </w:tcPr>
          <w:p w14:paraId="709F4D28" w14:textId="77777777" w:rsidR="00AC063D" w:rsidRPr="00F62144" w:rsidRDefault="00AC063D" w:rsidP="00CA1DFB">
            <w:pPr>
              <w:jc w:val="center"/>
              <w:rPr>
                <w:rFonts w:asciiTheme="minorHAnsi" w:hAnsiTheme="minorHAnsi"/>
                <w:b/>
                <w:sz w:val="16"/>
                <w:szCs w:val="16"/>
              </w:rPr>
            </w:pPr>
            <w:r w:rsidRPr="00F62144">
              <w:rPr>
                <w:rFonts w:asciiTheme="minorHAnsi" w:hAnsiTheme="minorHAnsi"/>
                <w:b/>
                <w:sz w:val="16"/>
                <w:szCs w:val="16"/>
              </w:rPr>
              <w:t>Part VII – Certifications</w:t>
            </w:r>
          </w:p>
        </w:tc>
      </w:tr>
      <w:tr w:rsidR="00AC063D" w:rsidRPr="00F62144" w14:paraId="3D4113CB" w14:textId="77777777" w:rsidTr="00AC063D">
        <w:trPr>
          <w:cantSplit/>
          <w:trHeight w:val="281"/>
          <w:jc w:val="center"/>
        </w:trPr>
        <w:tc>
          <w:tcPr>
            <w:tcW w:w="11115" w:type="dxa"/>
            <w:gridSpan w:val="3"/>
            <w:tcBorders>
              <w:top w:val="single" w:sz="4" w:space="0" w:color="auto"/>
              <w:left w:val="single" w:sz="4" w:space="0" w:color="auto"/>
              <w:right w:val="single" w:sz="4" w:space="0" w:color="auto"/>
            </w:tcBorders>
            <w:shd w:val="clear" w:color="auto" w:fill="auto"/>
            <w:vAlign w:val="center"/>
          </w:tcPr>
          <w:p w14:paraId="3EA43990" w14:textId="77777777" w:rsidR="00AC063D" w:rsidRPr="00F62144" w:rsidRDefault="006D3A2A" w:rsidP="00CA1DFB">
            <w:pPr>
              <w:rPr>
                <w:rFonts w:asciiTheme="minorHAnsi" w:hAnsiTheme="minorHAnsi" w:cs="Arial"/>
                <w:b/>
                <w:color w:val="000000"/>
                <w:sz w:val="16"/>
                <w:szCs w:val="16"/>
              </w:rPr>
            </w:pPr>
            <w:r w:rsidRPr="00F62144">
              <w:rPr>
                <w:rFonts w:asciiTheme="minorHAnsi" w:hAnsiTheme="minorHAnsi" w:cs="Arial"/>
                <w:b/>
                <w:color w:val="000000"/>
                <w:sz w:val="16"/>
                <w:szCs w:val="16"/>
              </w:rPr>
              <w:t>20</w:t>
            </w:r>
            <w:r w:rsidR="00AC063D" w:rsidRPr="00F62144">
              <w:rPr>
                <w:rFonts w:asciiTheme="minorHAnsi" w:hAnsiTheme="minorHAnsi" w:cs="Arial"/>
                <w:b/>
                <w:color w:val="000000"/>
                <w:sz w:val="16"/>
                <w:szCs w:val="16"/>
              </w:rPr>
              <w:t xml:space="preserve"> </w:t>
            </w:r>
            <w:r w:rsidR="00AC063D" w:rsidRPr="00F62144">
              <w:rPr>
                <w:rFonts w:asciiTheme="minorHAnsi" w:hAnsiTheme="minorHAnsi" w:cs="Arial"/>
                <w:b/>
                <w:bCs/>
                <w:color w:val="000000"/>
                <w:sz w:val="16"/>
                <w:szCs w:val="16"/>
              </w:rPr>
              <w:t xml:space="preserve">Certification of Plan Administrator </w:t>
            </w:r>
            <w:r w:rsidR="00AC063D" w:rsidRPr="00F62144">
              <w:rPr>
                <w:rFonts w:asciiTheme="minorHAnsi" w:hAnsiTheme="minorHAnsi" w:cs="Arial"/>
                <w:bCs/>
                <w:color w:val="000000"/>
                <w:sz w:val="16"/>
                <w:szCs w:val="16"/>
              </w:rPr>
              <w:t>– The p</w:t>
            </w:r>
            <w:r w:rsidR="00AC063D" w:rsidRPr="00F62144">
              <w:rPr>
                <w:rFonts w:asciiTheme="minorHAnsi" w:hAnsiTheme="minorHAnsi" w:cs="Arial"/>
                <w:color w:val="000000"/>
                <w:sz w:val="16"/>
                <w:szCs w:val="16"/>
              </w:rPr>
              <w:t xml:space="preserve">lan administrator must sign and complete this item. </w:t>
            </w:r>
          </w:p>
        </w:tc>
      </w:tr>
      <w:tr w:rsidR="00AC063D" w:rsidRPr="00F62144" w14:paraId="33A325E9" w14:textId="77777777" w:rsidTr="00AC063D">
        <w:trPr>
          <w:cantSplit/>
          <w:trHeight w:val="282"/>
          <w:jc w:val="center"/>
        </w:trPr>
        <w:tc>
          <w:tcPr>
            <w:tcW w:w="11115" w:type="dxa"/>
            <w:gridSpan w:val="3"/>
            <w:tcBorders>
              <w:left w:val="single" w:sz="4" w:space="0" w:color="auto"/>
              <w:right w:val="single" w:sz="4" w:space="0" w:color="auto"/>
            </w:tcBorders>
            <w:shd w:val="clear" w:color="auto" w:fill="auto"/>
            <w:vAlign w:val="center"/>
          </w:tcPr>
          <w:p w14:paraId="04A11B5B" w14:textId="77777777" w:rsidR="00AC063D" w:rsidRPr="00F62144" w:rsidRDefault="00AC063D" w:rsidP="00CA1DFB">
            <w:pPr>
              <w:ind w:left="140"/>
              <w:rPr>
                <w:rFonts w:asciiTheme="minorHAnsi" w:hAnsiTheme="minorHAnsi" w:cs="Arial"/>
                <w:color w:val="000000"/>
                <w:sz w:val="16"/>
                <w:szCs w:val="16"/>
              </w:rPr>
            </w:pPr>
            <w:r w:rsidRPr="00F62144">
              <w:rPr>
                <w:rFonts w:asciiTheme="minorHAnsi" w:hAnsiTheme="minorHAnsi" w:cs="Arial"/>
                <w:color w:val="000000"/>
                <w:sz w:val="16"/>
                <w:szCs w:val="16"/>
              </w:rPr>
              <w:t>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variable-rate premium information certified by an enrolled actuary for this filing, the variable-rate premium information in the filing is the same as the variable-rate premium information certified by the enrolled actuary.</w:t>
            </w:r>
          </w:p>
        </w:tc>
      </w:tr>
      <w:tr w:rsidR="00AC063D" w:rsidRPr="00F62144" w14:paraId="293A3BE5" w14:textId="77777777" w:rsidTr="00AC063D">
        <w:trPr>
          <w:cantSplit/>
          <w:trHeight w:val="528"/>
          <w:jc w:val="center"/>
        </w:trPr>
        <w:tc>
          <w:tcPr>
            <w:tcW w:w="11115" w:type="dxa"/>
            <w:gridSpan w:val="3"/>
            <w:tcBorders>
              <w:left w:val="single" w:sz="4" w:space="0" w:color="auto"/>
              <w:right w:val="single" w:sz="4" w:space="0" w:color="auto"/>
            </w:tcBorders>
            <w:shd w:val="clear" w:color="auto" w:fill="auto"/>
            <w:vAlign w:val="center"/>
          </w:tcPr>
          <w:p w14:paraId="14F229CC" w14:textId="77777777" w:rsidR="00AC063D" w:rsidRPr="00F62144" w:rsidRDefault="00AC063D" w:rsidP="00CA1DFB">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rsidR="00AC063D" w:rsidRPr="00F62144" w14:paraId="58D5C365" w14:textId="77777777" w:rsidTr="00AC063D">
        <w:trPr>
          <w:cantSplit/>
          <w:trHeight w:val="373"/>
          <w:jc w:val="center"/>
        </w:trPr>
        <w:tc>
          <w:tcPr>
            <w:tcW w:w="5610" w:type="dxa"/>
            <w:tcBorders>
              <w:left w:val="single" w:sz="4" w:space="0" w:color="auto"/>
            </w:tcBorders>
            <w:shd w:val="clear" w:color="auto" w:fill="auto"/>
            <w:vAlign w:val="bottom"/>
          </w:tcPr>
          <w:p w14:paraId="3A18904A"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14:paraId="5B644764"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31139F5F"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rsidR="00AC063D" w:rsidRPr="00F62144" w14:paraId="6387780F" w14:textId="77777777" w:rsidTr="00AC063D">
        <w:trPr>
          <w:cantSplit/>
          <w:trHeight w:val="182"/>
          <w:jc w:val="center"/>
        </w:trPr>
        <w:tc>
          <w:tcPr>
            <w:tcW w:w="5610" w:type="dxa"/>
            <w:tcBorders>
              <w:left w:val="single" w:sz="4" w:space="0" w:color="auto"/>
            </w:tcBorders>
            <w:shd w:val="clear" w:color="auto" w:fill="auto"/>
          </w:tcPr>
          <w:p w14:paraId="1BB5E943"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shd w:val="clear" w:color="auto" w:fill="auto"/>
          </w:tcPr>
          <w:p w14:paraId="2CC27493"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3AFEFEF3"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rsidR="00AC063D" w:rsidRPr="00F62144" w14:paraId="4FE36343" w14:textId="77777777" w:rsidTr="00AC063D">
        <w:trPr>
          <w:cantSplit/>
          <w:trHeight w:val="363"/>
          <w:jc w:val="center"/>
        </w:trPr>
        <w:tc>
          <w:tcPr>
            <w:tcW w:w="5610" w:type="dxa"/>
            <w:tcBorders>
              <w:left w:val="single" w:sz="4" w:space="0" w:color="auto"/>
            </w:tcBorders>
            <w:shd w:val="clear" w:color="auto" w:fill="auto"/>
            <w:vAlign w:val="bottom"/>
          </w:tcPr>
          <w:p w14:paraId="5F15B1BC"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shd w:val="clear" w:color="auto" w:fill="auto"/>
            <w:vAlign w:val="bottom"/>
          </w:tcPr>
          <w:p w14:paraId="5E5074C7"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4F9CDD52" w14:textId="77777777" w:rsidR="00AC063D" w:rsidRPr="00F62144" w:rsidRDefault="00AC063D" w:rsidP="00CA1DFB">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00AC063D" w:rsidRPr="00F62144" w14:paraId="19CB9C04" w14:textId="77777777" w:rsidTr="006D3A2A">
        <w:trPr>
          <w:cantSplit/>
          <w:trHeight w:val="432"/>
          <w:jc w:val="center"/>
        </w:trPr>
        <w:tc>
          <w:tcPr>
            <w:tcW w:w="5610" w:type="dxa"/>
            <w:tcBorders>
              <w:left w:val="single" w:sz="4" w:space="0" w:color="auto"/>
            </w:tcBorders>
            <w:shd w:val="clear" w:color="auto" w:fill="auto"/>
          </w:tcPr>
          <w:p w14:paraId="6163DE53"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shd w:val="clear" w:color="auto" w:fill="auto"/>
          </w:tcPr>
          <w:p w14:paraId="4F54FFF3"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0AEBF967" w14:textId="77777777" w:rsidR="00AC063D" w:rsidRPr="00F62144" w:rsidRDefault="00AC063D" w:rsidP="00CA1DFB">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rsidR="00AC063D" w:rsidRPr="00F62144" w14:paraId="63CEA0A9" w14:textId="77777777" w:rsidTr="00AC063D">
        <w:trPr>
          <w:cantSplit/>
          <w:trHeight w:val="281"/>
          <w:jc w:val="center"/>
        </w:trPr>
        <w:tc>
          <w:tcPr>
            <w:tcW w:w="11115" w:type="dxa"/>
            <w:gridSpan w:val="3"/>
            <w:tcBorders>
              <w:top w:val="single" w:sz="4" w:space="0" w:color="auto"/>
              <w:left w:val="single" w:sz="4" w:space="0" w:color="auto"/>
              <w:right w:val="single" w:sz="4" w:space="0" w:color="auto"/>
            </w:tcBorders>
            <w:shd w:val="clear" w:color="auto" w:fill="auto"/>
            <w:vAlign w:val="center"/>
          </w:tcPr>
          <w:p w14:paraId="332D16C0" w14:textId="77777777" w:rsidR="00AC063D" w:rsidRPr="00F62144" w:rsidRDefault="00AC063D" w:rsidP="00CA1DFB">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sidR="006D3A2A" w:rsidRPr="00F62144">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An enrolled actuary must sign and complete this item unless the plan is (1) a multiemployer plan, (2) exempt from the variable-rate premium, or (3) eligible for the small</w:t>
            </w:r>
            <w:r w:rsidR="00445A2E" w:rsidRPr="00F62144">
              <w:rPr>
                <w:rFonts w:asciiTheme="minorHAnsi" w:hAnsiTheme="minorHAnsi" w:cs="Arial"/>
                <w:color w:val="000000" w:themeColor="text1"/>
                <w:sz w:val="16"/>
                <w:szCs w:val="16"/>
              </w:rPr>
              <w:t xml:space="preserve"> </w:t>
            </w:r>
            <w:r w:rsidRPr="00F62144">
              <w:rPr>
                <w:rFonts w:asciiTheme="minorHAnsi" w:hAnsiTheme="minorHAnsi" w:cs="Arial"/>
                <w:color w:val="000000" w:themeColor="text1"/>
                <w:sz w:val="16"/>
                <w:szCs w:val="16"/>
              </w:rPr>
              <w:t xml:space="preserve">employer </w:t>
            </w:r>
            <w:r w:rsidR="00D360EA" w:rsidRPr="00F62144">
              <w:rPr>
                <w:rFonts w:asciiTheme="minorHAnsi" w:hAnsiTheme="minorHAnsi" w:cs="Arial"/>
                <w:color w:val="000000" w:themeColor="text1"/>
                <w:sz w:val="16"/>
                <w:szCs w:val="16"/>
              </w:rPr>
              <w:t>cap,</w:t>
            </w:r>
            <w:r w:rsidRPr="00F62144">
              <w:rPr>
                <w:rFonts w:asciiTheme="minorHAnsi" w:hAnsiTheme="minorHAnsi" w:cs="Arial"/>
                <w:color w:val="000000" w:themeColor="text1"/>
                <w:sz w:val="16"/>
                <w:szCs w:val="16"/>
              </w:rPr>
              <w:t xml:space="preserve"> paying </w:t>
            </w:r>
            <w:r w:rsidRPr="00F62144">
              <w:rPr>
                <w:rFonts w:asciiTheme="minorHAnsi" w:hAnsiTheme="minorHAnsi" w:cs="Arial"/>
                <w:color w:val="000000"/>
                <w:sz w:val="16"/>
                <w:szCs w:val="16"/>
              </w:rPr>
              <w:t xml:space="preserve">the maximum VRP and not reporting the uncapped VRP. </w:t>
            </w:r>
          </w:p>
        </w:tc>
      </w:tr>
      <w:tr w:rsidR="00AC063D" w:rsidRPr="00F62144" w14:paraId="6D56B8F2" w14:textId="77777777" w:rsidTr="00AC063D">
        <w:trPr>
          <w:cantSplit/>
          <w:trHeight w:val="363"/>
          <w:jc w:val="center"/>
        </w:trPr>
        <w:tc>
          <w:tcPr>
            <w:tcW w:w="11115" w:type="dxa"/>
            <w:gridSpan w:val="3"/>
            <w:tcBorders>
              <w:left w:val="single" w:sz="4" w:space="0" w:color="auto"/>
              <w:right w:val="single" w:sz="4" w:space="0" w:color="auto"/>
            </w:tcBorders>
            <w:shd w:val="clear" w:color="auto" w:fill="auto"/>
            <w:vAlign w:val="center"/>
          </w:tcPr>
          <w:p w14:paraId="08F6563B" w14:textId="77777777" w:rsidR="00AC063D" w:rsidRPr="00F62144" w:rsidRDefault="00AC063D" w:rsidP="00CA1DFB">
            <w:pPr>
              <w:ind w:left="230"/>
              <w:rPr>
                <w:rFonts w:asciiTheme="minorHAnsi" w:hAnsiTheme="minorHAnsi"/>
                <w:color w:val="000000"/>
                <w:sz w:val="16"/>
                <w:szCs w:val="16"/>
              </w:rPr>
            </w:pPr>
            <w:r w:rsidRPr="00F62144">
              <w:rPr>
                <w:rFonts w:asciiTheme="minorHAnsi" w:hAnsiTheme="minorHAnsi" w:cs="Arial"/>
                <w:color w:val="000000"/>
                <w:sz w:val="16"/>
                <w:szCs w:val="16"/>
              </w:rPr>
              <w:t>I certify under penalty of perjury, to the best of my knowledge and belief, that the variable-rate premium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rsidR="00AC063D" w:rsidRPr="00F62144" w14:paraId="738D362D" w14:textId="77777777" w:rsidTr="00AC063D">
        <w:trPr>
          <w:cantSplit/>
          <w:trHeight w:val="363"/>
          <w:jc w:val="center"/>
        </w:trPr>
        <w:tc>
          <w:tcPr>
            <w:tcW w:w="11115" w:type="dxa"/>
            <w:gridSpan w:val="3"/>
            <w:tcBorders>
              <w:left w:val="single" w:sz="4" w:space="0" w:color="auto"/>
              <w:right w:val="single" w:sz="4" w:space="0" w:color="auto"/>
            </w:tcBorders>
            <w:shd w:val="clear" w:color="auto" w:fill="auto"/>
            <w:vAlign w:val="center"/>
          </w:tcPr>
          <w:p w14:paraId="33021FDD" w14:textId="77777777" w:rsidR="00AC063D" w:rsidRPr="00F62144" w:rsidRDefault="00AC063D" w:rsidP="00CA1DFB">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rsidR="00AC063D" w:rsidRPr="00F62144" w14:paraId="07F3ED79" w14:textId="77777777" w:rsidTr="00AC063D">
        <w:trPr>
          <w:cantSplit/>
          <w:trHeight w:val="346"/>
          <w:jc w:val="center"/>
        </w:trPr>
        <w:tc>
          <w:tcPr>
            <w:tcW w:w="5610" w:type="dxa"/>
            <w:tcBorders>
              <w:left w:val="single" w:sz="4" w:space="0" w:color="auto"/>
            </w:tcBorders>
            <w:shd w:val="clear" w:color="auto" w:fill="auto"/>
            <w:vAlign w:val="bottom"/>
          </w:tcPr>
          <w:p w14:paraId="0B6454D6" w14:textId="77777777" w:rsidR="00AC063D" w:rsidRPr="00F62144" w:rsidRDefault="00AC063D" w:rsidP="00CA1DFB">
            <w:pPr>
              <w:jc w:val="center"/>
              <w:rPr>
                <w:rFonts w:asciiTheme="minorHAnsi" w:hAnsiTheme="minorHAnsi" w:cs="Arial"/>
                <w:color w:val="000000"/>
                <w:sz w:val="16"/>
                <w:szCs w:val="16"/>
              </w:rPr>
            </w:pPr>
          </w:p>
        </w:tc>
        <w:tc>
          <w:tcPr>
            <w:tcW w:w="569" w:type="dxa"/>
            <w:shd w:val="clear" w:color="auto" w:fill="auto"/>
            <w:vAlign w:val="bottom"/>
          </w:tcPr>
          <w:p w14:paraId="23174C38"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4FD3B5D8" w14:textId="77777777" w:rsidR="00AC063D" w:rsidRPr="00F62144" w:rsidRDefault="00AC063D" w:rsidP="00CA1DFB">
            <w:pPr>
              <w:jc w:val="center"/>
              <w:rPr>
                <w:rFonts w:asciiTheme="minorHAnsi" w:hAnsiTheme="minorHAnsi"/>
                <w:color w:val="000000"/>
                <w:sz w:val="16"/>
                <w:szCs w:val="16"/>
              </w:rPr>
            </w:pPr>
          </w:p>
        </w:tc>
      </w:tr>
      <w:tr w:rsidR="00AC063D" w:rsidRPr="00F62144" w14:paraId="69ECB4E4" w14:textId="77777777" w:rsidTr="00AC063D">
        <w:trPr>
          <w:cantSplit/>
          <w:trHeight w:val="346"/>
          <w:jc w:val="center"/>
        </w:trPr>
        <w:tc>
          <w:tcPr>
            <w:tcW w:w="5610" w:type="dxa"/>
            <w:tcBorders>
              <w:left w:val="single" w:sz="4" w:space="0" w:color="auto"/>
            </w:tcBorders>
            <w:shd w:val="clear" w:color="auto" w:fill="auto"/>
            <w:vAlign w:val="bottom"/>
          </w:tcPr>
          <w:p w14:paraId="33E9F1CE"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14:paraId="30EE442D"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3FBA521B"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rsidR="00AC063D" w:rsidRPr="00F62144" w14:paraId="7CF6630C" w14:textId="77777777" w:rsidTr="00AC063D">
        <w:trPr>
          <w:cantSplit/>
          <w:trHeight w:val="81"/>
          <w:jc w:val="center"/>
        </w:trPr>
        <w:tc>
          <w:tcPr>
            <w:tcW w:w="5610" w:type="dxa"/>
            <w:tcBorders>
              <w:left w:val="single" w:sz="4" w:space="0" w:color="auto"/>
            </w:tcBorders>
            <w:shd w:val="clear" w:color="auto" w:fill="auto"/>
          </w:tcPr>
          <w:p w14:paraId="38E47BED"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shd w:val="clear" w:color="auto" w:fill="auto"/>
          </w:tcPr>
          <w:p w14:paraId="3072F88F"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45B64809"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rsidR="007F25A2" w:rsidRPr="00F62144" w14:paraId="143621AC" w14:textId="77777777" w:rsidTr="00023BA4">
        <w:trPr>
          <w:cantSplit/>
          <w:trHeight w:val="346"/>
          <w:jc w:val="center"/>
        </w:trPr>
        <w:tc>
          <w:tcPr>
            <w:tcW w:w="5610" w:type="dxa"/>
            <w:tcBorders>
              <w:left w:val="single" w:sz="4" w:space="0" w:color="auto"/>
            </w:tcBorders>
            <w:shd w:val="clear" w:color="auto" w:fill="auto"/>
            <w:vAlign w:val="bottom"/>
          </w:tcPr>
          <w:p w14:paraId="1342C523" w14:textId="77777777" w:rsidR="007F25A2" w:rsidRPr="00F62144" w:rsidRDefault="007F25A2"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14:paraId="03919A46" w14:textId="77777777" w:rsidR="007F25A2" w:rsidRPr="00F62144" w:rsidRDefault="007F25A2"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03D818A5" w14:textId="77777777" w:rsidR="007F25A2" w:rsidRPr="00F62144" w:rsidRDefault="007F25A2"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rsidR="007F25A2" w:rsidRPr="00F62144" w14:paraId="090FB77A" w14:textId="77777777" w:rsidTr="00023BA4">
        <w:trPr>
          <w:cantSplit/>
          <w:trHeight w:val="81"/>
          <w:jc w:val="center"/>
        </w:trPr>
        <w:tc>
          <w:tcPr>
            <w:tcW w:w="5610" w:type="dxa"/>
            <w:tcBorders>
              <w:left w:val="single" w:sz="4" w:space="0" w:color="auto"/>
            </w:tcBorders>
            <w:shd w:val="clear" w:color="auto" w:fill="auto"/>
          </w:tcPr>
          <w:p w14:paraId="7BB69202" w14:textId="77777777" w:rsidR="007F25A2" w:rsidRPr="00F62144" w:rsidRDefault="007F25A2"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shd w:val="clear" w:color="auto" w:fill="auto"/>
          </w:tcPr>
          <w:p w14:paraId="260C3E5B" w14:textId="77777777" w:rsidR="007F25A2" w:rsidRPr="00F62144" w:rsidRDefault="007F25A2"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tcPr>
          <w:p w14:paraId="3EC0E4A1" w14:textId="77777777" w:rsidR="007F25A2" w:rsidRPr="00F62144" w:rsidRDefault="007F25A2" w:rsidP="00CA1DFB">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rsidR="00AC063D" w:rsidRPr="00F62144" w14:paraId="511EF5BB" w14:textId="77777777" w:rsidTr="00AC063D">
        <w:trPr>
          <w:cantSplit/>
          <w:trHeight w:val="346"/>
          <w:jc w:val="center"/>
        </w:trPr>
        <w:tc>
          <w:tcPr>
            <w:tcW w:w="5610" w:type="dxa"/>
            <w:tcBorders>
              <w:left w:val="single" w:sz="4" w:space="0" w:color="auto"/>
            </w:tcBorders>
            <w:shd w:val="clear" w:color="auto" w:fill="auto"/>
            <w:vAlign w:val="bottom"/>
          </w:tcPr>
          <w:p w14:paraId="3AFE85A2"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14:paraId="5159682D" w14:textId="77777777" w:rsidR="00AC063D" w:rsidRPr="00F62144" w:rsidRDefault="00AC063D" w:rsidP="00CA1DFB">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14:paraId="6DFE5565" w14:textId="77777777" w:rsidR="00AC063D" w:rsidRPr="00F62144" w:rsidRDefault="00AC063D" w:rsidP="00CA1DFB">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00AC063D" w:rsidRPr="00F62144" w14:paraId="5E313F52" w14:textId="77777777" w:rsidTr="00AC063D">
        <w:trPr>
          <w:cantSplit/>
          <w:trHeight w:val="409"/>
          <w:jc w:val="center"/>
        </w:trPr>
        <w:tc>
          <w:tcPr>
            <w:tcW w:w="5610" w:type="dxa"/>
            <w:tcBorders>
              <w:left w:val="single" w:sz="4" w:space="0" w:color="auto"/>
              <w:bottom w:val="single" w:sz="4" w:space="0" w:color="auto"/>
            </w:tcBorders>
            <w:shd w:val="clear" w:color="auto" w:fill="auto"/>
          </w:tcPr>
          <w:p w14:paraId="2BC5F275" w14:textId="77777777" w:rsidR="00AC063D" w:rsidRPr="00F62144" w:rsidRDefault="00AC063D" w:rsidP="00CA1DFB">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shd w:val="clear" w:color="auto" w:fill="auto"/>
          </w:tcPr>
          <w:p w14:paraId="63F33F14" w14:textId="77777777" w:rsidR="00AC063D" w:rsidRPr="00F62144" w:rsidRDefault="00AC063D" w:rsidP="00CA1DFB">
            <w:pPr>
              <w:jc w:val="center"/>
              <w:rPr>
                <w:rFonts w:asciiTheme="minorHAnsi" w:hAnsiTheme="minorHAnsi"/>
                <w:color w:val="000000"/>
                <w:sz w:val="16"/>
                <w:szCs w:val="16"/>
              </w:rPr>
            </w:pPr>
          </w:p>
        </w:tc>
        <w:tc>
          <w:tcPr>
            <w:tcW w:w="4936" w:type="dxa"/>
            <w:tcBorders>
              <w:bottom w:val="single" w:sz="4" w:space="0" w:color="auto"/>
              <w:right w:val="single" w:sz="4" w:space="0" w:color="auto"/>
            </w:tcBorders>
            <w:shd w:val="clear" w:color="auto" w:fill="auto"/>
          </w:tcPr>
          <w:p w14:paraId="05C7D489" w14:textId="77777777" w:rsidR="00AC063D" w:rsidRPr="00F62144" w:rsidRDefault="00AC063D" w:rsidP="00CA1DFB">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14:paraId="2257056E" w14:textId="77777777" w:rsidR="009440A3" w:rsidRPr="00F62144" w:rsidRDefault="009440A3" w:rsidP="00F12837">
      <w:pPr>
        <w:autoSpaceDE w:val="0"/>
        <w:autoSpaceDN w:val="0"/>
        <w:adjustRightInd w:val="0"/>
        <w:spacing w:before="120"/>
        <w:rPr>
          <w:rFonts w:asciiTheme="minorHAnsi" w:hAnsiTheme="minorHAnsi"/>
          <w:b/>
          <w:bCs/>
          <w:sz w:val="22"/>
          <w:szCs w:val="22"/>
        </w:rPr>
        <w:sectPr w:rsidR="009440A3" w:rsidRPr="00F62144" w:rsidSect="003B0C35">
          <w:headerReference w:type="even" r:id="rId86"/>
          <w:headerReference w:type="default" r:id="rId87"/>
          <w:headerReference w:type="first" r:id="rId88"/>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14:paraId="7F78223A" w14:textId="77777777" w:rsidR="0085454B" w:rsidRPr="00F62144" w:rsidRDefault="0085454B" w:rsidP="0085454B">
      <w:pPr>
        <w:autoSpaceDE w:val="0"/>
        <w:autoSpaceDN w:val="0"/>
        <w:adjustRightInd w:val="0"/>
        <w:spacing w:before="120"/>
        <w:rPr>
          <w:rFonts w:asciiTheme="minorHAnsi" w:hAnsiTheme="minorHAnsi"/>
          <w:b/>
          <w:bCs/>
          <w:sz w:val="22"/>
          <w:szCs w:val="22"/>
        </w:rPr>
      </w:pPr>
      <w:bookmarkStart w:id="60" w:name="b3"/>
      <w:bookmarkStart w:id="61" w:name="toc25"/>
      <w:bookmarkEnd w:id="60"/>
      <w:bookmarkEnd w:id="61"/>
      <w:r w:rsidRPr="00F62144">
        <w:rPr>
          <w:rFonts w:asciiTheme="minorHAnsi" w:hAnsiTheme="minorHAnsi"/>
          <w:b/>
          <w:bCs/>
          <w:sz w:val="22"/>
          <w:szCs w:val="22"/>
        </w:rPr>
        <w:t>Overview</w:t>
      </w:r>
    </w:p>
    <w:p w14:paraId="3EC60009" w14:textId="77777777" w:rsidR="0085454B" w:rsidRPr="00F62144" w:rsidRDefault="0085454B" w:rsidP="0085454B">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hyperlink w:anchor="b2" w:history="1">
        <w:r w:rsidRPr="00F62144">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 Item numbers are presented solely to facilitate understanding. The My PAA screens do not include item numbers. If you are using private</w:t>
      </w:r>
      <w:r w:rsidR="00695322" w:rsidRPr="00F62144">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14:paraId="4CFC2193" w14:textId="77777777" w:rsidR="0085454B" w:rsidRPr="00F62144" w:rsidRDefault="0085454B" w:rsidP="0085454B">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 xml:space="preserve">Note for plans with more than one plan year beginning in </w:t>
      </w:r>
      <w:r w:rsidR="00AE348E">
        <w:rPr>
          <w:rFonts w:asciiTheme="minorHAnsi" w:hAnsiTheme="minorHAnsi"/>
          <w:bCs/>
          <w:i/>
          <w:sz w:val="22"/>
          <w:szCs w:val="22"/>
        </w:rPr>
        <w:t>2017</w:t>
      </w:r>
      <w:r w:rsidR="008E36B9" w:rsidRPr="00F62144">
        <w:rPr>
          <w:rFonts w:asciiTheme="minorHAnsi" w:hAnsiTheme="minorHAnsi"/>
          <w:bCs/>
          <w:i/>
          <w:sz w:val="22"/>
          <w:szCs w:val="22"/>
        </w:rPr>
        <w:t xml:space="preserve"> </w:t>
      </w:r>
      <w:r w:rsidRPr="00F62144">
        <w:rPr>
          <w:rFonts w:asciiTheme="minorHAnsi" w:hAnsiTheme="minorHAnsi"/>
          <w:bCs/>
          <w:i/>
          <w:sz w:val="22"/>
          <w:szCs w:val="22"/>
        </w:rPr>
        <w:t xml:space="preserve">or </w:t>
      </w:r>
      <w:r w:rsidR="00AE348E">
        <w:rPr>
          <w:rFonts w:asciiTheme="minorHAnsi" w:hAnsiTheme="minorHAnsi"/>
          <w:bCs/>
          <w:i/>
          <w:sz w:val="22"/>
          <w:szCs w:val="22"/>
        </w:rPr>
        <w:t>2018</w:t>
      </w:r>
      <w:r w:rsidRPr="00F62144">
        <w:rPr>
          <w:rFonts w:asciiTheme="minorHAnsi" w:hAnsiTheme="minorHAnsi"/>
          <w:bCs/>
          <w:i/>
          <w:sz w:val="22"/>
          <w:szCs w:val="22"/>
        </w:rPr>
        <w:t xml:space="preserve">: </w:t>
      </w:r>
    </w:p>
    <w:p w14:paraId="7FA0E91A" w14:textId="77777777"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References in these instructions to the </w:t>
      </w:r>
      <w:r w:rsidR="00AE348E">
        <w:rPr>
          <w:rFonts w:asciiTheme="minorHAnsi" w:hAnsiTheme="minorHAnsi"/>
          <w:sz w:val="22"/>
          <w:szCs w:val="22"/>
        </w:rPr>
        <w:t>2017</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AE348E">
        <w:rPr>
          <w:rFonts w:asciiTheme="minorHAnsi" w:hAnsiTheme="minorHAnsi"/>
          <w:sz w:val="22"/>
          <w:szCs w:val="22"/>
        </w:rPr>
        <w:t>2017</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your plan’s most recent complete plan year. For example, a plan that changes its plan year could have two plan years beginning in calendar </w:t>
      </w:r>
      <w:r w:rsidR="00AE348E">
        <w:rPr>
          <w:rFonts w:asciiTheme="minorHAnsi" w:hAnsiTheme="minorHAnsi"/>
          <w:sz w:val="22"/>
          <w:szCs w:val="22"/>
        </w:rPr>
        <w:t>2018</w:t>
      </w:r>
      <w:r w:rsidRPr="00F62144">
        <w:rPr>
          <w:rFonts w:asciiTheme="minorHAnsi" w:hAnsiTheme="minorHAnsi"/>
          <w:sz w:val="22"/>
          <w:szCs w:val="22"/>
        </w:rPr>
        <w:t xml:space="preserve">. When such a plan makes its premium filing(s) for its second </w:t>
      </w:r>
      <w:r w:rsidR="00AE348E">
        <w:rPr>
          <w:rFonts w:asciiTheme="minorHAnsi" w:hAnsiTheme="minorHAnsi"/>
          <w:sz w:val="22"/>
          <w:szCs w:val="22"/>
        </w:rPr>
        <w:t>2018</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the references in these instructions to the </w:t>
      </w:r>
      <w:r w:rsidR="00AE348E">
        <w:rPr>
          <w:rFonts w:asciiTheme="minorHAnsi" w:hAnsiTheme="minorHAnsi"/>
          <w:sz w:val="22"/>
          <w:szCs w:val="22"/>
        </w:rPr>
        <w:t>2017</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AE348E">
        <w:rPr>
          <w:rFonts w:asciiTheme="minorHAnsi" w:hAnsiTheme="minorHAnsi"/>
          <w:sz w:val="22"/>
          <w:szCs w:val="22"/>
        </w:rPr>
        <w:t>2016</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first </w:t>
      </w:r>
      <w:r w:rsidR="00AE348E">
        <w:rPr>
          <w:rFonts w:asciiTheme="minorHAnsi" w:hAnsiTheme="minorHAnsi"/>
          <w:sz w:val="22"/>
          <w:szCs w:val="22"/>
        </w:rPr>
        <w:t>2018</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that plan year), because that is the plan’s most recent complete plan year. Similarly, if your plan had two plan years beginning in calendar </w:t>
      </w:r>
      <w:r w:rsidR="00AE348E">
        <w:rPr>
          <w:rFonts w:asciiTheme="minorHAnsi" w:hAnsiTheme="minorHAnsi"/>
          <w:sz w:val="22"/>
          <w:szCs w:val="22"/>
        </w:rPr>
        <w:t>2017</w:t>
      </w:r>
      <w:r w:rsidRPr="00F62144">
        <w:rPr>
          <w:rFonts w:asciiTheme="minorHAnsi" w:hAnsiTheme="minorHAnsi"/>
          <w:sz w:val="22"/>
          <w:szCs w:val="22"/>
        </w:rPr>
        <w:t xml:space="preserve">, the references in these instructions to the </w:t>
      </w:r>
      <w:r w:rsidR="00AE348E">
        <w:rPr>
          <w:rFonts w:asciiTheme="minorHAnsi" w:hAnsiTheme="minorHAnsi"/>
          <w:sz w:val="22"/>
          <w:szCs w:val="22"/>
        </w:rPr>
        <w:t>2017</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AE348E">
        <w:rPr>
          <w:rFonts w:asciiTheme="minorHAnsi" w:hAnsiTheme="minorHAnsi"/>
          <w:sz w:val="22"/>
          <w:szCs w:val="22"/>
        </w:rPr>
        <w:t>2017</w:t>
      </w:r>
      <w:r w:rsidR="002E192A" w:rsidRPr="00F62144">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second </w:t>
      </w:r>
      <w:r w:rsidR="00AE348E">
        <w:rPr>
          <w:rFonts w:asciiTheme="minorHAnsi" w:hAnsiTheme="minorHAnsi"/>
          <w:sz w:val="22"/>
          <w:szCs w:val="22"/>
        </w:rPr>
        <w:t>2017</w:t>
      </w:r>
      <w:r w:rsidR="002E192A" w:rsidRPr="00F62144">
        <w:rPr>
          <w:rFonts w:asciiTheme="minorHAnsi" w:hAnsiTheme="minorHAnsi"/>
          <w:sz w:val="22"/>
          <w:szCs w:val="22"/>
        </w:rPr>
        <w:t xml:space="preserve"> </w:t>
      </w:r>
      <w:r w:rsidRPr="00F62144">
        <w:rPr>
          <w:rFonts w:asciiTheme="minorHAnsi" w:hAnsiTheme="minorHAnsi"/>
          <w:sz w:val="22"/>
          <w:szCs w:val="22"/>
        </w:rPr>
        <w:t>plan year, which is the plan’s most recent complete plan year.</w:t>
      </w:r>
    </w:p>
    <w:p w14:paraId="5B1B8F71" w14:textId="77777777" w:rsidR="0085454B" w:rsidRPr="00F62144" w:rsidRDefault="0085454B" w:rsidP="0085454B">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Note about reporting dollar amounts</w:t>
      </w:r>
    </w:p>
    <w:p w14:paraId="4B5ACBC6" w14:textId="77777777"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With the exception of total premium, premium credits, the amount due PBGC, and the amount of any overpayment, money amounts reported should be in dollars only (no cents). </w:t>
      </w:r>
      <w:r w:rsidR="00876304">
        <w:rPr>
          <w:rFonts w:asciiTheme="minorHAnsi" w:hAnsiTheme="minorHAnsi"/>
          <w:sz w:val="22"/>
          <w:szCs w:val="22"/>
        </w:rPr>
        <w:t>Unfunded vested benefits are rounded up to the next $1</w:t>
      </w:r>
      <w:r w:rsidR="00703524">
        <w:rPr>
          <w:rFonts w:asciiTheme="minorHAnsi" w:hAnsiTheme="minorHAnsi"/>
          <w:sz w:val="22"/>
          <w:szCs w:val="22"/>
        </w:rPr>
        <w:t>,</w:t>
      </w:r>
      <w:r w:rsidR="00876304">
        <w:rPr>
          <w:rFonts w:asciiTheme="minorHAnsi" w:hAnsiTheme="minorHAnsi"/>
          <w:sz w:val="22"/>
          <w:szCs w:val="22"/>
        </w:rPr>
        <w:t>000.</w:t>
      </w:r>
    </w:p>
    <w:p w14:paraId="75485014" w14:textId="77777777" w:rsidR="0085454B" w:rsidRPr="00F62144" w:rsidRDefault="0085454B" w:rsidP="0085454B">
      <w:pPr>
        <w:autoSpaceDE w:val="0"/>
        <w:autoSpaceDN w:val="0"/>
        <w:adjustRightInd w:val="0"/>
        <w:spacing w:before="120"/>
        <w:rPr>
          <w:rFonts w:asciiTheme="minorHAnsi" w:hAnsiTheme="minorHAnsi"/>
          <w:b/>
          <w:bCs/>
          <w:sz w:val="22"/>
          <w:szCs w:val="22"/>
        </w:rPr>
      </w:pPr>
    </w:p>
    <w:p w14:paraId="723517B5" w14:textId="77777777" w:rsidR="0085454B" w:rsidRPr="00F62144" w:rsidRDefault="0085454B" w:rsidP="0085454B">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00BB23D7" w:rsidRPr="00F62144">
        <w:rPr>
          <w:rFonts w:asciiTheme="minorHAnsi" w:hAnsiTheme="minorHAnsi"/>
          <w:b/>
          <w:bCs/>
          <w:sz w:val="22"/>
          <w:szCs w:val="22"/>
        </w:rPr>
        <w:t xml:space="preserve">Filing </w:t>
      </w:r>
    </w:p>
    <w:p w14:paraId="79DB721D" w14:textId="77777777"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AE348E">
        <w:rPr>
          <w:rFonts w:asciiTheme="minorHAnsi" w:hAnsiTheme="minorHAnsi"/>
          <w:sz w:val="22"/>
          <w:szCs w:val="22"/>
        </w:rPr>
        <w:t>2018</w:t>
      </w:r>
      <w:r w:rsidR="008E36B9" w:rsidRPr="00F62144">
        <w:rPr>
          <w:rFonts w:asciiTheme="minorHAnsi" w:hAnsiTheme="minorHAnsi"/>
          <w:sz w:val="22"/>
          <w:szCs w:val="22"/>
        </w:rPr>
        <w:t xml:space="preserve"> </w:t>
      </w:r>
      <w:r w:rsidRPr="00F62144">
        <w:rPr>
          <w:rFonts w:asciiTheme="minorHAnsi" w:hAnsiTheme="minorHAnsi"/>
          <w:sz w:val="22"/>
          <w:szCs w:val="22"/>
        </w:rPr>
        <w:t xml:space="preserve">plan year. </w:t>
      </w:r>
    </w:p>
    <w:p w14:paraId="72B5AA02" w14:textId="77777777"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 S</w:t>
      </w:r>
      <w:r w:rsidRPr="00F62144">
        <w:rPr>
          <w:rFonts w:asciiTheme="minorHAnsi" w:eastAsia="Times New Roman" w:hAnsiTheme="minorHAnsi"/>
          <w:color w:val="000000"/>
          <w:sz w:val="22"/>
          <w:szCs w:val="22"/>
        </w:rPr>
        <w:t>ee the “</w:t>
      </w:r>
      <w:hyperlink w:anchor="b6" w:history="1">
        <w:r w:rsidRPr="00F62144">
          <w:rPr>
            <w:rStyle w:val="Hyperlink"/>
            <w:rFonts w:asciiTheme="minorHAnsi" w:eastAsia="Times New Roman" w:hAnsiTheme="minorHAnsi"/>
            <w:sz w:val="22"/>
            <w:szCs w:val="22"/>
          </w:rPr>
          <w:t xml:space="preserve">Correcting </w:t>
        </w:r>
        <w:r w:rsidR="006546D2">
          <w:rPr>
            <w:rStyle w:val="Hyperlink"/>
            <w:rFonts w:asciiTheme="minorHAnsi" w:eastAsia="Times New Roman" w:hAnsiTheme="minorHAnsi"/>
            <w:sz w:val="22"/>
            <w:szCs w:val="22"/>
          </w:rPr>
          <w:t>Errors</w:t>
        </w:r>
        <w:r w:rsidR="003B79E3" w:rsidRPr="00F62144">
          <w:rPr>
            <w:rStyle w:val="Hyperlink"/>
            <w:rFonts w:asciiTheme="minorHAnsi" w:eastAsia="Times New Roman" w:hAnsiTheme="minorHAnsi"/>
            <w:sz w:val="22"/>
            <w:szCs w:val="22"/>
          </w:rPr>
          <w:t xml:space="preserve">, </w:t>
        </w:r>
        <w:r w:rsidR="00A8171A" w:rsidRPr="00F62144">
          <w:rPr>
            <w:rStyle w:val="Hyperlink"/>
            <w:rFonts w:asciiTheme="minorHAnsi" w:eastAsia="Times New Roman" w:hAnsiTheme="minorHAnsi"/>
            <w:sz w:val="22"/>
            <w:szCs w:val="22"/>
          </w:rPr>
          <w:t xml:space="preserve">Credit Balances and </w:t>
        </w:r>
        <w:r w:rsidRPr="00F62144">
          <w:rPr>
            <w:rStyle w:val="Hyperlink"/>
            <w:rFonts w:asciiTheme="minorHAnsi" w:eastAsia="Times New Roman" w:hAnsiTheme="minorHAnsi"/>
            <w:sz w:val="22"/>
            <w:szCs w:val="22"/>
          </w:rPr>
          <w:t>Reconciling Estimates</w:t>
        </w:r>
      </w:hyperlink>
      <w:r w:rsidRPr="00F62144">
        <w:rPr>
          <w:rFonts w:asciiTheme="minorHAnsi" w:eastAsia="Times New Roman" w:hAnsiTheme="minorHAnsi"/>
          <w:color w:val="000000"/>
          <w:sz w:val="22"/>
          <w:szCs w:val="22"/>
        </w:rPr>
        <w:t>” section for more information.</w:t>
      </w:r>
    </w:p>
    <w:p w14:paraId="3E480916" w14:textId="77777777" w:rsidR="0085454B" w:rsidRPr="00F62144" w:rsidRDefault="0085454B" w:rsidP="008545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w:t>
      </w:r>
      <w:r w:rsidRPr="00F62144">
        <w:rPr>
          <w:rFonts w:asciiTheme="minorHAnsi" w:hAnsiTheme="minorHAnsi"/>
          <w:bCs/>
          <w:sz w:val="22"/>
          <w:szCs w:val="22"/>
        </w:rPr>
        <w:t xml:space="preserve">– </w:t>
      </w:r>
      <w:r w:rsidRPr="00F62144">
        <w:rPr>
          <w:rFonts w:asciiTheme="minorHAnsi" w:hAnsiTheme="minorHAnsi"/>
          <w:sz w:val="22"/>
          <w:szCs w:val="22"/>
        </w:rPr>
        <w:t xml:space="preserve">If you are amending a filing for a plan year that did not begin in </w:t>
      </w:r>
      <w:r w:rsidR="00AE348E">
        <w:rPr>
          <w:rFonts w:asciiTheme="minorHAnsi" w:hAnsiTheme="minorHAnsi"/>
          <w:sz w:val="22"/>
          <w:szCs w:val="22"/>
        </w:rPr>
        <w:t>2018</w:t>
      </w:r>
      <w:r w:rsidRPr="00F62144">
        <w:rPr>
          <w:rFonts w:asciiTheme="minorHAnsi" w:hAnsiTheme="minorHAnsi"/>
          <w:sz w:val="22"/>
          <w:szCs w:val="22"/>
        </w:rPr>
        <w:t>, the rules in this document do not apply.</w:t>
      </w:r>
    </w:p>
    <w:p w14:paraId="6C915C4B" w14:textId="77777777" w:rsidR="008532C8" w:rsidRPr="00F62144" w:rsidRDefault="008532C8" w:rsidP="0085454B">
      <w:pPr>
        <w:autoSpaceDE w:val="0"/>
        <w:autoSpaceDN w:val="0"/>
        <w:adjustRightInd w:val="0"/>
        <w:spacing w:before="120"/>
        <w:rPr>
          <w:rFonts w:asciiTheme="minorHAnsi" w:hAnsiTheme="minorHAnsi"/>
          <w:b/>
          <w:bCs/>
          <w:sz w:val="22"/>
          <w:szCs w:val="22"/>
        </w:rPr>
      </w:pPr>
    </w:p>
    <w:p w14:paraId="1F8E9824" w14:textId="77777777" w:rsidR="0085454B" w:rsidRPr="00F62144" w:rsidRDefault="0085454B" w:rsidP="0085454B">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00BB23D7" w:rsidRPr="00F62144">
        <w:rPr>
          <w:rFonts w:asciiTheme="minorHAnsi" w:hAnsiTheme="minorHAnsi"/>
          <w:b/>
          <w:bCs/>
          <w:sz w:val="22"/>
          <w:szCs w:val="22"/>
        </w:rPr>
        <w:t xml:space="preserve">Relief </w:t>
      </w:r>
    </w:p>
    <w:p w14:paraId="3C6F7053" w14:textId="77777777" w:rsidR="0025621E" w:rsidRDefault="00651784" w:rsidP="00651784">
      <w:pPr>
        <w:autoSpaceDE w:val="0"/>
        <w:autoSpaceDN w:val="0"/>
        <w:adjustRightInd w:val="0"/>
        <w:spacing w:before="120"/>
        <w:rPr>
          <w:rFonts w:asciiTheme="minorHAnsi" w:hAnsiTheme="minorHAnsi"/>
          <w:sz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you must enter a code that relates to the particular disaster that affected your ability to file timely.   Information about these codes are available on </w:t>
      </w:r>
      <w:r w:rsidR="00E76DAD">
        <w:rPr>
          <w:rFonts w:asciiTheme="minorHAnsi" w:hAnsiTheme="minorHAnsi"/>
          <w:sz w:val="22"/>
        </w:rPr>
        <w:t xml:space="preserve">the applicable guidance accessible via </w:t>
      </w:r>
      <w:r w:rsidRPr="008B1903">
        <w:rPr>
          <w:rFonts w:asciiTheme="minorHAnsi" w:hAnsiTheme="minorHAnsi"/>
          <w:sz w:val="22"/>
          <w:szCs w:val="22"/>
        </w:rPr>
        <w:t xml:space="preserve">PBGC’s </w:t>
      </w:r>
      <w:hyperlink r:id="rId89" w:history="1">
        <w:r w:rsidRPr="008B1903">
          <w:rPr>
            <w:rStyle w:val="Hyperlink"/>
            <w:rFonts w:asciiTheme="minorHAnsi" w:hAnsiTheme="minorHAnsi"/>
            <w:sz w:val="22"/>
            <w:szCs w:val="22"/>
          </w:rPr>
          <w:t>Disaster Relief webpage</w:t>
        </w:r>
      </w:hyperlink>
      <w:r w:rsidR="0025621E">
        <w:rPr>
          <w:rStyle w:val="Hyperlink"/>
          <w:rFonts w:asciiTheme="minorHAnsi" w:hAnsiTheme="minorHAnsi"/>
          <w:sz w:val="22"/>
          <w:szCs w:val="22"/>
        </w:rPr>
        <w:t>.</w:t>
      </w:r>
      <w:r w:rsidRPr="008B1903">
        <w:rPr>
          <w:rFonts w:asciiTheme="minorHAnsi" w:hAnsiTheme="minorHAnsi"/>
          <w:sz w:val="22"/>
          <w:szCs w:val="22"/>
        </w:rPr>
        <w:t xml:space="preserve"> </w:t>
      </w:r>
    </w:p>
    <w:p w14:paraId="1A34F26D" w14:textId="77777777" w:rsidR="00C806EE" w:rsidRDefault="00C806EE">
      <w:pPr>
        <w:rPr>
          <w:rFonts w:asciiTheme="minorHAnsi" w:hAnsiTheme="minorHAnsi"/>
          <w:sz w:val="22"/>
          <w:szCs w:val="22"/>
        </w:rPr>
      </w:pPr>
    </w:p>
    <w:p w14:paraId="7C450401" w14:textId="77777777" w:rsidR="00D11F9D" w:rsidRDefault="00D11F9D">
      <w:pPr>
        <w:rPr>
          <w:rFonts w:asciiTheme="minorHAnsi" w:hAnsiTheme="minorHAnsi"/>
          <w:sz w:val="22"/>
          <w:szCs w:val="22"/>
        </w:rPr>
      </w:pPr>
    </w:p>
    <w:p w14:paraId="7EB79458" w14:textId="77777777" w:rsidR="00D11F9D" w:rsidRDefault="00D11F9D">
      <w:pPr>
        <w:rPr>
          <w:rFonts w:asciiTheme="minorHAnsi" w:hAnsiTheme="minorHAnsi"/>
          <w:sz w:val="22"/>
          <w:szCs w:val="22"/>
        </w:rPr>
      </w:pPr>
    </w:p>
    <w:p w14:paraId="63C2E914" w14:textId="77777777" w:rsidR="00D11F9D" w:rsidRDefault="00D11F9D">
      <w:pPr>
        <w:rPr>
          <w:rFonts w:asciiTheme="minorHAnsi" w:hAnsiTheme="minorHAnsi"/>
          <w:sz w:val="22"/>
          <w:szCs w:val="22"/>
        </w:rPr>
      </w:pPr>
    </w:p>
    <w:p w14:paraId="4774A0DF" w14:textId="77777777" w:rsidR="00D11F9D" w:rsidRPr="00F62144" w:rsidRDefault="00D11F9D">
      <w:pPr>
        <w:rPr>
          <w:rFonts w:asciiTheme="minorHAnsi" w:hAnsiTheme="minorHAnsi"/>
          <w:b/>
          <w:bCs/>
          <w:sz w:val="22"/>
          <w:szCs w:val="22"/>
        </w:rPr>
      </w:pPr>
    </w:p>
    <w:p w14:paraId="604C6779"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14:paraId="6E2A6C57" w14:textId="77777777" w:rsidR="00F12837" w:rsidRPr="00F62144" w:rsidRDefault="00F12837" w:rsidP="00F1283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14:paraId="6C8B2835" w14:textId="77777777" w:rsidR="0058431E" w:rsidRPr="00F62144" w:rsidRDefault="00F12837"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14:paraId="31927AF5" w14:textId="3242A5BC" w:rsidR="005E3101" w:rsidRPr="00C13463" w:rsidRDefault="006B6304" w:rsidP="005334BA">
      <w:pPr>
        <w:autoSpaceDE w:val="0"/>
        <w:autoSpaceDN w:val="0"/>
        <w:adjustRightInd w:val="0"/>
        <w:spacing w:before="120"/>
        <w:ind w:left="360" w:hanging="180"/>
        <w:rPr>
          <w:rStyle w:val="Hyperlink"/>
        </w:rPr>
      </w:pPr>
      <w:r w:rsidRPr="00F62144">
        <w:rPr>
          <w:rFonts w:asciiTheme="minorHAnsi" w:hAnsiTheme="minorHAnsi"/>
          <w:b/>
          <w:sz w:val="22"/>
          <w:szCs w:val="22"/>
        </w:rPr>
        <w:t>b</w:t>
      </w:r>
      <w:r w:rsidR="00F12837" w:rsidRPr="00F62144">
        <w:rPr>
          <w:rFonts w:asciiTheme="minorHAnsi" w:hAnsiTheme="minorHAnsi"/>
          <w:b/>
          <w:sz w:val="22"/>
          <w:szCs w:val="22"/>
        </w:rPr>
        <w:tab/>
      </w:r>
      <w:r w:rsidR="00CC3C06" w:rsidRPr="00F62144">
        <w:rPr>
          <w:rFonts w:asciiTheme="minorHAnsi" w:hAnsiTheme="minorHAnsi"/>
          <w:sz w:val="22"/>
          <w:szCs w:val="22"/>
        </w:rPr>
        <w:t xml:space="preserve">Business Code – Report the six-digit code that best describes the nature of the employer’s business.  If more than one employer is involved, report the business code for the predominant business activity of all employers.  A list of business codes can be found in the instructions to Form 5500 and </w:t>
      </w:r>
      <w:r w:rsidR="0010032E" w:rsidRPr="00F62144">
        <w:rPr>
          <w:rFonts w:asciiTheme="minorHAnsi" w:hAnsiTheme="minorHAnsi"/>
          <w:sz w:val="22"/>
          <w:szCs w:val="22"/>
        </w:rPr>
        <w:t>i</w:t>
      </w:r>
      <w:r w:rsidR="00CC3C06" w:rsidRPr="00F62144">
        <w:rPr>
          <w:rFonts w:asciiTheme="minorHAnsi" w:hAnsiTheme="minorHAnsi"/>
          <w:sz w:val="22"/>
          <w:szCs w:val="22"/>
        </w:rPr>
        <w:t xml:space="preserve">n the </w:t>
      </w:r>
      <w:r w:rsidR="0010032E" w:rsidRPr="00F62144">
        <w:rPr>
          <w:rFonts w:asciiTheme="minorHAnsi" w:hAnsiTheme="minorHAnsi"/>
          <w:sz w:val="22"/>
          <w:szCs w:val="22"/>
        </w:rPr>
        <w:t>“</w:t>
      </w:r>
      <w:hyperlink r:id="rId90" w:history="1">
        <w:r w:rsidR="000F4D88" w:rsidRPr="00F62144">
          <w:rPr>
            <w:rStyle w:val="Hyperlink"/>
            <w:rFonts w:asciiTheme="minorHAnsi" w:hAnsiTheme="minorHAnsi"/>
            <w:sz w:val="22"/>
            <w:szCs w:val="22"/>
          </w:rPr>
          <w:t>Premium Filings</w:t>
        </w:r>
      </w:hyperlink>
      <w:r w:rsidR="0010032E" w:rsidRPr="00F62144">
        <w:rPr>
          <w:rFonts w:asciiTheme="minorHAnsi" w:hAnsiTheme="minorHAnsi"/>
          <w:sz w:val="22"/>
          <w:szCs w:val="22"/>
        </w:rPr>
        <w:t xml:space="preserve">” </w:t>
      </w:r>
      <w:r w:rsidR="00CC3C06" w:rsidRPr="00F62144">
        <w:rPr>
          <w:rFonts w:asciiTheme="minorHAnsi" w:hAnsiTheme="minorHAnsi"/>
          <w:sz w:val="22"/>
          <w:szCs w:val="22"/>
        </w:rPr>
        <w:t xml:space="preserve">section of </w:t>
      </w:r>
      <w:r w:rsidR="0010032E" w:rsidRPr="00F62144">
        <w:rPr>
          <w:rFonts w:asciiTheme="minorHAnsi" w:hAnsiTheme="minorHAnsi"/>
          <w:sz w:val="22"/>
          <w:szCs w:val="22"/>
        </w:rPr>
        <w:t xml:space="preserve">the </w:t>
      </w:r>
      <w:r w:rsidR="00793C8B">
        <w:rPr>
          <w:rFonts w:asciiTheme="minorHAnsi" w:hAnsiTheme="minorHAnsi"/>
          <w:sz w:val="22"/>
          <w:szCs w:val="22"/>
        </w:rPr>
        <w:t>Employers and P</w:t>
      </w:r>
      <w:r w:rsidR="0010032E" w:rsidRPr="00F62144">
        <w:rPr>
          <w:rFonts w:asciiTheme="minorHAnsi" w:hAnsiTheme="minorHAnsi"/>
          <w:sz w:val="22"/>
          <w:szCs w:val="22"/>
        </w:rPr>
        <w:t xml:space="preserve">ractitioners Page </w:t>
      </w:r>
      <w:r w:rsidR="00E50FCF">
        <w:rPr>
          <w:rFonts w:asciiTheme="minorHAnsi" w:hAnsiTheme="minorHAnsi"/>
          <w:sz w:val="22"/>
          <w:szCs w:val="22"/>
        </w:rPr>
        <w:t xml:space="preserve">on </w:t>
      </w:r>
      <w:hyperlink r:id="rId91" w:history="1">
        <w:r w:rsidR="00E50FCF" w:rsidRPr="00E50FCF">
          <w:rPr>
            <w:rStyle w:val="Hyperlink"/>
            <w:rFonts w:asciiTheme="minorHAnsi" w:hAnsiTheme="minorHAnsi"/>
            <w:sz w:val="22"/>
            <w:szCs w:val="22"/>
          </w:rPr>
          <w:t>PBGC’s website</w:t>
        </w:r>
      </w:hyperlink>
      <w:hyperlink r:id="rId92" w:history="1"/>
      <w:r w:rsidR="00CC3C06" w:rsidRPr="00F62144">
        <w:rPr>
          <w:rFonts w:asciiTheme="minorHAnsi" w:hAnsiTheme="minorHAnsi"/>
          <w:sz w:val="22"/>
          <w:szCs w:val="22"/>
        </w:rPr>
        <w:t>.   Because codes for the Premium Payment Year may not be available at the time you submit this filing, you may report the relevant code for either the Premium Payment Year or the prior year.</w:t>
      </w:r>
      <w:r w:rsidR="00CC3C06" w:rsidRPr="00F62144">
        <w:t> </w:t>
      </w:r>
      <w:r w:rsidR="005334BA" w:rsidRPr="005334BA">
        <w:rPr>
          <w:rStyle w:val="CommentReference"/>
        </w:rPr>
        <w:t xml:space="preserve"> </w:t>
      </w:r>
      <w:r w:rsidR="00C13463">
        <w:rPr>
          <w:rFonts w:asciiTheme="minorHAnsi" w:hAnsiTheme="minorHAnsi"/>
          <w:sz w:val="22"/>
          <w:szCs w:val="22"/>
        </w:rPr>
        <w:fldChar w:fldCharType="begin"/>
      </w:r>
      <w:r w:rsidR="00C13463">
        <w:rPr>
          <w:rFonts w:asciiTheme="minorHAnsi" w:hAnsiTheme="minorHAnsi"/>
          <w:sz w:val="22"/>
          <w:szCs w:val="22"/>
        </w:rPr>
        <w:instrText xml:space="preserve"> HYPERLINK "https://www.pbgc.gov/sites/default/files/principal-business-activity-codes.pdf" </w:instrText>
      </w:r>
      <w:r w:rsidR="00C13463">
        <w:rPr>
          <w:rFonts w:asciiTheme="minorHAnsi" w:hAnsiTheme="minorHAnsi"/>
          <w:sz w:val="22"/>
          <w:szCs w:val="22"/>
        </w:rPr>
        <w:fldChar w:fldCharType="separate"/>
      </w:r>
      <w:r w:rsidR="005E3101" w:rsidRPr="00C13463">
        <w:rPr>
          <w:rStyle w:val="Hyperlink"/>
          <w:rFonts w:asciiTheme="minorHAnsi" w:hAnsiTheme="minorHAnsi"/>
          <w:sz w:val="22"/>
          <w:szCs w:val="22"/>
        </w:rPr>
        <w:t>http://www.pbgc.gov/documents/Principal-Business-Activity-Codes.pdf</w:t>
      </w:r>
      <w:r w:rsidR="00E76DAD" w:rsidRPr="00C13463">
        <w:rPr>
          <w:rStyle w:val="Hyperlink"/>
          <w:rFonts w:asciiTheme="minorHAnsi" w:hAnsiTheme="minorHAnsi"/>
          <w:sz w:val="22"/>
          <w:szCs w:val="22"/>
        </w:rPr>
        <w:t xml:space="preserve">    </w:t>
      </w:r>
    </w:p>
    <w:p w14:paraId="5B83CCAA" w14:textId="74C6D746" w:rsidR="00F12837" w:rsidRPr="00F62144" w:rsidRDefault="00C13463" w:rsidP="00F12837">
      <w:pPr>
        <w:autoSpaceDE w:val="0"/>
        <w:autoSpaceDN w:val="0"/>
        <w:adjustRightInd w:val="0"/>
        <w:spacing w:before="120"/>
        <w:ind w:left="360" w:hanging="180"/>
        <w:rPr>
          <w:rFonts w:asciiTheme="minorHAnsi" w:hAnsiTheme="minorHAnsi"/>
          <w:sz w:val="22"/>
          <w:szCs w:val="22"/>
        </w:rPr>
      </w:pPr>
      <w:r>
        <w:rPr>
          <w:rFonts w:asciiTheme="minorHAnsi" w:hAnsiTheme="minorHAnsi"/>
          <w:sz w:val="22"/>
          <w:szCs w:val="22"/>
        </w:rPr>
        <w:fldChar w:fldCharType="end"/>
      </w:r>
      <w:r w:rsidR="006B6304" w:rsidRPr="00F62144">
        <w:rPr>
          <w:rFonts w:asciiTheme="minorHAnsi" w:hAnsiTheme="minorHAnsi"/>
          <w:b/>
          <w:sz w:val="22"/>
          <w:szCs w:val="22"/>
        </w:rPr>
        <w:t>c</w:t>
      </w:r>
      <w:r w:rsidR="00F12837"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14:paraId="6A4F706B"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14:paraId="0498B0D6" w14:textId="77777777" w:rsidR="0036660E" w:rsidRPr="00F62144" w:rsidRDefault="0036660E" w:rsidP="0036660E">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14:paraId="70C4ADCC" w14:textId="77777777" w:rsidR="0036660E" w:rsidRPr="00F62144" w:rsidRDefault="0036660E" w:rsidP="0036660E">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 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14:paraId="444C63D2" w14:textId="77777777" w:rsidR="0036660E" w:rsidRPr="00F62144" w:rsidRDefault="0036660E" w:rsidP="0036660E">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Report the name, e-mail address, and phone number of the person we should contact if we have any questions concerning this filing. We will send official correspondence to the “attention of” this person at the address reported in (</w:t>
      </w:r>
      <w:r w:rsidR="0016182A" w:rsidRPr="00F62144">
        <w:rPr>
          <w:rFonts w:asciiTheme="minorHAnsi" w:hAnsiTheme="minorHAnsi"/>
          <w:sz w:val="22"/>
          <w:szCs w:val="22"/>
        </w:rPr>
        <w:t>b</w:t>
      </w:r>
      <w:r w:rsidRPr="00F62144">
        <w:rPr>
          <w:rFonts w:asciiTheme="minorHAnsi" w:hAnsiTheme="minorHAnsi"/>
          <w:sz w:val="22"/>
          <w:szCs w:val="22"/>
        </w:rPr>
        <w:t>)-(g).   In addition, unless a</w:t>
      </w:r>
      <w:r w:rsidR="00251DEB" w:rsidRPr="00F62144">
        <w:rPr>
          <w:rFonts w:asciiTheme="minorHAnsi" w:hAnsiTheme="minorHAnsi"/>
          <w:sz w:val="22"/>
          <w:szCs w:val="22"/>
        </w:rPr>
        <w:t xml:space="preserve"> different </w:t>
      </w:r>
      <w:r w:rsidRPr="00F62144">
        <w:rPr>
          <w:rFonts w:asciiTheme="minorHAnsi" w:hAnsiTheme="minorHAnsi"/>
          <w:sz w:val="22"/>
          <w:szCs w:val="22"/>
        </w:rPr>
        <w:t xml:space="preserve">phone number is provided in item 2i, the phone number reported in 2h will be posted on PBGC’s </w:t>
      </w:r>
      <w:hyperlink r:id="rId93" w:history="1">
        <w:r w:rsidRPr="00F62144">
          <w:rPr>
            <w:rStyle w:val="Hyperlink"/>
            <w:rFonts w:asciiTheme="minorHAnsi" w:hAnsiTheme="minorHAnsi"/>
            <w:sz w:val="22"/>
            <w:szCs w:val="22"/>
          </w:rPr>
          <w:t xml:space="preserve">Is </w:t>
        </w:r>
        <w:r w:rsidR="00103330">
          <w:rPr>
            <w:rStyle w:val="Hyperlink"/>
            <w:rFonts w:asciiTheme="minorHAnsi" w:hAnsiTheme="minorHAnsi"/>
            <w:sz w:val="22"/>
            <w:szCs w:val="22"/>
          </w:rPr>
          <w:t>M</w:t>
        </w:r>
        <w:r w:rsidRPr="00F62144">
          <w:rPr>
            <w:rStyle w:val="Hyperlink"/>
            <w:rFonts w:asciiTheme="minorHAnsi" w:hAnsiTheme="minorHAnsi"/>
            <w:sz w:val="22"/>
            <w:szCs w:val="22"/>
          </w:rPr>
          <w:t>y Pension Insured</w:t>
        </w:r>
      </w:hyperlink>
      <w:r w:rsidRPr="00F62144">
        <w:rPr>
          <w:rFonts w:asciiTheme="minorHAnsi" w:hAnsiTheme="minorHAnsi"/>
          <w:sz w:val="22"/>
          <w:szCs w:val="22"/>
        </w:rPr>
        <w:t xml:space="preserve"> list as the number plan participants should call if they have questions about their plan.</w:t>
      </w:r>
    </w:p>
    <w:p w14:paraId="419E3ABE" w14:textId="77777777" w:rsidR="0036660E" w:rsidRPr="00F62144" w:rsidRDefault="0036660E" w:rsidP="0036660E">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plan participants </w:t>
      </w:r>
      <w:r w:rsidR="00251DEB" w:rsidRPr="00F62144">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report the phone number you would like them to use.  If this item is left blank, the </w:t>
      </w:r>
      <w:hyperlink r:id="rId94" w:history="1">
        <w:r w:rsidRPr="00F62144">
          <w:rPr>
            <w:rStyle w:val="Hyperlink"/>
            <w:rFonts w:asciiTheme="minorHAnsi" w:hAnsiTheme="minorHAnsi"/>
            <w:sz w:val="22"/>
            <w:szCs w:val="22"/>
          </w:rPr>
          <w:t>Insured Plans List</w:t>
        </w:r>
      </w:hyperlink>
      <w:r w:rsidRPr="00F62144">
        <w:rPr>
          <w:rFonts w:asciiTheme="minorHAnsi" w:hAnsiTheme="minorHAnsi"/>
          <w:sz w:val="22"/>
          <w:szCs w:val="22"/>
        </w:rPr>
        <w:t xml:space="preserve"> on PBGC’s website will show the phone number reported in item 2h.</w:t>
      </w:r>
    </w:p>
    <w:p w14:paraId="6E40617D" w14:textId="77777777" w:rsidR="0036660E" w:rsidRPr="00F62144" w:rsidRDefault="0036660E" w:rsidP="00997D64">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b21"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14:paraId="36E8E9C7" w14:textId="77777777" w:rsidR="0036660E" w:rsidRPr="00F62144" w:rsidRDefault="0036660E" w:rsidP="0036660E">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14:paraId="205D4A64" w14:textId="77777777" w:rsidR="0036660E" w:rsidRPr="00F62144" w:rsidRDefault="0036660E" w:rsidP="0036660E">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Although official correspondence related to premium filings is directed to the Plan Administrator (see item 2), some plans choose to provide contact information for another individual as well.  In general, the contact person identified in this section will be used for questions that </w:t>
      </w:r>
      <w:r w:rsidR="00251DEB" w:rsidRPr="00F62144">
        <w:rPr>
          <w:rFonts w:asciiTheme="minorHAnsi" w:hAnsiTheme="minorHAnsi"/>
          <w:sz w:val="22"/>
          <w:szCs w:val="22"/>
        </w:rPr>
        <w:t xml:space="preserve">aren’t important enough for </w:t>
      </w:r>
      <w:r w:rsidRPr="00F62144">
        <w:rPr>
          <w:rFonts w:asciiTheme="minorHAnsi" w:hAnsiTheme="minorHAnsi"/>
          <w:sz w:val="22"/>
          <w:szCs w:val="22"/>
        </w:rPr>
        <w:t>official correspondence.  PBGC may also contact this individual if official inquiries to the Plan Administrator go unanswered.</w:t>
      </w:r>
    </w:p>
    <w:p w14:paraId="35FBA2AA" w14:textId="77777777" w:rsidR="00B84116" w:rsidRPr="00F62144" w:rsidRDefault="00B84116">
      <w:pPr>
        <w:rPr>
          <w:rFonts w:asciiTheme="minorHAnsi" w:hAnsiTheme="minorHAnsi"/>
          <w:sz w:val="22"/>
          <w:szCs w:val="22"/>
        </w:rPr>
      </w:pPr>
      <w:r w:rsidRPr="00F62144">
        <w:rPr>
          <w:rFonts w:asciiTheme="minorHAnsi" w:hAnsiTheme="minorHAnsi"/>
          <w:sz w:val="22"/>
          <w:szCs w:val="22"/>
        </w:rPr>
        <w:br w:type="page"/>
      </w:r>
    </w:p>
    <w:p w14:paraId="119C206A" w14:textId="77777777" w:rsidR="00F12837" w:rsidRPr="00F62144" w:rsidRDefault="002B62A5" w:rsidP="00F1283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4</w:t>
      </w:r>
      <w:r w:rsidR="00F12837" w:rsidRPr="00F62144">
        <w:rPr>
          <w:rFonts w:asciiTheme="minorHAnsi" w:hAnsiTheme="minorHAnsi"/>
          <w:b/>
          <w:bCs/>
          <w:sz w:val="22"/>
          <w:szCs w:val="22"/>
        </w:rPr>
        <w:tab/>
        <w:t>Plan information</w:t>
      </w:r>
    </w:p>
    <w:p w14:paraId="2D942F04" w14:textId="77777777" w:rsidR="00F12837" w:rsidRPr="00F62144" w:rsidRDefault="00F12837"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00A549F8" w:rsidRPr="00F62144">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14:paraId="28DC823F" w14:textId="77777777" w:rsidR="00F12837" w:rsidRPr="00F62144" w:rsidRDefault="00F12837"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14:paraId="2E7D83E7" w14:textId="77777777" w:rsidR="00F12837" w:rsidRPr="00F62144" w:rsidRDefault="00F12837" w:rsidP="00F1283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date the Premium Payment Year commences and the date it ends. If you are filing for the first year of a New Plan, the Premium Payment Year commencement date (“PYC”) should be the plan effective date.</w:t>
      </w:r>
    </w:p>
    <w:p w14:paraId="203A06AB" w14:textId="77777777" w:rsidR="00831611" w:rsidRPr="00F62144" w:rsidRDefault="00831611" w:rsidP="00831611">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000A5D3B" w:rsidRPr="00F62144">
        <w:rPr>
          <w:rFonts w:asciiTheme="minorHAnsi" w:hAnsiTheme="minorHAnsi"/>
          <w:sz w:val="22"/>
          <w:szCs w:val="22"/>
        </w:rPr>
        <w:t xml:space="preserve">appropriate box to indicate whether the plan </w:t>
      </w:r>
      <w:r w:rsidR="00547BD6" w:rsidRPr="00F62144">
        <w:rPr>
          <w:rFonts w:asciiTheme="minorHAnsi" w:hAnsiTheme="minorHAnsi"/>
          <w:sz w:val="22"/>
          <w:szCs w:val="22"/>
        </w:rPr>
        <w:t>is a</w:t>
      </w:r>
      <w:r w:rsidR="00776946" w:rsidRPr="00F62144">
        <w:rPr>
          <w:rFonts w:asciiTheme="minorHAnsi" w:hAnsiTheme="minorHAnsi"/>
          <w:sz w:val="22"/>
          <w:szCs w:val="22"/>
        </w:rPr>
        <w:t xml:space="preserve"> </w:t>
      </w:r>
      <w:r w:rsidR="000A5D3B" w:rsidRPr="00F62144">
        <w:rPr>
          <w:rFonts w:asciiTheme="minorHAnsi" w:hAnsiTheme="minorHAnsi"/>
          <w:sz w:val="22"/>
          <w:szCs w:val="22"/>
        </w:rPr>
        <w:t>Small Plan for the Premium Payment Year</w:t>
      </w:r>
      <w:r w:rsidR="00547BD6" w:rsidRPr="00F62144">
        <w:rPr>
          <w:rFonts w:asciiTheme="minorHAnsi" w:hAnsiTheme="minorHAnsi"/>
          <w:sz w:val="22"/>
          <w:szCs w:val="22"/>
        </w:rPr>
        <w:t xml:space="preserve"> (See </w:t>
      </w:r>
      <w:hyperlink w:anchor="b22" w:history="1">
        <w:r w:rsidR="00547BD6" w:rsidRPr="00F62144">
          <w:rPr>
            <w:rStyle w:val="Hyperlink"/>
            <w:rFonts w:asciiTheme="minorHAnsi" w:hAnsiTheme="minorHAnsi"/>
            <w:sz w:val="22"/>
            <w:szCs w:val="22"/>
          </w:rPr>
          <w:t>definition</w:t>
        </w:r>
      </w:hyperlink>
      <w:r w:rsidR="00547BD6" w:rsidRPr="00F62144">
        <w:rPr>
          <w:rFonts w:asciiTheme="minorHAnsi" w:hAnsiTheme="minorHAnsi"/>
          <w:sz w:val="22"/>
          <w:szCs w:val="22"/>
        </w:rPr>
        <w:t xml:space="preserve"> of Small Plan in Appendix 1)</w:t>
      </w:r>
      <w:r w:rsidR="000A5D3B" w:rsidRPr="00F62144">
        <w:rPr>
          <w:rFonts w:asciiTheme="minorHAnsi" w:hAnsiTheme="minorHAnsi"/>
          <w:sz w:val="22"/>
          <w:szCs w:val="22"/>
        </w:rPr>
        <w:t xml:space="preserve">. </w:t>
      </w:r>
      <w:r w:rsidRPr="00F62144">
        <w:rPr>
          <w:rFonts w:asciiTheme="minorHAnsi" w:hAnsiTheme="minorHAnsi"/>
          <w:sz w:val="22"/>
          <w:szCs w:val="22"/>
        </w:rPr>
        <w:t xml:space="preserve"> </w:t>
      </w:r>
    </w:p>
    <w:p w14:paraId="6D1E881D" w14:textId="77777777" w:rsidR="00F12837" w:rsidRPr="00F62144" w:rsidRDefault="00F12837" w:rsidP="00831611">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000A5D3B" w:rsidRPr="00F62144">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14:paraId="4758B101" w14:textId="77777777" w:rsidR="00F12837" w:rsidRPr="00F62144" w:rsidRDefault="00F12837" w:rsidP="00A94C0E">
      <w:pPr>
        <w:autoSpaceDE w:val="0"/>
        <w:autoSpaceDN w:val="0"/>
        <w:adjustRightInd w:val="0"/>
        <w:spacing w:before="120"/>
        <w:ind w:left="691" w:hanging="331"/>
        <w:rPr>
          <w:rFonts w:asciiTheme="minorHAnsi" w:hAnsiTheme="minorHAnsi"/>
          <w:i/>
          <w:sz w:val="22"/>
          <w:szCs w:val="22"/>
        </w:rPr>
      </w:pPr>
      <w:r w:rsidRPr="00F62144">
        <w:rPr>
          <w:rFonts w:asciiTheme="minorHAnsi" w:hAnsiTheme="minorHAnsi"/>
          <w:b/>
          <w:sz w:val="22"/>
          <w:szCs w:val="22"/>
        </w:rPr>
        <w:t>(</w:t>
      </w:r>
      <w:r w:rsidR="000A5D3B" w:rsidRPr="00F62144">
        <w:rPr>
          <w:rFonts w:asciiTheme="minorHAnsi" w:hAnsiTheme="minorHAnsi"/>
          <w:b/>
          <w:sz w:val="22"/>
          <w:szCs w:val="22"/>
        </w:rPr>
        <w:t>4</w:t>
      </w:r>
      <w:r w:rsidRPr="00F62144">
        <w:rPr>
          <w:rFonts w:asciiTheme="minorHAnsi" w:hAnsiTheme="minorHAnsi"/>
          <w:b/>
          <w:sz w:val="22"/>
          <w:szCs w:val="22"/>
        </w:rPr>
        <w:t xml:space="preserve">) </w:t>
      </w:r>
      <w:r w:rsidRPr="00F62144">
        <w:rPr>
          <w:rFonts w:asciiTheme="minorHAnsi" w:hAnsiTheme="minorHAnsi"/>
          <w:sz w:val="22"/>
          <w:szCs w:val="22"/>
        </w:rPr>
        <w:t xml:space="preserve">Check </w:t>
      </w:r>
      <w:r w:rsidR="00BB2013" w:rsidRPr="00F62144">
        <w:rPr>
          <w:rFonts w:asciiTheme="minorHAnsi" w:hAnsiTheme="minorHAnsi"/>
          <w:sz w:val="22"/>
          <w:szCs w:val="22"/>
        </w:rPr>
        <w:t xml:space="preserve">the </w:t>
      </w:r>
      <w:r w:rsidRPr="00F62144">
        <w:rPr>
          <w:rFonts w:asciiTheme="minorHAnsi" w:hAnsiTheme="minorHAnsi"/>
          <w:sz w:val="22"/>
          <w:szCs w:val="22"/>
        </w:rPr>
        <w:t>box if plan qualifies to pay a prorated premium for this Premium Payment Year</w:t>
      </w:r>
      <w:r w:rsidR="00003D27">
        <w:rPr>
          <w:rFonts w:asciiTheme="minorHAnsi" w:hAnsiTheme="minorHAnsi"/>
          <w:sz w:val="22"/>
          <w:szCs w:val="22"/>
        </w:rPr>
        <w:t xml:space="preserve"> (see “Who must File” section for rules related to pro-ration.</w:t>
      </w:r>
      <w:r w:rsidRPr="00F62144">
        <w:rPr>
          <w:rFonts w:asciiTheme="minorHAnsi" w:hAnsiTheme="minorHAnsi"/>
          <w:sz w:val="22"/>
          <w:szCs w:val="22"/>
        </w:rPr>
        <w:t xml:space="preserve"> </w:t>
      </w:r>
    </w:p>
    <w:p w14:paraId="308B3F91" w14:textId="77777777" w:rsidR="00F12837" w:rsidRPr="00F62144" w:rsidRDefault="00F12837"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p>
    <w:p w14:paraId="69126D19"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14:paraId="02F0469B" w14:textId="77777777" w:rsidR="00F12837" w:rsidRPr="00F62144" w:rsidRDefault="00F12837" w:rsidP="00F1283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14:paraId="56D158B6" w14:textId="77777777" w:rsidR="00F12837" w:rsidRPr="00F62144" w:rsidRDefault="00F12837" w:rsidP="00F1283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14:paraId="384524FF" w14:textId="77777777" w:rsidR="00F12837" w:rsidRPr="00F62144" w:rsidRDefault="00F12837" w:rsidP="00023A8E">
      <w:pPr>
        <w:numPr>
          <w:ilvl w:val="0"/>
          <w:numId w:val="11"/>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00487691" w:rsidRPr="00F62144">
        <w:rPr>
          <w:rFonts w:asciiTheme="minorHAnsi" w:hAnsiTheme="minorHAnsi"/>
          <w:sz w:val="22"/>
          <w:szCs w:val="22"/>
        </w:rPr>
        <w:t>4c</w:t>
      </w:r>
      <w:r w:rsidRPr="00F62144">
        <w:rPr>
          <w:rFonts w:asciiTheme="minorHAnsi" w:hAnsiTheme="minorHAnsi"/>
          <w:sz w:val="22"/>
          <w:szCs w:val="22"/>
        </w:rPr>
        <w:t>(2) was reported incorrectly in the original filing</w:t>
      </w:r>
      <w:r w:rsidR="003200D3" w:rsidRPr="00F62144">
        <w:rPr>
          <w:rFonts w:asciiTheme="minorHAnsi" w:hAnsiTheme="minorHAnsi"/>
          <w:sz w:val="22"/>
          <w:szCs w:val="22"/>
        </w:rPr>
        <w:t xml:space="preserve"> (</w:t>
      </w:r>
      <w:r w:rsidR="003200D3" w:rsidRPr="00F62144">
        <w:rPr>
          <w:rFonts w:asciiTheme="minorHAnsi" w:hAnsiTheme="minorHAnsi"/>
          <w:i/>
          <w:sz w:val="22"/>
          <w:szCs w:val="22"/>
        </w:rPr>
        <w:t>i.e.</w:t>
      </w:r>
      <w:r w:rsidR="003200D3" w:rsidRPr="00F62144">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00FA5760" w:rsidRPr="00F62144">
        <w:rPr>
          <w:rFonts w:asciiTheme="minorHAnsi" w:hAnsiTheme="minorHAnsi"/>
          <w:sz w:val="22"/>
          <w:szCs w:val="22"/>
        </w:rPr>
        <w:t xml:space="preserve">correct </w:t>
      </w:r>
      <w:r w:rsidRPr="00F62144">
        <w:rPr>
          <w:rFonts w:asciiTheme="minorHAnsi" w:hAnsiTheme="minorHAnsi"/>
          <w:sz w:val="22"/>
          <w:szCs w:val="22"/>
        </w:rPr>
        <w:t xml:space="preserve">information </w:t>
      </w:r>
      <w:r w:rsidR="00FA5760" w:rsidRPr="00F62144">
        <w:rPr>
          <w:rFonts w:asciiTheme="minorHAnsi" w:hAnsiTheme="minorHAnsi"/>
          <w:sz w:val="22"/>
          <w:szCs w:val="22"/>
        </w:rPr>
        <w:t>i</w:t>
      </w:r>
      <w:r w:rsidRPr="00F62144">
        <w:rPr>
          <w:rFonts w:asciiTheme="minorHAnsi" w:hAnsiTheme="minorHAnsi"/>
          <w:sz w:val="22"/>
          <w:szCs w:val="22"/>
        </w:rPr>
        <w:t xml:space="preserve">n the </w:t>
      </w:r>
      <w:r w:rsidR="00FA5760" w:rsidRPr="00F62144">
        <w:rPr>
          <w:rFonts w:asciiTheme="minorHAnsi" w:hAnsiTheme="minorHAnsi"/>
          <w:sz w:val="22"/>
          <w:szCs w:val="22"/>
        </w:rPr>
        <w:t>amended</w:t>
      </w:r>
      <w:r w:rsidRPr="00F62144">
        <w:rPr>
          <w:rFonts w:asciiTheme="minorHAnsi" w:hAnsiTheme="minorHAnsi"/>
          <w:sz w:val="22"/>
          <w:szCs w:val="22"/>
        </w:rPr>
        <w:t xml:space="preserve"> filing</w:t>
      </w:r>
      <w:r w:rsidR="00760B7F" w:rsidRPr="00F62144">
        <w:rPr>
          <w:rFonts w:asciiTheme="minorHAnsi" w:hAnsiTheme="minorHAnsi"/>
          <w:sz w:val="22"/>
          <w:szCs w:val="22"/>
        </w:rPr>
        <w:t>.</w:t>
      </w:r>
      <w:r w:rsidRPr="00F62144">
        <w:rPr>
          <w:rFonts w:asciiTheme="minorHAnsi" w:hAnsiTheme="minorHAnsi"/>
          <w:sz w:val="22"/>
          <w:szCs w:val="22"/>
        </w:rPr>
        <w:t xml:space="preserve"> </w:t>
      </w:r>
    </w:p>
    <w:p w14:paraId="4FA9242D" w14:textId="77777777" w:rsidR="00F12837" w:rsidRPr="00F62144" w:rsidRDefault="00F12837" w:rsidP="00023A8E">
      <w:pPr>
        <w:numPr>
          <w:ilvl w:val="0"/>
          <w:numId w:val="11"/>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00487691" w:rsidRPr="00F62144">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00FA5760" w:rsidRPr="00F62144">
        <w:rPr>
          <w:rFonts w:asciiTheme="minorHAnsi" w:hAnsiTheme="minorHAnsi"/>
          <w:sz w:val="22"/>
          <w:szCs w:val="22"/>
        </w:rPr>
        <w:t>in the amended filing</w:t>
      </w:r>
      <w:r w:rsidRPr="00F62144">
        <w:rPr>
          <w:rFonts w:asciiTheme="minorHAnsi" w:hAnsiTheme="minorHAnsi"/>
          <w:sz w:val="22"/>
          <w:szCs w:val="22"/>
        </w:rPr>
        <w:t>.</w:t>
      </w:r>
    </w:p>
    <w:p w14:paraId="26DDAE83" w14:textId="77777777" w:rsidR="00F12837" w:rsidRPr="00F62144" w:rsidRDefault="00F12837" w:rsidP="00F12837">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AE348E">
        <w:rPr>
          <w:rFonts w:asciiTheme="minorHAnsi" w:hAnsiTheme="minorHAnsi"/>
          <w:sz w:val="22"/>
          <w:szCs w:val="22"/>
        </w:rPr>
        <w:t>2017</w:t>
      </w:r>
      <w:r w:rsidR="005A0E93" w:rsidRPr="00F62144">
        <w:rPr>
          <w:rFonts w:asciiTheme="minorHAnsi" w:hAnsiTheme="minorHAnsi"/>
          <w:sz w:val="22"/>
          <w:szCs w:val="22"/>
        </w:rPr>
        <w:t xml:space="preserve"> </w:t>
      </w:r>
      <w:r w:rsidRPr="00F62144">
        <w:rPr>
          <w:rFonts w:asciiTheme="minorHAnsi" w:hAnsiTheme="minorHAnsi"/>
          <w:sz w:val="22"/>
          <w:szCs w:val="22"/>
        </w:rPr>
        <w:t>Form 5500,</w:t>
      </w:r>
      <w:r w:rsidR="006D5C26" w:rsidRPr="00F62144">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AE348E">
        <w:rPr>
          <w:rFonts w:asciiTheme="minorHAnsi" w:hAnsiTheme="minorHAnsi"/>
          <w:sz w:val="22"/>
          <w:szCs w:val="22"/>
        </w:rPr>
        <w:t>2017</w:t>
      </w:r>
      <w:r w:rsidR="005A0E93" w:rsidRPr="00F62144">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AE348E">
        <w:rPr>
          <w:rFonts w:asciiTheme="minorHAnsi" w:hAnsiTheme="minorHAnsi"/>
          <w:sz w:val="22"/>
          <w:szCs w:val="22"/>
        </w:rPr>
        <w:t>2017</w:t>
      </w:r>
      <w:r w:rsidR="005A0E93" w:rsidRPr="00F62144">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14:paraId="217C9B1A" w14:textId="77777777" w:rsidR="00D441D7" w:rsidRPr="00F62144" w:rsidRDefault="000A5D3B" w:rsidP="000A5D3B">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00664F65" w:rsidRPr="00F62144">
        <w:rPr>
          <w:rFonts w:asciiTheme="minorHAnsi" w:hAnsiTheme="minorHAnsi"/>
          <w:sz w:val="22"/>
          <w:szCs w:val="22"/>
        </w:rPr>
        <w:t>Report the date the plan became effective</w:t>
      </w:r>
      <w:r w:rsidR="008F47FF" w:rsidRPr="00F62144">
        <w:rPr>
          <w:rFonts w:asciiTheme="minorHAnsi" w:hAnsiTheme="minorHAnsi"/>
          <w:sz w:val="22"/>
          <w:szCs w:val="22"/>
        </w:rPr>
        <w:t>.</w:t>
      </w:r>
      <w:r w:rsidR="00664F65" w:rsidRPr="00F62144">
        <w:rPr>
          <w:rFonts w:asciiTheme="minorHAnsi" w:hAnsiTheme="minorHAnsi"/>
          <w:b/>
          <w:sz w:val="22"/>
          <w:szCs w:val="22"/>
        </w:rPr>
        <w:t xml:space="preserve"> </w:t>
      </w:r>
    </w:p>
    <w:p w14:paraId="4457012C" w14:textId="77777777" w:rsidR="00F12837" w:rsidRPr="00F62144" w:rsidRDefault="000A5D3B" w:rsidP="00F1283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00F12837" w:rsidRPr="00F62144">
        <w:rPr>
          <w:rFonts w:asciiTheme="minorHAnsi" w:hAnsiTheme="minorHAnsi"/>
          <w:b/>
          <w:sz w:val="22"/>
          <w:szCs w:val="22"/>
        </w:rPr>
        <w:tab/>
      </w:r>
      <w:r w:rsidR="00F12837" w:rsidRPr="00F62144">
        <w:rPr>
          <w:rFonts w:asciiTheme="minorHAnsi" w:hAnsiTheme="minorHAnsi"/>
          <w:sz w:val="22"/>
          <w:szCs w:val="22"/>
        </w:rPr>
        <w:t>Plan type – Indicate whether the plan is a Multiemployer Plan or a Single-employer Plan.</w:t>
      </w:r>
    </w:p>
    <w:p w14:paraId="58D4CED2" w14:textId="77777777" w:rsidR="000A5D3B" w:rsidRPr="00F62144" w:rsidRDefault="00D441D7" w:rsidP="00D441D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00F12837" w:rsidRPr="00F62144">
        <w:rPr>
          <w:rFonts w:asciiTheme="minorHAnsi" w:hAnsiTheme="minorHAnsi"/>
          <w:sz w:val="22"/>
          <w:szCs w:val="22"/>
        </w:rPr>
        <w:tab/>
      </w:r>
      <w:r w:rsidRPr="00F62144">
        <w:rPr>
          <w:rFonts w:asciiTheme="minorHAnsi" w:hAnsiTheme="minorHAnsi"/>
          <w:sz w:val="22"/>
          <w:szCs w:val="22"/>
        </w:rPr>
        <w:t>Information for New or Newly Cover</w:t>
      </w:r>
      <w:r w:rsidR="006D5C26" w:rsidRPr="00F62144">
        <w:rPr>
          <w:rFonts w:asciiTheme="minorHAnsi" w:hAnsiTheme="minorHAnsi"/>
          <w:sz w:val="22"/>
          <w:szCs w:val="22"/>
        </w:rPr>
        <w:t>ed</w:t>
      </w:r>
      <w:r w:rsidRPr="00F62144">
        <w:rPr>
          <w:rFonts w:asciiTheme="minorHAnsi" w:hAnsiTheme="minorHAnsi"/>
          <w:sz w:val="22"/>
          <w:szCs w:val="22"/>
        </w:rPr>
        <w:t xml:space="preserve"> Plans</w:t>
      </w:r>
      <w:r w:rsidR="00F12837" w:rsidRPr="00F62144">
        <w:rPr>
          <w:rFonts w:asciiTheme="minorHAnsi" w:hAnsiTheme="minorHAnsi"/>
          <w:sz w:val="22"/>
          <w:szCs w:val="22"/>
        </w:rPr>
        <w:t xml:space="preserve"> –</w:t>
      </w:r>
      <w:r w:rsidRPr="00F62144">
        <w:rPr>
          <w:rFonts w:asciiTheme="minorHAnsi" w:hAnsiTheme="minorHAnsi"/>
          <w:sz w:val="22"/>
          <w:szCs w:val="22"/>
        </w:rPr>
        <w:t xml:space="preserve"> </w:t>
      </w:r>
      <w:r w:rsidR="00F12837" w:rsidRPr="00F62144">
        <w:rPr>
          <w:rFonts w:asciiTheme="minorHAnsi" w:hAnsiTheme="minorHAnsi"/>
          <w:sz w:val="22"/>
          <w:szCs w:val="22"/>
        </w:rPr>
        <w:t xml:space="preserve">If this is a </w:t>
      </w:r>
      <w:r w:rsidR="00FD315D" w:rsidRPr="00F62144">
        <w:rPr>
          <w:rFonts w:asciiTheme="minorHAnsi" w:hAnsiTheme="minorHAnsi"/>
          <w:sz w:val="22"/>
          <w:szCs w:val="22"/>
        </w:rPr>
        <w:t>New or Newly</w:t>
      </w:r>
      <w:r w:rsidR="0085638D" w:rsidRPr="00F62144">
        <w:rPr>
          <w:rFonts w:asciiTheme="minorHAnsi" w:hAnsiTheme="minorHAnsi"/>
          <w:sz w:val="22"/>
          <w:szCs w:val="22"/>
        </w:rPr>
        <w:t xml:space="preserve"> Covered</w:t>
      </w:r>
      <w:r w:rsidR="00FD315D" w:rsidRPr="00F62144">
        <w:rPr>
          <w:rFonts w:asciiTheme="minorHAnsi" w:hAnsiTheme="minorHAnsi"/>
          <w:sz w:val="22"/>
          <w:szCs w:val="22"/>
        </w:rPr>
        <w:t xml:space="preserve"> Plan, </w:t>
      </w:r>
      <w:r w:rsidR="00F12837" w:rsidRPr="00F62144">
        <w:rPr>
          <w:rFonts w:asciiTheme="minorHAnsi" w:hAnsiTheme="minorHAnsi"/>
          <w:sz w:val="22"/>
          <w:szCs w:val="22"/>
        </w:rPr>
        <w:t>ch</w:t>
      </w:r>
      <w:r w:rsidR="00FD315D" w:rsidRPr="00F62144">
        <w:rPr>
          <w:rFonts w:asciiTheme="minorHAnsi" w:hAnsiTheme="minorHAnsi"/>
          <w:sz w:val="22"/>
          <w:szCs w:val="22"/>
        </w:rPr>
        <w:t xml:space="preserve">eck the box and complete </w:t>
      </w:r>
      <w:r w:rsidRPr="00F62144">
        <w:rPr>
          <w:rFonts w:asciiTheme="minorHAnsi" w:hAnsiTheme="minorHAnsi"/>
          <w:sz w:val="22"/>
          <w:szCs w:val="22"/>
        </w:rPr>
        <w:t>the rest of item 4f</w:t>
      </w:r>
      <w:r w:rsidR="000A5D3B" w:rsidRPr="00F62144">
        <w:rPr>
          <w:rFonts w:asciiTheme="minorHAnsi" w:hAnsiTheme="minorHAnsi"/>
          <w:sz w:val="22"/>
          <w:szCs w:val="22"/>
        </w:rPr>
        <w:t>.</w:t>
      </w:r>
    </w:p>
    <w:p w14:paraId="770F4652" w14:textId="77777777" w:rsidR="00D441D7" w:rsidRPr="00F62144" w:rsidRDefault="00D441D7" w:rsidP="00D441D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00776946" w:rsidRPr="00F62144">
        <w:rPr>
          <w:rFonts w:asciiTheme="minorHAnsi" w:hAnsiTheme="minorHAnsi"/>
          <w:sz w:val="22"/>
          <w:szCs w:val="22"/>
        </w:rPr>
        <w:t>Enter the date the plan was adopted</w:t>
      </w:r>
    </w:p>
    <w:p w14:paraId="2009B78B" w14:textId="77777777" w:rsidR="000A5D3B" w:rsidRPr="00F62144" w:rsidRDefault="00D441D7" w:rsidP="00D441D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Coverage date – </w:t>
      </w:r>
      <w:r w:rsidR="00776946" w:rsidRPr="00F62144">
        <w:rPr>
          <w:rFonts w:asciiTheme="minorHAnsi" w:hAnsiTheme="minorHAnsi"/>
          <w:sz w:val="22"/>
          <w:szCs w:val="22"/>
        </w:rPr>
        <w:t>Enter the date</w:t>
      </w:r>
      <w:r w:rsidR="000A5D3B" w:rsidRPr="00F62144">
        <w:rPr>
          <w:rFonts w:asciiTheme="minorHAnsi" w:hAnsiTheme="minorHAnsi"/>
          <w:sz w:val="22"/>
          <w:szCs w:val="22"/>
        </w:rPr>
        <w:t xml:space="preserve"> the plan became covered under Title IV. If the plan has had one or more periods of coverage, report the earliest date in the Premium Payment Year when the plan was covered under Title IV — not the date when the plan became covered in a prior year. If another plan transferred assets or liabilities to this New or Newly</w:t>
      </w:r>
      <w:r w:rsidR="0085638D" w:rsidRPr="00F62144">
        <w:rPr>
          <w:rFonts w:asciiTheme="minorHAnsi" w:hAnsiTheme="minorHAnsi"/>
          <w:sz w:val="22"/>
          <w:szCs w:val="22"/>
        </w:rPr>
        <w:t xml:space="preserve"> Covered</w:t>
      </w:r>
      <w:r w:rsidR="000A5D3B" w:rsidRPr="00F62144">
        <w:rPr>
          <w:rFonts w:asciiTheme="minorHAnsi" w:hAnsiTheme="minorHAnsi"/>
          <w:sz w:val="22"/>
          <w:szCs w:val="22"/>
        </w:rPr>
        <w:t xml:space="preserve"> Plan, be sure to complete the “Transfers from other plans” item (see </w:t>
      </w:r>
      <w:hyperlink w:anchor="b19" w:history="1">
        <w:r w:rsidR="000A5D3B"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000A5D3B" w:rsidRPr="00F62144">
        <w:rPr>
          <w:rFonts w:asciiTheme="minorHAnsi" w:hAnsiTheme="minorHAnsi"/>
          <w:sz w:val="22"/>
          <w:szCs w:val="22"/>
        </w:rPr>
        <w:t>).</w:t>
      </w:r>
    </w:p>
    <w:p w14:paraId="2FD31DCC" w14:textId="77777777" w:rsidR="00F12837" w:rsidRPr="00F62144" w:rsidRDefault="00D441D7" w:rsidP="00D441D7">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b23"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14:paraId="512AEDD4" w14:textId="77777777" w:rsidR="00D11F9D" w:rsidRPr="00F62144" w:rsidRDefault="008D576E" w:rsidP="00D11F9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14:paraId="76F2CC3B" w14:textId="77777777" w:rsidR="008D576E" w:rsidRPr="00F62144" w:rsidRDefault="008D576E" w:rsidP="008D576E">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14:paraId="5B91FB0D" w14:textId="77777777" w:rsidR="008D576E" w:rsidRPr="00F62144" w:rsidRDefault="008D576E" w:rsidP="008D576E">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anchor="b7"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14:paraId="0A59193D" w14:textId="77777777" w:rsidR="008D576E" w:rsidRPr="00F62144" w:rsidRDefault="008D576E" w:rsidP="008D576E">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14:paraId="1729E1C6" w14:textId="77777777" w:rsidR="008D576E" w:rsidRPr="00F62144" w:rsidRDefault="008D576E" w:rsidP="008D576E">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 xml:space="preserve">(1) </w:t>
      </w:r>
      <w:r w:rsidRPr="00F62144">
        <w:rPr>
          <w:rFonts w:asciiTheme="minorHAnsi" w:hAnsiTheme="minorHAnsi"/>
          <w:sz w:val="22"/>
          <w:szCs w:val="22"/>
        </w:rPr>
        <w:t xml:space="preserve">Applicable rate – Enter the per-participant flat premium rate. For </w:t>
      </w:r>
      <w:r w:rsidR="00AE348E">
        <w:rPr>
          <w:rFonts w:asciiTheme="minorHAnsi" w:hAnsiTheme="minorHAnsi"/>
          <w:sz w:val="22"/>
          <w:szCs w:val="22"/>
        </w:rPr>
        <w:t>2018</w:t>
      </w:r>
      <w:r w:rsidRPr="00F62144">
        <w:rPr>
          <w:rFonts w:asciiTheme="minorHAnsi" w:hAnsiTheme="minorHAnsi"/>
          <w:sz w:val="22"/>
          <w:szCs w:val="22"/>
        </w:rPr>
        <w:t xml:space="preserve">, the rate is </w:t>
      </w:r>
      <w:r w:rsidR="00021748" w:rsidRPr="00F62144">
        <w:rPr>
          <w:rFonts w:asciiTheme="minorHAnsi" w:hAnsiTheme="minorHAnsi"/>
          <w:sz w:val="22"/>
          <w:szCs w:val="22"/>
        </w:rPr>
        <w:t>$</w:t>
      </w:r>
      <w:r w:rsidR="00425B9F">
        <w:rPr>
          <w:rFonts w:asciiTheme="minorHAnsi" w:hAnsiTheme="minorHAnsi"/>
          <w:sz w:val="22"/>
          <w:szCs w:val="22"/>
        </w:rPr>
        <w:t>74</w:t>
      </w:r>
      <w:r w:rsidR="00E85EAD" w:rsidRPr="00F62144">
        <w:rPr>
          <w:rFonts w:asciiTheme="minorHAnsi" w:hAnsiTheme="minorHAnsi"/>
          <w:sz w:val="22"/>
          <w:szCs w:val="22"/>
        </w:rPr>
        <w:t xml:space="preserve"> </w:t>
      </w:r>
      <w:r w:rsidRPr="00F62144">
        <w:rPr>
          <w:rFonts w:asciiTheme="minorHAnsi" w:hAnsiTheme="minorHAnsi"/>
          <w:sz w:val="22"/>
          <w:szCs w:val="22"/>
        </w:rPr>
        <w:t>for Single</w:t>
      </w:r>
      <w:r w:rsidR="003B0739">
        <w:rPr>
          <w:rFonts w:asciiTheme="minorHAnsi" w:hAnsiTheme="minorHAnsi"/>
          <w:sz w:val="22"/>
          <w:szCs w:val="22"/>
        </w:rPr>
        <w:noBreakHyphen/>
      </w:r>
      <w:r w:rsidRPr="00F62144">
        <w:rPr>
          <w:rFonts w:asciiTheme="minorHAnsi" w:hAnsiTheme="minorHAnsi"/>
          <w:sz w:val="22"/>
          <w:szCs w:val="22"/>
        </w:rPr>
        <w:t xml:space="preserve">employer Plans and </w:t>
      </w:r>
      <w:r w:rsidR="00CB4483" w:rsidRPr="00F62144">
        <w:rPr>
          <w:rFonts w:asciiTheme="minorHAnsi" w:hAnsiTheme="minorHAnsi"/>
          <w:sz w:val="22"/>
          <w:szCs w:val="22"/>
        </w:rPr>
        <w:t>$</w:t>
      </w:r>
      <w:r w:rsidR="002D294F">
        <w:rPr>
          <w:rFonts w:asciiTheme="minorHAnsi" w:hAnsiTheme="minorHAnsi"/>
          <w:sz w:val="22"/>
          <w:szCs w:val="22"/>
        </w:rPr>
        <w:t>28</w:t>
      </w:r>
      <w:r w:rsidR="001C0C80" w:rsidRPr="00F62144">
        <w:rPr>
          <w:rFonts w:asciiTheme="minorHAnsi" w:hAnsiTheme="minorHAnsi"/>
          <w:sz w:val="22"/>
        </w:rPr>
        <w:t xml:space="preserve"> </w:t>
      </w:r>
      <w:r w:rsidRPr="00F62144">
        <w:rPr>
          <w:rFonts w:asciiTheme="minorHAnsi" w:hAnsiTheme="minorHAnsi"/>
          <w:sz w:val="22"/>
          <w:szCs w:val="22"/>
        </w:rPr>
        <w:t xml:space="preserve">for Multiemployer Plans. </w:t>
      </w:r>
    </w:p>
    <w:p w14:paraId="3CC72DA4" w14:textId="77777777" w:rsidR="008D576E" w:rsidRPr="00F62144" w:rsidRDefault="008D576E" w:rsidP="001E5512">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 xml:space="preserve"> Participant count – Report the number of participants covered by the plan on the Participant Count Date</w:t>
      </w:r>
      <w:r w:rsidR="001E5512" w:rsidRPr="00F62144">
        <w:rPr>
          <w:rFonts w:asciiTheme="minorHAnsi" w:hAnsiTheme="minorHAnsi"/>
          <w:sz w:val="22"/>
          <w:szCs w:val="22"/>
        </w:rPr>
        <w:t xml:space="preserve"> separately for active participants, terminated vested participants, retirees and beneficiaries receiving payment, and in total. </w:t>
      </w:r>
      <w:r w:rsidRPr="00F62144">
        <w:rPr>
          <w:rFonts w:asciiTheme="minorHAnsi" w:hAnsiTheme="minorHAnsi"/>
          <w:sz w:val="22"/>
          <w:szCs w:val="22"/>
        </w:rPr>
        <w:t xml:space="preserve"> See “</w:t>
      </w:r>
      <w:hyperlink w:anchor="b7"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001E5512" w:rsidRPr="00F62144">
        <w:rPr>
          <w:rFonts w:asciiTheme="minorHAnsi" w:hAnsiTheme="minorHAnsi"/>
          <w:sz w:val="22"/>
          <w:szCs w:val="22"/>
        </w:rPr>
        <w:t xml:space="preserve"> </w:t>
      </w:r>
    </w:p>
    <w:p w14:paraId="402EB5B5" w14:textId="77777777" w:rsidR="008D576E" w:rsidRPr="00F62144" w:rsidRDefault="008D576E" w:rsidP="008D576E">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Flat-rate Premium – Report the product of the Participant Count and the applicable premium rate. If the plan year is a short plan year, the required Flat-rate Premium may be a prorated portion of this amount; however, the amount reported in this item must reflect a full year’s premium.</w:t>
      </w:r>
    </w:p>
    <w:p w14:paraId="5AFDC562" w14:textId="77777777" w:rsidR="008D576E" w:rsidRPr="00F62144" w:rsidRDefault="008D576E" w:rsidP="00997D64">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00886C5E" w:rsidRPr="00F62144">
        <w:rPr>
          <w:rFonts w:asciiTheme="minorHAnsi" w:hAnsiTheme="minorHAnsi"/>
          <w:sz w:val="22"/>
          <w:szCs w:val="22"/>
        </w:rPr>
        <w:t>-</w:t>
      </w:r>
      <w:r w:rsidRPr="00F62144">
        <w:rPr>
          <w:rFonts w:asciiTheme="minorHAnsi" w:hAnsiTheme="minorHAnsi"/>
          <w:sz w:val="22"/>
          <w:szCs w:val="22"/>
        </w:rPr>
        <w:t>rate Premium is $0. This may happen, for example, if your plan is a New Plan that grants no past service credits, so that there are no Benefit Liabilities on the Participant Count Date. A plan with no Benefit Liabilities has no participants for premium purposes.</w:t>
      </w:r>
    </w:p>
    <w:p w14:paraId="548A1844" w14:textId="77777777" w:rsidR="000D2B30" w:rsidRPr="00F62144" w:rsidRDefault="000D2B30">
      <w:pPr>
        <w:rPr>
          <w:rFonts w:asciiTheme="minorHAnsi" w:hAnsiTheme="minorHAnsi"/>
          <w:sz w:val="22"/>
          <w:szCs w:val="22"/>
        </w:rPr>
      </w:pPr>
    </w:p>
    <w:p w14:paraId="50D1D679" w14:textId="77777777" w:rsidR="00726077" w:rsidRPr="00D11F9D" w:rsidRDefault="00FD315D" w:rsidP="00D11F9D">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00F12837" w:rsidRPr="00F62144">
        <w:rPr>
          <w:rFonts w:asciiTheme="minorHAnsi" w:hAnsiTheme="minorHAnsi"/>
          <w:b/>
          <w:bCs/>
          <w:sz w:val="22"/>
          <w:szCs w:val="22"/>
        </w:rPr>
        <w:t>Part II</w:t>
      </w:r>
      <w:r w:rsidR="00805648" w:rsidRPr="00F62144">
        <w:rPr>
          <w:rFonts w:asciiTheme="minorHAnsi" w:hAnsiTheme="minorHAnsi"/>
          <w:b/>
          <w:bCs/>
          <w:sz w:val="22"/>
          <w:szCs w:val="22"/>
        </w:rPr>
        <w:t>I</w:t>
      </w:r>
      <w:r w:rsidR="00F12837" w:rsidRPr="00F62144">
        <w:rPr>
          <w:rFonts w:asciiTheme="minorHAnsi" w:hAnsiTheme="minorHAnsi"/>
          <w:b/>
          <w:bCs/>
          <w:sz w:val="22"/>
          <w:szCs w:val="22"/>
        </w:rPr>
        <w:t xml:space="preserve"> – Alternative Premium Funding Target </w:t>
      </w:r>
      <w:r w:rsidR="00D00AB6" w:rsidRPr="00F62144">
        <w:rPr>
          <w:rFonts w:asciiTheme="minorHAnsi" w:hAnsiTheme="minorHAnsi"/>
          <w:b/>
          <w:bCs/>
          <w:sz w:val="22"/>
          <w:szCs w:val="22"/>
        </w:rPr>
        <w:t>E</w:t>
      </w:r>
      <w:r w:rsidR="00F12837" w:rsidRPr="00F62144">
        <w:rPr>
          <w:rFonts w:asciiTheme="minorHAnsi" w:hAnsiTheme="minorHAnsi"/>
          <w:b/>
          <w:bCs/>
          <w:sz w:val="22"/>
          <w:szCs w:val="22"/>
        </w:rPr>
        <w:t>lection</w:t>
      </w:r>
      <w:r w:rsidR="00A97AB6" w:rsidRPr="00F62144">
        <w:rPr>
          <w:rFonts w:asciiTheme="minorHAnsi" w:hAnsiTheme="minorHAnsi"/>
          <w:b/>
          <w:bCs/>
          <w:sz w:val="22"/>
          <w:szCs w:val="22"/>
        </w:rPr>
        <w:t>/Revocation</w:t>
      </w:r>
    </w:p>
    <w:p w14:paraId="1D1DBDC5"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008D576E" w:rsidRPr="00F62144">
        <w:rPr>
          <w:rFonts w:asciiTheme="minorHAnsi" w:hAnsiTheme="minorHAnsi"/>
          <w:sz w:val="22"/>
          <w:szCs w:val="22"/>
        </w:rPr>
        <w:t>V</w:t>
      </w:r>
      <w:r w:rsidRPr="00F62144">
        <w:rPr>
          <w:rFonts w:asciiTheme="minorHAnsi" w:hAnsiTheme="minorHAnsi"/>
          <w:sz w:val="22"/>
          <w:szCs w:val="22"/>
        </w:rPr>
        <w:t>.</w:t>
      </w:r>
    </w:p>
    <w:p w14:paraId="1905F1EE" w14:textId="77777777" w:rsidR="00726077" w:rsidRDefault="008D576E" w:rsidP="00726077">
      <w:pPr>
        <w:autoSpaceDE w:val="0"/>
        <w:autoSpaceDN w:val="0"/>
        <w:adjustRightInd w:val="0"/>
        <w:spacing w:before="120"/>
        <w:rPr>
          <w:rFonts w:asciiTheme="minorHAnsi" w:hAnsiTheme="minorHAnsi"/>
          <w:sz w:val="22"/>
          <w:szCs w:val="22"/>
        </w:rPr>
      </w:pPr>
      <w:bookmarkStart w:id="62" w:name="b25"/>
      <w:bookmarkEnd w:id="62"/>
      <w:r w:rsidRPr="00F62144">
        <w:rPr>
          <w:rFonts w:asciiTheme="minorHAnsi" w:hAnsiTheme="minorHAnsi"/>
          <w:b/>
          <w:sz w:val="22"/>
          <w:szCs w:val="22"/>
        </w:rPr>
        <w:t>6</w:t>
      </w:r>
      <w:r w:rsidR="00D0445F" w:rsidRPr="00F62144">
        <w:rPr>
          <w:rFonts w:asciiTheme="minorHAnsi" w:hAnsiTheme="minorHAnsi"/>
          <w:b/>
          <w:sz w:val="22"/>
          <w:szCs w:val="22"/>
        </w:rPr>
        <w:t xml:space="preserve">   </w:t>
      </w:r>
      <w:r w:rsidR="005805EB" w:rsidRPr="00F62144">
        <w:rPr>
          <w:rFonts w:asciiTheme="minorHAnsi" w:hAnsiTheme="minorHAnsi"/>
          <w:b/>
          <w:sz w:val="22"/>
          <w:szCs w:val="22"/>
        </w:rPr>
        <w:t xml:space="preserve">Alternative Premium Funding Target </w:t>
      </w:r>
      <w:r w:rsidR="00F12837" w:rsidRPr="00F62144">
        <w:rPr>
          <w:rFonts w:asciiTheme="minorHAnsi" w:hAnsiTheme="minorHAnsi"/>
          <w:b/>
          <w:sz w:val="22"/>
          <w:szCs w:val="22"/>
        </w:rPr>
        <w:t>Election</w:t>
      </w:r>
      <w:r w:rsidR="006358F7" w:rsidRPr="00F62144">
        <w:rPr>
          <w:rFonts w:asciiTheme="minorHAnsi" w:hAnsiTheme="minorHAnsi"/>
          <w:b/>
          <w:sz w:val="22"/>
          <w:szCs w:val="22"/>
        </w:rPr>
        <w:t xml:space="preserve"> / Revocation</w:t>
      </w:r>
      <w:r w:rsidR="00D0445F" w:rsidRPr="00F62144">
        <w:rPr>
          <w:rFonts w:asciiTheme="minorHAnsi" w:hAnsiTheme="minorHAnsi"/>
          <w:sz w:val="22"/>
          <w:szCs w:val="22"/>
        </w:rPr>
        <w:t xml:space="preserve"> </w:t>
      </w:r>
    </w:p>
    <w:p w14:paraId="141EF641" w14:textId="77777777" w:rsidR="00726077" w:rsidRPr="00F62144" w:rsidRDefault="00726077" w:rsidP="0072607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14:paraId="02D9D756" w14:textId="77777777" w:rsidR="00F12837" w:rsidRPr="00F62144" w:rsidRDefault="005805EB" w:rsidP="005805EB">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00F12837" w:rsidRPr="00F62144">
        <w:rPr>
          <w:rFonts w:asciiTheme="minorHAnsi" w:hAnsiTheme="minorHAnsi"/>
          <w:sz w:val="22"/>
          <w:szCs w:val="22"/>
        </w:rPr>
        <w:t>Check th</w:t>
      </w:r>
      <w:r w:rsidR="00D00CE1" w:rsidRPr="00F62144">
        <w:rPr>
          <w:rFonts w:asciiTheme="minorHAnsi" w:hAnsiTheme="minorHAnsi"/>
          <w:sz w:val="22"/>
          <w:szCs w:val="22"/>
        </w:rPr>
        <w:t>is</w:t>
      </w:r>
      <w:r w:rsidR="00F12837" w:rsidRPr="00F62144">
        <w:rPr>
          <w:rFonts w:asciiTheme="minorHAnsi" w:hAnsiTheme="minorHAnsi"/>
          <w:sz w:val="22"/>
          <w:szCs w:val="22"/>
        </w:rPr>
        <w:t xml:space="preserve"> box </w:t>
      </w:r>
      <w:r w:rsidR="00D00CE1" w:rsidRPr="00F62144">
        <w:rPr>
          <w:rFonts w:asciiTheme="minorHAnsi" w:hAnsiTheme="minorHAnsi"/>
          <w:sz w:val="22"/>
          <w:szCs w:val="22"/>
        </w:rPr>
        <w:t xml:space="preserve">to </w:t>
      </w:r>
      <w:r w:rsidR="00F12837" w:rsidRPr="00F62144">
        <w:rPr>
          <w:rFonts w:asciiTheme="minorHAnsi" w:hAnsiTheme="minorHAnsi"/>
          <w:sz w:val="22"/>
          <w:szCs w:val="22"/>
        </w:rPr>
        <w:t>mak</w:t>
      </w:r>
      <w:r w:rsidR="00D00CE1" w:rsidRPr="00F62144">
        <w:rPr>
          <w:rFonts w:asciiTheme="minorHAnsi" w:hAnsiTheme="minorHAnsi"/>
          <w:sz w:val="22"/>
          <w:szCs w:val="22"/>
        </w:rPr>
        <w:t>e an</w:t>
      </w:r>
      <w:r w:rsidR="006358F7" w:rsidRPr="00F62144">
        <w:rPr>
          <w:rFonts w:asciiTheme="minorHAnsi" w:hAnsiTheme="minorHAnsi"/>
          <w:sz w:val="22"/>
          <w:szCs w:val="22"/>
        </w:rPr>
        <w:t xml:space="preserve"> </w:t>
      </w:r>
      <w:r w:rsidR="00F12837" w:rsidRPr="00F62144">
        <w:rPr>
          <w:rFonts w:asciiTheme="minorHAnsi" w:hAnsiTheme="minorHAnsi"/>
          <w:sz w:val="22"/>
          <w:szCs w:val="22"/>
        </w:rPr>
        <w:t xml:space="preserve">election </w:t>
      </w:r>
      <w:r w:rsidR="006358F7" w:rsidRPr="00F62144">
        <w:rPr>
          <w:rFonts w:asciiTheme="minorHAnsi" w:hAnsiTheme="minorHAnsi"/>
          <w:sz w:val="22"/>
          <w:szCs w:val="22"/>
        </w:rPr>
        <w:t xml:space="preserve">to use the Alternative Premium Funding Target </w:t>
      </w:r>
      <w:r w:rsidR="00F12837" w:rsidRPr="00F62144">
        <w:rPr>
          <w:rFonts w:asciiTheme="minorHAnsi" w:hAnsiTheme="minorHAnsi"/>
          <w:sz w:val="22"/>
          <w:szCs w:val="22"/>
        </w:rPr>
        <w:t xml:space="preserve">first effective for </w:t>
      </w:r>
      <w:r w:rsidR="006358F7" w:rsidRPr="00F62144">
        <w:rPr>
          <w:rFonts w:asciiTheme="minorHAnsi" w:hAnsiTheme="minorHAnsi"/>
          <w:sz w:val="22"/>
          <w:szCs w:val="22"/>
        </w:rPr>
        <w:t xml:space="preserve">this </w:t>
      </w:r>
      <w:r w:rsidR="00F12837" w:rsidRPr="00F62144">
        <w:rPr>
          <w:rFonts w:asciiTheme="minorHAnsi" w:hAnsiTheme="minorHAnsi"/>
          <w:sz w:val="22"/>
          <w:szCs w:val="22"/>
        </w:rPr>
        <w:t>Premium Payment Year.</w:t>
      </w:r>
    </w:p>
    <w:p w14:paraId="7A26A8CC" w14:textId="77777777" w:rsidR="00054BD6" w:rsidRPr="00F62144" w:rsidRDefault="005805EB" w:rsidP="001943F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00D00CE1" w:rsidRPr="00F62144">
        <w:rPr>
          <w:rFonts w:asciiTheme="minorHAnsi" w:hAnsiTheme="minorHAnsi"/>
          <w:sz w:val="22"/>
          <w:szCs w:val="22"/>
        </w:rPr>
        <w:t>is</w:t>
      </w:r>
      <w:r w:rsidRPr="00F62144">
        <w:rPr>
          <w:rFonts w:asciiTheme="minorHAnsi" w:hAnsiTheme="minorHAnsi"/>
          <w:sz w:val="22"/>
          <w:szCs w:val="22"/>
        </w:rPr>
        <w:t xml:space="preserve"> box to </w:t>
      </w:r>
      <w:r w:rsidR="00197BDF" w:rsidRPr="00F62144">
        <w:rPr>
          <w:rFonts w:asciiTheme="minorHAnsi" w:hAnsiTheme="minorHAnsi"/>
          <w:sz w:val="22"/>
          <w:szCs w:val="22"/>
        </w:rPr>
        <w:t>revok</w:t>
      </w:r>
      <w:r w:rsidR="00D00CE1" w:rsidRPr="00F62144">
        <w:rPr>
          <w:rFonts w:asciiTheme="minorHAnsi" w:hAnsiTheme="minorHAnsi"/>
          <w:sz w:val="22"/>
          <w:szCs w:val="22"/>
        </w:rPr>
        <w:t>e</w:t>
      </w:r>
      <w:r w:rsidR="00197BDF" w:rsidRPr="00F62144">
        <w:rPr>
          <w:rFonts w:asciiTheme="minorHAnsi" w:hAnsiTheme="minorHAnsi"/>
          <w:sz w:val="22"/>
          <w:szCs w:val="22"/>
        </w:rPr>
        <w:t xml:space="preserve"> </w:t>
      </w:r>
      <w:r w:rsidR="00F773BD" w:rsidRPr="00F62144">
        <w:rPr>
          <w:rFonts w:asciiTheme="minorHAnsi" w:hAnsiTheme="minorHAnsi"/>
          <w:sz w:val="22"/>
          <w:szCs w:val="22"/>
        </w:rPr>
        <w:t>a</w:t>
      </w:r>
      <w:r w:rsidR="00EB67BA" w:rsidRPr="00F62144">
        <w:rPr>
          <w:rFonts w:asciiTheme="minorHAnsi" w:hAnsiTheme="minorHAnsi"/>
          <w:sz w:val="22"/>
          <w:szCs w:val="22"/>
        </w:rPr>
        <w:t xml:space="preserve"> prior </w:t>
      </w:r>
      <w:r w:rsidR="00197BDF" w:rsidRPr="00F62144">
        <w:rPr>
          <w:rFonts w:asciiTheme="minorHAnsi" w:hAnsiTheme="minorHAnsi"/>
          <w:sz w:val="22"/>
          <w:szCs w:val="22"/>
        </w:rPr>
        <w:t>e</w:t>
      </w:r>
      <w:r w:rsidR="00EB67BA" w:rsidRPr="00F62144">
        <w:rPr>
          <w:rFonts w:asciiTheme="minorHAnsi" w:hAnsiTheme="minorHAnsi"/>
          <w:sz w:val="22"/>
          <w:szCs w:val="22"/>
        </w:rPr>
        <w:t xml:space="preserve">lection to </w:t>
      </w:r>
      <w:r w:rsidR="00F773BD" w:rsidRPr="00F62144">
        <w:rPr>
          <w:rFonts w:asciiTheme="minorHAnsi" w:hAnsiTheme="minorHAnsi"/>
          <w:sz w:val="22"/>
          <w:szCs w:val="22"/>
        </w:rPr>
        <w:t>use the Alternative</w:t>
      </w:r>
      <w:r w:rsidRPr="00F62144">
        <w:rPr>
          <w:rFonts w:asciiTheme="minorHAnsi" w:hAnsiTheme="minorHAnsi"/>
          <w:sz w:val="22"/>
          <w:szCs w:val="22"/>
        </w:rPr>
        <w:t xml:space="preserve"> Premium Funding Target </w:t>
      </w:r>
      <w:r w:rsidR="00054BD6" w:rsidRPr="00F62144">
        <w:rPr>
          <w:rFonts w:asciiTheme="minorHAnsi" w:hAnsiTheme="minorHAnsi"/>
          <w:sz w:val="22"/>
          <w:szCs w:val="22"/>
        </w:rPr>
        <w:t>that was in effect for the plan year immediately pre</w:t>
      </w:r>
      <w:r w:rsidR="00EB67BA" w:rsidRPr="00F62144">
        <w:rPr>
          <w:rFonts w:asciiTheme="minorHAnsi" w:hAnsiTheme="minorHAnsi"/>
          <w:sz w:val="22"/>
          <w:szCs w:val="22"/>
        </w:rPr>
        <w:t xml:space="preserve">ceding the </w:t>
      </w:r>
      <w:r w:rsidR="003743E2" w:rsidRPr="00F62144">
        <w:rPr>
          <w:rFonts w:asciiTheme="minorHAnsi" w:hAnsiTheme="minorHAnsi"/>
          <w:sz w:val="22"/>
          <w:szCs w:val="22"/>
        </w:rPr>
        <w:t>Premium Payment Year</w:t>
      </w:r>
      <w:r w:rsidR="00EB67BA" w:rsidRPr="00F62144">
        <w:rPr>
          <w:rFonts w:asciiTheme="minorHAnsi" w:hAnsiTheme="minorHAnsi"/>
          <w:sz w:val="22"/>
          <w:szCs w:val="22"/>
        </w:rPr>
        <w:t>.</w:t>
      </w:r>
    </w:p>
    <w:p w14:paraId="3826A0E9" w14:textId="77777777" w:rsidR="006B15DF" w:rsidRPr="00F62144" w:rsidRDefault="006B15DF" w:rsidP="00726077">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unfunded vested benefits instead of the Standard Premium Funding Target. Once an election is made, it remains in effect for all subsequent plan years unless and until it is subsequently revoked.  You may revoke a prior election only if the Premium Payment Year begins at least five years after the beginning of the plan year for which the election was first applicable.  </w:t>
      </w:r>
    </w:p>
    <w:p w14:paraId="3CF7CC5B" w14:textId="77777777" w:rsidR="006B15DF" w:rsidRPr="00F62144" w:rsidRDefault="006B15DF" w:rsidP="00997D64">
      <w:pPr>
        <w:spacing w:before="120"/>
        <w:ind w:left="270"/>
        <w:rPr>
          <w:rFonts w:asciiTheme="minorHAnsi" w:hAnsiTheme="minorHAnsi"/>
          <w:sz w:val="22"/>
          <w:szCs w:val="22"/>
        </w:rPr>
      </w:pPr>
      <w:r w:rsidRPr="00F62144">
        <w:rPr>
          <w:rFonts w:asciiTheme="minorHAnsi" w:hAnsiTheme="minorHAnsi"/>
          <w:sz w:val="22"/>
          <w:szCs w:val="22"/>
        </w:rPr>
        <w:t>Similarly, if you revoke an election, you may not make a new election to use the Alternative Premium Funding Target until five years have passed.</w:t>
      </w:r>
    </w:p>
    <w:p w14:paraId="0967A45E" w14:textId="77777777" w:rsidR="006B15DF" w:rsidRPr="00F62144" w:rsidRDefault="006B15DF" w:rsidP="00997D64">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find it by viewing your account history in My PAA.  </w:t>
      </w:r>
    </w:p>
    <w:p w14:paraId="68194D70" w14:textId="20AA54D1" w:rsidR="00706F17" w:rsidRDefault="006B15DF" w:rsidP="00997D64">
      <w:pPr>
        <w:spacing w:before="120"/>
        <w:ind w:left="270"/>
        <w:rPr>
          <w:rFonts w:asciiTheme="minorHAnsi" w:hAnsiTheme="minorHAnsi"/>
          <w:sz w:val="22"/>
          <w:szCs w:val="22"/>
        </w:rPr>
      </w:pPr>
      <w:r w:rsidRPr="00F62144">
        <w:rPr>
          <w:rFonts w:asciiTheme="minorHAnsi" w:hAnsiTheme="minorHAnsi"/>
          <w:sz w:val="22"/>
          <w:szCs w:val="22"/>
        </w:rPr>
        <w:t>See “</w:t>
      </w:r>
      <w:hyperlink w:anchor="b8"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14:paraId="4184A0A1" w14:textId="77777777" w:rsidR="00706F17" w:rsidRDefault="00706F17">
      <w:pPr>
        <w:rPr>
          <w:rFonts w:asciiTheme="minorHAnsi" w:hAnsiTheme="minorHAnsi"/>
          <w:sz w:val="22"/>
          <w:szCs w:val="22"/>
        </w:rPr>
      </w:pPr>
      <w:r>
        <w:rPr>
          <w:rFonts w:asciiTheme="minorHAnsi" w:hAnsiTheme="minorHAnsi"/>
          <w:sz w:val="22"/>
          <w:szCs w:val="22"/>
        </w:rPr>
        <w:br w:type="page"/>
      </w:r>
    </w:p>
    <w:p w14:paraId="2DBCB0BC" w14:textId="77777777" w:rsidR="00F12837" w:rsidRPr="00F62144" w:rsidRDefault="00F12837" w:rsidP="00F1283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7</w:t>
      </w:r>
      <w:r w:rsidRPr="00F62144">
        <w:rPr>
          <w:rFonts w:asciiTheme="minorHAnsi" w:hAnsiTheme="minorHAnsi"/>
          <w:b/>
          <w:bCs/>
          <w:sz w:val="22"/>
          <w:szCs w:val="22"/>
        </w:rPr>
        <w:tab/>
        <w:t xml:space="preserve">Variable-rate Premium </w:t>
      </w:r>
    </w:p>
    <w:p w14:paraId="3AD4D71E" w14:textId="77777777" w:rsidR="00F12837" w:rsidRPr="00F62144" w:rsidRDefault="00F12837" w:rsidP="00997D64">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14:paraId="124D63EE" w14:textId="77777777" w:rsidR="00F12837" w:rsidRPr="00F62144" w:rsidRDefault="00364E78" w:rsidP="00997D64">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2018 the </w:t>
      </w:r>
      <w:r w:rsidR="00F12837" w:rsidRPr="00F62144">
        <w:rPr>
          <w:rFonts w:asciiTheme="minorHAnsi" w:hAnsiTheme="minorHAnsi"/>
          <w:sz w:val="22"/>
          <w:szCs w:val="22"/>
        </w:rPr>
        <w:t>Variable-rate Premium is $</w:t>
      </w:r>
      <w:r>
        <w:rPr>
          <w:rFonts w:asciiTheme="minorHAnsi" w:hAnsiTheme="minorHAnsi"/>
          <w:sz w:val="22"/>
          <w:szCs w:val="22"/>
        </w:rPr>
        <w:t>38</w:t>
      </w:r>
      <w:r w:rsidR="005A4C93" w:rsidRPr="00F62144">
        <w:rPr>
          <w:rFonts w:asciiTheme="minorHAnsi" w:hAnsiTheme="minorHAnsi"/>
          <w:sz w:val="22"/>
          <w:szCs w:val="22"/>
        </w:rPr>
        <w:t xml:space="preserve"> </w:t>
      </w:r>
      <w:r w:rsidR="00F12837" w:rsidRPr="00F62144">
        <w:rPr>
          <w:rFonts w:asciiTheme="minorHAnsi" w:hAnsiTheme="minorHAnsi"/>
          <w:sz w:val="22"/>
          <w:szCs w:val="22"/>
        </w:rPr>
        <w:t>per $1,000, or fraction thereof, of unfunded vested benefits as of the UVB Valuation Date</w:t>
      </w:r>
      <w:r w:rsidR="00C16641" w:rsidRPr="00F62144">
        <w:rPr>
          <w:rFonts w:asciiTheme="minorHAnsi" w:hAnsiTheme="minorHAnsi"/>
          <w:sz w:val="22"/>
          <w:szCs w:val="22"/>
        </w:rPr>
        <w:t xml:space="preserve">, but no more than </w:t>
      </w:r>
      <w:r w:rsidR="00DF4732" w:rsidRPr="00F62144">
        <w:rPr>
          <w:rFonts w:asciiTheme="minorHAnsi" w:hAnsiTheme="minorHAnsi"/>
          <w:sz w:val="22"/>
          <w:szCs w:val="22"/>
        </w:rPr>
        <w:t>$</w:t>
      </w:r>
      <w:r w:rsidR="00760494">
        <w:rPr>
          <w:rFonts w:asciiTheme="minorHAnsi" w:hAnsiTheme="minorHAnsi"/>
          <w:sz w:val="22"/>
          <w:szCs w:val="22"/>
        </w:rPr>
        <w:t>523</w:t>
      </w:r>
      <w:r w:rsidR="005A4C93" w:rsidRPr="00F62144">
        <w:rPr>
          <w:rFonts w:asciiTheme="minorHAnsi" w:hAnsiTheme="minorHAnsi"/>
          <w:sz w:val="22"/>
          <w:szCs w:val="22"/>
        </w:rPr>
        <w:t xml:space="preserve"> </w:t>
      </w:r>
      <w:r w:rsidR="00DF4732" w:rsidRPr="00F62144">
        <w:rPr>
          <w:rFonts w:asciiTheme="minorHAnsi" w:hAnsiTheme="minorHAnsi"/>
          <w:sz w:val="22"/>
          <w:szCs w:val="22"/>
        </w:rPr>
        <w:t>times the number of participants</w:t>
      </w:r>
      <w:r w:rsidR="007D75C6" w:rsidRPr="00F62144">
        <w:rPr>
          <w:rFonts w:asciiTheme="minorHAnsi" w:hAnsiTheme="minorHAnsi"/>
          <w:sz w:val="22"/>
          <w:szCs w:val="22"/>
        </w:rPr>
        <w:t xml:space="preserve"> (i.e., the MAP-21 Cap)</w:t>
      </w:r>
      <w:r w:rsidR="00026F6E" w:rsidRPr="00F62144">
        <w:rPr>
          <w:rFonts w:asciiTheme="minorHAnsi" w:hAnsiTheme="minorHAnsi"/>
          <w:sz w:val="22"/>
          <w:szCs w:val="22"/>
        </w:rPr>
        <w:t xml:space="preserve">. </w:t>
      </w:r>
      <w:r>
        <w:rPr>
          <w:rFonts w:asciiTheme="minorHAnsi" w:hAnsiTheme="minorHAnsi"/>
          <w:sz w:val="22"/>
          <w:szCs w:val="22"/>
        </w:rPr>
        <w:t xml:space="preserve">  </w:t>
      </w:r>
      <w:r w:rsidR="00F12837" w:rsidRPr="00F62144">
        <w:rPr>
          <w:rFonts w:asciiTheme="minorHAnsi" w:hAnsiTheme="minorHAnsi"/>
          <w:sz w:val="22"/>
          <w:szCs w:val="22"/>
        </w:rPr>
        <w:t>For certain plans of small employers, th</w:t>
      </w:r>
      <w:r w:rsidR="00DF4732" w:rsidRPr="00F62144">
        <w:rPr>
          <w:rFonts w:asciiTheme="minorHAnsi" w:hAnsiTheme="minorHAnsi"/>
          <w:sz w:val="22"/>
          <w:szCs w:val="22"/>
        </w:rPr>
        <w:t xml:space="preserve">e Variable-rate </w:t>
      </w:r>
      <w:r w:rsidR="002F5405" w:rsidRPr="00F62144">
        <w:rPr>
          <w:rFonts w:asciiTheme="minorHAnsi" w:hAnsiTheme="minorHAnsi"/>
          <w:sz w:val="22"/>
          <w:szCs w:val="22"/>
        </w:rPr>
        <w:t>P</w:t>
      </w:r>
      <w:r w:rsidR="00DF4732" w:rsidRPr="00F62144">
        <w:rPr>
          <w:rFonts w:asciiTheme="minorHAnsi" w:hAnsiTheme="minorHAnsi"/>
          <w:sz w:val="22"/>
          <w:szCs w:val="22"/>
        </w:rPr>
        <w:t>remium may be capped at a</w:t>
      </w:r>
      <w:r w:rsidR="001405C5" w:rsidRPr="00F62144">
        <w:rPr>
          <w:rFonts w:asciiTheme="minorHAnsi" w:hAnsiTheme="minorHAnsi"/>
          <w:sz w:val="22"/>
          <w:szCs w:val="22"/>
        </w:rPr>
        <w:t>n</w:t>
      </w:r>
      <w:r w:rsidR="00DF4732" w:rsidRPr="00F62144">
        <w:rPr>
          <w:rFonts w:asciiTheme="minorHAnsi" w:hAnsiTheme="minorHAnsi"/>
          <w:sz w:val="22"/>
          <w:szCs w:val="22"/>
        </w:rPr>
        <w:t xml:space="preserve"> </w:t>
      </w:r>
      <w:r w:rsidR="00F12837" w:rsidRPr="00F62144">
        <w:rPr>
          <w:rFonts w:asciiTheme="minorHAnsi" w:hAnsiTheme="minorHAnsi"/>
          <w:sz w:val="22"/>
          <w:szCs w:val="22"/>
        </w:rPr>
        <w:t>amount</w:t>
      </w:r>
      <w:r w:rsidR="007D75C6" w:rsidRPr="00F62144">
        <w:rPr>
          <w:rFonts w:asciiTheme="minorHAnsi" w:hAnsiTheme="minorHAnsi"/>
          <w:sz w:val="22"/>
          <w:szCs w:val="22"/>
        </w:rPr>
        <w:t xml:space="preserve"> lower than the MAP</w:t>
      </w:r>
      <w:r w:rsidR="00547BD6" w:rsidRPr="00F62144">
        <w:rPr>
          <w:rFonts w:asciiTheme="minorHAnsi" w:hAnsiTheme="minorHAnsi"/>
          <w:sz w:val="22"/>
          <w:szCs w:val="22"/>
        </w:rPr>
        <w:noBreakHyphen/>
      </w:r>
      <w:r w:rsidR="007D75C6" w:rsidRPr="00F62144">
        <w:rPr>
          <w:rFonts w:asciiTheme="minorHAnsi" w:hAnsiTheme="minorHAnsi"/>
          <w:sz w:val="22"/>
          <w:szCs w:val="22"/>
        </w:rPr>
        <w:t>21 CAP</w:t>
      </w:r>
      <w:r w:rsidR="00F12837" w:rsidRPr="00F62144">
        <w:rPr>
          <w:rFonts w:asciiTheme="minorHAnsi" w:hAnsiTheme="minorHAnsi"/>
          <w:sz w:val="22"/>
          <w:szCs w:val="22"/>
        </w:rPr>
        <w:t xml:space="preserve"> (see </w:t>
      </w:r>
      <w:hyperlink w:anchor="b24" w:history="1">
        <w:r w:rsidR="00F12837" w:rsidRPr="00F62144">
          <w:rPr>
            <w:rStyle w:val="Hyperlink"/>
            <w:rFonts w:asciiTheme="minorHAnsi" w:hAnsiTheme="minorHAnsi"/>
            <w:sz w:val="22"/>
            <w:szCs w:val="22"/>
          </w:rPr>
          <w:t>item 7b</w:t>
        </w:r>
      </w:hyperlink>
      <w:r w:rsidR="00F12837" w:rsidRPr="00F62144">
        <w:rPr>
          <w:rFonts w:asciiTheme="minorHAnsi" w:hAnsiTheme="minorHAnsi"/>
          <w:sz w:val="22"/>
          <w:szCs w:val="22"/>
        </w:rPr>
        <w:t xml:space="preserve">). </w:t>
      </w:r>
    </w:p>
    <w:p w14:paraId="3DFF669F" w14:textId="77777777" w:rsidR="00F12837" w:rsidRPr="00F62144" w:rsidRDefault="00F12837" w:rsidP="00997D64">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14:paraId="0A10AE58" w14:textId="77777777" w:rsidR="00F12837" w:rsidRPr="00F62144" w:rsidRDefault="00F12837" w:rsidP="00C81731">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00F37F1C" w:rsidRPr="00F62144">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14:paraId="3CFD0B82" w14:textId="77777777" w:rsidR="00343632" w:rsidRPr="00F62144" w:rsidRDefault="00343632" w:rsidP="00023A8E">
      <w:pPr>
        <w:numPr>
          <w:ilvl w:val="0"/>
          <w:numId w:val="16"/>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Plans other than Continuation Plans – Your plan qualifies for this exemption if it is a New or Newly</w:t>
      </w:r>
      <w:r w:rsidR="0085638D" w:rsidRPr="00F62144">
        <w:rPr>
          <w:rFonts w:asciiTheme="minorHAnsi" w:hAnsiTheme="minorHAnsi"/>
          <w:sz w:val="22"/>
          <w:szCs w:val="22"/>
        </w:rPr>
        <w:t xml:space="preserve"> Covered</w:t>
      </w:r>
      <w:r w:rsidR="0053744D" w:rsidRPr="00F62144">
        <w:rPr>
          <w:rFonts w:asciiTheme="minorHAnsi" w:hAnsiTheme="minorHAnsi"/>
          <w:sz w:val="22"/>
          <w:szCs w:val="22"/>
        </w:rPr>
        <w:t xml:space="preserve"> Plan and</w:t>
      </w:r>
      <w:r w:rsidRPr="00F62144">
        <w:rPr>
          <w:rFonts w:asciiTheme="minorHAnsi" w:hAnsiTheme="minorHAnsi"/>
          <w:sz w:val="22"/>
          <w:szCs w:val="22"/>
        </w:rPr>
        <w:t xml:space="preserve"> a Small Plan</w:t>
      </w:r>
      <w:r w:rsidR="0053744D" w:rsidRPr="00F62144">
        <w:rPr>
          <w:rFonts w:asciiTheme="minorHAnsi" w:hAnsiTheme="minorHAnsi"/>
          <w:sz w:val="22"/>
          <w:szCs w:val="22"/>
        </w:rPr>
        <w:t xml:space="preserve">, but </w:t>
      </w:r>
      <w:r w:rsidRPr="00F62144">
        <w:rPr>
          <w:rFonts w:asciiTheme="minorHAnsi" w:hAnsiTheme="minorHAnsi"/>
          <w:sz w:val="22"/>
          <w:szCs w:val="22"/>
        </w:rPr>
        <w:t xml:space="preserve">not a Continuation Plan.  See </w:t>
      </w:r>
      <w:hyperlink w:anchor="b18" w:history="1">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w:t>
      </w:r>
      <w:r w:rsidR="007F2094" w:rsidRPr="00F62144">
        <w:rPr>
          <w:rFonts w:asciiTheme="minorHAnsi" w:hAnsiTheme="minorHAnsi"/>
          <w:sz w:val="22"/>
          <w:szCs w:val="22"/>
        </w:rPr>
        <w:t>s</w:t>
      </w:r>
      <w:r w:rsidRPr="00F62144">
        <w:rPr>
          <w:rFonts w:asciiTheme="minorHAnsi" w:hAnsiTheme="minorHAnsi"/>
          <w:sz w:val="22"/>
          <w:szCs w:val="22"/>
        </w:rPr>
        <w:t>ection for more information about these terms.</w:t>
      </w:r>
    </w:p>
    <w:p w14:paraId="0CFF1C45" w14:textId="1C645708" w:rsidR="00D7221D" w:rsidRPr="003E5F47" w:rsidRDefault="00343632" w:rsidP="00D7221D">
      <w:pPr>
        <w:pStyle w:val="ListParagraph"/>
        <w:numPr>
          <w:ilvl w:val="0"/>
          <w:numId w:val="16"/>
        </w:numPr>
        <w:autoSpaceDE w:val="0"/>
        <w:autoSpaceDN w:val="0"/>
        <w:adjustRightInd w:val="0"/>
        <w:spacing w:before="120"/>
        <w:rPr>
          <w:rFonts w:asciiTheme="minorHAnsi" w:hAnsiTheme="minorHAnsi"/>
          <w:sz w:val="22"/>
          <w:szCs w:val="22"/>
        </w:rPr>
      </w:pPr>
      <w:r w:rsidRPr="003E5F47">
        <w:rPr>
          <w:rFonts w:asciiTheme="minorHAnsi" w:hAnsiTheme="minorHAnsi"/>
          <w:sz w:val="22"/>
          <w:szCs w:val="22"/>
        </w:rPr>
        <w:t xml:space="preserve">Standard termination — closing out in current year </w:t>
      </w:r>
      <w:r w:rsidR="0053744D" w:rsidRPr="003E5F47">
        <w:rPr>
          <w:rFonts w:asciiTheme="minorHAnsi" w:hAnsiTheme="minorHAnsi"/>
          <w:sz w:val="22"/>
          <w:szCs w:val="22"/>
        </w:rPr>
        <w:t xml:space="preserve">– </w:t>
      </w:r>
      <w:r w:rsidRPr="003E5F47">
        <w:rPr>
          <w:rFonts w:asciiTheme="minorHAnsi" w:hAnsiTheme="minorHAnsi"/>
          <w:sz w:val="22"/>
          <w:szCs w:val="22"/>
        </w:rPr>
        <w:t xml:space="preserve">Your plan qualifies for this exemption if it makes a final distribution of assets in a standard termination during the Premium Payment Year.  </w:t>
      </w:r>
      <w:r w:rsidR="00B91479" w:rsidRPr="003E5F47">
        <w:rPr>
          <w:rFonts w:asciiTheme="minorHAnsi" w:hAnsiTheme="minorHAnsi"/>
          <w:sz w:val="22"/>
          <w:szCs w:val="22"/>
          <w:highlight w:val="yellow"/>
        </w:rPr>
        <w:t>This requirement means that</w:t>
      </w:r>
      <w:r w:rsidR="00797856">
        <w:rPr>
          <w:rFonts w:asciiTheme="minorHAnsi" w:hAnsiTheme="minorHAnsi"/>
          <w:sz w:val="22"/>
          <w:szCs w:val="22"/>
          <w:highlight w:val="yellow"/>
        </w:rPr>
        <w:t>, by year end,</w:t>
      </w:r>
      <w:r w:rsidR="00B91479" w:rsidRPr="003E5F47">
        <w:rPr>
          <w:rFonts w:asciiTheme="minorHAnsi" w:hAnsiTheme="minorHAnsi"/>
          <w:sz w:val="22"/>
          <w:szCs w:val="22"/>
          <w:highlight w:val="yellow"/>
        </w:rPr>
        <w:t xml:space="preserve"> benefits for participants covered by the plan on the UVB Valuation Date will be distributed</w:t>
      </w:r>
      <w:r w:rsidR="00797856">
        <w:rPr>
          <w:rFonts w:asciiTheme="minorHAnsi" w:hAnsiTheme="minorHAnsi"/>
          <w:sz w:val="22"/>
          <w:szCs w:val="22"/>
          <w:highlight w:val="yellow"/>
        </w:rPr>
        <w:t xml:space="preserve"> in accordance with </w:t>
      </w:r>
      <w:r w:rsidR="00A01501">
        <w:rPr>
          <w:rFonts w:asciiTheme="minorHAnsi" w:hAnsiTheme="minorHAnsi"/>
          <w:sz w:val="22"/>
          <w:szCs w:val="22"/>
          <w:highlight w:val="yellow"/>
        </w:rPr>
        <w:t>PBGC’s standard termination regulation (29 CFR Part 4041)</w:t>
      </w:r>
      <w:r w:rsidR="00B91479" w:rsidRPr="003E5F47">
        <w:rPr>
          <w:rFonts w:asciiTheme="minorHAnsi" w:hAnsiTheme="minorHAnsi"/>
          <w:sz w:val="22"/>
          <w:szCs w:val="22"/>
          <w:highlight w:val="yellow"/>
        </w:rPr>
        <w:t xml:space="preserve"> and PBGC coverage of such benefits will cease. See</w:t>
      </w:r>
      <w:r w:rsidR="00D7221D" w:rsidRPr="003E5F47">
        <w:rPr>
          <w:rFonts w:asciiTheme="minorHAnsi" w:hAnsiTheme="minorHAnsi"/>
          <w:sz w:val="22"/>
          <w:szCs w:val="22"/>
          <w:highlight w:val="yellow"/>
        </w:rPr>
        <w:t xml:space="preserve"> </w:t>
      </w:r>
      <w:hyperlink r:id="rId95" w:history="1">
        <w:r w:rsidR="00D7221D" w:rsidRPr="004606D8">
          <w:rPr>
            <w:rStyle w:val="Hyperlink"/>
            <w:rFonts w:asciiTheme="minorHAnsi" w:hAnsiTheme="minorHAnsi"/>
            <w:sz w:val="22"/>
            <w:szCs w:val="22"/>
            <w:highlight w:val="yellow"/>
          </w:rPr>
          <w:t>79 FR 13547</w:t>
        </w:r>
      </w:hyperlink>
      <w:r w:rsidR="00D7221D" w:rsidRPr="003E5F47">
        <w:rPr>
          <w:rFonts w:asciiTheme="minorHAnsi" w:hAnsiTheme="minorHAnsi"/>
          <w:sz w:val="22"/>
          <w:szCs w:val="22"/>
          <w:highlight w:val="yellow"/>
        </w:rPr>
        <w:t xml:space="preserve"> (March 11, 2014) at 13553.</w:t>
      </w:r>
    </w:p>
    <w:p w14:paraId="2B3BC1B8" w14:textId="77777777" w:rsidR="001E5512" w:rsidRDefault="004728C9" w:rsidP="00EB22BE">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exception </w:t>
      </w:r>
      <w:r w:rsidR="00C05A98" w:rsidRPr="00F62144">
        <w:rPr>
          <w:rFonts w:asciiTheme="minorHAnsi" w:hAnsiTheme="minorHAnsi"/>
          <w:sz w:val="22"/>
          <w:szCs w:val="22"/>
        </w:rPr>
        <w:t xml:space="preserve">in anticipation of a full distribution by plan year-end </w:t>
      </w:r>
      <w:r w:rsidRPr="00F62144">
        <w:rPr>
          <w:rFonts w:asciiTheme="minorHAnsi" w:hAnsiTheme="minorHAnsi"/>
          <w:sz w:val="22"/>
          <w:szCs w:val="22"/>
        </w:rPr>
        <w:t>even if th</w:t>
      </w:r>
      <w:r w:rsidR="00C05A98" w:rsidRPr="00F62144">
        <w:rPr>
          <w:rFonts w:asciiTheme="minorHAnsi" w:hAnsiTheme="minorHAnsi"/>
          <w:sz w:val="22"/>
          <w:szCs w:val="22"/>
        </w:rPr>
        <w:t>at hasn’t happened</w:t>
      </w:r>
      <w:r w:rsidRPr="00F62144">
        <w:rPr>
          <w:rFonts w:asciiTheme="minorHAnsi" w:hAnsiTheme="minorHAnsi"/>
          <w:sz w:val="22"/>
          <w:szCs w:val="22"/>
        </w:rPr>
        <w:t xml:space="preserve"> by the time you submit the filing.  However, if you fail to complete the final distribution by the end of the </w:t>
      </w:r>
      <w:r w:rsidR="00C05A98" w:rsidRPr="00F62144">
        <w:rPr>
          <w:rFonts w:asciiTheme="minorHAnsi" w:hAnsiTheme="minorHAnsi"/>
          <w:sz w:val="22"/>
          <w:szCs w:val="22"/>
        </w:rPr>
        <w:t>year</w:t>
      </w:r>
      <w:r w:rsidRPr="00F62144">
        <w:rPr>
          <w:rFonts w:asciiTheme="minorHAnsi" w:hAnsiTheme="minorHAnsi"/>
          <w:sz w:val="22"/>
          <w:szCs w:val="22"/>
        </w:rPr>
        <w:t xml:space="preserve">, the exemption will not apply. In that case, you will need </w:t>
      </w:r>
      <w:r w:rsidR="00C05A98" w:rsidRPr="00F62144">
        <w:rPr>
          <w:rFonts w:asciiTheme="minorHAnsi" w:hAnsiTheme="minorHAnsi"/>
          <w:sz w:val="22"/>
          <w:szCs w:val="22"/>
        </w:rPr>
        <w:t xml:space="preserve">to amend the filing accordingly and </w:t>
      </w:r>
      <w:r w:rsidR="007519EE" w:rsidRPr="00F62144">
        <w:rPr>
          <w:rFonts w:asciiTheme="minorHAnsi" w:hAnsiTheme="minorHAnsi"/>
          <w:sz w:val="22"/>
          <w:szCs w:val="22"/>
        </w:rPr>
        <w:t>l</w:t>
      </w:r>
      <w:r w:rsidR="00C05A98" w:rsidRPr="00F62144">
        <w:rPr>
          <w:rFonts w:asciiTheme="minorHAnsi" w:hAnsiTheme="minorHAnsi"/>
          <w:sz w:val="22"/>
          <w:szCs w:val="22"/>
        </w:rPr>
        <w:t xml:space="preserve">ate </w:t>
      </w:r>
      <w:r w:rsidR="007519EE" w:rsidRPr="00F62144">
        <w:rPr>
          <w:rFonts w:asciiTheme="minorHAnsi" w:hAnsiTheme="minorHAnsi"/>
          <w:sz w:val="22"/>
          <w:szCs w:val="22"/>
        </w:rPr>
        <w:t>p</w:t>
      </w:r>
      <w:r w:rsidR="00C05A98" w:rsidRPr="00F62144">
        <w:rPr>
          <w:rFonts w:asciiTheme="minorHAnsi" w:hAnsiTheme="minorHAnsi"/>
          <w:sz w:val="22"/>
          <w:szCs w:val="22"/>
        </w:rPr>
        <w:t xml:space="preserve">ayment </w:t>
      </w:r>
      <w:r w:rsidR="007519EE" w:rsidRPr="00F62144">
        <w:rPr>
          <w:rFonts w:asciiTheme="minorHAnsi" w:hAnsiTheme="minorHAnsi"/>
          <w:sz w:val="22"/>
          <w:szCs w:val="22"/>
        </w:rPr>
        <w:t>c</w:t>
      </w:r>
      <w:r w:rsidR="00C05A98" w:rsidRPr="00F62144">
        <w:rPr>
          <w:rFonts w:asciiTheme="minorHAnsi" w:hAnsiTheme="minorHAnsi"/>
          <w:sz w:val="22"/>
          <w:szCs w:val="22"/>
        </w:rPr>
        <w:t xml:space="preserve">harges will be assessed on any Variable-rate Premium </w:t>
      </w:r>
      <w:r w:rsidR="00A26EE2" w:rsidRPr="00F62144">
        <w:rPr>
          <w:rFonts w:asciiTheme="minorHAnsi" w:hAnsiTheme="minorHAnsi"/>
          <w:sz w:val="22"/>
          <w:szCs w:val="22"/>
        </w:rPr>
        <w:t>owed and paid after the applicable due date</w:t>
      </w:r>
      <w:r w:rsidR="00C05A98" w:rsidRPr="00F62144">
        <w:rPr>
          <w:rFonts w:asciiTheme="minorHAnsi" w:hAnsiTheme="minorHAnsi"/>
          <w:sz w:val="22"/>
          <w:szCs w:val="22"/>
        </w:rPr>
        <w:t xml:space="preserve">.  </w:t>
      </w:r>
      <w:r w:rsidR="000B4496" w:rsidRPr="00F62144">
        <w:rPr>
          <w:rFonts w:asciiTheme="minorHAnsi" w:hAnsiTheme="minorHAnsi"/>
          <w:sz w:val="22"/>
          <w:szCs w:val="22"/>
        </w:rPr>
        <w:t xml:space="preserve"> </w:t>
      </w:r>
    </w:p>
    <w:p w14:paraId="413F5528" w14:textId="77777777" w:rsidR="005C5B52" w:rsidRDefault="0012426D" w:rsidP="005C5B52">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toc3" w:history="1">
        <w:r w:rsidR="005C5B52" w:rsidRPr="005C5B52">
          <w:rPr>
            <w:rStyle w:val="Hyperlink"/>
            <w:rFonts w:asciiTheme="minorHAnsi" w:hAnsiTheme="minorHAnsi"/>
            <w:bCs/>
            <w:sz w:val="22"/>
            <w:szCs w:val="22"/>
            <w:u w:val="none"/>
          </w:rPr>
          <w:t>Who Must File</w:t>
        </w:r>
      </w:hyperlink>
      <w:r w:rsidR="005C5B52" w:rsidRPr="005C5B52">
        <w:rPr>
          <w:rFonts w:asciiTheme="minorHAnsi" w:hAnsiTheme="minorHAnsi"/>
          <w:sz w:val="22"/>
          <w:szCs w:val="22"/>
        </w:rPr>
        <w:t>”.</w:t>
      </w:r>
      <w:r w:rsidRPr="005C5B52">
        <w:rPr>
          <w:rFonts w:asciiTheme="minorHAnsi" w:hAnsiTheme="minorHAnsi"/>
          <w:sz w:val="22"/>
          <w:szCs w:val="22"/>
        </w:rPr>
        <w:t xml:space="preserve">   </w:t>
      </w:r>
    </w:p>
    <w:p w14:paraId="2E83851D" w14:textId="35B2B7E0" w:rsidR="002B5144" w:rsidRPr="00F62144" w:rsidRDefault="006608CC" w:rsidP="005C5B52">
      <w:pPr>
        <w:numPr>
          <w:ilvl w:val="0"/>
          <w:numId w:val="16"/>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343632" w:rsidRPr="00F62144">
        <w:rPr>
          <w:rFonts w:asciiTheme="minorHAnsi" w:hAnsiTheme="minorHAnsi"/>
          <w:sz w:val="22"/>
          <w:szCs w:val="22"/>
        </w:rPr>
        <w:t xml:space="preserve"> — </w:t>
      </w:r>
      <w:r w:rsidR="002B5144" w:rsidRPr="00F62144">
        <w:rPr>
          <w:rFonts w:asciiTheme="minorHAnsi" w:hAnsiTheme="minorHAnsi"/>
          <w:sz w:val="22"/>
          <w:szCs w:val="22"/>
        </w:rPr>
        <w:t xml:space="preserve">proposed </w:t>
      </w:r>
      <w:r w:rsidRPr="00F62144">
        <w:rPr>
          <w:rFonts w:asciiTheme="minorHAnsi" w:hAnsiTheme="minorHAnsi"/>
          <w:sz w:val="22"/>
          <w:szCs w:val="22"/>
        </w:rPr>
        <w:t>termination date</w:t>
      </w:r>
      <w:r w:rsidR="00343632" w:rsidRPr="00F62144">
        <w:rPr>
          <w:rFonts w:asciiTheme="minorHAnsi" w:hAnsiTheme="minorHAnsi"/>
          <w:sz w:val="22"/>
          <w:szCs w:val="22"/>
        </w:rPr>
        <w:t xml:space="preserve"> </w:t>
      </w:r>
      <w:r w:rsidRPr="00F62144">
        <w:rPr>
          <w:rFonts w:asciiTheme="minorHAnsi" w:hAnsiTheme="minorHAnsi"/>
          <w:sz w:val="22"/>
          <w:szCs w:val="22"/>
        </w:rPr>
        <w:t xml:space="preserve">in </w:t>
      </w:r>
      <w:r w:rsidR="00CE0EAE" w:rsidRPr="00F62144">
        <w:rPr>
          <w:rFonts w:asciiTheme="minorHAnsi" w:hAnsiTheme="minorHAnsi"/>
          <w:sz w:val="22"/>
          <w:szCs w:val="22"/>
        </w:rPr>
        <w:t xml:space="preserve">a </w:t>
      </w:r>
      <w:r w:rsidRPr="00F62144">
        <w:rPr>
          <w:rFonts w:asciiTheme="minorHAnsi" w:hAnsiTheme="minorHAnsi"/>
          <w:sz w:val="22"/>
          <w:szCs w:val="22"/>
        </w:rPr>
        <w:t xml:space="preserve">prior year — Your plan qualifies for this exemption if notices of intent to terminate in a standard termination were issued in accordance with ERISA section 4041(a)(2), setting forth a proposed termination date before the beginning of the Premium Payment Year.  </w:t>
      </w:r>
    </w:p>
    <w:p w14:paraId="06967824" w14:textId="77777777" w:rsidR="007F7865" w:rsidRDefault="006608CC" w:rsidP="007519EE">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To qualify for this exemption, it is not necessary that the plan make a final distribution of assets during the </w:t>
      </w:r>
      <w:r w:rsidR="002B5144" w:rsidRPr="00F62144">
        <w:rPr>
          <w:rFonts w:asciiTheme="minorHAnsi" w:hAnsiTheme="minorHAnsi"/>
          <w:sz w:val="22"/>
          <w:szCs w:val="22"/>
        </w:rPr>
        <w:t>P</w:t>
      </w:r>
      <w:r w:rsidRPr="00F62144">
        <w:rPr>
          <w:rFonts w:asciiTheme="minorHAnsi" w:hAnsiTheme="minorHAnsi"/>
          <w:sz w:val="22"/>
          <w:szCs w:val="22"/>
        </w:rPr>
        <w:t xml:space="preserve">remium </w:t>
      </w:r>
      <w:r w:rsidR="002B5144" w:rsidRPr="00F62144">
        <w:rPr>
          <w:rFonts w:asciiTheme="minorHAnsi" w:hAnsiTheme="minorHAnsi"/>
          <w:sz w:val="22"/>
          <w:szCs w:val="22"/>
        </w:rPr>
        <w:t>P</w:t>
      </w:r>
      <w:r w:rsidRPr="00F62144">
        <w:rPr>
          <w:rFonts w:asciiTheme="minorHAnsi" w:hAnsiTheme="minorHAnsi"/>
          <w:sz w:val="22"/>
          <w:szCs w:val="22"/>
        </w:rPr>
        <w:t xml:space="preserve">ayment </w:t>
      </w:r>
      <w:r w:rsidR="002B5144" w:rsidRPr="00F62144">
        <w:rPr>
          <w:rFonts w:asciiTheme="minorHAnsi" w:hAnsiTheme="minorHAnsi"/>
          <w:sz w:val="22"/>
          <w:szCs w:val="22"/>
        </w:rPr>
        <w:t>Y</w:t>
      </w:r>
      <w:r w:rsidRPr="00F62144">
        <w:rPr>
          <w:rFonts w:asciiTheme="minorHAnsi" w:hAnsiTheme="minorHAnsi"/>
          <w:sz w:val="22"/>
          <w:szCs w:val="22"/>
        </w:rPr>
        <w:t>ear.  However, this exemption is condition</w:t>
      </w:r>
      <w:r w:rsidR="002B5144" w:rsidRPr="00F62144">
        <w:rPr>
          <w:rFonts w:asciiTheme="minorHAnsi" w:hAnsiTheme="minorHAnsi"/>
          <w:sz w:val="22"/>
          <w:szCs w:val="22"/>
        </w:rPr>
        <w:t xml:space="preserve">ed </w:t>
      </w:r>
      <w:r w:rsidRPr="00F62144">
        <w:rPr>
          <w:rFonts w:asciiTheme="minorHAnsi" w:hAnsiTheme="minorHAnsi"/>
          <w:sz w:val="22"/>
          <w:szCs w:val="22"/>
        </w:rPr>
        <w:t xml:space="preserve">on the plan’s ultimately making a final distribution of assets in full satisfaction of its obligations under the standard termination.  If </w:t>
      </w:r>
      <w:r w:rsidR="00343632" w:rsidRPr="00F62144">
        <w:rPr>
          <w:rFonts w:asciiTheme="minorHAnsi" w:hAnsiTheme="minorHAnsi"/>
          <w:sz w:val="22"/>
          <w:szCs w:val="22"/>
        </w:rPr>
        <w:t xml:space="preserve">that doesn’t happen, </w:t>
      </w:r>
      <w:r w:rsidRPr="00F62144">
        <w:rPr>
          <w:rFonts w:asciiTheme="minorHAnsi" w:hAnsiTheme="minorHAnsi"/>
          <w:sz w:val="22"/>
          <w:szCs w:val="22"/>
        </w:rPr>
        <w:t>the premium that would otherwise have been required will be due retroactive to the applicable due date.</w:t>
      </w:r>
      <w:r w:rsidR="002B5144" w:rsidRPr="00F62144">
        <w:rPr>
          <w:rFonts w:asciiTheme="minorHAnsi" w:hAnsiTheme="minorHAnsi"/>
          <w:sz w:val="22"/>
          <w:szCs w:val="22"/>
        </w:rPr>
        <w:t xml:space="preserve"> </w:t>
      </w:r>
    </w:p>
    <w:p w14:paraId="558B9EF2" w14:textId="77777777" w:rsidR="00F12837" w:rsidRPr="00F62144" w:rsidRDefault="009414CF" w:rsidP="00023A8E">
      <w:pPr>
        <w:numPr>
          <w:ilvl w:val="0"/>
          <w:numId w:val="16"/>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Plans </w:t>
      </w:r>
      <w:r w:rsidR="00F12837" w:rsidRPr="00F62144">
        <w:rPr>
          <w:rFonts w:asciiTheme="minorHAnsi" w:hAnsiTheme="minorHAnsi"/>
          <w:sz w:val="22"/>
          <w:szCs w:val="22"/>
        </w:rPr>
        <w:t xml:space="preserve">with no vested participants – Your plan qualifies for this exemption if the plan has no participants with vested benefits as of the UVB Valuation Date. </w:t>
      </w:r>
    </w:p>
    <w:p w14:paraId="685D87A6" w14:textId="77777777" w:rsidR="00F12837" w:rsidRPr="00F62144" w:rsidRDefault="00F12837" w:rsidP="00023A8E">
      <w:pPr>
        <w:numPr>
          <w:ilvl w:val="0"/>
          <w:numId w:val="16"/>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14:paraId="6729CE0F" w14:textId="3B6A8178" w:rsidR="00706F17" w:rsidRDefault="00F12837" w:rsidP="00F12837">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00343632" w:rsidRPr="00F62144">
        <w:rPr>
          <w:rFonts w:asciiTheme="minorHAnsi" w:hAnsiTheme="minorHAnsi"/>
          <w:bCs/>
          <w:sz w:val="22"/>
          <w:szCs w:val="22"/>
        </w:rPr>
        <w:t xml:space="preserve"> If more than one exemption applies, check all applicable boxes. </w:t>
      </w:r>
    </w:p>
    <w:p w14:paraId="7FF5B92C" w14:textId="77777777" w:rsidR="00706F17" w:rsidRDefault="00706F17">
      <w:pPr>
        <w:rPr>
          <w:rFonts w:asciiTheme="minorHAnsi" w:hAnsiTheme="minorHAnsi"/>
          <w:bCs/>
          <w:sz w:val="22"/>
          <w:szCs w:val="22"/>
        </w:rPr>
      </w:pPr>
      <w:r>
        <w:rPr>
          <w:rFonts w:asciiTheme="minorHAnsi" w:hAnsiTheme="minorHAnsi"/>
          <w:bCs/>
          <w:sz w:val="22"/>
          <w:szCs w:val="22"/>
        </w:rPr>
        <w:br w:type="page"/>
      </w:r>
    </w:p>
    <w:p w14:paraId="49D2FEB9" w14:textId="77777777" w:rsidR="00F12837" w:rsidRPr="00F62144" w:rsidRDefault="00F12837" w:rsidP="00C81731">
      <w:pPr>
        <w:autoSpaceDE w:val="0"/>
        <w:autoSpaceDN w:val="0"/>
        <w:adjustRightInd w:val="0"/>
        <w:spacing w:before="120"/>
        <w:ind w:left="360" w:hanging="180"/>
        <w:rPr>
          <w:rFonts w:asciiTheme="minorHAnsi" w:hAnsiTheme="minorHAnsi"/>
          <w:sz w:val="22"/>
          <w:szCs w:val="22"/>
        </w:rPr>
      </w:pPr>
      <w:bookmarkStart w:id="63" w:name="b24"/>
      <w:bookmarkEnd w:id="63"/>
      <w:r w:rsidRPr="00F62144">
        <w:rPr>
          <w:rFonts w:asciiTheme="minorHAnsi" w:hAnsiTheme="minorHAnsi"/>
          <w:b/>
          <w:sz w:val="22"/>
          <w:szCs w:val="22"/>
        </w:rPr>
        <w:t>b</w:t>
      </w:r>
      <w:r w:rsidRPr="00F62144">
        <w:rPr>
          <w:rFonts w:asciiTheme="minorHAnsi" w:hAnsiTheme="minorHAnsi"/>
          <w:sz w:val="22"/>
          <w:szCs w:val="22"/>
        </w:rPr>
        <w:tab/>
      </w:r>
      <w:r w:rsidR="00844DDA" w:rsidRPr="00F62144">
        <w:rPr>
          <w:rFonts w:asciiTheme="minorHAnsi" w:hAnsiTheme="minorHAnsi"/>
          <w:sz w:val="22"/>
          <w:szCs w:val="22"/>
        </w:rPr>
        <w:t>Small</w:t>
      </w:r>
      <w:r w:rsidR="005F4D70" w:rsidRPr="00F62144">
        <w:rPr>
          <w:rFonts w:asciiTheme="minorHAnsi" w:hAnsiTheme="minorHAnsi"/>
          <w:sz w:val="22"/>
          <w:szCs w:val="22"/>
        </w:rPr>
        <w:t>-</w:t>
      </w:r>
      <w:r w:rsidR="00723074" w:rsidRPr="00F62144">
        <w:rPr>
          <w:rFonts w:asciiTheme="minorHAnsi" w:hAnsiTheme="minorHAnsi"/>
          <w:sz w:val="22"/>
          <w:szCs w:val="22"/>
        </w:rPr>
        <w:t>E</w:t>
      </w:r>
      <w:r w:rsidR="00844DDA" w:rsidRPr="00F62144">
        <w:rPr>
          <w:rFonts w:asciiTheme="minorHAnsi" w:hAnsiTheme="minorHAnsi"/>
          <w:sz w:val="22"/>
          <w:szCs w:val="22"/>
        </w:rPr>
        <w:t xml:space="preserve">mployer </w:t>
      </w:r>
      <w:r w:rsidR="00723074" w:rsidRPr="00F62144">
        <w:rPr>
          <w:rFonts w:asciiTheme="minorHAnsi" w:hAnsiTheme="minorHAnsi"/>
          <w:sz w:val="22"/>
          <w:szCs w:val="22"/>
        </w:rPr>
        <w:t>C</w:t>
      </w:r>
      <w:r w:rsidRPr="00F62144">
        <w:rPr>
          <w:rFonts w:asciiTheme="minorHAnsi" w:hAnsiTheme="minorHAnsi"/>
          <w:sz w:val="22"/>
          <w:szCs w:val="22"/>
        </w:rPr>
        <w:t>ap qualification – If the plan qualifies as a small</w:t>
      </w:r>
      <w:r w:rsidR="005F4D70" w:rsidRPr="00F62144">
        <w:rPr>
          <w:rFonts w:asciiTheme="minorHAnsi" w:hAnsiTheme="minorHAnsi"/>
          <w:sz w:val="22"/>
          <w:szCs w:val="22"/>
        </w:rPr>
        <w:t>-</w:t>
      </w:r>
      <w:r w:rsidRPr="00F62144">
        <w:rPr>
          <w:rFonts w:asciiTheme="minorHAnsi" w:hAnsiTheme="minorHAnsi"/>
          <w:sz w:val="22"/>
          <w:szCs w:val="22"/>
        </w:rPr>
        <w:t xml:space="preserve">employer plan, the Variable-rate Premium </w:t>
      </w:r>
      <w:r w:rsidR="00844DDA" w:rsidRPr="00F62144">
        <w:rPr>
          <w:rFonts w:asciiTheme="minorHAnsi" w:hAnsiTheme="minorHAnsi"/>
          <w:sz w:val="22"/>
          <w:szCs w:val="22"/>
        </w:rPr>
        <w:t xml:space="preserve">may be </w:t>
      </w:r>
      <w:r w:rsidRPr="00F62144">
        <w:rPr>
          <w:rFonts w:asciiTheme="minorHAnsi" w:hAnsiTheme="minorHAnsi"/>
          <w:sz w:val="22"/>
          <w:szCs w:val="22"/>
        </w:rPr>
        <w:t>capped at a</w:t>
      </w:r>
      <w:r w:rsidR="00844DDA" w:rsidRPr="00F62144">
        <w:rPr>
          <w:rFonts w:asciiTheme="minorHAnsi" w:hAnsiTheme="minorHAnsi"/>
          <w:sz w:val="22"/>
          <w:szCs w:val="22"/>
        </w:rPr>
        <w:t>n</w:t>
      </w:r>
      <w:r w:rsidRPr="00F62144">
        <w:rPr>
          <w:rFonts w:asciiTheme="minorHAnsi" w:hAnsiTheme="minorHAnsi"/>
          <w:sz w:val="22"/>
          <w:szCs w:val="22"/>
        </w:rPr>
        <w:t xml:space="preserve"> amount </w:t>
      </w:r>
      <w:r w:rsidR="00844DDA" w:rsidRPr="00F62144">
        <w:rPr>
          <w:rFonts w:asciiTheme="minorHAnsi" w:hAnsiTheme="minorHAnsi"/>
          <w:sz w:val="22"/>
          <w:szCs w:val="22"/>
        </w:rPr>
        <w:t xml:space="preserve">lower than the </w:t>
      </w:r>
      <w:r w:rsidR="00BF780D" w:rsidRPr="00F62144">
        <w:rPr>
          <w:rFonts w:asciiTheme="minorHAnsi" w:hAnsiTheme="minorHAnsi"/>
          <w:sz w:val="22"/>
          <w:szCs w:val="22"/>
        </w:rPr>
        <w:t>MAP</w:t>
      </w:r>
      <w:r w:rsidR="00D90687" w:rsidRPr="00F62144">
        <w:rPr>
          <w:rFonts w:asciiTheme="minorHAnsi" w:hAnsiTheme="minorHAnsi"/>
          <w:sz w:val="22"/>
          <w:szCs w:val="22"/>
        </w:rPr>
        <w:noBreakHyphen/>
      </w:r>
      <w:r w:rsidR="00BF780D" w:rsidRPr="00F62144">
        <w:rPr>
          <w:rFonts w:asciiTheme="minorHAnsi" w:hAnsiTheme="minorHAnsi"/>
          <w:sz w:val="22"/>
          <w:szCs w:val="22"/>
        </w:rPr>
        <w:t>21</w:t>
      </w:r>
      <w:r w:rsidR="00844DDA" w:rsidRPr="00F62144">
        <w:rPr>
          <w:rFonts w:asciiTheme="minorHAnsi" w:hAnsiTheme="minorHAnsi"/>
          <w:sz w:val="22"/>
          <w:szCs w:val="22"/>
        </w:rPr>
        <w:t xml:space="preserve"> </w:t>
      </w:r>
      <w:r w:rsidR="007D75C6" w:rsidRPr="00F62144">
        <w:rPr>
          <w:rFonts w:asciiTheme="minorHAnsi" w:hAnsiTheme="minorHAnsi"/>
          <w:sz w:val="22"/>
          <w:szCs w:val="22"/>
        </w:rPr>
        <w:t>C</w:t>
      </w:r>
      <w:r w:rsidR="00844DDA" w:rsidRPr="00F62144">
        <w:rPr>
          <w:rFonts w:asciiTheme="minorHAnsi" w:hAnsiTheme="minorHAnsi"/>
          <w:sz w:val="22"/>
          <w:szCs w:val="22"/>
        </w:rPr>
        <w:t>ap</w:t>
      </w:r>
      <w:r w:rsidRPr="00F62144">
        <w:rPr>
          <w:rFonts w:asciiTheme="minorHAnsi" w:hAnsiTheme="minorHAnsi"/>
          <w:sz w:val="22"/>
          <w:szCs w:val="22"/>
        </w:rPr>
        <w:t>.</w:t>
      </w:r>
    </w:p>
    <w:p w14:paraId="3E82E0EA" w14:textId="77777777" w:rsidR="00F12837" w:rsidRPr="00F62144" w:rsidRDefault="00F12837" w:rsidP="007260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00600DCB" w:rsidRPr="00F62144">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00843F26" w:rsidRPr="00F62144">
        <w:rPr>
          <w:rFonts w:asciiTheme="minorHAnsi" w:hAnsiTheme="minorHAnsi"/>
          <w:i/>
          <w:sz w:val="22"/>
          <w:szCs w:val="22"/>
        </w:rPr>
        <w:t>S</w:t>
      </w:r>
      <w:r w:rsidR="00844DDA" w:rsidRPr="00F62144">
        <w:rPr>
          <w:rFonts w:asciiTheme="minorHAnsi" w:hAnsiTheme="minorHAnsi"/>
          <w:i/>
          <w:sz w:val="22"/>
          <w:szCs w:val="22"/>
        </w:rPr>
        <w:t>mall</w:t>
      </w:r>
      <w:r w:rsidR="005F4D70" w:rsidRPr="00F62144">
        <w:rPr>
          <w:rFonts w:asciiTheme="minorHAnsi" w:hAnsiTheme="minorHAnsi"/>
          <w:i/>
          <w:sz w:val="22"/>
          <w:szCs w:val="22"/>
        </w:rPr>
        <w:t>-</w:t>
      </w:r>
      <w:r w:rsidR="00843F26" w:rsidRPr="00F62144">
        <w:rPr>
          <w:rFonts w:asciiTheme="minorHAnsi" w:hAnsiTheme="minorHAnsi"/>
          <w:i/>
          <w:sz w:val="22"/>
          <w:szCs w:val="22"/>
        </w:rPr>
        <w:t>E</w:t>
      </w:r>
      <w:r w:rsidR="00844DDA" w:rsidRPr="00F62144">
        <w:rPr>
          <w:rFonts w:asciiTheme="minorHAnsi" w:hAnsiTheme="minorHAnsi"/>
          <w:i/>
          <w:sz w:val="22"/>
          <w:szCs w:val="22"/>
        </w:rPr>
        <w:t xml:space="preserve">mployer </w:t>
      </w:r>
      <w:r w:rsidR="00843F26" w:rsidRPr="00F62144">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14:paraId="3DFB4574" w14:textId="77777777" w:rsidR="00F12837" w:rsidRPr="00F62144" w:rsidRDefault="00F12837" w:rsidP="00023A8E">
      <w:pPr>
        <w:numPr>
          <w:ilvl w:val="0"/>
          <w:numId w:val="34"/>
        </w:numPr>
        <w:tabs>
          <w:tab w:val="clear" w:pos="1200"/>
        </w:tabs>
        <w:autoSpaceDE w:val="0"/>
        <w:autoSpaceDN w:val="0"/>
        <w:adjustRightInd w:val="0"/>
        <w:spacing w:before="120"/>
        <w:ind w:left="720"/>
        <w:rPr>
          <w:rFonts w:asciiTheme="minorHAnsi" w:hAnsiTheme="minorHAnsi"/>
          <w:sz w:val="28"/>
          <w:szCs w:val="28"/>
        </w:rPr>
      </w:pPr>
      <w:r w:rsidRPr="00F62144">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14:paraId="6BA441D0" w14:textId="77777777" w:rsidR="00F12837" w:rsidRPr="00F62144" w:rsidRDefault="00F12837" w:rsidP="00023A8E">
      <w:pPr>
        <w:numPr>
          <w:ilvl w:val="0"/>
          <w:numId w:val="34"/>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14:paraId="177DBE21" w14:textId="77777777" w:rsidR="00F12837" w:rsidRPr="00F62144" w:rsidRDefault="00F12837" w:rsidP="00023A8E">
      <w:pPr>
        <w:numPr>
          <w:ilvl w:val="0"/>
          <w:numId w:val="34"/>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14:paraId="4DF3AB50" w14:textId="77777777" w:rsidR="00F12837" w:rsidRPr="00F62144" w:rsidRDefault="00F12837" w:rsidP="00F12837">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participants does not necessarily qualify for the </w:t>
      </w:r>
      <w:r w:rsidR="00843F26" w:rsidRPr="00F62144">
        <w:rPr>
          <w:rFonts w:asciiTheme="minorHAnsi" w:hAnsiTheme="minorHAnsi"/>
          <w:bCs/>
          <w:sz w:val="22"/>
          <w:szCs w:val="22"/>
        </w:rPr>
        <w:t>S</w:t>
      </w:r>
      <w:r w:rsidR="00844DDA" w:rsidRPr="00F62144">
        <w:rPr>
          <w:rFonts w:asciiTheme="minorHAnsi" w:hAnsiTheme="minorHAnsi"/>
          <w:bCs/>
          <w:sz w:val="22"/>
          <w:szCs w:val="22"/>
        </w:rPr>
        <w:t>mall</w:t>
      </w:r>
      <w:r w:rsidR="005F4D70" w:rsidRPr="00F62144">
        <w:rPr>
          <w:rFonts w:asciiTheme="minorHAnsi" w:hAnsiTheme="minorHAnsi"/>
          <w:bCs/>
          <w:sz w:val="22"/>
          <w:szCs w:val="22"/>
        </w:rPr>
        <w:t>-</w:t>
      </w:r>
      <w:r w:rsidR="00843F26" w:rsidRPr="00F62144">
        <w:rPr>
          <w:rFonts w:asciiTheme="minorHAnsi" w:hAnsiTheme="minorHAnsi"/>
          <w:bCs/>
          <w:sz w:val="22"/>
          <w:szCs w:val="22"/>
        </w:rPr>
        <w:t>E</w:t>
      </w:r>
      <w:r w:rsidR="00844DDA" w:rsidRPr="00F62144">
        <w:rPr>
          <w:rFonts w:asciiTheme="minorHAnsi" w:hAnsiTheme="minorHAnsi"/>
          <w:bCs/>
          <w:sz w:val="22"/>
          <w:szCs w:val="22"/>
        </w:rPr>
        <w:t xml:space="preserve">mployer </w:t>
      </w:r>
      <w:r w:rsidR="00843F26" w:rsidRPr="00F62144">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 For example, if a plan has 15 participants, but there are more than 25 employees (taking into account all employees of all contributing sponsors of the plan and all members of their controlled groups), the plan does not qualify for the cap.</w:t>
      </w:r>
    </w:p>
    <w:p w14:paraId="1800062A" w14:textId="77777777" w:rsidR="00F12837" w:rsidRPr="00F62144" w:rsidRDefault="00F12837" w:rsidP="00F12837">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Also note that a plan with more than 25 participants might qualify for the cap. For example, consider a contributing sponsor with 20 employees, all of whom are participants in a plan. If the plan also covers 15 former employees who are either terminated vested or retired, there are 35 participants in total. This plan would qualify for the cap (assuming there are no other contributing sponsors and no controlled group members).</w:t>
      </w:r>
    </w:p>
    <w:p w14:paraId="53F93486" w14:textId="77777777" w:rsidR="00F12837" w:rsidRPr="00F62144" w:rsidRDefault="00F12837" w:rsidP="007260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 xml:space="preserve">If your plan qualifies for this cap, check the box to report that fact. </w:t>
      </w:r>
    </w:p>
    <w:p w14:paraId="1A60EC85" w14:textId="77777777" w:rsidR="00740E53" w:rsidRPr="00F62144" w:rsidRDefault="00F12837" w:rsidP="00E4545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002161E7" w:rsidRPr="00F62144">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002161E7" w:rsidRPr="00F62144">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002161E7" w:rsidRPr="00F62144">
        <w:rPr>
          <w:rFonts w:asciiTheme="minorHAnsi" w:hAnsiTheme="minorHAnsi"/>
          <w:sz w:val="22"/>
          <w:szCs w:val="22"/>
        </w:rPr>
        <w:t xml:space="preserve">only </w:t>
      </w:r>
      <w:r w:rsidRPr="00F62144">
        <w:rPr>
          <w:rFonts w:asciiTheme="minorHAnsi" w:hAnsiTheme="minorHAnsi"/>
          <w:sz w:val="22"/>
          <w:szCs w:val="22"/>
        </w:rPr>
        <w:t>the maximum Variable-rate Premium.</w:t>
      </w:r>
    </w:p>
    <w:p w14:paraId="135E7D1D" w14:textId="77777777" w:rsidR="00F12837" w:rsidRPr="00F62144" w:rsidRDefault="00F12837" w:rsidP="00E4545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002161E7" w:rsidRPr="00F62144">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00740E53" w:rsidRPr="00F62144">
        <w:rPr>
          <w:rFonts w:asciiTheme="minorHAnsi" w:hAnsiTheme="minorHAnsi"/>
          <w:sz w:val="22"/>
          <w:szCs w:val="22"/>
          <w:u w:val="single"/>
        </w:rPr>
        <w:t>all</w:t>
      </w:r>
      <w:r w:rsidR="00740E53" w:rsidRPr="00F62144">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00D90687" w:rsidRPr="00F62144">
        <w:rPr>
          <w:rFonts w:asciiTheme="minorHAnsi" w:hAnsiTheme="minorHAnsi"/>
          <w:sz w:val="22"/>
          <w:szCs w:val="22"/>
        </w:rPr>
        <w:t>h</w:t>
      </w:r>
      <w:r w:rsidRPr="00F62144">
        <w:rPr>
          <w:rFonts w:asciiTheme="minorHAnsi" w:hAnsiTheme="minorHAnsi"/>
          <w:sz w:val="22"/>
          <w:szCs w:val="22"/>
        </w:rPr>
        <w:t>. Note that if you choose to pay the maximum Variable-rate Premium without determining whether it is less than the uncapped Variable-rate Premium, you may pay a larger Variable-rate Premium than required.</w:t>
      </w:r>
    </w:p>
    <w:p w14:paraId="2AF2905D" w14:textId="77777777" w:rsidR="007F7865" w:rsidRPr="00F62144" w:rsidRDefault="00F12837" w:rsidP="007F7865">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003C2339" w:rsidRPr="00F62144">
        <w:rPr>
          <w:rFonts w:asciiTheme="minorHAnsi" w:hAnsiTheme="minorHAnsi"/>
          <w:sz w:val="22"/>
          <w:szCs w:val="22"/>
        </w:rPr>
        <w:t xml:space="preserve">Assumptions and </w:t>
      </w:r>
      <w:r w:rsidR="0042239F" w:rsidRPr="00F62144">
        <w:rPr>
          <w:rFonts w:asciiTheme="minorHAnsi" w:hAnsiTheme="minorHAnsi"/>
          <w:sz w:val="22"/>
          <w:szCs w:val="22"/>
        </w:rPr>
        <w:t>m</w:t>
      </w:r>
      <w:r w:rsidR="003C2339" w:rsidRPr="00F62144">
        <w:rPr>
          <w:rFonts w:asciiTheme="minorHAnsi" w:hAnsiTheme="minorHAnsi"/>
          <w:sz w:val="22"/>
          <w:szCs w:val="22"/>
        </w:rPr>
        <w:t>ethods used to determine Premium Funding Target</w:t>
      </w:r>
      <w:r w:rsidR="007F2094" w:rsidRPr="00F62144">
        <w:rPr>
          <w:rFonts w:asciiTheme="minorHAnsi" w:hAnsiTheme="minorHAnsi"/>
          <w:sz w:val="22"/>
          <w:szCs w:val="22"/>
        </w:rPr>
        <w:t xml:space="preserve"> </w:t>
      </w:r>
    </w:p>
    <w:p w14:paraId="3698F68F" w14:textId="77777777" w:rsidR="0042239F" w:rsidRPr="00F62144" w:rsidRDefault="0042239F" w:rsidP="00023A8E">
      <w:pPr>
        <w:numPr>
          <w:ilvl w:val="0"/>
          <w:numId w:val="4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Premium Funding Target method – Report whether you are using the Standard Premium Funding Target or the Alternative Premium Funding Target to determine unfunded vested benefits by checking the applicable box (</w:t>
      </w:r>
      <w:r w:rsidRPr="00F62144">
        <w:rPr>
          <w:rFonts w:asciiTheme="minorHAnsi" w:hAnsiTheme="minorHAnsi"/>
          <w:i/>
          <w:sz w:val="22"/>
          <w:szCs w:val="22"/>
        </w:rPr>
        <w:t>i.e.</w:t>
      </w:r>
      <w:r w:rsidRPr="00F62144">
        <w:rPr>
          <w:rFonts w:asciiTheme="minorHAnsi" w:hAnsiTheme="minorHAnsi"/>
          <w:sz w:val="22"/>
          <w:szCs w:val="22"/>
        </w:rPr>
        <w:t>, “Standard” or “Alternative”).</w:t>
      </w:r>
      <w:r w:rsidR="006B15DF" w:rsidRPr="00F62144">
        <w:rPr>
          <w:rFonts w:asciiTheme="minorHAnsi" w:hAnsiTheme="minorHAnsi"/>
          <w:sz w:val="22"/>
          <w:szCs w:val="22"/>
        </w:rPr>
        <w:t xml:space="preserve">  </w:t>
      </w:r>
      <w:r w:rsidR="00C6481A" w:rsidRPr="00F62144">
        <w:rPr>
          <w:rFonts w:asciiTheme="minorHAnsi" w:hAnsiTheme="minorHAnsi"/>
          <w:sz w:val="22"/>
          <w:szCs w:val="22"/>
        </w:rPr>
        <w:t>Note</w:t>
      </w:r>
      <w:r w:rsidR="006B15DF" w:rsidRPr="00F62144">
        <w:rPr>
          <w:rFonts w:asciiTheme="minorHAnsi" w:hAnsiTheme="minorHAnsi"/>
          <w:sz w:val="22"/>
          <w:szCs w:val="22"/>
        </w:rPr>
        <w:t xml:space="preserve"> that:</w:t>
      </w:r>
    </w:p>
    <w:p w14:paraId="25379D53" w14:textId="77777777" w:rsidR="00C6481A" w:rsidRPr="00F62144" w:rsidRDefault="006B15DF" w:rsidP="00023A8E">
      <w:pPr>
        <w:numPr>
          <w:ilvl w:val="0"/>
          <w:numId w:val="24"/>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0042239F" w:rsidRPr="00F62144">
        <w:rPr>
          <w:rFonts w:asciiTheme="minorHAnsi" w:hAnsiTheme="minorHAnsi"/>
          <w:sz w:val="22"/>
          <w:szCs w:val="22"/>
        </w:rPr>
        <w:t>he standard method must be used unless an election to use the alternative method is in effect.</w:t>
      </w:r>
      <w:r w:rsidR="002F7C36" w:rsidRPr="00F62144">
        <w:rPr>
          <w:rFonts w:asciiTheme="minorHAnsi" w:hAnsiTheme="minorHAnsi"/>
          <w:sz w:val="22"/>
          <w:szCs w:val="22"/>
        </w:rPr>
        <w:t xml:space="preserve"> </w:t>
      </w:r>
    </w:p>
    <w:p w14:paraId="619B36AB" w14:textId="77777777" w:rsidR="00224E8C" w:rsidRPr="00F62144" w:rsidRDefault="00224E8C" w:rsidP="00023A8E">
      <w:pPr>
        <w:numPr>
          <w:ilvl w:val="0"/>
          <w:numId w:val="24"/>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  This is the case only if a valid election:</w:t>
      </w:r>
    </w:p>
    <w:p w14:paraId="1A8D1CD5" w14:textId="77777777" w:rsidR="00224E8C" w:rsidRPr="00F62144" w:rsidRDefault="00224E8C" w:rsidP="00023A8E">
      <w:pPr>
        <w:numPr>
          <w:ilvl w:val="1"/>
          <w:numId w:val="46"/>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14:paraId="3297E1A2" w14:textId="77777777" w:rsidR="00224E8C" w:rsidRPr="00F62144" w:rsidRDefault="00224E8C" w:rsidP="00023A8E">
      <w:pPr>
        <w:numPr>
          <w:ilvl w:val="1"/>
          <w:numId w:val="46"/>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14:paraId="07B7DDEB" w14:textId="77777777" w:rsidR="00224E8C" w:rsidRPr="00F62144" w:rsidRDefault="00224E8C" w:rsidP="00023A8E">
      <w:pPr>
        <w:numPr>
          <w:ilvl w:val="0"/>
          <w:numId w:val="24"/>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Filers are encouraged to review prior filings or to review the Account History on My PAA to confirm whether an election to use the alternative method is in effect.</w:t>
      </w:r>
    </w:p>
    <w:p w14:paraId="33C94096" w14:textId="77777777" w:rsidR="00224E8C" w:rsidRPr="00F62144" w:rsidRDefault="00224E8C" w:rsidP="00023A8E">
      <w:pPr>
        <w:numPr>
          <w:ilvl w:val="0"/>
          <w:numId w:val="24"/>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b25"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14:paraId="4ABF8785" w14:textId="77777777" w:rsidR="008F254E" w:rsidRPr="00F62144" w:rsidRDefault="008F254E" w:rsidP="00C6481A">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00224E8C" w:rsidRPr="00F62144">
        <w:rPr>
          <w:rFonts w:asciiTheme="minorHAnsi" w:hAnsiTheme="minorHAnsi"/>
          <w:sz w:val="22"/>
          <w:szCs w:val="22"/>
        </w:rPr>
        <w:t xml:space="preserve"> on Premium Funding Target methods</w:t>
      </w:r>
      <w:r w:rsidR="004C013A" w:rsidRPr="00F62144">
        <w:rPr>
          <w:rFonts w:asciiTheme="minorHAnsi" w:hAnsiTheme="minorHAnsi"/>
          <w:sz w:val="22"/>
          <w:szCs w:val="22"/>
        </w:rPr>
        <w:t xml:space="preserve">, </w:t>
      </w:r>
      <w:r w:rsidRPr="00F62144">
        <w:rPr>
          <w:rFonts w:asciiTheme="minorHAnsi" w:hAnsiTheme="minorHAnsi"/>
          <w:sz w:val="22"/>
          <w:szCs w:val="22"/>
        </w:rPr>
        <w:t>see “</w:t>
      </w:r>
      <w:hyperlink w:anchor="b9"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14:paraId="30BEC8AB" w14:textId="77777777" w:rsidR="0042239F" w:rsidRPr="00F62144" w:rsidRDefault="0042239F" w:rsidP="004618BC">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4618BC" w:rsidRPr="00F62144">
        <w:rPr>
          <w:rFonts w:asciiTheme="minorHAnsi" w:hAnsiTheme="minorHAnsi"/>
          <w:sz w:val="22"/>
          <w:szCs w:val="22"/>
        </w:rPr>
        <w:t xml:space="preserve">Discount rates – Report </w:t>
      </w:r>
      <w:r w:rsidRPr="00F62144">
        <w:rPr>
          <w:rFonts w:asciiTheme="minorHAnsi" w:hAnsiTheme="minorHAnsi"/>
          <w:sz w:val="22"/>
          <w:szCs w:val="22"/>
        </w:rPr>
        <w:t xml:space="preserve">the discount rates used to determine the Premium Funding Target. </w:t>
      </w:r>
      <w:r w:rsidR="004618BC" w:rsidRPr="00F62144">
        <w:rPr>
          <w:rFonts w:asciiTheme="minorHAnsi" w:hAnsiTheme="minorHAnsi"/>
          <w:sz w:val="22"/>
          <w:szCs w:val="22"/>
        </w:rPr>
        <w:t xml:space="preserve"> For information on </w:t>
      </w:r>
      <w:r w:rsidR="00564C0B" w:rsidRPr="00F62144">
        <w:rPr>
          <w:rFonts w:asciiTheme="minorHAnsi" w:hAnsiTheme="minorHAnsi"/>
          <w:sz w:val="22"/>
          <w:szCs w:val="22"/>
        </w:rPr>
        <w:t>which rates to use, see “</w:t>
      </w:r>
      <w:hyperlink w:anchor="b9" w:history="1">
        <w:r w:rsidR="00564C0B" w:rsidRPr="00F62144">
          <w:rPr>
            <w:rStyle w:val="Hyperlink"/>
            <w:rFonts w:asciiTheme="minorHAnsi" w:hAnsiTheme="minorHAnsi"/>
            <w:sz w:val="22"/>
            <w:szCs w:val="22"/>
          </w:rPr>
          <w:t>How to Determine Unfunded Vested Benefits</w:t>
        </w:r>
      </w:hyperlink>
      <w:r w:rsidR="00564C0B" w:rsidRPr="00F62144">
        <w:rPr>
          <w:rFonts w:asciiTheme="minorHAnsi" w:hAnsiTheme="minorHAnsi"/>
          <w:sz w:val="22"/>
          <w:szCs w:val="22"/>
        </w:rPr>
        <w:t>” section.</w:t>
      </w:r>
    </w:p>
    <w:p w14:paraId="22250950" w14:textId="77777777" w:rsidR="00EA5627" w:rsidRPr="00F62144" w:rsidRDefault="0042239F" w:rsidP="00EA5627">
      <w:pPr>
        <w:spacing w:before="120"/>
        <w:ind w:left="720" w:hanging="360"/>
        <w:rPr>
          <w:rFonts w:ascii="Calibri" w:hAnsi="Calibri"/>
          <w:b/>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UVB Valuation Date – Report the UVB Valuation Date for the Premium Payment Year. </w:t>
      </w:r>
      <w:r w:rsidR="00564C0B" w:rsidRPr="00F62144">
        <w:rPr>
          <w:rFonts w:asciiTheme="minorHAnsi" w:hAnsiTheme="minorHAnsi"/>
          <w:sz w:val="22"/>
          <w:szCs w:val="22"/>
        </w:rPr>
        <w:t xml:space="preserve"> </w:t>
      </w:r>
      <w:r w:rsidR="005249E0" w:rsidRPr="00F62144">
        <w:rPr>
          <w:rFonts w:asciiTheme="minorHAnsi" w:hAnsiTheme="minorHAnsi"/>
          <w:sz w:val="22"/>
          <w:szCs w:val="22"/>
        </w:rPr>
        <w:t>In the case of a</w:t>
      </w:r>
      <w:r w:rsidR="00343632" w:rsidRPr="00F62144">
        <w:rPr>
          <w:rFonts w:asciiTheme="minorHAnsi" w:hAnsiTheme="minorHAnsi"/>
          <w:sz w:val="22"/>
          <w:szCs w:val="22"/>
        </w:rPr>
        <w:t xml:space="preserve"> </w:t>
      </w:r>
      <w:r w:rsidR="005249E0" w:rsidRPr="00F62144">
        <w:rPr>
          <w:rFonts w:asciiTheme="minorHAnsi" w:hAnsiTheme="minorHAnsi"/>
          <w:sz w:val="22"/>
          <w:szCs w:val="22"/>
        </w:rPr>
        <w:t xml:space="preserve">Small Plan </w:t>
      </w:r>
      <w:r w:rsidR="00193E5D" w:rsidRPr="00F62144">
        <w:rPr>
          <w:rFonts w:asciiTheme="minorHAnsi" w:hAnsiTheme="minorHAnsi"/>
          <w:sz w:val="22"/>
          <w:szCs w:val="22"/>
        </w:rPr>
        <w:t xml:space="preserve">using </w:t>
      </w:r>
      <w:r w:rsidR="005249E0" w:rsidRPr="00F62144">
        <w:rPr>
          <w:rFonts w:asciiTheme="minorHAnsi" w:hAnsiTheme="minorHAnsi"/>
          <w:sz w:val="22"/>
          <w:szCs w:val="22"/>
        </w:rPr>
        <w:t xml:space="preserve">the Lookback Rule, this date must be the valuation date for the </w:t>
      </w:r>
      <w:r w:rsidR="00C86987" w:rsidRPr="00F62144">
        <w:rPr>
          <w:rFonts w:asciiTheme="minorHAnsi" w:hAnsiTheme="minorHAnsi"/>
          <w:sz w:val="22"/>
          <w:szCs w:val="22"/>
        </w:rPr>
        <w:t>Lookback Year</w:t>
      </w:r>
      <w:r w:rsidR="005249E0" w:rsidRPr="00F62144">
        <w:rPr>
          <w:rFonts w:asciiTheme="minorHAnsi" w:hAnsiTheme="minorHAnsi"/>
          <w:sz w:val="22"/>
          <w:szCs w:val="22"/>
        </w:rPr>
        <w:t>.</w:t>
      </w:r>
      <w:r w:rsidR="00343632" w:rsidRPr="00F62144">
        <w:rPr>
          <w:rFonts w:asciiTheme="minorHAnsi" w:hAnsiTheme="minorHAnsi"/>
          <w:sz w:val="22"/>
          <w:szCs w:val="22"/>
        </w:rPr>
        <w:t xml:space="preserve"> For </w:t>
      </w:r>
      <w:r w:rsidR="009414CF" w:rsidRPr="00F62144">
        <w:rPr>
          <w:rFonts w:asciiTheme="minorHAnsi" w:hAnsiTheme="minorHAnsi"/>
          <w:sz w:val="22"/>
          <w:szCs w:val="22"/>
        </w:rPr>
        <w:t>a</w:t>
      </w:r>
      <w:r w:rsidR="005249E0" w:rsidRPr="00F62144">
        <w:rPr>
          <w:rFonts w:asciiTheme="minorHAnsi" w:hAnsiTheme="minorHAnsi"/>
          <w:sz w:val="22"/>
          <w:szCs w:val="22"/>
        </w:rPr>
        <w:t>ny other plan</w:t>
      </w:r>
      <w:r w:rsidR="00B61A72" w:rsidRPr="00F62144">
        <w:rPr>
          <w:rFonts w:asciiTheme="minorHAnsi" w:hAnsiTheme="minorHAnsi"/>
          <w:sz w:val="22"/>
          <w:szCs w:val="22"/>
        </w:rPr>
        <w:t xml:space="preserve"> </w:t>
      </w:r>
      <w:r w:rsidR="005249E0" w:rsidRPr="00F62144">
        <w:rPr>
          <w:rFonts w:asciiTheme="minorHAnsi" w:hAnsiTheme="minorHAnsi"/>
          <w:sz w:val="22"/>
          <w:szCs w:val="22"/>
        </w:rPr>
        <w:t xml:space="preserve">this date must be the valuation date for the </w:t>
      </w:r>
      <w:r w:rsidR="00C86987" w:rsidRPr="00F62144">
        <w:rPr>
          <w:rFonts w:asciiTheme="minorHAnsi" w:hAnsiTheme="minorHAnsi"/>
          <w:sz w:val="22"/>
          <w:szCs w:val="22"/>
        </w:rPr>
        <w:t>Premium Payment Y</w:t>
      </w:r>
      <w:r w:rsidR="005249E0" w:rsidRPr="00F62144">
        <w:rPr>
          <w:rFonts w:asciiTheme="minorHAnsi" w:hAnsiTheme="minorHAnsi"/>
          <w:sz w:val="22"/>
          <w:szCs w:val="22"/>
        </w:rPr>
        <w:t>ear.</w:t>
      </w:r>
      <w:r w:rsidR="00564C0B" w:rsidRPr="00F62144">
        <w:rPr>
          <w:rFonts w:asciiTheme="minorHAnsi" w:hAnsiTheme="minorHAnsi"/>
          <w:sz w:val="22"/>
          <w:szCs w:val="22"/>
        </w:rPr>
        <w:t xml:space="preserve">  </w:t>
      </w:r>
      <w:r w:rsidR="00EA5627" w:rsidRPr="00F62144">
        <w:rPr>
          <w:rFonts w:ascii="Calibri" w:hAnsi="Calibri"/>
          <w:b/>
          <w:sz w:val="22"/>
          <w:szCs w:val="22"/>
        </w:rPr>
        <w:t>Note for Small Plans - For information about whether you should be using the Lookback Rule, see “</w:t>
      </w:r>
      <w:hyperlink w:anchor="b9" w:history="1">
        <w:r w:rsidR="00EA5627" w:rsidRPr="00F62144">
          <w:rPr>
            <w:rStyle w:val="Hyperlink"/>
            <w:rFonts w:ascii="Calibri" w:hAnsi="Calibri"/>
            <w:b/>
            <w:sz w:val="22"/>
            <w:szCs w:val="22"/>
          </w:rPr>
          <w:t>How to Determine Unfunded Vested Benefits</w:t>
        </w:r>
      </w:hyperlink>
      <w:r w:rsidR="00EA5627" w:rsidRPr="00F62144">
        <w:rPr>
          <w:rFonts w:ascii="Calibri" w:hAnsi="Calibri"/>
          <w:b/>
          <w:sz w:val="22"/>
          <w:szCs w:val="22"/>
        </w:rPr>
        <w:t>” section.</w:t>
      </w:r>
    </w:p>
    <w:p w14:paraId="01E2F697" w14:textId="77777777" w:rsidR="000F6D5B" w:rsidRPr="00F62144" w:rsidRDefault="000F6D5B" w:rsidP="000F6D5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r>
      <w:bookmarkStart w:id="64" w:name="b14"/>
      <w:bookmarkEnd w:id="64"/>
      <w:r w:rsidRPr="00F62144">
        <w:rPr>
          <w:rFonts w:asciiTheme="minorHAnsi" w:hAnsiTheme="minorHAnsi"/>
          <w:sz w:val="22"/>
          <w:szCs w:val="22"/>
        </w:rPr>
        <w:t>Premium Funding Target as of UVB Valuation Date</w:t>
      </w:r>
    </w:p>
    <w:p w14:paraId="7B1ABEFE" w14:textId="77777777" w:rsidR="009414CF" w:rsidRPr="00F62144" w:rsidRDefault="009414CF" w:rsidP="00CE75D4">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00CE75D4" w:rsidRPr="00F62144">
        <w:rPr>
          <w:rFonts w:asciiTheme="minorHAnsi" w:hAnsiTheme="minorHAnsi"/>
          <w:sz w:val="22"/>
          <w:szCs w:val="22"/>
        </w:rPr>
        <w:t xml:space="preserve"> calculated as described in the </w:t>
      </w:r>
      <w:r w:rsidR="00152C49" w:rsidRPr="00F62144">
        <w:rPr>
          <w:rFonts w:asciiTheme="minorHAnsi" w:hAnsiTheme="minorHAnsi"/>
          <w:sz w:val="22"/>
          <w:szCs w:val="22"/>
        </w:rPr>
        <w:t xml:space="preserve">Premium Funding Target part of the </w:t>
      </w:r>
      <w:r w:rsidR="00CE75D4" w:rsidRPr="00F62144">
        <w:rPr>
          <w:rFonts w:asciiTheme="minorHAnsi" w:hAnsiTheme="minorHAnsi"/>
          <w:sz w:val="22"/>
          <w:szCs w:val="22"/>
        </w:rPr>
        <w:t>“</w:t>
      </w:r>
      <w:hyperlink w:anchor="b9" w:history="1">
        <w:r w:rsidR="00CE75D4" w:rsidRPr="00F62144">
          <w:rPr>
            <w:rStyle w:val="Hyperlink"/>
            <w:rFonts w:asciiTheme="minorHAnsi" w:hAnsiTheme="minorHAnsi"/>
            <w:sz w:val="22"/>
            <w:szCs w:val="22"/>
          </w:rPr>
          <w:t>How to Determine Unfunded Vested Benefits</w:t>
        </w:r>
      </w:hyperlink>
      <w:r w:rsidR="00CE75D4" w:rsidRPr="00F62144">
        <w:rPr>
          <w:rFonts w:asciiTheme="minorHAnsi" w:hAnsiTheme="minorHAnsi"/>
          <w:sz w:val="22"/>
          <w:szCs w:val="22"/>
        </w:rPr>
        <w:t>” section.  Report the amount separately f</w:t>
      </w:r>
      <w:r w:rsidRPr="00F62144">
        <w:rPr>
          <w:rFonts w:asciiTheme="minorHAnsi" w:hAnsiTheme="minorHAnsi"/>
          <w:sz w:val="22"/>
          <w:szCs w:val="22"/>
        </w:rPr>
        <w:t>or (1) active participants, (2) terminated vested participants, (3) retirees and beneficiaries receiving payment, and (4) the total premium funding target ((1)+(2)+(3)).</w:t>
      </w:r>
      <w:r w:rsidR="00CE75D4" w:rsidRPr="00F62144">
        <w:rPr>
          <w:rFonts w:asciiTheme="minorHAnsi" w:hAnsiTheme="minorHAnsi"/>
          <w:sz w:val="22"/>
          <w:szCs w:val="22"/>
        </w:rPr>
        <w:t xml:space="preserve"> </w:t>
      </w:r>
    </w:p>
    <w:p w14:paraId="4C1E02B2" w14:textId="77777777" w:rsidR="00D34776" w:rsidRPr="00F62144" w:rsidRDefault="009414CF" w:rsidP="00A460B3">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Targets</w:t>
      </w:r>
      <w:r w:rsidRPr="00F62144">
        <w:rPr>
          <w:rFonts w:asciiTheme="minorHAnsi" w:hAnsiTheme="minorHAnsi"/>
          <w:sz w:val="22"/>
          <w:szCs w:val="22"/>
        </w:rPr>
        <w:t xml:space="preserve"> – </w:t>
      </w:r>
      <w:r w:rsidR="00D34776" w:rsidRPr="00F62144">
        <w:rPr>
          <w:rFonts w:asciiTheme="minorHAnsi" w:hAnsiTheme="minorHAnsi"/>
          <w:sz w:val="22"/>
          <w:szCs w:val="22"/>
        </w:rPr>
        <w:t xml:space="preserve">If the Premium Funding Target (and thus, the Variable-rate Premium) being reported in this filing is an estimate, check the box to report that fact. </w:t>
      </w:r>
      <w:r w:rsidR="00CE75D4" w:rsidRPr="00F62144">
        <w:rPr>
          <w:rFonts w:asciiTheme="minorHAnsi" w:hAnsiTheme="minorHAnsi"/>
          <w:sz w:val="22"/>
          <w:szCs w:val="22"/>
        </w:rPr>
        <w:t>I</w:t>
      </w:r>
      <w:r w:rsidR="00D34776" w:rsidRPr="00F62144">
        <w:rPr>
          <w:rFonts w:asciiTheme="minorHAnsi" w:hAnsiTheme="minorHAnsi"/>
          <w:sz w:val="22"/>
          <w:szCs w:val="22"/>
        </w:rPr>
        <w:t xml:space="preserve">f you file on an estimated basis, you must ultimately make a reconciliation filing using the actual Premium Funding Target (by amending this filing). In the reconciliation filing, in addition to reporting the actual Premium Funding Target data, be sure to indicate that the reported amount is no longer an estimate by making sure the “estimate” box is no longer checked. See </w:t>
      </w:r>
      <w:r w:rsidR="006D5C26" w:rsidRPr="00F62144">
        <w:rPr>
          <w:rFonts w:asciiTheme="minorHAnsi" w:hAnsiTheme="minorHAnsi"/>
          <w:sz w:val="22"/>
          <w:szCs w:val="22"/>
        </w:rPr>
        <w:t>“</w:t>
      </w:r>
      <w:hyperlink w:anchor="b6" w:history="1">
        <w:r w:rsidR="006D5C26" w:rsidRPr="00F62144">
          <w:rPr>
            <w:rStyle w:val="Hyperlink"/>
            <w:rFonts w:asciiTheme="minorHAnsi" w:hAnsiTheme="minorHAnsi"/>
            <w:sz w:val="22"/>
            <w:szCs w:val="22"/>
          </w:rPr>
          <w:t>Cor</w:t>
        </w:r>
        <w:r w:rsidR="00A8171A" w:rsidRPr="00F62144">
          <w:rPr>
            <w:rStyle w:val="Hyperlink"/>
            <w:rFonts w:asciiTheme="minorHAnsi" w:hAnsiTheme="minorHAnsi"/>
            <w:sz w:val="22"/>
            <w:szCs w:val="22"/>
          </w:rPr>
          <w:t>recting Errors, Credit Balances and</w:t>
        </w:r>
        <w:r w:rsidR="006D5C26" w:rsidRPr="00F62144">
          <w:rPr>
            <w:rStyle w:val="Hyperlink"/>
            <w:rFonts w:asciiTheme="minorHAnsi" w:hAnsiTheme="minorHAnsi"/>
            <w:sz w:val="22"/>
            <w:szCs w:val="22"/>
          </w:rPr>
          <w:t xml:space="preserve"> Reconciling Estimates</w:t>
        </w:r>
      </w:hyperlink>
      <w:r w:rsidR="00471C5D" w:rsidRPr="00F62144">
        <w:rPr>
          <w:rFonts w:asciiTheme="minorHAnsi" w:hAnsiTheme="minorHAnsi"/>
          <w:sz w:val="22"/>
          <w:szCs w:val="22"/>
        </w:rPr>
        <w:t xml:space="preserve">” </w:t>
      </w:r>
      <w:r w:rsidR="00D34776" w:rsidRPr="00F62144">
        <w:rPr>
          <w:rFonts w:asciiTheme="minorHAnsi" w:hAnsiTheme="minorHAnsi"/>
          <w:sz w:val="22"/>
          <w:szCs w:val="22"/>
        </w:rPr>
        <w:t>section</w:t>
      </w:r>
      <w:r w:rsidR="00AF1F13" w:rsidRPr="00F62144">
        <w:rPr>
          <w:rFonts w:asciiTheme="minorHAnsi" w:hAnsiTheme="minorHAnsi"/>
          <w:sz w:val="22"/>
          <w:szCs w:val="22"/>
        </w:rPr>
        <w:t xml:space="preserve"> for more information</w:t>
      </w:r>
      <w:r w:rsidR="00D34776" w:rsidRPr="00F62144">
        <w:rPr>
          <w:rFonts w:asciiTheme="minorHAnsi" w:hAnsiTheme="minorHAnsi"/>
          <w:sz w:val="22"/>
          <w:szCs w:val="22"/>
        </w:rPr>
        <w:t xml:space="preserve">. </w:t>
      </w:r>
      <w:r w:rsidR="00A460B3" w:rsidRPr="00F62144">
        <w:rPr>
          <w:rFonts w:asciiTheme="minorHAnsi" w:hAnsiTheme="minorHAnsi"/>
          <w:sz w:val="22"/>
          <w:szCs w:val="22"/>
        </w:rPr>
        <w:t>See also the “</w:t>
      </w:r>
      <w:hyperlink w:anchor="b10" w:history="1">
        <w:r w:rsidR="00A460B3" w:rsidRPr="00F62144">
          <w:rPr>
            <w:rStyle w:val="Hyperlink"/>
            <w:rFonts w:asciiTheme="minorHAnsi" w:hAnsiTheme="minorHAnsi"/>
            <w:sz w:val="22"/>
            <w:szCs w:val="22"/>
          </w:rPr>
          <w:t>Late Payment Charges</w:t>
        </w:r>
      </w:hyperlink>
      <w:r w:rsidR="00A460B3" w:rsidRPr="00F62144">
        <w:rPr>
          <w:rFonts w:asciiTheme="minorHAnsi" w:hAnsiTheme="minorHAnsi"/>
          <w:sz w:val="22"/>
          <w:szCs w:val="22"/>
        </w:rPr>
        <w:t xml:space="preserve">” section for information on the automatic late payment penalty relief that may be available to plans paying estimated Variable-rate Premiums </w:t>
      </w:r>
      <w:r w:rsidR="00235167" w:rsidRPr="00F62144">
        <w:rPr>
          <w:rFonts w:asciiTheme="minorHAnsi" w:hAnsiTheme="minorHAnsi"/>
          <w:sz w:val="22"/>
          <w:szCs w:val="22"/>
        </w:rPr>
        <w:t>by the due date and later reconciling</w:t>
      </w:r>
      <w:r w:rsidR="00A460B3" w:rsidRPr="00F62144">
        <w:rPr>
          <w:rFonts w:asciiTheme="minorHAnsi" w:hAnsiTheme="minorHAnsi"/>
          <w:sz w:val="22"/>
          <w:szCs w:val="22"/>
        </w:rPr>
        <w:t xml:space="preserve">. </w:t>
      </w:r>
    </w:p>
    <w:p w14:paraId="365A5123" w14:textId="77777777" w:rsidR="00F12837" w:rsidRPr="00F62144" w:rsidRDefault="00F12837" w:rsidP="00F12837">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0059737A" w:rsidRPr="00F62144">
        <w:rPr>
          <w:rFonts w:asciiTheme="minorHAnsi" w:hAnsiTheme="minorHAnsi"/>
          <w:sz w:val="22"/>
          <w:szCs w:val="22"/>
        </w:rPr>
        <w:t xml:space="preserve"> described in the “</w:t>
      </w:r>
      <w:hyperlink w:anchor="b9" w:history="1">
        <w:r w:rsidR="00A460B3" w:rsidRPr="00F62144">
          <w:rPr>
            <w:rStyle w:val="Hyperlink"/>
            <w:rFonts w:asciiTheme="minorHAnsi" w:hAnsiTheme="minorHAnsi"/>
            <w:sz w:val="22"/>
            <w:szCs w:val="22"/>
          </w:rPr>
          <w:t>H</w:t>
        </w:r>
        <w:r w:rsidR="0059737A" w:rsidRPr="00F62144">
          <w:rPr>
            <w:rStyle w:val="Hyperlink"/>
            <w:rFonts w:asciiTheme="minorHAnsi" w:hAnsiTheme="minorHAnsi"/>
            <w:sz w:val="22"/>
            <w:szCs w:val="22"/>
          </w:rPr>
          <w:t>ow to Determine Unfunded Vested Benefits</w:t>
        </w:r>
      </w:hyperlink>
      <w:r w:rsidR="0059737A" w:rsidRPr="00F62144">
        <w:rPr>
          <w:rFonts w:asciiTheme="minorHAnsi" w:hAnsiTheme="minorHAnsi"/>
          <w:sz w:val="22"/>
          <w:szCs w:val="22"/>
        </w:rPr>
        <w:t>” section</w:t>
      </w:r>
      <w:r w:rsidR="005C4B09" w:rsidRPr="00F62144">
        <w:rPr>
          <w:rFonts w:asciiTheme="minorHAnsi" w:hAnsiTheme="minorHAnsi"/>
          <w:sz w:val="22"/>
          <w:szCs w:val="22"/>
        </w:rPr>
        <w:t>.</w:t>
      </w:r>
    </w:p>
    <w:p w14:paraId="41E789D3" w14:textId="77777777" w:rsidR="00F12837" w:rsidRPr="00F62144" w:rsidRDefault="00F12837" w:rsidP="00F80CA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14:paraId="6A9F42E2" w14:textId="346B4BEE" w:rsidR="00F12837" w:rsidRPr="00F62144" w:rsidRDefault="00F12837" w:rsidP="00F80CA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0055632D" w:rsidRPr="00F62144">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0055632D" w:rsidRPr="00F62144">
        <w:rPr>
          <w:rFonts w:asciiTheme="minorHAnsi" w:hAnsiTheme="minorHAnsi"/>
          <w:sz w:val="22"/>
          <w:szCs w:val="22"/>
        </w:rPr>
        <w:t>–</w:t>
      </w:r>
      <w:r w:rsidR="009414CF" w:rsidRPr="00F62144">
        <w:rPr>
          <w:rFonts w:asciiTheme="minorHAnsi" w:hAnsiTheme="minorHAnsi"/>
          <w:sz w:val="22"/>
          <w:szCs w:val="22"/>
        </w:rPr>
        <w:t xml:space="preserve"> </w:t>
      </w:r>
      <w:r w:rsidR="00D3007E" w:rsidRPr="00F62144">
        <w:rPr>
          <w:rFonts w:asciiTheme="minorHAnsi" w:hAnsiTheme="minorHAnsi"/>
          <w:sz w:val="22"/>
          <w:szCs w:val="22"/>
        </w:rPr>
        <w:t>Report</w:t>
      </w:r>
      <w:r w:rsidR="00BF780D" w:rsidRPr="00F62144">
        <w:rPr>
          <w:rFonts w:asciiTheme="minorHAnsi" w:hAnsiTheme="minorHAnsi"/>
          <w:sz w:val="22"/>
          <w:szCs w:val="22"/>
        </w:rPr>
        <w:t xml:space="preserve"> the product of</w:t>
      </w:r>
      <w:r w:rsidR="00CB4483" w:rsidRPr="00F62144">
        <w:rPr>
          <w:rFonts w:asciiTheme="minorHAnsi" w:hAnsiTheme="minorHAnsi"/>
          <w:sz w:val="22"/>
          <w:szCs w:val="22"/>
        </w:rPr>
        <w:t xml:space="preserve"> </w:t>
      </w:r>
      <w:r w:rsidR="003957F5">
        <w:rPr>
          <w:rFonts w:asciiTheme="minorHAnsi" w:hAnsiTheme="minorHAnsi"/>
          <w:sz w:val="22"/>
          <w:szCs w:val="22"/>
        </w:rPr>
        <w:t>0.0</w:t>
      </w:r>
      <w:r w:rsidR="008522FD">
        <w:rPr>
          <w:rFonts w:asciiTheme="minorHAnsi" w:hAnsiTheme="minorHAnsi"/>
          <w:sz w:val="22"/>
          <w:szCs w:val="22"/>
        </w:rPr>
        <w:t>38</w:t>
      </w:r>
      <w:r w:rsidR="00AD7ED5" w:rsidRPr="00F62144">
        <w:rPr>
          <w:rFonts w:asciiTheme="minorHAnsi" w:hAnsiTheme="minorHAnsi"/>
          <w:sz w:val="22"/>
          <w:szCs w:val="22"/>
        </w:rPr>
        <w:t xml:space="preserve"> </w:t>
      </w:r>
      <w:r w:rsidR="00BF780D" w:rsidRPr="00F62144">
        <w:rPr>
          <w:rFonts w:asciiTheme="minorHAnsi" w:hAnsiTheme="minorHAnsi"/>
          <w:sz w:val="22"/>
          <w:szCs w:val="22"/>
        </w:rPr>
        <w:t>and the amount of unfunded vested benefits.</w:t>
      </w:r>
      <w:r w:rsidR="00BF780D" w:rsidRPr="00F62144" w:rsidDel="00BF780D">
        <w:rPr>
          <w:rFonts w:asciiTheme="minorHAnsi" w:hAnsiTheme="minorHAnsi"/>
          <w:sz w:val="22"/>
          <w:szCs w:val="22"/>
        </w:rPr>
        <w:t xml:space="preserve"> </w:t>
      </w:r>
    </w:p>
    <w:p w14:paraId="7AD5D321" w14:textId="77777777" w:rsidR="00BF780D" w:rsidRPr="00F62144" w:rsidRDefault="0055632D" w:rsidP="00F80CA2">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sz w:val="22"/>
          <w:szCs w:val="22"/>
        </w:rPr>
        <w:t>Maximum</w:t>
      </w:r>
      <w:r w:rsidR="00BF780D" w:rsidRPr="00F62144">
        <w:rPr>
          <w:rFonts w:asciiTheme="minorHAnsi" w:hAnsiTheme="minorHAnsi"/>
          <w:sz w:val="22"/>
          <w:szCs w:val="22"/>
        </w:rPr>
        <w:t xml:space="preserve"> Variable-rate Premium</w:t>
      </w:r>
    </w:p>
    <w:p w14:paraId="7811A2EE" w14:textId="77777777" w:rsidR="00917114" w:rsidRPr="00F62144" w:rsidRDefault="00F12837" w:rsidP="00F80CA2">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b/>
          <w:sz w:val="22"/>
          <w:szCs w:val="22"/>
        </w:rPr>
        <w:tab/>
      </w:r>
      <w:r w:rsidR="00BF780D" w:rsidRPr="00F62144">
        <w:rPr>
          <w:rFonts w:asciiTheme="minorHAnsi" w:hAnsiTheme="minorHAnsi"/>
          <w:sz w:val="22"/>
          <w:szCs w:val="22"/>
        </w:rPr>
        <w:t xml:space="preserve">MAP-21 </w:t>
      </w:r>
      <w:r w:rsidR="0055632D" w:rsidRPr="00F62144">
        <w:rPr>
          <w:rFonts w:asciiTheme="minorHAnsi" w:hAnsiTheme="minorHAnsi"/>
          <w:sz w:val="22"/>
          <w:szCs w:val="22"/>
        </w:rPr>
        <w:t>C</w:t>
      </w:r>
      <w:r w:rsidR="00BF780D" w:rsidRPr="00F62144">
        <w:rPr>
          <w:rFonts w:asciiTheme="minorHAnsi" w:hAnsiTheme="minorHAnsi"/>
          <w:sz w:val="22"/>
          <w:szCs w:val="22"/>
        </w:rPr>
        <w:t>ap</w:t>
      </w:r>
      <w:r w:rsidR="00BF780D" w:rsidRPr="00F62144">
        <w:rPr>
          <w:rFonts w:asciiTheme="minorHAnsi" w:hAnsiTheme="minorHAnsi"/>
          <w:b/>
          <w:sz w:val="22"/>
          <w:szCs w:val="22"/>
        </w:rPr>
        <w:t xml:space="preserve"> </w:t>
      </w:r>
      <w:r w:rsidR="00BF780D" w:rsidRPr="00F62144">
        <w:rPr>
          <w:rFonts w:asciiTheme="minorHAnsi" w:hAnsiTheme="minorHAnsi"/>
          <w:sz w:val="22"/>
          <w:szCs w:val="22"/>
        </w:rPr>
        <w:t xml:space="preserve">– </w:t>
      </w:r>
      <w:r w:rsidR="00471C5D" w:rsidRPr="00F62144">
        <w:rPr>
          <w:rFonts w:asciiTheme="minorHAnsi" w:hAnsiTheme="minorHAnsi"/>
          <w:sz w:val="22"/>
          <w:szCs w:val="22"/>
        </w:rPr>
        <w:t xml:space="preserve">Report the product of the </w:t>
      </w:r>
      <w:r w:rsidR="00BF780D" w:rsidRPr="00F62144">
        <w:rPr>
          <w:rFonts w:asciiTheme="minorHAnsi" w:hAnsiTheme="minorHAnsi"/>
          <w:sz w:val="22"/>
          <w:szCs w:val="22"/>
        </w:rPr>
        <w:t>Participant Count</w:t>
      </w:r>
      <w:r w:rsidR="0001692D" w:rsidRPr="00F62144">
        <w:rPr>
          <w:rFonts w:asciiTheme="minorHAnsi" w:hAnsiTheme="minorHAnsi"/>
          <w:sz w:val="22"/>
          <w:szCs w:val="22"/>
        </w:rPr>
        <w:t xml:space="preserve"> </w:t>
      </w:r>
      <w:r w:rsidR="00471C5D" w:rsidRPr="00F62144">
        <w:rPr>
          <w:rFonts w:asciiTheme="minorHAnsi" w:hAnsiTheme="minorHAnsi"/>
          <w:sz w:val="22"/>
          <w:szCs w:val="22"/>
        </w:rPr>
        <w:t xml:space="preserve">and </w:t>
      </w:r>
      <w:r w:rsidR="00F5669A">
        <w:rPr>
          <w:rFonts w:asciiTheme="minorHAnsi" w:hAnsiTheme="minorHAnsi"/>
          <w:sz w:val="22"/>
          <w:szCs w:val="22"/>
        </w:rPr>
        <w:t>$</w:t>
      </w:r>
      <w:r w:rsidR="00760494">
        <w:rPr>
          <w:rFonts w:asciiTheme="minorHAnsi" w:hAnsiTheme="minorHAnsi"/>
          <w:sz w:val="22"/>
          <w:szCs w:val="22"/>
        </w:rPr>
        <w:t>523</w:t>
      </w:r>
      <w:r w:rsidR="00F5669A">
        <w:rPr>
          <w:rFonts w:asciiTheme="minorHAnsi" w:hAnsiTheme="minorHAnsi"/>
          <w:sz w:val="22"/>
          <w:szCs w:val="22"/>
        </w:rPr>
        <w:t>.</w:t>
      </w:r>
    </w:p>
    <w:p w14:paraId="57A46DBC" w14:textId="77777777" w:rsidR="00F12837" w:rsidRPr="00F62144" w:rsidRDefault="00917114" w:rsidP="00274614">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 xml:space="preserve">(2)  </w:t>
      </w:r>
      <w:r w:rsidRPr="00F62144">
        <w:rPr>
          <w:rFonts w:asciiTheme="minorHAnsi" w:hAnsiTheme="minorHAnsi"/>
          <w:sz w:val="22"/>
          <w:szCs w:val="22"/>
        </w:rPr>
        <w:t xml:space="preserve">Small </w:t>
      </w:r>
      <w:r w:rsidR="00843F26" w:rsidRPr="00F62144">
        <w:rPr>
          <w:rFonts w:asciiTheme="minorHAnsi" w:hAnsiTheme="minorHAnsi"/>
          <w:sz w:val="22"/>
          <w:szCs w:val="22"/>
        </w:rPr>
        <w:t>E</w:t>
      </w:r>
      <w:r w:rsidRPr="00F62144">
        <w:rPr>
          <w:rFonts w:asciiTheme="minorHAnsi" w:hAnsiTheme="minorHAnsi"/>
          <w:sz w:val="22"/>
          <w:szCs w:val="22"/>
        </w:rPr>
        <w:t xml:space="preserve">mployer </w:t>
      </w:r>
      <w:r w:rsidR="00843F26" w:rsidRPr="00F62144">
        <w:rPr>
          <w:rFonts w:asciiTheme="minorHAnsi" w:hAnsiTheme="minorHAnsi"/>
          <w:sz w:val="22"/>
          <w:szCs w:val="22"/>
        </w:rPr>
        <w:t>C</w:t>
      </w:r>
      <w:r w:rsidRPr="00F62144">
        <w:rPr>
          <w:rFonts w:asciiTheme="minorHAnsi" w:hAnsiTheme="minorHAnsi"/>
          <w:sz w:val="22"/>
          <w:szCs w:val="22"/>
        </w:rPr>
        <w:t>ap</w:t>
      </w:r>
      <w:r w:rsidR="00274614" w:rsidRPr="00F62144">
        <w:rPr>
          <w:rFonts w:asciiTheme="minorHAnsi" w:hAnsiTheme="minorHAnsi"/>
          <w:sz w:val="22"/>
          <w:szCs w:val="22"/>
        </w:rPr>
        <w:t xml:space="preserve"> </w:t>
      </w:r>
      <w:r w:rsidR="00F12837" w:rsidRPr="00F62144">
        <w:rPr>
          <w:rFonts w:asciiTheme="minorHAnsi" w:hAnsiTheme="minorHAnsi"/>
          <w:sz w:val="22"/>
          <w:szCs w:val="22"/>
        </w:rPr>
        <w:t>–</w:t>
      </w:r>
      <w:r w:rsidR="00274614" w:rsidRPr="00F62144">
        <w:rPr>
          <w:rFonts w:asciiTheme="minorHAnsi" w:hAnsiTheme="minorHAnsi"/>
          <w:sz w:val="22"/>
          <w:szCs w:val="22"/>
        </w:rPr>
        <w:t xml:space="preserve"> </w:t>
      </w:r>
      <w:r w:rsidR="00471C5D" w:rsidRPr="00F62144">
        <w:rPr>
          <w:rFonts w:asciiTheme="minorHAnsi" w:hAnsiTheme="minorHAnsi"/>
          <w:sz w:val="22"/>
          <w:szCs w:val="22"/>
        </w:rPr>
        <w:t>Report the product of $5 and the Par</w:t>
      </w:r>
      <w:r w:rsidR="00F12837" w:rsidRPr="00F62144">
        <w:rPr>
          <w:rFonts w:asciiTheme="minorHAnsi" w:hAnsiTheme="minorHAnsi"/>
          <w:sz w:val="22"/>
          <w:szCs w:val="22"/>
        </w:rPr>
        <w:t xml:space="preserve">ticipant Count </w:t>
      </w:r>
      <w:r w:rsidR="00471C5D" w:rsidRPr="00F62144">
        <w:rPr>
          <w:rFonts w:asciiTheme="minorHAnsi" w:hAnsiTheme="minorHAnsi"/>
          <w:sz w:val="22"/>
          <w:szCs w:val="22"/>
        </w:rPr>
        <w:t>squared</w:t>
      </w:r>
      <w:r w:rsidR="00F12837" w:rsidRPr="00F62144">
        <w:rPr>
          <w:rFonts w:asciiTheme="minorHAnsi" w:hAnsiTheme="minorHAnsi"/>
          <w:sz w:val="22"/>
          <w:szCs w:val="22"/>
        </w:rPr>
        <w:t xml:space="preserve">. </w:t>
      </w:r>
      <w:r w:rsidR="00F12837" w:rsidRPr="00F62144">
        <w:rPr>
          <w:rFonts w:asciiTheme="minorHAnsi" w:hAnsiTheme="minorHAnsi"/>
          <w:i/>
          <w:sz w:val="22"/>
          <w:szCs w:val="22"/>
        </w:rPr>
        <w:t xml:space="preserve">If the plan does not qualify for the </w:t>
      </w:r>
      <w:r w:rsidR="00843F26" w:rsidRPr="00F62144">
        <w:rPr>
          <w:rFonts w:asciiTheme="minorHAnsi" w:hAnsiTheme="minorHAnsi"/>
          <w:i/>
          <w:sz w:val="22"/>
          <w:szCs w:val="22"/>
        </w:rPr>
        <w:t>S</w:t>
      </w:r>
      <w:r w:rsidR="0055632D" w:rsidRPr="00F62144">
        <w:rPr>
          <w:rFonts w:asciiTheme="minorHAnsi" w:hAnsiTheme="minorHAnsi"/>
          <w:i/>
          <w:sz w:val="22"/>
          <w:szCs w:val="22"/>
        </w:rPr>
        <w:t>mall</w:t>
      </w:r>
      <w:r w:rsidR="001E4355" w:rsidRPr="00F62144">
        <w:rPr>
          <w:rFonts w:asciiTheme="minorHAnsi" w:hAnsiTheme="minorHAnsi"/>
          <w:i/>
          <w:sz w:val="22"/>
          <w:szCs w:val="22"/>
        </w:rPr>
        <w:t xml:space="preserve"> </w:t>
      </w:r>
      <w:r w:rsidR="00843F26" w:rsidRPr="00F62144">
        <w:rPr>
          <w:rFonts w:asciiTheme="minorHAnsi" w:hAnsiTheme="minorHAnsi"/>
          <w:i/>
          <w:sz w:val="22"/>
          <w:szCs w:val="22"/>
        </w:rPr>
        <w:t>E</w:t>
      </w:r>
      <w:r w:rsidR="001E4355" w:rsidRPr="00F62144">
        <w:rPr>
          <w:rFonts w:asciiTheme="minorHAnsi" w:hAnsiTheme="minorHAnsi"/>
          <w:i/>
          <w:sz w:val="22"/>
          <w:szCs w:val="22"/>
        </w:rPr>
        <w:t>mployer</w:t>
      </w:r>
      <w:r w:rsidR="00F12837" w:rsidRPr="00F62144">
        <w:rPr>
          <w:rFonts w:asciiTheme="minorHAnsi" w:hAnsiTheme="minorHAnsi"/>
          <w:i/>
          <w:sz w:val="22"/>
          <w:szCs w:val="22"/>
        </w:rPr>
        <w:t xml:space="preserve"> </w:t>
      </w:r>
      <w:r w:rsidR="00843F26" w:rsidRPr="00F62144">
        <w:rPr>
          <w:rFonts w:asciiTheme="minorHAnsi" w:hAnsiTheme="minorHAnsi"/>
          <w:i/>
          <w:sz w:val="22"/>
          <w:szCs w:val="22"/>
        </w:rPr>
        <w:t>C</w:t>
      </w:r>
      <w:r w:rsidR="00F12837" w:rsidRPr="00F62144">
        <w:rPr>
          <w:rFonts w:asciiTheme="minorHAnsi" w:hAnsiTheme="minorHAnsi"/>
          <w:i/>
          <w:sz w:val="22"/>
          <w:szCs w:val="22"/>
        </w:rPr>
        <w:t>ap, this item must be left blank.</w:t>
      </w:r>
    </w:p>
    <w:p w14:paraId="5A12A714" w14:textId="77777777" w:rsidR="00274614" w:rsidRPr="00F62144" w:rsidRDefault="00F12837" w:rsidP="00274614">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00917114" w:rsidRPr="00F62144">
        <w:rPr>
          <w:rFonts w:asciiTheme="minorHAnsi" w:hAnsiTheme="minorHAnsi"/>
          <w:sz w:val="22"/>
          <w:szCs w:val="22"/>
        </w:rPr>
        <w:t>Maximum</w:t>
      </w:r>
      <w:r w:rsidR="00917114" w:rsidRPr="00F62144">
        <w:rPr>
          <w:rFonts w:asciiTheme="minorHAnsi" w:hAnsiTheme="minorHAnsi"/>
          <w:b/>
          <w:sz w:val="22"/>
          <w:szCs w:val="22"/>
        </w:rPr>
        <w:t xml:space="preserve"> </w:t>
      </w:r>
      <w:r w:rsidRPr="00F62144">
        <w:rPr>
          <w:rFonts w:asciiTheme="minorHAnsi" w:hAnsiTheme="minorHAnsi"/>
          <w:sz w:val="22"/>
          <w:szCs w:val="22"/>
        </w:rPr>
        <w:t>Variable-rate Premium</w:t>
      </w:r>
      <w:r w:rsidR="001E4355" w:rsidRPr="00F62144">
        <w:rPr>
          <w:rFonts w:asciiTheme="minorHAnsi" w:hAnsiTheme="minorHAnsi"/>
          <w:sz w:val="22"/>
          <w:szCs w:val="22"/>
        </w:rPr>
        <w:t xml:space="preserve"> </w:t>
      </w:r>
      <w:r w:rsidR="00917114" w:rsidRPr="00F62144">
        <w:rPr>
          <w:rFonts w:asciiTheme="minorHAnsi" w:hAnsiTheme="minorHAnsi"/>
          <w:sz w:val="22"/>
          <w:szCs w:val="22"/>
        </w:rPr>
        <w:t>–</w:t>
      </w:r>
      <w:r w:rsidR="001E4355" w:rsidRPr="00F62144">
        <w:rPr>
          <w:rFonts w:asciiTheme="minorHAnsi" w:hAnsiTheme="minorHAnsi"/>
          <w:sz w:val="22"/>
          <w:szCs w:val="22"/>
        </w:rPr>
        <w:t xml:space="preserve"> If the plan qualifies for the </w:t>
      </w:r>
      <w:r w:rsidR="001405C5" w:rsidRPr="00F62144">
        <w:rPr>
          <w:rFonts w:asciiTheme="minorHAnsi" w:hAnsiTheme="minorHAnsi"/>
          <w:sz w:val="22"/>
          <w:szCs w:val="22"/>
        </w:rPr>
        <w:t>S</w:t>
      </w:r>
      <w:r w:rsidR="001E4355" w:rsidRPr="00F62144">
        <w:rPr>
          <w:rFonts w:asciiTheme="minorHAnsi" w:hAnsiTheme="minorHAnsi"/>
          <w:sz w:val="22"/>
          <w:szCs w:val="22"/>
        </w:rPr>
        <w:t xml:space="preserve">mall </w:t>
      </w:r>
      <w:r w:rsidR="001405C5" w:rsidRPr="00F62144">
        <w:rPr>
          <w:rFonts w:asciiTheme="minorHAnsi" w:hAnsiTheme="minorHAnsi"/>
          <w:sz w:val="22"/>
          <w:szCs w:val="22"/>
        </w:rPr>
        <w:t>E</w:t>
      </w:r>
      <w:r w:rsidR="001E4355" w:rsidRPr="00F62144">
        <w:rPr>
          <w:rFonts w:asciiTheme="minorHAnsi" w:hAnsiTheme="minorHAnsi"/>
          <w:sz w:val="22"/>
          <w:szCs w:val="22"/>
        </w:rPr>
        <w:t xml:space="preserve">mployer </w:t>
      </w:r>
      <w:r w:rsidR="001405C5" w:rsidRPr="00F62144">
        <w:rPr>
          <w:rFonts w:asciiTheme="minorHAnsi" w:hAnsiTheme="minorHAnsi"/>
          <w:sz w:val="22"/>
          <w:szCs w:val="22"/>
        </w:rPr>
        <w:t>C</w:t>
      </w:r>
      <w:r w:rsidR="001E4355" w:rsidRPr="00F62144">
        <w:rPr>
          <w:rFonts w:asciiTheme="minorHAnsi" w:hAnsiTheme="minorHAnsi"/>
          <w:sz w:val="22"/>
          <w:szCs w:val="22"/>
        </w:rPr>
        <w:t xml:space="preserve">ap, report the lesser of the </w:t>
      </w:r>
      <w:r w:rsidR="00843F26" w:rsidRPr="00F62144">
        <w:rPr>
          <w:rFonts w:asciiTheme="minorHAnsi" w:hAnsiTheme="minorHAnsi"/>
          <w:sz w:val="22"/>
          <w:szCs w:val="22"/>
        </w:rPr>
        <w:t>S</w:t>
      </w:r>
      <w:r w:rsidR="001E4355" w:rsidRPr="00F62144">
        <w:rPr>
          <w:rFonts w:asciiTheme="minorHAnsi" w:hAnsiTheme="minorHAnsi"/>
          <w:sz w:val="22"/>
          <w:szCs w:val="22"/>
        </w:rPr>
        <w:t xml:space="preserve">mall </w:t>
      </w:r>
      <w:r w:rsidR="00843F26" w:rsidRPr="00F62144">
        <w:rPr>
          <w:rFonts w:asciiTheme="minorHAnsi" w:hAnsiTheme="minorHAnsi"/>
          <w:sz w:val="22"/>
          <w:szCs w:val="22"/>
        </w:rPr>
        <w:t>E</w:t>
      </w:r>
      <w:r w:rsidR="001E4355" w:rsidRPr="00F62144">
        <w:rPr>
          <w:rFonts w:asciiTheme="minorHAnsi" w:hAnsiTheme="minorHAnsi"/>
          <w:sz w:val="22"/>
          <w:szCs w:val="22"/>
        </w:rPr>
        <w:t xml:space="preserve">mployer </w:t>
      </w:r>
      <w:r w:rsidR="00843F26" w:rsidRPr="00F62144">
        <w:rPr>
          <w:rFonts w:asciiTheme="minorHAnsi" w:hAnsiTheme="minorHAnsi"/>
          <w:sz w:val="22"/>
          <w:szCs w:val="22"/>
        </w:rPr>
        <w:t>C</w:t>
      </w:r>
      <w:r w:rsidR="001E4355" w:rsidRPr="00F62144">
        <w:rPr>
          <w:rFonts w:asciiTheme="minorHAnsi" w:hAnsiTheme="minorHAnsi"/>
          <w:sz w:val="22"/>
          <w:szCs w:val="22"/>
        </w:rPr>
        <w:t xml:space="preserve">ap and the MAP-21 </w:t>
      </w:r>
      <w:r w:rsidR="0055632D" w:rsidRPr="00F62144">
        <w:rPr>
          <w:rFonts w:asciiTheme="minorHAnsi" w:hAnsiTheme="minorHAnsi"/>
          <w:sz w:val="22"/>
          <w:szCs w:val="22"/>
        </w:rPr>
        <w:t>C</w:t>
      </w:r>
      <w:r w:rsidR="009414CF" w:rsidRPr="00F62144">
        <w:rPr>
          <w:rFonts w:asciiTheme="minorHAnsi" w:hAnsiTheme="minorHAnsi"/>
          <w:sz w:val="22"/>
          <w:szCs w:val="22"/>
        </w:rPr>
        <w:t>ap</w:t>
      </w:r>
      <w:r w:rsidR="001E4355" w:rsidRPr="00F62144">
        <w:rPr>
          <w:rFonts w:asciiTheme="minorHAnsi" w:hAnsiTheme="minorHAnsi"/>
          <w:sz w:val="22"/>
          <w:szCs w:val="22"/>
        </w:rPr>
        <w:t xml:space="preserve">.  Otherwise, report the MAP-21 </w:t>
      </w:r>
      <w:r w:rsidR="0055632D" w:rsidRPr="00F62144">
        <w:rPr>
          <w:rFonts w:asciiTheme="minorHAnsi" w:hAnsiTheme="minorHAnsi"/>
          <w:sz w:val="22"/>
          <w:szCs w:val="22"/>
        </w:rPr>
        <w:t>C</w:t>
      </w:r>
      <w:r w:rsidR="009414CF" w:rsidRPr="00F62144">
        <w:rPr>
          <w:rFonts w:asciiTheme="minorHAnsi" w:hAnsiTheme="minorHAnsi"/>
          <w:sz w:val="22"/>
          <w:szCs w:val="22"/>
        </w:rPr>
        <w:t>a</w:t>
      </w:r>
      <w:r w:rsidR="001E4355" w:rsidRPr="00F62144">
        <w:rPr>
          <w:rFonts w:asciiTheme="minorHAnsi" w:hAnsiTheme="minorHAnsi"/>
          <w:sz w:val="22"/>
          <w:szCs w:val="22"/>
        </w:rPr>
        <w:t>p.</w:t>
      </w:r>
    </w:p>
    <w:p w14:paraId="18A085AE" w14:textId="77777777" w:rsidR="001E4355" w:rsidRPr="00F62144" w:rsidRDefault="001E4355" w:rsidP="00D433E0">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001405C5" w:rsidRPr="00F62144">
        <w:rPr>
          <w:rFonts w:asciiTheme="minorHAnsi" w:hAnsiTheme="minorHAnsi"/>
          <w:sz w:val="22"/>
          <w:szCs w:val="22"/>
        </w:rPr>
        <w:t>P</w:t>
      </w:r>
      <w:r w:rsidRPr="00F62144">
        <w:rPr>
          <w:rFonts w:asciiTheme="minorHAnsi" w:hAnsiTheme="minorHAnsi"/>
          <w:sz w:val="22"/>
          <w:szCs w:val="22"/>
        </w:rPr>
        <w:t xml:space="preserve">remium and the </w:t>
      </w:r>
      <w:r w:rsidR="001405C5" w:rsidRPr="00F62144">
        <w:rPr>
          <w:rFonts w:asciiTheme="minorHAnsi" w:hAnsiTheme="minorHAnsi"/>
          <w:sz w:val="22"/>
          <w:szCs w:val="22"/>
        </w:rPr>
        <w:t>u</w:t>
      </w:r>
      <w:r w:rsidR="0055632D" w:rsidRPr="00F62144">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00843F26" w:rsidRPr="00F62144">
        <w:rPr>
          <w:rFonts w:asciiTheme="minorHAnsi" w:hAnsiTheme="minorHAnsi"/>
          <w:i/>
          <w:sz w:val="22"/>
          <w:szCs w:val="22"/>
        </w:rPr>
        <w:t>S</w:t>
      </w:r>
      <w:r w:rsidRPr="00F62144">
        <w:rPr>
          <w:rFonts w:asciiTheme="minorHAnsi" w:hAnsiTheme="minorHAnsi"/>
          <w:i/>
          <w:sz w:val="22"/>
          <w:szCs w:val="22"/>
        </w:rPr>
        <w:t>mall</w:t>
      </w:r>
      <w:r w:rsidR="00843F26" w:rsidRPr="00F62144">
        <w:rPr>
          <w:rFonts w:asciiTheme="minorHAnsi" w:hAnsiTheme="minorHAnsi"/>
          <w:i/>
          <w:sz w:val="22"/>
          <w:szCs w:val="22"/>
        </w:rPr>
        <w:t xml:space="preserve"> E</w:t>
      </w:r>
      <w:r w:rsidRPr="00F62144">
        <w:rPr>
          <w:rFonts w:asciiTheme="minorHAnsi" w:hAnsiTheme="minorHAnsi"/>
          <w:i/>
          <w:sz w:val="22"/>
          <w:szCs w:val="22"/>
        </w:rPr>
        <w:t xml:space="preserve">mployer </w:t>
      </w:r>
      <w:r w:rsidR="00843F26" w:rsidRPr="00F62144">
        <w:rPr>
          <w:rFonts w:asciiTheme="minorHAnsi" w:hAnsiTheme="minorHAnsi"/>
          <w:i/>
          <w:sz w:val="22"/>
          <w:szCs w:val="22"/>
        </w:rPr>
        <w:t>C</w:t>
      </w:r>
      <w:r w:rsidRPr="00F62144">
        <w:rPr>
          <w:rFonts w:asciiTheme="minorHAnsi" w:hAnsiTheme="minorHAnsi"/>
          <w:i/>
          <w:sz w:val="22"/>
          <w:szCs w:val="22"/>
        </w:rPr>
        <w:t>ap and chooses not to report uncapped Variable-rate premium data, report the maximum V</w:t>
      </w:r>
      <w:r w:rsidR="0001692D" w:rsidRPr="00F62144">
        <w:rPr>
          <w:rFonts w:asciiTheme="minorHAnsi" w:hAnsiTheme="minorHAnsi"/>
          <w:i/>
          <w:sz w:val="22"/>
          <w:szCs w:val="22"/>
        </w:rPr>
        <w:t>ariable-rate Premium</w:t>
      </w:r>
      <w:r w:rsidRPr="00F62144">
        <w:rPr>
          <w:rFonts w:asciiTheme="minorHAnsi" w:hAnsiTheme="minorHAnsi"/>
          <w:i/>
          <w:sz w:val="22"/>
          <w:szCs w:val="22"/>
        </w:rPr>
        <w:t>.</w:t>
      </w:r>
    </w:p>
    <w:p w14:paraId="61352EC3" w14:textId="77777777" w:rsidR="00F12837" w:rsidRPr="00F62144" w:rsidRDefault="00F12837" w:rsidP="00D433E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this is a short plan year of coverage, the required Variable-rate Premium may be a prorated portion of this amount; however, the full year’s premium amount must be reported in this item.</w:t>
      </w:r>
    </w:p>
    <w:p w14:paraId="7498B07D" w14:textId="77777777" w:rsidR="002650A8" w:rsidRPr="00F62144" w:rsidRDefault="002650A8" w:rsidP="002650A8">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14:paraId="20B7930A" w14:textId="77777777" w:rsidR="00F12837" w:rsidRPr="00F62144" w:rsidRDefault="00F12837" w:rsidP="002650A8">
      <w:pPr>
        <w:autoSpaceDE w:val="0"/>
        <w:autoSpaceDN w:val="0"/>
        <w:adjustRightInd w:val="0"/>
        <w:spacing w:before="120"/>
        <w:rPr>
          <w:rFonts w:asciiTheme="minorHAnsi" w:hAnsiTheme="minorHAnsi"/>
          <w:b/>
          <w:bCs/>
          <w:sz w:val="22"/>
          <w:szCs w:val="22"/>
        </w:rPr>
      </w:pPr>
    </w:p>
    <w:p w14:paraId="3D90A234" w14:textId="77777777" w:rsidR="00F12837" w:rsidRPr="00F62144" w:rsidRDefault="00F12837" w:rsidP="00F1283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p>
    <w:p w14:paraId="70AB67E0" w14:textId="77777777" w:rsidR="00F12837" w:rsidRPr="00F62144" w:rsidRDefault="00F12837" w:rsidP="00235A96">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Number of months in the short plan year – Report the number of months (complete and partial) in the short plan year. For this purpose, each plan month (</w:t>
      </w:r>
      <w:r w:rsidRPr="00F62144">
        <w:rPr>
          <w:rFonts w:asciiTheme="minorHAnsi" w:hAnsiTheme="minorHAnsi"/>
          <w:i/>
          <w:sz w:val="22"/>
          <w:szCs w:val="22"/>
        </w:rPr>
        <w:t>i.e.</w:t>
      </w:r>
      <w:r w:rsidRPr="00F62144">
        <w:rPr>
          <w:rFonts w:asciiTheme="minorHAnsi" w:hAnsiTheme="minorHAnsi"/>
          <w:sz w:val="22"/>
          <w:szCs w:val="22"/>
        </w:rPr>
        <w:t xml:space="preserve">, each month in the plan year) generally begins on the same day of each successive calendar month. For example, if the plan year begins on July 1, the first day of each successive calendar month is the beginning of a new month; similarly, if the plan year begins on January 15, the second plan month begins on February 15, the third plan month on March 15, etc. Thus, if a short final year begins on January 1 and ends on June 1, there would be six (full or partial) months in the short year. (The last (partial) month, beginning (and ending) on June 1, would count as a full month for purposes of prorating the premium.) </w:t>
      </w:r>
      <w:r w:rsidR="000D2B30" w:rsidRPr="00F62144">
        <w:rPr>
          <w:rFonts w:asciiTheme="minorHAnsi" w:hAnsiTheme="minorHAnsi"/>
          <w:sz w:val="22"/>
          <w:szCs w:val="22"/>
        </w:rPr>
        <w:t xml:space="preserve"> </w:t>
      </w:r>
      <w:r w:rsidRPr="00F62144">
        <w:rPr>
          <w:rFonts w:asciiTheme="minorHAnsi" w:hAnsiTheme="minorHAnsi"/>
          <w:sz w:val="22"/>
          <w:szCs w:val="22"/>
        </w:rPr>
        <w:t xml:space="preserve">Similarly, if a short first year begins on July 31 and ends on December 31, there would </w:t>
      </w:r>
      <w:r w:rsidR="004A52A3">
        <w:rPr>
          <w:rFonts w:asciiTheme="minorHAnsi" w:hAnsiTheme="minorHAnsi"/>
          <w:sz w:val="22"/>
          <w:szCs w:val="22"/>
        </w:rPr>
        <w:t xml:space="preserve">also </w:t>
      </w:r>
      <w:r w:rsidRPr="00F62144">
        <w:rPr>
          <w:rFonts w:asciiTheme="minorHAnsi" w:hAnsiTheme="minorHAnsi"/>
          <w:sz w:val="22"/>
          <w:szCs w:val="22"/>
        </w:rPr>
        <w:t>be six (full or partial) months in the short year.</w:t>
      </w:r>
    </w:p>
    <w:p w14:paraId="7ABCE50C" w14:textId="77777777" w:rsidR="00F12837" w:rsidRPr="00F62144" w:rsidRDefault="00F12837" w:rsidP="00235A96">
      <w:pPr>
        <w:kinsoku w:val="0"/>
        <w:spacing w:before="120"/>
        <w:ind w:left="360"/>
        <w:rPr>
          <w:rFonts w:asciiTheme="minorHAnsi" w:hAnsiTheme="minorHAnsi"/>
          <w:sz w:val="22"/>
          <w:szCs w:val="22"/>
        </w:rPr>
      </w:pPr>
      <w:r w:rsidRPr="00F62144">
        <w:rPr>
          <w:rFonts w:asciiTheme="minorHAnsi" w:hAnsiTheme="minorHAnsi"/>
          <w:sz w:val="22"/>
          <w:szCs w:val="22"/>
        </w:rPr>
        <w:t>There are two special rules when a plan year begins at or near the end of a calendar month:</w:t>
      </w:r>
    </w:p>
    <w:p w14:paraId="3BABF41F" w14:textId="77777777" w:rsidR="00F12837" w:rsidRPr="00F62144" w:rsidRDefault="00F12837" w:rsidP="00023A8E">
      <w:pPr>
        <w:numPr>
          <w:ilvl w:val="0"/>
          <w:numId w:val="24"/>
        </w:numPr>
        <w:tabs>
          <w:tab w:val="clear" w:pos="958"/>
          <w:tab w:val="num" w:pos="720"/>
        </w:tabs>
        <w:autoSpaceDE w:val="0"/>
        <w:autoSpaceDN w:val="0"/>
        <w:adjustRightInd w:val="0"/>
        <w:spacing w:before="120"/>
        <w:ind w:left="749"/>
        <w:rPr>
          <w:rFonts w:asciiTheme="minorHAnsi" w:hAnsiTheme="minorHAnsi"/>
          <w:sz w:val="22"/>
          <w:szCs w:val="22"/>
        </w:rPr>
      </w:pPr>
      <w:r w:rsidRPr="00F62144">
        <w:rPr>
          <w:rFonts w:asciiTheme="minorHAnsi" w:hAnsiTheme="minorHAnsi"/>
          <w:sz w:val="22"/>
          <w:szCs w:val="22"/>
        </w:rPr>
        <w:t xml:space="preserve"> If the plan year begins on the last day of a calendar month, successive plan months begin on the last day of successive calendar months. For example, if the plan year begins on November 30, successive plan months begin on December 31, January 31, the last day of February (the 28</w:t>
      </w:r>
      <w:r w:rsidRPr="00F62144">
        <w:rPr>
          <w:rFonts w:asciiTheme="minorHAnsi" w:hAnsiTheme="minorHAnsi"/>
          <w:sz w:val="22"/>
          <w:szCs w:val="22"/>
          <w:vertAlign w:val="superscript"/>
        </w:rPr>
        <w:t>th</w:t>
      </w:r>
      <w:r w:rsidRPr="00F62144">
        <w:rPr>
          <w:rFonts w:asciiTheme="minorHAnsi" w:hAnsiTheme="minorHAnsi"/>
          <w:sz w:val="22"/>
          <w:szCs w:val="22"/>
        </w:rPr>
        <w:t xml:space="preserve"> or 29</w:t>
      </w:r>
      <w:r w:rsidRPr="00F62144">
        <w:rPr>
          <w:rFonts w:asciiTheme="minorHAnsi" w:hAnsiTheme="minorHAnsi"/>
          <w:sz w:val="22"/>
          <w:szCs w:val="22"/>
          <w:vertAlign w:val="superscript"/>
        </w:rPr>
        <w:t>th</w:t>
      </w:r>
      <w:r w:rsidRPr="00F62144">
        <w:rPr>
          <w:rFonts w:asciiTheme="minorHAnsi" w:hAnsiTheme="minorHAnsi"/>
          <w:sz w:val="22"/>
          <w:szCs w:val="22"/>
        </w:rPr>
        <w:t>), March 31, etc.</w:t>
      </w:r>
    </w:p>
    <w:p w14:paraId="4EC11F5B" w14:textId="77777777" w:rsidR="00F12837" w:rsidRPr="00F62144" w:rsidRDefault="00F12837" w:rsidP="00023A8E">
      <w:pPr>
        <w:numPr>
          <w:ilvl w:val="0"/>
          <w:numId w:val="24"/>
        </w:numPr>
        <w:tabs>
          <w:tab w:val="clear" w:pos="958"/>
          <w:tab w:val="num" w:pos="720"/>
        </w:tabs>
        <w:autoSpaceDE w:val="0"/>
        <w:autoSpaceDN w:val="0"/>
        <w:adjustRightInd w:val="0"/>
        <w:spacing w:before="120"/>
        <w:ind w:left="749"/>
        <w:rPr>
          <w:rFonts w:asciiTheme="minorHAnsi" w:hAnsiTheme="minorHAnsi"/>
          <w:sz w:val="22"/>
          <w:szCs w:val="22"/>
        </w:rPr>
      </w:pPr>
      <w:r w:rsidRPr="00F62144">
        <w:rPr>
          <w:rFonts w:asciiTheme="minorHAnsi" w:hAnsiTheme="minorHAnsi"/>
          <w:sz w:val="22"/>
          <w:szCs w:val="22"/>
        </w:rPr>
        <w:t xml:space="preserve"> If the plan year begins on the 29</w:t>
      </w:r>
      <w:r w:rsidRPr="00F62144">
        <w:rPr>
          <w:rFonts w:asciiTheme="minorHAnsi" w:hAnsiTheme="minorHAnsi"/>
          <w:sz w:val="22"/>
          <w:szCs w:val="22"/>
          <w:vertAlign w:val="superscript"/>
        </w:rPr>
        <w:t>th</w:t>
      </w:r>
      <w:r w:rsidRPr="00F62144">
        <w:rPr>
          <w:rFonts w:asciiTheme="minorHAnsi" w:hAnsiTheme="minorHAnsi"/>
          <w:sz w:val="22"/>
          <w:szCs w:val="22"/>
        </w:rPr>
        <w:t xml:space="preserve"> or 30</w:t>
      </w:r>
      <w:r w:rsidRPr="00F62144">
        <w:rPr>
          <w:rFonts w:asciiTheme="minorHAnsi" w:hAnsiTheme="minorHAnsi"/>
          <w:sz w:val="22"/>
          <w:szCs w:val="22"/>
          <w:vertAlign w:val="superscript"/>
        </w:rPr>
        <w:t>th</w:t>
      </w:r>
      <w:r w:rsidRPr="00F62144">
        <w:rPr>
          <w:rFonts w:asciiTheme="minorHAnsi" w:hAnsiTheme="minorHAnsi"/>
          <w:sz w:val="22"/>
          <w:szCs w:val="22"/>
        </w:rPr>
        <w:t xml:space="preserve"> of a calendar month other than February, the plan month beginning in February begins on the last day of February. For example, if the plan year begins on November 29, successive plan months begin on December 29, January 29, the last day of February (the 28</w:t>
      </w:r>
      <w:r w:rsidRPr="00F62144">
        <w:rPr>
          <w:rFonts w:asciiTheme="minorHAnsi" w:hAnsiTheme="minorHAnsi"/>
          <w:sz w:val="22"/>
          <w:szCs w:val="22"/>
          <w:vertAlign w:val="superscript"/>
        </w:rPr>
        <w:t>th</w:t>
      </w:r>
      <w:r w:rsidRPr="00F62144">
        <w:rPr>
          <w:rFonts w:asciiTheme="minorHAnsi" w:hAnsiTheme="minorHAnsi"/>
          <w:sz w:val="22"/>
          <w:szCs w:val="22"/>
        </w:rPr>
        <w:t xml:space="preserve"> or 29</w:t>
      </w:r>
      <w:r w:rsidRPr="00F62144">
        <w:rPr>
          <w:rFonts w:asciiTheme="minorHAnsi" w:hAnsiTheme="minorHAnsi"/>
          <w:sz w:val="22"/>
          <w:szCs w:val="22"/>
          <w:vertAlign w:val="superscript"/>
        </w:rPr>
        <w:t>th</w:t>
      </w:r>
      <w:r w:rsidRPr="00F62144">
        <w:rPr>
          <w:rFonts w:asciiTheme="minorHAnsi" w:hAnsiTheme="minorHAnsi"/>
          <w:sz w:val="22"/>
          <w:szCs w:val="22"/>
        </w:rPr>
        <w:t>), March 29, etc. If the plan year begins on December 30, successive plan months begin on January 30, the last day of February (the 28</w:t>
      </w:r>
      <w:r w:rsidRPr="00F62144">
        <w:rPr>
          <w:rFonts w:asciiTheme="minorHAnsi" w:hAnsiTheme="minorHAnsi"/>
          <w:sz w:val="22"/>
          <w:szCs w:val="22"/>
          <w:vertAlign w:val="superscript"/>
        </w:rPr>
        <w:t>th</w:t>
      </w:r>
      <w:r w:rsidRPr="00F62144">
        <w:rPr>
          <w:rFonts w:asciiTheme="minorHAnsi" w:hAnsiTheme="minorHAnsi"/>
          <w:sz w:val="22"/>
          <w:szCs w:val="22"/>
        </w:rPr>
        <w:t xml:space="preserve"> or 29</w:t>
      </w:r>
      <w:r w:rsidRPr="00F62144">
        <w:rPr>
          <w:rFonts w:asciiTheme="minorHAnsi" w:hAnsiTheme="minorHAnsi"/>
          <w:sz w:val="22"/>
          <w:szCs w:val="22"/>
          <w:vertAlign w:val="superscript"/>
        </w:rPr>
        <w:t>th</w:t>
      </w:r>
      <w:r w:rsidRPr="00F62144">
        <w:rPr>
          <w:rFonts w:asciiTheme="minorHAnsi" w:hAnsiTheme="minorHAnsi"/>
          <w:sz w:val="22"/>
          <w:szCs w:val="22"/>
        </w:rPr>
        <w:t>), March 30, April 30, etc.</w:t>
      </w:r>
    </w:p>
    <w:p w14:paraId="61DCB495"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Counting months for New Plans</w:t>
      </w:r>
      <w:r w:rsidRPr="00F62144">
        <w:rPr>
          <w:rFonts w:asciiTheme="minorHAnsi" w:hAnsiTheme="minorHAnsi"/>
          <w:sz w:val="22"/>
          <w:szCs w:val="22"/>
        </w:rPr>
        <w:t xml:space="preserve"> – The short first year of a New Plan is treated as beginning on the Participant Count Date (</w:t>
      </w:r>
      <w:r w:rsidRPr="00F62144">
        <w:rPr>
          <w:rFonts w:asciiTheme="minorHAnsi" w:hAnsiTheme="minorHAnsi"/>
          <w:i/>
          <w:sz w:val="22"/>
          <w:szCs w:val="22"/>
        </w:rPr>
        <w:t>i.e.</w:t>
      </w:r>
      <w:r w:rsidRPr="00F62144">
        <w:rPr>
          <w:rFonts w:asciiTheme="minorHAnsi" w:hAnsiTheme="minorHAnsi"/>
          <w:sz w:val="22"/>
          <w:szCs w:val="22"/>
        </w:rPr>
        <w:t xml:space="preserve">, the plan effective date). </w:t>
      </w:r>
    </w:p>
    <w:p w14:paraId="6B089FC1" w14:textId="77777777" w:rsidR="00986FFC" w:rsidRPr="00F62144" w:rsidRDefault="00986FFC" w:rsidP="00986FFC">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Counting months for Newly Covered Plans</w:t>
      </w:r>
      <w:r w:rsidRPr="00F62144">
        <w:rPr>
          <w:rFonts w:asciiTheme="minorHAnsi" w:hAnsiTheme="minorHAnsi"/>
          <w:sz w:val="22"/>
          <w:szCs w:val="22"/>
        </w:rPr>
        <w:t xml:space="preserve"> – Although the Premium Payment Year for a Newly Covered Plan is,</w:t>
      </w:r>
      <w:r w:rsidR="00577DBE" w:rsidRPr="00F62144">
        <w:rPr>
          <w:rFonts w:asciiTheme="minorHAnsi" w:hAnsiTheme="minorHAnsi"/>
          <w:sz w:val="22"/>
          <w:szCs w:val="22"/>
        </w:rPr>
        <w:t xml:space="preserve"> </w:t>
      </w:r>
      <w:r w:rsidRPr="00F62144">
        <w:rPr>
          <w:rFonts w:asciiTheme="minorHAnsi" w:hAnsiTheme="minorHAnsi"/>
          <w:sz w:val="22"/>
          <w:szCs w:val="22"/>
        </w:rPr>
        <w:t>most likely, a full year, premiums are due only for the portion of the year the plan is covered by PBGC.   Therefore, for purposes of prorating the premium for the first year of coverage, a Newly Covered Plan</w:t>
      </w:r>
      <w:r w:rsidR="00D51223" w:rsidRPr="00F62144">
        <w:rPr>
          <w:rFonts w:asciiTheme="minorHAnsi" w:hAnsiTheme="minorHAnsi"/>
          <w:sz w:val="22"/>
          <w:szCs w:val="22"/>
        </w:rPr>
        <w:t>’s first year of coverage</w:t>
      </w:r>
      <w:r w:rsidRPr="00F62144">
        <w:rPr>
          <w:rFonts w:asciiTheme="minorHAnsi" w:hAnsiTheme="minorHAnsi"/>
          <w:sz w:val="22"/>
          <w:szCs w:val="22"/>
        </w:rPr>
        <w:t xml:space="preserve"> is treated as beginning on the date when the plan becomes covered under ERISA section 4021</w:t>
      </w:r>
    </w:p>
    <w:p w14:paraId="44E590F8" w14:textId="77777777" w:rsidR="00F12837" w:rsidRPr="00F62144" w:rsidRDefault="00F12837" w:rsidP="00637960">
      <w:pPr>
        <w:autoSpaceDE w:val="0"/>
        <w:autoSpaceDN w:val="0"/>
        <w:adjustRightInd w:val="0"/>
        <w:spacing w:before="100"/>
        <w:ind w:left="360"/>
        <w:rPr>
          <w:rFonts w:asciiTheme="minorHAnsi" w:hAnsiTheme="minorHAnsi"/>
          <w:sz w:val="22"/>
          <w:szCs w:val="22"/>
        </w:rPr>
      </w:pPr>
      <w:r w:rsidRPr="00F62144">
        <w:rPr>
          <w:rFonts w:asciiTheme="minorHAnsi" w:hAnsiTheme="minorHAnsi"/>
          <w:i/>
          <w:sz w:val="22"/>
          <w:szCs w:val="22"/>
        </w:rPr>
        <w:t>Counting months for terminating plans</w:t>
      </w:r>
      <w:r w:rsidRPr="00F62144">
        <w:rPr>
          <w:rFonts w:asciiTheme="minorHAnsi" w:hAnsiTheme="minorHAnsi"/>
          <w:sz w:val="22"/>
          <w:szCs w:val="22"/>
        </w:rPr>
        <w:t xml:space="preserve"> – The (short) plan year of a terminating plan’s final year is treated as ending on:</w:t>
      </w:r>
    </w:p>
    <w:p w14:paraId="35F75CA0" w14:textId="77777777" w:rsidR="00F12837" w:rsidRPr="00F62144" w:rsidRDefault="00F12837" w:rsidP="00023A8E">
      <w:pPr>
        <w:numPr>
          <w:ilvl w:val="0"/>
          <w:numId w:val="24"/>
        </w:numPr>
        <w:tabs>
          <w:tab w:val="clear" w:pos="958"/>
          <w:tab w:val="num" w:pos="720"/>
        </w:tabs>
        <w:autoSpaceDE w:val="0"/>
        <w:autoSpaceDN w:val="0"/>
        <w:adjustRightInd w:val="0"/>
        <w:spacing w:before="100"/>
        <w:ind w:left="72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the date the distribution is completed; or</w:t>
      </w:r>
    </w:p>
    <w:p w14:paraId="6DA93A7E" w14:textId="77777777" w:rsidR="00F12837" w:rsidRPr="00F62144" w:rsidRDefault="00F12837" w:rsidP="00023A8E">
      <w:pPr>
        <w:numPr>
          <w:ilvl w:val="0"/>
          <w:numId w:val="24"/>
        </w:numPr>
        <w:tabs>
          <w:tab w:val="clear" w:pos="958"/>
          <w:tab w:val="num" w:pos="720"/>
        </w:tabs>
        <w:autoSpaceDE w:val="0"/>
        <w:autoSpaceDN w:val="0"/>
        <w:adjustRightInd w:val="0"/>
        <w:spacing w:before="100"/>
        <w:ind w:left="720"/>
        <w:rPr>
          <w:rFonts w:asciiTheme="minorHAnsi" w:hAnsiTheme="minorHAnsi"/>
          <w:sz w:val="22"/>
          <w:szCs w:val="22"/>
        </w:rPr>
      </w:pPr>
      <w:r w:rsidRPr="00F62144">
        <w:rPr>
          <w:rFonts w:asciiTheme="minorHAnsi" w:hAnsiTheme="minorHAnsi"/>
          <w:sz w:val="22"/>
          <w:szCs w:val="22"/>
        </w:rPr>
        <w:t>for a Single-employer Plan, the earlier of:</w:t>
      </w:r>
    </w:p>
    <w:p w14:paraId="1035E1D9" w14:textId="77777777" w:rsidR="00F12837" w:rsidRPr="00F62144" w:rsidRDefault="00F12837" w:rsidP="00023A8E">
      <w:pPr>
        <w:numPr>
          <w:ilvl w:val="1"/>
          <w:numId w:val="21"/>
        </w:numPr>
        <w:tabs>
          <w:tab w:val="clear" w:pos="1440"/>
          <w:tab w:val="num" w:pos="1080"/>
        </w:tabs>
        <w:autoSpaceDE w:val="0"/>
        <w:autoSpaceDN w:val="0"/>
        <w:adjustRightInd w:val="0"/>
        <w:spacing w:before="100"/>
        <w:ind w:left="1080"/>
        <w:rPr>
          <w:rFonts w:asciiTheme="minorHAnsi" w:hAnsiTheme="minorHAnsi"/>
          <w:sz w:val="22"/>
          <w:szCs w:val="22"/>
        </w:rPr>
      </w:pPr>
      <w:r w:rsidRPr="00F62144">
        <w:rPr>
          <w:rFonts w:asciiTheme="minorHAnsi" w:hAnsiTheme="minorHAnsi"/>
          <w:sz w:val="22"/>
          <w:szCs w:val="22"/>
        </w:rPr>
        <w:t>the date on which the distribution of the plan’s assets in satisfaction of all Benefit Liabilities was completed; or</w:t>
      </w:r>
    </w:p>
    <w:p w14:paraId="7E25EEDC" w14:textId="77777777" w:rsidR="00F12837" w:rsidRPr="00F62144" w:rsidRDefault="00F12837" w:rsidP="00023A8E">
      <w:pPr>
        <w:numPr>
          <w:ilvl w:val="1"/>
          <w:numId w:val="21"/>
        </w:numPr>
        <w:tabs>
          <w:tab w:val="clear" w:pos="1440"/>
          <w:tab w:val="num" w:pos="1080"/>
        </w:tabs>
        <w:autoSpaceDE w:val="0"/>
        <w:autoSpaceDN w:val="0"/>
        <w:adjustRightInd w:val="0"/>
        <w:spacing w:before="100"/>
        <w:ind w:left="1080"/>
        <w:rPr>
          <w:rFonts w:asciiTheme="minorHAnsi" w:hAnsiTheme="minorHAnsi"/>
          <w:sz w:val="22"/>
          <w:szCs w:val="22"/>
        </w:rPr>
      </w:pPr>
      <w:r w:rsidRPr="00F62144">
        <w:rPr>
          <w:rFonts w:asciiTheme="minorHAnsi" w:hAnsiTheme="minorHAnsi"/>
          <w:sz w:val="22"/>
          <w:szCs w:val="22"/>
        </w:rPr>
        <w:t>the date that a trustee for the terminating plan was appointed under ERISA section 4042.</w:t>
      </w:r>
    </w:p>
    <w:p w14:paraId="1049747F" w14:textId="77777777" w:rsidR="00726077" w:rsidRDefault="00F12837" w:rsidP="00D11F9D">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 </w:t>
      </w:r>
      <w:r w:rsidRPr="00F62144">
        <w:rPr>
          <w:rFonts w:asciiTheme="minorHAnsi" w:hAnsiTheme="minorHAnsi"/>
          <w:sz w:val="22"/>
          <w:szCs w:val="22"/>
        </w:rPr>
        <w:t>Report the sum of the Flat-rate Premium and, if applicable, the Variable-rate Premium.</w:t>
      </w:r>
    </w:p>
    <w:p w14:paraId="625C039C" w14:textId="4C8CEBF5" w:rsidR="0029770A" w:rsidRPr="00F62144" w:rsidRDefault="00F12837" w:rsidP="00637960">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14:paraId="7F0358ED" w14:textId="77777777" w:rsidR="00F12837" w:rsidRPr="00F62144" w:rsidRDefault="00F12837" w:rsidP="00023A8E">
      <w:pPr>
        <w:numPr>
          <w:ilvl w:val="0"/>
          <w:numId w:val="30"/>
        </w:numPr>
        <w:tabs>
          <w:tab w:val="clear" w:pos="900"/>
          <w:tab w:val="num" w:pos="54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14:paraId="3E777375" w14:textId="77777777" w:rsidR="00F12837" w:rsidRPr="00F62144" w:rsidRDefault="00F12837" w:rsidP="00023A8E">
      <w:pPr>
        <w:numPr>
          <w:ilvl w:val="0"/>
          <w:numId w:val="30"/>
        </w:numPr>
        <w:tabs>
          <w:tab w:val="clear" w:pos="900"/>
          <w:tab w:val="num" w:pos="54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short plan year and then divide by 12. 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14:paraId="079536FC" w14:textId="77777777" w:rsidR="00F12837" w:rsidRPr="00F62144" w:rsidRDefault="00F12837" w:rsidP="00637960">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14:paraId="026B0F1B" w14:textId="77777777" w:rsidR="00637960" w:rsidRPr="00F62144" w:rsidRDefault="00637960" w:rsidP="00637960">
      <w:pPr>
        <w:autoSpaceDE w:val="0"/>
        <w:autoSpaceDN w:val="0"/>
        <w:adjustRightInd w:val="0"/>
        <w:spacing w:before="100"/>
        <w:rPr>
          <w:rFonts w:asciiTheme="minorHAnsi" w:hAnsiTheme="minorHAnsi"/>
          <w:b/>
          <w:bCs/>
          <w:sz w:val="22"/>
          <w:szCs w:val="22"/>
        </w:rPr>
      </w:pPr>
    </w:p>
    <w:p w14:paraId="602F4311" w14:textId="77777777" w:rsidR="00D51223" w:rsidRPr="00F62144" w:rsidRDefault="00861A8F" w:rsidP="00C33135">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Information</w:t>
      </w:r>
    </w:p>
    <w:p w14:paraId="102CCF3A" w14:textId="77777777" w:rsidR="00F12837" w:rsidRPr="00F62144" w:rsidRDefault="00F12837" w:rsidP="00637960">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 xml:space="preserve">10 Premium credit </w:t>
      </w:r>
    </w:p>
    <w:p w14:paraId="2216ABB4" w14:textId="77777777" w:rsidR="00F12837" w:rsidRPr="00F62144" w:rsidRDefault="00F12837" w:rsidP="00637960">
      <w:pPr>
        <w:kinsoku w:val="0"/>
        <w:spacing w:before="100"/>
        <w:ind w:left="360"/>
        <w:rPr>
          <w:rFonts w:asciiTheme="minorHAnsi" w:hAnsiTheme="minorHAnsi"/>
          <w:sz w:val="22"/>
          <w:szCs w:val="22"/>
        </w:rPr>
      </w:pPr>
      <w:r w:rsidRPr="00F62144">
        <w:rPr>
          <w:rFonts w:asciiTheme="minorHAnsi" w:hAnsiTheme="minorHAnsi"/>
          <w:sz w:val="22"/>
          <w:szCs w:val="22"/>
        </w:rPr>
        <w:t>Report the total amount of premium credits available to offset the premium due. Premium credits include:</w:t>
      </w:r>
    </w:p>
    <w:p w14:paraId="5AC5E4BE" w14:textId="77777777" w:rsidR="00F12837" w:rsidRPr="00F62144" w:rsidRDefault="00F12837" w:rsidP="00023A8E">
      <w:pPr>
        <w:numPr>
          <w:ilvl w:val="0"/>
          <w:numId w:val="18"/>
        </w:numPr>
        <w:autoSpaceDE w:val="0"/>
        <w:autoSpaceDN w:val="0"/>
        <w:adjustRightInd w:val="0"/>
        <w:spacing w:before="100"/>
        <w:rPr>
          <w:rFonts w:asciiTheme="minorHAnsi" w:hAnsiTheme="minorHAnsi"/>
          <w:sz w:val="22"/>
          <w:szCs w:val="22"/>
        </w:rPr>
      </w:pPr>
      <w:r w:rsidRPr="00F62144">
        <w:rPr>
          <w:rFonts w:asciiTheme="minorHAnsi" w:hAnsiTheme="minorHAnsi"/>
          <w:sz w:val="22"/>
          <w:szCs w:val="22"/>
        </w:rPr>
        <w:t xml:space="preserve">Any payments made for </w:t>
      </w:r>
      <w:r w:rsidR="00AE348E">
        <w:rPr>
          <w:rFonts w:asciiTheme="minorHAnsi" w:hAnsiTheme="minorHAnsi"/>
          <w:sz w:val="22"/>
          <w:szCs w:val="22"/>
        </w:rPr>
        <w:t>2018</w:t>
      </w:r>
      <w:r w:rsidR="005A4C93" w:rsidRPr="00F62144">
        <w:rPr>
          <w:rFonts w:asciiTheme="minorHAnsi" w:hAnsiTheme="minorHAnsi"/>
          <w:sz w:val="22"/>
          <w:szCs w:val="22"/>
        </w:rPr>
        <w:t xml:space="preserve"> </w:t>
      </w:r>
      <w:r w:rsidRPr="00F62144">
        <w:rPr>
          <w:rFonts w:asciiTheme="minorHAnsi" w:hAnsiTheme="minorHAnsi"/>
          <w:sz w:val="22"/>
          <w:szCs w:val="22"/>
        </w:rPr>
        <w:t>(including an estimated Variable-rate Premium</w:t>
      </w:r>
      <w:r w:rsidR="00B554E0" w:rsidRPr="00F62144">
        <w:rPr>
          <w:rFonts w:asciiTheme="minorHAnsi" w:hAnsiTheme="minorHAnsi"/>
          <w:sz w:val="22"/>
          <w:szCs w:val="22"/>
        </w:rPr>
        <w:t xml:space="preserve"> </w:t>
      </w:r>
      <w:r w:rsidRPr="00F62144">
        <w:rPr>
          <w:rFonts w:asciiTheme="minorHAnsi" w:hAnsiTheme="minorHAnsi"/>
          <w:sz w:val="22"/>
          <w:szCs w:val="22"/>
        </w:rPr>
        <w:t>when amending the filing to reconcile the estimate</w:t>
      </w:r>
      <w:r w:rsidR="005C4B09" w:rsidRPr="00F62144">
        <w:rPr>
          <w:rFonts w:asciiTheme="minorHAnsi" w:hAnsiTheme="minorHAnsi"/>
          <w:sz w:val="22"/>
          <w:szCs w:val="22"/>
        </w:rPr>
        <w:t>; s</w:t>
      </w:r>
      <w:r w:rsidRPr="00F62144">
        <w:rPr>
          <w:rFonts w:asciiTheme="minorHAnsi" w:hAnsiTheme="minorHAnsi"/>
          <w:sz w:val="22"/>
          <w:szCs w:val="22"/>
        </w:rPr>
        <w:t xml:space="preserve">ee </w:t>
      </w:r>
      <w:r w:rsidR="00471C5D" w:rsidRPr="00F62144">
        <w:rPr>
          <w:rFonts w:asciiTheme="minorHAnsi" w:hAnsiTheme="minorHAnsi"/>
          <w:sz w:val="22"/>
          <w:szCs w:val="22"/>
        </w:rPr>
        <w:t>“</w:t>
      </w:r>
      <w:hyperlink w:anchor="b6" w:history="1">
        <w:r w:rsidR="00471C5D" w:rsidRPr="00F62144">
          <w:rPr>
            <w:rStyle w:val="Hyperlink"/>
            <w:rFonts w:asciiTheme="minorHAnsi" w:hAnsiTheme="minorHAnsi"/>
            <w:sz w:val="22"/>
            <w:szCs w:val="22"/>
          </w:rPr>
          <w:t>Correcting Errors, Credit Balances</w:t>
        </w:r>
        <w:r w:rsidR="00A8171A" w:rsidRPr="00F62144">
          <w:rPr>
            <w:rStyle w:val="Hyperlink"/>
            <w:rFonts w:asciiTheme="minorHAnsi" w:hAnsiTheme="minorHAnsi"/>
            <w:sz w:val="22"/>
            <w:szCs w:val="22"/>
          </w:rPr>
          <w:t xml:space="preserve"> and</w:t>
        </w:r>
        <w:r w:rsidR="00471C5D" w:rsidRPr="00F62144">
          <w:rPr>
            <w:rStyle w:val="Hyperlink"/>
            <w:rFonts w:asciiTheme="minorHAnsi" w:hAnsiTheme="minorHAnsi"/>
            <w:sz w:val="22"/>
            <w:szCs w:val="22"/>
          </w:rPr>
          <w:t xml:space="preserve"> Reconciling Estimates</w:t>
        </w:r>
      </w:hyperlink>
      <w:r w:rsidR="00471C5D" w:rsidRPr="00F62144">
        <w:rPr>
          <w:rFonts w:asciiTheme="minorHAnsi" w:hAnsiTheme="minorHAnsi"/>
          <w:sz w:val="22"/>
          <w:szCs w:val="22"/>
        </w:rPr>
        <w:t>”  section</w:t>
      </w:r>
      <w:r w:rsidRPr="00F62144">
        <w:rPr>
          <w:rFonts w:asciiTheme="minorHAnsi" w:hAnsiTheme="minorHAnsi"/>
          <w:sz w:val="22"/>
          <w:szCs w:val="22"/>
        </w:rPr>
        <w:t>)</w:t>
      </w:r>
      <w:r w:rsidR="00307984" w:rsidRPr="00F62144">
        <w:rPr>
          <w:rFonts w:asciiTheme="minorHAnsi" w:hAnsiTheme="minorHAnsi"/>
          <w:sz w:val="22"/>
          <w:szCs w:val="22"/>
        </w:rPr>
        <w:t>, and</w:t>
      </w:r>
    </w:p>
    <w:p w14:paraId="74E52A62" w14:textId="77777777" w:rsidR="00307984" w:rsidRPr="00F62144" w:rsidRDefault="00307984" w:rsidP="00023A8E">
      <w:pPr>
        <w:numPr>
          <w:ilvl w:val="0"/>
          <w:numId w:val="18"/>
        </w:numPr>
        <w:autoSpaceDE w:val="0"/>
        <w:autoSpaceDN w:val="0"/>
        <w:adjustRightInd w:val="0"/>
        <w:spacing w:before="100"/>
        <w:rPr>
          <w:rFonts w:asciiTheme="minorHAnsi" w:hAnsiTheme="minorHAnsi"/>
          <w:sz w:val="22"/>
          <w:szCs w:val="22"/>
        </w:rPr>
      </w:pPr>
      <w:r w:rsidRPr="00F62144">
        <w:rPr>
          <w:rFonts w:asciiTheme="minorHAnsi" w:hAnsiTheme="minorHAnsi"/>
          <w:sz w:val="22"/>
          <w:szCs w:val="22"/>
        </w:rPr>
        <w:t xml:space="preserve">Any overpayment of the </w:t>
      </w:r>
      <w:r w:rsidR="00AE348E">
        <w:rPr>
          <w:rFonts w:asciiTheme="minorHAnsi" w:hAnsiTheme="minorHAnsi"/>
          <w:sz w:val="22"/>
          <w:szCs w:val="22"/>
        </w:rPr>
        <w:t>2017</w:t>
      </w:r>
      <w:r w:rsidR="005A4C93" w:rsidRPr="00F62144">
        <w:rPr>
          <w:rFonts w:asciiTheme="minorHAnsi" w:hAnsiTheme="minorHAnsi"/>
          <w:sz w:val="22"/>
          <w:szCs w:val="22"/>
        </w:rPr>
        <w:t xml:space="preserve"> </w:t>
      </w:r>
      <w:r w:rsidRPr="00F62144">
        <w:rPr>
          <w:rFonts w:asciiTheme="minorHAnsi" w:hAnsiTheme="minorHAnsi"/>
          <w:sz w:val="22"/>
          <w:szCs w:val="22"/>
        </w:rPr>
        <w:t>premium filing for which a refund was not requested</w:t>
      </w:r>
      <w:r w:rsidR="00E7274C" w:rsidRPr="00F62144">
        <w:rPr>
          <w:rFonts w:asciiTheme="minorHAnsi" w:hAnsiTheme="minorHAnsi"/>
          <w:sz w:val="22"/>
          <w:szCs w:val="22"/>
        </w:rPr>
        <w:t xml:space="preserve"> and </w:t>
      </w:r>
      <w:r w:rsidR="007E6404" w:rsidRPr="00F62144">
        <w:rPr>
          <w:rFonts w:asciiTheme="minorHAnsi" w:hAnsiTheme="minorHAnsi"/>
          <w:sz w:val="22"/>
          <w:szCs w:val="22"/>
        </w:rPr>
        <w:t xml:space="preserve">that </w:t>
      </w:r>
      <w:r w:rsidR="00E7274C" w:rsidRPr="00F62144">
        <w:rPr>
          <w:rFonts w:asciiTheme="minorHAnsi" w:hAnsiTheme="minorHAnsi"/>
          <w:sz w:val="22"/>
          <w:szCs w:val="22"/>
        </w:rPr>
        <w:t>has no</w:t>
      </w:r>
      <w:r w:rsidR="009D15B2" w:rsidRPr="00F62144">
        <w:rPr>
          <w:rFonts w:asciiTheme="minorHAnsi" w:hAnsiTheme="minorHAnsi"/>
          <w:sz w:val="22"/>
          <w:szCs w:val="22"/>
        </w:rPr>
        <w:t xml:space="preserve">t been applied to amounts due. </w:t>
      </w:r>
      <w:r w:rsidR="00E7274C" w:rsidRPr="00F62144">
        <w:rPr>
          <w:rFonts w:asciiTheme="minorHAnsi" w:hAnsiTheme="minorHAnsi"/>
          <w:sz w:val="22"/>
          <w:szCs w:val="22"/>
        </w:rPr>
        <w:t>A plan account history is available on My PAA. You should review the accoun</w:t>
      </w:r>
      <w:r w:rsidR="00B9630C" w:rsidRPr="00F62144">
        <w:rPr>
          <w:rFonts w:asciiTheme="minorHAnsi" w:hAnsiTheme="minorHAnsi"/>
          <w:sz w:val="22"/>
          <w:szCs w:val="22"/>
        </w:rPr>
        <w:t xml:space="preserve">t history to confirm that a </w:t>
      </w:r>
      <w:r w:rsidR="00AE348E">
        <w:rPr>
          <w:rFonts w:asciiTheme="minorHAnsi" w:hAnsiTheme="minorHAnsi"/>
          <w:sz w:val="22"/>
          <w:szCs w:val="22"/>
        </w:rPr>
        <w:t>2017</w:t>
      </w:r>
      <w:r w:rsidR="005A4C93" w:rsidRPr="00F62144">
        <w:rPr>
          <w:rFonts w:asciiTheme="minorHAnsi" w:hAnsiTheme="minorHAnsi"/>
          <w:sz w:val="22"/>
          <w:szCs w:val="22"/>
        </w:rPr>
        <w:t xml:space="preserve"> </w:t>
      </w:r>
      <w:r w:rsidR="00E7274C" w:rsidRPr="00F62144">
        <w:rPr>
          <w:rFonts w:asciiTheme="minorHAnsi" w:hAnsiTheme="minorHAnsi"/>
          <w:sz w:val="22"/>
          <w:szCs w:val="22"/>
        </w:rPr>
        <w:t>overpayment is available</w:t>
      </w:r>
      <w:r w:rsidRPr="00F62144">
        <w:rPr>
          <w:rFonts w:asciiTheme="minorHAnsi" w:hAnsiTheme="minorHAnsi"/>
          <w:sz w:val="22"/>
          <w:szCs w:val="22"/>
        </w:rPr>
        <w:t>.</w:t>
      </w:r>
    </w:p>
    <w:p w14:paraId="1697D7E2" w14:textId="77777777" w:rsidR="00F12837" w:rsidRPr="00F62144" w:rsidRDefault="00F12837" w:rsidP="00637960">
      <w:pPr>
        <w:kinsoku w:val="0"/>
        <w:spacing w:before="100"/>
        <w:ind w:left="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14:paraId="5A41AA54" w14:textId="77777777" w:rsidR="00F12837" w:rsidRPr="00F62144" w:rsidRDefault="00F12837" w:rsidP="00637960">
      <w:pPr>
        <w:autoSpaceDE w:val="0"/>
        <w:autoSpaceDN w:val="0"/>
        <w:adjustRightInd w:val="0"/>
        <w:spacing w:before="100"/>
        <w:ind w:left="360" w:hanging="360"/>
        <w:rPr>
          <w:rFonts w:asciiTheme="minorHAnsi" w:hAnsiTheme="minorHAnsi"/>
          <w:b/>
          <w:bCs/>
          <w:sz w:val="22"/>
          <w:szCs w:val="22"/>
        </w:rPr>
      </w:pPr>
    </w:p>
    <w:p w14:paraId="24303F52" w14:textId="77777777" w:rsidR="00CD2EE0" w:rsidRPr="00F62144" w:rsidRDefault="00F12837" w:rsidP="00637960">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14:paraId="69F9E85B" w14:textId="77777777" w:rsidR="00F12837" w:rsidRPr="00F62144" w:rsidRDefault="00F12837" w:rsidP="00637960">
      <w:pPr>
        <w:autoSpaceDE w:val="0"/>
        <w:autoSpaceDN w:val="0"/>
        <w:adjustRightInd w:val="0"/>
        <w:spacing w:before="100"/>
        <w:ind w:left="360"/>
        <w:rPr>
          <w:rFonts w:asciiTheme="minorHAnsi" w:hAnsiTheme="minorHAnsi"/>
          <w:sz w:val="22"/>
          <w:szCs w:val="22"/>
        </w:rPr>
      </w:pPr>
      <w:r w:rsidRPr="00F62144">
        <w:rPr>
          <w:rFonts w:asciiTheme="minorHAnsi" w:hAnsiTheme="minorHAnsi"/>
          <w:sz w:val="22"/>
          <w:szCs w:val="22"/>
        </w:rPr>
        <w:t xml:space="preserve">If the total premium due exceeds the total premium credit, subtract the total credit from the total premium and report the result as the amount due. This is the amount you owe PBGC. See </w:t>
      </w:r>
      <w:hyperlink w:anchor="b11" w:history="1">
        <w:r w:rsidRPr="00F62144">
          <w:rPr>
            <w:rStyle w:val="Hyperlink"/>
            <w:rFonts w:asciiTheme="minorHAnsi" w:hAnsiTheme="minorHAnsi"/>
            <w:sz w:val="22"/>
            <w:szCs w:val="22"/>
          </w:rPr>
          <w:t>Appendix 3</w:t>
        </w:r>
      </w:hyperlink>
      <w:r w:rsidRPr="00F62144">
        <w:rPr>
          <w:rFonts w:asciiTheme="minorHAnsi" w:hAnsiTheme="minorHAnsi"/>
          <w:sz w:val="22"/>
          <w:szCs w:val="22"/>
        </w:rPr>
        <w:t xml:space="preserve"> for information on payment options. </w:t>
      </w:r>
    </w:p>
    <w:p w14:paraId="3353D469"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14:paraId="32088275" w14:textId="77777777" w:rsidR="00637960" w:rsidRPr="00F62144" w:rsidRDefault="00637960" w:rsidP="00D3007E">
      <w:pPr>
        <w:rPr>
          <w:rFonts w:asciiTheme="minorHAnsi" w:hAnsiTheme="minorHAnsi"/>
          <w:b/>
          <w:bCs/>
          <w:sz w:val="22"/>
          <w:szCs w:val="22"/>
        </w:rPr>
      </w:pPr>
    </w:p>
    <w:p w14:paraId="0B8192D5" w14:textId="77777777" w:rsidR="00F12837" w:rsidRPr="00F62144" w:rsidRDefault="00F12837" w:rsidP="00D3007E">
      <w:pPr>
        <w:rPr>
          <w:rFonts w:asciiTheme="minorHAnsi" w:hAnsiTheme="minorHAnsi"/>
          <w:b/>
          <w:bCs/>
          <w:sz w:val="22"/>
          <w:szCs w:val="22"/>
        </w:rPr>
      </w:pPr>
      <w:r w:rsidRPr="00F62144">
        <w:rPr>
          <w:rFonts w:asciiTheme="minorHAnsi" w:hAnsiTheme="minorHAnsi"/>
          <w:b/>
          <w:bCs/>
          <w:sz w:val="22"/>
          <w:szCs w:val="22"/>
        </w:rPr>
        <w:t>12 Treatment of Overpayment</w:t>
      </w:r>
    </w:p>
    <w:p w14:paraId="04EA9E12" w14:textId="77777777" w:rsidR="00A110EF" w:rsidRPr="00F62144" w:rsidRDefault="00F12837" w:rsidP="00A110EF">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A110EF" w:rsidRPr="00F62144">
        <w:rPr>
          <w:rFonts w:asciiTheme="minorHAnsi" w:hAnsiTheme="minorHAnsi"/>
          <w:sz w:val="22"/>
          <w:szCs w:val="22"/>
        </w:rPr>
        <w:t xml:space="preserve"> If this amount includes cents, report the exact amount (dollars and cents), not a rounded amount.</w:t>
      </w:r>
    </w:p>
    <w:p w14:paraId="37BEBDDB" w14:textId="77777777" w:rsidR="00F12837" w:rsidRPr="00F62144" w:rsidRDefault="00F12837" w:rsidP="00A110EF">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0050745A" w:rsidRPr="00F62144">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00A110EF" w:rsidRPr="00F62144">
        <w:rPr>
          <w:rFonts w:asciiTheme="minorHAnsi" w:hAnsiTheme="minorHAnsi"/>
          <w:sz w:val="22"/>
          <w:szCs w:val="22"/>
        </w:rPr>
        <w:t xml:space="preserve">electronic funds transfer or </w:t>
      </w:r>
      <w:r w:rsidRPr="00F62144">
        <w:rPr>
          <w:rFonts w:asciiTheme="minorHAnsi" w:hAnsiTheme="minorHAnsi"/>
          <w:sz w:val="22"/>
          <w:szCs w:val="22"/>
        </w:rPr>
        <w:t>check)</w:t>
      </w:r>
      <w:r w:rsidR="0050745A" w:rsidRPr="00F62144">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14:paraId="2B863F92" w14:textId="77777777" w:rsidR="0050745A" w:rsidRPr="00F62144" w:rsidRDefault="0050745A" w:rsidP="00023A8E">
      <w:pPr>
        <w:numPr>
          <w:ilvl w:val="0"/>
          <w:numId w:val="38"/>
        </w:numPr>
        <w:tabs>
          <w:tab w:val="left" w:pos="900"/>
        </w:tabs>
        <w:autoSpaceDE w:val="0"/>
        <w:autoSpaceDN w:val="0"/>
        <w:adjustRightInd w:val="0"/>
        <w:spacing w:before="120"/>
        <w:ind w:left="900"/>
        <w:rPr>
          <w:rFonts w:asciiTheme="minorHAnsi" w:hAnsiTheme="minorHAnsi"/>
          <w: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14:paraId="584182AE" w14:textId="77777777" w:rsidR="00F5669A" w:rsidRDefault="00F5669A" w:rsidP="006F76DA">
      <w:pPr>
        <w:rPr>
          <w:rFonts w:asciiTheme="minorHAnsi" w:hAnsiTheme="minorHAnsi"/>
          <w:i/>
          <w:sz w:val="22"/>
          <w:szCs w:val="22"/>
        </w:rPr>
      </w:pPr>
    </w:p>
    <w:p w14:paraId="643F215B" w14:textId="77777777" w:rsidR="006F76DA" w:rsidRDefault="00BC4A25" w:rsidP="006F76DA">
      <w:pPr>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00F12837" w:rsidRPr="008F6DA1">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00F12837" w:rsidRPr="008F6DA1">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00F12837" w:rsidRPr="00A03DDF">
        <w:rPr>
          <w:rFonts w:asciiTheme="minorHAnsi" w:hAnsiTheme="minorHAnsi"/>
          <w:sz w:val="22"/>
          <w:szCs w:val="22"/>
        </w:rPr>
        <w:t xml:space="preserve"> strongly recommend. To facilitate an </w:t>
      </w:r>
      <w:r w:rsidRPr="00A30C29">
        <w:rPr>
          <w:rFonts w:asciiTheme="minorHAnsi" w:hAnsiTheme="minorHAnsi"/>
          <w:sz w:val="22"/>
          <w:szCs w:val="22"/>
        </w:rPr>
        <w:t xml:space="preserve">ACH </w:t>
      </w:r>
      <w:r w:rsidR="00F12837" w:rsidRPr="00A57151">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14:paraId="64EF7939" w14:textId="77777777" w:rsidR="00726077" w:rsidRDefault="00726077" w:rsidP="006F76DA">
      <w:pPr>
        <w:rPr>
          <w:rFonts w:asciiTheme="minorHAnsi" w:hAnsiTheme="minorHAnsi"/>
          <w:b/>
          <w:bCs/>
          <w:sz w:val="22"/>
          <w:szCs w:val="22"/>
        </w:rPr>
      </w:pPr>
    </w:p>
    <w:p w14:paraId="520A5F64" w14:textId="77777777" w:rsidR="00F12837" w:rsidRPr="00F62144" w:rsidRDefault="00F12837" w:rsidP="006F76DA">
      <w:pPr>
        <w:rPr>
          <w:rFonts w:asciiTheme="minorHAnsi" w:hAnsiTheme="minorHAnsi"/>
          <w:b/>
          <w:bCs/>
          <w:sz w:val="22"/>
          <w:szCs w:val="22"/>
        </w:rPr>
      </w:pPr>
      <w:r w:rsidRPr="00F62144">
        <w:rPr>
          <w:rFonts w:asciiTheme="minorHAnsi" w:hAnsiTheme="minorHAnsi"/>
          <w:b/>
          <w:bCs/>
          <w:sz w:val="22"/>
          <w:szCs w:val="22"/>
        </w:rPr>
        <w:t>Instructions for Part V</w:t>
      </w:r>
      <w:r w:rsidR="00861A8F" w:rsidRPr="00F62144">
        <w:rPr>
          <w:rFonts w:asciiTheme="minorHAnsi" w:hAnsiTheme="minorHAnsi"/>
          <w:b/>
          <w:bCs/>
          <w:sz w:val="22"/>
          <w:szCs w:val="22"/>
        </w:rPr>
        <w:t>I</w:t>
      </w:r>
      <w:r w:rsidRPr="00F62144">
        <w:rPr>
          <w:rFonts w:asciiTheme="minorHAnsi" w:hAnsiTheme="minorHAnsi"/>
          <w:b/>
          <w:bCs/>
          <w:sz w:val="22"/>
          <w:szCs w:val="22"/>
        </w:rPr>
        <w:t xml:space="preserve"> – Miscellaneous Information </w:t>
      </w:r>
    </w:p>
    <w:p w14:paraId="72FA5771" w14:textId="77777777" w:rsidR="00F12837" w:rsidRPr="00F62144" w:rsidRDefault="00F12837" w:rsidP="00F12837">
      <w:pPr>
        <w:autoSpaceDE w:val="0"/>
        <w:autoSpaceDN w:val="0"/>
        <w:adjustRightInd w:val="0"/>
        <w:spacing w:before="120"/>
        <w:ind w:left="360" w:hanging="360"/>
        <w:rPr>
          <w:rFonts w:asciiTheme="minorHAnsi" w:hAnsiTheme="minorHAnsi"/>
          <w:b/>
          <w:sz w:val="22"/>
          <w:szCs w:val="22"/>
        </w:rPr>
      </w:pPr>
    </w:p>
    <w:p w14:paraId="08F97B45"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13 Final premium filing </w:t>
      </w:r>
    </w:p>
    <w:p w14:paraId="65FACB39"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this is the last premium filing for this plan, indicate the reason: (1) that the plan merged or consolidated with another plan, (2) that the plan was trusteed under ERISA section 4042, (3)</w:t>
      </w:r>
      <w:r w:rsidR="006B01F8" w:rsidRPr="00F62144">
        <w:rPr>
          <w:rFonts w:asciiTheme="minorHAnsi" w:hAnsiTheme="minorHAnsi"/>
          <w:sz w:val="22"/>
          <w:szCs w:val="22"/>
        </w:rPr>
        <w:t> </w:t>
      </w:r>
      <w:r w:rsidRPr="00F62144">
        <w:rPr>
          <w:rFonts w:asciiTheme="minorHAnsi" w:hAnsiTheme="minorHAnsi"/>
          <w:sz w:val="22"/>
          <w:szCs w:val="22"/>
        </w:rPr>
        <w:t xml:space="preserve">that the plan completed a distribution pursuant to termination, or (4) that the plan ceased to be a covered plan. </w:t>
      </w:r>
    </w:p>
    <w:p w14:paraId="61533CA5"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Report the date of the event that led to the cessation of the requirement to file. If the reason this is the last premium filing is because:</w:t>
      </w:r>
    </w:p>
    <w:p w14:paraId="514A7835" w14:textId="77777777" w:rsidR="00F12837" w:rsidRPr="00F62144" w:rsidRDefault="00F12837" w:rsidP="00023A8E">
      <w:pPr>
        <w:numPr>
          <w:ilvl w:val="0"/>
          <w:numId w:val="42"/>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merged or consolidated into another plan, report the effective date of the Merger or Consolidation;</w:t>
      </w:r>
    </w:p>
    <w:p w14:paraId="30F2632B" w14:textId="77777777" w:rsidR="00F12837" w:rsidRPr="00F62144" w:rsidRDefault="00F12837" w:rsidP="00023A8E">
      <w:pPr>
        <w:numPr>
          <w:ilvl w:val="0"/>
          <w:numId w:val="2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terminated in an involuntary or distress termination, report the effective date of the trusteeship; </w:t>
      </w:r>
    </w:p>
    <w:p w14:paraId="5DD34143" w14:textId="77777777" w:rsidR="00F12837" w:rsidRPr="00F62144" w:rsidRDefault="00F12837" w:rsidP="00023A8E">
      <w:pPr>
        <w:numPr>
          <w:ilvl w:val="0"/>
          <w:numId w:val="2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was a distribution of assets pursuant to a termination:</w:t>
      </w:r>
    </w:p>
    <w:p w14:paraId="0C7B7C9D" w14:textId="77777777" w:rsidR="00F12837" w:rsidRPr="00F62144" w:rsidRDefault="00F12837" w:rsidP="00023A8E">
      <w:pPr>
        <w:numPr>
          <w:ilvl w:val="1"/>
          <w:numId w:val="21"/>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sidR="007F77B1">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14:paraId="78683B45" w14:textId="77777777" w:rsidR="00F12837" w:rsidRPr="00F62144" w:rsidRDefault="00F12837" w:rsidP="00023A8E">
      <w:pPr>
        <w:numPr>
          <w:ilvl w:val="1"/>
          <w:numId w:val="21"/>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w:t>
      </w:r>
      <w:r w:rsidR="00805A77" w:rsidRPr="00F62144">
        <w:rPr>
          <w:rFonts w:asciiTheme="minorHAnsi" w:hAnsiTheme="minorHAnsi"/>
          <w:sz w:val="22"/>
          <w:szCs w:val="22"/>
        </w:rPr>
        <w:t xml:space="preserve"> or</w:t>
      </w:r>
    </w:p>
    <w:p w14:paraId="51B6B4A9" w14:textId="77777777" w:rsidR="00372616" w:rsidRPr="00372616" w:rsidRDefault="00CE75D4" w:rsidP="00023A8E">
      <w:pPr>
        <w:numPr>
          <w:ilvl w:val="0"/>
          <w:numId w:val="25"/>
        </w:num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the</w:t>
      </w:r>
      <w:r w:rsidR="00F12837" w:rsidRPr="00F62144">
        <w:rPr>
          <w:rFonts w:asciiTheme="minorHAnsi" w:hAnsiTheme="minorHAnsi"/>
          <w:sz w:val="22"/>
          <w:szCs w:val="22"/>
        </w:rPr>
        <w:t xml:space="preserve"> plan ceased to be covered by Title IV of ERISA, report the date coverage ceased</w:t>
      </w:r>
      <w:r w:rsidR="00372616">
        <w:rPr>
          <w:rFonts w:asciiTheme="minorHAnsi" w:hAnsiTheme="minorHAnsi"/>
          <w:sz w:val="22"/>
          <w:szCs w:val="22"/>
        </w:rPr>
        <w:t xml:space="preserve"> (i.e., the date reported in PBGC’s response to a request for a coverage determination).  </w:t>
      </w:r>
    </w:p>
    <w:p w14:paraId="693D9521" w14:textId="77777777" w:rsidR="0098262E" w:rsidRPr="00F62144" w:rsidRDefault="00BD5F9F" w:rsidP="00BD5F9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b12"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xml:space="preserve">” in the “Correcting </w:t>
      </w:r>
      <w:r w:rsidR="00A307C2">
        <w:rPr>
          <w:rFonts w:asciiTheme="minorHAnsi" w:hAnsiTheme="minorHAnsi"/>
          <w:sz w:val="22"/>
          <w:szCs w:val="22"/>
        </w:rPr>
        <w:t>Errors</w:t>
      </w:r>
      <w:r w:rsidR="007B20D0" w:rsidRPr="00F62144">
        <w:rPr>
          <w:rFonts w:asciiTheme="minorHAnsi" w:hAnsiTheme="minorHAnsi"/>
          <w:sz w:val="22"/>
          <w:szCs w:val="22"/>
        </w:rPr>
        <w:t xml:space="preserve">, </w:t>
      </w:r>
      <w:r w:rsidR="006B0C24" w:rsidRPr="00F62144">
        <w:rPr>
          <w:rFonts w:asciiTheme="minorHAnsi" w:hAnsiTheme="minorHAnsi"/>
          <w:sz w:val="22"/>
          <w:szCs w:val="22"/>
        </w:rPr>
        <w:t>Credit Balances</w:t>
      </w:r>
      <w:r w:rsidR="00A8171A" w:rsidRPr="00F62144">
        <w:rPr>
          <w:rFonts w:asciiTheme="minorHAnsi" w:hAnsiTheme="minorHAnsi"/>
          <w:sz w:val="22"/>
          <w:szCs w:val="22"/>
        </w:rPr>
        <w:t xml:space="preserve"> and</w:t>
      </w:r>
      <w:r w:rsidR="006B0C24" w:rsidRPr="00F62144">
        <w:rPr>
          <w:rFonts w:asciiTheme="minorHAnsi" w:hAnsiTheme="minorHAnsi"/>
          <w:sz w:val="22"/>
          <w:szCs w:val="22"/>
        </w:rPr>
        <w:t xml:space="preserve"> Reconciling </w:t>
      </w:r>
      <w:r w:rsidR="007B20D0" w:rsidRPr="00F62144">
        <w:rPr>
          <w:rFonts w:asciiTheme="minorHAnsi" w:hAnsiTheme="minorHAnsi"/>
          <w:sz w:val="22"/>
          <w:szCs w:val="22"/>
        </w:rPr>
        <w:t>Estimates</w:t>
      </w:r>
      <w:r w:rsidR="006B0C24" w:rsidRPr="00F62144">
        <w:rPr>
          <w:rFonts w:asciiTheme="minorHAnsi" w:hAnsiTheme="minorHAnsi"/>
          <w:sz w:val="22"/>
          <w:szCs w:val="22"/>
        </w:rPr>
        <w:t xml:space="preserve">” </w:t>
      </w:r>
      <w:r w:rsidRPr="00F62144">
        <w:rPr>
          <w:rFonts w:asciiTheme="minorHAnsi" w:hAnsiTheme="minorHAnsi"/>
          <w:sz w:val="22"/>
          <w:szCs w:val="22"/>
        </w:rPr>
        <w:t>section.</w:t>
      </w:r>
    </w:p>
    <w:p w14:paraId="7A8EF5BE" w14:textId="77777777" w:rsidR="00F12837" w:rsidRPr="00F62144" w:rsidRDefault="00F12837" w:rsidP="00F1283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9414CF" w:rsidRPr="00F62144">
        <w:rPr>
          <w:rFonts w:asciiTheme="minorHAnsi" w:hAnsiTheme="minorHAnsi"/>
          <w:b/>
          <w:sz w:val="22"/>
          <w:szCs w:val="22"/>
        </w:rPr>
        <w:t>4</w:t>
      </w:r>
      <w:r w:rsidRPr="00F62144">
        <w:rPr>
          <w:rFonts w:asciiTheme="minorHAnsi" w:hAnsiTheme="minorHAnsi"/>
          <w:b/>
          <w:sz w:val="22"/>
          <w:szCs w:val="22"/>
        </w:rPr>
        <w:t xml:space="preserve"> </w:t>
      </w:r>
      <w:bookmarkStart w:id="65" w:name="b19"/>
      <w:bookmarkEnd w:id="65"/>
      <w:r w:rsidRPr="00F62144">
        <w:rPr>
          <w:rFonts w:asciiTheme="minorHAnsi" w:hAnsiTheme="minorHAnsi"/>
          <w:b/>
          <w:sz w:val="22"/>
          <w:szCs w:val="22"/>
        </w:rPr>
        <w:t xml:space="preserve">Transfers from other plans </w:t>
      </w:r>
    </w:p>
    <w:p w14:paraId="5976634C"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another plan transferred assets or liabilities to this plan since the date of the most recent comprehensive premium filing (or, if this is a filing for a plan year beginning in </w:t>
      </w:r>
      <w:r w:rsidR="00AE348E">
        <w:rPr>
          <w:rFonts w:asciiTheme="minorHAnsi" w:hAnsiTheme="minorHAnsi"/>
          <w:sz w:val="22"/>
          <w:szCs w:val="22"/>
        </w:rPr>
        <w:t>2018</w:t>
      </w:r>
      <w:r w:rsidRPr="00F62144">
        <w:rPr>
          <w:rFonts w:asciiTheme="minorHAnsi" w:hAnsiTheme="minorHAnsi"/>
          <w:sz w:val="22"/>
          <w:szCs w:val="22"/>
        </w:rPr>
        <w:t xml:space="preserve">, since the date of the </w:t>
      </w:r>
      <w:r w:rsidR="00AE348E">
        <w:rPr>
          <w:rFonts w:asciiTheme="minorHAnsi" w:hAnsiTheme="minorHAnsi"/>
          <w:sz w:val="22"/>
          <w:szCs w:val="22"/>
        </w:rPr>
        <w:t>2017</w:t>
      </w:r>
      <w:r w:rsidR="005A4C93" w:rsidRPr="00F62144">
        <w:rPr>
          <w:rFonts w:asciiTheme="minorHAnsi" w:hAnsiTheme="minorHAnsi"/>
          <w:sz w:val="22"/>
          <w:szCs w:val="22"/>
        </w:rPr>
        <w:t xml:space="preserve"> </w:t>
      </w:r>
      <w:r w:rsidRPr="00F62144">
        <w:rPr>
          <w:rFonts w:asciiTheme="minorHAnsi" w:hAnsiTheme="minorHAnsi"/>
          <w:sz w:val="22"/>
          <w:szCs w:val="22"/>
        </w:rPr>
        <w:t>“final filing”), report the EIN and PN of the plan from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Transferor Plan</w:t>
      </w:r>
      <w:r w:rsidRPr="00F62144">
        <w:rPr>
          <w:rFonts w:asciiTheme="minorHAnsi" w:hAnsiTheme="minorHAnsi"/>
          <w:sz w:val="22"/>
          <w:szCs w:val="22"/>
        </w:rPr>
        <w:t>”).</w:t>
      </w:r>
    </w:p>
    <w:p w14:paraId="2DCC3C64"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another plan transferred assets or liabilities to this plan in conjunction with the creation of this plan, report the EIN and PN of the plan from which the assets were transferred.</w:t>
      </w:r>
    </w:p>
    <w:p w14:paraId="0F35A3BE"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0085638D" w:rsidRPr="00F62144">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 and another plan transferred assets or liabilities to this plan on or after the date th</w:t>
      </w:r>
      <w:r w:rsidR="00CE75D4" w:rsidRPr="00F62144">
        <w:rPr>
          <w:rFonts w:asciiTheme="minorHAnsi" w:hAnsiTheme="minorHAnsi"/>
          <w:sz w:val="22"/>
          <w:szCs w:val="22"/>
        </w:rPr>
        <w:t>is</w:t>
      </w:r>
      <w:r w:rsidRPr="00F62144">
        <w:rPr>
          <w:rFonts w:asciiTheme="minorHAnsi" w:hAnsiTheme="minorHAnsi"/>
          <w:sz w:val="22"/>
          <w:szCs w:val="22"/>
        </w:rPr>
        <w:t xml:space="preserve"> plan became covered and before the date the premium filing is made, report the EIN and PN of the plan from which the assets were transferred.</w:t>
      </w:r>
    </w:p>
    <w:p w14:paraId="17D77A94" w14:textId="77777777" w:rsidR="00547D7A" w:rsidRDefault="00F12837" w:rsidP="00547D7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all cases, report the date of the transfer and check the box that best describes the type of transfer (see </w:t>
      </w:r>
      <w:hyperlink w:anchor="b18" w:history="1">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of Merger, Spinoff, and Consolidation). For this purpose, the date of transfer is the date the transfer went into effect. </w:t>
      </w:r>
    </w:p>
    <w:p w14:paraId="40864F57" w14:textId="77777777" w:rsidR="00547D7A" w:rsidRDefault="00547D7A" w:rsidP="00547D7A">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The section on “</w:t>
      </w:r>
      <w:hyperlink w:anchor="Spinoffs" w:history="1">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14:paraId="7B9E92B2" w14:textId="77777777" w:rsidR="00726077" w:rsidRDefault="00726077" w:rsidP="00547D7A">
      <w:pPr>
        <w:autoSpaceDE w:val="0"/>
        <w:autoSpaceDN w:val="0"/>
        <w:adjustRightInd w:val="0"/>
        <w:spacing w:before="120"/>
        <w:ind w:left="360"/>
        <w:rPr>
          <w:rFonts w:asciiTheme="minorHAnsi" w:hAnsiTheme="minorHAnsi"/>
          <w:i/>
          <w:sz w:val="22"/>
          <w:szCs w:val="22"/>
        </w:rPr>
      </w:pPr>
      <w:r>
        <w:rPr>
          <w:rFonts w:asciiTheme="minorHAnsi" w:hAnsiTheme="minorHAnsi"/>
          <w:i/>
          <w:sz w:val="22"/>
          <w:szCs w:val="22"/>
        </w:rPr>
        <w:br w:type="page"/>
      </w:r>
    </w:p>
    <w:p w14:paraId="0D6EAB8E" w14:textId="77777777" w:rsidR="00F12837" w:rsidRPr="00F62144" w:rsidRDefault="00F12837" w:rsidP="0055523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Note that the date of a transfer is determined based on the facts and circumstances of the particular situation. (For transfers subject to section 414(</w:t>
      </w:r>
      <w:r w:rsidRPr="00F62144">
        <w:rPr>
          <w:rFonts w:asciiTheme="minorHAnsi" w:hAnsiTheme="minorHAnsi"/>
          <w:i/>
          <w:sz w:val="22"/>
          <w:szCs w:val="22"/>
        </w:rPr>
        <w:t>l</w:t>
      </w:r>
      <w:r w:rsidRPr="00F62144">
        <w:rPr>
          <w:rFonts w:asciiTheme="minorHAnsi" w:hAnsiTheme="minorHAnsi"/>
          <w:sz w:val="22"/>
          <w:szCs w:val="22"/>
        </w:rPr>
        <w:t>) of the Code, report the date determined under 26 CFR 1.414(</w:t>
      </w:r>
      <w:r w:rsidRPr="00F62144">
        <w:rPr>
          <w:rFonts w:asciiTheme="minorHAnsi" w:hAnsiTheme="minorHAnsi"/>
          <w:i/>
          <w:sz w:val="22"/>
          <w:szCs w:val="22"/>
        </w:rPr>
        <w:t>l</w:t>
      </w:r>
      <w:r w:rsidRPr="00F62144">
        <w:rPr>
          <w:rFonts w:asciiTheme="minorHAnsi" w:hAnsiTheme="minorHAnsi"/>
          <w:sz w:val="22"/>
          <w:szCs w:val="22"/>
        </w:rPr>
        <w:t xml:space="preserve">)-1(b)(11).) </w:t>
      </w:r>
    </w:p>
    <w:p w14:paraId="69B827D9" w14:textId="77777777" w:rsidR="00F12837" w:rsidRPr="00F62144" w:rsidRDefault="00F12837" w:rsidP="0055523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the transfer is the result of something other than a Merger, Spinoff, or Consolidation, for example, a reciprocity arrangement where assets and liabilities are transferred between two plans when an employee changes locations or changes status (</w:t>
      </w:r>
      <w:r w:rsidRPr="00F62144">
        <w:rPr>
          <w:rFonts w:asciiTheme="minorHAnsi" w:hAnsiTheme="minorHAnsi"/>
          <w:i/>
          <w:sz w:val="22"/>
          <w:szCs w:val="22"/>
        </w:rPr>
        <w:t>e.g.</w:t>
      </w:r>
      <w:r w:rsidRPr="00F62144">
        <w:rPr>
          <w:rFonts w:asciiTheme="minorHAnsi" w:hAnsiTheme="minorHAnsi"/>
          <w:sz w:val="22"/>
          <w:szCs w:val="22"/>
        </w:rPr>
        <w:t xml:space="preserve">, from Salaried to Hourly and as a result becomes covered by another plan), check the “Other” box. Also check the “Other” box if you have no way of determining whether the </w:t>
      </w:r>
      <w:r w:rsidR="00BF1922">
        <w:rPr>
          <w:rFonts w:asciiTheme="minorHAnsi" w:hAnsiTheme="minorHAnsi"/>
          <w:sz w:val="22"/>
          <w:szCs w:val="22"/>
        </w:rPr>
        <w:t>Transferor Plan</w:t>
      </w:r>
      <w:r w:rsidRPr="00F62144">
        <w:rPr>
          <w:rFonts w:asciiTheme="minorHAnsi" w:hAnsiTheme="minorHAnsi"/>
          <w:sz w:val="22"/>
          <w:szCs w:val="22"/>
        </w:rPr>
        <w:t xml:space="preserve"> ceased to exist in connection with a Merger or Consolidation into your plan.</w:t>
      </w:r>
    </w:p>
    <w:p w14:paraId="58DD91B0" w14:textId="77777777" w:rsidR="00F12837" w:rsidRPr="00F62144" w:rsidRDefault="00F12837" w:rsidP="0055523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more than one </w:t>
      </w:r>
      <w:r w:rsidR="00BF1922">
        <w:rPr>
          <w:rFonts w:asciiTheme="minorHAnsi" w:hAnsiTheme="minorHAnsi"/>
          <w:sz w:val="22"/>
          <w:szCs w:val="22"/>
        </w:rPr>
        <w:t>Transferor Plan</w:t>
      </w:r>
      <w:r w:rsidRPr="00F62144">
        <w:rPr>
          <w:rFonts w:asciiTheme="minorHAnsi" w:hAnsiTheme="minorHAnsi"/>
          <w:sz w:val="22"/>
          <w:szCs w:val="22"/>
        </w:rPr>
        <w:t xml:space="preserve"> is involved, provide the above information with respect to each </w:t>
      </w:r>
      <w:r w:rsidR="00BF1922">
        <w:rPr>
          <w:rFonts w:asciiTheme="minorHAnsi" w:hAnsiTheme="minorHAnsi"/>
          <w:sz w:val="22"/>
          <w:szCs w:val="22"/>
        </w:rPr>
        <w:t>Transferor Plan</w:t>
      </w:r>
      <w:r w:rsidRPr="00F62144">
        <w:rPr>
          <w:rFonts w:asciiTheme="minorHAnsi" w:hAnsiTheme="minorHAnsi"/>
          <w:sz w:val="22"/>
          <w:szCs w:val="22"/>
        </w:rPr>
        <w:t xml:space="preserve">. </w:t>
      </w:r>
    </w:p>
    <w:p w14:paraId="472AEF51" w14:textId="77777777" w:rsidR="001578FF" w:rsidRPr="00F62144" w:rsidRDefault="001578FF">
      <w:pPr>
        <w:rPr>
          <w:rFonts w:asciiTheme="minorHAnsi" w:hAnsiTheme="minorHAnsi"/>
          <w:b/>
          <w:sz w:val="22"/>
          <w:szCs w:val="22"/>
        </w:rPr>
      </w:pPr>
    </w:p>
    <w:p w14:paraId="552BE338" w14:textId="77777777" w:rsidR="00F12837" w:rsidRPr="00F62144" w:rsidRDefault="00F12837" w:rsidP="00F12837">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9414CF" w:rsidRPr="00F62144">
        <w:rPr>
          <w:rFonts w:asciiTheme="minorHAnsi" w:hAnsiTheme="minorHAnsi"/>
          <w:b/>
          <w:sz w:val="22"/>
          <w:szCs w:val="22"/>
        </w:rPr>
        <w:t>5</w:t>
      </w:r>
      <w:r w:rsidRPr="00F62144">
        <w:rPr>
          <w:rFonts w:asciiTheme="minorHAnsi" w:hAnsiTheme="minorHAnsi"/>
          <w:b/>
          <w:sz w:val="22"/>
          <w:szCs w:val="22"/>
        </w:rPr>
        <w:t xml:space="preserve"> </w:t>
      </w:r>
      <w:bookmarkStart w:id="66" w:name="b20"/>
      <w:bookmarkEnd w:id="66"/>
      <w:r w:rsidRPr="00F62144">
        <w:rPr>
          <w:rFonts w:asciiTheme="minorHAnsi" w:hAnsiTheme="minorHAnsi"/>
          <w:b/>
          <w:sz w:val="22"/>
          <w:szCs w:val="22"/>
        </w:rPr>
        <w:t>Transfers to other plans</w:t>
      </w:r>
    </w:p>
    <w:p w14:paraId="0FB8D1A9" w14:textId="77777777" w:rsidR="00F12837" w:rsidRPr="00F62144" w:rsidRDefault="00F12837" w:rsidP="00F12837">
      <w:pPr>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this plan transferred assets or liabilities to another plan since the date of the most recent comprehensive premium filing</w:t>
      </w:r>
      <w:r w:rsidR="00C42418">
        <w:rPr>
          <w:rFonts w:asciiTheme="minorHAnsi" w:hAnsiTheme="minorHAnsi"/>
          <w:sz w:val="22"/>
          <w:szCs w:val="22"/>
        </w:rPr>
        <w:t>,</w:t>
      </w:r>
      <w:r w:rsidRPr="00F62144">
        <w:rPr>
          <w:rFonts w:asciiTheme="minorHAnsi" w:hAnsiTheme="minorHAnsi"/>
          <w:sz w:val="22"/>
          <w:szCs w:val="22"/>
        </w:rPr>
        <w:t xml:space="preserve"> report the EIN and PN of the plan to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Transferee Plan</w:t>
      </w:r>
      <w:r w:rsidRPr="00F62144">
        <w:rPr>
          <w:rFonts w:asciiTheme="minorHAnsi" w:hAnsiTheme="minorHAnsi"/>
          <w:sz w:val="22"/>
          <w:szCs w:val="22"/>
        </w:rPr>
        <w:t xml:space="preserve">”). In addition, report the date of transfer and check the box that best describes the type of transfer. </w:t>
      </w:r>
    </w:p>
    <w:p w14:paraId="404FEC9A"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this plan transferred assets or liabilities to another plan on or after the earlier of the Plan Adoption Date and the effective date, and before the date the premium filing is made, report the EIN and PN of the plan to which the assets were transferred and the type of transfer.</w:t>
      </w:r>
    </w:p>
    <w:p w14:paraId="5534B03A"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0085638D" w:rsidRPr="00F62144">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0085638D" w:rsidRPr="00F62144">
        <w:rPr>
          <w:rFonts w:asciiTheme="minorHAnsi" w:hAnsiTheme="minorHAnsi"/>
          <w:sz w:val="22"/>
          <w:szCs w:val="22"/>
        </w:rPr>
        <w:t xml:space="preserve"> Covered</w:t>
      </w:r>
      <w:r w:rsidRPr="00F62144">
        <w:rPr>
          <w:rFonts w:asciiTheme="minorHAnsi" w:hAnsiTheme="minorHAnsi"/>
          <w:sz w:val="22"/>
          <w:szCs w:val="22"/>
        </w:rPr>
        <w:t xml:space="preserve"> Plan and this plan transferred assets or liabilities to another plan on or after the date the plan became covered and before the date the premium filing is made, report the EIN and PN of the plan to which the assets were transferred and the type of transfer.</w:t>
      </w:r>
    </w:p>
    <w:p w14:paraId="61598A91" w14:textId="77777777" w:rsidR="00F12837" w:rsidRDefault="00F12837" w:rsidP="00F12837">
      <w:pPr>
        <w:spacing w:before="120"/>
        <w:ind w:left="360"/>
        <w:rPr>
          <w:rFonts w:asciiTheme="minorHAnsi" w:hAnsiTheme="minorHAnsi"/>
          <w:sz w:val="22"/>
          <w:szCs w:val="22"/>
        </w:rPr>
      </w:pPr>
      <w:r w:rsidRPr="00F62144">
        <w:rPr>
          <w:rFonts w:asciiTheme="minorHAnsi" w:hAnsiTheme="minorHAnsi"/>
          <w:sz w:val="22"/>
          <w:szCs w:val="22"/>
        </w:rPr>
        <w:t xml:space="preserve">In all cases, if more than one </w:t>
      </w:r>
      <w:r w:rsidR="00BF1922">
        <w:rPr>
          <w:rFonts w:asciiTheme="minorHAnsi" w:hAnsiTheme="minorHAnsi"/>
          <w:sz w:val="22"/>
          <w:szCs w:val="22"/>
        </w:rPr>
        <w:t>Transferee Plan</w:t>
      </w:r>
      <w:r w:rsidRPr="00F62144">
        <w:rPr>
          <w:rFonts w:asciiTheme="minorHAnsi" w:hAnsiTheme="minorHAnsi"/>
          <w:sz w:val="22"/>
          <w:szCs w:val="22"/>
        </w:rPr>
        <w:t xml:space="preserve"> is involved, provide the above information with respect to each transferor plan. See instructions to </w:t>
      </w:r>
      <w:hyperlink w:anchor="b19" w:history="1">
        <w:r w:rsidRPr="00F62144">
          <w:rPr>
            <w:rStyle w:val="Hyperlink"/>
            <w:rFonts w:asciiTheme="minorHAnsi" w:hAnsiTheme="minorHAnsi"/>
            <w:sz w:val="22"/>
            <w:szCs w:val="22"/>
          </w:rPr>
          <w:t>item 1</w:t>
        </w:r>
        <w:r w:rsidR="0096368B" w:rsidRPr="00F62144">
          <w:rPr>
            <w:rStyle w:val="Hyperlink"/>
            <w:rFonts w:asciiTheme="minorHAnsi" w:hAnsiTheme="minorHAnsi"/>
            <w:sz w:val="22"/>
            <w:szCs w:val="22"/>
          </w:rPr>
          <w:t>4</w:t>
        </w:r>
      </w:hyperlink>
      <w:r w:rsidRPr="00F62144">
        <w:rPr>
          <w:rFonts w:asciiTheme="minorHAnsi" w:hAnsiTheme="minorHAnsi"/>
          <w:sz w:val="22"/>
          <w:szCs w:val="22"/>
        </w:rPr>
        <w:t xml:space="preserve"> for more information on what is to be reported for “date of transfer.” </w:t>
      </w:r>
    </w:p>
    <w:p w14:paraId="4325D34A" w14:textId="77777777" w:rsidR="001F74E2" w:rsidRDefault="001F74E2" w:rsidP="001F74E2">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The section on “</w:t>
      </w:r>
      <w:hyperlink w:anchor="Spinoffs" w:history="1">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14:paraId="1D2785F7" w14:textId="77777777" w:rsidR="001F74E2" w:rsidRPr="00F62144" w:rsidRDefault="001F74E2" w:rsidP="00F12837">
      <w:pPr>
        <w:spacing w:before="120"/>
        <w:ind w:left="360"/>
        <w:rPr>
          <w:rFonts w:asciiTheme="minorHAnsi" w:hAnsiTheme="minorHAnsi"/>
          <w:sz w:val="22"/>
          <w:szCs w:val="22"/>
        </w:rPr>
      </w:pPr>
    </w:p>
    <w:p w14:paraId="104B2488" w14:textId="77777777" w:rsidR="00F12837" w:rsidRPr="00F62144" w:rsidRDefault="00F12837" w:rsidP="00F12837">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9414CF" w:rsidRPr="00F62144">
        <w:rPr>
          <w:rFonts w:asciiTheme="minorHAnsi" w:hAnsiTheme="minorHAnsi"/>
          <w:b/>
          <w:sz w:val="22"/>
          <w:szCs w:val="22"/>
        </w:rPr>
        <w:t>6</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14:paraId="2DC53A0B" w14:textId="77777777" w:rsidR="00D11F9D" w:rsidRDefault="00F12837" w:rsidP="00D11F9D">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as of the beginning of the Premium Payment Year, participation is limited to participants who were covered by the plan as of a specified date (</w:t>
      </w:r>
      <w:r w:rsidRPr="00F62144">
        <w:rPr>
          <w:rFonts w:asciiTheme="minorHAnsi" w:hAnsiTheme="minorHAnsi"/>
          <w:i/>
          <w:sz w:val="22"/>
          <w:szCs w:val="22"/>
        </w:rPr>
        <w:t>i.e.</w:t>
      </w:r>
      <w:r w:rsidRPr="00F62144">
        <w:rPr>
          <w:rFonts w:asciiTheme="minorHAnsi" w:hAnsiTheme="minorHAnsi"/>
          <w:sz w:val="22"/>
          <w:szCs w:val="22"/>
        </w:rPr>
        <w:t>, the plan is closed to new entrants), enter the date the plan became closed to new entrants.</w:t>
      </w:r>
      <w:r w:rsidR="00BE0F7F" w:rsidRPr="00F62144" w:rsidDel="00BE0F7F">
        <w:rPr>
          <w:rFonts w:asciiTheme="minorHAnsi" w:hAnsiTheme="minorHAnsi"/>
          <w:sz w:val="22"/>
          <w:szCs w:val="22"/>
        </w:rPr>
        <w:t xml:space="preserve"> </w:t>
      </w:r>
    </w:p>
    <w:p w14:paraId="02507A29" w14:textId="77777777" w:rsidR="00D11F9D" w:rsidRPr="00F62144" w:rsidRDefault="00D11F9D" w:rsidP="00D11F9D">
      <w:pPr>
        <w:autoSpaceDE w:val="0"/>
        <w:autoSpaceDN w:val="0"/>
        <w:adjustRightInd w:val="0"/>
        <w:spacing w:before="120"/>
        <w:ind w:left="360"/>
        <w:rPr>
          <w:rFonts w:asciiTheme="minorHAnsi" w:hAnsiTheme="minorHAnsi"/>
          <w:sz w:val="22"/>
          <w:szCs w:val="22"/>
        </w:rPr>
      </w:pPr>
    </w:p>
    <w:p w14:paraId="646B3947" w14:textId="77777777" w:rsidR="00F12837" w:rsidRPr="00F62144" w:rsidRDefault="00F12837" w:rsidP="00F1283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9414CF" w:rsidRPr="00F62144">
        <w:rPr>
          <w:rFonts w:asciiTheme="minorHAnsi" w:hAnsiTheme="minorHAnsi"/>
          <w:b/>
          <w:sz w:val="22"/>
          <w:szCs w:val="22"/>
        </w:rPr>
        <w:t>7</w:t>
      </w:r>
      <w:r w:rsidRPr="00F62144">
        <w:rPr>
          <w:rFonts w:asciiTheme="minorHAnsi" w:hAnsiTheme="minorHAnsi"/>
          <w:b/>
          <w:sz w:val="22"/>
          <w:szCs w:val="22"/>
        </w:rPr>
        <w:t xml:space="preserve"> Benefit accrual freeze </w:t>
      </w:r>
    </w:p>
    <w:p w14:paraId="00815674" w14:textId="77777777" w:rsidR="00F12837" w:rsidRPr="00F62144" w:rsidRDefault="00F12837" w:rsidP="00CD4B1B">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(3)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service is frozen, but pay is not, or (5) some other type of accrual freeze is in effect (in which case you must provide a description of the freeze).</w:t>
      </w:r>
    </w:p>
    <w:p w14:paraId="7CDE5BB5" w14:textId="77777777" w:rsidR="00F12837" w:rsidRPr="00F62144" w:rsidRDefault="00F12837" w:rsidP="00CD4B1B">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more than one description applies (for example, if pay and service are frozen for employees at location X and only service is frozen for employees at location Y), select “Other” and provide a description. </w:t>
      </w:r>
    </w:p>
    <w:p w14:paraId="7971181A" w14:textId="77777777" w:rsidR="00F12837" w:rsidRPr="00F62144" w:rsidRDefault="00F12837" w:rsidP="00CD4B1B">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more than one freeze has occurred, report the date and nature of the most recent freeze. </w:t>
      </w:r>
    </w:p>
    <w:p w14:paraId="02B691AA" w14:textId="77777777" w:rsidR="006F76DA" w:rsidRDefault="006F76DA">
      <w:pPr>
        <w:rPr>
          <w:rFonts w:asciiTheme="minorHAnsi" w:hAnsiTheme="minorHAnsi"/>
          <w:b/>
          <w:sz w:val="22"/>
          <w:szCs w:val="22"/>
        </w:rPr>
      </w:pPr>
    </w:p>
    <w:p w14:paraId="30FECFBF" w14:textId="77777777" w:rsidR="00F20EDD" w:rsidRPr="00F62144" w:rsidRDefault="00F20EDD" w:rsidP="004C3C73">
      <w:pPr>
        <w:rPr>
          <w:rFonts w:asciiTheme="minorHAnsi" w:hAnsiTheme="minorHAnsi"/>
          <w:b/>
          <w:sz w:val="22"/>
          <w:szCs w:val="22"/>
        </w:rPr>
      </w:pPr>
      <w:r w:rsidRPr="00F62144">
        <w:rPr>
          <w:rFonts w:asciiTheme="minorHAnsi" w:hAnsiTheme="minorHAnsi"/>
          <w:b/>
          <w:sz w:val="22"/>
          <w:szCs w:val="22"/>
        </w:rPr>
        <w:t xml:space="preserve">18 Risk transfer activity </w:t>
      </w:r>
      <w:r w:rsidRPr="00F62144">
        <w:rPr>
          <w:rFonts w:asciiTheme="minorHAnsi" w:hAnsiTheme="minorHAnsi"/>
          <w:sz w:val="22"/>
          <w:szCs w:val="22"/>
        </w:rPr>
        <w:t>– Do not complete this item if this is the final filing for the plan.</w:t>
      </w:r>
    </w:p>
    <w:p w14:paraId="3A749394" w14:textId="77777777" w:rsidR="00F20EDD" w:rsidRPr="00F62144" w:rsidRDefault="00F20EDD" w:rsidP="00F20EDD">
      <w:pPr>
        <w:autoSpaceDE w:val="0"/>
        <w:autoSpaceDN w:val="0"/>
        <w:adjustRightInd w:val="0"/>
        <w:spacing w:before="120" w:after="120"/>
        <w:ind w:left="450" w:hanging="180"/>
        <w:rPr>
          <w:rFonts w:asciiTheme="minorHAnsi" w:hAnsiTheme="minorHAnsi"/>
          <w:sz w:val="22"/>
        </w:rPr>
      </w:pPr>
      <w:r w:rsidRPr="00F62144">
        <w:rPr>
          <w:rFonts w:asciiTheme="minorHAnsi" w:hAnsiTheme="minorHAnsi"/>
          <w:b/>
          <w:sz w:val="22"/>
        </w:rPr>
        <w:t>a</w:t>
      </w:r>
      <w:r w:rsidRPr="00F62144">
        <w:rPr>
          <w:rFonts w:asciiTheme="minorHAnsi" w:hAnsiTheme="minorHAnsi"/>
          <w:b/>
          <w:sz w:val="22"/>
          <w:szCs w:val="22"/>
        </w:rPr>
        <w:t xml:space="preserve"> </w:t>
      </w:r>
      <w:r w:rsidRPr="00F62144">
        <w:rPr>
          <w:rFonts w:asciiTheme="minorHAnsi" w:hAnsiTheme="minorHAnsi"/>
          <w:sz w:val="22"/>
          <w:szCs w:val="22"/>
        </w:rPr>
        <w:t>Lump Sum Windows – If</w:t>
      </w:r>
      <w:r w:rsidRPr="00F62144">
        <w:rPr>
          <w:rFonts w:asciiTheme="minorHAnsi" w:hAnsiTheme="minorHAnsi"/>
          <w:sz w:val="22"/>
        </w:rPr>
        <w:t xml:space="preserve"> the </w:t>
      </w:r>
      <w:r w:rsidRPr="00F62144">
        <w:rPr>
          <w:rFonts w:asciiTheme="minorHAnsi" w:hAnsiTheme="minorHAnsi"/>
          <w:sz w:val="22"/>
          <w:szCs w:val="22"/>
        </w:rPr>
        <w:t>plan provided one or more Lump Sum Windows</w:t>
      </w:r>
      <w:r w:rsidRPr="00F62144">
        <w:rPr>
          <w:rFonts w:asciiTheme="minorHAnsi" w:hAnsiTheme="minorHAnsi"/>
          <w:sz w:val="22"/>
        </w:rPr>
        <w:t xml:space="preserve"> during</w:t>
      </w:r>
      <w:r w:rsidRPr="00F62144">
        <w:rPr>
          <w:rFonts w:asciiTheme="minorHAnsi" w:hAnsiTheme="minorHAnsi"/>
          <w:sz w:val="22"/>
          <w:szCs w:val="22"/>
        </w:rPr>
        <w:t xml:space="preserve"> </w:t>
      </w:r>
      <w:r w:rsidRPr="00F62144">
        <w:rPr>
          <w:rFonts w:asciiTheme="minorHAnsi" w:hAnsiTheme="minorHAnsi"/>
          <w:sz w:val="22"/>
        </w:rPr>
        <w:t>the premium payment year</w:t>
      </w:r>
      <w:r w:rsidRPr="00F62144">
        <w:rPr>
          <w:rFonts w:asciiTheme="minorHAnsi" w:hAnsiTheme="minorHAnsi"/>
          <w:sz w:val="22"/>
          <w:szCs w:val="22"/>
        </w:rPr>
        <w:t xml:space="preserve"> or the </w:t>
      </w:r>
      <w:r w:rsidRPr="00F62144">
        <w:rPr>
          <w:rFonts w:asciiTheme="minorHAnsi" w:hAnsiTheme="minorHAnsi"/>
          <w:sz w:val="22"/>
        </w:rPr>
        <w:t xml:space="preserve">prior premium payment year, enter the requested information with respect to </w:t>
      </w:r>
      <w:r w:rsidRPr="00F62144">
        <w:rPr>
          <w:rFonts w:asciiTheme="minorHAnsi" w:hAnsiTheme="minorHAnsi"/>
          <w:sz w:val="22"/>
          <w:szCs w:val="22"/>
        </w:rPr>
        <w:t>individuals eligible to elect a lump sum under the window.  For this purpose</w:t>
      </w:r>
      <w:r w:rsidRPr="00F62144">
        <w:rPr>
          <w:rFonts w:asciiTheme="minorHAnsi" w:hAnsiTheme="minorHAnsi"/>
          <w:sz w:val="22"/>
        </w:rPr>
        <w:t>:</w:t>
      </w:r>
    </w:p>
    <w:p w14:paraId="254E604C" w14:textId="77777777" w:rsidR="00F20EDD" w:rsidRPr="000763F9" w:rsidRDefault="00F20EDD" w:rsidP="00FE3E24">
      <w:pPr>
        <w:pStyle w:val="ListParagraph"/>
        <w:numPr>
          <w:ilvl w:val="0"/>
          <w:numId w:val="51"/>
        </w:numPr>
        <w:spacing w:after="120"/>
        <w:ind w:left="810"/>
        <w:contextualSpacing w:val="0"/>
        <w:rPr>
          <w:rFonts w:asciiTheme="minorHAnsi" w:hAnsiTheme="minorHAnsi"/>
          <w:sz w:val="22"/>
        </w:rPr>
      </w:pPr>
      <w:r w:rsidRPr="00F62144">
        <w:rPr>
          <w:rFonts w:asciiTheme="minorHAnsi" w:hAnsiTheme="minorHAnsi"/>
          <w:sz w:val="22"/>
          <w:szCs w:val="18"/>
        </w:rPr>
        <w:t>Disregard</w:t>
      </w:r>
      <w:r w:rsidRPr="00F62144">
        <w:rPr>
          <w:rFonts w:asciiTheme="minorHAnsi" w:hAnsiTheme="minorHAnsi"/>
          <w:color w:val="FF0000"/>
          <w:sz w:val="22"/>
          <w:szCs w:val="18"/>
        </w:rPr>
        <w:t xml:space="preserve"> </w:t>
      </w:r>
      <w:r w:rsidRPr="00F62144">
        <w:rPr>
          <w:rFonts w:asciiTheme="minorHAnsi" w:hAnsiTheme="minorHAnsi"/>
          <w:sz w:val="22"/>
          <w:szCs w:val="18"/>
        </w:rPr>
        <w:t xml:space="preserve">any Lump Sum Window for which the time period for electing a lump sum </w:t>
      </w:r>
      <w:r w:rsidR="000763F9">
        <w:rPr>
          <w:rFonts w:asciiTheme="minorHAnsi" w:hAnsiTheme="minorHAnsi"/>
          <w:sz w:val="22"/>
          <w:szCs w:val="18"/>
        </w:rPr>
        <w:t>ended less</w:t>
      </w:r>
      <w:r w:rsidRPr="00F62144">
        <w:rPr>
          <w:rFonts w:asciiTheme="minorHAnsi" w:hAnsiTheme="minorHAnsi"/>
          <w:sz w:val="22"/>
          <w:szCs w:val="18"/>
        </w:rPr>
        <w:t xml:space="preserve"> than 60</w:t>
      </w:r>
      <w:r w:rsidRPr="00F62144">
        <w:rPr>
          <w:rFonts w:asciiTheme="minorHAnsi" w:hAnsiTheme="minorHAnsi"/>
          <w:sz w:val="22"/>
        </w:rPr>
        <w:t xml:space="preserve"> days before the premium filing is made</w:t>
      </w:r>
      <w:r w:rsidRPr="00F62144">
        <w:rPr>
          <w:rFonts w:asciiTheme="minorHAnsi" w:hAnsiTheme="minorHAnsi"/>
          <w:sz w:val="22"/>
          <w:szCs w:val="18"/>
        </w:rPr>
        <w:t>.</w:t>
      </w:r>
    </w:p>
    <w:p w14:paraId="4AD0FAAE" w14:textId="77777777" w:rsidR="000763F9" w:rsidRPr="000763F9" w:rsidRDefault="000763F9" w:rsidP="00FE3E24">
      <w:pPr>
        <w:pStyle w:val="ListParagraph"/>
        <w:numPr>
          <w:ilvl w:val="0"/>
          <w:numId w:val="51"/>
        </w:numPr>
        <w:spacing w:after="120"/>
        <w:ind w:left="810"/>
        <w:contextualSpacing w:val="0"/>
        <w:rPr>
          <w:rFonts w:asciiTheme="minorHAnsi" w:hAnsiTheme="minorHAnsi"/>
          <w:sz w:val="22"/>
          <w:szCs w:val="18"/>
        </w:rPr>
      </w:pPr>
      <w:r w:rsidRPr="000763F9">
        <w:rPr>
          <w:rFonts w:asciiTheme="minorHAnsi" w:hAnsiTheme="minorHAnsi"/>
          <w:sz w:val="22"/>
          <w:szCs w:val="18"/>
        </w:rPr>
        <w:t>Disregard any Lump Sum Window for which the requested information was reported in the premium filing for the prior premium payment year</w:t>
      </w:r>
      <w:r w:rsidR="003A08DC">
        <w:rPr>
          <w:rFonts w:asciiTheme="minorHAnsi" w:hAnsiTheme="minorHAnsi"/>
          <w:sz w:val="22"/>
          <w:szCs w:val="18"/>
        </w:rPr>
        <w:t>.</w:t>
      </w:r>
    </w:p>
    <w:p w14:paraId="4E2DD275" w14:textId="77777777" w:rsidR="00F20EDD" w:rsidRPr="00F62144"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 xml:space="preserve">Disregard lump sums offered: </w:t>
      </w:r>
    </w:p>
    <w:p w14:paraId="4EEFA5E6"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In the course of routine plan operations,</w:t>
      </w:r>
    </w:p>
    <w:p w14:paraId="5ABC48C3"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In conjunction with a plan termination,</w:t>
      </w:r>
    </w:p>
    <w:p w14:paraId="04404360"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Upon a participant’s separation from service, or</w:t>
      </w:r>
    </w:p>
    <w:p w14:paraId="306567E2"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 xml:space="preserve">As part of an incentive program to encourage active participants to retire early (commonly called an early retirement window). </w:t>
      </w:r>
    </w:p>
    <w:p w14:paraId="3D4F10CF" w14:textId="77777777" w:rsidR="00F20EDD" w:rsidRPr="00F62144"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Disregard lump sums paid under mandatory cash out provisions.</w:t>
      </w:r>
    </w:p>
    <w:p w14:paraId="1D44A886" w14:textId="77777777" w:rsidR="00F20EDD" w:rsidRPr="00F62144"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A person eligible for a Lump Sum Window whose offer letter is undeliverable may be excluded from the “Eligible to elect a lump sum” count.</w:t>
      </w:r>
    </w:p>
    <w:p w14:paraId="6E01CF8E" w14:textId="77777777" w:rsidR="00F20EDD" w:rsidRPr="00F62144"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 xml:space="preserve">If the exact counts are not readily available, reasonable estimates based on readily available plan records may be reported. </w:t>
      </w:r>
    </w:p>
    <w:p w14:paraId="5684613D" w14:textId="77777777" w:rsidR="00F20EDD" w:rsidRPr="00F62144" w:rsidRDefault="00F20EDD" w:rsidP="00F20EDD">
      <w:pPr>
        <w:autoSpaceDE w:val="0"/>
        <w:autoSpaceDN w:val="0"/>
        <w:adjustRightInd w:val="0"/>
        <w:spacing w:before="120" w:after="120"/>
        <w:ind w:left="450" w:hanging="180"/>
        <w:rPr>
          <w:rFonts w:asciiTheme="minorHAnsi" w:hAnsiTheme="minorHAnsi"/>
          <w:sz w:val="22"/>
          <w:szCs w:val="22"/>
        </w:rPr>
      </w:pPr>
      <w:r w:rsidRPr="00F62144">
        <w:rPr>
          <w:rFonts w:asciiTheme="minorHAnsi" w:hAnsiTheme="minorHAnsi"/>
          <w:b/>
          <w:sz w:val="22"/>
          <w:szCs w:val="22"/>
        </w:rPr>
        <w:t xml:space="preserve">b </w:t>
      </w:r>
      <w:r w:rsidRPr="00F62144">
        <w:rPr>
          <w:rFonts w:asciiTheme="minorHAnsi" w:hAnsiTheme="minorHAnsi"/>
          <w:sz w:val="22"/>
          <w:szCs w:val="22"/>
        </w:rPr>
        <w:t>Annuity Purchases - If the plan purchased annuities for a specified group of individuals during the premium payment year or the prior premium payment year, enter the requested information with respect to that group of individuals. For this purpose:</w:t>
      </w:r>
    </w:p>
    <w:p w14:paraId="2F93354E" w14:textId="77777777" w:rsidR="00F20EDD"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Disregard annuities purchases made less than 60 days before the premium filing is made.</w:t>
      </w:r>
    </w:p>
    <w:p w14:paraId="3D70CA80" w14:textId="77777777" w:rsidR="000763F9" w:rsidRPr="000763F9" w:rsidRDefault="000763F9" w:rsidP="00FE3E24">
      <w:pPr>
        <w:pStyle w:val="ListParagraph"/>
        <w:numPr>
          <w:ilvl w:val="0"/>
          <w:numId w:val="51"/>
        </w:numPr>
        <w:spacing w:after="120"/>
        <w:ind w:left="810"/>
        <w:contextualSpacing w:val="0"/>
        <w:rPr>
          <w:rFonts w:asciiTheme="minorHAnsi" w:hAnsiTheme="minorHAnsi"/>
          <w:sz w:val="22"/>
          <w:szCs w:val="18"/>
        </w:rPr>
      </w:pPr>
      <w:r>
        <w:rPr>
          <w:rFonts w:asciiTheme="minorHAnsi" w:hAnsiTheme="minorHAnsi"/>
          <w:sz w:val="22"/>
          <w:szCs w:val="18"/>
        </w:rPr>
        <w:t xml:space="preserve">Disregard annuities </w:t>
      </w:r>
      <w:r w:rsidRPr="000763F9">
        <w:rPr>
          <w:rFonts w:asciiTheme="minorHAnsi" w:hAnsiTheme="minorHAnsi"/>
          <w:sz w:val="22"/>
          <w:szCs w:val="18"/>
        </w:rPr>
        <w:t>purchases for which the requested information was reported in the premium filing for the prior premium payment year.</w:t>
      </w:r>
    </w:p>
    <w:p w14:paraId="2B15702F" w14:textId="77777777" w:rsidR="00F20EDD" w:rsidRPr="00F62144"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Do not include annuity contracts:</w:t>
      </w:r>
    </w:p>
    <w:p w14:paraId="707D9330"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Purchased in the course of routine plan operations,</w:t>
      </w:r>
    </w:p>
    <w:p w14:paraId="1C8489A8"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 xml:space="preserve">Purchased in conjunction with a plan termination, or  </w:t>
      </w:r>
    </w:p>
    <w:p w14:paraId="23A1B731" w14:textId="77777777" w:rsidR="00F20EDD" w:rsidRPr="00F62144" w:rsidRDefault="00F20EDD" w:rsidP="00FE3E24">
      <w:pPr>
        <w:pStyle w:val="ListParagraph"/>
        <w:numPr>
          <w:ilvl w:val="0"/>
          <w:numId w:val="52"/>
        </w:numPr>
        <w:spacing w:after="120"/>
        <w:ind w:left="1080" w:hanging="270"/>
        <w:contextualSpacing w:val="0"/>
        <w:rPr>
          <w:rFonts w:asciiTheme="minorHAnsi" w:hAnsiTheme="minorHAnsi"/>
          <w:sz w:val="22"/>
          <w:szCs w:val="18"/>
        </w:rPr>
      </w:pPr>
      <w:r w:rsidRPr="00F62144">
        <w:rPr>
          <w:rFonts w:asciiTheme="minorHAnsi" w:hAnsiTheme="minorHAnsi"/>
          <w:sz w:val="22"/>
          <w:szCs w:val="18"/>
        </w:rPr>
        <w:t>That remain an asset of the plan (commonly called a “buy-in”).</w:t>
      </w:r>
    </w:p>
    <w:p w14:paraId="0DFD9F62" w14:textId="77777777" w:rsidR="00F20EDD" w:rsidRDefault="00F20EDD" w:rsidP="00FE3E24">
      <w:pPr>
        <w:pStyle w:val="ListParagraph"/>
        <w:numPr>
          <w:ilvl w:val="0"/>
          <w:numId w:val="51"/>
        </w:numPr>
        <w:spacing w:after="120"/>
        <w:ind w:left="810"/>
        <w:contextualSpacing w:val="0"/>
        <w:rPr>
          <w:rFonts w:asciiTheme="minorHAnsi" w:hAnsiTheme="minorHAnsi"/>
          <w:sz w:val="22"/>
          <w:szCs w:val="18"/>
        </w:rPr>
      </w:pPr>
      <w:r w:rsidRPr="00F62144">
        <w:rPr>
          <w:rFonts w:asciiTheme="minorHAnsi" w:hAnsiTheme="minorHAnsi"/>
          <w:sz w:val="22"/>
          <w:szCs w:val="18"/>
        </w:rPr>
        <w:t xml:space="preserve">If the exact counts are not readily available, reasonable estimates based on readily available plan records may be reported. </w:t>
      </w:r>
    </w:p>
    <w:p w14:paraId="55D81824" w14:textId="77777777" w:rsidR="00D11F9D" w:rsidRPr="00F62144" w:rsidRDefault="00D11F9D" w:rsidP="00D11F9D">
      <w:pPr>
        <w:pStyle w:val="ListParagraph"/>
        <w:spacing w:after="120"/>
        <w:ind w:left="810"/>
        <w:contextualSpacing w:val="0"/>
        <w:rPr>
          <w:rFonts w:asciiTheme="minorHAnsi" w:hAnsiTheme="minorHAnsi"/>
          <w:sz w:val="22"/>
          <w:szCs w:val="18"/>
        </w:rPr>
      </w:pPr>
    </w:p>
    <w:p w14:paraId="5E22F6FE" w14:textId="77777777" w:rsidR="00F12837" w:rsidRPr="00F62144" w:rsidRDefault="00F12837" w:rsidP="00F12837">
      <w:pPr>
        <w:autoSpaceDE w:val="0"/>
        <w:autoSpaceDN w:val="0"/>
        <w:adjustRightInd w:val="0"/>
        <w:spacing w:before="120"/>
        <w:ind w:left="360" w:hanging="360"/>
        <w:rPr>
          <w:rFonts w:asciiTheme="minorHAnsi" w:hAnsiTheme="minorHAnsi"/>
          <w:i/>
          <w:sz w:val="22"/>
          <w:szCs w:val="22"/>
        </w:rPr>
      </w:pPr>
      <w:r w:rsidRPr="00F62144">
        <w:rPr>
          <w:rFonts w:asciiTheme="minorHAnsi" w:hAnsiTheme="minorHAnsi"/>
          <w:b/>
          <w:sz w:val="22"/>
          <w:szCs w:val="22"/>
        </w:rPr>
        <w:t>1</w:t>
      </w:r>
      <w:r w:rsidR="008C130E" w:rsidRPr="00F62144">
        <w:rPr>
          <w:rFonts w:asciiTheme="minorHAnsi" w:hAnsiTheme="minorHAnsi"/>
          <w:b/>
          <w:sz w:val="22"/>
          <w:szCs w:val="22"/>
        </w:rPr>
        <w:t>9</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14:paraId="7E6A46E9" w14:textId="77777777" w:rsidR="00F12837" w:rsidRPr="00F62144" w:rsidRDefault="00F12837" w:rsidP="00F1283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premium payment year reported in this amended filing (item </w:t>
      </w:r>
      <w:r w:rsidR="00E2495E" w:rsidRPr="00F62144">
        <w:rPr>
          <w:rFonts w:asciiTheme="minorHAnsi" w:hAnsiTheme="minorHAnsi"/>
          <w:sz w:val="22"/>
          <w:szCs w:val="22"/>
        </w:rPr>
        <w:t>4b</w:t>
      </w:r>
      <w:r w:rsidRPr="00F62144">
        <w:rPr>
          <w:rFonts w:asciiTheme="minorHAnsi" w:hAnsiTheme="minorHAnsi"/>
          <w:sz w:val="22"/>
          <w:szCs w:val="22"/>
        </w:rPr>
        <w:t xml:space="preserve">(1)) differs from what was reported in the </w:t>
      </w:r>
      <w:r w:rsidR="00FD315D" w:rsidRPr="00F62144">
        <w:rPr>
          <w:rFonts w:asciiTheme="minorHAnsi" w:hAnsiTheme="minorHAnsi"/>
          <w:sz w:val="22"/>
          <w:szCs w:val="22"/>
        </w:rPr>
        <w:t xml:space="preserve">original </w:t>
      </w:r>
      <w:r w:rsidRPr="00F62144">
        <w:rPr>
          <w:rFonts w:asciiTheme="minorHAnsi" w:hAnsiTheme="minorHAnsi"/>
          <w:sz w:val="22"/>
          <w:szCs w:val="22"/>
        </w:rPr>
        <w:t xml:space="preserve">filing </w:t>
      </w:r>
      <w:r w:rsidR="00FD315D" w:rsidRPr="00F62144">
        <w:rPr>
          <w:rFonts w:asciiTheme="minorHAnsi" w:hAnsiTheme="minorHAnsi"/>
          <w:sz w:val="22"/>
          <w:szCs w:val="22"/>
        </w:rPr>
        <w:t>(</w:t>
      </w:r>
      <w:r w:rsidR="00FD315D" w:rsidRPr="00F62144">
        <w:rPr>
          <w:rFonts w:asciiTheme="minorHAnsi" w:hAnsiTheme="minorHAnsi"/>
          <w:i/>
          <w:sz w:val="22"/>
          <w:szCs w:val="22"/>
        </w:rPr>
        <w:t>i.e</w:t>
      </w:r>
      <w:r w:rsidR="00FD315D" w:rsidRPr="00F62144">
        <w:rPr>
          <w:rFonts w:asciiTheme="minorHAnsi" w:hAnsiTheme="minorHAnsi"/>
          <w:sz w:val="22"/>
          <w:szCs w:val="22"/>
        </w:rPr>
        <w:t xml:space="preserve">., the filing </w:t>
      </w:r>
      <w:r w:rsidRPr="00F62144">
        <w:rPr>
          <w:rFonts w:asciiTheme="minorHAnsi" w:hAnsiTheme="minorHAnsi"/>
          <w:sz w:val="22"/>
          <w:szCs w:val="22"/>
        </w:rPr>
        <w:t>that is being amended</w:t>
      </w:r>
      <w:r w:rsidR="00FD315D" w:rsidRPr="00F62144">
        <w:rPr>
          <w:rFonts w:asciiTheme="minorHAnsi" w:hAnsiTheme="minorHAnsi"/>
          <w:sz w:val="22"/>
          <w:szCs w:val="22"/>
        </w:rPr>
        <w:t>)</w:t>
      </w:r>
      <w:r w:rsidRPr="00F62144">
        <w:rPr>
          <w:rFonts w:asciiTheme="minorHAnsi" w:hAnsiTheme="minorHAnsi"/>
          <w:sz w:val="22"/>
          <w:szCs w:val="22"/>
        </w:rPr>
        <w:t>, provide the dates that were reported in the original filing.</w:t>
      </w:r>
    </w:p>
    <w:p w14:paraId="4E2F5447" w14:textId="77777777" w:rsidR="00F12837" w:rsidRPr="00F62144" w:rsidRDefault="0055523A" w:rsidP="00F1283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00F12837" w:rsidRPr="00F62144">
        <w:rPr>
          <w:rFonts w:asciiTheme="minorHAnsi" w:hAnsiTheme="minorHAnsi"/>
          <w:sz w:val="22"/>
          <w:szCs w:val="22"/>
        </w:rPr>
        <w:tab/>
        <w:t xml:space="preserve">If the EIN and PN reported in this amended filing (item </w:t>
      </w:r>
      <w:r w:rsidR="00E2495E" w:rsidRPr="00F62144">
        <w:rPr>
          <w:rFonts w:asciiTheme="minorHAnsi" w:hAnsiTheme="minorHAnsi"/>
          <w:sz w:val="22"/>
          <w:szCs w:val="22"/>
        </w:rPr>
        <w:t>4c</w:t>
      </w:r>
      <w:r w:rsidR="00F12837" w:rsidRPr="00F62144">
        <w:rPr>
          <w:rFonts w:asciiTheme="minorHAnsi" w:hAnsiTheme="minorHAnsi"/>
          <w:sz w:val="22"/>
          <w:szCs w:val="22"/>
        </w:rPr>
        <w:t xml:space="preserve">(1)) are not both the same as what was reported in the </w:t>
      </w:r>
      <w:r w:rsidR="00FD315D" w:rsidRPr="00F62144">
        <w:rPr>
          <w:rFonts w:asciiTheme="minorHAnsi" w:hAnsiTheme="minorHAnsi"/>
          <w:sz w:val="22"/>
          <w:szCs w:val="22"/>
        </w:rPr>
        <w:t xml:space="preserve">original </w:t>
      </w:r>
      <w:r w:rsidR="00F12837" w:rsidRPr="00F62144">
        <w:rPr>
          <w:rFonts w:asciiTheme="minorHAnsi" w:hAnsiTheme="minorHAnsi"/>
          <w:sz w:val="22"/>
          <w:szCs w:val="22"/>
        </w:rPr>
        <w:t>filing</w:t>
      </w:r>
      <w:r w:rsidR="00FD315D" w:rsidRPr="00F62144">
        <w:rPr>
          <w:rFonts w:asciiTheme="minorHAnsi" w:hAnsiTheme="minorHAnsi"/>
          <w:sz w:val="22"/>
          <w:szCs w:val="22"/>
        </w:rPr>
        <w:t xml:space="preserve"> (</w:t>
      </w:r>
      <w:r w:rsidR="00FD315D" w:rsidRPr="00F62144">
        <w:rPr>
          <w:rFonts w:asciiTheme="minorHAnsi" w:hAnsiTheme="minorHAnsi"/>
          <w:i/>
          <w:sz w:val="22"/>
          <w:szCs w:val="22"/>
        </w:rPr>
        <w:t>i.e</w:t>
      </w:r>
      <w:r w:rsidR="00FD315D" w:rsidRPr="00F62144">
        <w:rPr>
          <w:rFonts w:asciiTheme="minorHAnsi" w:hAnsiTheme="minorHAnsi"/>
          <w:sz w:val="22"/>
          <w:szCs w:val="22"/>
        </w:rPr>
        <w:t>., the filing that is being amended)</w:t>
      </w:r>
      <w:r w:rsidR="00F12837" w:rsidRPr="00F62144">
        <w:rPr>
          <w:rFonts w:asciiTheme="minorHAnsi" w:hAnsiTheme="minorHAnsi"/>
          <w:sz w:val="22"/>
          <w:szCs w:val="22"/>
        </w:rPr>
        <w:t>, report the EIN and PN from the original filing</w:t>
      </w:r>
      <w:r w:rsidR="00FD315D" w:rsidRPr="00F62144">
        <w:rPr>
          <w:rFonts w:asciiTheme="minorHAnsi" w:hAnsiTheme="minorHAnsi"/>
          <w:sz w:val="22"/>
          <w:szCs w:val="22"/>
        </w:rPr>
        <w:t>.</w:t>
      </w:r>
    </w:p>
    <w:p w14:paraId="08C0F68C" w14:textId="77777777" w:rsidR="00F12837" w:rsidRPr="00F62144" w:rsidRDefault="00F12837" w:rsidP="00F12837">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0050745A" w:rsidRPr="00F62144">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p>
    <w:p w14:paraId="6DBF08A9" w14:textId="77777777" w:rsidR="00CE75D4" w:rsidRPr="00F62144" w:rsidRDefault="00CE75D4">
      <w:pPr>
        <w:rPr>
          <w:rFonts w:asciiTheme="minorHAnsi" w:hAnsiTheme="minorHAnsi"/>
          <w:b/>
          <w:bCs/>
          <w:sz w:val="22"/>
          <w:szCs w:val="22"/>
        </w:rPr>
      </w:pPr>
    </w:p>
    <w:p w14:paraId="54BC3740" w14:textId="77777777" w:rsidR="0098262E" w:rsidRPr="00F62144" w:rsidRDefault="00F12837" w:rsidP="00D11F9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00353B4D" w:rsidRPr="00F62144">
        <w:rPr>
          <w:rFonts w:asciiTheme="minorHAnsi" w:hAnsiTheme="minorHAnsi"/>
          <w:b/>
          <w:bCs/>
          <w:sz w:val="22"/>
          <w:szCs w:val="22"/>
        </w:rPr>
        <w:t>II</w:t>
      </w:r>
      <w:r w:rsidRPr="00F62144">
        <w:rPr>
          <w:rFonts w:asciiTheme="minorHAnsi" w:hAnsiTheme="minorHAnsi"/>
          <w:b/>
          <w:bCs/>
          <w:sz w:val="22"/>
          <w:szCs w:val="22"/>
        </w:rPr>
        <w:t xml:space="preserve"> – Certifications</w:t>
      </w:r>
    </w:p>
    <w:p w14:paraId="53A075D4" w14:textId="77777777" w:rsidR="00F12837" w:rsidRPr="00F62144" w:rsidRDefault="00986FFC" w:rsidP="00F12837">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20</w:t>
      </w:r>
      <w:r w:rsidR="00E2495E" w:rsidRPr="00F62144">
        <w:rPr>
          <w:rFonts w:asciiTheme="minorHAnsi" w:hAnsiTheme="minorHAnsi"/>
          <w:b/>
          <w:bCs/>
          <w:sz w:val="22"/>
          <w:szCs w:val="22"/>
        </w:rPr>
        <w:t xml:space="preserve"> </w:t>
      </w:r>
      <w:r w:rsidR="00F12837" w:rsidRPr="00F62144">
        <w:rPr>
          <w:rFonts w:asciiTheme="minorHAnsi" w:hAnsiTheme="minorHAnsi"/>
          <w:b/>
          <w:bCs/>
          <w:sz w:val="22"/>
          <w:szCs w:val="22"/>
        </w:rPr>
        <w:t>Plan Administrator Certification</w:t>
      </w:r>
    </w:p>
    <w:p w14:paraId="4DD52F37"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All of the information reported in this filing must be certified by the Plan Administrator. Follow the certification instructions for the electronic filing method that is used to make the filing. Be sure to provide the Plan Administrator’s name</w:t>
      </w:r>
      <w:r w:rsidR="0098663A" w:rsidRPr="00F62144">
        <w:rPr>
          <w:rFonts w:asciiTheme="minorHAnsi" w:hAnsiTheme="minorHAnsi"/>
          <w:sz w:val="22"/>
          <w:szCs w:val="22"/>
        </w:rPr>
        <w:t>,</w:t>
      </w:r>
      <w:r w:rsidRPr="00F62144">
        <w:rPr>
          <w:rFonts w:asciiTheme="minorHAnsi" w:hAnsiTheme="minorHAnsi"/>
          <w:sz w:val="22"/>
          <w:szCs w:val="22"/>
        </w:rPr>
        <w:t xml:space="preserve"> the telephone number</w:t>
      </w:r>
      <w:r w:rsidR="0098663A" w:rsidRPr="00F62144">
        <w:rPr>
          <w:rFonts w:asciiTheme="minorHAnsi" w:hAnsiTheme="minorHAnsi"/>
          <w:sz w:val="22"/>
          <w:szCs w:val="22"/>
        </w:rPr>
        <w:t>, and the certification date</w:t>
      </w:r>
      <w:r w:rsidRPr="00F62144">
        <w:rPr>
          <w:rFonts w:asciiTheme="minorHAnsi" w:hAnsiTheme="minorHAnsi"/>
          <w:sz w:val="22"/>
          <w:szCs w:val="22"/>
        </w:rPr>
        <w:t>. If the Plan Administrator has an e-mail address, that address must also be reported.</w:t>
      </w:r>
    </w:p>
    <w:p w14:paraId="06812BB9" w14:textId="77777777" w:rsidR="00F12837" w:rsidRPr="00F62144" w:rsidRDefault="00E2495E" w:rsidP="00F12837">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86FFC" w:rsidRPr="00F62144">
        <w:rPr>
          <w:rFonts w:asciiTheme="minorHAnsi" w:hAnsiTheme="minorHAnsi"/>
          <w:b/>
          <w:bCs/>
          <w:sz w:val="22"/>
          <w:szCs w:val="22"/>
        </w:rPr>
        <w:t>1</w:t>
      </w:r>
      <w:r w:rsidRPr="00F62144">
        <w:rPr>
          <w:rFonts w:asciiTheme="minorHAnsi" w:hAnsiTheme="minorHAnsi"/>
          <w:b/>
          <w:bCs/>
          <w:sz w:val="22"/>
          <w:szCs w:val="22"/>
        </w:rPr>
        <w:t xml:space="preserve"> </w:t>
      </w:r>
      <w:r w:rsidR="00F12837" w:rsidRPr="00F62144">
        <w:rPr>
          <w:rFonts w:asciiTheme="minorHAnsi" w:hAnsiTheme="minorHAnsi"/>
          <w:b/>
          <w:bCs/>
          <w:sz w:val="22"/>
          <w:szCs w:val="22"/>
        </w:rPr>
        <w:t>Enrolled Actuary Certification</w:t>
      </w:r>
    </w:p>
    <w:p w14:paraId="24770A69"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14:paraId="05D72C73" w14:textId="77777777" w:rsidR="00F12837" w:rsidRPr="00F62144" w:rsidRDefault="00F12837" w:rsidP="00023A8E">
      <w:pPr>
        <w:numPr>
          <w:ilvl w:val="0"/>
          <w:numId w:val="19"/>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Multiemployer plan (and thus, there is no Variable-rate Premium).</w:t>
      </w:r>
    </w:p>
    <w:p w14:paraId="2AD0E423" w14:textId="77777777" w:rsidR="00F12837" w:rsidRPr="00F62144" w:rsidRDefault="00F12837" w:rsidP="00023A8E">
      <w:pPr>
        <w:numPr>
          <w:ilvl w:val="0"/>
          <w:numId w:val="19"/>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Single-employer Plan and is either:</w:t>
      </w:r>
    </w:p>
    <w:p w14:paraId="2ACCDA93" w14:textId="77777777" w:rsidR="00F12837" w:rsidRPr="00F62144" w:rsidRDefault="00F12837" w:rsidP="00023A8E">
      <w:pPr>
        <w:numPr>
          <w:ilvl w:val="1"/>
          <w:numId w:val="33"/>
        </w:numPr>
        <w:tabs>
          <w:tab w:val="clear" w:pos="1440"/>
          <w:tab w:val="num" w:pos="108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14:paraId="0FE9F44D" w14:textId="77777777" w:rsidR="00F12837" w:rsidRPr="00F62144" w:rsidRDefault="00A30C29" w:rsidP="00B13C09">
      <w:pPr>
        <w:numPr>
          <w:ilvl w:val="1"/>
          <w:numId w:val="33"/>
        </w:numPr>
        <w:tabs>
          <w:tab w:val="clear" w:pos="144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00F12837" w:rsidRPr="00F62144">
        <w:rPr>
          <w:rFonts w:asciiTheme="minorHAnsi" w:hAnsiTheme="minorHAnsi"/>
          <w:sz w:val="22"/>
          <w:szCs w:val="22"/>
        </w:rPr>
        <w:t xml:space="preserve">eligible for </w:t>
      </w:r>
      <w:r w:rsidR="00A4788F" w:rsidRPr="00F62144">
        <w:rPr>
          <w:rFonts w:asciiTheme="minorHAnsi" w:hAnsiTheme="minorHAnsi"/>
          <w:sz w:val="22"/>
          <w:szCs w:val="22"/>
        </w:rPr>
        <w:t xml:space="preserve">the Small Employer Cap </w:t>
      </w:r>
      <w:r w:rsidR="00F12837" w:rsidRPr="00F62144">
        <w:rPr>
          <w:rFonts w:asciiTheme="minorHAnsi" w:hAnsiTheme="minorHAnsi"/>
          <w:sz w:val="22"/>
          <w:szCs w:val="22"/>
        </w:rPr>
        <w:t xml:space="preserve">and </w:t>
      </w:r>
      <w:r w:rsidR="005F4D70" w:rsidRPr="00F62144">
        <w:rPr>
          <w:rFonts w:asciiTheme="minorHAnsi" w:hAnsiTheme="minorHAnsi"/>
          <w:sz w:val="22"/>
          <w:szCs w:val="22"/>
        </w:rPr>
        <w:t xml:space="preserve">is </w:t>
      </w:r>
      <w:r w:rsidR="00F12837" w:rsidRPr="00F62144">
        <w:rPr>
          <w:rFonts w:asciiTheme="minorHAnsi" w:hAnsiTheme="minorHAnsi"/>
          <w:sz w:val="22"/>
          <w:szCs w:val="22"/>
        </w:rPr>
        <w:t>paying the maximum Variable-rate Premium.</w:t>
      </w:r>
    </w:p>
    <w:p w14:paraId="1D4DD89C" w14:textId="77777777" w:rsidR="00F12837" w:rsidRPr="00F62144" w:rsidRDefault="00F12837" w:rsidP="00F1283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00011F00" w:rsidRPr="00F62144">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00011F00" w:rsidRPr="00F62144">
        <w:rPr>
          <w:rFonts w:asciiTheme="minorHAnsi" w:hAnsiTheme="minorHAnsi"/>
          <w:sz w:val="22"/>
          <w:szCs w:val="22"/>
        </w:rPr>
        <w:t xml:space="preserve"> (i.e., </w:t>
      </w:r>
      <w:r w:rsidRPr="00F62144">
        <w:rPr>
          <w:rFonts w:asciiTheme="minorHAnsi" w:hAnsiTheme="minorHAnsi"/>
          <w:sz w:val="22"/>
          <w:szCs w:val="22"/>
        </w:rPr>
        <w:t>name, firm</w:t>
      </w:r>
      <w:r w:rsidR="00011F00" w:rsidRPr="00F62144">
        <w:rPr>
          <w:rFonts w:asciiTheme="minorHAnsi" w:hAnsiTheme="minorHAnsi"/>
          <w:sz w:val="22"/>
          <w:szCs w:val="22"/>
        </w:rPr>
        <w:t>,</w:t>
      </w:r>
      <w:r w:rsidRPr="00F62144">
        <w:rPr>
          <w:rFonts w:asciiTheme="minorHAnsi" w:hAnsiTheme="minorHAnsi"/>
          <w:sz w:val="22"/>
          <w:szCs w:val="22"/>
        </w:rPr>
        <w:t xml:space="preserve"> telephone number</w:t>
      </w:r>
      <w:r w:rsidR="00011F00" w:rsidRPr="00F62144">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00011F00" w:rsidRPr="00F62144">
        <w:rPr>
          <w:rFonts w:asciiTheme="minorHAnsi" w:hAnsiTheme="minorHAnsi"/>
          <w:sz w:val="22"/>
          <w:szCs w:val="22"/>
        </w:rPr>
        <w:t xml:space="preserve">email address).   </w:t>
      </w:r>
    </w:p>
    <w:p w14:paraId="4E7B99B6" w14:textId="77777777" w:rsidR="00DE63EA" w:rsidRPr="00F62144" w:rsidRDefault="00F12837" w:rsidP="009414CF">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actuary must follow the certification instructions for the electronic filing method that is used to make the filing.</w:t>
      </w:r>
    </w:p>
    <w:p w14:paraId="76C4A811" w14:textId="77777777" w:rsidR="009440A3" w:rsidRPr="00F62144" w:rsidRDefault="009440A3" w:rsidP="00EE2A13">
      <w:pPr>
        <w:tabs>
          <w:tab w:val="num" w:pos="360"/>
        </w:tabs>
        <w:autoSpaceDE w:val="0"/>
        <w:autoSpaceDN w:val="0"/>
        <w:adjustRightInd w:val="0"/>
        <w:spacing w:before="120"/>
        <w:rPr>
          <w:rFonts w:asciiTheme="minorHAnsi" w:hAnsiTheme="minorHAnsi"/>
          <w:sz w:val="22"/>
          <w:szCs w:val="22"/>
        </w:rPr>
        <w:sectPr w:rsidR="009440A3" w:rsidRPr="00F62144" w:rsidSect="006F76DA">
          <w:headerReference w:type="even" r:id="rId96"/>
          <w:headerReference w:type="default" r:id="rId97"/>
          <w:headerReference w:type="first" r:id="rId98"/>
          <w:pgSz w:w="12240" w:h="15840" w:code="1"/>
          <w:pgMar w:top="1440" w:right="1080" w:bottom="1152" w:left="1080" w:header="720" w:footer="720" w:gutter="0"/>
          <w:cols w:space="720"/>
          <w:noEndnote/>
        </w:sectPr>
      </w:pPr>
    </w:p>
    <w:p w14:paraId="717082EB" w14:textId="77777777" w:rsidR="00F12837" w:rsidRPr="00F62144" w:rsidRDefault="00F12837" w:rsidP="000A782B">
      <w:pPr>
        <w:rPr>
          <w:rFonts w:asciiTheme="minorHAnsi" w:hAnsiTheme="minorHAnsi"/>
          <w:b/>
          <w:sz w:val="22"/>
          <w:szCs w:val="22"/>
        </w:rPr>
      </w:pPr>
      <w:bookmarkStart w:id="67" w:name="b10"/>
      <w:bookmarkStart w:id="68" w:name="toc39"/>
      <w:bookmarkEnd w:id="67"/>
      <w:bookmarkEnd w:id="68"/>
      <w:r w:rsidRPr="00F62144">
        <w:rPr>
          <w:rFonts w:asciiTheme="minorHAnsi" w:hAnsiTheme="minorHAnsi"/>
          <w:b/>
          <w:sz w:val="22"/>
          <w:szCs w:val="22"/>
        </w:rPr>
        <w:t>General</w:t>
      </w:r>
    </w:p>
    <w:p w14:paraId="045B5D32" w14:textId="77777777" w:rsidR="00F12837" w:rsidRPr="00F62144" w:rsidRDefault="00F12837" w:rsidP="000A782B">
      <w:pPr>
        <w:spacing w:before="120"/>
        <w:rPr>
          <w:rFonts w:asciiTheme="minorHAnsi" w:hAnsiTheme="minorHAnsi"/>
          <w:sz w:val="22"/>
          <w:szCs w:val="22"/>
        </w:rPr>
      </w:pPr>
      <w:r w:rsidRPr="00F62144">
        <w:rPr>
          <w:rFonts w:asciiTheme="minorHAnsi" w:hAnsiTheme="minorHAnsi"/>
          <w:sz w:val="22"/>
          <w:szCs w:val="22"/>
        </w:rPr>
        <w:t>If you file a premium payment after the due date, we will bill the plan for late charges. The late charges include both interest and penalty charges. The charges are based on the outstanding premium amount due on the due date. If your due date is extended because it falls on a weekend or federal holiday, and your premium payment is filed after the extended due date, interest and penalty will be computed from the actual (unextended) due date. PBGC also may assess penalties under ERISA section 4071 for failure to timely provide premium-related information.</w:t>
      </w:r>
    </w:p>
    <w:p w14:paraId="40130953" w14:textId="77777777" w:rsidR="00CE6427" w:rsidRPr="00F62144" w:rsidRDefault="00CE6427" w:rsidP="00BF650C">
      <w:pPr>
        <w:keepNext/>
        <w:spacing w:before="80"/>
        <w:rPr>
          <w:rFonts w:asciiTheme="minorHAnsi" w:hAnsiTheme="minorHAnsi"/>
          <w:b/>
          <w:sz w:val="22"/>
          <w:szCs w:val="22"/>
        </w:rPr>
      </w:pPr>
    </w:p>
    <w:p w14:paraId="35599DE7" w14:textId="77777777" w:rsidR="00F12837" w:rsidRPr="00F62144" w:rsidRDefault="00F12837">
      <w:pPr>
        <w:rPr>
          <w:rFonts w:asciiTheme="minorHAnsi" w:hAnsiTheme="minorHAnsi"/>
          <w:b/>
          <w:sz w:val="22"/>
          <w:szCs w:val="22"/>
        </w:rPr>
      </w:pPr>
      <w:r w:rsidRPr="00F62144">
        <w:rPr>
          <w:rFonts w:asciiTheme="minorHAnsi" w:hAnsiTheme="minorHAnsi"/>
          <w:b/>
          <w:sz w:val="22"/>
          <w:szCs w:val="22"/>
        </w:rPr>
        <w:t>Late Payment Interest Charges</w:t>
      </w:r>
    </w:p>
    <w:p w14:paraId="4A0B7E36" w14:textId="77777777" w:rsidR="001B7DD4" w:rsidRDefault="00F1283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 Interest accrues at the rate imposed under section 6601(a) of the Code (the rate for late payment of taxes) and is compounded daily. These rates are published by IRS quarterly and are also posted on</w:t>
      </w:r>
      <w:r w:rsidR="004A52A3">
        <w:rPr>
          <w:rFonts w:asciiTheme="minorHAnsi" w:hAnsiTheme="minorHAnsi"/>
          <w:sz w:val="22"/>
          <w:szCs w:val="22"/>
        </w:rPr>
        <w:t xml:space="preserve"> the</w:t>
      </w:r>
      <w:r w:rsidRPr="00F62144">
        <w:rPr>
          <w:rFonts w:asciiTheme="minorHAnsi" w:hAnsiTheme="minorHAnsi"/>
          <w:sz w:val="22"/>
          <w:szCs w:val="22"/>
        </w:rPr>
        <w:t xml:space="preserve"> </w:t>
      </w:r>
      <w:hyperlink r:id="rId99" w:history="1">
        <w:r w:rsidR="005F4D70" w:rsidRPr="00E50FCF">
          <w:rPr>
            <w:rStyle w:val="Hyperlink"/>
            <w:rFonts w:asciiTheme="minorHAnsi" w:hAnsiTheme="minorHAnsi"/>
            <w:sz w:val="22"/>
            <w:szCs w:val="22"/>
          </w:rPr>
          <w:t>“Interest Rates and Factors</w:t>
        </w:r>
      </w:hyperlink>
      <w:r w:rsidR="005F4D70" w:rsidRPr="00F62144">
        <w:rPr>
          <w:rFonts w:asciiTheme="minorHAnsi" w:hAnsiTheme="minorHAnsi"/>
          <w:sz w:val="22"/>
          <w:szCs w:val="22"/>
        </w:rPr>
        <w:t xml:space="preserve">” section of </w:t>
      </w:r>
      <w:r w:rsidRPr="00F62144">
        <w:rPr>
          <w:rFonts w:asciiTheme="minorHAnsi" w:hAnsiTheme="minorHAnsi"/>
          <w:sz w:val="22"/>
          <w:szCs w:val="22"/>
        </w:rPr>
        <w:t xml:space="preserve">the </w:t>
      </w:r>
      <w:hyperlink r:id="rId100" w:history="1">
        <w:r w:rsidR="00106722">
          <w:rPr>
            <w:rStyle w:val="Hyperlink"/>
            <w:rFonts w:asciiTheme="minorHAnsi" w:hAnsiTheme="minorHAnsi"/>
            <w:sz w:val="22"/>
            <w:szCs w:val="22"/>
          </w:rPr>
          <w:t>Employers and Practitioners</w:t>
        </w:r>
        <w:r w:rsidRPr="001B7DD4">
          <w:rPr>
            <w:rStyle w:val="Hyperlink"/>
            <w:rFonts w:asciiTheme="minorHAnsi" w:hAnsiTheme="minorHAnsi"/>
            <w:sz w:val="22"/>
            <w:szCs w:val="22"/>
          </w:rPr>
          <w:t xml:space="preserve"> Page</w:t>
        </w:r>
      </w:hyperlink>
      <w:r w:rsidRPr="00F62144">
        <w:rPr>
          <w:rFonts w:asciiTheme="minorHAnsi" w:hAnsiTheme="minorHAnsi"/>
          <w:sz w:val="22"/>
          <w:szCs w:val="22"/>
        </w:rPr>
        <w:t xml:space="preserve"> </w:t>
      </w:r>
      <w:r w:rsidR="00E50FCF">
        <w:rPr>
          <w:rFonts w:asciiTheme="minorHAnsi" w:hAnsiTheme="minorHAnsi"/>
          <w:sz w:val="22"/>
          <w:szCs w:val="22"/>
        </w:rPr>
        <w:t>o</w:t>
      </w:r>
      <w:r w:rsidR="001B7DD4">
        <w:rPr>
          <w:rFonts w:asciiTheme="minorHAnsi" w:hAnsiTheme="minorHAnsi"/>
          <w:sz w:val="22"/>
          <w:szCs w:val="22"/>
        </w:rPr>
        <w:t>f PBGC’s website.</w:t>
      </w:r>
    </w:p>
    <w:p w14:paraId="35F5A88C" w14:textId="77777777" w:rsidR="00CE6427" w:rsidRPr="00F62144" w:rsidRDefault="00CE6427" w:rsidP="00CE6427">
      <w:pPr>
        <w:spacing w:before="80"/>
        <w:rPr>
          <w:rFonts w:asciiTheme="minorHAnsi" w:hAnsiTheme="minorHAnsi"/>
          <w:sz w:val="22"/>
          <w:szCs w:val="22"/>
        </w:rPr>
      </w:pPr>
    </w:p>
    <w:p w14:paraId="2C4FCEEA" w14:textId="77777777" w:rsidR="0024570F" w:rsidRDefault="00F12837" w:rsidP="0024570F">
      <w:pPr>
        <w:rPr>
          <w:rFonts w:asciiTheme="minorHAnsi" w:hAnsiTheme="minorHAnsi"/>
          <w:b/>
          <w:sz w:val="22"/>
          <w:szCs w:val="22"/>
        </w:rPr>
      </w:pPr>
      <w:r w:rsidRPr="00F62144">
        <w:rPr>
          <w:rFonts w:asciiTheme="minorHAnsi" w:hAnsiTheme="minorHAnsi"/>
          <w:b/>
          <w:sz w:val="22"/>
          <w:szCs w:val="22"/>
        </w:rPr>
        <w:t>Late Payment Penalty Charge</w:t>
      </w:r>
      <w:r w:rsidR="0024570F" w:rsidRPr="00F62144">
        <w:rPr>
          <w:rFonts w:asciiTheme="minorHAnsi" w:hAnsiTheme="minorHAnsi"/>
          <w:b/>
          <w:sz w:val="22"/>
          <w:szCs w:val="22"/>
        </w:rPr>
        <w:t>s</w:t>
      </w:r>
    </w:p>
    <w:p w14:paraId="0CC1A880" w14:textId="77777777" w:rsidR="00B071AC" w:rsidRDefault="00B071AC" w:rsidP="0024570F">
      <w:pPr>
        <w:rPr>
          <w:rFonts w:asciiTheme="minorHAnsi" w:hAnsiTheme="minorHAnsi"/>
          <w:sz w:val="22"/>
          <w:szCs w:val="22"/>
        </w:rPr>
      </w:pPr>
    </w:p>
    <w:p w14:paraId="7C69E088" w14:textId="77777777" w:rsidR="00CA7CB0" w:rsidRPr="00971183" w:rsidRDefault="0024570F" w:rsidP="0024570F">
      <w:pPr>
        <w:rPr>
          <w:rFonts w:asciiTheme="minorHAnsi" w:hAnsiTheme="minorHAnsi"/>
          <w:sz w:val="22"/>
          <w:szCs w:val="22"/>
        </w:rPr>
      </w:pPr>
      <w:r>
        <w:rPr>
          <w:rFonts w:asciiTheme="minorHAnsi" w:hAnsiTheme="minorHAnsi"/>
          <w:sz w:val="22"/>
          <w:szCs w:val="22"/>
        </w:rPr>
        <w:t>L</w:t>
      </w:r>
      <w:r w:rsidR="000A782B" w:rsidRPr="000A782B">
        <w:rPr>
          <w:rFonts w:asciiTheme="minorHAnsi" w:hAnsiTheme="minorHAnsi"/>
          <w:sz w:val="22"/>
          <w:szCs w:val="22"/>
        </w:rPr>
        <w:t xml:space="preserve">ate payments are generally subject to a penalty of </w:t>
      </w:r>
      <w:r w:rsidR="000A782B">
        <w:rPr>
          <w:rFonts w:asciiTheme="minorHAnsi" w:hAnsiTheme="minorHAnsi"/>
          <w:sz w:val="22"/>
          <w:szCs w:val="22"/>
        </w:rPr>
        <w:t>2½%</w:t>
      </w:r>
      <w:r w:rsidR="000A782B" w:rsidRPr="000A782B">
        <w:rPr>
          <w:rFonts w:asciiTheme="minorHAnsi" w:hAnsiTheme="minorHAnsi"/>
          <w:sz w:val="22"/>
          <w:szCs w:val="22"/>
        </w:rPr>
        <w:t xml:space="preserve"> of the late amount per month (or partial month) late, but no more than </w:t>
      </w:r>
      <w:r w:rsidR="000A782B">
        <w:rPr>
          <w:rFonts w:asciiTheme="minorHAnsi" w:hAnsiTheme="minorHAnsi"/>
          <w:sz w:val="22"/>
          <w:szCs w:val="22"/>
        </w:rPr>
        <w:t>5</w:t>
      </w:r>
      <w:r w:rsidR="000A782B" w:rsidRPr="000A782B">
        <w:rPr>
          <w:rFonts w:asciiTheme="minorHAnsi" w:hAnsiTheme="minorHAnsi"/>
          <w:sz w:val="22"/>
          <w:szCs w:val="22"/>
        </w:rPr>
        <w:t xml:space="preserve">0% of the late amount.  However, in the event a plan discovers and corrects an underpayment before PBGC sends written notice that there is or may be a premium delinquency, the </w:t>
      </w:r>
      <w:r w:rsidR="000A782B">
        <w:rPr>
          <w:rFonts w:asciiTheme="minorHAnsi" w:hAnsiTheme="minorHAnsi"/>
          <w:sz w:val="22"/>
          <w:szCs w:val="22"/>
        </w:rPr>
        <w:t>2½%</w:t>
      </w:r>
      <w:r w:rsidR="000A782B" w:rsidRPr="000A782B">
        <w:rPr>
          <w:rFonts w:asciiTheme="minorHAnsi" w:hAnsiTheme="minorHAnsi"/>
          <w:sz w:val="22"/>
          <w:szCs w:val="22"/>
        </w:rPr>
        <w:t xml:space="preserve"> rate is reduced to </w:t>
      </w:r>
      <w:r w:rsidR="00F2168B">
        <w:rPr>
          <w:rFonts w:asciiTheme="minorHAnsi" w:hAnsiTheme="minorHAnsi"/>
          <w:sz w:val="22"/>
          <w:szCs w:val="22"/>
        </w:rPr>
        <w:t>½</w:t>
      </w:r>
      <w:r w:rsidR="000A782B" w:rsidRPr="000A782B">
        <w:rPr>
          <w:rFonts w:asciiTheme="minorHAnsi" w:hAnsiTheme="minorHAnsi"/>
          <w:sz w:val="22"/>
          <w:szCs w:val="22"/>
        </w:rPr>
        <w:t xml:space="preserve">% and the cap is reduced from </w:t>
      </w:r>
      <w:r w:rsidR="00F2168B">
        <w:rPr>
          <w:rFonts w:asciiTheme="minorHAnsi" w:hAnsiTheme="minorHAnsi"/>
          <w:sz w:val="22"/>
          <w:szCs w:val="22"/>
        </w:rPr>
        <w:t>5</w:t>
      </w:r>
      <w:r w:rsidR="000A782B" w:rsidRPr="000A782B">
        <w:rPr>
          <w:rFonts w:asciiTheme="minorHAnsi" w:hAnsiTheme="minorHAnsi"/>
          <w:sz w:val="22"/>
          <w:szCs w:val="22"/>
        </w:rPr>
        <w:t xml:space="preserve">0% to </w:t>
      </w:r>
      <w:r w:rsidR="00F2168B">
        <w:rPr>
          <w:rFonts w:asciiTheme="minorHAnsi" w:hAnsiTheme="minorHAnsi"/>
          <w:sz w:val="22"/>
          <w:szCs w:val="22"/>
        </w:rPr>
        <w:t>25</w:t>
      </w:r>
      <w:r w:rsidR="000A782B" w:rsidRPr="000A782B">
        <w:rPr>
          <w:rFonts w:asciiTheme="minorHAnsi" w:hAnsiTheme="minorHAnsi"/>
          <w:sz w:val="22"/>
          <w:szCs w:val="22"/>
        </w:rPr>
        <w:t xml:space="preserve">%.  </w:t>
      </w:r>
    </w:p>
    <w:p w14:paraId="04D7BDCB" w14:textId="77777777" w:rsidR="00B20282" w:rsidRPr="00B20282" w:rsidRDefault="00B20282" w:rsidP="00B20282">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sidDel="00B20282">
        <w:rPr>
          <w:rFonts w:asciiTheme="minorHAnsi" w:hAnsiTheme="minorHAnsi"/>
          <w:sz w:val="22"/>
          <w:szCs w:val="22"/>
        </w:rPr>
        <w:t xml:space="preserve"> </w:t>
      </w:r>
    </w:p>
    <w:p w14:paraId="6398B5F0" w14:textId="77777777" w:rsidR="00DC06C7" w:rsidRDefault="00DC06C7" w:rsidP="00DC06C7">
      <w:pPr>
        <w:numPr>
          <w:ilvl w:val="0"/>
          <w:numId w:val="19"/>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sidR="00824BB8">
        <w:rPr>
          <w:rFonts w:asciiTheme="minorHAnsi" w:hAnsiTheme="minorHAnsi"/>
          <w:bCs/>
          <w:sz w:val="22"/>
          <w:szCs w:val="22"/>
        </w:rPr>
        <w:t xml:space="preserve"> T</w:t>
      </w:r>
      <w:r>
        <w:rPr>
          <w:rFonts w:asciiTheme="minorHAnsi" w:hAnsiTheme="minorHAnsi"/>
          <w:bCs/>
          <w:sz w:val="22"/>
          <w:szCs w:val="22"/>
        </w:rPr>
        <w:t xml:space="preserve">his notice is sent if we expect to receive a premium filing from the Plan but do not.  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and </w:t>
      </w:r>
      <w:r w:rsidRPr="00CA7CB0">
        <w:rPr>
          <w:rFonts w:asciiTheme="minorHAnsi" w:hAnsiTheme="minorHAnsi"/>
          <w:bCs/>
          <w:sz w:val="22"/>
          <w:szCs w:val="22"/>
        </w:rPr>
        <w:t>address reported on the most recent filing.</w:t>
      </w:r>
    </w:p>
    <w:p w14:paraId="7488A3EE" w14:textId="77777777" w:rsidR="00CA7CB0" w:rsidRPr="00CA7CB0" w:rsidRDefault="00CA7CB0" w:rsidP="00CA7CB0">
      <w:pPr>
        <w:numPr>
          <w:ilvl w:val="0"/>
          <w:numId w:val="19"/>
        </w:numPr>
        <w:tabs>
          <w:tab w:val="clear" w:pos="773"/>
          <w:tab w:val="num" w:pos="630"/>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sidR="00F2168B">
        <w:rPr>
          <w:rFonts w:asciiTheme="minorHAnsi" w:hAnsiTheme="minorHAnsi"/>
          <w:sz w:val="22"/>
          <w:szCs w:val="22"/>
        </w:rPr>
        <w:t xml:space="preserve">This notice is </w:t>
      </w:r>
      <w:r w:rsidR="00DC06C7">
        <w:rPr>
          <w:rFonts w:asciiTheme="minorHAnsi" w:hAnsiTheme="minorHAnsi"/>
          <w:sz w:val="22"/>
          <w:szCs w:val="22"/>
        </w:rPr>
        <w:t xml:space="preserve">sent </w:t>
      </w:r>
      <w:r w:rsidR="00F2168B">
        <w:rPr>
          <w:rFonts w:asciiTheme="minorHAnsi" w:hAnsiTheme="minorHAnsi"/>
          <w:sz w:val="22"/>
          <w:szCs w:val="22"/>
        </w:rPr>
        <w:t xml:space="preserve">if an initial review of </w:t>
      </w:r>
      <w:r w:rsidR="00DC06C7">
        <w:rPr>
          <w:rFonts w:asciiTheme="minorHAnsi" w:hAnsiTheme="minorHAnsi"/>
          <w:sz w:val="22"/>
          <w:szCs w:val="22"/>
        </w:rPr>
        <w:t>a</w:t>
      </w:r>
      <w:r w:rsidRPr="00CA7CB0">
        <w:rPr>
          <w:rFonts w:asciiTheme="minorHAnsi" w:hAnsiTheme="minorHAnsi"/>
          <w:sz w:val="22"/>
          <w:szCs w:val="22"/>
        </w:rPr>
        <w:t xml:space="preserve"> premium filing </w:t>
      </w:r>
      <w:r w:rsidR="00F2168B">
        <w:rPr>
          <w:rFonts w:asciiTheme="minorHAnsi" w:hAnsiTheme="minorHAnsi"/>
          <w:sz w:val="22"/>
          <w:szCs w:val="22"/>
        </w:rPr>
        <w:t>indicates an error or inconsistency that must be corrected before the filing can be processed.  If</w:t>
      </w:r>
      <w:r w:rsidRPr="00CA7CB0">
        <w:rPr>
          <w:rFonts w:asciiTheme="minorHAnsi" w:hAnsiTheme="minorHAnsi"/>
          <w:sz w:val="22"/>
          <w:szCs w:val="22"/>
        </w:rPr>
        <w:t xml:space="preserve"> you receive a </w:t>
      </w:r>
      <w:r w:rsidR="00F2168B">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sidR="00E13E5B">
        <w:rPr>
          <w:rFonts w:asciiTheme="minorHAnsi" w:hAnsiTheme="minorHAnsi"/>
          <w:sz w:val="22"/>
          <w:szCs w:val="22"/>
        </w:rPr>
        <w:t xml:space="preserve">you must </w:t>
      </w:r>
      <w:r w:rsidRPr="00CA7CB0">
        <w:rPr>
          <w:rFonts w:asciiTheme="minorHAnsi" w:hAnsiTheme="minorHAnsi"/>
          <w:sz w:val="22"/>
          <w:szCs w:val="22"/>
        </w:rPr>
        <w:t>amend</w:t>
      </w:r>
      <w:r w:rsidR="00E13E5B">
        <w:rPr>
          <w:rFonts w:asciiTheme="minorHAnsi" w:hAnsiTheme="minorHAnsi"/>
          <w:sz w:val="22"/>
          <w:szCs w:val="22"/>
        </w:rPr>
        <w:t xml:space="preserve"> your filing to correct the error.</w:t>
      </w:r>
      <w:r w:rsidR="00DC06C7">
        <w:rPr>
          <w:rFonts w:asciiTheme="minorHAnsi" w:hAnsiTheme="minorHAnsi"/>
          <w:sz w:val="22"/>
          <w:szCs w:val="22"/>
        </w:rPr>
        <w:t xml:space="preserve"> If we do not receive an amended filing within 30 days, we will sen</w:t>
      </w:r>
      <w:r w:rsidR="006E194A">
        <w:rPr>
          <w:rFonts w:asciiTheme="minorHAnsi" w:hAnsiTheme="minorHAnsi"/>
          <w:sz w:val="22"/>
          <w:szCs w:val="22"/>
        </w:rPr>
        <w:t>d</w:t>
      </w:r>
      <w:r w:rsidR="00DC06C7">
        <w:rPr>
          <w:rFonts w:asciiTheme="minorHAnsi" w:hAnsiTheme="minorHAnsi"/>
          <w:sz w:val="22"/>
          <w:szCs w:val="22"/>
        </w:rPr>
        <w:t xml:space="preserve"> a PDFN (see above).</w:t>
      </w:r>
    </w:p>
    <w:p w14:paraId="3905E94F" w14:textId="4CA00D1E" w:rsidR="00CA7CB0" w:rsidRPr="00CA7CB0" w:rsidRDefault="00CA7CB0" w:rsidP="00CA7CB0">
      <w:pPr>
        <w:numPr>
          <w:ilvl w:val="0"/>
          <w:numId w:val="19"/>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w:t>
      </w:r>
      <w:r w:rsidR="00824BB8" w:rsidRPr="00CA7CB0">
        <w:rPr>
          <w:rFonts w:asciiTheme="minorHAnsi" w:hAnsiTheme="minorHAnsi"/>
          <w:bCs/>
          <w:sz w:val="22"/>
          <w:szCs w:val="22"/>
        </w:rPr>
        <w:t xml:space="preserve"> — </w:t>
      </w:r>
      <w:r w:rsidRPr="00CA7CB0">
        <w:rPr>
          <w:rFonts w:asciiTheme="minorHAnsi" w:hAnsiTheme="minorHAnsi"/>
          <w:bCs/>
          <w:sz w:val="22"/>
          <w:szCs w:val="22"/>
        </w:rPr>
        <w:t>If</w:t>
      </w:r>
      <w:r w:rsidR="00DC06C7">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sidR="00DC06C7">
        <w:rPr>
          <w:rFonts w:asciiTheme="minorHAnsi" w:hAnsiTheme="minorHAnsi"/>
          <w:bCs/>
          <w:sz w:val="22"/>
          <w:szCs w:val="22"/>
        </w:rPr>
        <w:t>ported amount owed</w:t>
      </w:r>
      <w:r w:rsidRPr="00CA7CB0">
        <w:rPr>
          <w:rFonts w:asciiTheme="minorHAnsi" w:hAnsiTheme="minorHAnsi"/>
          <w:bCs/>
          <w:sz w:val="22"/>
          <w:szCs w:val="22"/>
        </w:rPr>
        <w:t>, we will send a</w:t>
      </w:r>
      <w:r w:rsidR="00E13E5B">
        <w:rPr>
          <w:rFonts w:asciiTheme="minorHAnsi" w:hAnsiTheme="minorHAnsi"/>
          <w:bCs/>
          <w:sz w:val="22"/>
          <w:szCs w:val="22"/>
        </w:rPr>
        <w:t xml:space="preserve"> </w:t>
      </w:r>
      <w:r w:rsidR="00347A7F">
        <w:rPr>
          <w:rFonts w:asciiTheme="minorHAnsi" w:hAnsiTheme="minorHAnsi"/>
          <w:bCs/>
          <w:sz w:val="22"/>
          <w:szCs w:val="22"/>
        </w:rPr>
        <w:t>Statement of Account</w:t>
      </w:r>
      <w:r w:rsidR="00E13E5B">
        <w:rPr>
          <w:rFonts w:asciiTheme="minorHAnsi" w:hAnsiTheme="minorHAnsi"/>
          <w:bCs/>
          <w:sz w:val="22"/>
          <w:szCs w:val="22"/>
        </w:rPr>
        <w:t>.  A</w:t>
      </w:r>
      <w:r w:rsidRPr="00CA7CB0">
        <w:rPr>
          <w:rFonts w:asciiTheme="minorHAnsi" w:hAnsiTheme="minorHAnsi"/>
          <w:bCs/>
          <w:sz w:val="22"/>
          <w:szCs w:val="22"/>
        </w:rPr>
        <w:t xml:space="preserve"> SOA is,</w:t>
      </w:r>
      <w:r w:rsidR="00FE490A">
        <w:rPr>
          <w:rFonts w:asciiTheme="minorHAnsi" w:hAnsiTheme="minorHAnsi"/>
          <w:bCs/>
          <w:sz w:val="22"/>
          <w:szCs w:val="22"/>
        </w:rPr>
        <w:t xml:space="preserve"> </w:t>
      </w:r>
      <w:r w:rsidRPr="00CA7CB0">
        <w:rPr>
          <w:rFonts w:asciiTheme="minorHAnsi" w:hAnsiTheme="minorHAnsi"/>
          <w:bCs/>
          <w:sz w:val="22"/>
          <w:szCs w:val="22"/>
        </w:rPr>
        <w:t xml:space="preserve">in essence, an invoice for premium, penalty, and interest amounts owed to PBGC.  To ensure that the amount due does not increase, the premium and interest must be paid within 30 days of the SOA's issue date. </w:t>
      </w:r>
    </w:p>
    <w:p w14:paraId="32D43B51" w14:textId="77777777" w:rsidR="00E13E5B" w:rsidRDefault="00CA7CB0" w:rsidP="00E13E5B">
      <w:pPr>
        <w:numPr>
          <w:ilvl w:val="0"/>
          <w:numId w:val="19"/>
        </w:numPr>
        <w:tabs>
          <w:tab w:val="clear" w:pos="773"/>
          <w:tab w:val="num" w:pos="630"/>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w:t>
      </w:r>
      <w:r w:rsidR="00E13E5B">
        <w:rPr>
          <w:rFonts w:asciiTheme="minorHAnsi" w:hAnsiTheme="minorHAnsi"/>
          <w:sz w:val="22"/>
          <w:szCs w:val="22"/>
        </w:rPr>
        <w:t>Evaluation</w:t>
      </w:r>
      <w:r w:rsidR="00824BB8">
        <w:rPr>
          <w:rFonts w:asciiTheme="minorHAnsi" w:hAnsiTheme="minorHAnsi"/>
          <w:sz w:val="22"/>
          <w:szCs w:val="22"/>
        </w:rPr>
        <w:t xml:space="preserve"> (PCE) </w:t>
      </w:r>
      <w:r w:rsidR="00824BB8" w:rsidRPr="00CA7CB0">
        <w:rPr>
          <w:rFonts w:asciiTheme="minorHAnsi" w:hAnsiTheme="minorHAnsi"/>
          <w:bCs/>
          <w:sz w:val="22"/>
          <w:szCs w:val="22"/>
        </w:rPr>
        <w:t xml:space="preserve">— </w:t>
      </w:r>
      <w:r w:rsidR="00824BB8">
        <w:rPr>
          <w:rFonts w:asciiTheme="minorHAnsi" w:hAnsiTheme="minorHAnsi"/>
          <w:sz w:val="22"/>
          <w:szCs w:val="22"/>
        </w:rPr>
        <w:t xml:space="preserve">This notice is sent if we select your premium filing to assess the accuracy of the reported information. See the </w:t>
      </w:r>
      <w:hyperlink r:id="rId101" w:history="1">
        <w:r w:rsidR="00824BB8" w:rsidRPr="00DF35E5">
          <w:rPr>
            <w:rStyle w:val="Hyperlink"/>
            <w:rFonts w:asciiTheme="minorHAnsi" w:hAnsiTheme="minorHAnsi"/>
            <w:sz w:val="22"/>
            <w:szCs w:val="22"/>
          </w:rPr>
          <w:t>Premium Filings</w:t>
        </w:r>
      </w:hyperlink>
      <w:r w:rsidR="00824BB8">
        <w:rPr>
          <w:rFonts w:asciiTheme="minorHAnsi" w:hAnsiTheme="minorHAnsi"/>
          <w:sz w:val="22"/>
          <w:szCs w:val="22"/>
        </w:rPr>
        <w:t xml:space="preserve"> page on our web site for further information. </w:t>
      </w:r>
    </w:p>
    <w:p w14:paraId="12F44E12" w14:textId="77777777" w:rsidR="00B071AC" w:rsidRDefault="00B071AC" w:rsidP="00B20282">
      <w:pPr>
        <w:spacing w:before="120"/>
        <w:rPr>
          <w:rFonts w:asciiTheme="minorHAnsi" w:hAnsiTheme="minorHAnsi"/>
          <w:b/>
          <w:sz w:val="22"/>
          <w:szCs w:val="22"/>
        </w:rPr>
      </w:pPr>
    </w:p>
    <w:p w14:paraId="4163D27E" w14:textId="77777777" w:rsidR="00F12837" w:rsidRPr="00F62144" w:rsidRDefault="00F12837" w:rsidP="00B20282">
      <w:pPr>
        <w:spacing w:before="120"/>
        <w:rPr>
          <w:rFonts w:asciiTheme="minorHAnsi" w:hAnsiTheme="minorHAnsi"/>
          <w:b/>
          <w:sz w:val="22"/>
          <w:szCs w:val="22"/>
        </w:rPr>
      </w:pPr>
      <w:r w:rsidRPr="00F62144">
        <w:rPr>
          <w:rFonts w:asciiTheme="minorHAnsi" w:hAnsiTheme="minorHAnsi"/>
          <w:b/>
          <w:sz w:val="22"/>
          <w:szCs w:val="22"/>
        </w:rPr>
        <w:t>Penalty Waivers</w:t>
      </w:r>
    </w:p>
    <w:p w14:paraId="2D8F1054" w14:textId="77777777" w:rsidR="00CC3C06" w:rsidRPr="00F62144" w:rsidRDefault="00CC3C06" w:rsidP="00CC3C06">
      <w:pPr>
        <w:spacing w:before="120"/>
        <w:rPr>
          <w:rFonts w:ascii="Calibri" w:hAnsi="Calibri"/>
          <w:i/>
          <w:iCs/>
          <w:sz w:val="22"/>
          <w:szCs w:val="22"/>
        </w:rPr>
      </w:pPr>
      <w:r w:rsidRPr="00F62144">
        <w:rPr>
          <w:rFonts w:ascii="Calibri" w:hAnsi="Calibri"/>
          <w:i/>
          <w:iCs/>
          <w:sz w:val="22"/>
          <w:szCs w:val="22"/>
        </w:rPr>
        <w:t xml:space="preserve">Case-by-Case Waivers  </w:t>
      </w:r>
    </w:p>
    <w:p w14:paraId="64723736" w14:textId="77777777" w:rsidR="001B7DD4" w:rsidRDefault="00CC3C06" w:rsidP="001B7DD4">
      <w:pPr>
        <w:spacing w:before="120"/>
        <w:rPr>
          <w:rFonts w:asciiTheme="minorHAnsi" w:hAnsiTheme="minorHAnsi"/>
          <w:sz w:val="22"/>
          <w:szCs w:val="22"/>
        </w:rPr>
      </w:pPr>
      <w:r w:rsidRPr="00F62144">
        <w:rPr>
          <w:rFonts w:ascii="Calibri" w:hAnsi="Calibri"/>
          <w:sz w:val="22"/>
          <w:szCs w:val="22"/>
        </w:rPr>
        <w:t>If you receive a</w:t>
      </w:r>
      <w:r w:rsidR="00B13C09">
        <w:rPr>
          <w:rFonts w:ascii="Calibri" w:hAnsi="Calibri"/>
          <w:sz w:val="22"/>
          <w:szCs w:val="22"/>
        </w:rPr>
        <w:t xml:space="preserve"> Statement of Account</w:t>
      </w:r>
      <w:r w:rsidR="00C42418">
        <w:rPr>
          <w:rFonts w:ascii="Calibri" w:hAnsi="Calibri"/>
          <w:sz w:val="22"/>
          <w:szCs w:val="22"/>
        </w:rPr>
        <w:t xml:space="preserve"> (“SOA”)</w:t>
      </w:r>
      <w:r w:rsidR="004B5567" w:rsidRPr="00F62144">
        <w:rPr>
          <w:rFonts w:ascii="Calibri" w:hAnsi="Calibri"/>
          <w:sz w:val="22"/>
          <w:szCs w:val="22"/>
        </w:rPr>
        <w:t> </w:t>
      </w:r>
      <w:r w:rsidRPr="00F62144">
        <w:rPr>
          <w:rFonts w:ascii="Calibri" w:hAnsi="Calibri"/>
          <w:sz w:val="22"/>
          <w:szCs w:val="22"/>
        </w:rPr>
        <w:t>that includes a penalty charge, but you believe there is a reason why all or a portion of the penalty should be waived (e.g., reasonable cause), you may request a waiver.  Information about what constitutes reasonable cause as well as information about other situations where a penalty waiver might be warranted can be found in § 21 of the appendix to PBGC’s premium payment regulation, 29 CFR Part 4007, available on the “</w:t>
      </w:r>
      <w:hyperlink r:id="rId102" w:history="1">
        <w:r w:rsidR="007D7D33" w:rsidRPr="00F62144">
          <w:rPr>
            <w:rStyle w:val="Hyperlink"/>
            <w:rFonts w:ascii="Calibri" w:hAnsi="Calibri"/>
            <w:sz w:val="22"/>
            <w:szCs w:val="22"/>
          </w:rPr>
          <w:t>Law and Regulations</w:t>
        </w:r>
      </w:hyperlink>
      <w:r w:rsidR="007D7D33" w:rsidRPr="00F62144">
        <w:rPr>
          <w:rFonts w:ascii="Calibri" w:hAnsi="Calibri"/>
          <w:sz w:val="22"/>
          <w:szCs w:val="22"/>
        </w:rPr>
        <w:t xml:space="preserve">” page </w:t>
      </w:r>
      <w:r w:rsidR="001B7DD4" w:rsidRPr="00F62144">
        <w:rPr>
          <w:rFonts w:asciiTheme="minorHAnsi" w:hAnsiTheme="minorHAnsi"/>
          <w:sz w:val="22"/>
          <w:szCs w:val="22"/>
        </w:rPr>
        <w:t xml:space="preserve">of the </w:t>
      </w:r>
      <w:hyperlink r:id="rId103" w:history="1">
        <w:r w:rsidR="00793C8B">
          <w:rPr>
            <w:rStyle w:val="Hyperlink"/>
            <w:rFonts w:asciiTheme="minorHAnsi" w:hAnsiTheme="minorHAnsi"/>
            <w:sz w:val="22"/>
            <w:szCs w:val="22"/>
          </w:rPr>
          <w:t>Employers and P</w:t>
        </w:r>
        <w:r w:rsidR="001B7DD4" w:rsidRPr="001B7DD4">
          <w:rPr>
            <w:rStyle w:val="Hyperlink"/>
            <w:rFonts w:asciiTheme="minorHAnsi" w:hAnsiTheme="minorHAnsi"/>
            <w:sz w:val="22"/>
            <w:szCs w:val="22"/>
          </w:rPr>
          <w:t>ractitioners Page</w:t>
        </w:r>
      </w:hyperlink>
      <w:r w:rsidR="001B7DD4" w:rsidRPr="00F62144">
        <w:rPr>
          <w:rFonts w:asciiTheme="minorHAnsi" w:hAnsiTheme="minorHAnsi"/>
          <w:sz w:val="22"/>
          <w:szCs w:val="22"/>
        </w:rPr>
        <w:t xml:space="preserve"> </w:t>
      </w:r>
      <w:r w:rsidR="001B7DD4">
        <w:rPr>
          <w:rFonts w:asciiTheme="minorHAnsi" w:hAnsiTheme="minorHAnsi"/>
          <w:sz w:val="22"/>
          <w:szCs w:val="22"/>
        </w:rPr>
        <w:t>of PBGC’s website.</w:t>
      </w:r>
    </w:p>
    <w:p w14:paraId="0CBD0483" w14:textId="77777777" w:rsidR="00CC3C06" w:rsidRPr="00F62144" w:rsidRDefault="00CC3C06" w:rsidP="00CC3C06">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4B5567" w:rsidRPr="00F62144">
        <w:rPr>
          <w:rFonts w:ascii="Calibri" w:hAnsi="Calibri"/>
          <w:sz w:val="22"/>
          <w:szCs w:val="22"/>
        </w:rPr>
        <w:t xml:space="preserve">. </w:t>
      </w:r>
      <w:r w:rsidRPr="00F62144">
        <w:rPr>
          <w:rFonts w:ascii="Calibri" w:hAnsi="Calibri"/>
          <w:sz w:val="22"/>
          <w:szCs w:val="22"/>
        </w:rPr>
        <w:t xml:space="preserve"> Be sure to follow the instructions carefully.  Requests that are submitted</w:t>
      </w:r>
      <w:r w:rsidR="00A261E4">
        <w:rPr>
          <w:rFonts w:ascii="Calibri" w:hAnsi="Calibri"/>
          <w:sz w:val="22"/>
          <w:szCs w:val="22"/>
        </w:rPr>
        <w:t xml:space="preserve"> late </w:t>
      </w:r>
      <w:r w:rsidRPr="00F62144">
        <w:rPr>
          <w:rFonts w:ascii="Calibri" w:hAnsi="Calibri"/>
          <w:sz w:val="22"/>
          <w:szCs w:val="22"/>
        </w:rPr>
        <w:t xml:space="preserve">will not be </w:t>
      </w:r>
      <w:r w:rsidR="003562E2">
        <w:rPr>
          <w:rFonts w:ascii="Calibri" w:hAnsi="Calibri"/>
          <w:sz w:val="22"/>
          <w:szCs w:val="22"/>
        </w:rPr>
        <w:t>considered</w:t>
      </w:r>
      <w:r w:rsidRPr="00F62144">
        <w:rPr>
          <w:rFonts w:ascii="Calibri" w:hAnsi="Calibri"/>
          <w:sz w:val="22"/>
          <w:szCs w:val="22"/>
        </w:rPr>
        <w:t xml:space="preserve">.   </w:t>
      </w:r>
    </w:p>
    <w:p w14:paraId="4A62CCA9" w14:textId="77777777" w:rsidR="00F83185" w:rsidRPr="00F62144" w:rsidRDefault="00F83185" w:rsidP="00032CE1">
      <w:pPr>
        <w:spacing w:before="240"/>
        <w:rPr>
          <w:rFonts w:asciiTheme="minorHAnsi" w:hAnsiTheme="minorHAnsi"/>
          <w:i/>
          <w:sz w:val="22"/>
          <w:szCs w:val="22"/>
        </w:rPr>
      </w:pPr>
      <w:r w:rsidRPr="00F62144">
        <w:rPr>
          <w:rFonts w:asciiTheme="minorHAnsi" w:hAnsiTheme="minorHAnsi"/>
          <w:i/>
          <w:sz w:val="22"/>
          <w:szCs w:val="22"/>
        </w:rPr>
        <w:t>Hardship (i.e., “Statutory”) Waivers</w:t>
      </w:r>
    </w:p>
    <w:p w14:paraId="4B525CA4" w14:textId="77777777" w:rsidR="00A460B3" w:rsidRPr="00F62144" w:rsidRDefault="00F83185" w:rsidP="00475381">
      <w:pPr>
        <w:spacing w:before="120"/>
        <w:rPr>
          <w:rFonts w:asciiTheme="minorHAnsi" w:hAnsiTheme="minorHAnsi"/>
          <w:i/>
          <w:sz w:val="22"/>
          <w:szCs w:val="22"/>
        </w:rPr>
      </w:pPr>
      <w:r w:rsidRPr="00F62144">
        <w:rPr>
          <w:rFonts w:asciiTheme="minorHAnsi" w:hAnsiTheme="minorHAnsi"/>
          <w:sz w:val="22"/>
          <w:szCs w:val="22"/>
        </w:rPr>
        <w:t xml:space="preserve">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 To request a waiver, </w:t>
      </w:r>
      <w:r w:rsidR="002219F4" w:rsidRPr="00F62144">
        <w:rPr>
          <w:rFonts w:asciiTheme="minorHAnsi" w:hAnsiTheme="minorHAnsi"/>
          <w:sz w:val="22"/>
          <w:szCs w:val="22"/>
        </w:rPr>
        <w:t>contact PBGC</w:t>
      </w:r>
      <w:r w:rsidRPr="00F62144">
        <w:rPr>
          <w:rFonts w:asciiTheme="minorHAnsi" w:hAnsiTheme="minorHAnsi"/>
          <w:sz w:val="22"/>
          <w:szCs w:val="22"/>
        </w:rPr>
        <w:t xml:space="preserve"> at least 30 days before the filing due date.  Be sure to include specific information and documents to demonstrate both that it will be a substantial hardship to make the payment on or before the filing due date and that you will have the ability to make the payment within 60 days after the filing due date.</w:t>
      </w:r>
    </w:p>
    <w:p w14:paraId="31B8D2F9" w14:textId="77777777" w:rsidR="00475381" w:rsidRPr="00F62144" w:rsidRDefault="00475381" w:rsidP="00032CE1">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14:paraId="1A827AAB" w14:textId="77777777" w:rsidR="00475381" w:rsidRPr="00F62144" w:rsidRDefault="00475381" w:rsidP="00475381">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If the sole reason a late payment penalty charge applies is because a premium was paid after the due date, but within seven calendar days of the due date, the late payment penalty charge will automatically be waived</w:t>
      </w:r>
      <w:r w:rsidR="001D11D4" w:rsidRPr="00F62144">
        <w:rPr>
          <w:rFonts w:asciiTheme="minorHAnsi" w:hAnsiTheme="minorHAnsi"/>
          <w:bCs/>
          <w:sz w:val="22"/>
          <w:szCs w:val="22"/>
        </w:rPr>
        <w:t xml:space="preserve">.  </w:t>
      </w:r>
    </w:p>
    <w:p w14:paraId="1AA8AE4B" w14:textId="77777777" w:rsidR="00BC7100" w:rsidRDefault="00BC7100" w:rsidP="00032CE1">
      <w:pPr>
        <w:spacing w:before="240"/>
        <w:rPr>
          <w:rFonts w:asciiTheme="minorHAnsi" w:hAnsiTheme="minorHAnsi"/>
          <w:i/>
          <w:sz w:val="22"/>
          <w:szCs w:val="22"/>
        </w:rPr>
      </w:pPr>
      <w:bookmarkStart w:id="69" w:name="b5"/>
      <w:bookmarkEnd w:id="69"/>
      <w:r w:rsidRPr="00F62144">
        <w:rPr>
          <w:rFonts w:asciiTheme="minorHAnsi" w:hAnsiTheme="minorHAnsi"/>
          <w:i/>
          <w:sz w:val="22"/>
          <w:szCs w:val="22"/>
        </w:rPr>
        <w:t xml:space="preserve">Automatic Penalty Waiver for </w:t>
      </w:r>
      <w:r>
        <w:rPr>
          <w:rFonts w:asciiTheme="minorHAnsi" w:hAnsiTheme="minorHAnsi"/>
          <w:i/>
          <w:sz w:val="22"/>
          <w:szCs w:val="22"/>
        </w:rPr>
        <w:t>Certain Compliant Plans</w:t>
      </w:r>
    </w:p>
    <w:p w14:paraId="54332140" w14:textId="77777777" w:rsidR="00493837" w:rsidRPr="00C557BA" w:rsidRDefault="00493837" w:rsidP="0049383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14:paraId="488F8252" w14:textId="77777777" w:rsidR="00493837" w:rsidRPr="00C557BA" w:rsidRDefault="00493837" w:rsidP="00877B4F">
      <w:pPr>
        <w:pStyle w:val="ListParagraph"/>
        <w:numPr>
          <w:ilvl w:val="0"/>
          <w:numId w:val="56"/>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14:paraId="4487571C" w14:textId="77777777" w:rsidR="00493837" w:rsidRPr="00C557BA" w:rsidRDefault="00493837" w:rsidP="00877B4F">
      <w:pPr>
        <w:pStyle w:val="ListParagraph"/>
        <w:numPr>
          <w:ilvl w:val="0"/>
          <w:numId w:val="56"/>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14:paraId="1725A66A" w14:textId="77777777" w:rsidR="00493837" w:rsidRPr="00C557BA" w:rsidRDefault="00493837" w:rsidP="0049383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For this purpose, a “good premium compliance history” generally means that the plan paid </w:t>
      </w:r>
      <w:r>
        <w:rPr>
          <w:rFonts w:asciiTheme="minorHAnsi" w:hAnsiTheme="minorHAnsi"/>
          <w:bCs/>
          <w:sz w:val="22"/>
          <w:szCs w:val="22"/>
        </w:rPr>
        <w:t xml:space="preserve">required </w:t>
      </w:r>
      <w:r w:rsidRPr="00C557BA">
        <w:rPr>
          <w:rFonts w:asciiTheme="minorHAnsi" w:hAnsiTheme="minorHAnsi"/>
          <w:bCs/>
          <w:sz w:val="22"/>
          <w:szCs w:val="22"/>
        </w:rPr>
        <w:t>premiums timely for the five plan years immediately preceding the premium payment year.  In addition, if, during the 5</w:t>
      </w:r>
      <w:r>
        <w:rPr>
          <w:rFonts w:asciiTheme="minorHAnsi" w:hAnsiTheme="minorHAnsi"/>
          <w:bCs/>
          <w:sz w:val="22"/>
          <w:szCs w:val="22"/>
        </w:rPr>
        <w:noBreakHyphen/>
      </w:r>
      <w:r w:rsidRPr="00C557BA">
        <w:rPr>
          <w:rFonts w:asciiTheme="minorHAnsi" w:hAnsiTheme="minorHAnsi"/>
          <w:bCs/>
          <w:sz w:val="22"/>
          <w:szCs w:val="22"/>
        </w:rPr>
        <w:t>year period, the plan paid its premium late, but was not required to pay a late payment penalty (e.g., the penalty was waived), the plan is treated as paying timely for that year</w:t>
      </w:r>
      <w:r>
        <w:rPr>
          <w:rFonts w:asciiTheme="minorHAnsi" w:hAnsiTheme="minorHAnsi"/>
          <w:bCs/>
          <w:sz w:val="22"/>
          <w:szCs w:val="22"/>
        </w:rPr>
        <w:t>.</w:t>
      </w:r>
    </w:p>
    <w:p w14:paraId="1A6DF0CD" w14:textId="77777777" w:rsidR="00B638FE" w:rsidRPr="00F62144" w:rsidRDefault="00F12837" w:rsidP="00032CE1">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00EA7789" w:rsidRPr="00F62144">
        <w:rPr>
          <w:rFonts w:asciiTheme="minorHAnsi" w:hAnsiTheme="minorHAnsi"/>
          <w:i/>
          <w:sz w:val="22"/>
          <w:szCs w:val="22"/>
        </w:rPr>
        <w:t xml:space="preserve">Certain </w:t>
      </w:r>
      <w:r w:rsidRPr="00F62144">
        <w:rPr>
          <w:rFonts w:asciiTheme="minorHAnsi" w:hAnsiTheme="minorHAnsi"/>
          <w:i/>
          <w:sz w:val="22"/>
          <w:szCs w:val="22"/>
        </w:rPr>
        <w:t>Late Variable-Rate Premiums</w:t>
      </w:r>
    </w:p>
    <w:p w14:paraId="06BB961C" w14:textId="77777777" w:rsidR="00EA7789" w:rsidRPr="00F62144" w:rsidRDefault="00EA7789" w:rsidP="00EA778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As explained in the “When to File” section, in rare circumstances (e.g.</w:t>
      </w:r>
      <w:r w:rsidR="005E7028" w:rsidRPr="00F62144">
        <w:rPr>
          <w:rFonts w:asciiTheme="minorHAnsi" w:hAnsiTheme="minorHAnsi"/>
          <w:bCs/>
          <w:sz w:val="22"/>
          <w:szCs w:val="22"/>
        </w:rPr>
        <w:t>,</w:t>
      </w:r>
      <w:r w:rsidRPr="00F62144">
        <w:rPr>
          <w:rFonts w:asciiTheme="minorHAnsi" w:hAnsiTheme="minorHAnsi"/>
          <w:bCs/>
          <w:sz w:val="22"/>
          <w:szCs w:val="22"/>
        </w:rPr>
        <w:t xml:space="preserve"> a mid-year merger or change in actuary), </w:t>
      </w:r>
      <w:r w:rsidR="005F32C5" w:rsidRPr="00F62144">
        <w:rPr>
          <w:rFonts w:asciiTheme="minorHAnsi" w:hAnsiTheme="minorHAnsi"/>
          <w:bCs/>
          <w:sz w:val="22"/>
          <w:szCs w:val="22"/>
        </w:rPr>
        <w:t xml:space="preserve">the Premium Funding Target </w:t>
      </w:r>
      <w:r w:rsidRPr="00F62144">
        <w:rPr>
          <w:rFonts w:asciiTheme="minorHAnsi" w:hAnsiTheme="minorHAnsi"/>
          <w:bCs/>
          <w:sz w:val="22"/>
          <w:szCs w:val="22"/>
        </w:rPr>
        <w:t xml:space="preserve">might not be calculated or finalized by the premium due date.  PBGC allows plans in this situation to </w:t>
      </w:r>
      <w:r w:rsidR="004367B0" w:rsidRPr="00F62144">
        <w:rPr>
          <w:rFonts w:asciiTheme="minorHAnsi" w:hAnsiTheme="minorHAnsi"/>
          <w:bCs/>
          <w:sz w:val="22"/>
          <w:szCs w:val="22"/>
        </w:rPr>
        <w:t xml:space="preserve">file timely and </w:t>
      </w:r>
      <w:r w:rsidRPr="00F62144">
        <w:rPr>
          <w:rFonts w:asciiTheme="minorHAnsi" w:hAnsiTheme="minorHAnsi"/>
          <w:bCs/>
          <w:sz w:val="22"/>
          <w:szCs w:val="22"/>
        </w:rPr>
        <w:t xml:space="preserve">pay an estimated Variable-rate Premium </w:t>
      </w:r>
      <w:r w:rsidR="005F32C5" w:rsidRPr="00F62144">
        <w:rPr>
          <w:rFonts w:asciiTheme="minorHAnsi" w:hAnsiTheme="minorHAnsi"/>
          <w:bCs/>
          <w:sz w:val="22"/>
          <w:szCs w:val="22"/>
        </w:rPr>
        <w:t>by</w:t>
      </w:r>
      <w:r w:rsidR="004367B0" w:rsidRPr="00F62144">
        <w:rPr>
          <w:rFonts w:asciiTheme="minorHAnsi" w:hAnsiTheme="minorHAnsi"/>
          <w:bCs/>
          <w:sz w:val="22"/>
          <w:szCs w:val="22"/>
        </w:rPr>
        <w:t xml:space="preserve"> </w:t>
      </w:r>
      <w:r w:rsidRPr="00F62144">
        <w:rPr>
          <w:rFonts w:asciiTheme="minorHAnsi" w:hAnsiTheme="minorHAnsi"/>
          <w:bCs/>
          <w:sz w:val="22"/>
          <w:szCs w:val="22"/>
        </w:rPr>
        <w:t>the due date and then submit an amended filing at a later date to reconcile the actual Variable</w:t>
      </w:r>
      <w:r w:rsidRPr="00F62144">
        <w:rPr>
          <w:rFonts w:asciiTheme="minorHAnsi" w:hAnsiTheme="minorHAnsi"/>
          <w:bCs/>
          <w:sz w:val="22"/>
          <w:szCs w:val="22"/>
        </w:rPr>
        <w:noBreakHyphen/>
        <w:t xml:space="preserve">rate Premium with the estimate.  </w:t>
      </w:r>
    </w:p>
    <w:p w14:paraId="657A5509" w14:textId="77777777" w:rsidR="00EA7789" w:rsidRPr="00F62144" w:rsidRDefault="004367B0" w:rsidP="00EA7789">
      <w:pPr>
        <w:spacing w:before="120"/>
        <w:rPr>
          <w:rFonts w:asciiTheme="minorHAnsi" w:hAnsiTheme="minorHAnsi"/>
          <w:sz w:val="22"/>
          <w:szCs w:val="22"/>
        </w:rPr>
      </w:pPr>
      <w:r w:rsidRPr="00F62144">
        <w:rPr>
          <w:rFonts w:asciiTheme="minorHAnsi" w:hAnsiTheme="minorHAnsi"/>
          <w:sz w:val="22"/>
          <w:szCs w:val="22"/>
        </w:rPr>
        <w:t xml:space="preserve">Because </w:t>
      </w:r>
      <w:r w:rsidR="00EA7789"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00EA7789" w:rsidRPr="00F62144">
        <w:rPr>
          <w:rFonts w:asciiTheme="minorHAnsi" w:hAnsiTheme="minorHAnsi"/>
          <w:sz w:val="22"/>
          <w:szCs w:val="22"/>
        </w:rPr>
        <w:t>f the full amount is not paid by that date, the plan will be subject to late payment interest charges and may also be subject to late payment penalty charges.</w:t>
      </w:r>
    </w:p>
    <w:p w14:paraId="211D2233" w14:textId="77777777" w:rsidR="00EA7789" w:rsidRPr="00F62144" w:rsidRDefault="00EA7789" w:rsidP="00EA778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000E09BA" w:rsidRPr="00F62144">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14:paraId="75B5AF87" w14:textId="77777777" w:rsidR="00EA7789" w:rsidRPr="00F62144" w:rsidRDefault="00EA7789" w:rsidP="00023A8E">
      <w:pPr>
        <w:numPr>
          <w:ilvl w:val="0"/>
          <w:numId w:val="1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the reconciliation filing is made and any additional required Variable-rate Premium paid by the end of the sixth calendar month that begins on or after the premium due date (generally April 30th after year-end for calendar year plans), and</w:t>
      </w:r>
    </w:p>
    <w:p w14:paraId="561BC64D" w14:textId="77777777" w:rsidR="00F12837" w:rsidRPr="00F62144" w:rsidRDefault="000E09BA" w:rsidP="00023A8E">
      <w:pPr>
        <w:numPr>
          <w:ilvl w:val="0"/>
          <w:numId w:val="1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00F12837" w:rsidRPr="00F62144">
        <w:rPr>
          <w:rFonts w:asciiTheme="minorHAnsi" w:hAnsiTheme="minorHAnsi"/>
          <w:sz w:val="22"/>
          <w:szCs w:val="22"/>
        </w:rPr>
        <w:t xml:space="preserve">y the </w:t>
      </w:r>
      <w:r w:rsidR="00EA7789" w:rsidRPr="00F62144">
        <w:rPr>
          <w:rFonts w:asciiTheme="minorHAnsi" w:hAnsiTheme="minorHAnsi"/>
          <w:sz w:val="22"/>
          <w:szCs w:val="22"/>
        </w:rPr>
        <w:t xml:space="preserve">premium </w:t>
      </w:r>
      <w:r w:rsidR="00F12837" w:rsidRPr="00F62144">
        <w:rPr>
          <w:rFonts w:asciiTheme="minorHAnsi" w:hAnsiTheme="minorHAnsi"/>
          <w:sz w:val="22"/>
          <w:szCs w:val="22"/>
        </w:rPr>
        <w:t>due date</w:t>
      </w:r>
      <w:r w:rsidR="00EA7789" w:rsidRPr="00F62144">
        <w:rPr>
          <w:rFonts w:asciiTheme="minorHAnsi" w:hAnsiTheme="minorHAnsi"/>
          <w:sz w:val="22"/>
          <w:szCs w:val="22"/>
        </w:rPr>
        <w:t>, you report</w:t>
      </w:r>
      <w:r w:rsidR="00F12837" w:rsidRPr="00F62144">
        <w:rPr>
          <w:rFonts w:asciiTheme="minorHAnsi" w:hAnsiTheme="minorHAnsi"/>
          <w:sz w:val="22"/>
          <w:szCs w:val="22"/>
        </w:rPr>
        <w:t>:</w:t>
      </w:r>
    </w:p>
    <w:p w14:paraId="02936659" w14:textId="77777777" w:rsidR="00F12837" w:rsidRPr="00F62144" w:rsidRDefault="007144F6" w:rsidP="00023A8E">
      <w:pPr>
        <w:numPr>
          <w:ilvl w:val="1"/>
          <w:numId w:val="26"/>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00F12837" w:rsidRPr="00F62144">
        <w:rPr>
          <w:rFonts w:asciiTheme="minorHAnsi" w:hAnsiTheme="minorHAnsi"/>
          <w:sz w:val="22"/>
          <w:szCs w:val="22"/>
        </w:rPr>
        <w:t>he fair market value of the plan’s assets, and</w:t>
      </w:r>
    </w:p>
    <w:p w14:paraId="6BCA06CC" w14:textId="77777777" w:rsidR="00F12837" w:rsidRPr="00F62144" w:rsidRDefault="007144F6" w:rsidP="00023A8E">
      <w:pPr>
        <w:numPr>
          <w:ilvl w:val="1"/>
          <w:numId w:val="26"/>
        </w:numPr>
        <w:tabs>
          <w:tab w:val="clear" w:pos="1440"/>
        </w:tabs>
        <w:spacing w:before="120"/>
        <w:ind w:left="720"/>
        <w:rPr>
          <w:rFonts w:asciiTheme="minorHAnsi" w:hAnsiTheme="minorHAnsi"/>
          <w:sz w:val="22"/>
          <w:szCs w:val="22"/>
        </w:rPr>
      </w:pPr>
      <w:r w:rsidRPr="00F62144">
        <w:rPr>
          <w:rFonts w:asciiTheme="minorHAnsi" w:hAnsiTheme="minorHAnsi"/>
          <w:sz w:val="22"/>
          <w:szCs w:val="22"/>
        </w:rPr>
        <w:t>a</w:t>
      </w:r>
      <w:r w:rsidR="00F12837" w:rsidRPr="00F62144">
        <w:rPr>
          <w:rFonts w:asciiTheme="minorHAnsi" w:hAnsiTheme="minorHAnsi"/>
          <w:sz w:val="22"/>
          <w:szCs w:val="22"/>
        </w:rPr>
        <w:t>n estimate of the Premium Funding Target that is certified by an enrolled actuary to be a reasonable estimate that:</w:t>
      </w:r>
    </w:p>
    <w:p w14:paraId="4073AF3B" w14:textId="1D98AB13" w:rsidR="00F12837" w:rsidRDefault="00F12837" w:rsidP="009F2FCB">
      <w:pPr>
        <w:numPr>
          <w:ilvl w:val="0"/>
          <w:numId w:val="60"/>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14:paraId="3116433A" w14:textId="271FBA26" w:rsidR="00F12837" w:rsidRDefault="00F12837" w:rsidP="009F2FCB">
      <w:pPr>
        <w:numPr>
          <w:ilvl w:val="0"/>
          <w:numId w:val="60"/>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has been determined in accordance with generally accepted actuarial principles and practices; and</w:t>
      </w:r>
    </w:p>
    <w:p w14:paraId="1FF935AB" w14:textId="5D692089" w:rsidR="009F2FCB" w:rsidRPr="009F2FCB" w:rsidRDefault="00F12837" w:rsidP="009F2FCB">
      <w:pPr>
        <w:numPr>
          <w:ilvl w:val="0"/>
          <w:numId w:val="60"/>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14:paraId="17180B5E" w14:textId="77777777" w:rsidR="00F12837" w:rsidRPr="009F2FCB" w:rsidRDefault="000E09BA" w:rsidP="009F2FCB">
      <w:pPr>
        <w:numPr>
          <w:ilvl w:val="0"/>
          <w:numId w:val="15"/>
        </w:numPr>
        <w:tabs>
          <w:tab w:val="clear" w:pos="720"/>
          <w:tab w:val="num" w:pos="36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by the premium due date, y</w:t>
      </w:r>
      <w:r w:rsidR="00F12837" w:rsidRPr="009F2FCB">
        <w:rPr>
          <w:rFonts w:asciiTheme="minorHAnsi" w:hAnsiTheme="minorHAnsi"/>
          <w:bCs/>
          <w:sz w:val="22"/>
          <w:szCs w:val="22"/>
        </w:rPr>
        <w:t>ou pay at least the amount of Variable-rate Premium determined from the value of assets and estimated Premium Funding Target so reported.</w:t>
      </w:r>
    </w:p>
    <w:p w14:paraId="1078DE22"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Note that </w:t>
      </w:r>
      <w:r w:rsidR="004367B0" w:rsidRPr="00F62144">
        <w:rPr>
          <w:rFonts w:asciiTheme="minorHAnsi" w:hAnsiTheme="minorHAnsi"/>
          <w:sz w:val="22"/>
          <w:szCs w:val="22"/>
        </w:rPr>
        <w:t xml:space="preserve">this waiver applies only to estimated Premium Funding Targets, not estimated asset values.  If the asset value reported in the reconciliation filing differs from what was reported in the original (i.e., estimated) filing, </w:t>
      </w:r>
      <w:r w:rsidRPr="00F62144">
        <w:rPr>
          <w:rFonts w:asciiTheme="minorHAnsi" w:hAnsiTheme="minorHAnsi"/>
          <w:sz w:val="22"/>
          <w:szCs w:val="22"/>
        </w:rPr>
        <w:t xml:space="preserve">this </w:t>
      </w:r>
      <w:r w:rsidR="004367B0" w:rsidRPr="00F62144">
        <w:rPr>
          <w:rFonts w:asciiTheme="minorHAnsi" w:hAnsiTheme="minorHAnsi"/>
          <w:sz w:val="22"/>
          <w:szCs w:val="22"/>
        </w:rPr>
        <w:t xml:space="preserve">automatic </w:t>
      </w:r>
      <w:r w:rsidRPr="00F62144">
        <w:rPr>
          <w:rFonts w:asciiTheme="minorHAnsi" w:hAnsiTheme="minorHAnsi"/>
          <w:sz w:val="22"/>
          <w:szCs w:val="22"/>
        </w:rPr>
        <w:t>penalty relief will be lost. However, PBGC will consider a request for an appropriate penalty waiver in such a situation and</w:t>
      </w:r>
      <w:r w:rsidR="000F36CB" w:rsidRPr="00F62144">
        <w:rPr>
          <w:rFonts w:asciiTheme="minorHAnsi" w:hAnsiTheme="minorHAnsi"/>
          <w:sz w:val="22"/>
          <w:szCs w:val="22"/>
        </w:rPr>
        <w:t>,</w:t>
      </w:r>
      <w:r w:rsidRPr="00F62144">
        <w:rPr>
          <w:rFonts w:asciiTheme="minorHAnsi" w:hAnsiTheme="minorHAnsi"/>
          <w:sz w:val="22"/>
          <w:szCs w:val="22"/>
        </w:rPr>
        <w:t xml:space="preserve"> in acting on the request</w:t>
      </w:r>
      <w:r w:rsidR="00AC7C31" w:rsidRPr="00F62144">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14:paraId="07EE6EAF"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 If you do so, you will avoid the interest charge and any penalty charge. 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date the variable-rate reconciliation filing is due.</w:t>
      </w:r>
    </w:p>
    <w:p w14:paraId="6118E91E" w14:textId="77777777" w:rsidR="00A26EE2" w:rsidRDefault="00A26EE2" w:rsidP="00A26EE2">
      <w:pPr>
        <w:tabs>
          <w:tab w:val="num" w:pos="360"/>
        </w:tabs>
        <w:autoSpaceDE w:val="0"/>
        <w:autoSpaceDN w:val="0"/>
        <w:adjustRightInd w:val="0"/>
        <w:spacing w:before="120"/>
        <w:rPr>
          <w:rFonts w:asciiTheme="minorHAnsi" w:hAnsiTheme="minorHAnsi"/>
          <w:sz w:val="22"/>
          <w:szCs w:val="22"/>
        </w:rPr>
      </w:pPr>
    </w:p>
    <w:p w14:paraId="13B410EC" w14:textId="77777777" w:rsidR="00BE13AF" w:rsidRPr="00F62144" w:rsidRDefault="00BE13AF" w:rsidP="00BE13AF">
      <w:pPr>
        <w:rPr>
          <w:rFonts w:asciiTheme="minorHAnsi" w:hAnsiTheme="minorHAnsi"/>
          <w:b/>
          <w:sz w:val="22"/>
          <w:szCs w:val="22"/>
        </w:rPr>
      </w:pPr>
      <w:r w:rsidRPr="00F62144">
        <w:rPr>
          <w:rFonts w:asciiTheme="minorHAnsi" w:hAnsiTheme="minorHAnsi"/>
          <w:b/>
          <w:sz w:val="22"/>
          <w:szCs w:val="22"/>
        </w:rPr>
        <w:t xml:space="preserve">Minimizing Late Payment Charges </w:t>
      </w:r>
    </w:p>
    <w:p w14:paraId="7DF9EC39" w14:textId="77777777" w:rsidR="00BE13AF" w:rsidRPr="00F62144" w:rsidRDefault="00BE13AF" w:rsidP="00BE13AF">
      <w:pPr>
        <w:spacing w:before="120"/>
        <w:rPr>
          <w:rFonts w:asciiTheme="minorHAnsi" w:eastAsia="Times New Roman" w:hAnsiTheme="minorHAnsi"/>
        </w:rPr>
      </w:pPr>
      <w:r w:rsidRPr="00F62144">
        <w:rPr>
          <w:rFonts w:asciiTheme="minorHAnsi" w:eastAsia="Times New Roman" w:hAnsiTheme="minorHAnsi"/>
          <w:sz w:val="22"/>
          <w:szCs w:val="22"/>
        </w:rPr>
        <w:t xml:space="preserve">If you cannot make a filing by the due date because you are having difficulty determining some of the required information, you can minimize late payment charges by submitting payment (the amount due or an estimate) without submitting the certified filing. If you choose to do this, you must pay outside of My PAA, either via </w:t>
      </w:r>
      <w:hyperlink r:id="rId104" w:history="1">
        <w:r w:rsidRPr="00F62144">
          <w:rPr>
            <w:rStyle w:val="Hyperlink"/>
            <w:rFonts w:asciiTheme="minorHAnsi" w:eastAsia="Times New Roman" w:hAnsiTheme="minorHAnsi"/>
            <w:sz w:val="22"/>
            <w:szCs w:val="22"/>
          </w:rPr>
          <w:t>www.Pay.gov</w:t>
        </w:r>
      </w:hyperlink>
      <w:r w:rsidRPr="00F62144">
        <w:rPr>
          <w:rFonts w:asciiTheme="minorHAnsi" w:eastAsia="Times New Roman" w:hAnsiTheme="minorHAnsi"/>
          <w:sz w:val="22"/>
          <w:szCs w:val="22"/>
        </w:rPr>
        <w:t xml:space="preserve">, or by check or </w:t>
      </w:r>
      <w:r w:rsidR="00A57151">
        <w:rPr>
          <w:rFonts w:asciiTheme="minorHAnsi" w:eastAsia="Times New Roman" w:hAnsiTheme="minorHAnsi"/>
          <w:sz w:val="22"/>
          <w:szCs w:val="22"/>
        </w:rPr>
        <w:t>electronic payment</w:t>
      </w:r>
      <w:r w:rsidRPr="00F62144">
        <w:rPr>
          <w:rFonts w:asciiTheme="minorHAnsi" w:eastAsia="Times New Roman" w:hAnsiTheme="minorHAnsi"/>
          <w:sz w:val="22"/>
          <w:szCs w:val="22"/>
        </w:rPr>
        <w:t xml:space="preserve">. You should then submit your certified filing as soon as possible. Additional information on payment options is included in </w:t>
      </w:r>
      <w:hyperlink w:anchor="b11" w:history="1">
        <w:r w:rsidRPr="00F62144">
          <w:rPr>
            <w:rStyle w:val="Hyperlink"/>
            <w:rFonts w:asciiTheme="minorHAnsi" w:eastAsia="Times New Roman" w:hAnsiTheme="minorHAnsi"/>
            <w:sz w:val="22"/>
            <w:szCs w:val="22"/>
          </w:rPr>
          <w:t>Appendix 3</w:t>
        </w:r>
      </w:hyperlink>
      <w:r w:rsidRPr="00F62144">
        <w:rPr>
          <w:rFonts w:asciiTheme="minorHAnsi" w:eastAsia="Times New Roman" w:hAnsiTheme="minorHAnsi"/>
          <w:sz w:val="22"/>
          <w:szCs w:val="22"/>
        </w:rPr>
        <w:t xml:space="preserve">. </w:t>
      </w:r>
    </w:p>
    <w:p w14:paraId="77E83346" w14:textId="77777777" w:rsidR="00BE13AF" w:rsidRPr="00F62144" w:rsidRDefault="00BE13AF" w:rsidP="00BE13AF">
      <w:pPr>
        <w:spacing w:before="120"/>
        <w:rPr>
          <w:rFonts w:asciiTheme="minorHAnsi" w:eastAsia="Times New Roman" w:hAnsiTheme="minorHAnsi"/>
        </w:rPr>
      </w:pPr>
      <w:r w:rsidRPr="00F62144">
        <w:rPr>
          <w:rFonts w:asciiTheme="minorHAnsi" w:eastAsia="Times New Roman" w:hAnsiTheme="minorHAnsi"/>
          <w:sz w:val="22"/>
          <w:szCs w:val="22"/>
        </w:rPr>
        <w:t>PBGC may assess a penalty under ERISA section 4071 for failure to furnish premium-related information by the required due date</w:t>
      </w:r>
      <w:r w:rsidR="00F84895">
        <w:rPr>
          <w:rFonts w:asciiTheme="minorHAnsi" w:eastAsia="Times New Roman" w:hAnsiTheme="minorHAnsi"/>
          <w:sz w:val="22"/>
          <w:szCs w:val="22"/>
        </w:rPr>
        <w:t>.</w:t>
      </w:r>
      <w:r w:rsidRPr="00F62144">
        <w:rPr>
          <w:rFonts w:asciiTheme="minorHAnsi" w:eastAsia="Times New Roman" w:hAnsiTheme="minorHAnsi"/>
          <w:sz w:val="22"/>
          <w:szCs w:val="22"/>
        </w:rPr>
        <w:t xml:space="preserve"> </w:t>
      </w:r>
      <w:r w:rsidR="00F84895">
        <w:rPr>
          <w:rFonts w:asciiTheme="minorHAnsi" w:eastAsia="Times New Roman" w:hAnsiTheme="minorHAnsi"/>
          <w:sz w:val="22"/>
          <w:szCs w:val="22"/>
        </w:rPr>
        <w:t>M</w:t>
      </w:r>
      <w:r w:rsidR="00F84895" w:rsidRPr="00F62144">
        <w:rPr>
          <w:rFonts w:asciiTheme="minorHAnsi" w:eastAsia="Times New Roman" w:hAnsiTheme="minorHAnsi"/>
          <w:sz w:val="22"/>
          <w:szCs w:val="22"/>
        </w:rPr>
        <w:t xml:space="preserve">aking </w:t>
      </w:r>
      <w:r w:rsidRPr="00F62144">
        <w:rPr>
          <w:rFonts w:asciiTheme="minorHAnsi" w:eastAsia="Times New Roman" w:hAnsiTheme="minorHAnsi"/>
          <w:sz w:val="22"/>
          <w:szCs w:val="22"/>
        </w:rPr>
        <w:t xml:space="preserve">a premium payment without an accompanying premium information filing may cause significant delay in providing a statement of account for the plan. However, when the information filing is ultimately made, the payment will be credited as of the date it was filed and thus stop the accrual of late payment charges on the amount paid. </w:t>
      </w:r>
    </w:p>
    <w:p w14:paraId="22040C47" w14:textId="77777777" w:rsidR="00BE13AF" w:rsidRPr="00F62144" w:rsidRDefault="00BE13AF" w:rsidP="00BE13AF">
      <w:pPr>
        <w:spacing w:before="120"/>
        <w:rPr>
          <w:rFonts w:asciiTheme="minorHAnsi" w:eastAsia="Times New Roman" w:hAnsiTheme="minorHAnsi"/>
        </w:rPr>
      </w:pPr>
    </w:p>
    <w:p w14:paraId="1057BF69" w14:textId="77777777" w:rsidR="00BE13AF" w:rsidRPr="00F62144" w:rsidRDefault="00BE13AF" w:rsidP="00BE13AF">
      <w:pPr>
        <w:rPr>
          <w:rFonts w:asciiTheme="minorHAnsi" w:hAnsiTheme="minorHAnsi"/>
          <w:b/>
          <w:sz w:val="22"/>
          <w:szCs w:val="22"/>
        </w:rPr>
      </w:pPr>
      <w:r w:rsidRPr="00F62144">
        <w:rPr>
          <w:rFonts w:asciiTheme="minorHAnsi" w:hAnsiTheme="minorHAnsi"/>
          <w:b/>
          <w:sz w:val="22"/>
          <w:szCs w:val="22"/>
        </w:rPr>
        <w:t xml:space="preserve">Saturday, Sunday, and Federal Holidays </w:t>
      </w:r>
    </w:p>
    <w:p w14:paraId="1156DACA" w14:textId="77777777" w:rsidR="00BE13AF" w:rsidRPr="00F62144" w:rsidRDefault="00BE13AF" w:rsidP="00BE13AF">
      <w:pPr>
        <w:spacing w:before="120"/>
        <w:rPr>
          <w:rFonts w:asciiTheme="minorHAnsi" w:eastAsia="Times New Roman" w:hAnsiTheme="minorHAnsi"/>
          <w:color w:val="FF0000"/>
          <w:sz w:val="22"/>
          <w:szCs w:val="22"/>
        </w:rPr>
      </w:pPr>
      <w:r w:rsidRPr="00F62144">
        <w:rPr>
          <w:rFonts w:asciiTheme="minorHAnsi" w:hAnsiTheme="minorHAnsi"/>
          <w:sz w:val="22"/>
          <w:szCs w:val="22"/>
        </w:rPr>
        <w:t>As explained in the “When to File” section, if your premium filing due date falls on a Saturday, Sunday or Federal Holiday, it</w:t>
      </w:r>
      <w:r w:rsidRPr="00F62144">
        <w:rPr>
          <w:rFonts w:asciiTheme="minorHAnsi" w:eastAsia="Times New Roman"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asciiTheme="minorHAnsi" w:eastAsia="Times New Roman" w:hAnsiTheme="minorHAnsi"/>
          <w:sz w:val="22"/>
          <w:szCs w:val="22"/>
        </w:rPr>
        <w:t xml:space="preserve"> your premium payment is filed after the extended due date, interest and penalties will be computed from the actual (unextended) due date. </w:t>
      </w:r>
    </w:p>
    <w:p w14:paraId="4C144156" w14:textId="77777777" w:rsidR="00BE13AF" w:rsidRPr="00F62144" w:rsidRDefault="00BE13AF" w:rsidP="00BE13AF">
      <w:pPr>
        <w:spacing w:before="120"/>
        <w:rPr>
          <w:rFonts w:asciiTheme="minorHAnsi" w:eastAsia="Times New Roman" w:hAnsiTheme="minorHAnsi"/>
          <w:sz w:val="22"/>
          <w:szCs w:val="22"/>
        </w:rPr>
      </w:pPr>
      <w:r w:rsidRPr="00F62144">
        <w:rPr>
          <w:rFonts w:asciiTheme="minorHAnsi" w:eastAsia="Times New Roman" w:hAnsiTheme="minorHAnsi"/>
          <w:i/>
          <w:sz w:val="22"/>
          <w:szCs w:val="22"/>
        </w:rPr>
        <w:t>Example</w:t>
      </w:r>
      <w:r w:rsidRPr="00F62144">
        <w:rPr>
          <w:rFonts w:asciiTheme="minorHAnsi" w:eastAsia="Times New Roman" w:hAnsiTheme="minorHAnsi"/>
          <w:b/>
          <w:bCs/>
          <w:sz w:val="22"/>
          <w:szCs w:val="22"/>
        </w:rPr>
        <w:t xml:space="preserve"> –</w:t>
      </w:r>
      <w:r w:rsidRPr="00F62144">
        <w:rPr>
          <w:rFonts w:asciiTheme="minorHAnsi" w:eastAsia="Times New Roman" w:hAnsiTheme="minorHAnsi"/>
          <w:sz w:val="22"/>
          <w:szCs w:val="22"/>
        </w:rPr>
        <w:t xml:space="preserve">The Normal Due Date for a plan with a plan year beginning on </w:t>
      </w:r>
      <w:r w:rsidR="00BB7143">
        <w:rPr>
          <w:rFonts w:asciiTheme="minorHAnsi" w:eastAsia="Times New Roman" w:hAnsiTheme="minorHAnsi"/>
          <w:sz w:val="22"/>
          <w:szCs w:val="22"/>
        </w:rPr>
        <w:t>March</w:t>
      </w:r>
      <w:r w:rsidR="00BB7143"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1, </w:t>
      </w:r>
      <w:r w:rsidR="00AE348E">
        <w:rPr>
          <w:rFonts w:asciiTheme="minorHAnsi" w:eastAsia="Times New Roman" w:hAnsiTheme="minorHAnsi"/>
          <w:sz w:val="22"/>
          <w:szCs w:val="22"/>
        </w:rPr>
        <w:t>2018</w:t>
      </w:r>
      <w:r w:rsidRPr="00F62144">
        <w:rPr>
          <w:rFonts w:asciiTheme="minorHAnsi" w:eastAsia="Times New Roman" w:hAnsiTheme="minorHAnsi"/>
          <w:sz w:val="22"/>
          <w:szCs w:val="22"/>
        </w:rPr>
        <w:t xml:space="preserve"> would normally be </w:t>
      </w:r>
      <w:r w:rsidR="000879E5">
        <w:rPr>
          <w:rFonts w:asciiTheme="minorHAnsi" w:eastAsia="Times New Roman" w:hAnsiTheme="minorHAnsi"/>
          <w:sz w:val="22"/>
          <w:szCs w:val="22"/>
        </w:rPr>
        <w:t>December</w:t>
      </w:r>
      <w:r w:rsidR="000879E5"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15, </w:t>
      </w:r>
      <w:r w:rsidR="00AE348E">
        <w:rPr>
          <w:rFonts w:asciiTheme="minorHAnsi" w:eastAsia="Times New Roman" w:hAnsiTheme="minorHAnsi"/>
          <w:sz w:val="22"/>
          <w:szCs w:val="22"/>
        </w:rPr>
        <w:t>2018</w:t>
      </w:r>
      <w:r w:rsidRPr="00F62144">
        <w:rPr>
          <w:rFonts w:asciiTheme="minorHAnsi" w:eastAsia="Times New Roman" w:hAnsiTheme="minorHAnsi"/>
          <w:sz w:val="22"/>
          <w:szCs w:val="22"/>
        </w:rPr>
        <w:t>. Because that day is a S</w:t>
      </w:r>
      <w:r w:rsidR="00DC2E5A">
        <w:rPr>
          <w:rFonts w:asciiTheme="minorHAnsi" w:eastAsia="Times New Roman" w:hAnsiTheme="minorHAnsi"/>
          <w:sz w:val="22"/>
          <w:szCs w:val="22"/>
        </w:rPr>
        <w:t>aturda</w:t>
      </w:r>
      <w:r w:rsidRPr="00F62144">
        <w:rPr>
          <w:rFonts w:asciiTheme="minorHAnsi" w:eastAsia="Times New Roman" w:hAnsiTheme="minorHAnsi"/>
          <w:sz w:val="22"/>
          <w:szCs w:val="22"/>
        </w:rPr>
        <w:t xml:space="preserve">y, the due date is Monday, </w:t>
      </w:r>
      <w:r w:rsidR="00DC2E5A">
        <w:rPr>
          <w:rFonts w:asciiTheme="minorHAnsi" w:eastAsia="Times New Roman" w:hAnsiTheme="minorHAnsi"/>
          <w:sz w:val="22"/>
          <w:szCs w:val="22"/>
        </w:rPr>
        <w:t>December</w:t>
      </w:r>
      <w:r w:rsidR="00DC2E5A"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1</w:t>
      </w:r>
      <w:r w:rsidR="00DC2E5A">
        <w:rPr>
          <w:rFonts w:asciiTheme="minorHAnsi" w:eastAsia="Times New Roman" w:hAnsiTheme="minorHAnsi"/>
          <w:sz w:val="22"/>
          <w:szCs w:val="22"/>
        </w:rPr>
        <w:t>7</w:t>
      </w:r>
      <w:r w:rsidRPr="00F62144">
        <w:rPr>
          <w:rFonts w:asciiTheme="minorHAnsi" w:eastAsia="Times New Roman" w:hAnsiTheme="minorHAnsi"/>
          <w:sz w:val="22"/>
          <w:szCs w:val="22"/>
        </w:rPr>
        <w:t xml:space="preserve">, </w:t>
      </w:r>
      <w:r w:rsidR="00AE348E">
        <w:rPr>
          <w:rFonts w:asciiTheme="minorHAnsi" w:eastAsia="Times New Roman" w:hAnsiTheme="minorHAnsi"/>
          <w:sz w:val="22"/>
          <w:szCs w:val="22"/>
        </w:rPr>
        <w:t>2018</w:t>
      </w:r>
      <w:r w:rsidRPr="00F62144">
        <w:rPr>
          <w:rFonts w:asciiTheme="minorHAnsi" w:eastAsia="Times New Roman" w:hAnsiTheme="minorHAnsi"/>
          <w:sz w:val="22"/>
          <w:szCs w:val="22"/>
        </w:rPr>
        <w:t xml:space="preserve">. If the filing is made after </w:t>
      </w:r>
      <w:r w:rsidR="00DC2E5A">
        <w:rPr>
          <w:rFonts w:asciiTheme="minorHAnsi" w:eastAsia="Times New Roman" w:hAnsiTheme="minorHAnsi"/>
          <w:sz w:val="22"/>
          <w:szCs w:val="22"/>
        </w:rPr>
        <w:t>December</w:t>
      </w:r>
      <w:r w:rsidR="00DC2E5A"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1</w:t>
      </w:r>
      <w:r w:rsidR="00DC2E5A">
        <w:rPr>
          <w:rFonts w:asciiTheme="minorHAnsi" w:eastAsia="Times New Roman" w:hAnsiTheme="minorHAnsi"/>
          <w:sz w:val="22"/>
          <w:szCs w:val="22"/>
        </w:rPr>
        <w:t>7</w:t>
      </w:r>
      <w:r w:rsidRPr="00F62144">
        <w:rPr>
          <w:rFonts w:asciiTheme="minorHAnsi" w:eastAsia="Times New Roman" w:hAnsiTheme="minorHAnsi"/>
          <w:sz w:val="22"/>
          <w:szCs w:val="22"/>
          <w:vertAlign w:val="superscript"/>
        </w:rPr>
        <w:t>th</w:t>
      </w:r>
      <w:r w:rsidRPr="00F62144">
        <w:rPr>
          <w:rFonts w:asciiTheme="minorHAnsi" w:eastAsia="Times New Roman" w:hAnsiTheme="minorHAnsi"/>
          <w:sz w:val="22"/>
          <w:szCs w:val="22"/>
        </w:rPr>
        <w:t xml:space="preserve">, late payment charges, if applicable, will be computed from </w:t>
      </w:r>
      <w:r w:rsidR="00DC2E5A" w:rsidRPr="00F62144">
        <w:rPr>
          <w:rFonts w:asciiTheme="minorHAnsi" w:eastAsia="Times New Roman" w:hAnsiTheme="minorHAnsi"/>
          <w:sz w:val="22"/>
          <w:szCs w:val="22"/>
        </w:rPr>
        <w:t>S</w:t>
      </w:r>
      <w:r w:rsidR="00DC2E5A">
        <w:rPr>
          <w:rFonts w:asciiTheme="minorHAnsi" w:eastAsia="Times New Roman" w:hAnsiTheme="minorHAnsi"/>
          <w:sz w:val="22"/>
          <w:szCs w:val="22"/>
        </w:rPr>
        <w:t>atur</w:t>
      </w:r>
      <w:r w:rsidR="00DC2E5A" w:rsidRPr="00F62144">
        <w:rPr>
          <w:rFonts w:asciiTheme="minorHAnsi" w:eastAsia="Times New Roman" w:hAnsiTheme="minorHAnsi"/>
          <w:sz w:val="22"/>
          <w:szCs w:val="22"/>
        </w:rPr>
        <w:t>day</w:t>
      </w:r>
      <w:r w:rsidRPr="00F62144">
        <w:rPr>
          <w:rFonts w:asciiTheme="minorHAnsi" w:eastAsia="Times New Roman" w:hAnsiTheme="minorHAnsi"/>
          <w:sz w:val="22"/>
          <w:szCs w:val="22"/>
        </w:rPr>
        <w:t xml:space="preserve">, </w:t>
      </w:r>
      <w:r w:rsidR="00DC2E5A">
        <w:rPr>
          <w:rFonts w:asciiTheme="minorHAnsi" w:eastAsia="Times New Roman" w:hAnsiTheme="minorHAnsi"/>
          <w:sz w:val="22"/>
          <w:szCs w:val="22"/>
        </w:rPr>
        <w:t>December</w:t>
      </w:r>
      <w:r w:rsidR="00DC2E5A"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 xml:space="preserve">15, </w:t>
      </w:r>
      <w:r w:rsidR="00AE348E">
        <w:rPr>
          <w:rFonts w:asciiTheme="minorHAnsi" w:eastAsia="Times New Roman" w:hAnsiTheme="minorHAnsi"/>
          <w:sz w:val="22"/>
          <w:szCs w:val="22"/>
        </w:rPr>
        <w:t>2018</w:t>
      </w:r>
      <w:r w:rsidRPr="00F62144">
        <w:rPr>
          <w:rFonts w:asciiTheme="minorHAnsi" w:eastAsia="Times New Roman" w:hAnsiTheme="minorHAnsi"/>
          <w:sz w:val="22"/>
          <w:szCs w:val="22"/>
        </w:rPr>
        <w:t xml:space="preserve">, not </w:t>
      </w:r>
      <w:r w:rsidR="00DC2E5A">
        <w:rPr>
          <w:rFonts w:asciiTheme="minorHAnsi" w:eastAsia="Times New Roman" w:hAnsiTheme="minorHAnsi"/>
          <w:sz w:val="22"/>
          <w:szCs w:val="22"/>
        </w:rPr>
        <w:t>December</w:t>
      </w:r>
      <w:r w:rsidR="00DC2E5A" w:rsidRPr="00F62144">
        <w:rPr>
          <w:rFonts w:asciiTheme="minorHAnsi" w:eastAsia="Times New Roman" w:hAnsiTheme="minorHAnsi"/>
          <w:sz w:val="22"/>
          <w:szCs w:val="22"/>
        </w:rPr>
        <w:t xml:space="preserve"> </w:t>
      </w:r>
      <w:r w:rsidRPr="00F62144">
        <w:rPr>
          <w:rFonts w:asciiTheme="minorHAnsi" w:eastAsia="Times New Roman" w:hAnsiTheme="minorHAnsi"/>
          <w:sz w:val="22"/>
          <w:szCs w:val="22"/>
        </w:rPr>
        <w:t>1</w:t>
      </w:r>
      <w:r w:rsidR="00DC2E5A">
        <w:rPr>
          <w:rFonts w:asciiTheme="minorHAnsi" w:eastAsia="Times New Roman" w:hAnsiTheme="minorHAnsi"/>
          <w:sz w:val="22"/>
          <w:szCs w:val="22"/>
        </w:rPr>
        <w:t>7</w:t>
      </w:r>
      <w:r w:rsidRPr="00F62144">
        <w:rPr>
          <w:rFonts w:asciiTheme="minorHAnsi" w:eastAsia="Times New Roman" w:hAnsiTheme="minorHAnsi"/>
          <w:sz w:val="22"/>
          <w:szCs w:val="22"/>
          <w:vertAlign w:val="superscript"/>
        </w:rPr>
        <w:t>th</w:t>
      </w:r>
      <w:r w:rsidRPr="00F62144">
        <w:rPr>
          <w:rFonts w:asciiTheme="minorHAnsi" w:eastAsia="Times New Roman" w:hAnsiTheme="minorHAnsi"/>
          <w:sz w:val="22"/>
          <w:szCs w:val="22"/>
        </w:rPr>
        <w:t>.</w:t>
      </w:r>
    </w:p>
    <w:p w14:paraId="401B64CC" w14:textId="77777777" w:rsidR="00E34A77" w:rsidRDefault="00E34A77" w:rsidP="00F12837">
      <w:pPr>
        <w:spacing w:before="120"/>
        <w:rPr>
          <w:rFonts w:asciiTheme="minorHAnsi" w:hAnsiTheme="minorHAnsi"/>
          <w:b/>
          <w:sz w:val="22"/>
          <w:szCs w:val="22"/>
        </w:rPr>
        <w:sectPr w:rsidR="00E34A77" w:rsidSect="005C4FCB">
          <w:headerReference w:type="even" r:id="rId105"/>
          <w:headerReference w:type="default" r:id="rId106"/>
          <w:headerReference w:type="first" r:id="rId107"/>
          <w:pgSz w:w="12240" w:h="15840" w:code="1"/>
          <w:pgMar w:top="1440" w:right="1080" w:bottom="1440" w:left="1080" w:header="720" w:footer="720" w:gutter="0"/>
          <w:cols w:space="720"/>
          <w:noEndnote/>
        </w:sectPr>
      </w:pPr>
      <w:bookmarkStart w:id="70" w:name="b6"/>
      <w:bookmarkEnd w:id="70"/>
    </w:p>
    <w:p w14:paraId="75F6B6CE" w14:textId="77777777" w:rsidR="00F12837" w:rsidRPr="00F62144" w:rsidRDefault="00F12837" w:rsidP="00F12837">
      <w:pPr>
        <w:spacing w:before="120"/>
        <w:rPr>
          <w:rFonts w:asciiTheme="minorHAnsi" w:hAnsiTheme="minorHAnsi"/>
          <w:b/>
          <w:sz w:val="22"/>
          <w:szCs w:val="22"/>
        </w:rPr>
      </w:pPr>
      <w:bookmarkStart w:id="71" w:name="toc42"/>
      <w:r w:rsidRPr="00F62144">
        <w:rPr>
          <w:rFonts w:asciiTheme="minorHAnsi" w:hAnsiTheme="minorHAnsi"/>
          <w:b/>
          <w:sz w:val="22"/>
          <w:szCs w:val="22"/>
        </w:rPr>
        <w:t>Correcting Errors</w:t>
      </w:r>
    </w:p>
    <w:bookmarkEnd w:id="71"/>
    <w:p w14:paraId="14CFEEBB"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14:paraId="08063302"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 Follow the instructions in this document or</w:t>
      </w:r>
      <w:r w:rsidR="00B13C09">
        <w:rPr>
          <w:rFonts w:asciiTheme="minorHAnsi" w:hAnsiTheme="minorHAnsi"/>
          <w:sz w:val="22"/>
          <w:szCs w:val="22"/>
        </w:rPr>
        <w:t xml:space="preserve"> on PBGC’s website</w:t>
      </w:r>
      <w:r w:rsidRPr="00F62144">
        <w:rPr>
          <w:rFonts w:asciiTheme="minorHAnsi" w:hAnsiTheme="minorHAnsi"/>
          <w:sz w:val="22"/>
          <w:szCs w:val="22"/>
        </w:rPr>
        <w:t xml:space="preserve"> for identifying your payment so that we can associate it with your information filing.</w:t>
      </w:r>
    </w:p>
    <w:p w14:paraId="70DF9A9B"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14:paraId="4D3B2611"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 Follow the instructions in this document or in My PAA for identifying your payment so that we can associate it with your information filing.</w:t>
      </w:r>
    </w:p>
    <w:p w14:paraId="71303A75" w14:textId="77777777" w:rsidR="00BA3A96" w:rsidRPr="00F62144" w:rsidRDefault="00BA3A96" w:rsidP="00BA3A96">
      <w:pPr>
        <w:spacing w:before="120"/>
        <w:rPr>
          <w:rFonts w:asciiTheme="minorHAnsi" w:hAnsiTheme="minorHAnsi"/>
          <w:i/>
          <w:sz w:val="22"/>
          <w:szCs w:val="22"/>
        </w:rPr>
      </w:pPr>
      <w:bookmarkStart w:id="72" w:name="b12"/>
      <w:bookmarkEnd w:id="72"/>
      <w:r w:rsidRPr="00F62144">
        <w:rPr>
          <w:rFonts w:asciiTheme="minorHAnsi" w:hAnsiTheme="minorHAnsi"/>
          <w:i/>
          <w:sz w:val="22"/>
          <w:szCs w:val="22"/>
        </w:rPr>
        <w:t>Failure to report a filing as the final premium filing</w:t>
      </w:r>
    </w:p>
    <w:p w14:paraId="623F8400" w14:textId="77777777" w:rsidR="00BA3A96" w:rsidRPr="00F62144" w:rsidRDefault="00BA3A96" w:rsidP="00BA3A96">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comprehensive premium filing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 —</w:t>
      </w:r>
    </w:p>
    <w:p w14:paraId="39B7EA9D" w14:textId="77777777" w:rsidR="00BA3A96" w:rsidRPr="00F62144" w:rsidRDefault="00BA3A96" w:rsidP="00023A8E">
      <w:pPr>
        <w:numPr>
          <w:ilvl w:val="0"/>
          <w:numId w:val="39"/>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14:paraId="5FB0511D" w14:textId="77777777" w:rsidR="00BA3A96" w:rsidRPr="00F62144" w:rsidRDefault="00BA3A96" w:rsidP="00023A8E">
      <w:pPr>
        <w:numPr>
          <w:ilvl w:val="0"/>
          <w:numId w:val="39"/>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was reported on a premium filing for the surviving plan.</w:t>
      </w:r>
    </w:p>
    <w:p w14:paraId="0A24BBB3" w14:textId="77777777" w:rsidR="00BA3A96" w:rsidRPr="00F62144" w:rsidRDefault="00BA3A96" w:rsidP="00BA3A96">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comprehensive premium filing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 However, to avoid the need for correspondence to establish why you are not making any more premium filings, we recommend that you contact us to report the event, unless —</w:t>
      </w:r>
    </w:p>
    <w:p w14:paraId="3E4186A9" w14:textId="77777777" w:rsidR="00BA3A96" w:rsidRPr="00F62144" w:rsidRDefault="00BA3A96" w:rsidP="00023A8E">
      <w:pPr>
        <w:numPr>
          <w:ilvl w:val="0"/>
          <w:numId w:val="39"/>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14:paraId="72D7E9EB" w14:textId="77777777" w:rsidR="00BA3A96" w:rsidRPr="00F62144" w:rsidRDefault="00BA3A96" w:rsidP="00023A8E">
      <w:pPr>
        <w:numPr>
          <w:ilvl w:val="0"/>
          <w:numId w:val="39"/>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is being reported on a premium filing for the surviving plan.</w:t>
      </w:r>
    </w:p>
    <w:p w14:paraId="6035C51F" w14:textId="77777777" w:rsidR="00F21AD6" w:rsidRPr="00F62144" w:rsidRDefault="00BA3A96" w:rsidP="00BA4B8F">
      <w:pPr>
        <w:spacing w:before="120"/>
        <w:rPr>
          <w:rFonts w:ascii="Calibri" w:hAnsi="Calibri" w:cs="Calibri"/>
          <w:color w:val="FF0000"/>
          <w:sz w:val="22"/>
          <w:szCs w:val="22"/>
        </w:rPr>
      </w:pPr>
      <w:r w:rsidRPr="00F62144">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00BA4B8F" w:rsidRPr="00F62144">
        <w:rPr>
          <w:rFonts w:asciiTheme="minorHAnsi" w:hAnsiTheme="minorHAnsi"/>
          <w:sz w:val="22"/>
          <w:szCs w:val="22"/>
        </w:rPr>
        <w:t xml:space="preserve"> and request a refund as part of the amended filing</w:t>
      </w:r>
      <w:r w:rsidRPr="00F62144">
        <w:rPr>
          <w:rFonts w:asciiTheme="minorHAnsi" w:hAnsiTheme="minorHAnsi"/>
          <w:sz w:val="22"/>
          <w:szCs w:val="22"/>
        </w:rPr>
        <w:t>.</w:t>
      </w:r>
      <w:r w:rsidR="00BA4B8F" w:rsidRPr="00F62144">
        <w:rPr>
          <w:rFonts w:asciiTheme="minorHAnsi" w:hAnsiTheme="minorHAnsi"/>
          <w:sz w:val="22"/>
          <w:szCs w:val="22"/>
        </w:rPr>
        <w:t xml:space="preserve">  Alternatively, because our system automatically pro-rate</w:t>
      </w:r>
      <w:r w:rsidR="005F1768" w:rsidRPr="00F62144">
        <w:rPr>
          <w:rFonts w:asciiTheme="minorHAnsi" w:hAnsiTheme="minorHAnsi"/>
          <w:sz w:val="22"/>
          <w:szCs w:val="22"/>
        </w:rPr>
        <w:t>s</w:t>
      </w:r>
      <w:r w:rsidR="00BA4B8F" w:rsidRPr="00F62144">
        <w:rPr>
          <w:rFonts w:asciiTheme="minorHAnsi" w:hAnsiTheme="minorHAnsi"/>
          <w:sz w:val="22"/>
          <w:szCs w:val="22"/>
        </w:rPr>
        <w:t xml:space="preserve"> premiums for plans in this situation</w:t>
      </w:r>
      <w:r w:rsidR="00B13C09">
        <w:rPr>
          <w:rFonts w:asciiTheme="minorHAnsi" w:hAnsiTheme="minorHAnsi"/>
          <w:sz w:val="22"/>
          <w:szCs w:val="22"/>
        </w:rPr>
        <w:t xml:space="preserve"> </w:t>
      </w:r>
      <w:r w:rsidR="00466474">
        <w:rPr>
          <w:rFonts w:asciiTheme="minorHAnsi" w:hAnsiTheme="minorHAnsi"/>
          <w:sz w:val="22"/>
          <w:szCs w:val="22"/>
        </w:rPr>
        <w:t>based on the information</w:t>
      </w:r>
      <w:r w:rsidR="00466474" w:rsidRPr="00466474">
        <w:rPr>
          <w:rFonts w:asciiTheme="minorHAnsi" w:hAnsiTheme="minorHAnsi"/>
          <w:sz w:val="22"/>
          <w:szCs w:val="22"/>
        </w:rPr>
        <w:t xml:space="preserve"> reported on PBGC Form 501</w:t>
      </w:r>
      <w:r w:rsidR="00BA4B8F" w:rsidRPr="00F62144">
        <w:rPr>
          <w:rFonts w:asciiTheme="minorHAnsi" w:hAnsiTheme="minorHAnsi"/>
          <w:sz w:val="22"/>
          <w:szCs w:val="22"/>
        </w:rPr>
        <w:t xml:space="preserve"> and update</w:t>
      </w:r>
      <w:r w:rsidR="005F1768" w:rsidRPr="00F62144">
        <w:rPr>
          <w:rFonts w:asciiTheme="minorHAnsi" w:hAnsiTheme="minorHAnsi"/>
          <w:sz w:val="22"/>
          <w:szCs w:val="22"/>
        </w:rPr>
        <w:t>s</w:t>
      </w:r>
      <w:r w:rsidR="00BA4B8F" w:rsidRPr="00F62144">
        <w:rPr>
          <w:rFonts w:asciiTheme="minorHAnsi" w:hAnsiTheme="minorHAnsi"/>
          <w:sz w:val="22"/>
          <w:szCs w:val="22"/>
        </w:rPr>
        <w:t xml:space="preserve"> the plan’s statement of account to reflect any overpayment, in lieu of submitting an amended filing, you may request a refund of such overpayment </w:t>
      </w:r>
      <w:r w:rsidR="000E4E1F">
        <w:rPr>
          <w:rFonts w:asciiTheme="minorHAnsi" w:hAnsiTheme="minorHAnsi"/>
          <w:sz w:val="22"/>
          <w:szCs w:val="22"/>
        </w:rPr>
        <w:t>online</w:t>
      </w:r>
      <w:r w:rsidR="00265C67">
        <w:rPr>
          <w:rFonts w:asciiTheme="minorHAnsi" w:hAnsiTheme="minorHAnsi"/>
          <w:sz w:val="22"/>
          <w:szCs w:val="22"/>
        </w:rPr>
        <w:t xml:space="preserve"> via My</w:t>
      </w:r>
      <w:r w:rsidR="0062342B">
        <w:rPr>
          <w:rFonts w:asciiTheme="minorHAnsi" w:hAnsiTheme="minorHAnsi"/>
          <w:sz w:val="22"/>
          <w:szCs w:val="22"/>
        </w:rPr>
        <w:t xml:space="preserve"> </w:t>
      </w:r>
      <w:r w:rsidR="00265C67">
        <w:rPr>
          <w:rFonts w:asciiTheme="minorHAnsi" w:hAnsiTheme="minorHAnsi"/>
          <w:sz w:val="22"/>
          <w:szCs w:val="22"/>
        </w:rPr>
        <w:t>PAA or</w:t>
      </w:r>
      <w:r w:rsidR="00BA4B8F" w:rsidRPr="00F62144">
        <w:rPr>
          <w:rFonts w:asciiTheme="minorHAnsi" w:hAnsiTheme="minorHAnsi"/>
          <w:sz w:val="22"/>
          <w:szCs w:val="22"/>
        </w:rPr>
        <w:t xml:space="preserve"> by sending an email to </w:t>
      </w:r>
      <w:hyperlink r:id="rId108" w:history="1">
        <w:r w:rsidR="00F21AD6" w:rsidRPr="00F62144">
          <w:rPr>
            <w:rStyle w:val="Hyperlink"/>
            <w:rFonts w:ascii="Calibri" w:hAnsi="Calibri" w:cs="Calibri"/>
            <w:sz w:val="22"/>
            <w:szCs w:val="22"/>
          </w:rPr>
          <w:t>premiums@pbgc.gov</w:t>
        </w:r>
      </w:hyperlink>
      <w:r w:rsidR="00481EB0" w:rsidRPr="00F62144">
        <w:rPr>
          <w:rStyle w:val="Hyperlink"/>
          <w:rFonts w:ascii="Calibri" w:hAnsi="Calibri" w:cs="Calibri"/>
          <w:color w:val="auto"/>
          <w:sz w:val="22"/>
          <w:szCs w:val="22"/>
        </w:rPr>
        <w:t>.</w:t>
      </w:r>
    </w:p>
    <w:p w14:paraId="09D80DB5"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Amend</w:t>
      </w:r>
      <w:r w:rsidR="00BA3A96" w:rsidRPr="00F62144">
        <w:rPr>
          <w:rFonts w:asciiTheme="minorHAnsi" w:hAnsiTheme="minorHAnsi"/>
          <w:i/>
          <w:sz w:val="22"/>
          <w:szCs w:val="22"/>
        </w:rPr>
        <w:t>ing</w:t>
      </w:r>
      <w:r w:rsidRPr="00F62144">
        <w:rPr>
          <w:rFonts w:asciiTheme="minorHAnsi" w:hAnsiTheme="minorHAnsi"/>
          <w:i/>
          <w:sz w:val="22"/>
          <w:szCs w:val="22"/>
        </w:rPr>
        <w:t xml:space="preserve"> Filings </w:t>
      </w:r>
    </w:p>
    <w:p w14:paraId="40928B42"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 A filing can be amended by resubmitting the filing with the corrected information. Be sure to indicate that the filing is an amendment to a previously submitted filing (see “</w:t>
      </w:r>
      <w:hyperlink w:anchor="b3"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005B0762" w:rsidRPr="00F62144">
        <w:rPr>
          <w:rFonts w:asciiTheme="minorHAnsi" w:hAnsiTheme="minorHAnsi"/>
          <w:sz w:val="22"/>
          <w:szCs w:val="22"/>
        </w:rPr>
        <w:t>s</w:t>
      </w:r>
      <w:r w:rsidRPr="00F62144">
        <w:rPr>
          <w:rFonts w:asciiTheme="minorHAnsi" w:hAnsiTheme="minorHAnsi"/>
          <w:sz w:val="22"/>
          <w:szCs w:val="22"/>
        </w:rPr>
        <w:t xml:space="preserve">). </w:t>
      </w:r>
    </w:p>
    <w:p w14:paraId="50F526C9"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In the amended filing, report all of the required information, including information that was correct in the original filing</w:t>
      </w:r>
      <w:r w:rsidR="00302347" w:rsidRPr="00F62144">
        <w:rPr>
          <w:rFonts w:asciiTheme="minorHAnsi" w:hAnsiTheme="minorHAnsi"/>
          <w:sz w:val="22"/>
          <w:szCs w:val="22"/>
        </w:rPr>
        <w:t xml:space="preserve"> (</w:t>
      </w:r>
      <w:r w:rsidR="00302347" w:rsidRPr="00F62144">
        <w:rPr>
          <w:rFonts w:asciiTheme="minorHAnsi" w:hAnsiTheme="minorHAnsi"/>
          <w:i/>
          <w:sz w:val="22"/>
          <w:szCs w:val="22"/>
        </w:rPr>
        <w:t>i.e</w:t>
      </w:r>
      <w:r w:rsidR="00302347" w:rsidRPr="00F62144">
        <w:rPr>
          <w:rFonts w:asciiTheme="minorHAnsi" w:hAnsiTheme="minorHAnsi"/>
          <w:sz w:val="22"/>
          <w:szCs w:val="22"/>
        </w:rPr>
        <w:t>., the filing that is being amended)</w:t>
      </w:r>
      <w:r w:rsidRPr="00F62144">
        <w:rPr>
          <w:rFonts w:asciiTheme="minorHAnsi" w:hAnsiTheme="minorHAnsi"/>
          <w:sz w:val="22"/>
          <w:szCs w:val="22"/>
        </w:rPr>
        <w:t>.  Include as credits all the credits you previously claimed increased by the amount you paid with your most recent filing and reduced by any refund you requested.</w:t>
      </w:r>
    </w:p>
    <w:p w14:paraId="67DDD59E"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the originally reported premium:</w:t>
      </w:r>
    </w:p>
    <w:p w14:paraId="4458FE1E" w14:textId="77777777" w:rsidR="00F12837" w:rsidRPr="00F62144" w:rsidRDefault="00F12837" w:rsidP="00023A8E">
      <w:pPr>
        <w:numPr>
          <w:ilvl w:val="0"/>
          <w:numId w:val="27"/>
        </w:numPr>
        <w:tabs>
          <w:tab w:val="clear" w:pos="1440"/>
          <w:tab w:val="num" w:pos="36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 In this case, late payment interest charges will apply and late payment penalty charges may apply. 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14:paraId="25199812" w14:textId="77777777" w:rsidR="003760B7" w:rsidRPr="00F62144" w:rsidRDefault="00F12837" w:rsidP="00023A8E">
      <w:pPr>
        <w:numPr>
          <w:ilvl w:val="0"/>
          <w:numId w:val="27"/>
        </w:numPr>
        <w:tabs>
          <w:tab w:val="clear" w:pos="1440"/>
          <w:tab w:val="num" w:pos="36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xml:space="preserve">, the overpayment will equal the excess of the revised total credit over the revised total premium. </w:t>
      </w:r>
      <w:r w:rsidR="00956FDD" w:rsidRPr="00F62144">
        <w:rPr>
          <w:rFonts w:asciiTheme="minorHAnsi" w:hAnsiTheme="minorHAnsi"/>
          <w:sz w:val="22"/>
          <w:szCs w:val="22"/>
        </w:rPr>
        <w:t xml:space="preserve"> You must i</w:t>
      </w:r>
      <w:r w:rsidRPr="00F62144">
        <w:rPr>
          <w:rFonts w:asciiTheme="minorHAnsi" w:hAnsiTheme="minorHAnsi"/>
          <w:sz w:val="22"/>
          <w:szCs w:val="22"/>
        </w:rPr>
        <w:t>ndicate whether you want the overpayment refunded or applied to the next year’s premium for the plan.</w:t>
      </w:r>
      <w:r w:rsidR="00956FDD" w:rsidRPr="00F62144">
        <w:rPr>
          <w:rFonts w:asciiTheme="minorHAnsi" w:hAnsiTheme="minorHAnsi"/>
          <w:sz w:val="22"/>
          <w:szCs w:val="22"/>
        </w:rPr>
        <w:t xml:space="preserve">  </w:t>
      </w:r>
      <w:r w:rsidR="001E5512" w:rsidRPr="00F62144">
        <w:rPr>
          <w:rFonts w:asciiTheme="minorHAnsi" w:hAnsiTheme="minorHAnsi"/>
          <w:sz w:val="22"/>
          <w:szCs w:val="22"/>
        </w:rPr>
        <w:t>We recommend that small credit amounts be carried over to the next plan year.</w:t>
      </w:r>
      <w:r w:rsidR="00956FDD" w:rsidRPr="00F62144">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DE4BB5">
        <w:rPr>
          <w:rFonts w:asciiTheme="minorHAnsi" w:hAnsiTheme="minorHAnsi"/>
          <w:sz w:val="22"/>
          <w:szCs w:val="22"/>
        </w:rPr>
        <w:t xml:space="preserve">  </w:t>
      </w:r>
      <w:r w:rsidR="00B83F6F">
        <w:rPr>
          <w:rFonts w:asciiTheme="minorHAnsi" w:hAnsiTheme="minorHAnsi"/>
          <w:sz w:val="22"/>
          <w:szCs w:val="22"/>
        </w:rPr>
        <w:t>Then</w:t>
      </w:r>
      <w:r w:rsidR="003760B7" w:rsidRPr="00F62144">
        <w:rPr>
          <w:rFonts w:asciiTheme="minorHAnsi" w:hAnsiTheme="minorHAnsi"/>
          <w:sz w:val="22"/>
          <w:szCs w:val="22"/>
        </w:rPr>
        <w:t xml:space="preserve">, simply enter the relevant amount under “Premium Credits “in the next year’s premium filing.  See line </w:t>
      </w:r>
      <w:hyperlink w:anchor="b26" w:history="1">
        <w:r w:rsidR="003760B7" w:rsidRPr="00F62144">
          <w:rPr>
            <w:rStyle w:val="Hyperlink"/>
            <w:rFonts w:asciiTheme="minorHAnsi" w:hAnsiTheme="minorHAnsi"/>
            <w:sz w:val="22"/>
            <w:szCs w:val="22"/>
          </w:rPr>
          <w:t>10b</w:t>
        </w:r>
      </w:hyperlink>
      <w:r w:rsidR="003760B7" w:rsidRPr="00F62144">
        <w:rPr>
          <w:rFonts w:asciiTheme="minorHAnsi" w:hAnsiTheme="minorHAnsi"/>
          <w:sz w:val="22"/>
          <w:szCs w:val="22"/>
        </w:rPr>
        <w:t xml:space="preserve"> on the illustrative form in the “Data to be Submitted” section.   </w:t>
      </w:r>
    </w:p>
    <w:p w14:paraId="61EBB5D7" w14:textId="77777777" w:rsidR="003760B7" w:rsidRPr="00F62144" w:rsidRDefault="003760B7" w:rsidP="003760B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14:paraId="2AABE800" w14:textId="77777777" w:rsidR="003760B7" w:rsidRPr="00F62144" w:rsidRDefault="003760B7" w:rsidP="003760B7">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00D40D46" w:rsidRPr="00F62144">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  See section below on </w:t>
      </w:r>
      <w:r w:rsidR="0087626C" w:rsidRPr="00F62144">
        <w:rPr>
          <w:rFonts w:asciiTheme="minorHAnsi" w:hAnsiTheme="minorHAnsi"/>
          <w:sz w:val="22"/>
          <w:szCs w:val="22"/>
        </w:rPr>
        <w:t>Premium Credit Balances.</w:t>
      </w:r>
    </w:p>
    <w:p w14:paraId="1FF01B3F" w14:textId="77777777" w:rsidR="00F12837" w:rsidRPr="00F62144" w:rsidRDefault="00F12837" w:rsidP="00F12837">
      <w:pPr>
        <w:spacing w:before="120"/>
        <w:rPr>
          <w:rFonts w:asciiTheme="minorHAnsi" w:hAnsiTheme="minorHAnsi"/>
          <w:i/>
          <w:sz w:val="22"/>
          <w:szCs w:val="22"/>
        </w:rPr>
      </w:pPr>
      <w:r w:rsidRPr="00F62144">
        <w:rPr>
          <w:rFonts w:asciiTheme="minorHAnsi" w:hAnsiTheme="minorHAnsi"/>
          <w:i/>
          <w:sz w:val="22"/>
          <w:szCs w:val="22"/>
        </w:rPr>
        <w:t>Required explanation</w:t>
      </w:r>
      <w:r w:rsidR="00627B14" w:rsidRPr="00F62144">
        <w:rPr>
          <w:rFonts w:asciiTheme="minorHAnsi" w:hAnsiTheme="minorHAnsi"/>
          <w:i/>
          <w:sz w:val="22"/>
          <w:szCs w:val="22"/>
        </w:rPr>
        <w:t xml:space="preserve"> </w:t>
      </w:r>
      <w:r w:rsidRPr="00F62144">
        <w:rPr>
          <w:rFonts w:asciiTheme="minorHAnsi" w:hAnsiTheme="minorHAnsi"/>
          <w:i/>
          <w:sz w:val="22"/>
          <w:szCs w:val="22"/>
        </w:rPr>
        <w:t>if premium amount decreases</w:t>
      </w:r>
    </w:p>
    <w:p w14:paraId="59521228" w14:textId="77777777" w:rsidR="004E67DB" w:rsidRPr="00F62144" w:rsidRDefault="00F12837" w:rsidP="004E67DB">
      <w:pPr>
        <w:spacing w:before="120"/>
        <w:rPr>
          <w:rFonts w:asciiTheme="minorHAnsi" w:hAnsiTheme="minorHAnsi"/>
          <w:sz w:val="22"/>
          <w:szCs w:val="22"/>
        </w:rPr>
      </w:pPr>
      <w:r w:rsidRPr="00F62144">
        <w:rPr>
          <w:rFonts w:asciiTheme="minorHAnsi" w:hAnsiTheme="minorHAnsi"/>
          <w:sz w:val="22"/>
          <w:szCs w:val="22"/>
        </w:rPr>
        <w:t xml:space="preserve">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reduction. For example, if your original </w:t>
      </w:r>
      <w:r w:rsidR="00302347" w:rsidRPr="00F62144">
        <w:rPr>
          <w:rFonts w:asciiTheme="minorHAnsi" w:hAnsiTheme="minorHAnsi"/>
          <w:sz w:val="22"/>
          <w:szCs w:val="22"/>
        </w:rPr>
        <w:t xml:space="preserve">comprehensive </w:t>
      </w:r>
      <w:r w:rsidRPr="00F62144">
        <w:rPr>
          <w:rFonts w:asciiTheme="minorHAnsi" w:hAnsiTheme="minorHAnsi"/>
          <w:sz w:val="22"/>
          <w:szCs w:val="22"/>
        </w:rPr>
        <w:t>filing’s Participant Count included employees at a division that is not covered by the plan, you would explain why the employees were erroneously counted as participants and how the error was discovered.</w:t>
      </w:r>
    </w:p>
    <w:p w14:paraId="3C8F734E" w14:textId="77777777" w:rsidR="00A65EF4" w:rsidRPr="00F62144" w:rsidRDefault="00A65EF4" w:rsidP="00F12837">
      <w:pPr>
        <w:spacing w:before="120"/>
        <w:rPr>
          <w:rFonts w:asciiTheme="minorHAnsi" w:hAnsiTheme="minorHAnsi"/>
          <w:i/>
          <w:sz w:val="22"/>
          <w:szCs w:val="22"/>
        </w:rPr>
      </w:pPr>
      <w:r w:rsidRPr="00F62144">
        <w:rPr>
          <w:rFonts w:asciiTheme="minorHAnsi" w:hAnsiTheme="minorHAnsi"/>
          <w:i/>
          <w:sz w:val="22"/>
          <w:szCs w:val="22"/>
        </w:rPr>
        <w:t>Amending a prior year’s filing</w:t>
      </w:r>
    </w:p>
    <w:p w14:paraId="66474AF4" w14:textId="77777777" w:rsidR="001B7DD4" w:rsidRPr="00793C8B" w:rsidRDefault="00F12837" w:rsidP="00F12837">
      <w:pPr>
        <w:spacing w:before="120"/>
        <w:rPr>
          <w:rFonts w:ascii="Calibri" w:hAnsi="Calibri"/>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003B5137" w:rsidRPr="00F62144">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00DA1571" w:rsidRPr="00F62144">
        <w:rPr>
          <w:rFonts w:asciiTheme="minorHAnsi" w:hAnsiTheme="minorHAnsi"/>
          <w:sz w:val="22"/>
          <w:szCs w:val="22"/>
        </w:rPr>
        <w:t xml:space="preserve"> (</w:t>
      </w:r>
      <w:r w:rsidR="00DA1571" w:rsidRPr="00F62144">
        <w:rPr>
          <w:rFonts w:asciiTheme="minorHAnsi" w:hAnsiTheme="minorHAnsi"/>
          <w:i/>
          <w:sz w:val="22"/>
          <w:szCs w:val="22"/>
        </w:rPr>
        <w:t>i.e</w:t>
      </w:r>
      <w:r w:rsidR="00DA1571" w:rsidRPr="00F62144">
        <w:rPr>
          <w:rFonts w:asciiTheme="minorHAnsi" w:hAnsiTheme="minorHAnsi"/>
          <w:sz w:val="22"/>
          <w:szCs w:val="22"/>
        </w:rPr>
        <w:t>., the filing that is being amended)</w:t>
      </w:r>
      <w:r w:rsidRPr="00F62144">
        <w:rPr>
          <w:rFonts w:asciiTheme="minorHAnsi" w:hAnsiTheme="minorHAnsi"/>
          <w:sz w:val="22"/>
          <w:szCs w:val="22"/>
        </w:rPr>
        <w:t xml:space="preserve">. Prior year instructions are available </w:t>
      </w:r>
      <w:r w:rsidR="00301F8F" w:rsidRPr="00F62144">
        <w:rPr>
          <w:rFonts w:asciiTheme="minorHAnsi" w:hAnsiTheme="minorHAnsi"/>
          <w:sz w:val="22"/>
          <w:szCs w:val="22"/>
        </w:rPr>
        <w:t xml:space="preserve">in the </w:t>
      </w:r>
      <w:r w:rsidR="00301F8F" w:rsidRPr="00B739B1">
        <w:rPr>
          <w:rFonts w:asciiTheme="minorHAnsi" w:hAnsiTheme="minorHAnsi"/>
          <w:sz w:val="22"/>
          <w:szCs w:val="22"/>
        </w:rPr>
        <w:t>“</w:t>
      </w:r>
      <w:hyperlink r:id="rId109" w:history="1">
        <w:r w:rsidR="00301F8F" w:rsidRPr="00B739B1">
          <w:rPr>
            <w:rStyle w:val="Hyperlink"/>
            <w:rFonts w:asciiTheme="minorHAnsi" w:hAnsiTheme="minorHAnsi"/>
            <w:sz w:val="22"/>
            <w:szCs w:val="22"/>
          </w:rPr>
          <w:t>Premium Payment Instructions and Addresses</w:t>
        </w:r>
      </w:hyperlink>
      <w:r w:rsidR="00301F8F" w:rsidRPr="00F62144">
        <w:rPr>
          <w:rFonts w:asciiTheme="minorHAnsi" w:hAnsiTheme="minorHAnsi"/>
          <w:sz w:val="22"/>
          <w:szCs w:val="22"/>
        </w:rPr>
        <w:t xml:space="preserve">” section of </w:t>
      </w:r>
      <w:r w:rsidR="00301F8F" w:rsidRPr="00793C8B">
        <w:rPr>
          <w:rFonts w:ascii="Calibri" w:hAnsi="Calibri"/>
          <w:sz w:val="22"/>
          <w:szCs w:val="22"/>
        </w:rPr>
        <w:t xml:space="preserve">the </w:t>
      </w:r>
      <w:hyperlink r:id="rId110" w:history="1">
        <w:r w:rsidR="00106722" w:rsidRPr="00793C8B">
          <w:rPr>
            <w:rStyle w:val="Hyperlink"/>
            <w:rFonts w:asciiTheme="minorHAnsi" w:hAnsiTheme="minorHAnsi"/>
            <w:sz w:val="22"/>
            <w:szCs w:val="22"/>
          </w:rPr>
          <w:t>Employers and Practitioners</w:t>
        </w:r>
        <w:r w:rsidR="00970850" w:rsidRPr="00793C8B">
          <w:rPr>
            <w:rStyle w:val="Hyperlink"/>
            <w:rFonts w:asciiTheme="minorHAnsi" w:hAnsiTheme="minorHAnsi"/>
            <w:sz w:val="22"/>
            <w:szCs w:val="22"/>
          </w:rPr>
          <w:t xml:space="preserve"> Page</w:t>
        </w:r>
      </w:hyperlink>
      <w:r w:rsidR="00970850" w:rsidRPr="00793C8B">
        <w:rPr>
          <w:rFonts w:ascii="Calibri" w:hAnsi="Calibri"/>
          <w:sz w:val="22"/>
          <w:szCs w:val="22"/>
        </w:rPr>
        <w:t xml:space="preserve"> </w:t>
      </w:r>
      <w:r w:rsidR="00457ACC" w:rsidRPr="00793C8B">
        <w:rPr>
          <w:rFonts w:ascii="Calibri" w:hAnsi="Calibri"/>
          <w:sz w:val="22"/>
          <w:szCs w:val="22"/>
        </w:rPr>
        <w:t>o</w:t>
      </w:r>
      <w:r w:rsidR="001B7DD4" w:rsidRPr="00793C8B">
        <w:rPr>
          <w:rFonts w:ascii="Calibri" w:hAnsi="Calibri"/>
          <w:sz w:val="22"/>
          <w:szCs w:val="22"/>
        </w:rPr>
        <w:t>f PBGC’s website.</w:t>
      </w:r>
    </w:p>
    <w:p w14:paraId="581367C1" w14:textId="77777777" w:rsidR="00F12837" w:rsidRPr="00F62144" w:rsidRDefault="0087626C" w:rsidP="00F12837">
      <w:pPr>
        <w:spacing w:before="120"/>
        <w:rPr>
          <w:rFonts w:asciiTheme="minorHAnsi" w:eastAsia="Times New Roman" w:hAnsiTheme="minorHAnsi"/>
          <w:b/>
          <w:bCs/>
          <w:sz w:val="22"/>
          <w:szCs w:val="22"/>
        </w:rPr>
      </w:pPr>
      <w:r w:rsidRPr="00F62144">
        <w:rPr>
          <w:rFonts w:asciiTheme="minorHAnsi" w:eastAsia="Times New Roman" w:hAnsiTheme="minorHAnsi"/>
          <w:b/>
          <w:bCs/>
          <w:sz w:val="22"/>
          <w:szCs w:val="22"/>
        </w:rPr>
        <w:t>Premium Credit Balances</w:t>
      </w:r>
    </w:p>
    <w:p w14:paraId="7B802D47" w14:textId="77777777" w:rsidR="00473730" w:rsidRPr="00F62144" w:rsidRDefault="000C3DC8" w:rsidP="003760B7">
      <w:pPr>
        <w:spacing w:before="120"/>
        <w:ind w:right="-36"/>
        <w:rPr>
          <w:rFonts w:asciiTheme="minorHAnsi" w:eastAsia="Times New Roman" w:hAnsiTheme="minorHAnsi"/>
          <w:sz w:val="22"/>
          <w:szCs w:val="22"/>
        </w:rPr>
      </w:pPr>
      <w:r w:rsidRPr="00F62144">
        <w:rPr>
          <w:rFonts w:asciiTheme="minorHAnsi" w:eastAsia="Times New Roman" w:hAnsiTheme="minorHAnsi"/>
          <w:sz w:val="22"/>
          <w:szCs w:val="22"/>
        </w:rPr>
        <w:t xml:space="preserve">Premium </w:t>
      </w:r>
      <w:r w:rsidR="0087626C" w:rsidRPr="00F62144">
        <w:rPr>
          <w:rFonts w:asciiTheme="minorHAnsi" w:eastAsia="Times New Roman" w:hAnsiTheme="minorHAnsi"/>
          <w:sz w:val="22"/>
          <w:szCs w:val="22"/>
        </w:rPr>
        <w:t>credit balances, whether resulting from an amended filing or any overpayment, are</w:t>
      </w:r>
      <w:r w:rsidRPr="00F62144">
        <w:rPr>
          <w:rFonts w:asciiTheme="minorHAnsi" w:eastAsia="Times New Roman" w:hAnsiTheme="minorHAnsi"/>
          <w:sz w:val="22"/>
          <w:szCs w:val="22"/>
        </w:rPr>
        <w:t xml:space="preserve"> shown on plans’ </w:t>
      </w:r>
      <w:r w:rsidR="003760B7" w:rsidRPr="00F62144">
        <w:rPr>
          <w:rFonts w:asciiTheme="minorHAnsi" w:eastAsia="Times New Roman" w:hAnsiTheme="minorHAnsi"/>
          <w:sz w:val="22"/>
          <w:szCs w:val="22"/>
        </w:rPr>
        <w:t xml:space="preserve">account </w:t>
      </w:r>
      <w:r w:rsidRPr="00F62144">
        <w:rPr>
          <w:rFonts w:asciiTheme="minorHAnsi" w:eastAsia="Times New Roman" w:hAnsiTheme="minorHAnsi"/>
          <w:sz w:val="22"/>
          <w:szCs w:val="22"/>
        </w:rPr>
        <w:t>histories</w:t>
      </w:r>
      <w:r w:rsidR="00711911" w:rsidRPr="00F62144">
        <w:rPr>
          <w:rFonts w:asciiTheme="minorHAnsi" w:eastAsia="Times New Roman" w:hAnsiTheme="minorHAnsi"/>
          <w:sz w:val="22"/>
          <w:szCs w:val="22"/>
        </w:rPr>
        <w:t xml:space="preserve"> and </w:t>
      </w:r>
      <w:r w:rsidR="0087626C" w:rsidRPr="00F62144">
        <w:rPr>
          <w:rFonts w:asciiTheme="minorHAnsi" w:eastAsia="Times New Roman" w:hAnsiTheme="minorHAnsi"/>
          <w:sz w:val="22"/>
          <w:szCs w:val="22"/>
        </w:rPr>
        <w:t xml:space="preserve">can be viewed in </w:t>
      </w:r>
      <w:r w:rsidRPr="00F62144">
        <w:rPr>
          <w:rFonts w:asciiTheme="minorHAnsi" w:eastAsia="Times New Roman" w:hAnsiTheme="minorHAnsi"/>
          <w:sz w:val="22"/>
          <w:szCs w:val="22"/>
        </w:rPr>
        <w:t xml:space="preserve">My PAA </w:t>
      </w:r>
      <w:r w:rsidR="0087626C" w:rsidRPr="00F62144">
        <w:rPr>
          <w:rFonts w:asciiTheme="minorHAnsi" w:eastAsia="Times New Roman" w:hAnsiTheme="minorHAnsi"/>
          <w:sz w:val="22"/>
          <w:szCs w:val="22"/>
        </w:rPr>
        <w:t>at any time</w:t>
      </w:r>
      <w:r w:rsidRPr="00F62144">
        <w:rPr>
          <w:rFonts w:asciiTheme="minorHAnsi" w:eastAsia="Times New Roman" w:hAnsiTheme="minorHAnsi"/>
          <w:sz w:val="22"/>
          <w:szCs w:val="22"/>
        </w:rPr>
        <w:t xml:space="preserve">. </w:t>
      </w:r>
      <w:r w:rsidR="00711911" w:rsidRPr="00F62144">
        <w:rPr>
          <w:rFonts w:asciiTheme="minorHAnsi" w:eastAsia="Times New Roman" w:hAnsiTheme="minorHAnsi"/>
          <w:sz w:val="22"/>
          <w:szCs w:val="22"/>
        </w:rPr>
        <w:t xml:space="preserve">  </w:t>
      </w:r>
      <w:r w:rsidR="003760B7" w:rsidRPr="00F62144">
        <w:rPr>
          <w:rFonts w:asciiTheme="minorHAnsi" w:eastAsia="Times New Roman" w:hAnsiTheme="minorHAnsi"/>
          <w:sz w:val="22"/>
          <w:szCs w:val="22"/>
        </w:rPr>
        <w:t xml:space="preserve">We recommend you review your plan’s account history </w:t>
      </w:r>
      <w:r w:rsidR="0087626C" w:rsidRPr="00F62144">
        <w:rPr>
          <w:rFonts w:asciiTheme="minorHAnsi" w:eastAsia="Times New Roman" w:hAnsiTheme="minorHAnsi"/>
          <w:sz w:val="22"/>
          <w:szCs w:val="22"/>
        </w:rPr>
        <w:t xml:space="preserve">before you file </w:t>
      </w:r>
      <w:r w:rsidR="003760B7" w:rsidRPr="00F62144">
        <w:rPr>
          <w:rFonts w:asciiTheme="minorHAnsi" w:eastAsia="Times New Roman" w:hAnsiTheme="minorHAnsi"/>
          <w:sz w:val="22"/>
          <w:szCs w:val="22"/>
        </w:rPr>
        <w:t>to ensure that any available credits</w:t>
      </w:r>
      <w:r w:rsidR="006C0459" w:rsidRPr="00F62144">
        <w:rPr>
          <w:rFonts w:asciiTheme="minorHAnsi" w:eastAsia="Times New Roman" w:hAnsiTheme="minorHAnsi"/>
          <w:sz w:val="22"/>
          <w:szCs w:val="22"/>
        </w:rPr>
        <w:t xml:space="preserve"> </w:t>
      </w:r>
      <w:r w:rsidR="00473730" w:rsidRPr="00F62144">
        <w:rPr>
          <w:rFonts w:asciiTheme="minorHAnsi" w:eastAsia="Times New Roman" w:hAnsiTheme="minorHAnsi"/>
          <w:sz w:val="22"/>
          <w:szCs w:val="22"/>
        </w:rPr>
        <w:t xml:space="preserve">from the prior plan year have </w:t>
      </w:r>
      <w:r w:rsidR="003760B7" w:rsidRPr="00F62144">
        <w:rPr>
          <w:rFonts w:asciiTheme="minorHAnsi" w:eastAsia="Times New Roman" w:hAnsiTheme="minorHAnsi"/>
          <w:sz w:val="22"/>
          <w:szCs w:val="22"/>
        </w:rPr>
        <w:t xml:space="preserve">been used.   </w:t>
      </w:r>
      <w:r w:rsidR="0087626C" w:rsidRPr="00F62144">
        <w:rPr>
          <w:rFonts w:asciiTheme="minorHAnsi" w:eastAsia="Times New Roman" w:hAnsiTheme="minorHAnsi"/>
          <w:sz w:val="22"/>
          <w:szCs w:val="22"/>
        </w:rPr>
        <w:t xml:space="preserve">If you </w:t>
      </w:r>
      <w:r w:rsidR="00473730" w:rsidRPr="00F62144">
        <w:rPr>
          <w:rFonts w:asciiTheme="minorHAnsi" w:eastAsia="Times New Roman" w:hAnsiTheme="minorHAnsi"/>
          <w:sz w:val="22"/>
          <w:szCs w:val="22"/>
        </w:rPr>
        <w:t xml:space="preserve">have a credit </w:t>
      </w:r>
      <w:r w:rsidR="004B5567" w:rsidRPr="00F62144">
        <w:rPr>
          <w:rFonts w:asciiTheme="minorHAnsi" w:eastAsia="Times New Roman" w:hAnsiTheme="minorHAnsi"/>
          <w:sz w:val="22"/>
          <w:szCs w:val="22"/>
        </w:rPr>
        <w:t>from two or more years prior to the Premium Payment year</w:t>
      </w:r>
      <w:r w:rsidR="00473730" w:rsidRPr="00F62144">
        <w:rPr>
          <w:rFonts w:asciiTheme="minorHAnsi" w:eastAsia="Times New Roman" w:hAnsiTheme="minorHAnsi"/>
          <w:sz w:val="22"/>
          <w:szCs w:val="22"/>
        </w:rPr>
        <w:t xml:space="preserve">, you will need to contact the Premium Customer Service Center in order to use it (See </w:t>
      </w:r>
      <w:hyperlink w:anchor="b21" w:history="1">
        <w:r w:rsidR="00473730" w:rsidRPr="00F62144">
          <w:rPr>
            <w:rStyle w:val="Hyperlink"/>
            <w:rFonts w:asciiTheme="minorHAnsi" w:eastAsia="Times New Roman" w:hAnsiTheme="minorHAnsi"/>
            <w:sz w:val="22"/>
            <w:szCs w:val="22"/>
          </w:rPr>
          <w:t>Appendix 2</w:t>
        </w:r>
      </w:hyperlink>
      <w:r w:rsidR="00473730" w:rsidRPr="00F62144">
        <w:rPr>
          <w:rFonts w:asciiTheme="minorHAnsi" w:eastAsia="Times New Roman" w:hAnsiTheme="minorHAnsi"/>
          <w:sz w:val="22"/>
          <w:szCs w:val="22"/>
        </w:rPr>
        <w:t>)</w:t>
      </w:r>
      <w:r w:rsidR="00AD1E5D" w:rsidRPr="00F62144">
        <w:rPr>
          <w:rFonts w:asciiTheme="minorHAnsi" w:eastAsia="Times New Roman" w:hAnsiTheme="minorHAnsi"/>
          <w:sz w:val="22"/>
          <w:szCs w:val="22"/>
        </w:rPr>
        <w:t>.</w:t>
      </w:r>
    </w:p>
    <w:p w14:paraId="7F55F8A5" w14:textId="77777777" w:rsidR="0031112B" w:rsidRPr="00F62144" w:rsidRDefault="0031112B" w:rsidP="0031112B">
      <w:pPr>
        <w:spacing w:before="120"/>
        <w:ind w:right="-36"/>
        <w:rPr>
          <w:rFonts w:asciiTheme="minorHAnsi" w:eastAsia="Times New Roman" w:hAnsiTheme="minorHAnsi"/>
          <w:sz w:val="22"/>
          <w:szCs w:val="22"/>
        </w:rPr>
      </w:pPr>
      <w:r w:rsidRPr="00F62144">
        <w:rPr>
          <w:rFonts w:asciiTheme="minorHAnsi" w:eastAsia="Times New Roman" w:hAnsiTheme="minorHAnsi"/>
          <w:sz w:val="22"/>
          <w:szCs w:val="22"/>
        </w:rPr>
        <w:t xml:space="preserve">Note that an overpayment for one plan cannot be applied to offset an underpayment on another plan. </w:t>
      </w:r>
    </w:p>
    <w:p w14:paraId="2030DBE3" w14:textId="77777777" w:rsidR="0080258F" w:rsidRPr="00F62144" w:rsidRDefault="0031112B" w:rsidP="00C33135">
      <w:pPr>
        <w:spacing w:before="120"/>
        <w:ind w:right="-36"/>
        <w:rPr>
          <w:rFonts w:asciiTheme="minorHAnsi" w:eastAsia="Times New Roman" w:hAnsiTheme="minorHAnsi"/>
          <w:sz w:val="22"/>
          <w:szCs w:val="22"/>
        </w:rPr>
      </w:pPr>
      <w:r w:rsidRPr="00F62144">
        <w:rPr>
          <w:rFonts w:asciiTheme="minorHAnsi" w:eastAsia="Times New Roman" w:hAnsiTheme="minorHAnsi"/>
          <w:sz w:val="22"/>
          <w:szCs w:val="22"/>
        </w:rPr>
        <w:t>A plan administrator may request that a premium credit balance be refunded or be credited against the next year’s premium. Requests must be made within the statutory limitation period (generally six years).</w:t>
      </w:r>
    </w:p>
    <w:p w14:paraId="0D705661" w14:textId="77777777" w:rsidR="00F12837" w:rsidRPr="00F62144" w:rsidRDefault="001E7851" w:rsidP="007A170C">
      <w:pPr>
        <w:rPr>
          <w:rFonts w:asciiTheme="minorHAnsi" w:hAnsiTheme="minorHAnsi"/>
          <w:b/>
          <w:sz w:val="22"/>
          <w:szCs w:val="22"/>
        </w:rPr>
      </w:pPr>
      <w:r w:rsidRPr="00F62144">
        <w:rPr>
          <w:rFonts w:asciiTheme="minorHAnsi" w:hAnsiTheme="minorHAnsi"/>
          <w:b/>
          <w:sz w:val="22"/>
          <w:szCs w:val="22"/>
        </w:rPr>
        <w:br w:type="page"/>
      </w:r>
      <w:r w:rsidR="00F12837" w:rsidRPr="00F62144">
        <w:rPr>
          <w:rFonts w:asciiTheme="minorHAnsi" w:hAnsiTheme="minorHAnsi"/>
          <w:b/>
          <w:sz w:val="22"/>
          <w:szCs w:val="22"/>
        </w:rPr>
        <w:t>Reconciling Estimates</w:t>
      </w:r>
    </w:p>
    <w:p w14:paraId="29AE8295" w14:textId="77777777" w:rsidR="006F2E15" w:rsidRPr="00F62144" w:rsidRDefault="00F12837" w:rsidP="00F12837">
      <w:pPr>
        <w:spacing w:before="120"/>
        <w:rPr>
          <w:rFonts w:asciiTheme="minorHAnsi" w:hAnsiTheme="minorHAnsi"/>
          <w:color w:val="FF0000"/>
          <w:sz w:val="22"/>
          <w:szCs w:val="22"/>
        </w:rPr>
      </w:pPr>
      <w:r w:rsidRPr="00F62144">
        <w:rPr>
          <w:rFonts w:asciiTheme="minorHAnsi" w:hAnsiTheme="minorHAnsi"/>
          <w:sz w:val="22"/>
          <w:szCs w:val="22"/>
        </w:rPr>
        <w:t xml:space="preserve">For </w:t>
      </w:r>
      <w:r w:rsidR="00B638FE" w:rsidRPr="00F62144">
        <w:rPr>
          <w:rFonts w:asciiTheme="minorHAnsi" w:hAnsiTheme="minorHAnsi"/>
          <w:sz w:val="22"/>
          <w:szCs w:val="22"/>
        </w:rPr>
        <w:t>p</w:t>
      </w:r>
      <w:r w:rsidRPr="00F62144">
        <w:rPr>
          <w:rFonts w:asciiTheme="minorHAnsi" w:hAnsiTheme="minorHAnsi"/>
          <w:sz w:val="22"/>
          <w:szCs w:val="22"/>
        </w:rPr>
        <w:t xml:space="preserve">lans that filed an estimated Variable-rate Premium, the reconciliation is made by amending the filing that included the Variable-rate Premium estimate. </w:t>
      </w:r>
      <w:r w:rsidR="007616B1" w:rsidRPr="00F62144">
        <w:rPr>
          <w:rFonts w:asciiTheme="minorHAnsi" w:hAnsiTheme="minorHAnsi"/>
          <w:sz w:val="22"/>
          <w:szCs w:val="22"/>
        </w:rPr>
        <w:t xml:space="preserve">This reconciliation filing serves to finalize a previously estimated Premium Funding Target; it does not afford an opportunity to elect </w:t>
      </w:r>
      <w:r w:rsidR="00421641" w:rsidRPr="00F62144">
        <w:rPr>
          <w:rFonts w:asciiTheme="minorHAnsi" w:hAnsiTheme="minorHAnsi"/>
          <w:sz w:val="22"/>
          <w:szCs w:val="22"/>
        </w:rPr>
        <w:t>to us</w:t>
      </w:r>
      <w:r w:rsidR="007F5459" w:rsidRPr="00F62144">
        <w:rPr>
          <w:rFonts w:asciiTheme="minorHAnsi" w:hAnsiTheme="minorHAnsi"/>
          <w:sz w:val="22"/>
          <w:szCs w:val="22"/>
        </w:rPr>
        <w:t>e</w:t>
      </w:r>
      <w:r w:rsidR="00421641" w:rsidRPr="00F62144">
        <w:rPr>
          <w:rFonts w:asciiTheme="minorHAnsi" w:hAnsiTheme="minorHAnsi"/>
          <w:sz w:val="22"/>
          <w:szCs w:val="22"/>
        </w:rPr>
        <w:t xml:space="preserve"> </w:t>
      </w:r>
      <w:r w:rsidR="007616B1" w:rsidRPr="00F62144">
        <w:rPr>
          <w:rFonts w:asciiTheme="minorHAnsi" w:hAnsiTheme="minorHAnsi"/>
          <w:sz w:val="22"/>
          <w:szCs w:val="22"/>
        </w:rPr>
        <w:t xml:space="preserve">the alternative method after the due date for such election (or to revoke a prior election after the due date for such revocation). </w:t>
      </w:r>
      <w:r w:rsidRPr="00F62144">
        <w:rPr>
          <w:rFonts w:asciiTheme="minorHAnsi" w:hAnsiTheme="minorHAnsi"/>
          <w:sz w:val="22"/>
          <w:szCs w:val="22"/>
        </w:rPr>
        <w:t xml:space="preserve">See </w:t>
      </w:r>
      <w:r w:rsidR="00D71BFC" w:rsidRPr="00F62144">
        <w:rPr>
          <w:rFonts w:asciiTheme="minorHAnsi" w:hAnsiTheme="minorHAnsi"/>
          <w:sz w:val="22"/>
          <w:szCs w:val="22"/>
        </w:rPr>
        <w:t xml:space="preserve">the instructions for item </w:t>
      </w:r>
      <w:r w:rsidR="001B574C" w:rsidRPr="00F62144">
        <w:rPr>
          <w:rFonts w:asciiTheme="minorHAnsi" w:hAnsiTheme="minorHAnsi"/>
          <w:sz w:val="22"/>
          <w:szCs w:val="22"/>
        </w:rPr>
        <w:t xml:space="preserve">7d </w:t>
      </w:r>
      <w:r w:rsidR="00D71BFC" w:rsidRPr="00F62144">
        <w:rPr>
          <w:rFonts w:asciiTheme="minorHAnsi" w:hAnsiTheme="minorHAnsi"/>
          <w:sz w:val="22"/>
          <w:szCs w:val="22"/>
        </w:rPr>
        <w:t xml:space="preserve">in the </w:t>
      </w:r>
      <w:r w:rsidRPr="00F62144">
        <w:rPr>
          <w:rFonts w:asciiTheme="minorHAnsi" w:hAnsiTheme="minorHAnsi"/>
          <w:sz w:val="22"/>
          <w:szCs w:val="22"/>
        </w:rPr>
        <w:t>“</w:t>
      </w:r>
      <w:hyperlink w:anchor="b14"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14:paraId="26D46293"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Failure to reconcile these estimates in a timely manner will result in late payment charges if the estimate to be reconciled was too low. PBGC may also assess penalties under ERISA section 4071 for failure to reconcile estimated premium filings by the reconciliation due date. </w:t>
      </w:r>
    </w:p>
    <w:p w14:paraId="3CD67014" w14:textId="77777777" w:rsidR="00F12837" w:rsidRPr="00F62144" w:rsidRDefault="00F12837" w:rsidP="00F12837">
      <w:pPr>
        <w:autoSpaceDE w:val="0"/>
        <w:autoSpaceDN w:val="0"/>
        <w:adjustRightInd w:val="0"/>
        <w:spacing w:before="120"/>
        <w:rPr>
          <w:rFonts w:asciiTheme="minorHAnsi" w:hAnsiTheme="minorHAnsi"/>
          <w:b/>
          <w:bCs/>
          <w:sz w:val="22"/>
          <w:szCs w:val="22"/>
        </w:rPr>
        <w:sectPr w:rsidR="00F12837" w:rsidRPr="00F62144" w:rsidSect="005C4FCB">
          <w:headerReference w:type="default" r:id="rId111"/>
          <w:pgSz w:w="12240" w:h="15840" w:code="1"/>
          <w:pgMar w:top="1440" w:right="1080" w:bottom="1440" w:left="1080" w:header="720" w:footer="720" w:gutter="0"/>
          <w:cols w:space="720"/>
          <w:noEndnote/>
        </w:sectPr>
      </w:pPr>
    </w:p>
    <w:p w14:paraId="09967E78" w14:textId="77777777" w:rsidR="00F12837" w:rsidRPr="00F62144" w:rsidRDefault="00F12837" w:rsidP="00F12837">
      <w:pPr>
        <w:spacing w:before="120"/>
        <w:rPr>
          <w:rFonts w:asciiTheme="minorHAnsi" w:hAnsiTheme="minorHAnsi"/>
          <w:b/>
          <w:sz w:val="22"/>
          <w:szCs w:val="22"/>
        </w:rPr>
      </w:pPr>
      <w:bookmarkStart w:id="73" w:name="toc45"/>
      <w:bookmarkEnd w:id="73"/>
      <w:r w:rsidRPr="00F62144">
        <w:rPr>
          <w:rFonts w:asciiTheme="minorHAnsi" w:hAnsiTheme="minorHAnsi"/>
          <w:b/>
          <w:sz w:val="22"/>
          <w:szCs w:val="22"/>
        </w:rPr>
        <w:t>Recordkeeping Requirements</w:t>
      </w:r>
    </w:p>
    <w:p w14:paraId="6D7E74D8"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 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14:paraId="2755659A"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participants and the amount of unfunded vested benefits on which the Variable-rate Premium is based. </w:t>
      </w:r>
      <w:r w:rsidR="007D7F33" w:rsidRPr="00F62144">
        <w:rPr>
          <w:rFonts w:asciiTheme="minorHAnsi" w:hAnsiTheme="minorHAnsi"/>
          <w:sz w:val="22"/>
          <w:szCs w:val="22"/>
        </w:rPr>
        <w:t>For this purpose, the term “records”</w:t>
      </w:r>
      <w:r w:rsidR="00172E64" w:rsidRPr="00F62144">
        <w:rPr>
          <w:rFonts w:asciiTheme="minorHAnsi" w:hAnsiTheme="minorHAnsi"/>
          <w:sz w:val="22"/>
          <w:szCs w:val="22"/>
        </w:rPr>
        <w:t xml:space="preserve"> includes, but is not limited to</w:t>
      </w:r>
      <w:r w:rsidRPr="00F62144">
        <w:rPr>
          <w:rFonts w:asciiTheme="minorHAnsi" w:hAnsiTheme="minorHAnsi"/>
          <w:sz w:val="22"/>
          <w:szCs w:val="22"/>
        </w:rPr>
        <w:t>, plan documents; participant data records; personnel and payroll records; actuarial tables, worksheets, and reports; records of computations, projections, and estimates; benefit statements, disclosures, and applications; financial and tax records; insurance contracts; records of plan procedures and practices; and any other records, whether in written, electronic, or other format, that are relevant to the determination of the amount of any premium required to be paid or any premium-related information required to be reported.</w:t>
      </w:r>
    </w:p>
    <w:p w14:paraId="1227846A" w14:textId="77777777" w:rsidR="00F12837" w:rsidRPr="00F62144" w:rsidRDefault="00761765" w:rsidP="00F12837">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 If a record to be produced for PBGC inspection and copying exists in more than one format, it must be produced in the format that PBGC specifies.</w:t>
      </w:r>
    </w:p>
    <w:p w14:paraId="110F8438" w14:textId="77777777" w:rsidR="00761765" w:rsidRPr="00F62144" w:rsidRDefault="00761765" w:rsidP="00F12837">
      <w:pPr>
        <w:spacing w:before="120"/>
        <w:rPr>
          <w:rFonts w:asciiTheme="minorHAnsi" w:hAnsiTheme="minorHAnsi"/>
          <w:b/>
          <w:sz w:val="22"/>
          <w:szCs w:val="22"/>
        </w:rPr>
      </w:pPr>
    </w:p>
    <w:p w14:paraId="1B50042E" w14:textId="77777777" w:rsidR="00F12837" w:rsidRPr="00F62144" w:rsidRDefault="00F12837" w:rsidP="00F12837">
      <w:pPr>
        <w:spacing w:before="120"/>
        <w:rPr>
          <w:rFonts w:asciiTheme="minorHAnsi" w:hAnsiTheme="minorHAnsi"/>
          <w:b/>
          <w:sz w:val="22"/>
          <w:szCs w:val="22"/>
        </w:rPr>
      </w:pPr>
      <w:r w:rsidRPr="00F62144">
        <w:rPr>
          <w:rFonts w:asciiTheme="minorHAnsi" w:hAnsiTheme="minorHAnsi"/>
          <w:b/>
          <w:sz w:val="22"/>
          <w:szCs w:val="22"/>
        </w:rPr>
        <w:t>PBGC Audits</w:t>
      </w:r>
    </w:p>
    <w:p w14:paraId="67BD1626"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14:paraId="5C07ADE8"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§4007.7 of the Premium Regulations and late payment penalty charges under §4007.8 of the Premium Regulations will apply to the unpaid balance from the premium due date to the date of payment (see “</w:t>
      </w:r>
      <w:hyperlink w:anchor="b10"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14:paraId="2DA79205"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If, in our judgment, the plan’s records fail to establish the number of participants with respect to whom premiums were required, we may rely on data we obtain from other sources (including the Internal Revenue Service and the Department of Labor) for presumptively establishing the number of plan participants for premium computation purposes. Similarly, if, in our judgment, the plan’s records fail to establish the unfunded vested benefits amount reported in the premium filing, we may rely on data we obtain from other sources for estimating the unfunded vested benefits for premium computation purposes.</w:t>
      </w:r>
    </w:p>
    <w:p w14:paraId="1099A382" w14:textId="77777777" w:rsidR="00F12837" w:rsidRPr="00F62144" w:rsidRDefault="00F12837" w:rsidP="00F1283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14:paraId="712275F6" w14:textId="77777777" w:rsidR="00F12837" w:rsidRPr="00F62144" w:rsidRDefault="00F12837" w:rsidP="00F12837">
      <w:pPr>
        <w:spacing w:before="120"/>
        <w:rPr>
          <w:rFonts w:asciiTheme="minorHAnsi" w:hAnsiTheme="minorHAnsi"/>
          <w:sz w:val="22"/>
          <w:szCs w:val="22"/>
        </w:rPr>
      </w:pPr>
    </w:p>
    <w:p w14:paraId="52143FFF"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6DE80D8C" w14:textId="77777777" w:rsidR="00F12837" w:rsidRPr="00F62144" w:rsidRDefault="00F12837" w:rsidP="00F12837">
      <w:pPr>
        <w:autoSpaceDE w:val="0"/>
        <w:autoSpaceDN w:val="0"/>
        <w:adjustRightInd w:val="0"/>
        <w:spacing w:before="120"/>
        <w:rPr>
          <w:rFonts w:asciiTheme="minorHAnsi" w:hAnsiTheme="minorHAnsi"/>
          <w:b/>
          <w:bCs/>
          <w:sz w:val="22"/>
          <w:szCs w:val="22"/>
        </w:rPr>
        <w:sectPr w:rsidR="00F12837" w:rsidRPr="00F62144" w:rsidSect="005C4FCB">
          <w:headerReference w:type="even" r:id="rId112"/>
          <w:headerReference w:type="default" r:id="rId113"/>
          <w:headerReference w:type="first" r:id="rId114"/>
          <w:pgSz w:w="12240" w:h="15840" w:code="1"/>
          <w:pgMar w:top="1440" w:right="1080" w:bottom="1440" w:left="1080" w:header="720" w:footer="720" w:gutter="0"/>
          <w:cols w:space="720"/>
          <w:noEndnote/>
        </w:sectPr>
      </w:pPr>
    </w:p>
    <w:p w14:paraId="7A5CB3FC" w14:textId="77777777" w:rsidR="00F12837" w:rsidRPr="00F62144" w:rsidRDefault="001E7851" w:rsidP="00F12837">
      <w:pPr>
        <w:autoSpaceDE w:val="0"/>
        <w:autoSpaceDN w:val="0"/>
        <w:adjustRightInd w:val="0"/>
        <w:spacing w:before="120"/>
        <w:rPr>
          <w:rFonts w:asciiTheme="minorHAnsi" w:hAnsiTheme="minorHAnsi"/>
          <w:bCs/>
          <w:sz w:val="22"/>
          <w:szCs w:val="22"/>
        </w:rPr>
      </w:pPr>
      <w:bookmarkStart w:id="74" w:name="toc46"/>
      <w:bookmarkStart w:id="75" w:name="b18"/>
      <w:bookmarkEnd w:id="74"/>
      <w:bookmarkEnd w:id="75"/>
      <w:r w:rsidRPr="00F62144">
        <w:rPr>
          <w:rFonts w:asciiTheme="minorHAnsi" w:hAnsiTheme="minorHAnsi"/>
          <w:bCs/>
          <w:sz w:val="22"/>
          <w:szCs w:val="22"/>
        </w:rPr>
        <w:t>Definitions for terms shown in capital letters throughout</w:t>
      </w:r>
      <w:r w:rsidR="00F12837" w:rsidRPr="00F62144">
        <w:rPr>
          <w:rFonts w:asciiTheme="minorHAnsi" w:hAnsiTheme="minorHAnsi"/>
          <w:bCs/>
          <w:sz w:val="22"/>
          <w:szCs w:val="22"/>
        </w:rPr>
        <w:t xml:space="preserve"> the instructions</w:t>
      </w:r>
      <w:r w:rsidRPr="00F62144">
        <w:rPr>
          <w:rFonts w:asciiTheme="minorHAnsi" w:hAnsiTheme="minorHAnsi"/>
          <w:bCs/>
          <w:sz w:val="22"/>
          <w:szCs w:val="22"/>
        </w:rPr>
        <w:t xml:space="preserve"> are shown below</w:t>
      </w:r>
      <w:r w:rsidR="00F12837" w:rsidRPr="00F62144">
        <w:rPr>
          <w:rFonts w:asciiTheme="minorHAnsi" w:hAnsiTheme="minorHAnsi"/>
          <w:bCs/>
          <w:sz w:val="22"/>
          <w:szCs w:val="22"/>
        </w:rPr>
        <w:t>.</w:t>
      </w:r>
      <w:r w:rsidRPr="00F62144">
        <w:rPr>
          <w:rFonts w:asciiTheme="minorHAnsi" w:hAnsiTheme="minorHAnsi"/>
          <w:bCs/>
          <w:sz w:val="22"/>
          <w:szCs w:val="22"/>
        </w:rPr>
        <w:t xml:space="preserve">  New or modified terms are highlighted in green for emphasis.</w:t>
      </w:r>
      <w:r w:rsidR="00F12837" w:rsidRPr="00F62144">
        <w:rPr>
          <w:rFonts w:asciiTheme="minorHAnsi" w:hAnsiTheme="minorHAnsi"/>
          <w:bCs/>
          <w:sz w:val="22"/>
          <w:szCs w:val="22"/>
        </w:rPr>
        <w:t xml:space="preserve"> </w:t>
      </w:r>
    </w:p>
    <w:p w14:paraId="5171BBC3"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b27" w:history="1">
        <w:r w:rsidRPr="00F62144">
          <w:rPr>
            <w:rStyle w:val="Hyperlink"/>
            <w:rFonts w:asciiTheme="minorHAnsi" w:hAnsiTheme="minorHAnsi"/>
            <w:b/>
            <w:sz w:val="22"/>
            <w:szCs w:val="22"/>
          </w:rPr>
          <w:t>“Premium Funding Target”</w:t>
        </w:r>
      </w:hyperlink>
    </w:p>
    <w:p w14:paraId="133D135D"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whether or not vested. 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hyperlink r:id="rId115" w:history="1">
        <w:r w:rsidRPr="00F62144">
          <w:rPr>
            <w:rStyle w:val="Hyperlink"/>
            <w:rFonts w:asciiTheme="minorHAnsi" w:hAnsiTheme="minorHAnsi"/>
            <w:sz w:val="22"/>
            <w:szCs w:val="22"/>
          </w:rPr>
          <w:t>Treasury Regulation § 1.411(a)-7(a)(1)</w:t>
        </w:r>
      </w:hyperlink>
      <w:r w:rsidRPr="00F62144">
        <w:rPr>
          <w:rFonts w:asciiTheme="minorHAnsi" w:hAnsiTheme="minorHAnsi"/>
          <w:sz w:val="22"/>
          <w:szCs w:val="22"/>
        </w:rPr>
        <w:t>).</w:t>
      </w:r>
    </w:p>
    <w:p w14:paraId="291CA35D" w14:textId="77777777" w:rsidR="0005608A" w:rsidRPr="00F62144" w:rsidRDefault="0005608A" w:rsidP="000560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14:paraId="4AB3F2B0"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transferor plans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 Thus, the plan that exists after a Consolidation follows the premium filing rules for New Plans.</w:t>
      </w:r>
    </w:p>
    <w:p w14:paraId="747223D9" w14:textId="77777777" w:rsidR="00BA393D" w:rsidRPr="00F62144" w:rsidRDefault="00BA393D" w:rsidP="00BA393D">
      <w:pPr>
        <w:autoSpaceDE w:val="0"/>
        <w:autoSpaceDN w:val="0"/>
        <w:adjustRightInd w:val="0"/>
        <w:spacing w:before="120"/>
        <w:rPr>
          <w:rFonts w:asciiTheme="minorHAnsi" w:hAnsiTheme="minorHAnsi"/>
          <w:sz w:val="22"/>
          <w:szCs w:val="22"/>
        </w:rPr>
      </w:pPr>
      <w:bookmarkStart w:id="76" w:name="b23"/>
      <w:bookmarkEnd w:id="76"/>
      <w:r w:rsidRPr="00F62144">
        <w:rPr>
          <w:rFonts w:asciiTheme="minorHAnsi" w:hAnsiTheme="minorHAnsi"/>
          <w:sz w:val="22"/>
          <w:szCs w:val="22"/>
        </w:rPr>
        <w:t>“</w:t>
      </w:r>
      <w:r w:rsidRPr="00F62144">
        <w:rPr>
          <w:rFonts w:asciiTheme="minorHAnsi" w:hAnsiTheme="minorHAnsi"/>
          <w:b/>
          <w:sz w:val="22"/>
          <w:szCs w:val="22"/>
        </w:rPr>
        <w:t>Continuation Plan</w:t>
      </w:r>
      <w:r w:rsidRPr="00F62144">
        <w:rPr>
          <w:rFonts w:asciiTheme="minorHAnsi" w:hAnsiTheme="minorHAnsi"/>
          <w:sz w:val="22"/>
          <w:szCs w:val="22"/>
        </w:rPr>
        <w:t xml:space="preserve">” means a new plan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Pr="00F62144">
        <w:rPr>
          <w:rFonts w:asciiTheme="minorHAnsi" w:hAnsiTheme="minorHAnsi"/>
          <w:i/>
          <w:sz w:val="22"/>
          <w:szCs w:val="22"/>
        </w:rPr>
        <w:t>de minimis</w:t>
      </w:r>
      <w:r w:rsidRPr="00F62144">
        <w:rPr>
          <w:rFonts w:asciiTheme="minorHAnsi" w:hAnsiTheme="minorHAnsi"/>
          <w:sz w:val="22"/>
          <w:szCs w:val="22"/>
        </w:rPr>
        <w:t xml:space="preserve"> pursuant to the regulations under section 414(l) of the Code.</w:t>
      </w:r>
    </w:p>
    <w:p w14:paraId="59D63AD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EIN</w:t>
      </w:r>
      <w:r w:rsidRPr="00F62144">
        <w:rPr>
          <w:rFonts w:asciiTheme="minorHAnsi" w:hAnsiTheme="minorHAnsi"/>
          <w:sz w:val="22"/>
          <w:szCs w:val="22"/>
        </w:rPr>
        <w:t>” means Employer Identification Number. It is always a nine-digit number assigned by the Internal Revenue Service for tax purposes.</w:t>
      </w:r>
    </w:p>
    <w:p w14:paraId="0A9BF917"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ERISA</w:t>
      </w:r>
      <w:r w:rsidRPr="00F62144">
        <w:rPr>
          <w:rFonts w:asciiTheme="minorHAnsi" w:hAnsiTheme="minorHAnsi"/>
          <w:sz w:val="22"/>
          <w:szCs w:val="22"/>
        </w:rPr>
        <w:t>” means the Employee Retirement Income Security Act of 1974, as amended (29 U.S.C. 1001 et seq.).</w:t>
      </w:r>
    </w:p>
    <w:p w14:paraId="1CAF9690" w14:textId="77777777" w:rsidR="009414CF"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“Flat-rate Premium”</w:t>
      </w:r>
      <w:r w:rsidRPr="00F62144">
        <w:rPr>
          <w:rFonts w:asciiTheme="minorHAnsi" w:hAnsiTheme="minorHAnsi"/>
          <w:sz w:val="22"/>
          <w:szCs w:val="22"/>
        </w:rPr>
        <w:t xml:space="preserve"> means the portion of the premium determined by multiplying the flat premium rate by the number of participants in the plan on the Participant Count Date. </w:t>
      </w:r>
    </w:p>
    <w:p w14:paraId="172FD66D"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Form 5500 Series</w:t>
      </w:r>
      <w:r w:rsidRPr="00F62144">
        <w:rPr>
          <w:rFonts w:asciiTheme="minorHAnsi" w:hAnsiTheme="minorHAnsi"/>
          <w:sz w:val="22"/>
          <w:szCs w:val="22"/>
        </w:rPr>
        <w:t xml:space="preserve">” means Form 5500, Annual Return/Report of Employee Benefit Plan, jointly developed by the Internal Revenue Service, the Department of Labor, and PBGC. </w:t>
      </w:r>
    </w:p>
    <w:p w14:paraId="2141CB59" w14:textId="77777777" w:rsidR="003E0F67" w:rsidRPr="00F62144" w:rsidRDefault="003E0F67" w:rsidP="003E0F6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00D4174C" w:rsidRPr="00F62144">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00D4174C" w:rsidRPr="00D4174C">
        <w:rPr>
          <w:rFonts w:asciiTheme="minorHAnsi" w:hAnsiTheme="minorHAnsi"/>
          <w:sz w:val="22"/>
          <w:szCs w:val="22"/>
        </w:rPr>
        <w:t>3(h)(2)(C)(iv)</w:t>
      </w:r>
      <w:r w:rsidRPr="00F62144">
        <w:rPr>
          <w:rFonts w:asciiTheme="minorHAnsi" w:hAnsiTheme="minorHAnsi"/>
          <w:sz w:val="22"/>
          <w:szCs w:val="22"/>
        </w:rPr>
        <w:t>.</w:t>
      </w:r>
      <w:r w:rsidRPr="00F62144">
        <w:rPr>
          <w:rFonts w:asciiTheme="minorHAnsi" w:hAnsiTheme="minorHAnsi" w:cs="Shruti"/>
          <w:sz w:val="22"/>
          <w:szCs w:val="22"/>
        </w:rPr>
        <w:t xml:space="preserve"> </w:t>
      </w:r>
      <w:r w:rsidR="00D4174C">
        <w:rPr>
          <w:rFonts w:asciiTheme="minorHAnsi" w:hAnsiTheme="minorHAnsi"/>
          <w:sz w:val="22"/>
          <w:szCs w:val="22"/>
        </w:rPr>
        <w:t xml:space="preserve"> </w:t>
      </w:r>
    </w:p>
    <w:p w14:paraId="7422CE33" w14:textId="77777777" w:rsidR="009414CF" w:rsidRPr="00F62144" w:rsidRDefault="003B487C" w:rsidP="003E0F6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009414CF"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009414CF" w:rsidRPr="00F62144">
        <w:rPr>
          <w:rFonts w:asciiTheme="minorHAnsi" w:hAnsiTheme="minorHAnsi"/>
          <w:sz w:val="22"/>
          <w:szCs w:val="22"/>
        </w:rPr>
        <w:t>ermined based on UVBs for the plan year immediately preceding the Premium Payment year instead of the Premium Payment Year.</w:t>
      </w:r>
    </w:p>
    <w:p w14:paraId="764D758E" w14:textId="77777777" w:rsidR="00501B1C" w:rsidRPr="00F62144" w:rsidRDefault="00501B1C" w:rsidP="00501B1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002E277D" w:rsidRPr="00F62144">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means the plan year immediately preceding the Premium Payment Year.</w:t>
      </w:r>
    </w:p>
    <w:p w14:paraId="14A3D2AF" w14:textId="77777777" w:rsidR="00D709F4" w:rsidRPr="00F62144" w:rsidRDefault="00502D0A" w:rsidP="00D709F4">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00D709F4"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14:paraId="6BD62E0E" w14:textId="77777777" w:rsidR="00940656" w:rsidRPr="00F62144" w:rsidRDefault="00940656" w:rsidP="007D75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003306F0" w:rsidRPr="00F62144">
        <w:rPr>
          <w:rFonts w:asciiTheme="minorHAnsi" w:hAnsiTheme="minorHAnsi"/>
          <w:sz w:val="22"/>
          <w:szCs w:val="22"/>
        </w:rPr>
        <w:t xml:space="preserve">per-participant </w:t>
      </w:r>
      <w:r w:rsidRPr="00F62144">
        <w:rPr>
          <w:rFonts w:asciiTheme="minorHAnsi" w:hAnsiTheme="minorHAnsi"/>
          <w:sz w:val="22"/>
          <w:szCs w:val="22"/>
        </w:rPr>
        <w:t xml:space="preserve">cap on the Variable-rate Premium as provided in </w:t>
      </w:r>
      <w:r w:rsidR="003306F0" w:rsidRPr="00F62144">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001E7CCF" w:rsidRPr="00F62144">
        <w:rPr>
          <w:rFonts w:asciiTheme="minorHAnsi" w:hAnsiTheme="minorHAnsi" w:cs="Shruti"/>
          <w:sz w:val="22"/>
          <w:szCs w:val="22"/>
        </w:rPr>
        <w:t>.</w:t>
      </w:r>
      <w:r w:rsidRPr="00F62144">
        <w:rPr>
          <w:rFonts w:asciiTheme="minorHAnsi" w:hAnsiTheme="minorHAnsi"/>
          <w:sz w:val="22"/>
          <w:szCs w:val="22"/>
        </w:rPr>
        <w:t xml:space="preserve"> </w:t>
      </w:r>
    </w:p>
    <w:p w14:paraId="12B1CEEB" w14:textId="77777777" w:rsidR="00F12837" w:rsidRPr="00F62144" w:rsidRDefault="00F12837" w:rsidP="0094065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transferor plan(s) become part of the </w:t>
      </w:r>
      <w:r w:rsidR="00BF1922">
        <w:rPr>
          <w:rFonts w:asciiTheme="minorHAnsi" w:hAnsiTheme="minorHAnsi"/>
          <w:sz w:val="22"/>
          <w:szCs w:val="22"/>
        </w:rPr>
        <w:t>Transferee Plan</w:t>
      </w:r>
      <w:r w:rsidRPr="00F62144">
        <w:rPr>
          <w:rFonts w:asciiTheme="minorHAnsi" w:hAnsiTheme="minorHAnsi"/>
          <w:sz w:val="22"/>
          <w:szCs w:val="22"/>
        </w:rPr>
        <w:t xml:space="preserve">). 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14:paraId="4A5BBC5A" w14:textId="77777777" w:rsidR="0055159D" w:rsidRPr="00F62144" w:rsidRDefault="0055159D">
      <w:pPr>
        <w:rPr>
          <w:rFonts w:asciiTheme="minorHAnsi" w:hAnsiTheme="minorHAnsi"/>
          <w:sz w:val="22"/>
          <w:szCs w:val="22"/>
        </w:rPr>
      </w:pPr>
      <w:r w:rsidRPr="00F62144">
        <w:rPr>
          <w:rFonts w:asciiTheme="minorHAnsi" w:hAnsiTheme="minorHAnsi"/>
          <w:sz w:val="22"/>
          <w:szCs w:val="22"/>
        </w:rPr>
        <w:br w:type="page"/>
      </w:r>
    </w:p>
    <w:p w14:paraId="3C559E44"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14:paraId="3BA55AD0"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to which more than one employer is required to contribute,</w:t>
      </w:r>
    </w:p>
    <w:p w14:paraId="5199BBAC"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14:paraId="11C194B9"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may prescribe by regulation. </w:t>
      </w:r>
    </w:p>
    <w:p w14:paraId="4A732B83"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14:paraId="3F59242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Multiple-employer plan</w:t>
      </w:r>
      <w:r w:rsidRPr="00F62144">
        <w:rPr>
          <w:rFonts w:asciiTheme="minorHAnsi" w:hAnsiTheme="minorHAnsi"/>
          <w:sz w:val="22"/>
          <w:szCs w:val="22"/>
        </w:rPr>
        <w:t xml:space="preserve">” means a plan to which more than one employer contributes that is not a Multiemployer Plan. </w:t>
      </w:r>
    </w:p>
    <w:p w14:paraId="59CD6ED2"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00301F8F" w:rsidRPr="00F62144">
        <w:rPr>
          <w:rFonts w:asciiTheme="minorHAnsi" w:hAnsiTheme="minorHAnsi"/>
          <w:sz w:val="22"/>
          <w:szCs w:val="22"/>
        </w:rPr>
        <w:t>.</w:t>
      </w:r>
    </w:p>
    <w:p w14:paraId="39214907" w14:textId="77777777" w:rsidR="00584E0C" w:rsidRPr="00F62144" w:rsidRDefault="00584E0C" w:rsidP="00584E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00E331EE" w:rsidRPr="00F62144">
        <w:rPr>
          <w:rFonts w:asciiTheme="minorHAnsi" w:hAnsiTheme="minorHAnsi"/>
          <w:sz w:val="22"/>
          <w:szCs w:val="22"/>
        </w:rPr>
        <w:t>ed</w:t>
      </w:r>
      <w:r w:rsidRPr="00F62144">
        <w:rPr>
          <w:rFonts w:asciiTheme="minorHAnsi" w:hAnsiTheme="minorHAnsi"/>
          <w:sz w:val="22"/>
          <w:szCs w:val="22"/>
        </w:rPr>
        <w:t xml:space="preserve"> Plan.</w:t>
      </w:r>
      <w:r w:rsidR="001E7851" w:rsidRPr="00F62144">
        <w:rPr>
          <w:rFonts w:asciiTheme="minorHAnsi" w:hAnsiTheme="minorHAnsi"/>
          <w:b/>
          <w:sz w:val="22"/>
          <w:szCs w:val="22"/>
        </w:rPr>
        <w:t xml:space="preserve">  </w:t>
      </w:r>
      <w:r w:rsidR="001E7851" w:rsidRPr="00F62144">
        <w:rPr>
          <w:rFonts w:asciiTheme="minorHAnsi" w:hAnsiTheme="minorHAnsi"/>
          <w:sz w:val="22"/>
          <w:szCs w:val="22"/>
        </w:rPr>
        <w:t>In some cases, the term “New and Newly Covered Plan” is used for the same purpose.</w:t>
      </w:r>
    </w:p>
    <w:p w14:paraId="4CFB6A1C" w14:textId="77777777" w:rsidR="00F12837" w:rsidRPr="00F62144" w:rsidRDefault="00F12837" w:rsidP="00584E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 Plan”</w:t>
      </w:r>
      <w:r w:rsidRPr="00F62144">
        <w:rPr>
          <w:rFonts w:asciiTheme="minorHAnsi" w:hAnsiTheme="minorHAnsi"/>
          <w:sz w:val="22"/>
          <w:szCs w:val="22"/>
        </w:rPr>
        <w:t xml:space="preserve"> means a plan that did not exist before the Premium Payment Year. This includes a plan resulting from a Consolidation or Spinoff. A plan that meets this definition is considered to be a New Plan even if the plan constitutes a successor plan within the meaning of ERISA section 4021(a).</w:t>
      </w:r>
    </w:p>
    <w:p w14:paraId="64228278" w14:textId="77777777" w:rsidR="00F12837" w:rsidRPr="00F62144" w:rsidRDefault="00F12837" w:rsidP="00501B1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0085638D" w:rsidRPr="00F62144">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00501B1C" w:rsidRPr="00F62144">
        <w:rPr>
          <w:rFonts w:asciiTheme="minorHAnsi" w:hAnsiTheme="minorHAnsi"/>
          <w:sz w:val="22"/>
          <w:szCs w:val="22"/>
        </w:rPr>
        <w:t>a plan that becomes covered by title IV of ERISA during the premium payment year and that existed as an uncovered plan immediately before the first date in the premium payment year on which it was a covered plan.</w:t>
      </w:r>
      <w:r w:rsidRPr="00F62144">
        <w:rPr>
          <w:rFonts w:asciiTheme="minorHAnsi" w:hAnsiTheme="minorHAnsi"/>
          <w:sz w:val="22"/>
          <w:szCs w:val="22"/>
        </w:rPr>
        <w:t xml:space="preserve"> </w:t>
      </w:r>
    </w:p>
    <w:p w14:paraId="1AF42EAE" w14:textId="77777777" w:rsidR="00ED28E7" w:rsidRPr="00F62144" w:rsidRDefault="00ED28E7" w:rsidP="00ED28E7">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00E47CC1" w:rsidRPr="00F62144">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00C84979" w:rsidRPr="00F62144">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00C84979" w:rsidRPr="00F62144">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  See “</w:t>
      </w:r>
      <w:hyperlink w:anchor="b1"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14:paraId="24AF9112" w14:textId="77777777" w:rsidR="00F12837" w:rsidRPr="00F62144" w:rsidRDefault="00ED28E7" w:rsidP="00ED28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 </w:t>
      </w:r>
      <w:r w:rsidR="00F12837" w:rsidRPr="00F62144">
        <w:rPr>
          <w:rFonts w:asciiTheme="minorHAnsi" w:hAnsiTheme="minorHAnsi"/>
          <w:sz w:val="22"/>
          <w:szCs w:val="22"/>
        </w:rPr>
        <w:t>“</w:t>
      </w:r>
      <w:r w:rsidR="00F12837" w:rsidRPr="00F62144">
        <w:rPr>
          <w:rFonts w:asciiTheme="minorHAnsi" w:hAnsiTheme="minorHAnsi"/>
          <w:b/>
          <w:bCs/>
          <w:sz w:val="22"/>
          <w:szCs w:val="22"/>
        </w:rPr>
        <w:t>Participant”</w:t>
      </w:r>
      <w:r w:rsidR="00F12837" w:rsidRPr="00F62144">
        <w:rPr>
          <w:rFonts w:asciiTheme="minorHAnsi" w:hAnsiTheme="minorHAnsi"/>
          <w:bCs/>
          <w:sz w:val="22"/>
          <w:szCs w:val="22"/>
        </w:rPr>
        <w:t xml:space="preserve"> of a plan means</w:t>
      </w:r>
      <w:r w:rsidR="00F12837" w:rsidRPr="00F62144">
        <w:rPr>
          <w:rFonts w:asciiTheme="minorHAnsi" w:hAnsiTheme="minorHAnsi"/>
          <w:b/>
          <w:bCs/>
          <w:sz w:val="22"/>
          <w:szCs w:val="22"/>
        </w:rPr>
        <w:t xml:space="preserve"> </w:t>
      </w:r>
      <w:r w:rsidR="00F12837" w:rsidRPr="00F62144">
        <w:rPr>
          <w:rFonts w:asciiTheme="minorHAnsi" w:hAnsiTheme="minorHAnsi"/>
          <w:sz w:val="22"/>
          <w:szCs w:val="22"/>
        </w:rPr>
        <w:t>an individual (whether active, inactive, retired, or deceased) with respect to whom the plan has Benefit Liabilities. See “</w:t>
      </w:r>
      <w:hyperlink w:anchor="b4" w:history="1">
        <w:r w:rsidR="00F12837" w:rsidRPr="00F62144">
          <w:rPr>
            <w:rStyle w:val="Hyperlink"/>
            <w:rFonts w:asciiTheme="minorHAnsi" w:hAnsiTheme="minorHAnsi"/>
            <w:sz w:val="22"/>
            <w:szCs w:val="22"/>
          </w:rPr>
          <w:t>How to Count Participants</w:t>
        </w:r>
      </w:hyperlink>
      <w:r w:rsidR="00F12837" w:rsidRPr="00F62144">
        <w:rPr>
          <w:rFonts w:asciiTheme="minorHAnsi" w:hAnsiTheme="minorHAnsi"/>
          <w:sz w:val="22"/>
          <w:szCs w:val="22"/>
        </w:rPr>
        <w:t>” section for more information.</w:t>
      </w:r>
    </w:p>
    <w:p w14:paraId="7E5D1A6E"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means the number of participants on the Participant Count Date. See “</w:t>
      </w:r>
      <w:hyperlink w:anchor="b4"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14:paraId="54CBE552"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means the date on which participants are counted for purposes of determining the Flat-rate Premium</w:t>
      </w:r>
      <w:r w:rsidR="001405C5" w:rsidRPr="00F62144">
        <w:rPr>
          <w:rFonts w:asciiTheme="minorHAnsi" w:hAnsiTheme="minorHAnsi"/>
          <w:sz w:val="22"/>
          <w:szCs w:val="22"/>
        </w:rPr>
        <w:t>, the MAP-21 CAP on the Variable-rate Premium</w:t>
      </w:r>
      <w:r w:rsidR="00147CD9" w:rsidRPr="00F62144">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001405C5" w:rsidRPr="00F62144">
        <w:rPr>
          <w:rFonts w:asciiTheme="minorHAnsi" w:hAnsiTheme="minorHAnsi"/>
          <w:sz w:val="22"/>
          <w:szCs w:val="22"/>
        </w:rPr>
        <w:t>Small Employer C</w:t>
      </w:r>
      <w:r w:rsidRPr="00F62144">
        <w:rPr>
          <w:rFonts w:asciiTheme="minorHAnsi" w:hAnsiTheme="minorHAnsi"/>
          <w:sz w:val="22"/>
          <w:szCs w:val="22"/>
        </w:rPr>
        <w:t>ap on the Variable-rate Premium. In general, it is the last day of the plan year preceding the Premium Payment Year, but there are some exceptions. See “</w:t>
      </w:r>
      <w:hyperlink w:anchor="b4"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14:paraId="2D296244"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14:paraId="27AB9EA0"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14:paraId="7DF12462" w14:textId="77777777" w:rsidR="00F12837" w:rsidRPr="00F62144" w:rsidRDefault="00F12837" w:rsidP="00023A8E">
      <w:pPr>
        <w:numPr>
          <w:ilvl w:val="0"/>
          <w:numId w:val="1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14:paraId="270DAFA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14:paraId="53184A72" w14:textId="77777777" w:rsidR="0055159D" w:rsidRPr="00F62144" w:rsidRDefault="0055159D">
      <w:pPr>
        <w:rPr>
          <w:rFonts w:asciiTheme="minorHAnsi" w:hAnsiTheme="minorHAnsi"/>
          <w:sz w:val="22"/>
          <w:szCs w:val="22"/>
        </w:rPr>
      </w:pPr>
      <w:r w:rsidRPr="00F62144">
        <w:rPr>
          <w:rFonts w:asciiTheme="minorHAnsi" w:hAnsiTheme="minorHAnsi"/>
          <w:sz w:val="22"/>
          <w:szCs w:val="22"/>
        </w:rPr>
        <w:br w:type="page"/>
      </w:r>
    </w:p>
    <w:p w14:paraId="65ECDAC4"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14:paraId="4A918BDC" w14:textId="77777777" w:rsidR="00F12837" w:rsidRPr="00F62144" w:rsidRDefault="00F12837"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14:paraId="4CAF5E06" w14:textId="77777777" w:rsidR="00F12837" w:rsidRPr="00F62144" w:rsidRDefault="00F12837" w:rsidP="00023A8E">
      <w:pPr>
        <w:numPr>
          <w:ilvl w:val="0"/>
          <w:numId w:val="2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14:paraId="7EB6E39E" w14:textId="77777777" w:rsidR="00F12837" w:rsidRPr="00F62144" w:rsidRDefault="00F12837" w:rsidP="00023A8E">
      <w:pPr>
        <w:numPr>
          <w:ilvl w:val="0"/>
          <w:numId w:val="2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14:paraId="494723A0" w14:textId="77777777" w:rsidR="00F12837" w:rsidRPr="00F62144" w:rsidRDefault="00F12837" w:rsidP="00023A8E">
      <w:pPr>
        <w:numPr>
          <w:ilvl w:val="0"/>
          <w:numId w:val="2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not all in a single controlled group, the Plan Sponsor is determined as follows: first identify the controlled group, or contributing sponsor that is not in a controlled group, that has the most participants in the plan. If you identify a contributing sponsor that is not in a controlled group, the Plan Sponsor is that contributing sponsor. But if you identify a controlled group, then the Plan Sponsor is the parent of that controlled group or, if there is no parent, the largest member of that controlled group (whether or not the parent or largest member is a contributing sponsor).</w:t>
      </w:r>
    </w:p>
    <w:p w14:paraId="492E9B73" w14:textId="77777777" w:rsidR="00F12837" w:rsidRPr="00F62144" w:rsidRDefault="00F12837"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14:paraId="1C0E5AF4"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 The employer maintaining the plan assigns this number to distinguish among employee benefit plans established or maintained by the same employer. An employer usually starts numbering pension plans at “001” and uses consecutive Plan Numbers for each additional plan. Once a PN is assigned, always use it to identify the same plan. If a plan is terminated, retire the PN</w:t>
      </w:r>
      <w:r w:rsidR="00E0799B" w:rsidRPr="00F62144">
        <w:rPr>
          <w:rFonts w:asciiTheme="minorHAnsi" w:hAnsiTheme="minorHAnsi"/>
          <w:sz w:val="22"/>
          <w:szCs w:val="22"/>
        </w:rPr>
        <w:t xml:space="preserve"> </w:t>
      </w:r>
      <w:r w:rsidRPr="00F62144">
        <w:rPr>
          <w:rFonts w:asciiTheme="minorHAnsi" w:hAnsiTheme="minorHAnsi"/>
          <w:sz w:val="22"/>
          <w:szCs w:val="22"/>
        </w:rPr>
        <w:t>—</w:t>
      </w:r>
      <w:r w:rsidR="00E0799B" w:rsidRPr="00F62144">
        <w:rPr>
          <w:rFonts w:asciiTheme="minorHAnsi" w:hAnsiTheme="minorHAnsi"/>
          <w:sz w:val="22"/>
          <w:szCs w:val="22"/>
        </w:rPr>
        <w:t xml:space="preserve"> </w:t>
      </w:r>
      <w:r w:rsidRPr="00F62144">
        <w:rPr>
          <w:rFonts w:asciiTheme="minorHAnsi" w:hAnsiTheme="minorHAnsi"/>
          <w:sz w:val="22"/>
          <w:szCs w:val="22"/>
        </w:rPr>
        <w:t>do not use it for another plan.</w:t>
      </w:r>
    </w:p>
    <w:p w14:paraId="6DC403C0" w14:textId="77777777" w:rsidR="00F12837" w:rsidRPr="00F62144" w:rsidRDefault="00F12837" w:rsidP="00F12837">
      <w:pPr>
        <w:autoSpaceDE w:val="0"/>
        <w:autoSpaceDN w:val="0"/>
        <w:adjustRightInd w:val="0"/>
        <w:spacing w:before="120"/>
        <w:rPr>
          <w:rFonts w:asciiTheme="minorHAnsi" w:hAnsiTheme="minorHAnsi"/>
          <w:sz w:val="22"/>
          <w:szCs w:val="22"/>
        </w:rPr>
      </w:pPr>
      <w:bookmarkStart w:id="77" w:name="b27"/>
      <w:bookmarkEnd w:id="77"/>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 This is similar to the funding target that is used to determine the minimum funding requirement except that only vested benef</w:t>
      </w:r>
      <w:r w:rsidR="008B1133" w:rsidRPr="00F62144">
        <w:rPr>
          <w:rFonts w:asciiTheme="minorHAnsi" w:hAnsiTheme="minorHAnsi"/>
          <w:sz w:val="22"/>
          <w:szCs w:val="22"/>
        </w:rPr>
        <w:t>its are taken into account. The discount rate</w:t>
      </w:r>
      <w:r w:rsidR="00E331EE" w:rsidRPr="00F62144">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14:paraId="13D0D709" w14:textId="77777777" w:rsidR="00F12837" w:rsidRPr="00F62144" w:rsidRDefault="00F12837"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00F37F9A" w:rsidRPr="00F62144">
        <w:rPr>
          <w:rFonts w:asciiTheme="minorHAnsi" w:hAnsiTheme="minorHAnsi"/>
          <w:sz w:val="22"/>
          <w:szCs w:val="22"/>
        </w:rPr>
        <w:t xml:space="preserve">determined </w:t>
      </w:r>
      <w:r w:rsidRPr="00F62144">
        <w:rPr>
          <w:rFonts w:asciiTheme="minorHAnsi" w:hAnsiTheme="minorHAnsi"/>
          <w:sz w:val="22"/>
          <w:szCs w:val="22"/>
        </w:rPr>
        <w:t>using the ERISA section 4006(a)(3)(E)(iv)</w:t>
      </w:r>
      <w:r w:rsidR="008B1133" w:rsidRPr="00F62144">
        <w:rPr>
          <w:rFonts w:asciiTheme="minorHAnsi" w:hAnsiTheme="minorHAnsi"/>
          <w:sz w:val="22"/>
          <w:szCs w:val="22"/>
        </w:rPr>
        <w:t xml:space="preserve"> segment rates</w:t>
      </w:r>
      <w:r w:rsidRPr="00F62144">
        <w:rPr>
          <w:rFonts w:asciiTheme="minorHAnsi" w:hAnsiTheme="minorHAnsi"/>
          <w:sz w:val="22"/>
          <w:szCs w:val="22"/>
        </w:rPr>
        <w:t>.</w:t>
      </w:r>
    </w:p>
    <w:p w14:paraId="4DD63887" w14:textId="77777777" w:rsidR="00F37F9A" w:rsidRPr="00F62144" w:rsidRDefault="00F12837"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00F37F9A" w:rsidRPr="00F62144">
        <w:rPr>
          <w:rFonts w:asciiTheme="minorHAnsi" w:hAnsiTheme="minorHAnsi"/>
          <w:sz w:val="22"/>
          <w:szCs w:val="22"/>
        </w:rPr>
        <w:t>determined us</w:t>
      </w:r>
      <w:r w:rsidRPr="00F62144">
        <w:rPr>
          <w:rFonts w:asciiTheme="minorHAnsi" w:hAnsiTheme="minorHAnsi"/>
          <w:sz w:val="22"/>
          <w:szCs w:val="22"/>
        </w:rPr>
        <w:t xml:space="preserve">ing </w:t>
      </w:r>
      <w:r w:rsidR="00F37F9A" w:rsidRPr="00F62144">
        <w:rPr>
          <w:rFonts w:asciiTheme="minorHAnsi" w:hAnsiTheme="minorHAnsi"/>
          <w:sz w:val="22"/>
          <w:szCs w:val="22"/>
        </w:rPr>
        <w:t>ERISA section 303 (i.e.</w:t>
      </w:r>
      <w:r w:rsidR="00381D87" w:rsidRPr="00F62144">
        <w:rPr>
          <w:rFonts w:asciiTheme="minorHAnsi" w:hAnsiTheme="minorHAnsi"/>
          <w:sz w:val="22"/>
          <w:szCs w:val="22"/>
        </w:rPr>
        <w:t>,</w:t>
      </w:r>
      <w:r w:rsidR="00F37F9A" w:rsidRPr="00F62144">
        <w:rPr>
          <w:rFonts w:asciiTheme="minorHAnsi" w:hAnsiTheme="minorHAnsi"/>
          <w:sz w:val="22"/>
          <w:szCs w:val="22"/>
        </w:rPr>
        <w:t xml:space="preserve"> funding) discount </w:t>
      </w:r>
      <w:r w:rsidR="00147CD9" w:rsidRPr="00F62144">
        <w:rPr>
          <w:rFonts w:asciiTheme="minorHAnsi" w:hAnsiTheme="minorHAnsi"/>
          <w:sz w:val="22"/>
          <w:szCs w:val="22"/>
        </w:rPr>
        <w:t>rates,</w:t>
      </w:r>
      <w:r w:rsidR="009414CF" w:rsidRPr="00F62144">
        <w:rPr>
          <w:rFonts w:asciiTheme="minorHAnsi" w:hAnsiTheme="minorHAnsi"/>
          <w:sz w:val="22"/>
          <w:szCs w:val="22"/>
        </w:rPr>
        <w:t xml:space="preserve"> but without regard to the MAP-21 Stabilization Rules</w:t>
      </w:r>
      <w:r w:rsidRPr="00F62144">
        <w:rPr>
          <w:rFonts w:asciiTheme="minorHAnsi" w:hAnsiTheme="minorHAnsi"/>
          <w:sz w:val="22"/>
          <w:szCs w:val="22"/>
        </w:rPr>
        <w:t>. See “</w:t>
      </w:r>
      <w:hyperlink w:anchor="b9"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xml:space="preserve">” section for additional information related to the election and use of the Alternative Premium Funding Target. </w:t>
      </w:r>
      <w:r w:rsidR="00C84979" w:rsidRPr="00F62144">
        <w:rPr>
          <w:rFonts w:asciiTheme="minorHAnsi" w:hAnsiTheme="minorHAnsi"/>
          <w:sz w:val="22"/>
          <w:szCs w:val="22"/>
        </w:rPr>
        <w:t xml:space="preserve"> </w:t>
      </w:r>
    </w:p>
    <w:p w14:paraId="2E437F17"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xml:space="preserve">” means the plan year for which the premium is being paid.  For example, since this document relates to premium filings for plan years beginning in </w:t>
      </w:r>
      <w:r w:rsidR="00AE348E">
        <w:rPr>
          <w:rFonts w:asciiTheme="minorHAnsi" w:hAnsiTheme="minorHAnsi"/>
          <w:sz w:val="22"/>
          <w:szCs w:val="22"/>
        </w:rPr>
        <w:t>2018</w:t>
      </w:r>
      <w:r w:rsidRPr="00F62144">
        <w:rPr>
          <w:rFonts w:asciiTheme="minorHAnsi" w:hAnsiTheme="minorHAnsi"/>
          <w:sz w:val="22"/>
          <w:szCs w:val="22"/>
        </w:rPr>
        <w:t xml:space="preserve">, all references to “Premium Payment Year” relate to plan years beginning in </w:t>
      </w:r>
      <w:r w:rsidR="00AE348E">
        <w:rPr>
          <w:rFonts w:asciiTheme="minorHAnsi" w:hAnsiTheme="minorHAnsi"/>
          <w:sz w:val="22"/>
          <w:szCs w:val="22"/>
        </w:rPr>
        <w:t>2018</w:t>
      </w:r>
      <w:r w:rsidRPr="00F62144">
        <w:rPr>
          <w:rFonts w:asciiTheme="minorHAnsi" w:hAnsiTheme="minorHAnsi"/>
          <w:sz w:val="22"/>
          <w:szCs w:val="22"/>
        </w:rPr>
        <w:t>.</w:t>
      </w:r>
    </w:p>
    <w:p w14:paraId="6E6F6C58"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 The premium filing procedures (including the My PAA electronic filing application, paper instructions, and forms) are prescribed under and implement the Premium Regulations.</w:t>
      </w:r>
    </w:p>
    <w:p w14:paraId="439C67C0"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Schedule SB</w:t>
      </w:r>
      <w:r w:rsidRPr="00F62144">
        <w:rPr>
          <w:rFonts w:asciiTheme="minorHAnsi" w:hAnsiTheme="minorHAnsi"/>
          <w:sz w:val="22"/>
          <w:szCs w:val="22"/>
        </w:rPr>
        <w:t>” means Schedule SB to the Form 5500 Series.</w:t>
      </w:r>
    </w:p>
    <w:p w14:paraId="62450D49"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 A Single-employer Plan includes a Multiple-employer Plan. For purposes of determining whether a plan is a Multiemployer Plan or a Single-employer Plan, all trades or businesses (whether or not incorporated) that are under common control are considered to be one employer.</w:t>
      </w:r>
    </w:p>
    <w:p w14:paraId="0E1B8FE0" w14:textId="77777777" w:rsidR="00723074" w:rsidRPr="00F62144" w:rsidRDefault="00723074" w:rsidP="00723074">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00C84979" w:rsidRPr="00F62144">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00843F26" w:rsidRPr="00F62144">
        <w:rPr>
          <w:rFonts w:asciiTheme="minorHAnsi" w:hAnsiTheme="minorHAnsi"/>
          <w:sz w:val="22"/>
          <w:szCs w:val="22"/>
        </w:rPr>
        <w:t>the maximum Variable-rate Premium due for certain plans of small employers, generally employers with 25 or fewer employees.</w:t>
      </w:r>
      <w:r w:rsidR="00A9667A" w:rsidRPr="00F62144">
        <w:rPr>
          <w:rFonts w:asciiTheme="minorHAnsi" w:hAnsiTheme="minorHAnsi"/>
          <w:sz w:val="22"/>
          <w:szCs w:val="22"/>
        </w:rPr>
        <w:t xml:space="preserve">  For these plans, the maximum Variable-rate Premium is </w:t>
      </w:r>
      <w:r w:rsidR="0001692D" w:rsidRPr="00F62144">
        <w:rPr>
          <w:rFonts w:asciiTheme="minorHAnsi" w:hAnsiTheme="minorHAnsi"/>
          <w:sz w:val="22"/>
          <w:szCs w:val="22"/>
        </w:rPr>
        <w:t xml:space="preserve">the </w:t>
      </w:r>
      <w:r w:rsidR="00A9667A" w:rsidRPr="00F62144">
        <w:rPr>
          <w:rFonts w:asciiTheme="minorHAnsi" w:hAnsiTheme="minorHAnsi"/>
          <w:sz w:val="22"/>
          <w:szCs w:val="22"/>
        </w:rPr>
        <w:t>product of $5 and the Participant Count squared.</w:t>
      </w:r>
    </w:p>
    <w:p w14:paraId="526B3C7F" w14:textId="77777777" w:rsidR="00BA393D" w:rsidRPr="00F62144" w:rsidRDefault="00BA393D" w:rsidP="00BA393D">
      <w:pPr>
        <w:autoSpaceDE w:val="0"/>
        <w:autoSpaceDN w:val="0"/>
        <w:adjustRightInd w:val="0"/>
        <w:spacing w:before="120"/>
        <w:rPr>
          <w:rFonts w:asciiTheme="minorHAnsi" w:hAnsiTheme="minorHAnsi"/>
          <w:b/>
          <w:sz w:val="22"/>
          <w:szCs w:val="22"/>
        </w:rPr>
      </w:pPr>
      <w:bookmarkStart w:id="78" w:name="b22"/>
      <w:bookmarkEnd w:id="78"/>
      <w:r w:rsidRPr="00F62144">
        <w:rPr>
          <w:rFonts w:asciiTheme="minorHAnsi" w:hAnsiTheme="minorHAnsi"/>
          <w:b/>
          <w:sz w:val="22"/>
          <w:szCs w:val="22"/>
        </w:rPr>
        <w:t xml:space="preserve">“Small Plan” </w:t>
      </w:r>
      <w:r w:rsidRPr="00F62144">
        <w:rPr>
          <w:rFonts w:asciiTheme="minorHAnsi" w:hAnsiTheme="minorHAnsi"/>
          <w:sz w:val="22"/>
          <w:szCs w:val="22"/>
        </w:rPr>
        <w:t>means a plan:</w:t>
      </w:r>
    </w:p>
    <w:p w14:paraId="76FCAFD9" w14:textId="77777777" w:rsidR="00BA393D" w:rsidRPr="00F62144" w:rsidRDefault="00BA393D"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14:paraId="56F2FE42" w14:textId="77777777" w:rsidR="00BA393D" w:rsidRPr="00F62144" w:rsidRDefault="00BA393D"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00C84979" w:rsidRPr="00F62144">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14:paraId="43110F81"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transferor plan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 xml:space="preserve">. 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transferor plan.</w:t>
      </w:r>
    </w:p>
    <w:p w14:paraId="008CA66D" w14:textId="77777777" w:rsidR="00F12837" w:rsidRPr="00F62144" w:rsidRDefault="00F12837" w:rsidP="00F1283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b27" w:history="1">
        <w:r w:rsidRPr="00F62144">
          <w:rPr>
            <w:rStyle w:val="Hyperlink"/>
            <w:rFonts w:asciiTheme="minorHAnsi" w:hAnsiTheme="minorHAnsi"/>
            <w:b/>
            <w:sz w:val="22"/>
            <w:szCs w:val="22"/>
          </w:rPr>
          <w:t>“Premium Funding Target”</w:t>
        </w:r>
      </w:hyperlink>
    </w:p>
    <w:p w14:paraId="2ED95FEB" w14:textId="77777777" w:rsidR="00355E48" w:rsidRPr="00BF1922" w:rsidRDefault="00355E48" w:rsidP="00F1283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008C7F5C" w:rsidRPr="00BF1922">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00C0451D" w:rsidRPr="00BF1922">
        <w:rPr>
          <w:rFonts w:asciiTheme="minorHAnsi" w:hAnsiTheme="minorHAnsi"/>
          <w:sz w:val="22"/>
          <w:szCs w:val="22"/>
        </w:rPr>
        <w:t xml:space="preserve">pinoff, </w:t>
      </w:r>
      <w:r w:rsidR="00E857DB">
        <w:rPr>
          <w:rFonts w:asciiTheme="minorHAnsi" w:hAnsiTheme="minorHAnsi"/>
          <w:sz w:val="22"/>
          <w:szCs w:val="22"/>
        </w:rPr>
        <w:t>M</w:t>
      </w:r>
      <w:r w:rsidR="00C0451D" w:rsidRPr="00BF1922">
        <w:rPr>
          <w:rFonts w:asciiTheme="minorHAnsi" w:hAnsiTheme="minorHAnsi"/>
          <w:sz w:val="22"/>
          <w:szCs w:val="22"/>
        </w:rPr>
        <w:t xml:space="preserve">erger, or </w:t>
      </w:r>
      <w:r w:rsidR="00E857DB">
        <w:rPr>
          <w:rFonts w:asciiTheme="minorHAnsi" w:hAnsiTheme="minorHAnsi"/>
          <w:sz w:val="22"/>
          <w:szCs w:val="22"/>
        </w:rPr>
        <w:t>C</w:t>
      </w:r>
      <w:r w:rsidR="00C0451D" w:rsidRPr="00BF1922">
        <w:rPr>
          <w:rFonts w:asciiTheme="minorHAnsi" w:hAnsiTheme="minorHAnsi"/>
          <w:sz w:val="22"/>
          <w:szCs w:val="22"/>
        </w:rPr>
        <w:t>onsolidation).</w:t>
      </w:r>
    </w:p>
    <w:p w14:paraId="64417650" w14:textId="77777777" w:rsidR="00C0451D" w:rsidRPr="00BF1922" w:rsidRDefault="00355E48" w:rsidP="00C0451D">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00BF1922" w:rsidRPr="00BF1922">
        <w:rPr>
          <w:rFonts w:asciiTheme="minorHAnsi" w:hAnsiTheme="minorHAnsi"/>
          <w:sz w:val="22"/>
          <w:szCs w:val="22"/>
        </w:rPr>
        <w:t>s a</w:t>
      </w:r>
      <w:r w:rsidR="00C0451D"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00C0451D" w:rsidRPr="00BF1922">
        <w:rPr>
          <w:rFonts w:asciiTheme="minorHAnsi" w:hAnsiTheme="minorHAnsi"/>
          <w:sz w:val="22"/>
          <w:szCs w:val="22"/>
        </w:rPr>
        <w:t xml:space="preserve">pinoff, </w:t>
      </w:r>
      <w:r w:rsidR="00E857DB">
        <w:rPr>
          <w:rFonts w:asciiTheme="minorHAnsi" w:hAnsiTheme="minorHAnsi"/>
          <w:sz w:val="22"/>
          <w:szCs w:val="22"/>
        </w:rPr>
        <w:t>M</w:t>
      </w:r>
      <w:r w:rsidR="00C0451D" w:rsidRPr="00BF1922">
        <w:rPr>
          <w:rFonts w:asciiTheme="minorHAnsi" w:hAnsiTheme="minorHAnsi"/>
          <w:sz w:val="22"/>
          <w:szCs w:val="22"/>
        </w:rPr>
        <w:t xml:space="preserve">erger, or </w:t>
      </w:r>
      <w:r w:rsidR="00E857DB">
        <w:rPr>
          <w:rFonts w:asciiTheme="minorHAnsi" w:hAnsiTheme="minorHAnsi"/>
          <w:sz w:val="22"/>
          <w:szCs w:val="22"/>
        </w:rPr>
        <w:t>C</w:t>
      </w:r>
      <w:r w:rsidR="00C0451D" w:rsidRPr="00BF1922">
        <w:rPr>
          <w:rFonts w:asciiTheme="minorHAnsi" w:hAnsiTheme="minorHAnsi"/>
          <w:sz w:val="22"/>
          <w:szCs w:val="22"/>
        </w:rPr>
        <w:t>onsolidation).</w:t>
      </w:r>
    </w:p>
    <w:p w14:paraId="3E64CC64" w14:textId="77777777" w:rsidR="004D632D"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004D632D" w:rsidRPr="00F62144">
        <w:rPr>
          <w:rFonts w:asciiTheme="minorHAnsi" w:hAnsiTheme="minorHAnsi"/>
          <w:sz w:val="22"/>
          <w:szCs w:val="22"/>
        </w:rPr>
        <w:t xml:space="preserve">date on which UVBs are determined.  This date is the </w:t>
      </w:r>
      <w:r w:rsidRPr="00F62144">
        <w:rPr>
          <w:rFonts w:asciiTheme="minorHAnsi" w:hAnsiTheme="minorHAnsi"/>
          <w:sz w:val="22"/>
          <w:szCs w:val="22"/>
        </w:rPr>
        <w:t xml:space="preserve">plan’s funding valuation date </w:t>
      </w:r>
      <w:r w:rsidR="004D632D"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004D632D" w:rsidRPr="00F62144">
        <w:rPr>
          <w:rFonts w:asciiTheme="minorHAnsi" w:hAnsiTheme="minorHAnsi"/>
          <w:sz w:val="22"/>
          <w:szCs w:val="22"/>
        </w:rPr>
        <w:t>:</w:t>
      </w:r>
    </w:p>
    <w:p w14:paraId="3C01FB16" w14:textId="77777777" w:rsidR="004D632D" w:rsidRPr="00F62144" w:rsidRDefault="004D632D"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00193E5D" w:rsidRPr="00F62144">
        <w:rPr>
          <w:rFonts w:asciiTheme="minorHAnsi" w:hAnsiTheme="minorHAnsi"/>
          <w:sz w:val="22"/>
          <w:szCs w:val="22"/>
        </w:rPr>
        <w:t>using</w:t>
      </w:r>
      <w:r w:rsidRPr="00F62144">
        <w:rPr>
          <w:rFonts w:asciiTheme="minorHAnsi" w:hAnsiTheme="minorHAnsi"/>
          <w:sz w:val="22"/>
          <w:szCs w:val="22"/>
        </w:rPr>
        <w:t xml:space="preserve"> the Lookback Rule, the Lookback Year, or</w:t>
      </w:r>
    </w:p>
    <w:p w14:paraId="330A3DE7" w14:textId="77777777" w:rsidR="00F12837" w:rsidRPr="00F62144" w:rsidRDefault="004D632D" w:rsidP="00023A8E">
      <w:pPr>
        <w:numPr>
          <w:ilvl w:val="0"/>
          <w:numId w:val="20"/>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00F12837" w:rsidRPr="00F62144">
        <w:rPr>
          <w:rFonts w:asciiTheme="minorHAnsi" w:hAnsiTheme="minorHAnsi"/>
          <w:sz w:val="22"/>
          <w:szCs w:val="22"/>
        </w:rPr>
        <w:t>Premium Payment Year</w:t>
      </w:r>
      <w:r w:rsidRPr="00F62144">
        <w:rPr>
          <w:rFonts w:asciiTheme="minorHAnsi" w:hAnsiTheme="minorHAnsi"/>
          <w:sz w:val="22"/>
          <w:szCs w:val="22"/>
        </w:rPr>
        <w:t>.</w:t>
      </w:r>
      <w:r w:rsidR="00F12837" w:rsidRPr="00F62144">
        <w:rPr>
          <w:rFonts w:asciiTheme="minorHAnsi" w:hAnsiTheme="minorHAnsi"/>
          <w:sz w:val="22"/>
          <w:szCs w:val="22"/>
        </w:rPr>
        <w:t xml:space="preserve"> </w:t>
      </w:r>
    </w:p>
    <w:p w14:paraId="2AF5A8A0" w14:textId="77777777" w:rsidR="00410770" w:rsidRPr="00F62144" w:rsidRDefault="00410770" w:rsidP="004D632D">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004D632D" w:rsidRPr="00F62144">
        <w:rPr>
          <w:rFonts w:asciiTheme="minorHAnsi" w:hAnsiTheme="minorHAnsi"/>
          <w:sz w:val="22"/>
          <w:szCs w:val="22"/>
        </w:rPr>
        <w:t xml:space="preserve"> is based.  </w:t>
      </w:r>
    </w:p>
    <w:p w14:paraId="2D52D692" w14:textId="77777777" w:rsidR="009414CF" w:rsidRPr="00F62144" w:rsidRDefault="00410770" w:rsidP="00410770">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00F12837" w:rsidRPr="00F62144">
        <w:rPr>
          <w:rFonts w:asciiTheme="minorHAnsi" w:hAnsiTheme="minorHAnsi"/>
          <w:b/>
          <w:sz w:val="22"/>
          <w:szCs w:val="22"/>
        </w:rPr>
        <w:t>“Variable-rate Premium”</w:t>
      </w:r>
      <w:r w:rsidR="00F12837" w:rsidRPr="00F62144">
        <w:rPr>
          <w:rFonts w:asciiTheme="minorHAnsi" w:hAnsiTheme="minorHAnsi"/>
          <w:sz w:val="22"/>
          <w:szCs w:val="22"/>
        </w:rPr>
        <w:t xml:space="preserve"> means the portion of the single-employer premium based on a plan’s unfunded vested benefits. </w:t>
      </w:r>
    </w:p>
    <w:p w14:paraId="5DFE6DB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14:paraId="04C3D4AF"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14:paraId="67C2F0D3" w14:textId="77777777" w:rsidR="00F12837" w:rsidRPr="00F62144" w:rsidRDefault="00F12837" w:rsidP="00F12837">
      <w:pPr>
        <w:autoSpaceDE w:val="0"/>
        <w:autoSpaceDN w:val="0"/>
        <w:adjustRightInd w:val="0"/>
        <w:spacing w:before="120"/>
        <w:jc w:val="center"/>
        <w:rPr>
          <w:rFonts w:asciiTheme="minorHAnsi" w:hAnsiTheme="minorHAnsi"/>
          <w:sz w:val="22"/>
          <w:szCs w:val="22"/>
        </w:rPr>
        <w:sectPr w:rsidR="00F12837" w:rsidRPr="00F62144" w:rsidSect="005C4FCB">
          <w:headerReference w:type="even" r:id="rId116"/>
          <w:headerReference w:type="default" r:id="rId117"/>
          <w:headerReference w:type="first" r:id="rId118"/>
          <w:pgSz w:w="12240" w:h="15840"/>
          <w:pgMar w:top="1440" w:right="1080" w:bottom="1440" w:left="1080" w:header="720" w:footer="720" w:gutter="0"/>
          <w:cols w:space="720"/>
          <w:noEndnote/>
        </w:sectPr>
      </w:pPr>
    </w:p>
    <w:p w14:paraId="3C9DB1C8" w14:textId="77777777" w:rsidR="004D65D5" w:rsidRPr="00F62144" w:rsidRDefault="00F12837" w:rsidP="00023A8E">
      <w:pPr>
        <w:numPr>
          <w:ilvl w:val="0"/>
          <w:numId w:val="5"/>
        </w:numPr>
        <w:tabs>
          <w:tab w:val="clear" w:pos="720"/>
          <w:tab w:val="num" w:pos="540"/>
        </w:tabs>
        <w:autoSpaceDE w:val="0"/>
        <w:autoSpaceDN w:val="0"/>
        <w:adjustRightInd w:val="0"/>
        <w:spacing w:before="120"/>
        <w:ind w:left="540" w:hanging="540"/>
        <w:rPr>
          <w:rFonts w:asciiTheme="minorHAnsi" w:hAnsiTheme="minorHAnsi"/>
          <w:sz w:val="22"/>
          <w:szCs w:val="22"/>
        </w:rPr>
      </w:pPr>
      <w:bookmarkStart w:id="79" w:name="b13"/>
      <w:bookmarkStart w:id="80" w:name="toc50"/>
      <w:bookmarkStart w:id="81" w:name="b21"/>
      <w:bookmarkEnd w:id="79"/>
      <w:bookmarkEnd w:id="80"/>
      <w:bookmarkEnd w:id="81"/>
      <w:r w:rsidRPr="00F62144">
        <w:rPr>
          <w:rFonts w:asciiTheme="minorHAnsi" w:hAnsiTheme="minorHAnsi"/>
          <w:sz w:val="22"/>
          <w:szCs w:val="22"/>
        </w:rPr>
        <w:t>PBGC’s Web site (</w:t>
      </w:r>
      <w:hyperlink r:id="rId119" w:history="1">
        <w:r w:rsidR="00690EEC" w:rsidRPr="00F62144">
          <w:rPr>
            <w:rStyle w:val="Hyperlink"/>
            <w:rFonts w:asciiTheme="minorHAnsi" w:hAnsiTheme="minorHAnsi"/>
            <w:b/>
            <w:sz w:val="22"/>
            <w:szCs w:val="22"/>
          </w:rPr>
          <w:t>www.pbgc.gov</w:t>
        </w:r>
      </w:hyperlink>
      <w:r w:rsidRPr="00F62144">
        <w:rPr>
          <w:rFonts w:asciiTheme="minorHAnsi" w:hAnsiTheme="minorHAnsi"/>
          <w:sz w:val="22"/>
          <w:szCs w:val="22"/>
        </w:rPr>
        <w:t>) contains pension plan information of interest to Plan Administrators and practitioners, such as electronic premium filing, current and prior premium filing booklets, frequently asked questions</w:t>
      </w:r>
      <w:r w:rsidR="00AC2A23" w:rsidRPr="00F62144">
        <w:rPr>
          <w:rFonts w:asciiTheme="minorHAnsi" w:hAnsiTheme="minorHAnsi"/>
          <w:sz w:val="22"/>
          <w:szCs w:val="22"/>
        </w:rPr>
        <w:t>,</w:t>
      </w:r>
      <w:r w:rsidRPr="00F62144">
        <w:rPr>
          <w:rFonts w:asciiTheme="minorHAnsi" w:hAnsiTheme="minorHAnsi"/>
          <w:sz w:val="22"/>
          <w:szCs w:val="22"/>
        </w:rPr>
        <w:t xml:space="preserve"> interest rates, regulations, etc. This information can typically be accessed via the </w:t>
      </w:r>
      <w:hyperlink r:id="rId120" w:history="1">
        <w:r w:rsidR="00106722">
          <w:rPr>
            <w:rStyle w:val="Hyperlink"/>
            <w:rFonts w:asciiTheme="minorHAnsi" w:hAnsiTheme="minorHAnsi"/>
            <w:sz w:val="22"/>
            <w:szCs w:val="22"/>
          </w:rPr>
          <w:t>Employers and Practitioners</w:t>
        </w:r>
        <w:r w:rsidRPr="001B7DD4">
          <w:rPr>
            <w:rStyle w:val="Hyperlink"/>
            <w:rFonts w:asciiTheme="minorHAnsi" w:hAnsiTheme="minorHAnsi"/>
            <w:sz w:val="22"/>
            <w:szCs w:val="22"/>
          </w:rPr>
          <w:t xml:space="preserve"> </w:t>
        </w:r>
        <w:r w:rsidR="009A51D5" w:rsidRPr="001B7DD4">
          <w:rPr>
            <w:rStyle w:val="Hyperlink"/>
            <w:rFonts w:asciiTheme="minorHAnsi" w:hAnsiTheme="minorHAnsi"/>
            <w:sz w:val="22"/>
            <w:szCs w:val="22"/>
          </w:rPr>
          <w:t>Page</w:t>
        </w:r>
      </w:hyperlink>
      <w:r w:rsidRPr="00F62144">
        <w:rPr>
          <w:rFonts w:asciiTheme="minorHAnsi" w:hAnsiTheme="minorHAnsi"/>
          <w:sz w:val="22"/>
          <w:szCs w:val="22"/>
        </w:rPr>
        <w:t xml:space="preserve">. </w:t>
      </w:r>
      <w:r w:rsidR="006946D9" w:rsidRPr="00F62144">
        <w:rPr>
          <w:rFonts w:asciiTheme="minorHAnsi" w:hAnsiTheme="minorHAnsi"/>
          <w:sz w:val="22"/>
          <w:szCs w:val="22"/>
        </w:rPr>
        <w:t xml:space="preserve">Note that you can access or subscribe to </w:t>
      </w:r>
      <w:r w:rsidR="007117D2" w:rsidRPr="00F62144">
        <w:rPr>
          <w:rFonts w:asciiTheme="minorHAnsi" w:hAnsiTheme="minorHAnsi"/>
          <w:sz w:val="22"/>
          <w:szCs w:val="22"/>
        </w:rPr>
        <w:t>“</w:t>
      </w:r>
      <w:hyperlink r:id="rId121" w:history="1">
        <w:r w:rsidR="006946D9" w:rsidRPr="00F62144">
          <w:rPr>
            <w:rStyle w:val="Hyperlink"/>
            <w:rFonts w:asciiTheme="minorHAnsi" w:hAnsiTheme="minorHAnsi"/>
            <w:sz w:val="22"/>
            <w:szCs w:val="22"/>
          </w:rPr>
          <w:t>What</w:t>
        </w:r>
        <w:r w:rsidR="007117D2" w:rsidRPr="00F62144">
          <w:rPr>
            <w:rStyle w:val="Hyperlink"/>
            <w:rFonts w:asciiTheme="minorHAnsi" w:hAnsiTheme="minorHAnsi"/>
            <w:sz w:val="22"/>
            <w:szCs w:val="22"/>
          </w:rPr>
          <w:t>’</w:t>
        </w:r>
        <w:r w:rsidR="006946D9" w:rsidRPr="00F62144">
          <w:rPr>
            <w:rStyle w:val="Hyperlink"/>
            <w:rFonts w:asciiTheme="minorHAnsi" w:hAnsiTheme="minorHAnsi"/>
            <w:sz w:val="22"/>
            <w:szCs w:val="22"/>
          </w:rPr>
          <w:t>s New for Practitioners</w:t>
        </w:r>
      </w:hyperlink>
      <w:r w:rsidR="00651784">
        <w:rPr>
          <w:rStyle w:val="Hyperlink"/>
          <w:rFonts w:asciiTheme="minorHAnsi" w:hAnsiTheme="minorHAnsi"/>
          <w:sz w:val="22"/>
          <w:szCs w:val="22"/>
        </w:rPr>
        <w:t xml:space="preserve"> and Employers</w:t>
      </w:r>
      <w:r w:rsidR="007117D2" w:rsidRPr="00F62144">
        <w:rPr>
          <w:rFonts w:asciiTheme="minorHAnsi" w:hAnsiTheme="minorHAnsi"/>
          <w:sz w:val="22"/>
          <w:szCs w:val="22"/>
        </w:rPr>
        <w:t>”</w:t>
      </w:r>
      <w:r w:rsidR="006946D9" w:rsidRPr="00F62144">
        <w:rPr>
          <w:rFonts w:asciiTheme="minorHAnsi" w:hAnsiTheme="minorHAnsi"/>
          <w:sz w:val="22"/>
          <w:szCs w:val="22"/>
        </w:rPr>
        <w:t xml:space="preserve"> that provides information on recent events</w:t>
      </w:r>
      <w:r w:rsidR="00651784">
        <w:rPr>
          <w:rFonts w:asciiTheme="minorHAnsi" w:hAnsiTheme="minorHAnsi"/>
          <w:sz w:val="22"/>
          <w:szCs w:val="22"/>
        </w:rPr>
        <w:t>.</w:t>
      </w:r>
      <w:r w:rsidR="006946D9" w:rsidRPr="00F62144">
        <w:rPr>
          <w:rFonts w:asciiTheme="minorHAnsi" w:hAnsiTheme="minorHAnsi"/>
          <w:sz w:val="22"/>
          <w:szCs w:val="22"/>
        </w:rPr>
        <w:t xml:space="preserve"> </w:t>
      </w:r>
    </w:p>
    <w:p w14:paraId="08BA2B6A" w14:textId="77777777" w:rsidR="00F12837" w:rsidRPr="00F62144" w:rsidRDefault="00F12837" w:rsidP="00023A8E">
      <w:pPr>
        <w:numPr>
          <w:ilvl w:val="0"/>
          <w:numId w:val="5"/>
        </w:numPr>
        <w:tabs>
          <w:tab w:val="clear" w:pos="720"/>
          <w:tab w:val="num" w:pos="54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t xml:space="preserve">Submit </w:t>
      </w:r>
      <w:r w:rsidRPr="00F62144">
        <w:rPr>
          <w:rFonts w:asciiTheme="minorHAnsi" w:hAnsiTheme="minorHAnsi"/>
          <w:b/>
          <w:bCs/>
          <w:sz w:val="22"/>
          <w:szCs w:val="22"/>
        </w:rPr>
        <w:t xml:space="preserve">electronic premium filings </w:t>
      </w:r>
      <w:r w:rsidRPr="00F62144">
        <w:rPr>
          <w:rFonts w:asciiTheme="minorHAnsi" w:hAnsiTheme="minorHAnsi"/>
          <w:sz w:val="22"/>
          <w:szCs w:val="22"/>
        </w:rPr>
        <w:t>(including electronic amended filings) through “My Plan Administration Account” (My PAA)</w:t>
      </w:r>
      <w:r w:rsidR="0052695D">
        <w:rPr>
          <w:rFonts w:asciiTheme="minorHAnsi" w:hAnsiTheme="minorHAnsi"/>
          <w:sz w:val="22"/>
          <w:szCs w:val="22"/>
        </w:rPr>
        <w:t xml:space="preserve"> via </w:t>
      </w:r>
      <w:r w:rsidR="00BC59A8" w:rsidRPr="00F62144">
        <w:rPr>
          <w:rFonts w:asciiTheme="minorHAnsi" w:hAnsiTheme="minorHAnsi"/>
          <w:sz w:val="22"/>
          <w:szCs w:val="22"/>
        </w:rPr>
        <w:t xml:space="preserve">the </w:t>
      </w:r>
      <w:r w:rsidR="003F4BBE" w:rsidRPr="00F62144">
        <w:rPr>
          <w:rFonts w:asciiTheme="minorHAnsi" w:hAnsiTheme="minorHAnsi"/>
          <w:sz w:val="22"/>
          <w:szCs w:val="22"/>
        </w:rPr>
        <w:t>“</w:t>
      </w:r>
      <w:hyperlink r:id="rId122" w:history="1">
        <w:r w:rsidR="003F4BBE" w:rsidRPr="00F62144">
          <w:rPr>
            <w:rStyle w:val="Hyperlink"/>
            <w:rFonts w:asciiTheme="minorHAnsi" w:hAnsiTheme="minorHAnsi"/>
            <w:sz w:val="22"/>
            <w:szCs w:val="22"/>
          </w:rPr>
          <w:t>Online Premium Filing (My PAA)</w:t>
        </w:r>
      </w:hyperlink>
      <w:r w:rsidR="003F4BBE" w:rsidRPr="00F62144">
        <w:rPr>
          <w:rFonts w:asciiTheme="minorHAnsi" w:hAnsiTheme="minorHAnsi"/>
          <w:sz w:val="22"/>
          <w:szCs w:val="22"/>
        </w:rPr>
        <w:t xml:space="preserve">” section of </w:t>
      </w:r>
      <w:r w:rsidRPr="00F62144">
        <w:rPr>
          <w:rFonts w:asciiTheme="minorHAnsi" w:hAnsiTheme="minorHAnsi"/>
          <w:sz w:val="22"/>
          <w:szCs w:val="22"/>
        </w:rPr>
        <w:t xml:space="preserve">the </w:t>
      </w:r>
      <w:hyperlink r:id="rId123" w:history="1">
        <w:r w:rsidR="00106722">
          <w:rPr>
            <w:rStyle w:val="Hyperlink"/>
            <w:rFonts w:asciiTheme="minorHAnsi" w:hAnsiTheme="minorHAnsi"/>
            <w:sz w:val="22"/>
            <w:szCs w:val="22"/>
          </w:rPr>
          <w:t>Employers and Practitioners</w:t>
        </w:r>
        <w:r w:rsidRPr="0052695D">
          <w:rPr>
            <w:rStyle w:val="Hyperlink"/>
            <w:rFonts w:asciiTheme="minorHAnsi" w:hAnsiTheme="minorHAnsi"/>
            <w:sz w:val="22"/>
            <w:szCs w:val="22"/>
          </w:rPr>
          <w:t xml:space="preserve"> Page</w:t>
        </w:r>
      </w:hyperlink>
      <w:r w:rsidRPr="00F62144">
        <w:rPr>
          <w:rFonts w:asciiTheme="minorHAnsi" w:hAnsiTheme="minorHAnsi"/>
          <w:sz w:val="22"/>
          <w:szCs w:val="22"/>
        </w:rPr>
        <w:t xml:space="preserve"> </w:t>
      </w:r>
      <w:r w:rsidR="0052695D">
        <w:rPr>
          <w:rFonts w:asciiTheme="minorHAnsi" w:hAnsiTheme="minorHAnsi"/>
          <w:sz w:val="22"/>
          <w:szCs w:val="22"/>
        </w:rPr>
        <w:t>of PBGC’s website and follow i</w:t>
      </w:r>
      <w:r w:rsidRPr="00F62144">
        <w:rPr>
          <w:rFonts w:asciiTheme="minorHAnsi" w:hAnsiTheme="minorHAnsi"/>
          <w:sz w:val="22"/>
          <w:szCs w:val="22"/>
        </w:rPr>
        <w:t xml:space="preserve">nstructions about how to use My PAA for submitting premium payments. </w:t>
      </w:r>
    </w:p>
    <w:p w14:paraId="6920283E" w14:textId="77777777" w:rsidR="00F12837" w:rsidRPr="00F62144" w:rsidRDefault="00F12837" w:rsidP="00023A8E">
      <w:pPr>
        <w:numPr>
          <w:ilvl w:val="0"/>
          <w:numId w:val="5"/>
        </w:numPr>
        <w:tabs>
          <w:tab w:val="clear" w:pos="720"/>
          <w:tab w:val="num" w:pos="54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t xml:space="preserve">For all </w:t>
      </w:r>
      <w:r w:rsidRPr="00F62144">
        <w:rPr>
          <w:rFonts w:asciiTheme="minorHAnsi" w:hAnsiTheme="minorHAnsi"/>
          <w:b/>
          <w:bCs/>
          <w:sz w:val="22"/>
          <w:szCs w:val="22"/>
        </w:rPr>
        <w:t xml:space="preserve">premium-related </w:t>
      </w:r>
      <w:r w:rsidR="0047733C" w:rsidRPr="00F62144">
        <w:rPr>
          <w:rFonts w:asciiTheme="minorHAnsi" w:hAnsiTheme="minorHAnsi"/>
          <w:b/>
          <w:bCs/>
          <w:sz w:val="22"/>
          <w:szCs w:val="22"/>
        </w:rPr>
        <w:t>inquiries and requests</w:t>
      </w:r>
      <w:r w:rsidRPr="00F62144">
        <w:rPr>
          <w:rFonts w:asciiTheme="minorHAnsi" w:hAnsiTheme="minorHAnsi"/>
          <w:b/>
          <w:sz w:val="22"/>
          <w:szCs w:val="22"/>
        </w:rPr>
        <w:t>, including</w:t>
      </w:r>
      <w:r w:rsidRPr="00F62144">
        <w:rPr>
          <w:rFonts w:asciiTheme="minorHAnsi" w:hAnsiTheme="minorHAnsi"/>
          <w:sz w:val="22"/>
          <w:szCs w:val="22"/>
        </w:rPr>
        <w:t xml:space="preserve"> </w:t>
      </w:r>
      <w:r w:rsidRPr="00F62144">
        <w:rPr>
          <w:rFonts w:asciiTheme="minorHAnsi" w:hAnsiTheme="minorHAnsi"/>
          <w:b/>
          <w:bCs/>
          <w:sz w:val="22"/>
          <w:szCs w:val="22"/>
        </w:rPr>
        <w:t xml:space="preserve">requests for exemption </w:t>
      </w:r>
      <w:r w:rsidRPr="00F62144">
        <w:rPr>
          <w:rFonts w:asciiTheme="minorHAnsi" w:hAnsiTheme="minorHAnsi"/>
          <w:sz w:val="22"/>
          <w:szCs w:val="22"/>
        </w:rPr>
        <w:t>from the requirement to file electronically, premium filing questions, requests for instructions, address changes, requests for refunds (that are not submitted with premium filings), and requests for penalty waivers</w:t>
      </w:r>
      <w:r w:rsidR="007002E1">
        <w:rPr>
          <w:rFonts w:asciiTheme="minorHAnsi" w:hAnsiTheme="minorHAnsi"/>
          <w:sz w:val="22"/>
          <w:szCs w:val="22"/>
        </w:rPr>
        <w:t>, contact our Premium Customer Service Center</w:t>
      </w:r>
      <w:r w:rsidRPr="00F62144">
        <w:rPr>
          <w:rFonts w:asciiTheme="minorHAnsi" w:hAnsiTheme="minorHAnsi"/>
          <w:sz w:val="22"/>
          <w:szCs w:val="22"/>
        </w:rPr>
        <w:t>:</w:t>
      </w:r>
    </w:p>
    <w:p w14:paraId="11B4CF35" w14:textId="77777777" w:rsidR="00F12837" w:rsidRPr="00F62144" w:rsidRDefault="00F12837" w:rsidP="00023A8E">
      <w:pPr>
        <w:numPr>
          <w:ilvl w:val="0"/>
          <w:numId w:val="6"/>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 xml:space="preserve">Mail (U.S. Postal Service or private delivery service): Send to the address posted on Web site under Premium Filings. </w:t>
      </w:r>
    </w:p>
    <w:p w14:paraId="607DE152" w14:textId="77777777" w:rsidR="00F12837" w:rsidRPr="00F62144" w:rsidRDefault="00F12837" w:rsidP="00023A8E">
      <w:pPr>
        <w:numPr>
          <w:ilvl w:val="0"/>
          <w:numId w:val="6"/>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Call: 1-800-736-2444 or 202-326-4242</w:t>
      </w:r>
      <w:r w:rsidR="000F42EC" w:rsidRPr="00F62144">
        <w:rPr>
          <w:rFonts w:asciiTheme="minorHAnsi" w:hAnsiTheme="minorHAnsi"/>
          <w:sz w:val="22"/>
          <w:szCs w:val="22"/>
        </w:rPr>
        <w:t xml:space="preserve"> and select option 2 (premiums). </w:t>
      </w:r>
      <w:r w:rsidRPr="00F62144">
        <w:rPr>
          <w:rFonts w:asciiTheme="minorHAnsi" w:hAnsiTheme="minorHAnsi"/>
          <w:sz w:val="22"/>
          <w:szCs w:val="22"/>
        </w:rPr>
        <w:t xml:space="preserve">Note </w:t>
      </w:r>
      <w:r w:rsidRPr="00F62144">
        <w:rPr>
          <w:rFonts w:asciiTheme="minorHAnsi" w:hAnsiTheme="minorHAnsi"/>
          <w:bCs/>
          <w:sz w:val="22"/>
          <w:szCs w:val="22"/>
        </w:rPr>
        <w:t xml:space="preserve">– </w:t>
      </w:r>
      <w:r w:rsidRPr="00F62144">
        <w:rPr>
          <w:rFonts w:asciiTheme="minorHAnsi" w:hAnsiTheme="minorHAnsi"/>
          <w:sz w:val="22"/>
          <w:szCs w:val="22"/>
        </w:rPr>
        <w:t>requests for exemptions from e-filing requirement cannot be made by phone</w:t>
      </w:r>
      <w:r w:rsidR="000F42EC" w:rsidRPr="00F62144">
        <w:rPr>
          <w:rFonts w:asciiTheme="minorHAnsi" w:hAnsiTheme="minorHAnsi"/>
          <w:sz w:val="22"/>
          <w:szCs w:val="22"/>
        </w:rPr>
        <w:t>.</w:t>
      </w:r>
    </w:p>
    <w:p w14:paraId="5839E20D" w14:textId="77777777" w:rsidR="00F12837" w:rsidRPr="00F62144" w:rsidRDefault="00F12837" w:rsidP="00023A8E">
      <w:pPr>
        <w:numPr>
          <w:ilvl w:val="0"/>
          <w:numId w:val="6"/>
        </w:numPr>
        <w:tabs>
          <w:tab w:val="clear" w:pos="720"/>
          <w:tab w:val="num" w:pos="900"/>
        </w:tabs>
        <w:autoSpaceDE w:val="0"/>
        <w:autoSpaceDN w:val="0"/>
        <w:adjustRightInd w:val="0"/>
        <w:spacing w:before="120"/>
        <w:ind w:left="900"/>
        <w:rPr>
          <w:rFonts w:asciiTheme="minorHAnsi" w:hAnsiTheme="minorHAnsi"/>
          <w:bCs/>
          <w:sz w:val="22"/>
          <w:szCs w:val="22"/>
        </w:rPr>
      </w:pPr>
      <w:r w:rsidRPr="00F62144">
        <w:rPr>
          <w:rFonts w:asciiTheme="minorHAnsi" w:hAnsiTheme="minorHAnsi"/>
          <w:sz w:val="22"/>
          <w:szCs w:val="22"/>
        </w:rPr>
        <w:t>Fax: 202-326-4250</w:t>
      </w:r>
    </w:p>
    <w:p w14:paraId="3FA1EFB4" w14:textId="77777777" w:rsidR="00F12837" w:rsidRPr="00F62144" w:rsidRDefault="00F12837" w:rsidP="00023A8E">
      <w:pPr>
        <w:numPr>
          <w:ilvl w:val="0"/>
          <w:numId w:val="6"/>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 xml:space="preserve">E-mail: </w:t>
      </w:r>
      <w:r w:rsidRPr="00F62144">
        <w:rPr>
          <w:rFonts w:asciiTheme="minorHAnsi" w:hAnsiTheme="minorHAnsi"/>
          <w:b/>
          <w:bCs/>
          <w:sz w:val="22"/>
          <w:szCs w:val="22"/>
        </w:rPr>
        <w:t>premiums@pbgc.gov</w:t>
      </w:r>
    </w:p>
    <w:p w14:paraId="4275A435" w14:textId="77777777" w:rsidR="00F12837" w:rsidRPr="00F62144" w:rsidRDefault="00F12837" w:rsidP="00023A8E">
      <w:pPr>
        <w:numPr>
          <w:ilvl w:val="0"/>
          <w:numId w:val="5"/>
        </w:numPr>
        <w:tabs>
          <w:tab w:val="clear" w:pos="720"/>
          <w:tab w:val="num" w:pos="540"/>
          <w:tab w:val="num" w:pos="90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t>For current interest rate information:</w:t>
      </w:r>
    </w:p>
    <w:p w14:paraId="36295A99" w14:textId="77777777" w:rsidR="00F12837" w:rsidRPr="00F62144" w:rsidRDefault="00F12837" w:rsidP="00023A8E">
      <w:pPr>
        <w:numPr>
          <w:ilvl w:val="0"/>
          <w:numId w:val="7"/>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Call: 202-326-4041</w:t>
      </w:r>
    </w:p>
    <w:p w14:paraId="6B857526" w14:textId="77777777" w:rsidR="00F12837" w:rsidRPr="00F62144" w:rsidRDefault="00F12837" w:rsidP="00023A8E">
      <w:pPr>
        <w:numPr>
          <w:ilvl w:val="0"/>
          <w:numId w:val="7"/>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 xml:space="preserve">See: </w:t>
      </w:r>
      <w:r w:rsidR="00437A38" w:rsidRPr="00F62144">
        <w:rPr>
          <w:rFonts w:asciiTheme="minorHAnsi" w:hAnsiTheme="minorHAnsi"/>
          <w:sz w:val="22"/>
          <w:szCs w:val="22"/>
        </w:rPr>
        <w:t>“</w:t>
      </w:r>
      <w:hyperlink r:id="rId124" w:history="1">
        <w:r w:rsidRPr="00F62144">
          <w:rPr>
            <w:rStyle w:val="Hyperlink"/>
            <w:rFonts w:asciiTheme="minorHAnsi" w:hAnsiTheme="minorHAnsi"/>
            <w:sz w:val="22"/>
            <w:szCs w:val="22"/>
          </w:rPr>
          <w:t>Interest Rate</w:t>
        </w:r>
        <w:r w:rsidR="009B38EF" w:rsidRPr="00F62144">
          <w:rPr>
            <w:rStyle w:val="Hyperlink"/>
            <w:rFonts w:asciiTheme="minorHAnsi" w:hAnsiTheme="minorHAnsi"/>
            <w:sz w:val="22"/>
            <w:szCs w:val="22"/>
          </w:rPr>
          <w:t>s and Factors</w:t>
        </w:r>
      </w:hyperlink>
      <w:r w:rsidR="00437A38" w:rsidRPr="00F62144">
        <w:rPr>
          <w:rFonts w:asciiTheme="minorHAnsi" w:hAnsiTheme="minorHAnsi"/>
          <w:sz w:val="22"/>
          <w:szCs w:val="22"/>
        </w:rPr>
        <w:t>”</w:t>
      </w:r>
      <w:r w:rsidRPr="00F62144">
        <w:rPr>
          <w:rFonts w:asciiTheme="minorHAnsi" w:hAnsiTheme="minorHAnsi"/>
          <w:sz w:val="22"/>
          <w:szCs w:val="22"/>
        </w:rPr>
        <w:t xml:space="preserve"> section </w:t>
      </w:r>
      <w:r w:rsidR="00437A38" w:rsidRPr="00F62144">
        <w:rPr>
          <w:rFonts w:asciiTheme="minorHAnsi" w:hAnsiTheme="minorHAnsi"/>
          <w:sz w:val="22"/>
          <w:szCs w:val="22"/>
        </w:rPr>
        <w:t>on</w:t>
      </w:r>
      <w:r w:rsidRPr="00F62144">
        <w:rPr>
          <w:rFonts w:asciiTheme="minorHAnsi" w:hAnsiTheme="minorHAnsi"/>
          <w:sz w:val="22"/>
          <w:szCs w:val="22"/>
        </w:rPr>
        <w:t xml:space="preserve"> the </w:t>
      </w:r>
      <w:hyperlink r:id="rId125" w:history="1">
        <w:r w:rsidR="00651784">
          <w:rPr>
            <w:rStyle w:val="Hyperlink"/>
            <w:rFonts w:asciiTheme="minorHAnsi" w:hAnsiTheme="minorHAnsi"/>
            <w:sz w:val="22"/>
            <w:szCs w:val="22"/>
          </w:rPr>
          <w:t>Employers and P</w:t>
        </w:r>
        <w:r w:rsidR="0052695D" w:rsidRPr="0052695D">
          <w:rPr>
            <w:rStyle w:val="Hyperlink"/>
            <w:rFonts w:asciiTheme="minorHAnsi" w:hAnsiTheme="minorHAnsi"/>
            <w:sz w:val="22"/>
            <w:szCs w:val="22"/>
          </w:rPr>
          <w:t>ractitioners Page</w:t>
        </w:r>
      </w:hyperlink>
      <w:r w:rsidR="0052695D" w:rsidRPr="00F62144">
        <w:rPr>
          <w:rFonts w:asciiTheme="minorHAnsi" w:hAnsiTheme="minorHAnsi"/>
          <w:sz w:val="22"/>
          <w:szCs w:val="22"/>
        </w:rPr>
        <w:t xml:space="preserve"> </w:t>
      </w:r>
      <w:r w:rsidR="0052695D">
        <w:rPr>
          <w:rFonts w:asciiTheme="minorHAnsi" w:hAnsiTheme="minorHAnsi"/>
          <w:sz w:val="22"/>
          <w:szCs w:val="22"/>
        </w:rPr>
        <w:t>of PBGC’s website.</w:t>
      </w:r>
      <w:r w:rsidRPr="00F62144">
        <w:rPr>
          <w:rFonts w:asciiTheme="minorHAnsi" w:hAnsiTheme="minorHAnsi"/>
          <w:sz w:val="22"/>
          <w:szCs w:val="22"/>
        </w:rPr>
        <w:t xml:space="preserve"> </w:t>
      </w:r>
    </w:p>
    <w:p w14:paraId="79EC1D46" w14:textId="77777777" w:rsidR="00F12837" w:rsidRPr="00F62144" w:rsidRDefault="00F12837" w:rsidP="00023A8E">
      <w:pPr>
        <w:numPr>
          <w:ilvl w:val="0"/>
          <w:numId w:val="5"/>
        </w:numPr>
        <w:tabs>
          <w:tab w:val="clear" w:pos="720"/>
          <w:tab w:val="num" w:pos="540"/>
          <w:tab w:val="num" w:pos="90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t>For assistance on coverage determination or plan termination:</w:t>
      </w:r>
    </w:p>
    <w:p w14:paraId="722C0AFA" w14:textId="77777777" w:rsidR="00F12837" w:rsidRPr="00F62144" w:rsidRDefault="00F12837" w:rsidP="00023A8E">
      <w:pPr>
        <w:numPr>
          <w:ilvl w:val="0"/>
          <w:numId w:val="8"/>
        </w:numPr>
        <w:tabs>
          <w:tab w:val="clear" w:pos="720"/>
          <w:tab w:val="num" w:pos="900"/>
        </w:tabs>
        <w:autoSpaceDE w:val="0"/>
        <w:autoSpaceDN w:val="0"/>
        <w:adjustRightInd w:val="0"/>
        <w:spacing w:before="120"/>
        <w:ind w:left="900"/>
        <w:rPr>
          <w:rFonts w:asciiTheme="minorHAnsi" w:hAnsiTheme="minorHAnsi"/>
          <w:bCs/>
          <w:sz w:val="22"/>
          <w:szCs w:val="22"/>
        </w:rPr>
      </w:pPr>
      <w:r w:rsidRPr="00F62144">
        <w:rPr>
          <w:rFonts w:asciiTheme="minorHAnsi" w:hAnsiTheme="minorHAnsi"/>
          <w:sz w:val="22"/>
          <w:szCs w:val="22"/>
        </w:rPr>
        <w:t>Call: 1-800-736-2444 or 202-326-4242</w:t>
      </w:r>
    </w:p>
    <w:p w14:paraId="1EADFF1A" w14:textId="77777777" w:rsidR="00F12837" w:rsidRPr="00F62144" w:rsidRDefault="00F12837" w:rsidP="00023A8E">
      <w:pPr>
        <w:numPr>
          <w:ilvl w:val="0"/>
          <w:numId w:val="8"/>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 xml:space="preserve">E-mail: </w:t>
      </w:r>
      <w:r w:rsidRPr="00F62144">
        <w:rPr>
          <w:rFonts w:asciiTheme="minorHAnsi" w:hAnsiTheme="minorHAnsi"/>
          <w:b/>
          <w:bCs/>
          <w:sz w:val="22"/>
          <w:szCs w:val="22"/>
        </w:rPr>
        <w:t>standard@pbgc.gov</w:t>
      </w:r>
      <w:r w:rsidRPr="00F62144">
        <w:rPr>
          <w:rFonts w:asciiTheme="minorHAnsi" w:hAnsiTheme="minorHAnsi"/>
          <w:bCs/>
          <w:sz w:val="22"/>
          <w:szCs w:val="22"/>
        </w:rPr>
        <w:t xml:space="preserve"> </w:t>
      </w:r>
    </w:p>
    <w:p w14:paraId="142039AD" w14:textId="77777777" w:rsidR="00F12837" w:rsidRPr="00F62144" w:rsidRDefault="00F12837" w:rsidP="00023A8E">
      <w:pPr>
        <w:numPr>
          <w:ilvl w:val="0"/>
          <w:numId w:val="8"/>
        </w:numPr>
        <w:tabs>
          <w:tab w:val="clear" w:pos="720"/>
          <w:tab w:val="num" w:pos="900"/>
        </w:tabs>
        <w:autoSpaceDE w:val="0"/>
        <w:autoSpaceDN w:val="0"/>
        <w:adjustRightInd w:val="0"/>
        <w:spacing w:before="120"/>
        <w:ind w:left="900"/>
        <w:rPr>
          <w:rFonts w:asciiTheme="minorHAnsi" w:hAnsiTheme="minorHAnsi"/>
          <w:sz w:val="22"/>
          <w:szCs w:val="22"/>
        </w:rPr>
      </w:pPr>
      <w:r w:rsidRPr="00F62144">
        <w:rPr>
          <w:rFonts w:asciiTheme="minorHAnsi" w:hAnsiTheme="minorHAnsi"/>
          <w:sz w:val="22"/>
          <w:szCs w:val="22"/>
        </w:rPr>
        <w:t>Write to:</w:t>
      </w:r>
    </w:p>
    <w:p w14:paraId="33516249" w14:textId="77777777" w:rsidR="00F12837" w:rsidRPr="00F62144" w:rsidRDefault="00F12837" w:rsidP="00F12837">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Pension Benefit Guaranty Corporation</w:t>
      </w:r>
    </w:p>
    <w:p w14:paraId="54346C73" w14:textId="77777777" w:rsidR="00F12837" w:rsidRPr="00F62144" w:rsidRDefault="00F12837" w:rsidP="00F12837">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Standard Termination Compliance Division, Suite 930</w:t>
      </w:r>
    </w:p>
    <w:p w14:paraId="7A316120" w14:textId="77777777" w:rsidR="00F12837" w:rsidRPr="00F62144" w:rsidRDefault="00F12837" w:rsidP="00F12837">
      <w:pPr>
        <w:autoSpaceDE w:val="0"/>
        <w:autoSpaceDN w:val="0"/>
        <w:adjustRightInd w:val="0"/>
        <w:spacing w:before="60"/>
        <w:jc w:val="center"/>
        <w:rPr>
          <w:rFonts w:asciiTheme="minorHAnsi" w:eastAsia="Times New Roman" w:hAnsiTheme="minorHAnsi"/>
          <w:color w:val="800080"/>
        </w:rPr>
      </w:pPr>
      <w:r w:rsidRPr="00F62144">
        <w:rPr>
          <w:rFonts w:asciiTheme="minorHAnsi" w:hAnsiTheme="minorHAnsi"/>
          <w:sz w:val="22"/>
          <w:szCs w:val="22"/>
        </w:rPr>
        <w:t>Processing and Technical Assistance Branch</w:t>
      </w:r>
    </w:p>
    <w:p w14:paraId="5367F14D" w14:textId="77777777" w:rsidR="00F12837" w:rsidRPr="00F62144" w:rsidRDefault="00F12837" w:rsidP="00F12837">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1200 K Street, NW</w:t>
      </w:r>
    </w:p>
    <w:p w14:paraId="55A0E75F" w14:textId="77777777" w:rsidR="00F12837" w:rsidRDefault="00F12837" w:rsidP="00F12837">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Washington, DC 20005-4026</w:t>
      </w:r>
    </w:p>
    <w:p w14:paraId="18D8FD88" w14:textId="77777777" w:rsidR="00F12837" w:rsidRPr="00F62144" w:rsidRDefault="00F12837" w:rsidP="00023A8E">
      <w:pPr>
        <w:numPr>
          <w:ilvl w:val="0"/>
          <w:numId w:val="5"/>
        </w:numPr>
        <w:tabs>
          <w:tab w:val="clear" w:pos="720"/>
          <w:tab w:val="num" w:pos="540"/>
          <w:tab w:val="num" w:pos="90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br w:type="page"/>
        <w:t>If you have a complaint about the service you have received or still need assistance after calling our practitioner telephone numbers listed in item 4 (1-800-736-2444 or 202-326-4242), please contact the Problem Resolution Officer (Practitioners):</w:t>
      </w:r>
    </w:p>
    <w:p w14:paraId="578311F6" w14:textId="77777777" w:rsidR="00F12837" w:rsidRPr="00F62144" w:rsidRDefault="00F12837" w:rsidP="00023A8E">
      <w:pPr>
        <w:numPr>
          <w:ilvl w:val="0"/>
          <w:numId w:val="9"/>
        </w:numPr>
        <w:tabs>
          <w:tab w:val="clear" w:pos="720"/>
          <w:tab w:val="num" w:pos="900"/>
        </w:tabs>
        <w:autoSpaceDE w:val="0"/>
        <w:autoSpaceDN w:val="0"/>
        <w:adjustRightInd w:val="0"/>
        <w:spacing w:before="120"/>
        <w:ind w:hanging="180"/>
        <w:rPr>
          <w:rFonts w:asciiTheme="minorHAnsi" w:hAnsiTheme="minorHAnsi"/>
          <w:sz w:val="22"/>
          <w:szCs w:val="22"/>
        </w:rPr>
      </w:pPr>
      <w:r w:rsidRPr="00F62144">
        <w:rPr>
          <w:rFonts w:asciiTheme="minorHAnsi" w:hAnsiTheme="minorHAnsi"/>
          <w:sz w:val="22"/>
          <w:szCs w:val="22"/>
        </w:rPr>
        <w:t>Call: 1-800-736-2444, ext. 4136 or 202-326-4136</w:t>
      </w:r>
    </w:p>
    <w:p w14:paraId="5A54F61D" w14:textId="77777777" w:rsidR="00F12837" w:rsidRPr="00F62144" w:rsidRDefault="00F12837" w:rsidP="00023A8E">
      <w:pPr>
        <w:numPr>
          <w:ilvl w:val="0"/>
          <w:numId w:val="9"/>
        </w:numPr>
        <w:tabs>
          <w:tab w:val="clear" w:pos="720"/>
          <w:tab w:val="num" w:pos="900"/>
        </w:tabs>
        <w:autoSpaceDE w:val="0"/>
        <w:autoSpaceDN w:val="0"/>
        <w:adjustRightInd w:val="0"/>
        <w:spacing w:before="120"/>
        <w:ind w:hanging="180"/>
        <w:rPr>
          <w:rFonts w:asciiTheme="minorHAnsi" w:hAnsiTheme="minorHAnsi"/>
          <w:sz w:val="22"/>
          <w:szCs w:val="22"/>
        </w:rPr>
      </w:pPr>
      <w:r w:rsidRPr="00F62144">
        <w:rPr>
          <w:rFonts w:asciiTheme="minorHAnsi" w:hAnsiTheme="minorHAnsi"/>
          <w:sz w:val="22"/>
          <w:szCs w:val="22"/>
        </w:rPr>
        <w:t xml:space="preserve">E-mail: </w:t>
      </w:r>
      <w:r w:rsidRPr="00F62144">
        <w:rPr>
          <w:rFonts w:asciiTheme="minorHAnsi" w:hAnsiTheme="minorHAnsi"/>
          <w:b/>
          <w:bCs/>
          <w:sz w:val="22"/>
          <w:szCs w:val="22"/>
        </w:rPr>
        <w:t xml:space="preserve">practitioner.pro@pbgc.gov </w:t>
      </w:r>
    </w:p>
    <w:p w14:paraId="08729805" w14:textId="77777777" w:rsidR="00F12837" w:rsidRPr="00F62144" w:rsidRDefault="00F12837" w:rsidP="00023A8E">
      <w:pPr>
        <w:numPr>
          <w:ilvl w:val="0"/>
          <w:numId w:val="9"/>
        </w:numPr>
        <w:tabs>
          <w:tab w:val="clear" w:pos="720"/>
          <w:tab w:val="num" w:pos="900"/>
        </w:tabs>
        <w:autoSpaceDE w:val="0"/>
        <w:autoSpaceDN w:val="0"/>
        <w:adjustRightInd w:val="0"/>
        <w:spacing w:before="120"/>
        <w:ind w:hanging="180"/>
        <w:rPr>
          <w:rFonts w:asciiTheme="minorHAnsi" w:hAnsiTheme="minorHAnsi"/>
          <w:sz w:val="22"/>
          <w:szCs w:val="22"/>
        </w:rPr>
      </w:pPr>
      <w:r w:rsidRPr="00F62144">
        <w:rPr>
          <w:rFonts w:asciiTheme="minorHAnsi" w:hAnsiTheme="minorHAnsi"/>
          <w:sz w:val="22"/>
          <w:szCs w:val="22"/>
        </w:rPr>
        <w:t>Write to:</w:t>
      </w:r>
    </w:p>
    <w:p w14:paraId="2F3EB75B" w14:textId="77777777" w:rsidR="00F12837" w:rsidRPr="00F62144" w:rsidRDefault="00F12837" w:rsidP="00F12837">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Pension Benefit Guaranty Corporation</w:t>
      </w:r>
    </w:p>
    <w:p w14:paraId="140CF919" w14:textId="77777777" w:rsidR="008214EA" w:rsidRPr="00F62144" w:rsidRDefault="00F12837" w:rsidP="008214EA">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Problem Resolution Officer (Practitioners)</w:t>
      </w:r>
      <w:r w:rsidR="008214EA" w:rsidRPr="00F62144">
        <w:rPr>
          <w:rFonts w:asciiTheme="minorHAnsi" w:hAnsiTheme="minorHAnsi"/>
          <w:sz w:val="22"/>
          <w:szCs w:val="22"/>
        </w:rPr>
        <w:t>; Suite 610</w:t>
      </w:r>
    </w:p>
    <w:p w14:paraId="50BD0228" w14:textId="77777777" w:rsidR="00F12837" w:rsidRPr="00F62144" w:rsidRDefault="00F12837" w:rsidP="00F12837">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1200 K Street, NW</w:t>
      </w:r>
    </w:p>
    <w:p w14:paraId="7E089CB5" w14:textId="77777777" w:rsidR="00F12837" w:rsidRPr="00F62144" w:rsidRDefault="00F12837" w:rsidP="00445A2E">
      <w:pPr>
        <w:tabs>
          <w:tab w:val="center" w:pos="4320"/>
        </w:tabs>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Washington, DC 20005-4026</w:t>
      </w:r>
    </w:p>
    <w:p w14:paraId="2B70C657" w14:textId="77777777" w:rsidR="00F12837" w:rsidRPr="00F62144" w:rsidRDefault="00F12837" w:rsidP="00023A8E">
      <w:pPr>
        <w:numPr>
          <w:ilvl w:val="0"/>
          <w:numId w:val="5"/>
        </w:numPr>
        <w:tabs>
          <w:tab w:val="clear" w:pos="720"/>
          <w:tab w:val="num" w:pos="540"/>
          <w:tab w:val="num" w:pos="90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t>For questions about our Premium Compliance Evaluation Program:</w:t>
      </w:r>
    </w:p>
    <w:p w14:paraId="2075B161" w14:textId="77777777" w:rsidR="00F12837" w:rsidRPr="00F62144" w:rsidRDefault="00301F8F" w:rsidP="00023A8E">
      <w:pPr>
        <w:numPr>
          <w:ilvl w:val="0"/>
          <w:numId w:val="10"/>
        </w:numPr>
        <w:tabs>
          <w:tab w:val="clear" w:pos="720"/>
          <w:tab w:val="num" w:pos="900"/>
        </w:tabs>
        <w:autoSpaceDE w:val="0"/>
        <w:autoSpaceDN w:val="0"/>
        <w:adjustRightInd w:val="0"/>
        <w:spacing w:before="120"/>
        <w:ind w:hanging="180"/>
        <w:rPr>
          <w:rFonts w:asciiTheme="minorHAnsi" w:hAnsiTheme="minorHAnsi"/>
          <w:bCs/>
          <w:sz w:val="22"/>
          <w:szCs w:val="22"/>
        </w:rPr>
      </w:pPr>
      <w:r w:rsidRPr="00F62144">
        <w:rPr>
          <w:rFonts w:asciiTheme="minorHAnsi" w:hAnsiTheme="minorHAnsi"/>
          <w:sz w:val="22"/>
          <w:szCs w:val="22"/>
        </w:rPr>
        <w:t xml:space="preserve"> </w:t>
      </w:r>
      <w:r w:rsidR="00F12837" w:rsidRPr="00F62144">
        <w:rPr>
          <w:rFonts w:asciiTheme="minorHAnsi" w:hAnsiTheme="minorHAnsi"/>
          <w:sz w:val="22"/>
          <w:szCs w:val="22"/>
        </w:rPr>
        <w:t>Call: 1-800-736-2444, ext. 6855 or 202-326-4161, ext. 6855</w:t>
      </w:r>
    </w:p>
    <w:p w14:paraId="5E228B70" w14:textId="77777777" w:rsidR="00F12837" w:rsidRPr="00F62144" w:rsidRDefault="00301F8F" w:rsidP="00023A8E">
      <w:pPr>
        <w:numPr>
          <w:ilvl w:val="0"/>
          <w:numId w:val="10"/>
        </w:numPr>
        <w:tabs>
          <w:tab w:val="clear" w:pos="720"/>
          <w:tab w:val="num" w:pos="900"/>
        </w:tabs>
        <w:autoSpaceDE w:val="0"/>
        <w:autoSpaceDN w:val="0"/>
        <w:adjustRightInd w:val="0"/>
        <w:spacing w:before="120"/>
        <w:ind w:hanging="180"/>
        <w:rPr>
          <w:rFonts w:asciiTheme="minorHAnsi" w:hAnsiTheme="minorHAnsi"/>
          <w:sz w:val="22"/>
          <w:szCs w:val="22"/>
        </w:rPr>
      </w:pPr>
      <w:r w:rsidRPr="00F62144">
        <w:rPr>
          <w:rFonts w:asciiTheme="minorHAnsi" w:hAnsiTheme="minorHAnsi"/>
          <w:sz w:val="22"/>
          <w:szCs w:val="22"/>
        </w:rPr>
        <w:t xml:space="preserve"> </w:t>
      </w:r>
      <w:r w:rsidR="00F12837" w:rsidRPr="00F62144">
        <w:rPr>
          <w:rFonts w:asciiTheme="minorHAnsi" w:hAnsiTheme="minorHAnsi"/>
          <w:sz w:val="22"/>
          <w:szCs w:val="22"/>
        </w:rPr>
        <w:t xml:space="preserve">E-mail: </w:t>
      </w:r>
      <w:r w:rsidR="00F12837" w:rsidRPr="00F62144">
        <w:rPr>
          <w:rFonts w:asciiTheme="minorHAnsi" w:hAnsiTheme="minorHAnsi"/>
          <w:b/>
          <w:sz w:val="22"/>
          <w:szCs w:val="22"/>
        </w:rPr>
        <w:t>pce@pbgc.gov</w:t>
      </w:r>
      <w:r w:rsidR="00F12837" w:rsidRPr="00F62144">
        <w:rPr>
          <w:rFonts w:asciiTheme="minorHAnsi" w:hAnsiTheme="minorHAnsi"/>
          <w:sz w:val="22"/>
          <w:szCs w:val="22"/>
        </w:rPr>
        <w:t xml:space="preserve"> </w:t>
      </w:r>
    </w:p>
    <w:p w14:paraId="6E4C202D" w14:textId="77777777" w:rsidR="005D66DB" w:rsidRPr="00F62144" w:rsidRDefault="00F12837" w:rsidP="00023A8E">
      <w:pPr>
        <w:numPr>
          <w:ilvl w:val="0"/>
          <w:numId w:val="5"/>
        </w:numPr>
        <w:tabs>
          <w:tab w:val="clear" w:pos="720"/>
          <w:tab w:val="num" w:pos="540"/>
          <w:tab w:val="num" w:pos="900"/>
        </w:tabs>
        <w:autoSpaceDE w:val="0"/>
        <w:autoSpaceDN w:val="0"/>
        <w:adjustRightInd w:val="0"/>
        <w:spacing w:before="120"/>
        <w:ind w:left="540" w:hanging="54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0029128E" w:rsidRPr="00F62144">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00632E5E" w:rsidRPr="00F62144">
        <w:rPr>
          <w:rFonts w:asciiTheme="minorHAnsi" w:hAnsiTheme="minorHAnsi"/>
          <w:sz w:val="22"/>
          <w:szCs w:val="22"/>
        </w:rPr>
        <w:t>the “</w:t>
      </w:r>
      <w:hyperlink r:id="rId126" w:history="1">
        <w:r w:rsidR="00632E5E" w:rsidRPr="00F62144">
          <w:rPr>
            <w:rStyle w:val="Hyperlink"/>
            <w:rFonts w:asciiTheme="minorHAnsi" w:hAnsiTheme="minorHAnsi"/>
            <w:sz w:val="22"/>
            <w:szCs w:val="22"/>
          </w:rPr>
          <w:t>Software Developer E-filing Resources for Integrating with PBGC</w:t>
        </w:r>
      </w:hyperlink>
      <w:r w:rsidR="00632E5E" w:rsidRPr="00F62144">
        <w:rPr>
          <w:rFonts w:asciiTheme="minorHAnsi" w:hAnsiTheme="minorHAnsi"/>
          <w:sz w:val="22"/>
          <w:szCs w:val="22"/>
        </w:rPr>
        <w:t>” webpage</w:t>
      </w:r>
      <w:r w:rsidR="00E758B5" w:rsidRPr="00F62144">
        <w:rPr>
          <w:rFonts w:asciiTheme="minorHAnsi" w:hAnsiTheme="minorHAnsi"/>
          <w:sz w:val="22"/>
          <w:szCs w:val="22"/>
        </w:rPr>
        <w:t xml:space="preserve">. </w:t>
      </w:r>
      <w:r w:rsidR="00125BD1" w:rsidRPr="00F62144">
        <w:rPr>
          <w:rFonts w:asciiTheme="minorHAnsi" w:hAnsiTheme="minorHAnsi"/>
          <w:sz w:val="22"/>
          <w:szCs w:val="22"/>
        </w:rPr>
        <w:t>The link to this webpage is</w:t>
      </w:r>
      <w:r w:rsidR="00987BFE" w:rsidRPr="00F62144">
        <w:rPr>
          <w:rFonts w:asciiTheme="minorHAnsi" w:hAnsiTheme="minorHAnsi"/>
          <w:sz w:val="22"/>
          <w:szCs w:val="22"/>
        </w:rPr>
        <w:t xml:space="preserve"> found</w:t>
      </w:r>
      <w:r w:rsidR="00125BD1" w:rsidRPr="00F62144">
        <w:rPr>
          <w:rFonts w:asciiTheme="minorHAnsi" w:hAnsiTheme="minorHAnsi"/>
          <w:sz w:val="22"/>
          <w:szCs w:val="22"/>
        </w:rPr>
        <w:t xml:space="preserve"> in the </w:t>
      </w:r>
      <w:r w:rsidR="00987BFE" w:rsidRPr="00F62144">
        <w:rPr>
          <w:rFonts w:asciiTheme="minorHAnsi" w:hAnsiTheme="minorHAnsi"/>
          <w:sz w:val="22"/>
          <w:szCs w:val="22"/>
        </w:rPr>
        <w:t xml:space="preserve">section titled </w:t>
      </w:r>
      <w:r w:rsidR="00125BD1" w:rsidRPr="00F62144">
        <w:rPr>
          <w:rFonts w:asciiTheme="minorHAnsi" w:hAnsiTheme="minorHAnsi"/>
          <w:sz w:val="22"/>
          <w:szCs w:val="22"/>
        </w:rPr>
        <w:t xml:space="preserve">“Related Information” </w:t>
      </w:r>
      <w:r w:rsidR="00632E5E" w:rsidRPr="00F62144">
        <w:rPr>
          <w:rFonts w:asciiTheme="minorHAnsi" w:hAnsiTheme="minorHAnsi"/>
          <w:sz w:val="22"/>
          <w:szCs w:val="22"/>
        </w:rPr>
        <w:t xml:space="preserve">on the </w:t>
      </w:r>
      <w:r w:rsidR="00987BFE" w:rsidRPr="00F62144">
        <w:rPr>
          <w:rFonts w:asciiTheme="minorHAnsi" w:hAnsiTheme="minorHAnsi"/>
          <w:sz w:val="22"/>
          <w:szCs w:val="22"/>
        </w:rPr>
        <w:t xml:space="preserve">right side of the </w:t>
      </w:r>
      <w:r w:rsidR="00632E5E" w:rsidRPr="00F62144">
        <w:rPr>
          <w:rFonts w:asciiTheme="minorHAnsi" w:hAnsiTheme="minorHAnsi"/>
          <w:sz w:val="22"/>
          <w:szCs w:val="22"/>
        </w:rPr>
        <w:t>“</w:t>
      </w:r>
      <w:hyperlink r:id="rId127" w:history="1">
        <w:r w:rsidR="00632E5E" w:rsidRPr="00F62144">
          <w:rPr>
            <w:rStyle w:val="Hyperlink"/>
            <w:rFonts w:asciiTheme="minorHAnsi" w:hAnsiTheme="minorHAnsi"/>
            <w:sz w:val="22"/>
            <w:szCs w:val="22"/>
          </w:rPr>
          <w:t xml:space="preserve">Online Premium Filing with </w:t>
        </w:r>
        <w:r w:rsidR="00125BD1" w:rsidRPr="00F62144">
          <w:rPr>
            <w:rStyle w:val="Hyperlink"/>
            <w:rFonts w:asciiTheme="minorHAnsi" w:hAnsiTheme="minorHAnsi"/>
            <w:sz w:val="22"/>
            <w:szCs w:val="22"/>
          </w:rPr>
          <w:t>My PAA</w:t>
        </w:r>
      </w:hyperlink>
      <w:r w:rsidR="00125BD1" w:rsidRPr="00F62144">
        <w:rPr>
          <w:rFonts w:asciiTheme="minorHAnsi" w:hAnsiTheme="minorHAnsi"/>
          <w:sz w:val="22"/>
          <w:szCs w:val="22"/>
        </w:rPr>
        <w:t xml:space="preserve">” </w:t>
      </w:r>
      <w:r w:rsidR="00987BFE" w:rsidRPr="00F62144">
        <w:rPr>
          <w:rFonts w:asciiTheme="minorHAnsi" w:hAnsiTheme="minorHAnsi"/>
          <w:sz w:val="22"/>
          <w:szCs w:val="22"/>
        </w:rPr>
        <w:t>web</w:t>
      </w:r>
      <w:r w:rsidR="00125BD1" w:rsidRPr="00F62144">
        <w:rPr>
          <w:rFonts w:asciiTheme="minorHAnsi" w:hAnsiTheme="minorHAnsi"/>
          <w:sz w:val="22"/>
          <w:szCs w:val="22"/>
        </w:rPr>
        <w:t>page.</w:t>
      </w:r>
    </w:p>
    <w:p w14:paraId="797B4C0A" w14:textId="77777777" w:rsidR="0047733C" w:rsidRPr="00F62144" w:rsidRDefault="0047733C"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00AF5E94" w:rsidRPr="00F62144">
        <w:rPr>
          <w:rFonts w:asciiTheme="minorHAnsi" w:hAnsiTheme="minorHAnsi"/>
          <w:sz w:val="22"/>
          <w:szCs w:val="22"/>
        </w:rPr>
        <w:t>r</w:t>
      </w:r>
      <w:r w:rsidRPr="00F62144">
        <w:rPr>
          <w:rFonts w:asciiTheme="minorHAnsi" w:hAnsiTheme="minorHAnsi"/>
          <w:sz w:val="22"/>
          <w:szCs w:val="22"/>
        </w:rPr>
        <w:t>ough Friday, except Federal Holidays.</w:t>
      </w:r>
    </w:p>
    <w:p w14:paraId="0A2118D7"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14:paraId="32C2B7AA"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 xml:space="preserve">Note </w:t>
      </w:r>
      <w:r w:rsidRPr="00F62144">
        <w:rPr>
          <w:rFonts w:asciiTheme="minorHAnsi" w:hAnsiTheme="minorHAnsi"/>
          <w:bCs/>
          <w:sz w:val="22"/>
          <w:szCs w:val="22"/>
        </w:rPr>
        <w:t>–</w:t>
      </w:r>
      <w:r w:rsidRPr="00F62144">
        <w:rPr>
          <w:rFonts w:asciiTheme="minorHAnsi" w:hAnsiTheme="minorHAnsi"/>
          <w:sz w:val="22"/>
          <w:szCs w:val="22"/>
        </w:rPr>
        <w:t xml:space="preserve"> We cannot accept collect calls.</w:t>
      </w:r>
    </w:p>
    <w:p w14:paraId="730CBA23" w14:textId="77777777" w:rsidR="00F12837" w:rsidRPr="00F62144" w:rsidRDefault="00F12837" w:rsidP="00F12837">
      <w:pPr>
        <w:autoSpaceDE w:val="0"/>
        <w:autoSpaceDN w:val="0"/>
        <w:adjustRightInd w:val="0"/>
        <w:spacing w:before="120"/>
        <w:rPr>
          <w:rFonts w:asciiTheme="minorHAnsi" w:hAnsiTheme="minorHAnsi"/>
          <w:sz w:val="22"/>
          <w:szCs w:val="22"/>
        </w:rPr>
      </w:pPr>
    </w:p>
    <w:p w14:paraId="4A4DD88F"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2779CBEE" w14:textId="77777777" w:rsidR="00F12837" w:rsidRPr="00F62144" w:rsidRDefault="00F12837" w:rsidP="00F12837">
      <w:pPr>
        <w:autoSpaceDE w:val="0"/>
        <w:autoSpaceDN w:val="0"/>
        <w:adjustRightInd w:val="0"/>
        <w:spacing w:before="120"/>
        <w:rPr>
          <w:rFonts w:asciiTheme="minorHAnsi" w:hAnsiTheme="minorHAnsi"/>
          <w:b/>
          <w:bCs/>
          <w:sz w:val="22"/>
          <w:szCs w:val="22"/>
        </w:rPr>
        <w:sectPr w:rsidR="00F12837" w:rsidRPr="00F62144" w:rsidSect="005C4FCB">
          <w:headerReference w:type="even" r:id="rId128"/>
          <w:headerReference w:type="default" r:id="rId129"/>
          <w:headerReference w:type="first" r:id="rId130"/>
          <w:pgSz w:w="12240" w:h="15840"/>
          <w:pgMar w:top="1440" w:right="1080" w:bottom="1440" w:left="1080" w:header="720" w:footer="720" w:gutter="0"/>
          <w:cols w:space="720"/>
          <w:noEndnote/>
        </w:sectPr>
      </w:pPr>
    </w:p>
    <w:p w14:paraId="0691251C"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82" w:name="toc52"/>
      <w:bookmarkStart w:id="83" w:name="b17"/>
      <w:bookmarkEnd w:id="82"/>
      <w:bookmarkEnd w:id="83"/>
      <w:r w:rsidRPr="00F62144">
        <w:rPr>
          <w:rFonts w:asciiTheme="minorHAnsi" w:hAnsiTheme="minorHAnsi"/>
          <w:b/>
          <w:bCs/>
          <w:sz w:val="22"/>
          <w:szCs w:val="22"/>
        </w:rPr>
        <w:t>Introduction</w:t>
      </w:r>
    </w:p>
    <w:p w14:paraId="094946C4"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Plan Administration Account (My PAA) is a secure, Web-based application that enables you to electronically submit premium filings</w:t>
      </w:r>
      <w:r w:rsidR="0027684C">
        <w:rPr>
          <w:rFonts w:asciiTheme="minorHAnsi" w:hAnsiTheme="minorHAnsi"/>
          <w:sz w:val="22"/>
          <w:szCs w:val="22"/>
        </w:rPr>
        <w:t xml:space="preserve">, </w:t>
      </w:r>
      <w:r w:rsidRPr="00F62144">
        <w:rPr>
          <w:rFonts w:asciiTheme="minorHAnsi" w:hAnsiTheme="minorHAnsi"/>
          <w:sz w:val="22"/>
          <w:szCs w:val="22"/>
        </w:rPr>
        <w:t>payments</w:t>
      </w:r>
      <w:r w:rsidR="0027684C">
        <w:rPr>
          <w:rFonts w:asciiTheme="minorHAnsi" w:hAnsiTheme="minorHAnsi"/>
          <w:sz w:val="22"/>
          <w:szCs w:val="22"/>
        </w:rPr>
        <w:t>, premium refund requests, and requests for reconsideration of late payment penalties</w:t>
      </w:r>
      <w:r w:rsidRPr="00F62144">
        <w:rPr>
          <w:rFonts w:asciiTheme="minorHAnsi" w:hAnsiTheme="minorHAnsi"/>
          <w:sz w:val="22"/>
          <w:szCs w:val="22"/>
        </w:rPr>
        <w:t xml:space="preserve"> to PBGC. Although electronic filing of premium information is mandatory, payments may be made either electronically or by paper check.</w:t>
      </w:r>
    </w:p>
    <w:p w14:paraId="5B2C8B64" w14:textId="77777777" w:rsidR="0052695D"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Information about how to use My PAA may be accessed </w:t>
      </w:r>
      <w:r w:rsidR="00AA61FE">
        <w:rPr>
          <w:rFonts w:asciiTheme="minorHAnsi" w:hAnsiTheme="minorHAnsi"/>
          <w:sz w:val="22"/>
          <w:szCs w:val="22"/>
        </w:rPr>
        <w:t>on PBGC’s website</w:t>
      </w:r>
      <w:r w:rsidR="00690EEC" w:rsidRPr="00F62144">
        <w:rPr>
          <w:rStyle w:val="Hyperlink"/>
          <w:rFonts w:asciiTheme="minorHAnsi" w:hAnsiTheme="minorHAnsi"/>
          <w:sz w:val="22"/>
          <w:szCs w:val="22"/>
          <w:u w:val="none"/>
        </w:rPr>
        <w:t xml:space="preserve"> </w:t>
      </w:r>
      <w:r w:rsidRPr="00F62144">
        <w:rPr>
          <w:rFonts w:asciiTheme="minorHAnsi" w:hAnsiTheme="minorHAnsi"/>
          <w:sz w:val="22"/>
          <w:szCs w:val="22"/>
        </w:rPr>
        <w:t xml:space="preserve">as well as within the My PAA application itself. </w:t>
      </w:r>
      <w:r w:rsidR="00EF4895" w:rsidRPr="00F62144">
        <w:rPr>
          <w:rFonts w:asciiTheme="minorHAnsi" w:hAnsiTheme="minorHAnsi"/>
          <w:sz w:val="22"/>
          <w:szCs w:val="22"/>
        </w:rPr>
        <w:t>Detailed information (e.g., FAQs and Demos) is located in the “</w:t>
      </w:r>
      <w:hyperlink r:id="rId131" w:history="1">
        <w:r w:rsidR="00B36B98" w:rsidRPr="00AA61FE">
          <w:rPr>
            <w:rStyle w:val="Hyperlink"/>
            <w:rFonts w:asciiTheme="minorHAnsi" w:hAnsiTheme="minorHAnsi"/>
            <w:sz w:val="22"/>
            <w:szCs w:val="22"/>
          </w:rPr>
          <w:t>Online Premium Filing (My PAA)</w:t>
        </w:r>
        <w:r w:rsidR="00EF4895" w:rsidRPr="00AA61FE">
          <w:rPr>
            <w:rStyle w:val="Hyperlink"/>
            <w:rFonts w:asciiTheme="minorHAnsi" w:hAnsiTheme="minorHAnsi"/>
            <w:sz w:val="22"/>
            <w:szCs w:val="22"/>
          </w:rPr>
          <w:t>”</w:t>
        </w:r>
      </w:hyperlink>
      <w:r w:rsidR="00EF4895" w:rsidRPr="00F62144">
        <w:rPr>
          <w:rFonts w:asciiTheme="minorHAnsi" w:hAnsiTheme="minorHAnsi"/>
          <w:sz w:val="22"/>
          <w:szCs w:val="22"/>
        </w:rPr>
        <w:t xml:space="preserve"> section</w:t>
      </w:r>
      <w:r w:rsidR="0052695D">
        <w:rPr>
          <w:rFonts w:asciiTheme="minorHAnsi" w:hAnsiTheme="minorHAnsi"/>
          <w:sz w:val="22"/>
          <w:szCs w:val="22"/>
        </w:rPr>
        <w:t xml:space="preserve"> (accessible via the </w:t>
      </w:r>
      <w:hyperlink r:id="rId132" w:history="1">
        <w:r w:rsidR="00106722">
          <w:rPr>
            <w:rStyle w:val="Hyperlink"/>
            <w:rFonts w:asciiTheme="minorHAnsi" w:hAnsiTheme="minorHAnsi"/>
            <w:sz w:val="22"/>
            <w:szCs w:val="22"/>
          </w:rPr>
          <w:t>Employers and Practitioners</w:t>
        </w:r>
        <w:r w:rsidR="0052695D" w:rsidRPr="00F62144">
          <w:rPr>
            <w:rStyle w:val="Hyperlink"/>
            <w:rFonts w:asciiTheme="minorHAnsi" w:hAnsiTheme="minorHAnsi"/>
            <w:sz w:val="22"/>
            <w:szCs w:val="22"/>
          </w:rPr>
          <w:t xml:space="preserve"> Page</w:t>
        </w:r>
      </w:hyperlink>
      <w:r w:rsidR="0052695D" w:rsidRPr="00F62144">
        <w:rPr>
          <w:rFonts w:asciiTheme="minorHAnsi" w:hAnsiTheme="minorHAnsi"/>
          <w:sz w:val="22"/>
          <w:szCs w:val="22"/>
        </w:rPr>
        <w:t xml:space="preserve"> </w:t>
      </w:r>
      <w:r w:rsidR="0052695D">
        <w:rPr>
          <w:rFonts w:asciiTheme="minorHAnsi" w:hAnsiTheme="minorHAnsi"/>
          <w:sz w:val="22"/>
          <w:szCs w:val="22"/>
        </w:rPr>
        <w:t>of PBGC’s website</w:t>
      </w:r>
      <w:r w:rsidR="00AD4C53">
        <w:rPr>
          <w:rFonts w:asciiTheme="minorHAnsi" w:hAnsiTheme="minorHAnsi"/>
          <w:sz w:val="22"/>
          <w:szCs w:val="22"/>
        </w:rPr>
        <w:t>)</w:t>
      </w:r>
      <w:r w:rsidR="0052695D">
        <w:rPr>
          <w:rFonts w:asciiTheme="minorHAnsi" w:hAnsiTheme="minorHAnsi"/>
          <w:sz w:val="22"/>
          <w:szCs w:val="22"/>
        </w:rPr>
        <w:t>.</w:t>
      </w:r>
    </w:p>
    <w:p w14:paraId="56EC7263"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To use My PAA, you must set up a My PAA account which includes a user ID and password. Each My PAA user needs only one account, which can include an unlimited number of plans. </w:t>
      </w:r>
    </w:p>
    <w:p w14:paraId="47ED31D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 offers three e-filing methods:</w:t>
      </w:r>
    </w:p>
    <w:p w14:paraId="719E7BFE" w14:textId="77777777" w:rsidR="00F12837" w:rsidRPr="00F62144" w:rsidRDefault="00F12837" w:rsidP="00023A8E">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My PAA’s data entry and editing screens to create a filing; route it to others for review, editing, and electronic certification; and submit it electronically to PBGC. Each person who participates in the electronic processing of the filing must have a My PAA account. </w:t>
      </w:r>
    </w:p>
    <w:p w14:paraId="6807AC84" w14:textId="77777777" w:rsidR="00F12837" w:rsidRPr="00F62144" w:rsidRDefault="00F12837" w:rsidP="00023A8E">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import the filing data into My PAA’s data entry and editing screens for routing, review, editing, electronic certification, and electronic submission to PBGC. Each person who participates in the electronic processing of the filing must have a My PAA account. </w:t>
      </w:r>
    </w:p>
    <w:p w14:paraId="09723DDD" w14:textId="77777777" w:rsidR="00F12837" w:rsidRPr="00F62144" w:rsidRDefault="00F12837" w:rsidP="00023A8E">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upload the filing to PBGC via the My PAA application. The filing cannot be routed, reviewed, or edited in My PAA. In most cases, a paper copy or copies of the filing must be certified outside of My PAA </w:t>
      </w:r>
      <w:r w:rsidR="00D33027" w:rsidRPr="00F62144">
        <w:rPr>
          <w:rFonts w:asciiTheme="minorHAnsi" w:hAnsiTheme="minorHAnsi"/>
          <w:sz w:val="22"/>
          <w:szCs w:val="22"/>
        </w:rPr>
        <w:t xml:space="preserve">(before the filing is uploaded) </w:t>
      </w:r>
      <w:r w:rsidRPr="00F62144">
        <w:rPr>
          <w:rFonts w:asciiTheme="minorHAnsi" w:hAnsiTheme="minorHAnsi"/>
          <w:sz w:val="22"/>
          <w:szCs w:val="22"/>
        </w:rPr>
        <w:t xml:space="preserve">and retained in plan records. Only the person who uploads the filing must have a My PAA account. </w:t>
      </w:r>
    </w:p>
    <w:p w14:paraId="7EBC0F10"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0F9AD978"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84" w:name="b28"/>
      <w:bookmarkEnd w:id="84"/>
      <w:r w:rsidRPr="00F62144">
        <w:rPr>
          <w:rFonts w:asciiTheme="minorHAnsi" w:hAnsiTheme="minorHAnsi"/>
          <w:b/>
          <w:bCs/>
          <w:sz w:val="22"/>
          <w:szCs w:val="22"/>
        </w:rPr>
        <w:t>My PAA’s Data Entry and Editing Screens</w:t>
      </w:r>
    </w:p>
    <w:p w14:paraId="42957F6D"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Entering information</w:t>
      </w:r>
    </w:p>
    <w:p w14:paraId="7C46403A"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PAA’s data entry and editing screens walk you through a step-by-step process to create a premium filing. For example, in the first step you identify the type of plan (Single-employer or Multiemployer) for which the filing is being submitted, and the plan year. Instructions are provided at each step.</w:t>
      </w:r>
    </w:p>
    <w:p w14:paraId="2E1AE3C9"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information entered in each step determines the content of the successive steps. For example, if you indicate that you are preparing a comprehensive premium filing for a Single-employer Plan, the later steps will request information needed to determine the amount of the Variable-rate Premium (if applicable). However, if you indicate that you are preparing a comprehensive premium filing for a Multiemployer Plan, the Variable-Rate Premium screens will be suppressed. </w:t>
      </w:r>
    </w:p>
    <w:p w14:paraId="58A17374"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required mathematical calculations are automated. For example, My PAA automatically multiplies your Participant Count by the applicable flat premium rate to generate the Flat-rate Premium.</w:t>
      </w:r>
    </w:p>
    <w:p w14:paraId="44D71663"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br w:type="page"/>
        <w:t>E-filing team</w:t>
      </w:r>
    </w:p>
    <w:p w14:paraId="0A82A75D"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Multiple people can contribute to a plan’s filing in My PAA’s data entry and editing screens. For example, some information might be entered by the Plan Administrator and other information by an actuary. The people authorized to contribute to a plan’s premium filing in My PAA’s data entry and editing screens are those who have the plan in their My PAA accounts, and are referred to as the plan’s “e-filing team.”</w:t>
      </w:r>
    </w:p>
    <w:p w14:paraId="515B54A1"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Routing filings</w:t>
      </w:r>
    </w:p>
    <w:p w14:paraId="37CA8705" w14:textId="77777777"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Filings in progress can be routed among e-filing team members through My PAA for input, review, editing, e-certification of information, authorization of payment, and submission to PBGC. The person routing the filing to another member of the e-filing team can provide comments and instructions for the person to whom the filing is being routed. My PAA sends that person an e-mail notice (with the comments and instructions) stating that the filing has been routed for the recipient’s action and that the recipient is now “holding” that filing. After all information has been provided and certified, and payment (if any) has been authorized, the filing can be electronically submitted to PBGC by the Plan Administrator or Filing Coordinator.</w:t>
      </w:r>
    </w:p>
    <w:p w14:paraId="6FAA9F2F" w14:textId="77777777" w:rsidR="00D11F9D" w:rsidRPr="00D11F9D" w:rsidRDefault="00D11F9D" w:rsidP="00F12837">
      <w:pPr>
        <w:autoSpaceDE w:val="0"/>
        <w:autoSpaceDN w:val="0"/>
        <w:adjustRightInd w:val="0"/>
        <w:spacing w:before="120"/>
        <w:rPr>
          <w:rFonts w:asciiTheme="minorHAnsi" w:hAnsiTheme="minorHAnsi"/>
          <w:sz w:val="22"/>
          <w:szCs w:val="22"/>
        </w:rPr>
      </w:pPr>
    </w:p>
    <w:p w14:paraId="7FA9BC24"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Using Private-Sector Software with My PAA</w:t>
      </w:r>
    </w:p>
    <w:p w14:paraId="2DA3AAD7"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Compatibility with My PAA</w:t>
      </w:r>
    </w:p>
    <w:p w14:paraId="7ADDB406"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You can use private-sector software to prepare a premium e-filing, but the software you use must be compatible with My PAA. That means that the software must be able to place your filing in an electronic file that is in “XML” format and meets PBGC specifications. The specifications are posted on </w:t>
      </w:r>
      <w:r w:rsidR="002B0B38" w:rsidRPr="00F62144">
        <w:rPr>
          <w:rFonts w:asciiTheme="minorHAnsi" w:hAnsiTheme="minorHAnsi"/>
          <w:sz w:val="22"/>
          <w:szCs w:val="22"/>
        </w:rPr>
        <w:t>the “</w:t>
      </w:r>
      <w:hyperlink r:id="rId133" w:history="1">
        <w:r w:rsidR="002B0B38" w:rsidRPr="00AA61FE">
          <w:rPr>
            <w:rStyle w:val="Hyperlink"/>
            <w:rFonts w:asciiTheme="minorHAnsi" w:hAnsiTheme="minorHAnsi"/>
            <w:sz w:val="22"/>
            <w:szCs w:val="22"/>
          </w:rPr>
          <w:t>Online Premium Filing (My PAA)”</w:t>
        </w:r>
      </w:hyperlink>
      <w:r w:rsidR="002B0B38" w:rsidRPr="00F62144">
        <w:rPr>
          <w:rFonts w:asciiTheme="minorHAnsi" w:hAnsiTheme="minorHAnsi"/>
          <w:sz w:val="22"/>
          <w:szCs w:val="22"/>
        </w:rPr>
        <w:t xml:space="preserve"> </w:t>
      </w:r>
      <w:r w:rsidR="002B0B38">
        <w:rPr>
          <w:rFonts w:asciiTheme="minorHAnsi" w:hAnsiTheme="minorHAnsi"/>
          <w:sz w:val="22"/>
          <w:szCs w:val="22"/>
        </w:rPr>
        <w:t>webpage</w:t>
      </w:r>
      <w:r w:rsidRPr="00F62144">
        <w:rPr>
          <w:rFonts w:asciiTheme="minorHAnsi" w:hAnsiTheme="minorHAnsi"/>
          <w:sz w:val="22"/>
          <w:szCs w:val="22"/>
        </w:rPr>
        <w:t xml:space="preserve">. Private-sector software providers and developers submit to PBGC sample filings in XML format for PBGC review and assignment of vendor numbers; you should </w:t>
      </w:r>
      <w:r w:rsidR="00193251" w:rsidRPr="00F62144">
        <w:rPr>
          <w:rFonts w:asciiTheme="minorHAnsi" w:hAnsiTheme="minorHAnsi"/>
          <w:sz w:val="22"/>
          <w:szCs w:val="22"/>
        </w:rPr>
        <w:t xml:space="preserve">review PBGC’s Web site or </w:t>
      </w:r>
      <w:r w:rsidRPr="00F62144">
        <w:rPr>
          <w:rFonts w:asciiTheme="minorHAnsi" w:hAnsiTheme="minorHAnsi"/>
          <w:sz w:val="22"/>
          <w:szCs w:val="22"/>
        </w:rPr>
        <w:t>check with your software provider or developer to find out whether your software is capable of creating an XML file in the proper format for use with My PAA. If your compatible private-sector software permits, you can create batch files containing more than one premium filing for use with My PAA.</w:t>
      </w:r>
    </w:p>
    <w:p w14:paraId="265033AE"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Importing a filing</w:t>
      </w:r>
    </w:p>
    <w:p w14:paraId="6DDB6A75"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be “imported” into My PAA’s data entry and editing screens. That means that the information in the filing is placed into the data entry and editing screens and can then be electronically routed, reviewed, edited, certified, and submitted to PBGC as </w:t>
      </w:r>
      <w:r w:rsidR="002B0B38">
        <w:rPr>
          <w:rFonts w:asciiTheme="minorHAnsi" w:hAnsiTheme="minorHAnsi"/>
          <w:sz w:val="22"/>
          <w:szCs w:val="22"/>
        </w:rPr>
        <w:t xml:space="preserve">previously </w:t>
      </w:r>
      <w:r w:rsidRPr="00F62144">
        <w:rPr>
          <w:rFonts w:asciiTheme="minorHAnsi" w:hAnsiTheme="minorHAnsi"/>
          <w:sz w:val="22"/>
          <w:szCs w:val="22"/>
        </w:rPr>
        <w:t xml:space="preserve">described </w:t>
      </w:r>
      <w:r w:rsidR="002B0B38">
        <w:rPr>
          <w:rFonts w:asciiTheme="minorHAnsi" w:hAnsiTheme="minorHAnsi"/>
          <w:sz w:val="22"/>
          <w:szCs w:val="22"/>
        </w:rPr>
        <w:t>in the</w:t>
      </w:r>
      <w:r w:rsidRPr="00F62144">
        <w:rPr>
          <w:rFonts w:asciiTheme="minorHAnsi" w:hAnsiTheme="minorHAnsi"/>
          <w:sz w:val="22"/>
          <w:szCs w:val="22"/>
        </w:rPr>
        <w:t xml:space="preserve"> </w:t>
      </w:r>
      <w:hyperlink w:anchor="b28" w:history="1">
        <w:r w:rsidRPr="00F62144">
          <w:rPr>
            <w:rStyle w:val="Hyperlink"/>
            <w:rFonts w:asciiTheme="minorHAnsi" w:hAnsiTheme="minorHAnsi"/>
            <w:sz w:val="22"/>
            <w:szCs w:val="22"/>
          </w:rPr>
          <w:t>My PAA’s Data Entry and Editing Screens</w:t>
        </w:r>
      </w:hyperlink>
      <w:r w:rsidR="002B0B38">
        <w:rPr>
          <w:rFonts w:asciiTheme="minorHAnsi" w:hAnsiTheme="minorHAnsi"/>
          <w:sz w:val="22"/>
          <w:szCs w:val="22"/>
        </w:rPr>
        <w:t xml:space="preserve"> section</w:t>
      </w:r>
      <w:r w:rsidRPr="00F62144">
        <w:rPr>
          <w:rFonts w:asciiTheme="minorHAnsi" w:hAnsiTheme="minorHAnsi"/>
          <w:sz w:val="22"/>
          <w:szCs w:val="22"/>
        </w:rPr>
        <w:t>. To import a filing for a plan, the plan must be in your My PAA account. My</w:t>
      </w:r>
      <w:r w:rsidR="00071203" w:rsidRPr="00F62144">
        <w:rPr>
          <w:rFonts w:asciiTheme="minorHAnsi" w:hAnsiTheme="minorHAnsi"/>
          <w:sz w:val="22"/>
          <w:szCs w:val="22"/>
        </w:rPr>
        <w:t> </w:t>
      </w:r>
      <w:r w:rsidRPr="00F62144">
        <w:rPr>
          <w:rFonts w:asciiTheme="minorHAnsi" w:hAnsiTheme="minorHAnsi"/>
          <w:sz w:val="22"/>
          <w:szCs w:val="22"/>
        </w:rPr>
        <w:t xml:space="preserve">PAA provides instructions for importing filings. </w:t>
      </w:r>
      <w:r w:rsidR="00193251" w:rsidRPr="00F62144">
        <w:rPr>
          <w:rFonts w:asciiTheme="minorHAnsi" w:hAnsiTheme="minorHAnsi"/>
          <w:sz w:val="22"/>
          <w:szCs w:val="22"/>
        </w:rPr>
        <w:t>My PAA’s import feature also allows multiple filings to be imported at the same time.</w:t>
      </w:r>
    </w:p>
    <w:p w14:paraId="158FF8F3"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Uploading a filing</w:t>
      </w:r>
    </w:p>
    <w:p w14:paraId="4F4E523A"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 premium filing that has been prepared with compatible private-sector software can also be “uploaded” through My PAA. That means that the fully-completed filing is submitted directly to PBGC and, therefore, cannot be reviewed or edited in My PAA before submission to PBGC. My</w:t>
      </w:r>
      <w:r w:rsidR="00B91839" w:rsidRPr="00F62144">
        <w:rPr>
          <w:rFonts w:asciiTheme="minorHAnsi" w:hAnsiTheme="minorHAnsi"/>
          <w:sz w:val="22"/>
          <w:szCs w:val="22"/>
        </w:rPr>
        <w:t> </w:t>
      </w:r>
      <w:r w:rsidRPr="00F62144">
        <w:rPr>
          <w:rFonts w:asciiTheme="minorHAnsi" w:hAnsiTheme="minorHAnsi"/>
          <w:sz w:val="22"/>
          <w:szCs w:val="22"/>
        </w:rPr>
        <w:t>PAA’s upload feature also allows multiple filings to be uploaded at the same time (</w:t>
      </w:r>
      <w:r w:rsidRPr="00F62144">
        <w:rPr>
          <w:rFonts w:asciiTheme="minorHAnsi" w:hAnsiTheme="minorHAnsi"/>
          <w:i/>
          <w:sz w:val="22"/>
          <w:szCs w:val="22"/>
        </w:rPr>
        <w:t>i.e.</w:t>
      </w:r>
      <w:r w:rsidR="00111F10" w:rsidRPr="00F62144">
        <w:rPr>
          <w:rFonts w:asciiTheme="minorHAnsi" w:hAnsiTheme="minorHAnsi"/>
          <w:sz w:val="22"/>
          <w:szCs w:val="22"/>
        </w:rPr>
        <w:t>, a batch upload).</w:t>
      </w:r>
    </w:p>
    <w:p w14:paraId="0AB54DA5" w14:textId="77777777" w:rsidR="00F4417F" w:rsidRDefault="00F4417F">
      <w:pPr>
        <w:rPr>
          <w:rFonts w:asciiTheme="minorHAnsi" w:hAnsiTheme="minorHAnsi"/>
          <w:sz w:val="22"/>
          <w:szCs w:val="22"/>
        </w:rPr>
      </w:pPr>
      <w:r>
        <w:rPr>
          <w:rFonts w:asciiTheme="minorHAnsi" w:hAnsiTheme="minorHAnsi"/>
          <w:sz w:val="22"/>
          <w:szCs w:val="22"/>
        </w:rPr>
        <w:br w:type="page"/>
      </w:r>
    </w:p>
    <w:p w14:paraId="68706CDC" w14:textId="77777777"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upload a filing for a plan, the plan need not be in your My PAA account, but you must have a My PAA account with at least one plan in it. You must electronically certify in My PAA that you have authority to submit the filing for the plan, but in most cases the information in the filing must be certified on paper outside My PAA</w:t>
      </w:r>
      <w:r w:rsidR="00D33027" w:rsidRPr="00F62144">
        <w:rPr>
          <w:rFonts w:asciiTheme="minorHAnsi" w:hAnsiTheme="minorHAnsi"/>
          <w:sz w:val="22"/>
          <w:szCs w:val="22"/>
        </w:rPr>
        <w:t xml:space="preserve"> before the filing is uploaded</w:t>
      </w:r>
      <w:r w:rsidRPr="00F62144">
        <w:rPr>
          <w:rFonts w:asciiTheme="minorHAnsi" w:hAnsiTheme="minorHAnsi"/>
          <w:sz w:val="22"/>
          <w:szCs w:val="22"/>
        </w:rPr>
        <w:t>, and the certified information must be retained in plan records. (The Plan Administrator’s (or enrolled actuary’s) certification can be made on-line if it is the Plan Administrator (or enrolled actuary) who uploads the filing.) My PAA provides instructions for uploading filings and for certifying the information in uploaded filings.</w:t>
      </w:r>
    </w:p>
    <w:p w14:paraId="3C0D1D6C" w14:textId="77777777" w:rsidR="00D11F9D" w:rsidRPr="00F62144" w:rsidRDefault="00D11F9D" w:rsidP="00F12837">
      <w:pPr>
        <w:autoSpaceDE w:val="0"/>
        <w:autoSpaceDN w:val="0"/>
        <w:adjustRightInd w:val="0"/>
        <w:spacing w:before="120"/>
        <w:rPr>
          <w:rFonts w:asciiTheme="minorHAnsi" w:hAnsiTheme="minorHAnsi"/>
          <w:sz w:val="22"/>
          <w:szCs w:val="22"/>
        </w:rPr>
      </w:pPr>
    </w:p>
    <w:p w14:paraId="5E2E887B"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Filing Coordinator</w:t>
      </w:r>
    </w:p>
    <w:p w14:paraId="3A36C521"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 central role in the e-filing process is played by the “filing coordinator,” who is the person designated by the plan or Plan Sponsor to be responsible for coordinating the plan’s on-line premium filings. The filing coordinator for a plan is the one who adds that plan to the account of each other person in the e-filing team and assigns each e-filing team member one or more filing roles, such as the authority to certify a filing (</w:t>
      </w:r>
      <w:r w:rsidRPr="00F62144">
        <w:rPr>
          <w:rFonts w:asciiTheme="minorHAnsi" w:hAnsiTheme="minorHAnsi"/>
          <w:i/>
          <w:iCs/>
          <w:sz w:val="22"/>
          <w:szCs w:val="22"/>
        </w:rPr>
        <w:t>e.g.</w:t>
      </w:r>
      <w:r w:rsidRPr="00F62144">
        <w:rPr>
          <w:rFonts w:asciiTheme="minorHAnsi" w:hAnsiTheme="minorHAnsi"/>
          <w:sz w:val="22"/>
          <w:szCs w:val="22"/>
        </w:rPr>
        <w:t>, as the Plan Administrator). My PAA provides instructions for becoming a plan’s filing coordinator, adding plans, adding e</w:t>
      </w:r>
      <w:r w:rsidR="00AF75D4" w:rsidRPr="00F62144">
        <w:rPr>
          <w:rFonts w:asciiTheme="minorHAnsi" w:hAnsiTheme="minorHAnsi"/>
          <w:sz w:val="22"/>
          <w:szCs w:val="22"/>
        </w:rPr>
        <w:noBreakHyphen/>
      </w:r>
      <w:r w:rsidRPr="00F62144">
        <w:rPr>
          <w:rFonts w:asciiTheme="minorHAnsi" w:hAnsiTheme="minorHAnsi"/>
          <w:sz w:val="22"/>
          <w:szCs w:val="22"/>
        </w:rPr>
        <w:t>filing team members, assigning roles, etc.</w:t>
      </w:r>
    </w:p>
    <w:p w14:paraId="623552C9" w14:textId="77777777" w:rsidR="00F12837" w:rsidRPr="00F62144" w:rsidRDefault="00F12837" w:rsidP="00F12837">
      <w:pPr>
        <w:autoSpaceDE w:val="0"/>
        <w:autoSpaceDN w:val="0"/>
        <w:adjustRightInd w:val="0"/>
        <w:spacing w:before="120"/>
        <w:rPr>
          <w:rFonts w:asciiTheme="minorHAnsi" w:hAnsiTheme="minorHAnsi"/>
          <w:b/>
          <w:bCs/>
          <w:sz w:val="22"/>
          <w:szCs w:val="22"/>
        </w:rPr>
      </w:pPr>
    </w:p>
    <w:p w14:paraId="32B5D405" w14:textId="77777777" w:rsidR="00F12837" w:rsidRPr="00F62144" w:rsidRDefault="00F12837" w:rsidP="00F12837">
      <w:pPr>
        <w:autoSpaceDE w:val="0"/>
        <w:autoSpaceDN w:val="0"/>
        <w:adjustRightInd w:val="0"/>
        <w:spacing w:before="120"/>
        <w:rPr>
          <w:rFonts w:asciiTheme="minorHAnsi" w:hAnsiTheme="minorHAnsi"/>
          <w:b/>
          <w:bCs/>
          <w:sz w:val="22"/>
          <w:szCs w:val="22"/>
        </w:rPr>
      </w:pPr>
      <w:bookmarkStart w:id="85" w:name="b11"/>
      <w:bookmarkEnd w:id="85"/>
      <w:r w:rsidRPr="00F62144">
        <w:rPr>
          <w:rFonts w:asciiTheme="minorHAnsi" w:hAnsiTheme="minorHAnsi"/>
          <w:b/>
          <w:bCs/>
          <w:sz w:val="22"/>
          <w:szCs w:val="22"/>
        </w:rPr>
        <w:t>P</w:t>
      </w:r>
      <w:r w:rsidR="003D4FA6" w:rsidRPr="00F62144">
        <w:rPr>
          <w:rFonts w:asciiTheme="minorHAnsi" w:hAnsiTheme="minorHAnsi"/>
          <w:b/>
          <w:bCs/>
          <w:sz w:val="22"/>
          <w:szCs w:val="22"/>
        </w:rPr>
        <w:t>remium P</w:t>
      </w:r>
      <w:r w:rsidRPr="00F62144">
        <w:rPr>
          <w:rFonts w:asciiTheme="minorHAnsi" w:hAnsiTheme="minorHAnsi"/>
          <w:b/>
          <w:bCs/>
          <w:sz w:val="22"/>
          <w:szCs w:val="22"/>
        </w:rPr>
        <w:t xml:space="preserve">ayment Options </w:t>
      </w:r>
    </w:p>
    <w:p w14:paraId="049385FB" w14:textId="77777777" w:rsidR="003D4FA6"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owe a premium, </w:t>
      </w:r>
      <w:r w:rsidR="003D4FA6" w:rsidRPr="00F62144">
        <w:rPr>
          <w:rFonts w:asciiTheme="minorHAnsi" w:hAnsiTheme="minorHAnsi"/>
          <w:sz w:val="22"/>
          <w:szCs w:val="22"/>
        </w:rPr>
        <w:t>there are several ways to submit payment:</w:t>
      </w:r>
    </w:p>
    <w:p w14:paraId="2A87B092" w14:textId="77777777" w:rsidR="00915C07" w:rsidRDefault="009426CE" w:rsidP="002119EF">
      <w:pPr>
        <w:numPr>
          <w:ilvl w:val="0"/>
          <w:numId w:val="4"/>
        </w:numPr>
        <w:tabs>
          <w:tab w:val="clear" w:pos="720"/>
          <w:tab w:val="num" w:pos="360"/>
        </w:tabs>
        <w:autoSpaceDE w:val="0"/>
        <w:autoSpaceDN w:val="0"/>
        <w:spacing w:before="120"/>
        <w:ind w:left="360" w:hanging="270"/>
        <w:rPr>
          <w:rFonts w:asciiTheme="minorHAnsi" w:hAnsiTheme="minorHAnsi"/>
          <w:sz w:val="22"/>
        </w:rPr>
      </w:pPr>
      <w:r w:rsidRPr="002119EF">
        <w:rPr>
          <w:rFonts w:asciiTheme="minorHAnsi" w:hAnsiTheme="minorHAnsi"/>
          <w:sz w:val="22"/>
        </w:rPr>
        <w:t>Automated Clearing House (ACH) payment w</w:t>
      </w:r>
      <w:r w:rsidR="003D4FA6" w:rsidRPr="002119EF">
        <w:rPr>
          <w:rFonts w:asciiTheme="minorHAnsi" w:hAnsiTheme="minorHAnsi"/>
          <w:sz w:val="22"/>
        </w:rPr>
        <w:t>ithin My PAA:</w:t>
      </w:r>
      <w:r w:rsidR="003B0739" w:rsidRPr="002119EF">
        <w:rPr>
          <w:rFonts w:asciiTheme="minorHAnsi" w:hAnsiTheme="minorHAnsi"/>
          <w:sz w:val="22"/>
        </w:rPr>
        <w:t xml:space="preserve"> </w:t>
      </w:r>
      <w:r w:rsidR="00082986" w:rsidRPr="002119EF">
        <w:rPr>
          <w:rFonts w:asciiTheme="minorHAnsi" w:hAnsiTheme="minorHAnsi"/>
          <w:sz w:val="22"/>
        </w:rPr>
        <w:t xml:space="preserve">This </w:t>
      </w:r>
      <w:r w:rsidR="002119EF" w:rsidRPr="002119EF">
        <w:rPr>
          <w:rFonts w:asciiTheme="minorHAnsi" w:hAnsiTheme="minorHAnsi"/>
          <w:sz w:val="22"/>
        </w:rPr>
        <w:t xml:space="preserve">is an </w:t>
      </w:r>
      <w:r w:rsidR="00082986" w:rsidRPr="002119EF">
        <w:rPr>
          <w:rFonts w:asciiTheme="minorHAnsi" w:hAnsiTheme="minorHAnsi"/>
          <w:sz w:val="22"/>
        </w:rPr>
        <w:t>electronic transfer of funds from an account that you specify by entering your account number and bank routing number.</w:t>
      </w:r>
      <w:r w:rsidRPr="002119EF">
        <w:rPr>
          <w:rFonts w:asciiTheme="minorHAnsi" w:hAnsiTheme="minorHAnsi"/>
          <w:sz w:val="22"/>
        </w:rPr>
        <w:t xml:space="preserve">  </w:t>
      </w:r>
      <w:r w:rsidR="002119EF" w:rsidRPr="002119EF">
        <w:rPr>
          <w:rFonts w:asciiTheme="minorHAnsi" w:hAnsiTheme="minorHAnsi"/>
          <w:sz w:val="22"/>
        </w:rPr>
        <w:t>Additional information about this</w:t>
      </w:r>
      <w:r w:rsidR="00915C07" w:rsidRPr="002119EF">
        <w:rPr>
          <w:rFonts w:asciiTheme="minorHAnsi" w:hAnsiTheme="minorHAnsi"/>
          <w:sz w:val="22"/>
        </w:rPr>
        <w:t xml:space="preserve"> payment option is available in My PAA.</w:t>
      </w:r>
      <w:r w:rsidR="002119EF" w:rsidRPr="002119EF">
        <w:rPr>
          <w:rFonts w:asciiTheme="minorHAnsi" w:hAnsiTheme="minorHAnsi"/>
          <w:sz w:val="22"/>
        </w:rPr>
        <w:t xml:space="preserve"> </w:t>
      </w:r>
      <w:r w:rsidR="002119EF">
        <w:rPr>
          <w:rFonts w:asciiTheme="minorHAnsi" w:hAnsiTheme="minorHAnsi"/>
          <w:sz w:val="22"/>
        </w:rPr>
        <w:t xml:space="preserve"> This option is </w:t>
      </w:r>
      <w:r w:rsidR="002119EF" w:rsidRPr="002119EF">
        <w:rPr>
          <w:rFonts w:asciiTheme="minorHAnsi" w:hAnsiTheme="minorHAnsi"/>
          <w:sz w:val="22"/>
        </w:rPr>
        <w:t>not available if you are uploading multiple filings at the same time (i.e., batch uploads). </w:t>
      </w:r>
    </w:p>
    <w:p w14:paraId="328DA855" w14:textId="77777777" w:rsidR="008E1243" w:rsidRPr="008E1243" w:rsidRDefault="008E1243" w:rsidP="008A4DA8">
      <w:pPr>
        <w:numPr>
          <w:ilvl w:val="0"/>
          <w:numId w:val="4"/>
        </w:numPr>
        <w:tabs>
          <w:tab w:val="clear" w:pos="720"/>
          <w:tab w:val="num" w:pos="360"/>
        </w:tabs>
        <w:autoSpaceDE w:val="0"/>
        <w:autoSpaceDN w:val="0"/>
        <w:spacing w:before="120"/>
        <w:ind w:left="360"/>
        <w:rPr>
          <w:rFonts w:asciiTheme="minorHAnsi" w:hAnsiTheme="minorHAnsi"/>
          <w:sz w:val="22"/>
        </w:rPr>
      </w:pPr>
      <w:r w:rsidRPr="008E1243">
        <w:rPr>
          <w:rFonts w:asciiTheme="minorHAnsi" w:hAnsiTheme="minorHAnsi"/>
          <w:sz w:val="22"/>
        </w:rPr>
        <w:t xml:space="preserve">Electronic Payment via </w:t>
      </w:r>
      <w:hyperlink r:id="rId134" w:history="1">
        <w:r w:rsidRPr="008E1243">
          <w:rPr>
            <w:rStyle w:val="Hyperlink"/>
            <w:rFonts w:asciiTheme="minorHAnsi" w:hAnsiTheme="minorHAnsi"/>
            <w:color w:val="auto"/>
            <w:sz w:val="22"/>
            <w:u w:val="none"/>
          </w:rPr>
          <w:t>Pay.gov</w:t>
        </w:r>
      </w:hyperlink>
      <w:r w:rsidRPr="008E1243">
        <w:rPr>
          <w:rStyle w:val="Hyperlink"/>
          <w:rFonts w:asciiTheme="minorHAnsi" w:hAnsiTheme="minorHAnsi"/>
          <w:color w:val="auto"/>
          <w:sz w:val="22"/>
          <w:u w:val="none"/>
        </w:rPr>
        <w:t xml:space="preserve">: </w:t>
      </w:r>
      <w:r w:rsidRPr="008E1243">
        <w:rPr>
          <w:rFonts w:asciiTheme="minorHAnsi" w:hAnsiTheme="minorHAnsi"/>
          <w:sz w:val="22"/>
        </w:rPr>
        <w:t xml:space="preserve"> This is a website from which you can make secure electronic payments directly to many Federal Agencies, including PBGC.  It involves entering information about your plan (i.e., EIN, plan number, the date the applicable plan year began, information about the account from which payment will be made) and then authorizing payment.  To pay using this option, go to </w:t>
      </w:r>
      <w:hyperlink r:id="rId135" w:history="1">
        <w:r w:rsidRPr="008E1243">
          <w:rPr>
            <w:rStyle w:val="Hyperlink"/>
            <w:rFonts w:asciiTheme="minorHAnsi" w:hAnsiTheme="minorHAnsi"/>
            <w:sz w:val="22"/>
          </w:rPr>
          <w:t>www.pay.gov</w:t>
        </w:r>
      </w:hyperlink>
      <w:r w:rsidRPr="008E1243">
        <w:rPr>
          <w:rFonts w:asciiTheme="minorHAnsi" w:hAnsiTheme="minorHAnsi"/>
          <w:sz w:val="22"/>
        </w:rPr>
        <w:t xml:space="preserve">  and select Pension Benefit Guaranty Corporation from the “Find an Agency” List, and then select PBGC’s online Premium Insurance Payments Form.  </w:t>
      </w:r>
    </w:p>
    <w:p w14:paraId="7F7F8FCE" w14:textId="77777777" w:rsidR="00915C07" w:rsidRPr="00F62144" w:rsidRDefault="00915C07" w:rsidP="00023A8E">
      <w:pPr>
        <w:numPr>
          <w:ilvl w:val="0"/>
          <w:numId w:val="47"/>
        </w:numPr>
        <w:autoSpaceDE w:val="0"/>
        <w:autoSpaceDN w:val="0"/>
        <w:spacing w:before="120"/>
        <w:ind w:left="360"/>
        <w:rPr>
          <w:rFonts w:asciiTheme="minorHAnsi" w:hAnsiTheme="minorHAnsi"/>
          <w:sz w:val="22"/>
        </w:rPr>
      </w:pPr>
      <w:r w:rsidRPr="00F62144">
        <w:rPr>
          <w:rFonts w:asciiTheme="minorHAnsi" w:hAnsiTheme="minorHAnsi"/>
          <w:sz w:val="22"/>
        </w:rPr>
        <w:t xml:space="preserve">Paper Check:  You can mail a paper check to our premium lockbox.  </w:t>
      </w:r>
    </w:p>
    <w:p w14:paraId="5BBCC440" w14:textId="77777777" w:rsidR="009E2BE7" w:rsidRDefault="00915C07" w:rsidP="001034DF">
      <w:pPr>
        <w:numPr>
          <w:ilvl w:val="0"/>
          <w:numId w:val="47"/>
        </w:numPr>
        <w:autoSpaceDE w:val="0"/>
        <w:autoSpaceDN w:val="0"/>
        <w:spacing w:before="120"/>
        <w:ind w:left="360"/>
        <w:rPr>
          <w:rFonts w:asciiTheme="minorHAnsi" w:hAnsiTheme="minorHAnsi"/>
          <w:sz w:val="22"/>
        </w:rPr>
      </w:pPr>
      <w:r w:rsidRPr="009E2BE7">
        <w:rPr>
          <w:rFonts w:asciiTheme="minorHAnsi" w:hAnsiTheme="minorHAnsi"/>
          <w:sz w:val="22"/>
        </w:rPr>
        <w:t xml:space="preserve">Federal Wire and ACH:  You can direct your bank to send us a payment.  </w:t>
      </w:r>
    </w:p>
    <w:p w14:paraId="73C1B32C" w14:textId="77777777" w:rsidR="009E2BE7" w:rsidRDefault="009E2BE7" w:rsidP="00915C07">
      <w:pPr>
        <w:rPr>
          <w:rFonts w:asciiTheme="minorHAnsi" w:hAnsiTheme="minorHAnsi"/>
          <w:sz w:val="22"/>
        </w:rPr>
      </w:pPr>
    </w:p>
    <w:p w14:paraId="69039CB6" w14:textId="77777777" w:rsidR="00915C07" w:rsidRPr="00F62144" w:rsidRDefault="009E2BE7" w:rsidP="00915C07">
      <w:pPr>
        <w:rPr>
          <w:color w:val="1F497D"/>
        </w:rPr>
      </w:pPr>
      <w:r w:rsidRPr="00F62144">
        <w:rPr>
          <w:rFonts w:asciiTheme="minorHAnsi" w:hAnsiTheme="minorHAnsi"/>
          <w:sz w:val="22"/>
        </w:rPr>
        <w:t xml:space="preserve">See the </w:t>
      </w:r>
      <w:r w:rsidRPr="00B739B1">
        <w:rPr>
          <w:rFonts w:asciiTheme="minorHAnsi" w:hAnsiTheme="minorHAnsi"/>
          <w:sz w:val="22"/>
        </w:rPr>
        <w:t>“</w:t>
      </w:r>
      <w:hyperlink r:id="rId136" w:history="1">
        <w:r w:rsidRPr="00B739B1">
          <w:rPr>
            <w:rStyle w:val="Hyperlink"/>
            <w:rFonts w:asciiTheme="minorHAnsi" w:hAnsiTheme="minorHAnsi"/>
            <w:sz w:val="22"/>
          </w:rPr>
          <w:t>Premium Payment Instructions and Addresses</w:t>
        </w:r>
      </w:hyperlink>
      <w:r w:rsidRPr="00B739B1">
        <w:rPr>
          <w:rFonts w:asciiTheme="minorHAnsi" w:hAnsiTheme="minorHAnsi"/>
          <w:sz w:val="22"/>
        </w:rPr>
        <w:t>” section</w:t>
      </w:r>
      <w:r w:rsidRPr="00F62144">
        <w:rPr>
          <w:rFonts w:asciiTheme="minorHAnsi" w:hAnsiTheme="minorHAnsi"/>
          <w:sz w:val="22"/>
        </w:rPr>
        <w:t xml:space="preserve"> of </w:t>
      </w:r>
      <w:r w:rsidRPr="00F62144">
        <w:rPr>
          <w:rFonts w:asciiTheme="minorHAnsi" w:hAnsiTheme="minorHAnsi"/>
          <w:sz w:val="22"/>
          <w:szCs w:val="22"/>
        </w:rPr>
        <w:t xml:space="preserve">the </w:t>
      </w:r>
      <w:hyperlink r:id="rId137" w:history="1">
        <w:r w:rsidR="00106722">
          <w:rPr>
            <w:rStyle w:val="Hyperlink"/>
            <w:rFonts w:asciiTheme="minorHAnsi" w:hAnsiTheme="minorHAnsi"/>
            <w:sz w:val="22"/>
            <w:szCs w:val="22"/>
          </w:rPr>
          <w:t>Employers and Practitioners</w:t>
        </w:r>
        <w:r w:rsidRPr="0052695D">
          <w:rPr>
            <w:rStyle w:val="Hyperlink"/>
            <w:rFonts w:asciiTheme="minorHAnsi" w:hAnsiTheme="minorHAnsi"/>
            <w:sz w:val="22"/>
            <w:szCs w:val="22"/>
          </w:rPr>
          <w:t xml:space="preserve"> Page</w:t>
        </w:r>
      </w:hyperlink>
      <w:r w:rsidRPr="00F62144">
        <w:rPr>
          <w:rFonts w:asciiTheme="minorHAnsi" w:hAnsiTheme="minorHAnsi"/>
          <w:sz w:val="22"/>
          <w:szCs w:val="22"/>
        </w:rPr>
        <w:t xml:space="preserve"> </w:t>
      </w:r>
      <w:r>
        <w:rPr>
          <w:rFonts w:asciiTheme="minorHAnsi" w:hAnsiTheme="minorHAnsi"/>
          <w:sz w:val="22"/>
          <w:szCs w:val="22"/>
        </w:rPr>
        <w:t>of PBGC’s website</w:t>
      </w:r>
      <w:r>
        <w:t xml:space="preserve"> </w:t>
      </w:r>
      <w:hyperlink r:id="rId138" w:history="1"/>
      <w:r w:rsidRPr="00F62144">
        <w:rPr>
          <w:rFonts w:asciiTheme="minorHAnsi" w:hAnsiTheme="minorHAnsi"/>
          <w:sz w:val="22"/>
        </w:rPr>
        <w:t>for additional information</w:t>
      </w:r>
      <w:r>
        <w:rPr>
          <w:rFonts w:asciiTheme="minorHAnsi" w:hAnsiTheme="minorHAnsi"/>
          <w:sz w:val="22"/>
        </w:rPr>
        <w:t xml:space="preserve"> about payment options</w:t>
      </w:r>
      <w:r w:rsidR="00462B02">
        <w:rPr>
          <w:rFonts w:asciiTheme="minorHAnsi" w:hAnsiTheme="minorHAnsi"/>
          <w:sz w:val="22"/>
        </w:rPr>
        <w:t xml:space="preserve"> and addresses</w:t>
      </w:r>
      <w:r>
        <w:rPr>
          <w:rFonts w:asciiTheme="minorHAnsi" w:hAnsiTheme="minorHAnsi"/>
          <w:sz w:val="22"/>
        </w:rPr>
        <w:t>.</w:t>
      </w:r>
      <w:r w:rsidR="00462B02">
        <w:rPr>
          <w:rFonts w:asciiTheme="minorHAnsi" w:hAnsiTheme="minorHAnsi"/>
          <w:sz w:val="22"/>
        </w:rPr>
        <w:t xml:space="preserve"> </w:t>
      </w:r>
      <w:r w:rsidR="00DC2E93">
        <w:rPr>
          <w:rFonts w:asciiTheme="minorHAnsi" w:hAnsiTheme="minorHAnsi"/>
          <w:sz w:val="22"/>
        </w:rPr>
        <w:t xml:space="preserve"> </w:t>
      </w:r>
      <w:r w:rsidR="00462B02">
        <w:rPr>
          <w:rFonts w:asciiTheme="minorHAnsi" w:hAnsiTheme="minorHAnsi"/>
          <w:sz w:val="22"/>
        </w:rPr>
        <w:t>Be sure to use the most current payment addresses for all plan year filings, including prior year filings.</w:t>
      </w:r>
    </w:p>
    <w:p w14:paraId="4A9FEA87" w14:textId="77777777" w:rsidR="00F4417F" w:rsidRDefault="00F4417F">
      <w:pPr>
        <w:rPr>
          <w:rFonts w:asciiTheme="minorHAnsi" w:hAnsiTheme="minorHAnsi"/>
          <w:b/>
          <w:bCs/>
          <w:sz w:val="22"/>
          <w:szCs w:val="22"/>
        </w:rPr>
      </w:pPr>
    </w:p>
    <w:p w14:paraId="73F512E8" w14:textId="77777777" w:rsidR="00F4417F" w:rsidRDefault="00F4417F">
      <w:pPr>
        <w:rPr>
          <w:rFonts w:asciiTheme="minorHAnsi" w:hAnsiTheme="minorHAnsi"/>
          <w:b/>
          <w:bCs/>
          <w:sz w:val="22"/>
          <w:szCs w:val="22"/>
        </w:rPr>
      </w:pPr>
    </w:p>
    <w:p w14:paraId="1BE354A1"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Other Important My PAA Features</w:t>
      </w:r>
    </w:p>
    <w:p w14:paraId="7B327230"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Filing receipts</w:t>
      </w:r>
    </w:p>
    <w:p w14:paraId="59538323" w14:textId="77777777" w:rsidR="002A357B"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gives you a filing receipt. For a filing submitted from My PAA’s data entry and editing screens (including a filing imported into My PAA), the filing receipt shows the date and time </w:t>
      </w:r>
      <w:r w:rsidR="00193251" w:rsidRPr="00F62144">
        <w:rPr>
          <w:rFonts w:asciiTheme="minorHAnsi" w:hAnsiTheme="minorHAnsi"/>
          <w:sz w:val="22"/>
          <w:szCs w:val="22"/>
        </w:rPr>
        <w:t>that PBGC received the filing,</w:t>
      </w:r>
      <w:r w:rsidRPr="00F62144">
        <w:rPr>
          <w:rFonts w:asciiTheme="minorHAnsi" w:hAnsiTheme="minorHAnsi"/>
          <w:sz w:val="22"/>
          <w:szCs w:val="22"/>
        </w:rPr>
        <w:t xml:space="preserve"> a confirmation number, and all of the information submitted in the filing. </w:t>
      </w:r>
    </w:p>
    <w:p w14:paraId="73DABE89" w14:textId="77777777" w:rsidR="00C41633" w:rsidRPr="00F62144" w:rsidRDefault="00F12837" w:rsidP="00C4163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an upload</w:t>
      </w:r>
      <w:r w:rsidR="002A357B" w:rsidRPr="00F62144">
        <w:rPr>
          <w:rFonts w:asciiTheme="minorHAnsi" w:hAnsiTheme="minorHAnsi"/>
          <w:sz w:val="22"/>
          <w:szCs w:val="22"/>
        </w:rPr>
        <w:t xml:space="preserve">ed filing, </w:t>
      </w:r>
      <w:r w:rsidRPr="00F62144">
        <w:rPr>
          <w:rFonts w:asciiTheme="minorHAnsi" w:hAnsiTheme="minorHAnsi"/>
          <w:sz w:val="22"/>
          <w:szCs w:val="22"/>
        </w:rPr>
        <w:t xml:space="preserve">the filing receipt shows </w:t>
      </w:r>
      <w:r w:rsidR="002A357B" w:rsidRPr="00F62144">
        <w:rPr>
          <w:rFonts w:asciiTheme="minorHAnsi" w:hAnsiTheme="minorHAnsi"/>
          <w:sz w:val="22"/>
          <w:szCs w:val="22"/>
        </w:rPr>
        <w:t xml:space="preserve">the name of the uploaded XML file, the </w:t>
      </w:r>
      <w:r w:rsidRPr="00F62144">
        <w:rPr>
          <w:rFonts w:asciiTheme="minorHAnsi" w:hAnsiTheme="minorHAnsi"/>
          <w:sz w:val="22"/>
          <w:szCs w:val="22"/>
        </w:rPr>
        <w:t xml:space="preserve">date and time of </w:t>
      </w:r>
      <w:r w:rsidR="00193251" w:rsidRPr="00F62144">
        <w:rPr>
          <w:rFonts w:asciiTheme="minorHAnsi" w:hAnsiTheme="minorHAnsi"/>
          <w:sz w:val="22"/>
          <w:szCs w:val="22"/>
        </w:rPr>
        <w:t>receipt</w:t>
      </w:r>
      <w:r w:rsidRPr="00F62144">
        <w:rPr>
          <w:rFonts w:asciiTheme="minorHAnsi" w:hAnsiTheme="minorHAnsi"/>
          <w:sz w:val="22"/>
          <w:szCs w:val="22"/>
        </w:rPr>
        <w:t xml:space="preserve"> by PBGC, </w:t>
      </w:r>
      <w:r w:rsidR="002A357B" w:rsidRPr="00F62144">
        <w:rPr>
          <w:rFonts w:asciiTheme="minorHAnsi" w:hAnsiTheme="minorHAnsi"/>
          <w:sz w:val="22"/>
          <w:szCs w:val="22"/>
        </w:rPr>
        <w:t xml:space="preserve">and </w:t>
      </w:r>
      <w:r w:rsidRPr="00F62144">
        <w:rPr>
          <w:rFonts w:asciiTheme="minorHAnsi" w:hAnsiTheme="minorHAnsi"/>
          <w:sz w:val="22"/>
          <w:szCs w:val="22"/>
        </w:rPr>
        <w:t>a confirmation number</w:t>
      </w:r>
      <w:r w:rsidR="002A357B" w:rsidRPr="00F62144">
        <w:rPr>
          <w:rFonts w:asciiTheme="minorHAnsi" w:hAnsiTheme="minorHAnsi"/>
          <w:sz w:val="22"/>
          <w:szCs w:val="22"/>
        </w:rPr>
        <w:t>.</w:t>
      </w:r>
      <w:r w:rsidR="005830E0" w:rsidRPr="00F62144">
        <w:rPr>
          <w:rFonts w:asciiTheme="minorHAnsi" w:hAnsiTheme="minorHAnsi"/>
          <w:sz w:val="22"/>
          <w:szCs w:val="22"/>
        </w:rPr>
        <w:t xml:space="preserve">  This confirmation number must be written on the signed paper copy of the “form” retained the Plan Administrator’s records. After a filing is uploaded, </w:t>
      </w:r>
      <w:r w:rsidR="005F342A" w:rsidRPr="00F62144">
        <w:rPr>
          <w:rFonts w:asciiTheme="minorHAnsi" w:hAnsiTheme="minorHAnsi"/>
          <w:sz w:val="22"/>
          <w:szCs w:val="22"/>
        </w:rPr>
        <w:t>the uploader can view the information submitted in each uploaded filing.</w:t>
      </w:r>
    </w:p>
    <w:p w14:paraId="29CC9265" w14:textId="77777777" w:rsidR="00F4417F" w:rsidRDefault="00AB1ACB" w:rsidP="00AB1ACB">
      <w:pPr>
        <w:autoSpaceDE w:val="0"/>
        <w:autoSpaceDN w:val="0"/>
        <w:adjustRightInd w:val="0"/>
        <w:spacing w:before="120"/>
        <w:rPr>
          <w:rFonts w:asciiTheme="minorHAnsi" w:hAnsiTheme="minorHAnsi"/>
          <w:sz w:val="22"/>
          <w:szCs w:val="22"/>
        </w:rPr>
      </w:pPr>
      <w:r>
        <w:rPr>
          <w:rFonts w:asciiTheme="minorHAnsi" w:hAnsiTheme="minorHAnsi"/>
          <w:sz w:val="22"/>
          <w:szCs w:val="22"/>
        </w:rPr>
        <w:t>In either case,</w:t>
      </w:r>
      <w:r w:rsidR="00110BF7">
        <w:rPr>
          <w:rFonts w:asciiTheme="minorHAnsi" w:hAnsiTheme="minorHAnsi"/>
          <w:sz w:val="22"/>
          <w:szCs w:val="22"/>
        </w:rPr>
        <w:t xml:space="preserve"> provide the confirmation number to the preparer of the Form 5500</w:t>
      </w:r>
      <w:r w:rsidR="00CD6C4C">
        <w:rPr>
          <w:rFonts w:asciiTheme="minorHAnsi" w:hAnsiTheme="minorHAnsi"/>
          <w:sz w:val="22"/>
          <w:szCs w:val="22"/>
        </w:rPr>
        <w:t xml:space="preserve"> or Form 5500-SF,</w:t>
      </w:r>
      <w:r w:rsidR="00110BF7">
        <w:rPr>
          <w:rFonts w:asciiTheme="minorHAnsi" w:hAnsiTheme="minorHAnsi"/>
          <w:sz w:val="22"/>
          <w:szCs w:val="22"/>
        </w:rPr>
        <w:t xml:space="preserve"> because that number </w:t>
      </w:r>
      <w:r>
        <w:rPr>
          <w:rFonts w:asciiTheme="minorHAnsi" w:hAnsiTheme="minorHAnsi"/>
          <w:sz w:val="22"/>
          <w:szCs w:val="22"/>
        </w:rPr>
        <w:t>is generally reported as part of the Form 5500 filing</w:t>
      </w:r>
      <w:r w:rsidR="002756E8">
        <w:rPr>
          <w:rFonts w:asciiTheme="minorHAnsi" w:hAnsiTheme="minorHAnsi"/>
          <w:sz w:val="22"/>
          <w:szCs w:val="22"/>
        </w:rPr>
        <w:t>.</w:t>
      </w:r>
      <w:r>
        <w:rPr>
          <w:rFonts w:asciiTheme="minorHAnsi" w:hAnsiTheme="minorHAnsi"/>
          <w:sz w:val="22"/>
          <w:szCs w:val="22"/>
        </w:rPr>
        <w:t xml:space="preserve"> </w:t>
      </w:r>
    </w:p>
    <w:p w14:paraId="2818F3A6"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Account history</w:t>
      </w:r>
    </w:p>
    <w:p w14:paraId="604801AB"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 member of a plan’s e-filing team may, if authorized by the filing coordinator, view the plan’s account history on-line through My PAA. The account history shows the results of PBGC’s processing of your premium filings and payments for each plan year.</w:t>
      </w:r>
      <w:r w:rsidR="00E7327C">
        <w:rPr>
          <w:rFonts w:asciiTheme="minorHAnsi" w:hAnsiTheme="minorHAnsi"/>
          <w:sz w:val="22"/>
          <w:szCs w:val="22"/>
        </w:rPr>
        <w:t xml:space="preserve"> We recommend that you review the account history after your premium filing is processed.</w:t>
      </w:r>
    </w:p>
    <w:p w14:paraId="4574D935" w14:textId="77777777" w:rsidR="00902E46" w:rsidRDefault="00B95EF3" w:rsidP="00F12837">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Request for Premium Refund</w:t>
      </w:r>
    </w:p>
    <w:p w14:paraId="2EBDA929" w14:textId="77777777" w:rsidR="00902E46" w:rsidRDefault="00C67487" w:rsidP="00F12837">
      <w:pPr>
        <w:autoSpaceDE w:val="0"/>
        <w:autoSpaceDN w:val="0"/>
        <w:adjustRightInd w:val="0"/>
        <w:spacing w:before="120"/>
        <w:rPr>
          <w:rFonts w:asciiTheme="minorHAnsi" w:hAnsiTheme="minorHAnsi"/>
          <w:sz w:val="22"/>
          <w:szCs w:val="22"/>
        </w:rPr>
      </w:pPr>
      <w:r>
        <w:rPr>
          <w:rFonts w:asciiTheme="minorHAnsi" w:hAnsiTheme="minorHAnsi"/>
          <w:sz w:val="22"/>
          <w:szCs w:val="22"/>
        </w:rPr>
        <w:t>The plan administrator</w:t>
      </w:r>
      <w:r w:rsidR="00902E46" w:rsidRPr="00F62144">
        <w:rPr>
          <w:rFonts w:asciiTheme="minorHAnsi" w:hAnsiTheme="minorHAnsi"/>
          <w:sz w:val="22"/>
          <w:szCs w:val="22"/>
        </w:rPr>
        <w:t xml:space="preserve"> may</w:t>
      </w:r>
      <w:r w:rsidR="00B95EF3">
        <w:rPr>
          <w:rFonts w:asciiTheme="minorHAnsi" w:hAnsiTheme="minorHAnsi"/>
          <w:sz w:val="22"/>
          <w:szCs w:val="22"/>
        </w:rPr>
        <w:t xml:space="preserve"> request that an overpayment of premiums be refunded</w:t>
      </w:r>
      <w:r w:rsidR="00902E46" w:rsidRPr="00F62144">
        <w:rPr>
          <w:rFonts w:asciiTheme="minorHAnsi" w:hAnsiTheme="minorHAnsi"/>
          <w:sz w:val="22"/>
          <w:szCs w:val="22"/>
        </w:rPr>
        <w:t xml:space="preserve">. The </w:t>
      </w:r>
      <w:r w:rsidR="00B95EF3">
        <w:rPr>
          <w:rFonts w:asciiTheme="minorHAnsi" w:hAnsiTheme="minorHAnsi"/>
          <w:sz w:val="22"/>
          <w:szCs w:val="22"/>
        </w:rPr>
        <w:t>request will be assigned a service request number, which can be used to track</w:t>
      </w:r>
      <w:r w:rsidR="00902E46">
        <w:rPr>
          <w:rFonts w:asciiTheme="minorHAnsi" w:hAnsiTheme="minorHAnsi"/>
          <w:sz w:val="22"/>
          <w:szCs w:val="22"/>
        </w:rPr>
        <w:t xml:space="preserve"> </w:t>
      </w:r>
      <w:r w:rsidR="00B95EF3">
        <w:rPr>
          <w:rFonts w:asciiTheme="minorHAnsi" w:hAnsiTheme="minorHAnsi"/>
          <w:sz w:val="22"/>
          <w:szCs w:val="22"/>
        </w:rPr>
        <w:t>the status of the request on My</w:t>
      </w:r>
      <w:r w:rsidR="00015DCE">
        <w:rPr>
          <w:rFonts w:asciiTheme="minorHAnsi" w:hAnsiTheme="minorHAnsi"/>
          <w:sz w:val="22"/>
          <w:szCs w:val="22"/>
        </w:rPr>
        <w:t xml:space="preserve"> </w:t>
      </w:r>
      <w:r w:rsidR="00B95EF3">
        <w:rPr>
          <w:rFonts w:asciiTheme="minorHAnsi" w:hAnsiTheme="minorHAnsi"/>
          <w:sz w:val="22"/>
          <w:szCs w:val="22"/>
        </w:rPr>
        <w:t xml:space="preserve">PAA. </w:t>
      </w:r>
      <w:r w:rsidR="00902E46">
        <w:rPr>
          <w:rFonts w:asciiTheme="minorHAnsi" w:hAnsiTheme="minorHAnsi"/>
          <w:sz w:val="22"/>
          <w:szCs w:val="22"/>
        </w:rPr>
        <w:t xml:space="preserve">We recommend that you review the account history </w:t>
      </w:r>
      <w:r w:rsidR="00B95EF3">
        <w:rPr>
          <w:rFonts w:asciiTheme="minorHAnsi" w:hAnsiTheme="minorHAnsi"/>
          <w:sz w:val="22"/>
          <w:szCs w:val="22"/>
        </w:rPr>
        <w:t>before requesting a premium refund</w:t>
      </w:r>
      <w:r w:rsidR="00902E46">
        <w:rPr>
          <w:rFonts w:asciiTheme="minorHAnsi" w:hAnsiTheme="minorHAnsi"/>
          <w:sz w:val="22"/>
          <w:szCs w:val="22"/>
        </w:rPr>
        <w:t>.</w:t>
      </w:r>
    </w:p>
    <w:p w14:paraId="3D0F5ABE" w14:textId="77777777" w:rsidR="00F12837" w:rsidRPr="00F62144" w:rsidRDefault="00F12837" w:rsidP="00F1283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Instructions</w:t>
      </w:r>
    </w:p>
    <w:p w14:paraId="1119047E" w14:textId="77777777" w:rsidR="00F12837"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 provides full filing instructions and help screens. In addition,</w:t>
      </w:r>
      <w:r w:rsidR="009E2BE7">
        <w:rPr>
          <w:rFonts w:asciiTheme="minorHAnsi" w:hAnsiTheme="minorHAnsi"/>
          <w:sz w:val="22"/>
          <w:szCs w:val="22"/>
        </w:rPr>
        <w:t xml:space="preserve"> PBGC’s website</w:t>
      </w:r>
      <w:r w:rsidRPr="00F62144">
        <w:rPr>
          <w:rFonts w:asciiTheme="minorHAnsi" w:hAnsiTheme="minorHAnsi"/>
          <w:sz w:val="22"/>
          <w:szCs w:val="22"/>
        </w:rPr>
        <w:t xml:space="preserve"> information and “demos” about how to get started and how to use My PAA. To access the My</w:t>
      </w:r>
      <w:r w:rsidR="003F47C1" w:rsidRPr="00F62144">
        <w:rPr>
          <w:rFonts w:asciiTheme="minorHAnsi" w:hAnsiTheme="minorHAnsi"/>
          <w:sz w:val="22"/>
          <w:szCs w:val="22"/>
        </w:rPr>
        <w:t> </w:t>
      </w:r>
      <w:r w:rsidRPr="00F62144">
        <w:rPr>
          <w:rFonts w:asciiTheme="minorHAnsi" w:hAnsiTheme="minorHAnsi"/>
          <w:sz w:val="22"/>
          <w:szCs w:val="22"/>
        </w:rPr>
        <w:t>PAA information, click</w:t>
      </w:r>
      <w:r w:rsidR="009E2BE7">
        <w:rPr>
          <w:rFonts w:asciiTheme="minorHAnsi" w:hAnsiTheme="minorHAnsi"/>
          <w:sz w:val="22"/>
          <w:szCs w:val="22"/>
        </w:rPr>
        <w:t xml:space="preserve"> the</w:t>
      </w:r>
      <w:r w:rsidRPr="00F62144">
        <w:rPr>
          <w:rFonts w:asciiTheme="minorHAnsi" w:hAnsiTheme="minorHAnsi"/>
          <w:sz w:val="22"/>
          <w:szCs w:val="22"/>
        </w:rPr>
        <w:t xml:space="preserve"> “</w:t>
      </w:r>
      <w:hyperlink r:id="rId139" w:history="1">
        <w:r w:rsidRPr="00F62144">
          <w:rPr>
            <w:rStyle w:val="Hyperlink"/>
            <w:rFonts w:asciiTheme="minorHAnsi" w:hAnsiTheme="minorHAnsi"/>
            <w:sz w:val="22"/>
            <w:szCs w:val="22"/>
          </w:rPr>
          <w:t>Online Premium Filing (My</w:t>
        </w:r>
        <w:r w:rsidR="003F47C1" w:rsidRPr="00F62144">
          <w:rPr>
            <w:rStyle w:val="Hyperlink"/>
            <w:rFonts w:asciiTheme="minorHAnsi" w:hAnsiTheme="minorHAnsi"/>
            <w:sz w:val="22"/>
            <w:szCs w:val="22"/>
          </w:rPr>
          <w:t> </w:t>
        </w:r>
        <w:r w:rsidRPr="00F62144">
          <w:rPr>
            <w:rStyle w:val="Hyperlink"/>
            <w:rFonts w:asciiTheme="minorHAnsi" w:hAnsiTheme="minorHAnsi"/>
            <w:sz w:val="22"/>
            <w:szCs w:val="22"/>
          </w:rPr>
          <w:t>PAA)</w:t>
        </w:r>
      </w:hyperlink>
      <w:r w:rsidRPr="00F62144">
        <w:rPr>
          <w:rFonts w:asciiTheme="minorHAnsi" w:hAnsiTheme="minorHAnsi"/>
          <w:sz w:val="22"/>
          <w:szCs w:val="22"/>
        </w:rPr>
        <w:t>”</w:t>
      </w:r>
      <w:r w:rsidR="009E2BE7">
        <w:rPr>
          <w:rFonts w:asciiTheme="minorHAnsi" w:hAnsiTheme="minorHAnsi"/>
          <w:sz w:val="22"/>
          <w:szCs w:val="22"/>
        </w:rPr>
        <w:t xml:space="preserve"> link from the </w:t>
      </w:r>
      <w:hyperlink r:id="rId140" w:history="1">
        <w:r w:rsidR="00106722">
          <w:rPr>
            <w:rStyle w:val="Hyperlink"/>
            <w:rFonts w:asciiTheme="minorHAnsi" w:hAnsiTheme="minorHAnsi"/>
            <w:sz w:val="22"/>
            <w:szCs w:val="22"/>
          </w:rPr>
          <w:t>Employers and Practitioners</w:t>
        </w:r>
        <w:r w:rsidR="009E2BE7" w:rsidRPr="0052695D">
          <w:rPr>
            <w:rStyle w:val="Hyperlink"/>
            <w:rFonts w:asciiTheme="minorHAnsi" w:hAnsiTheme="minorHAnsi"/>
            <w:sz w:val="22"/>
            <w:szCs w:val="22"/>
          </w:rPr>
          <w:t xml:space="preserve"> Page</w:t>
        </w:r>
      </w:hyperlink>
      <w:r w:rsidR="009E2BE7" w:rsidRPr="00F62144">
        <w:rPr>
          <w:rFonts w:asciiTheme="minorHAnsi" w:hAnsiTheme="minorHAnsi"/>
          <w:sz w:val="22"/>
          <w:szCs w:val="22"/>
        </w:rPr>
        <w:t xml:space="preserve"> </w:t>
      </w:r>
      <w:r w:rsidR="009E2BE7">
        <w:rPr>
          <w:rFonts w:asciiTheme="minorHAnsi" w:hAnsiTheme="minorHAnsi"/>
          <w:sz w:val="22"/>
          <w:szCs w:val="22"/>
        </w:rPr>
        <w:t>of PBGC’s website.</w:t>
      </w:r>
    </w:p>
    <w:p w14:paraId="07CE049B" w14:textId="77777777" w:rsidR="00D11F9D" w:rsidRPr="00F62144" w:rsidRDefault="00D11F9D" w:rsidP="00F12837">
      <w:pPr>
        <w:autoSpaceDE w:val="0"/>
        <w:autoSpaceDN w:val="0"/>
        <w:adjustRightInd w:val="0"/>
        <w:spacing w:before="120"/>
        <w:rPr>
          <w:rFonts w:asciiTheme="minorHAnsi" w:hAnsiTheme="minorHAnsi"/>
          <w:sz w:val="22"/>
          <w:szCs w:val="22"/>
        </w:rPr>
      </w:pPr>
    </w:p>
    <w:p w14:paraId="059375F2" w14:textId="77777777" w:rsidR="00F12837" w:rsidRPr="00F62144" w:rsidRDefault="00F12837" w:rsidP="00F1283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For More Information</w:t>
      </w:r>
    </w:p>
    <w:p w14:paraId="05206AE8" w14:textId="77777777" w:rsidR="003D195E" w:rsidRPr="00F62144" w:rsidRDefault="00F12837" w:rsidP="003D195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have questions about e-filing with My PAA, please contact us. See </w:t>
      </w:r>
      <w:hyperlink w:anchor="b21"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information</w:t>
      </w:r>
      <w:r w:rsidR="00FA119A" w:rsidRPr="00F62144">
        <w:rPr>
          <w:rFonts w:asciiTheme="minorHAnsi" w:hAnsiTheme="minorHAnsi"/>
          <w:sz w:val="22"/>
          <w:szCs w:val="22"/>
        </w:rPr>
        <w:t>.</w:t>
      </w:r>
    </w:p>
    <w:p w14:paraId="47B1FD47" w14:textId="77777777" w:rsidR="00F12837" w:rsidRPr="00F62144" w:rsidRDefault="00F12837" w:rsidP="00F128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 </w:t>
      </w:r>
    </w:p>
    <w:p w14:paraId="124E7313" w14:textId="77777777" w:rsidR="006C4404" w:rsidRDefault="006C4404" w:rsidP="00F12837">
      <w:pPr>
        <w:autoSpaceDE w:val="0"/>
        <w:autoSpaceDN w:val="0"/>
        <w:adjustRightInd w:val="0"/>
        <w:spacing w:before="120"/>
        <w:rPr>
          <w:rFonts w:asciiTheme="minorHAnsi" w:hAnsiTheme="minorHAnsi"/>
          <w:sz w:val="22"/>
          <w:szCs w:val="22"/>
        </w:rPr>
        <w:sectPr w:rsidR="006C4404" w:rsidSect="005C4FCB">
          <w:headerReference w:type="even" r:id="rId141"/>
          <w:headerReference w:type="default" r:id="rId142"/>
          <w:headerReference w:type="first" r:id="rId143"/>
          <w:pgSz w:w="12240" w:h="15840"/>
          <w:pgMar w:top="1440" w:right="1080" w:bottom="1440" w:left="1080" w:header="720" w:footer="720" w:gutter="0"/>
          <w:cols w:space="720"/>
          <w:noEndnote/>
        </w:sectPr>
      </w:pPr>
    </w:p>
    <w:p w14:paraId="4E29D820" w14:textId="36CB5489" w:rsidR="003B1FC1" w:rsidRDefault="00EB5252" w:rsidP="004B3629">
      <w:pPr>
        <w:autoSpaceDE w:val="0"/>
        <w:autoSpaceDN w:val="0"/>
        <w:adjustRightInd w:val="0"/>
        <w:spacing w:before="120"/>
        <w:rPr>
          <w:rFonts w:asciiTheme="minorHAnsi" w:hAnsiTheme="minorHAnsi"/>
          <w:b/>
          <w:bCs/>
          <w:sz w:val="22"/>
          <w:szCs w:val="22"/>
        </w:rPr>
      </w:pPr>
      <w:bookmarkStart w:id="86" w:name="toc53"/>
      <w:r>
        <w:rPr>
          <w:rFonts w:asciiTheme="minorHAnsi" w:hAnsiTheme="minorHAnsi"/>
          <w:b/>
          <w:bCs/>
          <w:sz w:val="22"/>
          <w:szCs w:val="22"/>
        </w:rPr>
        <w:t xml:space="preserve">Incorrect </w:t>
      </w:r>
      <w:r w:rsidR="003B1FC1">
        <w:rPr>
          <w:rFonts w:asciiTheme="minorHAnsi" w:hAnsiTheme="minorHAnsi"/>
          <w:b/>
          <w:bCs/>
          <w:sz w:val="22"/>
          <w:szCs w:val="22"/>
        </w:rPr>
        <w:t xml:space="preserve">Identifying </w:t>
      </w:r>
      <w:r w:rsidR="00825D49" w:rsidRPr="004B3629">
        <w:rPr>
          <w:rFonts w:asciiTheme="minorHAnsi" w:hAnsiTheme="minorHAnsi"/>
          <w:b/>
          <w:bCs/>
          <w:sz w:val="22"/>
          <w:szCs w:val="22"/>
        </w:rPr>
        <w:t>I</w:t>
      </w:r>
      <w:r w:rsidR="003B1FC1">
        <w:rPr>
          <w:rFonts w:asciiTheme="minorHAnsi" w:hAnsiTheme="minorHAnsi"/>
          <w:b/>
          <w:bCs/>
          <w:sz w:val="22"/>
          <w:szCs w:val="22"/>
        </w:rPr>
        <w:t>nformation</w:t>
      </w:r>
    </w:p>
    <w:bookmarkEnd w:id="86"/>
    <w:p w14:paraId="55AF65EB" w14:textId="77777777" w:rsidR="007A16B2" w:rsidRDefault="00F4417F" w:rsidP="007A16B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EIN combined with the </w:t>
      </w:r>
      <w:r>
        <w:rPr>
          <w:rFonts w:asciiTheme="minorHAnsi" w:hAnsiTheme="minorHAnsi"/>
          <w:sz w:val="22"/>
          <w:szCs w:val="22"/>
        </w:rPr>
        <w:t>plan number</w:t>
      </w:r>
      <w:r w:rsidRPr="004B3629">
        <w:rPr>
          <w:rFonts w:asciiTheme="minorHAnsi" w:hAnsiTheme="minorHAnsi"/>
          <w:sz w:val="22"/>
          <w:szCs w:val="22"/>
        </w:rPr>
        <w:t xml:space="preserve"> are used by the IRS, DOL and PBGC as a unique 12 digit number to identify the plan. </w:t>
      </w:r>
      <w:r>
        <w:rPr>
          <w:rFonts w:asciiTheme="minorHAnsi" w:hAnsiTheme="minorHAnsi"/>
          <w:sz w:val="22"/>
          <w:szCs w:val="22"/>
        </w:rPr>
        <w:t xml:space="preserve"> 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7A16B2" w:rsidRPr="007A16B2">
        <w:rPr>
          <w:rFonts w:asciiTheme="minorHAnsi" w:hAnsiTheme="minorHAnsi"/>
          <w:sz w:val="22"/>
          <w:szCs w:val="22"/>
        </w:rPr>
        <w:t xml:space="preserve"> </w:t>
      </w:r>
    </w:p>
    <w:p w14:paraId="44E5CE6C" w14:textId="77777777" w:rsidR="00F4417F" w:rsidRDefault="00825D49" w:rsidP="00D11F9D">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Employer Identification Number (EIN) and/or Plan Number, the EIN and </w:t>
      </w:r>
      <w:r w:rsidR="00F4417F">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 </w:t>
      </w:r>
      <w:r w:rsidR="00F4417F">
        <w:rPr>
          <w:rFonts w:asciiTheme="minorHAnsi" w:hAnsiTheme="minorHAnsi"/>
          <w:sz w:val="22"/>
          <w:szCs w:val="22"/>
        </w:rPr>
        <w:t xml:space="preserve"> I</w:t>
      </w:r>
      <w:r w:rsidRPr="004B3629">
        <w:rPr>
          <w:rFonts w:asciiTheme="minorHAnsi" w:hAnsiTheme="minorHAnsi"/>
          <w:sz w:val="22"/>
          <w:szCs w:val="22"/>
        </w:rPr>
        <w:t xml:space="preserve">f there is a new EIN and/or </w:t>
      </w:r>
      <w:r w:rsidR="00F4417F">
        <w:rPr>
          <w:rFonts w:asciiTheme="minorHAnsi" w:hAnsiTheme="minorHAnsi"/>
          <w:sz w:val="22"/>
          <w:szCs w:val="22"/>
        </w:rPr>
        <w:t>plan number</w:t>
      </w:r>
      <w:r w:rsidRPr="004B3629">
        <w:rPr>
          <w:rFonts w:asciiTheme="minorHAnsi" w:hAnsiTheme="minorHAnsi"/>
          <w:sz w:val="22"/>
          <w:szCs w:val="22"/>
        </w:rPr>
        <w:t xml:space="preserve">, both the EIN and </w:t>
      </w:r>
      <w:r w:rsidR="00F4417F">
        <w:rPr>
          <w:rFonts w:asciiTheme="minorHAnsi" w:hAnsiTheme="minorHAnsi"/>
          <w:sz w:val="22"/>
          <w:szCs w:val="22"/>
        </w:rPr>
        <w:t>plan number</w:t>
      </w:r>
      <w:r w:rsidRPr="004B3629">
        <w:rPr>
          <w:rFonts w:asciiTheme="minorHAnsi" w:hAnsiTheme="minorHAnsi"/>
          <w:sz w:val="22"/>
          <w:szCs w:val="22"/>
        </w:rPr>
        <w:t xml:space="preserve"> from the previous filing must also be reported. The EIN and PN combination may not be the EIN and PN that were previously used to identify a different plan. </w:t>
      </w:r>
    </w:p>
    <w:p w14:paraId="3F2CEE36" w14:textId="77777777" w:rsidR="007A16B2" w:rsidRDefault="007A16B2" w:rsidP="007A16B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new plan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14:paraId="39BB5373" w14:textId="77777777" w:rsidR="00D11F9D" w:rsidRPr="00D11F9D" w:rsidRDefault="00D11F9D" w:rsidP="00D11F9D">
      <w:pPr>
        <w:autoSpaceDE w:val="0"/>
        <w:autoSpaceDN w:val="0"/>
        <w:adjustRightInd w:val="0"/>
        <w:spacing w:before="120"/>
        <w:rPr>
          <w:rFonts w:asciiTheme="minorHAnsi" w:hAnsiTheme="minorHAnsi"/>
          <w:sz w:val="22"/>
          <w:szCs w:val="22"/>
        </w:rPr>
      </w:pPr>
    </w:p>
    <w:p w14:paraId="627D47B4" w14:textId="63F65BCB" w:rsidR="00825D49" w:rsidRPr="004B3629" w:rsidRDefault="003B1FC1" w:rsidP="004B3629">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00825D49" w:rsidRPr="004B3629">
        <w:rPr>
          <w:rFonts w:asciiTheme="minorHAnsi" w:hAnsiTheme="minorHAnsi"/>
          <w:b/>
          <w:bCs/>
          <w:sz w:val="22"/>
          <w:szCs w:val="22"/>
        </w:rPr>
        <w:t>Payment</w:t>
      </w:r>
      <w:r>
        <w:rPr>
          <w:rFonts w:asciiTheme="minorHAnsi" w:hAnsiTheme="minorHAnsi"/>
          <w:b/>
          <w:bCs/>
          <w:sz w:val="22"/>
          <w:szCs w:val="22"/>
        </w:rPr>
        <w:t xml:space="preserve"> without Properly Identifying Plan</w:t>
      </w:r>
    </w:p>
    <w:p w14:paraId="7B34B7ED" w14:textId="1BC2E001" w:rsidR="00825D49" w:rsidRDefault="00825D49" w:rsidP="004B362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 xml:space="preserve">lan’s premium account. </w:t>
      </w:r>
      <w:r w:rsidR="007A16B2">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we receive a comprehensive premium filing indicating the amount owed, but no payment is credited to the account, w</w:t>
      </w:r>
      <w:r w:rsidRPr="004B3629">
        <w:rPr>
          <w:rFonts w:asciiTheme="minorHAnsi" w:hAnsiTheme="minorHAnsi"/>
          <w:sz w:val="22"/>
          <w:szCs w:val="22"/>
        </w:rPr>
        <w:t xml:space="preserve">e send an invoice for the premium, including late payment charges. </w:t>
      </w:r>
      <w:r w:rsidR="007A16B2">
        <w:rPr>
          <w:rFonts w:asciiTheme="minorHAnsi" w:hAnsiTheme="minorHAnsi"/>
          <w:sz w:val="22"/>
          <w:szCs w:val="22"/>
        </w:rPr>
        <w:t xml:space="preserve"> 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14:paraId="308102BF" w14:textId="77777777" w:rsidR="00825D49" w:rsidRPr="004B3629" w:rsidRDefault="00825D49" w:rsidP="007A16B2">
      <w:pPr>
        <w:pStyle w:val="ListParagraph"/>
        <w:numPr>
          <w:ilvl w:val="0"/>
          <w:numId w:val="45"/>
        </w:numPr>
        <w:autoSpaceDE w:val="0"/>
        <w:autoSpaceDN w:val="0"/>
        <w:rPr>
          <w:rFonts w:asciiTheme="minorHAnsi" w:hAnsiTheme="minorHAnsi" w:cstheme="minorHAnsi"/>
        </w:rPr>
      </w:pPr>
      <w:r w:rsidRPr="004B3629">
        <w:rPr>
          <w:rFonts w:asciiTheme="minorHAnsi" w:hAnsiTheme="minorHAnsi" w:cstheme="minorHAnsi"/>
        </w:rPr>
        <w:t>EIN</w:t>
      </w:r>
    </w:p>
    <w:p w14:paraId="605338C5" w14:textId="77777777" w:rsidR="00825D49" w:rsidRPr="004B3629" w:rsidRDefault="00825D49" w:rsidP="007A16B2">
      <w:pPr>
        <w:pStyle w:val="ListParagraph"/>
        <w:numPr>
          <w:ilvl w:val="0"/>
          <w:numId w:val="45"/>
        </w:numPr>
        <w:autoSpaceDE w:val="0"/>
        <w:autoSpaceDN w:val="0"/>
        <w:rPr>
          <w:rFonts w:asciiTheme="minorHAnsi" w:hAnsiTheme="minorHAnsi" w:cstheme="minorHAnsi"/>
        </w:rPr>
      </w:pPr>
      <w:r w:rsidRPr="004B3629">
        <w:rPr>
          <w:rFonts w:asciiTheme="minorHAnsi" w:hAnsiTheme="minorHAnsi" w:cstheme="minorHAnsi"/>
        </w:rPr>
        <w:t>P</w:t>
      </w:r>
      <w:r w:rsidR="007A16B2">
        <w:rPr>
          <w:rFonts w:asciiTheme="minorHAnsi" w:hAnsiTheme="minorHAnsi" w:cstheme="minorHAnsi"/>
        </w:rPr>
        <w:t>lan number</w:t>
      </w:r>
    </w:p>
    <w:p w14:paraId="73B5C02B" w14:textId="77777777" w:rsidR="00825D49" w:rsidRPr="007A16B2" w:rsidRDefault="00825D49" w:rsidP="007A16B2">
      <w:pPr>
        <w:pStyle w:val="ListParagraph"/>
        <w:numPr>
          <w:ilvl w:val="0"/>
          <w:numId w:val="45"/>
        </w:numPr>
        <w:autoSpaceDE w:val="0"/>
        <w:autoSpaceDN w:val="0"/>
        <w:rPr>
          <w:rFonts w:asciiTheme="minorHAnsi" w:hAnsiTheme="minorHAnsi" w:cstheme="minorHAnsi"/>
        </w:rPr>
      </w:pPr>
      <w:r w:rsidRPr="007A16B2">
        <w:rPr>
          <w:rFonts w:asciiTheme="minorHAnsi" w:hAnsiTheme="minorHAnsi" w:cstheme="minorHAnsi"/>
        </w:rPr>
        <w:t>Plan year Commencing Date (PYC)</w:t>
      </w:r>
    </w:p>
    <w:p w14:paraId="1E9A3353" w14:textId="77777777" w:rsidR="00825D49" w:rsidRPr="007A16B2" w:rsidRDefault="00825D49" w:rsidP="007A16B2">
      <w:pPr>
        <w:pStyle w:val="ListParagraph"/>
        <w:numPr>
          <w:ilvl w:val="0"/>
          <w:numId w:val="45"/>
        </w:numPr>
        <w:autoSpaceDE w:val="0"/>
        <w:autoSpaceDN w:val="0"/>
        <w:rPr>
          <w:rFonts w:asciiTheme="minorHAnsi" w:hAnsiTheme="minorHAnsi" w:cstheme="minorHAnsi"/>
        </w:rPr>
      </w:pPr>
      <w:r w:rsidRPr="007A16B2">
        <w:rPr>
          <w:rFonts w:asciiTheme="minorHAnsi" w:hAnsiTheme="minorHAnsi" w:cstheme="minorHAnsi"/>
        </w:rPr>
        <w:t>MyPAA Filing ID (for premium payments)</w:t>
      </w:r>
    </w:p>
    <w:p w14:paraId="1CAFBAD1" w14:textId="77777777" w:rsidR="00825D49" w:rsidRDefault="00825D49" w:rsidP="00825D49">
      <w:pPr>
        <w:autoSpaceDE w:val="0"/>
        <w:autoSpaceDN w:val="0"/>
        <w:ind w:left="1080"/>
      </w:pPr>
      <w:r>
        <w:t> </w:t>
      </w:r>
    </w:p>
    <w:p w14:paraId="1C9E983A" w14:textId="77777777" w:rsidR="002D521A" w:rsidRDefault="00825D49" w:rsidP="00D11F9D">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 xml:space="preserve">to the premium account if the identifying information noted above is included with the payment. </w:t>
      </w:r>
      <w:r w:rsidR="00375395">
        <w:rPr>
          <w:rFonts w:asciiTheme="minorHAnsi" w:hAnsiTheme="minorHAnsi"/>
          <w:sz w:val="22"/>
          <w:szCs w:val="22"/>
        </w:rPr>
        <w:t xml:space="preserve">  </w:t>
      </w:r>
    </w:p>
    <w:p w14:paraId="0B42BAAC" w14:textId="77777777" w:rsidR="002D521A" w:rsidRDefault="00825D49" w:rsidP="00375395">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The best way to avoid issues with your premium payment is to submit the payment via PBGC’s online filing website, MyPAA (</w:t>
      </w:r>
      <w:hyperlink r:id="rId144" w:history="1">
        <w:r w:rsidRPr="004B3629">
          <w:rPr>
            <w:rFonts w:asciiTheme="minorHAnsi" w:hAnsiTheme="minorHAnsi"/>
            <w:sz w:val="22"/>
            <w:szCs w:val="22"/>
          </w:rPr>
          <w:t>https://egov.pbgc.gov/mypaa/</w:t>
        </w:r>
      </w:hyperlink>
      <w:r w:rsidRPr="004B3629">
        <w:rPr>
          <w:rFonts w:asciiTheme="minorHAnsi" w:hAnsiTheme="minorHAnsi"/>
          <w:sz w:val="22"/>
          <w:szCs w:val="22"/>
        </w:rPr>
        <w:t>)</w:t>
      </w:r>
      <w:r w:rsidR="002D521A">
        <w:rPr>
          <w:rFonts w:asciiTheme="minorHAnsi" w:hAnsiTheme="minorHAnsi"/>
          <w:sz w:val="22"/>
          <w:szCs w:val="22"/>
        </w:rPr>
        <w:t xml:space="preserve"> or </w:t>
      </w:r>
      <w:r w:rsidR="00375395">
        <w:rPr>
          <w:rFonts w:asciiTheme="minorHAnsi" w:hAnsiTheme="minorHAnsi"/>
          <w:sz w:val="22"/>
          <w:szCs w:val="22"/>
        </w:rPr>
        <w:t xml:space="preserve">pay.gov and </w:t>
      </w:r>
      <w:r w:rsidR="002D521A">
        <w:rPr>
          <w:rFonts w:asciiTheme="minorHAnsi" w:hAnsiTheme="minorHAnsi"/>
          <w:sz w:val="22"/>
          <w:szCs w:val="22"/>
        </w:rPr>
        <w:t xml:space="preserve">ensure you enter the correct information </w:t>
      </w:r>
      <w:r w:rsidR="00375395">
        <w:rPr>
          <w:rFonts w:asciiTheme="minorHAnsi" w:hAnsiTheme="minorHAnsi"/>
          <w:sz w:val="22"/>
          <w:szCs w:val="22"/>
        </w:rPr>
        <w:t>into the on-line voucher.</w:t>
      </w:r>
      <w:r w:rsidRPr="004B3629">
        <w:rPr>
          <w:rFonts w:asciiTheme="minorHAnsi" w:hAnsiTheme="minorHAnsi"/>
          <w:sz w:val="22"/>
          <w:szCs w:val="22"/>
        </w:rPr>
        <w:t xml:space="preserve"> </w:t>
      </w:r>
    </w:p>
    <w:p w14:paraId="1A00048B" w14:textId="77777777" w:rsidR="00825D49" w:rsidRDefault="002D521A" w:rsidP="00D11F9D">
      <w:pPr>
        <w:autoSpaceDE w:val="0"/>
        <w:autoSpaceDN w:val="0"/>
        <w:adjustRightInd w:val="0"/>
        <w:spacing w:before="120"/>
        <w:rPr>
          <w:rFonts w:asciiTheme="minorHAnsi" w:hAnsiTheme="minorHAnsi"/>
          <w:sz w:val="22"/>
          <w:szCs w:val="22"/>
        </w:rPr>
      </w:pPr>
      <w:r>
        <w:rPr>
          <w:rFonts w:asciiTheme="minorHAnsi" w:eastAsia="Calibri" w:hAnsiTheme="minorHAnsi"/>
          <w:sz w:val="22"/>
          <w:szCs w:val="22"/>
          <w:lang w:eastAsia="en-US"/>
        </w:rPr>
        <w:t>W</w:t>
      </w:r>
      <w:r w:rsidRPr="00AE6B64">
        <w:rPr>
          <w:rFonts w:asciiTheme="minorHAnsi" w:eastAsia="Calibr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145" w:history="1">
        <w:r w:rsidRPr="00281933">
          <w:rPr>
            <w:rStyle w:val="Hyperlink"/>
            <w:rFonts w:asciiTheme="minorHAnsi" w:hAnsiTheme="minorHAnsi"/>
            <w:sz w:val="22"/>
            <w:szCs w:val="22"/>
          </w:rPr>
          <w:t>Premium Payment Instructions and Addresses</w:t>
        </w:r>
      </w:hyperlink>
      <w:r>
        <w:rPr>
          <w:rFonts w:asciiTheme="minorHAnsi" w:hAnsiTheme="minorHAnsi"/>
          <w:sz w:val="22"/>
          <w:szCs w:val="22"/>
        </w:rPr>
        <w:t>” webpage each year before sending payment.  Note that p</w:t>
      </w:r>
      <w:r w:rsidR="00825D49" w:rsidRPr="004B3629">
        <w:rPr>
          <w:rFonts w:asciiTheme="minorHAnsi" w:hAnsiTheme="minorHAnsi"/>
          <w:sz w:val="22"/>
          <w:szCs w:val="22"/>
        </w:rPr>
        <w:t>ayment instructions will be changing in early 2018.</w:t>
      </w:r>
    </w:p>
    <w:p w14:paraId="0DBB1AD8" w14:textId="77777777" w:rsidR="00D11F9D" w:rsidRPr="00D11F9D" w:rsidRDefault="00D11F9D" w:rsidP="00D11F9D">
      <w:pPr>
        <w:autoSpaceDE w:val="0"/>
        <w:autoSpaceDN w:val="0"/>
        <w:adjustRightInd w:val="0"/>
        <w:spacing w:before="120"/>
        <w:rPr>
          <w:rFonts w:asciiTheme="minorHAnsi" w:hAnsiTheme="minorHAnsi"/>
          <w:sz w:val="22"/>
          <w:szCs w:val="22"/>
        </w:rPr>
      </w:pPr>
    </w:p>
    <w:p w14:paraId="21B56164" w14:textId="3F5D9948" w:rsidR="001160F6" w:rsidRDefault="003B1FC1" w:rsidP="001160F6">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New Plans</w:t>
      </w:r>
      <w:r w:rsidR="00B94A95">
        <w:rPr>
          <w:rFonts w:asciiTheme="minorHAnsi" w:hAnsiTheme="minorHAnsi"/>
          <w:b/>
          <w:bCs/>
          <w:sz w:val="22"/>
          <w:szCs w:val="22"/>
        </w:rPr>
        <w:t xml:space="preserve"> </w:t>
      </w:r>
      <w:r w:rsidR="00F623DC">
        <w:rPr>
          <w:rFonts w:asciiTheme="minorHAnsi" w:hAnsiTheme="minorHAnsi"/>
          <w:b/>
          <w:bCs/>
          <w:sz w:val="22"/>
          <w:szCs w:val="22"/>
        </w:rPr>
        <w:t xml:space="preserve">Failing to do </w:t>
      </w:r>
      <w:r>
        <w:rPr>
          <w:rFonts w:asciiTheme="minorHAnsi" w:hAnsiTheme="minorHAnsi"/>
          <w:b/>
          <w:bCs/>
          <w:sz w:val="22"/>
          <w:szCs w:val="22"/>
        </w:rPr>
        <w:t xml:space="preserve">a First </w:t>
      </w:r>
      <w:r w:rsidR="00020C52" w:rsidRPr="004B3629">
        <w:rPr>
          <w:rFonts w:asciiTheme="minorHAnsi" w:hAnsiTheme="minorHAnsi"/>
          <w:b/>
          <w:bCs/>
          <w:sz w:val="22"/>
          <w:szCs w:val="22"/>
        </w:rPr>
        <w:t>Year Filing</w:t>
      </w:r>
    </w:p>
    <w:p w14:paraId="78E8A257" w14:textId="75A210AE" w:rsidR="001160F6" w:rsidRDefault="00020C52" w:rsidP="001160F6">
      <w:pPr>
        <w:autoSpaceDE w:val="0"/>
        <w:autoSpaceDN w:val="0"/>
        <w:adjustRightInd w:val="0"/>
        <w:spacing w:before="120"/>
        <w:rPr>
          <w:rFonts w:asciiTheme="minorHAnsi" w:hAnsiTheme="minorHAnsi"/>
          <w:sz w:val="22"/>
          <w:szCs w:val="22"/>
        </w:rPr>
      </w:pPr>
      <w:r>
        <w:rPr>
          <w:b/>
          <w:bCs/>
          <w:u w:val="single"/>
        </w:rPr>
        <w:br/>
      </w:r>
      <w:bookmarkStart w:id="87" w:name="_Hlk497396570"/>
      <w:r w:rsidRPr="004B3629">
        <w:rPr>
          <w:rFonts w:asciiTheme="minorHAnsi" w:hAnsiTheme="minorHAnsi"/>
          <w:sz w:val="22"/>
          <w:szCs w:val="22"/>
        </w:rPr>
        <w:t xml:space="preserve">A premium filing is required for the first plan year of a new plan even if no premium is owed. </w:t>
      </w:r>
      <w:r w:rsidR="001160F6">
        <w:rPr>
          <w:rFonts w:asciiTheme="minorHAnsi" w:hAnsiTheme="minorHAnsi"/>
          <w:sz w:val="22"/>
          <w:szCs w:val="22"/>
        </w:rPr>
        <w:t xml:space="preserve"> In that </w:t>
      </w:r>
      <w:r w:rsidRPr="004B3629">
        <w:rPr>
          <w:rFonts w:asciiTheme="minorHAnsi" w:hAnsiTheme="minorHAnsi"/>
          <w:sz w:val="22"/>
          <w:szCs w:val="22"/>
        </w:rPr>
        <w:t>first premium filing</w:t>
      </w:r>
      <w:r w:rsidR="001160F6">
        <w:rPr>
          <w:rFonts w:asciiTheme="minorHAnsi" w:hAnsiTheme="minorHAnsi"/>
          <w:sz w:val="22"/>
          <w:szCs w:val="22"/>
        </w:rPr>
        <w:t xml:space="preserve">, be sure to </w:t>
      </w:r>
      <w:r w:rsidR="00EB5252">
        <w:rPr>
          <w:rFonts w:asciiTheme="minorHAnsi" w:hAnsiTheme="minorHAnsi"/>
          <w:sz w:val="22"/>
          <w:szCs w:val="22"/>
        </w:rPr>
        <w:t xml:space="preserve">complete item 4f (e.g., </w:t>
      </w:r>
      <w:r w:rsidR="001160F6">
        <w:rPr>
          <w:rFonts w:asciiTheme="minorHAnsi" w:hAnsiTheme="minorHAnsi"/>
          <w:sz w:val="22"/>
          <w:szCs w:val="22"/>
        </w:rPr>
        <w:t xml:space="preserve">check the </w:t>
      </w:r>
      <w:r w:rsidRPr="004B3629">
        <w:rPr>
          <w:rFonts w:asciiTheme="minorHAnsi" w:hAnsiTheme="minorHAnsi"/>
          <w:sz w:val="22"/>
          <w:szCs w:val="22"/>
        </w:rPr>
        <w:t>“new or newly covered plan” box</w:t>
      </w:r>
      <w:r w:rsidR="00F76B1D">
        <w:rPr>
          <w:rFonts w:asciiTheme="minorHAnsi" w:hAnsiTheme="minorHAnsi"/>
          <w:sz w:val="22"/>
          <w:szCs w:val="22"/>
        </w:rPr>
        <w:t>) and</w:t>
      </w:r>
      <w:r w:rsidR="00EB5252">
        <w:rPr>
          <w:rFonts w:asciiTheme="minorHAnsi" w:hAnsiTheme="minorHAnsi"/>
          <w:sz w:val="22"/>
          <w:szCs w:val="22"/>
        </w:rPr>
        <w:t xml:space="preserve"> </w:t>
      </w:r>
      <w:r w:rsidR="001160F6">
        <w:rPr>
          <w:rFonts w:asciiTheme="minorHAnsi" w:hAnsiTheme="minorHAnsi"/>
          <w:sz w:val="22"/>
          <w:szCs w:val="22"/>
        </w:rPr>
        <w:t xml:space="preserve">provide the adoption </w:t>
      </w:r>
      <w:r w:rsidRPr="004B3629">
        <w:rPr>
          <w:rFonts w:asciiTheme="minorHAnsi" w:hAnsiTheme="minorHAnsi"/>
          <w:sz w:val="22"/>
          <w:szCs w:val="22"/>
        </w:rPr>
        <w:t>date</w:t>
      </w:r>
      <w:r w:rsidR="00EB5252">
        <w:rPr>
          <w:rFonts w:asciiTheme="minorHAnsi" w:hAnsiTheme="minorHAnsi"/>
          <w:sz w:val="22"/>
          <w:szCs w:val="22"/>
        </w:rPr>
        <w:t xml:space="preserve"> </w:t>
      </w:r>
      <w:r w:rsidRPr="004B3629">
        <w:rPr>
          <w:rFonts w:asciiTheme="minorHAnsi" w:hAnsiTheme="minorHAnsi"/>
          <w:sz w:val="22"/>
          <w:szCs w:val="22"/>
        </w:rPr>
        <w:t xml:space="preserve">and the date coverage began. </w:t>
      </w:r>
      <w:r w:rsidR="001160F6">
        <w:rPr>
          <w:rFonts w:asciiTheme="minorHAnsi" w:hAnsiTheme="minorHAnsi"/>
          <w:sz w:val="22"/>
          <w:szCs w:val="22"/>
        </w:rPr>
        <w:t xml:space="preserve"> </w:t>
      </w:r>
    </w:p>
    <w:p w14:paraId="51263217" w14:textId="31363178" w:rsidR="006607B9" w:rsidRPr="006607B9" w:rsidRDefault="006607B9" w:rsidP="006607B9">
      <w:pPr>
        <w:autoSpaceDE w:val="0"/>
        <w:autoSpaceDN w:val="0"/>
        <w:spacing w:before="120"/>
        <w:rPr>
          <w:rFonts w:asciiTheme="minorHAnsi" w:hAnsiTheme="minorHAnsi"/>
          <w:sz w:val="22"/>
          <w:szCs w:val="22"/>
        </w:rPr>
      </w:pPr>
      <w:r w:rsidRPr="006607B9">
        <w:rPr>
          <w:rFonts w:asciiTheme="minorHAnsi" w:hAnsiTheme="minorHAnsi"/>
          <w:sz w:val="22"/>
          <w:szCs w:val="22"/>
        </w:rPr>
        <w:t xml:space="preserve">For a new plan, both the effective date (item 4d) and the participant count date (item 5a) are the first day of the Premium Payment Year (item 4b(1)). </w:t>
      </w:r>
    </w:p>
    <w:p w14:paraId="415C8195" w14:textId="77777777" w:rsidR="006607B9" w:rsidRDefault="006607B9" w:rsidP="006607B9"/>
    <w:bookmarkEnd w:id="87"/>
    <w:p w14:paraId="58BAC301" w14:textId="77777777" w:rsidR="00825D49" w:rsidRPr="004B3629" w:rsidRDefault="00825D49" w:rsidP="00877B4F">
      <w:pPr>
        <w:spacing w:before="120"/>
        <w:rPr>
          <w:rFonts w:asciiTheme="minorHAnsi" w:hAnsiTheme="minorHAnsi"/>
          <w:b/>
          <w:bCs/>
          <w:sz w:val="22"/>
          <w:szCs w:val="22"/>
        </w:rPr>
      </w:pPr>
      <w:r w:rsidRPr="004B3629">
        <w:rPr>
          <w:rFonts w:asciiTheme="minorHAnsi" w:hAnsiTheme="minorHAnsi"/>
          <w:b/>
          <w:bCs/>
          <w:sz w:val="22"/>
          <w:szCs w:val="22"/>
        </w:rPr>
        <w:t xml:space="preserve">Small Plan Lookback Rule Inconsistencies </w:t>
      </w:r>
    </w:p>
    <w:p w14:paraId="0FD7D003" w14:textId="77777777" w:rsidR="00DD1597" w:rsidRDefault="00020C52" w:rsidP="004B3629">
      <w:pPr>
        <w:autoSpaceDE w:val="0"/>
        <w:autoSpaceDN w:val="0"/>
        <w:adjustRightInd w:val="0"/>
        <w:spacing w:before="120"/>
        <w:rPr>
          <w:rFonts w:asciiTheme="minorHAnsi" w:hAnsiTheme="minorHAnsi"/>
          <w:sz w:val="22"/>
          <w:szCs w:val="22"/>
        </w:rPr>
      </w:pPr>
      <w:r>
        <w:rPr>
          <w:rFonts w:asciiTheme="minorHAnsi" w:hAnsiTheme="minorHAnsi"/>
          <w:sz w:val="22"/>
          <w:szCs w:val="22"/>
        </w:rPr>
        <w:t>For plan years after 2013</w:t>
      </w:r>
      <w:r w:rsidR="00375395">
        <w:rPr>
          <w:rFonts w:asciiTheme="minorHAnsi" w:hAnsiTheme="minorHAnsi"/>
          <w:sz w:val="22"/>
          <w:szCs w:val="22"/>
        </w:rPr>
        <w:t xml:space="preserve">, </w:t>
      </w:r>
      <w:r>
        <w:rPr>
          <w:rFonts w:asciiTheme="minorHAnsi" w:hAnsiTheme="minorHAnsi"/>
          <w:sz w:val="22"/>
          <w:szCs w:val="22"/>
        </w:rPr>
        <w:t>V</w:t>
      </w:r>
      <w:r w:rsidR="00375395">
        <w:rPr>
          <w:rFonts w:asciiTheme="minorHAnsi" w:hAnsiTheme="minorHAnsi"/>
          <w:sz w:val="22"/>
          <w:szCs w:val="22"/>
        </w:rPr>
        <w:t>ar</w:t>
      </w:r>
      <w:r w:rsidR="00825D49" w:rsidRPr="004B3629">
        <w:rPr>
          <w:rFonts w:asciiTheme="minorHAnsi" w:hAnsiTheme="minorHAnsi"/>
          <w:sz w:val="22"/>
          <w:szCs w:val="22"/>
        </w:rPr>
        <w:t xml:space="preserve">iable-rate Premiums </w:t>
      </w:r>
      <w:r w:rsidR="00375395">
        <w:rPr>
          <w:rFonts w:asciiTheme="minorHAnsi" w:hAnsiTheme="minorHAnsi"/>
          <w:sz w:val="22"/>
          <w:szCs w:val="22"/>
        </w:rPr>
        <w:t xml:space="preserve">for small plans </w:t>
      </w:r>
      <w:r w:rsidR="00825D49" w:rsidRPr="004B3629">
        <w:rPr>
          <w:rFonts w:asciiTheme="minorHAnsi" w:hAnsiTheme="minorHAnsi"/>
          <w:sz w:val="22"/>
          <w:szCs w:val="22"/>
        </w:rPr>
        <w:t xml:space="preserve">are based on </w:t>
      </w:r>
      <w:r w:rsidR="00375395">
        <w:rPr>
          <w:rFonts w:asciiTheme="minorHAnsi" w:hAnsiTheme="minorHAnsi"/>
          <w:sz w:val="22"/>
          <w:szCs w:val="22"/>
        </w:rPr>
        <w:t>unfunded vested benefits for the prior plan year</w:t>
      </w:r>
      <w:r>
        <w:rPr>
          <w:rFonts w:asciiTheme="minorHAnsi" w:hAnsiTheme="minorHAnsi"/>
          <w:sz w:val="22"/>
          <w:szCs w:val="22"/>
        </w:rPr>
        <w:t xml:space="preserve"> unless the plan opt</w:t>
      </w:r>
      <w:r w:rsidR="00DD1597">
        <w:rPr>
          <w:rFonts w:asciiTheme="minorHAnsi" w:hAnsiTheme="minorHAnsi"/>
          <w:sz w:val="22"/>
          <w:szCs w:val="22"/>
        </w:rPr>
        <w:t xml:space="preserve">s </w:t>
      </w:r>
      <w:r>
        <w:rPr>
          <w:rFonts w:asciiTheme="minorHAnsi" w:hAnsiTheme="minorHAnsi"/>
          <w:sz w:val="22"/>
          <w:szCs w:val="22"/>
        </w:rPr>
        <w:t xml:space="preserve">out of the Lookback Rule.  </w:t>
      </w:r>
      <w:r w:rsidR="00DD1597">
        <w:rPr>
          <w:rFonts w:asciiTheme="minorHAnsi" w:hAnsiTheme="minorHAnsi"/>
          <w:sz w:val="22"/>
          <w:szCs w:val="22"/>
        </w:rPr>
        <w:t xml:space="preserve"> </w:t>
      </w:r>
      <w:r w:rsidR="000D66A4">
        <w:rPr>
          <w:rFonts w:asciiTheme="minorHAnsi" w:hAnsiTheme="minorHAnsi"/>
          <w:sz w:val="22"/>
          <w:szCs w:val="22"/>
        </w:rPr>
        <w:t xml:space="preserve">In most cases, PBGC permission is required to opt out of the Lookback Rule after 2014.  </w:t>
      </w:r>
      <w:r w:rsidR="00DD1597">
        <w:rPr>
          <w:rFonts w:asciiTheme="minorHAnsi" w:hAnsiTheme="minorHAnsi"/>
          <w:sz w:val="22"/>
          <w:szCs w:val="22"/>
        </w:rPr>
        <w:t>See “How to Determine Unfunded Vested Benefits” for details.</w:t>
      </w:r>
    </w:p>
    <w:p w14:paraId="6553C3FA" w14:textId="77777777" w:rsidR="00CF5014" w:rsidRDefault="00DD1597" w:rsidP="00CF501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 xml:space="preserve">. </w:t>
      </w:r>
      <w:r w:rsidR="00E11B99">
        <w:rPr>
          <w:rFonts w:asciiTheme="minorHAnsi" w:hAnsiTheme="minorHAnsi"/>
          <w:sz w:val="22"/>
          <w:szCs w:val="22"/>
        </w:rPr>
        <w:t xml:space="preserve"> </w:t>
      </w:r>
      <w:r w:rsidR="00020C52">
        <w:rPr>
          <w:rFonts w:asciiTheme="minorHAnsi" w:hAnsiTheme="minorHAnsi"/>
          <w:sz w:val="22"/>
          <w:szCs w:val="22"/>
        </w:rPr>
        <w:t>PBGC uses the reported UVB valuation date to determine whether the Lookback Rule is used.  For example, if a calendar year plan reports</w:t>
      </w:r>
      <w:r>
        <w:rPr>
          <w:rFonts w:asciiTheme="minorHAnsi" w:hAnsiTheme="minorHAnsi"/>
          <w:sz w:val="22"/>
          <w:szCs w:val="22"/>
        </w:rPr>
        <w:t xml:space="preserve"> </w:t>
      </w:r>
      <w:r w:rsidR="00020C52" w:rsidRPr="00020C52">
        <w:rPr>
          <w:rFonts w:asciiTheme="minorHAnsi" w:hAnsiTheme="minorHAnsi"/>
          <w:sz w:val="22"/>
          <w:szCs w:val="22"/>
        </w:rPr>
        <w:t>12/31/2016 as the UVB valuation date in the Comprehensive Premium Filing for the 2017 plan year, PBGC assumes the plan (1) has a year-end valuation date and (2) is using the Lookback Rule for purposes of determining its 2017 Variable-rate Premium.</w:t>
      </w:r>
      <w:r>
        <w:rPr>
          <w:rFonts w:asciiTheme="minorHAnsi" w:hAnsiTheme="minorHAnsi"/>
          <w:sz w:val="22"/>
          <w:szCs w:val="22"/>
        </w:rPr>
        <w:t xml:space="preserve">  </w:t>
      </w:r>
    </w:p>
    <w:p w14:paraId="59923332" w14:textId="77777777" w:rsidR="00CF5014" w:rsidRDefault="00DD1597" w:rsidP="00877B4F">
      <w:pPr>
        <w:pStyle w:val="ListParagraph"/>
        <w:numPr>
          <w:ilvl w:val="0"/>
          <w:numId w:val="58"/>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the plan opted out of using the Lookback Rule in an earlier year, </w:t>
      </w:r>
      <w:r w:rsidR="000D66A4" w:rsidRPr="00CF5014">
        <w:rPr>
          <w:rFonts w:asciiTheme="minorHAnsi" w:hAnsiTheme="minorHAnsi"/>
          <w:sz w:val="22"/>
          <w:szCs w:val="22"/>
        </w:rPr>
        <w:t>an error letter will be sent.</w:t>
      </w:r>
      <w:r w:rsidR="00CF5014" w:rsidRPr="00CF5014">
        <w:rPr>
          <w:rFonts w:asciiTheme="minorHAnsi" w:hAnsiTheme="minorHAnsi"/>
          <w:sz w:val="22"/>
          <w:szCs w:val="22"/>
        </w:rPr>
        <w:t xml:space="preserve">  </w:t>
      </w:r>
    </w:p>
    <w:p w14:paraId="58C2FC26" w14:textId="77777777" w:rsidR="00CF5014" w:rsidRDefault="00CF5014" w:rsidP="00877B4F">
      <w:pPr>
        <w:pStyle w:val="ListParagraph"/>
        <w:numPr>
          <w:ilvl w:val="0"/>
          <w:numId w:val="58"/>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supposed to using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sidR="00914EB1">
        <w:rPr>
          <w:rFonts w:asciiTheme="minorHAnsi" w:hAnsiTheme="minorHAnsi"/>
          <w:sz w:val="22"/>
          <w:szCs w:val="22"/>
        </w:rPr>
        <w:t xml:space="preserve">confirm </w:t>
      </w:r>
      <w:r w:rsidRPr="00CF5014">
        <w:rPr>
          <w:rFonts w:asciiTheme="minorHAnsi" w:hAnsiTheme="minorHAnsi"/>
          <w:sz w:val="22"/>
          <w:szCs w:val="22"/>
        </w:rPr>
        <w:t xml:space="preserve">that those rates are </w:t>
      </w:r>
      <w:r>
        <w:rPr>
          <w:rFonts w:asciiTheme="minorHAnsi" w:hAnsiTheme="minorHAnsi"/>
          <w:sz w:val="22"/>
          <w:szCs w:val="22"/>
        </w:rPr>
        <w:t>acceptable options for a plan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14:paraId="4B5028BA" w14:textId="77777777" w:rsidR="00CF5014" w:rsidRDefault="000D66A4" w:rsidP="000D66A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1/1/2017</w:t>
      </w:r>
      <w:r w:rsidR="00020C52" w:rsidRPr="00020C52">
        <w:rPr>
          <w:rFonts w:asciiTheme="minorHAnsi" w:hAnsiTheme="minorHAnsi"/>
          <w:sz w:val="22"/>
          <w:szCs w:val="22"/>
        </w:rPr>
        <w:t xml:space="preserve"> as the UVB valuation date in the Comprehensive Premium Filing for the 2017 plan year, PBGC assumes the plan (1) has a </w:t>
      </w:r>
      <w:r w:rsidR="00020C52">
        <w:rPr>
          <w:rFonts w:asciiTheme="minorHAnsi" w:hAnsiTheme="minorHAnsi"/>
          <w:sz w:val="22"/>
          <w:szCs w:val="22"/>
        </w:rPr>
        <w:t>beginning of year</w:t>
      </w:r>
      <w:r w:rsidR="00020C52" w:rsidRP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00020C52" w:rsidRPr="00020C52">
        <w:rPr>
          <w:rFonts w:asciiTheme="minorHAnsi" w:hAnsiTheme="minorHAnsi"/>
          <w:sz w:val="22"/>
          <w:szCs w:val="22"/>
        </w:rPr>
        <w:t>using the Lookback Rule for purposes of determining its 2017 Variable-rate Premium.</w:t>
      </w:r>
      <w:r w:rsidRPr="000D66A4">
        <w:rPr>
          <w:rFonts w:asciiTheme="minorHAnsi" w:hAnsiTheme="minorHAnsi"/>
          <w:sz w:val="22"/>
          <w:szCs w:val="22"/>
        </w:rPr>
        <w:t xml:space="preserve"> </w:t>
      </w:r>
    </w:p>
    <w:p w14:paraId="5D374920" w14:textId="77777777" w:rsidR="00914EB1" w:rsidRDefault="000D66A4" w:rsidP="00877B4F">
      <w:pPr>
        <w:pStyle w:val="ListParagraph"/>
        <w:numPr>
          <w:ilvl w:val="0"/>
          <w:numId w:val="58"/>
        </w:numPr>
        <w:autoSpaceDE w:val="0"/>
        <w:autoSpaceDN w:val="0"/>
        <w:adjustRightInd w:val="0"/>
        <w:spacing w:before="12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00914EB1" w:rsidRPr="00914EB1">
        <w:rPr>
          <w:rFonts w:asciiTheme="minorHAnsi" w:hAnsiTheme="minorHAnsi"/>
          <w:sz w:val="22"/>
          <w:szCs w:val="22"/>
        </w:rPr>
        <w:t xml:space="preserve"> </w:t>
      </w:r>
    </w:p>
    <w:p w14:paraId="2CFD3D7F" w14:textId="77777777" w:rsidR="00914EB1" w:rsidRDefault="00914EB1" w:rsidP="00877B4F">
      <w:pPr>
        <w:pStyle w:val="ListParagraph"/>
        <w:numPr>
          <w:ilvl w:val="0"/>
          <w:numId w:val="58"/>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14:paraId="0A2D080F" w14:textId="77777777" w:rsidR="00914EB1" w:rsidRDefault="00825D49" w:rsidP="004B3629">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Please refer to pages 12-19 of the Comprehensive Premium instructions for more details. </w:t>
      </w:r>
    </w:p>
    <w:p w14:paraId="346313E4" w14:textId="77777777" w:rsidR="00EB5252" w:rsidRDefault="00EB5252" w:rsidP="00914EB1">
      <w:pPr>
        <w:autoSpaceDE w:val="0"/>
        <w:autoSpaceDN w:val="0"/>
        <w:adjustRightInd w:val="0"/>
        <w:spacing w:before="120"/>
        <w:rPr>
          <w:rFonts w:asciiTheme="minorHAnsi" w:hAnsiTheme="minorHAnsi"/>
          <w:sz w:val="22"/>
        </w:rPr>
      </w:pPr>
    </w:p>
    <w:p w14:paraId="57FED8C9" w14:textId="77777777" w:rsidR="00EB5252" w:rsidRDefault="00EB5252" w:rsidP="00914EB1">
      <w:pPr>
        <w:autoSpaceDE w:val="0"/>
        <w:autoSpaceDN w:val="0"/>
        <w:adjustRightInd w:val="0"/>
        <w:spacing w:before="120"/>
        <w:rPr>
          <w:rFonts w:asciiTheme="minorHAnsi" w:hAnsiTheme="minorHAnsi"/>
          <w:sz w:val="22"/>
        </w:rPr>
        <w:sectPr w:rsidR="00EB5252" w:rsidSect="00A44163">
          <w:headerReference w:type="even" r:id="rId146"/>
          <w:headerReference w:type="default" r:id="rId147"/>
          <w:headerReference w:type="first" r:id="rId148"/>
          <w:pgSz w:w="12240" w:h="15840"/>
          <w:pgMar w:top="1440" w:right="1080" w:bottom="1440" w:left="1080" w:header="720" w:footer="720" w:gutter="0"/>
          <w:cols w:space="720"/>
          <w:noEndnote/>
        </w:sectPr>
      </w:pPr>
    </w:p>
    <w:p w14:paraId="2157D3B0" w14:textId="77777777" w:rsidR="00EE7E66" w:rsidRPr="00F62144" w:rsidRDefault="00F12837" w:rsidP="00EE7E66">
      <w:pPr>
        <w:rPr>
          <w:rFonts w:asciiTheme="minorHAnsi" w:hAnsiTheme="minorHAnsi"/>
          <w:sz w:val="22"/>
          <w:szCs w:val="22"/>
        </w:rPr>
      </w:pPr>
      <w:bookmarkStart w:id="88" w:name="toc56"/>
      <w:bookmarkEnd w:id="88"/>
      <w:r w:rsidRPr="00F62144">
        <w:rPr>
          <w:rFonts w:asciiTheme="minorHAnsi" w:hAnsiTheme="minorHAnsi"/>
          <w:sz w:val="22"/>
          <w:szCs w:val="22"/>
        </w:rPr>
        <w:t xml:space="preserve">We need this information to determine the amount of premium due to PBGC under Title IV of ERISA. You are required to give us this information. An agency may not conduct or sponsor, and a person is not required to respond to, a collection of information unless it displays a currently valid OMB control number. </w:t>
      </w:r>
    </w:p>
    <w:p w14:paraId="4160D038" w14:textId="77777777" w:rsidR="00FA119A" w:rsidRPr="00F62144" w:rsidRDefault="00FA119A" w:rsidP="00EE7E66">
      <w:pPr>
        <w:rPr>
          <w:rFonts w:asciiTheme="minorHAnsi" w:hAnsiTheme="minorHAnsi"/>
          <w:sz w:val="22"/>
          <w:szCs w:val="22"/>
        </w:rPr>
      </w:pPr>
    </w:p>
    <w:p w14:paraId="3A20C08C" w14:textId="77777777" w:rsidR="00F12837" w:rsidRPr="002A150A" w:rsidRDefault="00F12837" w:rsidP="00EE7E66">
      <w:pPr>
        <w:rPr>
          <w:rFonts w:asciiTheme="minorHAnsi" w:hAnsiTheme="minorHAnsi"/>
          <w:i/>
          <w:color w:val="FF0000"/>
          <w:sz w:val="22"/>
          <w:szCs w:val="22"/>
        </w:rPr>
      </w:pPr>
      <w:r w:rsidRPr="00F62144">
        <w:rPr>
          <w:rFonts w:asciiTheme="minorHAnsi" w:hAnsiTheme="minorHAnsi"/>
          <w:sz w:val="22"/>
          <w:szCs w:val="22"/>
        </w:rPr>
        <w:t xml:space="preserve">OMB has approved this collection of information under control number </w:t>
      </w:r>
      <w:r w:rsidRPr="00B739B1">
        <w:rPr>
          <w:rFonts w:asciiTheme="minorHAnsi" w:hAnsiTheme="minorHAnsi"/>
          <w:sz w:val="22"/>
          <w:szCs w:val="22"/>
        </w:rPr>
        <w:t>1212-0009.</w:t>
      </w:r>
    </w:p>
    <w:p w14:paraId="15878A49" w14:textId="77777777" w:rsidR="00026F6E" w:rsidRPr="002A150A" w:rsidRDefault="00026F6E" w:rsidP="00EE7E66">
      <w:pPr>
        <w:rPr>
          <w:rFonts w:asciiTheme="minorHAnsi" w:hAnsiTheme="minorHAnsi"/>
          <w:i/>
          <w:color w:val="FF0000"/>
          <w:sz w:val="22"/>
          <w:szCs w:val="22"/>
        </w:rPr>
      </w:pPr>
    </w:p>
    <w:p w14:paraId="0BD0DAAE" w14:textId="77777777" w:rsidR="00F12837" w:rsidRPr="00F62144" w:rsidRDefault="00F12837" w:rsidP="00EE7E66">
      <w:pPr>
        <w:rPr>
          <w:rFonts w:asciiTheme="minorHAnsi" w:hAnsiTheme="minorHAnsi"/>
          <w:sz w:val="22"/>
          <w:szCs w:val="22"/>
        </w:rPr>
      </w:pPr>
      <w:r w:rsidRPr="00F62144">
        <w:rPr>
          <w:rFonts w:asciiTheme="minorHAnsi" w:hAnsiTheme="minorHAnsi"/>
          <w:sz w:val="22"/>
          <w:szCs w:val="22"/>
        </w:rPr>
        <w:t>Confidentiality is that provided by the Privacy Act and the Freedom of Information Act.</w:t>
      </w:r>
    </w:p>
    <w:p w14:paraId="6661F59D" w14:textId="77777777" w:rsidR="00026F6E" w:rsidRPr="00F62144" w:rsidRDefault="00026F6E" w:rsidP="00EE7E66">
      <w:pPr>
        <w:rPr>
          <w:rFonts w:asciiTheme="minorHAnsi" w:hAnsiTheme="minorHAnsi"/>
          <w:sz w:val="22"/>
          <w:szCs w:val="22"/>
        </w:rPr>
      </w:pPr>
    </w:p>
    <w:p w14:paraId="57186EE9" w14:textId="77777777" w:rsidR="00F12837" w:rsidRPr="00F62144" w:rsidRDefault="008F297D" w:rsidP="00EE7E66">
      <w:pPr>
        <w:rPr>
          <w:rFonts w:asciiTheme="minorHAnsi" w:hAnsiTheme="minorHAnsi"/>
          <w:sz w:val="22"/>
          <w:szCs w:val="22"/>
        </w:rPr>
      </w:pPr>
      <w:r w:rsidRPr="00F62144">
        <w:rPr>
          <w:rFonts w:asciiTheme="minorHAnsi" w:hAnsiTheme="minorHAnsi"/>
          <w:sz w:val="22"/>
          <w:szCs w:val="22"/>
        </w:rPr>
        <w:t xml:space="preserve">PBGC estimates that </w:t>
      </w:r>
      <w:r w:rsidR="00F12837" w:rsidRPr="00F62144">
        <w:rPr>
          <w:rFonts w:asciiTheme="minorHAnsi" w:hAnsiTheme="minorHAnsi"/>
          <w:sz w:val="22"/>
          <w:szCs w:val="22"/>
        </w:rPr>
        <w:t xml:space="preserve">preparation and submission of </w:t>
      </w:r>
      <w:r w:rsidRPr="00F62144">
        <w:rPr>
          <w:rFonts w:asciiTheme="minorHAnsi" w:hAnsiTheme="minorHAnsi"/>
          <w:sz w:val="22"/>
          <w:szCs w:val="22"/>
        </w:rPr>
        <w:t xml:space="preserve">a </w:t>
      </w:r>
      <w:r w:rsidR="00F12837" w:rsidRPr="00F62144">
        <w:rPr>
          <w:rFonts w:asciiTheme="minorHAnsi" w:hAnsiTheme="minorHAnsi"/>
          <w:sz w:val="22"/>
          <w:szCs w:val="22"/>
        </w:rPr>
        <w:t xml:space="preserve">premium </w:t>
      </w:r>
      <w:r w:rsidRPr="00F62144">
        <w:rPr>
          <w:rFonts w:asciiTheme="minorHAnsi" w:hAnsiTheme="minorHAnsi"/>
          <w:sz w:val="22"/>
          <w:szCs w:val="22"/>
        </w:rPr>
        <w:t>filing takes 7</w:t>
      </w:r>
      <w:r w:rsidR="00F12837" w:rsidRPr="00F62144">
        <w:rPr>
          <w:rFonts w:asciiTheme="minorHAnsi" w:hAnsiTheme="minorHAnsi"/>
          <w:sz w:val="22"/>
          <w:szCs w:val="22"/>
        </w:rPr>
        <w:t xml:space="preserve"> hours </w:t>
      </w:r>
      <w:r w:rsidRPr="00F62144">
        <w:rPr>
          <w:rFonts w:asciiTheme="minorHAnsi" w:hAnsiTheme="minorHAnsi"/>
          <w:sz w:val="22"/>
          <w:szCs w:val="22"/>
        </w:rPr>
        <w:t xml:space="preserve">if UVBs are reported </w:t>
      </w:r>
      <w:r w:rsidR="00F12837" w:rsidRPr="00F62144">
        <w:rPr>
          <w:rFonts w:asciiTheme="minorHAnsi" w:hAnsiTheme="minorHAnsi"/>
          <w:sz w:val="22"/>
          <w:szCs w:val="22"/>
        </w:rPr>
        <w:t xml:space="preserve">and </w:t>
      </w:r>
      <w:r w:rsidRPr="00F62144">
        <w:rPr>
          <w:rFonts w:asciiTheme="minorHAnsi" w:hAnsiTheme="minorHAnsi"/>
          <w:sz w:val="22"/>
          <w:szCs w:val="22"/>
        </w:rPr>
        <w:t xml:space="preserve">3½ hours if they </w:t>
      </w:r>
      <w:r w:rsidR="00F12837" w:rsidRPr="00F62144">
        <w:rPr>
          <w:rFonts w:asciiTheme="minorHAnsi" w:hAnsiTheme="minorHAnsi"/>
          <w:sz w:val="22"/>
          <w:szCs w:val="22"/>
        </w:rPr>
        <w:t xml:space="preserve">are </w:t>
      </w:r>
      <w:r w:rsidRPr="00F62144">
        <w:rPr>
          <w:rFonts w:asciiTheme="minorHAnsi" w:hAnsiTheme="minorHAnsi"/>
          <w:sz w:val="22"/>
          <w:szCs w:val="22"/>
        </w:rPr>
        <w:t xml:space="preserve">not.  PBGC assumes that most </w:t>
      </w:r>
      <w:r w:rsidR="00F12837" w:rsidRPr="00F62144">
        <w:rPr>
          <w:rFonts w:asciiTheme="minorHAnsi" w:hAnsiTheme="minorHAnsi"/>
          <w:sz w:val="22"/>
          <w:szCs w:val="22"/>
        </w:rPr>
        <w:t xml:space="preserve">of the </w:t>
      </w:r>
      <w:r w:rsidRPr="00F62144">
        <w:rPr>
          <w:rFonts w:asciiTheme="minorHAnsi" w:hAnsiTheme="minorHAnsi"/>
          <w:sz w:val="22"/>
          <w:szCs w:val="22"/>
        </w:rPr>
        <w:t>work (95 percent) is contracted out at a rate of $350 per hour.  Thus the estimated burden associated with premium filing is about 20 minutes and $2,330 if UVBs are reported and about 10 minutes and $1,165 if they are not.  The actual time</w:t>
      </w:r>
      <w:r w:rsidR="00F12837" w:rsidRPr="00F62144">
        <w:rPr>
          <w:rFonts w:asciiTheme="minorHAnsi" w:hAnsiTheme="minorHAnsi"/>
          <w:sz w:val="22"/>
          <w:szCs w:val="22"/>
        </w:rPr>
        <w:t xml:space="preserve"> will vary depending on the circumstances of </w:t>
      </w:r>
      <w:r w:rsidRPr="00F62144">
        <w:rPr>
          <w:rFonts w:asciiTheme="minorHAnsi" w:hAnsiTheme="minorHAnsi"/>
          <w:sz w:val="22"/>
          <w:szCs w:val="22"/>
        </w:rPr>
        <w:t xml:space="preserve">each </w:t>
      </w:r>
      <w:r w:rsidR="00F12837" w:rsidRPr="00F62144">
        <w:rPr>
          <w:rFonts w:asciiTheme="minorHAnsi" w:hAnsiTheme="minorHAnsi"/>
          <w:sz w:val="22"/>
          <w:szCs w:val="22"/>
        </w:rPr>
        <w:t>plan.</w:t>
      </w:r>
      <w:r w:rsidRPr="00F62144">
        <w:rPr>
          <w:rFonts w:asciiTheme="minorHAnsi" w:hAnsiTheme="minorHAnsi"/>
          <w:sz w:val="22"/>
          <w:szCs w:val="22"/>
        </w:rPr>
        <w:t xml:space="preserve"> </w:t>
      </w:r>
    </w:p>
    <w:p w14:paraId="5F63C98B" w14:textId="77777777" w:rsidR="00220784" w:rsidRPr="00F62144" w:rsidRDefault="00220784" w:rsidP="00EE7E66">
      <w:pPr>
        <w:rPr>
          <w:rFonts w:asciiTheme="minorHAnsi" w:hAnsiTheme="minorHAnsi"/>
          <w:sz w:val="22"/>
          <w:szCs w:val="22"/>
        </w:rPr>
      </w:pPr>
    </w:p>
    <w:p w14:paraId="1237BEBA" w14:textId="77777777" w:rsidR="008D0314" w:rsidRPr="005C4FCB" w:rsidRDefault="00F12837" w:rsidP="00220784">
      <w:pPr>
        <w:rPr>
          <w:rFonts w:asciiTheme="minorHAnsi" w:hAnsiTheme="minorHAnsi"/>
          <w:sz w:val="22"/>
          <w:szCs w:val="22"/>
        </w:rPr>
      </w:pPr>
      <w:r w:rsidRPr="00F62144">
        <w:rPr>
          <w:rFonts w:asciiTheme="minorHAnsi" w:hAnsiTheme="minorHAnsi"/>
          <w:sz w:val="22"/>
          <w:szCs w:val="22"/>
        </w:rPr>
        <w:t xml:space="preserve">If you have comments concerning the accuracy of these burden estimates or suggestions for making the forms or the electronic filing process simpler, please send your comments to Pension Benefit Guaranty Corporation, </w:t>
      </w:r>
      <w:r w:rsidR="003B0739">
        <w:rPr>
          <w:rFonts w:asciiTheme="minorHAnsi" w:hAnsiTheme="minorHAnsi"/>
          <w:sz w:val="22"/>
          <w:szCs w:val="22"/>
        </w:rPr>
        <w:t>Office of General Counsel, Regulatory Affairs</w:t>
      </w:r>
      <w:r w:rsidRPr="00F62144">
        <w:rPr>
          <w:rFonts w:asciiTheme="minorHAnsi" w:hAnsiTheme="minorHAnsi"/>
          <w:sz w:val="22"/>
          <w:szCs w:val="22"/>
        </w:rPr>
        <w:t>, 1200 K Street, NW, Washington, DC 20005-4026.</w:t>
      </w:r>
    </w:p>
    <w:p w14:paraId="7F9CA841" w14:textId="77777777" w:rsidR="004330DD" w:rsidRPr="005C4FCB" w:rsidRDefault="004330DD" w:rsidP="004330DD">
      <w:pPr>
        <w:autoSpaceDE w:val="0"/>
        <w:autoSpaceDN w:val="0"/>
        <w:adjustRightInd w:val="0"/>
        <w:spacing w:before="120"/>
        <w:rPr>
          <w:rFonts w:asciiTheme="minorHAnsi" w:hAnsiTheme="minorHAnsi"/>
          <w:sz w:val="22"/>
          <w:szCs w:val="22"/>
        </w:rPr>
      </w:pPr>
    </w:p>
    <w:p w14:paraId="37EFB8C7" w14:textId="77777777" w:rsidR="007F2094" w:rsidRPr="005C4FCB" w:rsidRDefault="007F2094" w:rsidP="00597BD5">
      <w:pPr>
        <w:spacing w:before="120"/>
        <w:rPr>
          <w:rFonts w:asciiTheme="minorHAnsi" w:hAnsiTheme="minorHAnsi" w:cs="TimesNewRoman,Bold"/>
          <w:b/>
          <w:bCs/>
          <w:sz w:val="22"/>
          <w:szCs w:val="22"/>
        </w:rPr>
      </w:pPr>
    </w:p>
    <w:sectPr w:rsidR="007F2094" w:rsidRPr="005C4FCB" w:rsidSect="00A44163">
      <w:headerReference w:type="default" r:id="rId149"/>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C837C" w14:textId="77777777" w:rsidR="006B3FAF" w:rsidRDefault="006B3FAF">
      <w:r>
        <w:separator/>
      </w:r>
    </w:p>
  </w:endnote>
  <w:endnote w:type="continuationSeparator" w:id="0">
    <w:p w14:paraId="62439271" w14:textId="77777777" w:rsidR="006B3FAF" w:rsidRDefault="006B3FAF">
      <w:r>
        <w:continuationSeparator/>
      </w:r>
    </w:p>
  </w:endnote>
  <w:endnote w:type="continuationNotice" w:id="1">
    <w:p w14:paraId="5D22D17A" w14:textId="77777777" w:rsidR="006B3FAF" w:rsidRDefault="006B3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7088A" w14:textId="77777777" w:rsidR="000A23AD" w:rsidRDefault="000A2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72849" w14:textId="77777777" w:rsidR="000A23AD" w:rsidRDefault="000A23AD" w:rsidP="003B487C">
    <w:pPr>
      <w:pStyle w:val="Footer"/>
      <w:ind w:firstLine="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14BC" w14:textId="77777777" w:rsidR="000A23AD" w:rsidRDefault="000A23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6DEEA" w14:textId="77777777" w:rsidR="000A23AD" w:rsidRDefault="000A23AD">
    <w:pPr>
      <w:pStyle w:val="Footer"/>
      <w:jc w:val="center"/>
      <w:rPr>
        <w:rFonts w:asciiTheme="minorHAnsi" w:hAnsiTheme="minorHAnsi"/>
        <w:sz w:val="22"/>
      </w:rPr>
    </w:pPr>
  </w:p>
  <w:p w14:paraId="4052986A" w14:textId="45327E0C" w:rsidR="000A23AD" w:rsidRPr="00AA1894" w:rsidRDefault="000A23AD">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78214742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Pr>
            <w:rFonts w:asciiTheme="minorHAnsi" w:hAnsiTheme="minorHAnsi"/>
            <w:noProof/>
            <w:sz w:val="22"/>
          </w:rPr>
          <w:t>32</w:t>
        </w:r>
        <w:r w:rsidRPr="00AA1894">
          <w:rPr>
            <w:rFonts w:asciiTheme="minorHAnsi" w:hAnsiTheme="minorHAnsi"/>
            <w:noProof/>
            <w:sz w:val="22"/>
          </w:rPr>
          <w:fldChar w:fldCharType="end"/>
        </w:r>
      </w:sdtContent>
    </w:sdt>
  </w:p>
  <w:p w14:paraId="3BADF971" w14:textId="77777777" w:rsidR="000A23AD" w:rsidRDefault="000A23AD" w:rsidP="003B487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89175" w14:textId="77777777" w:rsidR="006B3FAF" w:rsidRDefault="006B3FAF">
      <w:r>
        <w:separator/>
      </w:r>
    </w:p>
  </w:footnote>
  <w:footnote w:type="continuationSeparator" w:id="0">
    <w:p w14:paraId="277E6C5E" w14:textId="77777777" w:rsidR="006B3FAF" w:rsidRDefault="006B3FAF">
      <w:r>
        <w:continuationSeparator/>
      </w:r>
    </w:p>
  </w:footnote>
  <w:footnote w:type="continuationNotice" w:id="1">
    <w:p w14:paraId="5A5B554B" w14:textId="77777777" w:rsidR="006B3FAF" w:rsidRDefault="006B3FAF"/>
  </w:footnote>
  <w:footnote w:id="2">
    <w:p w14:paraId="409578F5" w14:textId="77777777" w:rsidR="000A23AD" w:rsidRDefault="000A23AD" w:rsidP="006E4C39">
      <w:pPr>
        <w:pStyle w:val="FootnoteText"/>
        <w:ind w:left="180" w:hanging="180"/>
      </w:pPr>
      <w:r w:rsidRPr="00E55CE7">
        <w:rPr>
          <w:rStyle w:val="FootnoteReference"/>
          <w:rFonts w:asciiTheme="minorHAnsi" w:hAnsiTheme="minorHAnsi" w:cstheme="minorHAnsi"/>
        </w:rPr>
        <w:footnoteRef/>
      </w:r>
      <w:r>
        <w:t xml:space="preserve">  </w:t>
      </w:r>
      <w:r w:rsidRPr="006E4C39">
        <w:rPr>
          <w:rFonts w:asciiTheme="minorHAnsi" w:hAnsiTheme="minorHAnsi"/>
        </w:rPr>
        <w:t>A</w:t>
      </w:r>
      <w:r w:rsidRPr="006E4C39">
        <w:rPr>
          <w:rFonts w:asciiTheme="minorHAnsi" w:hAnsiTheme="minorHAnsi" w:cstheme="minorHAnsi"/>
          <w:sz w:val="18"/>
          <w:szCs w:val="22"/>
        </w:rPr>
        <w:t>n amendment is not considered to change the plan year if the plan merges into or consolidates with another plan or otherwise ceases its independent existence either during the short plan year or at the beginning of the full plan year following the short plan ye</w:t>
      </w:r>
      <w:r>
        <w:rPr>
          <w:rFonts w:asciiTheme="minorHAnsi" w:hAnsiTheme="minorHAnsi" w:cstheme="minorHAnsi"/>
          <w:sz w:val="18"/>
          <w:szCs w:val="22"/>
        </w:rPr>
        <w:t>ar.</w:t>
      </w:r>
    </w:p>
  </w:footnote>
  <w:footnote w:id="3">
    <w:p w14:paraId="414E2446" w14:textId="77777777" w:rsidR="000A23AD" w:rsidRPr="00DC0AA1" w:rsidRDefault="000A23AD" w:rsidP="006E4C39">
      <w:pPr>
        <w:pStyle w:val="FootnoteText"/>
        <w:ind w:left="180" w:hanging="180"/>
        <w:rPr>
          <w:rFonts w:asciiTheme="minorHAnsi" w:hAnsiTheme="minorHAnsi" w:cstheme="minorHAnsi"/>
          <w:sz w:val="16"/>
        </w:rPr>
      </w:pPr>
      <w:r w:rsidRPr="00772A75">
        <w:rPr>
          <w:rStyle w:val="FootnoteReference"/>
          <w:rFonts w:asciiTheme="minorHAnsi" w:hAnsiTheme="minorHAnsi" w:cstheme="minorHAnsi"/>
        </w:rPr>
        <w:footnoteRef/>
      </w:r>
      <w:r w:rsidRPr="00772A75">
        <w:rPr>
          <w:rFonts w:asciiTheme="minorHAnsi" w:hAnsiTheme="minorHAnsi" w:cstheme="minorHAnsi"/>
        </w:rPr>
        <w:t xml:space="preserve">  </w:t>
      </w:r>
      <w:r w:rsidRPr="00DC0AA1">
        <w:rPr>
          <w:rFonts w:asciiTheme="minorHAnsi" w:hAnsiTheme="minorHAnsi" w:cstheme="minorHAnsi"/>
          <w:sz w:val="18"/>
          <w:szCs w:val="22"/>
        </w:rPr>
        <w:t>A Newly Covered Plan with a coverage date after the first day of the Premium Payment Year qualifie</w:t>
      </w:r>
      <w:r>
        <w:rPr>
          <w:rFonts w:asciiTheme="minorHAnsi" w:hAnsiTheme="minorHAnsi" w:cstheme="minorHAnsi"/>
          <w:sz w:val="18"/>
          <w:szCs w:val="22"/>
        </w:rPr>
        <w:t>s</w:t>
      </w:r>
      <w:r w:rsidRPr="00DC0AA1">
        <w:rPr>
          <w:rFonts w:asciiTheme="minorHAnsi" w:hAnsiTheme="minorHAnsi" w:cstheme="minorHAnsi"/>
          <w:sz w:val="18"/>
          <w:szCs w:val="22"/>
        </w:rPr>
        <w:t xml:space="preserve"> to pay a prorated premium.  A plan </w:t>
      </w:r>
      <w:r>
        <w:rPr>
          <w:rFonts w:asciiTheme="minorHAnsi" w:hAnsiTheme="minorHAnsi" w:cstheme="minorHAnsi"/>
          <w:sz w:val="18"/>
          <w:szCs w:val="22"/>
        </w:rPr>
        <w:t xml:space="preserve">that </w:t>
      </w:r>
      <w:r w:rsidRPr="00DC0AA1">
        <w:rPr>
          <w:rFonts w:asciiTheme="minorHAnsi" w:hAnsiTheme="minorHAnsi" w:cstheme="minorHAnsi"/>
          <w:sz w:val="18"/>
          <w:szCs w:val="22"/>
        </w:rPr>
        <w:t>ceases to be a covered plan before the end of the plan year does not</w:t>
      </w:r>
      <w:r>
        <w:rPr>
          <w:rFonts w:asciiTheme="minorHAnsi" w:hAnsiTheme="minorHAnsi" w:cstheme="minorHAnsi"/>
          <w:sz w:val="18"/>
          <w:szCs w:val="22"/>
        </w:rPr>
        <w:t xml:space="preserve"> qualify for proration</w:t>
      </w:r>
      <w:r w:rsidRPr="00DC0AA1">
        <w:rPr>
          <w:rFonts w:asciiTheme="minorHAnsi" w:hAnsiTheme="minorHAnsi" w:cstheme="minorHAnsi"/>
          <w:sz w:val="18"/>
          <w:szCs w:val="22"/>
        </w:rPr>
        <w:t xml:space="preserve">. </w:t>
      </w:r>
    </w:p>
  </w:footnote>
  <w:footnote w:id="4">
    <w:p w14:paraId="6DD26007" w14:textId="77777777" w:rsidR="000A23AD" w:rsidRPr="00E65170" w:rsidRDefault="000A23AD" w:rsidP="00062917">
      <w:pPr>
        <w:pStyle w:val="FootnoteText"/>
        <w:ind w:left="187" w:hanging="187"/>
        <w:rPr>
          <w:sz w:val="18"/>
          <w:szCs w:val="18"/>
        </w:rPr>
      </w:pPr>
      <w:r w:rsidRPr="000179C3">
        <w:rPr>
          <w:rStyle w:val="FootnoteReference"/>
          <w:rFonts w:asciiTheme="minorHAnsi" w:hAnsiTheme="minorHAnsi"/>
          <w:sz w:val="18"/>
          <w:szCs w:val="18"/>
        </w:rPr>
        <w:footnoteRef/>
      </w:r>
      <w:r w:rsidRPr="000179C3">
        <w:rPr>
          <w:rFonts w:asciiTheme="minorHAnsi" w:hAnsiTheme="minorHAnsi"/>
          <w:sz w:val="18"/>
          <w:szCs w:val="18"/>
        </w:rPr>
        <w:t xml:space="preserve"> </w:t>
      </w:r>
      <w:r>
        <w:rPr>
          <w:sz w:val="18"/>
          <w:szCs w:val="18"/>
        </w:rPr>
        <w:tab/>
      </w:r>
      <w:r>
        <w:rPr>
          <w:rFonts w:asciiTheme="minorHAnsi" w:hAnsiTheme="minorHAnsi"/>
          <w:sz w:val="18"/>
          <w:szCs w:val="18"/>
        </w:rPr>
        <w:t>T</w:t>
      </w:r>
      <w:r w:rsidRPr="000179C3">
        <w:rPr>
          <w:rFonts w:asciiTheme="minorHAnsi" w:hAnsiTheme="minorHAnsi"/>
          <w:sz w:val="18"/>
          <w:szCs w:val="18"/>
        </w:rPr>
        <w:t>he due date is the</w:t>
      </w:r>
      <w:r w:rsidRPr="000179C3">
        <w:rPr>
          <w:rFonts w:asciiTheme="minorHAnsi" w:hAnsiTheme="minorHAnsi" w:cs="TimesNewRoman,Bold"/>
          <w:bCs/>
          <w:sz w:val="18"/>
          <w:szCs w:val="18"/>
        </w:rPr>
        <w:t xml:space="preserve"> 15</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day of the 10</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full calendar month </w:t>
      </w:r>
      <w:r w:rsidRPr="000179C3">
        <w:rPr>
          <w:rFonts w:asciiTheme="minorHAnsi" w:hAnsiTheme="minorHAnsi" w:cs="TimesNewRoman,Bold"/>
          <w:sz w:val="18"/>
          <w:szCs w:val="18"/>
          <w:u w:val="single"/>
        </w:rPr>
        <w:t>that begins on or after the first day of the Premium Payment Year</w:t>
      </w:r>
      <w:r w:rsidRPr="000179C3">
        <w:rPr>
          <w:rFonts w:asciiTheme="minorHAnsi" w:hAnsiTheme="minorHAnsi" w:cs="TimesNewRoman,Bold"/>
          <w:sz w:val="18"/>
          <w:szCs w:val="18"/>
        </w:rPr>
        <w:t xml:space="preserve">. </w:t>
      </w:r>
      <w:r w:rsidRPr="000179C3">
        <w:rPr>
          <w:rFonts w:asciiTheme="minorHAnsi" w:hAnsiTheme="minorHAnsi"/>
          <w:sz w:val="18"/>
          <w:szCs w:val="18"/>
        </w:rPr>
        <w:t>In situations involving a short plan year, this due date may not be “in the plan year.”</w:t>
      </w:r>
      <w:r>
        <w:rPr>
          <w:sz w:val="18"/>
          <w:szCs w:val="18"/>
        </w:rPr>
        <w:t xml:space="preserve">  </w:t>
      </w:r>
    </w:p>
  </w:footnote>
  <w:footnote w:id="5">
    <w:p w14:paraId="3ABADB23" w14:textId="77777777" w:rsidR="000A23AD" w:rsidRDefault="000A23AD" w:rsidP="00062917">
      <w:pPr>
        <w:pStyle w:val="FootnoteText"/>
        <w:ind w:left="187" w:hanging="187"/>
      </w:pPr>
      <w:r>
        <w:rPr>
          <w:rStyle w:val="FootnoteReference"/>
        </w:rPr>
        <w:footnoteRef/>
      </w:r>
      <w:r>
        <w:t xml:space="preserve">  </w:t>
      </w:r>
      <w:r w:rsidRPr="00FC34BB">
        <w:rPr>
          <w:rFonts w:asciiTheme="minorHAnsi" w:hAnsiTheme="minorHAnsi" w:cs="TimesNewRoman,Bold"/>
          <w:bCs/>
          <w:sz w:val="18"/>
          <w:szCs w:val="18"/>
        </w:rPr>
        <w:t>This extension does not apply to state or local holidays such as Patriots Day in Massachusetts or Emancipation day in the District of Columbia.</w:t>
      </w:r>
    </w:p>
  </w:footnote>
  <w:footnote w:id="6">
    <w:p w14:paraId="2D75AB74" w14:textId="77777777" w:rsidR="000A23AD" w:rsidRDefault="000A23AD" w:rsidP="00062917">
      <w:pPr>
        <w:autoSpaceDE w:val="0"/>
        <w:autoSpaceDN w:val="0"/>
        <w:adjustRightInd w:val="0"/>
        <w:ind w:left="187" w:hanging="187"/>
      </w:pPr>
      <w:r w:rsidRPr="0033638D">
        <w:rPr>
          <w:rStyle w:val="FootnoteReference"/>
          <w:rFonts w:asciiTheme="minorHAnsi" w:eastAsia="Batang" w:hAnsiTheme="minorHAnsi"/>
          <w:sz w:val="18"/>
          <w:szCs w:val="18"/>
          <w:lang w:eastAsia="en-US"/>
        </w:rPr>
        <w:footnoteRef/>
      </w:r>
      <w:r w:rsidRPr="0033638D">
        <w:rPr>
          <w:rStyle w:val="FootnoteReference"/>
        </w:rPr>
        <w:t xml:space="preserve">  </w:t>
      </w:r>
      <w:r w:rsidRPr="00AC05CA">
        <w:t xml:space="preserve"> </w:t>
      </w:r>
      <w:r w:rsidRPr="00AC05CA">
        <w:rPr>
          <w:rFonts w:asciiTheme="minorHAnsi" w:eastAsia="Batang" w:hAnsiTheme="minorHAnsi"/>
          <w:sz w:val="18"/>
          <w:szCs w:val="18"/>
          <w:lang w:eastAsia="en-US"/>
        </w:rPr>
        <w:t>See “</w:t>
      </w:r>
      <w:hyperlink w:anchor="b10" w:history="1">
        <w:r w:rsidRPr="008C0EFB">
          <w:rPr>
            <w:rStyle w:val="Hyperlink"/>
            <w:rFonts w:asciiTheme="minorHAnsi" w:eastAsia="Batang" w:hAnsiTheme="minorHAnsi"/>
            <w:sz w:val="18"/>
            <w:szCs w:val="18"/>
            <w:lang w:eastAsia="en-US"/>
          </w:rPr>
          <w:t>Late Payment Charges</w:t>
        </w:r>
      </w:hyperlink>
      <w:r w:rsidRPr="00AC05CA">
        <w:rPr>
          <w:rFonts w:asciiTheme="minorHAnsi" w:eastAsia="Batang" w:hAnsiTheme="minorHAnsi"/>
          <w:sz w:val="18"/>
          <w:szCs w:val="18"/>
          <w:lang w:eastAsia="en-US"/>
        </w:rPr>
        <w:t xml:space="preserve">” section for information on how late charges are determined </w:t>
      </w:r>
      <w:r w:rsidRPr="00177E14">
        <w:rPr>
          <w:rFonts w:asciiTheme="minorHAnsi" w:eastAsia="Batang" w:hAnsiTheme="minorHAnsi" w:cs="TimesNewRoman,Bold"/>
          <w:bCs/>
          <w:sz w:val="18"/>
          <w:szCs w:val="18"/>
          <w:lang w:eastAsia="en-US"/>
        </w:rPr>
        <w:t>if payment is made after an automatically extended due date.</w:t>
      </w:r>
    </w:p>
  </w:footnote>
  <w:footnote w:id="7">
    <w:p w14:paraId="163F3D89" w14:textId="77777777" w:rsidR="000A23AD" w:rsidRPr="002D73EB" w:rsidRDefault="000A23AD" w:rsidP="00483CFD">
      <w:pPr>
        <w:pStyle w:val="FootnoteText"/>
        <w:ind w:left="180" w:hanging="180"/>
        <w:rPr>
          <w:rFonts w:asciiTheme="majorHAnsi" w:hAnsiTheme="majorHAnsi"/>
          <w:sz w:val="18"/>
          <w:szCs w:val="18"/>
        </w:rPr>
      </w:pPr>
      <w:r w:rsidRPr="002D73EB">
        <w:rPr>
          <w:rStyle w:val="FootnoteReference"/>
          <w:rFonts w:asciiTheme="majorHAnsi" w:hAnsiTheme="majorHAnsi"/>
          <w:sz w:val="18"/>
          <w:szCs w:val="18"/>
        </w:rPr>
        <w:footnoteRef/>
      </w:r>
      <w:r w:rsidRPr="002D73EB">
        <w:rPr>
          <w:rFonts w:asciiTheme="majorHAnsi" w:hAnsiTheme="majorHAnsi"/>
          <w:sz w:val="18"/>
          <w:szCs w:val="18"/>
        </w:rPr>
        <w:t xml:space="preserve">  </w:t>
      </w:r>
      <w:r w:rsidRPr="006915BF">
        <w:rPr>
          <w:rFonts w:asciiTheme="minorHAnsi" w:hAnsiTheme="minorHAnsi" w:cs="Arial"/>
          <w:sz w:val="18"/>
          <w:szCs w:val="18"/>
        </w:rPr>
        <w:t xml:space="preserve">The post-distribution certification (Form 501) is a document required to be submitted to PBGC as part the standard termination process </w:t>
      </w:r>
      <w:r>
        <w:rPr>
          <w:rFonts w:asciiTheme="minorHAnsi" w:hAnsiTheme="minorHAnsi" w:cs="Arial"/>
          <w:sz w:val="18"/>
          <w:szCs w:val="18"/>
        </w:rPr>
        <w:t>S</w:t>
      </w:r>
      <w:r w:rsidRPr="006915BF">
        <w:rPr>
          <w:rFonts w:asciiTheme="minorHAnsi" w:hAnsiTheme="minorHAnsi" w:cs="Arial"/>
          <w:sz w:val="18"/>
          <w:szCs w:val="18"/>
        </w:rPr>
        <w:t xml:space="preserve">ee </w:t>
      </w:r>
      <w:hyperlink r:id="rId1" w:history="1">
        <w:r w:rsidRPr="008C0EFB">
          <w:rPr>
            <w:rStyle w:val="Hyperlink"/>
            <w:rFonts w:asciiTheme="minorHAnsi" w:hAnsiTheme="minorHAnsi" w:cs="Arial"/>
            <w:bCs/>
            <w:sz w:val="18"/>
            <w:szCs w:val="18"/>
          </w:rPr>
          <w:t>§ 4041.29</w:t>
        </w:r>
      </w:hyperlink>
      <w:r w:rsidRPr="006915BF">
        <w:rPr>
          <w:rFonts w:asciiTheme="minorHAnsi" w:hAnsiTheme="minorHAnsi" w:cs="Arial"/>
          <w:bCs/>
          <w:sz w:val="18"/>
          <w:szCs w:val="18"/>
        </w:rPr>
        <w:t xml:space="preserve"> for additional information.</w:t>
      </w:r>
    </w:p>
  </w:footnote>
  <w:footnote w:id="8">
    <w:p w14:paraId="132873AF" w14:textId="77777777" w:rsidR="000A23AD" w:rsidRDefault="000A23AD" w:rsidP="000F3524">
      <w:pPr>
        <w:pStyle w:val="FootnoteText"/>
        <w:ind w:left="90" w:hanging="90"/>
      </w:pPr>
      <w:r w:rsidRPr="00D06E81">
        <w:rPr>
          <w:rStyle w:val="FootnoteReference"/>
          <w:rFonts w:asciiTheme="minorHAnsi" w:hAnsiTheme="minorHAnsi"/>
        </w:rPr>
        <w:footnoteRef/>
      </w:r>
      <w:r w:rsidRPr="00D06E81">
        <w:rPr>
          <w:rFonts w:asciiTheme="minorHAnsi" w:hAnsiTheme="minorHAnsi"/>
        </w:rPr>
        <w:t xml:space="preserve"> </w:t>
      </w:r>
      <w:r w:rsidRPr="00D06E81">
        <w:rPr>
          <w:rFonts w:asciiTheme="minorHAnsi" w:hAnsiTheme="minorHAnsi"/>
          <w:sz w:val="18"/>
          <w:szCs w:val="18"/>
        </w:rPr>
        <w:t xml:space="preserve">See the </w:t>
      </w:r>
      <w:hyperlink r:id="rId2" w:history="1">
        <w:r w:rsidRPr="00B72615">
          <w:rPr>
            <w:rStyle w:val="Hyperlink"/>
            <w:rFonts w:asciiTheme="minorHAnsi" w:hAnsiTheme="minorHAnsi"/>
            <w:sz w:val="18"/>
            <w:szCs w:val="18"/>
          </w:rPr>
          <w:t>regulations</w:t>
        </w:r>
      </w:hyperlink>
      <w:r w:rsidRPr="00D06E81">
        <w:rPr>
          <w:rFonts w:asciiTheme="minorHAnsi" w:hAnsiTheme="minorHAnsi"/>
          <w:sz w:val="18"/>
          <w:szCs w:val="18"/>
        </w:rPr>
        <w:t xml:space="preserve"> under section 414(</w:t>
      </w:r>
      <w:r w:rsidRPr="00D06E81">
        <w:rPr>
          <w:rFonts w:asciiTheme="minorHAnsi" w:hAnsiTheme="minorHAnsi"/>
          <w:i/>
          <w:iCs/>
          <w:sz w:val="18"/>
          <w:szCs w:val="18"/>
        </w:rPr>
        <w:t>l</w:t>
      </w:r>
      <w:r w:rsidRPr="00D06E81">
        <w:rPr>
          <w:rFonts w:asciiTheme="minorHAnsi" w:hAnsiTheme="minorHAnsi"/>
          <w:sz w:val="18"/>
          <w:szCs w:val="18"/>
        </w:rPr>
        <w:t>) of the Code with respect to Single-employer Plans</w:t>
      </w:r>
      <w:r>
        <w:rPr>
          <w:rFonts w:asciiTheme="minorHAnsi" w:hAnsiTheme="minorHAnsi"/>
          <w:sz w:val="18"/>
          <w:szCs w:val="18"/>
        </w:rPr>
        <w:t>.</w:t>
      </w:r>
    </w:p>
  </w:footnote>
  <w:footnote w:id="9">
    <w:p w14:paraId="11EABBEC" w14:textId="77777777" w:rsidR="000A23AD" w:rsidRDefault="000A23AD" w:rsidP="001452F8">
      <w:pPr>
        <w:spacing w:before="120"/>
      </w:pPr>
      <w:r w:rsidRPr="002D73EB">
        <w:rPr>
          <w:rStyle w:val="FootnoteReference"/>
          <w:rFonts w:asciiTheme="minorHAnsi" w:hAnsiTheme="minorHAnsi"/>
          <w:sz w:val="18"/>
          <w:szCs w:val="18"/>
        </w:rPr>
        <w:footnoteRef/>
      </w:r>
      <w:r w:rsidRPr="002D73EB">
        <w:rPr>
          <w:rFonts w:asciiTheme="minorHAnsi" w:hAnsiTheme="minorHAnsi"/>
          <w:sz w:val="18"/>
          <w:szCs w:val="18"/>
        </w:rPr>
        <w:t xml:space="preserve"> See (</w:t>
      </w:r>
      <w:hyperlink w:anchor="b29" w:history="1">
        <w:r w:rsidRPr="002060E8">
          <w:rPr>
            <w:rStyle w:val="Hyperlink"/>
            <w:rFonts w:asciiTheme="minorHAnsi" w:hAnsiTheme="minorHAnsi"/>
            <w:sz w:val="18"/>
            <w:szCs w:val="18"/>
          </w:rPr>
          <w:t>line (7)(c)(3)</w:t>
        </w:r>
      </w:hyperlink>
      <w:r w:rsidRPr="002D73EB">
        <w:rPr>
          <w:rFonts w:asciiTheme="minorHAnsi" w:hAnsiTheme="minorHAnsi"/>
          <w:sz w:val="18"/>
          <w:szCs w:val="18"/>
        </w:rPr>
        <w:t xml:space="preserve"> of the illustrative form in the “</w:t>
      </w:r>
      <w:r w:rsidRPr="002D73EB">
        <w:rPr>
          <w:rFonts w:asciiTheme="minorHAnsi" w:hAnsiTheme="minorHAnsi"/>
          <w:b/>
          <w:sz w:val="18"/>
          <w:szCs w:val="18"/>
        </w:rPr>
        <w:t>Data to be submitted”</w:t>
      </w:r>
      <w:r w:rsidRPr="002D73EB">
        <w:rPr>
          <w:rFonts w:asciiTheme="minorHAnsi" w:hAnsiTheme="minorHAnsi"/>
          <w:sz w:val="18"/>
          <w:szCs w:val="18"/>
        </w:rPr>
        <w:t xml:space="preserve"> section.</w:t>
      </w:r>
    </w:p>
  </w:footnote>
  <w:footnote w:id="10">
    <w:p w14:paraId="7537FAD0" w14:textId="77777777" w:rsidR="000A23AD" w:rsidRPr="002D73EB" w:rsidRDefault="000A23AD" w:rsidP="000C62C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D will be subject to the Lookback Rule for </w:t>
      </w:r>
      <w:r>
        <w:rPr>
          <w:rFonts w:asciiTheme="minorHAnsi" w:hAnsiTheme="minorHAnsi"/>
          <w:sz w:val="18"/>
          <w:szCs w:val="18"/>
        </w:rPr>
        <w:t>2018</w:t>
      </w:r>
      <w:r w:rsidRPr="002D73EB">
        <w:rPr>
          <w:rFonts w:asciiTheme="minorHAnsi" w:hAnsiTheme="minorHAnsi"/>
          <w:sz w:val="18"/>
          <w:szCs w:val="18"/>
        </w:rPr>
        <w:t xml:space="preserve">. That means that Plan D’s Variable-rate Premium for </w:t>
      </w:r>
      <w:r>
        <w:rPr>
          <w:rFonts w:asciiTheme="minorHAnsi" w:hAnsiTheme="minorHAnsi"/>
          <w:sz w:val="18"/>
          <w:szCs w:val="18"/>
        </w:rPr>
        <w:t>2018</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Pr>
          <w:rFonts w:asciiTheme="minorHAnsi" w:hAnsiTheme="minorHAnsi"/>
          <w:sz w:val="18"/>
          <w:szCs w:val="18"/>
        </w:rPr>
        <w:t>2017</w:t>
      </w:r>
      <w:r w:rsidRPr="002A7A63">
        <w:rPr>
          <w:rFonts w:asciiTheme="minorHAnsi" w:hAnsiTheme="minorHAnsi"/>
          <w:sz w:val="18"/>
          <w:szCs w:val="18"/>
        </w:rPr>
        <w:t xml:space="preserve"> measured as of 1/1/</w:t>
      </w:r>
      <w:r>
        <w:rPr>
          <w:rFonts w:asciiTheme="minorHAnsi" w:hAnsiTheme="minorHAnsi"/>
          <w:sz w:val="18"/>
          <w:szCs w:val="18"/>
        </w:rPr>
        <w:t>2017</w:t>
      </w:r>
      <w:r w:rsidRPr="002A7A63">
        <w:rPr>
          <w:rFonts w:asciiTheme="minorHAnsi" w:hAnsiTheme="minorHAnsi"/>
          <w:sz w:val="18"/>
          <w:szCs w:val="18"/>
        </w:rPr>
        <w:t xml:space="preserve">. But, Plan D can opt out of the Lookback Rule starting with </w:t>
      </w:r>
      <w:r>
        <w:rPr>
          <w:rFonts w:asciiTheme="minorHAnsi" w:hAnsiTheme="minorHAnsi"/>
          <w:sz w:val="18"/>
          <w:szCs w:val="18"/>
        </w:rPr>
        <w:t>2018</w:t>
      </w:r>
      <w:r w:rsidRPr="002A7A63">
        <w:rPr>
          <w:rFonts w:asciiTheme="minorHAnsi" w:hAnsiTheme="minorHAnsi"/>
          <w:sz w:val="18"/>
          <w:szCs w:val="18"/>
        </w:rPr>
        <w:t>.</w:t>
      </w:r>
    </w:p>
  </w:footnote>
  <w:footnote w:id="11">
    <w:p w14:paraId="7F9DF299" w14:textId="77777777" w:rsidR="000A23AD" w:rsidRPr="0073129B" w:rsidRDefault="000A23AD" w:rsidP="0049639B">
      <w:pPr>
        <w:pStyle w:val="FootnoteText"/>
        <w:ind w:left="90" w:hanging="90"/>
        <w:rPr>
          <w:sz w:val="18"/>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Note that this will not be the case if the plan is not yet subject to PPA for funding purposes</w:t>
      </w:r>
      <w:r>
        <w:rPr>
          <w:rFonts w:asciiTheme="minorHAnsi" w:hAnsiTheme="minorHAnsi"/>
          <w:sz w:val="18"/>
          <w:szCs w:val="18"/>
        </w:rPr>
        <w:t>,</w:t>
      </w:r>
      <w:r w:rsidRPr="0073129B">
        <w:rPr>
          <w:rFonts w:asciiTheme="minorHAnsi" w:hAnsiTheme="minorHAnsi"/>
          <w:sz w:val="18"/>
          <w:szCs w:val="18"/>
        </w:rPr>
        <w:t xml:space="preserve"> or if an election is made under PPA 2006 section 402, to use an 8.25% discount rate to determine the funding target for funding purposes. See “</w:t>
      </w:r>
      <w:hyperlink w:anchor="b30" w:history="1">
        <w:r w:rsidRPr="002060E8">
          <w:rPr>
            <w:rStyle w:val="Hyperlink"/>
            <w:rFonts w:asciiTheme="minorHAnsi" w:hAnsiTheme="minorHAnsi"/>
            <w:sz w:val="18"/>
            <w:szCs w:val="18"/>
          </w:rPr>
          <w:t>Plans Subject to Special Funding Rules</w:t>
        </w:r>
      </w:hyperlink>
      <w:r w:rsidRPr="0073129B">
        <w:rPr>
          <w:rFonts w:asciiTheme="minorHAnsi" w:hAnsiTheme="minorHAnsi"/>
          <w:sz w:val="18"/>
          <w:szCs w:val="18"/>
        </w:rPr>
        <w:t>” later in this section</w:t>
      </w:r>
      <w:r w:rsidRPr="0073129B">
        <w:rPr>
          <w:sz w:val="18"/>
          <w:szCs w:val="18"/>
        </w:rPr>
        <w:t>.</w:t>
      </w:r>
    </w:p>
  </w:footnote>
  <w:footnote w:id="12">
    <w:p w14:paraId="6970CD4B" w14:textId="77777777" w:rsidR="000A23AD" w:rsidRPr="000325B6" w:rsidRDefault="000A23AD" w:rsidP="000325B6">
      <w:pPr>
        <w:pStyle w:val="FootnoteText"/>
        <w:ind w:left="-270" w:hanging="270"/>
        <w:rPr>
          <w:sz w:val="16"/>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w:t>
      </w:r>
      <w:r w:rsidRPr="00E93313">
        <w:rPr>
          <w:rFonts w:asciiTheme="minorHAnsi" w:hAnsiTheme="minorHAnsi"/>
          <w:b/>
          <w:sz w:val="18"/>
          <w:szCs w:val="18"/>
        </w:rPr>
        <w:t>Table entries assume plan is not a New or Newly Covered Small Plan.</w:t>
      </w:r>
      <w:r w:rsidRPr="000325B6">
        <w:rPr>
          <w:rFonts w:asciiTheme="minorHAnsi" w:hAnsiTheme="minorHAnsi"/>
        </w:rPr>
        <w:t xml:space="preserve"> </w:t>
      </w:r>
      <w:r w:rsidRPr="000325B6">
        <w:rPr>
          <w:rFonts w:asciiTheme="minorHAnsi" w:hAnsiTheme="minorHAnsi"/>
          <w:sz w:val="18"/>
        </w:rPr>
        <w:t xml:space="preserve">The terms “funding” or “for funding purposes” in this table mean amounts determined under ERISA Section 303.  </w:t>
      </w:r>
      <w:r>
        <w:rPr>
          <w:rFonts w:asciiTheme="minorHAnsi" w:hAnsiTheme="minorHAnsi"/>
          <w:sz w:val="18"/>
        </w:rPr>
        <w:t>Re</w:t>
      </w:r>
      <w:r w:rsidRPr="000325B6">
        <w:rPr>
          <w:rFonts w:asciiTheme="minorHAnsi" w:hAnsiTheme="minorHAnsi"/>
          <w:sz w:val="18"/>
        </w:rPr>
        <w:t xml:space="preserve">ferences </w:t>
      </w:r>
      <w:r>
        <w:rPr>
          <w:rFonts w:asciiTheme="minorHAnsi" w:hAnsiTheme="minorHAnsi"/>
          <w:sz w:val="18"/>
        </w:rPr>
        <w:t>to 2017</w:t>
      </w:r>
      <w:r w:rsidRPr="000325B6">
        <w:rPr>
          <w:rFonts w:asciiTheme="minorHAnsi" w:hAnsiTheme="minorHAnsi"/>
          <w:sz w:val="18"/>
        </w:rPr>
        <w:t xml:space="preserve"> or </w:t>
      </w:r>
      <w:r>
        <w:rPr>
          <w:rFonts w:asciiTheme="minorHAnsi" w:hAnsiTheme="minorHAnsi"/>
          <w:sz w:val="18"/>
        </w:rPr>
        <w:t>2018</w:t>
      </w:r>
      <w:r w:rsidRPr="000325B6">
        <w:rPr>
          <w:rFonts w:asciiTheme="minorHAnsi" w:hAnsiTheme="minorHAnsi"/>
          <w:sz w:val="18"/>
        </w:rPr>
        <w:t xml:space="preserve"> relate to the plan year beginning in such year.</w:t>
      </w:r>
    </w:p>
  </w:footnote>
  <w:footnote w:id="13">
    <w:p w14:paraId="27809DE0" w14:textId="77777777" w:rsidR="000A23AD" w:rsidRDefault="000A23AD" w:rsidP="00A1555E">
      <w:pPr>
        <w:pStyle w:val="FootnoteText"/>
        <w:ind w:left="-270" w:hanging="270"/>
        <w:rPr>
          <w:rFonts w:asciiTheme="minorHAnsi" w:hAnsiTheme="minorHAnsi"/>
          <w:sz w:val="18"/>
          <w:szCs w:val="18"/>
        </w:rPr>
      </w:pPr>
      <w:r w:rsidRPr="0073129B">
        <w:rPr>
          <w:rStyle w:val="FootnoteReference"/>
          <w:rFonts w:asciiTheme="minorHAnsi" w:hAnsiTheme="minorHAnsi" w:cs="Arial"/>
          <w:sz w:val="18"/>
          <w:szCs w:val="18"/>
        </w:rPr>
        <w:footnoteRef/>
      </w:r>
      <w:r w:rsidRPr="0073129B">
        <w:rPr>
          <w:rFonts w:ascii="Arial" w:hAnsi="Arial" w:cs="Arial"/>
          <w:sz w:val="18"/>
          <w:szCs w:val="18"/>
        </w:rPr>
        <w:t xml:space="preserve">  </w:t>
      </w:r>
      <w:r w:rsidRPr="0073129B">
        <w:rPr>
          <w:rFonts w:asciiTheme="minorHAnsi" w:hAnsiTheme="minorHAnsi"/>
          <w:sz w:val="18"/>
          <w:szCs w:val="18"/>
        </w:rPr>
        <w:t xml:space="preserve">This </w:t>
      </w:r>
      <w:r>
        <w:rPr>
          <w:rFonts w:asciiTheme="minorHAnsi" w:hAnsiTheme="minorHAnsi"/>
          <w:sz w:val="18"/>
          <w:szCs w:val="18"/>
        </w:rPr>
        <w:t>is n</w:t>
      </w:r>
      <w:r w:rsidRPr="0073129B">
        <w:rPr>
          <w:rFonts w:asciiTheme="minorHAnsi" w:hAnsiTheme="minorHAnsi"/>
          <w:sz w:val="18"/>
          <w:szCs w:val="18"/>
        </w:rPr>
        <w:t xml:space="preserve">ot the case </w:t>
      </w:r>
      <w:r>
        <w:rPr>
          <w:rFonts w:asciiTheme="minorHAnsi" w:hAnsiTheme="minorHAnsi"/>
          <w:sz w:val="18"/>
          <w:szCs w:val="18"/>
        </w:rPr>
        <w:t>for</w:t>
      </w:r>
      <w:r w:rsidRPr="0073129B">
        <w:rPr>
          <w:rFonts w:asciiTheme="minorHAnsi" w:hAnsiTheme="minorHAnsi"/>
          <w:sz w:val="18"/>
          <w:szCs w:val="18"/>
        </w:rPr>
        <w:t xml:space="preserve"> plan </w:t>
      </w:r>
      <w:r>
        <w:rPr>
          <w:rFonts w:asciiTheme="minorHAnsi" w:hAnsiTheme="minorHAnsi"/>
          <w:sz w:val="18"/>
          <w:szCs w:val="18"/>
        </w:rPr>
        <w:t>that are</w:t>
      </w:r>
      <w:r w:rsidRPr="0073129B">
        <w:rPr>
          <w:rFonts w:asciiTheme="minorHAnsi" w:hAnsiTheme="minorHAnsi"/>
          <w:sz w:val="18"/>
          <w:szCs w:val="18"/>
        </w:rPr>
        <w:t xml:space="preserve"> not subject to PPA for funding purposes or plan</w:t>
      </w:r>
      <w:r>
        <w:rPr>
          <w:rFonts w:asciiTheme="minorHAnsi" w:hAnsiTheme="minorHAnsi"/>
          <w:sz w:val="18"/>
          <w:szCs w:val="18"/>
        </w:rPr>
        <w:t>s</w:t>
      </w:r>
      <w:r w:rsidRPr="0073129B">
        <w:rPr>
          <w:rFonts w:asciiTheme="minorHAnsi" w:hAnsiTheme="minorHAnsi"/>
          <w:sz w:val="18"/>
          <w:szCs w:val="18"/>
        </w:rPr>
        <w:t xml:space="preserve"> made election</w:t>
      </w:r>
      <w:r>
        <w:rPr>
          <w:rFonts w:asciiTheme="minorHAnsi" w:hAnsiTheme="minorHAnsi"/>
          <w:sz w:val="18"/>
          <w:szCs w:val="18"/>
        </w:rPr>
        <w:t>s</w:t>
      </w:r>
      <w:r w:rsidRPr="0073129B">
        <w:rPr>
          <w:rFonts w:asciiTheme="minorHAnsi" w:hAnsiTheme="minorHAnsi"/>
          <w:sz w:val="18"/>
          <w:szCs w:val="18"/>
        </w:rPr>
        <w:t xml:space="preserve"> under section 402 of PPA which the funding target is determined using an 8.25% discount rate.  See “</w:t>
      </w:r>
      <w:hyperlink w:anchor="b30" w:history="1">
        <w:r w:rsidRPr="002060E8">
          <w:rPr>
            <w:rStyle w:val="Hyperlink"/>
            <w:rFonts w:asciiTheme="minorHAnsi" w:hAnsiTheme="minorHAnsi"/>
            <w:sz w:val="18"/>
            <w:szCs w:val="18"/>
          </w:rPr>
          <w:t>Plans Subject to Special Funding Rules</w:t>
        </w:r>
      </w:hyperlink>
      <w:r w:rsidRPr="0073129B">
        <w:rPr>
          <w:rFonts w:asciiTheme="minorHAnsi" w:hAnsiTheme="minorHAnsi"/>
          <w:sz w:val="18"/>
          <w:szCs w:val="18"/>
        </w:rPr>
        <w:t xml:space="preserve">” on </w:t>
      </w:r>
      <w:r>
        <w:rPr>
          <w:rFonts w:asciiTheme="minorHAnsi" w:hAnsiTheme="minorHAnsi"/>
          <w:sz w:val="18"/>
          <w:szCs w:val="18"/>
        </w:rPr>
        <w:t>next</w:t>
      </w:r>
      <w:r w:rsidRPr="0073129B">
        <w:rPr>
          <w:rFonts w:asciiTheme="minorHAnsi" w:hAnsiTheme="minorHAnsi"/>
          <w:sz w:val="18"/>
          <w:szCs w:val="18"/>
        </w:rPr>
        <w:t xml:space="preserve"> page.</w:t>
      </w:r>
    </w:p>
    <w:p w14:paraId="0C3555DF" w14:textId="77777777" w:rsidR="000A23AD" w:rsidRDefault="000A23AD" w:rsidP="00A1555E">
      <w:pPr>
        <w:pStyle w:val="FootnoteText"/>
        <w:ind w:left="-270" w:hanging="270"/>
      </w:pPr>
    </w:p>
  </w:footnote>
  <w:footnote w:id="14">
    <w:p w14:paraId="752C0807" w14:textId="77777777" w:rsidR="000A23AD" w:rsidRPr="006E4C39" w:rsidRDefault="000A23AD" w:rsidP="00364997">
      <w:pPr>
        <w:pStyle w:val="FootnoteText"/>
        <w:ind w:left="270" w:hanging="270"/>
        <w:rPr>
          <w:rFonts w:asciiTheme="minorHAnsi" w:hAnsiTheme="minorHAnsi"/>
        </w:rPr>
      </w:pPr>
      <w:r w:rsidRPr="006E4C39">
        <w:rPr>
          <w:rStyle w:val="FootnoteReference"/>
          <w:rFonts w:asciiTheme="minorHAnsi" w:hAnsiTheme="minorHAnsi"/>
        </w:rPr>
        <w:footnoteRef/>
      </w:r>
      <w:r>
        <w:t xml:space="preserve">  </w:t>
      </w:r>
      <w:r>
        <w:rPr>
          <w:rFonts w:asciiTheme="minorHAnsi" w:hAnsiTheme="minorHAnsi"/>
          <w:sz w:val="18"/>
        </w:rPr>
        <w:t xml:space="preserve">If a plan ceases to exist because of a merger or consolidation and the transaction </w:t>
      </w:r>
      <w:r w:rsidRPr="00364997">
        <w:rPr>
          <w:rFonts w:asciiTheme="minorHAnsi" w:hAnsiTheme="minorHAnsi"/>
          <w:sz w:val="18"/>
        </w:rPr>
        <w:t xml:space="preserve">occurs after the premium filing is submitted, please contact PBGC via email </w:t>
      </w:r>
      <w:r>
        <w:rPr>
          <w:rFonts w:asciiTheme="minorHAnsi" w:hAnsiTheme="minorHAnsi"/>
          <w:sz w:val="18"/>
        </w:rPr>
        <w:t xml:space="preserve">at </w:t>
      </w:r>
      <w:hyperlink r:id="rId3" w:history="1">
        <w:r w:rsidRPr="00364997">
          <w:rPr>
            <w:rStyle w:val="Hyperlink"/>
            <w:rFonts w:asciiTheme="minorHAnsi" w:hAnsiTheme="minorHAnsi"/>
            <w:bCs/>
            <w:szCs w:val="22"/>
          </w:rPr>
          <w:t>premiums@pbgc.gov</w:t>
        </w:r>
      </w:hyperlink>
      <w:r>
        <w:rPr>
          <w:rFonts w:asciiTheme="minorHAnsi" w:hAnsiTheme="minorHAnsi"/>
          <w:sz w:val="18"/>
        </w:rPr>
        <w:t xml:space="preserve">, so </w:t>
      </w:r>
      <w:r w:rsidRPr="00364997">
        <w:rPr>
          <w:rFonts w:asciiTheme="minorHAnsi" w:hAnsiTheme="minorHAnsi"/>
          <w:sz w:val="18"/>
        </w:rPr>
        <w:t xml:space="preserve">we can update our records.  Absent this notification, PBGC will likely contact the plan </w:t>
      </w:r>
      <w:r>
        <w:rPr>
          <w:rFonts w:asciiTheme="minorHAnsi" w:hAnsiTheme="minorHAnsi"/>
          <w:sz w:val="18"/>
        </w:rPr>
        <w:t xml:space="preserve">(that no longer exists) </w:t>
      </w:r>
      <w:r w:rsidRPr="00364997">
        <w:rPr>
          <w:rFonts w:asciiTheme="minorHAnsi" w:hAnsiTheme="minorHAnsi"/>
          <w:sz w:val="18"/>
        </w:rPr>
        <w:t xml:space="preserve">to inquire about why the subsequent year’s </w:t>
      </w:r>
      <w:r>
        <w:rPr>
          <w:rFonts w:asciiTheme="minorHAnsi" w:hAnsiTheme="minorHAnsi"/>
          <w:sz w:val="18"/>
        </w:rPr>
        <w:t>filing isn’t</w:t>
      </w:r>
      <w:r w:rsidRPr="006E4C39">
        <w:rPr>
          <w:rFonts w:asciiTheme="minorHAnsi" w:hAnsiTheme="minorHAnsi"/>
          <w:sz w:val="18"/>
        </w:rPr>
        <w:t xml:space="preserve"> submitted.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7192B" w14:textId="77777777" w:rsidR="000A23AD" w:rsidRDefault="000A23A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8888" w14:textId="77777777" w:rsidR="000A23AD" w:rsidRDefault="000A23A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D5644" w14:textId="77777777" w:rsidR="000A23AD" w:rsidRPr="005C4FCB" w:rsidRDefault="000A23AD" w:rsidP="00F12837">
    <w:pPr>
      <w:pStyle w:val="Header"/>
      <w:rPr>
        <w:rFonts w:asciiTheme="minorHAnsi" w:hAnsiTheme="minorHAnsi"/>
        <w:b/>
        <w:sz w:val="28"/>
        <w:szCs w:val="28"/>
      </w:rPr>
    </w:pPr>
    <w:r w:rsidRPr="005C4FCB">
      <w:rPr>
        <w:rFonts w:asciiTheme="minorHAnsi" w:hAnsiTheme="minorHAnsi"/>
        <w:b/>
        <w:sz w:val="28"/>
        <w:szCs w:val="28"/>
      </w:rPr>
      <w:t>When to File</w:t>
    </w:r>
  </w:p>
  <w:p w14:paraId="5D13689C" w14:textId="77777777" w:rsidR="000A23AD" w:rsidRPr="00380FBE" w:rsidRDefault="000A23AD" w:rsidP="00F12837">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52A37" w14:textId="77777777" w:rsidR="000A23AD" w:rsidRDefault="000A23A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871C" w14:textId="77777777" w:rsidR="000A23AD" w:rsidRDefault="000A23A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4FEE" w14:textId="77777777" w:rsidR="000A23AD" w:rsidRPr="005C4FCB" w:rsidRDefault="000A23AD" w:rsidP="00F12837">
    <w:pPr>
      <w:pStyle w:val="Header"/>
      <w:rPr>
        <w:rFonts w:asciiTheme="minorHAnsi" w:hAnsiTheme="minorHAnsi"/>
        <w:b/>
        <w:sz w:val="28"/>
        <w:szCs w:val="28"/>
      </w:rPr>
    </w:pPr>
    <w:r w:rsidRPr="005C4FCB">
      <w:rPr>
        <w:rFonts w:asciiTheme="minorHAnsi" w:hAnsiTheme="minorHAnsi"/>
        <w:b/>
        <w:sz w:val="28"/>
        <w:szCs w:val="28"/>
      </w:rPr>
      <w:t>How to File</w:t>
    </w:r>
  </w:p>
  <w:p w14:paraId="769D20E5" w14:textId="77777777" w:rsidR="000A23AD" w:rsidRPr="00380FBE" w:rsidRDefault="000A23AD" w:rsidP="00F12837">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E241A" w14:textId="77777777" w:rsidR="000A23AD" w:rsidRDefault="000A23A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94E20" w14:textId="77777777" w:rsidR="000A23AD" w:rsidRDefault="000A23A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4F1F" w14:textId="77777777" w:rsidR="000A23AD" w:rsidRPr="005C4FCB" w:rsidRDefault="000A23AD" w:rsidP="00F1283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14:paraId="664D2FA0" w14:textId="77777777" w:rsidR="000A23AD" w:rsidRPr="00380FBE" w:rsidRDefault="000A23AD" w:rsidP="00F12837">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06EE5" w14:textId="77777777" w:rsidR="000A23AD" w:rsidRDefault="000A23A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6E8C0" w14:textId="77777777" w:rsidR="000A23AD" w:rsidRDefault="000A2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DD2CF" w14:textId="77777777" w:rsidR="000A23AD" w:rsidRPr="00996EBD" w:rsidRDefault="000A23AD" w:rsidP="00F12837">
    <w:pPr>
      <w:pStyle w:val="Header"/>
      <w:rPr>
        <w:rFonts w:asciiTheme="minorHAnsi" w:hAnsiTheme="minorHAnsi"/>
        <w:color w:val="FF0000"/>
      </w:rPr>
    </w:pPr>
    <w:r w:rsidRPr="005C4FCB">
      <w:rPr>
        <w:rFonts w:asciiTheme="minorHAnsi" w:hAnsiTheme="minorHAnsi"/>
      </w:rPr>
      <w:t>Contents</w:t>
    </w:r>
  </w:p>
  <w:p w14:paraId="132D1110" w14:textId="77777777" w:rsidR="000A23AD" w:rsidRPr="00380FBE" w:rsidRDefault="000A23AD" w:rsidP="00F12837">
    <w:pPr>
      <w:pStyle w:val="Header"/>
      <w:pBdr>
        <w:top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47B0" w14:textId="77777777" w:rsidR="000A23AD" w:rsidRPr="003678CF" w:rsidRDefault="000A23AD" w:rsidP="00F12837">
    <w:pPr>
      <w:pStyle w:val="Header"/>
      <w:rPr>
        <w:rFonts w:asciiTheme="minorHAnsi" w:hAnsiTheme="minorHAnsi"/>
        <w:b/>
        <w:sz w:val="28"/>
        <w:szCs w:val="28"/>
      </w:rPr>
    </w:pPr>
    <w:r>
      <w:rPr>
        <w:rFonts w:asciiTheme="minorHAnsi" w:hAnsiTheme="minorHAnsi"/>
        <w:b/>
        <w:sz w:val="28"/>
        <w:szCs w:val="28"/>
      </w:rPr>
      <w:t>How to Determine Unfunded Vested Benefits</w:t>
    </w:r>
  </w:p>
  <w:p w14:paraId="1AB60514" w14:textId="77777777" w:rsidR="000A23AD" w:rsidRPr="00380FBE" w:rsidRDefault="000A23AD" w:rsidP="00F12837">
    <w:pPr>
      <w:pStyle w:val="Header"/>
      <w:pBdr>
        <w:top w:val="single" w:sz="4" w:space="1"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DFAE" w14:textId="77777777" w:rsidR="000A23AD" w:rsidRDefault="000A23A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DA3A3" w14:textId="77777777" w:rsidR="000A23AD" w:rsidRPr="003678CF" w:rsidRDefault="000A23AD" w:rsidP="00F12837">
    <w:pPr>
      <w:pStyle w:val="Header"/>
      <w:rPr>
        <w:rFonts w:asciiTheme="minorHAnsi" w:hAnsiTheme="minorHAnsi"/>
        <w:b/>
        <w:sz w:val="28"/>
        <w:szCs w:val="28"/>
      </w:rPr>
    </w:pPr>
    <w:r>
      <w:rPr>
        <w:rFonts w:asciiTheme="minorHAnsi" w:hAnsiTheme="minorHAnsi"/>
        <w:b/>
        <w:sz w:val="28"/>
        <w:szCs w:val="28"/>
      </w:rPr>
      <w:t>Spinoffs, Mergers and Consolidations</w:t>
    </w:r>
  </w:p>
  <w:p w14:paraId="2B3B90DD" w14:textId="77777777" w:rsidR="000A23AD" w:rsidRPr="00380FBE" w:rsidRDefault="000A23AD" w:rsidP="00F12837">
    <w:pPr>
      <w:pStyle w:val="Header"/>
      <w:pBdr>
        <w:top w:val="single" w:sz="4" w:space="1"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6AE6D" w14:textId="77777777" w:rsidR="000A23AD" w:rsidRDefault="000A23A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103BE" w14:textId="77777777" w:rsidR="000A23AD" w:rsidRDefault="000A23AD" w:rsidP="003B0C35">
    <w:pPr>
      <w:pStyle w:val="Header"/>
      <w:ind w:left="-810"/>
      <w:rPr>
        <w:rFonts w:asciiTheme="minorHAnsi" w:hAnsiTheme="minorHAnsi"/>
        <w:b/>
        <w:sz w:val="28"/>
        <w:szCs w:val="28"/>
      </w:rPr>
    </w:pPr>
    <w:r w:rsidRPr="003678CF">
      <w:rPr>
        <w:rFonts w:asciiTheme="minorHAnsi" w:hAnsiTheme="minorHAnsi"/>
        <w:b/>
        <w:sz w:val="28"/>
        <w:szCs w:val="28"/>
      </w:rPr>
      <w:t>Data to be Submitted</w:t>
    </w:r>
  </w:p>
  <w:p w14:paraId="4BC989A2" w14:textId="77777777" w:rsidR="000A23AD" w:rsidRPr="003678CF" w:rsidRDefault="000A23AD" w:rsidP="003B0C35">
    <w:pPr>
      <w:pStyle w:val="Header"/>
      <w:pBdr>
        <w:top w:val="single" w:sz="4" w:space="1" w:color="auto"/>
      </w:pBdr>
      <w:ind w:left="-810"/>
      <w:rPr>
        <w:rFonts w:asciiTheme="minorHAnsi" w:hAnsiTheme="minorHAnsi"/>
        <w:b/>
        <w:sz w:val="28"/>
        <w:szCs w:val="2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615E7" w14:textId="77777777" w:rsidR="000A23AD" w:rsidRDefault="000A23A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CABDA" w14:textId="77777777" w:rsidR="000A23AD" w:rsidRDefault="000A23A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DDD1D" w14:textId="77777777" w:rsidR="000A23AD" w:rsidRPr="003678CF" w:rsidRDefault="000A23AD" w:rsidP="00F12837">
    <w:pPr>
      <w:pStyle w:val="Header"/>
      <w:rPr>
        <w:rFonts w:asciiTheme="minorHAnsi" w:hAnsiTheme="minorHAnsi" w:cs="TimesNewRoman,Bold"/>
        <w:b/>
        <w:bCs/>
        <w:sz w:val="28"/>
        <w:szCs w:val="28"/>
      </w:rPr>
    </w:pPr>
    <w:r w:rsidRPr="003678CF">
      <w:rPr>
        <w:rFonts w:asciiTheme="minorHAnsi" w:hAnsiTheme="minorHAnsi" w:cs="TimesNewRoman,Bold"/>
        <w:b/>
        <w:bCs/>
        <w:sz w:val="28"/>
        <w:szCs w:val="28"/>
      </w:rPr>
      <w:t>Description of Data Elements</w:t>
    </w:r>
  </w:p>
  <w:p w14:paraId="5CF8875C" w14:textId="77777777" w:rsidR="000A23AD" w:rsidRPr="000B12F6" w:rsidRDefault="000A23AD" w:rsidP="00F12837">
    <w:pPr>
      <w:pStyle w:val="Header"/>
      <w:pBdr>
        <w:top w:val="single" w:sz="4" w:space="1" w:color="auto"/>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579C2" w14:textId="77777777" w:rsidR="000A23AD" w:rsidRDefault="000A23A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B431D" w14:textId="77777777" w:rsidR="000A23AD" w:rsidRDefault="000A2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F5B4" w14:textId="77777777" w:rsidR="000A23AD" w:rsidRDefault="000A23A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D2D56" w14:textId="77777777" w:rsidR="000A23AD" w:rsidRPr="00A460B3" w:rsidRDefault="000A23AD" w:rsidP="00F12837">
    <w:pPr>
      <w:pStyle w:val="Header"/>
      <w:rPr>
        <w:rFonts w:asciiTheme="minorHAnsi" w:hAnsiTheme="minorHAnsi"/>
        <w:b/>
        <w:sz w:val="28"/>
        <w:szCs w:val="28"/>
      </w:rPr>
    </w:pPr>
    <w:r>
      <w:rPr>
        <w:rFonts w:asciiTheme="minorHAnsi" w:hAnsiTheme="minorHAnsi"/>
        <w:b/>
        <w:sz w:val="28"/>
        <w:szCs w:val="28"/>
      </w:rPr>
      <w:t>Late Payment Charges</w:t>
    </w:r>
  </w:p>
  <w:p w14:paraId="2230FFFB" w14:textId="77777777" w:rsidR="000A23AD" w:rsidRPr="00380FBE" w:rsidRDefault="000A23AD" w:rsidP="00F12837">
    <w:pPr>
      <w:pStyle w:val="Header"/>
      <w:pBdr>
        <w:top w:val="single" w:sz="4" w:space="1" w:color="auto"/>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35E9E" w14:textId="77777777" w:rsidR="000A23AD" w:rsidRDefault="000A23AD">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19AFC" w14:textId="77777777" w:rsidR="000A23AD" w:rsidRPr="00A460B3" w:rsidRDefault="000A23AD" w:rsidP="00F1283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14:paraId="7A73B90B" w14:textId="77777777" w:rsidR="000A23AD" w:rsidRPr="00380FBE" w:rsidRDefault="000A23AD" w:rsidP="00F12837">
    <w:pPr>
      <w:pStyle w:val="Header"/>
      <w:pBdr>
        <w:top w:val="single" w:sz="4" w:space="1" w:color="auto"/>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A13C2" w14:textId="77777777" w:rsidR="000A23AD" w:rsidRDefault="000A23AD">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AEC7" w14:textId="77777777" w:rsidR="000A23AD" w:rsidRPr="00F95A54" w:rsidRDefault="000A23AD" w:rsidP="00F1283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14:paraId="77F4DF48" w14:textId="77777777" w:rsidR="000A23AD" w:rsidRPr="00380FBE" w:rsidRDefault="000A23AD" w:rsidP="00F12837">
    <w:pPr>
      <w:pStyle w:val="Header"/>
      <w:pBdr>
        <w:top w:val="single" w:sz="4" w:space="1" w:color="auto"/>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7BB9" w14:textId="77777777" w:rsidR="000A23AD" w:rsidRDefault="000A23AD">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A270" w14:textId="77777777" w:rsidR="000A23AD" w:rsidRDefault="000A23AD">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11792" w14:textId="77777777" w:rsidR="000A23AD" w:rsidRPr="00F95A54" w:rsidRDefault="000A23AD" w:rsidP="00F12837">
    <w:pPr>
      <w:pStyle w:val="Header"/>
      <w:rPr>
        <w:rFonts w:asciiTheme="minorHAnsi" w:hAnsiTheme="minorHAnsi"/>
        <w:b/>
        <w:sz w:val="28"/>
        <w:szCs w:val="28"/>
      </w:rPr>
    </w:pPr>
    <w:r w:rsidRPr="00F95A54">
      <w:rPr>
        <w:rFonts w:asciiTheme="minorHAnsi" w:hAnsiTheme="minorHAnsi"/>
        <w:b/>
        <w:sz w:val="28"/>
        <w:szCs w:val="28"/>
      </w:rPr>
      <w:t>Appendix 1 – Definitions</w:t>
    </w:r>
  </w:p>
  <w:p w14:paraId="0FC1F703" w14:textId="77777777" w:rsidR="000A23AD" w:rsidRDefault="000A23AD" w:rsidP="00F12837">
    <w:pPr>
      <w:pStyle w:val="Header"/>
      <w:pBdr>
        <w:top w:val="single" w:sz="4" w:space="1" w:color="auto"/>
      </w:pBd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B6C95" w14:textId="77777777" w:rsidR="000A23AD" w:rsidRDefault="000A23AD">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B165D" w14:textId="77777777" w:rsidR="000A23AD" w:rsidRDefault="000A23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766F1" w14:textId="77777777" w:rsidR="000A23AD" w:rsidRDefault="000A23AD">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BB94" w14:textId="77777777" w:rsidR="000A23AD" w:rsidRPr="00F95A54" w:rsidRDefault="000A23AD">
    <w:pPr>
      <w:pStyle w:val="Header"/>
      <w:rPr>
        <w:rFonts w:asciiTheme="minorHAnsi" w:hAnsiTheme="minorHAnsi"/>
        <w:b/>
        <w:sz w:val="28"/>
        <w:szCs w:val="28"/>
      </w:rPr>
    </w:pPr>
    <w:r w:rsidRPr="00F95A54">
      <w:rPr>
        <w:rFonts w:asciiTheme="minorHAnsi" w:hAnsiTheme="minorHAnsi"/>
        <w:b/>
        <w:sz w:val="28"/>
        <w:szCs w:val="28"/>
      </w:rPr>
      <w:t>Appendix 2 – Contact information</w:t>
    </w:r>
  </w:p>
  <w:p w14:paraId="35E21B9F" w14:textId="77777777" w:rsidR="000A23AD" w:rsidRDefault="000A23AD" w:rsidP="00F12837">
    <w:pPr>
      <w:pStyle w:val="Header"/>
      <w:pBdr>
        <w:top w:val="single" w:sz="4" w:space="1" w:color="auto"/>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7D16E" w14:textId="77777777" w:rsidR="000A23AD" w:rsidRDefault="000A23AD">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2E8B9" w14:textId="77777777" w:rsidR="000A23AD" w:rsidRDefault="000A23AD">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A1CAA" w14:textId="77777777" w:rsidR="000A23AD" w:rsidRPr="003D195E" w:rsidRDefault="000A23AD" w:rsidP="00F12837">
    <w:pPr>
      <w:pStyle w:val="Header"/>
      <w:rPr>
        <w:rFonts w:asciiTheme="minorHAnsi" w:hAnsiTheme="minorHAnsi" w:cs="TimesNewRoman"/>
        <w:b/>
        <w:sz w:val="28"/>
        <w:szCs w:val="28"/>
      </w:rPr>
    </w:pPr>
    <w:r w:rsidRPr="003D195E">
      <w:rPr>
        <w:rFonts w:asciiTheme="minorHAnsi" w:hAnsiTheme="minorHAnsi" w:cs="TimesNewRoman"/>
        <w:b/>
        <w:sz w:val="28"/>
        <w:szCs w:val="28"/>
      </w:rPr>
      <w:t>Appendix 3</w:t>
    </w:r>
    <w:r w:rsidRPr="00F95A54">
      <w:rPr>
        <w:rFonts w:asciiTheme="minorHAnsi" w:hAnsiTheme="minorHAnsi"/>
        <w:b/>
        <w:sz w:val="28"/>
        <w:szCs w:val="28"/>
      </w:rPr>
      <w:t xml:space="preserve"> – </w:t>
    </w:r>
    <w:r>
      <w:rPr>
        <w:rFonts w:asciiTheme="minorHAnsi" w:hAnsiTheme="minorHAnsi" w:cs="TimesNewRoman"/>
        <w:b/>
        <w:sz w:val="28"/>
        <w:szCs w:val="28"/>
      </w:rPr>
      <w:t>On-line Premium Filing with My PAA</w:t>
    </w:r>
  </w:p>
  <w:p w14:paraId="746A8D28" w14:textId="77777777" w:rsidR="000A23AD" w:rsidRDefault="000A23AD" w:rsidP="00F12837">
    <w:pPr>
      <w:pStyle w:val="Header"/>
      <w:pBdr>
        <w:top w:val="single" w:sz="4" w:space="1" w:color="auto"/>
      </w:pBdr>
    </w:pPr>
    <w:r>
      <w:rPr>
        <w:rFonts w:ascii="TimesNewRoman" w:hAnsi="TimesNewRoman" w:cs="TimesNewRoman"/>
        <w:sz w:val="22"/>
        <w:szCs w:val="22"/>
      </w:rPr>
      <w:tab/>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8F4B" w14:textId="77777777" w:rsidR="000A23AD" w:rsidRDefault="000A23AD">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BB94A" w14:textId="77777777" w:rsidR="000A23AD" w:rsidRDefault="000A23AD">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26162" w14:textId="77777777" w:rsidR="000A23AD" w:rsidRPr="00CE21C3" w:rsidRDefault="000A23AD"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14:paraId="5A4ECBD6" w14:textId="77777777" w:rsidR="000A23AD" w:rsidRDefault="000A23AD" w:rsidP="00F12837">
    <w:pPr>
      <w:pStyle w:val="Header"/>
      <w:pBdr>
        <w:top w:val="single" w:sz="4" w:space="1" w:color="auto"/>
      </w:pBdr>
    </w:pPr>
    <w:r>
      <w:rPr>
        <w:rFonts w:ascii="TimesNewRoman" w:hAnsi="TimesNewRoman" w:cs="TimesNewRoman"/>
        <w:sz w:val="22"/>
        <w:szCs w:val="22"/>
      </w:rPr>
      <w:tab/>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C90BA" w14:textId="77777777" w:rsidR="000A23AD" w:rsidRDefault="000A23AD">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A9833" w14:textId="4EB5B9AC" w:rsidR="000A23AD" w:rsidRPr="00CE21C3" w:rsidRDefault="000A23AD"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5</w:t>
    </w:r>
    <w:r w:rsidRPr="00CE21C3">
      <w:rPr>
        <w:rFonts w:asciiTheme="minorHAnsi" w:hAnsiTheme="minorHAnsi" w:cs="TimesNewRoman"/>
        <w:b/>
        <w:sz w:val="28"/>
        <w:szCs w:val="28"/>
      </w:rPr>
      <w:t xml:space="preserve"> — </w:t>
    </w:r>
    <w:r>
      <w:rPr>
        <w:rFonts w:asciiTheme="minorHAnsi" w:hAnsiTheme="minorHAnsi" w:cs="TimesNewRoman"/>
        <w:b/>
        <w:sz w:val="28"/>
        <w:szCs w:val="28"/>
      </w:rPr>
      <w:t>Paperwork Reduction Act Notice</w:t>
    </w:r>
  </w:p>
  <w:p w14:paraId="1E8DA4B0" w14:textId="77777777" w:rsidR="000A23AD" w:rsidRDefault="000A23AD" w:rsidP="00F1283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26A5" w14:textId="77777777" w:rsidR="000A23AD" w:rsidRPr="005C4FCB" w:rsidRDefault="000A23AD" w:rsidP="00F12837">
    <w:pPr>
      <w:pStyle w:val="Header"/>
      <w:rPr>
        <w:rFonts w:asciiTheme="minorHAnsi" w:hAnsiTheme="minorHAnsi"/>
        <w:b/>
        <w:sz w:val="28"/>
        <w:szCs w:val="28"/>
      </w:rPr>
    </w:pPr>
    <w:r w:rsidRPr="005C4FCB">
      <w:rPr>
        <w:rFonts w:asciiTheme="minorHAnsi" w:hAnsiTheme="minorHAnsi"/>
        <w:b/>
        <w:sz w:val="28"/>
        <w:szCs w:val="28"/>
      </w:rPr>
      <w:t>Introduction and What’s New</w:t>
    </w:r>
  </w:p>
  <w:p w14:paraId="59EB74F6" w14:textId="77777777" w:rsidR="000A23AD" w:rsidRPr="00380FBE" w:rsidRDefault="000A23AD" w:rsidP="00F12837">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A3C51" w14:textId="77777777" w:rsidR="000A23AD" w:rsidRDefault="000A23A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1CF74" w14:textId="77777777" w:rsidR="000A23AD" w:rsidRDefault="000A23A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83F70" w14:textId="77777777" w:rsidR="000A23AD" w:rsidRPr="005C4FCB" w:rsidRDefault="000A23AD" w:rsidP="00F12837">
    <w:pPr>
      <w:pStyle w:val="Header"/>
      <w:rPr>
        <w:rFonts w:asciiTheme="minorHAnsi" w:hAnsiTheme="minorHAnsi"/>
        <w:b/>
        <w:sz w:val="28"/>
        <w:szCs w:val="28"/>
      </w:rPr>
    </w:pPr>
    <w:r w:rsidRPr="005C4FCB">
      <w:rPr>
        <w:rFonts w:asciiTheme="minorHAnsi" w:hAnsiTheme="minorHAnsi"/>
        <w:b/>
        <w:sz w:val="28"/>
        <w:szCs w:val="28"/>
      </w:rPr>
      <w:t>Who Must File</w:t>
    </w:r>
  </w:p>
  <w:p w14:paraId="4B469E7A" w14:textId="77777777" w:rsidR="000A23AD" w:rsidRPr="00380FBE" w:rsidRDefault="000A23AD" w:rsidP="00F12837">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8CC76" w14:textId="77777777" w:rsidR="000A23AD" w:rsidRDefault="000A2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01"/>
    <w:multiLevelType w:val="hybridMultilevel"/>
    <w:tmpl w:val="85F6A01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6E6B5F"/>
    <w:multiLevelType w:val="hybridMultilevel"/>
    <w:tmpl w:val="DB528AFA"/>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B16AA"/>
    <w:multiLevelType w:val="hybridMultilevel"/>
    <w:tmpl w:val="6D6C41BE"/>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nsid w:val="0B0603C5"/>
    <w:multiLevelType w:val="hybridMultilevel"/>
    <w:tmpl w:val="A36A8CB8"/>
    <w:lvl w:ilvl="0" w:tplc="85769510">
      <w:start w:val="1"/>
      <w:numFmt w:val="bullet"/>
      <w:lvlText w:val=""/>
      <w:lvlJc w:val="left"/>
      <w:pPr>
        <w:tabs>
          <w:tab w:val="num" w:pos="786"/>
        </w:tabs>
        <w:ind w:left="786" w:hanging="360"/>
      </w:pPr>
      <w:rPr>
        <w:rFonts w:ascii="Wingdings" w:hAnsi="Wingdings" w:hint="default"/>
        <w:sz w:val="20"/>
        <w:szCs w:val="20"/>
      </w:rPr>
    </w:lvl>
    <w:lvl w:ilvl="1" w:tplc="26E80370">
      <w:start w:val="1"/>
      <w:numFmt w:val="bullet"/>
      <w:lvlText w:val="-"/>
      <w:lvlJc w:val="left"/>
      <w:pPr>
        <w:tabs>
          <w:tab w:val="num" w:pos="1506"/>
        </w:tabs>
        <w:ind w:left="1506" w:hanging="360"/>
      </w:pPr>
      <w:rPr>
        <w:rFonts w:ascii="Symbol" w:hAnsi="Symbol" w:hint="default"/>
        <w:sz w:val="20"/>
        <w:szCs w:val="20"/>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nsid w:val="0B6E1FB6"/>
    <w:multiLevelType w:val="hybridMultilevel"/>
    <w:tmpl w:val="BFFE1C9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A92EE77A">
      <w:start w:val="1"/>
      <w:numFmt w:val="bullet"/>
      <w:lvlText w:val="o"/>
      <w:lvlJc w:val="left"/>
      <w:pPr>
        <w:tabs>
          <w:tab w:val="num" w:pos="2160"/>
        </w:tabs>
        <w:ind w:left="2160" w:hanging="360"/>
      </w:pPr>
      <w:rPr>
        <w:rFonts w:ascii="Courier New" w:hAnsi="Courier New"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4613"/>
    <w:multiLevelType w:val="hybridMultilevel"/>
    <w:tmpl w:val="F46A46E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7405E0"/>
    <w:multiLevelType w:val="hybridMultilevel"/>
    <w:tmpl w:val="88FCCD48"/>
    <w:lvl w:ilvl="0" w:tplc="FC084BF8">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E2120"/>
    <w:multiLevelType w:val="hybridMultilevel"/>
    <w:tmpl w:val="2B2A54BE"/>
    <w:lvl w:ilvl="0" w:tplc="85769510">
      <w:start w:val="1"/>
      <w:numFmt w:val="bullet"/>
      <w:lvlText w:val=""/>
      <w:lvlJc w:val="left"/>
      <w:pPr>
        <w:tabs>
          <w:tab w:val="num" w:pos="720"/>
        </w:tabs>
        <w:ind w:left="720" w:hanging="360"/>
      </w:pPr>
      <w:rPr>
        <w:rFonts w:ascii="Wingdings" w:hAnsi="Wingdings" w:hint="default"/>
        <w:sz w:val="20"/>
        <w:szCs w:val="20"/>
      </w:rPr>
    </w:lvl>
    <w:lvl w:ilvl="1" w:tplc="08FACC9E">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72263E"/>
    <w:multiLevelType w:val="hybridMultilevel"/>
    <w:tmpl w:val="AB102C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F6FD5"/>
    <w:multiLevelType w:val="hybridMultilevel"/>
    <w:tmpl w:val="2F0C4724"/>
    <w:lvl w:ilvl="0" w:tplc="04090007">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6667B1D"/>
    <w:multiLevelType w:val="hybridMultilevel"/>
    <w:tmpl w:val="A77E0B3C"/>
    <w:lvl w:ilvl="0" w:tplc="F6DABEBE">
      <w:start w:val="4010"/>
      <w:numFmt w:val="bullet"/>
      <w:lvlText w:val="-"/>
      <w:lvlJc w:val="left"/>
      <w:pPr>
        <w:tabs>
          <w:tab w:val="num" w:pos="1440"/>
        </w:tabs>
        <w:ind w:left="1440" w:hanging="360"/>
      </w:pPr>
      <w:rPr>
        <w:rFonts w:ascii="Courier New" w:hAnsi="Courier New"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DE3F66"/>
    <w:multiLevelType w:val="hybridMultilevel"/>
    <w:tmpl w:val="1770A990"/>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20DB20D3"/>
    <w:multiLevelType w:val="hybridMultilevel"/>
    <w:tmpl w:val="E368A354"/>
    <w:lvl w:ilvl="0" w:tplc="85769510">
      <w:start w:val="1"/>
      <w:numFmt w:val="bullet"/>
      <w:lvlText w:val=""/>
      <w:lvlJc w:val="left"/>
      <w:pPr>
        <w:tabs>
          <w:tab w:val="num" w:pos="958"/>
        </w:tabs>
        <w:ind w:left="958" w:hanging="360"/>
      </w:pPr>
      <w:rPr>
        <w:rFonts w:ascii="Wingdings" w:hAnsi="Wingdings" w:hint="default"/>
        <w:sz w:val="20"/>
        <w:szCs w:val="20"/>
      </w:rPr>
    </w:lvl>
    <w:lvl w:ilvl="1" w:tplc="08FACC9E">
      <w:start w:val="1"/>
      <w:numFmt w:val="bullet"/>
      <w:lvlText w:val="–"/>
      <w:lvlJc w:val="left"/>
      <w:pPr>
        <w:tabs>
          <w:tab w:val="num" w:pos="1678"/>
        </w:tabs>
        <w:ind w:left="1678" w:hanging="360"/>
      </w:pPr>
      <w:rPr>
        <w:rFonts w:ascii="Arial" w:hAnsi="Arial"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4">
    <w:nsid w:val="23204044"/>
    <w:multiLevelType w:val="hybridMultilevel"/>
    <w:tmpl w:val="6868C240"/>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875053"/>
    <w:multiLevelType w:val="hybridMultilevel"/>
    <w:tmpl w:val="6D663934"/>
    <w:lvl w:ilvl="0" w:tplc="CE681496">
      <w:start w:val="1"/>
      <w:numFmt w:val="bullet"/>
      <w:lvlText w:val="-"/>
      <w:lvlJc w:val="left"/>
      <w:pPr>
        <w:tabs>
          <w:tab w:val="num" w:pos="3240"/>
        </w:tabs>
        <w:ind w:left="32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CE681496">
      <w:start w:val="1"/>
      <w:numFmt w:val="bullet"/>
      <w:lvlText w:val="-"/>
      <w:lvlJc w:val="left"/>
      <w:pPr>
        <w:ind w:left="2160" w:hanging="360"/>
      </w:pPr>
      <w:rPr>
        <w:rFonts w:ascii="Courier New" w:hAnsi="Courier New"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69C7126"/>
    <w:multiLevelType w:val="hybridMultilevel"/>
    <w:tmpl w:val="D1B474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0B30C1"/>
    <w:multiLevelType w:val="hybridMultilevel"/>
    <w:tmpl w:val="74AEB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831F67"/>
    <w:multiLevelType w:val="hybridMultilevel"/>
    <w:tmpl w:val="E5BE53C2"/>
    <w:lvl w:ilvl="0" w:tplc="85769510">
      <w:start w:val="1"/>
      <w:numFmt w:val="bullet"/>
      <w:lvlText w:val=""/>
      <w:lvlJc w:val="left"/>
      <w:pPr>
        <w:tabs>
          <w:tab w:val="num" w:pos="1200"/>
        </w:tabs>
        <w:ind w:left="1200" w:hanging="360"/>
      </w:pPr>
      <w:rPr>
        <w:rFonts w:ascii="Wingdings" w:hAnsi="Wingdings" w:hint="default"/>
        <w:sz w:val="20"/>
        <w:szCs w:val="20"/>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9">
    <w:nsid w:val="2FDA7AFF"/>
    <w:multiLevelType w:val="hybridMultilevel"/>
    <w:tmpl w:val="9E6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D17C6C"/>
    <w:multiLevelType w:val="hybridMultilevel"/>
    <w:tmpl w:val="A21A659A"/>
    <w:lvl w:ilvl="0" w:tplc="1B1C5916">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8FACC9E">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1A3038"/>
    <w:multiLevelType w:val="hybridMultilevel"/>
    <w:tmpl w:val="AABC5C9C"/>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882BAE"/>
    <w:multiLevelType w:val="hybridMultilevel"/>
    <w:tmpl w:val="E384B948"/>
    <w:lvl w:ilvl="0" w:tplc="85769510">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8B4853"/>
    <w:multiLevelType w:val="hybridMultilevel"/>
    <w:tmpl w:val="C188FB38"/>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486253"/>
    <w:multiLevelType w:val="hybridMultilevel"/>
    <w:tmpl w:val="B004FBEC"/>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CB76D2C"/>
    <w:multiLevelType w:val="hybridMultilevel"/>
    <w:tmpl w:val="0568DDB4"/>
    <w:lvl w:ilvl="0" w:tplc="85769510">
      <w:start w:val="1"/>
      <w:numFmt w:val="bullet"/>
      <w:lvlText w:val=""/>
      <w:lvlJc w:val="left"/>
      <w:pPr>
        <w:tabs>
          <w:tab w:val="num" w:pos="773"/>
        </w:tabs>
        <w:ind w:left="773" w:hanging="360"/>
      </w:pPr>
      <w:rPr>
        <w:rFonts w:ascii="Wingdings" w:hAnsi="Wingdings" w:hint="default"/>
        <w:sz w:val="20"/>
        <w:szCs w:val="20"/>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6">
    <w:nsid w:val="3F2C2C9C"/>
    <w:multiLevelType w:val="hybridMultilevel"/>
    <w:tmpl w:val="C5B2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5794E"/>
    <w:multiLevelType w:val="hybridMultilevel"/>
    <w:tmpl w:val="15C81800"/>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E25850"/>
    <w:multiLevelType w:val="hybridMultilevel"/>
    <w:tmpl w:val="7C44A4E0"/>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B53338"/>
    <w:multiLevelType w:val="hybridMultilevel"/>
    <w:tmpl w:val="76DA10D8"/>
    <w:lvl w:ilvl="0" w:tplc="85769510">
      <w:start w:val="1"/>
      <w:numFmt w:val="bullet"/>
      <w:lvlText w:val=""/>
      <w:lvlJc w:val="left"/>
      <w:pPr>
        <w:tabs>
          <w:tab w:val="num" w:pos="773"/>
        </w:tabs>
        <w:ind w:left="773"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0">
    <w:nsid w:val="45A50269"/>
    <w:multiLevelType w:val="hybridMultilevel"/>
    <w:tmpl w:val="4FD285D2"/>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2">
    <w:nsid w:val="46974541"/>
    <w:multiLevelType w:val="hybridMultilevel"/>
    <w:tmpl w:val="E07467BA"/>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4">
    <w:nsid w:val="4ECC3351"/>
    <w:multiLevelType w:val="hybridMultilevel"/>
    <w:tmpl w:val="AEB6F46E"/>
    <w:lvl w:ilvl="0" w:tplc="85769510">
      <w:start w:val="1"/>
      <w:numFmt w:val="bullet"/>
      <w:lvlText w:val=""/>
      <w:lvlJc w:val="left"/>
      <w:pPr>
        <w:tabs>
          <w:tab w:val="num" w:pos="1367"/>
        </w:tabs>
        <w:ind w:left="1367" w:hanging="360"/>
      </w:pPr>
      <w:rPr>
        <w:rFonts w:ascii="Wingdings" w:hAnsi="Wingdings" w:hint="default"/>
        <w:sz w:val="20"/>
        <w:szCs w:val="20"/>
      </w:rPr>
    </w:lvl>
    <w:lvl w:ilvl="1" w:tplc="85769510">
      <w:start w:val="1"/>
      <w:numFmt w:val="bullet"/>
      <w:lvlText w:val=""/>
      <w:lvlJc w:val="left"/>
      <w:pPr>
        <w:tabs>
          <w:tab w:val="num" w:pos="2087"/>
        </w:tabs>
        <w:ind w:left="2087" w:hanging="360"/>
      </w:pPr>
      <w:rPr>
        <w:rFonts w:ascii="Wingdings" w:hAnsi="Wingdings" w:hint="default"/>
        <w:sz w:val="20"/>
        <w:szCs w:val="20"/>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35">
    <w:nsid w:val="509229EA"/>
    <w:multiLevelType w:val="hybridMultilevel"/>
    <w:tmpl w:val="67D6182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48962CA"/>
    <w:multiLevelType w:val="hybridMultilevel"/>
    <w:tmpl w:val="6D46B550"/>
    <w:lvl w:ilvl="0" w:tplc="A92EE77A">
      <w:start w:val="1"/>
      <w:numFmt w:val="bullet"/>
      <w:lvlText w:val="o"/>
      <w:lvlJc w:val="left"/>
      <w:pPr>
        <w:ind w:left="2040" w:hanging="360"/>
      </w:pPr>
      <w:rPr>
        <w:rFonts w:ascii="Courier New" w:hAnsi="Courier New" w:hint="default"/>
        <w:sz w:val="16"/>
        <w:szCs w:val="16"/>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7">
    <w:nsid w:val="55765310"/>
    <w:multiLevelType w:val="hybridMultilevel"/>
    <w:tmpl w:val="E4D69912"/>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7F347AA"/>
    <w:multiLevelType w:val="hybridMultilevel"/>
    <w:tmpl w:val="FCE479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BEA60A8"/>
    <w:multiLevelType w:val="hybridMultilevel"/>
    <w:tmpl w:val="2C46E53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BFB630F"/>
    <w:multiLevelType w:val="hybridMultilevel"/>
    <w:tmpl w:val="68F29CD4"/>
    <w:lvl w:ilvl="0" w:tplc="04090019">
      <w:start w:val="1"/>
      <w:numFmt w:val="lowerLetter"/>
      <w:lvlText w:val="%1."/>
      <w:lvlJc w:val="left"/>
      <w:pPr>
        <w:tabs>
          <w:tab w:val="num" w:pos="720"/>
        </w:tabs>
        <w:ind w:left="720" w:hanging="360"/>
      </w:pPr>
    </w:lvl>
    <w:lvl w:ilvl="1" w:tplc="61DA5B68">
      <w:start w:val="1"/>
      <w:numFmt w:val="decimal"/>
      <w:lvlText w:val="(%2)"/>
      <w:lvlJc w:val="left"/>
      <w:pPr>
        <w:tabs>
          <w:tab w:val="num" w:pos="1440"/>
        </w:tabs>
        <w:ind w:left="1440" w:hanging="360"/>
      </w:pPr>
      <w:rPr>
        <w:rFonts w:hint="default"/>
      </w:rPr>
    </w:lvl>
    <w:lvl w:ilvl="2" w:tplc="2234947A">
      <w:start w:val="1"/>
      <w:numFmt w:val="decimal"/>
      <w:lvlText w:val="%3."/>
      <w:lvlJc w:val="left"/>
      <w:pPr>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3A4207"/>
    <w:multiLevelType w:val="hybridMultilevel"/>
    <w:tmpl w:val="6B9E2E2C"/>
    <w:lvl w:ilvl="0" w:tplc="04090007">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1A96D80"/>
    <w:multiLevelType w:val="hybridMultilevel"/>
    <w:tmpl w:val="32A2027A"/>
    <w:lvl w:ilvl="0" w:tplc="85769510">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nsid w:val="6AD82C41"/>
    <w:multiLevelType w:val="hybridMultilevel"/>
    <w:tmpl w:val="DF24086E"/>
    <w:lvl w:ilvl="0" w:tplc="04090007">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B241556"/>
    <w:multiLevelType w:val="hybridMultilevel"/>
    <w:tmpl w:val="82A80BF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8C7C3B"/>
    <w:multiLevelType w:val="hybridMultilevel"/>
    <w:tmpl w:val="2AE61D5A"/>
    <w:lvl w:ilvl="0" w:tplc="EE76B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40746D"/>
    <w:multiLevelType w:val="hybridMultilevel"/>
    <w:tmpl w:val="B63C980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E964476"/>
    <w:multiLevelType w:val="hybridMultilevel"/>
    <w:tmpl w:val="58EA7BD4"/>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80441B74">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0F255B3"/>
    <w:multiLevelType w:val="hybridMultilevel"/>
    <w:tmpl w:val="D6E82C7A"/>
    <w:lvl w:ilvl="0" w:tplc="08FACC9E">
      <w:start w:val="1"/>
      <w:numFmt w:val="bullet"/>
      <w:lvlText w:val="–"/>
      <w:lvlJc w:val="left"/>
      <w:pPr>
        <w:tabs>
          <w:tab w:val="num" w:pos="720"/>
        </w:tabs>
        <w:ind w:left="72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31B3385"/>
    <w:multiLevelType w:val="hybridMultilevel"/>
    <w:tmpl w:val="7778CBA0"/>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422AC6"/>
    <w:multiLevelType w:val="hybridMultilevel"/>
    <w:tmpl w:val="4362846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6001FDB"/>
    <w:multiLevelType w:val="hybridMultilevel"/>
    <w:tmpl w:val="BC00CB3C"/>
    <w:lvl w:ilvl="0" w:tplc="F6DABEBE">
      <w:start w:val="4010"/>
      <w:numFmt w:val="bullet"/>
      <w:lvlText w:val="-"/>
      <w:lvlJc w:val="left"/>
      <w:pPr>
        <w:tabs>
          <w:tab w:val="num" w:pos="786"/>
        </w:tabs>
        <w:ind w:left="786" w:hanging="360"/>
      </w:pPr>
      <w:rPr>
        <w:rFonts w:ascii="Courier New" w:hAnsi="Courier New" w:hint="default"/>
        <w:color w:val="auto"/>
        <w:sz w:val="22"/>
        <w:szCs w:val="22"/>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2">
    <w:nsid w:val="77320C4C"/>
    <w:multiLevelType w:val="hybridMultilevel"/>
    <w:tmpl w:val="F3DC024C"/>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6E70C2"/>
    <w:multiLevelType w:val="hybridMultilevel"/>
    <w:tmpl w:val="1E6EAD3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BE00EAF"/>
    <w:multiLevelType w:val="hybridMultilevel"/>
    <w:tmpl w:val="EFAC1CE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C4C39FF"/>
    <w:multiLevelType w:val="hybridMultilevel"/>
    <w:tmpl w:val="BFBCFFD4"/>
    <w:lvl w:ilvl="0" w:tplc="85769510">
      <w:start w:val="1"/>
      <w:numFmt w:val="bullet"/>
      <w:lvlText w:val=""/>
      <w:lvlJc w:val="left"/>
      <w:pPr>
        <w:tabs>
          <w:tab w:val="num" w:pos="958"/>
        </w:tabs>
        <w:ind w:left="958" w:hanging="360"/>
      </w:pPr>
      <w:rPr>
        <w:rFonts w:ascii="Wingdings" w:hAnsi="Wingdings"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56">
    <w:nsid w:val="7C6466EC"/>
    <w:multiLevelType w:val="hybridMultilevel"/>
    <w:tmpl w:val="7C74123C"/>
    <w:lvl w:ilvl="0" w:tplc="85769510">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3"/>
  </w:num>
  <w:num w:numId="3">
    <w:abstractNumId w:val="41"/>
  </w:num>
  <w:num w:numId="4">
    <w:abstractNumId w:val="8"/>
  </w:num>
  <w:num w:numId="5">
    <w:abstractNumId w:val="17"/>
  </w:num>
  <w:num w:numId="6">
    <w:abstractNumId w:val="54"/>
  </w:num>
  <w:num w:numId="7">
    <w:abstractNumId w:val="35"/>
  </w:num>
  <w:num w:numId="8">
    <w:abstractNumId w:val="46"/>
  </w:num>
  <w:num w:numId="9">
    <w:abstractNumId w:val="9"/>
  </w:num>
  <w:num w:numId="10">
    <w:abstractNumId w:val="40"/>
  </w:num>
  <w:num w:numId="11">
    <w:abstractNumId w:val="6"/>
  </w:num>
  <w:num w:numId="12">
    <w:abstractNumId w:val="39"/>
  </w:num>
  <w:num w:numId="13">
    <w:abstractNumId w:val="28"/>
  </w:num>
  <w:num w:numId="14">
    <w:abstractNumId w:val="37"/>
  </w:num>
  <w:num w:numId="15">
    <w:abstractNumId w:val="21"/>
  </w:num>
  <w:num w:numId="16">
    <w:abstractNumId w:val="32"/>
  </w:num>
  <w:num w:numId="17">
    <w:abstractNumId w:val="20"/>
  </w:num>
  <w:num w:numId="18">
    <w:abstractNumId w:val="30"/>
  </w:num>
  <w:num w:numId="19">
    <w:abstractNumId w:val="25"/>
  </w:num>
  <w:num w:numId="20">
    <w:abstractNumId w:val="4"/>
  </w:num>
  <w:num w:numId="21">
    <w:abstractNumId w:val="2"/>
  </w:num>
  <w:num w:numId="22">
    <w:abstractNumId w:val="11"/>
  </w:num>
  <w:num w:numId="23">
    <w:abstractNumId w:val="51"/>
  </w:num>
  <w:num w:numId="24">
    <w:abstractNumId w:val="55"/>
  </w:num>
  <w:num w:numId="25">
    <w:abstractNumId w:val="7"/>
  </w:num>
  <w:num w:numId="26">
    <w:abstractNumId w:val="5"/>
  </w:num>
  <w:num w:numId="27">
    <w:abstractNumId w:val="56"/>
  </w:num>
  <w:num w:numId="28">
    <w:abstractNumId w:val="23"/>
  </w:num>
  <w:num w:numId="29">
    <w:abstractNumId w:val="0"/>
  </w:num>
  <w:num w:numId="30">
    <w:abstractNumId w:val="42"/>
  </w:num>
  <w:num w:numId="31">
    <w:abstractNumId w:val="27"/>
  </w:num>
  <w:num w:numId="32">
    <w:abstractNumId w:val="53"/>
  </w:num>
  <w:num w:numId="33">
    <w:abstractNumId w:val="29"/>
  </w:num>
  <w:num w:numId="34">
    <w:abstractNumId w:val="18"/>
  </w:num>
  <w:num w:numId="35">
    <w:abstractNumId w:val="31"/>
  </w:num>
  <w:num w:numId="36">
    <w:abstractNumId w:val="3"/>
  </w:num>
  <w:num w:numId="37">
    <w:abstractNumId w:val="33"/>
  </w:num>
  <w:num w:numId="38">
    <w:abstractNumId w:val="38"/>
  </w:num>
  <w:num w:numId="39">
    <w:abstractNumId w:val="49"/>
  </w:num>
  <w:num w:numId="40">
    <w:abstractNumId w:val="45"/>
  </w:num>
  <w:num w:numId="41">
    <w:abstractNumId w:val="34"/>
  </w:num>
  <w:num w:numId="42">
    <w:abstractNumId w:val="22"/>
  </w:num>
  <w:num w:numId="43">
    <w:abstractNumId w:val="27"/>
  </w:num>
  <w:num w:numId="44">
    <w:abstractNumId w:val="14"/>
  </w:num>
  <w:num w:numId="45">
    <w:abstractNumId w:val="26"/>
  </w:num>
  <w:num w:numId="46">
    <w:abstractNumId w:val="13"/>
  </w:num>
  <w:num w:numId="47">
    <w:abstractNumId w:val="8"/>
  </w:num>
  <w:num w:numId="48">
    <w:abstractNumId w:val="48"/>
  </w:num>
  <w:num w:numId="49">
    <w:abstractNumId w:val="6"/>
  </w:num>
  <w:num w:numId="50">
    <w:abstractNumId w:val="15"/>
  </w:num>
  <w:num w:numId="51">
    <w:abstractNumId w:val="16"/>
  </w:num>
  <w:num w:numId="52">
    <w:abstractNumId w:val="24"/>
  </w:num>
  <w:num w:numId="53">
    <w:abstractNumId w:val="50"/>
  </w:num>
  <w:num w:numId="54">
    <w:abstractNumId w:val="44"/>
  </w:num>
  <w:num w:numId="55">
    <w:abstractNumId w:val="52"/>
  </w:num>
  <w:num w:numId="56">
    <w:abstractNumId w:val="1"/>
  </w:num>
  <w:num w:numId="57">
    <w:abstractNumId w:val="47"/>
  </w:num>
  <w:num w:numId="58">
    <w:abstractNumId w:val="19"/>
  </w:num>
  <w:num w:numId="59">
    <w:abstractNumId w:val="28"/>
  </w:num>
  <w:num w:numId="60">
    <w:abstractNumId w:val="36"/>
  </w:num>
  <w:num w:numId="61">
    <w:abstractNumId w:val="12"/>
  </w:num>
  <w:num w:numId="62">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691"/>
    <w:rsid w:val="00000F82"/>
    <w:rsid w:val="00001F4D"/>
    <w:rsid w:val="00002DD6"/>
    <w:rsid w:val="00003D27"/>
    <w:rsid w:val="00004506"/>
    <w:rsid w:val="00006B0E"/>
    <w:rsid w:val="00006B90"/>
    <w:rsid w:val="000071F2"/>
    <w:rsid w:val="00007639"/>
    <w:rsid w:val="00007D63"/>
    <w:rsid w:val="000104E6"/>
    <w:rsid w:val="00010C33"/>
    <w:rsid w:val="00011C88"/>
    <w:rsid w:val="00011F00"/>
    <w:rsid w:val="000127E7"/>
    <w:rsid w:val="00013158"/>
    <w:rsid w:val="00014D07"/>
    <w:rsid w:val="00015436"/>
    <w:rsid w:val="00015DCE"/>
    <w:rsid w:val="00015F28"/>
    <w:rsid w:val="00016050"/>
    <w:rsid w:val="000168D0"/>
    <w:rsid w:val="0001692D"/>
    <w:rsid w:val="000177B0"/>
    <w:rsid w:val="000179C3"/>
    <w:rsid w:val="00020C52"/>
    <w:rsid w:val="00020EB8"/>
    <w:rsid w:val="00021748"/>
    <w:rsid w:val="000230F0"/>
    <w:rsid w:val="00023468"/>
    <w:rsid w:val="0002391C"/>
    <w:rsid w:val="00023A8E"/>
    <w:rsid w:val="00023BA4"/>
    <w:rsid w:val="000242B4"/>
    <w:rsid w:val="00024619"/>
    <w:rsid w:val="000261B8"/>
    <w:rsid w:val="00026696"/>
    <w:rsid w:val="00026F6E"/>
    <w:rsid w:val="000277D3"/>
    <w:rsid w:val="0002785D"/>
    <w:rsid w:val="0003053E"/>
    <w:rsid w:val="000308BD"/>
    <w:rsid w:val="00030AC9"/>
    <w:rsid w:val="000312B4"/>
    <w:rsid w:val="00031606"/>
    <w:rsid w:val="00031934"/>
    <w:rsid w:val="00031F68"/>
    <w:rsid w:val="000325B6"/>
    <w:rsid w:val="00032CE1"/>
    <w:rsid w:val="00032F84"/>
    <w:rsid w:val="0003389D"/>
    <w:rsid w:val="00033B83"/>
    <w:rsid w:val="00033F28"/>
    <w:rsid w:val="000344B5"/>
    <w:rsid w:val="000359FF"/>
    <w:rsid w:val="00035FF5"/>
    <w:rsid w:val="000362C3"/>
    <w:rsid w:val="00040133"/>
    <w:rsid w:val="00040164"/>
    <w:rsid w:val="000411B8"/>
    <w:rsid w:val="000425C9"/>
    <w:rsid w:val="000436FE"/>
    <w:rsid w:val="000436FF"/>
    <w:rsid w:val="000438FA"/>
    <w:rsid w:val="0004394C"/>
    <w:rsid w:val="00044B5D"/>
    <w:rsid w:val="000454AC"/>
    <w:rsid w:val="00046348"/>
    <w:rsid w:val="00047473"/>
    <w:rsid w:val="00047BB8"/>
    <w:rsid w:val="00047F1C"/>
    <w:rsid w:val="000500B6"/>
    <w:rsid w:val="00051522"/>
    <w:rsid w:val="00051E5D"/>
    <w:rsid w:val="000526E7"/>
    <w:rsid w:val="00053022"/>
    <w:rsid w:val="0005302F"/>
    <w:rsid w:val="00053376"/>
    <w:rsid w:val="00053DD8"/>
    <w:rsid w:val="0005499D"/>
    <w:rsid w:val="00054A6C"/>
    <w:rsid w:val="00054BD6"/>
    <w:rsid w:val="00055521"/>
    <w:rsid w:val="0005587C"/>
    <w:rsid w:val="0005608A"/>
    <w:rsid w:val="00056735"/>
    <w:rsid w:val="00056BE0"/>
    <w:rsid w:val="00056CBB"/>
    <w:rsid w:val="00057C55"/>
    <w:rsid w:val="00057E15"/>
    <w:rsid w:val="00057E5E"/>
    <w:rsid w:val="0006058D"/>
    <w:rsid w:val="000607F3"/>
    <w:rsid w:val="00061245"/>
    <w:rsid w:val="000613A2"/>
    <w:rsid w:val="00061965"/>
    <w:rsid w:val="00061CA8"/>
    <w:rsid w:val="000620B7"/>
    <w:rsid w:val="00062101"/>
    <w:rsid w:val="0006237B"/>
    <w:rsid w:val="00062753"/>
    <w:rsid w:val="00062917"/>
    <w:rsid w:val="000632F6"/>
    <w:rsid w:val="00065236"/>
    <w:rsid w:val="000666D8"/>
    <w:rsid w:val="00066B37"/>
    <w:rsid w:val="000671F5"/>
    <w:rsid w:val="0006792D"/>
    <w:rsid w:val="000679E9"/>
    <w:rsid w:val="000705EA"/>
    <w:rsid w:val="00070B1A"/>
    <w:rsid w:val="00071203"/>
    <w:rsid w:val="00071582"/>
    <w:rsid w:val="000728A7"/>
    <w:rsid w:val="00072F29"/>
    <w:rsid w:val="00073A44"/>
    <w:rsid w:val="000747AB"/>
    <w:rsid w:val="00075164"/>
    <w:rsid w:val="000761DD"/>
    <w:rsid w:val="000763F9"/>
    <w:rsid w:val="000764B7"/>
    <w:rsid w:val="0007669B"/>
    <w:rsid w:val="00076DB9"/>
    <w:rsid w:val="00076FAE"/>
    <w:rsid w:val="00077ACB"/>
    <w:rsid w:val="000801DB"/>
    <w:rsid w:val="000807F8"/>
    <w:rsid w:val="00080F34"/>
    <w:rsid w:val="000820DD"/>
    <w:rsid w:val="00082742"/>
    <w:rsid w:val="00082986"/>
    <w:rsid w:val="00085A32"/>
    <w:rsid w:val="00086B6F"/>
    <w:rsid w:val="000876BC"/>
    <w:rsid w:val="000879E5"/>
    <w:rsid w:val="00087C44"/>
    <w:rsid w:val="0009090D"/>
    <w:rsid w:val="00091751"/>
    <w:rsid w:val="0009194F"/>
    <w:rsid w:val="00091958"/>
    <w:rsid w:val="00091D61"/>
    <w:rsid w:val="0009206F"/>
    <w:rsid w:val="0009263C"/>
    <w:rsid w:val="00092AED"/>
    <w:rsid w:val="00092D33"/>
    <w:rsid w:val="00093597"/>
    <w:rsid w:val="00093D3B"/>
    <w:rsid w:val="00093EC1"/>
    <w:rsid w:val="00094B12"/>
    <w:rsid w:val="000969BA"/>
    <w:rsid w:val="00096BD1"/>
    <w:rsid w:val="00097B96"/>
    <w:rsid w:val="00097F9A"/>
    <w:rsid w:val="000A1550"/>
    <w:rsid w:val="000A191C"/>
    <w:rsid w:val="000A2161"/>
    <w:rsid w:val="000A23AD"/>
    <w:rsid w:val="000A3217"/>
    <w:rsid w:val="000A3282"/>
    <w:rsid w:val="000A347A"/>
    <w:rsid w:val="000A3D17"/>
    <w:rsid w:val="000A3FEF"/>
    <w:rsid w:val="000A45EC"/>
    <w:rsid w:val="000A5032"/>
    <w:rsid w:val="000A5D3B"/>
    <w:rsid w:val="000A69B5"/>
    <w:rsid w:val="000A6FB5"/>
    <w:rsid w:val="000A782B"/>
    <w:rsid w:val="000A78F1"/>
    <w:rsid w:val="000B0B97"/>
    <w:rsid w:val="000B10E6"/>
    <w:rsid w:val="000B1994"/>
    <w:rsid w:val="000B1E01"/>
    <w:rsid w:val="000B2434"/>
    <w:rsid w:val="000B337D"/>
    <w:rsid w:val="000B38CF"/>
    <w:rsid w:val="000B4496"/>
    <w:rsid w:val="000B573E"/>
    <w:rsid w:val="000B5B20"/>
    <w:rsid w:val="000B723B"/>
    <w:rsid w:val="000B7DBB"/>
    <w:rsid w:val="000B7E25"/>
    <w:rsid w:val="000C03D0"/>
    <w:rsid w:val="000C0704"/>
    <w:rsid w:val="000C19D4"/>
    <w:rsid w:val="000C1BC0"/>
    <w:rsid w:val="000C2DDA"/>
    <w:rsid w:val="000C3DC8"/>
    <w:rsid w:val="000C3E75"/>
    <w:rsid w:val="000C4A44"/>
    <w:rsid w:val="000C4DE4"/>
    <w:rsid w:val="000C5930"/>
    <w:rsid w:val="000C62CA"/>
    <w:rsid w:val="000C74E1"/>
    <w:rsid w:val="000D0D26"/>
    <w:rsid w:val="000D0F8E"/>
    <w:rsid w:val="000D10DA"/>
    <w:rsid w:val="000D2B30"/>
    <w:rsid w:val="000D2D67"/>
    <w:rsid w:val="000D36EA"/>
    <w:rsid w:val="000D4169"/>
    <w:rsid w:val="000D66A4"/>
    <w:rsid w:val="000D690E"/>
    <w:rsid w:val="000D6A24"/>
    <w:rsid w:val="000D6D72"/>
    <w:rsid w:val="000D6EAC"/>
    <w:rsid w:val="000D730E"/>
    <w:rsid w:val="000D7AB5"/>
    <w:rsid w:val="000D7B30"/>
    <w:rsid w:val="000E08B3"/>
    <w:rsid w:val="000E09BA"/>
    <w:rsid w:val="000E0B57"/>
    <w:rsid w:val="000E1259"/>
    <w:rsid w:val="000E1607"/>
    <w:rsid w:val="000E22A1"/>
    <w:rsid w:val="000E230A"/>
    <w:rsid w:val="000E2CC8"/>
    <w:rsid w:val="000E2DAD"/>
    <w:rsid w:val="000E3B92"/>
    <w:rsid w:val="000E4247"/>
    <w:rsid w:val="000E453D"/>
    <w:rsid w:val="000E4CA7"/>
    <w:rsid w:val="000E4E1F"/>
    <w:rsid w:val="000E63C0"/>
    <w:rsid w:val="000E7586"/>
    <w:rsid w:val="000E7BD8"/>
    <w:rsid w:val="000E7EA3"/>
    <w:rsid w:val="000F05D8"/>
    <w:rsid w:val="000F0C73"/>
    <w:rsid w:val="000F1228"/>
    <w:rsid w:val="000F1656"/>
    <w:rsid w:val="000F214C"/>
    <w:rsid w:val="000F2454"/>
    <w:rsid w:val="000F25B3"/>
    <w:rsid w:val="000F2D94"/>
    <w:rsid w:val="000F2DFB"/>
    <w:rsid w:val="000F3506"/>
    <w:rsid w:val="000F3524"/>
    <w:rsid w:val="000F36CB"/>
    <w:rsid w:val="000F42EC"/>
    <w:rsid w:val="000F4D88"/>
    <w:rsid w:val="000F590E"/>
    <w:rsid w:val="000F6273"/>
    <w:rsid w:val="000F6D5B"/>
    <w:rsid w:val="000F77BF"/>
    <w:rsid w:val="000F7C20"/>
    <w:rsid w:val="0010032E"/>
    <w:rsid w:val="00100534"/>
    <w:rsid w:val="0010120A"/>
    <w:rsid w:val="001027F6"/>
    <w:rsid w:val="00102A90"/>
    <w:rsid w:val="001030A8"/>
    <w:rsid w:val="00103330"/>
    <w:rsid w:val="001034DF"/>
    <w:rsid w:val="00103EC4"/>
    <w:rsid w:val="00103FD6"/>
    <w:rsid w:val="00104356"/>
    <w:rsid w:val="00104B0B"/>
    <w:rsid w:val="00105E6E"/>
    <w:rsid w:val="00106722"/>
    <w:rsid w:val="00107F20"/>
    <w:rsid w:val="0011061B"/>
    <w:rsid w:val="00110BF7"/>
    <w:rsid w:val="0011145D"/>
    <w:rsid w:val="00111705"/>
    <w:rsid w:val="00111C7F"/>
    <w:rsid w:val="00111F10"/>
    <w:rsid w:val="001146BB"/>
    <w:rsid w:val="00114AA2"/>
    <w:rsid w:val="00114D8E"/>
    <w:rsid w:val="001152E3"/>
    <w:rsid w:val="001160F6"/>
    <w:rsid w:val="00117018"/>
    <w:rsid w:val="001173F6"/>
    <w:rsid w:val="00117EDC"/>
    <w:rsid w:val="00120138"/>
    <w:rsid w:val="001207D4"/>
    <w:rsid w:val="00121001"/>
    <w:rsid w:val="00121770"/>
    <w:rsid w:val="001218C4"/>
    <w:rsid w:val="00122607"/>
    <w:rsid w:val="00122D8A"/>
    <w:rsid w:val="00122E38"/>
    <w:rsid w:val="0012397E"/>
    <w:rsid w:val="0012426D"/>
    <w:rsid w:val="00124300"/>
    <w:rsid w:val="0012494A"/>
    <w:rsid w:val="001249F3"/>
    <w:rsid w:val="00125BD1"/>
    <w:rsid w:val="001261FF"/>
    <w:rsid w:val="0012728E"/>
    <w:rsid w:val="0012739F"/>
    <w:rsid w:val="00127A19"/>
    <w:rsid w:val="001305C5"/>
    <w:rsid w:val="00133D57"/>
    <w:rsid w:val="001358CE"/>
    <w:rsid w:val="00135C58"/>
    <w:rsid w:val="00135FB6"/>
    <w:rsid w:val="001362CC"/>
    <w:rsid w:val="001363B1"/>
    <w:rsid w:val="0013683C"/>
    <w:rsid w:val="0013795F"/>
    <w:rsid w:val="00137AE3"/>
    <w:rsid w:val="001405C5"/>
    <w:rsid w:val="001406AE"/>
    <w:rsid w:val="00140CD1"/>
    <w:rsid w:val="00141B15"/>
    <w:rsid w:val="00142DE4"/>
    <w:rsid w:val="00144E92"/>
    <w:rsid w:val="001452F8"/>
    <w:rsid w:val="00145D6C"/>
    <w:rsid w:val="00146BCB"/>
    <w:rsid w:val="00147691"/>
    <w:rsid w:val="00147AF6"/>
    <w:rsid w:val="00147C5A"/>
    <w:rsid w:val="00147CD9"/>
    <w:rsid w:val="00147DA6"/>
    <w:rsid w:val="0015095F"/>
    <w:rsid w:val="001510CD"/>
    <w:rsid w:val="00151454"/>
    <w:rsid w:val="0015254F"/>
    <w:rsid w:val="00152BE9"/>
    <w:rsid w:val="00152C49"/>
    <w:rsid w:val="00153AA5"/>
    <w:rsid w:val="001558A4"/>
    <w:rsid w:val="00155C67"/>
    <w:rsid w:val="001561F1"/>
    <w:rsid w:val="00156F22"/>
    <w:rsid w:val="0015728A"/>
    <w:rsid w:val="001578FF"/>
    <w:rsid w:val="00157A98"/>
    <w:rsid w:val="00160182"/>
    <w:rsid w:val="001602EC"/>
    <w:rsid w:val="0016182A"/>
    <w:rsid w:val="001625AD"/>
    <w:rsid w:val="00162701"/>
    <w:rsid w:val="00163427"/>
    <w:rsid w:val="00163B32"/>
    <w:rsid w:val="001650EB"/>
    <w:rsid w:val="00165E54"/>
    <w:rsid w:val="001667E4"/>
    <w:rsid w:val="0016694C"/>
    <w:rsid w:val="001672AE"/>
    <w:rsid w:val="001672DC"/>
    <w:rsid w:val="0016733F"/>
    <w:rsid w:val="00167527"/>
    <w:rsid w:val="00167D9C"/>
    <w:rsid w:val="00167E22"/>
    <w:rsid w:val="00167F08"/>
    <w:rsid w:val="00167FD6"/>
    <w:rsid w:val="00170845"/>
    <w:rsid w:val="00170CCB"/>
    <w:rsid w:val="00172E64"/>
    <w:rsid w:val="0017338C"/>
    <w:rsid w:val="001734D1"/>
    <w:rsid w:val="00173695"/>
    <w:rsid w:val="001738E2"/>
    <w:rsid w:val="00173CA1"/>
    <w:rsid w:val="00174912"/>
    <w:rsid w:val="0017497F"/>
    <w:rsid w:val="0017566F"/>
    <w:rsid w:val="0017572E"/>
    <w:rsid w:val="00175761"/>
    <w:rsid w:val="00175839"/>
    <w:rsid w:val="001764D0"/>
    <w:rsid w:val="001768EF"/>
    <w:rsid w:val="001776F4"/>
    <w:rsid w:val="0017795C"/>
    <w:rsid w:val="00177E14"/>
    <w:rsid w:val="001801C2"/>
    <w:rsid w:val="001818AE"/>
    <w:rsid w:val="00183058"/>
    <w:rsid w:val="00183FAC"/>
    <w:rsid w:val="0018477E"/>
    <w:rsid w:val="00184DC6"/>
    <w:rsid w:val="001852AA"/>
    <w:rsid w:val="00185E00"/>
    <w:rsid w:val="00185E7B"/>
    <w:rsid w:val="00186454"/>
    <w:rsid w:val="00186664"/>
    <w:rsid w:val="001870B3"/>
    <w:rsid w:val="0018751E"/>
    <w:rsid w:val="00187B8E"/>
    <w:rsid w:val="001905BE"/>
    <w:rsid w:val="001906F1"/>
    <w:rsid w:val="00191726"/>
    <w:rsid w:val="00191B14"/>
    <w:rsid w:val="00193251"/>
    <w:rsid w:val="00193595"/>
    <w:rsid w:val="0019377A"/>
    <w:rsid w:val="00193E5D"/>
    <w:rsid w:val="001940F6"/>
    <w:rsid w:val="001943F4"/>
    <w:rsid w:val="00194444"/>
    <w:rsid w:val="001945E1"/>
    <w:rsid w:val="0019475E"/>
    <w:rsid w:val="00194B9B"/>
    <w:rsid w:val="00196098"/>
    <w:rsid w:val="001969FD"/>
    <w:rsid w:val="0019783A"/>
    <w:rsid w:val="00197BDF"/>
    <w:rsid w:val="001A0CAA"/>
    <w:rsid w:val="001A0CD8"/>
    <w:rsid w:val="001A0E5B"/>
    <w:rsid w:val="001A1B04"/>
    <w:rsid w:val="001A3053"/>
    <w:rsid w:val="001A4733"/>
    <w:rsid w:val="001A63A3"/>
    <w:rsid w:val="001B05CC"/>
    <w:rsid w:val="001B0C03"/>
    <w:rsid w:val="001B0D54"/>
    <w:rsid w:val="001B1049"/>
    <w:rsid w:val="001B3095"/>
    <w:rsid w:val="001B3418"/>
    <w:rsid w:val="001B342C"/>
    <w:rsid w:val="001B407B"/>
    <w:rsid w:val="001B4837"/>
    <w:rsid w:val="001B4E4C"/>
    <w:rsid w:val="001B574C"/>
    <w:rsid w:val="001B63FC"/>
    <w:rsid w:val="001B67E7"/>
    <w:rsid w:val="001B764E"/>
    <w:rsid w:val="001B7DD4"/>
    <w:rsid w:val="001C0082"/>
    <w:rsid w:val="001C0C80"/>
    <w:rsid w:val="001C0F9D"/>
    <w:rsid w:val="001C1011"/>
    <w:rsid w:val="001C103F"/>
    <w:rsid w:val="001C197D"/>
    <w:rsid w:val="001C1EDB"/>
    <w:rsid w:val="001C22A5"/>
    <w:rsid w:val="001C2405"/>
    <w:rsid w:val="001C25AB"/>
    <w:rsid w:val="001C3660"/>
    <w:rsid w:val="001C3CED"/>
    <w:rsid w:val="001C3FF4"/>
    <w:rsid w:val="001C4E29"/>
    <w:rsid w:val="001C5FC6"/>
    <w:rsid w:val="001C71A0"/>
    <w:rsid w:val="001C7E48"/>
    <w:rsid w:val="001D067B"/>
    <w:rsid w:val="001D0D27"/>
    <w:rsid w:val="001D11D4"/>
    <w:rsid w:val="001D1D88"/>
    <w:rsid w:val="001D1DF8"/>
    <w:rsid w:val="001D27B5"/>
    <w:rsid w:val="001D2905"/>
    <w:rsid w:val="001D3389"/>
    <w:rsid w:val="001D343B"/>
    <w:rsid w:val="001D3D0B"/>
    <w:rsid w:val="001D3DAF"/>
    <w:rsid w:val="001D6C07"/>
    <w:rsid w:val="001E082A"/>
    <w:rsid w:val="001E08FE"/>
    <w:rsid w:val="001E119B"/>
    <w:rsid w:val="001E18FC"/>
    <w:rsid w:val="001E25DC"/>
    <w:rsid w:val="001E2E48"/>
    <w:rsid w:val="001E3245"/>
    <w:rsid w:val="001E34E6"/>
    <w:rsid w:val="001E4355"/>
    <w:rsid w:val="001E4905"/>
    <w:rsid w:val="001E5512"/>
    <w:rsid w:val="001E5A71"/>
    <w:rsid w:val="001E5BF5"/>
    <w:rsid w:val="001E72E6"/>
    <w:rsid w:val="001E7712"/>
    <w:rsid w:val="001E7846"/>
    <w:rsid w:val="001E7851"/>
    <w:rsid w:val="001E7CCF"/>
    <w:rsid w:val="001F06A8"/>
    <w:rsid w:val="001F19BB"/>
    <w:rsid w:val="001F1E87"/>
    <w:rsid w:val="001F2183"/>
    <w:rsid w:val="001F2AD9"/>
    <w:rsid w:val="001F2EA6"/>
    <w:rsid w:val="001F360C"/>
    <w:rsid w:val="001F36C4"/>
    <w:rsid w:val="001F3CB8"/>
    <w:rsid w:val="001F3EE1"/>
    <w:rsid w:val="001F3FEF"/>
    <w:rsid w:val="001F4819"/>
    <w:rsid w:val="001F66DE"/>
    <w:rsid w:val="001F6BC7"/>
    <w:rsid w:val="001F7140"/>
    <w:rsid w:val="001F74E2"/>
    <w:rsid w:val="001F7551"/>
    <w:rsid w:val="00200735"/>
    <w:rsid w:val="0020182A"/>
    <w:rsid w:val="00201EB4"/>
    <w:rsid w:val="002027CE"/>
    <w:rsid w:val="0020385F"/>
    <w:rsid w:val="0020497D"/>
    <w:rsid w:val="00204C5A"/>
    <w:rsid w:val="002060E8"/>
    <w:rsid w:val="002061C2"/>
    <w:rsid w:val="00206488"/>
    <w:rsid w:val="00206CC8"/>
    <w:rsid w:val="002113BE"/>
    <w:rsid w:val="002119EF"/>
    <w:rsid w:val="002120BE"/>
    <w:rsid w:val="0021221D"/>
    <w:rsid w:val="00212372"/>
    <w:rsid w:val="002125D1"/>
    <w:rsid w:val="002126DE"/>
    <w:rsid w:val="002128CB"/>
    <w:rsid w:val="00212CBA"/>
    <w:rsid w:val="00213F87"/>
    <w:rsid w:val="00215672"/>
    <w:rsid w:val="002161E7"/>
    <w:rsid w:val="002167D8"/>
    <w:rsid w:val="0021684E"/>
    <w:rsid w:val="00216944"/>
    <w:rsid w:val="002205F7"/>
    <w:rsid w:val="00220784"/>
    <w:rsid w:val="00220AFA"/>
    <w:rsid w:val="0022112B"/>
    <w:rsid w:val="002219F4"/>
    <w:rsid w:val="00222664"/>
    <w:rsid w:val="00222BC6"/>
    <w:rsid w:val="00223994"/>
    <w:rsid w:val="00223F46"/>
    <w:rsid w:val="00224E8C"/>
    <w:rsid w:val="00225248"/>
    <w:rsid w:val="0022553E"/>
    <w:rsid w:val="002261EF"/>
    <w:rsid w:val="00226EAA"/>
    <w:rsid w:val="00226F1F"/>
    <w:rsid w:val="00227C89"/>
    <w:rsid w:val="0023036C"/>
    <w:rsid w:val="00230A51"/>
    <w:rsid w:val="00232BA6"/>
    <w:rsid w:val="00234632"/>
    <w:rsid w:val="0023508A"/>
    <w:rsid w:val="00235167"/>
    <w:rsid w:val="00235723"/>
    <w:rsid w:val="00235A96"/>
    <w:rsid w:val="0023662F"/>
    <w:rsid w:val="002366CD"/>
    <w:rsid w:val="002374D2"/>
    <w:rsid w:val="002419BC"/>
    <w:rsid w:val="00243213"/>
    <w:rsid w:val="0024370D"/>
    <w:rsid w:val="00243766"/>
    <w:rsid w:val="00243BF2"/>
    <w:rsid w:val="00245169"/>
    <w:rsid w:val="002452BE"/>
    <w:rsid w:val="0024570F"/>
    <w:rsid w:val="00245D35"/>
    <w:rsid w:val="0024600C"/>
    <w:rsid w:val="00247C1B"/>
    <w:rsid w:val="00247D4C"/>
    <w:rsid w:val="0025019B"/>
    <w:rsid w:val="002510B9"/>
    <w:rsid w:val="00251346"/>
    <w:rsid w:val="00251DEB"/>
    <w:rsid w:val="002521BF"/>
    <w:rsid w:val="00252659"/>
    <w:rsid w:val="0025322B"/>
    <w:rsid w:val="00253499"/>
    <w:rsid w:val="00254650"/>
    <w:rsid w:val="002553E6"/>
    <w:rsid w:val="00255690"/>
    <w:rsid w:val="0025578E"/>
    <w:rsid w:val="0025621E"/>
    <w:rsid w:val="00256B9B"/>
    <w:rsid w:val="00256F40"/>
    <w:rsid w:val="002579FC"/>
    <w:rsid w:val="00257D8E"/>
    <w:rsid w:val="002600E0"/>
    <w:rsid w:val="002603CA"/>
    <w:rsid w:val="0026058C"/>
    <w:rsid w:val="002614A3"/>
    <w:rsid w:val="00263D46"/>
    <w:rsid w:val="0026430B"/>
    <w:rsid w:val="002650A8"/>
    <w:rsid w:val="002658E3"/>
    <w:rsid w:val="00265C67"/>
    <w:rsid w:val="00266693"/>
    <w:rsid w:val="00266B0A"/>
    <w:rsid w:val="00266FC4"/>
    <w:rsid w:val="00267375"/>
    <w:rsid w:val="00267439"/>
    <w:rsid w:val="0026762B"/>
    <w:rsid w:val="0027021F"/>
    <w:rsid w:val="00270C9E"/>
    <w:rsid w:val="002711F5"/>
    <w:rsid w:val="00271597"/>
    <w:rsid w:val="00272798"/>
    <w:rsid w:val="00273584"/>
    <w:rsid w:val="002735EC"/>
    <w:rsid w:val="00273CCF"/>
    <w:rsid w:val="00273F69"/>
    <w:rsid w:val="00274034"/>
    <w:rsid w:val="00274298"/>
    <w:rsid w:val="00274614"/>
    <w:rsid w:val="002756E8"/>
    <w:rsid w:val="00275CE6"/>
    <w:rsid w:val="0027684C"/>
    <w:rsid w:val="00276E32"/>
    <w:rsid w:val="00277A04"/>
    <w:rsid w:val="00277D52"/>
    <w:rsid w:val="0028016C"/>
    <w:rsid w:val="002802A2"/>
    <w:rsid w:val="00280655"/>
    <w:rsid w:val="0028148C"/>
    <w:rsid w:val="00281933"/>
    <w:rsid w:val="00283F33"/>
    <w:rsid w:val="00284874"/>
    <w:rsid w:val="00285151"/>
    <w:rsid w:val="002862E7"/>
    <w:rsid w:val="00286D36"/>
    <w:rsid w:val="00286EBA"/>
    <w:rsid w:val="00290B72"/>
    <w:rsid w:val="0029128E"/>
    <w:rsid w:val="00291CAD"/>
    <w:rsid w:val="00291DEE"/>
    <w:rsid w:val="00294885"/>
    <w:rsid w:val="00294B1A"/>
    <w:rsid w:val="00294F34"/>
    <w:rsid w:val="00295159"/>
    <w:rsid w:val="0029602E"/>
    <w:rsid w:val="0029641B"/>
    <w:rsid w:val="0029649B"/>
    <w:rsid w:val="00296B57"/>
    <w:rsid w:val="00296E44"/>
    <w:rsid w:val="002975DA"/>
    <w:rsid w:val="0029770A"/>
    <w:rsid w:val="002A150A"/>
    <w:rsid w:val="002A1E87"/>
    <w:rsid w:val="002A2576"/>
    <w:rsid w:val="002A2C8A"/>
    <w:rsid w:val="002A3171"/>
    <w:rsid w:val="002A357B"/>
    <w:rsid w:val="002A3EDA"/>
    <w:rsid w:val="002A44F9"/>
    <w:rsid w:val="002A4E3A"/>
    <w:rsid w:val="002A6274"/>
    <w:rsid w:val="002A7A63"/>
    <w:rsid w:val="002B05D1"/>
    <w:rsid w:val="002B0B38"/>
    <w:rsid w:val="002B1290"/>
    <w:rsid w:val="002B18F0"/>
    <w:rsid w:val="002B1E9A"/>
    <w:rsid w:val="002B2F08"/>
    <w:rsid w:val="002B326F"/>
    <w:rsid w:val="002B38AD"/>
    <w:rsid w:val="002B39E5"/>
    <w:rsid w:val="002B3A61"/>
    <w:rsid w:val="002B471D"/>
    <w:rsid w:val="002B48CF"/>
    <w:rsid w:val="002B4C0C"/>
    <w:rsid w:val="002B5144"/>
    <w:rsid w:val="002B5288"/>
    <w:rsid w:val="002B5702"/>
    <w:rsid w:val="002B62A5"/>
    <w:rsid w:val="002B68CF"/>
    <w:rsid w:val="002C09C3"/>
    <w:rsid w:val="002C15AD"/>
    <w:rsid w:val="002C1AC6"/>
    <w:rsid w:val="002C21C6"/>
    <w:rsid w:val="002C2520"/>
    <w:rsid w:val="002C5331"/>
    <w:rsid w:val="002C5659"/>
    <w:rsid w:val="002C593A"/>
    <w:rsid w:val="002C594C"/>
    <w:rsid w:val="002C737B"/>
    <w:rsid w:val="002D0D4F"/>
    <w:rsid w:val="002D21C9"/>
    <w:rsid w:val="002D294F"/>
    <w:rsid w:val="002D5119"/>
    <w:rsid w:val="002D521A"/>
    <w:rsid w:val="002D73EB"/>
    <w:rsid w:val="002E0DC5"/>
    <w:rsid w:val="002E192A"/>
    <w:rsid w:val="002E1F4B"/>
    <w:rsid w:val="002E2547"/>
    <w:rsid w:val="002E277D"/>
    <w:rsid w:val="002E3287"/>
    <w:rsid w:val="002E42AF"/>
    <w:rsid w:val="002E42E6"/>
    <w:rsid w:val="002E4D1E"/>
    <w:rsid w:val="002E6A96"/>
    <w:rsid w:val="002E7A3F"/>
    <w:rsid w:val="002E7BE4"/>
    <w:rsid w:val="002F057A"/>
    <w:rsid w:val="002F0AFE"/>
    <w:rsid w:val="002F1230"/>
    <w:rsid w:val="002F1337"/>
    <w:rsid w:val="002F1BD1"/>
    <w:rsid w:val="002F2020"/>
    <w:rsid w:val="002F2508"/>
    <w:rsid w:val="002F2FFA"/>
    <w:rsid w:val="002F33A9"/>
    <w:rsid w:val="002F3575"/>
    <w:rsid w:val="002F3C1E"/>
    <w:rsid w:val="002F3E50"/>
    <w:rsid w:val="002F4837"/>
    <w:rsid w:val="002F4A25"/>
    <w:rsid w:val="002F4C86"/>
    <w:rsid w:val="002F5405"/>
    <w:rsid w:val="002F5DD1"/>
    <w:rsid w:val="002F6645"/>
    <w:rsid w:val="002F7100"/>
    <w:rsid w:val="002F780A"/>
    <w:rsid w:val="002F7C36"/>
    <w:rsid w:val="002F7CB7"/>
    <w:rsid w:val="003014D1"/>
    <w:rsid w:val="00301596"/>
    <w:rsid w:val="00301F8F"/>
    <w:rsid w:val="00302347"/>
    <w:rsid w:val="0030297E"/>
    <w:rsid w:val="00302B4C"/>
    <w:rsid w:val="003038A4"/>
    <w:rsid w:val="00303C64"/>
    <w:rsid w:val="00303C7D"/>
    <w:rsid w:val="0030446D"/>
    <w:rsid w:val="00305496"/>
    <w:rsid w:val="00305E20"/>
    <w:rsid w:val="00306156"/>
    <w:rsid w:val="00306409"/>
    <w:rsid w:val="00306D9E"/>
    <w:rsid w:val="00307035"/>
    <w:rsid w:val="00307984"/>
    <w:rsid w:val="00307B1F"/>
    <w:rsid w:val="00307DC8"/>
    <w:rsid w:val="0031112B"/>
    <w:rsid w:val="00312920"/>
    <w:rsid w:val="0031375F"/>
    <w:rsid w:val="00313E51"/>
    <w:rsid w:val="00313F63"/>
    <w:rsid w:val="00314C4C"/>
    <w:rsid w:val="0031500B"/>
    <w:rsid w:val="00315EBE"/>
    <w:rsid w:val="00316077"/>
    <w:rsid w:val="00316C25"/>
    <w:rsid w:val="00317A9B"/>
    <w:rsid w:val="00317AB6"/>
    <w:rsid w:val="00317FB7"/>
    <w:rsid w:val="003200D3"/>
    <w:rsid w:val="003204AF"/>
    <w:rsid w:val="00321903"/>
    <w:rsid w:val="00321F99"/>
    <w:rsid w:val="0032288D"/>
    <w:rsid w:val="00322CD7"/>
    <w:rsid w:val="00324D1B"/>
    <w:rsid w:val="00325E7D"/>
    <w:rsid w:val="00326017"/>
    <w:rsid w:val="00326320"/>
    <w:rsid w:val="00326C30"/>
    <w:rsid w:val="003274AA"/>
    <w:rsid w:val="0033051F"/>
    <w:rsid w:val="003306F0"/>
    <w:rsid w:val="003320B7"/>
    <w:rsid w:val="0033446A"/>
    <w:rsid w:val="0033451D"/>
    <w:rsid w:val="00334777"/>
    <w:rsid w:val="00334DDD"/>
    <w:rsid w:val="003353D4"/>
    <w:rsid w:val="0033592D"/>
    <w:rsid w:val="00335ACC"/>
    <w:rsid w:val="0033638D"/>
    <w:rsid w:val="003364E9"/>
    <w:rsid w:val="00337C72"/>
    <w:rsid w:val="003400B8"/>
    <w:rsid w:val="00340B7D"/>
    <w:rsid w:val="0034194C"/>
    <w:rsid w:val="00341D48"/>
    <w:rsid w:val="003426C5"/>
    <w:rsid w:val="003426C9"/>
    <w:rsid w:val="00343632"/>
    <w:rsid w:val="00343C1D"/>
    <w:rsid w:val="00347A7F"/>
    <w:rsid w:val="00347F91"/>
    <w:rsid w:val="00350132"/>
    <w:rsid w:val="00350D74"/>
    <w:rsid w:val="003511C6"/>
    <w:rsid w:val="0035129D"/>
    <w:rsid w:val="00351EAF"/>
    <w:rsid w:val="00352587"/>
    <w:rsid w:val="003530B0"/>
    <w:rsid w:val="00353202"/>
    <w:rsid w:val="003533C9"/>
    <w:rsid w:val="00353B4D"/>
    <w:rsid w:val="00354251"/>
    <w:rsid w:val="003548C9"/>
    <w:rsid w:val="0035494F"/>
    <w:rsid w:val="00355692"/>
    <w:rsid w:val="003559C8"/>
    <w:rsid w:val="00355E48"/>
    <w:rsid w:val="003562E2"/>
    <w:rsid w:val="003569BB"/>
    <w:rsid w:val="00356E41"/>
    <w:rsid w:val="00357962"/>
    <w:rsid w:val="00360A52"/>
    <w:rsid w:val="00361740"/>
    <w:rsid w:val="003617BD"/>
    <w:rsid w:val="00362A9D"/>
    <w:rsid w:val="0036326F"/>
    <w:rsid w:val="00363752"/>
    <w:rsid w:val="00364205"/>
    <w:rsid w:val="003645D5"/>
    <w:rsid w:val="00364997"/>
    <w:rsid w:val="00364E78"/>
    <w:rsid w:val="003650FA"/>
    <w:rsid w:val="003651EB"/>
    <w:rsid w:val="00365957"/>
    <w:rsid w:val="00365BC0"/>
    <w:rsid w:val="00365D8B"/>
    <w:rsid w:val="0036655B"/>
    <w:rsid w:val="0036660E"/>
    <w:rsid w:val="003678CF"/>
    <w:rsid w:val="0037023F"/>
    <w:rsid w:val="00371C35"/>
    <w:rsid w:val="00371E8A"/>
    <w:rsid w:val="00372616"/>
    <w:rsid w:val="00373148"/>
    <w:rsid w:val="003738D0"/>
    <w:rsid w:val="00373C11"/>
    <w:rsid w:val="00373C3C"/>
    <w:rsid w:val="003743E2"/>
    <w:rsid w:val="00374863"/>
    <w:rsid w:val="00374A0C"/>
    <w:rsid w:val="00375395"/>
    <w:rsid w:val="00375BD1"/>
    <w:rsid w:val="00375FE7"/>
    <w:rsid w:val="003760B7"/>
    <w:rsid w:val="003770F7"/>
    <w:rsid w:val="00377444"/>
    <w:rsid w:val="00377A62"/>
    <w:rsid w:val="00377B85"/>
    <w:rsid w:val="00380B29"/>
    <w:rsid w:val="0038167E"/>
    <w:rsid w:val="00381A1B"/>
    <w:rsid w:val="00381D87"/>
    <w:rsid w:val="00382448"/>
    <w:rsid w:val="0038323E"/>
    <w:rsid w:val="003849DC"/>
    <w:rsid w:val="00384CB6"/>
    <w:rsid w:val="00384E7E"/>
    <w:rsid w:val="0039012E"/>
    <w:rsid w:val="003902BE"/>
    <w:rsid w:val="00390DE4"/>
    <w:rsid w:val="0039110C"/>
    <w:rsid w:val="0039169A"/>
    <w:rsid w:val="00391C4C"/>
    <w:rsid w:val="003924B5"/>
    <w:rsid w:val="00392B9E"/>
    <w:rsid w:val="00392CF4"/>
    <w:rsid w:val="00393D26"/>
    <w:rsid w:val="0039410A"/>
    <w:rsid w:val="00394E0C"/>
    <w:rsid w:val="003951E3"/>
    <w:rsid w:val="003957F5"/>
    <w:rsid w:val="00395FAE"/>
    <w:rsid w:val="00396AED"/>
    <w:rsid w:val="00397680"/>
    <w:rsid w:val="00397DFD"/>
    <w:rsid w:val="003A08DC"/>
    <w:rsid w:val="003A18A0"/>
    <w:rsid w:val="003A22A6"/>
    <w:rsid w:val="003A30CD"/>
    <w:rsid w:val="003A3FBD"/>
    <w:rsid w:val="003A4E7B"/>
    <w:rsid w:val="003A5995"/>
    <w:rsid w:val="003A6086"/>
    <w:rsid w:val="003A6189"/>
    <w:rsid w:val="003A71C7"/>
    <w:rsid w:val="003A73FE"/>
    <w:rsid w:val="003B071E"/>
    <w:rsid w:val="003B0739"/>
    <w:rsid w:val="003B0C35"/>
    <w:rsid w:val="003B13A3"/>
    <w:rsid w:val="003B1EC3"/>
    <w:rsid w:val="003B1FC1"/>
    <w:rsid w:val="003B2024"/>
    <w:rsid w:val="003B2D2F"/>
    <w:rsid w:val="003B3220"/>
    <w:rsid w:val="003B3AA2"/>
    <w:rsid w:val="003B3E6B"/>
    <w:rsid w:val="003B4046"/>
    <w:rsid w:val="003B487C"/>
    <w:rsid w:val="003B4980"/>
    <w:rsid w:val="003B5137"/>
    <w:rsid w:val="003B6B78"/>
    <w:rsid w:val="003B79E3"/>
    <w:rsid w:val="003C08C2"/>
    <w:rsid w:val="003C099C"/>
    <w:rsid w:val="003C2339"/>
    <w:rsid w:val="003C2A6B"/>
    <w:rsid w:val="003C3BA2"/>
    <w:rsid w:val="003C58F3"/>
    <w:rsid w:val="003C6527"/>
    <w:rsid w:val="003C6CA0"/>
    <w:rsid w:val="003C6DA7"/>
    <w:rsid w:val="003C7182"/>
    <w:rsid w:val="003D0926"/>
    <w:rsid w:val="003D0A28"/>
    <w:rsid w:val="003D0F42"/>
    <w:rsid w:val="003D195E"/>
    <w:rsid w:val="003D20F6"/>
    <w:rsid w:val="003D2E1F"/>
    <w:rsid w:val="003D3696"/>
    <w:rsid w:val="003D4556"/>
    <w:rsid w:val="003D473F"/>
    <w:rsid w:val="003D4FA6"/>
    <w:rsid w:val="003D5AD8"/>
    <w:rsid w:val="003D5C21"/>
    <w:rsid w:val="003D5D7F"/>
    <w:rsid w:val="003D6871"/>
    <w:rsid w:val="003D76FE"/>
    <w:rsid w:val="003D770D"/>
    <w:rsid w:val="003D7C25"/>
    <w:rsid w:val="003D7CBF"/>
    <w:rsid w:val="003D7E1A"/>
    <w:rsid w:val="003E0885"/>
    <w:rsid w:val="003E0E08"/>
    <w:rsid w:val="003E0ED3"/>
    <w:rsid w:val="003E0F67"/>
    <w:rsid w:val="003E2C1B"/>
    <w:rsid w:val="003E2F3C"/>
    <w:rsid w:val="003E3321"/>
    <w:rsid w:val="003E369F"/>
    <w:rsid w:val="003E374B"/>
    <w:rsid w:val="003E44A9"/>
    <w:rsid w:val="003E47FC"/>
    <w:rsid w:val="003E5361"/>
    <w:rsid w:val="003E5C79"/>
    <w:rsid w:val="003E5F47"/>
    <w:rsid w:val="003E63F0"/>
    <w:rsid w:val="003E6F55"/>
    <w:rsid w:val="003F02D9"/>
    <w:rsid w:val="003F0D51"/>
    <w:rsid w:val="003F0FEC"/>
    <w:rsid w:val="003F26B0"/>
    <w:rsid w:val="003F2C54"/>
    <w:rsid w:val="003F3166"/>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EB8"/>
    <w:rsid w:val="004026ED"/>
    <w:rsid w:val="004028B2"/>
    <w:rsid w:val="00402C4C"/>
    <w:rsid w:val="00403C56"/>
    <w:rsid w:val="00404E99"/>
    <w:rsid w:val="004059A0"/>
    <w:rsid w:val="00405A39"/>
    <w:rsid w:val="00406818"/>
    <w:rsid w:val="00406BBC"/>
    <w:rsid w:val="00406E96"/>
    <w:rsid w:val="00406EC6"/>
    <w:rsid w:val="00407A6D"/>
    <w:rsid w:val="00410770"/>
    <w:rsid w:val="004109B1"/>
    <w:rsid w:val="00411A99"/>
    <w:rsid w:val="00411B7F"/>
    <w:rsid w:val="00412B65"/>
    <w:rsid w:val="00412CF6"/>
    <w:rsid w:val="00412EBD"/>
    <w:rsid w:val="00413EB7"/>
    <w:rsid w:val="004145C7"/>
    <w:rsid w:val="00414DA4"/>
    <w:rsid w:val="00414F27"/>
    <w:rsid w:val="00417D50"/>
    <w:rsid w:val="00417F6D"/>
    <w:rsid w:val="004209EA"/>
    <w:rsid w:val="00420B4C"/>
    <w:rsid w:val="00421109"/>
    <w:rsid w:val="00421165"/>
    <w:rsid w:val="00421356"/>
    <w:rsid w:val="00421641"/>
    <w:rsid w:val="0042203C"/>
    <w:rsid w:val="0042235D"/>
    <w:rsid w:val="0042239F"/>
    <w:rsid w:val="0042325F"/>
    <w:rsid w:val="004234E0"/>
    <w:rsid w:val="004243A6"/>
    <w:rsid w:val="00425B9F"/>
    <w:rsid w:val="00426394"/>
    <w:rsid w:val="0042730B"/>
    <w:rsid w:val="00430547"/>
    <w:rsid w:val="00431040"/>
    <w:rsid w:val="00431A4F"/>
    <w:rsid w:val="00431E92"/>
    <w:rsid w:val="00432855"/>
    <w:rsid w:val="004329B2"/>
    <w:rsid w:val="004330DD"/>
    <w:rsid w:val="004335D3"/>
    <w:rsid w:val="00433DB3"/>
    <w:rsid w:val="004341A7"/>
    <w:rsid w:val="004347E5"/>
    <w:rsid w:val="00434982"/>
    <w:rsid w:val="00435027"/>
    <w:rsid w:val="00435664"/>
    <w:rsid w:val="004367B0"/>
    <w:rsid w:val="00437743"/>
    <w:rsid w:val="00437A38"/>
    <w:rsid w:val="00437BCA"/>
    <w:rsid w:val="004404CA"/>
    <w:rsid w:val="0044056B"/>
    <w:rsid w:val="00441861"/>
    <w:rsid w:val="004428F2"/>
    <w:rsid w:val="00442CF8"/>
    <w:rsid w:val="00442EF2"/>
    <w:rsid w:val="00442F70"/>
    <w:rsid w:val="004441E0"/>
    <w:rsid w:val="0044439D"/>
    <w:rsid w:val="00445123"/>
    <w:rsid w:val="00445946"/>
    <w:rsid w:val="00445A2E"/>
    <w:rsid w:val="004460D0"/>
    <w:rsid w:val="00446249"/>
    <w:rsid w:val="004462C1"/>
    <w:rsid w:val="00446F4A"/>
    <w:rsid w:val="00446FCD"/>
    <w:rsid w:val="00447C2B"/>
    <w:rsid w:val="00451662"/>
    <w:rsid w:val="00451682"/>
    <w:rsid w:val="00451F75"/>
    <w:rsid w:val="00452942"/>
    <w:rsid w:val="004533EC"/>
    <w:rsid w:val="0045465D"/>
    <w:rsid w:val="0045597A"/>
    <w:rsid w:val="004573DC"/>
    <w:rsid w:val="004573FF"/>
    <w:rsid w:val="00457ACC"/>
    <w:rsid w:val="00457AFC"/>
    <w:rsid w:val="004606D8"/>
    <w:rsid w:val="0046073D"/>
    <w:rsid w:val="00460AD1"/>
    <w:rsid w:val="00460BB1"/>
    <w:rsid w:val="0046181D"/>
    <w:rsid w:val="004618BC"/>
    <w:rsid w:val="00461AC0"/>
    <w:rsid w:val="00461BE2"/>
    <w:rsid w:val="00461C30"/>
    <w:rsid w:val="00462642"/>
    <w:rsid w:val="00462B02"/>
    <w:rsid w:val="00463A15"/>
    <w:rsid w:val="00463A37"/>
    <w:rsid w:val="00465195"/>
    <w:rsid w:val="00465271"/>
    <w:rsid w:val="004652CD"/>
    <w:rsid w:val="00465534"/>
    <w:rsid w:val="00465AB7"/>
    <w:rsid w:val="00465C5A"/>
    <w:rsid w:val="00466474"/>
    <w:rsid w:val="004665B9"/>
    <w:rsid w:val="004667F7"/>
    <w:rsid w:val="004702C4"/>
    <w:rsid w:val="00471C5D"/>
    <w:rsid w:val="004728C9"/>
    <w:rsid w:val="00472A7D"/>
    <w:rsid w:val="00473730"/>
    <w:rsid w:val="00473F39"/>
    <w:rsid w:val="0047451F"/>
    <w:rsid w:val="004746B8"/>
    <w:rsid w:val="00475381"/>
    <w:rsid w:val="0047718C"/>
    <w:rsid w:val="0047733C"/>
    <w:rsid w:val="004773EF"/>
    <w:rsid w:val="004777A4"/>
    <w:rsid w:val="00477CEE"/>
    <w:rsid w:val="00477DDF"/>
    <w:rsid w:val="00477EEC"/>
    <w:rsid w:val="004808A5"/>
    <w:rsid w:val="00480BE2"/>
    <w:rsid w:val="0048109B"/>
    <w:rsid w:val="004811C9"/>
    <w:rsid w:val="00481A8A"/>
    <w:rsid w:val="00481EB0"/>
    <w:rsid w:val="00483CFD"/>
    <w:rsid w:val="004846DF"/>
    <w:rsid w:val="00485344"/>
    <w:rsid w:val="00486E8A"/>
    <w:rsid w:val="00486F6D"/>
    <w:rsid w:val="00486F81"/>
    <w:rsid w:val="004870CE"/>
    <w:rsid w:val="004872E7"/>
    <w:rsid w:val="00487691"/>
    <w:rsid w:val="00490EA8"/>
    <w:rsid w:val="00491343"/>
    <w:rsid w:val="004915B5"/>
    <w:rsid w:val="00491D79"/>
    <w:rsid w:val="004926B0"/>
    <w:rsid w:val="00493387"/>
    <w:rsid w:val="00493837"/>
    <w:rsid w:val="00493BB6"/>
    <w:rsid w:val="0049433C"/>
    <w:rsid w:val="00494416"/>
    <w:rsid w:val="0049485D"/>
    <w:rsid w:val="00494993"/>
    <w:rsid w:val="00494BD0"/>
    <w:rsid w:val="00495277"/>
    <w:rsid w:val="00495FA0"/>
    <w:rsid w:val="0049639B"/>
    <w:rsid w:val="00496CFB"/>
    <w:rsid w:val="004977EF"/>
    <w:rsid w:val="004979B5"/>
    <w:rsid w:val="004979E3"/>
    <w:rsid w:val="00497B1D"/>
    <w:rsid w:val="004A0373"/>
    <w:rsid w:val="004A069A"/>
    <w:rsid w:val="004A075C"/>
    <w:rsid w:val="004A08ED"/>
    <w:rsid w:val="004A0950"/>
    <w:rsid w:val="004A2185"/>
    <w:rsid w:val="004A2A0A"/>
    <w:rsid w:val="004A2D02"/>
    <w:rsid w:val="004A319D"/>
    <w:rsid w:val="004A32ED"/>
    <w:rsid w:val="004A4390"/>
    <w:rsid w:val="004A52A3"/>
    <w:rsid w:val="004A72DF"/>
    <w:rsid w:val="004B0208"/>
    <w:rsid w:val="004B050F"/>
    <w:rsid w:val="004B098C"/>
    <w:rsid w:val="004B0C2F"/>
    <w:rsid w:val="004B0C55"/>
    <w:rsid w:val="004B164C"/>
    <w:rsid w:val="004B1A44"/>
    <w:rsid w:val="004B2C56"/>
    <w:rsid w:val="004B3629"/>
    <w:rsid w:val="004B3FBE"/>
    <w:rsid w:val="004B41B5"/>
    <w:rsid w:val="004B4618"/>
    <w:rsid w:val="004B4C2E"/>
    <w:rsid w:val="004B5567"/>
    <w:rsid w:val="004B5DA6"/>
    <w:rsid w:val="004B5E34"/>
    <w:rsid w:val="004B63F5"/>
    <w:rsid w:val="004B6AD6"/>
    <w:rsid w:val="004B6EA6"/>
    <w:rsid w:val="004B75E7"/>
    <w:rsid w:val="004B7A4F"/>
    <w:rsid w:val="004B7D89"/>
    <w:rsid w:val="004C013A"/>
    <w:rsid w:val="004C0692"/>
    <w:rsid w:val="004C098A"/>
    <w:rsid w:val="004C0FA3"/>
    <w:rsid w:val="004C11D3"/>
    <w:rsid w:val="004C2158"/>
    <w:rsid w:val="004C2679"/>
    <w:rsid w:val="004C3219"/>
    <w:rsid w:val="004C387E"/>
    <w:rsid w:val="004C38DF"/>
    <w:rsid w:val="004C3C73"/>
    <w:rsid w:val="004C477F"/>
    <w:rsid w:val="004C4BF5"/>
    <w:rsid w:val="004C4F03"/>
    <w:rsid w:val="004C5869"/>
    <w:rsid w:val="004C610B"/>
    <w:rsid w:val="004C6795"/>
    <w:rsid w:val="004D040A"/>
    <w:rsid w:val="004D0994"/>
    <w:rsid w:val="004D103A"/>
    <w:rsid w:val="004D1154"/>
    <w:rsid w:val="004D13AB"/>
    <w:rsid w:val="004D1BFB"/>
    <w:rsid w:val="004D2452"/>
    <w:rsid w:val="004D2D67"/>
    <w:rsid w:val="004D2E52"/>
    <w:rsid w:val="004D348A"/>
    <w:rsid w:val="004D4E80"/>
    <w:rsid w:val="004D5FA9"/>
    <w:rsid w:val="004D619C"/>
    <w:rsid w:val="004D62FD"/>
    <w:rsid w:val="004D632D"/>
    <w:rsid w:val="004D63F4"/>
    <w:rsid w:val="004D65D5"/>
    <w:rsid w:val="004D677F"/>
    <w:rsid w:val="004D6B49"/>
    <w:rsid w:val="004D7EE8"/>
    <w:rsid w:val="004E06C0"/>
    <w:rsid w:val="004E088C"/>
    <w:rsid w:val="004E0F83"/>
    <w:rsid w:val="004E188A"/>
    <w:rsid w:val="004E22F6"/>
    <w:rsid w:val="004E3988"/>
    <w:rsid w:val="004E3FC2"/>
    <w:rsid w:val="004E534B"/>
    <w:rsid w:val="004E6415"/>
    <w:rsid w:val="004E67DB"/>
    <w:rsid w:val="004E7D5E"/>
    <w:rsid w:val="004F0431"/>
    <w:rsid w:val="004F09C5"/>
    <w:rsid w:val="004F18B0"/>
    <w:rsid w:val="004F2A26"/>
    <w:rsid w:val="004F316D"/>
    <w:rsid w:val="004F3F63"/>
    <w:rsid w:val="004F45B4"/>
    <w:rsid w:val="004F4627"/>
    <w:rsid w:val="004F4D52"/>
    <w:rsid w:val="004F5215"/>
    <w:rsid w:val="004F533C"/>
    <w:rsid w:val="004F5AD8"/>
    <w:rsid w:val="004F63BF"/>
    <w:rsid w:val="004F65EC"/>
    <w:rsid w:val="004F6968"/>
    <w:rsid w:val="004F6E88"/>
    <w:rsid w:val="004F7DCC"/>
    <w:rsid w:val="00500D41"/>
    <w:rsid w:val="00500F9D"/>
    <w:rsid w:val="005010B2"/>
    <w:rsid w:val="0050177F"/>
    <w:rsid w:val="00501B1C"/>
    <w:rsid w:val="005027F0"/>
    <w:rsid w:val="00502D0A"/>
    <w:rsid w:val="00503E2A"/>
    <w:rsid w:val="00503E66"/>
    <w:rsid w:val="005045AD"/>
    <w:rsid w:val="00505369"/>
    <w:rsid w:val="005056B9"/>
    <w:rsid w:val="00505ACB"/>
    <w:rsid w:val="00506272"/>
    <w:rsid w:val="005067B0"/>
    <w:rsid w:val="0050745A"/>
    <w:rsid w:val="00507739"/>
    <w:rsid w:val="00507B2E"/>
    <w:rsid w:val="00507C22"/>
    <w:rsid w:val="005111DC"/>
    <w:rsid w:val="0051152F"/>
    <w:rsid w:val="00511A63"/>
    <w:rsid w:val="00511EBD"/>
    <w:rsid w:val="00513511"/>
    <w:rsid w:val="00514C4F"/>
    <w:rsid w:val="00515357"/>
    <w:rsid w:val="005169AB"/>
    <w:rsid w:val="005200F0"/>
    <w:rsid w:val="00520400"/>
    <w:rsid w:val="00520597"/>
    <w:rsid w:val="0052098B"/>
    <w:rsid w:val="00521B6F"/>
    <w:rsid w:val="00522E22"/>
    <w:rsid w:val="00524792"/>
    <w:rsid w:val="005249E0"/>
    <w:rsid w:val="00524E73"/>
    <w:rsid w:val="0052605F"/>
    <w:rsid w:val="0052695D"/>
    <w:rsid w:val="00526DE5"/>
    <w:rsid w:val="00527717"/>
    <w:rsid w:val="00527840"/>
    <w:rsid w:val="00531BB8"/>
    <w:rsid w:val="00532477"/>
    <w:rsid w:val="005325DE"/>
    <w:rsid w:val="00532DA9"/>
    <w:rsid w:val="005331C1"/>
    <w:rsid w:val="005334BA"/>
    <w:rsid w:val="00533635"/>
    <w:rsid w:val="00533858"/>
    <w:rsid w:val="00534587"/>
    <w:rsid w:val="00535F37"/>
    <w:rsid w:val="00536086"/>
    <w:rsid w:val="0053648F"/>
    <w:rsid w:val="0053744D"/>
    <w:rsid w:val="005407E2"/>
    <w:rsid w:val="00542506"/>
    <w:rsid w:val="00543F78"/>
    <w:rsid w:val="005447F9"/>
    <w:rsid w:val="00544C62"/>
    <w:rsid w:val="00545C0F"/>
    <w:rsid w:val="00545FDA"/>
    <w:rsid w:val="0054751A"/>
    <w:rsid w:val="00547BD6"/>
    <w:rsid w:val="00547BF8"/>
    <w:rsid w:val="00547D7A"/>
    <w:rsid w:val="0055066C"/>
    <w:rsid w:val="0055159D"/>
    <w:rsid w:val="00551710"/>
    <w:rsid w:val="00551DEA"/>
    <w:rsid w:val="0055364D"/>
    <w:rsid w:val="0055422E"/>
    <w:rsid w:val="00554BF5"/>
    <w:rsid w:val="0055523A"/>
    <w:rsid w:val="005554E2"/>
    <w:rsid w:val="005559CB"/>
    <w:rsid w:val="00555CF1"/>
    <w:rsid w:val="00555D99"/>
    <w:rsid w:val="0055632D"/>
    <w:rsid w:val="00556E11"/>
    <w:rsid w:val="00557185"/>
    <w:rsid w:val="005609D3"/>
    <w:rsid w:val="00562386"/>
    <w:rsid w:val="00562E61"/>
    <w:rsid w:val="0056300F"/>
    <w:rsid w:val="00564C0B"/>
    <w:rsid w:val="00564F6E"/>
    <w:rsid w:val="0056509A"/>
    <w:rsid w:val="005652ED"/>
    <w:rsid w:val="00565F48"/>
    <w:rsid w:val="00567184"/>
    <w:rsid w:val="00570840"/>
    <w:rsid w:val="005729D9"/>
    <w:rsid w:val="00573447"/>
    <w:rsid w:val="005738F7"/>
    <w:rsid w:val="00574BB3"/>
    <w:rsid w:val="00575435"/>
    <w:rsid w:val="00575CFC"/>
    <w:rsid w:val="00577DBE"/>
    <w:rsid w:val="005805EB"/>
    <w:rsid w:val="005810B1"/>
    <w:rsid w:val="005811E0"/>
    <w:rsid w:val="00582582"/>
    <w:rsid w:val="005830E0"/>
    <w:rsid w:val="0058316D"/>
    <w:rsid w:val="00583781"/>
    <w:rsid w:val="005842FE"/>
    <w:rsid w:val="0058431E"/>
    <w:rsid w:val="00584815"/>
    <w:rsid w:val="00584D64"/>
    <w:rsid w:val="00584DDC"/>
    <w:rsid w:val="00584E0C"/>
    <w:rsid w:val="00584FA2"/>
    <w:rsid w:val="005856AE"/>
    <w:rsid w:val="00586441"/>
    <w:rsid w:val="005864DD"/>
    <w:rsid w:val="005872E0"/>
    <w:rsid w:val="0058793B"/>
    <w:rsid w:val="00590031"/>
    <w:rsid w:val="005920C8"/>
    <w:rsid w:val="005930CC"/>
    <w:rsid w:val="00593E7E"/>
    <w:rsid w:val="005943DF"/>
    <w:rsid w:val="00594DFB"/>
    <w:rsid w:val="005952B6"/>
    <w:rsid w:val="00595EE5"/>
    <w:rsid w:val="0059737A"/>
    <w:rsid w:val="00597BD5"/>
    <w:rsid w:val="005A0E93"/>
    <w:rsid w:val="005A1535"/>
    <w:rsid w:val="005A1841"/>
    <w:rsid w:val="005A2229"/>
    <w:rsid w:val="005A26C4"/>
    <w:rsid w:val="005A32CD"/>
    <w:rsid w:val="005A4C93"/>
    <w:rsid w:val="005A4E0D"/>
    <w:rsid w:val="005A56AE"/>
    <w:rsid w:val="005A5BB3"/>
    <w:rsid w:val="005A6384"/>
    <w:rsid w:val="005A6D46"/>
    <w:rsid w:val="005A7176"/>
    <w:rsid w:val="005A7B38"/>
    <w:rsid w:val="005A7E9A"/>
    <w:rsid w:val="005B0762"/>
    <w:rsid w:val="005B1CE7"/>
    <w:rsid w:val="005B217E"/>
    <w:rsid w:val="005B2CDF"/>
    <w:rsid w:val="005B3709"/>
    <w:rsid w:val="005B386B"/>
    <w:rsid w:val="005B483A"/>
    <w:rsid w:val="005B4B86"/>
    <w:rsid w:val="005B4C39"/>
    <w:rsid w:val="005B4DF6"/>
    <w:rsid w:val="005B4F9B"/>
    <w:rsid w:val="005B5518"/>
    <w:rsid w:val="005B698F"/>
    <w:rsid w:val="005B6CF5"/>
    <w:rsid w:val="005B734D"/>
    <w:rsid w:val="005B75E5"/>
    <w:rsid w:val="005C2A9C"/>
    <w:rsid w:val="005C2D69"/>
    <w:rsid w:val="005C342F"/>
    <w:rsid w:val="005C3AD7"/>
    <w:rsid w:val="005C3EB0"/>
    <w:rsid w:val="005C4B09"/>
    <w:rsid w:val="005C4C23"/>
    <w:rsid w:val="005C4F46"/>
    <w:rsid w:val="005C4FCB"/>
    <w:rsid w:val="005C54B3"/>
    <w:rsid w:val="005C5B52"/>
    <w:rsid w:val="005C668E"/>
    <w:rsid w:val="005D14EA"/>
    <w:rsid w:val="005D28A6"/>
    <w:rsid w:val="005D2AAA"/>
    <w:rsid w:val="005D2F3E"/>
    <w:rsid w:val="005D317E"/>
    <w:rsid w:val="005D34C0"/>
    <w:rsid w:val="005D3591"/>
    <w:rsid w:val="005D3B61"/>
    <w:rsid w:val="005D3E90"/>
    <w:rsid w:val="005D52C5"/>
    <w:rsid w:val="005D55CA"/>
    <w:rsid w:val="005D66DB"/>
    <w:rsid w:val="005D6738"/>
    <w:rsid w:val="005E0393"/>
    <w:rsid w:val="005E0448"/>
    <w:rsid w:val="005E064E"/>
    <w:rsid w:val="005E1489"/>
    <w:rsid w:val="005E14BA"/>
    <w:rsid w:val="005E1613"/>
    <w:rsid w:val="005E1CB2"/>
    <w:rsid w:val="005E1F68"/>
    <w:rsid w:val="005E25F3"/>
    <w:rsid w:val="005E2615"/>
    <w:rsid w:val="005E3101"/>
    <w:rsid w:val="005E31E0"/>
    <w:rsid w:val="005E3B81"/>
    <w:rsid w:val="005E4B7D"/>
    <w:rsid w:val="005E4C55"/>
    <w:rsid w:val="005E4C71"/>
    <w:rsid w:val="005E6A70"/>
    <w:rsid w:val="005E7028"/>
    <w:rsid w:val="005E73E3"/>
    <w:rsid w:val="005E7A8E"/>
    <w:rsid w:val="005F1768"/>
    <w:rsid w:val="005F1EA4"/>
    <w:rsid w:val="005F2008"/>
    <w:rsid w:val="005F2FA2"/>
    <w:rsid w:val="005F32C5"/>
    <w:rsid w:val="005F342A"/>
    <w:rsid w:val="005F3549"/>
    <w:rsid w:val="005F3B6B"/>
    <w:rsid w:val="005F4304"/>
    <w:rsid w:val="005F4514"/>
    <w:rsid w:val="005F4D70"/>
    <w:rsid w:val="005F5905"/>
    <w:rsid w:val="005F5948"/>
    <w:rsid w:val="005F671A"/>
    <w:rsid w:val="005F79DA"/>
    <w:rsid w:val="00600DCB"/>
    <w:rsid w:val="00600FC8"/>
    <w:rsid w:val="006016D8"/>
    <w:rsid w:val="00602031"/>
    <w:rsid w:val="00602227"/>
    <w:rsid w:val="00602636"/>
    <w:rsid w:val="00602C83"/>
    <w:rsid w:val="00603CB8"/>
    <w:rsid w:val="006047FC"/>
    <w:rsid w:val="006055D2"/>
    <w:rsid w:val="006069F4"/>
    <w:rsid w:val="00606FB5"/>
    <w:rsid w:val="0060714D"/>
    <w:rsid w:val="00610DA8"/>
    <w:rsid w:val="0061174F"/>
    <w:rsid w:val="00612F3C"/>
    <w:rsid w:val="00617A50"/>
    <w:rsid w:val="0062231E"/>
    <w:rsid w:val="00622462"/>
    <w:rsid w:val="0062249D"/>
    <w:rsid w:val="00622CB1"/>
    <w:rsid w:val="00622EB4"/>
    <w:rsid w:val="00623187"/>
    <w:rsid w:val="0062342B"/>
    <w:rsid w:val="006238D4"/>
    <w:rsid w:val="0062474C"/>
    <w:rsid w:val="0062494F"/>
    <w:rsid w:val="00624F16"/>
    <w:rsid w:val="006251C6"/>
    <w:rsid w:val="00625C49"/>
    <w:rsid w:val="00625D2B"/>
    <w:rsid w:val="0062646A"/>
    <w:rsid w:val="00626602"/>
    <w:rsid w:val="006268DC"/>
    <w:rsid w:val="0062699D"/>
    <w:rsid w:val="00626DAA"/>
    <w:rsid w:val="00626F0D"/>
    <w:rsid w:val="00627775"/>
    <w:rsid w:val="00627A4E"/>
    <w:rsid w:val="00627B14"/>
    <w:rsid w:val="00627DDF"/>
    <w:rsid w:val="006302E3"/>
    <w:rsid w:val="006308FD"/>
    <w:rsid w:val="006314DC"/>
    <w:rsid w:val="006319F7"/>
    <w:rsid w:val="006323E7"/>
    <w:rsid w:val="00632A5A"/>
    <w:rsid w:val="00632B51"/>
    <w:rsid w:val="00632E5E"/>
    <w:rsid w:val="00632F69"/>
    <w:rsid w:val="006339CA"/>
    <w:rsid w:val="00633AA9"/>
    <w:rsid w:val="00634049"/>
    <w:rsid w:val="0063462F"/>
    <w:rsid w:val="00634653"/>
    <w:rsid w:val="0063469B"/>
    <w:rsid w:val="006358F7"/>
    <w:rsid w:val="00635D5F"/>
    <w:rsid w:val="00637960"/>
    <w:rsid w:val="00637D0A"/>
    <w:rsid w:val="00637DA9"/>
    <w:rsid w:val="0064068B"/>
    <w:rsid w:val="00640E71"/>
    <w:rsid w:val="0064144F"/>
    <w:rsid w:val="006425B4"/>
    <w:rsid w:val="00642940"/>
    <w:rsid w:val="00643033"/>
    <w:rsid w:val="00643175"/>
    <w:rsid w:val="0064534A"/>
    <w:rsid w:val="00645B3E"/>
    <w:rsid w:val="00645D6D"/>
    <w:rsid w:val="006463A8"/>
    <w:rsid w:val="00646572"/>
    <w:rsid w:val="006471A1"/>
    <w:rsid w:val="006471F6"/>
    <w:rsid w:val="00647811"/>
    <w:rsid w:val="00647A66"/>
    <w:rsid w:val="006510A8"/>
    <w:rsid w:val="006511A1"/>
    <w:rsid w:val="00651784"/>
    <w:rsid w:val="006522ED"/>
    <w:rsid w:val="00652DEE"/>
    <w:rsid w:val="00653A1E"/>
    <w:rsid w:val="006542AC"/>
    <w:rsid w:val="006546D2"/>
    <w:rsid w:val="00654AA5"/>
    <w:rsid w:val="00654AF2"/>
    <w:rsid w:val="00654B4F"/>
    <w:rsid w:val="0065550B"/>
    <w:rsid w:val="006557DE"/>
    <w:rsid w:val="006566C7"/>
    <w:rsid w:val="00656757"/>
    <w:rsid w:val="00656FBF"/>
    <w:rsid w:val="006576CD"/>
    <w:rsid w:val="00657DA0"/>
    <w:rsid w:val="006607B9"/>
    <w:rsid w:val="006608CC"/>
    <w:rsid w:val="006610B3"/>
    <w:rsid w:val="0066173A"/>
    <w:rsid w:val="00661DFF"/>
    <w:rsid w:val="00661EF7"/>
    <w:rsid w:val="0066315E"/>
    <w:rsid w:val="00663981"/>
    <w:rsid w:val="00663B9B"/>
    <w:rsid w:val="0066418C"/>
    <w:rsid w:val="00664733"/>
    <w:rsid w:val="00664F65"/>
    <w:rsid w:val="006673B7"/>
    <w:rsid w:val="00670521"/>
    <w:rsid w:val="00671136"/>
    <w:rsid w:val="006713DC"/>
    <w:rsid w:val="00671D31"/>
    <w:rsid w:val="006722F2"/>
    <w:rsid w:val="006726AD"/>
    <w:rsid w:val="006728FF"/>
    <w:rsid w:val="0067293A"/>
    <w:rsid w:val="00673C3F"/>
    <w:rsid w:val="00674452"/>
    <w:rsid w:val="00674B51"/>
    <w:rsid w:val="00674BDA"/>
    <w:rsid w:val="00675571"/>
    <w:rsid w:val="00675A06"/>
    <w:rsid w:val="00675AA5"/>
    <w:rsid w:val="00675B5B"/>
    <w:rsid w:val="00675CE3"/>
    <w:rsid w:val="00676CC5"/>
    <w:rsid w:val="006775EA"/>
    <w:rsid w:val="00677E51"/>
    <w:rsid w:val="006806F3"/>
    <w:rsid w:val="006812A2"/>
    <w:rsid w:val="006817A0"/>
    <w:rsid w:val="00681E38"/>
    <w:rsid w:val="006826F7"/>
    <w:rsid w:val="00682C02"/>
    <w:rsid w:val="00683412"/>
    <w:rsid w:val="0068341C"/>
    <w:rsid w:val="00684839"/>
    <w:rsid w:val="00684B4C"/>
    <w:rsid w:val="00684BDD"/>
    <w:rsid w:val="00684E20"/>
    <w:rsid w:val="00684F69"/>
    <w:rsid w:val="00685488"/>
    <w:rsid w:val="0068570F"/>
    <w:rsid w:val="006858D5"/>
    <w:rsid w:val="00685F3A"/>
    <w:rsid w:val="006860DA"/>
    <w:rsid w:val="006865A8"/>
    <w:rsid w:val="00686F25"/>
    <w:rsid w:val="006871E0"/>
    <w:rsid w:val="00690618"/>
    <w:rsid w:val="00690B60"/>
    <w:rsid w:val="00690EEC"/>
    <w:rsid w:val="00691446"/>
    <w:rsid w:val="006914DA"/>
    <w:rsid w:val="006915BF"/>
    <w:rsid w:val="006919C4"/>
    <w:rsid w:val="00691F05"/>
    <w:rsid w:val="00692218"/>
    <w:rsid w:val="0069238C"/>
    <w:rsid w:val="00692C66"/>
    <w:rsid w:val="00692FE7"/>
    <w:rsid w:val="00693412"/>
    <w:rsid w:val="00693D61"/>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14EA"/>
    <w:rsid w:val="006A1632"/>
    <w:rsid w:val="006A20D3"/>
    <w:rsid w:val="006A2910"/>
    <w:rsid w:val="006A3028"/>
    <w:rsid w:val="006A31AD"/>
    <w:rsid w:val="006A41C1"/>
    <w:rsid w:val="006A447E"/>
    <w:rsid w:val="006A44BA"/>
    <w:rsid w:val="006A46CB"/>
    <w:rsid w:val="006A513C"/>
    <w:rsid w:val="006A5FC1"/>
    <w:rsid w:val="006A5FD7"/>
    <w:rsid w:val="006A655A"/>
    <w:rsid w:val="006B01F8"/>
    <w:rsid w:val="006B075F"/>
    <w:rsid w:val="006B0C24"/>
    <w:rsid w:val="006B15DF"/>
    <w:rsid w:val="006B160A"/>
    <w:rsid w:val="006B1867"/>
    <w:rsid w:val="006B20C9"/>
    <w:rsid w:val="006B21D2"/>
    <w:rsid w:val="006B2CC8"/>
    <w:rsid w:val="006B356E"/>
    <w:rsid w:val="006B3A30"/>
    <w:rsid w:val="006B3A46"/>
    <w:rsid w:val="006B3FAF"/>
    <w:rsid w:val="006B6304"/>
    <w:rsid w:val="006B6ADF"/>
    <w:rsid w:val="006B6CD1"/>
    <w:rsid w:val="006B6DFE"/>
    <w:rsid w:val="006C0459"/>
    <w:rsid w:val="006C054B"/>
    <w:rsid w:val="006C05BE"/>
    <w:rsid w:val="006C0A60"/>
    <w:rsid w:val="006C0F26"/>
    <w:rsid w:val="006C213D"/>
    <w:rsid w:val="006C288A"/>
    <w:rsid w:val="006C2D20"/>
    <w:rsid w:val="006C2FA0"/>
    <w:rsid w:val="006C2FE7"/>
    <w:rsid w:val="006C4404"/>
    <w:rsid w:val="006C57D3"/>
    <w:rsid w:val="006C5A4B"/>
    <w:rsid w:val="006C5ACB"/>
    <w:rsid w:val="006C5B07"/>
    <w:rsid w:val="006C5BCA"/>
    <w:rsid w:val="006C6940"/>
    <w:rsid w:val="006C6A33"/>
    <w:rsid w:val="006C7B6F"/>
    <w:rsid w:val="006D0919"/>
    <w:rsid w:val="006D0A88"/>
    <w:rsid w:val="006D0C11"/>
    <w:rsid w:val="006D10F1"/>
    <w:rsid w:val="006D197C"/>
    <w:rsid w:val="006D1B93"/>
    <w:rsid w:val="006D1E05"/>
    <w:rsid w:val="006D2428"/>
    <w:rsid w:val="006D2BD4"/>
    <w:rsid w:val="006D38C5"/>
    <w:rsid w:val="006D3A2A"/>
    <w:rsid w:val="006D3CAA"/>
    <w:rsid w:val="006D48AE"/>
    <w:rsid w:val="006D509A"/>
    <w:rsid w:val="006D56DE"/>
    <w:rsid w:val="006D5C26"/>
    <w:rsid w:val="006D5CE0"/>
    <w:rsid w:val="006D5F1D"/>
    <w:rsid w:val="006D68E3"/>
    <w:rsid w:val="006D72E9"/>
    <w:rsid w:val="006D7AA1"/>
    <w:rsid w:val="006E010B"/>
    <w:rsid w:val="006E0271"/>
    <w:rsid w:val="006E027C"/>
    <w:rsid w:val="006E1925"/>
    <w:rsid w:val="006E194A"/>
    <w:rsid w:val="006E19A5"/>
    <w:rsid w:val="006E2BCF"/>
    <w:rsid w:val="006E4C39"/>
    <w:rsid w:val="006E7F43"/>
    <w:rsid w:val="006F1856"/>
    <w:rsid w:val="006F1A83"/>
    <w:rsid w:val="006F2E15"/>
    <w:rsid w:val="006F3AA6"/>
    <w:rsid w:val="006F3D24"/>
    <w:rsid w:val="006F4203"/>
    <w:rsid w:val="006F5780"/>
    <w:rsid w:val="006F60BC"/>
    <w:rsid w:val="006F6965"/>
    <w:rsid w:val="006F76DA"/>
    <w:rsid w:val="006F7937"/>
    <w:rsid w:val="006F7F74"/>
    <w:rsid w:val="007002A9"/>
    <w:rsid w:val="007002E1"/>
    <w:rsid w:val="0070077C"/>
    <w:rsid w:val="00700ECA"/>
    <w:rsid w:val="007012E7"/>
    <w:rsid w:val="00703524"/>
    <w:rsid w:val="007042E0"/>
    <w:rsid w:val="007049A2"/>
    <w:rsid w:val="00705A8A"/>
    <w:rsid w:val="00705DC3"/>
    <w:rsid w:val="007069EE"/>
    <w:rsid w:val="00706BD9"/>
    <w:rsid w:val="00706F17"/>
    <w:rsid w:val="00707309"/>
    <w:rsid w:val="00710548"/>
    <w:rsid w:val="007117D2"/>
    <w:rsid w:val="00711911"/>
    <w:rsid w:val="00711B09"/>
    <w:rsid w:val="00711BB2"/>
    <w:rsid w:val="00711E08"/>
    <w:rsid w:val="00712D5D"/>
    <w:rsid w:val="00713081"/>
    <w:rsid w:val="007144F6"/>
    <w:rsid w:val="007145D0"/>
    <w:rsid w:val="0071543C"/>
    <w:rsid w:val="00716A0C"/>
    <w:rsid w:val="00717D2E"/>
    <w:rsid w:val="00720EAD"/>
    <w:rsid w:val="00722DA4"/>
    <w:rsid w:val="00722EEC"/>
    <w:rsid w:val="00723074"/>
    <w:rsid w:val="007230E9"/>
    <w:rsid w:val="007234B1"/>
    <w:rsid w:val="00723E2E"/>
    <w:rsid w:val="007245E8"/>
    <w:rsid w:val="0072472A"/>
    <w:rsid w:val="0072486F"/>
    <w:rsid w:val="007249AB"/>
    <w:rsid w:val="00724A3F"/>
    <w:rsid w:val="0072587E"/>
    <w:rsid w:val="00725BA0"/>
    <w:rsid w:val="00725E0A"/>
    <w:rsid w:val="00726077"/>
    <w:rsid w:val="007260B3"/>
    <w:rsid w:val="00726313"/>
    <w:rsid w:val="00727056"/>
    <w:rsid w:val="00727349"/>
    <w:rsid w:val="00727B53"/>
    <w:rsid w:val="0073083B"/>
    <w:rsid w:val="0073129B"/>
    <w:rsid w:val="00731777"/>
    <w:rsid w:val="00731CAF"/>
    <w:rsid w:val="00732733"/>
    <w:rsid w:val="0073280D"/>
    <w:rsid w:val="00733DEE"/>
    <w:rsid w:val="0073494F"/>
    <w:rsid w:val="00735081"/>
    <w:rsid w:val="00735877"/>
    <w:rsid w:val="007358DB"/>
    <w:rsid w:val="0073646F"/>
    <w:rsid w:val="007366AE"/>
    <w:rsid w:val="00736B16"/>
    <w:rsid w:val="00737DB5"/>
    <w:rsid w:val="00740E53"/>
    <w:rsid w:val="00741B9E"/>
    <w:rsid w:val="007429C4"/>
    <w:rsid w:val="00742AD2"/>
    <w:rsid w:val="00743BD9"/>
    <w:rsid w:val="00743C59"/>
    <w:rsid w:val="00743F4C"/>
    <w:rsid w:val="0074492F"/>
    <w:rsid w:val="00744E0A"/>
    <w:rsid w:val="00747293"/>
    <w:rsid w:val="00747FF2"/>
    <w:rsid w:val="0075023E"/>
    <w:rsid w:val="007503BE"/>
    <w:rsid w:val="007519EE"/>
    <w:rsid w:val="007526C2"/>
    <w:rsid w:val="00752BEA"/>
    <w:rsid w:val="00753A0E"/>
    <w:rsid w:val="00754553"/>
    <w:rsid w:val="00754F81"/>
    <w:rsid w:val="0075593F"/>
    <w:rsid w:val="00755B89"/>
    <w:rsid w:val="00755C3A"/>
    <w:rsid w:val="00757019"/>
    <w:rsid w:val="007570ED"/>
    <w:rsid w:val="0075756E"/>
    <w:rsid w:val="00757B62"/>
    <w:rsid w:val="00760494"/>
    <w:rsid w:val="00760B7F"/>
    <w:rsid w:val="00761149"/>
    <w:rsid w:val="007616B1"/>
    <w:rsid w:val="007616FA"/>
    <w:rsid w:val="00761765"/>
    <w:rsid w:val="007622A1"/>
    <w:rsid w:val="00763475"/>
    <w:rsid w:val="00764307"/>
    <w:rsid w:val="0076554A"/>
    <w:rsid w:val="007655F4"/>
    <w:rsid w:val="0076588A"/>
    <w:rsid w:val="00767A83"/>
    <w:rsid w:val="0077098E"/>
    <w:rsid w:val="007718F2"/>
    <w:rsid w:val="00771A3E"/>
    <w:rsid w:val="00772A75"/>
    <w:rsid w:val="00772E4D"/>
    <w:rsid w:val="007736F5"/>
    <w:rsid w:val="00773C0C"/>
    <w:rsid w:val="00774350"/>
    <w:rsid w:val="007746EA"/>
    <w:rsid w:val="007759C8"/>
    <w:rsid w:val="00775DA7"/>
    <w:rsid w:val="00776946"/>
    <w:rsid w:val="00776CCF"/>
    <w:rsid w:val="00776DFB"/>
    <w:rsid w:val="0078003C"/>
    <w:rsid w:val="0078298E"/>
    <w:rsid w:val="00783B97"/>
    <w:rsid w:val="00784701"/>
    <w:rsid w:val="00784744"/>
    <w:rsid w:val="00784DB0"/>
    <w:rsid w:val="00787D80"/>
    <w:rsid w:val="00790F14"/>
    <w:rsid w:val="00791983"/>
    <w:rsid w:val="00791DB4"/>
    <w:rsid w:val="00791E20"/>
    <w:rsid w:val="00792474"/>
    <w:rsid w:val="007925D0"/>
    <w:rsid w:val="00792FE3"/>
    <w:rsid w:val="00793C8B"/>
    <w:rsid w:val="0079625A"/>
    <w:rsid w:val="00796CE2"/>
    <w:rsid w:val="007971A9"/>
    <w:rsid w:val="00797214"/>
    <w:rsid w:val="00797856"/>
    <w:rsid w:val="007A003C"/>
    <w:rsid w:val="007A0EFA"/>
    <w:rsid w:val="007A1013"/>
    <w:rsid w:val="007A16B2"/>
    <w:rsid w:val="007A170C"/>
    <w:rsid w:val="007A17D5"/>
    <w:rsid w:val="007A18E1"/>
    <w:rsid w:val="007A25DC"/>
    <w:rsid w:val="007A2A96"/>
    <w:rsid w:val="007A32FA"/>
    <w:rsid w:val="007A3868"/>
    <w:rsid w:val="007A3CB7"/>
    <w:rsid w:val="007A50B4"/>
    <w:rsid w:val="007A5BD6"/>
    <w:rsid w:val="007A5C16"/>
    <w:rsid w:val="007A62BB"/>
    <w:rsid w:val="007A64D9"/>
    <w:rsid w:val="007B0725"/>
    <w:rsid w:val="007B0E13"/>
    <w:rsid w:val="007B2079"/>
    <w:rsid w:val="007B20D0"/>
    <w:rsid w:val="007B213B"/>
    <w:rsid w:val="007B309B"/>
    <w:rsid w:val="007B4211"/>
    <w:rsid w:val="007B495C"/>
    <w:rsid w:val="007B66F9"/>
    <w:rsid w:val="007B6773"/>
    <w:rsid w:val="007B77B6"/>
    <w:rsid w:val="007C0563"/>
    <w:rsid w:val="007C0647"/>
    <w:rsid w:val="007C17A1"/>
    <w:rsid w:val="007C195B"/>
    <w:rsid w:val="007C2197"/>
    <w:rsid w:val="007C235D"/>
    <w:rsid w:val="007C274F"/>
    <w:rsid w:val="007C2F0A"/>
    <w:rsid w:val="007C2F7B"/>
    <w:rsid w:val="007C3418"/>
    <w:rsid w:val="007C3F93"/>
    <w:rsid w:val="007C4048"/>
    <w:rsid w:val="007C57FF"/>
    <w:rsid w:val="007C61E0"/>
    <w:rsid w:val="007C6C0D"/>
    <w:rsid w:val="007C7F08"/>
    <w:rsid w:val="007D162F"/>
    <w:rsid w:val="007D163E"/>
    <w:rsid w:val="007D38D3"/>
    <w:rsid w:val="007D4896"/>
    <w:rsid w:val="007D503B"/>
    <w:rsid w:val="007D50CA"/>
    <w:rsid w:val="007D55C0"/>
    <w:rsid w:val="007D5FBF"/>
    <w:rsid w:val="007D685D"/>
    <w:rsid w:val="007D75C6"/>
    <w:rsid w:val="007D7CCB"/>
    <w:rsid w:val="007D7D33"/>
    <w:rsid w:val="007D7F33"/>
    <w:rsid w:val="007E096D"/>
    <w:rsid w:val="007E0B9B"/>
    <w:rsid w:val="007E184D"/>
    <w:rsid w:val="007E1E59"/>
    <w:rsid w:val="007E22BB"/>
    <w:rsid w:val="007E2411"/>
    <w:rsid w:val="007E3F14"/>
    <w:rsid w:val="007E43A2"/>
    <w:rsid w:val="007E4857"/>
    <w:rsid w:val="007E5084"/>
    <w:rsid w:val="007E51EE"/>
    <w:rsid w:val="007E6404"/>
    <w:rsid w:val="007E6E29"/>
    <w:rsid w:val="007E73B1"/>
    <w:rsid w:val="007F0171"/>
    <w:rsid w:val="007F0438"/>
    <w:rsid w:val="007F079A"/>
    <w:rsid w:val="007F0956"/>
    <w:rsid w:val="007F0E21"/>
    <w:rsid w:val="007F1750"/>
    <w:rsid w:val="007F1CE2"/>
    <w:rsid w:val="007F2094"/>
    <w:rsid w:val="007F25A2"/>
    <w:rsid w:val="007F282D"/>
    <w:rsid w:val="007F2988"/>
    <w:rsid w:val="007F4038"/>
    <w:rsid w:val="007F5459"/>
    <w:rsid w:val="007F5910"/>
    <w:rsid w:val="007F5BF8"/>
    <w:rsid w:val="007F65B4"/>
    <w:rsid w:val="007F77B1"/>
    <w:rsid w:val="007F7865"/>
    <w:rsid w:val="00802071"/>
    <w:rsid w:val="0080207D"/>
    <w:rsid w:val="008021C0"/>
    <w:rsid w:val="0080258F"/>
    <w:rsid w:val="00802EC8"/>
    <w:rsid w:val="00803B69"/>
    <w:rsid w:val="00803D8F"/>
    <w:rsid w:val="00804F18"/>
    <w:rsid w:val="00805136"/>
    <w:rsid w:val="00805331"/>
    <w:rsid w:val="0080561C"/>
    <w:rsid w:val="00805648"/>
    <w:rsid w:val="00805A77"/>
    <w:rsid w:val="00805F9C"/>
    <w:rsid w:val="00806A26"/>
    <w:rsid w:val="00807989"/>
    <w:rsid w:val="0081028F"/>
    <w:rsid w:val="00811101"/>
    <w:rsid w:val="0081179C"/>
    <w:rsid w:val="00812815"/>
    <w:rsid w:val="0081291B"/>
    <w:rsid w:val="00812F37"/>
    <w:rsid w:val="00813E86"/>
    <w:rsid w:val="00814853"/>
    <w:rsid w:val="00815AA1"/>
    <w:rsid w:val="00815BB2"/>
    <w:rsid w:val="00815F73"/>
    <w:rsid w:val="00816D67"/>
    <w:rsid w:val="0081726E"/>
    <w:rsid w:val="00817E31"/>
    <w:rsid w:val="0082013B"/>
    <w:rsid w:val="00820188"/>
    <w:rsid w:val="00820A99"/>
    <w:rsid w:val="00820CC9"/>
    <w:rsid w:val="008214EA"/>
    <w:rsid w:val="00821F8F"/>
    <w:rsid w:val="00823DC0"/>
    <w:rsid w:val="00824A4E"/>
    <w:rsid w:val="00824BB8"/>
    <w:rsid w:val="00824EDD"/>
    <w:rsid w:val="00825792"/>
    <w:rsid w:val="00825D49"/>
    <w:rsid w:val="00826883"/>
    <w:rsid w:val="00826EBD"/>
    <w:rsid w:val="00827802"/>
    <w:rsid w:val="008278C1"/>
    <w:rsid w:val="00827D4C"/>
    <w:rsid w:val="00830560"/>
    <w:rsid w:val="00830BBB"/>
    <w:rsid w:val="00831611"/>
    <w:rsid w:val="00831DEB"/>
    <w:rsid w:val="00834F22"/>
    <w:rsid w:val="008352E6"/>
    <w:rsid w:val="008363FB"/>
    <w:rsid w:val="0083766D"/>
    <w:rsid w:val="00837F42"/>
    <w:rsid w:val="008405C2"/>
    <w:rsid w:val="0084160F"/>
    <w:rsid w:val="00841F91"/>
    <w:rsid w:val="00842D77"/>
    <w:rsid w:val="00842FE7"/>
    <w:rsid w:val="0084321E"/>
    <w:rsid w:val="00843256"/>
    <w:rsid w:val="00843F26"/>
    <w:rsid w:val="008442EC"/>
    <w:rsid w:val="00844691"/>
    <w:rsid w:val="00844DDA"/>
    <w:rsid w:val="008451F5"/>
    <w:rsid w:val="00845D8F"/>
    <w:rsid w:val="008462FC"/>
    <w:rsid w:val="00846F00"/>
    <w:rsid w:val="00850675"/>
    <w:rsid w:val="00850686"/>
    <w:rsid w:val="00851319"/>
    <w:rsid w:val="008513D1"/>
    <w:rsid w:val="008519F8"/>
    <w:rsid w:val="008522FD"/>
    <w:rsid w:val="008532C8"/>
    <w:rsid w:val="00853651"/>
    <w:rsid w:val="0085387A"/>
    <w:rsid w:val="00853AF0"/>
    <w:rsid w:val="00853E48"/>
    <w:rsid w:val="0085454B"/>
    <w:rsid w:val="008555F1"/>
    <w:rsid w:val="00855CC3"/>
    <w:rsid w:val="00856340"/>
    <w:rsid w:val="0085638D"/>
    <w:rsid w:val="008564D7"/>
    <w:rsid w:val="00856727"/>
    <w:rsid w:val="00856F3F"/>
    <w:rsid w:val="00857208"/>
    <w:rsid w:val="008602CB"/>
    <w:rsid w:val="00861A8F"/>
    <w:rsid w:val="00862BC2"/>
    <w:rsid w:val="00863EBF"/>
    <w:rsid w:val="0086495B"/>
    <w:rsid w:val="008652DD"/>
    <w:rsid w:val="0086576B"/>
    <w:rsid w:val="00867338"/>
    <w:rsid w:val="00867E11"/>
    <w:rsid w:val="008706DA"/>
    <w:rsid w:val="00870B35"/>
    <w:rsid w:val="00870D15"/>
    <w:rsid w:val="008716EC"/>
    <w:rsid w:val="00872111"/>
    <w:rsid w:val="008728B4"/>
    <w:rsid w:val="00872F59"/>
    <w:rsid w:val="008730B5"/>
    <w:rsid w:val="00873A4D"/>
    <w:rsid w:val="00874198"/>
    <w:rsid w:val="008741F5"/>
    <w:rsid w:val="0087452E"/>
    <w:rsid w:val="0087626C"/>
    <w:rsid w:val="00876304"/>
    <w:rsid w:val="00876980"/>
    <w:rsid w:val="00877B4F"/>
    <w:rsid w:val="00877E7E"/>
    <w:rsid w:val="00880806"/>
    <w:rsid w:val="00881CDA"/>
    <w:rsid w:val="00881D00"/>
    <w:rsid w:val="00881DB8"/>
    <w:rsid w:val="008822D7"/>
    <w:rsid w:val="00882831"/>
    <w:rsid w:val="008828CB"/>
    <w:rsid w:val="008839AB"/>
    <w:rsid w:val="008840A5"/>
    <w:rsid w:val="00884743"/>
    <w:rsid w:val="00884BD2"/>
    <w:rsid w:val="00885327"/>
    <w:rsid w:val="00886C5E"/>
    <w:rsid w:val="00887A6B"/>
    <w:rsid w:val="00887CA9"/>
    <w:rsid w:val="00887DDA"/>
    <w:rsid w:val="008902C5"/>
    <w:rsid w:val="00890A4A"/>
    <w:rsid w:val="008915F9"/>
    <w:rsid w:val="00891D1B"/>
    <w:rsid w:val="00892A9E"/>
    <w:rsid w:val="00893C45"/>
    <w:rsid w:val="008945CB"/>
    <w:rsid w:val="0089489A"/>
    <w:rsid w:val="00894AB9"/>
    <w:rsid w:val="00894E76"/>
    <w:rsid w:val="008960B4"/>
    <w:rsid w:val="0089643E"/>
    <w:rsid w:val="0089658B"/>
    <w:rsid w:val="008977C0"/>
    <w:rsid w:val="00897C7B"/>
    <w:rsid w:val="00897FA6"/>
    <w:rsid w:val="008A0976"/>
    <w:rsid w:val="008A1F87"/>
    <w:rsid w:val="008A2102"/>
    <w:rsid w:val="008A24D1"/>
    <w:rsid w:val="008A26E4"/>
    <w:rsid w:val="008A3ABC"/>
    <w:rsid w:val="008A41E2"/>
    <w:rsid w:val="008A4DA8"/>
    <w:rsid w:val="008A63B7"/>
    <w:rsid w:val="008B099F"/>
    <w:rsid w:val="008B1133"/>
    <w:rsid w:val="008B1448"/>
    <w:rsid w:val="008B1883"/>
    <w:rsid w:val="008B33A1"/>
    <w:rsid w:val="008B3599"/>
    <w:rsid w:val="008B361F"/>
    <w:rsid w:val="008B36AE"/>
    <w:rsid w:val="008B50D7"/>
    <w:rsid w:val="008B611D"/>
    <w:rsid w:val="008B626D"/>
    <w:rsid w:val="008B62B3"/>
    <w:rsid w:val="008B6A90"/>
    <w:rsid w:val="008C05C1"/>
    <w:rsid w:val="008C05D0"/>
    <w:rsid w:val="008C0EFB"/>
    <w:rsid w:val="008C130E"/>
    <w:rsid w:val="008C18DF"/>
    <w:rsid w:val="008C2654"/>
    <w:rsid w:val="008C3C7F"/>
    <w:rsid w:val="008C4421"/>
    <w:rsid w:val="008C4DEE"/>
    <w:rsid w:val="008C73A9"/>
    <w:rsid w:val="008C7831"/>
    <w:rsid w:val="008C7F54"/>
    <w:rsid w:val="008C7F5C"/>
    <w:rsid w:val="008D0314"/>
    <w:rsid w:val="008D115A"/>
    <w:rsid w:val="008D37D7"/>
    <w:rsid w:val="008D3EDF"/>
    <w:rsid w:val="008D4315"/>
    <w:rsid w:val="008D43E3"/>
    <w:rsid w:val="008D477D"/>
    <w:rsid w:val="008D4798"/>
    <w:rsid w:val="008D4AE2"/>
    <w:rsid w:val="008D4B08"/>
    <w:rsid w:val="008D52A5"/>
    <w:rsid w:val="008D53BA"/>
    <w:rsid w:val="008D576E"/>
    <w:rsid w:val="008D5843"/>
    <w:rsid w:val="008E0442"/>
    <w:rsid w:val="008E0E2B"/>
    <w:rsid w:val="008E11B5"/>
    <w:rsid w:val="008E1243"/>
    <w:rsid w:val="008E221D"/>
    <w:rsid w:val="008E2A36"/>
    <w:rsid w:val="008E359F"/>
    <w:rsid w:val="008E36B9"/>
    <w:rsid w:val="008E3B85"/>
    <w:rsid w:val="008E41B0"/>
    <w:rsid w:val="008E4737"/>
    <w:rsid w:val="008E5816"/>
    <w:rsid w:val="008E5A80"/>
    <w:rsid w:val="008E5AE7"/>
    <w:rsid w:val="008E5C3F"/>
    <w:rsid w:val="008E6169"/>
    <w:rsid w:val="008E623A"/>
    <w:rsid w:val="008E7C06"/>
    <w:rsid w:val="008F00FC"/>
    <w:rsid w:val="008F0590"/>
    <w:rsid w:val="008F08DD"/>
    <w:rsid w:val="008F0CB8"/>
    <w:rsid w:val="008F12C8"/>
    <w:rsid w:val="008F1860"/>
    <w:rsid w:val="008F1B6D"/>
    <w:rsid w:val="008F254E"/>
    <w:rsid w:val="008F297D"/>
    <w:rsid w:val="008F2CDC"/>
    <w:rsid w:val="008F310F"/>
    <w:rsid w:val="008F3A58"/>
    <w:rsid w:val="008F3AAF"/>
    <w:rsid w:val="008F3C99"/>
    <w:rsid w:val="008F3C9A"/>
    <w:rsid w:val="008F3CF9"/>
    <w:rsid w:val="008F479C"/>
    <w:rsid w:val="008F47FF"/>
    <w:rsid w:val="008F4BAB"/>
    <w:rsid w:val="008F5AC4"/>
    <w:rsid w:val="008F6160"/>
    <w:rsid w:val="008F6A02"/>
    <w:rsid w:val="008F6B7C"/>
    <w:rsid w:val="008F6DA1"/>
    <w:rsid w:val="008F765C"/>
    <w:rsid w:val="008F7AC5"/>
    <w:rsid w:val="00900DA5"/>
    <w:rsid w:val="00901188"/>
    <w:rsid w:val="00901AB8"/>
    <w:rsid w:val="00901D02"/>
    <w:rsid w:val="00902E46"/>
    <w:rsid w:val="00902E6D"/>
    <w:rsid w:val="0090492A"/>
    <w:rsid w:val="0090589D"/>
    <w:rsid w:val="009061D5"/>
    <w:rsid w:val="00906DCD"/>
    <w:rsid w:val="00907FD1"/>
    <w:rsid w:val="009112C8"/>
    <w:rsid w:val="00911BB2"/>
    <w:rsid w:val="00911DC0"/>
    <w:rsid w:val="009124F2"/>
    <w:rsid w:val="009129BC"/>
    <w:rsid w:val="009131D2"/>
    <w:rsid w:val="00913CB3"/>
    <w:rsid w:val="00914EB1"/>
    <w:rsid w:val="00915554"/>
    <w:rsid w:val="00915C07"/>
    <w:rsid w:val="0091607A"/>
    <w:rsid w:val="00916627"/>
    <w:rsid w:val="00916E86"/>
    <w:rsid w:val="00917114"/>
    <w:rsid w:val="00920D4D"/>
    <w:rsid w:val="00921024"/>
    <w:rsid w:val="009216DA"/>
    <w:rsid w:val="0092194A"/>
    <w:rsid w:val="00924257"/>
    <w:rsid w:val="00924406"/>
    <w:rsid w:val="00927197"/>
    <w:rsid w:val="00927340"/>
    <w:rsid w:val="00927ADD"/>
    <w:rsid w:val="00927F60"/>
    <w:rsid w:val="009319F3"/>
    <w:rsid w:val="0093200B"/>
    <w:rsid w:val="0093318F"/>
    <w:rsid w:val="0093379E"/>
    <w:rsid w:val="00933DFA"/>
    <w:rsid w:val="009341F6"/>
    <w:rsid w:val="0093436E"/>
    <w:rsid w:val="00934952"/>
    <w:rsid w:val="00934953"/>
    <w:rsid w:val="009359E6"/>
    <w:rsid w:val="00937EE9"/>
    <w:rsid w:val="0094031A"/>
    <w:rsid w:val="00940656"/>
    <w:rsid w:val="00941339"/>
    <w:rsid w:val="009414CF"/>
    <w:rsid w:val="009414DA"/>
    <w:rsid w:val="0094187B"/>
    <w:rsid w:val="00941B6D"/>
    <w:rsid w:val="009426CE"/>
    <w:rsid w:val="00942B3D"/>
    <w:rsid w:val="00942D62"/>
    <w:rsid w:val="00943948"/>
    <w:rsid w:val="009440A3"/>
    <w:rsid w:val="00945DC0"/>
    <w:rsid w:val="00945E38"/>
    <w:rsid w:val="00947258"/>
    <w:rsid w:val="00947C6F"/>
    <w:rsid w:val="0095051F"/>
    <w:rsid w:val="009520AC"/>
    <w:rsid w:val="0095238B"/>
    <w:rsid w:val="00952C77"/>
    <w:rsid w:val="00953031"/>
    <w:rsid w:val="00955842"/>
    <w:rsid w:val="00955C6F"/>
    <w:rsid w:val="0095614B"/>
    <w:rsid w:val="009569E2"/>
    <w:rsid w:val="00956BC9"/>
    <w:rsid w:val="00956FDD"/>
    <w:rsid w:val="00957846"/>
    <w:rsid w:val="009603ED"/>
    <w:rsid w:val="00960F2F"/>
    <w:rsid w:val="00961EB0"/>
    <w:rsid w:val="00962157"/>
    <w:rsid w:val="0096233C"/>
    <w:rsid w:val="0096368B"/>
    <w:rsid w:val="00964548"/>
    <w:rsid w:val="0096508C"/>
    <w:rsid w:val="00965111"/>
    <w:rsid w:val="00965F84"/>
    <w:rsid w:val="009660C8"/>
    <w:rsid w:val="00970668"/>
    <w:rsid w:val="00970850"/>
    <w:rsid w:val="00970EAE"/>
    <w:rsid w:val="009710DE"/>
    <w:rsid w:val="00971183"/>
    <w:rsid w:val="009721EA"/>
    <w:rsid w:val="00972CE7"/>
    <w:rsid w:val="009738F0"/>
    <w:rsid w:val="00973E65"/>
    <w:rsid w:val="00974923"/>
    <w:rsid w:val="00976775"/>
    <w:rsid w:val="0097696D"/>
    <w:rsid w:val="009773B3"/>
    <w:rsid w:val="00980258"/>
    <w:rsid w:val="00980503"/>
    <w:rsid w:val="00981036"/>
    <w:rsid w:val="00982164"/>
    <w:rsid w:val="0098262E"/>
    <w:rsid w:val="00983DA7"/>
    <w:rsid w:val="009849B1"/>
    <w:rsid w:val="00984A35"/>
    <w:rsid w:val="00984D9E"/>
    <w:rsid w:val="00984E8F"/>
    <w:rsid w:val="009852BD"/>
    <w:rsid w:val="00985D25"/>
    <w:rsid w:val="0098663A"/>
    <w:rsid w:val="00986810"/>
    <w:rsid w:val="00986FFC"/>
    <w:rsid w:val="00987067"/>
    <w:rsid w:val="0098740F"/>
    <w:rsid w:val="00987A10"/>
    <w:rsid w:val="00987BFE"/>
    <w:rsid w:val="00990ECD"/>
    <w:rsid w:val="00991097"/>
    <w:rsid w:val="0099158E"/>
    <w:rsid w:val="009926FF"/>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1588"/>
    <w:rsid w:val="009A1FBD"/>
    <w:rsid w:val="009A32DD"/>
    <w:rsid w:val="009A366D"/>
    <w:rsid w:val="009A401C"/>
    <w:rsid w:val="009A4E72"/>
    <w:rsid w:val="009A51D5"/>
    <w:rsid w:val="009A52B9"/>
    <w:rsid w:val="009A68DF"/>
    <w:rsid w:val="009A76E0"/>
    <w:rsid w:val="009B025F"/>
    <w:rsid w:val="009B13F1"/>
    <w:rsid w:val="009B1AE5"/>
    <w:rsid w:val="009B1F31"/>
    <w:rsid w:val="009B2599"/>
    <w:rsid w:val="009B306C"/>
    <w:rsid w:val="009B38EF"/>
    <w:rsid w:val="009B3F3D"/>
    <w:rsid w:val="009B4378"/>
    <w:rsid w:val="009B5265"/>
    <w:rsid w:val="009B528D"/>
    <w:rsid w:val="009B629E"/>
    <w:rsid w:val="009B659D"/>
    <w:rsid w:val="009B67BD"/>
    <w:rsid w:val="009B69A4"/>
    <w:rsid w:val="009B6CA3"/>
    <w:rsid w:val="009B6F33"/>
    <w:rsid w:val="009B7686"/>
    <w:rsid w:val="009B7857"/>
    <w:rsid w:val="009C24A6"/>
    <w:rsid w:val="009C27E7"/>
    <w:rsid w:val="009C3104"/>
    <w:rsid w:val="009C390F"/>
    <w:rsid w:val="009C5F54"/>
    <w:rsid w:val="009C6FCA"/>
    <w:rsid w:val="009C7F13"/>
    <w:rsid w:val="009D0F98"/>
    <w:rsid w:val="009D15B2"/>
    <w:rsid w:val="009D1CBC"/>
    <w:rsid w:val="009D1ED1"/>
    <w:rsid w:val="009D24CF"/>
    <w:rsid w:val="009D2CEF"/>
    <w:rsid w:val="009D579F"/>
    <w:rsid w:val="009D5BD7"/>
    <w:rsid w:val="009D69FB"/>
    <w:rsid w:val="009D7D8D"/>
    <w:rsid w:val="009E0471"/>
    <w:rsid w:val="009E1161"/>
    <w:rsid w:val="009E151A"/>
    <w:rsid w:val="009E1D26"/>
    <w:rsid w:val="009E1E1F"/>
    <w:rsid w:val="009E2BE7"/>
    <w:rsid w:val="009E40F9"/>
    <w:rsid w:val="009E499C"/>
    <w:rsid w:val="009E5E69"/>
    <w:rsid w:val="009E5EE6"/>
    <w:rsid w:val="009E6A46"/>
    <w:rsid w:val="009F01ED"/>
    <w:rsid w:val="009F086F"/>
    <w:rsid w:val="009F0B08"/>
    <w:rsid w:val="009F212B"/>
    <w:rsid w:val="009F2FCB"/>
    <w:rsid w:val="009F3C84"/>
    <w:rsid w:val="009F5036"/>
    <w:rsid w:val="009F5321"/>
    <w:rsid w:val="009F5B4A"/>
    <w:rsid w:val="009F5C29"/>
    <w:rsid w:val="009F5E38"/>
    <w:rsid w:val="009F5F6E"/>
    <w:rsid w:val="009F6C40"/>
    <w:rsid w:val="00A00620"/>
    <w:rsid w:val="00A01471"/>
    <w:rsid w:val="00A01501"/>
    <w:rsid w:val="00A01ACF"/>
    <w:rsid w:val="00A0312E"/>
    <w:rsid w:val="00A03A02"/>
    <w:rsid w:val="00A03CF7"/>
    <w:rsid w:val="00A03DDF"/>
    <w:rsid w:val="00A0411E"/>
    <w:rsid w:val="00A0458A"/>
    <w:rsid w:val="00A050B5"/>
    <w:rsid w:val="00A05A18"/>
    <w:rsid w:val="00A05B51"/>
    <w:rsid w:val="00A05CFC"/>
    <w:rsid w:val="00A065DC"/>
    <w:rsid w:val="00A0676B"/>
    <w:rsid w:val="00A06E4D"/>
    <w:rsid w:val="00A07132"/>
    <w:rsid w:val="00A07661"/>
    <w:rsid w:val="00A07780"/>
    <w:rsid w:val="00A077EE"/>
    <w:rsid w:val="00A07893"/>
    <w:rsid w:val="00A078C5"/>
    <w:rsid w:val="00A07AE1"/>
    <w:rsid w:val="00A110EF"/>
    <w:rsid w:val="00A117E9"/>
    <w:rsid w:val="00A13B63"/>
    <w:rsid w:val="00A13BC5"/>
    <w:rsid w:val="00A140B8"/>
    <w:rsid w:val="00A144DC"/>
    <w:rsid w:val="00A14A13"/>
    <w:rsid w:val="00A1555E"/>
    <w:rsid w:val="00A15FEB"/>
    <w:rsid w:val="00A166C1"/>
    <w:rsid w:val="00A16A78"/>
    <w:rsid w:val="00A174D6"/>
    <w:rsid w:val="00A1754F"/>
    <w:rsid w:val="00A179B9"/>
    <w:rsid w:val="00A2168C"/>
    <w:rsid w:val="00A21D9C"/>
    <w:rsid w:val="00A2373E"/>
    <w:rsid w:val="00A24B4F"/>
    <w:rsid w:val="00A24C94"/>
    <w:rsid w:val="00A25C51"/>
    <w:rsid w:val="00A26137"/>
    <w:rsid w:val="00A261E4"/>
    <w:rsid w:val="00A26EE2"/>
    <w:rsid w:val="00A276A0"/>
    <w:rsid w:val="00A307C2"/>
    <w:rsid w:val="00A30A2D"/>
    <w:rsid w:val="00A30C29"/>
    <w:rsid w:val="00A31301"/>
    <w:rsid w:val="00A33449"/>
    <w:rsid w:val="00A334B0"/>
    <w:rsid w:val="00A34E9D"/>
    <w:rsid w:val="00A354F2"/>
    <w:rsid w:val="00A35691"/>
    <w:rsid w:val="00A36797"/>
    <w:rsid w:val="00A36C9C"/>
    <w:rsid w:val="00A37664"/>
    <w:rsid w:val="00A4136A"/>
    <w:rsid w:val="00A414D0"/>
    <w:rsid w:val="00A41AFD"/>
    <w:rsid w:val="00A4219E"/>
    <w:rsid w:val="00A42CB2"/>
    <w:rsid w:val="00A44163"/>
    <w:rsid w:val="00A445C1"/>
    <w:rsid w:val="00A45FB6"/>
    <w:rsid w:val="00A460B3"/>
    <w:rsid w:val="00A4649A"/>
    <w:rsid w:val="00A46A97"/>
    <w:rsid w:val="00A471BB"/>
    <w:rsid w:val="00A4788F"/>
    <w:rsid w:val="00A47A56"/>
    <w:rsid w:val="00A50B5A"/>
    <w:rsid w:val="00A50E0F"/>
    <w:rsid w:val="00A51615"/>
    <w:rsid w:val="00A52480"/>
    <w:rsid w:val="00A5308C"/>
    <w:rsid w:val="00A5320A"/>
    <w:rsid w:val="00A54586"/>
    <w:rsid w:val="00A549F8"/>
    <w:rsid w:val="00A54FA3"/>
    <w:rsid w:val="00A5585D"/>
    <w:rsid w:val="00A55E0D"/>
    <w:rsid w:val="00A57151"/>
    <w:rsid w:val="00A57654"/>
    <w:rsid w:val="00A57807"/>
    <w:rsid w:val="00A57E72"/>
    <w:rsid w:val="00A60912"/>
    <w:rsid w:val="00A60ABC"/>
    <w:rsid w:val="00A612D8"/>
    <w:rsid w:val="00A62319"/>
    <w:rsid w:val="00A62AD6"/>
    <w:rsid w:val="00A62B8A"/>
    <w:rsid w:val="00A62D1F"/>
    <w:rsid w:val="00A64117"/>
    <w:rsid w:val="00A64638"/>
    <w:rsid w:val="00A64980"/>
    <w:rsid w:val="00A64F42"/>
    <w:rsid w:val="00A65B68"/>
    <w:rsid w:val="00A65C7D"/>
    <w:rsid w:val="00A65EF4"/>
    <w:rsid w:val="00A67184"/>
    <w:rsid w:val="00A719AB"/>
    <w:rsid w:val="00A720AC"/>
    <w:rsid w:val="00A72F6B"/>
    <w:rsid w:val="00A73322"/>
    <w:rsid w:val="00A73613"/>
    <w:rsid w:val="00A761FE"/>
    <w:rsid w:val="00A765ED"/>
    <w:rsid w:val="00A76B10"/>
    <w:rsid w:val="00A77D90"/>
    <w:rsid w:val="00A806AE"/>
    <w:rsid w:val="00A8171A"/>
    <w:rsid w:val="00A8326A"/>
    <w:rsid w:val="00A846EF"/>
    <w:rsid w:val="00A8488A"/>
    <w:rsid w:val="00A850B6"/>
    <w:rsid w:val="00A86F89"/>
    <w:rsid w:val="00A931A1"/>
    <w:rsid w:val="00A9357F"/>
    <w:rsid w:val="00A93635"/>
    <w:rsid w:val="00A9375F"/>
    <w:rsid w:val="00A94750"/>
    <w:rsid w:val="00A949B6"/>
    <w:rsid w:val="00A94B53"/>
    <w:rsid w:val="00A94C0E"/>
    <w:rsid w:val="00A9589F"/>
    <w:rsid w:val="00A9667A"/>
    <w:rsid w:val="00A97224"/>
    <w:rsid w:val="00A97AB6"/>
    <w:rsid w:val="00A97EA7"/>
    <w:rsid w:val="00AA1894"/>
    <w:rsid w:val="00AA2115"/>
    <w:rsid w:val="00AA42E7"/>
    <w:rsid w:val="00AA4CB6"/>
    <w:rsid w:val="00AA5675"/>
    <w:rsid w:val="00AA61FE"/>
    <w:rsid w:val="00AA6E61"/>
    <w:rsid w:val="00AA75B1"/>
    <w:rsid w:val="00AB1AA4"/>
    <w:rsid w:val="00AB1ACB"/>
    <w:rsid w:val="00AB1FDE"/>
    <w:rsid w:val="00AB474E"/>
    <w:rsid w:val="00AB477D"/>
    <w:rsid w:val="00AB503F"/>
    <w:rsid w:val="00AB5586"/>
    <w:rsid w:val="00AB5F0E"/>
    <w:rsid w:val="00AB78AB"/>
    <w:rsid w:val="00AC0049"/>
    <w:rsid w:val="00AC0234"/>
    <w:rsid w:val="00AC05CA"/>
    <w:rsid w:val="00AC063D"/>
    <w:rsid w:val="00AC06D3"/>
    <w:rsid w:val="00AC14FE"/>
    <w:rsid w:val="00AC1EC0"/>
    <w:rsid w:val="00AC20C8"/>
    <w:rsid w:val="00AC25E7"/>
    <w:rsid w:val="00AC2A23"/>
    <w:rsid w:val="00AC3F9C"/>
    <w:rsid w:val="00AC5B7A"/>
    <w:rsid w:val="00AC6317"/>
    <w:rsid w:val="00AC6CF4"/>
    <w:rsid w:val="00AC70D1"/>
    <w:rsid w:val="00AC7C31"/>
    <w:rsid w:val="00AD0075"/>
    <w:rsid w:val="00AD0535"/>
    <w:rsid w:val="00AD0C45"/>
    <w:rsid w:val="00AD134A"/>
    <w:rsid w:val="00AD1E5D"/>
    <w:rsid w:val="00AD24D0"/>
    <w:rsid w:val="00AD319D"/>
    <w:rsid w:val="00AD39F0"/>
    <w:rsid w:val="00AD43FB"/>
    <w:rsid w:val="00AD4C53"/>
    <w:rsid w:val="00AD4CAF"/>
    <w:rsid w:val="00AD5106"/>
    <w:rsid w:val="00AD53BD"/>
    <w:rsid w:val="00AD543A"/>
    <w:rsid w:val="00AD58B2"/>
    <w:rsid w:val="00AD5F6C"/>
    <w:rsid w:val="00AD6CAB"/>
    <w:rsid w:val="00AD7362"/>
    <w:rsid w:val="00AD77FB"/>
    <w:rsid w:val="00AD7ED5"/>
    <w:rsid w:val="00AE015F"/>
    <w:rsid w:val="00AE03B7"/>
    <w:rsid w:val="00AE0A80"/>
    <w:rsid w:val="00AE0DB9"/>
    <w:rsid w:val="00AE10F9"/>
    <w:rsid w:val="00AE12A5"/>
    <w:rsid w:val="00AE18CA"/>
    <w:rsid w:val="00AE1901"/>
    <w:rsid w:val="00AE1914"/>
    <w:rsid w:val="00AE348E"/>
    <w:rsid w:val="00AE373C"/>
    <w:rsid w:val="00AE4906"/>
    <w:rsid w:val="00AE498B"/>
    <w:rsid w:val="00AE5782"/>
    <w:rsid w:val="00AE5B41"/>
    <w:rsid w:val="00AE5BAC"/>
    <w:rsid w:val="00AE5F03"/>
    <w:rsid w:val="00AE66F3"/>
    <w:rsid w:val="00AE6B64"/>
    <w:rsid w:val="00AE7198"/>
    <w:rsid w:val="00AF0C1A"/>
    <w:rsid w:val="00AF11F6"/>
    <w:rsid w:val="00AF17D3"/>
    <w:rsid w:val="00AF1B02"/>
    <w:rsid w:val="00AF1CEC"/>
    <w:rsid w:val="00AF1F13"/>
    <w:rsid w:val="00AF20BE"/>
    <w:rsid w:val="00AF345C"/>
    <w:rsid w:val="00AF4A41"/>
    <w:rsid w:val="00AF4C70"/>
    <w:rsid w:val="00AF56F0"/>
    <w:rsid w:val="00AF5B94"/>
    <w:rsid w:val="00AF5E94"/>
    <w:rsid w:val="00AF6028"/>
    <w:rsid w:val="00AF6BC3"/>
    <w:rsid w:val="00AF7238"/>
    <w:rsid w:val="00AF7300"/>
    <w:rsid w:val="00AF75D4"/>
    <w:rsid w:val="00B0063A"/>
    <w:rsid w:val="00B00E27"/>
    <w:rsid w:val="00B0117B"/>
    <w:rsid w:val="00B01464"/>
    <w:rsid w:val="00B014C2"/>
    <w:rsid w:val="00B01CE3"/>
    <w:rsid w:val="00B027B1"/>
    <w:rsid w:val="00B029DF"/>
    <w:rsid w:val="00B030C6"/>
    <w:rsid w:val="00B04E39"/>
    <w:rsid w:val="00B05EB9"/>
    <w:rsid w:val="00B061C3"/>
    <w:rsid w:val="00B0626C"/>
    <w:rsid w:val="00B06390"/>
    <w:rsid w:val="00B071AC"/>
    <w:rsid w:val="00B10C8B"/>
    <w:rsid w:val="00B10F92"/>
    <w:rsid w:val="00B129B4"/>
    <w:rsid w:val="00B12F0D"/>
    <w:rsid w:val="00B12F42"/>
    <w:rsid w:val="00B134A0"/>
    <w:rsid w:val="00B1354C"/>
    <w:rsid w:val="00B1390D"/>
    <w:rsid w:val="00B13C09"/>
    <w:rsid w:val="00B1439E"/>
    <w:rsid w:val="00B14F06"/>
    <w:rsid w:val="00B16641"/>
    <w:rsid w:val="00B1668A"/>
    <w:rsid w:val="00B20282"/>
    <w:rsid w:val="00B21621"/>
    <w:rsid w:val="00B23CC9"/>
    <w:rsid w:val="00B240B2"/>
    <w:rsid w:val="00B24D5E"/>
    <w:rsid w:val="00B256E9"/>
    <w:rsid w:val="00B26586"/>
    <w:rsid w:val="00B27383"/>
    <w:rsid w:val="00B300C1"/>
    <w:rsid w:val="00B3144B"/>
    <w:rsid w:val="00B31C17"/>
    <w:rsid w:val="00B3395C"/>
    <w:rsid w:val="00B33C02"/>
    <w:rsid w:val="00B33F9D"/>
    <w:rsid w:val="00B343F4"/>
    <w:rsid w:val="00B34E27"/>
    <w:rsid w:val="00B36B98"/>
    <w:rsid w:val="00B4022D"/>
    <w:rsid w:val="00B417F9"/>
    <w:rsid w:val="00B430AC"/>
    <w:rsid w:val="00B44EFA"/>
    <w:rsid w:val="00B4631D"/>
    <w:rsid w:val="00B479FE"/>
    <w:rsid w:val="00B47CAC"/>
    <w:rsid w:val="00B5200F"/>
    <w:rsid w:val="00B521DB"/>
    <w:rsid w:val="00B52FA1"/>
    <w:rsid w:val="00B54683"/>
    <w:rsid w:val="00B54BA2"/>
    <w:rsid w:val="00B553E0"/>
    <w:rsid w:val="00B554E0"/>
    <w:rsid w:val="00B55C2B"/>
    <w:rsid w:val="00B55DBA"/>
    <w:rsid w:val="00B55E0D"/>
    <w:rsid w:val="00B56DE2"/>
    <w:rsid w:val="00B5771C"/>
    <w:rsid w:val="00B600DC"/>
    <w:rsid w:val="00B61A72"/>
    <w:rsid w:val="00B62511"/>
    <w:rsid w:val="00B638FE"/>
    <w:rsid w:val="00B64247"/>
    <w:rsid w:val="00B648BE"/>
    <w:rsid w:val="00B64DBE"/>
    <w:rsid w:val="00B64E1E"/>
    <w:rsid w:val="00B657EF"/>
    <w:rsid w:val="00B65F23"/>
    <w:rsid w:val="00B664B2"/>
    <w:rsid w:val="00B66811"/>
    <w:rsid w:val="00B704FB"/>
    <w:rsid w:val="00B707DC"/>
    <w:rsid w:val="00B70A1E"/>
    <w:rsid w:val="00B71346"/>
    <w:rsid w:val="00B7176E"/>
    <w:rsid w:val="00B72615"/>
    <w:rsid w:val="00B739B1"/>
    <w:rsid w:val="00B73B57"/>
    <w:rsid w:val="00B73D42"/>
    <w:rsid w:val="00B7447C"/>
    <w:rsid w:val="00B758BC"/>
    <w:rsid w:val="00B76879"/>
    <w:rsid w:val="00B76F56"/>
    <w:rsid w:val="00B77376"/>
    <w:rsid w:val="00B77831"/>
    <w:rsid w:val="00B77922"/>
    <w:rsid w:val="00B77BFA"/>
    <w:rsid w:val="00B80382"/>
    <w:rsid w:val="00B8109B"/>
    <w:rsid w:val="00B81C66"/>
    <w:rsid w:val="00B81E32"/>
    <w:rsid w:val="00B82AD3"/>
    <w:rsid w:val="00B8332C"/>
    <w:rsid w:val="00B8399D"/>
    <w:rsid w:val="00B83F6F"/>
    <w:rsid w:val="00B84116"/>
    <w:rsid w:val="00B84A55"/>
    <w:rsid w:val="00B858DA"/>
    <w:rsid w:val="00B85CAA"/>
    <w:rsid w:val="00B86238"/>
    <w:rsid w:val="00B86907"/>
    <w:rsid w:val="00B870FC"/>
    <w:rsid w:val="00B87170"/>
    <w:rsid w:val="00B877F9"/>
    <w:rsid w:val="00B9018E"/>
    <w:rsid w:val="00B91382"/>
    <w:rsid w:val="00B91479"/>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ABC"/>
    <w:rsid w:val="00B9719A"/>
    <w:rsid w:val="00B97666"/>
    <w:rsid w:val="00B97E1C"/>
    <w:rsid w:val="00BA017C"/>
    <w:rsid w:val="00BA1886"/>
    <w:rsid w:val="00BA2001"/>
    <w:rsid w:val="00BA24E3"/>
    <w:rsid w:val="00BA28C0"/>
    <w:rsid w:val="00BA393D"/>
    <w:rsid w:val="00BA3A96"/>
    <w:rsid w:val="00BA3F42"/>
    <w:rsid w:val="00BA45D1"/>
    <w:rsid w:val="00BA4B8F"/>
    <w:rsid w:val="00BA5495"/>
    <w:rsid w:val="00BA5705"/>
    <w:rsid w:val="00BA5936"/>
    <w:rsid w:val="00BA5B41"/>
    <w:rsid w:val="00BA7A62"/>
    <w:rsid w:val="00BB0577"/>
    <w:rsid w:val="00BB1831"/>
    <w:rsid w:val="00BB18E2"/>
    <w:rsid w:val="00BB1F2A"/>
    <w:rsid w:val="00BB2013"/>
    <w:rsid w:val="00BB23D7"/>
    <w:rsid w:val="00BB256F"/>
    <w:rsid w:val="00BB2C80"/>
    <w:rsid w:val="00BB4759"/>
    <w:rsid w:val="00BB54AD"/>
    <w:rsid w:val="00BB5CDC"/>
    <w:rsid w:val="00BB7143"/>
    <w:rsid w:val="00BB71E1"/>
    <w:rsid w:val="00BC05E3"/>
    <w:rsid w:val="00BC1300"/>
    <w:rsid w:val="00BC16FA"/>
    <w:rsid w:val="00BC23FE"/>
    <w:rsid w:val="00BC27D2"/>
    <w:rsid w:val="00BC3117"/>
    <w:rsid w:val="00BC3360"/>
    <w:rsid w:val="00BC341E"/>
    <w:rsid w:val="00BC401A"/>
    <w:rsid w:val="00BC4A25"/>
    <w:rsid w:val="00BC59A8"/>
    <w:rsid w:val="00BC67AE"/>
    <w:rsid w:val="00BC67F6"/>
    <w:rsid w:val="00BC6F45"/>
    <w:rsid w:val="00BC7100"/>
    <w:rsid w:val="00BC72C3"/>
    <w:rsid w:val="00BD079D"/>
    <w:rsid w:val="00BD1EDA"/>
    <w:rsid w:val="00BD1F68"/>
    <w:rsid w:val="00BD2131"/>
    <w:rsid w:val="00BD2A18"/>
    <w:rsid w:val="00BD2ADD"/>
    <w:rsid w:val="00BD2F93"/>
    <w:rsid w:val="00BD383B"/>
    <w:rsid w:val="00BD3C4A"/>
    <w:rsid w:val="00BD42F6"/>
    <w:rsid w:val="00BD4BEE"/>
    <w:rsid w:val="00BD56FE"/>
    <w:rsid w:val="00BD5E1F"/>
    <w:rsid w:val="00BD5F9F"/>
    <w:rsid w:val="00BD64F9"/>
    <w:rsid w:val="00BD6D98"/>
    <w:rsid w:val="00BD709A"/>
    <w:rsid w:val="00BD7B2A"/>
    <w:rsid w:val="00BD7B54"/>
    <w:rsid w:val="00BE0F7F"/>
    <w:rsid w:val="00BE117D"/>
    <w:rsid w:val="00BE13AF"/>
    <w:rsid w:val="00BE22BB"/>
    <w:rsid w:val="00BE26DA"/>
    <w:rsid w:val="00BE298D"/>
    <w:rsid w:val="00BE3356"/>
    <w:rsid w:val="00BE3869"/>
    <w:rsid w:val="00BE44E9"/>
    <w:rsid w:val="00BE4D14"/>
    <w:rsid w:val="00BE5A75"/>
    <w:rsid w:val="00BE636A"/>
    <w:rsid w:val="00BE6706"/>
    <w:rsid w:val="00BE6D85"/>
    <w:rsid w:val="00BE7446"/>
    <w:rsid w:val="00BE7851"/>
    <w:rsid w:val="00BF0633"/>
    <w:rsid w:val="00BF0F11"/>
    <w:rsid w:val="00BF1392"/>
    <w:rsid w:val="00BF1922"/>
    <w:rsid w:val="00BF1B8C"/>
    <w:rsid w:val="00BF2727"/>
    <w:rsid w:val="00BF2E45"/>
    <w:rsid w:val="00BF308A"/>
    <w:rsid w:val="00BF3E0E"/>
    <w:rsid w:val="00BF4409"/>
    <w:rsid w:val="00BF563B"/>
    <w:rsid w:val="00BF56E7"/>
    <w:rsid w:val="00BF586B"/>
    <w:rsid w:val="00BF62EF"/>
    <w:rsid w:val="00BF650C"/>
    <w:rsid w:val="00BF735D"/>
    <w:rsid w:val="00BF780D"/>
    <w:rsid w:val="00BF7995"/>
    <w:rsid w:val="00BF7CE5"/>
    <w:rsid w:val="00BF7CF0"/>
    <w:rsid w:val="00C00128"/>
    <w:rsid w:val="00C0210A"/>
    <w:rsid w:val="00C025DC"/>
    <w:rsid w:val="00C03694"/>
    <w:rsid w:val="00C040F3"/>
    <w:rsid w:val="00C044EC"/>
    <w:rsid w:val="00C0451D"/>
    <w:rsid w:val="00C04D2D"/>
    <w:rsid w:val="00C053EB"/>
    <w:rsid w:val="00C05450"/>
    <w:rsid w:val="00C05A6D"/>
    <w:rsid w:val="00C05A98"/>
    <w:rsid w:val="00C06863"/>
    <w:rsid w:val="00C06FE2"/>
    <w:rsid w:val="00C07466"/>
    <w:rsid w:val="00C0748A"/>
    <w:rsid w:val="00C1028E"/>
    <w:rsid w:val="00C105D6"/>
    <w:rsid w:val="00C106A2"/>
    <w:rsid w:val="00C1106B"/>
    <w:rsid w:val="00C11174"/>
    <w:rsid w:val="00C123BA"/>
    <w:rsid w:val="00C12648"/>
    <w:rsid w:val="00C127EC"/>
    <w:rsid w:val="00C13463"/>
    <w:rsid w:val="00C13D05"/>
    <w:rsid w:val="00C153E6"/>
    <w:rsid w:val="00C16133"/>
    <w:rsid w:val="00C16641"/>
    <w:rsid w:val="00C176E3"/>
    <w:rsid w:val="00C21961"/>
    <w:rsid w:val="00C21BC3"/>
    <w:rsid w:val="00C21E02"/>
    <w:rsid w:val="00C227C2"/>
    <w:rsid w:val="00C22C66"/>
    <w:rsid w:val="00C2339B"/>
    <w:rsid w:val="00C2486E"/>
    <w:rsid w:val="00C252A3"/>
    <w:rsid w:val="00C256A9"/>
    <w:rsid w:val="00C256C4"/>
    <w:rsid w:val="00C257CF"/>
    <w:rsid w:val="00C25E05"/>
    <w:rsid w:val="00C269A7"/>
    <w:rsid w:val="00C2719B"/>
    <w:rsid w:val="00C27376"/>
    <w:rsid w:val="00C3011D"/>
    <w:rsid w:val="00C30C95"/>
    <w:rsid w:val="00C311A6"/>
    <w:rsid w:val="00C32575"/>
    <w:rsid w:val="00C32BEE"/>
    <w:rsid w:val="00C33135"/>
    <w:rsid w:val="00C3409B"/>
    <w:rsid w:val="00C343B2"/>
    <w:rsid w:val="00C34706"/>
    <w:rsid w:val="00C34DAA"/>
    <w:rsid w:val="00C358D1"/>
    <w:rsid w:val="00C35F1E"/>
    <w:rsid w:val="00C36DE8"/>
    <w:rsid w:val="00C40395"/>
    <w:rsid w:val="00C40BCD"/>
    <w:rsid w:val="00C41465"/>
    <w:rsid w:val="00C41554"/>
    <w:rsid w:val="00C41633"/>
    <w:rsid w:val="00C4195B"/>
    <w:rsid w:val="00C42418"/>
    <w:rsid w:val="00C42749"/>
    <w:rsid w:val="00C42D45"/>
    <w:rsid w:val="00C43150"/>
    <w:rsid w:val="00C43CA5"/>
    <w:rsid w:val="00C4426A"/>
    <w:rsid w:val="00C44372"/>
    <w:rsid w:val="00C44FAF"/>
    <w:rsid w:val="00C45108"/>
    <w:rsid w:val="00C45214"/>
    <w:rsid w:val="00C454AC"/>
    <w:rsid w:val="00C461AF"/>
    <w:rsid w:val="00C4672F"/>
    <w:rsid w:val="00C46B45"/>
    <w:rsid w:val="00C4768A"/>
    <w:rsid w:val="00C50776"/>
    <w:rsid w:val="00C51173"/>
    <w:rsid w:val="00C52EA4"/>
    <w:rsid w:val="00C55D60"/>
    <w:rsid w:val="00C56AEC"/>
    <w:rsid w:val="00C56B84"/>
    <w:rsid w:val="00C56BA7"/>
    <w:rsid w:val="00C56DBA"/>
    <w:rsid w:val="00C57668"/>
    <w:rsid w:val="00C5778B"/>
    <w:rsid w:val="00C577B5"/>
    <w:rsid w:val="00C57895"/>
    <w:rsid w:val="00C57E1F"/>
    <w:rsid w:val="00C60B81"/>
    <w:rsid w:val="00C625D6"/>
    <w:rsid w:val="00C630F2"/>
    <w:rsid w:val="00C6327A"/>
    <w:rsid w:val="00C63AF4"/>
    <w:rsid w:val="00C63FBB"/>
    <w:rsid w:val="00C6406A"/>
    <w:rsid w:val="00C64577"/>
    <w:rsid w:val="00C6481A"/>
    <w:rsid w:val="00C65028"/>
    <w:rsid w:val="00C657A8"/>
    <w:rsid w:val="00C6616A"/>
    <w:rsid w:val="00C66C3A"/>
    <w:rsid w:val="00C67487"/>
    <w:rsid w:val="00C70209"/>
    <w:rsid w:val="00C70318"/>
    <w:rsid w:val="00C70694"/>
    <w:rsid w:val="00C720C6"/>
    <w:rsid w:val="00C73084"/>
    <w:rsid w:val="00C73101"/>
    <w:rsid w:val="00C74C32"/>
    <w:rsid w:val="00C75033"/>
    <w:rsid w:val="00C77585"/>
    <w:rsid w:val="00C806EE"/>
    <w:rsid w:val="00C80996"/>
    <w:rsid w:val="00C81731"/>
    <w:rsid w:val="00C817E4"/>
    <w:rsid w:val="00C83823"/>
    <w:rsid w:val="00C83CFF"/>
    <w:rsid w:val="00C83F02"/>
    <w:rsid w:val="00C84979"/>
    <w:rsid w:val="00C86987"/>
    <w:rsid w:val="00C877D7"/>
    <w:rsid w:val="00C87D21"/>
    <w:rsid w:val="00C9185C"/>
    <w:rsid w:val="00C92E0E"/>
    <w:rsid w:val="00C92F44"/>
    <w:rsid w:val="00C939C9"/>
    <w:rsid w:val="00C93A81"/>
    <w:rsid w:val="00C94486"/>
    <w:rsid w:val="00C94FB7"/>
    <w:rsid w:val="00C96221"/>
    <w:rsid w:val="00C966BF"/>
    <w:rsid w:val="00C9676E"/>
    <w:rsid w:val="00C9730C"/>
    <w:rsid w:val="00CA0A54"/>
    <w:rsid w:val="00CA0D1E"/>
    <w:rsid w:val="00CA152B"/>
    <w:rsid w:val="00CA16A8"/>
    <w:rsid w:val="00CA1CA9"/>
    <w:rsid w:val="00CA1DFB"/>
    <w:rsid w:val="00CA1E09"/>
    <w:rsid w:val="00CA2301"/>
    <w:rsid w:val="00CA27E5"/>
    <w:rsid w:val="00CA294B"/>
    <w:rsid w:val="00CA2A7F"/>
    <w:rsid w:val="00CA515E"/>
    <w:rsid w:val="00CA51C4"/>
    <w:rsid w:val="00CA51E8"/>
    <w:rsid w:val="00CA5289"/>
    <w:rsid w:val="00CA5546"/>
    <w:rsid w:val="00CA5821"/>
    <w:rsid w:val="00CA58E4"/>
    <w:rsid w:val="00CA607D"/>
    <w:rsid w:val="00CA6519"/>
    <w:rsid w:val="00CA69C2"/>
    <w:rsid w:val="00CA6BFC"/>
    <w:rsid w:val="00CA7CB0"/>
    <w:rsid w:val="00CB0222"/>
    <w:rsid w:val="00CB19EF"/>
    <w:rsid w:val="00CB3831"/>
    <w:rsid w:val="00CB3931"/>
    <w:rsid w:val="00CB3BF3"/>
    <w:rsid w:val="00CB4483"/>
    <w:rsid w:val="00CB4ECF"/>
    <w:rsid w:val="00CB5551"/>
    <w:rsid w:val="00CB6A54"/>
    <w:rsid w:val="00CB6C72"/>
    <w:rsid w:val="00CB6D9E"/>
    <w:rsid w:val="00CB7828"/>
    <w:rsid w:val="00CB7BA5"/>
    <w:rsid w:val="00CB7F86"/>
    <w:rsid w:val="00CC13B1"/>
    <w:rsid w:val="00CC173C"/>
    <w:rsid w:val="00CC18D4"/>
    <w:rsid w:val="00CC2A52"/>
    <w:rsid w:val="00CC303B"/>
    <w:rsid w:val="00CC349D"/>
    <w:rsid w:val="00CC34D1"/>
    <w:rsid w:val="00CC358F"/>
    <w:rsid w:val="00CC3C06"/>
    <w:rsid w:val="00CC3D25"/>
    <w:rsid w:val="00CC4CBB"/>
    <w:rsid w:val="00CC4E18"/>
    <w:rsid w:val="00CC6F9F"/>
    <w:rsid w:val="00CD02F4"/>
    <w:rsid w:val="00CD21B1"/>
    <w:rsid w:val="00CD2258"/>
    <w:rsid w:val="00CD2C18"/>
    <w:rsid w:val="00CD2EE0"/>
    <w:rsid w:val="00CD4011"/>
    <w:rsid w:val="00CD4B1B"/>
    <w:rsid w:val="00CD5F6D"/>
    <w:rsid w:val="00CD6C4C"/>
    <w:rsid w:val="00CD76DC"/>
    <w:rsid w:val="00CD7DE7"/>
    <w:rsid w:val="00CE0EAE"/>
    <w:rsid w:val="00CE184F"/>
    <w:rsid w:val="00CE21C3"/>
    <w:rsid w:val="00CE2B7E"/>
    <w:rsid w:val="00CE3AB2"/>
    <w:rsid w:val="00CE44D2"/>
    <w:rsid w:val="00CE46C7"/>
    <w:rsid w:val="00CE4916"/>
    <w:rsid w:val="00CE506C"/>
    <w:rsid w:val="00CE5584"/>
    <w:rsid w:val="00CE573F"/>
    <w:rsid w:val="00CE6427"/>
    <w:rsid w:val="00CE753E"/>
    <w:rsid w:val="00CE75D4"/>
    <w:rsid w:val="00CE7EB4"/>
    <w:rsid w:val="00CF066B"/>
    <w:rsid w:val="00CF0815"/>
    <w:rsid w:val="00CF11A1"/>
    <w:rsid w:val="00CF155C"/>
    <w:rsid w:val="00CF208F"/>
    <w:rsid w:val="00CF242C"/>
    <w:rsid w:val="00CF3015"/>
    <w:rsid w:val="00CF3DD0"/>
    <w:rsid w:val="00CF438C"/>
    <w:rsid w:val="00CF4B7A"/>
    <w:rsid w:val="00CF4EFD"/>
    <w:rsid w:val="00CF5014"/>
    <w:rsid w:val="00CF5D3A"/>
    <w:rsid w:val="00CF5E57"/>
    <w:rsid w:val="00CF64C9"/>
    <w:rsid w:val="00CF6F56"/>
    <w:rsid w:val="00CF7B45"/>
    <w:rsid w:val="00CF7ECA"/>
    <w:rsid w:val="00D00079"/>
    <w:rsid w:val="00D00988"/>
    <w:rsid w:val="00D009FA"/>
    <w:rsid w:val="00D00AB6"/>
    <w:rsid w:val="00D00CE1"/>
    <w:rsid w:val="00D01BFD"/>
    <w:rsid w:val="00D01CF7"/>
    <w:rsid w:val="00D03161"/>
    <w:rsid w:val="00D03D12"/>
    <w:rsid w:val="00D0445F"/>
    <w:rsid w:val="00D04891"/>
    <w:rsid w:val="00D06E81"/>
    <w:rsid w:val="00D07928"/>
    <w:rsid w:val="00D102D2"/>
    <w:rsid w:val="00D10B2C"/>
    <w:rsid w:val="00D10E0A"/>
    <w:rsid w:val="00D11308"/>
    <w:rsid w:val="00D11AE0"/>
    <w:rsid w:val="00D11F9D"/>
    <w:rsid w:val="00D12E4C"/>
    <w:rsid w:val="00D130D4"/>
    <w:rsid w:val="00D131E9"/>
    <w:rsid w:val="00D13327"/>
    <w:rsid w:val="00D13551"/>
    <w:rsid w:val="00D13800"/>
    <w:rsid w:val="00D13C3E"/>
    <w:rsid w:val="00D13F37"/>
    <w:rsid w:val="00D144C3"/>
    <w:rsid w:val="00D14897"/>
    <w:rsid w:val="00D15043"/>
    <w:rsid w:val="00D164CB"/>
    <w:rsid w:val="00D1658C"/>
    <w:rsid w:val="00D175F6"/>
    <w:rsid w:val="00D176F6"/>
    <w:rsid w:val="00D21143"/>
    <w:rsid w:val="00D2165E"/>
    <w:rsid w:val="00D2189E"/>
    <w:rsid w:val="00D2190F"/>
    <w:rsid w:val="00D23A51"/>
    <w:rsid w:val="00D246D3"/>
    <w:rsid w:val="00D24808"/>
    <w:rsid w:val="00D24993"/>
    <w:rsid w:val="00D25C6A"/>
    <w:rsid w:val="00D25D39"/>
    <w:rsid w:val="00D3007E"/>
    <w:rsid w:val="00D31A93"/>
    <w:rsid w:val="00D31D4E"/>
    <w:rsid w:val="00D32098"/>
    <w:rsid w:val="00D33027"/>
    <w:rsid w:val="00D33BE3"/>
    <w:rsid w:val="00D34776"/>
    <w:rsid w:val="00D34E75"/>
    <w:rsid w:val="00D35E86"/>
    <w:rsid w:val="00D360EA"/>
    <w:rsid w:val="00D368A3"/>
    <w:rsid w:val="00D36F64"/>
    <w:rsid w:val="00D37260"/>
    <w:rsid w:val="00D3758C"/>
    <w:rsid w:val="00D37F4F"/>
    <w:rsid w:val="00D40666"/>
    <w:rsid w:val="00D40A53"/>
    <w:rsid w:val="00D40D46"/>
    <w:rsid w:val="00D40EE8"/>
    <w:rsid w:val="00D4102B"/>
    <w:rsid w:val="00D4108C"/>
    <w:rsid w:val="00D41580"/>
    <w:rsid w:val="00D4174C"/>
    <w:rsid w:val="00D41DF5"/>
    <w:rsid w:val="00D42B43"/>
    <w:rsid w:val="00D4316F"/>
    <w:rsid w:val="00D433E0"/>
    <w:rsid w:val="00D441D7"/>
    <w:rsid w:val="00D44B73"/>
    <w:rsid w:val="00D45B60"/>
    <w:rsid w:val="00D45E34"/>
    <w:rsid w:val="00D460CA"/>
    <w:rsid w:val="00D46A29"/>
    <w:rsid w:val="00D46C5B"/>
    <w:rsid w:val="00D476F7"/>
    <w:rsid w:val="00D47D33"/>
    <w:rsid w:val="00D503D8"/>
    <w:rsid w:val="00D51223"/>
    <w:rsid w:val="00D51ABC"/>
    <w:rsid w:val="00D54813"/>
    <w:rsid w:val="00D54B93"/>
    <w:rsid w:val="00D566B2"/>
    <w:rsid w:val="00D56D06"/>
    <w:rsid w:val="00D5758B"/>
    <w:rsid w:val="00D62B38"/>
    <w:rsid w:val="00D62F1E"/>
    <w:rsid w:val="00D62F2B"/>
    <w:rsid w:val="00D6351C"/>
    <w:rsid w:val="00D6387D"/>
    <w:rsid w:val="00D63A89"/>
    <w:rsid w:val="00D63A92"/>
    <w:rsid w:val="00D63ECE"/>
    <w:rsid w:val="00D63F40"/>
    <w:rsid w:val="00D64AB7"/>
    <w:rsid w:val="00D64AFE"/>
    <w:rsid w:val="00D64B0E"/>
    <w:rsid w:val="00D64C0D"/>
    <w:rsid w:val="00D700F9"/>
    <w:rsid w:val="00D70892"/>
    <w:rsid w:val="00D709F4"/>
    <w:rsid w:val="00D714F1"/>
    <w:rsid w:val="00D71608"/>
    <w:rsid w:val="00D71BFC"/>
    <w:rsid w:val="00D71EAB"/>
    <w:rsid w:val="00D721D3"/>
    <w:rsid w:val="00D7221D"/>
    <w:rsid w:val="00D74242"/>
    <w:rsid w:val="00D74365"/>
    <w:rsid w:val="00D7503C"/>
    <w:rsid w:val="00D756F3"/>
    <w:rsid w:val="00D76544"/>
    <w:rsid w:val="00D766E9"/>
    <w:rsid w:val="00D7685C"/>
    <w:rsid w:val="00D7727D"/>
    <w:rsid w:val="00D804A9"/>
    <w:rsid w:val="00D80650"/>
    <w:rsid w:val="00D80BDF"/>
    <w:rsid w:val="00D82376"/>
    <w:rsid w:val="00D844E6"/>
    <w:rsid w:val="00D85117"/>
    <w:rsid w:val="00D851D8"/>
    <w:rsid w:val="00D85EFA"/>
    <w:rsid w:val="00D8668C"/>
    <w:rsid w:val="00D86E6A"/>
    <w:rsid w:val="00D902EE"/>
    <w:rsid w:val="00D90687"/>
    <w:rsid w:val="00D906E7"/>
    <w:rsid w:val="00D91233"/>
    <w:rsid w:val="00D91276"/>
    <w:rsid w:val="00D912E0"/>
    <w:rsid w:val="00D91771"/>
    <w:rsid w:val="00D91A50"/>
    <w:rsid w:val="00D91F0B"/>
    <w:rsid w:val="00D92072"/>
    <w:rsid w:val="00D92CB3"/>
    <w:rsid w:val="00D9313F"/>
    <w:rsid w:val="00D9317C"/>
    <w:rsid w:val="00D93C72"/>
    <w:rsid w:val="00D947D9"/>
    <w:rsid w:val="00D94E6C"/>
    <w:rsid w:val="00D9553D"/>
    <w:rsid w:val="00D96DF9"/>
    <w:rsid w:val="00D96EFC"/>
    <w:rsid w:val="00D97959"/>
    <w:rsid w:val="00DA032F"/>
    <w:rsid w:val="00DA03E8"/>
    <w:rsid w:val="00DA1571"/>
    <w:rsid w:val="00DA22DA"/>
    <w:rsid w:val="00DA28E1"/>
    <w:rsid w:val="00DA4DB1"/>
    <w:rsid w:val="00DA56FA"/>
    <w:rsid w:val="00DA591A"/>
    <w:rsid w:val="00DA67E1"/>
    <w:rsid w:val="00DA684C"/>
    <w:rsid w:val="00DB254A"/>
    <w:rsid w:val="00DB2A9F"/>
    <w:rsid w:val="00DB2D92"/>
    <w:rsid w:val="00DB3EF6"/>
    <w:rsid w:val="00DB42E6"/>
    <w:rsid w:val="00DB4C5D"/>
    <w:rsid w:val="00DB522E"/>
    <w:rsid w:val="00DB5CC1"/>
    <w:rsid w:val="00DB6CF5"/>
    <w:rsid w:val="00DB72AC"/>
    <w:rsid w:val="00DB7FD9"/>
    <w:rsid w:val="00DC06C7"/>
    <w:rsid w:val="00DC0AA1"/>
    <w:rsid w:val="00DC0DBC"/>
    <w:rsid w:val="00DC11E2"/>
    <w:rsid w:val="00DC2599"/>
    <w:rsid w:val="00DC25B4"/>
    <w:rsid w:val="00DC2E5A"/>
    <w:rsid w:val="00DC2E93"/>
    <w:rsid w:val="00DC3474"/>
    <w:rsid w:val="00DC399D"/>
    <w:rsid w:val="00DC3F3C"/>
    <w:rsid w:val="00DC48D5"/>
    <w:rsid w:val="00DC5258"/>
    <w:rsid w:val="00DC531A"/>
    <w:rsid w:val="00DC5796"/>
    <w:rsid w:val="00DC5F50"/>
    <w:rsid w:val="00DC6DAD"/>
    <w:rsid w:val="00DC717E"/>
    <w:rsid w:val="00DC75C7"/>
    <w:rsid w:val="00DC7B46"/>
    <w:rsid w:val="00DC7E66"/>
    <w:rsid w:val="00DD0122"/>
    <w:rsid w:val="00DD03FD"/>
    <w:rsid w:val="00DD0454"/>
    <w:rsid w:val="00DD1511"/>
    <w:rsid w:val="00DD1597"/>
    <w:rsid w:val="00DD28D6"/>
    <w:rsid w:val="00DD3467"/>
    <w:rsid w:val="00DD3A3A"/>
    <w:rsid w:val="00DD5FEC"/>
    <w:rsid w:val="00DD6FC8"/>
    <w:rsid w:val="00DD783E"/>
    <w:rsid w:val="00DD7EE2"/>
    <w:rsid w:val="00DE018F"/>
    <w:rsid w:val="00DE098C"/>
    <w:rsid w:val="00DE0A56"/>
    <w:rsid w:val="00DE0A75"/>
    <w:rsid w:val="00DE15FB"/>
    <w:rsid w:val="00DE4BB5"/>
    <w:rsid w:val="00DE5952"/>
    <w:rsid w:val="00DE5E6D"/>
    <w:rsid w:val="00DE6397"/>
    <w:rsid w:val="00DE63EA"/>
    <w:rsid w:val="00DE715B"/>
    <w:rsid w:val="00DE7E95"/>
    <w:rsid w:val="00DF005C"/>
    <w:rsid w:val="00DF0781"/>
    <w:rsid w:val="00DF3450"/>
    <w:rsid w:val="00DF35E5"/>
    <w:rsid w:val="00DF3785"/>
    <w:rsid w:val="00DF3CB6"/>
    <w:rsid w:val="00DF406B"/>
    <w:rsid w:val="00DF4732"/>
    <w:rsid w:val="00DF5789"/>
    <w:rsid w:val="00DF57A8"/>
    <w:rsid w:val="00DF62EB"/>
    <w:rsid w:val="00DF64D7"/>
    <w:rsid w:val="00DF674A"/>
    <w:rsid w:val="00DF6905"/>
    <w:rsid w:val="00DF6B8B"/>
    <w:rsid w:val="00E0142E"/>
    <w:rsid w:val="00E01C01"/>
    <w:rsid w:val="00E020E0"/>
    <w:rsid w:val="00E021AC"/>
    <w:rsid w:val="00E0298F"/>
    <w:rsid w:val="00E029E7"/>
    <w:rsid w:val="00E02FAD"/>
    <w:rsid w:val="00E034E2"/>
    <w:rsid w:val="00E04336"/>
    <w:rsid w:val="00E047EB"/>
    <w:rsid w:val="00E04D82"/>
    <w:rsid w:val="00E05C51"/>
    <w:rsid w:val="00E06619"/>
    <w:rsid w:val="00E06DE5"/>
    <w:rsid w:val="00E06F89"/>
    <w:rsid w:val="00E071D1"/>
    <w:rsid w:val="00E0799B"/>
    <w:rsid w:val="00E11B39"/>
    <w:rsid w:val="00E11B99"/>
    <w:rsid w:val="00E12D34"/>
    <w:rsid w:val="00E13CA5"/>
    <w:rsid w:val="00E13E5B"/>
    <w:rsid w:val="00E13E77"/>
    <w:rsid w:val="00E16DAA"/>
    <w:rsid w:val="00E16F61"/>
    <w:rsid w:val="00E175D6"/>
    <w:rsid w:val="00E17EA9"/>
    <w:rsid w:val="00E219D7"/>
    <w:rsid w:val="00E21F8F"/>
    <w:rsid w:val="00E220B9"/>
    <w:rsid w:val="00E224AD"/>
    <w:rsid w:val="00E23033"/>
    <w:rsid w:val="00E23753"/>
    <w:rsid w:val="00E2495E"/>
    <w:rsid w:val="00E24AFB"/>
    <w:rsid w:val="00E259BA"/>
    <w:rsid w:val="00E273EB"/>
    <w:rsid w:val="00E27EC2"/>
    <w:rsid w:val="00E30472"/>
    <w:rsid w:val="00E3151B"/>
    <w:rsid w:val="00E331EE"/>
    <w:rsid w:val="00E3367F"/>
    <w:rsid w:val="00E33EB3"/>
    <w:rsid w:val="00E34A77"/>
    <w:rsid w:val="00E34F85"/>
    <w:rsid w:val="00E351D0"/>
    <w:rsid w:val="00E3540D"/>
    <w:rsid w:val="00E36DC8"/>
    <w:rsid w:val="00E372E4"/>
    <w:rsid w:val="00E37487"/>
    <w:rsid w:val="00E37E5D"/>
    <w:rsid w:val="00E37E88"/>
    <w:rsid w:val="00E406BD"/>
    <w:rsid w:val="00E4252A"/>
    <w:rsid w:val="00E43D2E"/>
    <w:rsid w:val="00E44483"/>
    <w:rsid w:val="00E44B14"/>
    <w:rsid w:val="00E45447"/>
    <w:rsid w:val="00E4545F"/>
    <w:rsid w:val="00E4596B"/>
    <w:rsid w:val="00E45B59"/>
    <w:rsid w:val="00E469F2"/>
    <w:rsid w:val="00E46B67"/>
    <w:rsid w:val="00E46D59"/>
    <w:rsid w:val="00E47CC1"/>
    <w:rsid w:val="00E5076B"/>
    <w:rsid w:val="00E50DD7"/>
    <w:rsid w:val="00E50FCF"/>
    <w:rsid w:val="00E518BA"/>
    <w:rsid w:val="00E51938"/>
    <w:rsid w:val="00E51955"/>
    <w:rsid w:val="00E522BB"/>
    <w:rsid w:val="00E53015"/>
    <w:rsid w:val="00E535F9"/>
    <w:rsid w:val="00E5382F"/>
    <w:rsid w:val="00E53A6D"/>
    <w:rsid w:val="00E54019"/>
    <w:rsid w:val="00E550BA"/>
    <w:rsid w:val="00E550E6"/>
    <w:rsid w:val="00E55C62"/>
    <w:rsid w:val="00E55CE7"/>
    <w:rsid w:val="00E562D2"/>
    <w:rsid w:val="00E56D62"/>
    <w:rsid w:val="00E57A40"/>
    <w:rsid w:val="00E60326"/>
    <w:rsid w:val="00E6049A"/>
    <w:rsid w:val="00E6055C"/>
    <w:rsid w:val="00E60960"/>
    <w:rsid w:val="00E61233"/>
    <w:rsid w:val="00E614A7"/>
    <w:rsid w:val="00E62336"/>
    <w:rsid w:val="00E626C5"/>
    <w:rsid w:val="00E62F3B"/>
    <w:rsid w:val="00E63AF8"/>
    <w:rsid w:val="00E64FBC"/>
    <w:rsid w:val="00E653BC"/>
    <w:rsid w:val="00E6578B"/>
    <w:rsid w:val="00E65FD6"/>
    <w:rsid w:val="00E661C3"/>
    <w:rsid w:val="00E66D65"/>
    <w:rsid w:val="00E70EAB"/>
    <w:rsid w:val="00E712E6"/>
    <w:rsid w:val="00E715D6"/>
    <w:rsid w:val="00E721C2"/>
    <w:rsid w:val="00E7227F"/>
    <w:rsid w:val="00E7274C"/>
    <w:rsid w:val="00E72CF0"/>
    <w:rsid w:val="00E7327C"/>
    <w:rsid w:val="00E747CB"/>
    <w:rsid w:val="00E74B96"/>
    <w:rsid w:val="00E758B5"/>
    <w:rsid w:val="00E768A6"/>
    <w:rsid w:val="00E76DAD"/>
    <w:rsid w:val="00E775FE"/>
    <w:rsid w:val="00E80E37"/>
    <w:rsid w:val="00E80F23"/>
    <w:rsid w:val="00E810CB"/>
    <w:rsid w:val="00E8120F"/>
    <w:rsid w:val="00E8187B"/>
    <w:rsid w:val="00E81CBE"/>
    <w:rsid w:val="00E81CD5"/>
    <w:rsid w:val="00E822BE"/>
    <w:rsid w:val="00E83397"/>
    <w:rsid w:val="00E8347B"/>
    <w:rsid w:val="00E839D8"/>
    <w:rsid w:val="00E83CF5"/>
    <w:rsid w:val="00E83FB9"/>
    <w:rsid w:val="00E857DB"/>
    <w:rsid w:val="00E85BBC"/>
    <w:rsid w:val="00E85EAD"/>
    <w:rsid w:val="00E8748A"/>
    <w:rsid w:val="00E87662"/>
    <w:rsid w:val="00E87F21"/>
    <w:rsid w:val="00E90913"/>
    <w:rsid w:val="00E92BE2"/>
    <w:rsid w:val="00E93313"/>
    <w:rsid w:val="00E93B72"/>
    <w:rsid w:val="00E94392"/>
    <w:rsid w:val="00E94A1C"/>
    <w:rsid w:val="00E94ECD"/>
    <w:rsid w:val="00E95BE3"/>
    <w:rsid w:val="00E9778C"/>
    <w:rsid w:val="00EA0F8E"/>
    <w:rsid w:val="00EA2054"/>
    <w:rsid w:val="00EA22A8"/>
    <w:rsid w:val="00EA4353"/>
    <w:rsid w:val="00EA48B4"/>
    <w:rsid w:val="00EA5627"/>
    <w:rsid w:val="00EA591E"/>
    <w:rsid w:val="00EA6029"/>
    <w:rsid w:val="00EA6076"/>
    <w:rsid w:val="00EA63BE"/>
    <w:rsid w:val="00EA6818"/>
    <w:rsid w:val="00EA6DD3"/>
    <w:rsid w:val="00EA720C"/>
    <w:rsid w:val="00EA7789"/>
    <w:rsid w:val="00EA7A0C"/>
    <w:rsid w:val="00EB059C"/>
    <w:rsid w:val="00EB0D91"/>
    <w:rsid w:val="00EB1569"/>
    <w:rsid w:val="00EB22BE"/>
    <w:rsid w:val="00EB24F3"/>
    <w:rsid w:val="00EB3A73"/>
    <w:rsid w:val="00EB4841"/>
    <w:rsid w:val="00EB5252"/>
    <w:rsid w:val="00EB5BAA"/>
    <w:rsid w:val="00EB5ED1"/>
    <w:rsid w:val="00EB605F"/>
    <w:rsid w:val="00EB67BA"/>
    <w:rsid w:val="00EB73F7"/>
    <w:rsid w:val="00EB75B1"/>
    <w:rsid w:val="00EB76C0"/>
    <w:rsid w:val="00EB7B4D"/>
    <w:rsid w:val="00EC0473"/>
    <w:rsid w:val="00EC0671"/>
    <w:rsid w:val="00EC1F86"/>
    <w:rsid w:val="00EC3B4C"/>
    <w:rsid w:val="00EC3CFD"/>
    <w:rsid w:val="00EC3EEA"/>
    <w:rsid w:val="00EC480C"/>
    <w:rsid w:val="00EC617F"/>
    <w:rsid w:val="00EC72E9"/>
    <w:rsid w:val="00EC7B92"/>
    <w:rsid w:val="00ED0EB6"/>
    <w:rsid w:val="00ED0F5B"/>
    <w:rsid w:val="00ED16F9"/>
    <w:rsid w:val="00ED28E7"/>
    <w:rsid w:val="00ED2B85"/>
    <w:rsid w:val="00ED3434"/>
    <w:rsid w:val="00ED3763"/>
    <w:rsid w:val="00ED4CEC"/>
    <w:rsid w:val="00ED54AB"/>
    <w:rsid w:val="00ED5C23"/>
    <w:rsid w:val="00ED6062"/>
    <w:rsid w:val="00ED642B"/>
    <w:rsid w:val="00ED658E"/>
    <w:rsid w:val="00ED6771"/>
    <w:rsid w:val="00ED78F3"/>
    <w:rsid w:val="00ED7934"/>
    <w:rsid w:val="00EE0220"/>
    <w:rsid w:val="00EE1DB0"/>
    <w:rsid w:val="00EE1EF4"/>
    <w:rsid w:val="00EE24CA"/>
    <w:rsid w:val="00EE2A13"/>
    <w:rsid w:val="00EE2CC8"/>
    <w:rsid w:val="00EE3C62"/>
    <w:rsid w:val="00EE3F18"/>
    <w:rsid w:val="00EE3F97"/>
    <w:rsid w:val="00EE55DD"/>
    <w:rsid w:val="00EE61F8"/>
    <w:rsid w:val="00EE62E4"/>
    <w:rsid w:val="00EE6B6B"/>
    <w:rsid w:val="00EE7388"/>
    <w:rsid w:val="00EE74F3"/>
    <w:rsid w:val="00EE7E66"/>
    <w:rsid w:val="00EF1704"/>
    <w:rsid w:val="00EF274A"/>
    <w:rsid w:val="00EF2A2A"/>
    <w:rsid w:val="00EF2A6F"/>
    <w:rsid w:val="00EF3356"/>
    <w:rsid w:val="00EF4211"/>
    <w:rsid w:val="00EF44DD"/>
    <w:rsid w:val="00EF469C"/>
    <w:rsid w:val="00EF4895"/>
    <w:rsid w:val="00EF4B7C"/>
    <w:rsid w:val="00EF5C8D"/>
    <w:rsid w:val="00EF626E"/>
    <w:rsid w:val="00EF66A2"/>
    <w:rsid w:val="00EF7A2A"/>
    <w:rsid w:val="00EF7F78"/>
    <w:rsid w:val="00F01D8B"/>
    <w:rsid w:val="00F024C7"/>
    <w:rsid w:val="00F02AC8"/>
    <w:rsid w:val="00F02CFE"/>
    <w:rsid w:val="00F02F52"/>
    <w:rsid w:val="00F05D32"/>
    <w:rsid w:val="00F068BD"/>
    <w:rsid w:val="00F07CC3"/>
    <w:rsid w:val="00F1132C"/>
    <w:rsid w:val="00F11A20"/>
    <w:rsid w:val="00F12837"/>
    <w:rsid w:val="00F1344E"/>
    <w:rsid w:val="00F13925"/>
    <w:rsid w:val="00F13AEF"/>
    <w:rsid w:val="00F14055"/>
    <w:rsid w:val="00F1420B"/>
    <w:rsid w:val="00F14332"/>
    <w:rsid w:val="00F145EB"/>
    <w:rsid w:val="00F14E86"/>
    <w:rsid w:val="00F162B8"/>
    <w:rsid w:val="00F17288"/>
    <w:rsid w:val="00F17469"/>
    <w:rsid w:val="00F1780E"/>
    <w:rsid w:val="00F17FDE"/>
    <w:rsid w:val="00F2009A"/>
    <w:rsid w:val="00F202C6"/>
    <w:rsid w:val="00F20D15"/>
    <w:rsid w:val="00F20EDD"/>
    <w:rsid w:val="00F21244"/>
    <w:rsid w:val="00F2168B"/>
    <w:rsid w:val="00F21AD6"/>
    <w:rsid w:val="00F21F27"/>
    <w:rsid w:val="00F22926"/>
    <w:rsid w:val="00F23153"/>
    <w:rsid w:val="00F243DD"/>
    <w:rsid w:val="00F24E08"/>
    <w:rsid w:val="00F254D4"/>
    <w:rsid w:val="00F26D7F"/>
    <w:rsid w:val="00F27171"/>
    <w:rsid w:val="00F302D9"/>
    <w:rsid w:val="00F30F1C"/>
    <w:rsid w:val="00F30FC9"/>
    <w:rsid w:val="00F3101C"/>
    <w:rsid w:val="00F310BB"/>
    <w:rsid w:val="00F327C7"/>
    <w:rsid w:val="00F32F30"/>
    <w:rsid w:val="00F34274"/>
    <w:rsid w:val="00F37F1C"/>
    <w:rsid w:val="00F37F9A"/>
    <w:rsid w:val="00F37FCE"/>
    <w:rsid w:val="00F40CFB"/>
    <w:rsid w:val="00F414E2"/>
    <w:rsid w:val="00F4171B"/>
    <w:rsid w:val="00F42680"/>
    <w:rsid w:val="00F42AD8"/>
    <w:rsid w:val="00F42D51"/>
    <w:rsid w:val="00F43BC1"/>
    <w:rsid w:val="00F43C2A"/>
    <w:rsid w:val="00F4417F"/>
    <w:rsid w:val="00F44436"/>
    <w:rsid w:val="00F44945"/>
    <w:rsid w:val="00F45894"/>
    <w:rsid w:val="00F46866"/>
    <w:rsid w:val="00F50023"/>
    <w:rsid w:val="00F50741"/>
    <w:rsid w:val="00F51DCE"/>
    <w:rsid w:val="00F5238F"/>
    <w:rsid w:val="00F5259F"/>
    <w:rsid w:val="00F527DF"/>
    <w:rsid w:val="00F52944"/>
    <w:rsid w:val="00F52D74"/>
    <w:rsid w:val="00F536BC"/>
    <w:rsid w:val="00F53DFE"/>
    <w:rsid w:val="00F5418D"/>
    <w:rsid w:val="00F547CA"/>
    <w:rsid w:val="00F54E75"/>
    <w:rsid w:val="00F557BA"/>
    <w:rsid w:val="00F56449"/>
    <w:rsid w:val="00F5669A"/>
    <w:rsid w:val="00F56B1B"/>
    <w:rsid w:val="00F57CFD"/>
    <w:rsid w:val="00F57F20"/>
    <w:rsid w:val="00F600A2"/>
    <w:rsid w:val="00F600EF"/>
    <w:rsid w:val="00F6012F"/>
    <w:rsid w:val="00F603B8"/>
    <w:rsid w:val="00F603DF"/>
    <w:rsid w:val="00F60805"/>
    <w:rsid w:val="00F60D16"/>
    <w:rsid w:val="00F62144"/>
    <w:rsid w:val="00F6236C"/>
    <w:rsid w:val="00F623DC"/>
    <w:rsid w:val="00F62976"/>
    <w:rsid w:val="00F63632"/>
    <w:rsid w:val="00F63648"/>
    <w:rsid w:val="00F63872"/>
    <w:rsid w:val="00F64F3C"/>
    <w:rsid w:val="00F65109"/>
    <w:rsid w:val="00F65762"/>
    <w:rsid w:val="00F66662"/>
    <w:rsid w:val="00F6699E"/>
    <w:rsid w:val="00F66E1A"/>
    <w:rsid w:val="00F66FCD"/>
    <w:rsid w:val="00F675D1"/>
    <w:rsid w:val="00F67D4E"/>
    <w:rsid w:val="00F7070F"/>
    <w:rsid w:val="00F70D0F"/>
    <w:rsid w:val="00F711C4"/>
    <w:rsid w:val="00F71473"/>
    <w:rsid w:val="00F71EAF"/>
    <w:rsid w:val="00F73124"/>
    <w:rsid w:val="00F73992"/>
    <w:rsid w:val="00F73BA4"/>
    <w:rsid w:val="00F73D66"/>
    <w:rsid w:val="00F74E54"/>
    <w:rsid w:val="00F75A17"/>
    <w:rsid w:val="00F76B1D"/>
    <w:rsid w:val="00F773BD"/>
    <w:rsid w:val="00F80561"/>
    <w:rsid w:val="00F80AA1"/>
    <w:rsid w:val="00F80CA2"/>
    <w:rsid w:val="00F81776"/>
    <w:rsid w:val="00F81945"/>
    <w:rsid w:val="00F81D0B"/>
    <w:rsid w:val="00F822D5"/>
    <w:rsid w:val="00F82429"/>
    <w:rsid w:val="00F82B4A"/>
    <w:rsid w:val="00F83185"/>
    <w:rsid w:val="00F842EF"/>
    <w:rsid w:val="00F8480C"/>
    <w:rsid w:val="00F84895"/>
    <w:rsid w:val="00F84FF4"/>
    <w:rsid w:val="00F85DA5"/>
    <w:rsid w:val="00F863DE"/>
    <w:rsid w:val="00F86650"/>
    <w:rsid w:val="00F8684B"/>
    <w:rsid w:val="00F90FAA"/>
    <w:rsid w:val="00F9114E"/>
    <w:rsid w:val="00F91280"/>
    <w:rsid w:val="00F915D3"/>
    <w:rsid w:val="00F91D23"/>
    <w:rsid w:val="00F92A81"/>
    <w:rsid w:val="00F93A93"/>
    <w:rsid w:val="00F95276"/>
    <w:rsid w:val="00F95A54"/>
    <w:rsid w:val="00F9662C"/>
    <w:rsid w:val="00F96D4C"/>
    <w:rsid w:val="00F975D0"/>
    <w:rsid w:val="00FA0A53"/>
    <w:rsid w:val="00FA0CDB"/>
    <w:rsid w:val="00FA119A"/>
    <w:rsid w:val="00FA218C"/>
    <w:rsid w:val="00FA24D2"/>
    <w:rsid w:val="00FA4755"/>
    <w:rsid w:val="00FA53D8"/>
    <w:rsid w:val="00FA5760"/>
    <w:rsid w:val="00FA6B45"/>
    <w:rsid w:val="00FA75F5"/>
    <w:rsid w:val="00FA7A18"/>
    <w:rsid w:val="00FB0013"/>
    <w:rsid w:val="00FB064C"/>
    <w:rsid w:val="00FB0DD3"/>
    <w:rsid w:val="00FB1CC3"/>
    <w:rsid w:val="00FB1ED4"/>
    <w:rsid w:val="00FB2621"/>
    <w:rsid w:val="00FB29C0"/>
    <w:rsid w:val="00FB2C82"/>
    <w:rsid w:val="00FB2FC8"/>
    <w:rsid w:val="00FB304A"/>
    <w:rsid w:val="00FB325B"/>
    <w:rsid w:val="00FB362F"/>
    <w:rsid w:val="00FB3714"/>
    <w:rsid w:val="00FB39A0"/>
    <w:rsid w:val="00FB3EA1"/>
    <w:rsid w:val="00FB4356"/>
    <w:rsid w:val="00FB5784"/>
    <w:rsid w:val="00FB5942"/>
    <w:rsid w:val="00FB6874"/>
    <w:rsid w:val="00FC05BB"/>
    <w:rsid w:val="00FC07B8"/>
    <w:rsid w:val="00FC2044"/>
    <w:rsid w:val="00FC291A"/>
    <w:rsid w:val="00FC34BB"/>
    <w:rsid w:val="00FC3E54"/>
    <w:rsid w:val="00FC4936"/>
    <w:rsid w:val="00FC4C7A"/>
    <w:rsid w:val="00FC5B26"/>
    <w:rsid w:val="00FC5E03"/>
    <w:rsid w:val="00FC613B"/>
    <w:rsid w:val="00FC671F"/>
    <w:rsid w:val="00FD028D"/>
    <w:rsid w:val="00FD040C"/>
    <w:rsid w:val="00FD0708"/>
    <w:rsid w:val="00FD0FAB"/>
    <w:rsid w:val="00FD1436"/>
    <w:rsid w:val="00FD20FD"/>
    <w:rsid w:val="00FD2CCE"/>
    <w:rsid w:val="00FD2FA8"/>
    <w:rsid w:val="00FD309B"/>
    <w:rsid w:val="00FD315D"/>
    <w:rsid w:val="00FD33DB"/>
    <w:rsid w:val="00FD3E6C"/>
    <w:rsid w:val="00FD5232"/>
    <w:rsid w:val="00FD541E"/>
    <w:rsid w:val="00FD6215"/>
    <w:rsid w:val="00FD7EF6"/>
    <w:rsid w:val="00FE0CEF"/>
    <w:rsid w:val="00FE17FA"/>
    <w:rsid w:val="00FE2687"/>
    <w:rsid w:val="00FE2B93"/>
    <w:rsid w:val="00FE307C"/>
    <w:rsid w:val="00FE3E24"/>
    <w:rsid w:val="00FE3E87"/>
    <w:rsid w:val="00FE40E4"/>
    <w:rsid w:val="00FE4605"/>
    <w:rsid w:val="00FE4797"/>
    <w:rsid w:val="00FE490A"/>
    <w:rsid w:val="00FE4DC1"/>
    <w:rsid w:val="00FE5F69"/>
    <w:rsid w:val="00FE6BD7"/>
    <w:rsid w:val="00FE6EAC"/>
    <w:rsid w:val="00FE6F1D"/>
    <w:rsid w:val="00FE75F5"/>
    <w:rsid w:val="00FE7A7C"/>
    <w:rsid w:val="00FF0090"/>
    <w:rsid w:val="00FF0350"/>
    <w:rsid w:val="00FF065C"/>
    <w:rsid w:val="00FF11A4"/>
    <w:rsid w:val="00FF1D2C"/>
    <w:rsid w:val="00FF2159"/>
    <w:rsid w:val="00FF2396"/>
    <w:rsid w:val="00FF2BCC"/>
    <w:rsid w:val="00FF2FAB"/>
    <w:rsid w:val="00FF3B86"/>
    <w:rsid w:val="00FF4327"/>
    <w:rsid w:val="00FF531E"/>
    <w:rsid w:val="00FF56D1"/>
    <w:rsid w:val="00FF577D"/>
    <w:rsid w:val="00FF582C"/>
    <w:rsid w:val="00FF5B4A"/>
    <w:rsid w:val="00FF6C0F"/>
    <w:rsid w:val="00FF6EBB"/>
    <w:rsid w:val="00FF6ED2"/>
    <w:rsid w:val="00FF78D3"/>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89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F12837"/>
    <w:pPr>
      <w:tabs>
        <w:tab w:val="left" w:pos="432"/>
      </w:tabs>
      <w:spacing w:after="840"/>
      <w:jc w:val="center"/>
      <w:outlineLvl w:val="0"/>
    </w:pPr>
    <w:rPr>
      <w:rFonts w:eastAsia="Times New Roman"/>
      <w:b/>
      <w:caps/>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472"/>
    <w:rPr>
      <w:color w:val="0000FF"/>
      <w:u w:val="single"/>
    </w:rPr>
  </w:style>
  <w:style w:type="paragraph" w:styleId="Header">
    <w:name w:val="header"/>
    <w:basedOn w:val="Normal"/>
    <w:link w:val="HeaderChar"/>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35"/>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36"/>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37"/>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character" w:customStyle="1" w:styleId="UnresolvedMention">
    <w:name w:val="Unresolved Mention"/>
    <w:basedOn w:val="DefaultParagraphFont"/>
    <w:uiPriority w:val="99"/>
    <w:semiHidden/>
    <w:unhideWhenUsed/>
    <w:rsid w:val="006425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F12837"/>
    <w:pPr>
      <w:tabs>
        <w:tab w:val="left" w:pos="432"/>
      </w:tabs>
      <w:spacing w:after="840"/>
      <w:jc w:val="center"/>
      <w:outlineLvl w:val="0"/>
    </w:pPr>
    <w:rPr>
      <w:rFonts w:eastAsia="Times New Roman"/>
      <w:b/>
      <w:caps/>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472"/>
    <w:rPr>
      <w:color w:val="0000FF"/>
      <w:u w:val="single"/>
    </w:rPr>
  </w:style>
  <w:style w:type="paragraph" w:styleId="Header">
    <w:name w:val="header"/>
    <w:basedOn w:val="Normal"/>
    <w:link w:val="HeaderChar"/>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35"/>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36"/>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37"/>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character" w:customStyle="1" w:styleId="UnresolvedMention">
    <w:name w:val="Unresolved Mention"/>
    <w:basedOn w:val="DefaultParagraphFont"/>
    <w:uiPriority w:val="99"/>
    <w:semiHidden/>
    <w:unhideWhenUsed/>
    <w:rsid w:val="00642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0072">
      <w:bodyDiv w:val="1"/>
      <w:marLeft w:val="0"/>
      <w:marRight w:val="0"/>
      <w:marTop w:val="0"/>
      <w:marBottom w:val="0"/>
      <w:divBdr>
        <w:top w:val="none" w:sz="0" w:space="0" w:color="auto"/>
        <w:left w:val="none" w:sz="0" w:space="0" w:color="auto"/>
        <w:bottom w:val="none" w:sz="0" w:space="0" w:color="auto"/>
        <w:right w:val="none" w:sz="0" w:space="0" w:color="auto"/>
      </w:divBdr>
    </w:div>
    <w:div w:id="47925251">
      <w:bodyDiv w:val="1"/>
      <w:marLeft w:val="0"/>
      <w:marRight w:val="0"/>
      <w:marTop w:val="0"/>
      <w:marBottom w:val="0"/>
      <w:divBdr>
        <w:top w:val="none" w:sz="0" w:space="0" w:color="auto"/>
        <w:left w:val="none" w:sz="0" w:space="0" w:color="auto"/>
        <w:bottom w:val="none" w:sz="0" w:space="0" w:color="auto"/>
        <w:right w:val="none" w:sz="0" w:space="0" w:color="auto"/>
      </w:divBdr>
    </w:div>
    <w:div w:id="51540307">
      <w:bodyDiv w:val="1"/>
      <w:marLeft w:val="0"/>
      <w:marRight w:val="0"/>
      <w:marTop w:val="0"/>
      <w:marBottom w:val="0"/>
      <w:divBdr>
        <w:top w:val="none" w:sz="0" w:space="0" w:color="auto"/>
        <w:left w:val="none" w:sz="0" w:space="0" w:color="auto"/>
        <w:bottom w:val="none" w:sz="0" w:space="0" w:color="auto"/>
        <w:right w:val="none" w:sz="0" w:space="0" w:color="auto"/>
      </w:divBdr>
    </w:div>
    <w:div w:id="64765543">
      <w:bodyDiv w:val="1"/>
      <w:marLeft w:val="0"/>
      <w:marRight w:val="0"/>
      <w:marTop w:val="0"/>
      <w:marBottom w:val="0"/>
      <w:divBdr>
        <w:top w:val="none" w:sz="0" w:space="0" w:color="auto"/>
        <w:left w:val="none" w:sz="0" w:space="0" w:color="auto"/>
        <w:bottom w:val="none" w:sz="0" w:space="0" w:color="auto"/>
        <w:right w:val="none" w:sz="0" w:space="0" w:color="auto"/>
      </w:divBdr>
    </w:div>
    <w:div w:id="80568992">
      <w:bodyDiv w:val="1"/>
      <w:marLeft w:val="0"/>
      <w:marRight w:val="0"/>
      <w:marTop w:val="0"/>
      <w:marBottom w:val="0"/>
      <w:divBdr>
        <w:top w:val="none" w:sz="0" w:space="0" w:color="auto"/>
        <w:left w:val="none" w:sz="0" w:space="0" w:color="auto"/>
        <w:bottom w:val="none" w:sz="0" w:space="0" w:color="auto"/>
        <w:right w:val="none" w:sz="0" w:space="0" w:color="auto"/>
      </w:divBdr>
    </w:div>
    <w:div w:id="105469759">
      <w:bodyDiv w:val="1"/>
      <w:marLeft w:val="0"/>
      <w:marRight w:val="0"/>
      <w:marTop w:val="0"/>
      <w:marBottom w:val="0"/>
      <w:divBdr>
        <w:top w:val="none" w:sz="0" w:space="0" w:color="auto"/>
        <w:left w:val="none" w:sz="0" w:space="0" w:color="auto"/>
        <w:bottom w:val="none" w:sz="0" w:space="0" w:color="auto"/>
        <w:right w:val="none" w:sz="0" w:space="0" w:color="auto"/>
      </w:divBdr>
    </w:div>
    <w:div w:id="150947481">
      <w:bodyDiv w:val="1"/>
      <w:marLeft w:val="0"/>
      <w:marRight w:val="0"/>
      <w:marTop w:val="0"/>
      <w:marBottom w:val="0"/>
      <w:divBdr>
        <w:top w:val="none" w:sz="0" w:space="0" w:color="auto"/>
        <w:left w:val="none" w:sz="0" w:space="0" w:color="auto"/>
        <w:bottom w:val="none" w:sz="0" w:space="0" w:color="auto"/>
        <w:right w:val="none" w:sz="0" w:space="0" w:color="auto"/>
      </w:divBdr>
    </w:div>
    <w:div w:id="152182060">
      <w:bodyDiv w:val="1"/>
      <w:marLeft w:val="0"/>
      <w:marRight w:val="0"/>
      <w:marTop w:val="0"/>
      <w:marBottom w:val="0"/>
      <w:divBdr>
        <w:top w:val="none" w:sz="0" w:space="0" w:color="auto"/>
        <w:left w:val="none" w:sz="0" w:space="0" w:color="auto"/>
        <w:bottom w:val="none" w:sz="0" w:space="0" w:color="auto"/>
        <w:right w:val="none" w:sz="0" w:space="0" w:color="auto"/>
      </w:divBdr>
    </w:div>
    <w:div w:id="164636584">
      <w:bodyDiv w:val="1"/>
      <w:marLeft w:val="0"/>
      <w:marRight w:val="0"/>
      <w:marTop w:val="0"/>
      <w:marBottom w:val="0"/>
      <w:divBdr>
        <w:top w:val="none" w:sz="0" w:space="0" w:color="auto"/>
        <w:left w:val="none" w:sz="0" w:space="0" w:color="auto"/>
        <w:bottom w:val="none" w:sz="0" w:space="0" w:color="auto"/>
        <w:right w:val="none" w:sz="0" w:space="0" w:color="auto"/>
      </w:divBdr>
    </w:div>
    <w:div w:id="165823268">
      <w:bodyDiv w:val="1"/>
      <w:marLeft w:val="0"/>
      <w:marRight w:val="0"/>
      <w:marTop w:val="0"/>
      <w:marBottom w:val="0"/>
      <w:divBdr>
        <w:top w:val="none" w:sz="0" w:space="0" w:color="auto"/>
        <w:left w:val="none" w:sz="0" w:space="0" w:color="auto"/>
        <w:bottom w:val="none" w:sz="0" w:space="0" w:color="auto"/>
        <w:right w:val="none" w:sz="0" w:space="0" w:color="auto"/>
      </w:divBdr>
    </w:div>
    <w:div w:id="172040133">
      <w:bodyDiv w:val="1"/>
      <w:marLeft w:val="0"/>
      <w:marRight w:val="0"/>
      <w:marTop w:val="0"/>
      <w:marBottom w:val="0"/>
      <w:divBdr>
        <w:top w:val="none" w:sz="0" w:space="0" w:color="auto"/>
        <w:left w:val="none" w:sz="0" w:space="0" w:color="auto"/>
        <w:bottom w:val="none" w:sz="0" w:space="0" w:color="auto"/>
        <w:right w:val="none" w:sz="0" w:space="0" w:color="auto"/>
      </w:divBdr>
    </w:div>
    <w:div w:id="199392949">
      <w:bodyDiv w:val="1"/>
      <w:marLeft w:val="0"/>
      <w:marRight w:val="0"/>
      <w:marTop w:val="0"/>
      <w:marBottom w:val="0"/>
      <w:divBdr>
        <w:top w:val="none" w:sz="0" w:space="0" w:color="auto"/>
        <w:left w:val="none" w:sz="0" w:space="0" w:color="auto"/>
        <w:bottom w:val="none" w:sz="0" w:space="0" w:color="auto"/>
        <w:right w:val="none" w:sz="0" w:space="0" w:color="auto"/>
      </w:divBdr>
    </w:div>
    <w:div w:id="225187240">
      <w:bodyDiv w:val="1"/>
      <w:marLeft w:val="0"/>
      <w:marRight w:val="0"/>
      <w:marTop w:val="0"/>
      <w:marBottom w:val="0"/>
      <w:divBdr>
        <w:top w:val="none" w:sz="0" w:space="0" w:color="auto"/>
        <w:left w:val="none" w:sz="0" w:space="0" w:color="auto"/>
        <w:bottom w:val="none" w:sz="0" w:space="0" w:color="auto"/>
        <w:right w:val="none" w:sz="0" w:space="0" w:color="auto"/>
      </w:divBdr>
    </w:div>
    <w:div w:id="239294651">
      <w:bodyDiv w:val="1"/>
      <w:marLeft w:val="0"/>
      <w:marRight w:val="0"/>
      <w:marTop w:val="0"/>
      <w:marBottom w:val="0"/>
      <w:divBdr>
        <w:top w:val="none" w:sz="0" w:space="0" w:color="auto"/>
        <w:left w:val="none" w:sz="0" w:space="0" w:color="auto"/>
        <w:bottom w:val="none" w:sz="0" w:space="0" w:color="auto"/>
        <w:right w:val="none" w:sz="0" w:space="0" w:color="auto"/>
      </w:divBdr>
    </w:div>
    <w:div w:id="277299752">
      <w:bodyDiv w:val="1"/>
      <w:marLeft w:val="0"/>
      <w:marRight w:val="0"/>
      <w:marTop w:val="0"/>
      <w:marBottom w:val="0"/>
      <w:divBdr>
        <w:top w:val="none" w:sz="0" w:space="0" w:color="auto"/>
        <w:left w:val="none" w:sz="0" w:space="0" w:color="auto"/>
        <w:bottom w:val="none" w:sz="0" w:space="0" w:color="auto"/>
        <w:right w:val="none" w:sz="0" w:space="0" w:color="auto"/>
      </w:divBdr>
    </w:div>
    <w:div w:id="325019709">
      <w:bodyDiv w:val="1"/>
      <w:marLeft w:val="0"/>
      <w:marRight w:val="0"/>
      <w:marTop w:val="0"/>
      <w:marBottom w:val="0"/>
      <w:divBdr>
        <w:top w:val="none" w:sz="0" w:space="0" w:color="auto"/>
        <w:left w:val="none" w:sz="0" w:space="0" w:color="auto"/>
        <w:bottom w:val="none" w:sz="0" w:space="0" w:color="auto"/>
        <w:right w:val="none" w:sz="0" w:space="0" w:color="auto"/>
      </w:divBdr>
    </w:div>
    <w:div w:id="328366157">
      <w:bodyDiv w:val="1"/>
      <w:marLeft w:val="0"/>
      <w:marRight w:val="0"/>
      <w:marTop w:val="0"/>
      <w:marBottom w:val="0"/>
      <w:divBdr>
        <w:top w:val="none" w:sz="0" w:space="0" w:color="auto"/>
        <w:left w:val="none" w:sz="0" w:space="0" w:color="auto"/>
        <w:bottom w:val="none" w:sz="0" w:space="0" w:color="auto"/>
        <w:right w:val="none" w:sz="0" w:space="0" w:color="auto"/>
      </w:divBdr>
    </w:div>
    <w:div w:id="391470303">
      <w:bodyDiv w:val="1"/>
      <w:marLeft w:val="0"/>
      <w:marRight w:val="0"/>
      <w:marTop w:val="0"/>
      <w:marBottom w:val="0"/>
      <w:divBdr>
        <w:top w:val="none" w:sz="0" w:space="0" w:color="auto"/>
        <w:left w:val="none" w:sz="0" w:space="0" w:color="auto"/>
        <w:bottom w:val="none" w:sz="0" w:space="0" w:color="auto"/>
        <w:right w:val="none" w:sz="0" w:space="0" w:color="auto"/>
      </w:divBdr>
    </w:div>
    <w:div w:id="420374988">
      <w:bodyDiv w:val="1"/>
      <w:marLeft w:val="0"/>
      <w:marRight w:val="0"/>
      <w:marTop w:val="0"/>
      <w:marBottom w:val="0"/>
      <w:divBdr>
        <w:top w:val="none" w:sz="0" w:space="0" w:color="auto"/>
        <w:left w:val="none" w:sz="0" w:space="0" w:color="auto"/>
        <w:bottom w:val="none" w:sz="0" w:space="0" w:color="auto"/>
        <w:right w:val="none" w:sz="0" w:space="0" w:color="auto"/>
      </w:divBdr>
    </w:div>
    <w:div w:id="457185694">
      <w:bodyDiv w:val="1"/>
      <w:marLeft w:val="0"/>
      <w:marRight w:val="0"/>
      <w:marTop w:val="0"/>
      <w:marBottom w:val="0"/>
      <w:divBdr>
        <w:top w:val="none" w:sz="0" w:space="0" w:color="auto"/>
        <w:left w:val="none" w:sz="0" w:space="0" w:color="auto"/>
        <w:bottom w:val="none" w:sz="0" w:space="0" w:color="auto"/>
        <w:right w:val="none" w:sz="0" w:space="0" w:color="auto"/>
      </w:divBdr>
    </w:div>
    <w:div w:id="541132629">
      <w:bodyDiv w:val="1"/>
      <w:marLeft w:val="0"/>
      <w:marRight w:val="0"/>
      <w:marTop w:val="0"/>
      <w:marBottom w:val="0"/>
      <w:divBdr>
        <w:top w:val="none" w:sz="0" w:space="0" w:color="auto"/>
        <w:left w:val="none" w:sz="0" w:space="0" w:color="auto"/>
        <w:bottom w:val="none" w:sz="0" w:space="0" w:color="auto"/>
        <w:right w:val="none" w:sz="0" w:space="0" w:color="auto"/>
      </w:divBdr>
    </w:div>
    <w:div w:id="557013136">
      <w:bodyDiv w:val="1"/>
      <w:marLeft w:val="0"/>
      <w:marRight w:val="0"/>
      <w:marTop w:val="0"/>
      <w:marBottom w:val="0"/>
      <w:divBdr>
        <w:top w:val="none" w:sz="0" w:space="0" w:color="auto"/>
        <w:left w:val="none" w:sz="0" w:space="0" w:color="auto"/>
        <w:bottom w:val="none" w:sz="0" w:space="0" w:color="auto"/>
        <w:right w:val="none" w:sz="0" w:space="0" w:color="auto"/>
      </w:divBdr>
    </w:div>
    <w:div w:id="569655605">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
    <w:div w:id="580138692">
      <w:bodyDiv w:val="1"/>
      <w:marLeft w:val="0"/>
      <w:marRight w:val="0"/>
      <w:marTop w:val="0"/>
      <w:marBottom w:val="0"/>
      <w:divBdr>
        <w:top w:val="none" w:sz="0" w:space="0" w:color="auto"/>
        <w:left w:val="none" w:sz="0" w:space="0" w:color="auto"/>
        <w:bottom w:val="none" w:sz="0" w:space="0" w:color="auto"/>
        <w:right w:val="none" w:sz="0" w:space="0" w:color="auto"/>
      </w:divBdr>
    </w:div>
    <w:div w:id="587740283">
      <w:bodyDiv w:val="1"/>
      <w:marLeft w:val="0"/>
      <w:marRight w:val="0"/>
      <w:marTop w:val="0"/>
      <w:marBottom w:val="0"/>
      <w:divBdr>
        <w:top w:val="none" w:sz="0" w:space="0" w:color="auto"/>
        <w:left w:val="none" w:sz="0" w:space="0" w:color="auto"/>
        <w:bottom w:val="none" w:sz="0" w:space="0" w:color="auto"/>
        <w:right w:val="none" w:sz="0" w:space="0" w:color="auto"/>
      </w:divBdr>
    </w:div>
    <w:div w:id="595797110">
      <w:bodyDiv w:val="1"/>
      <w:marLeft w:val="0"/>
      <w:marRight w:val="0"/>
      <w:marTop w:val="0"/>
      <w:marBottom w:val="0"/>
      <w:divBdr>
        <w:top w:val="none" w:sz="0" w:space="0" w:color="auto"/>
        <w:left w:val="none" w:sz="0" w:space="0" w:color="auto"/>
        <w:bottom w:val="none" w:sz="0" w:space="0" w:color="auto"/>
        <w:right w:val="none" w:sz="0" w:space="0" w:color="auto"/>
      </w:divBdr>
    </w:div>
    <w:div w:id="624964737">
      <w:bodyDiv w:val="1"/>
      <w:marLeft w:val="0"/>
      <w:marRight w:val="0"/>
      <w:marTop w:val="0"/>
      <w:marBottom w:val="0"/>
      <w:divBdr>
        <w:top w:val="none" w:sz="0" w:space="0" w:color="auto"/>
        <w:left w:val="none" w:sz="0" w:space="0" w:color="auto"/>
        <w:bottom w:val="none" w:sz="0" w:space="0" w:color="auto"/>
        <w:right w:val="none" w:sz="0" w:space="0" w:color="auto"/>
      </w:divBdr>
    </w:div>
    <w:div w:id="628701706">
      <w:bodyDiv w:val="1"/>
      <w:marLeft w:val="0"/>
      <w:marRight w:val="0"/>
      <w:marTop w:val="0"/>
      <w:marBottom w:val="0"/>
      <w:divBdr>
        <w:top w:val="none" w:sz="0" w:space="0" w:color="auto"/>
        <w:left w:val="none" w:sz="0" w:space="0" w:color="auto"/>
        <w:bottom w:val="none" w:sz="0" w:space="0" w:color="auto"/>
        <w:right w:val="none" w:sz="0" w:space="0" w:color="auto"/>
      </w:divBdr>
    </w:div>
    <w:div w:id="659895426">
      <w:bodyDiv w:val="1"/>
      <w:marLeft w:val="0"/>
      <w:marRight w:val="0"/>
      <w:marTop w:val="0"/>
      <w:marBottom w:val="0"/>
      <w:divBdr>
        <w:top w:val="none" w:sz="0" w:space="0" w:color="auto"/>
        <w:left w:val="none" w:sz="0" w:space="0" w:color="auto"/>
        <w:bottom w:val="none" w:sz="0" w:space="0" w:color="auto"/>
        <w:right w:val="none" w:sz="0" w:space="0" w:color="auto"/>
      </w:divBdr>
    </w:div>
    <w:div w:id="665790221">
      <w:bodyDiv w:val="1"/>
      <w:marLeft w:val="0"/>
      <w:marRight w:val="0"/>
      <w:marTop w:val="0"/>
      <w:marBottom w:val="0"/>
      <w:divBdr>
        <w:top w:val="none" w:sz="0" w:space="0" w:color="auto"/>
        <w:left w:val="none" w:sz="0" w:space="0" w:color="auto"/>
        <w:bottom w:val="none" w:sz="0" w:space="0" w:color="auto"/>
        <w:right w:val="none" w:sz="0" w:space="0" w:color="auto"/>
      </w:divBdr>
    </w:div>
    <w:div w:id="686952595">
      <w:bodyDiv w:val="1"/>
      <w:marLeft w:val="0"/>
      <w:marRight w:val="0"/>
      <w:marTop w:val="0"/>
      <w:marBottom w:val="0"/>
      <w:divBdr>
        <w:top w:val="none" w:sz="0" w:space="0" w:color="auto"/>
        <w:left w:val="none" w:sz="0" w:space="0" w:color="auto"/>
        <w:bottom w:val="none" w:sz="0" w:space="0" w:color="auto"/>
        <w:right w:val="none" w:sz="0" w:space="0" w:color="auto"/>
      </w:divBdr>
    </w:div>
    <w:div w:id="696321563">
      <w:bodyDiv w:val="1"/>
      <w:marLeft w:val="0"/>
      <w:marRight w:val="0"/>
      <w:marTop w:val="0"/>
      <w:marBottom w:val="0"/>
      <w:divBdr>
        <w:top w:val="none" w:sz="0" w:space="0" w:color="auto"/>
        <w:left w:val="none" w:sz="0" w:space="0" w:color="auto"/>
        <w:bottom w:val="none" w:sz="0" w:space="0" w:color="auto"/>
        <w:right w:val="none" w:sz="0" w:space="0" w:color="auto"/>
      </w:divBdr>
    </w:div>
    <w:div w:id="761953390">
      <w:bodyDiv w:val="1"/>
      <w:marLeft w:val="0"/>
      <w:marRight w:val="0"/>
      <w:marTop w:val="0"/>
      <w:marBottom w:val="0"/>
      <w:divBdr>
        <w:top w:val="none" w:sz="0" w:space="0" w:color="auto"/>
        <w:left w:val="none" w:sz="0" w:space="0" w:color="auto"/>
        <w:bottom w:val="none" w:sz="0" w:space="0" w:color="auto"/>
        <w:right w:val="none" w:sz="0" w:space="0" w:color="auto"/>
      </w:divBdr>
    </w:div>
    <w:div w:id="768084674">
      <w:bodyDiv w:val="1"/>
      <w:marLeft w:val="0"/>
      <w:marRight w:val="0"/>
      <w:marTop w:val="0"/>
      <w:marBottom w:val="0"/>
      <w:divBdr>
        <w:top w:val="none" w:sz="0" w:space="0" w:color="auto"/>
        <w:left w:val="none" w:sz="0" w:space="0" w:color="auto"/>
        <w:bottom w:val="none" w:sz="0" w:space="0" w:color="auto"/>
        <w:right w:val="none" w:sz="0" w:space="0" w:color="auto"/>
      </w:divBdr>
    </w:div>
    <w:div w:id="774522341">
      <w:bodyDiv w:val="1"/>
      <w:marLeft w:val="0"/>
      <w:marRight w:val="0"/>
      <w:marTop w:val="0"/>
      <w:marBottom w:val="0"/>
      <w:divBdr>
        <w:top w:val="none" w:sz="0" w:space="0" w:color="auto"/>
        <w:left w:val="none" w:sz="0" w:space="0" w:color="auto"/>
        <w:bottom w:val="none" w:sz="0" w:space="0" w:color="auto"/>
        <w:right w:val="none" w:sz="0" w:space="0" w:color="auto"/>
      </w:divBdr>
    </w:div>
    <w:div w:id="81757317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1459343">
      <w:bodyDiv w:val="1"/>
      <w:marLeft w:val="0"/>
      <w:marRight w:val="0"/>
      <w:marTop w:val="0"/>
      <w:marBottom w:val="0"/>
      <w:divBdr>
        <w:top w:val="none" w:sz="0" w:space="0" w:color="auto"/>
        <w:left w:val="none" w:sz="0" w:space="0" w:color="auto"/>
        <w:bottom w:val="none" w:sz="0" w:space="0" w:color="auto"/>
        <w:right w:val="none" w:sz="0" w:space="0" w:color="auto"/>
      </w:divBdr>
    </w:div>
    <w:div w:id="852299406">
      <w:bodyDiv w:val="1"/>
      <w:marLeft w:val="0"/>
      <w:marRight w:val="0"/>
      <w:marTop w:val="0"/>
      <w:marBottom w:val="0"/>
      <w:divBdr>
        <w:top w:val="none" w:sz="0" w:space="0" w:color="auto"/>
        <w:left w:val="none" w:sz="0" w:space="0" w:color="auto"/>
        <w:bottom w:val="none" w:sz="0" w:space="0" w:color="auto"/>
        <w:right w:val="none" w:sz="0" w:space="0" w:color="auto"/>
      </w:divBdr>
    </w:div>
    <w:div w:id="857741330">
      <w:bodyDiv w:val="1"/>
      <w:marLeft w:val="0"/>
      <w:marRight w:val="0"/>
      <w:marTop w:val="0"/>
      <w:marBottom w:val="0"/>
      <w:divBdr>
        <w:top w:val="none" w:sz="0" w:space="0" w:color="auto"/>
        <w:left w:val="none" w:sz="0" w:space="0" w:color="auto"/>
        <w:bottom w:val="none" w:sz="0" w:space="0" w:color="auto"/>
        <w:right w:val="none" w:sz="0" w:space="0" w:color="auto"/>
      </w:divBdr>
    </w:div>
    <w:div w:id="871724840">
      <w:bodyDiv w:val="1"/>
      <w:marLeft w:val="0"/>
      <w:marRight w:val="0"/>
      <w:marTop w:val="0"/>
      <w:marBottom w:val="0"/>
      <w:divBdr>
        <w:top w:val="none" w:sz="0" w:space="0" w:color="auto"/>
        <w:left w:val="none" w:sz="0" w:space="0" w:color="auto"/>
        <w:bottom w:val="none" w:sz="0" w:space="0" w:color="auto"/>
        <w:right w:val="none" w:sz="0" w:space="0" w:color="auto"/>
      </w:divBdr>
    </w:div>
    <w:div w:id="928000750">
      <w:bodyDiv w:val="1"/>
      <w:marLeft w:val="0"/>
      <w:marRight w:val="0"/>
      <w:marTop w:val="0"/>
      <w:marBottom w:val="0"/>
      <w:divBdr>
        <w:top w:val="none" w:sz="0" w:space="0" w:color="auto"/>
        <w:left w:val="none" w:sz="0" w:space="0" w:color="auto"/>
        <w:bottom w:val="none" w:sz="0" w:space="0" w:color="auto"/>
        <w:right w:val="none" w:sz="0" w:space="0" w:color="auto"/>
      </w:divBdr>
    </w:div>
    <w:div w:id="954752038">
      <w:bodyDiv w:val="1"/>
      <w:marLeft w:val="0"/>
      <w:marRight w:val="0"/>
      <w:marTop w:val="0"/>
      <w:marBottom w:val="0"/>
      <w:divBdr>
        <w:top w:val="none" w:sz="0" w:space="0" w:color="auto"/>
        <w:left w:val="none" w:sz="0" w:space="0" w:color="auto"/>
        <w:bottom w:val="none" w:sz="0" w:space="0" w:color="auto"/>
        <w:right w:val="none" w:sz="0" w:space="0" w:color="auto"/>
      </w:divBdr>
    </w:div>
    <w:div w:id="966356280">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33767369">
      <w:bodyDiv w:val="1"/>
      <w:marLeft w:val="0"/>
      <w:marRight w:val="0"/>
      <w:marTop w:val="0"/>
      <w:marBottom w:val="0"/>
      <w:divBdr>
        <w:top w:val="none" w:sz="0" w:space="0" w:color="auto"/>
        <w:left w:val="none" w:sz="0" w:space="0" w:color="auto"/>
        <w:bottom w:val="none" w:sz="0" w:space="0" w:color="auto"/>
        <w:right w:val="none" w:sz="0" w:space="0" w:color="auto"/>
      </w:divBdr>
    </w:div>
    <w:div w:id="1092622623">
      <w:bodyDiv w:val="1"/>
      <w:marLeft w:val="0"/>
      <w:marRight w:val="0"/>
      <w:marTop w:val="0"/>
      <w:marBottom w:val="0"/>
      <w:divBdr>
        <w:top w:val="none" w:sz="0" w:space="0" w:color="auto"/>
        <w:left w:val="none" w:sz="0" w:space="0" w:color="auto"/>
        <w:bottom w:val="none" w:sz="0" w:space="0" w:color="auto"/>
        <w:right w:val="none" w:sz="0" w:space="0" w:color="auto"/>
      </w:divBdr>
    </w:div>
    <w:div w:id="1102409827">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63855686">
      <w:bodyDiv w:val="1"/>
      <w:marLeft w:val="0"/>
      <w:marRight w:val="0"/>
      <w:marTop w:val="0"/>
      <w:marBottom w:val="0"/>
      <w:divBdr>
        <w:top w:val="none" w:sz="0" w:space="0" w:color="auto"/>
        <w:left w:val="none" w:sz="0" w:space="0" w:color="auto"/>
        <w:bottom w:val="none" w:sz="0" w:space="0" w:color="auto"/>
        <w:right w:val="none" w:sz="0" w:space="0" w:color="auto"/>
      </w:divBdr>
    </w:div>
    <w:div w:id="1171946203">
      <w:bodyDiv w:val="1"/>
      <w:marLeft w:val="0"/>
      <w:marRight w:val="0"/>
      <w:marTop w:val="0"/>
      <w:marBottom w:val="0"/>
      <w:divBdr>
        <w:top w:val="none" w:sz="0" w:space="0" w:color="auto"/>
        <w:left w:val="none" w:sz="0" w:space="0" w:color="auto"/>
        <w:bottom w:val="none" w:sz="0" w:space="0" w:color="auto"/>
        <w:right w:val="none" w:sz="0" w:space="0" w:color="auto"/>
      </w:divBdr>
    </w:div>
    <w:div w:id="1182667071">
      <w:bodyDiv w:val="1"/>
      <w:marLeft w:val="0"/>
      <w:marRight w:val="0"/>
      <w:marTop w:val="0"/>
      <w:marBottom w:val="0"/>
      <w:divBdr>
        <w:top w:val="none" w:sz="0" w:space="0" w:color="auto"/>
        <w:left w:val="none" w:sz="0" w:space="0" w:color="auto"/>
        <w:bottom w:val="none" w:sz="0" w:space="0" w:color="auto"/>
        <w:right w:val="none" w:sz="0" w:space="0" w:color="auto"/>
      </w:divBdr>
      <w:divsChild>
        <w:div w:id="189146817">
          <w:marLeft w:val="0"/>
          <w:marRight w:val="0"/>
          <w:marTop w:val="0"/>
          <w:marBottom w:val="0"/>
          <w:divBdr>
            <w:top w:val="none" w:sz="0" w:space="0" w:color="auto"/>
            <w:left w:val="none" w:sz="0" w:space="0" w:color="auto"/>
            <w:bottom w:val="none" w:sz="0" w:space="0" w:color="auto"/>
            <w:right w:val="none" w:sz="0" w:space="0" w:color="auto"/>
          </w:divBdr>
        </w:div>
        <w:div w:id="391731797">
          <w:marLeft w:val="0"/>
          <w:marRight w:val="0"/>
          <w:marTop w:val="0"/>
          <w:marBottom w:val="0"/>
          <w:divBdr>
            <w:top w:val="none" w:sz="0" w:space="0" w:color="auto"/>
            <w:left w:val="none" w:sz="0" w:space="0" w:color="auto"/>
            <w:bottom w:val="none" w:sz="0" w:space="0" w:color="auto"/>
            <w:right w:val="none" w:sz="0" w:space="0" w:color="auto"/>
          </w:divBdr>
        </w:div>
        <w:div w:id="1225019944">
          <w:marLeft w:val="0"/>
          <w:marRight w:val="0"/>
          <w:marTop w:val="0"/>
          <w:marBottom w:val="0"/>
          <w:divBdr>
            <w:top w:val="none" w:sz="0" w:space="0" w:color="auto"/>
            <w:left w:val="none" w:sz="0" w:space="0" w:color="auto"/>
            <w:bottom w:val="none" w:sz="0" w:space="0" w:color="auto"/>
            <w:right w:val="none" w:sz="0" w:space="0" w:color="auto"/>
          </w:divBdr>
        </w:div>
        <w:div w:id="1417244848">
          <w:marLeft w:val="0"/>
          <w:marRight w:val="0"/>
          <w:marTop w:val="0"/>
          <w:marBottom w:val="0"/>
          <w:divBdr>
            <w:top w:val="none" w:sz="0" w:space="0" w:color="auto"/>
            <w:left w:val="none" w:sz="0" w:space="0" w:color="auto"/>
            <w:bottom w:val="none" w:sz="0" w:space="0" w:color="auto"/>
            <w:right w:val="none" w:sz="0" w:space="0" w:color="auto"/>
          </w:divBdr>
        </w:div>
        <w:div w:id="2056199199">
          <w:marLeft w:val="0"/>
          <w:marRight w:val="0"/>
          <w:marTop w:val="0"/>
          <w:marBottom w:val="0"/>
          <w:divBdr>
            <w:top w:val="none" w:sz="0" w:space="0" w:color="auto"/>
            <w:left w:val="none" w:sz="0" w:space="0" w:color="auto"/>
            <w:bottom w:val="none" w:sz="0" w:space="0" w:color="auto"/>
            <w:right w:val="none" w:sz="0" w:space="0" w:color="auto"/>
          </w:divBdr>
        </w:div>
      </w:divsChild>
    </w:div>
    <w:div w:id="1223444193">
      <w:bodyDiv w:val="1"/>
      <w:marLeft w:val="0"/>
      <w:marRight w:val="0"/>
      <w:marTop w:val="0"/>
      <w:marBottom w:val="0"/>
      <w:divBdr>
        <w:top w:val="none" w:sz="0" w:space="0" w:color="auto"/>
        <w:left w:val="none" w:sz="0" w:space="0" w:color="auto"/>
        <w:bottom w:val="none" w:sz="0" w:space="0" w:color="auto"/>
        <w:right w:val="none" w:sz="0" w:space="0" w:color="auto"/>
      </w:divBdr>
    </w:div>
    <w:div w:id="1255163771">
      <w:bodyDiv w:val="1"/>
      <w:marLeft w:val="0"/>
      <w:marRight w:val="0"/>
      <w:marTop w:val="0"/>
      <w:marBottom w:val="0"/>
      <w:divBdr>
        <w:top w:val="none" w:sz="0" w:space="0" w:color="auto"/>
        <w:left w:val="none" w:sz="0" w:space="0" w:color="auto"/>
        <w:bottom w:val="none" w:sz="0" w:space="0" w:color="auto"/>
        <w:right w:val="none" w:sz="0" w:space="0" w:color="auto"/>
      </w:divBdr>
    </w:div>
    <w:div w:id="1256211629">
      <w:bodyDiv w:val="1"/>
      <w:marLeft w:val="0"/>
      <w:marRight w:val="0"/>
      <w:marTop w:val="0"/>
      <w:marBottom w:val="0"/>
      <w:divBdr>
        <w:top w:val="none" w:sz="0" w:space="0" w:color="auto"/>
        <w:left w:val="none" w:sz="0" w:space="0" w:color="auto"/>
        <w:bottom w:val="none" w:sz="0" w:space="0" w:color="auto"/>
        <w:right w:val="none" w:sz="0" w:space="0" w:color="auto"/>
      </w:divBdr>
    </w:div>
    <w:div w:id="1270891289">
      <w:bodyDiv w:val="1"/>
      <w:marLeft w:val="0"/>
      <w:marRight w:val="0"/>
      <w:marTop w:val="0"/>
      <w:marBottom w:val="0"/>
      <w:divBdr>
        <w:top w:val="none" w:sz="0" w:space="0" w:color="auto"/>
        <w:left w:val="none" w:sz="0" w:space="0" w:color="auto"/>
        <w:bottom w:val="none" w:sz="0" w:space="0" w:color="auto"/>
        <w:right w:val="none" w:sz="0" w:space="0" w:color="auto"/>
      </w:divBdr>
    </w:div>
    <w:div w:id="1290933806">
      <w:bodyDiv w:val="1"/>
      <w:marLeft w:val="0"/>
      <w:marRight w:val="0"/>
      <w:marTop w:val="0"/>
      <w:marBottom w:val="0"/>
      <w:divBdr>
        <w:top w:val="none" w:sz="0" w:space="0" w:color="auto"/>
        <w:left w:val="none" w:sz="0" w:space="0" w:color="auto"/>
        <w:bottom w:val="none" w:sz="0" w:space="0" w:color="auto"/>
        <w:right w:val="none" w:sz="0" w:space="0" w:color="auto"/>
      </w:divBdr>
    </w:div>
    <w:div w:id="1300497033">
      <w:bodyDiv w:val="1"/>
      <w:marLeft w:val="0"/>
      <w:marRight w:val="0"/>
      <w:marTop w:val="0"/>
      <w:marBottom w:val="0"/>
      <w:divBdr>
        <w:top w:val="none" w:sz="0" w:space="0" w:color="auto"/>
        <w:left w:val="none" w:sz="0" w:space="0" w:color="auto"/>
        <w:bottom w:val="none" w:sz="0" w:space="0" w:color="auto"/>
        <w:right w:val="none" w:sz="0" w:space="0" w:color="auto"/>
      </w:divBdr>
      <w:divsChild>
        <w:div w:id="708266941">
          <w:marLeft w:val="0"/>
          <w:marRight w:val="0"/>
          <w:marTop w:val="0"/>
          <w:marBottom w:val="0"/>
          <w:divBdr>
            <w:top w:val="none" w:sz="0" w:space="0" w:color="auto"/>
            <w:left w:val="none" w:sz="0" w:space="0" w:color="auto"/>
            <w:bottom w:val="none" w:sz="0" w:space="0" w:color="auto"/>
            <w:right w:val="none" w:sz="0" w:space="0" w:color="auto"/>
          </w:divBdr>
        </w:div>
        <w:div w:id="750081430">
          <w:marLeft w:val="0"/>
          <w:marRight w:val="0"/>
          <w:marTop w:val="0"/>
          <w:marBottom w:val="0"/>
          <w:divBdr>
            <w:top w:val="none" w:sz="0" w:space="0" w:color="auto"/>
            <w:left w:val="none" w:sz="0" w:space="0" w:color="auto"/>
            <w:bottom w:val="none" w:sz="0" w:space="0" w:color="auto"/>
            <w:right w:val="none" w:sz="0" w:space="0" w:color="auto"/>
          </w:divBdr>
        </w:div>
        <w:div w:id="879853276">
          <w:marLeft w:val="0"/>
          <w:marRight w:val="0"/>
          <w:marTop w:val="0"/>
          <w:marBottom w:val="0"/>
          <w:divBdr>
            <w:top w:val="none" w:sz="0" w:space="0" w:color="auto"/>
            <w:left w:val="none" w:sz="0" w:space="0" w:color="auto"/>
            <w:bottom w:val="none" w:sz="0" w:space="0" w:color="auto"/>
            <w:right w:val="none" w:sz="0" w:space="0" w:color="auto"/>
          </w:divBdr>
        </w:div>
        <w:div w:id="1798259875">
          <w:marLeft w:val="0"/>
          <w:marRight w:val="0"/>
          <w:marTop w:val="0"/>
          <w:marBottom w:val="0"/>
          <w:divBdr>
            <w:top w:val="none" w:sz="0" w:space="0" w:color="auto"/>
            <w:left w:val="none" w:sz="0" w:space="0" w:color="auto"/>
            <w:bottom w:val="none" w:sz="0" w:space="0" w:color="auto"/>
            <w:right w:val="none" w:sz="0" w:space="0" w:color="auto"/>
          </w:divBdr>
        </w:div>
        <w:div w:id="1806699001">
          <w:marLeft w:val="0"/>
          <w:marRight w:val="0"/>
          <w:marTop w:val="0"/>
          <w:marBottom w:val="0"/>
          <w:divBdr>
            <w:top w:val="none" w:sz="0" w:space="0" w:color="auto"/>
            <w:left w:val="none" w:sz="0" w:space="0" w:color="auto"/>
            <w:bottom w:val="none" w:sz="0" w:space="0" w:color="auto"/>
            <w:right w:val="none" w:sz="0" w:space="0" w:color="auto"/>
          </w:divBdr>
        </w:div>
      </w:divsChild>
    </w:div>
    <w:div w:id="1330207386">
      <w:bodyDiv w:val="1"/>
      <w:marLeft w:val="0"/>
      <w:marRight w:val="0"/>
      <w:marTop w:val="0"/>
      <w:marBottom w:val="0"/>
      <w:divBdr>
        <w:top w:val="none" w:sz="0" w:space="0" w:color="auto"/>
        <w:left w:val="none" w:sz="0" w:space="0" w:color="auto"/>
        <w:bottom w:val="none" w:sz="0" w:space="0" w:color="auto"/>
        <w:right w:val="none" w:sz="0" w:space="0" w:color="auto"/>
      </w:divBdr>
    </w:div>
    <w:div w:id="1350449719">
      <w:bodyDiv w:val="1"/>
      <w:marLeft w:val="0"/>
      <w:marRight w:val="0"/>
      <w:marTop w:val="0"/>
      <w:marBottom w:val="0"/>
      <w:divBdr>
        <w:top w:val="none" w:sz="0" w:space="0" w:color="auto"/>
        <w:left w:val="none" w:sz="0" w:space="0" w:color="auto"/>
        <w:bottom w:val="none" w:sz="0" w:space="0" w:color="auto"/>
        <w:right w:val="none" w:sz="0" w:space="0" w:color="auto"/>
      </w:divBdr>
    </w:div>
    <w:div w:id="1356998388">
      <w:bodyDiv w:val="1"/>
      <w:marLeft w:val="0"/>
      <w:marRight w:val="0"/>
      <w:marTop w:val="0"/>
      <w:marBottom w:val="0"/>
      <w:divBdr>
        <w:top w:val="none" w:sz="0" w:space="0" w:color="auto"/>
        <w:left w:val="none" w:sz="0" w:space="0" w:color="auto"/>
        <w:bottom w:val="none" w:sz="0" w:space="0" w:color="auto"/>
        <w:right w:val="none" w:sz="0" w:space="0" w:color="auto"/>
      </w:divBdr>
    </w:div>
    <w:div w:id="1376468999">
      <w:bodyDiv w:val="1"/>
      <w:marLeft w:val="0"/>
      <w:marRight w:val="0"/>
      <w:marTop w:val="0"/>
      <w:marBottom w:val="0"/>
      <w:divBdr>
        <w:top w:val="none" w:sz="0" w:space="0" w:color="auto"/>
        <w:left w:val="none" w:sz="0" w:space="0" w:color="auto"/>
        <w:bottom w:val="none" w:sz="0" w:space="0" w:color="auto"/>
        <w:right w:val="none" w:sz="0" w:space="0" w:color="auto"/>
      </w:divBdr>
    </w:div>
    <w:div w:id="1436946650">
      <w:bodyDiv w:val="1"/>
      <w:marLeft w:val="0"/>
      <w:marRight w:val="0"/>
      <w:marTop w:val="0"/>
      <w:marBottom w:val="0"/>
      <w:divBdr>
        <w:top w:val="none" w:sz="0" w:space="0" w:color="auto"/>
        <w:left w:val="none" w:sz="0" w:space="0" w:color="auto"/>
        <w:bottom w:val="none" w:sz="0" w:space="0" w:color="auto"/>
        <w:right w:val="none" w:sz="0" w:space="0" w:color="auto"/>
      </w:divBdr>
    </w:div>
    <w:div w:id="1453328056">
      <w:bodyDiv w:val="1"/>
      <w:marLeft w:val="0"/>
      <w:marRight w:val="0"/>
      <w:marTop w:val="0"/>
      <w:marBottom w:val="0"/>
      <w:divBdr>
        <w:top w:val="none" w:sz="0" w:space="0" w:color="auto"/>
        <w:left w:val="none" w:sz="0" w:space="0" w:color="auto"/>
        <w:bottom w:val="none" w:sz="0" w:space="0" w:color="auto"/>
        <w:right w:val="none" w:sz="0" w:space="0" w:color="auto"/>
      </w:divBdr>
    </w:div>
    <w:div w:id="1486125474">
      <w:bodyDiv w:val="1"/>
      <w:marLeft w:val="0"/>
      <w:marRight w:val="0"/>
      <w:marTop w:val="0"/>
      <w:marBottom w:val="0"/>
      <w:divBdr>
        <w:top w:val="none" w:sz="0" w:space="0" w:color="auto"/>
        <w:left w:val="none" w:sz="0" w:space="0" w:color="auto"/>
        <w:bottom w:val="none" w:sz="0" w:space="0" w:color="auto"/>
        <w:right w:val="none" w:sz="0" w:space="0" w:color="auto"/>
      </w:divBdr>
    </w:div>
    <w:div w:id="1518034449">
      <w:bodyDiv w:val="1"/>
      <w:marLeft w:val="0"/>
      <w:marRight w:val="0"/>
      <w:marTop w:val="0"/>
      <w:marBottom w:val="0"/>
      <w:divBdr>
        <w:top w:val="none" w:sz="0" w:space="0" w:color="auto"/>
        <w:left w:val="none" w:sz="0" w:space="0" w:color="auto"/>
        <w:bottom w:val="none" w:sz="0" w:space="0" w:color="auto"/>
        <w:right w:val="none" w:sz="0" w:space="0" w:color="auto"/>
      </w:divBdr>
    </w:div>
    <w:div w:id="1518689519">
      <w:bodyDiv w:val="1"/>
      <w:marLeft w:val="0"/>
      <w:marRight w:val="0"/>
      <w:marTop w:val="0"/>
      <w:marBottom w:val="0"/>
      <w:divBdr>
        <w:top w:val="none" w:sz="0" w:space="0" w:color="auto"/>
        <w:left w:val="none" w:sz="0" w:space="0" w:color="auto"/>
        <w:bottom w:val="none" w:sz="0" w:space="0" w:color="auto"/>
        <w:right w:val="none" w:sz="0" w:space="0" w:color="auto"/>
      </w:divBdr>
    </w:div>
    <w:div w:id="1537237684">
      <w:bodyDiv w:val="1"/>
      <w:marLeft w:val="0"/>
      <w:marRight w:val="0"/>
      <w:marTop w:val="0"/>
      <w:marBottom w:val="0"/>
      <w:divBdr>
        <w:top w:val="none" w:sz="0" w:space="0" w:color="auto"/>
        <w:left w:val="none" w:sz="0" w:space="0" w:color="auto"/>
        <w:bottom w:val="none" w:sz="0" w:space="0" w:color="auto"/>
        <w:right w:val="none" w:sz="0" w:space="0" w:color="auto"/>
      </w:divBdr>
    </w:div>
    <w:div w:id="1552500727">
      <w:bodyDiv w:val="1"/>
      <w:marLeft w:val="0"/>
      <w:marRight w:val="0"/>
      <w:marTop w:val="0"/>
      <w:marBottom w:val="0"/>
      <w:divBdr>
        <w:top w:val="none" w:sz="0" w:space="0" w:color="auto"/>
        <w:left w:val="none" w:sz="0" w:space="0" w:color="auto"/>
        <w:bottom w:val="none" w:sz="0" w:space="0" w:color="auto"/>
        <w:right w:val="none" w:sz="0" w:space="0" w:color="auto"/>
      </w:divBdr>
    </w:div>
    <w:div w:id="1602494554">
      <w:bodyDiv w:val="1"/>
      <w:marLeft w:val="0"/>
      <w:marRight w:val="0"/>
      <w:marTop w:val="0"/>
      <w:marBottom w:val="0"/>
      <w:divBdr>
        <w:top w:val="none" w:sz="0" w:space="0" w:color="auto"/>
        <w:left w:val="none" w:sz="0" w:space="0" w:color="auto"/>
        <w:bottom w:val="none" w:sz="0" w:space="0" w:color="auto"/>
        <w:right w:val="none" w:sz="0" w:space="0" w:color="auto"/>
      </w:divBdr>
    </w:div>
    <w:div w:id="1618218192">
      <w:bodyDiv w:val="1"/>
      <w:marLeft w:val="0"/>
      <w:marRight w:val="0"/>
      <w:marTop w:val="0"/>
      <w:marBottom w:val="0"/>
      <w:divBdr>
        <w:top w:val="none" w:sz="0" w:space="0" w:color="auto"/>
        <w:left w:val="none" w:sz="0" w:space="0" w:color="auto"/>
        <w:bottom w:val="none" w:sz="0" w:space="0" w:color="auto"/>
        <w:right w:val="none" w:sz="0" w:space="0" w:color="auto"/>
      </w:divBdr>
    </w:div>
    <w:div w:id="1631859767">
      <w:bodyDiv w:val="1"/>
      <w:marLeft w:val="0"/>
      <w:marRight w:val="0"/>
      <w:marTop w:val="0"/>
      <w:marBottom w:val="0"/>
      <w:divBdr>
        <w:top w:val="none" w:sz="0" w:space="0" w:color="auto"/>
        <w:left w:val="none" w:sz="0" w:space="0" w:color="auto"/>
        <w:bottom w:val="none" w:sz="0" w:space="0" w:color="auto"/>
        <w:right w:val="none" w:sz="0" w:space="0" w:color="auto"/>
      </w:divBdr>
    </w:div>
    <w:div w:id="1678343836">
      <w:bodyDiv w:val="1"/>
      <w:marLeft w:val="0"/>
      <w:marRight w:val="0"/>
      <w:marTop w:val="0"/>
      <w:marBottom w:val="0"/>
      <w:divBdr>
        <w:top w:val="none" w:sz="0" w:space="0" w:color="auto"/>
        <w:left w:val="none" w:sz="0" w:space="0" w:color="auto"/>
        <w:bottom w:val="none" w:sz="0" w:space="0" w:color="auto"/>
        <w:right w:val="none" w:sz="0" w:space="0" w:color="auto"/>
      </w:divBdr>
    </w:div>
    <w:div w:id="1685017126">
      <w:bodyDiv w:val="1"/>
      <w:marLeft w:val="0"/>
      <w:marRight w:val="0"/>
      <w:marTop w:val="0"/>
      <w:marBottom w:val="0"/>
      <w:divBdr>
        <w:top w:val="none" w:sz="0" w:space="0" w:color="auto"/>
        <w:left w:val="none" w:sz="0" w:space="0" w:color="auto"/>
        <w:bottom w:val="none" w:sz="0" w:space="0" w:color="auto"/>
        <w:right w:val="none" w:sz="0" w:space="0" w:color="auto"/>
      </w:divBdr>
    </w:div>
    <w:div w:id="1690333056">
      <w:bodyDiv w:val="1"/>
      <w:marLeft w:val="0"/>
      <w:marRight w:val="0"/>
      <w:marTop w:val="0"/>
      <w:marBottom w:val="0"/>
      <w:divBdr>
        <w:top w:val="none" w:sz="0" w:space="0" w:color="auto"/>
        <w:left w:val="none" w:sz="0" w:space="0" w:color="auto"/>
        <w:bottom w:val="none" w:sz="0" w:space="0" w:color="auto"/>
        <w:right w:val="none" w:sz="0" w:space="0" w:color="auto"/>
      </w:divBdr>
    </w:div>
    <w:div w:id="1711607387">
      <w:bodyDiv w:val="1"/>
      <w:marLeft w:val="0"/>
      <w:marRight w:val="0"/>
      <w:marTop w:val="0"/>
      <w:marBottom w:val="0"/>
      <w:divBdr>
        <w:top w:val="none" w:sz="0" w:space="0" w:color="auto"/>
        <w:left w:val="none" w:sz="0" w:space="0" w:color="auto"/>
        <w:bottom w:val="none" w:sz="0" w:space="0" w:color="auto"/>
        <w:right w:val="none" w:sz="0" w:space="0" w:color="auto"/>
      </w:divBdr>
    </w:div>
    <w:div w:id="1716731672">
      <w:bodyDiv w:val="1"/>
      <w:marLeft w:val="0"/>
      <w:marRight w:val="0"/>
      <w:marTop w:val="0"/>
      <w:marBottom w:val="0"/>
      <w:divBdr>
        <w:top w:val="none" w:sz="0" w:space="0" w:color="auto"/>
        <w:left w:val="none" w:sz="0" w:space="0" w:color="auto"/>
        <w:bottom w:val="none" w:sz="0" w:space="0" w:color="auto"/>
        <w:right w:val="none" w:sz="0" w:space="0" w:color="auto"/>
      </w:divBdr>
    </w:div>
    <w:div w:id="1752968348">
      <w:bodyDiv w:val="1"/>
      <w:marLeft w:val="0"/>
      <w:marRight w:val="0"/>
      <w:marTop w:val="0"/>
      <w:marBottom w:val="0"/>
      <w:divBdr>
        <w:top w:val="none" w:sz="0" w:space="0" w:color="auto"/>
        <w:left w:val="none" w:sz="0" w:space="0" w:color="auto"/>
        <w:bottom w:val="none" w:sz="0" w:space="0" w:color="auto"/>
        <w:right w:val="none" w:sz="0" w:space="0" w:color="auto"/>
      </w:divBdr>
    </w:div>
    <w:div w:id="1763985938">
      <w:bodyDiv w:val="1"/>
      <w:marLeft w:val="0"/>
      <w:marRight w:val="0"/>
      <w:marTop w:val="0"/>
      <w:marBottom w:val="0"/>
      <w:divBdr>
        <w:top w:val="none" w:sz="0" w:space="0" w:color="auto"/>
        <w:left w:val="none" w:sz="0" w:space="0" w:color="auto"/>
        <w:bottom w:val="none" w:sz="0" w:space="0" w:color="auto"/>
        <w:right w:val="none" w:sz="0" w:space="0" w:color="auto"/>
      </w:divBdr>
    </w:div>
    <w:div w:id="1781602759">
      <w:bodyDiv w:val="1"/>
      <w:marLeft w:val="0"/>
      <w:marRight w:val="0"/>
      <w:marTop w:val="0"/>
      <w:marBottom w:val="0"/>
      <w:divBdr>
        <w:top w:val="none" w:sz="0" w:space="0" w:color="auto"/>
        <w:left w:val="none" w:sz="0" w:space="0" w:color="auto"/>
        <w:bottom w:val="none" w:sz="0" w:space="0" w:color="auto"/>
        <w:right w:val="none" w:sz="0" w:space="0" w:color="auto"/>
      </w:divBdr>
    </w:div>
    <w:div w:id="1825396094">
      <w:bodyDiv w:val="1"/>
      <w:marLeft w:val="0"/>
      <w:marRight w:val="0"/>
      <w:marTop w:val="0"/>
      <w:marBottom w:val="0"/>
      <w:divBdr>
        <w:top w:val="none" w:sz="0" w:space="0" w:color="auto"/>
        <w:left w:val="none" w:sz="0" w:space="0" w:color="auto"/>
        <w:bottom w:val="none" w:sz="0" w:space="0" w:color="auto"/>
        <w:right w:val="none" w:sz="0" w:space="0" w:color="auto"/>
      </w:divBdr>
    </w:div>
    <w:div w:id="1826897884">
      <w:bodyDiv w:val="1"/>
      <w:marLeft w:val="0"/>
      <w:marRight w:val="0"/>
      <w:marTop w:val="0"/>
      <w:marBottom w:val="0"/>
      <w:divBdr>
        <w:top w:val="none" w:sz="0" w:space="0" w:color="auto"/>
        <w:left w:val="none" w:sz="0" w:space="0" w:color="auto"/>
        <w:bottom w:val="none" w:sz="0" w:space="0" w:color="auto"/>
        <w:right w:val="none" w:sz="0" w:space="0" w:color="auto"/>
      </w:divBdr>
    </w:div>
    <w:div w:id="1889956043">
      <w:bodyDiv w:val="1"/>
      <w:marLeft w:val="0"/>
      <w:marRight w:val="0"/>
      <w:marTop w:val="0"/>
      <w:marBottom w:val="0"/>
      <w:divBdr>
        <w:top w:val="none" w:sz="0" w:space="0" w:color="auto"/>
        <w:left w:val="none" w:sz="0" w:space="0" w:color="auto"/>
        <w:bottom w:val="none" w:sz="0" w:space="0" w:color="auto"/>
        <w:right w:val="none" w:sz="0" w:space="0" w:color="auto"/>
      </w:divBdr>
    </w:div>
    <w:div w:id="1906061851">
      <w:bodyDiv w:val="1"/>
      <w:marLeft w:val="0"/>
      <w:marRight w:val="0"/>
      <w:marTop w:val="0"/>
      <w:marBottom w:val="0"/>
      <w:divBdr>
        <w:top w:val="none" w:sz="0" w:space="0" w:color="auto"/>
        <w:left w:val="none" w:sz="0" w:space="0" w:color="auto"/>
        <w:bottom w:val="none" w:sz="0" w:space="0" w:color="auto"/>
        <w:right w:val="none" w:sz="0" w:space="0" w:color="auto"/>
      </w:divBdr>
    </w:div>
    <w:div w:id="1931306584">
      <w:bodyDiv w:val="1"/>
      <w:marLeft w:val="0"/>
      <w:marRight w:val="0"/>
      <w:marTop w:val="0"/>
      <w:marBottom w:val="0"/>
      <w:divBdr>
        <w:top w:val="none" w:sz="0" w:space="0" w:color="auto"/>
        <w:left w:val="none" w:sz="0" w:space="0" w:color="auto"/>
        <w:bottom w:val="none" w:sz="0" w:space="0" w:color="auto"/>
        <w:right w:val="none" w:sz="0" w:space="0" w:color="auto"/>
      </w:divBdr>
    </w:div>
    <w:div w:id="1953826182">
      <w:bodyDiv w:val="1"/>
      <w:marLeft w:val="0"/>
      <w:marRight w:val="0"/>
      <w:marTop w:val="0"/>
      <w:marBottom w:val="0"/>
      <w:divBdr>
        <w:top w:val="none" w:sz="0" w:space="0" w:color="auto"/>
        <w:left w:val="none" w:sz="0" w:space="0" w:color="auto"/>
        <w:bottom w:val="none" w:sz="0" w:space="0" w:color="auto"/>
        <w:right w:val="none" w:sz="0" w:space="0" w:color="auto"/>
      </w:divBdr>
    </w:div>
    <w:div w:id="1965231446">
      <w:bodyDiv w:val="1"/>
      <w:marLeft w:val="0"/>
      <w:marRight w:val="0"/>
      <w:marTop w:val="0"/>
      <w:marBottom w:val="0"/>
      <w:divBdr>
        <w:top w:val="none" w:sz="0" w:space="0" w:color="auto"/>
        <w:left w:val="none" w:sz="0" w:space="0" w:color="auto"/>
        <w:bottom w:val="none" w:sz="0" w:space="0" w:color="auto"/>
        <w:right w:val="none" w:sz="0" w:space="0" w:color="auto"/>
      </w:divBdr>
    </w:div>
    <w:div w:id="1984574980">
      <w:bodyDiv w:val="1"/>
      <w:marLeft w:val="0"/>
      <w:marRight w:val="0"/>
      <w:marTop w:val="0"/>
      <w:marBottom w:val="0"/>
      <w:divBdr>
        <w:top w:val="none" w:sz="0" w:space="0" w:color="auto"/>
        <w:left w:val="none" w:sz="0" w:space="0" w:color="auto"/>
        <w:bottom w:val="none" w:sz="0" w:space="0" w:color="auto"/>
        <w:right w:val="none" w:sz="0" w:space="0" w:color="auto"/>
      </w:divBdr>
    </w:div>
    <w:div w:id="1985813724">
      <w:bodyDiv w:val="1"/>
      <w:marLeft w:val="0"/>
      <w:marRight w:val="0"/>
      <w:marTop w:val="0"/>
      <w:marBottom w:val="0"/>
      <w:divBdr>
        <w:top w:val="none" w:sz="0" w:space="0" w:color="auto"/>
        <w:left w:val="none" w:sz="0" w:space="0" w:color="auto"/>
        <w:bottom w:val="none" w:sz="0" w:space="0" w:color="auto"/>
        <w:right w:val="none" w:sz="0" w:space="0" w:color="auto"/>
      </w:divBdr>
    </w:div>
    <w:div w:id="1996378632">
      <w:bodyDiv w:val="1"/>
      <w:marLeft w:val="0"/>
      <w:marRight w:val="0"/>
      <w:marTop w:val="0"/>
      <w:marBottom w:val="0"/>
      <w:divBdr>
        <w:top w:val="none" w:sz="0" w:space="0" w:color="auto"/>
        <w:left w:val="none" w:sz="0" w:space="0" w:color="auto"/>
        <w:bottom w:val="none" w:sz="0" w:space="0" w:color="auto"/>
        <w:right w:val="none" w:sz="0" w:space="0" w:color="auto"/>
      </w:divBdr>
    </w:div>
    <w:div w:id="2008508732">
      <w:bodyDiv w:val="1"/>
      <w:marLeft w:val="0"/>
      <w:marRight w:val="0"/>
      <w:marTop w:val="0"/>
      <w:marBottom w:val="0"/>
      <w:divBdr>
        <w:top w:val="none" w:sz="0" w:space="0" w:color="auto"/>
        <w:left w:val="none" w:sz="0" w:space="0" w:color="auto"/>
        <w:bottom w:val="none" w:sz="0" w:space="0" w:color="auto"/>
        <w:right w:val="none" w:sz="0" w:space="0" w:color="auto"/>
      </w:divBdr>
    </w:div>
    <w:div w:id="2026397187">
      <w:bodyDiv w:val="1"/>
      <w:marLeft w:val="0"/>
      <w:marRight w:val="0"/>
      <w:marTop w:val="0"/>
      <w:marBottom w:val="0"/>
      <w:divBdr>
        <w:top w:val="none" w:sz="0" w:space="0" w:color="auto"/>
        <w:left w:val="none" w:sz="0" w:space="0" w:color="auto"/>
        <w:bottom w:val="none" w:sz="0" w:space="0" w:color="auto"/>
        <w:right w:val="none" w:sz="0" w:space="0" w:color="auto"/>
      </w:divBdr>
    </w:div>
    <w:div w:id="2124230747">
      <w:bodyDiv w:val="1"/>
      <w:marLeft w:val="0"/>
      <w:marRight w:val="0"/>
      <w:marTop w:val="0"/>
      <w:marBottom w:val="0"/>
      <w:divBdr>
        <w:top w:val="none" w:sz="0" w:space="0" w:color="auto"/>
        <w:left w:val="none" w:sz="0" w:space="0" w:color="auto"/>
        <w:bottom w:val="none" w:sz="0" w:space="0" w:color="auto"/>
        <w:right w:val="none" w:sz="0" w:space="0" w:color="auto"/>
      </w:divBdr>
    </w:div>
    <w:div w:id="21244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eader" Target="header37.xml"/><Relationship Id="rId21" Type="http://schemas.openxmlformats.org/officeDocument/2006/relationships/customXml" Target="../customXml/item21.xml"/><Relationship Id="rId42" Type="http://schemas.openxmlformats.org/officeDocument/2006/relationships/settings" Target="settings.xml"/><Relationship Id="rId47" Type="http://schemas.openxmlformats.org/officeDocument/2006/relationships/image" Target="media/image2.png"/><Relationship Id="rId63" Type="http://schemas.openxmlformats.org/officeDocument/2006/relationships/header" Target="header7.xml"/><Relationship Id="rId68" Type="http://schemas.openxmlformats.org/officeDocument/2006/relationships/header" Target="header10.xml"/><Relationship Id="rId84" Type="http://schemas.openxmlformats.org/officeDocument/2006/relationships/header" Target="header21.xml"/><Relationship Id="rId89" Type="http://schemas.openxmlformats.org/officeDocument/2006/relationships/hyperlink" Target="https://www.pay.gov/paygov/forms/formInstance.html" TargetMode="External"/><Relationship Id="rId112" Type="http://schemas.openxmlformats.org/officeDocument/2006/relationships/header" Target="header33.xml"/><Relationship Id="rId133" Type="http://schemas.openxmlformats.org/officeDocument/2006/relationships/hyperlink" Target="http://www.pbgc.gov" TargetMode="External"/><Relationship Id="rId138" Type="http://schemas.openxmlformats.org/officeDocument/2006/relationships/hyperlink" Target="http://www.pbgc.gov/prac/prem/premium-payment-instructions-and-addresses.html" TargetMode="External"/><Relationship Id="rId16" Type="http://schemas.openxmlformats.org/officeDocument/2006/relationships/customXml" Target="../customXml/item16.xml"/><Relationship Id="rId107" Type="http://schemas.openxmlformats.org/officeDocument/2006/relationships/header" Target="header31.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footer" Target="footer3.xml"/><Relationship Id="rId58" Type="http://schemas.openxmlformats.org/officeDocument/2006/relationships/hyperlink" Target="mailto:premiums@pbgc.gov" TargetMode="External"/><Relationship Id="rId74" Type="http://schemas.openxmlformats.org/officeDocument/2006/relationships/header" Target="header13.xml"/><Relationship Id="rId79" Type="http://schemas.openxmlformats.org/officeDocument/2006/relationships/header" Target="header18.xml"/><Relationship Id="rId102" Type="http://schemas.openxmlformats.org/officeDocument/2006/relationships/hyperlink" Target="https://pay.gov/public/home" TargetMode="External"/><Relationship Id="rId123" Type="http://schemas.openxmlformats.org/officeDocument/2006/relationships/hyperlink" Target="https://egov.pbgc.gov/mypaa/" TargetMode="External"/><Relationship Id="rId128" Type="http://schemas.openxmlformats.org/officeDocument/2006/relationships/header" Target="header39.xml"/><Relationship Id="rId144" Type="http://schemas.openxmlformats.org/officeDocument/2006/relationships/hyperlink" Target="http://pbgc.gov/prac/prem/online-premium-filing-with-my-paa.html" TargetMode="External"/><Relationship Id="rId149" Type="http://schemas.openxmlformats.org/officeDocument/2006/relationships/header" Target="header48.xml"/><Relationship Id="rId5" Type="http://schemas.openxmlformats.org/officeDocument/2006/relationships/customXml" Target="../customXml/item5.xml"/><Relationship Id="rId90" Type="http://schemas.openxmlformats.org/officeDocument/2006/relationships/hyperlink" Target="http://www.pay.gov" TargetMode="External"/><Relationship Id="rId95" Type="http://schemas.openxmlformats.org/officeDocument/2006/relationships/hyperlink" Target="https://www.pbgc.gov/sites/default/files/legacy/docs/2014-05212.pdf"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webSettings" Target="webSettings.xml"/><Relationship Id="rId48" Type="http://schemas.openxmlformats.org/officeDocument/2006/relationships/header" Target="header1.xml"/><Relationship Id="rId64" Type="http://schemas.openxmlformats.org/officeDocument/2006/relationships/header" Target="header8.xml"/><Relationship Id="rId69" Type="http://schemas.openxmlformats.org/officeDocument/2006/relationships/header" Target="header11.xml"/><Relationship Id="rId113" Type="http://schemas.openxmlformats.org/officeDocument/2006/relationships/header" Target="header34.xml"/><Relationship Id="rId118" Type="http://schemas.openxmlformats.org/officeDocument/2006/relationships/header" Target="header38.xml"/><Relationship Id="rId134" Type="http://schemas.openxmlformats.org/officeDocument/2006/relationships/hyperlink" Target="http://www.pbgc.gov/prac/prem/premium-payment-instructions-and-addresses.html?nc=1391186180051&amp;agencyFormId=58033610&amp;userFormSearch=https://www.pay.gov/paygov/agencySearchForms.html?showingDetails=true&amp;showingAll=false&amp;sortProperty=agencyFormName&amp;totalResults=2&amp;nc=1391186178660&amp;agencyDN=ou%3DFA_Pension+Benefit+Guaranty+Corporation%2Cou%3DFA_Executive+Branch%2Cou%3DFederal+Agency%2Cou%3DTreasury+Web+Application+Infrastructure%2Cou%3DFiscal+Service%2Cou%3DDepartment+of+the+Treasury%2Co%3DU.S.+Government%2Cc%3DUS&amp;ascending=true&amp;alphabet=P&amp;pageOffset=0" TargetMode="External"/><Relationship Id="rId139" Type="http://schemas.openxmlformats.org/officeDocument/2006/relationships/hyperlink" Target="https://www.pbgc.gov/prac/other-guidance/dr/updates" TargetMode="External"/><Relationship Id="rId80" Type="http://schemas.openxmlformats.org/officeDocument/2006/relationships/hyperlink" Target="http://www.Pay.gov" TargetMode="External"/><Relationship Id="rId85" Type="http://schemas.openxmlformats.org/officeDocument/2006/relationships/header" Target="header22.xml"/><Relationship Id="rId150" Type="http://schemas.openxmlformats.org/officeDocument/2006/relationships/fontTable" Target="fontTable.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1.wmf"/><Relationship Id="rId59" Type="http://schemas.openxmlformats.org/officeDocument/2006/relationships/header" Target="header4.xml"/><Relationship Id="rId67" Type="http://schemas.openxmlformats.org/officeDocument/2006/relationships/hyperlink" Target="http://pbgc.gov/prac/prem/online-premium-filing-with-my-paa.html?SID=a26ecf32b8ada29b2b51d1972a195cdb&amp;mc=true&amp;node=pt29.9.4007&amp;rgn=div5" TargetMode="External"/><Relationship Id="rId103" Type="http://schemas.openxmlformats.org/officeDocument/2006/relationships/hyperlink" Target="http://pbgc.gov/prac/interest.html" TargetMode="External"/><Relationship Id="rId108" Type="http://schemas.openxmlformats.org/officeDocument/2006/relationships/hyperlink" Target="https://www.pbgc.gov/prac/prem" TargetMode="External"/><Relationship Id="rId116" Type="http://schemas.openxmlformats.org/officeDocument/2006/relationships/header" Target="header36.xml"/><Relationship Id="rId124" Type="http://schemas.openxmlformats.org/officeDocument/2006/relationships/hyperlink" Target="http://www.pbgc.gov/prac/prem/premium-payment-instructions-and-addresses.html" TargetMode="External"/><Relationship Id="rId129" Type="http://schemas.openxmlformats.org/officeDocument/2006/relationships/header" Target="header40.xml"/><Relationship Id="rId137" Type="http://schemas.openxmlformats.org/officeDocument/2006/relationships/hyperlink" Target="https://www.ecfr.gov/cgi-bin/text-idx" TargetMode="External"/><Relationship Id="rId20" Type="http://schemas.openxmlformats.org/officeDocument/2006/relationships/customXml" Target="../customXml/item20.xml"/><Relationship Id="rId41" Type="http://schemas.microsoft.com/office/2007/relationships/stylesWithEffects" Target="stylesWithEffects.xml"/><Relationship Id="rId54" Type="http://schemas.openxmlformats.org/officeDocument/2006/relationships/hyperlink" Target="http://www.pbgc.gov?SID=a27c961f53cf0deb9dcbc571af862b31&amp;mc=true&amp;node=pt29.9.4006&amp;rgn=div5" TargetMode="External"/><Relationship Id="rId62" Type="http://schemas.openxmlformats.org/officeDocument/2006/relationships/header" Target="header6.xml"/><Relationship Id="rId70" Type="http://schemas.openxmlformats.org/officeDocument/2006/relationships/header" Target="header12.xml"/><Relationship Id="rId75" Type="http://schemas.openxmlformats.org/officeDocument/2006/relationships/header" Target="header14.xml"/><Relationship Id="rId83" Type="http://schemas.openxmlformats.org/officeDocument/2006/relationships/header" Target="header20.xml"/><Relationship Id="rId88" Type="http://schemas.openxmlformats.org/officeDocument/2006/relationships/header" Target="header25.xml"/><Relationship Id="rId91" Type="http://schemas.openxmlformats.org/officeDocument/2006/relationships/hyperlink" Target="http://pbgc.gov/prac/laws-and-regulations.html" TargetMode="External"/><Relationship Id="rId96" Type="http://schemas.openxmlformats.org/officeDocument/2006/relationships/header" Target="header26.xml"/><Relationship Id="rId111" Type="http://schemas.openxmlformats.org/officeDocument/2006/relationships/header" Target="header32.xml"/><Relationship Id="rId132" Type="http://schemas.openxmlformats.org/officeDocument/2006/relationships/hyperlink" Target="http://192.168.164.108:8080/prac/" TargetMode="External"/><Relationship Id="rId140" Type="http://schemas.openxmlformats.org/officeDocument/2006/relationships/hyperlink" Target="http://192.168.164.108:8080/prac/" TargetMode="External"/><Relationship Id="rId145" Type="http://schemas.openxmlformats.org/officeDocument/2006/relationships/hyperlink" Target="http://www.pbgc.gov/prac/prem/business-codes.htm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2.xml"/><Relationship Id="rId57" Type="http://schemas.openxmlformats.org/officeDocument/2006/relationships/hyperlink" Target="mailto:premiums@pbgc.gov" TargetMode="External"/><Relationship Id="rId106" Type="http://schemas.openxmlformats.org/officeDocument/2006/relationships/header" Target="header30.xml"/><Relationship Id="rId114" Type="http://schemas.openxmlformats.org/officeDocument/2006/relationships/header" Target="header35.xml"/><Relationship Id="rId119" Type="http://schemas.openxmlformats.org/officeDocument/2006/relationships/hyperlink" Target="http://www.pbgc.gov" TargetMode="External"/><Relationship Id="rId127" Type="http://schemas.openxmlformats.org/officeDocument/2006/relationships/hyperlink" Target="http://pbgc.gov/prac/prem/online-premium-filing-with-my-paa.html"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footnotes" Target="footnotes.xml"/><Relationship Id="rId52" Type="http://schemas.openxmlformats.org/officeDocument/2006/relationships/header" Target="header3.xml"/><Relationship Id="rId60" Type="http://schemas.openxmlformats.org/officeDocument/2006/relationships/header" Target="header5.xml"/><Relationship Id="rId65" Type="http://schemas.openxmlformats.org/officeDocument/2006/relationships/header" Target="header9.xml"/><Relationship Id="rId73" Type="http://schemas.openxmlformats.org/officeDocument/2006/relationships/hyperlink" Target="http://www.pbgc.gov/wr/find-an-insured-pension-plan/pbgc-protects-pensions.html" TargetMode="External"/><Relationship Id="rId78" Type="http://schemas.openxmlformats.org/officeDocument/2006/relationships/header" Target="header17.xml"/><Relationship Id="rId81" Type="http://schemas.openxmlformats.org/officeDocument/2006/relationships/hyperlink" Target="http://192.168.164.108:8080/prac/" TargetMode="External"/><Relationship Id="rId86" Type="http://schemas.openxmlformats.org/officeDocument/2006/relationships/header" Target="header23.xml"/><Relationship Id="rId94" Type="http://schemas.openxmlformats.org/officeDocument/2006/relationships/hyperlink" Target="http://www.pbgc.gov/prac/" TargetMode="External"/><Relationship Id="rId99" Type="http://schemas.openxmlformats.org/officeDocument/2006/relationships/hyperlink" Target="http://pbgc.gov/prac/prem/online-premium-filing-with-my-paa.html" TargetMode="External"/><Relationship Id="rId101" Type="http://schemas.openxmlformats.org/officeDocument/2006/relationships/hyperlink" Target="http://www.pbgc.gov/prac/" TargetMode="External"/><Relationship Id="rId122" Type="http://schemas.openxmlformats.org/officeDocument/2006/relationships/hyperlink" Target="http://pbgc.gov/prac/prem/online-premium-filing-with-my-paa.html" TargetMode="External"/><Relationship Id="rId130" Type="http://schemas.openxmlformats.org/officeDocument/2006/relationships/header" Target="header41.xml"/><Relationship Id="rId135" Type="http://schemas.openxmlformats.org/officeDocument/2006/relationships/hyperlink" Target="http://pbgc.gov/prac/interest.html" TargetMode="External"/><Relationship Id="rId143" Type="http://schemas.openxmlformats.org/officeDocument/2006/relationships/header" Target="header44.xml"/><Relationship Id="rId148" Type="http://schemas.openxmlformats.org/officeDocument/2006/relationships/header" Target="header47.xm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numbering" Target="numbering.xml"/><Relationship Id="rId109" Type="http://schemas.openxmlformats.org/officeDocument/2006/relationships/hyperlink" Target="http://pbgc.gov/prac/prem/premium-payment-instructions-and-addresses.html" TargetMode="External"/><Relationship Id="rId34" Type="http://schemas.openxmlformats.org/officeDocument/2006/relationships/customXml" Target="../customXml/item34.xml"/><Relationship Id="rId50" Type="http://schemas.openxmlformats.org/officeDocument/2006/relationships/footer" Target="footer1.xml"/><Relationship Id="rId55" Type="http://schemas.openxmlformats.org/officeDocument/2006/relationships/hyperlink" Target="http://www.pbgc.gov/prac/interest.html?SID=a27c961f53cf0deb9dcbc571af862b31&amp;mc=true&amp;node=pt29.9.4007&amp;rgn=div5" TargetMode="External"/><Relationship Id="rId76" Type="http://schemas.openxmlformats.org/officeDocument/2006/relationships/header" Target="header15.xml"/><Relationship Id="rId97" Type="http://schemas.openxmlformats.org/officeDocument/2006/relationships/header" Target="header27.xml"/><Relationship Id="rId104" Type="http://schemas.openxmlformats.org/officeDocument/2006/relationships/hyperlink" Target="http://192.168.164.108:8080/prac/" TargetMode="External"/><Relationship Id="rId120" Type="http://schemas.openxmlformats.org/officeDocument/2006/relationships/hyperlink" Target="http://www.pbgc.gov/prac/prem/premium-payment-instructions-and-addresses.html" TargetMode="External"/><Relationship Id="rId125" Type="http://schemas.openxmlformats.org/officeDocument/2006/relationships/hyperlink" Target="http://www.pbgc.gov/prac/prem/business-codes.html" TargetMode="External"/><Relationship Id="rId141" Type="http://schemas.openxmlformats.org/officeDocument/2006/relationships/header" Target="header42.xml"/><Relationship Id="rId146" Type="http://schemas.openxmlformats.org/officeDocument/2006/relationships/header" Target="header45.xml"/><Relationship Id="rId7" Type="http://schemas.openxmlformats.org/officeDocument/2006/relationships/customXml" Target="../customXml/item7.xml"/><Relationship Id="rId71" Type="http://schemas.openxmlformats.org/officeDocument/2006/relationships/hyperlink" Target="http://www.pbgc.gov" TargetMode="External"/><Relationship Id="rId92" Type="http://schemas.openxmlformats.org/officeDocument/2006/relationships/hyperlink" Target="http://pbgc.gov/prac/whatsnew.html"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styles" Target="styles.xml"/><Relationship Id="rId45" Type="http://schemas.openxmlformats.org/officeDocument/2006/relationships/endnotes" Target="endnotes.xml"/><Relationship Id="rId66" Type="http://schemas.openxmlformats.org/officeDocument/2006/relationships/hyperlink" Target="http://pbgc.gov/prac/" TargetMode="External"/><Relationship Id="rId87" Type="http://schemas.openxmlformats.org/officeDocument/2006/relationships/header" Target="header24.xml"/><Relationship Id="rId110" Type="http://schemas.openxmlformats.org/officeDocument/2006/relationships/hyperlink" Target="http://pbgc.gov/prac/prem/filings/e-filing-resources.html" TargetMode="External"/><Relationship Id="rId115" Type="http://schemas.openxmlformats.org/officeDocument/2006/relationships/hyperlink" Target="http://192.168.164.108:8080/prac/" TargetMode="External"/><Relationship Id="rId131" Type="http://schemas.openxmlformats.org/officeDocument/2006/relationships/hyperlink" Target="https://www.ecfr.gov/cgi-bin/text-idx" TargetMode="External"/><Relationship Id="rId136" Type="http://schemas.openxmlformats.org/officeDocument/2006/relationships/hyperlink" Target="http://pbgc.gov/prac/interest.html" TargetMode="External"/><Relationship Id="rId61" Type="http://schemas.openxmlformats.org/officeDocument/2006/relationships/footer" Target="footer4.xml"/><Relationship Id="rId82" Type="http://schemas.openxmlformats.org/officeDocument/2006/relationships/header" Target="header19.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yperlink" Target="http://pbgc.gov/prac/laws-and-regulations.html" TargetMode="External"/><Relationship Id="rId77" Type="http://schemas.openxmlformats.org/officeDocument/2006/relationships/header" Target="header16.xml"/><Relationship Id="rId100" Type="http://schemas.openxmlformats.org/officeDocument/2006/relationships/hyperlink" Target="http://192.168.164.108:8080/prac/" TargetMode="External"/><Relationship Id="rId105" Type="http://schemas.openxmlformats.org/officeDocument/2006/relationships/header" Target="header29.xml"/><Relationship Id="rId126" Type="http://schemas.openxmlformats.org/officeDocument/2006/relationships/hyperlink" Target="http://pbgc.gov/prac/prem/online-premium-filing-with-my-paa.html" TargetMode="External"/><Relationship Id="rId147" Type="http://schemas.openxmlformats.org/officeDocument/2006/relationships/header" Target="header46.xml"/><Relationship Id="rId8" Type="http://schemas.openxmlformats.org/officeDocument/2006/relationships/customXml" Target="../customXml/item8.xml"/><Relationship Id="rId51" Type="http://schemas.openxmlformats.org/officeDocument/2006/relationships/footer" Target="footer2.xml"/><Relationship Id="rId72" Type="http://schemas.openxmlformats.org/officeDocument/2006/relationships/hyperlink" Target="http://search.pbgc.gov/search/InsuredPlans/InsuredPlans" TargetMode="External"/><Relationship Id="rId93" Type="http://schemas.openxmlformats.org/officeDocument/2006/relationships/hyperlink" Target="https://www.ecfr.gov/cgi-bin/text-idx?query=&amp;ipcol=nc&amp;filter=c&amp;tab=ip&amp;ip_type=c&amp;page=1" TargetMode="External"/><Relationship Id="rId98" Type="http://schemas.openxmlformats.org/officeDocument/2006/relationships/header" Target="header28.xml"/><Relationship Id="rId121" Type="http://schemas.openxmlformats.org/officeDocument/2006/relationships/hyperlink" Target="https://www.pbgc.gov/prac/other-guidance/dr/updates" TargetMode="External"/><Relationship Id="rId142" Type="http://schemas.openxmlformats.org/officeDocument/2006/relationships/header" Target="header43.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mailto:premiums@pbgc.gov" TargetMode="External"/><Relationship Id="rId2" Type="http://schemas.openxmlformats.org/officeDocument/2006/relationships/hyperlink" Target="http://pbgc.gov/prac/laws-and-regulations.html" TargetMode="External"/><Relationship Id="rId1" Type="http://schemas.openxmlformats.org/officeDocument/2006/relationships/hyperlink" Target="http://pbgc.gov/prac/laws-and-regul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mso-contentType ?>
<SharedContentType xmlns="Microsoft.SharePoint.Taxonomy.ContentTypeSync" SourceId="b04b9a93-b54f-4549-9b70-040003075d6a" ContentTypeId="0x010100E09C6A4FD85CD94DB99934580C23925706" PreviousValue="false"/>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p:properties xmlns:p="http://schemas.microsoft.com/office/2006/metadata/properties" xmlns:xsi="http://www.w3.org/2001/XMLSchema-instance" xmlns:pc="http://schemas.microsoft.com/office/infopath/2007/PartnerControls">
  <documentManagement>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_dlc_DocId xmlns="5562fe8f-01a3-4117-b877-6a996cb39ad7">FODDCN-94480416-799</_dlc_DocId>
    <_dlc_DocIdUrl xmlns="5562fe8f-01a3-4117-b877-6a996cb39ad7">
      <Url>https://pbgcgov.sharepoint.com/Teams/FOD/PPCD/CFPPG/_layouts/15/DocIdRedir.aspx?ID=FODDCN-94480416-799</Url>
      <Description>FODDCN-94480416-799</Description>
    </_dlc_DocIdUrl>
    <_dlc_BarcodeImage xmlns="5562fe8f-01a3-4117-b877-6a996cb39ad7">iVBORw0KGgoAAAANSUhEUgAAAYIAAABtCAYAAACsn2ZqAAAAAXNSR0IArs4c6QAAAARnQU1BAACxjwv8YQUAAAAJcEhZcwAADsMAAA7DAcdvqGQAABw0SURBVHhe7ZthriZFlixZHgtiOeyFrfRO6lHUNbDyOh4RlSRPGt0wydWyttNJMj++BLrnly+Xy+Vy+dTcD8Hlcrl8cu6H4HK5XD4590NwuVwun5z7IbhcLpdPzv0QXC6Xyyfn9Q/BL7/88tcmsu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</_dlc_BarcodeImage>
    <_dlc_BarcodeValue xmlns="5562fe8f-01a3-4117-b877-6a996cb39ad7">2399491619</_dlc_BarcodeValue>
    <_dlc_BarcodePreview xmlns="5562fe8f-01a3-4117-b877-6a996cb39ad7">
      <Url>https://pbgcgov.sharepoint.com/Teams/FOD/PPCD/CFPPG/_layouts/15/barcodeimagefromitem.aspx?ID=799&amp;list=6fc3f301-10b0-4113-aeac-8e9ab3c81013</Url>
      <Description>Barcode: 2399491619</Description>
    </_dlc_BarcodePreview>
    <AllMetadata xmlns="42a8a83a-5e27-410c-a1fc-7c5ac4e503f4" xsi:nil="true"/>
  </documentManagement>
</p:properties>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ct:contentTypeSchema xmlns:ct="http://schemas.microsoft.com/office/2006/metadata/contentType" xmlns:ma="http://schemas.microsoft.com/office/2006/metadata/properties/metaAttributes" ct:_="" ma:_="" ma:contentTypeName="Premium Instructions Document" ma:contentTypeID="0x010100E09C6A4FD85CD94DB99934580C23925706000066426AD6CFA043B60A8FF73E74091100CAF50CAC193C9145AD310E6915B31B7C" ma:contentTypeVersion="26" ma:contentTypeDescription="" ma:contentTypeScope="" ma:versionID="387dab68de35b3e91047e81220df6e01">
  <xsd:schema xmlns:xsd="http://www.w3.org/2001/XMLSchema" xmlns:xs="http://www.w3.org/2001/XMLSchema" xmlns:p="http://schemas.microsoft.com/office/2006/metadata/properties" xmlns:ns1="http://schemas.microsoft.com/sharepoint/v3" xmlns:ns2="42a8a83a-5e27-410c-a1fc-7c5ac4e503f4" xmlns:ns3="5562fe8f-01a3-4117-b877-6a996cb39ad7" xmlns:ns4="6fc3f301-10b0-4113-aeac-8e9ab3c81013" targetNamespace="http://schemas.microsoft.com/office/2006/metadata/properties" ma:root="true" ma:fieldsID="2d5fd8d2cf34cb0cd6ff422913fbf36c" ns1:_="" ns2:_="" ns3:_="" ns4:_="">
    <xsd:import namespace="http://schemas.microsoft.com/sharepoint/v3"/>
    <xsd:import namespace="42a8a83a-5e27-410c-a1fc-7c5ac4e503f4"/>
    <xsd:import namespace="5562fe8f-01a3-4117-b877-6a996cb39ad7"/>
    <xsd:import namespace="6fc3f301-10b0-4113-aeac-8e9ab3c81013"/>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4:MediaServiceMetadata" minOccurs="0"/>
                <xsd:element ref="ns4:MediaServiceFastMetadata"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8" nillable="true" ma:displayName="Barcode Value" ma:description="The value of the barcode assigned to this item." ma:internalName="_dlc_BarcodeValue" ma:readOnly="true">
      <xsd:simpleType>
        <xsd:restriction base="dms:Text"/>
      </xsd:simpleType>
    </xsd:element>
    <xsd:element name="_dlc_BarcodeImage" ma:index="19" nillable="true" ma:displayName="Barcode Image" ma:description="" ma:hidden="true" ma:internalName="_dlc_BarcodeImage" ma:readOnly="false">
      <xsd:simpleType>
        <xsd:restriction base="dms:Note"/>
      </xsd:simpleType>
    </xsd:element>
    <xsd:element name="_dlc_BarcodePreview" ma:index="2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c3f301-10b0-4113-aeac-8e9ab3c8101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61FA-E764-455E-83D2-1D95381DECBF}">
  <ds:schemaRefs>
    <ds:schemaRef ds:uri="http://schemas.openxmlformats.org/officeDocument/2006/bibliography"/>
  </ds:schemaRefs>
</ds:datastoreItem>
</file>

<file path=customXml/itemProps10.xml><?xml version="1.0" encoding="utf-8"?>
<ds:datastoreItem xmlns:ds="http://schemas.openxmlformats.org/officeDocument/2006/customXml" ds:itemID="{2BA8A0D4-81F6-401A-96E1-4844E806917D}">
  <ds:schemaRefs>
    <ds:schemaRef ds:uri="http://schemas.microsoft.com/sharepoint/events"/>
  </ds:schemaRefs>
</ds:datastoreItem>
</file>

<file path=customXml/itemProps11.xml><?xml version="1.0" encoding="utf-8"?>
<ds:datastoreItem xmlns:ds="http://schemas.openxmlformats.org/officeDocument/2006/customXml" ds:itemID="{B3B74AB4-2F3D-4EE0-AD2F-EBE259ABD6F2}">
  <ds:schemaRefs>
    <ds:schemaRef ds:uri="http://schemas.openxmlformats.org/officeDocument/2006/bibliography"/>
  </ds:schemaRefs>
</ds:datastoreItem>
</file>

<file path=customXml/itemProps12.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13.xml><?xml version="1.0" encoding="utf-8"?>
<ds:datastoreItem xmlns:ds="http://schemas.openxmlformats.org/officeDocument/2006/customXml" ds:itemID="{F8284D27-BE64-4639-B175-A3F5D294DAFD}">
  <ds:schemaRefs>
    <ds:schemaRef ds:uri="http://schemas.openxmlformats.org/officeDocument/2006/bibliography"/>
  </ds:schemaRefs>
</ds:datastoreItem>
</file>

<file path=customXml/itemProps14.xml><?xml version="1.0" encoding="utf-8"?>
<ds:datastoreItem xmlns:ds="http://schemas.openxmlformats.org/officeDocument/2006/customXml" ds:itemID="{A00D934B-4900-48E1-BCD2-501157ADF541}">
  <ds:schemaRefs>
    <ds:schemaRef ds:uri="http://schemas.openxmlformats.org/officeDocument/2006/bibliography"/>
  </ds:schemaRefs>
</ds:datastoreItem>
</file>

<file path=customXml/itemProps15.xml><?xml version="1.0" encoding="utf-8"?>
<ds:datastoreItem xmlns:ds="http://schemas.openxmlformats.org/officeDocument/2006/customXml" ds:itemID="{0309A462-B7ED-4C37-9548-848E4EAF0429}">
  <ds:schemaRefs>
    <ds:schemaRef ds:uri="office.server.policy"/>
  </ds:schemaRefs>
</ds:datastoreItem>
</file>

<file path=customXml/itemProps16.xml><?xml version="1.0" encoding="utf-8"?>
<ds:datastoreItem xmlns:ds="http://schemas.openxmlformats.org/officeDocument/2006/customXml" ds:itemID="{26DF7527-F470-4D1E-A461-C854EC926B78}">
  <ds:schemaRefs>
    <ds:schemaRef ds:uri="http://schemas.openxmlformats.org/officeDocument/2006/bibliography"/>
  </ds:schemaRefs>
</ds:datastoreItem>
</file>

<file path=customXml/itemProps17.xml><?xml version="1.0" encoding="utf-8"?>
<ds:datastoreItem xmlns:ds="http://schemas.openxmlformats.org/officeDocument/2006/customXml" ds:itemID="{B088234B-3A00-4863-97BB-3C16D2717D48}">
  <ds:schemaRefs>
    <ds:schemaRef ds:uri="http://schemas.openxmlformats.org/officeDocument/2006/bibliography"/>
  </ds:schemaRefs>
</ds:datastoreItem>
</file>

<file path=customXml/itemProps18.xml><?xml version="1.0" encoding="utf-8"?>
<ds:datastoreItem xmlns:ds="http://schemas.openxmlformats.org/officeDocument/2006/customXml" ds:itemID="{5F981F40-16BD-4435-BE44-A24030D9C52D}">
  <ds:schemaRefs>
    <ds:schemaRef ds:uri="http://schemas.openxmlformats.org/officeDocument/2006/bibliography"/>
  </ds:schemaRefs>
</ds:datastoreItem>
</file>

<file path=customXml/itemProps19.xml><?xml version="1.0" encoding="utf-8"?>
<ds:datastoreItem xmlns:ds="http://schemas.openxmlformats.org/officeDocument/2006/customXml" ds:itemID="{77289BD2-7FF5-43A7-B1E7-82E5EE0045DC}">
  <ds:schemaRefs>
    <ds:schemaRef ds:uri="Microsoft.SharePoint.Taxonomy.ContentTypeSync"/>
  </ds:schemaRefs>
</ds:datastoreItem>
</file>

<file path=customXml/itemProps2.xml><?xml version="1.0" encoding="utf-8"?>
<ds:datastoreItem xmlns:ds="http://schemas.openxmlformats.org/officeDocument/2006/customXml" ds:itemID="{A4DF1D9B-5446-40BC-A03F-239C70B1F998}">
  <ds:schemaRefs>
    <ds:schemaRef ds:uri="http://schemas.openxmlformats.org/officeDocument/2006/bibliography"/>
  </ds:schemaRefs>
</ds:datastoreItem>
</file>

<file path=customXml/itemProps20.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21.xml><?xml version="1.0" encoding="utf-8"?>
<ds:datastoreItem xmlns:ds="http://schemas.openxmlformats.org/officeDocument/2006/customXml" ds:itemID="{1C322C94-6488-4C1D-A837-278CF909B95B}">
  <ds:schemaRefs>
    <ds:schemaRef ds:uri="http://schemas.openxmlformats.org/officeDocument/2006/bibliography"/>
  </ds:schemaRefs>
</ds:datastoreItem>
</file>

<file path=customXml/itemProps22.xml><?xml version="1.0" encoding="utf-8"?>
<ds:datastoreItem xmlns:ds="http://schemas.openxmlformats.org/officeDocument/2006/customXml" ds:itemID="{2274E9A7-56FE-4E56-8423-26F1C762C3FF}">
  <ds:schemaRefs>
    <ds:schemaRef ds:uri="http://schemas.openxmlformats.org/officeDocument/2006/bibliography"/>
  </ds:schemaRefs>
</ds:datastoreItem>
</file>

<file path=customXml/itemProps23.xml><?xml version="1.0" encoding="utf-8"?>
<ds:datastoreItem xmlns:ds="http://schemas.openxmlformats.org/officeDocument/2006/customXml" ds:itemID="{D50DCF33-5262-40A1-95C6-BB280D31152E}">
  <ds:schemaRefs>
    <ds:schemaRef ds:uri="http://schemas.openxmlformats.org/officeDocument/2006/bibliography"/>
  </ds:schemaRefs>
</ds:datastoreItem>
</file>

<file path=customXml/itemProps24.xml><?xml version="1.0" encoding="utf-8"?>
<ds:datastoreItem xmlns:ds="http://schemas.openxmlformats.org/officeDocument/2006/customXml" ds:itemID="{6EE2CDD6-30C7-4672-95DE-257FFDB1E33D}">
  <ds:schemaRefs>
    <ds:schemaRef ds:uri="http://schemas.openxmlformats.org/officeDocument/2006/bibliography"/>
  </ds:schemaRefs>
</ds:datastoreItem>
</file>

<file path=customXml/itemProps25.xml><?xml version="1.0" encoding="utf-8"?>
<ds:datastoreItem xmlns:ds="http://schemas.openxmlformats.org/officeDocument/2006/customXml" ds:itemID="{BA42D4F1-E8C6-480C-A076-5127E26D8756}">
  <ds:schemaRefs>
    <ds:schemaRef ds:uri="http://schemas.openxmlformats.org/officeDocument/2006/bibliography"/>
  </ds:schemaRefs>
</ds:datastoreItem>
</file>

<file path=customXml/itemProps26.xml><?xml version="1.0" encoding="utf-8"?>
<ds:datastoreItem xmlns:ds="http://schemas.openxmlformats.org/officeDocument/2006/customXml" ds:itemID="{E9CA8A3C-CA3E-427F-B651-7718FB60CEF1}">
  <ds:schemaRefs>
    <ds:schemaRef ds:uri="http://schemas.openxmlformats.org/officeDocument/2006/bibliography"/>
  </ds:schemaRefs>
</ds:datastoreItem>
</file>

<file path=customXml/itemProps27.xml><?xml version="1.0" encoding="utf-8"?>
<ds:datastoreItem xmlns:ds="http://schemas.openxmlformats.org/officeDocument/2006/customXml" ds:itemID="{B5F8D05C-91A5-406E-B25C-BA8C203078E8}">
  <ds:schemaRefs>
    <ds:schemaRef ds:uri="http://schemas.openxmlformats.org/officeDocument/2006/bibliography"/>
  </ds:schemaRefs>
</ds:datastoreItem>
</file>

<file path=customXml/itemProps28.xml><?xml version="1.0" encoding="utf-8"?>
<ds:datastoreItem xmlns:ds="http://schemas.openxmlformats.org/officeDocument/2006/customXml" ds:itemID="{1AFCB4C4-97AE-4AF4-826D-9B363299879E}">
  <ds:schemaRefs>
    <ds:schemaRef ds:uri="http://schemas.openxmlformats.org/officeDocument/2006/bibliography"/>
  </ds:schemaRefs>
</ds:datastoreItem>
</file>

<file path=customXml/itemProps29.xml><?xml version="1.0" encoding="utf-8"?>
<ds:datastoreItem xmlns:ds="http://schemas.openxmlformats.org/officeDocument/2006/customXml" ds:itemID="{63B5CD7D-673C-4C8A-9F7D-F7FDC0965AAB}">
  <ds:schemaRefs>
    <ds:schemaRef ds:uri="http://schemas.openxmlformats.org/officeDocument/2006/bibliography"/>
  </ds:schemaRefs>
</ds:datastoreItem>
</file>

<file path=customXml/itemProps3.xml><?xml version="1.0" encoding="utf-8"?>
<ds:datastoreItem xmlns:ds="http://schemas.openxmlformats.org/officeDocument/2006/customXml" ds:itemID="{3E6466C0-DD52-4A02-99DB-1A0CEE29118F}">
  <ds:schemaRefs>
    <ds:schemaRef ds:uri="http://schemas.openxmlformats.org/officeDocument/2006/bibliography"/>
  </ds:schemaRefs>
</ds:datastoreItem>
</file>

<file path=customXml/itemProps30.xml><?xml version="1.0" encoding="utf-8"?>
<ds:datastoreItem xmlns:ds="http://schemas.openxmlformats.org/officeDocument/2006/customXml" ds:itemID="{3998B90C-39F5-467A-8A99-F1DBE6A1F94D}">
  <ds:schemaRefs>
    <ds:schemaRef ds:uri="http://schemas.openxmlformats.org/officeDocument/2006/bibliography"/>
  </ds:schemaRefs>
</ds:datastoreItem>
</file>

<file path=customXml/itemProps31.xml><?xml version="1.0" encoding="utf-8"?>
<ds:datastoreItem xmlns:ds="http://schemas.openxmlformats.org/officeDocument/2006/customXml" ds:itemID="{F2DDF690-5B3B-4808-93E9-6DF38D042E78}">
  <ds:schemaRefs>
    <ds:schemaRef ds:uri="http://schemas.openxmlformats.org/officeDocument/2006/bibliography"/>
  </ds:schemaRefs>
</ds:datastoreItem>
</file>

<file path=customXml/itemProps32.xml><?xml version="1.0" encoding="utf-8"?>
<ds:datastoreItem xmlns:ds="http://schemas.openxmlformats.org/officeDocument/2006/customXml" ds:itemID="{D38A6400-05BF-4D68-9EC9-D79EB2FD406A}">
  <ds:schemaRefs>
    <ds:schemaRef ds:uri="http://schemas.openxmlformats.org/officeDocument/2006/bibliography"/>
  </ds:schemaRefs>
</ds:datastoreItem>
</file>

<file path=customXml/itemProps33.xml><?xml version="1.0" encoding="utf-8"?>
<ds:datastoreItem xmlns:ds="http://schemas.openxmlformats.org/officeDocument/2006/customXml" ds:itemID="{1C6EC976-7C79-4C48-97BE-F973D82AFF8E}">
  <ds:schemaRefs>
    <ds:schemaRef ds:uri="http://schemas.openxmlformats.org/officeDocument/2006/bibliography"/>
  </ds:schemaRefs>
</ds:datastoreItem>
</file>

<file path=customXml/itemProps34.xml><?xml version="1.0" encoding="utf-8"?>
<ds:datastoreItem xmlns:ds="http://schemas.openxmlformats.org/officeDocument/2006/customXml" ds:itemID="{C5F436D7-7400-484F-B5F6-0E7EBEF7CD82}">
  <ds:schemaRefs>
    <ds:schemaRef ds:uri="http://schemas.openxmlformats.org/officeDocument/2006/bibliography"/>
  </ds:schemaRefs>
</ds:datastoreItem>
</file>

<file path=customXml/itemProps35.xml><?xml version="1.0" encoding="utf-8"?>
<ds:datastoreItem xmlns:ds="http://schemas.openxmlformats.org/officeDocument/2006/customXml" ds:itemID="{A4535FA1-F050-4DF7-8C67-A248FCCF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6fc3f301-10b0-4113-aeac-8e9ab3c8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6.xml><?xml version="1.0" encoding="utf-8"?>
<ds:datastoreItem xmlns:ds="http://schemas.openxmlformats.org/officeDocument/2006/customXml" ds:itemID="{63B8CE2E-BA64-4E7E-A3F0-F09BC436E57A}">
  <ds:schemaRefs>
    <ds:schemaRef ds:uri="http://schemas.openxmlformats.org/officeDocument/2006/bibliography"/>
  </ds:schemaRefs>
</ds:datastoreItem>
</file>

<file path=customXml/itemProps37.xml><?xml version="1.0" encoding="utf-8"?>
<ds:datastoreItem xmlns:ds="http://schemas.openxmlformats.org/officeDocument/2006/customXml" ds:itemID="{8E716B7D-7B09-43B0-B4AC-8476427FBA6A}">
  <ds:schemaRefs>
    <ds:schemaRef ds:uri="http://schemas.openxmlformats.org/officeDocument/2006/bibliography"/>
  </ds:schemaRefs>
</ds:datastoreItem>
</file>

<file path=customXml/itemProps38.xml><?xml version="1.0" encoding="utf-8"?>
<ds:datastoreItem xmlns:ds="http://schemas.openxmlformats.org/officeDocument/2006/customXml" ds:itemID="{4698845B-EA68-46A2-A881-00917C3DAC6F}">
  <ds:schemaRefs>
    <ds:schemaRef ds:uri="http://schemas.openxmlformats.org/officeDocument/2006/bibliography"/>
  </ds:schemaRefs>
</ds:datastoreItem>
</file>

<file path=customXml/itemProps4.xml><?xml version="1.0" encoding="utf-8"?>
<ds:datastoreItem xmlns:ds="http://schemas.openxmlformats.org/officeDocument/2006/customXml" ds:itemID="{89BD9FFF-96FC-4FC5-81AB-029014EFEBBE}">
  <ds:schemaRefs>
    <ds:schemaRef ds:uri="http://schemas.openxmlformats.org/officeDocument/2006/bibliography"/>
  </ds:schemaRefs>
</ds:datastoreItem>
</file>

<file path=customXml/itemProps5.xml><?xml version="1.0" encoding="utf-8"?>
<ds:datastoreItem xmlns:ds="http://schemas.openxmlformats.org/officeDocument/2006/customXml" ds:itemID="{645EDC10-BF0B-40A5-B0BB-D0D0AF43ECE2}">
  <ds:schemaRefs>
    <ds:schemaRef ds:uri="http://schemas.openxmlformats.org/officeDocument/2006/bibliography"/>
  </ds:schemaRefs>
</ds:datastoreItem>
</file>

<file path=customXml/itemProps6.xml><?xml version="1.0" encoding="utf-8"?>
<ds:datastoreItem xmlns:ds="http://schemas.openxmlformats.org/officeDocument/2006/customXml" ds:itemID="{46FACAA9-D275-484C-92B4-C59C96A2D65C}">
  <ds:schemaRefs>
    <ds:schemaRef ds:uri="http://schemas.openxmlformats.org/officeDocument/2006/bibliography"/>
  </ds:schemaRefs>
</ds:datastoreItem>
</file>

<file path=customXml/itemProps7.xml><?xml version="1.0" encoding="utf-8"?>
<ds:datastoreItem xmlns:ds="http://schemas.openxmlformats.org/officeDocument/2006/customXml" ds:itemID="{C86223BC-434F-459F-B641-A4D55F56565E}">
  <ds:schemaRefs>
    <ds:schemaRef ds:uri="http://schemas.openxmlformats.org/officeDocument/2006/bibliography"/>
  </ds:schemaRefs>
</ds:datastoreItem>
</file>

<file path=customXml/itemProps8.xml><?xml version="1.0" encoding="utf-8"?>
<ds:datastoreItem xmlns:ds="http://schemas.openxmlformats.org/officeDocument/2006/customXml" ds:itemID="{DC46DB58-ED65-429B-9F15-8E1AAF0B48ED}">
  <ds:schemaRefs>
    <ds:schemaRef ds:uri="http://schemas.openxmlformats.org/officeDocument/2006/bibliography"/>
  </ds:schemaRefs>
</ds:datastoreItem>
</file>

<file path=customXml/itemProps9.xml><?xml version="1.0" encoding="utf-8"?>
<ds:datastoreItem xmlns:ds="http://schemas.openxmlformats.org/officeDocument/2006/customXml" ds:itemID="{4513E74E-7E2F-4333-B828-5EB235AF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27341</Words>
  <Characters>155849</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2007 PBGC ESTIMATED PREMIUM INSTRUCTIONS</vt:lpstr>
    </vt:vector>
  </TitlesOfParts>
  <Company>PBGC</Company>
  <LinksUpToDate>false</LinksUpToDate>
  <CharactersWithSpaces>182825</CharactersWithSpaces>
  <SharedDoc>false</SharedDoc>
  <HLinks>
    <vt:vector size="42" baseType="variant">
      <vt:variant>
        <vt:i4>3670050</vt:i4>
      </vt:variant>
      <vt:variant>
        <vt:i4>21</vt:i4>
      </vt:variant>
      <vt:variant>
        <vt:i4>0</vt:i4>
      </vt:variant>
      <vt:variant>
        <vt:i4>5</vt:i4>
      </vt:variant>
      <vt:variant>
        <vt:lpwstr>http://www.pbgc.gov/docs/papercheckvoucher.pdf</vt:lpwstr>
      </vt:variant>
      <vt:variant>
        <vt:lpwstr/>
      </vt:variant>
      <vt:variant>
        <vt:i4>3670050</vt:i4>
      </vt:variant>
      <vt:variant>
        <vt:i4>18</vt:i4>
      </vt:variant>
      <vt:variant>
        <vt:i4>0</vt:i4>
      </vt:variant>
      <vt:variant>
        <vt:i4>5</vt:i4>
      </vt:variant>
      <vt:variant>
        <vt:lpwstr>http://www.pbgc.gov/docs/papercheckvoucher.pdf</vt:lpwstr>
      </vt:variant>
      <vt:variant>
        <vt:lpwstr/>
      </vt:variant>
      <vt:variant>
        <vt:i4>6160465</vt:i4>
      </vt:variant>
      <vt:variant>
        <vt:i4>15</vt:i4>
      </vt:variant>
      <vt:variant>
        <vt:i4>0</vt:i4>
      </vt:variant>
      <vt:variant>
        <vt:i4>5</vt:i4>
      </vt:variant>
      <vt:variant>
        <vt:lpwstr>http://www.pbgc.gov/Documents/2011-32804.pdf</vt:lpwstr>
      </vt:variant>
      <vt:variant>
        <vt:lpwstr/>
      </vt:variant>
      <vt:variant>
        <vt:i4>6160465</vt:i4>
      </vt:variant>
      <vt:variant>
        <vt:i4>12</vt:i4>
      </vt:variant>
      <vt:variant>
        <vt:i4>0</vt:i4>
      </vt:variant>
      <vt:variant>
        <vt:i4>5</vt:i4>
      </vt:variant>
      <vt:variant>
        <vt:lpwstr>http://www.pbgc.gov/Documents/2011-32804.pdf</vt:lpwstr>
      </vt:variant>
      <vt:variant>
        <vt:lpwstr/>
      </vt:variant>
      <vt:variant>
        <vt:i4>6160465</vt:i4>
      </vt:variant>
      <vt:variant>
        <vt:i4>9</vt:i4>
      </vt:variant>
      <vt:variant>
        <vt:i4>0</vt:i4>
      </vt:variant>
      <vt:variant>
        <vt:i4>5</vt:i4>
      </vt:variant>
      <vt:variant>
        <vt:lpwstr>http://www.pbgc.gov/Documents/2011-32804.pdf</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PBGC ESTIMATED PREMIUM INSTRUCTIONS</dc:title>
  <dc:creator>CPXXA30</dc:creator>
  <cp:lastModifiedBy>SYSTEM</cp:lastModifiedBy>
  <cp:revision>2</cp:revision>
  <cp:lastPrinted>2018-08-23T13:14:00Z</cp:lastPrinted>
  <dcterms:created xsi:type="dcterms:W3CDTF">2018-08-24T19:05:00Z</dcterms:created>
  <dcterms:modified xsi:type="dcterms:W3CDTF">2018-08-24T19:05:00Z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0x010100E09C6A4FD85CD94DB99934580C23925706000066426AD6CFA043B60A8FF73E74091100CAF50CAC193C9145AD310E6915B31B7C</vt:lpwstr>
  </property>
  <property fmtid="{D5CDD505-2E9C-101B-9397-08002B2CF9AE}" pid="3" name="_dlc_DocIdItemGuid">
    <vt:lpwstr>36579063-e47e-4690-a904-9629025e66e7</vt:lpwstr>
  </property>
</Properties>
</file>