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F847" w14:textId="611CB986" w:rsidR="004E18F3" w:rsidRDefault="00754FC5" w:rsidP="004E18F3">
      <w:pPr>
        <w:pStyle w:val="coverallcaps"/>
        <w:outlineLvl w:val="0"/>
      </w:pPr>
      <w:bookmarkStart w:id="0" w:name="_GoBack"/>
      <w:bookmarkEnd w:id="0"/>
      <w:r w:rsidRPr="00702DA6">
        <w:rPr>
          <w:rFonts w:cs="Arial"/>
          <w:noProof/>
          <w:sz w:val="18"/>
          <w:szCs w:val="18"/>
        </w:rPr>
        <w:drawing>
          <wp:anchor distT="0" distB="0" distL="114300" distR="114300" simplePos="0" relativeHeight="251671552" behindDoc="0" locked="1" layoutInCell="1" allowOverlap="1" wp14:anchorId="26062FF5" wp14:editId="3F8F8125">
            <wp:simplePos x="0" y="0"/>
            <wp:positionH relativeFrom="margin">
              <wp:posOffset>-1969135</wp:posOffset>
            </wp:positionH>
            <wp:positionV relativeFrom="page">
              <wp:posOffset>611505</wp:posOffset>
            </wp:positionV>
            <wp:extent cx="181927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P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5" cy="571500"/>
                    </a:xfrm>
                    <a:prstGeom prst="rect">
                      <a:avLst/>
                    </a:prstGeom>
                  </pic:spPr>
                </pic:pic>
              </a:graphicData>
            </a:graphic>
            <wp14:sizeRelV relativeFrom="margin">
              <wp14:pctHeight>0</wp14:pctHeight>
            </wp14:sizeRelV>
          </wp:anchor>
        </w:drawing>
      </w:r>
      <w:r w:rsidR="004E18F3">
        <w:rPr>
          <w:noProof/>
        </w:rPr>
        <w:drawing>
          <wp:anchor distT="0" distB="914400" distL="114300" distR="114300" simplePos="0" relativeHeight="251666432" behindDoc="1" locked="0" layoutInCell="1" allowOverlap="1" wp14:anchorId="375167BA" wp14:editId="5D27F632">
            <wp:simplePos x="0" y="0"/>
            <wp:positionH relativeFrom="column">
              <wp:posOffset>-18415</wp:posOffset>
            </wp:positionH>
            <wp:positionV relativeFrom="page">
              <wp:posOffset>609600</wp:posOffset>
            </wp:positionV>
            <wp:extent cx="4301490" cy="1247775"/>
            <wp:effectExtent l="19050" t="0" r="3810" b="0"/>
            <wp:wrapTopAndBottom/>
            <wp:docPr id="8" name="Picture 9" descr="Masthead-REPORT-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REPORT-RGB (2).jpg"/>
                    <pic:cNvPicPr/>
                  </pic:nvPicPr>
                  <pic:blipFill>
                    <a:blip r:embed="rId11" cstate="print"/>
                    <a:stretch>
                      <a:fillRect/>
                    </a:stretch>
                  </pic:blipFill>
                  <pic:spPr>
                    <a:xfrm>
                      <a:off x="0" y="0"/>
                      <a:ext cx="4301490" cy="1247775"/>
                    </a:xfrm>
                    <a:prstGeom prst="rect">
                      <a:avLst/>
                    </a:prstGeom>
                  </pic:spPr>
                </pic:pic>
              </a:graphicData>
            </a:graphic>
          </wp:anchor>
        </w:drawing>
      </w:r>
      <w:bookmarkStart w:id="1" w:name="RepType"/>
      <w:bookmarkEnd w:id="1"/>
      <w:r w:rsidR="004E18F3">
        <w:rPr>
          <w:noProof/>
        </w:rPr>
        <w:drawing>
          <wp:anchor distT="0" distB="0" distL="114300" distR="114300" simplePos="0" relativeHeight="251663360" behindDoc="0" locked="1" layoutInCell="1" allowOverlap="1" wp14:anchorId="1BE17808" wp14:editId="6AADD9EB">
            <wp:simplePos x="0" y="0"/>
            <wp:positionH relativeFrom="margin">
              <wp:align>right</wp:align>
            </wp:positionH>
            <wp:positionV relativeFrom="margin">
              <wp:posOffset>-2143125</wp:posOffset>
            </wp:positionV>
            <wp:extent cx="4876800" cy="1247775"/>
            <wp:effectExtent l="19050" t="0" r="0" b="0"/>
            <wp:wrapSquare wrapText="bothSides"/>
            <wp:docPr id="1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14:paraId="42F67823" w14:textId="0D46F326" w:rsidR="0062700B" w:rsidRDefault="0062700B" w:rsidP="004E18F3">
      <w:pPr>
        <w:pStyle w:val="covertitle"/>
      </w:pPr>
      <w:bookmarkStart w:id="2" w:name="RepTitle"/>
      <w:bookmarkEnd w:id="2"/>
      <w:r>
        <w:t>Evaluation of Preschool Special Education Practices Efficacy Study</w:t>
      </w:r>
    </w:p>
    <w:p w14:paraId="6168B853" w14:textId="7DD0D811" w:rsidR="0062700B" w:rsidRDefault="0062700B" w:rsidP="004E18F3">
      <w:pPr>
        <w:pStyle w:val="covertitle"/>
      </w:pPr>
      <w:r>
        <w:t xml:space="preserve">Part B: </w:t>
      </w:r>
      <w:r w:rsidR="004E18F3">
        <w:t>Supporting Statement for Paperwork Reduction Act</w:t>
      </w:r>
      <w:r>
        <w:t xml:space="preserve"> Submission</w:t>
      </w:r>
    </w:p>
    <w:p w14:paraId="41087470" w14:textId="548D83DA" w:rsidR="004E18F3" w:rsidRPr="0062700B" w:rsidRDefault="0062700B" w:rsidP="004E18F3">
      <w:pPr>
        <w:pStyle w:val="covertitle"/>
        <w:rPr>
          <w:sz w:val="28"/>
          <w:szCs w:val="28"/>
        </w:rPr>
      </w:pPr>
      <w:r w:rsidRPr="0062700B">
        <w:rPr>
          <w:sz w:val="28"/>
          <w:szCs w:val="28"/>
        </w:rPr>
        <w:t>OMB Information Collection Request 1850-0916</w:t>
      </w:r>
    </w:p>
    <w:p w14:paraId="7C67D2D0" w14:textId="6DC200D8" w:rsidR="004E18F3" w:rsidRDefault="0076773E" w:rsidP="004E18F3">
      <w:pPr>
        <w:pStyle w:val="coverdate"/>
      </w:pPr>
      <w:bookmarkStart w:id="3" w:name="DateMark"/>
      <w:bookmarkEnd w:id="3"/>
      <w:r>
        <w:t xml:space="preserve">March </w:t>
      </w:r>
      <w:r w:rsidR="00B82FEB">
        <w:t>25</w:t>
      </w:r>
      <w:r w:rsidR="004B08B5">
        <w:t>, 2019</w:t>
      </w:r>
    </w:p>
    <w:p w14:paraId="360F6582" w14:textId="77777777" w:rsidR="004E18F3" w:rsidRDefault="004E18F3" w:rsidP="004E18F3">
      <w:pPr>
        <w:pStyle w:val="coverdate"/>
      </w:pPr>
    </w:p>
    <w:p w14:paraId="07B5EE18" w14:textId="77777777" w:rsidR="004E18F3" w:rsidRPr="003935CF" w:rsidRDefault="004E18F3" w:rsidP="004E18F3">
      <w:pPr>
        <w:pStyle w:val="covertextnoline"/>
        <w:pBdr>
          <w:top w:val="single" w:sz="4" w:space="1" w:color="auto"/>
        </w:pBdr>
        <w:spacing w:line="260" w:lineRule="exact"/>
      </w:pPr>
      <w:r w:rsidRPr="00EA4334">
        <w:drawing>
          <wp:anchor distT="0" distB="0" distL="114300" distR="114300" simplePos="0" relativeHeight="251665408" behindDoc="1" locked="1" layoutInCell="1" allowOverlap="1" wp14:anchorId="1A9B29A3" wp14:editId="4D991414">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t>Submitted to</w:t>
      </w:r>
      <w:r w:rsidRPr="003935CF">
        <w:t>:</w:t>
      </w:r>
    </w:p>
    <w:p w14:paraId="697BB53B" w14:textId="77777777" w:rsidR="004E18F3" w:rsidRPr="003935CF" w:rsidRDefault="004E18F3" w:rsidP="004E18F3">
      <w:pPr>
        <w:pStyle w:val="covertext"/>
        <w:spacing w:after="0"/>
      </w:pPr>
      <w:bookmarkStart w:id="4" w:name="Agency"/>
      <w:bookmarkEnd w:id="4"/>
      <w:r>
        <w:t>Institute of Education Sciences</w:t>
      </w:r>
      <w:bookmarkStart w:id="5" w:name="AgencyDept"/>
      <w:bookmarkEnd w:id="5"/>
    </w:p>
    <w:p w14:paraId="5B6A29F4" w14:textId="77777777" w:rsidR="0062700B" w:rsidRPr="003935CF" w:rsidRDefault="0062700B" w:rsidP="0062700B">
      <w:pPr>
        <w:pStyle w:val="covertext"/>
        <w:spacing w:after="0"/>
      </w:pPr>
      <w:bookmarkStart w:id="6" w:name="AgencyAddress1"/>
      <w:bookmarkEnd w:id="6"/>
      <w:r>
        <w:t>550 12th St. SW</w:t>
      </w:r>
    </w:p>
    <w:p w14:paraId="12D86237" w14:textId="77777777" w:rsidR="0062700B" w:rsidRPr="003935CF" w:rsidRDefault="0062700B" w:rsidP="0062700B">
      <w:pPr>
        <w:pStyle w:val="covertext"/>
        <w:spacing w:after="0"/>
      </w:pPr>
      <w:r>
        <w:t>Washington, DC 20024</w:t>
      </w:r>
    </w:p>
    <w:p w14:paraId="41F2E380" w14:textId="77777777" w:rsidR="004E18F3" w:rsidRPr="003935CF" w:rsidRDefault="004E18F3" w:rsidP="004E18F3">
      <w:pPr>
        <w:pStyle w:val="covertextwithline"/>
        <w:pBdr>
          <w:bottom w:val="single" w:sz="2" w:space="4" w:color="auto"/>
        </w:pBdr>
        <w:spacing w:line="260" w:lineRule="exact"/>
      </w:pPr>
      <w:r w:rsidRPr="003935CF">
        <w:t>Project Officer:</w:t>
      </w:r>
      <w:r>
        <w:t xml:space="preserve"> </w:t>
      </w:r>
      <w:bookmarkStart w:id="7" w:name="ProjOff"/>
      <w:bookmarkEnd w:id="7"/>
      <w:r>
        <w:t>Yumiko Sekino</w:t>
      </w:r>
      <w:r>
        <w:br/>
        <w:t>Contract Number:</w:t>
      </w:r>
      <w:r w:rsidRPr="003935CF">
        <w:t xml:space="preserve"> </w:t>
      </w:r>
      <w:bookmarkStart w:id="8" w:name="ContractNumber"/>
      <w:bookmarkEnd w:id="8"/>
      <w:r>
        <w:t>ED-IES-14-C001</w:t>
      </w:r>
    </w:p>
    <w:p w14:paraId="1E0E6CAF" w14:textId="77777777" w:rsidR="004E18F3" w:rsidRPr="003935CF" w:rsidRDefault="004E18F3" w:rsidP="004E18F3">
      <w:pPr>
        <w:pStyle w:val="covertextnoline"/>
        <w:spacing w:line="260" w:lineRule="exact"/>
      </w:pPr>
      <w:r w:rsidRPr="003935CF">
        <w:t>Submitted by:</w:t>
      </w:r>
    </w:p>
    <w:p w14:paraId="15A5C469" w14:textId="316633B2" w:rsidR="00680774" w:rsidRPr="003935CF" w:rsidRDefault="00680774" w:rsidP="0062700B">
      <w:pPr>
        <w:pStyle w:val="covertext"/>
        <w:contextualSpacing/>
        <w:outlineLvl w:val="0"/>
      </w:pPr>
      <w:r w:rsidRPr="003935CF">
        <w:t>Mathematica Policy Research</w:t>
      </w:r>
      <w:r>
        <w:br/>
      </w:r>
      <w:r w:rsidR="0062700B">
        <w:t>P.O. Box 2393</w:t>
      </w:r>
      <w:r w:rsidR="0062700B">
        <w:br/>
        <w:t>Princeton, NJ 08543-2393</w:t>
      </w:r>
      <w:r>
        <w:br/>
        <w:t>Telephone: (609) 799-3535</w:t>
      </w:r>
      <w:r>
        <w:br/>
        <w:t>Facsimile: (609) 799-0005</w:t>
      </w:r>
    </w:p>
    <w:p w14:paraId="136CADD0" w14:textId="64048645" w:rsidR="004E18F3" w:rsidRPr="003935CF" w:rsidRDefault="004E18F3" w:rsidP="004E18F3">
      <w:pPr>
        <w:pStyle w:val="covertextwithline"/>
        <w:pBdr>
          <w:bottom w:val="single" w:sz="2" w:space="6" w:color="auto"/>
        </w:pBdr>
        <w:spacing w:line="260" w:lineRule="exact"/>
      </w:pPr>
      <w:bookmarkStart w:id="9" w:name="Address2"/>
      <w:bookmarkEnd w:id="9"/>
      <w:r>
        <w:t xml:space="preserve">Project Director: </w:t>
      </w:r>
      <w:bookmarkStart w:id="10" w:name="ProjDir"/>
      <w:bookmarkEnd w:id="10"/>
      <w:r>
        <w:t>Cheri Vogel</w:t>
      </w:r>
      <w:r>
        <w:br/>
        <w:t xml:space="preserve">Reference Number: </w:t>
      </w:r>
      <w:bookmarkStart w:id="11" w:name="MPRRef"/>
      <w:bookmarkEnd w:id="11"/>
      <w:r>
        <w:t>40346</w:t>
      </w:r>
    </w:p>
    <w:p w14:paraId="4B54CAD8" w14:textId="77777777" w:rsidR="004E18F3" w:rsidRDefault="004E18F3" w:rsidP="004E18F3">
      <w:pPr>
        <w:pStyle w:val="covertext"/>
        <w:sectPr w:rsidR="004E18F3">
          <w:footerReference w:type="default" r:id="rId14"/>
          <w:headerReference w:type="first" r:id="rId15"/>
          <w:pgSz w:w="12240" w:h="15840"/>
          <w:pgMar w:top="1008" w:right="965" w:bottom="1195" w:left="3629" w:header="864" w:footer="576" w:gutter="0"/>
          <w:cols w:space="720"/>
          <w:docGrid w:linePitch="326"/>
        </w:sectPr>
      </w:pPr>
    </w:p>
    <w:p w14:paraId="11B12BE1" w14:textId="77777777" w:rsidR="006B1413" w:rsidRPr="006B1413" w:rsidRDefault="006B1413" w:rsidP="006B1413">
      <w:pPr>
        <w:spacing w:after="240" w:line="240" w:lineRule="auto"/>
      </w:pPr>
    </w:p>
    <w:p w14:paraId="54ED1E98" w14:textId="77777777" w:rsidR="006B1413" w:rsidRPr="006B1413" w:rsidRDefault="006B1413" w:rsidP="006B1413">
      <w:pPr>
        <w:spacing w:after="240" w:line="240" w:lineRule="auto"/>
      </w:pPr>
    </w:p>
    <w:p w14:paraId="27BB8E7A" w14:textId="77777777" w:rsidR="006B1413" w:rsidRPr="006B1413" w:rsidRDefault="006B1413" w:rsidP="006B1413">
      <w:pPr>
        <w:spacing w:after="240" w:line="240" w:lineRule="auto"/>
      </w:pPr>
    </w:p>
    <w:p w14:paraId="6155AF51" w14:textId="77777777" w:rsidR="006B1413" w:rsidRPr="006B1413" w:rsidRDefault="006B1413" w:rsidP="006B1413">
      <w:pPr>
        <w:spacing w:after="240" w:line="240" w:lineRule="auto"/>
      </w:pPr>
    </w:p>
    <w:p w14:paraId="2F339DD4" w14:textId="77777777" w:rsidR="006B1413" w:rsidRPr="006B1413" w:rsidRDefault="006B1413" w:rsidP="006B1413">
      <w:pPr>
        <w:spacing w:after="240" w:line="240" w:lineRule="auto"/>
      </w:pPr>
    </w:p>
    <w:p w14:paraId="6A3A9AF7" w14:textId="77777777" w:rsidR="006B1413" w:rsidRPr="006B1413" w:rsidRDefault="006B1413" w:rsidP="006B1413">
      <w:pPr>
        <w:spacing w:after="240" w:line="240" w:lineRule="auto"/>
      </w:pPr>
    </w:p>
    <w:p w14:paraId="22B0B801" w14:textId="77777777" w:rsidR="006B1413" w:rsidRPr="006B1413" w:rsidRDefault="006B1413" w:rsidP="006B1413">
      <w:pPr>
        <w:spacing w:after="240" w:line="240" w:lineRule="auto"/>
        <w:ind w:firstLine="0"/>
        <w:jc w:val="center"/>
        <w:rPr>
          <w:b/>
        </w:rPr>
      </w:pPr>
      <w:r w:rsidRPr="006B1413">
        <w:rPr>
          <w:b/>
        </w:rPr>
        <w:t>This page has been left blank for double-sided copying.</w:t>
      </w:r>
    </w:p>
    <w:p w14:paraId="708FC205" w14:textId="77777777" w:rsidR="006B1413" w:rsidRPr="006B1413" w:rsidRDefault="006B1413" w:rsidP="006B1413">
      <w:pPr>
        <w:spacing w:before="240" w:after="240" w:line="240" w:lineRule="auto"/>
        <w:ind w:firstLine="0"/>
        <w:jc w:val="both"/>
        <w:rPr>
          <w:rFonts w:ascii="Arial Black" w:hAnsi="Arial Black"/>
          <w:sz w:val="22"/>
        </w:rPr>
      </w:pPr>
    </w:p>
    <w:p w14:paraId="56133AD8" w14:textId="77777777" w:rsidR="006B1413" w:rsidRPr="006B1413" w:rsidRDefault="006B1413" w:rsidP="006B1413">
      <w:pPr>
        <w:spacing w:line="240" w:lineRule="auto"/>
        <w:ind w:firstLine="0"/>
        <w:rPr>
          <w:rFonts w:ascii="Arial Black" w:hAnsi="Arial Black"/>
          <w:sz w:val="22"/>
        </w:rPr>
        <w:sectPr w:rsidR="006B1413" w:rsidRPr="006B1413" w:rsidSect="008101F2">
          <w:headerReference w:type="default" r:id="rId16"/>
          <w:footerReference w:type="default" r:id="rId17"/>
          <w:pgSz w:w="12240" w:h="15840"/>
          <w:pgMar w:top="1440" w:right="1440" w:bottom="1440" w:left="1440" w:header="720" w:footer="720" w:gutter="0"/>
          <w:pgNumType w:fmt="lowerRoman" w:start="2"/>
          <w:cols w:space="720"/>
          <w:docGrid w:linePitch="360"/>
        </w:sectPr>
      </w:pPr>
    </w:p>
    <w:p w14:paraId="0EF6A8D9" w14:textId="77777777" w:rsidR="006C42F1" w:rsidRDefault="002B5949">
      <w:pPr>
        <w:pBdr>
          <w:bottom w:val="single" w:sz="2" w:space="1" w:color="auto"/>
        </w:pBdr>
        <w:spacing w:before="240" w:after="240" w:line="240" w:lineRule="auto"/>
        <w:ind w:firstLine="0"/>
        <w:jc w:val="both"/>
      </w:pPr>
      <w:r>
        <w:rPr>
          <w:rFonts w:ascii="Arial Black" w:hAnsi="Arial Black"/>
          <w:sz w:val="22"/>
        </w:rPr>
        <w:t>CONTENTS</w:t>
      </w:r>
    </w:p>
    <w:p w14:paraId="4AB4EA22" w14:textId="77777777" w:rsidR="006816A1" w:rsidRDefault="000E37BF">
      <w:pPr>
        <w:pStyle w:val="TOC1"/>
        <w:rPr>
          <w:rFonts w:asciiTheme="minorHAnsi" w:eastAsiaTheme="minorEastAsia" w:hAnsiTheme="minorHAnsi" w:cstheme="minorBidi"/>
          <w:caps w:val="0"/>
          <w:noProof/>
          <w:sz w:val="22"/>
          <w:szCs w:val="22"/>
        </w:rPr>
      </w:pPr>
      <w:r>
        <w:rPr>
          <w:rFonts w:cs="Arial"/>
        </w:rPr>
        <w:fldChar w:fldCharType="begin"/>
      </w:r>
      <w:r w:rsidR="002B5949">
        <w:rPr>
          <w:rFonts w:cs="Arial"/>
        </w:rPr>
        <w:instrText xml:space="preserve"> TOC \o "1-3" \z \t "Heading 1,1,Heading 2,2,Mark for Attachment Heading,8,Mark for Appendix Heading,8" </w:instrText>
      </w:r>
      <w:r>
        <w:rPr>
          <w:rFonts w:cs="Arial"/>
        </w:rPr>
        <w:fldChar w:fldCharType="separate"/>
      </w:r>
      <w:r w:rsidR="006816A1">
        <w:rPr>
          <w:noProof/>
        </w:rPr>
        <w:t>Part b. supporting statement for paperwork reduction act submission</w:t>
      </w:r>
      <w:r w:rsidR="006816A1">
        <w:rPr>
          <w:noProof/>
          <w:webHidden/>
        </w:rPr>
        <w:tab/>
      </w:r>
      <w:r w:rsidR="006816A1">
        <w:rPr>
          <w:noProof/>
          <w:webHidden/>
        </w:rPr>
        <w:fldChar w:fldCharType="begin"/>
      </w:r>
      <w:r w:rsidR="006816A1">
        <w:rPr>
          <w:noProof/>
          <w:webHidden/>
        </w:rPr>
        <w:instrText xml:space="preserve"> PAGEREF _Toc531602970 \h </w:instrText>
      </w:r>
      <w:r w:rsidR="006816A1">
        <w:rPr>
          <w:noProof/>
          <w:webHidden/>
        </w:rPr>
      </w:r>
      <w:r w:rsidR="006816A1">
        <w:rPr>
          <w:noProof/>
          <w:webHidden/>
        </w:rPr>
        <w:fldChar w:fldCharType="separate"/>
      </w:r>
      <w:r w:rsidR="003829AE">
        <w:rPr>
          <w:noProof/>
          <w:webHidden/>
        </w:rPr>
        <w:t>1</w:t>
      </w:r>
      <w:r w:rsidR="006816A1">
        <w:rPr>
          <w:noProof/>
          <w:webHidden/>
        </w:rPr>
        <w:fldChar w:fldCharType="end"/>
      </w:r>
    </w:p>
    <w:p w14:paraId="1986E7FB"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Collection of information employing statistical methods</w:t>
      </w:r>
      <w:r>
        <w:rPr>
          <w:webHidden/>
        </w:rPr>
        <w:tab/>
      </w:r>
      <w:r>
        <w:rPr>
          <w:webHidden/>
        </w:rPr>
        <w:fldChar w:fldCharType="begin"/>
      </w:r>
      <w:r>
        <w:rPr>
          <w:webHidden/>
        </w:rPr>
        <w:instrText xml:space="preserve"> PAGEREF _Toc531602971 \h </w:instrText>
      </w:r>
      <w:r>
        <w:rPr>
          <w:webHidden/>
        </w:rPr>
      </w:r>
      <w:r>
        <w:rPr>
          <w:webHidden/>
        </w:rPr>
        <w:fldChar w:fldCharType="separate"/>
      </w:r>
      <w:r w:rsidR="003829AE">
        <w:rPr>
          <w:webHidden/>
        </w:rPr>
        <w:t>2</w:t>
      </w:r>
      <w:r>
        <w:rPr>
          <w:webHidden/>
        </w:rPr>
        <w:fldChar w:fldCharType="end"/>
      </w:r>
    </w:p>
    <w:p w14:paraId="677E428D"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B1. Respondent universe and sampling methods</w:t>
      </w:r>
      <w:r>
        <w:rPr>
          <w:webHidden/>
        </w:rPr>
        <w:tab/>
      </w:r>
      <w:r>
        <w:rPr>
          <w:webHidden/>
        </w:rPr>
        <w:fldChar w:fldCharType="begin"/>
      </w:r>
      <w:r>
        <w:rPr>
          <w:webHidden/>
        </w:rPr>
        <w:instrText xml:space="preserve"> PAGEREF _Toc531602972 \h </w:instrText>
      </w:r>
      <w:r>
        <w:rPr>
          <w:webHidden/>
        </w:rPr>
      </w:r>
      <w:r>
        <w:rPr>
          <w:webHidden/>
        </w:rPr>
        <w:fldChar w:fldCharType="separate"/>
      </w:r>
      <w:r w:rsidR="003829AE">
        <w:rPr>
          <w:webHidden/>
        </w:rPr>
        <w:t>2</w:t>
      </w:r>
      <w:r>
        <w:rPr>
          <w:webHidden/>
        </w:rPr>
        <w:fldChar w:fldCharType="end"/>
      </w:r>
    </w:p>
    <w:p w14:paraId="71CC082A"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B2. Procedures for the collection of information</w:t>
      </w:r>
      <w:r>
        <w:rPr>
          <w:webHidden/>
        </w:rPr>
        <w:tab/>
      </w:r>
      <w:r>
        <w:rPr>
          <w:webHidden/>
        </w:rPr>
        <w:fldChar w:fldCharType="begin"/>
      </w:r>
      <w:r>
        <w:rPr>
          <w:webHidden/>
        </w:rPr>
        <w:instrText xml:space="preserve"> PAGEREF _Toc531602973 \h </w:instrText>
      </w:r>
      <w:r>
        <w:rPr>
          <w:webHidden/>
        </w:rPr>
      </w:r>
      <w:r>
        <w:rPr>
          <w:webHidden/>
        </w:rPr>
        <w:fldChar w:fldCharType="separate"/>
      </w:r>
      <w:r w:rsidR="003829AE">
        <w:rPr>
          <w:webHidden/>
        </w:rPr>
        <w:t>2</w:t>
      </w:r>
      <w:r>
        <w:rPr>
          <w:webHidden/>
        </w:rPr>
        <w:fldChar w:fldCharType="end"/>
      </w:r>
    </w:p>
    <w:p w14:paraId="3B623782"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B3. Methods to maximize response rates and deal with nonresponse</w:t>
      </w:r>
      <w:r>
        <w:rPr>
          <w:webHidden/>
        </w:rPr>
        <w:tab/>
      </w:r>
      <w:r>
        <w:rPr>
          <w:webHidden/>
        </w:rPr>
        <w:fldChar w:fldCharType="begin"/>
      </w:r>
      <w:r>
        <w:rPr>
          <w:webHidden/>
        </w:rPr>
        <w:instrText xml:space="preserve"> PAGEREF _Toc531602974 \h </w:instrText>
      </w:r>
      <w:r>
        <w:rPr>
          <w:webHidden/>
        </w:rPr>
      </w:r>
      <w:r>
        <w:rPr>
          <w:webHidden/>
        </w:rPr>
        <w:fldChar w:fldCharType="separate"/>
      </w:r>
      <w:r w:rsidR="003829AE">
        <w:rPr>
          <w:webHidden/>
        </w:rPr>
        <w:t>10</w:t>
      </w:r>
      <w:r>
        <w:rPr>
          <w:webHidden/>
        </w:rPr>
        <w:fldChar w:fldCharType="end"/>
      </w:r>
    </w:p>
    <w:p w14:paraId="41F840A1"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B4. Tests of procedures or methods to be undertaken</w:t>
      </w:r>
      <w:r>
        <w:rPr>
          <w:webHidden/>
        </w:rPr>
        <w:tab/>
      </w:r>
      <w:r>
        <w:rPr>
          <w:webHidden/>
        </w:rPr>
        <w:fldChar w:fldCharType="begin"/>
      </w:r>
      <w:r>
        <w:rPr>
          <w:webHidden/>
        </w:rPr>
        <w:instrText xml:space="preserve"> PAGEREF _Toc531602975 \h </w:instrText>
      </w:r>
      <w:r>
        <w:rPr>
          <w:webHidden/>
        </w:rPr>
      </w:r>
      <w:r>
        <w:rPr>
          <w:webHidden/>
        </w:rPr>
        <w:fldChar w:fldCharType="separate"/>
      </w:r>
      <w:r w:rsidR="003829AE">
        <w:rPr>
          <w:webHidden/>
        </w:rPr>
        <w:t>11</w:t>
      </w:r>
      <w:r>
        <w:rPr>
          <w:webHidden/>
        </w:rPr>
        <w:fldChar w:fldCharType="end"/>
      </w:r>
    </w:p>
    <w:p w14:paraId="6BD4487D" w14:textId="77777777" w:rsidR="006816A1" w:rsidRDefault="006816A1" w:rsidP="004B08B5">
      <w:pPr>
        <w:pStyle w:val="TOC3"/>
        <w:tabs>
          <w:tab w:val="clear" w:pos="1440"/>
          <w:tab w:val="left" w:pos="900"/>
        </w:tabs>
        <w:ind w:left="900" w:hanging="360"/>
        <w:rPr>
          <w:rFonts w:asciiTheme="minorHAnsi" w:eastAsiaTheme="minorEastAsia" w:hAnsiTheme="minorHAnsi" w:cstheme="minorBidi"/>
          <w:sz w:val="22"/>
          <w:szCs w:val="22"/>
        </w:rPr>
      </w:pPr>
      <w:r>
        <w:t>B5. Individuals consulted on statistical aspects of the design and on collecting and/or analyzing data</w:t>
      </w:r>
      <w:r>
        <w:rPr>
          <w:webHidden/>
        </w:rPr>
        <w:tab/>
      </w:r>
      <w:r>
        <w:rPr>
          <w:webHidden/>
        </w:rPr>
        <w:fldChar w:fldCharType="begin"/>
      </w:r>
      <w:r>
        <w:rPr>
          <w:webHidden/>
        </w:rPr>
        <w:instrText xml:space="preserve"> PAGEREF _Toc531602976 \h </w:instrText>
      </w:r>
      <w:r>
        <w:rPr>
          <w:webHidden/>
        </w:rPr>
      </w:r>
      <w:r>
        <w:rPr>
          <w:webHidden/>
        </w:rPr>
        <w:fldChar w:fldCharType="separate"/>
      </w:r>
      <w:r w:rsidR="003829AE">
        <w:rPr>
          <w:webHidden/>
        </w:rPr>
        <w:t>12</w:t>
      </w:r>
      <w:r>
        <w:rPr>
          <w:webHidden/>
        </w:rPr>
        <w:fldChar w:fldCharType="end"/>
      </w:r>
    </w:p>
    <w:p w14:paraId="49EDC1BF" w14:textId="40B6DC84" w:rsidR="006816A1" w:rsidRDefault="004B08B5" w:rsidP="004B08B5">
      <w:pPr>
        <w:pStyle w:val="TOC2"/>
        <w:rPr>
          <w:rFonts w:asciiTheme="minorHAnsi" w:eastAsiaTheme="minorEastAsia" w:hAnsiTheme="minorHAnsi" w:cstheme="minorBidi"/>
          <w:sz w:val="22"/>
          <w:szCs w:val="22"/>
        </w:rPr>
      </w:pPr>
      <w:r>
        <w:t>REFERENCES</w:t>
      </w:r>
      <w:r w:rsidR="006816A1">
        <w:rPr>
          <w:webHidden/>
        </w:rPr>
        <w:tab/>
      </w:r>
      <w:r w:rsidR="006816A1">
        <w:rPr>
          <w:webHidden/>
        </w:rPr>
        <w:fldChar w:fldCharType="begin"/>
      </w:r>
      <w:r w:rsidR="006816A1">
        <w:rPr>
          <w:webHidden/>
        </w:rPr>
        <w:instrText xml:space="preserve"> PAGEREF _Toc531602977 \h </w:instrText>
      </w:r>
      <w:r w:rsidR="006816A1">
        <w:rPr>
          <w:webHidden/>
        </w:rPr>
      </w:r>
      <w:r w:rsidR="006816A1">
        <w:rPr>
          <w:webHidden/>
        </w:rPr>
        <w:fldChar w:fldCharType="separate"/>
      </w:r>
      <w:r w:rsidR="003829AE">
        <w:rPr>
          <w:webHidden/>
        </w:rPr>
        <w:t>13</w:t>
      </w:r>
      <w:r w:rsidR="006816A1">
        <w:rPr>
          <w:webHidden/>
        </w:rPr>
        <w:fldChar w:fldCharType="end"/>
      </w:r>
    </w:p>
    <w:p w14:paraId="32F6FD10" w14:textId="0C58C849" w:rsidR="006B1413" w:rsidRDefault="000E37BF" w:rsidP="004B08B5">
      <w:pPr>
        <w:spacing w:before="240" w:line="240" w:lineRule="auto"/>
        <w:ind w:firstLine="0"/>
        <w:jc w:val="both"/>
        <w:rPr>
          <w:rFonts w:ascii="Arial" w:hAnsi="Arial" w:cs="Arial"/>
          <w:sz w:val="20"/>
        </w:rPr>
      </w:pPr>
      <w:r>
        <w:rPr>
          <w:rFonts w:ascii="Arial" w:hAnsi="Arial" w:cs="Arial"/>
          <w:sz w:val="20"/>
        </w:rPr>
        <w:fldChar w:fldCharType="end"/>
      </w:r>
      <w:r w:rsidR="006B1413">
        <w:rPr>
          <w:rFonts w:ascii="Arial" w:hAnsi="Arial" w:cs="Arial"/>
          <w:sz w:val="20"/>
        </w:rPr>
        <w:t>APPENDIX A:</w:t>
      </w:r>
      <w:r w:rsidR="006816A1">
        <w:rPr>
          <w:rFonts w:ascii="Arial" w:hAnsi="Arial" w:cs="Arial"/>
          <w:sz w:val="20"/>
        </w:rPr>
        <w:tab/>
      </w:r>
      <w:r w:rsidR="006B1413" w:rsidRPr="002B2B9E">
        <w:rPr>
          <w:rFonts w:ascii="Arial" w:hAnsi="Arial" w:cs="Arial"/>
          <w:sz w:val="20"/>
        </w:rPr>
        <w:t>INDIVIDUALS WITH DISABILITIES EDUCATION ACT 2004, SECTION 664</w:t>
      </w:r>
    </w:p>
    <w:p w14:paraId="3858F063" w14:textId="403E6C88" w:rsidR="006B1413" w:rsidRDefault="006B1413" w:rsidP="004B08B5">
      <w:pPr>
        <w:spacing w:line="240" w:lineRule="auto"/>
        <w:ind w:firstLine="0"/>
        <w:jc w:val="both"/>
        <w:rPr>
          <w:rFonts w:ascii="Arial" w:hAnsi="Arial" w:cs="Arial"/>
          <w:sz w:val="20"/>
        </w:rPr>
      </w:pPr>
      <w:r>
        <w:rPr>
          <w:rFonts w:ascii="Arial" w:hAnsi="Arial" w:cs="Arial"/>
          <w:sz w:val="20"/>
        </w:rPr>
        <w:t xml:space="preserve">APPENDIX </w:t>
      </w:r>
      <w:r w:rsidR="00281A08">
        <w:rPr>
          <w:rFonts w:ascii="Arial" w:hAnsi="Arial" w:cs="Arial"/>
          <w:sz w:val="20"/>
        </w:rPr>
        <w:t>B</w:t>
      </w:r>
      <w:r>
        <w:rPr>
          <w:rFonts w:ascii="Arial" w:hAnsi="Arial" w:cs="Arial"/>
          <w:sz w:val="20"/>
        </w:rPr>
        <w:t>:</w:t>
      </w:r>
      <w:r w:rsidR="006816A1">
        <w:rPr>
          <w:rFonts w:ascii="Arial" w:hAnsi="Arial" w:cs="Arial"/>
          <w:sz w:val="20"/>
        </w:rPr>
        <w:tab/>
      </w:r>
      <w:r>
        <w:rPr>
          <w:rFonts w:ascii="Arial" w:hAnsi="Arial" w:cs="Arial"/>
          <w:sz w:val="20"/>
        </w:rPr>
        <w:t>CLASS ROSTER AND DATA REQUEST FORM</w:t>
      </w:r>
    </w:p>
    <w:p w14:paraId="470AC893" w14:textId="35D6662A" w:rsidR="006B1413" w:rsidRDefault="006B1413" w:rsidP="004B08B5">
      <w:pPr>
        <w:spacing w:line="240" w:lineRule="auto"/>
        <w:ind w:firstLine="0"/>
        <w:jc w:val="both"/>
        <w:rPr>
          <w:rFonts w:ascii="Arial" w:hAnsi="Arial" w:cs="Arial"/>
          <w:sz w:val="20"/>
        </w:rPr>
      </w:pPr>
      <w:r>
        <w:rPr>
          <w:rFonts w:ascii="Arial" w:hAnsi="Arial" w:cs="Arial"/>
          <w:sz w:val="20"/>
        </w:rPr>
        <w:t xml:space="preserve">APPENDIX </w:t>
      </w:r>
      <w:r w:rsidR="00281A08">
        <w:rPr>
          <w:rFonts w:ascii="Arial" w:hAnsi="Arial" w:cs="Arial"/>
          <w:sz w:val="20"/>
        </w:rPr>
        <w:t>C</w:t>
      </w:r>
      <w:r>
        <w:rPr>
          <w:rFonts w:ascii="Arial" w:hAnsi="Arial" w:cs="Arial"/>
          <w:sz w:val="20"/>
        </w:rPr>
        <w:t>:</w:t>
      </w:r>
      <w:r w:rsidR="006816A1">
        <w:rPr>
          <w:rFonts w:ascii="Arial" w:hAnsi="Arial" w:cs="Arial"/>
          <w:sz w:val="20"/>
        </w:rPr>
        <w:tab/>
      </w:r>
      <w:r>
        <w:rPr>
          <w:rFonts w:ascii="Arial" w:hAnsi="Arial" w:cs="Arial"/>
          <w:sz w:val="20"/>
        </w:rPr>
        <w:t>PARENT LETTER AND CONSENT FORM</w:t>
      </w:r>
    </w:p>
    <w:p w14:paraId="08071B91" w14:textId="7D1A1B0B" w:rsidR="00281A08" w:rsidRDefault="00281A08" w:rsidP="004B08B5">
      <w:pPr>
        <w:spacing w:line="240" w:lineRule="auto"/>
        <w:ind w:firstLine="0"/>
        <w:jc w:val="both"/>
        <w:rPr>
          <w:rFonts w:ascii="Arial" w:hAnsi="Arial" w:cs="Arial"/>
          <w:sz w:val="20"/>
        </w:rPr>
      </w:pPr>
      <w:r>
        <w:rPr>
          <w:rFonts w:ascii="Arial" w:hAnsi="Arial" w:cs="Arial"/>
          <w:sz w:val="20"/>
        </w:rPr>
        <w:t>APPENDIX D:</w:t>
      </w:r>
      <w:r>
        <w:rPr>
          <w:rFonts w:ascii="Arial" w:hAnsi="Arial" w:cs="Arial"/>
          <w:sz w:val="20"/>
        </w:rPr>
        <w:tab/>
        <w:t>ADMINISTRATIVE RECORDS REQUEST FORM</w:t>
      </w:r>
    </w:p>
    <w:p w14:paraId="03BD9B9A" w14:textId="668911F2" w:rsidR="006B1413" w:rsidRDefault="00281A08" w:rsidP="004B08B5">
      <w:pPr>
        <w:spacing w:line="240" w:lineRule="auto"/>
        <w:ind w:firstLine="0"/>
        <w:rPr>
          <w:rFonts w:ascii="Arial" w:hAnsi="Arial" w:cs="Arial"/>
          <w:sz w:val="20"/>
        </w:rPr>
      </w:pPr>
      <w:r>
        <w:rPr>
          <w:rFonts w:ascii="Arial" w:hAnsi="Arial" w:cs="Arial"/>
          <w:sz w:val="20"/>
        </w:rPr>
        <w:t>APPENDIX E:</w:t>
      </w:r>
      <w:r>
        <w:rPr>
          <w:rFonts w:ascii="Arial" w:hAnsi="Arial" w:cs="Arial"/>
          <w:sz w:val="20"/>
        </w:rPr>
        <w:tab/>
        <w:t xml:space="preserve">OBSERVATION INSTRUMENTS WITH A TEACHER INTERVIEW COMPONENT </w:t>
      </w:r>
      <w:r w:rsidR="006B1413">
        <w:rPr>
          <w:rFonts w:ascii="Arial" w:hAnsi="Arial" w:cs="Arial"/>
          <w:sz w:val="20"/>
        </w:rPr>
        <w:t>APPENDIX F:</w:t>
      </w:r>
      <w:r w:rsidR="006816A1">
        <w:rPr>
          <w:rFonts w:ascii="Arial" w:hAnsi="Arial" w:cs="Arial"/>
          <w:sz w:val="20"/>
        </w:rPr>
        <w:tab/>
      </w:r>
      <w:r w:rsidR="006B1413">
        <w:rPr>
          <w:rFonts w:ascii="Arial" w:hAnsi="Arial" w:cs="Arial"/>
          <w:sz w:val="20"/>
        </w:rPr>
        <w:t>TEACHER FOCUS GROUP FORM</w:t>
      </w:r>
      <w:r w:rsidR="004B08B5">
        <w:rPr>
          <w:rFonts w:ascii="Arial" w:hAnsi="Arial" w:cs="Arial"/>
          <w:sz w:val="20"/>
        </w:rPr>
        <w:t>S</w:t>
      </w:r>
      <w:r w:rsidR="006B1413">
        <w:rPr>
          <w:rFonts w:ascii="Arial" w:hAnsi="Arial" w:cs="Arial"/>
          <w:sz w:val="20"/>
        </w:rPr>
        <w:t xml:space="preserve"> AND PROTOCOL</w:t>
      </w:r>
    </w:p>
    <w:p w14:paraId="1C072183" w14:textId="08A2B114" w:rsidR="006B1413" w:rsidRDefault="006B1413" w:rsidP="004B08B5">
      <w:pPr>
        <w:spacing w:line="240" w:lineRule="auto"/>
        <w:ind w:firstLine="0"/>
        <w:jc w:val="both"/>
        <w:rPr>
          <w:rFonts w:ascii="Arial" w:hAnsi="Arial" w:cs="Arial"/>
          <w:sz w:val="20"/>
        </w:rPr>
      </w:pPr>
      <w:r>
        <w:rPr>
          <w:rFonts w:ascii="Arial" w:hAnsi="Arial" w:cs="Arial"/>
          <w:sz w:val="20"/>
        </w:rPr>
        <w:t>APPENDIX G:</w:t>
      </w:r>
      <w:r>
        <w:rPr>
          <w:rFonts w:ascii="Arial" w:hAnsi="Arial" w:cs="Arial"/>
          <w:sz w:val="20"/>
        </w:rPr>
        <w:tab/>
        <w:t>TEACHER BACKGROUND AND EXPERIENCES SURVEY</w:t>
      </w:r>
    </w:p>
    <w:p w14:paraId="2A3C1B7E" w14:textId="3382516C" w:rsidR="006B1413" w:rsidRDefault="006B1413" w:rsidP="004B08B5">
      <w:pPr>
        <w:spacing w:line="240" w:lineRule="auto"/>
        <w:ind w:firstLine="0"/>
        <w:jc w:val="both"/>
        <w:rPr>
          <w:rFonts w:ascii="Arial" w:hAnsi="Arial" w:cs="Arial"/>
          <w:sz w:val="20"/>
        </w:rPr>
      </w:pPr>
      <w:r>
        <w:rPr>
          <w:rFonts w:ascii="Arial" w:hAnsi="Arial" w:cs="Arial"/>
          <w:sz w:val="20"/>
        </w:rPr>
        <w:t xml:space="preserve">APPENDIX </w:t>
      </w:r>
      <w:r w:rsidR="00281A08">
        <w:rPr>
          <w:rFonts w:ascii="Arial" w:hAnsi="Arial" w:cs="Arial"/>
          <w:sz w:val="20"/>
        </w:rPr>
        <w:t>H</w:t>
      </w:r>
      <w:r>
        <w:rPr>
          <w:rFonts w:ascii="Arial" w:hAnsi="Arial" w:cs="Arial"/>
          <w:sz w:val="20"/>
        </w:rPr>
        <w:t>:</w:t>
      </w:r>
      <w:r w:rsidR="006816A1">
        <w:rPr>
          <w:rFonts w:ascii="Arial" w:hAnsi="Arial" w:cs="Arial"/>
          <w:sz w:val="20"/>
        </w:rPr>
        <w:tab/>
      </w:r>
      <w:r>
        <w:rPr>
          <w:rFonts w:ascii="Arial" w:hAnsi="Arial" w:cs="Arial"/>
          <w:sz w:val="20"/>
        </w:rPr>
        <w:t>TEACHER</w:t>
      </w:r>
      <w:r w:rsidR="00CD55F9">
        <w:rPr>
          <w:rFonts w:ascii="Arial" w:hAnsi="Arial" w:cs="Arial"/>
          <w:sz w:val="20"/>
        </w:rPr>
        <w:t xml:space="preserve">-CHILD </w:t>
      </w:r>
      <w:r>
        <w:rPr>
          <w:rFonts w:ascii="Arial" w:hAnsi="Arial" w:cs="Arial"/>
          <w:sz w:val="20"/>
        </w:rPr>
        <w:t xml:space="preserve">REPORTS </w:t>
      </w:r>
    </w:p>
    <w:p w14:paraId="3116302D" w14:textId="167383E3" w:rsidR="00754FC5" w:rsidRDefault="006B1413" w:rsidP="004B08B5">
      <w:pPr>
        <w:spacing w:after="240" w:line="240" w:lineRule="auto"/>
        <w:ind w:firstLine="0"/>
        <w:jc w:val="both"/>
        <w:rPr>
          <w:rFonts w:ascii="Arial" w:hAnsi="Arial" w:cs="Arial"/>
          <w:sz w:val="20"/>
        </w:rPr>
      </w:pPr>
      <w:r>
        <w:rPr>
          <w:rFonts w:ascii="Arial" w:hAnsi="Arial" w:cs="Arial"/>
          <w:sz w:val="20"/>
        </w:rPr>
        <w:t xml:space="preserve">APPENDIX </w:t>
      </w:r>
      <w:r w:rsidR="00281A08">
        <w:rPr>
          <w:rFonts w:ascii="Arial" w:hAnsi="Arial" w:cs="Arial"/>
          <w:sz w:val="20"/>
        </w:rPr>
        <w:t>I</w:t>
      </w:r>
      <w:r>
        <w:rPr>
          <w:rFonts w:ascii="Arial" w:hAnsi="Arial" w:cs="Arial"/>
          <w:sz w:val="20"/>
        </w:rPr>
        <w:t>:</w:t>
      </w:r>
      <w:r w:rsidR="006816A1">
        <w:rPr>
          <w:rFonts w:ascii="Arial" w:hAnsi="Arial" w:cs="Arial"/>
          <w:sz w:val="20"/>
        </w:rPr>
        <w:tab/>
      </w:r>
      <w:r>
        <w:rPr>
          <w:rFonts w:ascii="Arial" w:hAnsi="Arial" w:cs="Arial"/>
          <w:sz w:val="20"/>
        </w:rPr>
        <w:t>CONFIDENTIALITY PLEDGE</w:t>
      </w:r>
    </w:p>
    <w:p w14:paraId="3FA2F6D4" w14:textId="77777777" w:rsidR="004751FA" w:rsidRDefault="004751FA" w:rsidP="006B1413">
      <w:pPr>
        <w:spacing w:before="240" w:after="240" w:line="240" w:lineRule="auto"/>
        <w:ind w:firstLine="0"/>
        <w:jc w:val="both"/>
        <w:rPr>
          <w:rFonts w:ascii="Arial" w:hAnsi="Arial" w:cs="Arial"/>
          <w:sz w:val="20"/>
        </w:rPr>
      </w:pPr>
    </w:p>
    <w:p w14:paraId="20BAB39F" w14:textId="77777777" w:rsidR="004751FA" w:rsidRDefault="004751FA" w:rsidP="004751FA">
      <w:pPr>
        <w:pBdr>
          <w:bottom w:val="single" w:sz="2" w:space="1" w:color="auto"/>
        </w:pBdr>
        <w:spacing w:before="240" w:after="240" w:line="240" w:lineRule="auto"/>
        <w:ind w:firstLine="0"/>
        <w:jc w:val="both"/>
      </w:pPr>
      <w:r>
        <w:rPr>
          <w:rFonts w:ascii="Arial Black" w:hAnsi="Arial Black"/>
          <w:sz w:val="22"/>
        </w:rPr>
        <w:t>TABLES</w:t>
      </w:r>
    </w:p>
    <w:p w14:paraId="447EEAEA" w14:textId="77777777" w:rsidR="006816A1" w:rsidRDefault="004751FA">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6816A1">
        <w:rPr>
          <w:noProof/>
        </w:rPr>
        <w:t>Table B.1. Example of our approach to interpreting impact estimates</w:t>
      </w:r>
      <w:r w:rsidR="006816A1">
        <w:rPr>
          <w:noProof/>
          <w:webHidden/>
        </w:rPr>
        <w:tab/>
      </w:r>
      <w:r w:rsidR="006816A1">
        <w:rPr>
          <w:noProof/>
          <w:webHidden/>
        </w:rPr>
        <w:fldChar w:fldCharType="begin"/>
      </w:r>
      <w:r w:rsidR="006816A1">
        <w:rPr>
          <w:noProof/>
          <w:webHidden/>
        </w:rPr>
        <w:instrText xml:space="preserve"> PAGEREF _Toc531603005 \h </w:instrText>
      </w:r>
      <w:r w:rsidR="006816A1">
        <w:rPr>
          <w:noProof/>
          <w:webHidden/>
        </w:rPr>
      </w:r>
      <w:r w:rsidR="006816A1">
        <w:rPr>
          <w:noProof/>
          <w:webHidden/>
        </w:rPr>
        <w:fldChar w:fldCharType="separate"/>
      </w:r>
      <w:r w:rsidR="003829AE">
        <w:rPr>
          <w:noProof/>
          <w:webHidden/>
        </w:rPr>
        <w:t>5</w:t>
      </w:r>
      <w:r w:rsidR="006816A1">
        <w:rPr>
          <w:noProof/>
          <w:webHidden/>
        </w:rPr>
        <w:fldChar w:fldCharType="end"/>
      </w:r>
    </w:p>
    <w:p w14:paraId="5406F696" w14:textId="77777777" w:rsidR="006816A1" w:rsidRDefault="006816A1">
      <w:pPr>
        <w:pStyle w:val="TableofFigures"/>
        <w:rPr>
          <w:rFonts w:asciiTheme="minorHAnsi" w:eastAsiaTheme="minorEastAsia" w:hAnsiTheme="minorHAnsi" w:cstheme="minorBidi"/>
          <w:noProof/>
          <w:sz w:val="22"/>
          <w:szCs w:val="22"/>
        </w:rPr>
      </w:pPr>
      <w:r>
        <w:rPr>
          <w:noProof/>
        </w:rPr>
        <w:t>Table B.2. Minimum detectable effect sizes</w:t>
      </w:r>
      <w:r>
        <w:rPr>
          <w:noProof/>
          <w:webHidden/>
        </w:rPr>
        <w:tab/>
      </w:r>
      <w:r>
        <w:rPr>
          <w:noProof/>
          <w:webHidden/>
        </w:rPr>
        <w:fldChar w:fldCharType="begin"/>
      </w:r>
      <w:r>
        <w:rPr>
          <w:noProof/>
          <w:webHidden/>
        </w:rPr>
        <w:instrText xml:space="preserve"> PAGEREF _Toc531603006 \h </w:instrText>
      </w:r>
      <w:r>
        <w:rPr>
          <w:noProof/>
          <w:webHidden/>
        </w:rPr>
      </w:r>
      <w:r>
        <w:rPr>
          <w:noProof/>
          <w:webHidden/>
        </w:rPr>
        <w:fldChar w:fldCharType="separate"/>
      </w:r>
      <w:r w:rsidR="003829AE">
        <w:rPr>
          <w:noProof/>
          <w:webHidden/>
        </w:rPr>
        <w:t>6</w:t>
      </w:r>
      <w:r>
        <w:rPr>
          <w:noProof/>
          <w:webHidden/>
        </w:rPr>
        <w:fldChar w:fldCharType="end"/>
      </w:r>
    </w:p>
    <w:p w14:paraId="2A2EC1B1" w14:textId="77777777" w:rsidR="006816A1" w:rsidRDefault="006816A1">
      <w:pPr>
        <w:pStyle w:val="TableofFigures"/>
        <w:rPr>
          <w:rFonts w:asciiTheme="minorHAnsi" w:eastAsiaTheme="minorEastAsia" w:hAnsiTheme="minorHAnsi" w:cstheme="minorBidi"/>
          <w:noProof/>
          <w:sz w:val="22"/>
          <w:szCs w:val="22"/>
        </w:rPr>
      </w:pPr>
      <w:r>
        <w:rPr>
          <w:noProof/>
        </w:rPr>
        <w:t>Table B.3. Calculating quantile treatment effects can increase study power</w:t>
      </w:r>
      <w:r>
        <w:rPr>
          <w:noProof/>
          <w:webHidden/>
        </w:rPr>
        <w:tab/>
      </w:r>
      <w:r>
        <w:rPr>
          <w:noProof/>
          <w:webHidden/>
        </w:rPr>
        <w:fldChar w:fldCharType="begin"/>
      </w:r>
      <w:r>
        <w:rPr>
          <w:noProof/>
          <w:webHidden/>
        </w:rPr>
        <w:instrText xml:space="preserve"> PAGEREF _Toc531603007 \h </w:instrText>
      </w:r>
      <w:r>
        <w:rPr>
          <w:noProof/>
          <w:webHidden/>
        </w:rPr>
      </w:r>
      <w:r>
        <w:rPr>
          <w:noProof/>
          <w:webHidden/>
        </w:rPr>
        <w:fldChar w:fldCharType="separate"/>
      </w:r>
      <w:r w:rsidR="003829AE">
        <w:rPr>
          <w:noProof/>
          <w:webHidden/>
        </w:rPr>
        <w:t>7</w:t>
      </w:r>
      <w:r>
        <w:rPr>
          <w:noProof/>
          <w:webHidden/>
        </w:rPr>
        <w:fldChar w:fldCharType="end"/>
      </w:r>
    </w:p>
    <w:p w14:paraId="5EC97E0A" w14:textId="77777777" w:rsidR="006816A1" w:rsidRDefault="006816A1">
      <w:pPr>
        <w:pStyle w:val="TableofFigures"/>
        <w:rPr>
          <w:rFonts w:asciiTheme="minorHAnsi" w:eastAsiaTheme="minorEastAsia" w:hAnsiTheme="minorHAnsi" w:cstheme="minorBidi"/>
          <w:noProof/>
          <w:sz w:val="22"/>
          <w:szCs w:val="22"/>
        </w:rPr>
      </w:pPr>
      <w:r>
        <w:rPr>
          <w:noProof/>
        </w:rPr>
        <w:t>Table B.4. Example of typical data collection week: April</w:t>
      </w:r>
      <w:r>
        <w:rPr>
          <w:noProof/>
          <w:webHidden/>
        </w:rPr>
        <w:tab/>
      </w:r>
      <w:r>
        <w:rPr>
          <w:noProof/>
          <w:webHidden/>
        </w:rPr>
        <w:fldChar w:fldCharType="begin"/>
      </w:r>
      <w:r>
        <w:rPr>
          <w:noProof/>
          <w:webHidden/>
        </w:rPr>
        <w:instrText xml:space="preserve"> PAGEREF _Toc531603008 \h </w:instrText>
      </w:r>
      <w:r>
        <w:rPr>
          <w:noProof/>
          <w:webHidden/>
        </w:rPr>
      </w:r>
      <w:r>
        <w:rPr>
          <w:noProof/>
          <w:webHidden/>
        </w:rPr>
        <w:fldChar w:fldCharType="separate"/>
      </w:r>
      <w:r w:rsidR="003829AE">
        <w:rPr>
          <w:noProof/>
          <w:webHidden/>
        </w:rPr>
        <w:t>9</w:t>
      </w:r>
      <w:r>
        <w:rPr>
          <w:noProof/>
          <w:webHidden/>
        </w:rPr>
        <w:fldChar w:fldCharType="end"/>
      </w:r>
    </w:p>
    <w:p w14:paraId="67BC0E02" w14:textId="2A8DCE25" w:rsidR="004751FA" w:rsidRDefault="004751FA" w:rsidP="004751FA">
      <w:pPr>
        <w:spacing w:before="240" w:after="240" w:line="240" w:lineRule="auto"/>
        <w:ind w:firstLine="0"/>
        <w:jc w:val="both"/>
        <w:rPr>
          <w:rFonts w:ascii="Arial" w:hAnsi="Arial" w:cs="Arial"/>
          <w:sz w:val="20"/>
        </w:rPr>
      </w:pPr>
      <w:r>
        <w:rPr>
          <w:rFonts w:ascii="Arial" w:hAnsi="Arial" w:cs="Arial"/>
          <w:sz w:val="20"/>
        </w:rPr>
        <w:fldChar w:fldCharType="end"/>
      </w:r>
    </w:p>
    <w:p w14:paraId="347251D9" w14:textId="77777777" w:rsidR="004751FA" w:rsidRDefault="004751FA" w:rsidP="006B1413">
      <w:pPr>
        <w:spacing w:before="240" w:after="240" w:line="240" w:lineRule="auto"/>
        <w:ind w:firstLine="0"/>
        <w:jc w:val="both"/>
        <w:rPr>
          <w:rFonts w:ascii="Arial" w:hAnsi="Arial" w:cs="Arial"/>
          <w:sz w:val="20"/>
        </w:rPr>
        <w:sectPr w:rsidR="004751FA" w:rsidSect="00754FC5">
          <w:headerReference w:type="default" r:id="rId18"/>
          <w:footerReference w:type="default" r:id="rId19"/>
          <w:pgSz w:w="12240" w:h="15840"/>
          <w:pgMar w:top="1440" w:right="1440" w:bottom="1440" w:left="1440" w:header="720" w:footer="720" w:gutter="0"/>
          <w:pgNumType w:fmt="lowerRoman" w:start="3"/>
          <w:cols w:space="720"/>
          <w:docGrid w:linePitch="360"/>
        </w:sectPr>
      </w:pPr>
    </w:p>
    <w:p w14:paraId="3172DE20" w14:textId="77777777" w:rsidR="00754FC5" w:rsidRDefault="00754FC5" w:rsidP="00F6063A"/>
    <w:p w14:paraId="1EC03F67" w14:textId="77777777" w:rsidR="00754FC5" w:rsidRDefault="00754FC5" w:rsidP="00F6063A"/>
    <w:p w14:paraId="504D1AB9" w14:textId="77777777" w:rsidR="00754FC5" w:rsidRDefault="00754FC5" w:rsidP="00F6063A"/>
    <w:p w14:paraId="39070FE9" w14:textId="77777777" w:rsidR="00754FC5" w:rsidRDefault="00754FC5" w:rsidP="00F6063A"/>
    <w:p w14:paraId="5EFA3C47" w14:textId="77777777" w:rsidR="00754FC5" w:rsidRDefault="00754FC5" w:rsidP="00F6063A"/>
    <w:p w14:paraId="40E75971" w14:textId="77777777" w:rsidR="00754FC5" w:rsidRDefault="00754FC5" w:rsidP="00F6063A"/>
    <w:p w14:paraId="065F223D" w14:textId="77777777" w:rsidR="00754FC5" w:rsidRPr="00EE77A4" w:rsidRDefault="00754FC5" w:rsidP="007A678D">
      <w:pPr>
        <w:jc w:val="center"/>
        <w:rPr>
          <w:b/>
        </w:rPr>
      </w:pPr>
      <w:r w:rsidRPr="00EE77A4">
        <w:rPr>
          <w:b/>
        </w:rPr>
        <w:t>This page has been left blank for double-sided copying.</w:t>
      </w:r>
    </w:p>
    <w:p w14:paraId="11B5981E" w14:textId="77777777" w:rsidR="00754FC5" w:rsidRDefault="00754FC5" w:rsidP="006B1413">
      <w:pPr>
        <w:spacing w:before="240" w:after="240" w:line="240" w:lineRule="auto"/>
        <w:ind w:firstLine="0"/>
        <w:jc w:val="both"/>
        <w:rPr>
          <w:rFonts w:ascii="Arial" w:hAnsi="Arial" w:cs="Arial"/>
          <w:sz w:val="20"/>
        </w:rPr>
        <w:sectPr w:rsidR="00754FC5" w:rsidSect="00754FC5">
          <w:headerReference w:type="default" r:id="rId20"/>
          <w:footerReference w:type="default" r:id="rId21"/>
          <w:pgSz w:w="12240" w:h="15840"/>
          <w:pgMar w:top="1440" w:right="1440" w:bottom="1440" w:left="1440" w:header="720" w:footer="720" w:gutter="0"/>
          <w:pgNumType w:fmt="lowerRoman"/>
          <w:cols w:space="720"/>
          <w:docGrid w:linePitch="360"/>
        </w:sectPr>
      </w:pPr>
    </w:p>
    <w:p w14:paraId="351F3895" w14:textId="43B8E380" w:rsidR="007768F5" w:rsidRDefault="0062700B" w:rsidP="0062700B">
      <w:pPr>
        <w:pStyle w:val="Heading1"/>
      </w:pPr>
      <w:bookmarkStart w:id="12" w:name="_Toc393196684"/>
      <w:bookmarkStart w:id="13" w:name="_Toc531602970"/>
      <w:r>
        <w:t xml:space="preserve">Part b. </w:t>
      </w:r>
      <w:r w:rsidR="005A0DFB">
        <w:t>supporting statement for paperwork reduction act</w:t>
      </w:r>
      <w:bookmarkEnd w:id="12"/>
      <w:r w:rsidR="00DC48B7">
        <w:t xml:space="preserve"> submission</w:t>
      </w:r>
      <w:bookmarkEnd w:id="13"/>
    </w:p>
    <w:p w14:paraId="47A6DAA5" w14:textId="19D90B0B" w:rsidR="00EB413D" w:rsidRPr="00815F0E" w:rsidRDefault="00EB413D" w:rsidP="00EB413D">
      <w:pPr>
        <w:spacing w:after="240" w:line="240" w:lineRule="auto"/>
      </w:pPr>
      <w:r w:rsidRPr="001435B1">
        <w:t xml:space="preserve">This package requests clearance for data collection activities to support </w:t>
      </w:r>
      <w:r>
        <w:t>a</w:t>
      </w:r>
      <w:r w:rsidRPr="00C57ABD">
        <w:t xml:space="preserve"> rigorous efficacy study of a</w:t>
      </w:r>
      <w:r>
        <w:t>n instructional</w:t>
      </w:r>
      <w:r w:rsidRPr="00C57ABD">
        <w:t xml:space="preserve"> framework designed to address the needs of all preschool childre</w:t>
      </w:r>
      <w:r>
        <w:t>n in inclusive classrooms</w:t>
      </w:r>
      <w:r w:rsidRPr="00C57ABD">
        <w:t>.</w:t>
      </w:r>
      <w:r w:rsidR="00EA0233">
        <w:rPr>
          <w:rStyle w:val="FootnoteReference"/>
        </w:rPr>
        <w:footnoteReference w:id="2"/>
      </w:r>
      <w:r w:rsidRPr="00815F0E">
        <w:t xml:space="preserve"> </w:t>
      </w:r>
      <w:r>
        <w:t xml:space="preserve">The efficacy study is part of the Evaluation of Preschool Special Education Practices (EPSEP), which is exploring the feasibility of a large-scale effectiveness study of an intervention for preschool children in inclusive classrooms. </w:t>
      </w:r>
      <w:r w:rsidRPr="00815F0E">
        <w:t xml:space="preserve">The Institute of Education Sciences (IES) in the U.S. Department of Education has contracted with Mathematica Policy Research and its partners the University of Florida, University of North Carolina </w:t>
      </w:r>
      <w:r>
        <w:t xml:space="preserve">at </w:t>
      </w:r>
      <w:r w:rsidRPr="00815F0E">
        <w:t xml:space="preserve">Chapel Hill, and Vanderbilt University to conduct </w:t>
      </w:r>
      <w:r>
        <w:t>EPSEP (ED-IES-14-C-0001)</w:t>
      </w:r>
      <w:r w:rsidRPr="00815F0E">
        <w:t>.</w:t>
      </w:r>
    </w:p>
    <w:p w14:paraId="671EC075" w14:textId="32F37501" w:rsidR="00EB413D" w:rsidRPr="005F37FA" w:rsidRDefault="00EB413D" w:rsidP="00EB413D">
      <w:pPr>
        <w:spacing w:after="240" w:line="240" w:lineRule="auto"/>
        <w:rPr>
          <w:rFonts w:eastAsia="Calibri"/>
        </w:rPr>
      </w:pPr>
      <w:r>
        <w:t>The main objective of the efficacy study is to test whether the Instructionally Enhanced Pyramid Model (</w:t>
      </w:r>
      <w:r w:rsidRPr="00A33A16">
        <w:t>IEP</w:t>
      </w:r>
      <w:r w:rsidRPr="00A33A16">
        <w:rPr>
          <w:vertAlign w:val="subscript"/>
        </w:rPr>
        <w:t>M</w:t>
      </w:r>
      <w:r>
        <w:t xml:space="preserve">) can be implemented with fidelity. </w:t>
      </w:r>
      <w:r w:rsidR="002E00F9" w:rsidRPr="00E521FA">
        <w:t>IEP</w:t>
      </w:r>
      <w:r w:rsidR="002E00F9" w:rsidRPr="00E521FA">
        <w:rPr>
          <w:vertAlign w:val="subscript"/>
        </w:rPr>
        <w:t xml:space="preserve">M </w:t>
      </w:r>
      <w:r w:rsidR="002E00F9">
        <w:t>is comprised of three established individual interventions for children with disabilities integrated together into a single comprehensive intervention for use with all children in inclusive preschool classrooms</w:t>
      </w:r>
      <w:r w:rsidR="004B08B5">
        <w:t xml:space="preserve"> (</w:t>
      </w:r>
      <w:r w:rsidR="004B08B5" w:rsidRPr="00E521FA">
        <w:t>IEP</w:t>
      </w:r>
      <w:r w:rsidR="004B08B5" w:rsidRPr="00E521FA">
        <w:rPr>
          <w:vertAlign w:val="subscript"/>
        </w:rPr>
        <w:t xml:space="preserve">M </w:t>
      </w:r>
      <w:r w:rsidR="004B08B5">
        <w:t>is described in detail in Part A section A1.c)</w:t>
      </w:r>
      <w:r w:rsidR="002E00F9">
        <w:t xml:space="preserve">. </w:t>
      </w:r>
      <w:r>
        <w:t xml:space="preserve">The secondary objective is to provide initial evidence about </w:t>
      </w:r>
      <w:r w:rsidR="009E6D7D">
        <w:t>IEP</w:t>
      </w:r>
      <w:r w:rsidR="009E6D7D" w:rsidRPr="00724686">
        <w:rPr>
          <w:vertAlign w:val="subscript"/>
        </w:rPr>
        <w:t>M</w:t>
      </w:r>
      <w:r w:rsidR="009E6D7D">
        <w:t xml:space="preserve">’s </w:t>
      </w:r>
      <w:r>
        <w:t>impacts on classroom and child outcomes.</w:t>
      </w:r>
      <w:r>
        <w:rPr>
          <w:rFonts w:eastAsia="Calibri"/>
        </w:rPr>
        <w:t xml:space="preserve"> </w:t>
      </w:r>
      <w:r w:rsidRPr="005F37FA">
        <w:rPr>
          <w:rFonts w:eastAsia="Calibri"/>
        </w:rPr>
        <w:t>This study provides an important test of whether</w:t>
      </w:r>
      <w:r w:rsidR="00A25A91">
        <w:rPr>
          <w:rFonts w:eastAsia="Calibri"/>
        </w:rPr>
        <w:t xml:space="preserve"> strategies for delivering content in a manner that meets the needs of each child with a disability can be integrated with</w:t>
      </w:r>
      <w:r w:rsidRPr="005F37FA">
        <w:rPr>
          <w:rFonts w:eastAsia="Calibri"/>
        </w:rPr>
        <w:t xml:space="preserve"> a</w:t>
      </w:r>
      <w:r w:rsidR="00A25A91">
        <w:rPr>
          <w:rFonts w:eastAsia="Calibri"/>
        </w:rPr>
        <w:t>n existing</w:t>
      </w:r>
      <w:r w:rsidRPr="005F37FA">
        <w:rPr>
          <w:rFonts w:eastAsia="Calibri"/>
        </w:rPr>
        <w:t xml:space="preserve"> framework of teaching practices for inclusive preschool classes, thus helping all children participate and make progress in the general preschool curriculum. </w:t>
      </w:r>
      <w:r w:rsidR="00A25A91">
        <w:rPr>
          <w:rFonts w:eastAsia="Calibri"/>
        </w:rPr>
        <w:t>T</w:t>
      </w:r>
      <w:r>
        <w:rPr>
          <w:rFonts w:eastAsia="Calibri"/>
        </w:rPr>
        <w:t>hese strategies, which are called targeted instructional supports</w:t>
      </w:r>
      <w:r w:rsidR="00A25A91">
        <w:rPr>
          <w:rFonts w:eastAsia="Calibri"/>
        </w:rPr>
        <w:t>, have been tested separately but have not been tested as part of this framework</w:t>
      </w:r>
      <w:r>
        <w:rPr>
          <w:rFonts w:eastAsia="Calibri"/>
        </w:rPr>
        <w:t xml:space="preserve">. </w:t>
      </w:r>
    </w:p>
    <w:p w14:paraId="21CA4483" w14:textId="7E94499D" w:rsidR="00EB413D" w:rsidRDefault="00EB413D" w:rsidP="00EB413D">
      <w:pPr>
        <w:spacing w:after="240" w:line="240" w:lineRule="auto"/>
        <w:rPr>
          <w:rFonts w:eastAsia="Calibri"/>
        </w:rPr>
      </w:pPr>
      <w:r>
        <w:rPr>
          <w:rFonts w:eastAsia="Calibri"/>
        </w:rPr>
        <w:t>Findings from an earlier EPSEP survey data collection (OMB 1850-0916, approved March 26, 2015) and systematic review provided little evidence that curricula and interventions that integrate targeted instructional supports are available for school districts to use in inclusive preschool classrooms. The</w:t>
      </w:r>
      <w:r w:rsidR="00A25A91">
        <w:rPr>
          <w:rFonts w:eastAsia="Calibri"/>
        </w:rPr>
        <w:t>se</w:t>
      </w:r>
      <w:r>
        <w:rPr>
          <w:rFonts w:eastAsia="Calibri"/>
        </w:rPr>
        <w:t xml:space="preserve"> earlier findings justify the need for an efficacy study to obtain more information before IES decides whether </w:t>
      </w:r>
      <w:r w:rsidRPr="00B4281B">
        <w:rPr>
          <w:rFonts w:eastAsia="Calibri"/>
        </w:rPr>
        <w:t xml:space="preserve">to </w:t>
      </w:r>
      <w:r>
        <w:rPr>
          <w:rFonts w:eastAsia="Calibri"/>
        </w:rPr>
        <w:t xml:space="preserve">conduct </w:t>
      </w:r>
      <w:r w:rsidRPr="00B4281B">
        <w:rPr>
          <w:rFonts w:eastAsia="Calibri"/>
        </w:rPr>
        <w:t>a large-scale evaluation</w:t>
      </w:r>
      <w:r>
        <w:rPr>
          <w:rFonts w:eastAsia="Calibri"/>
        </w:rPr>
        <w:t xml:space="preserve">. In addition, the results can inform preschool instructional practices and </w:t>
      </w:r>
      <w:r w:rsidRPr="00CC5A85">
        <w:rPr>
          <w:rFonts w:eastAsia="Calibri"/>
        </w:rPr>
        <w:t xml:space="preserve">policy objectives in the Individuals with Disabilities Education Act (IDEA) that support inclusion. </w:t>
      </w:r>
    </w:p>
    <w:p w14:paraId="67B320AA" w14:textId="46A75CA6" w:rsidR="00EB413D" w:rsidRDefault="00EB413D" w:rsidP="00EB413D">
      <w:pPr>
        <w:spacing w:after="240" w:line="240" w:lineRule="auto"/>
        <w:rPr>
          <w:rFonts w:eastAsia="Calibri"/>
        </w:rPr>
      </w:pPr>
      <w:r>
        <w:rPr>
          <w:rFonts w:eastAsia="Calibri"/>
        </w:rPr>
        <w:t xml:space="preserve">The efficacy study will include </w:t>
      </w:r>
      <w:r w:rsidR="00A25A91">
        <w:rPr>
          <w:rFonts w:eastAsia="Calibri"/>
        </w:rPr>
        <w:t xml:space="preserve">data collection to conduct both </w:t>
      </w:r>
      <w:r>
        <w:rPr>
          <w:rFonts w:eastAsia="Calibri"/>
        </w:rPr>
        <w:t>implementation and impact analyses. The implementation analysis will use observation data to describe the fidelity of training and implementation. It also will draw on coaching logs and coach interviews to describe program implementation</w:t>
      </w:r>
      <w:r w:rsidR="00061805" w:rsidRPr="00061805">
        <w:rPr>
          <w:rFonts w:eastAsia="Calibri"/>
        </w:rPr>
        <w:t>.</w:t>
      </w:r>
      <w:r w:rsidR="00061805" w:rsidRPr="00061805">
        <w:rPr>
          <w:rFonts w:eastAsia="Calibri"/>
          <w:vertAlign w:val="superscript"/>
        </w:rPr>
        <w:t xml:space="preserve"> </w:t>
      </w:r>
      <w:r w:rsidR="00061805" w:rsidRPr="00061805">
        <w:rPr>
          <w:rFonts w:eastAsia="Calibri"/>
          <w:vertAlign w:val="superscript"/>
        </w:rPr>
        <w:footnoteReference w:id="3"/>
      </w:r>
      <w:r>
        <w:rPr>
          <w:rFonts w:eastAsia="Calibri"/>
        </w:rPr>
        <w:t xml:space="preserve"> In addition, responses to a teacher survey and teacher focus groups will provide information on teachers’ backgrounds, professional experiences, and perspectives on </w:t>
      </w:r>
      <w:r w:rsidRPr="002700C8">
        <w:rPr>
          <w:rFonts w:eastAsia="Calibri"/>
        </w:rPr>
        <w:t>IEP</w:t>
      </w:r>
      <w:r w:rsidRPr="002700C8">
        <w:rPr>
          <w:rFonts w:eastAsia="Calibri"/>
          <w:vertAlign w:val="subscript"/>
        </w:rPr>
        <w:t>M</w:t>
      </w:r>
      <w:r>
        <w:rPr>
          <w:rFonts w:eastAsia="Calibri"/>
        </w:rPr>
        <w:t xml:space="preserve"> implementation. The impact analysis will use data from observations of classroom inclusion quality and engagement, a child observation, a direct child assessment, and teacher reports on child outcomes.</w:t>
      </w:r>
      <w:r w:rsidR="004646F7" w:rsidRPr="004646F7">
        <w:rPr>
          <w:rFonts w:eastAsia="Calibri"/>
          <w:vertAlign w:val="superscript"/>
        </w:rPr>
        <w:t xml:space="preserve"> </w:t>
      </w:r>
      <w:r>
        <w:rPr>
          <w:rFonts w:eastAsia="Calibri"/>
        </w:rPr>
        <w:t xml:space="preserve"> The implementation and impact analyses also will use district administrative records</w:t>
      </w:r>
      <w:r w:rsidR="00A25A91">
        <w:rPr>
          <w:rFonts w:eastAsia="Calibri"/>
        </w:rPr>
        <w:t xml:space="preserve"> to offer additional</w:t>
      </w:r>
      <w:r w:rsidR="00B83206">
        <w:rPr>
          <w:rFonts w:eastAsia="Calibri"/>
        </w:rPr>
        <w:t xml:space="preserve"> contextual and</w:t>
      </w:r>
      <w:r w:rsidR="00A25A91">
        <w:rPr>
          <w:rFonts w:eastAsia="Calibri"/>
        </w:rPr>
        <w:t xml:space="preserve"> background information on the preschool program, its teachers, and enrolled children</w:t>
      </w:r>
      <w:r>
        <w:rPr>
          <w:rFonts w:eastAsia="Calibri"/>
        </w:rPr>
        <w:t>.</w:t>
      </w:r>
    </w:p>
    <w:p w14:paraId="78CB2638" w14:textId="0975D330" w:rsidR="008D6CF6" w:rsidRDefault="007A410B" w:rsidP="007A410B">
      <w:pPr>
        <w:spacing w:after="240" w:line="240" w:lineRule="auto"/>
        <w:rPr>
          <w:rFonts w:eastAsia="Calibri"/>
        </w:rPr>
      </w:pPr>
      <w:r w:rsidRPr="00DC48B7">
        <w:rPr>
          <w:rFonts w:eastAsia="Calibri"/>
        </w:rPr>
        <w:t xml:space="preserve">This </w:t>
      </w:r>
      <w:r w:rsidR="00724686">
        <w:rPr>
          <w:rFonts w:eastAsia="Calibri"/>
        </w:rPr>
        <w:t xml:space="preserve">supporting statement </w:t>
      </w:r>
      <w:r w:rsidR="008D6CF6" w:rsidRPr="00DC48B7">
        <w:rPr>
          <w:rFonts w:eastAsia="Calibri"/>
        </w:rPr>
        <w:t>describes the study sample, our plans for maximizing response rates, methodological tests we will conduct, and the data collection procedures we will use.</w:t>
      </w:r>
      <w:r w:rsidR="008D6CF6">
        <w:rPr>
          <w:rFonts w:eastAsia="Calibri"/>
        </w:rPr>
        <w:t xml:space="preserve"> </w:t>
      </w:r>
      <w:r>
        <w:rPr>
          <w:rFonts w:eastAsia="Calibri"/>
        </w:rPr>
        <w:t xml:space="preserve"> </w:t>
      </w:r>
    </w:p>
    <w:p w14:paraId="623EB5FC" w14:textId="3FE390AE" w:rsidR="005A0DFB" w:rsidRPr="000930F2" w:rsidRDefault="005A0DFB" w:rsidP="000930F2">
      <w:pPr>
        <w:pStyle w:val="H3Alpha"/>
      </w:pPr>
      <w:bookmarkStart w:id="14" w:name="_Toc531602971"/>
      <w:bookmarkStart w:id="15" w:name="_Toc393196685"/>
      <w:r w:rsidRPr="000930F2">
        <w:t>Collection of information employing statistical methods</w:t>
      </w:r>
      <w:bookmarkEnd w:id="14"/>
    </w:p>
    <w:p w14:paraId="3C9A273C" w14:textId="00DFFFA5" w:rsidR="007877BD" w:rsidRPr="000930F2" w:rsidRDefault="007D0CF2" w:rsidP="000930F2">
      <w:pPr>
        <w:pStyle w:val="H3Alpha"/>
      </w:pPr>
      <w:bookmarkStart w:id="16" w:name="_Toc531602972"/>
      <w:r w:rsidRPr="000930F2">
        <w:t>B</w:t>
      </w:r>
      <w:r w:rsidR="00681385" w:rsidRPr="000930F2">
        <w:t xml:space="preserve">1. </w:t>
      </w:r>
      <w:r w:rsidR="00D65B8C" w:rsidRPr="000930F2">
        <w:t>Respondent universe and sampling methods</w:t>
      </w:r>
      <w:bookmarkEnd w:id="15"/>
      <w:bookmarkEnd w:id="16"/>
      <w:r w:rsidR="000A3552" w:rsidRPr="000930F2">
        <w:t xml:space="preserve"> </w:t>
      </w:r>
    </w:p>
    <w:p w14:paraId="20F5D8B8" w14:textId="709F0B31" w:rsidR="000930F2" w:rsidRDefault="000930F2" w:rsidP="000930F2">
      <w:pPr>
        <w:pStyle w:val="NormalSS"/>
      </w:pPr>
      <w:r>
        <w:t xml:space="preserve">The efficacy study will rely on a purposive sample of 26 schools </w:t>
      </w:r>
      <w:r w:rsidRPr="000179BC">
        <w:t xml:space="preserve">from </w:t>
      </w:r>
      <w:r w:rsidR="00314E86">
        <w:t>three</w:t>
      </w:r>
      <w:r>
        <w:t xml:space="preserve"> </w:t>
      </w:r>
      <w:r w:rsidRPr="000179BC">
        <w:t xml:space="preserve">school districts in the United States. </w:t>
      </w:r>
      <w:r>
        <w:t xml:space="preserve">Approximately </w:t>
      </w:r>
      <w:r w:rsidRPr="00850593">
        <w:t>40</w:t>
      </w:r>
      <w:r>
        <w:t xml:space="preserve"> inclusive preschool classrooms (</w:t>
      </w:r>
      <w:r w:rsidR="00314E86">
        <w:t>that is</w:t>
      </w:r>
      <w:r>
        <w:t>, preschool classrooms that include children with and without disabilities) and associated teaching staff (</w:t>
      </w:r>
      <w:r w:rsidR="00314E86">
        <w:t>two</w:t>
      </w:r>
      <w:r>
        <w:t xml:space="preserve"> per classroom) will be included from the 26 schools. We plan to recruit districts, schools, and teachers </w:t>
      </w:r>
      <w:r w:rsidRPr="00E565D6">
        <w:t>during winter 2018 and spring 2019</w:t>
      </w:r>
      <w:r>
        <w:t>. I</w:t>
      </w:r>
      <w:r w:rsidRPr="00E565D6">
        <w:t>n late spring 2019</w:t>
      </w:r>
      <w:r>
        <w:t>,</w:t>
      </w:r>
      <w:r w:rsidRPr="00E565D6">
        <w:t xml:space="preserve"> we will randomly assign half of </w:t>
      </w:r>
      <w:r>
        <w:t xml:space="preserve">the </w:t>
      </w:r>
      <w:r w:rsidRPr="00E565D6">
        <w:t>schools in each district to the IEP</w:t>
      </w:r>
      <w:r w:rsidRPr="00E565D6">
        <w:rPr>
          <w:vertAlign w:val="subscript"/>
        </w:rPr>
        <w:t>M</w:t>
      </w:r>
      <w:r w:rsidRPr="00E565D6">
        <w:t xml:space="preserve"> intervention group and half to the business-as-usual control group.</w:t>
      </w:r>
      <w:r>
        <w:t xml:space="preserve"> The </w:t>
      </w:r>
      <w:r w:rsidRPr="00A33A16">
        <w:t>IEP</w:t>
      </w:r>
      <w:r w:rsidRPr="00A33A16">
        <w:rPr>
          <w:vertAlign w:val="subscript"/>
        </w:rPr>
        <w:t>M</w:t>
      </w:r>
      <w:r>
        <w:t xml:space="preserve"> implementation period will include the 2019</w:t>
      </w:r>
      <w:r w:rsidR="00314E86">
        <w:t>–</w:t>
      </w:r>
      <w:r>
        <w:t>2020 and 2020</w:t>
      </w:r>
      <w:r w:rsidR="00314E86">
        <w:t>–</w:t>
      </w:r>
      <w:r>
        <w:t xml:space="preserve">2021 school years. The child sample will include all preschool children attending study classrooms; we anticipate up to 1,440 children across the two years combined. </w:t>
      </w:r>
      <w:r w:rsidRPr="000179BC">
        <w:t>The study will not statistically sample districts</w:t>
      </w:r>
      <w:r>
        <w:t>, schools,</w:t>
      </w:r>
      <w:r w:rsidRPr="000179BC">
        <w:t xml:space="preserve"> </w:t>
      </w:r>
      <w:r>
        <w:t>classrooms, or children</w:t>
      </w:r>
      <w:r w:rsidR="00314E86">
        <w:t>; therefore</w:t>
      </w:r>
      <w:r w:rsidRPr="000179BC">
        <w:t>, we will not make statements that generalize beyond the study</w:t>
      </w:r>
      <w:r>
        <w:t xml:space="preserve"> sample</w:t>
      </w:r>
      <w:r w:rsidRPr="000179BC">
        <w:t>.</w:t>
      </w:r>
      <w:r>
        <w:t xml:space="preserve">  </w:t>
      </w:r>
    </w:p>
    <w:p w14:paraId="6764BFCF" w14:textId="521EA075" w:rsidR="007108CB" w:rsidRPr="000930F2" w:rsidRDefault="000B14F8" w:rsidP="000930F2">
      <w:pPr>
        <w:pStyle w:val="H3Alpha"/>
      </w:pPr>
      <w:bookmarkStart w:id="17" w:name="_Toc531602973"/>
      <w:r w:rsidRPr="000930F2">
        <w:t>B2. Procedures for the collection of information</w:t>
      </w:r>
      <w:bookmarkEnd w:id="17"/>
    </w:p>
    <w:p w14:paraId="0415C476" w14:textId="7BFE8E2E" w:rsidR="000B14F8" w:rsidRPr="00640501" w:rsidRDefault="000B14F8" w:rsidP="000930F2">
      <w:pPr>
        <w:pStyle w:val="H4NumberNoTOC"/>
      </w:pPr>
      <w:r w:rsidRPr="00640501">
        <w:t>a.</w:t>
      </w:r>
      <w:r w:rsidRPr="00640501">
        <w:tab/>
        <w:t>Statistical methods for sample selection</w:t>
      </w:r>
    </w:p>
    <w:p w14:paraId="38A128D9" w14:textId="18B0A3C3" w:rsidR="00373E33" w:rsidRPr="000B14F8" w:rsidRDefault="00373E33" w:rsidP="00373E33">
      <w:pPr>
        <w:pStyle w:val="NormalSS"/>
      </w:pPr>
      <w:r w:rsidRPr="000B14F8">
        <w:t>The sample will be chosen purposively in support of the study’s objective to learn whether the components of IEP</w:t>
      </w:r>
      <w:r w:rsidRPr="000B14F8">
        <w:rPr>
          <w:vertAlign w:val="subscript"/>
        </w:rPr>
        <w:t>M</w:t>
      </w:r>
      <w:r w:rsidRPr="000B14F8">
        <w:t xml:space="preserve"> can be implemented together with fidelity and have positive effects on </w:t>
      </w:r>
      <w:r w:rsidR="00157806">
        <w:t xml:space="preserve">preschoolers’ </w:t>
      </w:r>
      <w:r w:rsidRPr="000B14F8">
        <w:t xml:space="preserve">social-emotional/behavioral skills and language outcomes. </w:t>
      </w:r>
      <w:r w:rsidR="00206915">
        <w:t>For the efficacy study, t</w:t>
      </w:r>
      <w:r w:rsidRPr="000B14F8">
        <w:t xml:space="preserve">he goal for sample selection is not to represent a broad population of schools and </w:t>
      </w:r>
      <w:r>
        <w:t>children</w:t>
      </w:r>
      <w:r w:rsidRPr="000B14F8">
        <w:t xml:space="preserve">, but </w:t>
      </w:r>
      <w:r w:rsidR="00206915">
        <w:t xml:space="preserve">to preliminarily test implementation with teaching staff willing to pilot </w:t>
      </w:r>
      <w:r w:rsidR="00206915" w:rsidRPr="000B14F8">
        <w:t>IEP</w:t>
      </w:r>
      <w:r w:rsidR="00206915" w:rsidRPr="000B14F8">
        <w:rPr>
          <w:vertAlign w:val="subscript"/>
        </w:rPr>
        <w:t>M</w:t>
      </w:r>
      <w:r w:rsidR="00206915">
        <w:rPr>
          <w:vertAlign w:val="subscript"/>
        </w:rPr>
        <w:t xml:space="preserve"> </w:t>
      </w:r>
      <w:r w:rsidR="00206915">
        <w:t>in their preschool classroom</w:t>
      </w:r>
      <w:r w:rsidRPr="000B14F8">
        <w:t>. If IEP</w:t>
      </w:r>
      <w:r w:rsidRPr="000B14F8">
        <w:rPr>
          <w:vertAlign w:val="subscript"/>
        </w:rPr>
        <w:t>M</w:t>
      </w:r>
      <w:r w:rsidRPr="000B14F8">
        <w:t xml:space="preserve"> can succeed in a favorable context</w:t>
      </w:r>
      <w:r>
        <w:t>,</w:t>
      </w:r>
      <w:r w:rsidRPr="000B14F8">
        <w:t xml:space="preserve"> a larger effectiveness trial can be conducted to evaluate whether IEP</w:t>
      </w:r>
      <w:r w:rsidRPr="000B14F8">
        <w:rPr>
          <w:vertAlign w:val="subscript"/>
        </w:rPr>
        <w:t>M</w:t>
      </w:r>
      <w:r w:rsidRPr="000B14F8">
        <w:t xml:space="preserve"> can succeed </w:t>
      </w:r>
      <w:r>
        <w:t xml:space="preserve">with </w:t>
      </w:r>
      <w:r w:rsidRPr="000B14F8">
        <w:t xml:space="preserve">a more representative population of schools and </w:t>
      </w:r>
      <w:r>
        <w:t>children</w:t>
      </w:r>
      <w:r w:rsidRPr="000B14F8">
        <w:t xml:space="preserve">. </w:t>
      </w:r>
      <w:r>
        <w:t>Findings from this</w:t>
      </w:r>
      <w:r w:rsidRPr="000B14F8">
        <w:t xml:space="preserve"> efficacy study will inform the decision </w:t>
      </w:r>
      <w:r w:rsidR="0051675F">
        <w:t xml:space="preserve">whether </w:t>
      </w:r>
      <w:r w:rsidRPr="000B14F8">
        <w:t xml:space="preserve">to conduct a larger effectiveness trial. </w:t>
      </w:r>
    </w:p>
    <w:p w14:paraId="102EEA6E" w14:textId="6117A1B7" w:rsidR="00373E33" w:rsidRDefault="00373E33" w:rsidP="00373E33">
      <w:pPr>
        <w:pStyle w:val="NormalSS"/>
      </w:pPr>
      <w:r w:rsidRPr="000B14F8">
        <w:rPr>
          <w:b/>
        </w:rPr>
        <w:t>Selection of districts, schools, and classrooms</w:t>
      </w:r>
      <w:r w:rsidRPr="00AB3CAD">
        <w:rPr>
          <w:b/>
        </w:rPr>
        <w:t>.</w:t>
      </w:r>
      <w:r w:rsidRPr="000B14F8">
        <w:t xml:space="preserve"> The best context for </w:t>
      </w:r>
      <w:r>
        <w:t xml:space="preserve">evaluating </w:t>
      </w:r>
      <w:r w:rsidRPr="000B14F8">
        <w:t>IEP</w:t>
      </w:r>
      <w:r w:rsidRPr="000B14F8">
        <w:rPr>
          <w:vertAlign w:val="subscript"/>
        </w:rPr>
        <w:t>M</w:t>
      </w:r>
      <w:r w:rsidRPr="000B14F8">
        <w:t xml:space="preserve"> is one in which </w:t>
      </w:r>
      <w:r>
        <w:t>children with disabilities</w:t>
      </w:r>
      <w:r w:rsidRPr="000B14F8">
        <w:t xml:space="preserve"> are taught in </w:t>
      </w:r>
      <w:r w:rsidRPr="00373E33">
        <w:t>inclusive</w:t>
      </w:r>
      <w:r w:rsidRPr="000B14F8">
        <w:t xml:space="preserve"> </w:t>
      </w:r>
      <w:r>
        <w:t xml:space="preserve">preschool </w:t>
      </w:r>
      <w:r w:rsidRPr="000B14F8">
        <w:t>classrooms</w:t>
      </w:r>
      <w:r w:rsidR="004011CB">
        <w:t xml:space="preserve"> and</w:t>
      </w:r>
      <w:r w:rsidR="00DA2788">
        <w:t xml:space="preserve"> </w:t>
      </w:r>
      <w:r w:rsidRPr="000B14F8">
        <w:t xml:space="preserve">in which </w:t>
      </w:r>
      <w:r>
        <w:t xml:space="preserve">classrooms are not currently using any components of </w:t>
      </w:r>
      <w:r w:rsidRPr="00A33A16">
        <w:t>IEP</w:t>
      </w:r>
      <w:r w:rsidRPr="00A33A16">
        <w:rPr>
          <w:vertAlign w:val="subscript"/>
        </w:rPr>
        <w:t>M</w:t>
      </w:r>
      <w:r>
        <w:t xml:space="preserve"> or its related fidelity instruments. </w:t>
      </w:r>
      <w:r w:rsidRPr="000B14F8">
        <w:t>Members of the IEP</w:t>
      </w:r>
      <w:r w:rsidRPr="000B14F8">
        <w:rPr>
          <w:vertAlign w:val="subscript"/>
        </w:rPr>
        <w:t>M</w:t>
      </w:r>
      <w:r w:rsidRPr="000B14F8">
        <w:t xml:space="preserve"> provider team have relationships with the public preschool programs </w:t>
      </w:r>
      <w:r w:rsidR="007F68AF">
        <w:t>near</w:t>
      </w:r>
      <w:r w:rsidRPr="000B14F8">
        <w:t xml:space="preserve"> </w:t>
      </w:r>
      <w:r>
        <w:t xml:space="preserve">their locations </w:t>
      </w:r>
      <w:r w:rsidRPr="000B14F8">
        <w:t xml:space="preserve">that satisfy these selection criteria. </w:t>
      </w:r>
    </w:p>
    <w:p w14:paraId="03257A9E" w14:textId="62A3C737" w:rsidR="00373E33" w:rsidRPr="000B14F8" w:rsidRDefault="00373E33" w:rsidP="00373E33">
      <w:pPr>
        <w:pStyle w:val="NormalSS"/>
      </w:pPr>
      <w:r>
        <w:t xml:space="preserve">We will work with district staff to identify schools </w:t>
      </w:r>
      <w:r w:rsidR="009030E2">
        <w:t xml:space="preserve">to participate in the study </w:t>
      </w:r>
      <w:r>
        <w:t xml:space="preserve">that have inclusive preschool classrooms. </w:t>
      </w:r>
      <w:r w:rsidR="009030E2">
        <w:t xml:space="preserve">To minimize the potential for families to make school enrollment decisions based on the availability of </w:t>
      </w:r>
      <w:r w:rsidR="009030E2" w:rsidRPr="00A33A16">
        <w:t>IEP</w:t>
      </w:r>
      <w:r w:rsidR="009030E2" w:rsidRPr="00A33A16">
        <w:rPr>
          <w:vertAlign w:val="subscript"/>
        </w:rPr>
        <w:t>M</w:t>
      </w:r>
      <w:r w:rsidR="009030E2">
        <w:t>, s</w:t>
      </w:r>
      <w:r>
        <w:t xml:space="preserve">chools must be neighborhood schools (rather than schools of choice). The participating schools in each district must be using the same general preschool curriculum, </w:t>
      </w:r>
      <w:r w:rsidR="009030E2">
        <w:t>to</w:t>
      </w:r>
      <w:r>
        <w:t xml:space="preserve"> which </w:t>
      </w:r>
      <w:r w:rsidRPr="00A33A16">
        <w:t>IEP</w:t>
      </w:r>
      <w:r w:rsidRPr="00A33A16">
        <w:rPr>
          <w:vertAlign w:val="subscript"/>
        </w:rPr>
        <w:t>M</w:t>
      </w:r>
      <w:r>
        <w:t xml:space="preserve"> will be added. The study will include inclusive preschool classrooms and associated teaching staff (two per classroom) from participating schools. </w:t>
      </w:r>
      <w:r w:rsidR="009030E2">
        <w:t>B</w:t>
      </w:r>
      <w:r>
        <w:t>ased on findings from the EPSEP school district survey (</w:t>
      </w:r>
      <w:r w:rsidRPr="0057276D">
        <w:t xml:space="preserve">OMB 1850-0916, approved </w:t>
      </w:r>
      <w:r w:rsidR="009030E2">
        <w:t xml:space="preserve">March 26, </w:t>
      </w:r>
      <w:r w:rsidRPr="0057276D">
        <w:t>2015)</w:t>
      </w:r>
      <w:r w:rsidR="009030E2">
        <w:t>, we anticipate that schools will have one or two inclusive preschool classrooms, on average</w:t>
      </w:r>
      <w:r>
        <w:t xml:space="preserve">. </w:t>
      </w:r>
    </w:p>
    <w:p w14:paraId="42EFFD5D" w14:textId="278881D5" w:rsidR="00373E33" w:rsidRPr="000B14F8" w:rsidRDefault="00373E33" w:rsidP="00373E33">
      <w:pPr>
        <w:pStyle w:val="NormalSS"/>
      </w:pPr>
      <w:r w:rsidRPr="000B14F8">
        <w:rPr>
          <w:b/>
        </w:rPr>
        <w:t xml:space="preserve">Selection of </w:t>
      </w:r>
      <w:r>
        <w:rPr>
          <w:b/>
        </w:rPr>
        <w:t>children</w:t>
      </w:r>
      <w:r w:rsidRPr="000B14F8">
        <w:rPr>
          <w:b/>
        </w:rPr>
        <w:t xml:space="preserve">. </w:t>
      </w:r>
      <w:r w:rsidRPr="000B14F8">
        <w:t xml:space="preserve">We will seek to include all </w:t>
      </w:r>
      <w:r>
        <w:t>children</w:t>
      </w:r>
      <w:r w:rsidRPr="000B14F8">
        <w:t xml:space="preserve"> in the inclusive </w:t>
      </w:r>
      <w:r>
        <w:t xml:space="preserve">preschool </w:t>
      </w:r>
      <w:r w:rsidRPr="000B14F8">
        <w:t xml:space="preserve">classrooms </w:t>
      </w:r>
      <w:r>
        <w:t>in participating schools</w:t>
      </w:r>
      <w:r w:rsidRPr="000B14F8">
        <w:t xml:space="preserve">. Based on </w:t>
      </w:r>
      <w:r>
        <w:t xml:space="preserve">the EPSEP school district survey </w:t>
      </w:r>
      <w:r w:rsidRPr="000B14F8">
        <w:t xml:space="preserve">data and on input from the provider team, we anticipate that study classrooms will have an average of 18 </w:t>
      </w:r>
      <w:r w:rsidR="00B9252F">
        <w:t>children</w:t>
      </w:r>
      <w:r w:rsidRPr="000B14F8">
        <w:t xml:space="preserve">, 5 of whom </w:t>
      </w:r>
      <w:r>
        <w:t xml:space="preserve">will </w:t>
      </w:r>
      <w:r w:rsidRPr="000B14F8">
        <w:t xml:space="preserve">have </w:t>
      </w:r>
      <w:r w:rsidR="00B9252F">
        <w:t xml:space="preserve">a disability. </w:t>
      </w:r>
      <w:r w:rsidR="005E5DED">
        <w:t>Therefore, w</w:t>
      </w:r>
      <w:r>
        <w:t xml:space="preserve">e anticipate the total number of </w:t>
      </w:r>
      <w:r w:rsidR="00B9252F">
        <w:t xml:space="preserve">children </w:t>
      </w:r>
      <w:r w:rsidR="001C07DA">
        <w:t xml:space="preserve">will be </w:t>
      </w:r>
      <w:r>
        <w:t>720 per year across the 40 classrooms</w:t>
      </w:r>
      <w:r w:rsidR="005E5DED">
        <w:t>,</w:t>
      </w:r>
      <w:r>
        <w:t xml:space="preserve"> or up to 1,440 across both school years. </w:t>
      </w:r>
      <w:r w:rsidRPr="000B14F8">
        <w:t xml:space="preserve">We assume that </w:t>
      </w:r>
      <w:r>
        <w:t>we will obtain data at the end of each school year for a</w:t>
      </w:r>
      <w:r w:rsidRPr="000B14F8">
        <w:t xml:space="preserve"> consented sample </w:t>
      </w:r>
      <w:r>
        <w:t xml:space="preserve">that includes, </w:t>
      </w:r>
      <w:r w:rsidRPr="000B14F8">
        <w:t xml:space="preserve">on average, 4 </w:t>
      </w:r>
      <w:r w:rsidR="00B9252F">
        <w:t xml:space="preserve">children with </w:t>
      </w:r>
      <w:r>
        <w:t xml:space="preserve">disabilities </w:t>
      </w:r>
      <w:r w:rsidRPr="000B14F8">
        <w:t xml:space="preserve">and 9 </w:t>
      </w:r>
      <w:r w:rsidR="00B9252F">
        <w:t xml:space="preserve">children </w:t>
      </w:r>
      <w:r w:rsidRPr="000B14F8">
        <w:t xml:space="preserve">without </w:t>
      </w:r>
      <w:r>
        <w:t xml:space="preserve">disabilities from each study classroom (a total of 520 </w:t>
      </w:r>
      <w:r w:rsidR="00B9252F">
        <w:t xml:space="preserve">children </w:t>
      </w:r>
      <w:r>
        <w:t>per year</w:t>
      </w:r>
      <w:r w:rsidR="005E5DED">
        <w:t>,</w:t>
      </w:r>
      <w:r>
        <w:t xml:space="preserve"> or up to 1,040 across both school years)</w:t>
      </w:r>
      <w:r w:rsidRPr="000B14F8">
        <w:t xml:space="preserve">. </w:t>
      </w:r>
    </w:p>
    <w:p w14:paraId="50634EAC" w14:textId="77777777" w:rsidR="000B14F8" w:rsidRPr="00CA7733" w:rsidRDefault="000B14F8" w:rsidP="005F23A8">
      <w:pPr>
        <w:pStyle w:val="H4NumberNoTOC"/>
      </w:pPr>
      <w:r w:rsidRPr="00CA7733">
        <w:t>b.</w:t>
      </w:r>
      <w:r w:rsidRPr="00CA7733">
        <w:tab/>
        <w:t>Estimation procedures</w:t>
      </w:r>
    </w:p>
    <w:p w14:paraId="021F2A81" w14:textId="1793F365" w:rsidR="00EE7EB5" w:rsidRPr="000B14F8" w:rsidRDefault="00EE7EB5" w:rsidP="00EE7EB5">
      <w:pPr>
        <w:pStyle w:val="NormalSS"/>
      </w:pPr>
      <w:r w:rsidRPr="000B14F8">
        <w:t xml:space="preserve">The </w:t>
      </w:r>
      <w:r>
        <w:t xml:space="preserve">efficacy study </w:t>
      </w:r>
      <w:r w:rsidRPr="000B14F8">
        <w:t>will include four broad sets of analyses: (1) implementation analys</w:t>
      </w:r>
      <w:r w:rsidR="00052426">
        <w:t>e</w:t>
      </w:r>
      <w:r w:rsidRPr="000B14F8">
        <w:t xml:space="preserve">s; (2) impact analysis of the average treatment effect </w:t>
      </w:r>
      <w:r w:rsidR="00AB3CAD">
        <w:t xml:space="preserve">on classroom outcomes and child outcomes for </w:t>
      </w:r>
      <w:r w:rsidRPr="000B14F8">
        <w:t xml:space="preserve">the full </w:t>
      </w:r>
      <w:r>
        <w:t>child</w:t>
      </w:r>
      <w:r w:rsidRPr="000B14F8">
        <w:t xml:space="preserve"> sample; (3) impact analysis of the </w:t>
      </w:r>
      <w:r w:rsidR="00AB3CAD">
        <w:t xml:space="preserve">average treatment effect </w:t>
      </w:r>
      <w:r w:rsidRPr="000B14F8">
        <w:t>for key subgroups</w:t>
      </w:r>
      <w:r>
        <w:t xml:space="preserve"> of children</w:t>
      </w:r>
      <w:r w:rsidRPr="000B14F8">
        <w:t xml:space="preserve">; and (4) impact analysis of quantile treatment effects for the full </w:t>
      </w:r>
      <w:r>
        <w:t xml:space="preserve">child </w:t>
      </w:r>
      <w:r w:rsidRPr="000B14F8">
        <w:t>sample</w:t>
      </w:r>
      <w:r>
        <w:t xml:space="preserve"> (that is, an analysis of how the intervention affects the </w:t>
      </w:r>
      <w:r w:rsidRPr="00052A25">
        <w:rPr>
          <w:i/>
        </w:rPr>
        <w:t>entire</w:t>
      </w:r>
      <w:r>
        <w:t xml:space="preserve"> </w:t>
      </w:r>
      <w:r w:rsidRPr="00052A25">
        <w:rPr>
          <w:i/>
        </w:rPr>
        <w:t>outcome distribution</w:t>
      </w:r>
      <w:r>
        <w:t>, not just the mean)</w:t>
      </w:r>
      <w:r w:rsidRPr="000B14F8">
        <w:t xml:space="preserve">. </w:t>
      </w:r>
    </w:p>
    <w:p w14:paraId="7439A4F5" w14:textId="0A87D173" w:rsidR="005D429C" w:rsidRPr="000B14F8" w:rsidRDefault="00EE7EB5" w:rsidP="00EE7EB5">
      <w:pPr>
        <w:pStyle w:val="NormalSS"/>
      </w:pPr>
      <w:r w:rsidRPr="000B14F8">
        <w:rPr>
          <w:b/>
        </w:rPr>
        <w:t xml:space="preserve">Implementation analyses. </w:t>
      </w:r>
      <w:r w:rsidR="00E21358" w:rsidRPr="00E21358">
        <w:t>A</w:t>
      </w:r>
      <w:r w:rsidR="00E21358" w:rsidRPr="00C528BA">
        <w:t xml:space="preserve"> core objective of this efficacy trial </w:t>
      </w:r>
      <w:r w:rsidR="00E21358">
        <w:t>is to a</w:t>
      </w:r>
      <w:r w:rsidR="005D429C" w:rsidRPr="00C528BA">
        <w:t xml:space="preserve">ssess </w:t>
      </w:r>
      <w:r w:rsidR="005D429C">
        <w:t xml:space="preserve">the </w:t>
      </w:r>
      <w:r w:rsidR="005D429C" w:rsidRPr="00C528BA">
        <w:t xml:space="preserve">implementation </w:t>
      </w:r>
      <w:r w:rsidR="005D429C">
        <w:t xml:space="preserve">of </w:t>
      </w:r>
      <w:r w:rsidR="005D429C" w:rsidRPr="00A33A16">
        <w:t>IEP</w:t>
      </w:r>
      <w:r w:rsidR="005D429C" w:rsidRPr="00A33A16">
        <w:rPr>
          <w:vertAlign w:val="subscript"/>
        </w:rPr>
        <w:t>M</w:t>
      </w:r>
      <w:r w:rsidR="005D429C" w:rsidRPr="00C528BA">
        <w:t>. If IEP</w:t>
      </w:r>
      <w:r w:rsidR="005D429C" w:rsidRPr="00C528BA">
        <w:rPr>
          <w:vertAlign w:val="subscript"/>
        </w:rPr>
        <w:t>M</w:t>
      </w:r>
      <w:r w:rsidR="005D429C" w:rsidRPr="00C528BA">
        <w:t xml:space="preserve"> cannot be implemented with fidelity in this efficacy trial, it </w:t>
      </w:r>
      <w:r w:rsidR="00AB3CAD">
        <w:t>may</w:t>
      </w:r>
      <w:r w:rsidR="005D429C" w:rsidRPr="00C528BA">
        <w:t xml:space="preserve"> not make sense to proceed with a larger effectiveness evaluation. In addition, understanding the implementation experiences and challenges of districts, schools, and teachers participating in the intervention</w:t>
      </w:r>
      <w:r w:rsidR="005D429C">
        <w:t>, as well as implementation costs,</w:t>
      </w:r>
      <w:r w:rsidR="005D429C" w:rsidRPr="00C528BA">
        <w:t xml:space="preserve"> will provide important information for a later effectiveness trial.</w:t>
      </w:r>
    </w:p>
    <w:p w14:paraId="6BC95AD4" w14:textId="4D411147" w:rsidR="00A958DC" w:rsidRDefault="00A958DC" w:rsidP="00A958DC">
      <w:pPr>
        <w:pStyle w:val="NormalSS"/>
      </w:pPr>
      <w:r w:rsidRPr="00C528BA">
        <w:t>We will conduct two types of implementation analyses. First, we will descri</w:t>
      </w:r>
      <w:r>
        <w:t xml:space="preserve">be </w:t>
      </w:r>
      <w:r w:rsidRPr="00C528BA">
        <w:t xml:space="preserve">implementation </w:t>
      </w:r>
      <w:r>
        <w:t xml:space="preserve">supports and experiences </w:t>
      </w:r>
      <w:r w:rsidRPr="00C528BA">
        <w:t xml:space="preserve">using measures available only for the </w:t>
      </w:r>
      <w:r>
        <w:t>intervention</w:t>
      </w:r>
      <w:r w:rsidRPr="00C528BA">
        <w:t xml:space="preserve"> group. These measures include training fidelity observations, coaching logs, focus groups with teachers, interviews with coaches</w:t>
      </w:r>
      <w:r>
        <w:t xml:space="preserve">, and data on </w:t>
      </w:r>
      <w:r w:rsidRPr="00A33A16">
        <w:t>IEP</w:t>
      </w:r>
      <w:r w:rsidRPr="00A33A16">
        <w:rPr>
          <w:vertAlign w:val="subscript"/>
        </w:rPr>
        <w:t>M</w:t>
      </w:r>
      <w:r>
        <w:t xml:space="preserve"> costs</w:t>
      </w:r>
      <w:r w:rsidRPr="00C528BA">
        <w:t xml:space="preserve">. Second, we will examine the difference between the </w:t>
      </w:r>
      <w:r>
        <w:t xml:space="preserve">intervention </w:t>
      </w:r>
      <w:r w:rsidRPr="00C528BA">
        <w:t>and control group</w:t>
      </w:r>
      <w:r>
        <w:t>s</w:t>
      </w:r>
      <w:r w:rsidRPr="00C528BA">
        <w:t xml:space="preserve"> on measures appropriate for use in both</w:t>
      </w:r>
      <w:r>
        <w:t xml:space="preserve"> groups</w:t>
      </w:r>
      <w:r w:rsidRPr="00C528BA">
        <w:t xml:space="preserve">. These </w:t>
      </w:r>
      <w:r>
        <w:t xml:space="preserve">measures include a teacher background and experiences survey, as well as the intervention fidelity measures associated with </w:t>
      </w:r>
      <w:r w:rsidRPr="00A33A16">
        <w:t>IEP</w:t>
      </w:r>
      <w:r w:rsidRPr="00A33A16">
        <w:rPr>
          <w:vertAlign w:val="subscript"/>
        </w:rPr>
        <w:t>M</w:t>
      </w:r>
      <w:r>
        <w:t>’s three component interventions</w:t>
      </w:r>
      <w:r w:rsidR="00A70DA9">
        <w:t>. (</w:t>
      </w:r>
      <w:r w:rsidR="004C77DA">
        <w:t xml:space="preserve">Part A, </w:t>
      </w:r>
      <w:r w:rsidR="00A70DA9">
        <w:t>Section A1</w:t>
      </w:r>
      <w:r w:rsidR="004C77DA">
        <w:t>,</w:t>
      </w:r>
      <w:r w:rsidR="00A70DA9">
        <w:t xml:space="preserve"> provides for more information on </w:t>
      </w:r>
      <w:r w:rsidR="00A70DA9" w:rsidRPr="00A33A16">
        <w:t>IEP</w:t>
      </w:r>
      <w:r w:rsidR="00A70DA9" w:rsidRPr="00A33A16">
        <w:rPr>
          <w:vertAlign w:val="subscript"/>
        </w:rPr>
        <w:t>M</w:t>
      </w:r>
      <w:r w:rsidR="00A70DA9">
        <w:t xml:space="preserve">.) </w:t>
      </w:r>
      <w:r w:rsidRPr="00C528BA">
        <w:t xml:space="preserve">In essence, these differences between the </w:t>
      </w:r>
      <w:r>
        <w:t xml:space="preserve">intervention </w:t>
      </w:r>
      <w:r w:rsidRPr="00C528BA">
        <w:t xml:space="preserve">and control groups can be regarded as estimates of impacts on </w:t>
      </w:r>
      <w:r>
        <w:t>intermediate</w:t>
      </w:r>
      <w:r w:rsidRPr="00C528BA">
        <w:t xml:space="preserve"> outcomes</w:t>
      </w:r>
      <w:r>
        <w:t xml:space="preserve">. For example, differences on the intervention fidelity measures would signify that </w:t>
      </w:r>
      <w:r w:rsidRPr="00A33A16">
        <w:t>IEP</w:t>
      </w:r>
      <w:r w:rsidRPr="00A33A16">
        <w:rPr>
          <w:vertAlign w:val="subscript"/>
        </w:rPr>
        <w:t>M</w:t>
      </w:r>
      <w:r>
        <w:t xml:space="preserve"> is having effects on teachers’ practices in the classroom. </w:t>
      </w:r>
    </w:p>
    <w:p w14:paraId="247A3A15" w14:textId="3F5EA4E4" w:rsidR="005D429C" w:rsidRPr="000B14F8" w:rsidRDefault="005D429C" w:rsidP="005D429C">
      <w:pPr>
        <w:pStyle w:val="NormalSS"/>
      </w:pPr>
      <w:r w:rsidRPr="000B14F8">
        <w:rPr>
          <w:b/>
        </w:rPr>
        <w:t>Average treatment effect for the full sample</w:t>
      </w:r>
      <w:r w:rsidRPr="00A958DC">
        <w:rPr>
          <w:b/>
        </w:rPr>
        <w:t>.</w:t>
      </w:r>
      <w:r w:rsidRPr="000B14F8">
        <w:t xml:space="preserve"> We will estimate the impact of </w:t>
      </w:r>
      <w:r w:rsidRPr="00A33A16">
        <w:t>IEP</w:t>
      </w:r>
      <w:r w:rsidRPr="00A33A16">
        <w:rPr>
          <w:vertAlign w:val="subscript"/>
        </w:rPr>
        <w:t>M</w:t>
      </w:r>
      <w:r>
        <w:t xml:space="preserve"> </w:t>
      </w:r>
      <w:r w:rsidRPr="000B14F8">
        <w:t xml:space="preserve">on the average outcome of all </w:t>
      </w:r>
      <w:r>
        <w:t xml:space="preserve">children and classrooms </w:t>
      </w:r>
      <w:r w:rsidRPr="000B14F8">
        <w:t xml:space="preserve">after both year 1 and year 2 of the evaluation. We will use a regression model to adjust for baseline differences in the characteristics of the schools, teachers, and </w:t>
      </w:r>
      <w:r w:rsidR="00296959">
        <w:t xml:space="preserve">children in the intervention </w:t>
      </w:r>
      <w:r w:rsidRPr="000B14F8">
        <w:t xml:space="preserve">and control groups. Such differences could arise by chance </w:t>
      </w:r>
      <w:r w:rsidR="00A958DC">
        <w:t>despite the fact that schools were randomly assigned to intervention and control groups</w:t>
      </w:r>
      <w:r w:rsidRPr="000B14F8">
        <w:t xml:space="preserve">. </w:t>
      </w:r>
    </w:p>
    <w:p w14:paraId="0013088E" w14:textId="61CF2E71" w:rsidR="005D429C" w:rsidRPr="000B14F8" w:rsidRDefault="005D429C" w:rsidP="005D429C">
      <w:pPr>
        <w:pStyle w:val="NormalSS"/>
      </w:pPr>
      <w:r w:rsidRPr="000B14F8">
        <w:rPr>
          <w:b/>
        </w:rPr>
        <w:t>Average treatment effect for key subgroups</w:t>
      </w:r>
      <w:r w:rsidRPr="00A958DC">
        <w:rPr>
          <w:b/>
        </w:rPr>
        <w:t>.</w:t>
      </w:r>
      <w:r w:rsidRPr="000B14F8">
        <w:t xml:space="preserve"> IEP</w:t>
      </w:r>
      <w:r w:rsidRPr="000B14F8">
        <w:rPr>
          <w:vertAlign w:val="subscript"/>
        </w:rPr>
        <w:t>M</w:t>
      </w:r>
      <w:r w:rsidRPr="000B14F8">
        <w:t xml:space="preserve"> is a multitiered intervention intended to provide appropriate supports to </w:t>
      </w:r>
      <w:r w:rsidR="00842948">
        <w:t xml:space="preserve">preschool </w:t>
      </w:r>
      <w:r>
        <w:t>children with disabilities</w:t>
      </w:r>
      <w:r w:rsidRPr="000B14F8">
        <w:t xml:space="preserve">. </w:t>
      </w:r>
      <w:r w:rsidR="0018386E">
        <w:t>Therefore, we will estimate impacts separately for children with identified disabilities (IEPs). However, t</w:t>
      </w:r>
      <w:r w:rsidR="008C07EF">
        <w:t xml:space="preserve">here may </w:t>
      </w:r>
      <w:r w:rsidR="00B82FEB">
        <w:t xml:space="preserve">also </w:t>
      </w:r>
      <w:r w:rsidR="008C07EF">
        <w:t xml:space="preserve">be children who are not yet identified but who are at risk. </w:t>
      </w:r>
      <w:r w:rsidR="00B82FEB">
        <w:t xml:space="preserve">To address this category of students, we will define an analytic subgroup </w:t>
      </w:r>
      <w:r w:rsidR="00E43AD3">
        <w:t xml:space="preserve">that includes </w:t>
      </w:r>
      <w:r w:rsidR="00B82FEB">
        <w:t xml:space="preserve">children </w:t>
      </w:r>
      <w:r w:rsidR="00E43AD3">
        <w:t xml:space="preserve">who have </w:t>
      </w:r>
      <w:r w:rsidR="00B82FEB">
        <w:t xml:space="preserve">the greatest difficulties with social interaction and behavior challenges as measured by </w:t>
      </w:r>
      <w:r w:rsidR="008C07EF">
        <w:t xml:space="preserve">fall teacher reports on the Social Skills Improvement System (SSIS). </w:t>
      </w:r>
      <w:r w:rsidR="00E43AD3">
        <w:t xml:space="preserve">This subgroup would be defined without considering whether children have an identified disability. </w:t>
      </w:r>
      <w:r w:rsidR="00B82FEB">
        <w:rPr>
          <w:szCs w:val="24"/>
        </w:rPr>
        <w:t xml:space="preserve">By defining this subgroup, we </w:t>
      </w:r>
      <w:r w:rsidR="00E43AD3">
        <w:rPr>
          <w:szCs w:val="24"/>
        </w:rPr>
        <w:t xml:space="preserve">will be able to </w:t>
      </w:r>
      <w:r w:rsidR="00B82FEB">
        <w:rPr>
          <w:szCs w:val="24"/>
        </w:rPr>
        <w:t xml:space="preserve">estimate impacts of </w:t>
      </w:r>
      <w:r w:rsidR="00B82FEB" w:rsidRPr="00BA2E3C">
        <w:rPr>
          <w:szCs w:val="24"/>
        </w:rPr>
        <w:t>IEP</w:t>
      </w:r>
      <w:r w:rsidR="00B82FEB" w:rsidRPr="00BA2E3C">
        <w:rPr>
          <w:szCs w:val="24"/>
          <w:vertAlign w:val="subscript"/>
        </w:rPr>
        <w:t>M</w:t>
      </w:r>
      <w:r w:rsidR="00B82FEB">
        <w:rPr>
          <w:szCs w:val="24"/>
        </w:rPr>
        <w:t xml:space="preserve"> separately for </w:t>
      </w:r>
      <w:r w:rsidR="00E43AD3">
        <w:rPr>
          <w:szCs w:val="24"/>
        </w:rPr>
        <w:t>children at risk</w:t>
      </w:r>
      <w:r w:rsidR="0087664C">
        <w:rPr>
          <w:szCs w:val="24"/>
        </w:rPr>
        <w:t xml:space="preserve"> for social-emotional or behavioral challenges</w:t>
      </w:r>
      <w:r w:rsidR="00E43AD3">
        <w:rPr>
          <w:szCs w:val="24"/>
        </w:rPr>
        <w:t xml:space="preserve">. </w:t>
      </w:r>
    </w:p>
    <w:p w14:paraId="76D38F8B" w14:textId="368953FA" w:rsidR="002D59E1" w:rsidRPr="00C528BA" w:rsidRDefault="005D429C" w:rsidP="002D59E1">
      <w:pPr>
        <w:pStyle w:val="NormalSS"/>
      </w:pPr>
      <w:r w:rsidRPr="000B14F8">
        <w:rPr>
          <w:b/>
        </w:rPr>
        <w:t>Quantile treatment effects</w:t>
      </w:r>
      <w:r w:rsidRPr="00A958DC">
        <w:rPr>
          <w:b/>
        </w:rPr>
        <w:t>.</w:t>
      </w:r>
      <w:r w:rsidRPr="000B14F8">
        <w:t xml:space="preserve"> </w:t>
      </w:r>
      <w:r w:rsidR="002D59E1" w:rsidRPr="00C528BA">
        <w:t>An important analytic issue in an evaluation of a multitiered intervention like IEP</w:t>
      </w:r>
      <w:r w:rsidR="002D59E1" w:rsidRPr="00C528BA">
        <w:rPr>
          <w:vertAlign w:val="subscript"/>
        </w:rPr>
        <w:t>M</w:t>
      </w:r>
      <w:r w:rsidR="002D59E1" w:rsidRPr="00C528BA">
        <w:t xml:space="preserve"> is the need to </w:t>
      </w:r>
      <w:r w:rsidR="002D59E1" w:rsidRPr="00C528BA">
        <w:rPr>
          <w:i/>
        </w:rPr>
        <w:t>e</w:t>
      </w:r>
      <w:r w:rsidR="00521B0A">
        <w:rPr>
          <w:i/>
        </w:rPr>
        <w:t>xamine impact heterogeneity</w:t>
      </w:r>
      <w:r w:rsidR="002D59E1" w:rsidRPr="00C528BA">
        <w:t>. IEP</w:t>
      </w:r>
      <w:r w:rsidR="002D59E1" w:rsidRPr="00C528BA">
        <w:rPr>
          <w:vertAlign w:val="subscript"/>
        </w:rPr>
        <w:t>M</w:t>
      </w:r>
      <w:r w:rsidR="002D59E1" w:rsidRPr="00C528BA">
        <w:t xml:space="preserve"> is specifically designed to provide differentiated learning experiences to </w:t>
      </w:r>
      <w:r w:rsidR="002D59E1">
        <w:t>preschool children</w:t>
      </w:r>
      <w:r w:rsidR="002D59E1" w:rsidRPr="00C528BA">
        <w:t xml:space="preserve"> based on their individual abilities and needs, creating the strong potential for heterogeneous effects. Calculating an average treatment effect</w:t>
      </w:r>
      <w:r w:rsidR="002D59E1">
        <w:t xml:space="preserve"> </w:t>
      </w:r>
      <w:r w:rsidR="002D59E1" w:rsidRPr="00C528BA">
        <w:t xml:space="preserve">for the full sample could mask important variation in impacts across the full outcome distribution. </w:t>
      </w:r>
    </w:p>
    <w:p w14:paraId="2D36BFC2" w14:textId="77777777" w:rsidR="002D59E1" w:rsidRPr="00C528BA" w:rsidRDefault="002D59E1" w:rsidP="002D59E1">
      <w:pPr>
        <w:spacing w:after="240" w:line="240" w:lineRule="auto"/>
      </w:pPr>
      <w:r w:rsidRPr="00C528BA">
        <w:t>To address this issue, we will complement traditional subgroup analysis with quantile treatment effects</w:t>
      </w:r>
      <w:r>
        <w:t xml:space="preserve"> </w:t>
      </w:r>
      <w:r w:rsidRPr="00C528BA">
        <w:t>(Doksum 1974; Firpo 2007; Koenker and Bassett 1978; Lehmann 1974; Schochet</w:t>
      </w:r>
      <w:r>
        <w:t xml:space="preserve"> et al.</w:t>
      </w:r>
      <w:r w:rsidRPr="00C528BA">
        <w:t xml:space="preserve"> 2014). A quantile treatment effect is the impact of the intervention on a specific quantile of the outcome distribution (for example, the 25</w:t>
      </w:r>
      <w:r w:rsidRPr="00E554C1">
        <w:t>th</w:t>
      </w:r>
      <w:r w:rsidRPr="00C528BA">
        <w:t xml:space="preserve"> percentile). Just as an unadjusted </w:t>
      </w:r>
      <w:r>
        <w:t xml:space="preserve">average treatment effect </w:t>
      </w:r>
      <w:r w:rsidRPr="00C528BA">
        <w:t xml:space="preserve">can be calculated as the difference in means between the </w:t>
      </w:r>
      <w:r>
        <w:t xml:space="preserve">intervention </w:t>
      </w:r>
      <w:r w:rsidRPr="00C528BA">
        <w:t xml:space="preserve">and control groups, an unadjusted </w:t>
      </w:r>
      <w:r w:rsidRPr="00AF224F">
        <w:t xml:space="preserve">quantile treatment effect </w:t>
      </w:r>
      <w:r w:rsidRPr="00C528BA">
        <w:t xml:space="preserve">can be calculated as the difference in quantiles between the </w:t>
      </w:r>
      <w:r>
        <w:t xml:space="preserve">intervention </w:t>
      </w:r>
      <w:r w:rsidRPr="00C528BA">
        <w:t>and control groups (for example, the difference in the 25</w:t>
      </w:r>
      <w:r w:rsidRPr="00E554C1">
        <w:t>th</w:t>
      </w:r>
      <w:r w:rsidRPr="00C528BA">
        <w:t xml:space="preserve"> percentile between the two groups). </w:t>
      </w:r>
    </w:p>
    <w:p w14:paraId="1BAE86E1" w14:textId="77777777" w:rsidR="002D59E1" w:rsidRDefault="002D59E1" w:rsidP="002D59E1">
      <w:pPr>
        <w:pStyle w:val="NormalSS"/>
      </w:pPr>
      <w:r w:rsidRPr="00C528BA">
        <w:t>Compared to calculating average treatment effects on the full sample, this approach will provide a more complete representation of the impact of IEP</w:t>
      </w:r>
      <w:r w:rsidRPr="00C528BA">
        <w:rPr>
          <w:vertAlign w:val="subscript"/>
        </w:rPr>
        <w:t>M</w:t>
      </w:r>
      <w:r w:rsidRPr="00C528BA">
        <w:t xml:space="preserve"> and increase study power. The potential advantage of this approach over traditional subgroup analysis is that it may not be possible to precisely identify the subgroups of interest. For example, we would ideally want to calculate average treatment effects for the subgroup of children at</w:t>
      </w:r>
      <w:r>
        <w:t xml:space="preserve"> </w:t>
      </w:r>
      <w:r w:rsidRPr="00C528BA">
        <w:t xml:space="preserve">risk of eventually </w:t>
      </w:r>
      <w:r>
        <w:t>needing IDEA services; however,</w:t>
      </w:r>
      <w:r w:rsidRPr="00C528BA">
        <w:t xml:space="preserve"> precisely identifying those children at baseline may prove challenging, especially in preschool. Calculation of </w:t>
      </w:r>
      <w:r w:rsidRPr="00B97654">
        <w:t>quantile treatment effect</w:t>
      </w:r>
      <w:r>
        <w:t>s</w:t>
      </w:r>
      <w:r w:rsidRPr="00B97654">
        <w:t xml:space="preserve"> </w:t>
      </w:r>
      <w:r w:rsidRPr="00C528BA">
        <w:t>does not depend on identifying subgroups of children at baseline.</w:t>
      </w:r>
    </w:p>
    <w:p w14:paraId="5611C68D" w14:textId="11792E7F" w:rsidR="00B4329A" w:rsidRPr="00CA7733" w:rsidRDefault="00B4329A" w:rsidP="002D59E1">
      <w:pPr>
        <w:pStyle w:val="H4NumberNoTOC"/>
      </w:pPr>
      <w:r w:rsidRPr="00CA7733">
        <w:t>c.</w:t>
      </w:r>
      <w:r w:rsidRPr="00CA7733">
        <w:tab/>
        <w:t xml:space="preserve">Approach to interpreting impact estimates  </w:t>
      </w:r>
    </w:p>
    <w:p w14:paraId="02FB010B" w14:textId="515351F0" w:rsidR="00B4329A" w:rsidRPr="000B14F8" w:rsidRDefault="00B4329A" w:rsidP="00B4329A">
      <w:pPr>
        <w:pStyle w:val="NormalSS"/>
      </w:pPr>
      <w:r w:rsidRPr="000B14F8">
        <w:t>Our approach to interpreting impact estimates is designed to support the primary decision that will be</w:t>
      </w:r>
      <w:r>
        <w:t xml:space="preserve"> informed by findings from this</w:t>
      </w:r>
      <w:r w:rsidRPr="000B14F8">
        <w:t xml:space="preserve"> efficacy study</w:t>
      </w:r>
      <w:r w:rsidR="006C68FC">
        <w:t xml:space="preserve">: whether </w:t>
      </w:r>
      <w:r w:rsidRPr="000B14F8">
        <w:t>to conduct a larger</w:t>
      </w:r>
      <w:r w:rsidR="006C68FC">
        <w:t>-</w:t>
      </w:r>
      <w:r w:rsidRPr="000B14F8">
        <w:t>scale effectiveness evaluation of IEP</w:t>
      </w:r>
      <w:r w:rsidRPr="000B14F8">
        <w:rPr>
          <w:vertAlign w:val="subscript"/>
        </w:rPr>
        <w:t>M</w:t>
      </w:r>
      <w:r w:rsidRPr="000B14F8">
        <w:t xml:space="preserve">. Most studies </w:t>
      </w:r>
      <w:r w:rsidR="006C68FC">
        <w:t xml:space="preserve">that </w:t>
      </w:r>
      <w:r>
        <w:t>IES’s</w:t>
      </w:r>
      <w:r w:rsidRPr="000B14F8">
        <w:t xml:space="preserve"> National Center for Education Evaluation and Regional Assistance (NCEE) </w:t>
      </w:r>
      <w:r w:rsidR="006C68FC" w:rsidRPr="000B14F8">
        <w:t>conduct</w:t>
      </w:r>
      <w:r w:rsidR="006C68FC">
        <w:t>s</w:t>
      </w:r>
      <w:r w:rsidR="006C68FC" w:rsidRPr="000B14F8">
        <w:t xml:space="preserve"> </w:t>
      </w:r>
      <w:r w:rsidRPr="000B14F8">
        <w:t>are effectiveness trials whose findings are intended to inform the decisions of policymakers at the federal, state, and local level</w:t>
      </w:r>
      <w:r w:rsidR="006C68FC">
        <w:t>s</w:t>
      </w:r>
      <w:r w:rsidRPr="000B14F8">
        <w:t>. In those studies, the approach to interpreting impact estimates is driven primarily by a desire to avoid the mistake of concluding an intervention is effective when it is not</w:t>
      </w:r>
      <w:r w:rsidR="00521B0A">
        <w:t>. That mistake is called</w:t>
      </w:r>
      <w:r w:rsidRPr="000B14F8">
        <w:t xml:space="preserve"> a Type </w:t>
      </w:r>
      <w:r w:rsidR="00521B0A">
        <w:t>I</w:t>
      </w:r>
      <w:r w:rsidRPr="000B14F8">
        <w:t xml:space="preserve"> error</w:t>
      </w:r>
      <w:r w:rsidR="00521B0A">
        <w:t xml:space="preserve"> under the Neyman-Pearson (1933) framework for statistical testing of competing hypotheses</w:t>
      </w:r>
      <w:r w:rsidRPr="000B14F8">
        <w:t>. Consequently, those studies typically conduct two-tailed hypothesis tests using alpha</w:t>
      </w:r>
      <w:r w:rsidR="006C68FC">
        <w:t xml:space="preserve"> </w:t>
      </w:r>
      <w:r w:rsidRPr="000B14F8">
        <w:t>=</w:t>
      </w:r>
      <w:r w:rsidR="006C68FC">
        <w:t xml:space="preserve"> </w:t>
      </w:r>
      <w:r w:rsidRPr="000B14F8">
        <w:t xml:space="preserve">0.05. </w:t>
      </w:r>
    </w:p>
    <w:p w14:paraId="7263B319" w14:textId="69F97221" w:rsidR="00B4329A" w:rsidRPr="000B14F8" w:rsidRDefault="00B4329A" w:rsidP="00B4329A">
      <w:pPr>
        <w:pStyle w:val="NormalSS"/>
      </w:pPr>
      <w:r w:rsidRPr="000B14F8">
        <w:t>I</w:t>
      </w:r>
      <w:r>
        <w:t xml:space="preserve">n this </w:t>
      </w:r>
      <w:r w:rsidRPr="000B14F8">
        <w:t xml:space="preserve">efficacy study, the real-world consequences of a Type </w:t>
      </w:r>
      <w:r w:rsidR="00A97AD4">
        <w:t>I</w:t>
      </w:r>
      <w:r w:rsidRPr="000B14F8">
        <w:t xml:space="preserve"> error are much smaller than in most other studies </w:t>
      </w:r>
      <w:r w:rsidR="006C68FC">
        <w:t xml:space="preserve">that </w:t>
      </w:r>
      <w:r w:rsidRPr="000B14F8">
        <w:t>NCEE</w:t>
      </w:r>
      <w:r w:rsidR="006C68FC" w:rsidRPr="006C68FC">
        <w:t xml:space="preserve"> </w:t>
      </w:r>
      <w:r w:rsidR="006C68FC" w:rsidRPr="000B14F8">
        <w:t>conduct</w:t>
      </w:r>
      <w:r w:rsidR="006C68FC">
        <w:t>s</w:t>
      </w:r>
      <w:r w:rsidRPr="000B14F8">
        <w:t xml:space="preserve">. The primary decision that will be informed by this study is </w:t>
      </w:r>
      <w:r w:rsidR="006C68FC">
        <w:t xml:space="preserve">whether </w:t>
      </w:r>
      <w:r w:rsidRPr="000B14F8">
        <w:t>to conduct another study</w:t>
      </w:r>
      <w:r w:rsidR="007A678D">
        <w:t xml:space="preserve"> on a larger scale</w:t>
      </w:r>
      <w:r w:rsidRPr="000B14F8">
        <w:t>.</w:t>
      </w:r>
      <w:r w:rsidR="00A97AD4">
        <w:t xml:space="preserve"> This means that a Type I error will not adversely affect schools, teachers, and children.</w:t>
      </w:r>
      <w:r w:rsidRPr="000B14F8">
        <w:t xml:space="preserve"> Meanwhile, the cost of concluding that IEP</w:t>
      </w:r>
      <w:r w:rsidRPr="000B14F8">
        <w:rPr>
          <w:vertAlign w:val="subscript"/>
        </w:rPr>
        <w:t>M</w:t>
      </w:r>
      <w:r w:rsidRPr="000B14F8">
        <w:t xml:space="preserve"> is ineffective when in fact it is effective (a Type II error) could be considerable. By failing to conduct a subsequent effectiveness study, federal, state, and local policymakers would be deprived of important evidence establishing the effectiveness of IEP</w:t>
      </w:r>
      <w:r w:rsidRPr="000B14F8">
        <w:rPr>
          <w:vertAlign w:val="subscript"/>
        </w:rPr>
        <w:t>M</w:t>
      </w:r>
      <w:r w:rsidRPr="000B14F8">
        <w:t xml:space="preserve">. </w:t>
      </w:r>
    </w:p>
    <w:p w14:paraId="703BA3A0" w14:textId="48233620" w:rsidR="00A97AD4" w:rsidRDefault="00446799" w:rsidP="00446799">
      <w:pPr>
        <w:pStyle w:val="NormalSS"/>
      </w:pPr>
      <w:r w:rsidRPr="000B14F8">
        <w:t>In light of these considerations</w:t>
      </w:r>
      <w:r w:rsidR="00AD1931">
        <w:t>,</w:t>
      </w:r>
      <w:r w:rsidRPr="000B14F8">
        <w:t xml:space="preserve"> we will use an approach to interpreting impact estimates that</w:t>
      </w:r>
      <w:r w:rsidR="00A97AD4">
        <w:t xml:space="preserve"> strikes a different balance between Type I and Type II errors than</w:t>
      </w:r>
      <w:r w:rsidRPr="000B14F8">
        <w:t xml:space="preserve"> most NCEE evaluations.</w:t>
      </w:r>
      <w:r w:rsidR="00A97AD4">
        <w:t xml:space="preserve"> Our approach to balancing these errors is informed by Westlund and Stuart (2017) and by Lee et al (2014). Westlund and Stuart (2017) show that two-tailed testing with alpha=0.05 can lead to a very high Type II error rate, meaning that many effective interventions would never be studied at scale using that approach. Lee et al (2014) offered guidance for a better approach to inference in efficacy trials</w:t>
      </w:r>
      <w:r w:rsidR="00A0284A">
        <w:t>;</w:t>
      </w:r>
      <w:r w:rsidR="00A97AD4">
        <w:t xml:space="preserve"> they recommend 85</w:t>
      </w:r>
      <w:r w:rsidR="00A0284A">
        <w:t xml:space="preserve"> or 75 percent</w:t>
      </w:r>
      <w:r w:rsidR="00A97AD4">
        <w:t xml:space="preserve"> confidence intervals and Bayesian methods.</w:t>
      </w:r>
      <w:r w:rsidRPr="000B14F8">
        <w:t xml:space="preserve"> </w:t>
      </w:r>
    </w:p>
    <w:p w14:paraId="37C68419" w14:textId="6435A075" w:rsidR="00446799" w:rsidRPr="000B14F8" w:rsidRDefault="00446799" w:rsidP="00446799">
      <w:pPr>
        <w:pStyle w:val="NormalSS"/>
      </w:pPr>
      <w:r w:rsidRPr="000B14F8">
        <w:t>Instead of conducting two-tailed hypothesis tests with alpha</w:t>
      </w:r>
      <w:r w:rsidR="00AD1931">
        <w:t xml:space="preserve"> </w:t>
      </w:r>
      <w:r w:rsidRPr="000B14F8">
        <w:t>=</w:t>
      </w:r>
      <w:r w:rsidR="00AD1931">
        <w:t xml:space="preserve"> </w:t>
      </w:r>
      <w:r w:rsidRPr="000B14F8">
        <w:t>0.05, we will conduct a one-tailed test with alpha</w:t>
      </w:r>
      <w:r w:rsidR="00AD1931">
        <w:t xml:space="preserve"> </w:t>
      </w:r>
      <w:r w:rsidRPr="000B14F8">
        <w:t>=</w:t>
      </w:r>
      <w:r w:rsidR="00AD1931">
        <w:t xml:space="preserve"> </w:t>
      </w:r>
      <w:r w:rsidRPr="000B14F8">
        <w:t>0.10 to reduce the probability of a Type II error.</w:t>
      </w:r>
      <w:r w:rsidR="00EA73C2">
        <w:t xml:space="preserve"> This approach is equivalent to using an 80</w:t>
      </w:r>
      <w:r w:rsidR="00145B0C">
        <w:t xml:space="preserve"> percent</w:t>
      </w:r>
      <w:r w:rsidR="00EA73C2">
        <w:t xml:space="preserve"> confidence interval, which is consistent with the guidance from Lee et al (2014).</w:t>
      </w:r>
      <w:r w:rsidRPr="000B14F8">
        <w:t xml:space="preserve"> Furthermore, we will supplement the traditional hypothesis testing approach with Bayesian posterior probabilities that can be used to directly assess the probability that an intervention had positive effects</w:t>
      </w:r>
      <w:r w:rsidR="009E34A0">
        <w:t>—</w:t>
      </w:r>
      <w:r w:rsidRPr="000B14F8">
        <w:t xml:space="preserve">something that </w:t>
      </w:r>
      <w:r w:rsidRPr="000B14F8">
        <w:rPr>
          <w:i/>
        </w:rPr>
        <w:t>p</w:t>
      </w:r>
      <w:r w:rsidRPr="000B14F8">
        <w:t xml:space="preserve">-values and statistical significance cannot do </w:t>
      </w:r>
      <w:r w:rsidRPr="000B14F8">
        <w:rPr>
          <w:rFonts w:eastAsiaTheme="minorEastAsia"/>
        </w:rPr>
        <w:t>(</w:t>
      </w:r>
      <w:r w:rsidR="00AD1931" w:rsidRPr="000B14F8">
        <w:rPr>
          <w:rFonts w:eastAsiaTheme="minorEastAsia"/>
        </w:rPr>
        <w:t>Greenland et al. 2016</w:t>
      </w:r>
      <w:r w:rsidR="00AD1931">
        <w:rPr>
          <w:rFonts w:eastAsiaTheme="minorEastAsia"/>
        </w:rPr>
        <w:t xml:space="preserve">; </w:t>
      </w:r>
      <w:r w:rsidRPr="000B14F8">
        <w:rPr>
          <w:rFonts w:eastAsiaTheme="minorEastAsia"/>
        </w:rPr>
        <w:t>Wasserstein and Lazar 2016)</w:t>
      </w:r>
      <w:r w:rsidRPr="000B14F8">
        <w:t>.</w:t>
      </w:r>
    </w:p>
    <w:p w14:paraId="55C68EB8" w14:textId="7859888F" w:rsidR="00446799" w:rsidRPr="000B14F8" w:rsidRDefault="003816CD" w:rsidP="00A0284A">
      <w:pPr>
        <w:pStyle w:val="NormalSS"/>
        <w:spacing w:after="120"/>
      </w:pPr>
      <w:r>
        <w:rPr>
          <w:rFonts w:eastAsiaTheme="minorEastAsia"/>
        </w:rPr>
        <w:t xml:space="preserve">Table B.1 provides </w:t>
      </w:r>
      <w:r w:rsidR="00446799" w:rsidRPr="000B14F8">
        <w:rPr>
          <w:rFonts w:eastAsiaTheme="minorEastAsia"/>
        </w:rPr>
        <w:t>an example</w:t>
      </w:r>
      <w:r w:rsidR="00446799">
        <w:rPr>
          <w:rFonts w:eastAsiaTheme="minorEastAsia"/>
        </w:rPr>
        <w:t xml:space="preserve"> </w:t>
      </w:r>
      <w:r w:rsidR="00446799" w:rsidRPr="000B14F8">
        <w:rPr>
          <w:rFonts w:eastAsiaTheme="minorEastAsia"/>
        </w:rPr>
        <w:t xml:space="preserve">of how impact estimates can be presented and interpreted using Bayesian posterior probabilities alongside traditional measures. In this table, we consider a hypothetical scenario in which the estimated impacts are 0.25, 0.05, and 0.11 standard deviations for </w:t>
      </w:r>
      <w:r w:rsidR="00446799">
        <w:rPr>
          <w:rFonts w:eastAsiaTheme="minorEastAsia"/>
        </w:rPr>
        <w:t>children</w:t>
      </w:r>
      <w:r w:rsidR="00446799" w:rsidRPr="000B14F8">
        <w:rPr>
          <w:rFonts w:eastAsiaTheme="minorEastAsia"/>
        </w:rPr>
        <w:t xml:space="preserve"> with </w:t>
      </w:r>
      <w:r w:rsidR="00446799">
        <w:rPr>
          <w:rFonts w:eastAsiaTheme="minorEastAsia"/>
        </w:rPr>
        <w:t>disabilities</w:t>
      </w:r>
      <w:r w:rsidR="004015FA">
        <w:rPr>
          <w:rFonts w:eastAsiaTheme="minorEastAsia"/>
        </w:rPr>
        <w:t xml:space="preserve"> </w:t>
      </w:r>
      <w:r w:rsidR="00AB50F7">
        <w:rPr>
          <w:rFonts w:eastAsiaTheme="minorEastAsia"/>
        </w:rPr>
        <w:t>(</w:t>
      </w:r>
      <w:r w:rsidR="004015FA">
        <w:rPr>
          <w:rFonts w:eastAsiaTheme="minorEastAsia"/>
        </w:rPr>
        <w:t>or</w:t>
      </w:r>
      <w:r w:rsidR="0018386E">
        <w:rPr>
          <w:rFonts w:eastAsiaTheme="minorEastAsia"/>
        </w:rPr>
        <w:t xml:space="preserve"> </w:t>
      </w:r>
      <w:r w:rsidR="00AB50F7">
        <w:rPr>
          <w:rFonts w:eastAsiaTheme="minorEastAsia"/>
        </w:rPr>
        <w:t xml:space="preserve">separately, for </w:t>
      </w:r>
      <w:r w:rsidR="0018386E">
        <w:rPr>
          <w:rFonts w:eastAsiaTheme="minorEastAsia"/>
        </w:rPr>
        <w:t>children at risk for disabilities</w:t>
      </w:r>
      <w:r w:rsidR="00AB50F7">
        <w:rPr>
          <w:rFonts w:eastAsiaTheme="minorEastAsia"/>
        </w:rPr>
        <w:t>)</w:t>
      </w:r>
      <w:r w:rsidR="0018386E">
        <w:rPr>
          <w:rFonts w:eastAsiaTheme="minorEastAsia"/>
        </w:rPr>
        <w:t>,</w:t>
      </w:r>
      <w:r w:rsidR="004015FA">
        <w:rPr>
          <w:rFonts w:eastAsiaTheme="minorEastAsia"/>
        </w:rPr>
        <w:t xml:space="preserve"> </w:t>
      </w:r>
      <w:r w:rsidR="00446799">
        <w:rPr>
          <w:rFonts w:eastAsiaTheme="minorEastAsia"/>
        </w:rPr>
        <w:t xml:space="preserve">children without disabilities, and all children, respectively. </w:t>
      </w:r>
      <w:r w:rsidR="00446799" w:rsidRPr="000B14F8">
        <w:rPr>
          <w:rFonts w:eastAsiaTheme="minorEastAsia"/>
        </w:rPr>
        <w:t xml:space="preserve">Given these example impact estimates, we calculate </w:t>
      </w:r>
      <w:r w:rsidR="00446799" w:rsidRPr="000B14F8">
        <w:rPr>
          <w:rFonts w:eastAsiaTheme="minorEastAsia"/>
          <w:i/>
        </w:rPr>
        <w:t>p</w:t>
      </w:r>
      <w:r w:rsidR="00446799" w:rsidRPr="000B14F8">
        <w:rPr>
          <w:rFonts w:eastAsiaTheme="minorEastAsia"/>
        </w:rPr>
        <w:t>-values using standard errors based on our anticipated sample size and assumptions regarding the intraclass correlation and regression R</w:t>
      </w:r>
      <w:r w:rsidR="00446799" w:rsidRPr="000B14F8">
        <w:rPr>
          <w:rFonts w:eastAsiaTheme="minorEastAsia"/>
          <w:vertAlign w:val="superscript"/>
        </w:rPr>
        <w:t>2</w:t>
      </w:r>
      <w:r w:rsidR="00446799" w:rsidRPr="000B14F8">
        <w:rPr>
          <w:rFonts w:eastAsiaTheme="minorEastAsia"/>
        </w:rPr>
        <w:t>. To calculate the probability that the impact is truly positive, we also use prior evidence from the What Works Clearinghouse.</w:t>
      </w:r>
      <w:r w:rsidR="00446799" w:rsidRPr="000B14F8">
        <w:rPr>
          <w:rFonts w:eastAsiaTheme="minorEastAsia"/>
          <w:u w:color="000080"/>
          <w:vertAlign w:val="superscript"/>
        </w:rPr>
        <w:footnoteReference w:id="4"/>
      </w:r>
      <w:r w:rsidR="00446799" w:rsidRPr="000B14F8">
        <w:rPr>
          <w:rFonts w:eastAsiaTheme="minorEastAsia"/>
        </w:rPr>
        <w:t xml:space="preserve"> In this example, the impact for </w:t>
      </w:r>
      <w:r w:rsidR="00446799">
        <w:rPr>
          <w:rFonts w:eastAsiaTheme="minorEastAsia"/>
        </w:rPr>
        <w:t>children with disabilities</w:t>
      </w:r>
      <w:r w:rsidR="00446799" w:rsidRPr="000B14F8">
        <w:rPr>
          <w:rFonts w:eastAsiaTheme="minorEastAsia"/>
        </w:rPr>
        <w:t xml:space="preserve"> at baseline is 0.25 standard deviations</w:t>
      </w:r>
      <w:r>
        <w:rPr>
          <w:rFonts w:eastAsiaTheme="minorEastAsia"/>
        </w:rPr>
        <w:t>,</w:t>
      </w:r>
      <w:r w:rsidR="00446799" w:rsidRPr="000B14F8">
        <w:rPr>
          <w:rFonts w:eastAsiaTheme="minorEastAsia"/>
        </w:rPr>
        <w:t xml:space="preserve"> the </w:t>
      </w:r>
      <w:r w:rsidR="00446799" w:rsidRPr="000B14F8">
        <w:rPr>
          <w:rFonts w:eastAsiaTheme="minorEastAsia"/>
          <w:i/>
        </w:rPr>
        <w:t>p</w:t>
      </w:r>
      <w:r w:rsidR="00446799" w:rsidRPr="000B14F8">
        <w:rPr>
          <w:rFonts w:eastAsiaTheme="minorEastAsia"/>
        </w:rPr>
        <w:t xml:space="preserve">-value is 0.04, and the probability </w:t>
      </w:r>
      <w:r>
        <w:rPr>
          <w:rFonts w:eastAsiaTheme="minorEastAsia"/>
        </w:rPr>
        <w:t xml:space="preserve">that </w:t>
      </w:r>
      <w:r w:rsidR="00446799" w:rsidRPr="000B14F8">
        <w:rPr>
          <w:rFonts w:eastAsiaTheme="minorEastAsia"/>
        </w:rPr>
        <w:t xml:space="preserve">the impact is truly positive is 94 percent. </w:t>
      </w:r>
    </w:p>
    <w:p w14:paraId="53038493" w14:textId="1F07013A" w:rsidR="00446799" w:rsidRPr="000B14F8" w:rsidRDefault="00446799" w:rsidP="00446799">
      <w:pPr>
        <w:pStyle w:val="MarkforTableTitle"/>
      </w:pPr>
      <w:bookmarkStart w:id="18" w:name="_Toc531603005"/>
      <w:r w:rsidRPr="000B14F8">
        <w:t>Table B</w:t>
      </w:r>
      <w:r>
        <w:t>.</w:t>
      </w:r>
      <w:r w:rsidRPr="000B14F8">
        <w:t>1. Example of our approach to interpreting impact estimates</w:t>
      </w:r>
      <w:bookmarkEnd w:id="18"/>
    </w:p>
    <w:tbl>
      <w:tblPr>
        <w:tblStyle w:val="TableGrid"/>
        <w:tblW w:w="9370"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255"/>
        <w:gridCol w:w="2255"/>
        <w:gridCol w:w="2255"/>
      </w:tblGrid>
      <w:tr w:rsidR="0091775A" w:rsidRPr="005D7EB1" w14:paraId="6DABEEDF" w14:textId="77777777" w:rsidTr="00012CAE">
        <w:trPr>
          <w:jc w:val="center"/>
        </w:trPr>
        <w:tc>
          <w:tcPr>
            <w:tcW w:w="2605" w:type="dxa"/>
            <w:tcBorders>
              <w:bottom w:val="single" w:sz="4" w:space="0" w:color="auto"/>
            </w:tcBorders>
            <w:shd w:val="clear" w:color="auto" w:fill="6C6F70"/>
            <w:vAlign w:val="bottom"/>
          </w:tcPr>
          <w:p w14:paraId="4901D936" w14:textId="301573E7" w:rsidR="00446799" w:rsidRPr="005D7EB1" w:rsidRDefault="00446799" w:rsidP="0091775A">
            <w:pPr>
              <w:pStyle w:val="TableHeaderCenter"/>
              <w:jc w:val="left"/>
              <w:rPr>
                <w:rFonts w:ascii="Arial" w:hAnsi="Arial" w:cs="Arial"/>
                <w:b/>
                <w:color w:val="FFFFFF" w:themeColor="background1"/>
              </w:rPr>
            </w:pPr>
            <w:r w:rsidRPr="005D7EB1">
              <w:rPr>
                <w:rFonts w:ascii="Arial" w:hAnsi="Arial" w:cs="Arial"/>
                <w:b/>
                <w:color w:val="FFFFFF" w:themeColor="background1"/>
              </w:rPr>
              <w:t>Group</w:t>
            </w:r>
            <w:r w:rsidR="004015FA">
              <w:rPr>
                <w:rFonts w:ascii="Arial" w:hAnsi="Arial" w:cs="Arial"/>
                <w:b/>
                <w:color w:val="FFFFFF" w:themeColor="background1"/>
              </w:rPr>
              <w:t>s</w:t>
            </w:r>
            <w:r w:rsidRPr="005D7EB1">
              <w:rPr>
                <w:rFonts w:ascii="Arial" w:hAnsi="Arial" w:cs="Arial"/>
                <w:b/>
                <w:color w:val="FFFFFF" w:themeColor="background1"/>
              </w:rPr>
              <w:t xml:space="preserve"> of children</w:t>
            </w:r>
          </w:p>
        </w:tc>
        <w:tc>
          <w:tcPr>
            <w:tcW w:w="2255" w:type="dxa"/>
            <w:tcBorders>
              <w:bottom w:val="single" w:sz="4" w:space="0" w:color="auto"/>
            </w:tcBorders>
            <w:shd w:val="clear" w:color="auto" w:fill="6C6F70"/>
            <w:vAlign w:val="bottom"/>
          </w:tcPr>
          <w:p w14:paraId="66F6D657" w14:textId="502188D6" w:rsidR="00446799" w:rsidRPr="005D7EB1" w:rsidRDefault="00446799" w:rsidP="0091775A">
            <w:pPr>
              <w:pStyle w:val="TableHeaderCenter"/>
              <w:rPr>
                <w:rFonts w:ascii="Arial" w:hAnsi="Arial" w:cs="Arial"/>
                <w:b/>
                <w:color w:val="FFFFFF" w:themeColor="background1"/>
              </w:rPr>
            </w:pPr>
            <w:r w:rsidRPr="005D7EB1">
              <w:rPr>
                <w:rFonts w:ascii="Arial" w:hAnsi="Arial" w:cs="Arial"/>
                <w:b/>
                <w:color w:val="FFFFFF" w:themeColor="background1"/>
              </w:rPr>
              <w:t>Estimated impact</w:t>
            </w:r>
            <w:r w:rsidR="0091775A" w:rsidRPr="005D7EB1">
              <w:rPr>
                <w:rFonts w:ascii="Arial" w:hAnsi="Arial" w:cs="Arial"/>
                <w:b/>
                <w:color w:val="FFFFFF" w:themeColor="background1"/>
              </w:rPr>
              <w:br/>
            </w:r>
            <w:r w:rsidRPr="005D7EB1">
              <w:rPr>
                <w:rFonts w:ascii="Arial" w:hAnsi="Arial" w:cs="Arial"/>
                <w:b/>
                <w:color w:val="FFFFFF" w:themeColor="background1"/>
              </w:rPr>
              <w:t>(effect size)</w:t>
            </w:r>
          </w:p>
        </w:tc>
        <w:tc>
          <w:tcPr>
            <w:tcW w:w="2255" w:type="dxa"/>
            <w:tcBorders>
              <w:bottom w:val="single" w:sz="4" w:space="0" w:color="auto"/>
            </w:tcBorders>
            <w:shd w:val="clear" w:color="auto" w:fill="6C6F70"/>
            <w:vAlign w:val="bottom"/>
          </w:tcPr>
          <w:p w14:paraId="2689ACC3" w14:textId="77777777" w:rsidR="00446799" w:rsidRPr="005D7EB1" w:rsidRDefault="00446799" w:rsidP="0091775A">
            <w:pPr>
              <w:pStyle w:val="TableHeaderCenter"/>
              <w:rPr>
                <w:rFonts w:ascii="Arial" w:hAnsi="Arial" w:cs="Arial"/>
                <w:b/>
                <w:color w:val="FFFFFF" w:themeColor="background1"/>
              </w:rPr>
            </w:pPr>
            <w:r w:rsidRPr="005D7EB1">
              <w:rPr>
                <w:rFonts w:ascii="Arial" w:hAnsi="Arial" w:cs="Arial"/>
                <w:b/>
                <w:i/>
                <w:color w:val="FFFFFF" w:themeColor="background1"/>
              </w:rPr>
              <w:t>p</w:t>
            </w:r>
            <w:r w:rsidRPr="005D7EB1">
              <w:rPr>
                <w:rFonts w:ascii="Arial" w:hAnsi="Arial" w:cs="Arial"/>
                <w:b/>
                <w:color w:val="FFFFFF" w:themeColor="background1"/>
              </w:rPr>
              <w:t>-value</w:t>
            </w:r>
          </w:p>
        </w:tc>
        <w:tc>
          <w:tcPr>
            <w:tcW w:w="2255" w:type="dxa"/>
            <w:tcBorders>
              <w:bottom w:val="single" w:sz="4" w:space="0" w:color="auto"/>
            </w:tcBorders>
            <w:shd w:val="clear" w:color="auto" w:fill="6C6F70"/>
            <w:vAlign w:val="bottom"/>
          </w:tcPr>
          <w:p w14:paraId="0AB57090" w14:textId="29C1258F" w:rsidR="00446799" w:rsidRPr="005D7EB1" w:rsidRDefault="00446799" w:rsidP="0091775A">
            <w:pPr>
              <w:pStyle w:val="TableHeaderCenter"/>
              <w:rPr>
                <w:rFonts w:ascii="Arial" w:hAnsi="Arial" w:cs="Arial"/>
                <w:b/>
                <w:color w:val="FFFFFF" w:themeColor="background1"/>
              </w:rPr>
            </w:pPr>
            <w:r w:rsidRPr="005D7EB1">
              <w:rPr>
                <w:rFonts w:ascii="Arial" w:hAnsi="Arial" w:cs="Arial"/>
                <w:b/>
                <w:color w:val="FFFFFF" w:themeColor="background1"/>
              </w:rPr>
              <w:t xml:space="preserve">Probability </w:t>
            </w:r>
            <w:r w:rsidR="003816CD" w:rsidRPr="005D7EB1">
              <w:rPr>
                <w:rFonts w:ascii="Arial" w:hAnsi="Arial" w:cs="Arial"/>
                <w:b/>
                <w:color w:val="FFFFFF" w:themeColor="background1"/>
              </w:rPr>
              <w:t xml:space="preserve">that </w:t>
            </w:r>
            <w:r w:rsidRPr="005D7EB1">
              <w:rPr>
                <w:rFonts w:ascii="Arial" w:hAnsi="Arial" w:cs="Arial"/>
                <w:b/>
                <w:color w:val="FFFFFF" w:themeColor="background1"/>
              </w:rPr>
              <w:t xml:space="preserve">impact is truly positive </w:t>
            </w:r>
          </w:p>
        </w:tc>
      </w:tr>
      <w:tr w:rsidR="00446799" w:rsidRPr="000B14F8" w14:paraId="2EE13330" w14:textId="77777777" w:rsidTr="00012CAE">
        <w:trPr>
          <w:trHeight w:val="152"/>
          <w:jc w:val="center"/>
        </w:trPr>
        <w:tc>
          <w:tcPr>
            <w:tcW w:w="2605" w:type="dxa"/>
            <w:tcBorders>
              <w:top w:val="single" w:sz="4" w:space="0" w:color="auto"/>
              <w:bottom w:val="single" w:sz="4" w:space="0" w:color="auto"/>
            </w:tcBorders>
            <w:vAlign w:val="bottom"/>
          </w:tcPr>
          <w:p w14:paraId="77F7C171" w14:textId="324B4482" w:rsidR="00446799" w:rsidRPr="000B14F8" w:rsidRDefault="00446799" w:rsidP="0087664C">
            <w:pPr>
              <w:pStyle w:val="TableText"/>
              <w:spacing w:before="60" w:after="60"/>
            </w:pPr>
            <w:r>
              <w:t>Disability</w:t>
            </w:r>
            <w:r w:rsidR="004015FA">
              <w:t xml:space="preserve"> </w:t>
            </w:r>
            <w:r w:rsidRPr="000B14F8">
              <w:t>at baseline</w:t>
            </w:r>
          </w:p>
        </w:tc>
        <w:tc>
          <w:tcPr>
            <w:tcW w:w="2255" w:type="dxa"/>
            <w:tcBorders>
              <w:top w:val="single" w:sz="4" w:space="0" w:color="auto"/>
              <w:bottom w:val="single" w:sz="4" w:space="0" w:color="auto"/>
            </w:tcBorders>
            <w:vAlign w:val="bottom"/>
          </w:tcPr>
          <w:p w14:paraId="76C5038F" w14:textId="77777777" w:rsidR="00446799" w:rsidRPr="000B14F8" w:rsidRDefault="00446799" w:rsidP="0091775A">
            <w:pPr>
              <w:pStyle w:val="TableText"/>
              <w:tabs>
                <w:tab w:val="decimal" w:pos="887"/>
              </w:tabs>
              <w:spacing w:before="60" w:after="60"/>
            </w:pPr>
            <w:r w:rsidRPr="000B14F8">
              <w:t>0.25</w:t>
            </w:r>
          </w:p>
        </w:tc>
        <w:tc>
          <w:tcPr>
            <w:tcW w:w="2255" w:type="dxa"/>
            <w:tcBorders>
              <w:top w:val="single" w:sz="4" w:space="0" w:color="auto"/>
              <w:bottom w:val="single" w:sz="4" w:space="0" w:color="auto"/>
            </w:tcBorders>
            <w:vAlign w:val="bottom"/>
          </w:tcPr>
          <w:p w14:paraId="7F267A5C" w14:textId="77777777" w:rsidR="00446799" w:rsidRPr="000B14F8" w:rsidRDefault="00446799" w:rsidP="0091775A">
            <w:pPr>
              <w:pStyle w:val="TableText"/>
              <w:tabs>
                <w:tab w:val="decimal" w:pos="887"/>
              </w:tabs>
              <w:spacing w:before="60" w:after="60"/>
            </w:pPr>
            <w:r w:rsidRPr="000B14F8">
              <w:t>0.04</w:t>
            </w:r>
          </w:p>
        </w:tc>
        <w:tc>
          <w:tcPr>
            <w:tcW w:w="2255" w:type="dxa"/>
            <w:tcBorders>
              <w:top w:val="single" w:sz="4" w:space="0" w:color="auto"/>
              <w:bottom w:val="single" w:sz="4" w:space="0" w:color="auto"/>
            </w:tcBorders>
            <w:vAlign w:val="bottom"/>
          </w:tcPr>
          <w:p w14:paraId="02310D8B" w14:textId="77777777" w:rsidR="00446799" w:rsidRPr="000B14F8" w:rsidRDefault="00446799" w:rsidP="0091775A">
            <w:pPr>
              <w:pStyle w:val="TableText"/>
              <w:tabs>
                <w:tab w:val="decimal" w:pos="887"/>
              </w:tabs>
              <w:spacing w:before="60" w:after="60"/>
            </w:pPr>
            <w:r w:rsidRPr="000B14F8">
              <w:t>0.94</w:t>
            </w:r>
          </w:p>
        </w:tc>
      </w:tr>
      <w:tr w:rsidR="0087664C" w:rsidRPr="000B14F8" w14:paraId="7D8B8755" w14:textId="77777777" w:rsidTr="00012CAE">
        <w:trPr>
          <w:trHeight w:val="152"/>
          <w:jc w:val="center"/>
        </w:trPr>
        <w:tc>
          <w:tcPr>
            <w:tcW w:w="2605" w:type="dxa"/>
            <w:tcBorders>
              <w:top w:val="single" w:sz="4" w:space="0" w:color="auto"/>
              <w:bottom w:val="single" w:sz="4" w:space="0" w:color="auto"/>
            </w:tcBorders>
            <w:vAlign w:val="bottom"/>
          </w:tcPr>
          <w:p w14:paraId="7560D1E1" w14:textId="282926FD" w:rsidR="0087664C" w:rsidRDefault="0087664C" w:rsidP="004015FA">
            <w:pPr>
              <w:pStyle w:val="TableText"/>
              <w:spacing w:before="60" w:after="60"/>
            </w:pPr>
            <w:r>
              <w:t>At risk of social-emotional or behavioral challenges at baseline</w:t>
            </w:r>
          </w:p>
        </w:tc>
        <w:tc>
          <w:tcPr>
            <w:tcW w:w="2255" w:type="dxa"/>
            <w:tcBorders>
              <w:top w:val="single" w:sz="4" w:space="0" w:color="auto"/>
              <w:bottom w:val="single" w:sz="4" w:space="0" w:color="auto"/>
            </w:tcBorders>
            <w:vAlign w:val="bottom"/>
          </w:tcPr>
          <w:p w14:paraId="1E60A791" w14:textId="39A911D1" w:rsidR="0087664C" w:rsidRPr="000B14F8" w:rsidRDefault="0087664C" w:rsidP="0091775A">
            <w:pPr>
              <w:pStyle w:val="TableText"/>
              <w:tabs>
                <w:tab w:val="decimal" w:pos="887"/>
              </w:tabs>
              <w:spacing w:before="60" w:after="60"/>
            </w:pPr>
            <w:r>
              <w:t>0.25</w:t>
            </w:r>
          </w:p>
        </w:tc>
        <w:tc>
          <w:tcPr>
            <w:tcW w:w="2255" w:type="dxa"/>
            <w:tcBorders>
              <w:top w:val="single" w:sz="4" w:space="0" w:color="auto"/>
              <w:bottom w:val="single" w:sz="4" w:space="0" w:color="auto"/>
            </w:tcBorders>
            <w:vAlign w:val="bottom"/>
          </w:tcPr>
          <w:p w14:paraId="7D091ED8" w14:textId="261D5BD7" w:rsidR="0087664C" w:rsidRPr="000B14F8" w:rsidRDefault="0087664C" w:rsidP="0091775A">
            <w:pPr>
              <w:pStyle w:val="TableText"/>
              <w:tabs>
                <w:tab w:val="decimal" w:pos="887"/>
              </w:tabs>
              <w:spacing w:before="60" w:after="60"/>
            </w:pPr>
            <w:r>
              <w:t>0.04</w:t>
            </w:r>
          </w:p>
        </w:tc>
        <w:tc>
          <w:tcPr>
            <w:tcW w:w="2255" w:type="dxa"/>
            <w:tcBorders>
              <w:top w:val="single" w:sz="4" w:space="0" w:color="auto"/>
              <w:bottom w:val="single" w:sz="4" w:space="0" w:color="auto"/>
            </w:tcBorders>
            <w:vAlign w:val="bottom"/>
          </w:tcPr>
          <w:p w14:paraId="61F13502" w14:textId="4F591A93" w:rsidR="0087664C" w:rsidRPr="000B14F8" w:rsidRDefault="0087664C" w:rsidP="0091775A">
            <w:pPr>
              <w:pStyle w:val="TableText"/>
              <w:tabs>
                <w:tab w:val="decimal" w:pos="887"/>
              </w:tabs>
              <w:spacing w:before="60" w:after="60"/>
            </w:pPr>
            <w:r>
              <w:t>0.94</w:t>
            </w:r>
          </w:p>
        </w:tc>
      </w:tr>
      <w:tr w:rsidR="00446799" w:rsidRPr="000B14F8" w14:paraId="7CDE0EFC" w14:textId="77777777" w:rsidTr="00012CAE">
        <w:trPr>
          <w:trHeight w:val="152"/>
          <w:jc w:val="center"/>
        </w:trPr>
        <w:tc>
          <w:tcPr>
            <w:tcW w:w="2605" w:type="dxa"/>
            <w:tcBorders>
              <w:top w:val="single" w:sz="4" w:space="0" w:color="auto"/>
              <w:bottom w:val="single" w:sz="4" w:space="0" w:color="auto"/>
            </w:tcBorders>
            <w:vAlign w:val="bottom"/>
          </w:tcPr>
          <w:p w14:paraId="107579EE" w14:textId="0C9004A6" w:rsidR="00446799" w:rsidRPr="000B14F8" w:rsidRDefault="00446799" w:rsidP="0087664C">
            <w:pPr>
              <w:pStyle w:val="TableText"/>
              <w:spacing w:after="60"/>
            </w:pPr>
            <w:r w:rsidRPr="000B14F8">
              <w:t xml:space="preserve">No </w:t>
            </w:r>
            <w:r>
              <w:t>disability</w:t>
            </w:r>
            <w:r w:rsidR="0087664C">
              <w:t xml:space="preserve"> </w:t>
            </w:r>
            <w:r w:rsidRPr="000B14F8">
              <w:t>at baseline</w:t>
            </w:r>
          </w:p>
        </w:tc>
        <w:tc>
          <w:tcPr>
            <w:tcW w:w="2255" w:type="dxa"/>
            <w:tcBorders>
              <w:top w:val="single" w:sz="4" w:space="0" w:color="auto"/>
              <w:bottom w:val="single" w:sz="4" w:space="0" w:color="auto"/>
            </w:tcBorders>
            <w:vAlign w:val="bottom"/>
          </w:tcPr>
          <w:p w14:paraId="05D36081" w14:textId="16392FE2" w:rsidR="00446799" w:rsidRPr="000B14F8" w:rsidRDefault="00446799" w:rsidP="0091775A">
            <w:pPr>
              <w:pStyle w:val="TableText"/>
              <w:tabs>
                <w:tab w:val="decimal" w:pos="887"/>
              </w:tabs>
              <w:spacing w:after="60"/>
            </w:pPr>
            <w:r w:rsidRPr="000B14F8">
              <w:t>0.05</w:t>
            </w:r>
          </w:p>
        </w:tc>
        <w:tc>
          <w:tcPr>
            <w:tcW w:w="2255" w:type="dxa"/>
            <w:tcBorders>
              <w:top w:val="single" w:sz="4" w:space="0" w:color="auto"/>
              <w:bottom w:val="single" w:sz="4" w:space="0" w:color="auto"/>
            </w:tcBorders>
            <w:vAlign w:val="bottom"/>
          </w:tcPr>
          <w:p w14:paraId="1929DB74" w14:textId="77D735D5" w:rsidR="00446799" w:rsidRPr="000B14F8" w:rsidRDefault="00446799" w:rsidP="0091775A">
            <w:pPr>
              <w:pStyle w:val="TableText"/>
              <w:tabs>
                <w:tab w:val="decimal" w:pos="887"/>
              </w:tabs>
              <w:spacing w:after="60"/>
            </w:pPr>
            <w:r w:rsidRPr="000B14F8">
              <w:t>0.32</w:t>
            </w:r>
          </w:p>
        </w:tc>
        <w:tc>
          <w:tcPr>
            <w:tcW w:w="2255" w:type="dxa"/>
            <w:tcBorders>
              <w:top w:val="single" w:sz="4" w:space="0" w:color="auto"/>
              <w:bottom w:val="single" w:sz="4" w:space="0" w:color="auto"/>
            </w:tcBorders>
            <w:vAlign w:val="bottom"/>
          </w:tcPr>
          <w:p w14:paraId="75D4B985" w14:textId="0B452CE0" w:rsidR="00446799" w:rsidRPr="000B14F8" w:rsidRDefault="00446799" w:rsidP="0091775A">
            <w:pPr>
              <w:pStyle w:val="TableText"/>
              <w:tabs>
                <w:tab w:val="decimal" w:pos="887"/>
              </w:tabs>
              <w:spacing w:after="60"/>
            </w:pPr>
            <w:r w:rsidRPr="000B14F8">
              <w:t>0.67</w:t>
            </w:r>
          </w:p>
        </w:tc>
      </w:tr>
      <w:tr w:rsidR="00446799" w:rsidRPr="000B14F8" w14:paraId="7D415819" w14:textId="77777777" w:rsidTr="00012CAE">
        <w:trPr>
          <w:trHeight w:val="152"/>
          <w:jc w:val="center"/>
        </w:trPr>
        <w:tc>
          <w:tcPr>
            <w:tcW w:w="2605" w:type="dxa"/>
            <w:tcBorders>
              <w:top w:val="single" w:sz="4" w:space="0" w:color="auto"/>
            </w:tcBorders>
            <w:vAlign w:val="bottom"/>
          </w:tcPr>
          <w:p w14:paraId="6DF1DA7F" w14:textId="73558423" w:rsidR="00446799" w:rsidRPr="000B14F8" w:rsidRDefault="00446799" w:rsidP="0091775A">
            <w:pPr>
              <w:pStyle w:val="TableText"/>
              <w:spacing w:after="60"/>
            </w:pPr>
            <w:r w:rsidRPr="000B14F8">
              <w:t xml:space="preserve">All </w:t>
            </w:r>
            <w:r>
              <w:t>children</w:t>
            </w:r>
          </w:p>
        </w:tc>
        <w:tc>
          <w:tcPr>
            <w:tcW w:w="2255" w:type="dxa"/>
            <w:tcBorders>
              <w:top w:val="single" w:sz="4" w:space="0" w:color="auto"/>
            </w:tcBorders>
            <w:vAlign w:val="bottom"/>
          </w:tcPr>
          <w:p w14:paraId="72582B33" w14:textId="77777777" w:rsidR="00446799" w:rsidRPr="000B14F8" w:rsidRDefault="00446799" w:rsidP="0091775A">
            <w:pPr>
              <w:pStyle w:val="TableText"/>
              <w:tabs>
                <w:tab w:val="decimal" w:pos="887"/>
              </w:tabs>
              <w:spacing w:after="60"/>
            </w:pPr>
            <w:r w:rsidRPr="000B14F8">
              <w:t>0.11</w:t>
            </w:r>
          </w:p>
        </w:tc>
        <w:tc>
          <w:tcPr>
            <w:tcW w:w="2255" w:type="dxa"/>
            <w:tcBorders>
              <w:top w:val="single" w:sz="4" w:space="0" w:color="auto"/>
            </w:tcBorders>
            <w:vAlign w:val="bottom"/>
          </w:tcPr>
          <w:p w14:paraId="3B7E477A" w14:textId="77777777" w:rsidR="00446799" w:rsidRPr="000B14F8" w:rsidRDefault="00446799" w:rsidP="0091775A">
            <w:pPr>
              <w:pStyle w:val="TableText"/>
              <w:tabs>
                <w:tab w:val="decimal" w:pos="887"/>
              </w:tabs>
              <w:spacing w:after="60"/>
            </w:pPr>
            <w:r w:rsidRPr="000B14F8">
              <w:t>0.13</w:t>
            </w:r>
          </w:p>
        </w:tc>
        <w:tc>
          <w:tcPr>
            <w:tcW w:w="2255" w:type="dxa"/>
            <w:tcBorders>
              <w:top w:val="single" w:sz="4" w:space="0" w:color="auto"/>
            </w:tcBorders>
            <w:vAlign w:val="bottom"/>
          </w:tcPr>
          <w:p w14:paraId="7688E836" w14:textId="77777777" w:rsidR="00446799" w:rsidRPr="000B14F8" w:rsidRDefault="00446799" w:rsidP="0091775A">
            <w:pPr>
              <w:pStyle w:val="TableText"/>
              <w:tabs>
                <w:tab w:val="decimal" w:pos="887"/>
              </w:tabs>
              <w:spacing w:after="60"/>
            </w:pPr>
            <w:r w:rsidRPr="000B14F8">
              <w:t>0.85</w:t>
            </w:r>
          </w:p>
        </w:tc>
      </w:tr>
    </w:tbl>
    <w:p w14:paraId="2B403818" w14:textId="4A0F5D2F" w:rsidR="00446799" w:rsidRDefault="00446799" w:rsidP="00446799">
      <w:pPr>
        <w:pStyle w:val="TableSourceCaption"/>
      </w:pPr>
      <w:r w:rsidRPr="000B14F8">
        <w:t>Notes:</w:t>
      </w:r>
      <w:r w:rsidRPr="000B14F8">
        <w:tab/>
        <w:t xml:space="preserve">These calculations assume that the data for the impact analysis come from 26 schools and 1.5 classrooms per school. We assume an </w:t>
      </w:r>
      <w:r w:rsidR="00085672">
        <w:t xml:space="preserve">intraclass correlation </w:t>
      </w:r>
      <w:r w:rsidRPr="000B14F8">
        <w:t>of 0.10, a school-level R</w:t>
      </w:r>
      <w:r w:rsidRPr="000B14F8">
        <w:rPr>
          <w:vertAlign w:val="superscript"/>
        </w:rPr>
        <w:t>2</w:t>
      </w:r>
      <w:r w:rsidRPr="000B14F8">
        <w:t xml:space="preserve"> of 0.70, a </w:t>
      </w:r>
      <w:r w:rsidR="00735E4F">
        <w:t>child</w:t>
      </w:r>
      <w:r w:rsidRPr="000B14F8">
        <w:t>-level R</w:t>
      </w:r>
      <w:r w:rsidRPr="000B14F8">
        <w:rPr>
          <w:vertAlign w:val="superscript"/>
        </w:rPr>
        <w:t>2</w:t>
      </w:r>
      <w:r w:rsidRPr="000B14F8">
        <w:t xml:space="preserve"> of 0.40, and one-tailed hypothesis testing when calculating standard errors and </w:t>
      </w:r>
      <w:r w:rsidRPr="000B14F8">
        <w:rPr>
          <w:i/>
        </w:rPr>
        <w:t>p</w:t>
      </w:r>
      <w:r w:rsidRPr="000B14F8">
        <w:t xml:space="preserve">-values. The </w:t>
      </w:r>
      <w:r w:rsidR="003816CD">
        <w:t>“</w:t>
      </w:r>
      <w:r w:rsidRPr="000B14F8">
        <w:t>estimated impacts</w:t>
      </w:r>
      <w:r w:rsidR="003816CD">
        <w:t>”</w:t>
      </w:r>
      <w:r w:rsidRPr="000B14F8">
        <w:t xml:space="preserve"> are hypothetical (not based on real data). The prior distribution used to calculate the probability that an impact is truly positive is normal</w:t>
      </w:r>
      <w:r w:rsidR="003816CD">
        <w:t>,</w:t>
      </w:r>
      <w:r w:rsidRPr="000B14F8">
        <w:t xml:space="preserve"> with mean 0 and standard deviation 0.20. This prior distribution is based on evidence from the What Works Clearinghouse. </w:t>
      </w:r>
    </w:p>
    <w:p w14:paraId="32BB158C" w14:textId="77777777" w:rsidR="00446799" w:rsidRDefault="00446799" w:rsidP="00446799">
      <w:pPr>
        <w:pStyle w:val="TableSourceCaption"/>
      </w:pPr>
    </w:p>
    <w:p w14:paraId="6D3FDFDD" w14:textId="77777777" w:rsidR="00446799" w:rsidRPr="000B14F8" w:rsidRDefault="00446799" w:rsidP="00446799">
      <w:pPr>
        <w:pStyle w:val="H4NumberNoTOC"/>
      </w:pPr>
      <w:r w:rsidRPr="000B14F8">
        <w:t xml:space="preserve">d. </w:t>
      </w:r>
      <w:r w:rsidRPr="000B14F8">
        <w:tab/>
      </w:r>
      <w:r w:rsidRPr="000B14F8" w:rsidDel="00E72BD9">
        <w:t>Degree of accuracy needed</w:t>
      </w:r>
    </w:p>
    <w:p w14:paraId="467C08B0" w14:textId="3F9214DB" w:rsidR="00446799" w:rsidRDefault="00446799" w:rsidP="00446799">
      <w:pPr>
        <w:pStyle w:val="NormalSS"/>
      </w:pPr>
      <w:r w:rsidRPr="000B14F8">
        <w:t xml:space="preserve">When calculating the </w:t>
      </w:r>
      <w:r w:rsidR="009668A6">
        <w:t>average treatment effect</w:t>
      </w:r>
      <w:r w:rsidRPr="000B14F8">
        <w:t xml:space="preserve">, we estimate that the </w:t>
      </w:r>
      <w:r w:rsidR="009668A6">
        <w:t xml:space="preserve">efficacy </w:t>
      </w:r>
      <w:r w:rsidRPr="000B14F8">
        <w:t xml:space="preserve">study will achieve a minimum detectable effect size of 0.21 standard deviations on </w:t>
      </w:r>
      <w:r w:rsidR="009668A6">
        <w:t xml:space="preserve">child </w:t>
      </w:r>
      <w:r w:rsidRPr="000B14F8">
        <w:t>outcomes for the full sample</w:t>
      </w:r>
      <w:r w:rsidR="009668A6">
        <w:t xml:space="preserve"> (Table B.2)</w:t>
      </w:r>
      <w:r w:rsidRPr="000B14F8">
        <w:t>. For the subgroup</w:t>
      </w:r>
      <w:r w:rsidR="0018386E">
        <w:t>s</w:t>
      </w:r>
      <w:r w:rsidRPr="000B14F8">
        <w:t xml:space="preserve"> of </w:t>
      </w:r>
      <w:r w:rsidR="009668A6">
        <w:t>children with disabilities</w:t>
      </w:r>
      <w:r w:rsidR="0087664C">
        <w:t xml:space="preserve"> or, those </w:t>
      </w:r>
      <w:r w:rsidR="0018386E">
        <w:t>at risk for</w:t>
      </w:r>
      <w:r w:rsidR="0087664C">
        <w:t xml:space="preserve"> social-emotional or behavioral challenges</w:t>
      </w:r>
      <w:r w:rsidR="009668A6">
        <w:t xml:space="preserve">, </w:t>
      </w:r>
      <w:r w:rsidRPr="000B14F8">
        <w:t xml:space="preserve">the </w:t>
      </w:r>
      <w:r w:rsidR="00085672">
        <w:t xml:space="preserve">minimum detectible effect size </w:t>
      </w:r>
      <w:r w:rsidRPr="000B14F8">
        <w:t xml:space="preserve">is 0.30 </w:t>
      </w:r>
      <w:r w:rsidR="00085672">
        <w:t xml:space="preserve">standard deviations </w:t>
      </w:r>
      <w:r w:rsidRPr="000B14F8">
        <w:t xml:space="preserve">on </w:t>
      </w:r>
      <w:r w:rsidR="009668A6">
        <w:t xml:space="preserve">child outcomes. </w:t>
      </w:r>
      <w:r>
        <w:t xml:space="preserve">The </w:t>
      </w:r>
      <w:r w:rsidR="00085672">
        <w:t xml:space="preserve">minimum detectible effect size </w:t>
      </w:r>
      <w:r>
        <w:t>for teacher and classroom outcomes are 0.39 and 0.53</w:t>
      </w:r>
      <w:r w:rsidRPr="000B14F8">
        <w:t>.</w:t>
      </w:r>
      <w:r w:rsidRPr="00A24BEE">
        <w:t xml:space="preserve"> </w:t>
      </w:r>
      <w:r>
        <w:t>These target</w:t>
      </w:r>
      <w:r w:rsidR="00735E4F">
        <w:t>s</w:t>
      </w:r>
      <w:r>
        <w:t xml:space="preserve"> represent meaningful but realistic impacts in an efficacy study. </w:t>
      </w:r>
      <w:r w:rsidRPr="00EE6536">
        <w:t xml:space="preserve">Prior studies of </w:t>
      </w:r>
      <w:r>
        <w:t>the components of IEP</w:t>
      </w:r>
      <w:r w:rsidRPr="00052A25">
        <w:rPr>
          <w:vertAlign w:val="subscript"/>
        </w:rPr>
        <w:t>M</w:t>
      </w:r>
      <w:r>
        <w:t xml:space="preserve"> </w:t>
      </w:r>
      <w:r w:rsidRPr="00EE6536">
        <w:t>have fou</w:t>
      </w:r>
      <w:r>
        <w:t xml:space="preserve">nd effect sizes larger than these </w:t>
      </w:r>
      <w:r w:rsidR="00735E4F">
        <w:t>minimum detectible effect sizes</w:t>
      </w:r>
      <w:r>
        <w:t xml:space="preserve">. For example, </w:t>
      </w:r>
      <w:r w:rsidR="009668A6">
        <w:t xml:space="preserve">the effect sizes that </w:t>
      </w:r>
      <w:r w:rsidRPr="00742858">
        <w:t>Hemmeter</w:t>
      </w:r>
      <w:r w:rsidR="002E5C36">
        <w:t xml:space="preserve"> et al.</w:t>
      </w:r>
      <w:r w:rsidRPr="00742858">
        <w:t xml:space="preserve"> (2016)</w:t>
      </w:r>
      <w:r>
        <w:t xml:space="preserve"> </w:t>
      </w:r>
      <w:r w:rsidR="009668A6">
        <w:t>estimated</w:t>
      </w:r>
      <w:r>
        <w:t xml:space="preserve"> </w:t>
      </w:r>
      <w:r w:rsidR="009668A6">
        <w:t xml:space="preserve">for </w:t>
      </w:r>
      <w:r>
        <w:t xml:space="preserve">the Pyramid </w:t>
      </w:r>
      <w:r w:rsidR="009668A6">
        <w:t>M</w:t>
      </w:r>
      <w:r>
        <w:t xml:space="preserve">odel </w:t>
      </w:r>
      <w:r w:rsidR="00A70DA9">
        <w:t xml:space="preserve">for Promoting Social and Emotional Competence in Young Children </w:t>
      </w:r>
      <w:r w:rsidR="009668A6">
        <w:t xml:space="preserve">were </w:t>
      </w:r>
      <w:r>
        <w:t>0.43 on a measure of social skills and -0.29 standard deviations on a measure of problem behaviors</w:t>
      </w:r>
      <w:r w:rsidR="009668A6">
        <w:t xml:space="preserve">. </w:t>
      </w:r>
      <w:r w:rsidRPr="003D1F70">
        <w:t>Strain</w:t>
      </w:r>
      <w:r w:rsidR="009668A6">
        <w:t xml:space="preserve"> </w:t>
      </w:r>
      <w:r w:rsidR="002E5C36">
        <w:t>and</w:t>
      </w:r>
      <w:r w:rsidRPr="003D1F70">
        <w:t xml:space="preserve"> Bovey (2011)</w:t>
      </w:r>
      <w:r>
        <w:t xml:space="preserve"> </w:t>
      </w:r>
      <w:r w:rsidR="00F62FFE">
        <w:t>estimated</w:t>
      </w:r>
      <w:r>
        <w:t xml:space="preserve"> impacts of </w:t>
      </w:r>
      <w:r w:rsidR="00F62FFE">
        <w:t xml:space="preserve">the </w:t>
      </w:r>
      <w:r w:rsidR="00F62FFE">
        <w:rPr>
          <w:rFonts w:eastAsia="Calibri"/>
        </w:rPr>
        <w:t xml:space="preserve">Learning Experiences Alternate Program for Preschools and </w:t>
      </w:r>
      <w:r w:rsidR="002E5C36">
        <w:rPr>
          <w:rFonts w:eastAsia="Calibri"/>
        </w:rPr>
        <w:t>T</w:t>
      </w:r>
      <w:r w:rsidR="00F62FFE">
        <w:rPr>
          <w:rFonts w:eastAsia="Calibri"/>
        </w:rPr>
        <w:t>heir Parents</w:t>
      </w:r>
      <w:r w:rsidR="00F62FFE">
        <w:t xml:space="preserve"> (</w:t>
      </w:r>
      <w:r>
        <w:t>LEAP</w:t>
      </w:r>
      <w:r w:rsidR="00F62FFE">
        <w:t>)</w:t>
      </w:r>
      <w:r>
        <w:t xml:space="preserve"> on </w:t>
      </w:r>
      <w:r w:rsidR="00F62FFE">
        <w:t>social-</w:t>
      </w:r>
      <w:r>
        <w:t xml:space="preserve">emotional/behavior and language outcomes ranging from 0.64 to 1.41 standard deviations. </w:t>
      </w:r>
      <w:r w:rsidRPr="009F0968">
        <w:t>Our</w:t>
      </w:r>
      <w:r>
        <w:t xml:space="preserve"> </w:t>
      </w:r>
      <w:r w:rsidRPr="00EE6536">
        <w:t xml:space="preserve">proposed sample sizes will be sufficient to detect impacts of </w:t>
      </w:r>
      <w:r>
        <w:t xml:space="preserve">these magnitudes.  </w:t>
      </w:r>
    </w:p>
    <w:p w14:paraId="093B5D6B" w14:textId="7F1EC87A" w:rsidR="00F62FFE" w:rsidRPr="000B14F8" w:rsidRDefault="00F62FFE" w:rsidP="00F62FFE">
      <w:pPr>
        <w:pStyle w:val="MarkforTableTitle"/>
      </w:pPr>
      <w:bookmarkStart w:id="19" w:name="_Toc531603006"/>
      <w:bookmarkStart w:id="20" w:name="_Toc456089589"/>
      <w:r w:rsidRPr="000B14F8">
        <w:t>Table B</w:t>
      </w:r>
      <w:r>
        <w:t>.</w:t>
      </w:r>
      <w:r w:rsidRPr="000B14F8">
        <w:t>2. Minimum detectable effect size</w:t>
      </w:r>
      <w:r>
        <w:t>s</w:t>
      </w:r>
      <w:bookmarkEnd w:id="19"/>
      <w:r w:rsidRPr="000B14F8">
        <w:t xml:space="preserve"> </w:t>
      </w:r>
    </w:p>
    <w:tbl>
      <w:tblPr>
        <w:tblStyle w:val="TableGrid"/>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980"/>
        <w:gridCol w:w="2411"/>
        <w:gridCol w:w="2449"/>
      </w:tblGrid>
      <w:tr w:rsidR="0091775A" w:rsidRPr="0091775A" w14:paraId="1048AD0B" w14:textId="77777777" w:rsidTr="0091775A">
        <w:trPr>
          <w:jc w:val="center"/>
        </w:trPr>
        <w:tc>
          <w:tcPr>
            <w:tcW w:w="2515" w:type="dxa"/>
            <w:shd w:val="clear" w:color="auto" w:fill="6C6F70"/>
          </w:tcPr>
          <w:p w14:paraId="67640897" w14:textId="77777777" w:rsidR="00735E4F" w:rsidRPr="0091775A" w:rsidRDefault="00735E4F" w:rsidP="0091775A">
            <w:pPr>
              <w:pStyle w:val="TableHeaderCenter"/>
              <w:rPr>
                <w:rFonts w:ascii="Arial" w:hAnsi="Arial" w:cs="Arial"/>
                <w:b/>
                <w:color w:val="FFFFFF" w:themeColor="background1"/>
              </w:rPr>
            </w:pPr>
          </w:p>
        </w:tc>
        <w:tc>
          <w:tcPr>
            <w:tcW w:w="6840" w:type="dxa"/>
            <w:gridSpan w:val="3"/>
            <w:tcBorders>
              <w:bottom w:val="single" w:sz="4" w:space="0" w:color="FFFFFF" w:themeColor="background1"/>
            </w:tcBorders>
            <w:shd w:val="clear" w:color="auto" w:fill="6C6F70"/>
          </w:tcPr>
          <w:p w14:paraId="7BE160BA" w14:textId="0F3ABF4E" w:rsidR="00735E4F" w:rsidRPr="0091775A" w:rsidRDefault="00735E4F" w:rsidP="0091775A">
            <w:pPr>
              <w:pStyle w:val="TableHeaderCenter"/>
              <w:rPr>
                <w:rFonts w:ascii="Arial" w:hAnsi="Arial" w:cs="Arial"/>
                <w:b/>
                <w:color w:val="FFFFFF" w:themeColor="background1"/>
              </w:rPr>
            </w:pPr>
            <w:r w:rsidRPr="0091775A">
              <w:rPr>
                <w:rFonts w:ascii="Arial" w:hAnsi="Arial" w:cs="Arial"/>
                <w:b/>
                <w:color w:val="FFFFFF" w:themeColor="background1"/>
              </w:rPr>
              <w:t>Minimum detectible effect size</w:t>
            </w:r>
          </w:p>
        </w:tc>
      </w:tr>
      <w:tr w:rsidR="0091775A" w:rsidRPr="0091775A" w14:paraId="0ECAB990" w14:textId="77777777" w:rsidTr="00570AE3">
        <w:trPr>
          <w:jc w:val="center"/>
        </w:trPr>
        <w:tc>
          <w:tcPr>
            <w:tcW w:w="2515" w:type="dxa"/>
            <w:tcBorders>
              <w:bottom w:val="single" w:sz="4" w:space="0" w:color="auto"/>
            </w:tcBorders>
            <w:shd w:val="clear" w:color="auto" w:fill="6C6F70"/>
            <w:vAlign w:val="bottom"/>
          </w:tcPr>
          <w:p w14:paraId="457B765C" w14:textId="2239A1BA" w:rsidR="00F62FFE" w:rsidRPr="0091775A" w:rsidRDefault="00F62FFE" w:rsidP="0091775A">
            <w:pPr>
              <w:pStyle w:val="TableHeaderCenter"/>
              <w:jc w:val="left"/>
              <w:rPr>
                <w:rFonts w:ascii="Arial" w:hAnsi="Arial" w:cs="Arial"/>
                <w:b/>
                <w:color w:val="FFFFFF" w:themeColor="background1"/>
              </w:rPr>
            </w:pPr>
            <w:r w:rsidRPr="0091775A">
              <w:rPr>
                <w:rFonts w:ascii="Arial" w:hAnsi="Arial" w:cs="Arial"/>
                <w:b/>
                <w:color w:val="FFFFFF" w:themeColor="background1"/>
              </w:rPr>
              <w:t>Group</w:t>
            </w:r>
            <w:r w:rsidR="0018386E">
              <w:rPr>
                <w:rFonts w:ascii="Arial" w:hAnsi="Arial" w:cs="Arial"/>
                <w:b/>
                <w:color w:val="FFFFFF" w:themeColor="background1"/>
              </w:rPr>
              <w:t>s</w:t>
            </w:r>
            <w:r w:rsidRPr="0091775A">
              <w:rPr>
                <w:rFonts w:ascii="Arial" w:hAnsi="Arial" w:cs="Arial"/>
                <w:b/>
                <w:color w:val="FFFFFF" w:themeColor="background1"/>
              </w:rPr>
              <w:t xml:space="preserve"> of children </w:t>
            </w:r>
            <w:r w:rsidR="00994440">
              <w:rPr>
                <w:rFonts w:ascii="Arial" w:hAnsi="Arial" w:cs="Arial"/>
                <w:b/>
                <w:color w:val="FFFFFF" w:themeColor="background1"/>
              </w:rPr>
              <w:br/>
            </w:r>
            <w:r w:rsidRPr="0091775A">
              <w:rPr>
                <w:rFonts w:ascii="Arial" w:hAnsi="Arial" w:cs="Arial"/>
                <w:b/>
                <w:color w:val="FFFFFF" w:themeColor="background1"/>
              </w:rPr>
              <w:t xml:space="preserve">in each classroom </w:t>
            </w:r>
          </w:p>
        </w:tc>
        <w:tc>
          <w:tcPr>
            <w:tcW w:w="1980" w:type="dxa"/>
            <w:tcBorders>
              <w:top w:val="single" w:sz="4" w:space="0" w:color="FFFFFF" w:themeColor="background1"/>
              <w:bottom w:val="single" w:sz="4" w:space="0" w:color="auto"/>
            </w:tcBorders>
            <w:shd w:val="clear" w:color="auto" w:fill="6C6F70"/>
            <w:vAlign w:val="bottom"/>
          </w:tcPr>
          <w:p w14:paraId="2C7892DF" w14:textId="66BD4CA8" w:rsidR="00F62FFE" w:rsidRPr="0091775A" w:rsidRDefault="00735E4F" w:rsidP="0091775A">
            <w:pPr>
              <w:pStyle w:val="TableHeaderCenter"/>
              <w:rPr>
                <w:rFonts w:ascii="Arial" w:hAnsi="Arial" w:cs="Arial"/>
                <w:b/>
                <w:color w:val="FFFFFF" w:themeColor="background1"/>
              </w:rPr>
            </w:pPr>
            <w:r w:rsidRPr="0091775A">
              <w:rPr>
                <w:rFonts w:ascii="Arial" w:hAnsi="Arial" w:cs="Arial"/>
                <w:b/>
                <w:color w:val="FFFFFF" w:themeColor="background1"/>
              </w:rPr>
              <w:t>Child</w:t>
            </w:r>
            <w:r w:rsidR="00F62FFE" w:rsidRPr="0091775A">
              <w:rPr>
                <w:rFonts w:ascii="Arial" w:hAnsi="Arial" w:cs="Arial"/>
                <w:b/>
                <w:color w:val="FFFFFF" w:themeColor="background1"/>
              </w:rPr>
              <w:t xml:space="preserve"> outcomes</w:t>
            </w:r>
          </w:p>
        </w:tc>
        <w:tc>
          <w:tcPr>
            <w:tcW w:w="2411" w:type="dxa"/>
            <w:tcBorders>
              <w:top w:val="single" w:sz="4" w:space="0" w:color="FFFFFF" w:themeColor="background1"/>
              <w:bottom w:val="single" w:sz="4" w:space="0" w:color="auto"/>
            </w:tcBorders>
            <w:shd w:val="clear" w:color="auto" w:fill="6C6F70"/>
            <w:vAlign w:val="bottom"/>
          </w:tcPr>
          <w:p w14:paraId="28A73A9F" w14:textId="3D992B6F" w:rsidR="00F62FFE" w:rsidRPr="0091775A" w:rsidRDefault="00735E4F" w:rsidP="0091775A">
            <w:pPr>
              <w:pStyle w:val="TableHeaderCenter"/>
              <w:rPr>
                <w:rFonts w:ascii="Arial" w:hAnsi="Arial" w:cs="Arial"/>
                <w:b/>
                <w:color w:val="FFFFFF" w:themeColor="background1"/>
              </w:rPr>
            </w:pPr>
            <w:r w:rsidRPr="0091775A">
              <w:rPr>
                <w:rFonts w:ascii="Arial" w:hAnsi="Arial" w:cs="Arial"/>
                <w:b/>
                <w:color w:val="FFFFFF" w:themeColor="background1"/>
              </w:rPr>
              <w:t>T</w:t>
            </w:r>
            <w:r w:rsidR="00F62FFE" w:rsidRPr="0091775A">
              <w:rPr>
                <w:rFonts w:ascii="Arial" w:hAnsi="Arial" w:cs="Arial"/>
                <w:b/>
                <w:color w:val="FFFFFF" w:themeColor="background1"/>
              </w:rPr>
              <w:t>eacher survey outcomes</w:t>
            </w:r>
          </w:p>
        </w:tc>
        <w:tc>
          <w:tcPr>
            <w:tcW w:w="2449" w:type="dxa"/>
            <w:tcBorders>
              <w:top w:val="single" w:sz="4" w:space="0" w:color="FFFFFF" w:themeColor="background1"/>
              <w:bottom w:val="single" w:sz="4" w:space="0" w:color="auto"/>
            </w:tcBorders>
            <w:shd w:val="clear" w:color="auto" w:fill="6C6F70"/>
            <w:vAlign w:val="bottom"/>
          </w:tcPr>
          <w:p w14:paraId="3280B5C9" w14:textId="5A24E398" w:rsidR="00F62FFE" w:rsidRPr="0091775A" w:rsidRDefault="00735E4F" w:rsidP="0091775A">
            <w:pPr>
              <w:pStyle w:val="TableHeaderCenter"/>
              <w:rPr>
                <w:rFonts w:ascii="Arial" w:hAnsi="Arial" w:cs="Arial"/>
                <w:b/>
                <w:color w:val="FFFFFF" w:themeColor="background1"/>
              </w:rPr>
            </w:pPr>
            <w:r w:rsidRPr="0091775A">
              <w:rPr>
                <w:rFonts w:ascii="Arial" w:hAnsi="Arial" w:cs="Arial"/>
                <w:b/>
                <w:color w:val="FFFFFF" w:themeColor="background1"/>
              </w:rPr>
              <w:t>C</w:t>
            </w:r>
            <w:r w:rsidR="00F62FFE" w:rsidRPr="0091775A">
              <w:rPr>
                <w:rFonts w:ascii="Arial" w:hAnsi="Arial" w:cs="Arial"/>
                <w:b/>
                <w:color w:val="FFFFFF" w:themeColor="background1"/>
              </w:rPr>
              <w:t>lassroom observation outcomes</w:t>
            </w:r>
          </w:p>
        </w:tc>
      </w:tr>
      <w:tr w:rsidR="00F62FFE" w:rsidRPr="000B14F8" w14:paraId="7D768A1F" w14:textId="77777777" w:rsidTr="00570AE3">
        <w:trPr>
          <w:trHeight w:val="51"/>
          <w:jc w:val="center"/>
        </w:trPr>
        <w:tc>
          <w:tcPr>
            <w:tcW w:w="2515" w:type="dxa"/>
            <w:tcBorders>
              <w:top w:val="single" w:sz="4" w:space="0" w:color="auto"/>
              <w:bottom w:val="single" w:sz="4" w:space="0" w:color="auto"/>
            </w:tcBorders>
          </w:tcPr>
          <w:p w14:paraId="123D7F1D" w14:textId="0321904A" w:rsidR="00F62FFE" w:rsidRPr="000B14F8" w:rsidRDefault="00F62FFE" w:rsidP="0087664C">
            <w:pPr>
              <w:spacing w:before="60" w:after="60" w:line="240" w:lineRule="auto"/>
              <w:ind w:firstLine="0"/>
              <w:rPr>
                <w:rFonts w:ascii="Arial" w:hAnsi="Arial"/>
                <w:sz w:val="18"/>
              </w:rPr>
            </w:pPr>
            <w:r w:rsidRPr="000B14F8">
              <w:rPr>
                <w:rFonts w:ascii="Arial" w:hAnsi="Arial"/>
                <w:sz w:val="18"/>
              </w:rPr>
              <w:t xml:space="preserve">4 </w:t>
            </w:r>
            <w:r>
              <w:rPr>
                <w:rFonts w:ascii="Arial" w:hAnsi="Arial"/>
                <w:sz w:val="18"/>
              </w:rPr>
              <w:t xml:space="preserve">children with disabilities </w:t>
            </w:r>
          </w:p>
        </w:tc>
        <w:tc>
          <w:tcPr>
            <w:tcW w:w="1980" w:type="dxa"/>
            <w:tcBorders>
              <w:top w:val="single" w:sz="4" w:space="0" w:color="auto"/>
              <w:bottom w:val="single" w:sz="4" w:space="0" w:color="auto"/>
            </w:tcBorders>
          </w:tcPr>
          <w:p w14:paraId="5C423F0B" w14:textId="77777777" w:rsidR="00F62FFE" w:rsidRPr="000B14F8" w:rsidRDefault="00F62FFE" w:rsidP="00994440">
            <w:pPr>
              <w:spacing w:before="60" w:after="60" w:line="240" w:lineRule="auto"/>
              <w:ind w:firstLine="0"/>
              <w:jc w:val="center"/>
              <w:rPr>
                <w:rFonts w:ascii="Arial" w:hAnsi="Arial"/>
                <w:sz w:val="18"/>
              </w:rPr>
            </w:pPr>
            <w:r w:rsidRPr="000B14F8">
              <w:rPr>
                <w:rFonts w:ascii="Arial" w:hAnsi="Arial"/>
                <w:sz w:val="18"/>
              </w:rPr>
              <w:t>0.30</w:t>
            </w:r>
          </w:p>
        </w:tc>
        <w:tc>
          <w:tcPr>
            <w:tcW w:w="2411" w:type="dxa"/>
            <w:vMerge w:val="restart"/>
            <w:tcBorders>
              <w:top w:val="single" w:sz="4" w:space="0" w:color="auto"/>
            </w:tcBorders>
            <w:vAlign w:val="center"/>
          </w:tcPr>
          <w:p w14:paraId="74797C15" w14:textId="1E2D087D" w:rsidR="00F62FFE" w:rsidRPr="000B14F8" w:rsidRDefault="00F62FFE" w:rsidP="00994440">
            <w:pPr>
              <w:spacing w:before="60" w:after="60" w:line="240" w:lineRule="auto"/>
              <w:ind w:firstLine="0"/>
              <w:jc w:val="center"/>
              <w:rPr>
                <w:rFonts w:ascii="Arial" w:hAnsi="Arial"/>
                <w:sz w:val="18"/>
              </w:rPr>
            </w:pPr>
            <w:r>
              <w:rPr>
                <w:rFonts w:ascii="Arial" w:hAnsi="Arial"/>
                <w:sz w:val="18"/>
              </w:rPr>
              <w:t>0.39</w:t>
            </w:r>
          </w:p>
        </w:tc>
        <w:tc>
          <w:tcPr>
            <w:tcW w:w="2449" w:type="dxa"/>
            <w:vMerge w:val="restart"/>
            <w:tcBorders>
              <w:top w:val="single" w:sz="4" w:space="0" w:color="auto"/>
            </w:tcBorders>
            <w:vAlign w:val="center"/>
          </w:tcPr>
          <w:p w14:paraId="739A31D4" w14:textId="6DEFA8D6" w:rsidR="00F62FFE" w:rsidRDefault="00F62FFE" w:rsidP="00994440">
            <w:pPr>
              <w:spacing w:before="60" w:after="60" w:line="240" w:lineRule="auto"/>
              <w:ind w:firstLine="0"/>
              <w:jc w:val="center"/>
              <w:rPr>
                <w:rFonts w:ascii="Arial" w:hAnsi="Arial"/>
                <w:sz w:val="18"/>
              </w:rPr>
            </w:pPr>
            <w:r>
              <w:rPr>
                <w:rFonts w:ascii="Arial" w:hAnsi="Arial"/>
                <w:sz w:val="18"/>
              </w:rPr>
              <w:t>0.53</w:t>
            </w:r>
          </w:p>
        </w:tc>
      </w:tr>
      <w:tr w:rsidR="0087664C" w:rsidRPr="000B14F8" w14:paraId="7198C6B8" w14:textId="77777777" w:rsidTr="00570AE3">
        <w:trPr>
          <w:trHeight w:val="51"/>
          <w:jc w:val="center"/>
        </w:trPr>
        <w:tc>
          <w:tcPr>
            <w:tcW w:w="2515" w:type="dxa"/>
            <w:tcBorders>
              <w:top w:val="single" w:sz="4" w:space="0" w:color="auto"/>
              <w:bottom w:val="single" w:sz="4" w:space="0" w:color="auto"/>
            </w:tcBorders>
          </w:tcPr>
          <w:p w14:paraId="15E32485" w14:textId="0D0C7C1B" w:rsidR="0087664C" w:rsidRPr="000B14F8" w:rsidRDefault="0087664C" w:rsidP="0018386E">
            <w:pPr>
              <w:spacing w:before="60" w:after="60" w:line="240" w:lineRule="auto"/>
              <w:ind w:firstLine="0"/>
              <w:rPr>
                <w:rFonts w:ascii="Arial" w:hAnsi="Arial"/>
                <w:sz w:val="18"/>
              </w:rPr>
            </w:pPr>
            <w:r>
              <w:rPr>
                <w:rFonts w:ascii="Arial" w:hAnsi="Arial"/>
                <w:sz w:val="18"/>
              </w:rPr>
              <w:t>4 children at risk for social-emotional or behavioral challenges</w:t>
            </w:r>
          </w:p>
        </w:tc>
        <w:tc>
          <w:tcPr>
            <w:tcW w:w="1980" w:type="dxa"/>
            <w:tcBorders>
              <w:top w:val="single" w:sz="4" w:space="0" w:color="auto"/>
              <w:bottom w:val="single" w:sz="4" w:space="0" w:color="auto"/>
            </w:tcBorders>
          </w:tcPr>
          <w:p w14:paraId="45FCCFB8" w14:textId="7C179EE3" w:rsidR="0087664C" w:rsidRPr="000B14F8" w:rsidRDefault="00C45148" w:rsidP="00994440">
            <w:pPr>
              <w:spacing w:before="60" w:after="60" w:line="240" w:lineRule="auto"/>
              <w:ind w:firstLine="0"/>
              <w:jc w:val="center"/>
              <w:rPr>
                <w:rFonts w:ascii="Arial" w:hAnsi="Arial"/>
                <w:sz w:val="18"/>
              </w:rPr>
            </w:pPr>
            <w:r>
              <w:rPr>
                <w:rFonts w:ascii="Arial" w:hAnsi="Arial"/>
                <w:sz w:val="18"/>
              </w:rPr>
              <w:t>0</w:t>
            </w:r>
            <w:r w:rsidR="0087664C">
              <w:rPr>
                <w:rFonts w:ascii="Arial" w:hAnsi="Arial"/>
                <w:sz w:val="18"/>
              </w:rPr>
              <w:t>.30</w:t>
            </w:r>
          </w:p>
        </w:tc>
        <w:tc>
          <w:tcPr>
            <w:tcW w:w="2411" w:type="dxa"/>
            <w:vMerge/>
            <w:tcBorders>
              <w:top w:val="single" w:sz="4" w:space="0" w:color="auto"/>
            </w:tcBorders>
            <w:vAlign w:val="center"/>
          </w:tcPr>
          <w:p w14:paraId="0EB991AD" w14:textId="77777777" w:rsidR="0087664C" w:rsidRDefault="0087664C" w:rsidP="00994440">
            <w:pPr>
              <w:spacing w:before="60" w:after="60" w:line="240" w:lineRule="auto"/>
              <w:ind w:firstLine="0"/>
              <w:jc w:val="center"/>
              <w:rPr>
                <w:rFonts w:ascii="Arial" w:hAnsi="Arial"/>
                <w:sz w:val="18"/>
              </w:rPr>
            </w:pPr>
          </w:p>
        </w:tc>
        <w:tc>
          <w:tcPr>
            <w:tcW w:w="2449" w:type="dxa"/>
            <w:vMerge/>
            <w:tcBorders>
              <w:top w:val="single" w:sz="4" w:space="0" w:color="auto"/>
            </w:tcBorders>
            <w:vAlign w:val="center"/>
          </w:tcPr>
          <w:p w14:paraId="0016466F" w14:textId="77777777" w:rsidR="0087664C" w:rsidRDefault="0087664C" w:rsidP="00994440">
            <w:pPr>
              <w:spacing w:before="60" w:after="60" w:line="240" w:lineRule="auto"/>
              <w:ind w:firstLine="0"/>
              <w:jc w:val="center"/>
              <w:rPr>
                <w:rFonts w:ascii="Arial" w:hAnsi="Arial"/>
                <w:sz w:val="18"/>
              </w:rPr>
            </w:pPr>
          </w:p>
        </w:tc>
      </w:tr>
      <w:tr w:rsidR="00F62FFE" w:rsidRPr="000B14F8" w14:paraId="305B6087" w14:textId="77777777" w:rsidTr="00570AE3">
        <w:trPr>
          <w:trHeight w:val="89"/>
          <w:jc w:val="center"/>
        </w:trPr>
        <w:tc>
          <w:tcPr>
            <w:tcW w:w="2515" w:type="dxa"/>
            <w:tcBorders>
              <w:top w:val="single" w:sz="4" w:space="0" w:color="auto"/>
              <w:bottom w:val="single" w:sz="4" w:space="0" w:color="auto"/>
            </w:tcBorders>
          </w:tcPr>
          <w:p w14:paraId="479DCE0F" w14:textId="02044D55" w:rsidR="00F62FFE" w:rsidRPr="000B14F8" w:rsidRDefault="00F62FFE" w:rsidP="0087664C">
            <w:pPr>
              <w:spacing w:after="60" w:line="240" w:lineRule="auto"/>
              <w:ind w:firstLine="0"/>
              <w:rPr>
                <w:rFonts w:ascii="Arial" w:hAnsi="Arial"/>
                <w:sz w:val="18"/>
              </w:rPr>
            </w:pPr>
            <w:r w:rsidRPr="000B14F8">
              <w:rPr>
                <w:rFonts w:ascii="Arial" w:hAnsi="Arial"/>
                <w:sz w:val="18"/>
              </w:rPr>
              <w:t xml:space="preserve">9 </w:t>
            </w:r>
            <w:r>
              <w:rPr>
                <w:rFonts w:ascii="Arial" w:hAnsi="Arial"/>
                <w:sz w:val="18"/>
              </w:rPr>
              <w:t xml:space="preserve">children without disabilities </w:t>
            </w:r>
          </w:p>
        </w:tc>
        <w:tc>
          <w:tcPr>
            <w:tcW w:w="1980" w:type="dxa"/>
            <w:tcBorders>
              <w:top w:val="single" w:sz="4" w:space="0" w:color="auto"/>
              <w:bottom w:val="single" w:sz="4" w:space="0" w:color="auto"/>
            </w:tcBorders>
          </w:tcPr>
          <w:p w14:paraId="0BF6E69A" w14:textId="77777777" w:rsidR="00F62FFE" w:rsidRPr="000B14F8" w:rsidRDefault="00F62FFE" w:rsidP="00994440">
            <w:pPr>
              <w:spacing w:after="60" w:line="240" w:lineRule="auto"/>
              <w:ind w:firstLine="0"/>
              <w:jc w:val="center"/>
              <w:rPr>
                <w:rFonts w:ascii="Arial" w:hAnsi="Arial"/>
                <w:sz w:val="18"/>
              </w:rPr>
            </w:pPr>
            <w:r w:rsidRPr="000B14F8">
              <w:rPr>
                <w:rFonts w:ascii="Arial" w:hAnsi="Arial"/>
                <w:sz w:val="18"/>
              </w:rPr>
              <w:t>0.23</w:t>
            </w:r>
          </w:p>
        </w:tc>
        <w:tc>
          <w:tcPr>
            <w:tcW w:w="2411" w:type="dxa"/>
            <w:vMerge/>
          </w:tcPr>
          <w:p w14:paraId="19F94A8F" w14:textId="77777777" w:rsidR="00F62FFE" w:rsidRPr="000B14F8" w:rsidRDefault="00F62FFE" w:rsidP="00994440">
            <w:pPr>
              <w:spacing w:after="60" w:line="240" w:lineRule="auto"/>
              <w:ind w:firstLine="0"/>
              <w:jc w:val="center"/>
              <w:rPr>
                <w:rFonts w:ascii="Arial" w:hAnsi="Arial"/>
                <w:sz w:val="18"/>
              </w:rPr>
            </w:pPr>
          </w:p>
        </w:tc>
        <w:tc>
          <w:tcPr>
            <w:tcW w:w="2449" w:type="dxa"/>
            <w:vMerge/>
          </w:tcPr>
          <w:p w14:paraId="0BAE14A9" w14:textId="77777777" w:rsidR="00F62FFE" w:rsidRPr="000B14F8" w:rsidRDefault="00F62FFE" w:rsidP="00994440">
            <w:pPr>
              <w:spacing w:after="60" w:line="240" w:lineRule="auto"/>
              <w:ind w:firstLine="0"/>
              <w:jc w:val="center"/>
              <w:rPr>
                <w:rFonts w:ascii="Arial" w:hAnsi="Arial"/>
                <w:sz w:val="18"/>
              </w:rPr>
            </w:pPr>
          </w:p>
        </w:tc>
      </w:tr>
      <w:tr w:rsidR="00F62FFE" w:rsidRPr="000B14F8" w14:paraId="6ADF916A" w14:textId="77777777" w:rsidTr="00570AE3">
        <w:trPr>
          <w:trHeight w:val="51"/>
          <w:jc w:val="center"/>
        </w:trPr>
        <w:tc>
          <w:tcPr>
            <w:tcW w:w="2515" w:type="dxa"/>
            <w:tcBorders>
              <w:top w:val="single" w:sz="4" w:space="0" w:color="auto"/>
              <w:bottom w:val="single" w:sz="4" w:space="0" w:color="000000" w:themeColor="text1"/>
            </w:tcBorders>
          </w:tcPr>
          <w:p w14:paraId="3C92D94F" w14:textId="291898B6" w:rsidR="00F62FFE" w:rsidRPr="000B14F8" w:rsidRDefault="00F62FFE" w:rsidP="00994440">
            <w:pPr>
              <w:spacing w:after="60" w:line="240" w:lineRule="auto"/>
              <w:ind w:firstLine="0"/>
              <w:rPr>
                <w:rFonts w:ascii="Arial" w:hAnsi="Arial"/>
                <w:sz w:val="18"/>
              </w:rPr>
            </w:pPr>
            <w:r w:rsidRPr="000B14F8">
              <w:rPr>
                <w:rFonts w:ascii="Arial" w:hAnsi="Arial"/>
                <w:sz w:val="18"/>
              </w:rPr>
              <w:t xml:space="preserve">Full </w:t>
            </w:r>
            <w:r>
              <w:rPr>
                <w:rFonts w:ascii="Arial" w:hAnsi="Arial"/>
                <w:sz w:val="18"/>
              </w:rPr>
              <w:t xml:space="preserve">child </w:t>
            </w:r>
            <w:r w:rsidRPr="000B14F8">
              <w:rPr>
                <w:rFonts w:ascii="Arial" w:hAnsi="Arial"/>
                <w:sz w:val="18"/>
              </w:rPr>
              <w:t>sample (13)</w:t>
            </w:r>
          </w:p>
        </w:tc>
        <w:tc>
          <w:tcPr>
            <w:tcW w:w="1980" w:type="dxa"/>
            <w:tcBorders>
              <w:top w:val="single" w:sz="4" w:space="0" w:color="auto"/>
              <w:bottom w:val="single" w:sz="4" w:space="0" w:color="000000" w:themeColor="text1"/>
            </w:tcBorders>
          </w:tcPr>
          <w:p w14:paraId="68A7835D" w14:textId="77777777" w:rsidR="00F62FFE" w:rsidRPr="000B14F8" w:rsidRDefault="00F62FFE" w:rsidP="00994440">
            <w:pPr>
              <w:spacing w:after="60" w:line="240" w:lineRule="auto"/>
              <w:ind w:firstLine="0"/>
              <w:jc w:val="center"/>
              <w:rPr>
                <w:rFonts w:ascii="Arial" w:hAnsi="Arial"/>
                <w:sz w:val="18"/>
              </w:rPr>
            </w:pPr>
            <w:r w:rsidRPr="000B14F8">
              <w:rPr>
                <w:rFonts w:ascii="Arial" w:hAnsi="Arial"/>
                <w:sz w:val="18"/>
              </w:rPr>
              <w:t>0.21</w:t>
            </w:r>
          </w:p>
        </w:tc>
        <w:tc>
          <w:tcPr>
            <w:tcW w:w="2411" w:type="dxa"/>
            <w:vMerge/>
            <w:tcBorders>
              <w:bottom w:val="single" w:sz="4" w:space="0" w:color="000000" w:themeColor="text1"/>
            </w:tcBorders>
          </w:tcPr>
          <w:p w14:paraId="7D67748D" w14:textId="77777777" w:rsidR="00F62FFE" w:rsidRPr="000B14F8" w:rsidRDefault="00F62FFE" w:rsidP="00994440">
            <w:pPr>
              <w:spacing w:after="60" w:line="240" w:lineRule="auto"/>
              <w:ind w:firstLine="0"/>
              <w:jc w:val="center"/>
              <w:rPr>
                <w:rFonts w:ascii="Arial" w:hAnsi="Arial"/>
                <w:sz w:val="18"/>
              </w:rPr>
            </w:pPr>
          </w:p>
        </w:tc>
        <w:tc>
          <w:tcPr>
            <w:tcW w:w="2449" w:type="dxa"/>
            <w:vMerge/>
            <w:tcBorders>
              <w:bottom w:val="single" w:sz="4" w:space="0" w:color="000000" w:themeColor="text1"/>
            </w:tcBorders>
          </w:tcPr>
          <w:p w14:paraId="04EF4966" w14:textId="77777777" w:rsidR="00F62FFE" w:rsidRPr="000B14F8" w:rsidRDefault="00F62FFE" w:rsidP="00994440">
            <w:pPr>
              <w:spacing w:after="60" w:line="240" w:lineRule="auto"/>
              <w:ind w:firstLine="0"/>
              <w:jc w:val="center"/>
              <w:rPr>
                <w:rFonts w:ascii="Arial" w:hAnsi="Arial"/>
                <w:sz w:val="18"/>
              </w:rPr>
            </w:pPr>
          </w:p>
        </w:tc>
      </w:tr>
    </w:tbl>
    <w:p w14:paraId="2AB318FD" w14:textId="4013C0EC" w:rsidR="00F62FFE" w:rsidRDefault="00F62FFE" w:rsidP="00F62FFE">
      <w:pPr>
        <w:pStyle w:val="TableSourceCaption"/>
      </w:pPr>
      <w:r w:rsidRPr="000B14F8">
        <w:t>Notes:</w:t>
      </w:r>
      <w:r w:rsidRPr="000B14F8">
        <w:tab/>
        <w:t xml:space="preserve">These calculations assume that the data for the impact analysis come from 26 schools and 1.5 classrooms per school. We assume an </w:t>
      </w:r>
      <w:r w:rsidR="00735E4F">
        <w:t>intraclass correlation</w:t>
      </w:r>
      <w:r w:rsidRPr="000B14F8">
        <w:t xml:space="preserve"> of 0.10, a school-level R</w:t>
      </w:r>
      <w:r w:rsidRPr="000B14F8">
        <w:rPr>
          <w:vertAlign w:val="superscript"/>
        </w:rPr>
        <w:t>2</w:t>
      </w:r>
      <w:r w:rsidRPr="000B14F8">
        <w:t xml:space="preserve"> of 0.70, and a</w:t>
      </w:r>
      <w:r>
        <w:t>n</w:t>
      </w:r>
      <w:r w:rsidRPr="000B14F8">
        <w:t xml:space="preserve"> R</w:t>
      </w:r>
      <w:r w:rsidRPr="000B14F8">
        <w:rPr>
          <w:vertAlign w:val="superscript"/>
        </w:rPr>
        <w:t>2</w:t>
      </w:r>
      <w:r w:rsidRPr="000B14F8">
        <w:t xml:space="preserve"> of 0.40</w:t>
      </w:r>
      <w:r>
        <w:t xml:space="preserve"> at both the classroom and </w:t>
      </w:r>
      <w:r w:rsidR="00735E4F">
        <w:t xml:space="preserve">child </w:t>
      </w:r>
      <w:r>
        <w:t>levels</w:t>
      </w:r>
      <w:r w:rsidRPr="000B14F8">
        <w:t xml:space="preserve">. The </w:t>
      </w:r>
      <w:r w:rsidR="00735E4F">
        <w:t xml:space="preserve">minimum detectible effect size </w:t>
      </w:r>
      <w:r w:rsidRPr="000B14F8">
        <w:t>is calculated assuming a one-tailed test</w:t>
      </w:r>
      <w:r>
        <w:t>, alpha = 0.10,</w:t>
      </w:r>
      <w:r w:rsidRPr="000B14F8">
        <w:t xml:space="preserve"> and 80 percent power. </w:t>
      </w:r>
      <w:r>
        <w:t>We assume outcomes from the teacher survey will be available for 80 teachers (two staff per classroom).</w:t>
      </w:r>
    </w:p>
    <w:p w14:paraId="3A5616F4" w14:textId="77777777" w:rsidR="00E67706" w:rsidRPr="000B14F8" w:rsidRDefault="00E67706" w:rsidP="00F62FFE">
      <w:pPr>
        <w:pStyle w:val="TableSourceCaption"/>
      </w:pPr>
    </w:p>
    <w:bookmarkEnd w:id="20"/>
    <w:p w14:paraId="35709328" w14:textId="42F34E0B" w:rsidR="00F62FFE" w:rsidRPr="000B14F8" w:rsidRDefault="00F62FFE" w:rsidP="00683E27">
      <w:pPr>
        <w:pStyle w:val="NormalSS"/>
      </w:pPr>
      <w:r w:rsidRPr="000B14F8">
        <w:t xml:space="preserve">When calculating </w:t>
      </w:r>
      <w:r>
        <w:t xml:space="preserve">quantile treatment effects, </w:t>
      </w:r>
      <w:r w:rsidRPr="000B14F8">
        <w:t>the study has the potential to detect an impact of IEP</w:t>
      </w:r>
      <w:r w:rsidRPr="000B14F8">
        <w:rPr>
          <w:vertAlign w:val="subscript"/>
        </w:rPr>
        <w:t>M</w:t>
      </w:r>
      <w:r w:rsidRPr="000B14F8">
        <w:t xml:space="preserve"> even when the average effect is smaller than the </w:t>
      </w:r>
      <w:r w:rsidR="00735E4F">
        <w:t xml:space="preserve">minimum detectible effect sizes </w:t>
      </w:r>
      <w:r w:rsidRPr="000B14F8">
        <w:t>reported in Table B</w:t>
      </w:r>
      <w:r>
        <w:t>.</w:t>
      </w:r>
      <w:r w:rsidRPr="000B14F8">
        <w:t>2. This potential can be realized if the impacts of IEP</w:t>
      </w:r>
      <w:r w:rsidRPr="000B14F8">
        <w:rPr>
          <w:vertAlign w:val="subscript"/>
        </w:rPr>
        <w:t>M</w:t>
      </w:r>
      <w:r w:rsidRPr="000B14F8">
        <w:t xml:space="preserve"> vary across the outcome distribution</w:t>
      </w:r>
      <w:r w:rsidR="002E5C36">
        <w:t>,</w:t>
      </w:r>
      <w:r>
        <w:t xml:space="preserve"> as in Table B.3.</w:t>
      </w:r>
      <w:r>
        <w:rPr>
          <w:rStyle w:val="FootnoteReference"/>
        </w:rPr>
        <w:footnoteReference w:id="5"/>
      </w:r>
      <w:r w:rsidRPr="000B14F8">
        <w:t xml:space="preserve"> For example, Table B</w:t>
      </w:r>
      <w:r>
        <w:t>.</w:t>
      </w:r>
      <w:r w:rsidRPr="000B14F8">
        <w:t xml:space="preserve">3 shows that calculating </w:t>
      </w:r>
      <w:r>
        <w:t xml:space="preserve">quantile treatment effects </w:t>
      </w:r>
      <w:r w:rsidRPr="000B14F8">
        <w:t xml:space="preserve">gives the study </w:t>
      </w:r>
      <w:r>
        <w:t xml:space="preserve">79 </w:t>
      </w:r>
      <w:r w:rsidRPr="000B14F8">
        <w:t>percent power to detect an impact of IEP</w:t>
      </w:r>
      <w:r w:rsidRPr="000B14F8">
        <w:rPr>
          <w:vertAlign w:val="subscript"/>
        </w:rPr>
        <w:t>M</w:t>
      </w:r>
      <w:r w:rsidRPr="000B14F8">
        <w:t xml:space="preserve"> when the true </w:t>
      </w:r>
      <w:r>
        <w:t xml:space="preserve">average treatment effect </w:t>
      </w:r>
      <w:r w:rsidRPr="000B14F8">
        <w:t xml:space="preserve">is just 0.15 standard deviations </w:t>
      </w:r>
      <w:r w:rsidRPr="000B14F8">
        <w:rPr>
          <w:i/>
        </w:rPr>
        <w:t>if</w:t>
      </w:r>
      <w:r w:rsidRPr="000B14F8">
        <w:t xml:space="preserve"> impacts are much larger for </w:t>
      </w:r>
      <w:r>
        <w:t xml:space="preserve">children </w:t>
      </w:r>
      <w:r w:rsidRPr="000B14F8">
        <w:t>at the bottom of the outcome distribution than at the top.</w:t>
      </w:r>
      <w:r>
        <w:rPr>
          <w:rStyle w:val="FootnoteReference"/>
        </w:rPr>
        <w:footnoteReference w:id="6"/>
      </w:r>
      <w:r w:rsidRPr="000B14F8">
        <w:t xml:space="preserve"> </w:t>
      </w:r>
    </w:p>
    <w:p w14:paraId="3ACA38DA" w14:textId="77777777" w:rsidR="00F62FFE" w:rsidRPr="000B14F8" w:rsidRDefault="00F62FFE" w:rsidP="00F62FFE">
      <w:pPr>
        <w:pStyle w:val="MarkforTableTitle"/>
      </w:pPr>
      <w:bookmarkStart w:id="21" w:name="_Toc531603007"/>
      <w:r w:rsidRPr="000B14F8">
        <w:t>Table B</w:t>
      </w:r>
      <w:r>
        <w:t>.</w:t>
      </w:r>
      <w:r w:rsidRPr="000B14F8">
        <w:t>3. Calculating quantile treatment effects can increase study power</w:t>
      </w:r>
      <w:bookmarkEnd w:id="21"/>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413"/>
        <w:gridCol w:w="1413"/>
        <w:gridCol w:w="1413"/>
        <w:gridCol w:w="276"/>
        <w:gridCol w:w="1660"/>
        <w:gridCol w:w="1655"/>
      </w:tblGrid>
      <w:tr w:rsidR="00994440" w:rsidRPr="005D7EB1" w14:paraId="3A46E220" w14:textId="77777777" w:rsidTr="005D7EB1">
        <w:trPr>
          <w:cantSplit/>
          <w:trHeight w:val="198"/>
          <w:tblHeader/>
        </w:trPr>
        <w:tc>
          <w:tcPr>
            <w:tcW w:w="911" w:type="pct"/>
            <w:vMerge w:val="restart"/>
            <w:shd w:val="clear" w:color="auto" w:fill="6C6F70"/>
            <w:vAlign w:val="bottom"/>
          </w:tcPr>
          <w:p w14:paraId="7AF3E7E5" w14:textId="29962991" w:rsidR="00994440" w:rsidRPr="005D7EB1" w:rsidRDefault="00994440" w:rsidP="00994440">
            <w:pPr>
              <w:pStyle w:val="TableHeaderCenter"/>
              <w:jc w:val="left"/>
              <w:rPr>
                <w:rFonts w:ascii="Arial" w:hAnsi="Arial" w:cs="Arial"/>
                <w:b/>
                <w:color w:val="FFFFFF" w:themeColor="background1"/>
              </w:rPr>
            </w:pPr>
            <w:r w:rsidRPr="005D7EB1">
              <w:rPr>
                <w:rFonts w:ascii="Arial" w:hAnsi="Arial" w:cs="Arial"/>
                <w:b/>
                <w:color w:val="FFFFFF" w:themeColor="background1"/>
              </w:rPr>
              <w:t>True average treatment effect</w:t>
            </w:r>
          </w:p>
        </w:tc>
        <w:tc>
          <w:tcPr>
            <w:tcW w:w="2214" w:type="pct"/>
            <w:gridSpan w:val="3"/>
            <w:tcBorders>
              <w:bottom w:val="single" w:sz="4" w:space="0" w:color="FFFFFF" w:themeColor="background1"/>
            </w:tcBorders>
            <w:shd w:val="clear" w:color="auto" w:fill="6C6F70"/>
            <w:vAlign w:val="bottom"/>
          </w:tcPr>
          <w:p w14:paraId="7A144130" w14:textId="69DF3A17"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True quantile treatment effects on the:</w:t>
            </w:r>
          </w:p>
        </w:tc>
        <w:tc>
          <w:tcPr>
            <w:tcW w:w="144" w:type="pct"/>
            <w:shd w:val="clear" w:color="auto" w:fill="6C6F70"/>
          </w:tcPr>
          <w:p w14:paraId="6E03A18B" w14:textId="77777777" w:rsidR="00994440" w:rsidRPr="005D7EB1" w:rsidRDefault="00994440" w:rsidP="00994440">
            <w:pPr>
              <w:pStyle w:val="TableHeaderCenter"/>
              <w:rPr>
                <w:rFonts w:ascii="Arial" w:hAnsi="Arial" w:cs="Arial"/>
                <w:b/>
                <w:color w:val="FFFFFF" w:themeColor="background1"/>
              </w:rPr>
            </w:pPr>
          </w:p>
        </w:tc>
        <w:tc>
          <w:tcPr>
            <w:tcW w:w="1731" w:type="pct"/>
            <w:gridSpan w:val="2"/>
            <w:tcBorders>
              <w:bottom w:val="single" w:sz="4" w:space="0" w:color="FFFFFF" w:themeColor="background1"/>
            </w:tcBorders>
            <w:shd w:val="clear" w:color="auto" w:fill="6C6F70"/>
            <w:vAlign w:val="bottom"/>
          </w:tcPr>
          <w:p w14:paraId="7615B829" w14:textId="69A159EC"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 xml:space="preserve">Power </w:t>
            </w:r>
          </w:p>
        </w:tc>
      </w:tr>
      <w:tr w:rsidR="005D7EB1" w:rsidRPr="005D7EB1" w14:paraId="07D9B398" w14:textId="77777777" w:rsidTr="003829AE">
        <w:trPr>
          <w:cantSplit/>
          <w:trHeight w:val="139"/>
          <w:tblHeader/>
        </w:trPr>
        <w:tc>
          <w:tcPr>
            <w:tcW w:w="911" w:type="pct"/>
            <w:vMerge/>
            <w:tcBorders>
              <w:bottom w:val="single" w:sz="4" w:space="0" w:color="auto"/>
            </w:tcBorders>
            <w:shd w:val="clear" w:color="auto" w:fill="6C6F70"/>
            <w:vAlign w:val="bottom"/>
          </w:tcPr>
          <w:p w14:paraId="4C5DA863" w14:textId="77777777" w:rsidR="00994440" w:rsidRPr="005D7EB1" w:rsidRDefault="00994440" w:rsidP="00994440">
            <w:pPr>
              <w:pStyle w:val="TableHeaderCenter"/>
              <w:rPr>
                <w:rFonts w:ascii="Arial" w:hAnsi="Arial" w:cs="Arial"/>
                <w:b/>
                <w:color w:val="FFFFFF" w:themeColor="background1"/>
              </w:rPr>
            </w:pPr>
          </w:p>
        </w:tc>
        <w:tc>
          <w:tcPr>
            <w:tcW w:w="738" w:type="pct"/>
            <w:tcBorders>
              <w:top w:val="single" w:sz="4" w:space="0" w:color="FFFFFF" w:themeColor="background1"/>
              <w:bottom w:val="single" w:sz="4" w:space="0" w:color="auto"/>
            </w:tcBorders>
            <w:shd w:val="clear" w:color="auto" w:fill="6C6F70"/>
            <w:vAlign w:val="bottom"/>
          </w:tcPr>
          <w:p w14:paraId="4011B1BC" w14:textId="77777777"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10th percentile</w:t>
            </w:r>
          </w:p>
        </w:tc>
        <w:tc>
          <w:tcPr>
            <w:tcW w:w="738" w:type="pct"/>
            <w:tcBorders>
              <w:top w:val="single" w:sz="4" w:space="0" w:color="FFFFFF" w:themeColor="background1"/>
              <w:bottom w:val="single" w:sz="4" w:space="0" w:color="auto"/>
            </w:tcBorders>
            <w:shd w:val="clear" w:color="auto" w:fill="6C6F70"/>
            <w:vAlign w:val="bottom"/>
          </w:tcPr>
          <w:p w14:paraId="01DC55FD" w14:textId="77777777"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50th percentile</w:t>
            </w:r>
          </w:p>
        </w:tc>
        <w:tc>
          <w:tcPr>
            <w:tcW w:w="738" w:type="pct"/>
            <w:tcBorders>
              <w:top w:val="single" w:sz="4" w:space="0" w:color="FFFFFF" w:themeColor="background1"/>
              <w:bottom w:val="single" w:sz="4" w:space="0" w:color="auto"/>
            </w:tcBorders>
            <w:shd w:val="clear" w:color="auto" w:fill="6C6F70"/>
            <w:vAlign w:val="bottom"/>
          </w:tcPr>
          <w:p w14:paraId="7CDB7278" w14:textId="77777777"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90th percentile</w:t>
            </w:r>
          </w:p>
        </w:tc>
        <w:tc>
          <w:tcPr>
            <w:tcW w:w="144" w:type="pct"/>
            <w:tcBorders>
              <w:bottom w:val="single" w:sz="4" w:space="0" w:color="auto"/>
            </w:tcBorders>
            <w:shd w:val="clear" w:color="auto" w:fill="6C6F70"/>
          </w:tcPr>
          <w:p w14:paraId="254D63A4" w14:textId="77777777" w:rsidR="00994440" w:rsidRPr="005D7EB1" w:rsidRDefault="00994440" w:rsidP="00994440">
            <w:pPr>
              <w:pStyle w:val="TableHeaderCenter"/>
              <w:rPr>
                <w:rFonts w:ascii="Arial" w:hAnsi="Arial" w:cs="Arial"/>
                <w:b/>
                <w:color w:val="FFFFFF" w:themeColor="background1"/>
              </w:rPr>
            </w:pPr>
          </w:p>
        </w:tc>
        <w:tc>
          <w:tcPr>
            <w:tcW w:w="867" w:type="pct"/>
            <w:tcBorders>
              <w:top w:val="single" w:sz="4" w:space="0" w:color="FFFFFF" w:themeColor="background1"/>
              <w:bottom w:val="single" w:sz="4" w:space="0" w:color="auto"/>
            </w:tcBorders>
            <w:shd w:val="clear" w:color="auto" w:fill="6C6F70"/>
            <w:vAlign w:val="bottom"/>
          </w:tcPr>
          <w:p w14:paraId="09C36235" w14:textId="1C5934DB"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Average treatment effect</w:t>
            </w:r>
          </w:p>
        </w:tc>
        <w:tc>
          <w:tcPr>
            <w:tcW w:w="864" w:type="pct"/>
            <w:tcBorders>
              <w:top w:val="single" w:sz="4" w:space="0" w:color="FFFFFF" w:themeColor="background1"/>
              <w:bottom w:val="single" w:sz="4" w:space="0" w:color="auto"/>
            </w:tcBorders>
            <w:shd w:val="clear" w:color="auto" w:fill="6C6F70"/>
            <w:vAlign w:val="bottom"/>
          </w:tcPr>
          <w:p w14:paraId="279B31FE" w14:textId="19AC2E69" w:rsidR="00994440" w:rsidRPr="005D7EB1" w:rsidRDefault="00994440" w:rsidP="00994440">
            <w:pPr>
              <w:pStyle w:val="TableHeaderCenter"/>
              <w:rPr>
                <w:rFonts w:ascii="Arial" w:hAnsi="Arial" w:cs="Arial"/>
                <w:b/>
                <w:color w:val="FFFFFF" w:themeColor="background1"/>
              </w:rPr>
            </w:pPr>
            <w:r w:rsidRPr="005D7EB1">
              <w:rPr>
                <w:rFonts w:ascii="Arial" w:hAnsi="Arial" w:cs="Arial"/>
                <w:b/>
                <w:color w:val="FFFFFF" w:themeColor="background1"/>
              </w:rPr>
              <w:t>Quantile treatment effect</w:t>
            </w:r>
          </w:p>
        </w:tc>
      </w:tr>
      <w:tr w:rsidR="005D7EB1" w:rsidRPr="000B14F8" w14:paraId="19ED6667" w14:textId="77777777" w:rsidTr="003829AE">
        <w:trPr>
          <w:cantSplit/>
          <w:trHeight w:val="151"/>
        </w:trPr>
        <w:tc>
          <w:tcPr>
            <w:tcW w:w="911" w:type="pct"/>
            <w:tcBorders>
              <w:top w:val="single" w:sz="4" w:space="0" w:color="auto"/>
              <w:bottom w:val="single" w:sz="4" w:space="0" w:color="auto"/>
            </w:tcBorders>
          </w:tcPr>
          <w:p w14:paraId="45CB8B49" w14:textId="77777777" w:rsidR="00994440" w:rsidRPr="000B14F8" w:rsidRDefault="00994440" w:rsidP="00994440">
            <w:pPr>
              <w:spacing w:before="60" w:after="60" w:line="240" w:lineRule="auto"/>
              <w:ind w:firstLine="0"/>
              <w:rPr>
                <w:rFonts w:ascii="Arial" w:hAnsi="Arial" w:cs="Arial"/>
                <w:sz w:val="18"/>
                <w:szCs w:val="18"/>
              </w:rPr>
            </w:pPr>
            <w:r w:rsidRPr="000B14F8">
              <w:rPr>
                <w:rFonts w:ascii="Arial" w:hAnsi="Arial" w:cs="Arial"/>
                <w:sz w:val="18"/>
                <w:szCs w:val="18"/>
              </w:rPr>
              <w:t>0.25</w:t>
            </w:r>
          </w:p>
        </w:tc>
        <w:tc>
          <w:tcPr>
            <w:tcW w:w="738" w:type="pct"/>
            <w:tcBorders>
              <w:top w:val="single" w:sz="4" w:space="0" w:color="auto"/>
              <w:bottom w:val="single" w:sz="4" w:space="0" w:color="auto"/>
            </w:tcBorders>
          </w:tcPr>
          <w:p w14:paraId="2CAB4AC9" w14:textId="77777777" w:rsidR="00994440" w:rsidRPr="000B14F8" w:rsidRDefault="00994440" w:rsidP="00994440">
            <w:pPr>
              <w:spacing w:before="60" w:after="60" w:line="240" w:lineRule="auto"/>
              <w:ind w:firstLine="0"/>
              <w:jc w:val="center"/>
              <w:rPr>
                <w:rFonts w:ascii="Arial" w:hAnsi="Arial" w:cs="Arial"/>
                <w:sz w:val="18"/>
                <w:szCs w:val="18"/>
              </w:rPr>
            </w:pPr>
            <w:r w:rsidRPr="000B14F8">
              <w:rPr>
                <w:rFonts w:ascii="Arial" w:hAnsi="Arial" w:cs="Arial"/>
                <w:sz w:val="18"/>
                <w:szCs w:val="18"/>
              </w:rPr>
              <w:t>0.50</w:t>
            </w:r>
          </w:p>
        </w:tc>
        <w:tc>
          <w:tcPr>
            <w:tcW w:w="738" w:type="pct"/>
            <w:tcBorders>
              <w:top w:val="single" w:sz="4" w:space="0" w:color="auto"/>
              <w:bottom w:val="single" w:sz="4" w:space="0" w:color="auto"/>
            </w:tcBorders>
          </w:tcPr>
          <w:p w14:paraId="4260BDA3" w14:textId="77777777" w:rsidR="00994440" w:rsidRPr="000B14F8" w:rsidRDefault="00994440" w:rsidP="00994440">
            <w:pPr>
              <w:spacing w:before="60" w:after="60" w:line="240" w:lineRule="auto"/>
              <w:ind w:firstLine="0"/>
              <w:jc w:val="center"/>
              <w:rPr>
                <w:rFonts w:ascii="Arial" w:hAnsi="Arial" w:cs="Arial"/>
                <w:sz w:val="18"/>
                <w:szCs w:val="18"/>
              </w:rPr>
            </w:pPr>
            <w:r w:rsidRPr="000B14F8">
              <w:rPr>
                <w:rFonts w:ascii="Arial" w:hAnsi="Arial" w:cs="Arial"/>
                <w:sz w:val="18"/>
                <w:szCs w:val="18"/>
              </w:rPr>
              <w:t>0.23</w:t>
            </w:r>
          </w:p>
        </w:tc>
        <w:tc>
          <w:tcPr>
            <w:tcW w:w="738" w:type="pct"/>
            <w:tcBorders>
              <w:top w:val="single" w:sz="4" w:space="0" w:color="auto"/>
              <w:bottom w:val="single" w:sz="4" w:space="0" w:color="auto"/>
            </w:tcBorders>
          </w:tcPr>
          <w:p w14:paraId="1457EE09" w14:textId="77777777" w:rsidR="00994440" w:rsidRPr="000B14F8" w:rsidRDefault="00994440" w:rsidP="00994440">
            <w:pPr>
              <w:spacing w:before="60" w:after="60" w:line="240" w:lineRule="auto"/>
              <w:ind w:firstLine="0"/>
              <w:jc w:val="center"/>
              <w:rPr>
                <w:rFonts w:ascii="Arial" w:hAnsi="Arial" w:cs="Arial"/>
                <w:sz w:val="18"/>
                <w:szCs w:val="18"/>
              </w:rPr>
            </w:pPr>
            <w:r w:rsidRPr="000B14F8">
              <w:rPr>
                <w:rFonts w:ascii="Arial" w:hAnsi="Arial" w:cs="Arial"/>
                <w:sz w:val="18"/>
                <w:szCs w:val="18"/>
              </w:rPr>
              <w:t>0.04</w:t>
            </w:r>
          </w:p>
        </w:tc>
        <w:tc>
          <w:tcPr>
            <w:tcW w:w="144" w:type="pct"/>
            <w:tcBorders>
              <w:top w:val="single" w:sz="4" w:space="0" w:color="auto"/>
              <w:bottom w:val="single" w:sz="4" w:space="0" w:color="auto"/>
            </w:tcBorders>
          </w:tcPr>
          <w:p w14:paraId="4D10E1D0" w14:textId="77777777" w:rsidR="00994440" w:rsidRPr="000B14F8" w:rsidRDefault="00994440" w:rsidP="00994440">
            <w:pPr>
              <w:spacing w:before="60" w:after="60" w:line="240" w:lineRule="auto"/>
              <w:ind w:firstLine="0"/>
              <w:jc w:val="center"/>
              <w:rPr>
                <w:rFonts w:ascii="Arial" w:hAnsi="Arial" w:cs="Arial"/>
                <w:sz w:val="18"/>
                <w:szCs w:val="18"/>
              </w:rPr>
            </w:pPr>
          </w:p>
        </w:tc>
        <w:tc>
          <w:tcPr>
            <w:tcW w:w="867" w:type="pct"/>
            <w:tcBorders>
              <w:top w:val="single" w:sz="4" w:space="0" w:color="auto"/>
              <w:bottom w:val="single" w:sz="4" w:space="0" w:color="auto"/>
            </w:tcBorders>
            <w:shd w:val="clear" w:color="auto" w:fill="auto"/>
            <w:vAlign w:val="bottom"/>
          </w:tcPr>
          <w:p w14:paraId="0C537E41" w14:textId="24F45941" w:rsidR="00994440" w:rsidRPr="000B14F8" w:rsidRDefault="00994440" w:rsidP="00994440">
            <w:pPr>
              <w:spacing w:before="60" w:after="60" w:line="240" w:lineRule="auto"/>
              <w:ind w:firstLine="0"/>
              <w:jc w:val="center"/>
              <w:rPr>
                <w:rFonts w:ascii="Arial" w:hAnsi="Arial" w:cs="Arial"/>
                <w:sz w:val="18"/>
                <w:szCs w:val="18"/>
              </w:rPr>
            </w:pPr>
            <w:r w:rsidRPr="000B14F8">
              <w:rPr>
                <w:rFonts w:ascii="Arial" w:hAnsi="Arial" w:cs="Arial"/>
                <w:sz w:val="18"/>
                <w:szCs w:val="18"/>
              </w:rPr>
              <w:t>0.93</w:t>
            </w:r>
          </w:p>
        </w:tc>
        <w:tc>
          <w:tcPr>
            <w:tcW w:w="864" w:type="pct"/>
            <w:tcBorders>
              <w:top w:val="single" w:sz="4" w:space="0" w:color="auto"/>
              <w:bottom w:val="single" w:sz="4" w:space="0" w:color="auto"/>
            </w:tcBorders>
            <w:shd w:val="clear" w:color="auto" w:fill="auto"/>
            <w:vAlign w:val="bottom"/>
          </w:tcPr>
          <w:p w14:paraId="7A1F32D1" w14:textId="77777777" w:rsidR="00994440" w:rsidRPr="000B14F8" w:rsidRDefault="00994440" w:rsidP="00994440">
            <w:pPr>
              <w:spacing w:before="60" w:after="60" w:line="240" w:lineRule="auto"/>
              <w:ind w:firstLine="0"/>
              <w:jc w:val="center"/>
              <w:rPr>
                <w:rFonts w:ascii="Arial" w:hAnsi="Arial" w:cs="Arial"/>
                <w:sz w:val="18"/>
                <w:szCs w:val="18"/>
              </w:rPr>
            </w:pPr>
            <w:r w:rsidRPr="000B14F8">
              <w:rPr>
                <w:rFonts w:ascii="Arial" w:hAnsi="Arial" w:cs="Arial"/>
                <w:sz w:val="18"/>
                <w:szCs w:val="18"/>
              </w:rPr>
              <w:t>0.99</w:t>
            </w:r>
          </w:p>
        </w:tc>
      </w:tr>
      <w:tr w:rsidR="005D7EB1" w:rsidRPr="000B14F8" w14:paraId="6D193B59" w14:textId="77777777" w:rsidTr="003829AE">
        <w:trPr>
          <w:cantSplit/>
          <w:trHeight w:val="151"/>
        </w:trPr>
        <w:tc>
          <w:tcPr>
            <w:tcW w:w="911" w:type="pct"/>
            <w:tcBorders>
              <w:top w:val="single" w:sz="4" w:space="0" w:color="auto"/>
              <w:bottom w:val="single" w:sz="4" w:space="0" w:color="auto"/>
            </w:tcBorders>
          </w:tcPr>
          <w:p w14:paraId="437E353D" w14:textId="77777777" w:rsidR="00994440" w:rsidRPr="000B14F8" w:rsidRDefault="00994440" w:rsidP="00994440">
            <w:pPr>
              <w:spacing w:after="60" w:line="240" w:lineRule="auto"/>
              <w:ind w:firstLine="0"/>
              <w:rPr>
                <w:rFonts w:ascii="Arial" w:hAnsi="Arial" w:cs="Arial"/>
                <w:sz w:val="18"/>
                <w:szCs w:val="18"/>
              </w:rPr>
            </w:pPr>
            <w:r w:rsidRPr="000B14F8">
              <w:rPr>
                <w:rFonts w:ascii="Arial" w:hAnsi="Arial" w:cs="Arial"/>
                <w:sz w:val="18"/>
                <w:szCs w:val="18"/>
              </w:rPr>
              <w:t>0.20</w:t>
            </w:r>
          </w:p>
        </w:tc>
        <w:tc>
          <w:tcPr>
            <w:tcW w:w="738" w:type="pct"/>
            <w:tcBorders>
              <w:top w:val="single" w:sz="4" w:space="0" w:color="auto"/>
              <w:bottom w:val="single" w:sz="4" w:space="0" w:color="auto"/>
            </w:tcBorders>
          </w:tcPr>
          <w:p w14:paraId="5BCD4B5C"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0.39</w:t>
            </w:r>
          </w:p>
        </w:tc>
        <w:tc>
          <w:tcPr>
            <w:tcW w:w="738" w:type="pct"/>
            <w:tcBorders>
              <w:top w:val="single" w:sz="4" w:space="0" w:color="auto"/>
              <w:bottom w:val="single" w:sz="4" w:space="0" w:color="auto"/>
            </w:tcBorders>
          </w:tcPr>
          <w:p w14:paraId="6DD0FF55"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0.18</w:t>
            </w:r>
          </w:p>
        </w:tc>
        <w:tc>
          <w:tcPr>
            <w:tcW w:w="738" w:type="pct"/>
            <w:tcBorders>
              <w:top w:val="single" w:sz="4" w:space="0" w:color="auto"/>
              <w:bottom w:val="single" w:sz="4" w:space="0" w:color="auto"/>
            </w:tcBorders>
          </w:tcPr>
          <w:p w14:paraId="05E043D6"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0.04</w:t>
            </w:r>
          </w:p>
        </w:tc>
        <w:tc>
          <w:tcPr>
            <w:tcW w:w="144" w:type="pct"/>
            <w:tcBorders>
              <w:top w:val="single" w:sz="4" w:space="0" w:color="auto"/>
              <w:bottom w:val="single" w:sz="4" w:space="0" w:color="auto"/>
            </w:tcBorders>
          </w:tcPr>
          <w:p w14:paraId="5A2D1B7A" w14:textId="77777777" w:rsidR="00994440" w:rsidRPr="000B14F8" w:rsidRDefault="00994440" w:rsidP="00994440">
            <w:pPr>
              <w:spacing w:after="60" w:line="240" w:lineRule="auto"/>
              <w:ind w:firstLine="0"/>
              <w:jc w:val="center"/>
              <w:rPr>
                <w:rFonts w:ascii="Arial" w:hAnsi="Arial" w:cs="Arial"/>
                <w:sz w:val="18"/>
                <w:szCs w:val="18"/>
              </w:rPr>
            </w:pPr>
          </w:p>
        </w:tc>
        <w:tc>
          <w:tcPr>
            <w:tcW w:w="867" w:type="pct"/>
            <w:tcBorders>
              <w:top w:val="single" w:sz="4" w:space="0" w:color="auto"/>
              <w:bottom w:val="single" w:sz="4" w:space="0" w:color="auto"/>
            </w:tcBorders>
            <w:shd w:val="clear" w:color="auto" w:fill="auto"/>
            <w:vAlign w:val="bottom"/>
          </w:tcPr>
          <w:p w14:paraId="07972836" w14:textId="1BB3C22E"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0.82</w:t>
            </w:r>
          </w:p>
        </w:tc>
        <w:tc>
          <w:tcPr>
            <w:tcW w:w="864" w:type="pct"/>
            <w:tcBorders>
              <w:top w:val="single" w:sz="4" w:space="0" w:color="auto"/>
              <w:bottom w:val="single" w:sz="4" w:space="0" w:color="auto"/>
            </w:tcBorders>
            <w:shd w:val="clear" w:color="auto" w:fill="auto"/>
            <w:vAlign w:val="bottom"/>
          </w:tcPr>
          <w:p w14:paraId="4CEE4D53"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0.92</w:t>
            </w:r>
          </w:p>
        </w:tc>
      </w:tr>
      <w:tr w:rsidR="005D7EB1" w:rsidRPr="000B14F8" w14:paraId="678377C0" w14:textId="77777777" w:rsidTr="003829AE">
        <w:trPr>
          <w:cantSplit/>
          <w:trHeight w:val="151"/>
        </w:trPr>
        <w:tc>
          <w:tcPr>
            <w:tcW w:w="911" w:type="pct"/>
            <w:tcBorders>
              <w:top w:val="single" w:sz="4" w:space="0" w:color="auto"/>
              <w:bottom w:val="single" w:sz="4" w:space="0" w:color="000000" w:themeColor="text1"/>
            </w:tcBorders>
          </w:tcPr>
          <w:p w14:paraId="7C06A922" w14:textId="77777777" w:rsidR="00994440" w:rsidRPr="000B14F8" w:rsidRDefault="00994440" w:rsidP="00994440">
            <w:pPr>
              <w:spacing w:after="60" w:line="240" w:lineRule="auto"/>
              <w:ind w:firstLine="0"/>
              <w:rPr>
                <w:rFonts w:ascii="Arial" w:hAnsi="Arial" w:cs="Arial"/>
                <w:sz w:val="18"/>
                <w:szCs w:val="18"/>
              </w:rPr>
            </w:pPr>
            <w:r w:rsidRPr="000B14F8">
              <w:rPr>
                <w:rFonts w:ascii="Arial" w:hAnsi="Arial" w:cs="Arial"/>
                <w:sz w:val="18"/>
                <w:szCs w:val="18"/>
              </w:rPr>
              <w:t>0.15</w:t>
            </w:r>
          </w:p>
        </w:tc>
        <w:tc>
          <w:tcPr>
            <w:tcW w:w="738" w:type="pct"/>
            <w:tcBorders>
              <w:top w:val="single" w:sz="4" w:space="0" w:color="auto"/>
              <w:bottom w:val="single" w:sz="4" w:space="0" w:color="000000" w:themeColor="text1"/>
            </w:tcBorders>
          </w:tcPr>
          <w:p w14:paraId="26937B75"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0.31</w:t>
            </w:r>
          </w:p>
        </w:tc>
        <w:tc>
          <w:tcPr>
            <w:tcW w:w="738" w:type="pct"/>
            <w:tcBorders>
              <w:top w:val="single" w:sz="4" w:space="0" w:color="auto"/>
              <w:bottom w:val="single" w:sz="4" w:space="0" w:color="000000" w:themeColor="text1"/>
            </w:tcBorders>
          </w:tcPr>
          <w:p w14:paraId="02F405F5"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0.13</w:t>
            </w:r>
          </w:p>
        </w:tc>
        <w:tc>
          <w:tcPr>
            <w:tcW w:w="738" w:type="pct"/>
            <w:tcBorders>
              <w:top w:val="single" w:sz="4" w:space="0" w:color="auto"/>
              <w:bottom w:val="single" w:sz="4" w:space="0" w:color="000000" w:themeColor="text1"/>
            </w:tcBorders>
          </w:tcPr>
          <w:p w14:paraId="6695424C"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0.02</w:t>
            </w:r>
          </w:p>
        </w:tc>
        <w:tc>
          <w:tcPr>
            <w:tcW w:w="144" w:type="pct"/>
            <w:tcBorders>
              <w:top w:val="single" w:sz="4" w:space="0" w:color="auto"/>
              <w:bottom w:val="single" w:sz="4" w:space="0" w:color="000000" w:themeColor="text1"/>
            </w:tcBorders>
          </w:tcPr>
          <w:p w14:paraId="55908F01" w14:textId="77777777" w:rsidR="00994440" w:rsidRPr="000B14F8" w:rsidRDefault="00994440" w:rsidP="00994440">
            <w:pPr>
              <w:spacing w:after="60" w:line="240" w:lineRule="auto"/>
              <w:ind w:firstLine="0"/>
              <w:jc w:val="center"/>
              <w:rPr>
                <w:rFonts w:ascii="Arial" w:hAnsi="Arial" w:cs="Arial"/>
                <w:sz w:val="18"/>
                <w:szCs w:val="18"/>
              </w:rPr>
            </w:pPr>
          </w:p>
        </w:tc>
        <w:tc>
          <w:tcPr>
            <w:tcW w:w="867" w:type="pct"/>
            <w:tcBorders>
              <w:top w:val="single" w:sz="4" w:space="0" w:color="auto"/>
              <w:bottom w:val="single" w:sz="4" w:space="0" w:color="000000" w:themeColor="text1"/>
            </w:tcBorders>
            <w:shd w:val="clear" w:color="auto" w:fill="auto"/>
            <w:vAlign w:val="bottom"/>
          </w:tcPr>
          <w:p w14:paraId="071D4398" w14:textId="0F83FD14"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0.64</w:t>
            </w:r>
          </w:p>
        </w:tc>
        <w:tc>
          <w:tcPr>
            <w:tcW w:w="864" w:type="pct"/>
            <w:tcBorders>
              <w:top w:val="single" w:sz="4" w:space="0" w:color="auto"/>
              <w:bottom w:val="single" w:sz="4" w:space="0" w:color="000000" w:themeColor="text1"/>
            </w:tcBorders>
            <w:shd w:val="clear" w:color="auto" w:fill="auto"/>
            <w:vAlign w:val="bottom"/>
          </w:tcPr>
          <w:p w14:paraId="08B6CA81" w14:textId="77777777" w:rsidR="00994440" w:rsidRPr="000B14F8" w:rsidRDefault="00994440" w:rsidP="00994440">
            <w:pPr>
              <w:spacing w:after="60" w:line="240" w:lineRule="auto"/>
              <w:ind w:firstLine="0"/>
              <w:jc w:val="center"/>
              <w:rPr>
                <w:rFonts w:ascii="Arial" w:hAnsi="Arial" w:cs="Arial"/>
                <w:sz w:val="18"/>
                <w:szCs w:val="18"/>
              </w:rPr>
            </w:pPr>
            <w:r w:rsidRPr="000B14F8">
              <w:rPr>
                <w:rFonts w:ascii="Arial" w:hAnsi="Arial" w:cs="Arial"/>
                <w:sz w:val="18"/>
                <w:szCs w:val="18"/>
              </w:rPr>
              <w:t>0.79</w:t>
            </w:r>
          </w:p>
        </w:tc>
      </w:tr>
    </w:tbl>
    <w:p w14:paraId="3995E621" w14:textId="583B5F45" w:rsidR="00F62FFE" w:rsidRDefault="00F62FFE" w:rsidP="00683E27">
      <w:pPr>
        <w:pStyle w:val="TableSourceCaption"/>
      </w:pPr>
      <w:r w:rsidRPr="000B14F8">
        <w:t>Notes:</w:t>
      </w:r>
      <w:r w:rsidRPr="000B14F8">
        <w:tab/>
        <w:t>Effects are reported in standard deviations of the outcome</w:t>
      </w:r>
      <w:r w:rsidR="00835C9B">
        <w:t>;</w:t>
      </w:r>
      <w:r w:rsidRPr="000B14F8">
        <w:t xml:space="preserve"> power is reported as a percentage. Power for quantile treatment effects is calculated using simulations and takes into account multiple hypothesis testing across quantiles. We assume 26 schools, 1.5 classrooms per school, a total of 520 </w:t>
      </w:r>
      <w:r w:rsidR="00735E4F">
        <w:t>children</w:t>
      </w:r>
      <w:r w:rsidRPr="000B14F8">
        <w:t xml:space="preserve"> in the analysis sample, ICC of 0.10, school-level R</w:t>
      </w:r>
      <w:r w:rsidRPr="000B14F8">
        <w:rPr>
          <w:vertAlign w:val="superscript"/>
        </w:rPr>
        <w:t>2</w:t>
      </w:r>
      <w:r w:rsidRPr="000B14F8">
        <w:t xml:space="preserve"> of 0.70, </w:t>
      </w:r>
      <w:r w:rsidR="00735E4F">
        <w:t>and child</w:t>
      </w:r>
      <w:r w:rsidRPr="000B14F8">
        <w:t>-level R</w:t>
      </w:r>
      <w:r w:rsidRPr="000B14F8">
        <w:rPr>
          <w:vertAlign w:val="superscript"/>
        </w:rPr>
        <w:t>2</w:t>
      </w:r>
      <w:r w:rsidRPr="000B14F8">
        <w:t xml:space="preserve"> of 0.4. Power is calculated assuming a one-tailed test with alpha = 0.10. </w:t>
      </w:r>
    </w:p>
    <w:p w14:paraId="41B77E80" w14:textId="77777777" w:rsidR="002E5C36" w:rsidRPr="000B14F8" w:rsidRDefault="002E5C36" w:rsidP="00683E27">
      <w:pPr>
        <w:pStyle w:val="TableSourceCaption"/>
      </w:pPr>
    </w:p>
    <w:p w14:paraId="50C9C692" w14:textId="77777777" w:rsidR="000B14F8" w:rsidRPr="000B14F8" w:rsidRDefault="000B14F8" w:rsidP="00F62FFE">
      <w:pPr>
        <w:pStyle w:val="H4NumberNoTOC"/>
      </w:pPr>
      <w:r w:rsidRPr="000B14F8">
        <w:t xml:space="preserve">e. </w:t>
      </w:r>
      <w:r w:rsidRPr="000B14F8">
        <w:tab/>
        <w:t xml:space="preserve">Unusual problems requiring specialized sampling procedures </w:t>
      </w:r>
    </w:p>
    <w:p w14:paraId="67D3AFFF" w14:textId="77777777" w:rsidR="000B14F8" w:rsidRPr="000B14F8" w:rsidRDefault="000B14F8" w:rsidP="00683E27">
      <w:pPr>
        <w:pStyle w:val="NormalSS"/>
      </w:pPr>
      <w:r w:rsidRPr="000B14F8">
        <w:t>We do not anticipate any unusual problems that require specialized sampling procedures.</w:t>
      </w:r>
    </w:p>
    <w:p w14:paraId="2F7502BB" w14:textId="36F6852C" w:rsidR="00F34CB9" w:rsidRPr="000B14F8" w:rsidRDefault="000B14F8" w:rsidP="00F62FFE">
      <w:pPr>
        <w:pStyle w:val="H4NumberNoTOC"/>
      </w:pPr>
      <w:r w:rsidRPr="000B14F8">
        <w:t>f.</w:t>
      </w:r>
      <w:r w:rsidRPr="000B14F8">
        <w:tab/>
        <w:t>Use of periodic (less frequent than annual) data collection cycles to reduce burden</w:t>
      </w:r>
    </w:p>
    <w:p w14:paraId="1F1F493C" w14:textId="7C83BA0C" w:rsidR="007108CB" w:rsidRDefault="000B14F8" w:rsidP="000B14F8">
      <w:pPr>
        <w:pStyle w:val="NormalSS"/>
        <w:rPr>
          <w:szCs w:val="24"/>
        </w:rPr>
      </w:pPr>
      <w:r w:rsidRPr="000B14F8">
        <w:rPr>
          <w:szCs w:val="24"/>
        </w:rPr>
        <w:t>These data will be collected during the 2019</w:t>
      </w:r>
      <w:r w:rsidR="004239DF">
        <w:rPr>
          <w:szCs w:val="24"/>
        </w:rPr>
        <w:t>–</w:t>
      </w:r>
      <w:r w:rsidRPr="000B14F8">
        <w:rPr>
          <w:szCs w:val="24"/>
        </w:rPr>
        <w:t>2020 and 2020</w:t>
      </w:r>
      <w:r w:rsidR="004239DF">
        <w:rPr>
          <w:szCs w:val="24"/>
        </w:rPr>
        <w:t>–</w:t>
      </w:r>
      <w:r w:rsidRPr="000B14F8">
        <w:rPr>
          <w:szCs w:val="24"/>
        </w:rPr>
        <w:t>2021 school years.</w:t>
      </w:r>
    </w:p>
    <w:p w14:paraId="0676B460" w14:textId="692DE737" w:rsidR="002C2A78" w:rsidRDefault="001F2A9E" w:rsidP="00F62FFE">
      <w:pPr>
        <w:pStyle w:val="H4NumberNoTOC"/>
      </w:pPr>
      <w:r>
        <w:t>g</w:t>
      </w:r>
      <w:r w:rsidR="00F34CB9" w:rsidRPr="000B14F8">
        <w:t>.</w:t>
      </w:r>
      <w:r w:rsidR="00F34CB9" w:rsidRPr="000B14F8">
        <w:tab/>
      </w:r>
      <w:r w:rsidR="00FF536E">
        <w:t>Who will collect the information and how it will be done</w:t>
      </w:r>
    </w:p>
    <w:p w14:paraId="782B6BBD" w14:textId="384B570D" w:rsidR="001D6863" w:rsidRDefault="00570AE3" w:rsidP="00114119">
      <w:pPr>
        <w:pStyle w:val="NormalSS"/>
      </w:pPr>
      <w:r>
        <w:t>Field staff from t</w:t>
      </w:r>
      <w:r w:rsidR="00704083">
        <w:t>he study team</w:t>
      </w:r>
      <w:r w:rsidR="00F0021B">
        <w:t xml:space="preserve"> </w:t>
      </w:r>
      <w:r w:rsidR="00704083">
        <w:t>will collect data from districts, schools, teachers</w:t>
      </w:r>
      <w:r w:rsidR="005363DE">
        <w:t xml:space="preserve">, and parents/children, as </w:t>
      </w:r>
      <w:r w:rsidR="004239DF">
        <w:t xml:space="preserve">we </w:t>
      </w:r>
      <w:r w:rsidR="005363DE">
        <w:t>describe</w:t>
      </w:r>
      <w:r w:rsidR="004239DF">
        <w:t xml:space="preserve"> next</w:t>
      </w:r>
      <w:r w:rsidR="005363DE">
        <w:t xml:space="preserve">. </w:t>
      </w:r>
    </w:p>
    <w:p w14:paraId="718CC757" w14:textId="6CBF7DC3" w:rsidR="004565DB" w:rsidRDefault="006228BF" w:rsidP="00994440">
      <w:pPr>
        <w:pStyle w:val="NormalSS"/>
      </w:pPr>
      <w:r>
        <w:rPr>
          <w:b/>
        </w:rPr>
        <w:t xml:space="preserve">Training </w:t>
      </w:r>
      <w:r w:rsidR="00BE5431">
        <w:rPr>
          <w:b/>
        </w:rPr>
        <w:t xml:space="preserve">field staff. </w:t>
      </w:r>
      <w:r w:rsidR="00276713">
        <w:t>Field staff will conduct data collection activities in schools during the fall and spring of each year</w:t>
      </w:r>
      <w:r w:rsidR="00B77B99">
        <w:t xml:space="preserve">. This includes </w:t>
      </w:r>
      <w:r w:rsidR="00276713">
        <w:t>classroom observations</w:t>
      </w:r>
      <w:r w:rsidR="00B77B99">
        <w:t xml:space="preserve"> and teacher-child reports at both points in time while </w:t>
      </w:r>
      <w:r w:rsidR="00276713">
        <w:t>child observations</w:t>
      </w:r>
      <w:r>
        <w:t>,</w:t>
      </w:r>
      <w:r w:rsidR="00276713">
        <w:t xml:space="preserve"> child assessments</w:t>
      </w:r>
      <w:r>
        <w:t>,</w:t>
      </w:r>
      <w:r w:rsidR="003B452E">
        <w:t xml:space="preserve"> </w:t>
      </w:r>
      <w:r w:rsidR="00B77B99">
        <w:t>and the teacher background and experience</w:t>
      </w:r>
      <w:r>
        <w:t>s</w:t>
      </w:r>
      <w:r w:rsidR="00B77B99">
        <w:t xml:space="preserve"> survey take place each spring</w:t>
      </w:r>
      <w:r w:rsidR="00276713">
        <w:t xml:space="preserve">. </w:t>
      </w:r>
      <w:r>
        <w:t>Field staff</w:t>
      </w:r>
      <w:r w:rsidR="00276713">
        <w:t xml:space="preserve"> will also work closely with school staff to coordinate </w:t>
      </w:r>
      <w:r w:rsidR="0042273A">
        <w:t xml:space="preserve">gathering consents </w:t>
      </w:r>
      <w:r w:rsidR="00B77B99">
        <w:t xml:space="preserve">each fall. </w:t>
      </w:r>
      <w:r w:rsidR="00114119">
        <w:t>We will hold three trainings for field staff per study year. The first</w:t>
      </w:r>
      <w:r w:rsidR="0009761B">
        <w:t xml:space="preserve"> training, to be held </w:t>
      </w:r>
      <w:r w:rsidR="00114119">
        <w:t xml:space="preserve">the summer before each study year, </w:t>
      </w:r>
      <w:r w:rsidR="00B77B99">
        <w:t xml:space="preserve">will prepare </w:t>
      </w:r>
      <w:r w:rsidR="00410924">
        <w:t xml:space="preserve">a team of observers to collect intervention fidelity data. The second training </w:t>
      </w:r>
      <w:r w:rsidR="0009761B">
        <w:t>will focus on conducting the observations of classroom inclusion quality and engagement</w:t>
      </w:r>
      <w:r>
        <w:t>,</w:t>
      </w:r>
      <w:r w:rsidR="0009761B">
        <w:t xml:space="preserve"> </w:t>
      </w:r>
      <w:r w:rsidR="0042273A">
        <w:t>collecting</w:t>
      </w:r>
      <w:r w:rsidR="0009761B">
        <w:t xml:space="preserve"> the teacher-child reports</w:t>
      </w:r>
      <w:r>
        <w:t>, and</w:t>
      </w:r>
      <w:r w:rsidR="009B200E">
        <w:t xml:space="preserve"> gathering consents</w:t>
      </w:r>
      <w:r w:rsidR="0009761B">
        <w:t xml:space="preserve">. </w:t>
      </w:r>
      <w:r w:rsidR="00BE5E36">
        <w:t xml:space="preserve">At </w:t>
      </w:r>
      <w:r w:rsidR="00085459">
        <w:t xml:space="preserve">this </w:t>
      </w:r>
      <w:r w:rsidR="00BE5E36">
        <w:t>training</w:t>
      </w:r>
      <w:r>
        <w:t>,</w:t>
      </w:r>
      <w:r w:rsidR="009B200E">
        <w:t xml:space="preserve"> field staff </w:t>
      </w:r>
      <w:r w:rsidR="00051C9B">
        <w:t>will be trained and certified on the classroom observation protocols</w:t>
      </w:r>
      <w:r w:rsidR="00FC4AB1">
        <w:t xml:space="preserve">. </w:t>
      </w:r>
      <w:r w:rsidR="00703479">
        <w:t xml:space="preserve">The third training, held in early spring, will </w:t>
      </w:r>
      <w:r w:rsidR="007A1543">
        <w:t xml:space="preserve">focus on </w:t>
      </w:r>
      <w:r w:rsidR="003B452E">
        <w:t>child assessments</w:t>
      </w:r>
      <w:r w:rsidR="009B200E">
        <w:t xml:space="preserve">, </w:t>
      </w:r>
      <w:r w:rsidR="004565DB">
        <w:t xml:space="preserve">individual child observations </w:t>
      </w:r>
      <w:r w:rsidR="009B200E">
        <w:t>and distributing and collect</w:t>
      </w:r>
      <w:r>
        <w:t xml:space="preserve">ing teacher background survey. </w:t>
      </w:r>
      <w:r w:rsidR="009B200E">
        <w:t xml:space="preserve">It will also include a </w:t>
      </w:r>
      <w:r w:rsidR="00051C9B">
        <w:t>short refresher on classroom observations</w:t>
      </w:r>
      <w:r w:rsidR="00FC4AB1">
        <w:t xml:space="preserve">. </w:t>
      </w:r>
    </w:p>
    <w:p w14:paraId="55B95EB3" w14:textId="7EFBBE57" w:rsidR="00951757" w:rsidRDefault="00796FCA" w:rsidP="00994440">
      <w:pPr>
        <w:pStyle w:val="NormalSS"/>
      </w:pPr>
      <w:r>
        <w:rPr>
          <w:b/>
        </w:rPr>
        <w:t xml:space="preserve">Obtaining parental consent. </w:t>
      </w:r>
      <w:r>
        <w:t xml:space="preserve">We will collect parental consent in the fall of both study years. </w:t>
      </w:r>
      <w:r w:rsidR="004565DB">
        <w:t>The consent process will begin two to four weeks after the start of school</w:t>
      </w:r>
      <w:r w:rsidR="00FC4AB1">
        <w:t xml:space="preserve">, </w:t>
      </w:r>
      <w:r w:rsidR="00BE5E36">
        <w:t>after</w:t>
      </w:r>
      <w:r w:rsidR="00FC4AB1">
        <w:t xml:space="preserve"> class rosters have stabilized. We anticipate that it will </w:t>
      </w:r>
      <w:r w:rsidR="004565DB">
        <w:t xml:space="preserve">take three to four weeks </w:t>
      </w:r>
      <w:r w:rsidR="00FC4AB1">
        <w:t>to obtain consents (</w:t>
      </w:r>
      <w:r w:rsidR="004565DB">
        <w:t>by the end of September</w:t>
      </w:r>
      <w:r w:rsidR="00FC4AB1">
        <w:t>)</w:t>
      </w:r>
      <w:r w:rsidR="004565DB">
        <w:t xml:space="preserve">. </w:t>
      </w:r>
      <w:r w:rsidR="00F0021B">
        <w:t>Field staff</w:t>
      </w:r>
      <w:r w:rsidR="003D18D5">
        <w:t xml:space="preserve"> will visit </w:t>
      </w:r>
      <w:r w:rsidR="009A2C44">
        <w:t>each school and coordinate with school staff to gather classroom rosters</w:t>
      </w:r>
      <w:r w:rsidR="00BB1BEF">
        <w:t>,</w:t>
      </w:r>
      <w:r w:rsidR="009A2C44">
        <w:t xml:space="preserve"> </w:t>
      </w:r>
      <w:r w:rsidR="00EE1DE6">
        <w:t xml:space="preserve">explain the study to teachers, </w:t>
      </w:r>
      <w:r w:rsidR="00BB1BEF">
        <w:t xml:space="preserve">answer any questions teachers have about the consent process, and </w:t>
      </w:r>
      <w:r w:rsidR="009A2C44">
        <w:t xml:space="preserve">confirm </w:t>
      </w:r>
      <w:r w:rsidR="00BB1BEF">
        <w:t xml:space="preserve">fall </w:t>
      </w:r>
      <w:r w:rsidR="009A2C44">
        <w:t xml:space="preserve">data collection dates. They will </w:t>
      </w:r>
      <w:r w:rsidR="00BB1BEF">
        <w:t xml:space="preserve">then ask </w:t>
      </w:r>
      <w:r w:rsidR="009A2C44">
        <w:t xml:space="preserve">teachers to distribute consent packets for each child in the study classrooms. </w:t>
      </w:r>
      <w:r w:rsidR="005738B4">
        <w:t>Teachers will give out consent pac</w:t>
      </w:r>
      <w:r w:rsidR="006970F8">
        <w:t xml:space="preserve">kets for children to take home and </w:t>
      </w:r>
      <w:r w:rsidR="00BE5E36">
        <w:t xml:space="preserve">will </w:t>
      </w:r>
      <w:r w:rsidR="005738B4">
        <w:t>collect</w:t>
      </w:r>
      <w:r w:rsidR="006970F8">
        <w:t xml:space="preserve"> and return</w:t>
      </w:r>
      <w:r w:rsidR="005738B4">
        <w:t xml:space="preserve"> signed</w:t>
      </w:r>
      <w:r w:rsidR="006970F8">
        <w:t xml:space="preserve"> consent forms to</w:t>
      </w:r>
      <w:r w:rsidR="005738B4">
        <w:t xml:space="preserve"> </w:t>
      </w:r>
      <w:r w:rsidR="00BB1BEF">
        <w:t xml:space="preserve">the </w:t>
      </w:r>
      <w:r w:rsidR="00F0021B">
        <w:t>field staff</w:t>
      </w:r>
      <w:r w:rsidR="00BB1BEF">
        <w:t xml:space="preserve"> </w:t>
      </w:r>
      <w:r w:rsidR="005738B4">
        <w:t>team.</w:t>
      </w:r>
      <w:r w:rsidR="00BB1BEF">
        <w:t xml:space="preserve"> </w:t>
      </w:r>
      <w:r w:rsidR="005738B4">
        <w:t xml:space="preserve"> </w:t>
      </w:r>
    </w:p>
    <w:p w14:paraId="2B2845C8" w14:textId="78C6A5B8" w:rsidR="000259EC" w:rsidRDefault="00951757" w:rsidP="00994440">
      <w:pPr>
        <w:pStyle w:val="NormalSS"/>
      </w:pPr>
      <w:r w:rsidRPr="004565DB">
        <w:rPr>
          <w:b/>
        </w:rPr>
        <w:t>Fall data collection activities.</w:t>
      </w:r>
      <w:r>
        <w:t xml:space="preserve"> </w:t>
      </w:r>
      <w:r w:rsidR="004565DB">
        <w:t xml:space="preserve">Fall data collection will be conducted </w:t>
      </w:r>
      <w:r w:rsidR="00085459">
        <w:t xml:space="preserve">between the start of the school year and </w:t>
      </w:r>
      <w:r w:rsidR="004565DB">
        <w:t xml:space="preserve">October. </w:t>
      </w:r>
      <w:r w:rsidR="00D60252">
        <w:t xml:space="preserve">On the scheduled data collection dates, </w:t>
      </w:r>
      <w:r w:rsidR="00276713">
        <w:t xml:space="preserve">a </w:t>
      </w:r>
      <w:r w:rsidR="00C56BD2" w:rsidRPr="00C56BD2">
        <w:t>trained field staff will conduct intervention fidelity observations over 1.5 school days in both intervention and control schools</w:t>
      </w:r>
      <w:r w:rsidR="00C56BD2">
        <w:t>. Another</w:t>
      </w:r>
      <w:r w:rsidR="00C56BD2" w:rsidRPr="00C56BD2">
        <w:t xml:space="preserve"> </w:t>
      </w:r>
      <w:r w:rsidR="00276713">
        <w:t>trained field staff</w:t>
      </w:r>
      <w:r w:rsidR="00796FCA">
        <w:t xml:space="preserve"> member</w:t>
      </w:r>
      <w:r w:rsidR="00D60252">
        <w:t xml:space="preserve"> will </w:t>
      </w:r>
      <w:r w:rsidR="001C5193">
        <w:t>visit each study school</w:t>
      </w:r>
      <w:r w:rsidR="00C26F51">
        <w:t xml:space="preserve"> </w:t>
      </w:r>
      <w:r w:rsidR="001C5193">
        <w:t>to</w:t>
      </w:r>
      <w:r w:rsidR="00D60252">
        <w:t xml:space="preserve"> conduct </w:t>
      </w:r>
      <w:r w:rsidR="00D55E19">
        <w:t xml:space="preserve">an </w:t>
      </w:r>
      <w:r w:rsidR="00D60252">
        <w:t>observation</w:t>
      </w:r>
      <w:r w:rsidR="00D55E19">
        <w:t xml:space="preserve"> </w:t>
      </w:r>
      <w:r w:rsidR="00C56BD2">
        <w:t xml:space="preserve">of classroom inclusion quality and engagement </w:t>
      </w:r>
      <w:r w:rsidR="00D55E19">
        <w:t>in each study classroom (one day per classroom)</w:t>
      </w:r>
      <w:r w:rsidR="00D60252">
        <w:t xml:space="preserve"> </w:t>
      </w:r>
      <w:r w:rsidR="003B452E">
        <w:t xml:space="preserve">and </w:t>
      </w:r>
      <w:r w:rsidR="00D60252">
        <w:t xml:space="preserve">distribute </w:t>
      </w:r>
      <w:r w:rsidR="00D55E19">
        <w:t>teacher-child report forms</w:t>
      </w:r>
      <w:r w:rsidR="00D60252">
        <w:t xml:space="preserve">. </w:t>
      </w:r>
      <w:r w:rsidR="00276713">
        <w:t>Field staff</w:t>
      </w:r>
      <w:r w:rsidR="001C5193">
        <w:t xml:space="preserve"> will work with the lead teacher to </w:t>
      </w:r>
      <w:r w:rsidR="00D55E19">
        <w:t xml:space="preserve">determine </w:t>
      </w:r>
      <w:r w:rsidR="001C5193">
        <w:t>which teacher</w:t>
      </w:r>
      <w:r w:rsidR="00D55E19">
        <w:t xml:space="preserve">-child reports the lead teacher should complete and which ones the other teacher in the classroom </w:t>
      </w:r>
      <w:r w:rsidR="00BE5E36">
        <w:t xml:space="preserve">should </w:t>
      </w:r>
      <w:r w:rsidR="00D55E19">
        <w:t>complete.</w:t>
      </w:r>
      <w:r w:rsidR="00276713">
        <w:t xml:space="preserve"> </w:t>
      </w:r>
    </w:p>
    <w:p w14:paraId="3E928E53" w14:textId="7739A368" w:rsidR="003972B3" w:rsidRDefault="00951757" w:rsidP="00994440">
      <w:pPr>
        <w:pStyle w:val="NormalSS"/>
      </w:pPr>
      <w:r w:rsidRPr="004565DB">
        <w:rPr>
          <w:b/>
        </w:rPr>
        <w:t>Spring data collection activities.</w:t>
      </w:r>
      <w:r>
        <w:t xml:space="preserve"> </w:t>
      </w:r>
      <w:r w:rsidR="00E000DA">
        <w:t xml:space="preserve">Spring data collection activities will occur during two </w:t>
      </w:r>
      <w:r w:rsidR="006228BF">
        <w:t>4</w:t>
      </w:r>
      <w:r w:rsidR="00443205">
        <w:t xml:space="preserve">- </w:t>
      </w:r>
      <w:r w:rsidR="00E000DA">
        <w:t xml:space="preserve">to </w:t>
      </w:r>
      <w:r w:rsidR="006228BF">
        <w:t>6</w:t>
      </w:r>
      <w:r w:rsidR="00443205">
        <w:t>-</w:t>
      </w:r>
      <w:r w:rsidR="00E000DA">
        <w:t xml:space="preserve">week periods starting in March and in April, respectively. In March, </w:t>
      </w:r>
      <w:r w:rsidR="00884DE0">
        <w:t xml:space="preserve">trained </w:t>
      </w:r>
      <w:r w:rsidR="005560D4">
        <w:t>field staff</w:t>
      </w:r>
      <w:r w:rsidR="00884DE0">
        <w:t xml:space="preserve"> </w:t>
      </w:r>
      <w:r w:rsidR="00F66D2A">
        <w:t xml:space="preserve">will </w:t>
      </w:r>
      <w:r w:rsidR="003972B3">
        <w:t xml:space="preserve">conduct </w:t>
      </w:r>
      <w:r w:rsidR="00E000DA">
        <w:t xml:space="preserve">intervention </w:t>
      </w:r>
      <w:r w:rsidR="003972B3">
        <w:t xml:space="preserve">fidelity observations over </w:t>
      </w:r>
      <w:r w:rsidR="00E000DA">
        <w:t xml:space="preserve">1.5 school </w:t>
      </w:r>
      <w:r w:rsidR="003D2453">
        <w:t xml:space="preserve">days in both </w:t>
      </w:r>
      <w:r w:rsidR="00E000DA">
        <w:t xml:space="preserve">intervention </w:t>
      </w:r>
      <w:r w:rsidR="00F66D2A">
        <w:t xml:space="preserve">and control schools. </w:t>
      </w:r>
      <w:r w:rsidR="00CD3C9F">
        <w:t xml:space="preserve">In addition, </w:t>
      </w:r>
      <w:r w:rsidR="00884DE0">
        <w:t xml:space="preserve">one or </w:t>
      </w:r>
      <w:r w:rsidR="00884DE0" w:rsidRPr="00884DE0">
        <w:t xml:space="preserve">two researchers </w:t>
      </w:r>
      <w:r w:rsidR="00884DE0">
        <w:t xml:space="preserve">from the </w:t>
      </w:r>
      <w:r w:rsidR="005560D4">
        <w:t xml:space="preserve">Mathematica </w:t>
      </w:r>
      <w:r w:rsidR="00884DE0">
        <w:t xml:space="preserve">study team </w:t>
      </w:r>
      <w:r w:rsidR="00884DE0" w:rsidRPr="00884DE0">
        <w:t>will visit each district for two days</w:t>
      </w:r>
      <w:r w:rsidR="00884DE0">
        <w:t xml:space="preserve"> during this period to </w:t>
      </w:r>
      <w:r w:rsidR="00884DE0" w:rsidRPr="00884DE0">
        <w:t>conduct in-depth interviews with coaches and focus groups with teachers receiving the IEP</w:t>
      </w:r>
      <w:r w:rsidR="00884DE0" w:rsidRPr="00884DE0">
        <w:rPr>
          <w:vertAlign w:val="subscript"/>
        </w:rPr>
        <w:t>M</w:t>
      </w:r>
      <w:r w:rsidR="00884DE0" w:rsidRPr="00884DE0">
        <w:t xml:space="preserve"> program. </w:t>
      </w:r>
    </w:p>
    <w:p w14:paraId="25FC810C" w14:textId="35F8CE72" w:rsidR="003F0051" w:rsidRDefault="007A508A" w:rsidP="00296959">
      <w:pPr>
        <w:pStyle w:val="NormalSS"/>
      </w:pPr>
      <w:r>
        <w:t xml:space="preserve">The </w:t>
      </w:r>
      <w:r w:rsidR="00154F70">
        <w:t xml:space="preserve">April data collection will </w:t>
      </w:r>
      <w:r>
        <w:t xml:space="preserve">include the </w:t>
      </w:r>
      <w:r w:rsidR="00C56BD2">
        <w:t xml:space="preserve">teacher-child reports, observations of classroom inclusion quality and engagement, child observations, and child assessments. </w:t>
      </w:r>
      <w:r w:rsidR="00733DC9">
        <w:t>It will</w:t>
      </w:r>
      <w:r w:rsidR="00CD3C9F">
        <w:t xml:space="preserve"> also involve distributing and collecting the teacher background and experiences survey. This data collection effort </w:t>
      </w:r>
      <w:r>
        <w:t xml:space="preserve">will </w:t>
      </w:r>
      <w:r w:rsidR="000E1954">
        <w:t xml:space="preserve">require </w:t>
      </w:r>
      <w:r w:rsidR="00154F70">
        <w:t xml:space="preserve">more </w:t>
      </w:r>
      <w:r w:rsidR="005560D4">
        <w:t>field staff</w:t>
      </w:r>
      <w:r w:rsidR="00154F70">
        <w:t xml:space="preserve"> and longer visits at each school</w:t>
      </w:r>
      <w:r w:rsidR="00CD3C9F">
        <w:t xml:space="preserve"> than the fidelity observations</w:t>
      </w:r>
      <w:r w:rsidR="00154F70">
        <w:t>. Table B.</w:t>
      </w:r>
      <w:r w:rsidR="00683E27">
        <w:t>4</w:t>
      </w:r>
      <w:r w:rsidR="00154F70">
        <w:t xml:space="preserve"> </w:t>
      </w:r>
      <w:r w:rsidR="00C26F51">
        <w:t>provides</w:t>
      </w:r>
      <w:r w:rsidR="00154F70">
        <w:t xml:space="preserve"> an example of a typical </w:t>
      </w:r>
      <w:r w:rsidR="00C26F51">
        <w:t>week</w:t>
      </w:r>
      <w:r w:rsidR="00154F70">
        <w:t xml:space="preserve"> during the </w:t>
      </w:r>
      <w:r>
        <w:t xml:space="preserve">April </w:t>
      </w:r>
      <w:r w:rsidR="00154F70">
        <w:t xml:space="preserve">data collection. </w:t>
      </w:r>
      <w:r w:rsidR="00A23410">
        <w:t xml:space="preserve">On the scheduled </w:t>
      </w:r>
      <w:r w:rsidR="00A23410" w:rsidRPr="00293694">
        <w:t>data collection dates, t</w:t>
      </w:r>
      <w:r w:rsidR="00C26F51" w:rsidRPr="00293694">
        <w:t xml:space="preserve">wo </w:t>
      </w:r>
      <w:r w:rsidR="005560D4">
        <w:t>field staff</w:t>
      </w:r>
      <w:r w:rsidR="005560D4" w:rsidRPr="00293694">
        <w:t xml:space="preserve"> </w:t>
      </w:r>
      <w:r w:rsidR="00C26F51" w:rsidRPr="00293694">
        <w:t xml:space="preserve">members will visit each </w:t>
      </w:r>
      <w:r w:rsidR="00A23410" w:rsidRPr="00293694">
        <w:t xml:space="preserve">school for five days. In addition to conducting classroom observations and distributing and collecting </w:t>
      </w:r>
      <w:r>
        <w:t>the teacher-child reports</w:t>
      </w:r>
      <w:r w:rsidR="00A23410" w:rsidRPr="00293694">
        <w:t xml:space="preserve">, they will conduct </w:t>
      </w:r>
      <w:r w:rsidR="00443205">
        <w:t>four</w:t>
      </w:r>
      <w:r w:rsidR="003F0051" w:rsidRPr="00293694">
        <w:t xml:space="preserve"> </w:t>
      </w:r>
      <w:r w:rsidR="00A23410" w:rsidRPr="00293694">
        <w:t>child</w:t>
      </w:r>
      <w:r w:rsidR="00C9097E" w:rsidRPr="00293694">
        <w:t xml:space="preserve"> observations</w:t>
      </w:r>
      <w:r w:rsidR="00AB4909" w:rsidRPr="00293694">
        <w:t xml:space="preserve"> and</w:t>
      </w:r>
      <w:r w:rsidR="00C9097E" w:rsidRPr="00293694">
        <w:t xml:space="preserve"> </w:t>
      </w:r>
      <w:r w:rsidR="00EE7491" w:rsidRPr="00293694">
        <w:t>child assessments</w:t>
      </w:r>
      <w:r w:rsidR="00C9097E">
        <w:t xml:space="preserve"> </w:t>
      </w:r>
      <w:r w:rsidR="00D60F07">
        <w:t xml:space="preserve">with all study children in the </w:t>
      </w:r>
      <w:r w:rsidR="00293694">
        <w:t>classroom</w:t>
      </w:r>
      <w:r w:rsidR="003F0051">
        <w:t>.</w:t>
      </w:r>
      <w:r w:rsidR="00C9097E">
        <w:t xml:space="preserve"> Child assessments will be conducted one-on-one with children taken out of the classroom for the assessment and returned after the assessment. To the extent possible, we will ask </w:t>
      </w:r>
      <w:r>
        <w:t xml:space="preserve">teachers to complete teacher-child reports for </w:t>
      </w:r>
      <w:r w:rsidR="00C9097E">
        <w:t xml:space="preserve">the same </w:t>
      </w:r>
      <w:r>
        <w:t xml:space="preserve">children they reported on in the fall. </w:t>
      </w:r>
      <w:r w:rsidR="00B5361C">
        <w:t>Make</w:t>
      </w:r>
      <w:r w:rsidR="00443205">
        <w:t>-</w:t>
      </w:r>
      <w:r w:rsidR="00B5361C">
        <w:t>up visits fo</w:t>
      </w:r>
      <w:r w:rsidR="006970F8">
        <w:t>r any missed child assessment and</w:t>
      </w:r>
      <w:r w:rsidR="00B5361C">
        <w:t xml:space="preserve"> child observations will be conducted as needed.</w:t>
      </w:r>
    </w:p>
    <w:p w14:paraId="73A3F849" w14:textId="77777777" w:rsidR="003829AE" w:rsidRDefault="003829AE">
      <w:pPr>
        <w:spacing w:after="240" w:line="240" w:lineRule="auto"/>
        <w:ind w:firstLine="0"/>
        <w:rPr>
          <w:rFonts w:ascii="Arial Black" w:hAnsi="Arial Black"/>
          <w:sz w:val="22"/>
        </w:rPr>
      </w:pPr>
      <w:bookmarkStart w:id="22" w:name="_Toc531603008"/>
      <w:r>
        <w:br w:type="page"/>
      </w:r>
    </w:p>
    <w:p w14:paraId="44C0F4B8" w14:textId="307E2D7E" w:rsidR="008807DE" w:rsidRPr="000B14F8" w:rsidRDefault="008807DE" w:rsidP="008807DE">
      <w:pPr>
        <w:pStyle w:val="MarkforTableTitle"/>
      </w:pPr>
      <w:r w:rsidRPr="000B14F8">
        <w:t>Table B</w:t>
      </w:r>
      <w:r>
        <w:t>.</w:t>
      </w:r>
      <w:r w:rsidR="00683E27">
        <w:t>4</w:t>
      </w:r>
      <w:r w:rsidRPr="000B14F8">
        <w:t xml:space="preserve">. Example of </w:t>
      </w:r>
      <w:r w:rsidR="00D94B46">
        <w:t>typical data collection week</w:t>
      </w:r>
      <w:r w:rsidR="00443205">
        <w:t>:</w:t>
      </w:r>
      <w:r w:rsidR="00D94B46">
        <w:t xml:space="preserve"> </w:t>
      </w:r>
      <w:r w:rsidR="007A508A">
        <w:t>April</w:t>
      </w:r>
      <w:bookmarkEnd w:id="22"/>
    </w:p>
    <w:tbl>
      <w:tblPr>
        <w:tblStyle w:val="TableGrid"/>
        <w:tblW w:w="983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715"/>
        <w:gridCol w:w="1715"/>
        <w:gridCol w:w="1715"/>
        <w:gridCol w:w="1715"/>
        <w:gridCol w:w="1715"/>
      </w:tblGrid>
      <w:tr w:rsidR="00994440" w:rsidRPr="00994440" w14:paraId="53D5EB74" w14:textId="77777777" w:rsidTr="00012CAE">
        <w:trPr>
          <w:jc w:val="center"/>
        </w:trPr>
        <w:tc>
          <w:tcPr>
            <w:tcW w:w="1260" w:type="dxa"/>
            <w:tcBorders>
              <w:bottom w:val="single" w:sz="4" w:space="0" w:color="auto"/>
            </w:tcBorders>
            <w:shd w:val="clear" w:color="auto" w:fill="6C6F70"/>
            <w:vAlign w:val="bottom"/>
          </w:tcPr>
          <w:p w14:paraId="105E877F" w14:textId="77777777" w:rsidR="006F4D3D" w:rsidRPr="00994440" w:rsidRDefault="006F4D3D" w:rsidP="00994440">
            <w:pPr>
              <w:pStyle w:val="TableHeaderCenter"/>
              <w:rPr>
                <w:rFonts w:ascii="Arial" w:hAnsi="Arial" w:cs="Arial"/>
                <w:b/>
                <w:color w:val="FFFFFF" w:themeColor="background1"/>
              </w:rPr>
            </w:pPr>
          </w:p>
        </w:tc>
        <w:tc>
          <w:tcPr>
            <w:tcW w:w="1715" w:type="dxa"/>
            <w:tcBorders>
              <w:bottom w:val="single" w:sz="4" w:space="0" w:color="auto"/>
            </w:tcBorders>
            <w:shd w:val="clear" w:color="auto" w:fill="6C6F70"/>
            <w:vAlign w:val="bottom"/>
          </w:tcPr>
          <w:p w14:paraId="1580D5C0" w14:textId="50B69CC7" w:rsidR="006F4D3D" w:rsidRPr="00994440" w:rsidRDefault="006F4D3D" w:rsidP="00994440">
            <w:pPr>
              <w:pStyle w:val="TableHeaderCenter"/>
              <w:rPr>
                <w:rFonts w:ascii="Arial" w:hAnsi="Arial" w:cs="Arial"/>
                <w:b/>
                <w:color w:val="FFFFFF" w:themeColor="background1"/>
              </w:rPr>
            </w:pPr>
            <w:r w:rsidRPr="00994440">
              <w:rPr>
                <w:rFonts w:ascii="Arial" w:hAnsi="Arial" w:cs="Arial"/>
                <w:b/>
                <w:color w:val="FFFFFF" w:themeColor="background1"/>
              </w:rPr>
              <w:t>Monday</w:t>
            </w:r>
          </w:p>
        </w:tc>
        <w:tc>
          <w:tcPr>
            <w:tcW w:w="1715" w:type="dxa"/>
            <w:tcBorders>
              <w:bottom w:val="single" w:sz="4" w:space="0" w:color="auto"/>
            </w:tcBorders>
            <w:shd w:val="clear" w:color="auto" w:fill="6C6F70"/>
            <w:vAlign w:val="bottom"/>
          </w:tcPr>
          <w:p w14:paraId="0A94EC96" w14:textId="08A95DC1" w:rsidR="006F4D3D" w:rsidRPr="00994440" w:rsidRDefault="006F4D3D" w:rsidP="00994440">
            <w:pPr>
              <w:pStyle w:val="TableHeaderCenter"/>
              <w:rPr>
                <w:rFonts w:ascii="Arial" w:hAnsi="Arial" w:cs="Arial"/>
                <w:b/>
                <w:color w:val="FFFFFF" w:themeColor="background1"/>
              </w:rPr>
            </w:pPr>
            <w:r w:rsidRPr="00994440">
              <w:rPr>
                <w:rFonts w:ascii="Arial" w:hAnsi="Arial" w:cs="Arial"/>
                <w:b/>
                <w:color w:val="FFFFFF" w:themeColor="background1"/>
              </w:rPr>
              <w:t>Tuesday</w:t>
            </w:r>
          </w:p>
        </w:tc>
        <w:tc>
          <w:tcPr>
            <w:tcW w:w="1715" w:type="dxa"/>
            <w:tcBorders>
              <w:bottom w:val="single" w:sz="4" w:space="0" w:color="auto"/>
            </w:tcBorders>
            <w:shd w:val="clear" w:color="auto" w:fill="6C6F70"/>
          </w:tcPr>
          <w:p w14:paraId="0E44F510" w14:textId="647E7852" w:rsidR="006F4D3D" w:rsidRPr="00994440" w:rsidRDefault="006F4D3D" w:rsidP="00994440">
            <w:pPr>
              <w:pStyle w:val="TableHeaderCenter"/>
              <w:rPr>
                <w:rFonts w:ascii="Arial" w:hAnsi="Arial" w:cs="Arial"/>
                <w:b/>
                <w:color w:val="FFFFFF" w:themeColor="background1"/>
              </w:rPr>
            </w:pPr>
            <w:r w:rsidRPr="00994440">
              <w:rPr>
                <w:rFonts w:ascii="Arial" w:hAnsi="Arial" w:cs="Arial"/>
                <w:b/>
                <w:color w:val="FFFFFF" w:themeColor="background1"/>
              </w:rPr>
              <w:t>Wednesday</w:t>
            </w:r>
          </w:p>
        </w:tc>
        <w:tc>
          <w:tcPr>
            <w:tcW w:w="1715" w:type="dxa"/>
            <w:tcBorders>
              <w:bottom w:val="single" w:sz="4" w:space="0" w:color="auto"/>
            </w:tcBorders>
            <w:shd w:val="clear" w:color="auto" w:fill="6C6F70"/>
          </w:tcPr>
          <w:p w14:paraId="067A0DA1" w14:textId="62DADF5E" w:rsidR="006F4D3D" w:rsidRPr="00994440" w:rsidRDefault="006F4D3D" w:rsidP="00994440">
            <w:pPr>
              <w:pStyle w:val="TableHeaderCenter"/>
              <w:rPr>
                <w:rFonts w:ascii="Arial" w:hAnsi="Arial" w:cs="Arial"/>
                <w:b/>
                <w:color w:val="FFFFFF" w:themeColor="background1"/>
              </w:rPr>
            </w:pPr>
            <w:r w:rsidRPr="00994440">
              <w:rPr>
                <w:rFonts w:ascii="Arial" w:hAnsi="Arial" w:cs="Arial"/>
                <w:b/>
                <w:color w:val="FFFFFF" w:themeColor="background1"/>
              </w:rPr>
              <w:t>Thursday</w:t>
            </w:r>
          </w:p>
        </w:tc>
        <w:tc>
          <w:tcPr>
            <w:tcW w:w="1715" w:type="dxa"/>
            <w:tcBorders>
              <w:bottom w:val="single" w:sz="4" w:space="0" w:color="auto"/>
            </w:tcBorders>
            <w:shd w:val="clear" w:color="auto" w:fill="6C6F70"/>
            <w:vAlign w:val="bottom"/>
          </w:tcPr>
          <w:p w14:paraId="1369906A" w14:textId="01B8037A" w:rsidR="006F4D3D" w:rsidRPr="00994440" w:rsidRDefault="006F4D3D" w:rsidP="00994440">
            <w:pPr>
              <w:pStyle w:val="TableHeaderCenter"/>
              <w:rPr>
                <w:rFonts w:ascii="Arial" w:hAnsi="Arial" w:cs="Arial"/>
                <w:b/>
                <w:color w:val="FFFFFF" w:themeColor="background1"/>
              </w:rPr>
            </w:pPr>
            <w:r w:rsidRPr="00994440">
              <w:rPr>
                <w:rFonts w:ascii="Arial" w:hAnsi="Arial" w:cs="Arial"/>
                <w:b/>
                <w:color w:val="FFFFFF" w:themeColor="background1"/>
              </w:rPr>
              <w:t>Friday</w:t>
            </w:r>
          </w:p>
        </w:tc>
      </w:tr>
      <w:tr w:rsidR="006F4D3D" w:rsidRPr="00D05F0F" w14:paraId="08D6FA77" w14:textId="77777777" w:rsidTr="00012CAE">
        <w:trPr>
          <w:jc w:val="center"/>
        </w:trPr>
        <w:tc>
          <w:tcPr>
            <w:tcW w:w="9835" w:type="dxa"/>
            <w:gridSpan w:val="6"/>
            <w:tcBorders>
              <w:top w:val="single" w:sz="4" w:space="0" w:color="auto"/>
              <w:bottom w:val="single" w:sz="4" w:space="0" w:color="auto"/>
            </w:tcBorders>
            <w:shd w:val="clear" w:color="auto" w:fill="D9D9D9"/>
            <w:vAlign w:val="bottom"/>
          </w:tcPr>
          <w:p w14:paraId="3575F223" w14:textId="5DCD4983" w:rsidR="006F4D3D" w:rsidRPr="00D05F0F" w:rsidRDefault="006F4D3D" w:rsidP="00D05F0F">
            <w:pPr>
              <w:pStyle w:val="TableHeaderLeft"/>
              <w:spacing w:before="60"/>
              <w:rPr>
                <w:rFonts w:ascii="Arial" w:hAnsi="Arial" w:cs="Arial"/>
                <w:b/>
              </w:rPr>
            </w:pPr>
            <w:r w:rsidRPr="00D05F0F">
              <w:rPr>
                <w:rFonts w:ascii="Arial" w:hAnsi="Arial" w:cs="Arial"/>
                <w:b/>
              </w:rPr>
              <w:t>School 1</w:t>
            </w:r>
          </w:p>
        </w:tc>
      </w:tr>
      <w:tr w:rsidR="006F4D3D" w:rsidRPr="00884DE0" w14:paraId="1A084AB3" w14:textId="77777777" w:rsidTr="00012CAE">
        <w:trPr>
          <w:jc w:val="center"/>
        </w:trPr>
        <w:tc>
          <w:tcPr>
            <w:tcW w:w="1260" w:type="dxa"/>
            <w:tcBorders>
              <w:top w:val="single" w:sz="4" w:space="0" w:color="auto"/>
              <w:bottom w:val="single" w:sz="4" w:space="0" w:color="auto"/>
            </w:tcBorders>
            <w:shd w:val="clear" w:color="auto" w:fill="auto"/>
          </w:tcPr>
          <w:p w14:paraId="489F5051" w14:textId="0616A0E4" w:rsidR="006F4D3D" w:rsidRPr="00884DE0" w:rsidRDefault="006F4D3D" w:rsidP="00D05F0F">
            <w:pPr>
              <w:pStyle w:val="TableText"/>
            </w:pPr>
            <w:r w:rsidRPr="00884DE0">
              <w:t>Classroom A</w:t>
            </w:r>
          </w:p>
        </w:tc>
        <w:tc>
          <w:tcPr>
            <w:tcW w:w="1715" w:type="dxa"/>
            <w:tcBorders>
              <w:top w:val="single" w:sz="4" w:space="0" w:color="auto"/>
              <w:bottom w:val="single" w:sz="4" w:space="0" w:color="auto"/>
            </w:tcBorders>
            <w:shd w:val="clear" w:color="auto" w:fill="auto"/>
          </w:tcPr>
          <w:p w14:paraId="4055B857" w14:textId="77777777" w:rsidR="006F4D3D" w:rsidRPr="00884DE0" w:rsidRDefault="006F4D3D" w:rsidP="00D05F0F">
            <w:pPr>
              <w:pStyle w:val="TableText"/>
              <w:rPr>
                <w:vertAlign w:val="superscript"/>
              </w:rPr>
            </w:pPr>
            <w:r w:rsidRPr="00884DE0">
              <w:t>Classroom observation</w:t>
            </w:r>
            <w:r w:rsidR="00D26668" w:rsidRPr="00884DE0">
              <w:rPr>
                <w:vertAlign w:val="superscript"/>
              </w:rPr>
              <w:t>1</w:t>
            </w:r>
          </w:p>
          <w:p w14:paraId="22D91BCE" w14:textId="338DC3C3" w:rsidR="00D26668" w:rsidRPr="00884DE0" w:rsidRDefault="00D26668" w:rsidP="00D05F0F">
            <w:pPr>
              <w:pStyle w:val="TableText"/>
              <w:rPr>
                <w:i/>
              </w:rPr>
            </w:pPr>
            <w:r w:rsidRPr="00884DE0">
              <w:rPr>
                <w:i/>
              </w:rPr>
              <w:t>(2.5 hours)</w:t>
            </w:r>
          </w:p>
        </w:tc>
        <w:tc>
          <w:tcPr>
            <w:tcW w:w="1715" w:type="dxa"/>
            <w:tcBorders>
              <w:top w:val="single" w:sz="4" w:space="0" w:color="auto"/>
              <w:bottom w:val="single" w:sz="4" w:space="0" w:color="auto"/>
            </w:tcBorders>
            <w:shd w:val="clear" w:color="auto" w:fill="auto"/>
          </w:tcPr>
          <w:p w14:paraId="28ABF9C5" w14:textId="77777777" w:rsidR="00154A76" w:rsidRPr="00884DE0" w:rsidRDefault="00154A76" w:rsidP="00D05F0F">
            <w:pPr>
              <w:pStyle w:val="TableText"/>
            </w:pPr>
            <w:r w:rsidRPr="00884DE0">
              <w:t>4 Child Observations</w:t>
            </w:r>
            <w:r w:rsidRPr="00884DE0">
              <w:rPr>
                <w:vertAlign w:val="superscript"/>
              </w:rPr>
              <w:t>2</w:t>
            </w:r>
          </w:p>
          <w:p w14:paraId="6899CDA9" w14:textId="77777777" w:rsidR="00154A76" w:rsidRPr="00884DE0" w:rsidRDefault="00154A76" w:rsidP="00D05F0F">
            <w:pPr>
              <w:pStyle w:val="TableText"/>
              <w:rPr>
                <w:i/>
              </w:rPr>
            </w:pPr>
            <w:r w:rsidRPr="00884DE0">
              <w:rPr>
                <w:i/>
              </w:rPr>
              <w:t>(20 minutes/child)</w:t>
            </w:r>
          </w:p>
          <w:p w14:paraId="6F73B717" w14:textId="7C5FBB5C" w:rsidR="00154A76" w:rsidRPr="00884DE0" w:rsidRDefault="00154A76" w:rsidP="00D05F0F">
            <w:pPr>
              <w:pStyle w:val="TableText"/>
              <w:rPr>
                <w:vertAlign w:val="superscript"/>
              </w:rPr>
            </w:pPr>
            <w:r w:rsidRPr="00884DE0">
              <w:t>3 Child assessments</w:t>
            </w:r>
            <w:r w:rsidR="00AC59D0" w:rsidRPr="00884DE0">
              <w:rPr>
                <w:vertAlign w:val="superscript"/>
              </w:rPr>
              <w:t>3</w:t>
            </w:r>
          </w:p>
          <w:p w14:paraId="7E0C6248" w14:textId="0FCA5B7D" w:rsidR="006F4D3D" w:rsidRPr="00884DE0" w:rsidRDefault="00154A76" w:rsidP="00D05F0F">
            <w:pPr>
              <w:pStyle w:val="TableText"/>
              <w:spacing w:after="120"/>
              <w:rPr>
                <w:i/>
              </w:rPr>
            </w:pPr>
            <w:r w:rsidRPr="00884DE0">
              <w:rPr>
                <w:i/>
              </w:rPr>
              <w:t>(</w:t>
            </w:r>
            <w:r w:rsidR="00296959">
              <w:rPr>
                <w:i/>
              </w:rPr>
              <w:t>30</w:t>
            </w:r>
            <w:r w:rsidRPr="00884DE0">
              <w:rPr>
                <w:i/>
              </w:rPr>
              <w:t xml:space="preserve"> minutes/child)</w:t>
            </w:r>
          </w:p>
        </w:tc>
        <w:tc>
          <w:tcPr>
            <w:tcW w:w="1715" w:type="dxa"/>
            <w:tcBorders>
              <w:top w:val="single" w:sz="4" w:space="0" w:color="auto"/>
              <w:bottom w:val="single" w:sz="4" w:space="0" w:color="auto"/>
            </w:tcBorders>
            <w:shd w:val="clear" w:color="auto" w:fill="auto"/>
          </w:tcPr>
          <w:p w14:paraId="33F74765" w14:textId="77777777" w:rsidR="00154A76" w:rsidRPr="00884DE0" w:rsidRDefault="00154A76" w:rsidP="00D05F0F">
            <w:pPr>
              <w:pStyle w:val="TableText"/>
            </w:pPr>
            <w:r w:rsidRPr="00884DE0">
              <w:t>4 Child Observations</w:t>
            </w:r>
            <w:r w:rsidRPr="00884DE0">
              <w:rPr>
                <w:vertAlign w:val="superscript"/>
              </w:rPr>
              <w:t>2</w:t>
            </w:r>
          </w:p>
          <w:p w14:paraId="307ABE77" w14:textId="77777777" w:rsidR="00154A76" w:rsidRPr="00884DE0" w:rsidRDefault="00154A76" w:rsidP="00D05F0F">
            <w:pPr>
              <w:pStyle w:val="TableText"/>
              <w:rPr>
                <w:i/>
              </w:rPr>
            </w:pPr>
            <w:r w:rsidRPr="00884DE0">
              <w:rPr>
                <w:i/>
              </w:rPr>
              <w:t>(20 minutes/child)</w:t>
            </w:r>
          </w:p>
          <w:p w14:paraId="4C9D5FD4" w14:textId="77777777" w:rsidR="004842DA"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3C236A0E" w14:textId="4FEFDFC8" w:rsidR="006F4D3D" w:rsidRPr="00884DE0" w:rsidRDefault="004842DA" w:rsidP="00D05F0F">
            <w:pPr>
              <w:pStyle w:val="TableText"/>
            </w:pPr>
            <w:r w:rsidRPr="00884DE0">
              <w:rPr>
                <w:i/>
              </w:rPr>
              <w:t xml:space="preserve"> </w:t>
            </w:r>
            <w:r w:rsidR="00154A76" w:rsidRPr="00884DE0">
              <w:rPr>
                <w:i/>
              </w:rPr>
              <w:t>(</w:t>
            </w:r>
            <w:r w:rsidR="00296959">
              <w:rPr>
                <w:i/>
              </w:rPr>
              <w:t>30</w:t>
            </w:r>
            <w:r w:rsidR="00154A76" w:rsidRPr="00884DE0">
              <w:rPr>
                <w:i/>
              </w:rPr>
              <w:t xml:space="preserve"> minutes/child)</w:t>
            </w:r>
          </w:p>
        </w:tc>
        <w:tc>
          <w:tcPr>
            <w:tcW w:w="1715" w:type="dxa"/>
            <w:tcBorders>
              <w:top w:val="single" w:sz="4" w:space="0" w:color="auto"/>
              <w:bottom w:val="single" w:sz="4" w:space="0" w:color="auto"/>
            </w:tcBorders>
            <w:shd w:val="clear" w:color="auto" w:fill="auto"/>
          </w:tcPr>
          <w:p w14:paraId="0FC6F568" w14:textId="77777777" w:rsidR="00154A76" w:rsidRPr="00884DE0" w:rsidRDefault="00154A76" w:rsidP="00D05F0F">
            <w:pPr>
              <w:pStyle w:val="TableText"/>
            </w:pPr>
            <w:r w:rsidRPr="00884DE0">
              <w:t>4 Child Observations</w:t>
            </w:r>
            <w:r w:rsidRPr="00884DE0">
              <w:rPr>
                <w:vertAlign w:val="superscript"/>
              </w:rPr>
              <w:t>2</w:t>
            </w:r>
          </w:p>
          <w:p w14:paraId="5EC1623C" w14:textId="77777777" w:rsidR="00154A76" w:rsidRPr="00884DE0" w:rsidRDefault="00154A76" w:rsidP="00D05F0F">
            <w:pPr>
              <w:pStyle w:val="TableText"/>
              <w:rPr>
                <w:i/>
              </w:rPr>
            </w:pPr>
            <w:r w:rsidRPr="00884DE0">
              <w:rPr>
                <w:i/>
              </w:rPr>
              <w:t>(20 minutes/child)</w:t>
            </w:r>
          </w:p>
          <w:p w14:paraId="6E9FD30D" w14:textId="77777777" w:rsidR="004842DA"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35A86557" w14:textId="13D87806" w:rsidR="006F4D3D" w:rsidRPr="00884DE0" w:rsidRDefault="004842DA" w:rsidP="00D05F0F">
            <w:pPr>
              <w:pStyle w:val="TableText"/>
            </w:pPr>
            <w:r w:rsidRPr="00884DE0">
              <w:rPr>
                <w:i/>
              </w:rPr>
              <w:t xml:space="preserve"> </w:t>
            </w:r>
            <w:r w:rsidR="00154A76" w:rsidRPr="00884DE0">
              <w:rPr>
                <w:i/>
              </w:rPr>
              <w:t>(</w:t>
            </w:r>
            <w:r w:rsidR="00296959">
              <w:rPr>
                <w:i/>
              </w:rPr>
              <w:t>30</w:t>
            </w:r>
            <w:r w:rsidR="00154A76" w:rsidRPr="00884DE0">
              <w:rPr>
                <w:i/>
              </w:rPr>
              <w:t xml:space="preserve"> minutes/child)</w:t>
            </w:r>
          </w:p>
        </w:tc>
        <w:tc>
          <w:tcPr>
            <w:tcW w:w="1715" w:type="dxa"/>
            <w:tcBorders>
              <w:top w:val="single" w:sz="4" w:space="0" w:color="auto"/>
              <w:bottom w:val="single" w:sz="4" w:space="0" w:color="auto"/>
            </w:tcBorders>
            <w:shd w:val="clear" w:color="auto" w:fill="auto"/>
          </w:tcPr>
          <w:p w14:paraId="4385CE2B" w14:textId="14D87627" w:rsidR="00154A76" w:rsidRPr="00884DE0" w:rsidRDefault="00154A76" w:rsidP="00D05F0F">
            <w:pPr>
              <w:pStyle w:val="TableText"/>
              <w:rPr>
                <w:vertAlign w:val="superscript"/>
              </w:rPr>
            </w:pPr>
            <w:r w:rsidRPr="00884DE0">
              <w:t xml:space="preserve">5 Child </w:t>
            </w:r>
            <w:r w:rsidR="004842DA" w:rsidRPr="00884DE0">
              <w:t>assessments</w:t>
            </w:r>
            <w:r w:rsidR="004842DA" w:rsidRPr="00884DE0">
              <w:rPr>
                <w:vertAlign w:val="superscript"/>
              </w:rPr>
              <w:t>3</w:t>
            </w:r>
          </w:p>
          <w:p w14:paraId="184494AC" w14:textId="61E1E59F" w:rsidR="006F4D3D" w:rsidRPr="00884DE0" w:rsidRDefault="00154A76" w:rsidP="00D05F0F">
            <w:pPr>
              <w:pStyle w:val="TableText"/>
            </w:pPr>
            <w:r w:rsidRPr="00884DE0">
              <w:rPr>
                <w:i/>
              </w:rPr>
              <w:t>(</w:t>
            </w:r>
            <w:r w:rsidR="00296959">
              <w:rPr>
                <w:i/>
              </w:rPr>
              <w:t>30</w:t>
            </w:r>
            <w:r w:rsidRPr="00884DE0">
              <w:rPr>
                <w:i/>
              </w:rPr>
              <w:t xml:space="preserve"> minutes/child)</w:t>
            </w:r>
          </w:p>
        </w:tc>
      </w:tr>
      <w:tr w:rsidR="006F4D3D" w:rsidRPr="00884DE0" w14:paraId="1FC0960B" w14:textId="77777777" w:rsidTr="00012CAE">
        <w:trPr>
          <w:jc w:val="center"/>
        </w:trPr>
        <w:tc>
          <w:tcPr>
            <w:tcW w:w="1260" w:type="dxa"/>
            <w:tcBorders>
              <w:top w:val="single" w:sz="4" w:space="0" w:color="auto"/>
              <w:bottom w:val="single" w:sz="4" w:space="0" w:color="auto"/>
            </w:tcBorders>
            <w:shd w:val="clear" w:color="auto" w:fill="auto"/>
          </w:tcPr>
          <w:p w14:paraId="33B43528" w14:textId="2D26FAC9" w:rsidR="006F4D3D" w:rsidRPr="00884DE0" w:rsidRDefault="006F4D3D" w:rsidP="00D05F0F">
            <w:pPr>
              <w:pStyle w:val="TableText"/>
            </w:pPr>
            <w:r w:rsidRPr="00884DE0">
              <w:t>Classroom B</w:t>
            </w:r>
          </w:p>
        </w:tc>
        <w:tc>
          <w:tcPr>
            <w:tcW w:w="1715" w:type="dxa"/>
            <w:tcBorders>
              <w:top w:val="single" w:sz="4" w:space="0" w:color="auto"/>
              <w:bottom w:val="single" w:sz="4" w:space="0" w:color="auto"/>
            </w:tcBorders>
            <w:shd w:val="clear" w:color="auto" w:fill="auto"/>
          </w:tcPr>
          <w:p w14:paraId="576FBB55" w14:textId="77777777" w:rsidR="006F4D3D" w:rsidRPr="00884DE0" w:rsidRDefault="00D26668" w:rsidP="00D05F0F">
            <w:pPr>
              <w:pStyle w:val="TableText"/>
            </w:pPr>
            <w:r w:rsidRPr="00884DE0">
              <w:t>4 Child Observations</w:t>
            </w:r>
            <w:r w:rsidRPr="00884DE0">
              <w:rPr>
                <w:vertAlign w:val="superscript"/>
              </w:rPr>
              <w:t>2</w:t>
            </w:r>
          </w:p>
          <w:p w14:paraId="747296B9" w14:textId="781C38D1" w:rsidR="00D26668" w:rsidRPr="00884DE0" w:rsidRDefault="00D26668" w:rsidP="00D05F0F">
            <w:pPr>
              <w:pStyle w:val="TableText"/>
              <w:rPr>
                <w:i/>
              </w:rPr>
            </w:pPr>
            <w:r w:rsidRPr="00884DE0">
              <w:rPr>
                <w:i/>
              </w:rPr>
              <w:t>(20 minutes</w:t>
            </w:r>
            <w:r w:rsidR="00154A76" w:rsidRPr="00884DE0">
              <w:rPr>
                <w:i/>
              </w:rPr>
              <w:t>/</w:t>
            </w:r>
            <w:r w:rsidRPr="00884DE0">
              <w:rPr>
                <w:i/>
              </w:rPr>
              <w:t>child)</w:t>
            </w:r>
          </w:p>
          <w:p w14:paraId="75304798" w14:textId="7FA3A4B1" w:rsidR="00D26668" w:rsidRPr="00884DE0" w:rsidRDefault="00D26668" w:rsidP="00D05F0F">
            <w:pPr>
              <w:pStyle w:val="TableText"/>
              <w:rPr>
                <w:vertAlign w:val="superscript"/>
              </w:rPr>
            </w:pPr>
            <w:r w:rsidRPr="00884DE0">
              <w:t>3 Child assessments</w:t>
            </w:r>
            <w:r w:rsidR="00AC59D0" w:rsidRPr="00884DE0">
              <w:rPr>
                <w:vertAlign w:val="superscript"/>
              </w:rPr>
              <w:t>3</w:t>
            </w:r>
          </w:p>
          <w:p w14:paraId="236816E6" w14:textId="69FC0D48" w:rsidR="00D26668" w:rsidRPr="00884DE0" w:rsidRDefault="00D26668" w:rsidP="00D05F0F">
            <w:pPr>
              <w:pStyle w:val="TableText"/>
              <w:rPr>
                <w:i/>
              </w:rPr>
            </w:pPr>
            <w:r w:rsidRPr="00884DE0">
              <w:rPr>
                <w:i/>
              </w:rPr>
              <w:t>(</w:t>
            </w:r>
            <w:r w:rsidR="00296959">
              <w:rPr>
                <w:i/>
              </w:rPr>
              <w:t>30</w:t>
            </w:r>
            <w:r w:rsidRPr="00884DE0">
              <w:rPr>
                <w:i/>
              </w:rPr>
              <w:t xml:space="preserve"> minutes</w:t>
            </w:r>
            <w:r w:rsidR="00154A76" w:rsidRPr="00884DE0">
              <w:rPr>
                <w:i/>
              </w:rPr>
              <w:t>/</w:t>
            </w:r>
            <w:r w:rsidRPr="00884DE0">
              <w:rPr>
                <w:i/>
              </w:rPr>
              <w:t>child)</w:t>
            </w:r>
          </w:p>
        </w:tc>
        <w:tc>
          <w:tcPr>
            <w:tcW w:w="1715" w:type="dxa"/>
            <w:tcBorders>
              <w:top w:val="single" w:sz="4" w:space="0" w:color="auto"/>
              <w:bottom w:val="single" w:sz="4" w:space="0" w:color="auto"/>
            </w:tcBorders>
            <w:shd w:val="clear" w:color="auto" w:fill="auto"/>
          </w:tcPr>
          <w:p w14:paraId="46FE9BC5" w14:textId="77777777" w:rsidR="00154A76" w:rsidRPr="00884DE0" w:rsidRDefault="00154A76" w:rsidP="00D05F0F">
            <w:pPr>
              <w:pStyle w:val="TableText"/>
              <w:rPr>
                <w:vertAlign w:val="superscript"/>
              </w:rPr>
            </w:pPr>
            <w:r w:rsidRPr="00884DE0">
              <w:t>Classroom observation</w:t>
            </w:r>
            <w:r w:rsidRPr="00884DE0">
              <w:rPr>
                <w:vertAlign w:val="superscript"/>
              </w:rPr>
              <w:t>1</w:t>
            </w:r>
          </w:p>
          <w:p w14:paraId="6B434773" w14:textId="30AAB740" w:rsidR="006F4D3D" w:rsidRPr="00884DE0" w:rsidRDefault="00154A76" w:rsidP="00D05F0F">
            <w:pPr>
              <w:pStyle w:val="TableText"/>
              <w:rPr>
                <w:i/>
              </w:rPr>
            </w:pPr>
            <w:r w:rsidRPr="00884DE0">
              <w:rPr>
                <w:i/>
              </w:rPr>
              <w:t>(2.5 hours)</w:t>
            </w:r>
          </w:p>
        </w:tc>
        <w:tc>
          <w:tcPr>
            <w:tcW w:w="1715" w:type="dxa"/>
            <w:tcBorders>
              <w:top w:val="single" w:sz="4" w:space="0" w:color="auto"/>
              <w:bottom w:val="single" w:sz="4" w:space="0" w:color="auto"/>
            </w:tcBorders>
            <w:shd w:val="clear" w:color="auto" w:fill="auto"/>
          </w:tcPr>
          <w:p w14:paraId="70A18144" w14:textId="77777777" w:rsidR="00D94B46" w:rsidRPr="00884DE0" w:rsidRDefault="00D94B46" w:rsidP="00D05F0F">
            <w:pPr>
              <w:pStyle w:val="TableText"/>
            </w:pPr>
            <w:r w:rsidRPr="00884DE0">
              <w:t>4 Child Observations</w:t>
            </w:r>
            <w:r w:rsidRPr="00884DE0">
              <w:rPr>
                <w:vertAlign w:val="superscript"/>
              </w:rPr>
              <w:t>2</w:t>
            </w:r>
          </w:p>
          <w:p w14:paraId="7EE8EEA8" w14:textId="77777777" w:rsidR="00D94B46" w:rsidRPr="00884DE0" w:rsidRDefault="00D94B46" w:rsidP="00D05F0F">
            <w:pPr>
              <w:pStyle w:val="TableText"/>
              <w:rPr>
                <w:i/>
              </w:rPr>
            </w:pPr>
            <w:r w:rsidRPr="00884DE0">
              <w:rPr>
                <w:i/>
              </w:rPr>
              <w:t>(20 minutes/child)</w:t>
            </w:r>
          </w:p>
          <w:p w14:paraId="4918A508" w14:textId="7817D943" w:rsidR="00D94B46" w:rsidRPr="00884DE0" w:rsidRDefault="00D94B4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0F18F513" w14:textId="75B0E657" w:rsidR="006F4D3D" w:rsidRPr="00884DE0" w:rsidRDefault="00D94B46" w:rsidP="00D05F0F">
            <w:pPr>
              <w:pStyle w:val="TableText"/>
              <w:spacing w:after="120"/>
            </w:pPr>
            <w:r w:rsidRPr="00884DE0">
              <w:rPr>
                <w:i/>
              </w:rPr>
              <w:t>(</w:t>
            </w:r>
            <w:r w:rsidR="00296959">
              <w:rPr>
                <w:i/>
              </w:rPr>
              <w:t>30</w:t>
            </w:r>
            <w:r w:rsidRPr="00884DE0">
              <w:rPr>
                <w:i/>
              </w:rPr>
              <w:t xml:space="preserve"> minutes/child)</w:t>
            </w:r>
          </w:p>
        </w:tc>
        <w:tc>
          <w:tcPr>
            <w:tcW w:w="1715" w:type="dxa"/>
            <w:tcBorders>
              <w:top w:val="single" w:sz="4" w:space="0" w:color="auto"/>
              <w:bottom w:val="single" w:sz="4" w:space="0" w:color="auto"/>
            </w:tcBorders>
            <w:shd w:val="clear" w:color="auto" w:fill="auto"/>
          </w:tcPr>
          <w:p w14:paraId="3710D03B" w14:textId="77777777" w:rsidR="00D94B46" w:rsidRPr="00884DE0" w:rsidRDefault="00D94B46" w:rsidP="00D05F0F">
            <w:pPr>
              <w:pStyle w:val="TableText"/>
            </w:pPr>
            <w:r w:rsidRPr="00884DE0">
              <w:t>4 Child Observations</w:t>
            </w:r>
            <w:r w:rsidRPr="00884DE0">
              <w:rPr>
                <w:vertAlign w:val="superscript"/>
              </w:rPr>
              <w:t>2</w:t>
            </w:r>
          </w:p>
          <w:p w14:paraId="1B113A88" w14:textId="77777777" w:rsidR="00D94B46" w:rsidRPr="00884DE0" w:rsidRDefault="00D94B46" w:rsidP="00D05F0F">
            <w:pPr>
              <w:pStyle w:val="TableText"/>
              <w:rPr>
                <w:i/>
              </w:rPr>
            </w:pPr>
            <w:r w:rsidRPr="00884DE0">
              <w:rPr>
                <w:i/>
              </w:rPr>
              <w:t>(20 minutes/child)</w:t>
            </w:r>
          </w:p>
          <w:p w14:paraId="72E86171" w14:textId="77777777" w:rsidR="004842DA" w:rsidRPr="00884DE0" w:rsidRDefault="00D94B4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4B7E9BC4" w14:textId="69231A8D" w:rsidR="006F4D3D" w:rsidRPr="00884DE0" w:rsidRDefault="004842DA" w:rsidP="00D05F0F">
            <w:pPr>
              <w:pStyle w:val="TableText"/>
            </w:pPr>
            <w:r w:rsidRPr="00884DE0">
              <w:rPr>
                <w:i/>
              </w:rPr>
              <w:t xml:space="preserve"> </w:t>
            </w:r>
            <w:r w:rsidR="00D94B46" w:rsidRPr="00884DE0">
              <w:rPr>
                <w:i/>
              </w:rPr>
              <w:t>(</w:t>
            </w:r>
            <w:r w:rsidR="00296959">
              <w:rPr>
                <w:i/>
              </w:rPr>
              <w:t>30</w:t>
            </w:r>
            <w:r w:rsidR="00D94B46" w:rsidRPr="00884DE0">
              <w:rPr>
                <w:i/>
              </w:rPr>
              <w:t xml:space="preserve"> minutes/child)</w:t>
            </w:r>
          </w:p>
        </w:tc>
        <w:tc>
          <w:tcPr>
            <w:tcW w:w="1715" w:type="dxa"/>
            <w:tcBorders>
              <w:top w:val="single" w:sz="4" w:space="0" w:color="auto"/>
              <w:bottom w:val="single" w:sz="4" w:space="0" w:color="auto"/>
            </w:tcBorders>
            <w:shd w:val="clear" w:color="auto" w:fill="auto"/>
          </w:tcPr>
          <w:p w14:paraId="3AC261D5" w14:textId="212A28D6" w:rsidR="00154A76" w:rsidRPr="00884DE0" w:rsidRDefault="00154A76" w:rsidP="00D05F0F">
            <w:pPr>
              <w:pStyle w:val="TableText"/>
              <w:rPr>
                <w:vertAlign w:val="superscript"/>
              </w:rPr>
            </w:pPr>
            <w:r w:rsidRPr="00884DE0">
              <w:t xml:space="preserve">5 Child </w:t>
            </w:r>
            <w:r w:rsidR="004842DA" w:rsidRPr="00884DE0">
              <w:t>assessments</w:t>
            </w:r>
            <w:r w:rsidR="004842DA" w:rsidRPr="00884DE0">
              <w:rPr>
                <w:vertAlign w:val="superscript"/>
              </w:rPr>
              <w:t>3</w:t>
            </w:r>
          </w:p>
          <w:p w14:paraId="532A7B14" w14:textId="6397F4DD" w:rsidR="006F4D3D" w:rsidRPr="00884DE0" w:rsidRDefault="00154A76" w:rsidP="00D05F0F">
            <w:pPr>
              <w:pStyle w:val="TableText"/>
            </w:pPr>
            <w:r w:rsidRPr="00884DE0">
              <w:rPr>
                <w:i/>
              </w:rPr>
              <w:t>(</w:t>
            </w:r>
            <w:r w:rsidR="00296959">
              <w:rPr>
                <w:i/>
              </w:rPr>
              <w:t>30</w:t>
            </w:r>
            <w:r w:rsidRPr="00884DE0">
              <w:rPr>
                <w:i/>
              </w:rPr>
              <w:t xml:space="preserve"> minutes/child)</w:t>
            </w:r>
          </w:p>
        </w:tc>
      </w:tr>
      <w:tr w:rsidR="006F4D3D" w:rsidRPr="00D05F0F" w14:paraId="544735D9" w14:textId="77777777" w:rsidTr="00012CAE">
        <w:trPr>
          <w:jc w:val="center"/>
        </w:trPr>
        <w:tc>
          <w:tcPr>
            <w:tcW w:w="9835" w:type="dxa"/>
            <w:gridSpan w:val="6"/>
            <w:tcBorders>
              <w:top w:val="single" w:sz="4" w:space="0" w:color="auto"/>
              <w:bottom w:val="single" w:sz="4" w:space="0" w:color="auto"/>
            </w:tcBorders>
            <w:shd w:val="clear" w:color="auto" w:fill="D9D9D9"/>
            <w:vAlign w:val="bottom"/>
          </w:tcPr>
          <w:p w14:paraId="4FBB01F7" w14:textId="278A036E" w:rsidR="006F4D3D" w:rsidRPr="00D05F0F" w:rsidRDefault="006F4D3D" w:rsidP="00D05F0F">
            <w:pPr>
              <w:pStyle w:val="TableHeaderLeft"/>
              <w:spacing w:before="60"/>
              <w:rPr>
                <w:rFonts w:ascii="Arial" w:hAnsi="Arial" w:cs="Arial"/>
                <w:b/>
              </w:rPr>
            </w:pPr>
            <w:r w:rsidRPr="00D05F0F">
              <w:rPr>
                <w:rFonts w:ascii="Arial" w:hAnsi="Arial" w:cs="Arial"/>
                <w:b/>
              </w:rPr>
              <w:t>School 2</w:t>
            </w:r>
          </w:p>
        </w:tc>
      </w:tr>
      <w:tr w:rsidR="006F4D3D" w:rsidRPr="00884DE0" w14:paraId="17C4879E" w14:textId="77777777" w:rsidTr="00012CAE">
        <w:trPr>
          <w:jc w:val="center"/>
        </w:trPr>
        <w:tc>
          <w:tcPr>
            <w:tcW w:w="1260" w:type="dxa"/>
            <w:tcBorders>
              <w:top w:val="single" w:sz="4" w:space="0" w:color="auto"/>
              <w:bottom w:val="single" w:sz="4" w:space="0" w:color="auto"/>
            </w:tcBorders>
            <w:shd w:val="clear" w:color="auto" w:fill="auto"/>
          </w:tcPr>
          <w:p w14:paraId="5D70B041" w14:textId="4B6FAE16" w:rsidR="006F4D3D" w:rsidRPr="00884DE0" w:rsidRDefault="006F4D3D" w:rsidP="00D05F0F">
            <w:pPr>
              <w:pStyle w:val="TableText"/>
            </w:pPr>
            <w:r w:rsidRPr="00884DE0">
              <w:t>Classroom C</w:t>
            </w:r>
          </w:p>
        </w:tc>
        <w:tc>
          <w:tcPr>
            <w:tcW w:w="1715" w:type="dxa"/>
            <w:tcBorders>
              <w:top w:val="single" w:sz="4" w:space="0" w:color="auto"/>
              <w:bottom w:val="single" w:sz="4" w:space="0" w:color="auto"/>
            </w:tcBorders>
            <w:shd w:val="clear" w:color="auto" w:fill="auto"/>
          </w:tcPr>
          <w:p w14:paraId="409B11B9" w14:textId="77777777" w:rsidR="00154A76" w:rsidRPr="00884DE0" w:rsidRDefault="00154A76" w:rsidP="00D05F0F">
            <w:pPr>
              <w:pStyle w:val="TableText"/>
            </w:pPr>
            <w:r w:rsidRPr="00884DE0">
              <w:t>4 Child Observations</w:t>
            </w:r>
            <w:r w:rsidRPr="00884DE0">
              <w:rPr>
                <w:vertAlign w:val="superscript"/>
              </w:rPr>
              <w:t>2</w:t>
            </w:r>
          </w:p>
          <w:p w14:paraId="1803AF1D" w14:textId="77777777" w:rsidR="00154A76" w:rsidRPr="00884DE0" w:rsidRDefault="00154A76" w:rsidP="00D05F0F">
            <w:pPr>
              <w:pStyle w:val="TableText"/>
              <w:rPr>
                <w:i/>
              </w:rPr>
            </w:pPr>
            <w:r w:rsidRPr="00884DE0">
              <w:rPr>
                <w:i/>
              </w:rPr>
              <w:t>(20 minutes/child)</w:t>
            </w:r>
          </w:p>
          <w:p w14:paraId="2FEF0397" w14:textId="77777777" w:rsidR="00AC59D0" w:rsidRPr="00884DE0" w:rsidRDefault="00154A76" w:rsidP="00D05F0F">
            <w:pPr>
              <w:pStyle w:val="TableText"/>
              <w:rPr>
                <w:vertAlign w:val="superscript"/>
              </w:rPr>
            </w:pPr>
            <w:r w:rsidRPr="00884DE0">
              <w:t xml:space="preserve">3 Child </w:t>
            </w:r>
            <w:r w:rsidR="00AC59D0" w:rsidRPr="00884DE0">
              <w:t>assessments</w:t>
            </w:r>
            <w:r w:rsidR="00AC59D0" w:rsidRPr="00884DE0">
              <w:rPr>
                <w:vertAlign w:val="superscript"/>
              </w:rPr>
              <w:t>3</w:t>
            </w:r>
          </w:p>
          <w:p w14:paraId="4726A01B" w14:textId="3DB66164" w:rsidR="006F4D3D" w:rsidRPr="00884DE0" w:rsidRDefault="00AC59D0" w:rsidP="00D05F0F">
            <w:pPr>
              <w:pStyle w:val="TableText"/>
            </w:pPr>
            <w:r w:rsidRPr="00884DE0">
              <w:rPr>
                <w:i/>
              </w:rPr>
              <w:t xml:space="preserve"> </w:t>
            </w:r>
            <w:r w:rsidR="00154A76" w:rsidRPr="00884DE0">
              <w:rPr>
                <w:i/>
              </w:rPr>
              <w:t>(</w:t>
            </w:r>
            <w:r w:rsidR="00296959">
              <w:rPr>
                <w:i/>
              </w:rPr>
              <w:t>30</w:t>
            </w:r>
            <w:r w:rsidR="00154A76" w:rsidRPr="00884DE0">
              <w:rPr>
                <w:i/>
              </w:rPr>
              <w:t xml:space="preserve"> minutes/child)</w:t>
            </w:r>
          </w:p>
        </w:tc>
        <w:tc>
          <w:tcPr>
            <w:tcW w:w="1715" w:type="dxa"/>
            <w:tcBorders>
              <w:top w:val="single" w:sz="4" w:space="0" w:color="auto"/>
              <w:bottom w:val="single" w:sz="4" w:space="0" w:color="auto"/>
            </w:tcBorders>
            <w:shd w:val="clear" w:color="auto" w:fill="auto"/>
          </w:tcPr>
          <w:p w14:paraId="51CB22A1" w14:textId="77777777" w:rsidR="00154A76" w:rsidRPr="00884DE0" w:rsidRDefault="00154A76" w:rsidP="00D05F0F">
            <w:pPr>
              <w:pStyle w:val="TableText"/>
            </w:pPr>
            <w:r w:rsidRPr="00884DE0">
              <w:t>4 Child Observations</w:t>
            </w:r>
            <w:r w:rsidRPr="00884DE0">
              <w:rPr>
                <w:vertAlign w:val="superscript"/>
              </w:rPr>
              <w:t>2</w:t>
            </w:r>
          </w:p>
          <w:p w14:paraId="78FC48DC" w14:textId="77777777" w:rsidR="00154A76" w:rsidRPr="00884DE0" w:rsidRDefault="00154A76" w:rsidP="00D05F0F">
            <w:pPr>
              <w:pStyle w:val="TableText"/>
              <w:rPr>
                <w:i/>
              </w:rPr>
            </w:pPr>
            <w:r w:rsidRPr="00884DE0">
              <w:rPr>
                <w:i/>
              </w:rPr>
              <w:t>(20 minutes/child)</w:t>
            </w:r>
          </w:p>
          <w:p w14:paraId="4544E164" w14:textId="77777777" w:rsidR="004842DA"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2FD8F444" w14:textId="0F362520" w:rsidR="006F4D3D" w:rsidRPr="00884DE0" w:rsidRDefault="00154A76" w:rsidP="00D05F0F">
            <w:pPr>
              <w:pStyle w:val="TableText"/>
              <w:spacing w:after="120"/>
              <w:rPr>
                <w:i/>
              </w:rPr>
            </w:pPr>
            <w:r w:rsidRPr="00884DE0">
              <w:rPr>
                <w:i/>
              </w:rPr>
              <w:t>(</w:t>
            </w:r>
            <w:r w:rsidR="00296959">
              <w:rPr>
                <w:i/>
              </w:rPr>
              <w:t>30</w:t>
            </w:r>
            <w:r w:rsidRPr="00884DE0">
              <w:rPr>
                <w:i/>
              </w:rPr>
              <w:t xml:space="preserve"> minutes/child)</w:t>
            </w:r>
          </w:p>
        </w:tc>
        <w:tc>
          <w:tcPr>
            <w:tcW w:w="1715" w:type="dxa"/>
            <w:tcBorders>
              <w:top w:val="single" w:sz="4" w:space="0" w:color="auto"/>
              <w:bottom w:val="single" w:sz="4" w:space="0" w:color="auto"/>
            </w:tcBorders>
            <w:shd w:val="clear" w:color="auto" w:fill="auto"/>
          </w:tcPr>
          <w:p w14:paraId="36B3FA9A" w14:textId="77777777" w:rsidR="00D94B46" w:rsidRPr="00884DE0" w:rsidRDefault="00D94B46" w:rsidP="00D05F0F">
            <w:pPr>
              <w:pStyle w:val="TableText"/>
              <w:rPr>
                <w:vertAlign w:val="superscript"/>
              </w:rPr>
            </w:pPr>
            <w:r w:rsidRPr="00884DE0">
              <w:t>Classroom observation</w:t>
            </w:r>
            <w:r w:rsidRPr="00884DE0">
              <w:rPr>
                <w:vertAlign w:val="superscript"/>
              </w:rPr>
              <w:t>1</w:t>
            </w:r>
          </w:p>
          <w:p w14:paraId="311FA0FB" w14:textId="31A1B73E" w:rsidR="006F4D3D" w:rsidRPr="00884DE0" w:rsidRDefault="00D94B46" w:rsidP="00D05F0F">
            <w:pPr>
              <w:pStyle w:val="TableText"/>
            </w:pPr>
            <w:r w:rsidRPr="00884DE0">
              <w:rPr>
                <w:i/>
              </w:rPr>
              <w:t>(2.5 hours)</w:t>
            </w:r>
          </w:p>
        </w:tc>
        <w:tc>
          <w:tcPr>
            <w:tcW w:w="1715" w:type="dxa"/>
            <w:tcBorders>
              <w:top w:val="single" w:sz="4" w:space="0" w:color="auto"/>
              <w:bottom w:val="single" w:sz="4" w:space="0" w:color="auto"/>
            </w:tcBorders>
            <w:shd w:val="clear" w:color="auto" w:fill="auto"/>
          </w:tcPr>
          <w:p w14:paraId="4272E4F1" w14:textId="77777777" w:rsidR="00154A76" w:rsidRPr="00884DE0" w:rsidRDefault="00154A76" w:rsidP="00D05F0F">
            <w:pPr>
              <w:pStyle w:val="TableText"/>
            </w:pPr>
            <w:r w:rsidRPr="00884DE0">
              <w:t>4 Child Observations</w:t>
            </w:r>
            <w:r w:rsidRPr="00884DE0">
              <w:rPr>
                <w:vertAlign w:val="superscript"/>
              </w:rPr>
              <w:t>2</w:t>
            </w:r>
          </w:p>
          <w:p w14:paraId="4CC5D14F" w14:textId="77777777" w:rsidR="00154A76" w:rsidRPr="00884DE0" w:rsidRDefault="00154A76" w:rsidP="00D05F0F">
            <w:pPr>
              <w:pStyle w:val="TableText"/>
              <w:rPr>
                <w:i/>
              </w:rPr>
            </w:pPr>
            <w:r w:rsidRPr="00884DE0">
              <w:rPr>
                <w:i/>
              </w:rPr>
              <w:t>(20 minutes/child)</w:t>
            </w:r>
          </w:p>
          <w:p w14:paraId="5BFBA2C8" w14:textId="14F6D61E" w:rsidR="00154A76"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256F9394" w14:textId="0D53BB8E" w:rsidR="006F4D3D" w:rsidRPr="00884DE0" w:rsidRDefault="00154A76" w:rsidP="00D05F0F">
            <w:pPr>
              <w:pStyle w:val="TableText"/>
            </w:pPr>
            <w:r w:rsidRPr="00884DE0">
              <w:rPr>
                <w:i/>
              </w:rPr>
              <w:t>(</w:t>
            </w:r>
            <w:r w:rsidR="00296959">
              <w:rPr>
                <w:i/>
              </w:rPr>
              <w:t>30</w:t>
            </w:r>
            <w:r w:rsidRPr="00884DE0">
              <w:rPr>
                <w:i/>
              </w:rPr>
              <w:t xml:space="preserve"> minutes/child)</w:t>
            </w:r>
          </w:p>
        </w:tc>
        <w:tc>
          <w:tcPr>
            <w:tcW w:w="1715" w:type="dxa"/>
            <w:tcBorders>
              <w:top w:val="single" w:sz="4" w:space="0" w:color="auto"/>
              <w:bottom w:val="single" w:sz="4" w:space="0" w:color="auto"/>
            </w:tcBorders>
            <w:shd w:val="clear" w:color="auto" w:fill="auto"/>
          </w:tcPr>
          <w:p w14:paraId="20D806C7" w14:textId="0C95A2D8" w:rsidR="00154A76" w:rsidRPr="00884DE0" w:rsidRDefault="00154A76" w:rsidP="00D05F0F">
            <w:pPr>
              <w:pStyle w:val="TableText"/>
              <w:rPr>
                <w:vertAlign w:val="superscript"/>
              </w:rPr>
            </w:pPr>
            <w:r w:rsidRPr="00884DE0">
              <w:t xml:space="preserve">5 Child </w:t>
            </w:r>
            <w:r w:rsidR="004842DA" w:rsidRPr="00884DE0">
              <w:t>assessments</w:t>
            </w:r>
            <w:r w:rsidR="004842DA" w:rsidRPr="00884DE0">
              <w:rPr>
                <w:vertAlign w:val="superscript"/>
              </w:rPr>
              <w:t>3</w:t>
            </w:r>
          </w:p>
          <w:p w14:paraId="447D58CD" w14:textId="4E3CBC12" w:rsidR="006F4D3D" w:rsidRPr="00884DE0" w:rsidRDefault="00154A76" w:rsidP="00D05F0F">
            <w:pPr>
              <w:pStyle w:val="TableText"/>
            </w:pPr>
            <w:r w:rsidRPr="00884DE0">
              <w:rPr>
                <w:i/>
              </w:rPr>
              <w:t>(</w:t>
            </w:r>
            <w:r w:rsidR="00296959">
              <w:rPr>
                <w:i/>
              </w:rPr>
              <w:t>30</w:t>
            </w:r>
            <w:r w:rsidRPr="00884DE0">
              <w:rPr>
                <w:i/>
              </w:rPr>
              <w:t xml:space="preserve"> minutes/child)</w:t>
            </w:r>
          </w:p>
        </w:tc>
      </w:tr>
      <w:tr w:rsidR="006F4D3D" w:rsidRPr="00884DE0" w14:paraId="5B0FFD26" w14:textId="77777777" w:rsidTr="00012CAE">
        <w:trPr>
          <w:jc w:val="center"/>
        </w:trPr>
        <w:tc>
          <w:tcPr>
            <w:tcW w:w="1260" w:type="dxa"/>
            <w:tcBorders>
              <w:top w:val="single" w:sz="4" w:space="0" w:color="auto"/>
              <w:bottom w:val="single" w:sz="4" w:space="0" w:color="000000" w:themeColor="text1"/>
            </w:tcBorders>
            <w:shd w:val="clear" w:color="auto" w:fill="auto"/>
          </w:tcPr>
          <w:p w14:paraId="2A2295DE" w14:textId="16765D42" w:rsidR="006F4D3D" w:rsidRPr="00884DE0" w:rsidRDefault="006F4D3D" w:rsidP="00D05F0F">
            <w:pPr>
              <w:pStyle w:val="TableText"/>
            </w:pPr>
            <w:r w:rsidRPr="00884DE0">
              <w:t>Classroom D</w:t>
            </w:r>
          </w:p>
        </w:tc>
        <w:tc>
          <w:tcPr>
            <w:tcW w:w="1715" w:type="dxa"/>
            <w:tcBorders>
              <w:top w:val="single" w:sz="4" w:space="0" w:color="auto"/>
              <w:bottom w:val="single" w:sz="4" w:space="0" w:color="000000" w:themeColor="text1"/>
            </w:tcBorders>
            <w:shd w:val="clear" w:color="auto" w:fill="auto"/>
          </w:tcPr>
          <w:p w14:paraId="2CCE8E03" w14:textId="77777777" w:rsidR="00154A76" w:rsidRPr="00884DE0" w:rsidRDefault="00154A76" w:rsidP="00D05F0F">
            <w:pPr>
              <w:pStyle w:val="TableText"/>
            </w:pPr>
            <w:r w:rsidRPr="00884DE0">
              <w:t>4 Child Observations</w:t>
            </w:r>
            <w:r w:rsidRPr="00884DE0">
              <w:rPr>
                <w:vertAlign w:val="superscript"/>
              </w:rPr>
              <w:t>2</w:t>
            </w:r>
          </w:p>
          <w:p w14:paraId="0B2ACB1B" w14:textId="77777777" w:rsidR="00154A76" w:rsidRPr="00884DE0" w:rsidRDefault="00154A76" w:rsidP="00D05F0F">
            <w:pPr>
              <w:pStyle w:val="TableText"/>
              <w:rPr>
                <w:i/>
              </w:rPr>
            </w:pPr>
            <w:r w:rsidRPr="00884DE0">
              <w:rPr>
                <w:i/>
              </w:rPr>
              <w:t>(20 minutes/child)</w:t>
            </w:r>
          </w:p>
          <w:p w14:paraId="03BE7F43" w14:textId="5E989710" w:rsidR="00154A76" w:rsidRPr="00884DE0" w:rsidRDefault="00154A76" w:rsidP="00D05F0F">
            <w:pPr>
              <w:pStyle w:val="TableText"/>
              <w:rPr>
                <w:vertAlign w:val="superscript"/>
              </w:rPr>
            </w:pPr>
            <w:r w:rsidRPr="00884DE0">
              <w:t xml:space="preserve">3 Child </w:t>
            </w:r>
            <w:r w:rsidR="00AC59D0" w:rsidRPr="00884DE0">
              <w:t>assessments</w:t>
            </w:r>
            <w:r w:rsidR="00AC59D0" w:rsidRPr="00884DE0">
              <w:rPr>
                <w:vertAlign w:val="superscript"/>
              </w:rPr>
              <w:t>3</w:t>
            </w:r>
          </w:p>
          <w:p w14:paraId="0BDC2185" w14:textId="47CE09DB" w:rsidR="006F4D3D" w:rsidRPr="00884DE0" w:rsidRDefault="00154A76" w:rsidP="00D05F0F">
            <w:pPr>
              <w:pStyle w:val="TableText"/>
            </w:pPr>
            <w:r w:rsidRPr="00884DE0">
              <w:rPr>
                <w:i/>
              </w:rPr>
              <w:t>(</w:t>
            </w:r>
            <w:r w:rsidR="00296959">
              <w:rPr>
                <w:i/>
              </w:rPr>
              <w:t>30</w:t>
            </w:r>
            <w:r w:rsidRPr="00884DE0">
              <w:rPr>
                <w:i/>
              </w:rPr>
              <w:t xml:space="preserve"> minutes/child)</w:t>
            </w:r>
          </w:p>
        </w:tc>
        <w:tc>
          <w:tcPr>
            <w:tcW w:w="1715" w:type="dxa"/>
            <w:tcBorders>
              <w:top w:val="single" w:sz="4" w:space="0" w:color="auto"/>
              <w:bottom w:val="single" w:sz="4" w:space="0" w:color="000000" w:themeColor="text1"/>
            </w:tcBorders>
            <w:shd w:val="clear" w:color="auto" w:fill="auto"/>
          </w:tcPr>
          <w:p w14:paraId="5EC20026" w14:textId="77777777" w:rsidR="00154A76" w:rsidRPr="00884DE0" w:rsidRDefault="00154A76" w:rsidP="00D05F0F">
            <w:pPr>
              <w:pStyle w:val="TableText"/>
            </w:pPr>
            <w:r w:rsidRPr="00884DE0">
              <w:t>4 Child Observations</w:t>
            </w:r>
            <w:r w:rsidRPr="00884DE0">
              <w:rPr>
                <w:vertAlign w:val="superscript"/>
              </w:rPr>
              <w:t>2</w:t>
            </w:r>
          </w:p>
          <w:p w14:paraId="538C8E91" w14:textId="77777777" w:rsidR="00154A76" w:rsidRPr="00884DE0" w:rsidRDefault="00154A76" w:rsidP="00D05F0F">
            <w:pPr>
              <w:pStyle w:val="TableText"/>
              <w:rPr>
                <w:i/>
              </w:rPr>
            </w:pPr>
            <w:r w:rsidRPr="00884DE0">
              <w:rPr>
                <w:i/>
              </w:rPr>
              <w:t>(20 minutes/child)</w:t>
            </w:r>
          </w:p>
          <w:p w14:paraId="785759D1" w14:textId="77777777" w:rsidR="004842DA"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16FEA3D1" w14:textId="79312BAF" w:rsidR="006F4D3D" w:rsidRPr="00884DE0" w:rsidRDefault="004842DA" w:rsidP="00D05F0F">
            <w:pPr>
              <w:pStyle w:val="TableText"/>
              <w:spacing w:after="120"/>
              <w:rPr>
                <w:i/>
              </w:rPr>
            </w:pPr>
            <w:r w:rsidRPr="00884DE0">
              <w:rPr>
                <w:i/>
              </w:rPr>
              <w:t xml:space="preserve"> </w:t>
            </w:r>
            <w:r w:rsidR="00154A76" w:rsidRPr="00884DE0">
              <w:rPr>
                <w:i/>
              </w:rPr>
              <w:t>(</w:t>
            </w:r>
            <w:r w:rsidR="00296959">
              <w:rPr>
                <w:i/>
              </w:rPr>
              <w:t>30</w:t>
            </w:r>
            <w:r w:rsidR="00154A76" w:rsidRPr="00884DE0">
              <w:rPr>
                <w:i/>
              </w:rPr>
              <w:t xml:space="preserve"> minutes/child)</w:t>
            </w:r>
          </w:p>
        </w:tc>
        <w:tc>
          <w:tcPr>
            <w:tcW w:w="1715" w:type="dxa"/>
            <w:tcBorders>
              <w:top w:val="single" w:sz="4" w:space="0" w:color="auto"/>
              <w:bottom w:val="single" w:sz="4" w:space="0" w:color="000000" w:themeColor="text1"/>
            </w:tcBorders>
            <w:shd w:val="clear" w:color="auto" w:fill="auto"/>
          </w:tcPr>
          <w:p w14:paraId="1AA415BC" w14:textId="77777777" w:rsidR="00154A76" w:rsidRPr="00884DE0" w:rsidRDefault="00154A76" w:rsidP="00D05F0F">
            <w:pPr>
              <w:pStyle w:val="TableText"/>
            </w:pPr>
            <w:r w:rsidRPr="00884DE0">
              <w:t>4 Child Observations</w:t>
            </w:r>
            <w:r w:rsidRPr="00884DE0">
              <w:rPr>
                <w:vertAlign w:val="superscript"/>
              </w:rPr>
              <w:t>2</w:t>
            </w:r>
          </w:p>
          <w:p w14:paraId="23E282CC" w14:textId="77777777" w:rsidR="00154A76" w:rsidRPr="00884DE0" w:rsidRDefault="00154A76" w:rsidP="00D05F0F">
            <w:pPr>
              <w:pStyle w:val="TableText"/>
              <w:rPr>
                <w:i/>
              </w:rPr>
            </w:pPr>
            <w:r w:rsidRPr="00884DE0">
              <w:rPr>
                <w:i/>
              </w:rPr>
              <w:t>(20 minutes/child)</w:t>
            </w:r>
          </w:p>
          <w:p w14:paraId="29A8B7BB" w14:textId="77777777" w:rsidR="004842DA" w:rsidRPr="00884DE0" w:rsidRDefault="00154A76" w:rsidP="00D05F0F">
            <w:pPr>
              <w:pStyle w:val="TableText"/>
              <w:rPr>
                <w:vertAlign w:val="superscript"/>
              </w:rPr>
            </w:pPr>
            <w:r w:rsidRPr="00884DE0">
              <w:t xml:space="preserve">3 Child </w:t>
            </w:r>
            <w:r w:rsidR="004842DA" w:rsidRPr="00884DE0">
              <w:t>assessments</w:t>
            </w:r>
            <w:r w:rsidR="004842DA" w:rsidRPr="00884DE0">
              <w:rPr>
                <w:vertAlign w:val="superscript"/>
              </w:rPr>
              <w:t>3</w:t>
            </w:r>
          </w:p>
          <w:p w14:paraId="41DF3AC1" w14:textId="556ACE55" w:rsidR="006F4D3D" w:rsidRPr="00884DE0" w:rsidRDefault="004842DA" w:rsidP="00D05F0F">
            <w:pPr>
              <w:pStyle w:val="TableText"/>
            </w:pPr>
            <w:r w:rsidRPr="00884DE0">
              <w:rPr>
                <w:i/>
              </w:rPr>
              <w:t xml:space="preserve"> </w:t>
            </w:r>
            <w:r w:rsidR="00154A76" w:rsidRPr="00884DE0">
              <w:rPr>
                <w:i/>
              </w:rPr>
              <w:t>(</w:t>
            </w:r>
            <w:r w:rsidR="00296959">
              <w:rPr>
                <w:i/>
              </w:rPr>
              <w:t>30</w:t>
            </w:r>
            <w:r w:rsidR="00154A76" w:rsidRPr="00884DE0">
              <w:rPr>
                <w:i/>
              </w:rPr>
              <w:t xml:space="preserve"> minutes/child)</w:t>
            </w:r>
          </w:p>
        </w:tc>
        <w:tc>
          <w:tcPr>
            <w:tcW w:w="1715" w:type="dxa"/>
            <w:tcBorders>
              <w:top w:val="single" w:sz="4" w:space="0" w:color="auto"/>
              <w:bottom w:val="single" w:sz="4" w:space="0" w:color="000000" w:themeColor="text1"/>
            </w:tcBorders>
            <w:shd w:val="clear" w:color="auto" w:fill="auto"/>
          </w:tcPr>
          <w:p w14:paraId="6597FCD9" w14:textId="77777777" w:rsidR="00D94B46" w:rsidRPr="00884DE0" w:rsidRDefault="00D94B46" w:rsidP="00D05F0F">
            <w:pPr>
              <w:pStyle w:val="TableText"/>
              <w:rPr>
                <w:vertAlign w:val="superscript"/>
              </w:rPr>
            </w:pPr>
            <w:r w:rsidRPr="00884DE0">
              <w:t>Classroom observation</w:t>
            </w:r>
            <w:r w:rsidRPr="00884DE0">
              <w:rPr>
                <w:vertAlign w:val="superscript"/>
              </w:rPr>
              <w:t>1</w:t>
            </w:r>
          </w:p>
          <w:p w14:paraId="2BDDCFF0" w14:textId="12CBFCF5" w:rsidR="006F4D3D" w:rsidRPr="00884DE0" w:rsidRDefault="00D94B46" w:rsidP="00D05F0F">
            <w:pPr>
              <w:pStyle w:val="TableText"/>
            </w:pPr>
            <w:r w:rsidRPr="00884DE0">
              <w:rPr>
                <w:i/>
              </w:rPr>
              <w:t>(2.5 hours)</w:t>
            </w:r>
          </w:p>
        </w:tc>
        <w:tc>
          <w:tcPr>
            <w:tcW w:w="1715" w:type="dxa"/>
            <w:tcBorders>
              <w:top w:val="single" w:sz="4" w:space="0" w:color="auto"/>
              <w:bottom w:val="single" w:sz="4" w:space="0" w:color="000000" w:themeColor="text1"/>
            </w:tcBorders>
            <w:shd w:val="clear" w:color="auto" w:fill="auto"/>
          </w:tcPr>
          <w:p w14:paraId="653D5CCA" w14:textId="77777777" w:rsidR="004842DA" w:rsidRPr="00884DE0" w:rsidRDefault="00154A76" w:rsidP="00D05F0F">
            <w:pPr>
              <w:pStyle w:val="TableText"/>
              <w:rPr>
                <w:vertAlign w:val="superscript"/>
              </w:rPr>
            </w:pPr>
            <w:r w:rsidRPr="00884DE0">
              <w:t xml:space="preserve">5 Child </w:t>
            </w:r>
            <w:r w:rsidR="004842DA" w:rsidRPr="00884DE0">
              <w:t>assessments</w:t>
            </w:r>
            <w:r w:rsidR="004842DA" w:rsidRPr="00884DE0">
              <w:rPr>
                <w:vertAlign w:val="superscript"/>
              </w:rPr>
              <w:t>3</w:t>
            </w:r>
          </w:p>
          <w:p w14:paraId="777EEB26" w14:textId="5B6D6EBD" w:rsidR="006F4D3D" w:rsidRPr="00884DE0" w:rsidRDefault="004842DA" w:rsidP="00D05F0F">
            <w:pPr>
              <w:pStyle w:val="TableText"/>
            </w:pPr>
            <w:r w:rsidRPr="00884DE0">
              <w:rPr>
                <w:i/>
              </w:rPr>
              <w:t xml:space="preserve"> </w:t>
            </w:r>
            <w:r w:rsidR="00154A76" w:rsidRPr="00884DE0">
              <w:rPr>
                <w:i/>
              </w:rPr>
              <w:t>(</w:t>
            </w:r>
            <w:r w:rsidR="00296959">
              <w:rPr>
                <w:i/>
              </w:rPr>
              <w:t>30</w:t>
            </w:r>
            <w:r w:rsidR="00154A76" w:rsidRPr="00884DE0">
              <w:rPr>
                <w:i/>
              </w:rPr>
              <w:t xml:space="preserve"> minutes/child)</w:t>
            </w:r>
          </w:p>
        </w:tc>
      </w:tr>
    </w:tbl>
    <w:p w14:paraId="01C8EF60" w14:textId="36A01322" w:rsidR="00E640C3" w:rsidRPr="0064698F" w:rsidRDefault="00E640C3" w:rsidP="00994440">
      <w:pPr>
        <w:pStyle w:val="TableFootnoteCaption"/>
      </w:pPr>
      <w:r w:rsidRPr="0064698F">
        <w:rPr>
          <w:vertAlign w:val="superscript"/>
        </w:rPr>
        <w:t xml:space="preserve">1 </w:t>
      </w:r>
      <w:r w:rsidR="006970F8">
        <w:t xml:space="preserve">Classroom observations </w:t>
      </w:r>
      <w:r w:rsidR="00673B97">
        <w:t>will be conducted using the</w:t>
      </w:r>
      <w:r w:rsidRPr="0064698F">
        <w:t xml:space="preserve"> I</w:t>
      </w:r>
      <w:r w:rsidR="006970F8">
        <w:t xml:space="preserve">nclusive </w:t>
      </w:r>
      <w:r w:rsidRPr="0064698F">
        <w:t>C</w:t>
      </w:r>
      <w:r w:rsidR="006970F8">
        <w:t xml:space="preserve">lassroom </w:t>
      </w:r>
      <w:r w:rsidRPr="0064698F">
        <w:t>P</w:t>
      </w:r>
      <w:r w:rsidR="006970F8">
        <w:t>rofile</w:t>
      </w:r>
      <w:r w:rsidRPr="0064698F">
        <w:t xml:space="preserve"> and Engagement</w:t>
      </w:r>
      <w:r w:rsidR="006970F8">
        <w:t xml:space="preserve"> Check</w:t>
      </w:r>
      <w:r w:rsidRPr="0064698F">
        <w:t xml:space="preserve">.  </w:t>
      </w:r>
    </w:p>
    <w:p w14:paraId="1493DE6A" w14:textId="187BB188" w:rsidR="00E640C3" w:rsidRDefault="00E640C3" w:rsidP="00994440">
      <w:pPr>
        <w:pStyle w:val="TableFootnoteCaption"/>
        <w:rPr>
          <w:i/>
        </w:rPr>
      </w:pPr>
      <w:r w:rsidRPr="0064698F">
        <w:rPr>
          <w:vertAlign w:val="superscript"/>
        </w:rPr>
        <w:t xml:space="preserve">2 </w:t>
      </w:r>
      <w:r w:rsidRPr="0064698F">
        <w:t xml:space="preserve">Child </w:t>
      </w:r>
      <w:r w:rsidR="004842DA">
        <w:t>o</w:t>
      </w:r>
      <w:r w:rsidRPr="0064698F">
        <w:t>bservations will be done with the T</w:t>
      </w:r>
      <w:r w:rsidR="001B04AE">
        <w:t xml:space="preserve">arget </w:t>
      </w:r>
      <w:r w:rsidRPr="0064698F">
        <w:t>C</w:t>
      </w:r>
      <w:r w:rsidR="001B04AE">
        <w:t xml:space="preserve">hild </w:t>
      </w:r>
      <w:r w:rsidRPr="0064698F">
        <w:t>O</w:t>
      </w:r>
      <w:r w:rsidR="001B04AE">
        <w:t xml:space="preserve">bservation </w:t>
      </w:r>
      <w:r w:rsidRPr="0064698F">
        <w:t>S</w:t>
      </w:r>
      <w:r w:rsidR="001B04AE">
        <w:t>ystem</w:t>
      </w:r>
      <w:r w:rsidRPr="0064698F">
        <w:t xml:space="preserve"> on up to four children selected by the teacher over three days</w:t>
      </w:r>
      <w:r w:rsidRPr="0064698F">
        <w:rPr>
          <w:i/>
        </w:rPr>
        <w:t>.</w:t>
      </w:r>
    </w:p>
    <w:p w14:paraId="3D7BA804" w14:textId="71A88D1D" w:rsidR="00EA7E10" w:rsidRDefault="004842DA" w:rsidP="00994440">
      <w:pPr>
        <w:pStyle w:val="TableFootnoteCaption"/>
      </w:pPr>
      <w:r>
        <w:rPr>
          <w:vertAlign w:val="superscript"/>
        </w:rPr>
        <w:t xml:space="preserve">3 </w:t>
      </w:r>
      <w:r>
        <w:t xml:space="preserve">Child assessments will be conducted with the Test of Early Reading </w:t>
      </w:r>
      <w:r w:rsidR="00112C35">
        <w:t xml:space="preserve">Ability, Third Edition </w:t>
      </w:r>
      <w:r>
        <w:t xml:space="preserve">on </w:t>
      </w:r>
      <w:r w:rsidR="00634CC2">
        <w:t xml:space="preserve">an average of </w:t>
      </w:r>
      <w:r w:rsidR="00112C35">
        <w:t xml:space="preserve">14 children per classroom over five days. </w:t>
      </w:r>
    </w:p>
    <w:p w14:paraId="117158A0" w14:textId="77777777" w:rsidR="00671084" w:rsidRPr="00DA6426" w:rsidRDefault="00671084" w:rsidP="00DA6426">
      <w:pPr>
        <w:pStyle w:val="TableSourceCaption"/>
      </w:pPr>
    </w:p>
    <w:p w14:paraId="23D3C7C7" w14:textId="741E1E25" w:rsidR="00EA7E10" w:rsidRDefault="00EA7E10" w:rsidP="00D05F0F">
      <w:pPr>
        <w:pStyle w:val="NormalSS"/>
      </w:pPr>
      <w:r>
        <w:t>In both fall and spring, each team member conducting classroom observations will receive a quality assurance visit</w:t>
      </w:r>
      <w:r w:rsidR="00560EF2">
        <w:t xml:space="preserve"> from</w:t>
      </w:r>
      <w:r w:rsidR="001E6A98">
        <w:t xml:space="preserve"> a gold standard</w:t>
      </w:r>
      <w:r w:rsidR="001E6A98">
        <w:rPr>
          <w:rStyle w:val="FootnoteReference"/>
        </w:rPr>
        <w:footnoteReference w:id="7"/>
      </w:r>
      <w:r w:rsidR="001E6A98">
        <w:t xml:space="preserve"> observer </w:t>
      </w:r>
      <w:r w:rsidR="00560EF2">
        <w:t>to ensure the quality of the data collection</w:t>
      </w:r>
      <w:r w:rsidR="001B04AE">
        <w:t xml:space="preserve">. In </w:t>
      </w:r>
      <w:r>
        <w:t>spring</w:t>
      </w:r>
      <w:r w:rsidR="001B04AE">
        <w:t>,</w:t>
      </w:r>
      <w:r w:rsidR="001E6A98">
        <w:t xml:space="preserve"> gold standard observers and assessors</w:t>
      </w:r>
      <w:r>
        <w:t xml:space="preserve"> </w:t>
      </w:r>
      <w:r w:rsidR="001B2B30">
        <w:t>will</w:t>
      </w:r>
      <w:r w:rsidR="001E6A98">
        <w:t xml:space="preserve"> also</w:t>
      </w:r>
      <w:r w:rsidR="001B2B30">
        <w:t xml:space="preserve"> </w:t>
      </w:r>
      <w:r>
        <w:t xml:space="preserve">conduct at least one </w:t>
      </w:r>
      <w:r w:rsidR="001B04AE">
        <w:t xml:space="preserve">quality assurance </w:t>
      </w:r>
      <w:r>
        <w:t xml:space="preserve">visit to observe each team member conducting child </w:t>
      </w:r>
      <w:r w:rsidR="0076773E">
        <w:t xml:space="preserve">assessments and </w:t>
      </w:r>
      <w:r>
        <w:t>observations</w:t>
      </w:r>
      <w:r w:rsidR="00634CC2">
        <w:t xml:space="preserve">. </w:t>
      </w:r>
      <w:r>
        <w:t>All hard</w:t>
      </w:r>
      <w:r w:rsidR="001B2B30">
        <w:t>-</w:t>
      </w:r>
      <w:r>
        <w:t xml:space="preserve">copy instruments will be returned to Mathematica via express mail and reviewed for quality. All instruments will be data entered and 100 percent verified. </w:t>
      </w:r>
    </w:p>
    <w:p w14:paraId="6F29C8DF" w14:textId="12610EB7" w:rsidR="003829AE" w:rsidRDefault="003829AE" w:rsidP="00D05F0F">
      <w:pPr>
        <w:pStyle w:val="NormalSS"/>
      </w:pPr>
      <w:r w:rsidRPr="003829AE">
        <w:rPr>
          <w:b/>
        </w:rPr>
        <w:t xml:space="preserve">Obtaining administrative records from districts. </w:t>
      </w:r>
      <w:r w:rsidRPr="003829AE">
        <w:t>Mathematica research staff will work with a district liaison to collect administrative records for all study children from the district in summer 2020 and 2021. These electronic records, uploaded to a secure project website, will include demographic, attendance, and curriculum-linked assessment information. We will also ask districts to provide cost information, including staff, substitute teacher, and facilities rates.</w:t>
      </w:r>
    </w:p>
    <w:p w14:paraId="4DE3DD4A" w14:textId="2F8D1859" w:rsidR="00704083" w:rsidRPr="00B4367A" w:rsidRDefault="00704083" w:rsidP="00683E27">
      <w:pPr>
        <w:pStyle w:val="H3Alpha"/>
      </w:pPr>
      <w:bookmarkStart w:id="23" w:name="_Toc531602974"/>
      <w:r w:rsidRPr="00B4367A">
        <w:t xml:space="preserve">B3. Methods to </w:t>
      </w:r>
      <w:r w:rsidR="00023D5E">
        <w:t>m</w:t>
      </w:r>
      <w:r w:rsidRPr="00B4367A">
        <w:t xml:space="preserve">aximize </w:t>
      </w:r>
      <w:r w:rsidR="00023D5E">
        <w:t>r</w:t>
      </w:r>
      <w:r w:rsidRPr="00B4367A">
        <w:t xml:space="preserve">esponse </w:t>
      </w:r>
      <w:r w:rsidR="00023D5E">
        <w:t>r</w:t>
      </w:r>
      <w:r w:rsidRPr="00B4367A">
        <w:t xml:space="preserve">ates and </w:t>
      </w:r>
      <w:r w:rsidR="00023D5E">
        <w:t>d</w:t>
      </w:r>
      <w:r w:rsidRPr="00B4367A">
        <w:t xml:space="preserve">eal with </w:t>
      </w:r>
      <w:r w:rsidR="00023D5E">
        <w:t>n</w:t>
      </w:r>
      <w:r w:rsidRPr="00B4367A">
        <w:t>onresponse</w:t>
      </w:r>
      <w:bookmarkEnd w:id="23"/>
      <w:r w:rsidRPr="00B4367A">
        <w:t xml:space="preserve"> </w:t>
      </w:r>
    </w:p>
    <w:p w14:paraId="68B05530" w14:textId="52EBDE0E" w:rsidR="008F6E33" w:rsidRDefault="00704083" w:rsidP="008F6E33">
      <w:pPr>
        <w:pStyle w:val="NormalSS"/>
      </w:pPr>
      <w:r>
        <w:t xml:space="preserve">The EPSEP </w:t>
      </w:r>
      <w:r w:rsidR="00C17312">
        <w:t xml:space="preserve">efficacy </w:t>
      </w:r>
      <w:r>
        <w:t xml:space="preserve">study will </w:t>
      </w:r>
      <w:r w:rsidR="00023D5E">
        <w:t xml:space="preserve">use </w:t>
      </w:r>
      <w:r w:rsidR="00C17312">
        <w:t xml:space="preserve">several </w:t>
      </w:r>
      <w:r>
        <w:t>approaches to maximize response rates</w:t>
      </w:r>
      <w:r w:rsidR="00C1230F">
        <w:t>,</w:t>
      </w:r>
      <w:r>
        <w:t xml:space="preserve"> </w:t>
      </w:r>
      <w:r w:rsidR="00C17312">
        <w:t xml:space="preserve">while minimizing burden on respondents. </w:t>
      </w:r>
      <w:r w:rsidR="008F6E33">
        <w:t>To maximize response rates for this information collection, we will take the following steps:</w:t>
      </w:r>
    </w:p>
    <w:p w14:paraId="6923729C" w14:textId="29DD8C32" w:rsidR="00434170" w:rsidRPr="00AC44B8" w:rsidRDefault="00023D5E" w:rsidP="00434170">
      <w:pPr>
        <w:pStyle w:val="Bullet"/>
        <w:rPr>
          <w:b/>
        </w:rPr>
      </w:pPr>
      <w:r>
        <w:rPr>
          <w:b/>
        </w:rPr>
        <w:t>Use t</w:t>
      </w:r>
      <w:r w:rsidR="00434170" w:rsidRPr="0041776D">
        <w:rPr>
          <w:b/>
        </w:rPr>
        <w:t xml:space="preserve">rained and experienced data collection staff. </w:t>
      </w:r>
      <w:r w:rsidR="00421009">
        <w:t>Field</w:t>
      </w:r>
      <w:r w:rsidR="00434170">
        <w:t xml:space="preserve"> staff will work with a coordinator at each school who will serve as a liaison between the study team and school staff. All </w:t>
      </w:r>
      <w:r w:rsidR="00421009">
        <w:t xml:space="preserve">research and field </w:t>
      </w:r>
      <w:r w:rsidR="00434170">
        <w:t xml:space="preserve">staff assigned to the study will participate in extensive project-specific training to ensure that they are ready to respond effectively to respondents’ questions and develop their skills for securing respondent cooperation. They also </w:t>
      </w:r>
      <w:r>
        <w:t xml:space="preserve">will </w:t>
      </w:r>
      <w:r w:rsidR="00434170">
        <w:t xml:space="preserve">be trained in techniques to conduct study activities efficiently and with minimal disruptions to school staff and children. </w:t>
      </w:r>
    </w:p>
    <w:p w14:paraId="36C87159" w14:textId="625724A5" w:rsidR="006A6358" w:rsidRPr="00D43963" w:rsidRDefault="00B64C41" w:rsidP="006A755E">
      <w:pPr>
        <w:pStyle w:val="Bullet"/>
        <w:rPr>
          <w:b/>
        </w:rPr>
      </w:pPr>
      <w:r>
        <w:rPr>
          <w:b/>
        </w:rPr>
        <w:t xml:space="preserve">Use data collection procedures that follow district requirements, protect confidentiality, and minimize burden. </w:t>
      </w:r>
      <w:r w:rsidRPr="00D43963">
        <w:t>W</w:t>
      </w:r>
      <w:r w:rsidR="008F6E33">
        <w:t xml:space="preserve">e will adhere to </w:t>
      </w:r>
      <w:r w:rsidR="00DC3B21">
        <w:t xml:space="preserve">any </w:t>
      </w:r>
      <w:r w:rsidR="008F6E33">
        <w:t>data collection requirements that districts may have</w:t>
      </w:r>
      <w:r w:rsidR="00023D5E">
        <w:t>,</w:t>
      </w:r>
      <w:r w:rsidR="008F6E33">
        <w:t xml:space="preserve"> such as preparing research applications and seeking institutional review board approvals. </w:t>
      </w:r>
      <w:r w:rsidRPr="00434170">
        <w:t xml:space="preserve">We will </w:t>
      </w:r>
      <w:r>
        <w:t xml:space="preserve">also </w:t>
      </w:r>
      <w:r w:rsidRPr="00434170">
        <w:t xml:space="preserve">include a statement on confidentiality and data </w:t>
      </w:r>
      <w:r>
        <w:t>protection</w:t>
      </w:r>
      <w:r w:rsidRPr="00434170">
        <w:t xml:space="preserve"> (Education Sciences Reform Act of 2002, Title I, Part E, Section 183) in all letters and data collection instruments. </w:t>
      </w:r>
      <w:r w:rsidRPr="00B64C41">
        <w:t xml:space="preserve">We </w:t>
      </w:r>
      <w:r>
        <w:t xml:space="preserve">plan to rely on </w:t>
      </w:r>
      <w:r w:rsidRPr="00B64C41">
        <w:t xml:space="preserve">administrative records </w:t>
      </w:r>
      <w:r>
        <w:t xml:space="preserve">where possible to </w:t>
      </w:r>
      <w:r w:rsidRPr="00B64C41">
        <w:t xml:space="preserve">minimize burden on schools and parents. </w:t>
      </w:r>
      <w:r w:rsidR="00CC15A2">
        <w:t>We do anticipate full district participation addressing requests for administrative records</w:t>
      </w:r>
      <w:r>
        <w:t>, consistent with f</w:t>
      </w:r>
      <w:r w:rsidR="008F6E33" w:rsidRPr="00235946">
        <w:t>ederal rules permit</w:t>
      </w:r>
      <w:r>
        <w:t>ting</w:t>
      </w:r>
      <w:r w:rsidR="008F6E33" w:rsidRPr="00235946">
        <w:t xml:space="preserve"> </w:t>
      </w:r>
      <w:r w:rsidR="00023D5E">
        <w:t xml:space="preserve">the </w:t>
      </w:r>
      <w:r w:rsidR="00023D5E" w:rsidRPr="00815F0E">
        <w:t>U.S. Department of Education</w:t>
      </w:r>
      <w:r w:rsidR="008F6E33" w:rsidRPr="00235946">
        <w:t xml:space="preserve"> and its designated agents to collect student demographic and existing achievement data from schools and districts without prior parental or student consent</w:t>
      </w:r>
      <w:r w:rsidR="008F6E33">
        <w:t xml:space="preserve"> (Family Educational and Rights and Privacy Act (FERPA) (20 U.S.C. 1232g; 34 CFR Part 99)). </w:t>
      </w:r>
      <w:r w:rsidR="00D43963">
        <w:t>To minimize burden on district staff, w</w:t>
      </w:r>
      <w:r w:rsidR="00933C23" w:rsidRPr="006A6358" w:rsidDel="00BC1045">
        <w:t xml:space="preserve">e will provide a secure website to upload </w:t>
      </w:r>
      <w:r w:rsidR="00D43963">
        <w:t>administrative records. To minimize burden of other data collection activities on school staff, our team’s f</w:t>
      </w:r>
      <w:r w:rsidR="00933C23" w:rsidRPr="006A6358" w:rsidDel="00BC1045">
        <w:t xml:space="preserve">ield staff </w:t>
      </w:r>
      <w:r w:rsidR="00D43963">
        <w:t xml:space="preserve">will be available to </w:t>
      </w:r>
      <w:r w:rsidR="00933C23" w:rsidRPr="006A6358" w:rsidDel="00BC1045">
        <w:t>go to schools to pick up hard copies</w:t>
      </w:r>
      <w:r w:rsidR="00933C23" w:rsidDel="00BC1045">
        <w:t xml:space="preserve"> of completed data collection instruments</w:t>
      </w:r>
      <w:r w:rsidR="00933C23" w:rsidRPr="006A6358" w:rsidDel="00BC1045">
        <w:t>.</w:t>
      </w:r>
      <w:r w:rsidR="00461ED0">
        <w:t xml:space="preserve"> </w:t>
      </w:r>
      <w:r w:rsidR="00434170" w:rsidRPr="00434170">
        <w:t xml:space="preserve"> </w:t>
      </w:r>
    </w:p>
    <w:p w14:paraId="357085BA" w14:textId="7BCF1C4F" w:rsidR="0004144C" w:rsidRDefault="0004144C" w:rsidP="006A755E">
      <w:pPr>
        <w:pStyle w:val="Bullet"/>
        <w:rPr>
          <w:b/>
        </w:rPr>
      </w:pPr>
      <w:r>
        <w:rPr>
          <w:b/>
        </w:rPr>
        <w:t xml:space="preserve">Secure school engagement. </w:t>
      </w:r>
      <w:r>
        <w:t xml:space="preserve">We will </w:t>
      </w:r>
      <w:r w:rsidR="00652C13">
        <w:t xml:space="preserve">follow the districts’ lead on how to best engage their schools in this study. </w:t>
      </w:r>
      <w:r w:rsidR="0028195D">
        <w:t>To help ensure a smooth data collection effort at the school-level, w</w:t>
      </w:r>
      <w:r w:rsidR="00652C13">
        <w:t xml:space="preserve">e will </w:t>
      </w:r>
      <w:r w:rsidR="0028195D">
        <w:t xml:space="preserve">work with the school to appoint one school staff member as the on-site coordinator. The research and field staff will work closely with the on-site coordinator to schedule the site visits, secure space for conducting focus groups, disseminate and collect study forms and surveys, and follow-up with non-respondents. </w:t>
      </w:r>
      <w:r w:rsidR="00343588">
        <w:t>We will identify how best to handle these complex logistics in a way that is least burdensome for the school and its staff.</w:t>
      </w:r>
    </w:p>
    <w:p w14:paraId="5038DCDB" w14:textId="72DBA85B" w:rsidR="008F6E33" w:rsidRDefault="002344A9" w:rsidP="006A755E">
      <w:pPr>
        <w:pStyle w:val="Bullet"/>
        <w:rPr>
          <w:b/>
        </w:rPr>
      </w:pPr>
      <w:r>
        <w:rPr>
          <w:b/>
        </w:rPr>
        <w:t>Secur</w:t>
      </w:r>
      <w:r w:rsidR="00434170">
        <w:rPr>
          <w:b/>
        </w:rPr>
        <w:t>e</w:t>
      </w:r>
      <w:r>
        <w:rPr>
          <w:b/>
        </w:rPr>
        <w:t xml:space="preserve"> teacher engagement. </w:t>
      </w:r>
      <w:r>
        <w:t xml:space="preserve">We will provide teachers with professionally designed flyers about the study </w:t>
      </w:r>
      <w:r w:rsidR="00023D5E">
        <w:t xml:space="preserve">and </w:t>
      </w:r>
      <w:r>
        <w:t>the IEP</w:t>
      </w:r>
      <w:r w:rsidRPr="00607A81">
        <w:rPr>
          <w:vertAlign w:val="subscript"/>
        </w:rPr>
        <w:t>M</w:t>
      </w:r>
      <w:r>
        <w:t xml:space="preserve"> program. </w:t>
      </w:r>
      <w:r w:rsidR="0041776D">
        <w:t>In addition, a one</w:t>
      </w:r>
      <w:r w:rsidR="00023D5E">
        <w:t>-</w:t>
      </w:r>
      <w:r w:rsidR="0041776D">
        <w:t xml:space="preserve">hour orientation session will give teachers the opportunity to ask questions in person and fully understand </w:t>
      </w:r>
      <w:r w:rsidR="0090553F">
        <w:t>what is involved in participating in the study</w:t>
      </w:r>
      <w:r w:rsidR="0041776D">
        <w:t xml:space="preserve">. Teachers also </w:t>
      </w:r>
      <w:r w:rsidR="00023D5E">
        <w:t xml:space="preserve">will </w:t>
      </w:r>
      <w:r w:rsidR="0041776D">
        <w:t xml:space="preserve">receive advance notification about upcoming visits and a toll-free number to ask any questions. </w:t>
      </w:r>
    </w:p>
    <w:p w14:paraId="6A8DCFA9" w14:textId="6CA4E65E" w:rsidR="0041776D" w:rsidRPr="00347733" w:rsidRDefault="002C1A01" w:rsidP="006A755E">
      <w:pPr>
        <w:pStyle w:val="Bullet"/>
        <w:rPr>
          <w:b/>
        </w:rPr>
      </w:pPr>
      <w:r>
        <w:rPr>
          <w:b/>
        </w:rPr>
        <w:t>Use t</w:t>
      </w:r>
      <w:r w:rsidR="00347733">
        <w:rPr>
          <w:b/>
        </w:rPr>
        <w:t>iered incentives to secure parental consent</w:t>
      </w:r>
      <w:r w:rsidR="0041776D" w:rsidRPr="00AC44B8">
        <w:rPr>
          <w:b/>
        </w:rPr>
        <w:t xml:space="preserve">. </w:t>
      </w:r>
      <w:r w:rsidR="00E86C7F" w:rsidRPr="00E86C7F">
        <w:t>As described in Part A,</w:t>
      </w:r>
      <w:r w:rsidR="00E86C7F">
        <w:t xml:space="preserve"> Section A9</w:t>
      </w:r>
      <w:r w:rsidR="001E4D9C">
        <w:t xml:space="preserve">, </w:t>
      </w:r>
      <w:r w:rsidR="00E86C7F">
        <w:t>w</w:t>
      </w:r>
      <w:r w:rsidR="0041776D">
        <w:t xml:space="preserve">e will </w:t>
      </w:r>
      <w:r w:rsidR="00023D5E">
        <w:t xml:space="preserve">provide </w:t>
      </w:r>
      <w:r w:rsidR="0041776D">
        <w:t>teachers</w:t>
      </w:r>
      <w:r w:rsidR="001E4D9C">
        <w:t xml:space="preserve"> (one per classroom)</w:t>
      </w:r>
      <w:r w:rsidR="0041776D">
        <w:t xml:space="preserve"> </w:t>
      </w:r>
      <w:r w:rsidR="00023D5E">
        <w:t xml:space="preserve">with incentives </w:t>
      </w:r>
      <w:r w:rsidR="0041776D">
        <w:t xml:space="preserve">to ensure we obtain a high rate of returned </w:t>
      </w:r>
      <w:r>
        <w:t xml:space="preserve">parental </w:t>
      </w:r>
      <w:r w:rsidR="0041776D">
        <w:t xml:space="preserve">consent forms. </w:t>
      </w:r>
      <w:r w:rsidR="001E4D9C">
        <w:t xml:space="preserve">Teachers </w:t>
      </w:r>
      <w:r w:rsidR="0041776D">
        <w:t xml:space="preserve">will receive $25 to </w:t>
      </w:r>
      <w:r w:rsidR="00322B24">
        <w:t>help</w:t>
      </w:r>
      <w:r w:rsidR="0041776D">
        <w:t xml:space="preserve"> us distribut</w:t>
      </w:r>
      <w:r w:rsidR="00322B24">
        <w:t>e</w:t>
      </w:r>
      <w:r w:rsidR="0041776D">
        <w:t xml:space="preserve"> and collect consent form</w:t>
      </w:r>
      <w:r>
        <w:t>s</w:t>
      </w:r>
      <w:r w:rsidR="0041776D">
        <w:t xml:space="preserve">. </w:t>
      </w:r>
      <w:r>
        <w:t>W</w:t>
      </w:r>
      <w:r w:rsidR="0041776D">
        <w:t xml:space="preserve">e will provide an additional $25 to </w:t>
      </w:r>
      <w:r w:rsidR="001E4D9C">
        <w:t>teachers in classrooms</w:t>
      </w:r>
      <w:r w:rsidR="0041776D">
        <w:t xml:space="preserve"> </w:t>
      </w:r>
      <w:r>
        <w:t xml:space="preserve">with </w:t>
      </w:r>
      <w:r w:rsidR="0041776D">
        <w:t xml:space="preserve">at least an 85 percent return rate </w:t>
      </w:r>
      <w:r>
        <w:t xml:space="preserve">on the consent form </w:t>
      </w:r>
      <w:r w:rsidR="0041776D">
        <w:t xml:space="preserve">(whether or not the parents agree to participate in the study). </w:t>
      </w:r>
      <w:r w:rsidR="00E86C7F">
        <w:t>W</w:t>
      </w:r>
      <w:r w:rsidR="00A33A8D">
        <w:t xml:space="preserve">e have successfully used tiered incentives to boost return rates on consent forms on multiple studies, including the Impact Study of Feedback for Teachers Based on Classroom Videos. </w:t>
      </w:r>
      <w:r w:rsidR="00E86C7F">
        <w:t>W</w:t>
      </w:r>
      <w:r w:rsidR="00C47FF2">
        <w:t xml:space="preserve">e plan to offer respondents gifts of appreciation for other data collection activities as well. </w:t>
      </w:r>
    </w:p>
    <w:p w14:paraId="0C69B84B" w14:textId="4425BABD" w:rsidR="00AA76A4" w:rsidRDefault="001D79FB" w:rsidP="00901944">
      <w:pPr>
        <w:pStyle w:val="Bullet"/>
      </w:pPr>
      <w:r>
        <w:rPr>
          <w:b/>
        </w:rPr>
        <w:t>Use an e</w:t>
      </w:r>
      <w:r w:rsidR="0041776D">
        <w:rPr>
          <w:b/>
        </w:rPr>
        <w:t xml:space="preserve">fficient and flexible approach to completing </w:t>
      </w:r>
      <w:r w:rsidR="002C1A01">
        <w:rPr>
          <w:b/>
        </w:rPr>
        <w:t>teacher-child reports</w:t>
      </w:r>
      <w:r w:rsidR="0041776D">
        <w:rPr>
          <w:b/>
        </w:rPr>
        <w:t xml:space="preserve">. </w:t>
      </w:r>
      <w:r w:rsidR="001A0ACB">
        <w:t xml:space="preserve">Our plan to </w:t>
      </w:r>
      <w:r w:rsidR="00B92F1F">
        <w:t>divide</w:t>
      </w:r>
      <w:r w:rsidR="001A0ACB">
        <w:t xml:space="preserve"> the </w:t>
      </w:r>
      <w:r w:rsidR="002C1A01">
        <w:t xml:space="preserve">teacher-child reports </w:t>
      </w:r>
      <w:r w:rsidR="00BE5E36">
        <w:t>between</w:t>
      </w:r>
      <w:r w:rsidR="001A0ACB">
        <w:t xml:space="preserve"> the lead teacher and the assistant teacher will help reduc</w:t>
      </w:r>
      <w:r w:rsidR="00BE5E36">
        <w:t>e</w:t>
      </w:r>
      <w:r w:rsidR="001A0ACB">
        <w:t xml:space="preserve"> the burden on any one teacher and result in a higher response rate. </w:t>
      </w:r>
      <w:r w:rsidR="00B21973">
        <w:t xml:space="preserve">We </w:t>
      </w:r>
      <w:r w:rsidR="001A0ACB">
        <w:t xml:space="preserve">also </w:t>
      </w:r>
      <w:r w:rsidR="00BE5E36">
        <w:t xml:space="preserve">will </w:t>
      </w:r>
      <w:r w:rsidR="00B21973">
        <w:t xml:space="preserve">create separate </w:t>
      </w:r>
      <w:r w:rsidR="002C1A01">
        <w:t xml:space="preserve">teacher-child report </w:t>
      </w:r>
      <w:r w:rsidR="00B21973">
        <w:t xml:space="preserve">packets for each child and </w:t>
      </w:r>
      <w:r w:rsidR="002C1A01">
        <w:t xml:space="preserve">be flexible </w:t>
      </w:r>
      <w:r w:rsidR="00B21973">
        <w:t xml:space="preserve">in how teachers would like to receive them </w:t>
      </w:r>
      <w:r w:rsidR="002C1A01">
        <w:t>(</w:t>
      </w:r>
      <w:r w:rsidR="00BE5E36">
        <w:t>for example</w:t>
      </w:r>
      <w:r w:rsidR="002C1A01">
        <w:t xml:space="preserve">, </w:t>
      </w:r>
      <w:r w:rsidR="00B21973">
        <w:t>in batches or all at once</w:t>
      </w:r>
      <w:r w:rsidR="002C1A01">
        <w:t>)</w:t>
      </w:r>
      <w:r w:rsidR="00B21973">
        <w:t xml:space="preserve">. </w:t>
      </w:r>
      <w:r w:rsidR="00B92F1F">
        <w:t xml:space="preserve">Our team has obtained high response rates by </w:t>
      </w:r>
      <w:r w:rsidR="001A0ACB">
        <w:t xml:space="preserve">staggering </w:t>
      </w:r>
      <w:r w:rsidR="002C1A01">
        <w:t xml:space="preserve">teacher-child report </w:t>
      </w:r>
      <w:r w:rsidR="001A0ACB">
        <w:t xml:space="preserve">packets </w:t>
      </w:r>
      <w:r w:rsidR="00B92F1F">
        <w:t>in batches</w:t>
      </w:r>
      <w:r w:rsidR="001A0ACB">
        <w:t xml:space="preserve">. </w:t>
      </w:r>
      <w:r w:rsidR="00BE5E36">
        <w:t>We</w:t>
      </w:r>
      <w:r w:rsidR="00704083">
        <w:t xml:space="preserve"> plan to ask teachers </w:t>
      </w:r>
      <w:r w:rsidR="001A0ACB">
        <w:t xml:space="preserve">for </w:t>
      </w:r>
      <w:r w:rsidR="00704083">
        <w:t>their preference a</w:t>
      </w:r>
      <w:r w:rsidR="001A0ACB">
        <w:t xml:space="preserve">nd accommodate their request. </w:t>
      </w:r>
      <w:r w:rsidR="001139B5">
        <w:t xml:space="preserve">The </w:t>
      </w:r>
      <w:r w:rsidR="00B24E93">
        <w:t>field staff</w:t>
      </w:r>
      <w:r w:rsidR="001139B5">
        <w:t xml:space="preserve"> will have extra copies of the </w:t>
      </w:r>
      <w:r w:rsidR="002C1A01">
        <w:t xml:space="preserve">teacher-child reports </w:t>
      </w:r>
      <w:r w:rsidR="001139B5">
        <w:t xml:space="preserve">available </w:t>
      </w:r>
      <w:r w:rsidR="002C1A01">
        <w:t>on</w:t>
      </w:r>
      <w:r w:rsidR="00BE5E36">
        <w:t>-</w:t>
      </w:r>
      <w:r w:rsidR="002C1A01">
        <w:t xml:space="preserve">site </w:t>
      </w:r>
      <w:r w:rsidR="001139B5">
        <w:t>should teachers need them</w:t>
      </w:r>
      <w:r w:rsidR="005C6230">
        <w:t xml:space="preserve"> and will also </w:t>
      </w:r>
      <w:r w:rsidR="00933C23">
        <w:t xml:space="preserve">work with the </w:t>
      </w:r>
      <w:r w:rsidR="00991D5B">
        <w:t xml:space="preserve">on-site </w:t>
      </w:r>
      <w:r w:rsidR="00933C23">
        <w:t xml:space="preserve">coordinator at each school to address any questions as they arise. The coordinator will </w:t>
      </w:r>
      <w:r w:rsidR="005C6230">
        <w:t>be available to pick up completed packets</w:t>
      </w:r>
      <w:r w:rsidR="003C5417">
        <w:t xml:space="preserve"> and local field staff will be available to collect the completed materials and return them to Mathematica</w:t>
      </w:r>
      <w:r w:rsidR="001139B5">
        <w:t xml:space="preserve">. </w:t>
      </w:r>
    </w:p>
    <w:p w14:paraId="08569F1D" w14:textId="3612973E" w:rsidR="003E26E2" w:rsidRDefault="003E26E2" w:rsidP="00901944">
      <w:pPr>
        <w:pStyle w:val="Bullet"/>
      </w:pPr>
      <w:r>
        <w:rPr>
          <w:b/>
        </w:rPr>
        <w:t>Use a flexible and sensitive approach to conducting child assessments.</w:t>
      </w:r>
      <w:r w:rsidR="0052646D">
        <w:rPr>
          <w:b/>
        </w:rPr>
        <w:t xml:space="preserve"> </w:t>
      </w:r>
      <w:r>
        <w:rPr>
          <w:b/>
        </w:rPr>
        <w:t xml:space="preserve"> </w:t>
      </w:r>
      <w:r w:rsidR="0095701F">
        <w:t xml:space="preserve">We will work closely with the on-site coordinator </w:t>
      </w:r>
      <w:r w:rsidR="003C5417">
        <w:t xml:space="preserve">and classroom teachers </w:t>
      </w:r>
      <w:r w:rsidR="0095701F">
        <w:t xml:space="preserve">to schedule and conduct the child assessments in a manner that is the least disruptive as possible to the class. </w:t>
      </w:r>
      <w:r w:rsidR="0052646D">
        <w:t>The assessments will be conducted one-on-one with a trained data collector and there will be multiple short breaks during the assessment to help the child stay engaged</w:t>
      </w:r>
      <w:r w:rsidR="00915671">
        <w:t xml:space="preserve"> and on track</w:t>
      </w:r>
      <w:r w:rsidR="0052646D">
        <w:t>.</w:t>
      </w:r>
      <w:r w:rsidR="003C5417">
        <w:t xml:space="preserve"> Whatever adaptations or adjustments that are needed to accommodate children with disabilities will also be </w:t>
      </w:r>
      <w:r w:rsidR="00154A72">
        <w:t>practiced.</w:t>
      </w:r>
    </w:p>
    <w:p w14:paraId="1D1DD2AF" w14:textId="20D58944" w:rsidR="0052646D" w:rsidRPr="00012CAE" w:rsidRDefault="0053658B" w:rsidP="00901944">
      <w:pPr>
        <w:pStyle w:val="Bullet"/>
      </w:pPr>
      <w:r>
        <w:rPr>
          <w:b/>
        </w:rPr>
        <w:t xml:space="preserve">Use an </w:t>
      </w:r>
      <w:r w:rsidR="00A54EA0">
        <w:rPr>
          <w:b/>
        </w:rPr>
        <w:t>in-person</w:t>
      </w:r>
      <w:r>
        <w:rPr>
          <w:b/>
        </w:rPr>
        <w:t xml:space="preserve"> approach to encourage</w:t>
      </w:r>
      <w:r w:rsidR="00642AE1">
        <w:rPr>
          <w:b/>
        </w:rPr>
        <w:t xml:space="preserve"> completion of the</w:t>
      </w:r>
      <w:r>
        <w:rPr>
          <w:b/>
        </w:rPr>
        <w:t xml:space="preserve"> teacher </w:t>
      </w:r>
      <w:r w:rsidR="00642AE1">
        <w:rPr>
          <w:b/>
        </w:rPr>
        <w:t>background and experiences survey</w:t>
      </w:r>
      <w:r w:rsidR="00915671">
        <w:rPr>
          <w:b/>
        </w:rPr>
        <w:t>.</w:t>
      </w:r>
      <w:r w:rsidR="009853A3">
        <w:rPr>
          <w:b/>
        </w:rPr>
        <w:t xml:space="preserve"> </w:t>
      </w:r>
      <w:r>
        <w:t>Because teachers will receive full information on study commitments and we will use several methods to secure teacher engagement, we anticipate high levels of cooperation. To ensure the completion of surveys,</w:t>
      </w:r>
      <w:r w:rsidR="008E6805">
        <w:t xml:space="preserve"> the field staff will distribute the hard copy survey to the teachers at the start of the </w:t>
      </w:r>
      <w:r w:rsidR="00154A72">
        <w:t>visit while introducing themselves and explaining what the visit will entail.</w:t>
      </w:r>
      <w:r w:rsidR="008E6805">
        <w:t xml:space="preserve"> The field staff will be available to answer any questions, follow up with the teachers, and collect the completed surveys at the end of the site visit.</w:t>
      </w:r>
      <w:r w:rsidR="0052646D">
        <w:rPr>
          <w:b/>
        </w:rPr>
        <w:t xml:space="preserve"> </w:t>
      </w:r>
      <w:r w:rsidR="00154A72">
        <w:t xml:space="preserve">Field staff will work with the on-site coordinator to collect any missing surveys after the visit week. </w:t>
      </w:r>
    </w:p>
    <w:p w14:paraId="64B0B393" w14:textId="77777777" w:rsidR="00681385" w:rsidRPr="00683E27" w:rsidRDefault="007D0CF2" w:rsidP="00683E27">
      <w:pPr>
        <w:pStyle w:val="H3Alpha"/>
      </w:pPr>
      <w:bookmarkStart w:id="24" w:name="_Toc393196688"/>
      <w:bookmarkStart w:id="25" w:name="_Toc531602975"/>
      <w:r w:rsidRPr="00683E27">
        <w:t>B</w:t>
      </w:r>
      <w:r w:rsidR="00681385" w:rsidRPr="00683E27">
        <w:t xml:space="preserve">4. </w:t>
      </w:r>
      <w:r w:rsidR="00D65B8C" w:rsidRPr="00683E27">
        <w:t>Tests of procedures or methods to be undertaken</w:t>
      </w:r>
      <w:bookmarkEnd w:id="24"/>
      <w:bookmarkEnd w:id="25"/>
    </w:p>
    <w:p w14:paraId="0F6D3BE0" w14:textId="0BF0A4C9" w:rsidR="000E1A99" w:rsidRDefault="001D79FB" w:rsidP="00AC6D0C">
      <w:pPr>
        <w:pStyle w:val="NormalSS"/>
      </w:pPr>
      <w:r>
        <w:t xml:space="preserve">We selected </w:t>
      </w:r>
      <w:r w:rsidR="008631B3">
        <w:t>data collection instrument</w:t>
      </w:r>
      <w:r w:rsidR="008D02E4">
        <w:t>s</w:t>
      </w:r>
      <w:r w:rsidR="008631B3">
        <w:t xml:space="preserve"> </w:t>
      </w:r>
      <w:r w:rsidR="00461ED0">
        <w:t xml:space="preserve">and </w:t>
      </w:r>
      <w:r w:rsidR="008631B3">
        <w:t xml:space="preserve">measures that have been used with populations similar to the EPSEP sample. The </w:t>
      </w:r>
      <w:r w:rsidR="009C5420">
        <w:t xml:space="preserve">proposed </w:t>
      </w:r>
      <w:r w:rsidR="008631B3">
        <w:t>observation</w:t>
      </w:r>
      <w:r w:rsidR="008D02E4">
        <w:t>s, teacher</w:t>
      </w:r>
      <w:r w:rsidR="009C5420">
        <w:t>-</w:t>
      </w:r>
      <w:r w:rsidR="008D02E4">
        <w:t>child report</w:t>
      </w:r>
      <w:r w:rsidR="009C5420">
        <w:t>s</w:t>
      </w:r>
      <w:r w:rsidR="008D02E4">
        <w:t>,</w:t>
      </w:r>
      <w:r w:rsidR="008631B3">
        <w:t xml:space="preserve"> and </w:t>
      </w:r>
      <w:r w:rsidR="008D02E4">
        <w:t xml:space="preserve">child </w:t>
      </w:r>
      <w:r w:rsidR="008631B3">
        <w:t>assessment</w:t>
      </w:r>
      <w:r w:rsidR="008D02E4">
        <w:t>s</w:t>
      </w:r>
      <w:r w:rsidR="008631B3">
        <w:t xml:space="preserve"> have good psychometric properties and have been used with </w:t>
      </w:r>
      <w:r w:rsidR="00112C35">
        <w:t>similar populations</w:t>
      </w:r>
      <w:r w:rsidR="0004144C">
        <w:t>, including preschool teachers and preschool-aged children with and without disabilities</w:t>
      </w:r>
      <w:r w:rsidR="008631B3">
        <w:t xml:space="preserve">. </w:t>
      </w:r>
      <w:r w:rsidR="00A87666">
        <w:t>Because these</w:t>
      </w:r>
      <w:r w:rsidR="000F5084">
        <w:t xml:space="preserve"> data collection instruments are standardized</w:t>
      </w:r>
      <w:r>
        <w:t>,</w:t>
      </w:r>
      <w:r w:rsidR="000F5084">
        <w:t xml:space="preserve"> the content cannot be altered. </w:t>
      </w:r>
      <w:r w:rsidR="00A87666">
        <w:t xml:space="preserve">However, we will pre-test the protocol for the classroom observation where we will be combining two observation instruments (the Inclusive Classroom Profile and the Engagement Check) to confirm that there are no unforeseen difficulties in conducting these two observations simultaneously.  Likewise, </w:t>
      </w:r>
      <w:r w:rsidR="000F5084">
        <w:t>we pre</w:t>
      </w:r>
      <w:r>
        <w:t>-</w:t>
      </w:r>
      <w:r w:rsidR="000F5084">
        <w:t>test</w:t>
      </w:r>
      <w:r w:rsidR="00BA4BF6">
        <w:t>ed</w:t>
      </w:r>
      <w:r w:rsidR="000E1A99">
        <w:t xml:space="preserve"> the child assessment and </w:t>
      </w:r>
      <w:r w:rsidR="00DF36A4">
        <w:t xml:space="preserve">teacher-child reports </w:t>
      </w:r>
      <w:r w:rsidR="000E1A99">
        <w:t>to confirm our burden es</w:t>
      </w:r>
      <w:r w:rsidR="000F5084">
        <w:t xml:space="preserve">timates and </w:t>
      </w:r>
      <w:r w:rsidR="00BA4BF6">
        <w:t xml:space="preserve">that </w:t>
      </w:r>
      <w:r w:rsidR="000F5084">
        <w:t xml:space="preserve">our procedures and instructions </w:t>
      </w:r>
      <w:r w:rsidR="00BA4BF6">
        <w:t>were clear</w:t>
      </w:r>
      <w:r w:rsidR="000F5084">
        <w:t xml:space="preserve">. </w:t>
      </w:r>
    </w:p>
    <w:p w14:paraId="698D636A" w14:textId="4F2744F9" w:rsidR="002B5042" w:rsidRDefault="002B5042" w:rsidP="00AC6D0C">
      <w:pPr>
        <w:pStyle w:val="NormalSS"/>
      </w:pPr>
      <w:r>
        <w:t xml:space="preserve">We </w:t>
      </w:r>
      <w:r w:rsidR="00BA4BF6">
        <w:t xml:space="preserve">also </w:t>
      </w:r>
      <w:r>
        <w:t>pre-test</w:t>
      </w:r>
      <w:r w:rsidR="00BA4BF6">
        <w:t>ed</w:t>
      </w:r>
      <w:r>
        <w:t xml:space="preserve"> the teacher background and experiences survey </w:t>
      </w:r>
      <w:r w:rsidR="00BA4BF6">
        <w:t>which has been developed for this study and designed to place as little burden as possible on respondents. Based on the pre-test, we confirmed that the length was as expected, and made some</w:t>
      </w:r>
      <w:r w:rsidR="00F67D54">
        <w:t xml:space="preserve"> minor</w:t>
      </w:r>
      <w:r w:rsidR="00BA4BF6">
        <w:t xml:space="preserve"> revisions to question wording </w:t>
      </w:r>
      <w:r>
        <w:t xml:space="preserve">to ensure that questions are understandable, use language familiar to respondents, and are consistent with the concepts they aim to measure. </w:t>
      </w:r>
    </w:p>
    <w:p w14:paraId="36448A97" w14:textId="2BE177F7" w:rsidR="00681385" w:rsidRDefault="007D0CF2" w:rsidP="00683E27">
      <w:pPr>
        <w:pStyle w:val="H3Alpha"/>
      </w:pPr>
      <w:bookmarkStart w:id="26" w:name="_Toc393196689"/>
      <w:bookmarkStart w:id="27" w:name="_Toc531602976"/>
      <w:r w:rsidRPr="00D11F2E">
        <w:t>B</w:t>
      </w:r>
      <w:r w:rsidR="00681385" w:rsidRPr="00D11F2E">
        <w:t xml:space="preserve">5. </w:t>
      </w:r>
      <w:r w:rsidR="00A80E07" w:rsidRPr="00D11F2E">
        <w:t>Individuals consulted on statistical aspects of the design and on</w:t>
      </w:r>
      <w:r w:rsidR="00A80E07">
        <w:t xml:space="preserve"> collecting and/or analyzing data</w:t>
      </w:r>
      <w:bookmarkEnd w:id="26"/>
      <w:bookmarkEnd w:id="27"/>
    </w:p>
    <w:p w14:paraId="5502FD9E" w14:textId="18C945AE" w:rsidR="00D05F0F" w:rsidRDefault="00626965" w:rsidP="00895893">
      <w:pPr>
        <w:pStyle w:val="NormalSS"/>
        <w:spacing w:after="0"/>
      </w:pPr>
      <w:r>
        <w:t xml:space="preserve">The </w:t>
      </w:r>
      <w:r w:rsidR="000B5A8A">
        <w:t xml:space="preserve">people </w:t>
      </w:r>
      <w:r>
        <w:t xml:space="preserve">listed </w:t>
      </w:r>
      <w:r w:rsidR="000B5A8A">
        <w:t>here</w:t>
      </w:r>
      <w:r>
        <w:t xml:space="preserve"> worked closely in developing the survey instruments and will have primary responsibility for the data collection and analysis. Contact information for these </w:t>
      </w:r>
      <w:r w:rsidR="000B5A8A">
        <w:t xml:space="preserve">people </w:t>
      </w:r>
      <w:r>
        <w:t>(including content experts serving as consultants to Mathematica) is provided below.</w:t>
      </w:r>
    </w:p>
    <w:p w14:paraId="7C82E4B9" w14:textId="77777777" w:rsidR="00895893" w:rsidRDefault="00895893" w:rsidP="00895893">
      <w:pPr>
        <w:pStyle w:val="NormalSS"/>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FD258C" w:rsidRPr="00E02496" w14:paraId="274E74E2" w14:textId="77777777" w:rsidTr="005D7EB1">
        <w:tc>
          <w:tcPr>
            <w:tcW w:w="4678" w:type="dxa"/>
          </w:tcPr>
          <w:p w14:paraId="6EC888A9" w14:textId="77777777"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Cheri Vogel, Ph.D.</w:t>
            </w:r>
          </w:p>
          <w:p w14:paraId="1E2FBBAD"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 xml:space="preserve">Project director </w:t>
            </w:r>
          </w:p>
          <w:p w14:paraId="283F8E20"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cvogel@mathematica-mpr.com</w:t>
            </w:r>
          </w:p>
          <w:p w14:paraId="293C36E5"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(609) 716-4546</w:t>
            </w:r>
          </w:p>
        </w:tc>
        <w:tc>
          <w:tcPr>
            <w:tcW w:w="4682" w:type="dxa"/>
          </w:tcPr>
          <w:p w14:paraId="0612BDCC" w14:textId="77777777"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John Deke, Ph.D.</w:t>
            </w:r>
          </w:p>
          <w:p w14:paraId="1807DCFB"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 xml:space="preserve">Co-principal investigator </w:t>
            </w:r>
          </w:p>
          <w:p w14:paraId="00B5408F"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jdeke@mathematica-mpr.com</w:t>
            </w:r>
          </w:p>
          <w:p w14:paraId="447A6A57" w14:textId="77777777" w:rsidR="00FD258C" w:rsidRPr="00D05F0F" w:rsidRDefault="00C60FB3" w:rsidP="00FD258C">
            <w:pPr>
              <w:pStyle w:val="NormalSS"/>
              <w:spacing w:after="0"/>
              <w:ind w:firstLine="0"/>
              <w:rPr>
                <w:rFonts w:ascii="Arial" w:hAnsi="Arial" w:cs="Arial"/>
                <w:sz w:val="18"/>
                <w:szCs w:val="18"/>
              </w:rPr>
            </w:pPr>
            <w:r w:rsidRPr="00D05F0F">
              <w:rPr>
                <w:rFonts w:ascii="Arial" w:hAnsi="Arial" w:cs="Arial"/>
                <w:sz w:val="18"/>
                <w:szCs w:val="18"/>
              </w:rPr>
              <w:t>(609) 275-2230</w:t>
            </w:r>
          </w:p>
        </w:tc>
      </w:tr>
      <w:tr w:rsidR="00FD258C" w:rsidRPr="00E02496" w14:paraId="296B6E58" w14:textId="77777777" w:rsidTr="005D7EB1">
        <w:tc>
          <w:tcPr>
            <w:tcW w:w="4678" w:type="dxa"/>
          </w:tcPr>
          <w:p w14:paraId="07E6C8EA" w14:textId="5888E486" w:rsidR="006C42F1" w:rsidRPr="00D05F0F" w:rsidRDefault="00A971FA">
            <w:pPr>
              <w:pStyle w:val="NormalSS"/>
              <w:spacing w:before="120" w:after="0"/>
              <w:ind w:firstLine="0"/>
              <w:rPr>
                <w:rFonts w:ascii="Arial" w:hAnsi="Arial" w:cs="Arial"/>
                <w:sz w:val="18"/>
                <w:szCs w:val="18"/>
              </w:rPr>
            </w:pPr>
            <w:r w:rsidRPr="00D05F0F">
              <w:rPr>
                <w:rFonts w:ascii="Arial" w:hAnsi="Arial" w:cs="Arial"/>
                <w:sz w:val="18"/>
                <w:szCs w:val="18"/>
              </w:rPr>
              <w:t>Margaret Burchinal</w:t>
            </w:r>
            <w:r w:rsidR="00C60FB3" w:rsidRPr="00D05F0F">
              <w:rPr>
                <w:rFonts w:ascii="Arial" w:hAnsi="Arial" w:cs="Arial"/>
                <w:sz w:val="18"/>
                <w:szCs w:val="18"/>
              </w:rPr>
              <w:t>, Ph.D.</w:t>
            </w:r>
          </w:p>
          <w:p w14:paraId="3BB65F12"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 xml:space="preserve">Co-principal investigator </w:t>
            </w:r>
          </w:p>
          <w:p w14:paraId="5E6A19DE" w14:textId="5678ADC6" w:rsidR="006C42F1" w:rsidRPr="00D05F0F" w:rsidRDefault="00A971FA">
            <w:pPr>
              <w:pStyle w:val="NormalSS"/>
              <w:spacing w:after="0"/>
              <w:ind w:firstLine="0"/>
              <w:rPr>
                <w:rFonts w:ascii="Arial" w:hAnsi="Arial" w:cs="Arial"/>
                <w:sz w:val="18"/>
                <w:szCs w:val="18"/>
              </w:rPr>
            </w:pPr>
            <w:r w:rsidRPr="00D05F0F">
              <w:rPr>
                <w:rFonts w:ascii="Arial" w:hAnsi="Arial" w:cs="Arial"/>
                <w:sz w:val="18"/>
                <w:szCs w:val="18"/>
              </w:rPr>
              <w:t>burchinal</w:t>
            </w:r>
            <w:r w:rsidR="00C60FB3" w:rsidRPr="00D05F0F">
              <w:rPr>
                <w:rFonts w:ascii="Arial" w:hAnsi="Arial" w:cs="Arial"/>
                <w:sz w:val="18"/>
                <w:szCs w:val="18"/>
              </w:rPr>
              <w:t>@unc.edu</w:t>
            </w:r>
          </w:p>
          <w:p w14:paraId="276F3BCE" w14:textId="5CE6EE4B" w:rsidR="00FD258C" w:rsidRPr="00D05F0F" w:rsidRDefault="00A971FA" w:rsidP="00E02496">
            <w:pPr>
              <w:pStyle w:val="NormalSS"/>
              <w:spacing w:after="0"/>
              <w:ind w:firstLine="0"/>
              <w:rPr>
                <w:rFonts w:ascii="Arial" w:hAnsi="Arial" w:cs="Arial"/>
                <w:sz w:val="18"/>
                <w:szCs w:val="18"/>
              </w:rPr>
            </w:pPr>
            <w:r w:rsidRPr="00D05F0F">
              <w:rPr>
                <w:rFonts w:ascii="Arial" w:hAnsi="Arial" w:cs="Arial"/>
                <w:sz w:val="18"/>
                <w:szCs w:val="18"/>
              </w:rPr>
              <w:t>(919) 966-5059</w:t>
            </w:r>
          </w:p>
        </w:tc>
        <w:tc>
          <w:tcPr>
            <w:tcW w:w="4682" w:type="dxa"/>
          </w:tcPr>
          <w:p w14:paraId="715625B9" w14:textId="77777777"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Patricia Snyder, Ph.D.</w:t>
            </w:r>
          </w:p>
          <w:p w14:paraId="10F22CE3"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 xml:space="preserve">Co-principal investigator </w:t>
            </w:r>
          </w:p>
          <w:p w14:paraId="35B0AB8D"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patriciasnyder@coe.ufl.edu</w:t>
            </w:r>
          </w:p>
          <w:p w14:paraId="55B204B5" w14:textId="77777777" w:rsidR="006C42F1" w:rsidRPr="00D05F0F" w:rsidRDefault="00C60FB3">
            <w:pPr>
              <w:pStyle w:val="NormalSS"/>
              <w:spacing w:after="60"/>
              <w:ind w:firstLine="0"/>
              <w:rPr>
                <w:rFonts w:ascii="Arial" w:hAnsi="Arial" w:cs="Arial"/>
                <w:sz w:val="18"/>
                <w:szCs w:val="18"/>
              </w:rPr>
            </w:pPr>
            <w:r w:rsidRPr="00D05F0F">
              <w:rPr>
                <w:rFonts w:ascii="Arial" w:hAnsi="Arial" w:cs="Arial"/>
                <w:sz w:val="18"/>
                <w:szCs w:val="18"/>
              </w:rPr>
              <w:t>(352) 273-4291</w:t>
            </w:r>
          </w:p>
        </w:tc>
      </w:tr>
      <w:tr w:rsidR="00FD258C" w:rsidRPr="00E02496" w14:paraId="56C314B9" w14:textId="77777777" w:rsidTr="005D7EB1">
        <w:tc>
          <w:tcPr>
            <w:tcW w:w="4678" w:type="dxa"/>
          </w:tcPr>
          <w:p w14:paraId="1974F09A" w14:textId="77777777"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Stephen Lipscomb, Ph.D.</w:t>
            </w:r>
          </w:p>
          <w:p w14:paraId="363EF420"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 xml:space="preserve">Deputy project director </w:t>
            </w:r>
          </w:p>
          <w:p w14:paraId="28284199"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Slipscomb@mathematica-mpr.com</w:t>
            </w:r>
          </w:p>
          <w:p w14:paraId="2B69597C" w14:textId="77777777" w:rsidR="006C42F1" w:rsidRPr="00D05F0F" w:rsidRDefault="00C60FB3">
            <w:pPr>
              <w:pStyle w:val="NormalSS"/>
              <w:spacing w:after="60"/>
              <w:ind w:firstLine="0"/>
              <w:rPr>
                <w:rFonts w:ascii="Arial" w:hAnsi="Arial" w:cs="Arial"/>
                <w:sz w:val="18"/>
                <w:szCs w:val="18"/>
              </w:rPr>
            </w:pPr>
            <w:r w:rsidRPr="00D05F0F">
              <w:rPr>
                <w:rFonts w:ascii="Arial" w:hAnsi="Arial" w:cs="Arial"/>
                <w:sz w:val="18"/>
                <w:szCs w:val="18"/>
              </w:rPr>
              <w:t>(617) 674-8371</w:t>
            </w:r>
          </w:p>
        </w:tc>
        <w:tc>
          <w:tcPr>
            <w:tcW w:w="4682" w:type="dxa"/>
          </w:tcPr>
          <w:p w14:paraId="039AA7CB" w14:textId="5372D4EC"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Laura Kalb</w:t>
            </w:r>
            <w:r w:rsidR="009617B9" w:rsidRPr="00D05F0F">
              <w:rPr>
                <w:rFonts w:ascii="Arial" w:hAnsi="Arial" w:cs="Arial"/>
                <w:sz w:val="18"/>
                <w:szCs w:val="18"/>
              </w:rPr>
              <w:t>, B.A.</w:t>
            </w:r>
          </w:p>
          <w:p w14:paraId="5F23BDA2"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Survey director</w:t>
            </w:r>
          </w:p>
          <w:p w14:paraId="792ED41A"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Lkalb@mathematica-mpr.com</w:t>
            </w:r>
          </w:p>
          <w:p w14:paraId="148BEB00" w14:textId="77777777" w:rsidR="006C42F1" w:rsidRPr="00D05F0F" w:rsidRDefault="00C60FB3">
            <w:pPr>
              <w:pStyle w:val="NormalSS"/>
              <w:spacing w:after="60"/>
              <w:ind w:firstLine="0"/>
              <w:rPr>
                <w:rFonts w:ascii="Arial" w:hAnsi="Arial" w:cs="Arial"/>
                <w:sz w:val="18"/>
                <w:szCs w:val="18"/>
              </w:rPr>
            </w:pPr>
            <w:r w:rsidRPr="00D05F0F">
              <w:rPr>
                <w:rFonts w:ascii="Arial" w:hAnsi="Arial" w:cs="Arial"/>
                <w:sz w:val="18"/>
                <w:szCs w:val="18"/>
              </w:rPr>
              <w:t>(617) 301-8989</w:t>
            </w:r>
          </w:p>
        </w:tc>
      </w:tr>
      <w:tr w:rsidR="00FD258C" w:rsidRPr="00E02496" w14:paraId="511D2A66" w14:textId="77777777" w:rsidTr="005D7EB1">
        <w:tc>
          <w:tcPr>
            <w:tcW w:w="4678" w:type="dxa"/>
          </w:tcPr>
          <w:p w14:paraId="14FEE01E" w14:textId="77777777" w:rsidR="006C42F1" w:rsidRPr="00D05F0F" w:rsidRDefault="00C60FB3">
            <w:pPr>
              <w:pStyle w:val="NormalSS"/>
              <w:spacing w:before="120" w:after="0"/>
              <w:ind w:firstLine="0"/>
              <w:rPr>
                <w:rFonts w:ascii="Arial" w:hAnsi="Arial" w:cs="Arial"/>
                <w:sz w:val="18"/>
                <w:szCs w:val="18"/>
              </w:rPr>
            </w:pPr>
            <w:r w:rsidRPr="00D05F0F">
              <w:rPr>
                <w:rFonts w:ascii="Arial" w:hAnsi="Arial" w:cs="Arial"/>
                <w:sz w:val="18"/>
                <w:szCs w:val="18"/>
              </w:rPr>
              <w:t>Barbara Carlson, M.A.</w:t>
            </w:r>
          </w:p>
          <w:p w14:paraId="10E88963"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Statistician</w:t>
            </w:r>
          </w:p>
          <w:p w14:paraId="43EB4E11"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 xml:space="preserve">bcarlson@mathematica-mrp.com </w:t>
            </w:r>
          </w:p>
          <w:p w14:paraId="351EB75F"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(617) 674-8372</w:t>
            </w:r>
          </w:p>
        </w:tc>
        <w:tc>
          <w:tcPr>
            <w:tcW w:w="4682" w:type="dxa"/>
          </w:tcPr>
          <w:p w14:paraId="766D7F24" w14:textId="6F910453" w:rsidR="006C42F1" w:rsidRPr="00D05F0F" w:rsidRDefault="006411EF">
            <w:pPr>
              <w:pStyle w:val="NormalSS"/>
              <w:spacing w:before="120" w:after="0"/>
              <w:ind w:firstLine="0"/>
              <w:rPr>
                <w:rFonts w:ascii="Arial" w:hAnsi="Arial" w:cs="Arial"/>
                <w:sz w:val="18"/>
                <w:szCs w:val="18"/>
              </w:rPr>
            </w:pPr>
            <w:r w:rsidRPr="00D05F0F">
              <w:rPr>
                <w:rFonts w:ascii="Arial" w:hAnsi="Arial" w:cs="Arial"/>
                <w:sz w:val="18"/>
                <w:szCs w:val="18"/>
              </w:rPr>
              <w:t>Harshini Shah, Ph.D.</w:t>
            </w:r>
          </w:p>
          <w:p w14:paraId="61B37ACB" w14:textId="77777777" w:rsidR="006C42F1" w:rsidRPr="00D05F0F" w:rsidRDefault="00C60FB3">
            <w:pPr>
              <w:pStyle w:val="NormalSS"/>
              <w:spacing w:after="0"/>
              <w:ind w:firstLine="0"/>
              <w:rPr>
                <w:rFonts w:ascii="Arial" w:hAnsi="Arial" w:cs="Arial"/>
                <w:sz w:val="18"/>
                <w:szCs w:val="18"/>
              </w:rPr>
            </w:pPr>
            <w:r w:rsidRPr="00D05F0F">
              <w:rPr>
                <w:rFonts w:ascii="Arial" w:hAnsi="Arial" w:cs="Arial"/>
                <w:sz w:val="18"/>
                <w:szCs w:val="18"/>
              </w:rPr>
              <w:t xml:space="preserve">Deputy survey director </w:t>
            </w:r>
          </w:p>
          <w:p w14:paraId="3D7A9B2F" w14:textId="5A62B344" w:rsidR="006C42F1" w:rsidRPr="00D05F0F" w:rsidRDefault="00F2169C">
            <w:pPr>
              <w:pStyle w:val="NormalSS"/>
              <w:spacing w:after="0"/>
              <w:ind w:firstLine="0"/>
              <w:rPr>
                <w:rFonts w:ascii="Arial" w:hAnsi="Arial" w:cs="Arial"/>
                <w:sz w:val="18"/>
                <w:szCs w:val="18"/>
              </w:rPr>
            </w:pPr>
            <w:r w:rsidRPr="00D05F0F">
              <w:rPr>
                <w:rFonts w:ascii="Arial" w:hAnsi="Arial" w:cs="Arial"/>
                <w:sz w:val="18"/>
                <w:szCs w:val="18"/>
              </w:rPr>
              <w:t>hshah</w:t>
            </w:r>
            <w:r w:rsidR="00C60FB3" w:rsidRPr="00D05F0F">
              <w:rPr>
                <w:rFonts w:ascii="Arial" w:hAnsi="Arial" w:cs="Arial"/>
                <w:sz w:val="18"/>
                <w:szCs w:val="18"/>
              </w:rPr>
              <w:t>@mathematica-mpr.com</w:t>
            </w:r>
          </w:p>
          <w:p w14:paraId="23A020F5" w14:textId="44E06248" w:rsidR="006C42F1" w:rsidRPr="00D05F0F" w:rsidRDefault="00C60FB3" w:rsidP="00F2169C">
            <w:pPr>
              <w:pStyle w:val="NormalSS"/>
              <w:spacing w:after="60"/>
              <w:ind w:firstLine="0"/>
              <w:rPr>
                <w:rFonts w:ascii="Arial" w:hAnsi="Arial" w:cs="Arial"/>
                <w:sz w:val="18"/>
                <w:szCs w:val="18"/>
              </w:rPr>
            </w:pPr>
            <w:r w:rsidRPr="00D05F0F">
              <w:rPr>
                <w:rFonts w:ascii="Arial" w:hAnsi="Arial" w:cs="Arial"/>
                <w:sz w:val="18"/>
                <w:szCs w:val="18"/>
              </w:rPr>
              <w:t>(</w:t>
            </w:r>
            <w:r w:rsidR="00F2169C" w:rsidRPr="00D05F0F">
              <w:rPr>
                <w:rFonts w:ascii="Arial" w:hAnsi="Arial" w:cs="Arial"/>
                <w:sz w:val="18"/>
                <w:szCs w:val="18"/>
              </w:rPr>
              <w:t>617</w:t>
            </w:r>
            <w:r w:rsidRPr="00D05F0F">
              <w:rPr>
                <w:rFonts w:ascii="Arial" w:hAnsi="Arial" w:cs="Arial"/>
                <w:sz w:val="18"/>
                <w:szCs w:val="18"/>
              </w:rPr>
              <w:t xml:space="preserve">) </w:t>
            </w:r>
            <w:r w:rsidR="00F2169C" w:rsidRPr="00D05F0F">
              <w:rPr>
                <w:rFonts w:ascii="Arial" w:hAnsi="Arial" w:cs="Arial"/>
                <w:sz w:val="18"/>
                <w:szCs w:val="18"/>
              </w:rPr>
              <w:t>674-8360</w:t>
            </w:r>
          </w:p>
        </w:tc>
      </w:tr>
    </w:tbl>
    <w:p w14:paraId="56015759" w14:textId="77777777" w:rsidR="00D05F0F" w:rsidRDefault="00D05F0F" w:rsidP="00D05F0F">
      <w:pPr>
        <w:pStyle w:val="NormalSS"/>
      </w:pPr>
      <w:bookmarkStart w:id="28" w:name="_Toc530179049"/>
    </w:p>
    <w:p w14:paraId="01A65B17" w14:textId="77777777" w:rsidR="00D05F0F" w:rsidRDefault="00D05F0F">
      <w:pPr>
        <w:spacing w:after="240" w:line="240" w:lineRule="auto"/>
        <w:ind w:firstLine="0"/>
        <w:sectPr w:rsidR="00D05F0F" w:rsidSect="00754FC5">
          <w:headerReference w:type="default" r:id="rId22"/>
          <w:footerReference w:type="default" r:id="rId23"/>
          <w:endnotePr>
            <w:numFmt w:val="decimal"/>
          </w:endnotePr>
          <w:pgSz w:w="12240" w:h="15840" w:code="1"/>
          <w:pgMar w:top="1440" w:right="1440" w:bottom="1440" w:left="1440" w:header="720" w:footer="576" w:gutter="0"/>
          <w:pgNumType w:start="1"/>
          <w:cols w:space="720"/>
          <w:docGrid w:linePitch="326"/>
        </w:sectPr>
      </w:pPr>
    </w:p>
    <w:p w14:paraId="34901172" w14:textId="0C80DB22" w:rsidR="009668A6" w:rsidRDefault="009668A6" w:rsidP="009668A6">
      <w:pPr>
        <w:pStyle w:val="H2Chapter"/>
      </w:pPr>
      <w:bookmarkStart w:id="29" w:name="_Toc531602977"/>
      <w:r>
        <w:t>References</w:t>
      </w:r>
      <w:bookmarkEnd w:id="28"/>
      <w:bookmarkEnd w:id="29"/>
    </w:p>
    <w:p w14:paraId="725FDFD9" w14:textId="3FD75233" w:rsidR="00F106A1" w:rsidRDefault="00F106A1" w:rsidP="00F106A1">
      <w:pPr>
        <w:pStyle w:val="References"/>
      </w:pPr>
      <w:r>
        <w:t xml:space="preserve">Doksum, K. </w:t>
      </w:r>
      <w:r w:rsidR="00B043FB">
        <w:t>“</w:t>
      </w:r>
      <w:r>
        <w:t>Empirical Probability Plots and Statistical Inference for Nonlinear Models in the Two-Sample Case.</w:t>
      </w:r>
      <w:r w:rsidR="00B043FB">
        <w:t>”</w:t>
      </w:r>
      <w:r>
        <w:t xml:space="preserve"> </w:t>
      </w:r>
      <w:r>
        <w:rPr>
          <w:i/>
          <w:iCs/>
        </w:rPr>
        <w:t>Annals of Statistics</w:t>
      </w:r>
      <w:r>
        <w:t xml:space="preserve">, </w:t>
      </w:r>
      <w:r w:rsidR="00B043FB">
        <w:t xml:space="preserve">vol. </w:t>
      </w:r>
      <w:r>
        <w:t xml:space="preserve">2, </w:t>
      </w:r>
      <w:r w:rsidR="00B043FB">
        <w:t xml:space="preserve">1974, pp. </w:t>
      </w:r>
      <w:r>
        <w:t>267–277.</w:t>
      </w:r>
    </w:p>
    <w:p w14:paraId="631B7EF7" w14:textId="3BBE127B" w:rsidR="00F106A1" w:rsidRDefault="00F106A1" w:rsidP="00F106A1">
      <w:pPr>
        <w:pStyle w:val="References"/>
      </w:pPr>
      <w:r>
        <w:t xml:space="preserve">Firpo, Sergio. </w:t>
      </w:r>
      <w:r w:rsidR="00892367">
        <w:t>“</w:t>
      </w:r>
      <w:r>
        <w:t>Efficient Semiparametric Estimation of Quantile Treatment Effects.</w:t>
      </w:r>
      <w:r w:rsidR="00892367">
        <w:t>”</w:t>
      </w:r>
      <w:r>
        <w:t xml:space="preserve"> </w:t>
      </w:r>
      <w:r>
        <w:rPr>
          <w:i/>
          <w:iCs/>
        </w:rPr>
        <w:t>Econometrica</w:t>
      </w:r>
      <w:r w:rsidR="00892367">
        <w:rPr>
          <w:i/>
          <w:iCs/>
        </w:rPr>
        <w:t xml:space="preserve">, </w:t>
      </w:r>
      <w:r w:rsidR="00892367">
        <w:t>vol.</w:t>
      </w:r>
      <w:r>
        <w:t xml:space="preserve"> 75</w:t>
      </w:r>
      <w:r w:rsidR="00892367">
        <w:t xml:space="preserve">, no. </w:t>
      </w:r>
      <w:r>
        <w:t xml:space="preserve">1, </w:t>
      </w:r>
      <w:r w:rsidR="00892367">
        <w:t xml:space="preserve">2007, pp. </w:t>
      </w:r>
      <w:r>
        <w:t>259</w:t>
      </w:r>
      <w:r w:rsidR="00892367">
        <w:t>–</w:t>
      </w:r>
      <w:r>
        <w:t xml:space="preserve">276. </w:t>
      </w:r>
    </w:p>
    <w:p w14:paraId="30E2C2BE" w14:textId="14A98D12" w:rsidR="00F106A1" w:rsidRDefault="00F106A1" w:rsidP="00F106A1">
      <w:pPr>
        <w:pStyle w:val="References"/>
      </w:pPr>
      <w:r>
        <w:t xml:space="preserve">Greenland, Sander, et al. </w:t>
      </w:r>
      <w:r w:rsidR="00D9793C">
        <w:t>“</w:t>
      </w:r>
      <w:r>
        <w:t xml:space="preserve">Statistical </w:t>
      </w:r>
      <w:r w:rsidR="00D9793C">
        <w:t>T</w:t>
      </w:r>
      <w:r>
        <w:t xml:space="preserve">ests, </w:t>
      </w:r>
      <w:r>
        <w:rPr>
          <w:i/>
          <w:iCs/>
        </w:rPr>
        <w:t>P</w:t>
      </w:r>
      <w:r>
        <w:t xml:space="preserve"> </w:t>
      </w:r>
      <w:r w:rsidR="00D9793C">
        <w:t>V</w:t>
      </w:r>
      <w:r>
        <w:t xml:space="preserve">alues, </w:t>
      </w:r>
      <w:r w:rsidR="00D9793C">
        <w:t>C</w:t>
      </w:r>
      <w:r>
        <w:t xml:space="preserve">onfidence </w:t>
      </w:r>
      <w:r w:rsidR="00D9793C">
        <w:t>I</w:t>
      </w:r>
      <w:r>
        <w:t xml:space="preserve">ntervals, and </w:t>
      </w:r>
      <w:r w:rsidR="00D9793C">
        <w:t>P</w:t>
      </w:r>
      <w:r>
        <w:t xml:space="preserve">ower: </w:t>
      </w:r>
      <w:r w:rsidR="00D9793C">
        <w:t>A</w:t>
      </w:r>
      <w:r>
        <w:t xml:space="preserve"> </w:t>
      </w:r>
      <w:r w:rsidR="00D9793C">
        <w:t>G</w:t>
      </w:r>
      <w:r>
        <w:t xml:space="preserve">uide to </w:t>
      </w:r>
      <w:r w:rsidR="00D9793C">
        <w:t>M</w:t>
      </w:r>
      <w:r>
        <w:t>isinterpretations.</w:t>
      </w:r>
      <w:r w:rsidR="00D9793C">
        <w:t>”</w:t>
      </w:r>
      <w:r>
        <w:t> </w:t>
      </w:r>
      <w:r>
        <w:rPr>
          <w:i/>
          <w:iCs/>
        </w:rPr>
        <w:t>European Journal of Epidemiology</w:t>
      </w:r>
      <w:r w:rsidR="00D9793C">
        <w:rPr>
          <w:i/>
          <w:iCs/>
        </w:rPr>
        <w:t>,</w:t>
      </w:r>
      <w:r>
        <w:t> </w:t>
      </w:r>
      <w:r w:rsidR="00D9793C">
        <w:t xml:space="preserve">vol. </w:t>
      </w:r>
      <w:r>
        <w:t>31</w:t>
      </w:r>
      <w:r w:rsidR="00D9793C">
        <w:t>, no</w:t>
      </w:r>
      <w:r>
        <w:t>.</w:t>
      </w:r>
      <w:r w:rsidR="00D9793C">
        <w:t xml:space="preserve"> </w:t>
      </w:r>
      <w:r>
        <w:t>4</w:t>
      </w:r>
      <w:r w:rsidR="00D9793C">
        <w:t>,</w:t>
      </w:r>
      <w:r>
        <w:t xml:space="preserve"> 2016</w:t>
      </w:r>
      <w:r w:rsidR="00D9793C">
        <w:t>,</w:t>
      </w:r>
      <w:r>
        <w:t xml:space="preserve"> </w:t>
      </w:r>
      <w:r w:rsidR="00D9793C">
        <w:t xml:space="preserve">pp. </w:t>
      </w:r>
      <w:r>
        <w:t>337</w:t>
      </w:r>
      <w:r w:rsidR="00D9793C">
        <w:t>–</w:t>
      </w:r>
      <w:r>
        <w:t>350.</w:t>
      </w:r>
    </w:p>
    <w:p w14:paraId="08227293" w14:textId="77777777" w:rsidR="00F106A1" w:rsidRPr="00F106A1" w:rsidRDefault="00F106A1" w:rsidP="00F106A1">
      <w:pPr>
        <w:pStyle w:val="References"/>
      </w:pPr>
      <w:r w:rsidRPr="00F106A1">
        <w:t xml:space="preserve">Hemmeter, M.L., P.A. Snyder, L. Fox, and J. Algina. “Evaluating the Implementation of the Pyramid Model for Promoting Social-Emotional Competence in Early Childhood Classrooms.” </w:t>
      </w:r>
      <w:r w:rsidRPr="00F106A1">
        <w:rPr>
          <w:i/>
          <w:iCs/>
        </w:rPr>
        <w:t>Topics in Early Childhood Special Education,</w:t>
      </w:r>
      <w:r w:rsidRPr="00F106A1">
        <w:rPr>
          <w:iCs/>
        </w:rPr>
        <w:t xml:space="preserve"> vol. 36, no. </w:t>
      </w:r>
      <w:r w:rsidRPr="00F106A1">
        <w:t>3, 2016, pp. 133–146.</w:t>
      </w:r>
    </w:p>
    <w:p w14:paraId="0655B3EA" w14:textId="49D843D1" w:rsidR="00F106A1" w:rsidRDefault="00F106A1" w:rsidP="00F106A1">
      <w:pPr>
        <w:pStyle w:val="References"/>
      </w:pPr>
      <w:r>
        <w:t xml:space="preserve">Koenker, Roger and Gilbert Bassett. </w:t>
      </w:r>
      <w:r w:rsidR="00892367">
        <w:t>“</w:t>
      </w:r>
      <w:r>
        <w:t>Regression Quantiles.</w:t>
      </w:r>
      <w:r w:rsidR="00892367">
        <w:t>”</w:t>
      </w:r>
      <w:r>
        <w:t xml:space="preserve"> </w:t>
      </w:r>
      <w:r>
        <w:rPr>
          <w:i/>
          <w:iCs/>
        </w:rPr>
        <w:t>Econometrica</w:t>
      </w:r>
      <w:r w:rsidR="00892367">
        <w:rPr>
          <w:i/>
          <w:iCs/>
        </w:rPr>
        <w:t xml:space="preserve">, </w:t>
      </w:r>
      <w:r w:rsidR="00892367">
        <w:t>vol.</w:t>
      </w:r>
      <w:r>
        <w:t xml:space="preserve"> 46</w:t>
      </w:r>
      <w:r w:rsidR="00892367">
        <w:t xml:space="preserve">, no. </w:t>
      </w:r>
      <w:r>
        <w:t xml:space="preserve">1, </w:t>
      </w:r>
      <w:r w:rsidR="00892367">
        <w:t xml:space="preserve">1978, pp. </w:t>
      </w:r>
      <w:r>
        <w:t>33–50.</w:t>
      </w:r>
    </w:p>
    <w:p w14:paraId="16E871F0" w14:textId="6D399D50" w:rsidR="00940D01" w:rsidRPr="003C5718" w:rsidRDefault="00940D01" w:rsidP="00F106A1">
      <w:pPr>
        <w:pStyle w:val="References"/>
      </w:pPr>
      <w:r>
        <w:t xml:space="preserve">Lee, E.C., </w:t>
      </w:r>
      <w:r w:rsidR="00012CAE">
        <w:t xml:space="preserve">A.L. </w:t>
      </w:r>
      <w:r>
        <w:t xml:space="preserve">Whitehead, </w:t>
      </w:r>
      <w:r w:rsidR="00012CAE">
        <w:t xml:space="preserve">R.M. </w:t>
      </w:r>
      <w:r>
        <w:t>J</w:t>
      </w:r>
      <w:r w:rsidR="00012CAE">
        <w:t>a</w:t>
      </w:r>
      <w:r>
        <w:t xml:space="preserve">cques, </w:t>
      </w:r>
      <w:r w:rsidR="00012CAE">
        <w:t xml:space="preserve">and S.A. </w:t>
      </w:r>
      <w:r>
        <w:t xml:space="preserve">Julious. The </w:t>
      </w:r>
      <w:r w:rsidR="00012CAE">
        <w:t>S</w:t>
      </w:r>
      <w:r>
        <w:t xml:space="preserve">tatistical </w:t>
      </w:r>
      <w:r w:rsidR="00012CAE">
        <w:t>I</w:t>
      </w:r>
      <w:r>
        <w:t xml:space="preserve">nterpretation of </w:t>
      </w:r>
      <w:r w:rsidR="00012CAE">
        <w:t>P</w:t>
      </w:r>
      <w:r>
        <w:t xml:space="preserve">ilot </w:t>
      </w:r>
      <w:r w:rsidR="00012CAE">
        <w:t>T</w:t>
      </w:r>
      <w:r>
        <w:t xml:space="preserve">rials: </w:t>
      </w:r>
      <w:r w:rsidR="00012CAE">
        <w:t>S</w:t>
      </w:r>
      <w:r>
        <w:t xml:space="preserve">hould </w:t>
      </w:r>
      <w:r w:rsidR="00012CAE">
        <w:t>S</w:t>
      </w:r>
      <w:r>
        <w:t xml:space="preserve">ignificance </w:t>
      </w:r>
      <w:r w:rsidR="00012CAE">
        <w:t>T</w:t>
      </w:r>
      <w:r>
        <w:t>hresh</w:t>
      </w:r>
      <w:r w:rsidR="00012CAE">
        <w:t>o</w:t>
      </w:r>
      <w:r>
        <w:t xml:space="preserve">lds </w:t>
      </w:r>
      <w:r w:rsidR="00012CAE">
        <w:t>B</w:t>
      </w:r>
      <w:r>
        <w:t xml:space="preserve">e </w:t>
      </w:r>
      <w:r w:rsidR="00012CAE">
        <w:t>R</w:t>
      </w:r>
      <w:r>
        <w:t xml:space="preserve">econsidered? </w:t>
      </w:r>
      <w:r w:rsidR="003C5718">
        <w:rPr>
          <w:i/>
        </w:rPr>
        <w:t xml:space="preserve">BMC </w:t>
      </w:r>
      <w:r w:rsidR="00012CAE">
        <w:rPr>
          <w:i/>
        </w:rPr>
        <w:t>M</w:t>
      </w:r>
      <w:r w:rsidR="003C5718">
        <w:rPr>
          <w:i/>
        </w:rPr>
        <w:t xml:space="preserve">edical </w:t>
      </w:r>
      <w:r w:rsidR="00012CAE">
        <w:rPr>
          <w:i/>
        </w:rPr>
        <w:t>R</w:t>
      </w:r>
      <w:r w:rsidR="003C5718">
        <w:rPr>
          <w:i/>
        </w:rPr>
        <w:t xml:space="preserve">esearch </w:t>
      </w:r>
      <w:r w:rsidR="00012CAE">
        <w:rPr>
          <w:i/>
        </w:rPr>
        <w:t>M</w:t>
      </w:r>
      <w:r w:rsidR="003C5718">
        <w:rPr>
          <w:i/>
        </w:rPr>
        <w:t xml:space="preserve">ethodology, </w:t>
      </w:r>
      <w:r w:rsidR="00012CAE">
        <w:t>vol. 1</w:t>
      </w:r>
      <w:r w:rsidR="003C5718" w:rsidRPr="00012CAE">
        <w:t>4</w:t>
      </w:r>
      <w:r w:rsidR="00012CAE">
        <w:t xml:space="preserve">, no. </w:t>
      </w:r>
      <w:r w:rsidR="003C5718">
        <w:t>41</w:t>
      </w:r>
      <w:r w:rsidR="00012CAE">
        <w:t>, 2014</w:t>
      </w:r>
      <w:r w:rsidR="003C5718">
        <w:t>. doi: 10.1186/1471-2288-14-41</w:t>
      </w:r>
      <w:r w:rsidR="00012CAE">
        <w:t xml:space="preserve">. </w:t>
      </w:r>
    </w:p>
    <w:p w14:paraId="20E3D706" w14:textId="08AE73C8" w:rsidR="00F106A1" w:rsidRDefault="00F106A1" w:rsidP="00F106A1">
      <w:pPr>
        <w:pStyle w:val="References"/>
      </w:pPr>
      <w:r>
        <w:t xml:space="preserve">Lehmann, E. </w:t>
      </w:r>
      <w:r w:rsidRPr="009617B9">
        <w:rPr>
          <w:i/>
        </w:rPr>
        <w:t>Nonparametrics: Statistical Methods Based on Ranks.</w:t>
      </w:r>
      <w:r>
        <w:t xml:space="preserve"> San Francisco: Holden-Day</w:t>
      </w:r>
      <w:r w:rsidR="00892367">
        <w:t>, 1974</w:t>
      </w:r>
      <w:r>
        <w:t>.</w:t>
      </w:r>
    </w:p>
    <w:p w14:paraId="37C57C79" w14:textId="2272530A" w:rsidR="00940D01" w:rsidRPr="00940D01" w:rsidRDefault="00940D01" w:rsidP="00F106A1">
      <w:pPr>
        <w:pStyle w:val="References"/>
      </w:pPr>
      <w:r>
        <w:t xml:space="preserve">Neyman, J., and E.S. Pearson. “On the Problem of the Most Efficient Tests of Statistical Hypotheses.” </w:t>
      </w:r>
      <w:r>
        <w:rPr>
          <w:i/>
        </w:rPr>
        <w:t xml:space="preserve">Philosophical Transactions of the Royal Society, </w:t>
      </w:r>
      <w:r>
        <w:t>Series A, Containing Papers of a Mathematical or Physical Character, vol. 231, 1933, pp. 289-337.</w:t>
      </w:r>
    </w:p>
    <w:p w14:paraId="5FBCD1CD" w14:textId="3BAC40E0" w:rsidR="00F106A1" w:rsidRDefault="00F106A1" w:rsidP="00F106A1">
      <w:pPr>
        <w:pStyle w:val="References"/>
      </w:pPr>
      <w:r>
        <w:t xml:space="preserve">Schochet, Peter Z., Mike Puma, and John Deke. “Understanding Variation in Treatment Effects in Education Impact Evaluations: An Overview of Quantitative Methods.” </w:t>
      </w:r>
      <w:r w:rsidR="00892367">
        <w:t>R</w:t>
      </w:r>
      <w:r>
        <w:t>eport submitted to the Institute of Education Sciences, National Center for Education Evaluation and Regional Assistance. Princeton, NJ: Mathematica Policy Research, April 2014.</w:t>
      </w:r>
    </w:p>
    <w:p w14:paraId="7C1E9CD9" w14:textId="77777777" w:rsidR="00F106A1" w:rsidRPr="00F106A1" w:rsidRDefault="00F106A1" w:rsidP="00F106A1">
      <w:pPr>
        <w:pStyle w:val="References"/>
      </w:pPr>
      <w:r w:rsidRPr="00F106A1">
        <w:rPr>
          <w:iCs/>
        </w:rPr>
        <w:t xml:space="preserve">Strain, P.S., and E. Bovey. “Randomized Controlled Trial of the LEAP Model of Early Intervention for Young Children with Autism Spectrum Disorders.” </w:t>
      </w:r>
      <w:r w:rsidRPr="00F106A1">
        <w:rPr>
          <w:i/>
          <w:iCs/>
        </w:rPr>
        <w:t>Topics in Early Childhood Special Education,</w:t>
      </w:r>
      <w:r w:rsidRPr="00F106A1">
        <w:rPr>
          <w:iCs/>
        </w:rPr>
        <w:t xml:space="preserve"> vol. 31, no. 3, 2011, pp.133</w:t>
      </w:r>
      <w:r w:rsidRPr="00F106A1">
        <w:t>–</w:t>
      </w:r>
      <w:r w:rsidRPr="00F106A1">
        <w:rPr>
          <w:iCs/>
        </w:rPr>
        <w:t>154.</w:t>
      </w:r>
    </w:p>
    <w:p w14:paraId="3FA22E7F" w14:textId="77777777" w:rsidR="005D7EB1" w:rsidRDefault="00F106A1" w:rsidP="00F106A1">
      <w:pPr>
        <w:pStyle w:val="References"/>
      </w:pPr>
      <w:r>
        <w:t xml:space="preserve">Wasserstein, Ronald L., and Nicole A. Lazar. </w:t>
      </w:r>
      <w:r w:rsidR="00ED6EA6">
        <w:t>“</w:t>
      </w:r>
      <w:r>
        <w:t>The ASA</w:t>
      </w:r>
      <w:r w:rsidR="00ED6EA6">
        <w:t>’</w:t>
      </w:r>
      <w:r>
        <w:t xml:space="preserve">s </w:t>
      </w:r>
      <w:r w:rsidR="00ED6EA6">
        <w:t>S</w:t>
      </w:r>
      <w:r>
        <w:t xml:space="preserve">tatement on </w:t>
      </w:r>
      <w:r w:rsidRPr="009617B9">
        <w:rPr>
          <w:i/>
        </w:rPr>
        <w:t>p</w:t>
      </w:r>
      <w:r>
        <w:t>-</w:t>
      </w:r>
      <w:r w:rsidR="00ED6EA6">
        <w:t>V</w:t>
      </w:r>
      <w:r>
        <w:t xml:space="preserve">alues: </w:t>
      </w:r>
      <w:r w:rsidR="00ED6EA6">
        <w:t>C</w:t>
      </w:r>
      <w:r>
        <w:t xml:space="preserve">ontext, </w:t>
      </w:r>
      <w:r w:rsidR="00ED6EA6">
        <w:t>P</w:t>
      </w:r>
      <w:r>
        <w:t xml:space="preserve">rocess, and </w:t>
      </w:r>
      <w:r w:rsidR="00ED6EA6">
        <w:t>P</w:t>
      </w:r>
      <w:r>
        <w:t>urpose.</w:t>
      </w:r>
      <w:r w:rsidR="00ED6EA6">
        <w:t>”</w:t>
      </w:r>
      <w:r>
        <w:t xml:space="preserve"> </w:t>
      </w:r>
      <w:r w:rsidR="00ED6EA6" w:rsidRPr="009617B9">
        <w:rPr>
          <w:i/>
        </w:rPr>
        <w:t>American Statistician,</w:t>
      </w:r>
      <w:r w:rsidR="00ED6EA6">
        <w:t xml:space="preserve"> vol. 70, no. 2, </w:t>
      </w:r>
      <w:r>
        <w:t>2016</w:t>
      </w:r>
      <w:r w:rsidR="00ED6EA6">
        <w:t>, pp.</w:t>
      </w:r>
      <w:r w:rsidR="007A2E36">
        <w:t xml:space="preserve"> 129</w:t>
      </w:r>
      <w:r w:rsidR="007A2E36" w:rsidRPr="00F106A1">
        <w:t>–</w:t>
      </w:r>
      <w:r w:rsidR="007A2E36">
        <w:t>133</w:t>
      </w:r>
      <w:r>
        <w:t>.</w:t>
      </w:r>
    </w:p>
    <w:p w14:paraId="01936521" w14:textId="5654E992" w:rsidR="00940D01" w:rsidRDefault="00940D01" w:rsidP="00F106A1">
      <w:pPr>
        <w:pStyle w:val="References"/>
        <w:sectPr w:rsidR="00940D01" w:rsidSect="00D05F0F">
          <w:headerReference w:type="default" r:id="rId24"/>
          <w:footerReference w:type="default" r:id="rId25"/>
          <w:endnotePr>
            <w:numFmt w:val="decimal"/>
          </w:endnotePr>
          <w:pgSz w:w="12240" w:h="15840" w:code="1"/>
          <w:pgMar w:top="1440" w:right="1440" w:bottom="1440" w:left="1440" w:header="720" w:footer="576" w:gutter="0"/>
          <w:cols w:space="720"/>
          <w:docGrid w:linePitch="326"/>
        </w:sectPr>
      </w:pPr>
      <w:r>
        <w:t>Westlund, Erik, and Elizabeth A. Stuart. “The Nonuse, Misuse, and Proper Use of Pilot Studies in Experimental Evaluation Research.</w:t>
      </w:r>
      <w:r w:rsidR="00012CAE">
        <w:t>”</w:t>
      </w:r>
      <w:r>
        <w:t xml:space="preserve"> </w:t>
      </w:r>
      <w:r>
        <w:rPr>
          <w:i/>
        </w:rPr>
        <w:t>American Journal of Evaluation,</w:t>
      </w:r>
      <w:r>
        <w:t xml:space="preserve"> vol. 38, no. 2, 2017, pp. 246-261.  </w:t>
      </w:r>
    </w:p>
    <w:p w14:paraId="63FA1A36" w14:textId="77777777" w:rsidR="00754FC5" w:rsidRPr="0098753B" w:rsidRDefault="00754FC5" w:rsidP="00754FC5">
      <w:pPr>
        <w:pStyle w:val="wwwmathematica-mprcom"/>
        <w:rPr>
          <w:rFonts w:ascii="Arial" w:hAnsi="Arial" w:cs="Arial"/>
        </w:rPr>
      </w:pPr>
      <w:r w:rsidRPr="0098753B">
        <w:rPr>
          <w:rFonts w:ascii="Arial" w:hAnsi="Arial" w:cs="Arial"/>
        </w:rPr>
        <w:t>www.mathematica-mpr.com</w:t>
      </w:r>
    </w:p>
    <w:p w14:paraId="0CCC725F" w14:textId="77777777" w:rsidR="00754FC5" w:rsidRPr="00CC7993" w:rsidRDefault="00754FC5" w:rsidP="00754FC5">
      <w:pPr>
        <w:pStyle w:val="backcovertitle"/>
        <w:spacing w:after="100"/>
      </w:pPr>
      <w:r w:rsidRPr="00CC7993">
        <w:t xml:space="preserve">Improving public well-being by conducting high quality, </w:t>
      </w:r>
      <w:r w:rsidRPr="00CC7993">
        <w:br/>
        <w:t xml:space="preserve">objective research and </w:t>
      </w:r>
      <w:r>
        <w:t>data collection</w:t>
      </w:r>
    </w:p>
    <w:p w14:paraId="1A4C5771" w14:textId="77777777" w:rsidR="00754FC5" w:rsidRDefault="00754FC5" w:rsidP="00754FC5">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Seattle, WA  ■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6927CF87" w14:textId="7ED53551" w:rsidR="00681385" w:rsidRPr="00681385" w:rsidRDefault="00754FC5" w:rsidP="00754FC5">
      <w:pPr>
        <w:pStyle w:val="backcovercities"/>
      </w:pPr>
      <w:r w:rsidRPr="00702DA6">
        <w:rPr>
          <w:rFonts w:ascii="Arial" w:hAnsi="Arial" w:cs="Arial"/>
          <w:sz w:val="18"/>
          <w:szCs w:val="18"/>
        </w:rPr>
        <w:drawing>
          <wp:anchor distT="0" distB="0" distL="114300" distR="114300" simplePos="0" relativeHeight="251674624" behindDoc="0" locked="1" layoutInCell="1" allowOverlap="1" wp14:anchorId="499FED3C" wp14:editId="175CFEBA">
            <wp:simplePos x="0" y="0"/>
            <wp:positionH relativeFrom="margin">
              <wp:posOffset>-1562735</wp:posOffset>
            </wp:positionH>
            <wp:positionV relativeFrom="page">
              <wp:posOffset>7699375</wp:posOffset>
            </wp:positionV>
            <wp:extent cx="1819275" cy="5715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P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5" cy="571500"/>
                    </a:xfrm>
                    <a:prstGeom prst="rect">
                      <a:avLst/>
                    </a:prstGeom>
                  </pic:spPr>
                </pic:pic>
              </a:graphicData>
            </a:graphic>
            <wp14:sizeRelV relativeFrom="margin">
              <wp14:pctHeight>0</wp14:pctHeight>
            </wp14:sizeRelV>
          </wp:anchor>
        </w:drawing>
      </w:r>
      <w:r>
        <w:rPr>
          <w:rFonts w:ascii="Times New Roman" w:hAnsi="Times New Roman"/>
          <w:sz w:val="24"/>
          <w:szCs w:val="24"/>
        </w:rPr>
        <mc:AlternateContent>
          <mc:Choice Requires="wps">
            <w:drawing>
              <wp:anchor distT="0" distB="0" distL="114300" distR="114300" simplePos="0" relativeHeight="251673600" behindDoc="0" locked="1" layoutInCell="1" allowOverlap="1" wp14:anchorId="65A4D692" wp14:editId="7FC8974C">
                <wp:simplePos x="0" y="0"/>
                <wp:positionH relativeFrom="column">
                  <wp:posOffset>-1499235</wp:posOffset>
                </wp:positionH>
                <wp:positionV relativeFrom="paragraph">
                  <wp:posOffset>4617085</wp:posOffset>
                </wp:positionV>
                <wp:extent cx="1531620" cy="320040"/>
                <wp:effectExtent l="2540" t="2540" r="0" b="1270"/>
                <wp:wrapTight wrapText="bothSides">
                  <wp:wrapPolygon edited="0">
                    <wp:start x="0" y="0"/>
                    <wp:lineTo x="21600" y="0"/>
                    <wp:lineTo x="21600" y="21600"/>
                    <wp:lineTo x="0" y="2160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57D70" w14:textId="77777777" w:rsidR="004B08B5" w:rsidRPr="00AB1DD1" w:rsidRDefault="004B08B5" w:rsidP="00754FC5">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18.05pt;margin-top:363.55pt;width:120.6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4FsA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" filled="f" stroked="f">
                <v:textbox inset="0,0,0,0">
                  <w:txbxContent>
                    <w:p w14:paraId="4A957D70" w14:textId="77777777" w:rsidR="004B08B5" w:rsidRPr="00AB1DD1" w:rsidRDefault="004B08B5" w:rsidP="00754FC5">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sectPr w:rsidR="00681385" w:rsidRPr="00681385" w:rsidSect="007A678D">
      <w:headerReference w:type="default" r:id="rId26"/>
      <w:footerReference w:type="default" r:id="rId27"/>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2856" w14:textId="77777777" w:rsidR="00697E17" w:rsidRDefault="00697E17" w:rsidP="002E3E35">
      <w:pPr>
        <w:spacing w:line="240" w:lineRule="auto"/>
      </w:pPr>
      <w:r>
        <w:separator/>
      </w:r>
    </w:p>
  </w:endnote>
  <w:endnote w:type="continuationSeparator" w:id="0">
    <w:p w14:paraId="2540EC50" w14:textId="77777777" w:rsidR="00697E17" w:rsidRDefault="00697E17" w:rsidP="002E3E35">
      <w:pPr>
        <w:spacing w:line="240" w:lineRule="auto"/>
      </w:pPr>
      <w:r>
        <w:continuationSeparator/>
      </w:r>
    </w:p>
  </w:endnote>
  <w:endnote w:type="continuationNotice" w:id="1">
    <w:p w14:paraId="614346B9" w14:textId="77777777" w:rsidR="00697E17" w:rsidRDefault="00697E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A80A8" w14:textId="77777777" w:rsidR="004B08B5" w:rsidRPr="001A5310" w:rsidRDefault="004B08B5" w:rsidP="00AD6B98">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E659" w14:textId="49F929DE" w:rsidR="004B08B5" w:rsidRPr="00754FC5" w:rsidRDefault="004B08B5" w:rsidP="00754FC5">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D4E7C" w14:textId="77777777" w:rsidR="004B08B5" w:rsidRPr="00A12B64" w:rsidRDefault="004B08B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C48BD9E" w14:textId="77777777" w:rsidR="004B08B5" w:rsidRDefault="004B08B5" w:rsidP="00455D47">
    <w:pPr>
      <w:pStyle w:val="Footer"/>
      <w:pBdr>
        <w:top w:val="single" w:sz="2" w:space="1" w:color="auto"/>
        <w:bottom w:val="none" w:sz="0" w:space="0" w:color="auto"/>
      </w:pBdr>
      <w:spacing w:line="192" w:lineRule="auto"/>
      <w:rPr>
        <w:rStyle w:val="PageNumber"/>
      </w:rPr>
    </w:pPr>
  </w:p>
  <w:p w14:paraId="6D9F36AE" w14:textId="77777777" w:rsidR="004B08B5" w:rsidRPr="00964AB7" w:rsidRDefault="004B08B5" w:rsidP="00FB5DB0">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E3811">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004F5" w14:textId="600823B5" w:rsidR="004B08B5" w:rsidRPr="00754FC5" w:rsidRDefault="004B08B5" w:rsidP="00754FC5">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5C1F1" w14:textId="77777777" w:rsidR="004B08B5" w:rsidRPr="00A12B64" w:rsidRDefault="004B08B5" w:rsidP="0091775A">
    <w:pPr>
      <w:pStyle w:val="Footer"/>
      <w:pBdr>
        <w:bottom w:val="none" w:sz="0" w:space="0" w:color="auto"/>
      </w:pBdr>
      <w:tabs>
        <w:tab w:val="clear" w:pos="4320"/>
        <w:tab w:val="right" w:leader="underscore" w:pos="8539"/>
      </w:tabs>
      <w:spacing w:line="192" w:lineRule="auto"/>
      <w:rPr>
        <w:rFonts w:cs="Arial"/>
        <w:snapToGrid w:val="0"/>
        <w:szCs w:val="14"/>
      </w:rPr>
    </w:pPr>
  </w:p>
  <w:p w14:paraId="6B5DF990" w14:textId="77777777" w:rsidR="004B08B5" w:rsidRDefault="004B08B5" w:rsidP="0091775A">
    <w:pPr>
      <w:pStyle w:val="Footer"/>
      <w:pBdr>
        <w:top w:val="single" w:sz="2" w:space="1" w:color="auto"/>
        <w:bottom w:val="none" w:sz="0" w:space="0" w:color="auto"/>
      </w:pBdr>
      <w:spacing w:line="192" w:lineRule="auto"/>
      <w:rPr>
        <w:rStyle w:val="PageNumber"/>
      </w:rPr>
    </w:pPr>
  </w:p>
  <w:p w14:paraId="0F3C004D" w14:textId="77777777" w:rsidR="004B08B5" w:rsidRPr="00964AB7" w:rsidRDefault="004B08B5" w:rsidP="0091775A">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E3811">
      <w:rPr>
        <w:rStyle w:val="PageNumber"/>
        <w:noProof/>
      </w:rPr>
      <w:t>12</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2DCC" w14:textId="77777777" w:rsidR="004B08B5" w:rsidRPr="00A12B64" w:rsidRDefault="004B08B5" w:rsidP="0091775A">
    <w:pPr>
      <w:pStyle w:val="Footer"/>
      <w:pBdr>
        <w:bottom w:val="none" w:sz="0" w:space="0" w:color="auto"/>
      </w:pBdr>
      <w:tabs>
        <w:tab w:val="clear" w:pos="4320"/>
        <w:tab w:val="right" w:leader="underscore" w:pos="8539"/>
      </w:tabs>
      <w:spacing w:line="192" w:lineRule="auto"/>
      <w:rPr>
        <w:rFonts w:cs="Arial"/>
        <w:snapToGrid w:val="0"/>
        <w:szCs w:val="14"/>
      </w:rPr>
    </w:pPr>
  </w:p>
  <w:p w14:paraId="2389B477" w14:textId="77777777" w:rsidR="004B08B5" w:rsidRDefault="004B08B5" w:rsidP="0091775A">
    <w:pPr>
      <w:pStyle w:val="Footer"/>
      <w:pBdr>
        <w:top w:val="single" w:sz="2" w:space="1" w:color="auto"/>
        <w:bottom w:val="none" w:sz="0" w:space="0" w:color="auto"/>
      </w:pBdr>
      <w:spacing w:line="192" w:lineRule="auto"/>
      <w:rPr>
        <w:rStyle w:val="PageNumber"/>
      </w:rPr>
    </w:pPr>
  </w:p>
  <w:p w14:paraId="74DD0C66" w14:textId="77777777" w:rsidR="004B08B5" w:rsidRPr="00964AB7" w:rsidRDefault="004B08B5" w:rsidP="0091775A">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E3811">
      <w:rPr>
        <w:rStyle w:val="PageNumber"/>
        <w:noProof/>
      </w:rPr>
      <w:t>13</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9251" w14:textId="77777777" w:rsidR="004B08B5" w:rsidRPr="00DA0CC2" w:rsidRDefault="004B08B5" w:rsidP="00DA0CC2">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24CEF" w14:textId="77777777" w:rsidR="00697E17" w:rsidRDefault="00697E17" w:rsidP="00203E3B">
      <w:pPr>
        <w:spacing w:line="240" w:lineRule="auto"/>
        <w:ind w:firstLine="0"/>
      </w:pPr>
      <w:r>
        <w:separator/>
      </w:r>
    </w:p>
  </w:footnote>
  <w:footnote w:type="continuationSeparator" w:id="0">
    <w:p w14:paraId="4B8CF679" w14:textId="77777777" w:rsidR="00697E17" w:rsidRDefault="00697E17" w:rsidP="00203E3B">
      <w:pPr>
        <w:spacing w:line="240" w:lineRule="auto"/>
        <w:ind w:firstLine="0"/>
      </w:pPr>
      <w:r>
        <w:separator/>
      </w:r>
    </w:p>
    <w:p w14:paraId="79D84E1B" w14:textId="77777777" w:rsidR="00697E17" w:rsidRPr="00157CA2" w:rsidRDefault="00697E17" w:rsidP="00203E3B">
      <w:pPr>
        <w:spacing w:after="120" w:line="240" w:lineRule="auto"/>
        <w:ind w:firstLine="0"/>
        <w:rPr>
          <w:sz w:val="20"/>
        </w:rPr>
      </w:pPr>
      <w:r w:rsidRPr="00157CA2">
        <w:rPr>
          <w:i/>
          <w:sz w:val="20"/>
        </w:rPr>
        <w:t>(continued)</w:t>
      </w:r>
    </w:p>
  </w:footnote>
  <w:footnote w:type="continuationNotice" w:id="1">
    <w:p w14:paraId="034A2342" w14:textId="77777777" w:rsidR="00697E17" w:rsidRDefault="00697E17">
      <w:pPr>
        <w:spacing w:line="240" w:lineRule="auto"/>
      </w:pPr>
    </w:p>
  </w:footnote>
  <w:footnote w:id="2">
    <w:p w14:paraId="3E4CB6C0" w14:textId="44BB88CE" w:rsidR="004B08B5" w:rsidRDefault="004B08B5">
      <w:pPr>
        <w:pStyle w:val="FootnoteText"/>
      </w:pPr>
      <w:r>
        <w:rPr>
          <w:rStyle w:val="FootnoteReference"/>
        </w:rPr>
        <w:footnoteRef/>
      </w:r>
      <w:r>
        <w:t xml:space="preserve"> We define inclusive classrooms as classrooms in which children with disabilities are educated alongside other children and receive most or all of their special education services. </w:t>
      </w:r>
    </w:p>
  </w:footnote>
  <w:footnote w:id="3">
    <w:p w14:paraId="047EBAD7" w14:textId="77777777" w:rsidR="004B08B5" w:rsidRDefault="004B08B5" w:rsidP="00061805">
      <w:pPr>
        <w:pStyle w:val="FootnoteText"/>
        <w:spacing w:after="60"/>
      </w:pPr>
      <w:r>
        <w:rPr>
          <w:rStyle w:val="FootnoteReference"/>
        </w:rPr>
        <w:footnoteRef/>
      </w:r>
      <w:r>
        <w:t xml:space="preserve"> </w:t>
      </w:r>
      <w:r w:rsidRPr="004D580A">
        <w:t xml:space="preserve">IES is not requesting approval for the collection of data </w:t>
      </w:r>
      <w:r>
        <w:t xml:space="preserve">that </w:t>
      </w:r>
      <w:r w:rsidRPr="004D580A">
        <w:t xml:space="preserve">the study team </w:t>
      </w:r>
      <w:r>
        <w:t xml:space="preserve">will </w:t>
      </w:r>
      <w:r w:rsidRPr="004D580A">
        <w:t xml:space="preserve">collect and </w:t>
      </w:r>
      <w:r>
        <w:t xml:space="preserve">that </w:t>
      </w:r>
      <w:r w:rsidRPr="004D580A">
        <w:t xml:space="preserve">will not impose any burden on teachers or district staff. </w:t>
      </w:r>
      <w:r>
        <w:t>Examples include coaching logs, coach interviews, and observations.</w:t>
      </w:r>
    </w:p>
  </w:footnote>
  <w:footnote w:id="4">
    <w:p w14:paraId="1B7C6F66" w14:textId="0C53C5FD" w:rsidR="004B08B5" w:rsidRDefault="004B08B5" w:rsidP="00446799">
      <w:pPr>
        <w:pStyle w:val="FootnoteText"/>
      </w:pPr>
      <w:r>
        <w:rPr>
          <w:rStyle w:val="FootnoteReference"/>
        </w:rPr>
        <w:footnoteRef/>
      </w:r>
      <w:r>
        <w:t xml:space="preserve"> We conducted a preliminary analysis of all impact estimates that meet WWC evidence standards. In this analysis, we made statistical adjustments for the varying precision of the prior evidence and for a strong positive correlation between impact estimates and the standard errors of those estimates (such a correlation is consistent with the phenomenon known as “</w:t>
      </w:r>
      <w:r w:rsidRPr="00735E4F">
        <w:rPr>
          <w:i/>
        </w:rPr>
        <w:t>p</w:t>
      </w:r>
      <w:r>
        <w:t xml:space="preserve">-hacking” or “file drawer bias” After those adjustments, the impact estimates in the WWC database are approximately normally distributed, with mean 0 and a standard deviation of 0.20. </w:t>
      </w:r>
    </w:p>
  </w:footnote>
  <w:footnote w:id="5">
    <w:p w14:paraId="739DBAF3" w14:textId="3CE90FC2" w:rsidR="004B08B5" w:rsidRDefault="004B08B5" w:rsidP="00F62FFE">
      <w:pPr>
        <w:pStyle w:val="FootnoteText"/>
      </w:pPr>
      <w:r>
        <w:rPr>
          <w:rStyle w:val="FootnoteReference"/>
        </w:rPr>
        <w:footnoteRef/>
      </w:r>
      <w:r>
        <w:t xml:space="preserve"> The pattern of impact heterogeneity examined in Table B.3 also yields a small increase in power for the average treatment effect (relative to homogenous impacts) because the intervention reduces the variance of the outcome in the intervention group. This advantage can be seen when comparing the second row of this table to the last row of Table B.2. In this table, the average treatment effect analysis has 82 percent power to detect an impact of 0.20 standard deviations. This is more power than in Table B.2, where there is 80 percent power to detect an impact of 0.21 standard deviations. </w:t>
      </w:r>
    </w:p>
  </w:footnote>
  <w:footnote w:id="6">
    <w:p w14:paraId="0519E269" w14:textId="1AA071DE" w:rsidR="004B08B5" w:rsidRDefault="004B08B5" w:rsidP="00F62FFE">
      <w:pPr>
        <w:pStyle w:val="FootnoteText"/>
      </w:pPr>
      <w:r>
        <w:rPr>
          <w:rStyle w:val="FootnoteReference"/>
        </w:rPr>
        <w:footnoteRef/>
      </w:r>
      <w:r>
        <w:t xml:space="preserve"> In this example, 79 percent power means that if the impacts truly look like what is in the third row of Table B.3, there is a 79 percent chance that at least one of those three individual quantile treatment effects will be statistically significant after adjusting for multiple comparisons.</w:t>
      </w:r>
    </w:p>
  </w:footnote>
  <w:footnote w:id="7">
    <w:p w14:paraId="0747EBCA" w14:textId="70A8FBA3" w:rsidR="004B08B5" w:rsidRDefault="004B08B5" w:rsidP="00296959">
      <w:pPr>
        <w:pStyle w:val="FootnoteText"/>
      </w:pPr>
      <w:r w:rsidRPr="00B92F1F">
        <w:rPr>
          <w:rStyle w:val="FootnoteReference"/>
          <w:sz w:val="20"/>
        </w:rPr>
        <w:footnoteRef/>
      </w:r>
      <w:r w:rsidRPr="00296959">
        <w:t xml:space="preserve"> </w:t>
      </w:r>
      <w:r w:rsidRPr="00296959">
        <w:rPr>
          <w:rFonts w:eastAsiaTheme="minorEastAsia"/>
        </w:rPr>
        <w:t>A gold standard observer/assessor is a staff member who has received special training on the classroom and/or child observations and/or child assessments and usually is involved in the on-site quality assurance visits.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206E" w14:textId="77777777" w:rsidR="004B08B5" w:rsidRDefault="004B08B5">
    <w:pPr>
      <w:pStyle w:val="Header"/>
    </w:pPr>
    <w:r>
      <w:rPr>
        <w:noProof/>
      </w:rPr>
      <mc:AlternateContent>
        <mc:Choice Requires="wps">
          <w:drawing>
            <wp:anchor distT="0" distB="0" distL="114300" distR="114300" simplePos="0" relativeHeight="251660288" behindDoc="0" locked="0" layoutInCell="1" allowOverlap="1" wp14:anchorId="1AB2CB59" wp14:editId="582FE162">
              <wp:simplePos x="0" y="0"/>
              <wp:positionH relativeFrom="page">
                <wp:posOffset>91440</wp:posOffset>
              </wp:positionH>
              <wp:positionV relativeFrom="paragraph">
                <wp:posOffset>-456565</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7F6C" w14:textId="77777777" w:rsidR="004B08B5" w:rsidRDefault="004B08B5" w:rsidP="00AD6B98">
                          <w:pPr>
                            <w:pStyle w:val="Footer"/>
                            <w:spacing w:before="160"/>
                            <w:jc w:val="center"/>
                          </w:pPr>
                          <w:r>
                            <w:rPr>
                              <w:b/>
                            </w:rPr>
                            <w:t>B-</w:t>
                          </w: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4DDA1299" w14:textId="77777777" w:rsidR="004B08B5" w:rsidRPr="00E844EF" w:rsidRDefault="004B08B5" w:rsidP="00AD6B98">
                          <w:pPr>
                            <w:pStyle w:val="Footer"/>
                            <w:jc w:val="center"/>
                            <w:rPr>
                              <w:b/>
                              <w:sz w:val="17"/>
                            </w:rPr>
                          </w:pPr>
                          <w:r w:rsidRPr="00E844EF">
                            <w:rPr>
                              <w:b/>
                              <w:sz w:val="17"/>
                            </w:rPr>
                            <w:t>Use the Hpropfed or Hproppri macro to insert the appropriate footer.</w:t>
                          </w:r>
                        </w:p>
                        <w:p w14:paraId="4208528C" w14:textId="77777777" w:rsidR="004B08B5" w:rsidRPr="001301BA" w:rsidRDefault="004B08B5" w:rsidP="00AD6B98">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pt;margin-top:-35.95pt;width:55.2pt;height:5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" filled="f" stroked="f">
              <v:textbox style="layout-flow:vertical">
                <w:txbxContent>
                  <w:p w14:paraId="19397F6C" w14:textId="77777777" w:rsidR="004B08B5" w:rsidRDefault="004B08B5" w:rsidP="00AD6B98">
                    <w:pPr>
                      <w:pStyle w:val="Footer"/>
                      <w:spacing w:before="160"/>
                      <w:jc w:val="center"/>
                    </w:pPr>
                    <w:r>
                      <w:rPr>
                        <w:b/>
                      </w:rPr>
                      <w:t>B-</w:t>
                    </w: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4DDA1299" w14:textId="77777777" w:rsidR="004B08B5" w:rsidRPr="00E844EF" w:rsidRDefault="004B08B5" w:rsidP="00AD6B98">
                    <w:pPr>
                      <w:pStyle w:val="Footer"/>
                      <w:jc w:val="center"/>
                      <w:rPr>
                        <w:b/>
                        <w:sz w:val="17"/>
                      </w:rPr>
                    </w:pPr>
                    <w:r w:rsidRPr="00E844EF">
                      <w:rPr>
                        <w:b/>
                        <w:sz w:val="17"/>
                      </w:rPr>
                      <w:t>Use the Hpropfed or Hproppri macro to insert the appropriate footer.</w:t>
                    </w:r>
                  </w:p>
                  <w:p w14:paraId="4208528C" w14:textId="77777777" w:rsidR="004B08B5" w:rsidRPr="001301BA" w:rsidRDefault="004B08B5" w:rsidP="00AD6B98">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54237" w14:textId="76C806DB" w:rsidR="004B08B5" w:rsidRPr="00754FC5" w:rsidRDefault="004B08B5" w:rsidP="00754F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55F86" w14:textId="68DC59A5" w:rsidR="004B08B5" w:rsidRPr="00C44B5B" w:rsidRDefault="004B08B5" w:rsidP="002E3E35">
    <w:pPr>
      <w:pStyle w:val="Header"/>
      <w:rPr>
        <w:rFonts w:cs="Arial"/>
        <w:i/>
        <w:szCs w:val="14"/>
      </w:rPr>
    </w:pPr>
    <w:r>
      <w:t>part B. supporting statement</w:t>
    </w:r>
    <w:r w:rsidRPr="006F6DD5">
      <w:tab/>
    </w:r>
    <w:r>
      <w:t>contract number: ed-ies-14-c-0001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68A1" w14:textId="5BE7A094" w:rsidR="004B08B5" w:rsidRPr="00754FC5" w:rsidRDefault="004B08B5" w:rsidP="00754FC5">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9085E" w14:textId="2529394D" w:rsidR="004B08B5" w:rsidRPr="00C44B5B" w:rsidRDefault="004B08B5" w:rsidP="002E3E35">
    <w:pPr>
      <w:pStyle w:val="Header"/>
      <w:rPr>
        <w:rFonts w:cs="Arial"/>
        <w:i/>
        <w:szCs w:val="14"/>
      </w:rPr>
    </w:pPr>
    <w:r>
      <w:t>part b. supporting statement</w:t>
    </w:r>
    <w:r w:rsidRPr="006F6DD5">
      <w:tab/>
    </w:r>
    <w:r>
      <w:t>contract number: ed-ies-14-c-0001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5AC0A" w14:textId="77777777" w:rsidR="004B08B5" w:rsidRPr="00C44B5B" w:rsidRDefault="004B08B5" w:rsidP="002E3E35">
    <w:pPr>
      <w:pStyle w:val="Header"/>
      <w:rPr>
        <w:rFonts w:cs="Arial"/>
        <w:i/>
        <w:szCs w:val="14"/>
      </w:rPr>
    </w:pPr>
    <w:r>
      <w:t>part b. supporting statement</w:t>
    </w:r>
    <w:r w:rsidRPr="006F6DD5">
      <w:tab/>
    </w:r>
    <w:r>
      <w:t>contract number: ed-ies-14-c-0001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12CE7" w14:textId="77777777" w:rsidR="004B08B5" w:rsidRPr="009C2805" w:rsidRDefault="004B08B5" w:rsidP="007A678D">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2B2C52"/>
    <w:multiLevelType w:val="hybridMultilevel"/>
    <w:tmpl w:val="2064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3754"/>
    <w:multiLevelType w:val="hybridMultilevel"/>
    <w:tmpl w:val="2932A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93B59"/>
    <w:multiLevelType w:val="hybridMultilevel"/>
    <w:tmpl w:val="24FAF188"/>
    <w:lvl w:ilvl="0" w:tplc="058E8628">
      <w:start w:val="1"/>
      <w:numFmt w:val="bullet"/>
      <w:pStyle w:val="BulletLastD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057F"/>
    <w:multiLevelType w:val="hybridMultilevel"/>
    <w:tmpl w:val="121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3C24"/>
    <w:multiLevelType w:val="hybridMultilevel"/>
    <w:tmpl w:val="EC2611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B16C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E726E"/>
    <w:multiLevelType w:val="hybridMultilevel"/>
    <w:tmpl w:val="AE2070F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90B0F"/>
    <w:multiLevelType w:val="hybridMultilevel"/>
    <w:tmpl w:val="81D6658C"/>
    <w:lvl w:ilvl="0" w:tplc="80D26FF4">
      <w:start w:val="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534D07FB"/>
    <w:multiLevelType w:val="hybridMultilevel"/>
    <w:tmpl w:val="AC6EA766"/>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34D7DDB"/>
    <w:multiLevelType w:val="hybridMultilevel"/>
    <w:tmpl w:val="1C0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0565A"/>
    <w:multiLevelType w:val="hybridMultilevel"/>
    <w:tmpl w:val="8BB8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40C62C1"/>
    <w:multiLevelType w:val="hybridMultilevel"/>
    <w:tmpl w:val="8AEC0C86"/>
    <w:lvl w:ilvl="0" w:tplc="5FAE32F2">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900C8B"/>
    <w:multiLevelType w:val="hybridMultilevel"/>
    <w:tmpl w:val="D6F2A5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54F1B72"/>
    <w:multiLevelType w:val="hybridMultilevel"/>
    <w:tmpl w:val="D37010B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7235838"/>
    <w:multiLevelType w:val="hybridMultilevel"/>
    <w:tmpl w:val="886AF190"/>
    <w:lvl w:ilvl="0" w:tplc="A7783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31574"/>
    <w:multiLevelType w:val="hybridMultilevel"/>
    <w:tmpl w:val="86724F98"/>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1"/>
  </w:num>
  <w:num w:numId="3">
    <w:abstractNumId w:val="37"/>
  </w:num>
  <w:num w:numId="4">
    <w:abstractNumId w:val="9"/>
  </w:num>
  <w:num w:numId="5">
    <w:abstractNumId w:val="34"/>
  </w:num>
  <w:num w:numId="6">
    <w:abstractNumId w:val="39"/>
  </w:num>
  <w:num w:numId="7">
    <w:abstractNumId w:val="3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4"/>
  </w:num>
  <w:num w:numId="19">
    <w:abstractNumId w:val="25"/>
  </w:num>
  <w:num w:numId="20">
    <w:abstractNumId w:val="7"/>
  </w:num>
  <w:num w:numId="21">
    <w:abstractNumId w:val="27"/>
  </w:num>
  <w:num w:numId="22">
    <w:abstractNumId w:val="4"/>
  </w:num>
  <w:num w:numId="23">
    <w:abstractNumId w:val="16"/>
  </w:num>
  <w:num w:numId="24">
    <w:abstractNumId w:val="32"/>
  </w:num>
  <w:num w:numId="25">
    <w:abstractNumId w:val="8"/>
  </w:num>
  <w:num w:numId="26">
    <w:abstractNumId w:val="1"/>
  </w:num>
  <w:num w:numId="27">
    <w:abstractNumId w:val="11"/>
  </w:num>
  <w:num w:numId="28">
    <w:abstractNumId w:val="18"/>
  </w:num>
  <w:num w:numId="29">
    <w:abstractNumId w:val="31"/>
  </w:num>
  <w:num w:numId="30">
    <w:abstractNumId w:val="28"/>
  </w:num>
  <w:num w:numId="31">
    <w:abstractNumId w:val="6"/>
  </w:num>
  <w:num w:numId="32">
    <w:abstractNumId w:val="20"/>
    <w:lvlOverride w:ilvl="0">
      <w:startOverride w:val="1"/>
    </w:lvlOverride>
  </w:num>
  <w:num w:numId="33">
    <w:abstractNumId w:val="13"/>
  </w:num>
  <w:num w:numId="34">
    <w:abstractNumId w:val="29"/>
  </w:num>
  <w:num w:numId="35">
    <w:abstractNumId w:val="17"/>
  </w:num>
  <w:num w:numId="36">
    <w:abstractNumId w:val="5"/>
  </w:num>
  <w:num w:numId="37">
    <w:abstractNumId w:val="10"/>
  </w:num>
  <w:num w:numId="38">
    <w:abstractNumId w:val="2"/>
  </w:num>
  <w:num w:numId="39">
    <w:abstractNumId w:val="12"/>
  </w:num>
  <w:num w:numId="40">
    <w:abstractNumId w:val="3"/>
  </w:num>
  <w:num w:numId="41">
    <w:abstractNumId w:val="24"/>
  </w:num>
  <w:num w:numId="42">
    <w:abstractNumId w:val="38"/>
  </w:num>
  <w:num w:numId="43">
    <w:abstractNumId w:val="26"/>
  </w:num>
  <w:num w:numId="44">
    <w:abstractNumId w:val="15"/>
  </w:num>
  <w:num w:numId="45">
    <w:abstractNumId w:val="35"/>
  </w:num>
  <w:num w:numId="46">
    <w:abstractNumId w:val="22"/>
  </w:num>
  <w:num w:numId="47">
    <w:abstractNumId w:val="19"/>
  </w:num>
  <w:num w:numId="48">
    <w:abstractNumId w:val="3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DC"/>
    <w:rsid w:val="00001B01"/>
    <w:rsid w:val="000030B1"/>
    <w:rsid w:val="00004AEC"/>
    <w:rsid w:val="000073B9"/>
    <w:rsid w:val="00010A7C"/>
    <w:rsid w:val="00010CEE"/>
    <w:rsid w:val="00012CAE"/>
    <w:rsid w:val="0001587F"/>
    <w:rsid w:val="000158E8"/>
    <w:rsid w:val="00016D34"/>
    <w:rsid w:val="0002141B"/>
    <w:rsid w:val="000224B2"/>
    <w:rsid w:val="0002322B"/>
    <w:rsid w:val="00023C5E"/>
    <w:rsid w:val="00023D5E"/>
    <w:rsid w:val="000259EC"/>
    <w:rsid w:val="0002754E"/>
    <w:rsid w:val="0003265D"/>
    <w:rsid w:val="00032E4E"/>
    <w:rsid w:val="00034667"/>
    <w:rsid w:val="00040B2C"/>
    <w:rsid w:val="0004144C"/>
    <w:rsid w:val="000423BE"/>
    <w:rsid w:val="00042419"/>
    <w:rsid w:val="00042FA8"/>
    <w:rsid w:val="00043233"/>
    <w:rsid w:val="00043B27"/>
    <w:rsid w:val="00047BDD"/>
    <w:rsid w:val="00050378"/>
    <w:rsid w:val="00051C9B"/>
    <w:rsid w:val="00052426"/>
    <w:rsid w:val="00056BAA"/>
    <w:rsid w:val="00056BC1"/>
    <w:rsid w:val="000575D5"/>
    <w:rsid w:val="000578BB"/>
    <w:rsid w:val="00060579"/>
    <w:rsid w:val="00061805"/>
    <w:rsid w:val="000633AA"/>
    <w:rsid w:val="00063DD4"/>
    <w:rsid w:val="00063F4F"/>
    <w:rsid w:val="00067C6B"/>
    <w:rsid w:val="0007041A"/>
    <w:rsid w:val="00077241"/>
    <w:rsid w:val="00077CE4"/>
    <w:rsid w:val="0008196D"/>
    <w:rsid w:val="00081C67"/>
    <w:rsid w:val="00085420"/>
    <w:rsid w:val="00085459"/>
    <w:rsid w:val="000855BD"/>
    <w:rsid w:val="00085672"/>
    <w:rsid w:val="00086066"/>
    <w:rsid w:val="00090D26"/>
    <w:rsid w:val="0009143A"/>
    <w:rsid w:val="000930F2"/>
    <w:rsid w:val="0009443B"/>
    <w:rsid w:val="000972E1"/>
    <w:rsid w:val="0009761B"/>
    <w:rsid w:val="000A2330"/>
    <w:rsid w:val="000A3552"/>
    <w:rsid w:val="000A4181"/>
    <w:rsid w:val="000A5900"/>
    <w:rsid w:val="000A5A8D"/>
    <w:rsid w:val="000A6591"/>
    <w:rsid w:val="000A7604"/>
    <w:rsid w:val="000A7FB4"/>
    <w:rsid w:val="000B14F8"/>
    <w:rsid w:val="000B4688"/>
    <w:rsid w:val="000B521D"/>
    <w:rsid w:val="000B555A"/>
    <w:rsid w:val="000B5A8A"/>
    <w:rsid w:val="000B764C"/>
    <w:rsid w:val="000C2E3B"/>
    <w:rsid w:val="000C3839"/>
    <w:rsid w:val="000C3DBA"/>
    <w:rsid w:val="000C413E"/>
    <w:rsid w:val="000C7D4D"/>
    <w:rsid w:val="000D106A"/>
    <w:rsid w:val="000D5B34"/>
    <w:rsid w:val="000D6D88"/>
    <w:rsid w:val="000D751A"/>
    <w:rsid w:val="000E0694"/>
    <w:rsid w:val="000E06BC"/>
    <w:rsid w:val="000E0903"/>
    <w:rsid w:val="000E1954"/>
    <w:rsid w:val="000E1A99"/>
    <w:rsid w:val="000E1C2B"/>
    <w:rsid w:val="000E2169"/>
    <w:rsid w:val="000E37BF"/>
    <w:rsid w:val="000E3811"/>
    <w:rsid w:val="000E4C3F"/>
    <w:rsid w:val="000E516A"/>
    <w:rsid w:val="000E5643"/>
    <w:rsid w:val="000E5DBE"/>
    <w:rsid w:val="000F5084"/>
    <w:rsid w:val="000F6033"/>
    <w:rsid w:val="000F677B"/>
    <w:rsid w:val="000F7A03"/>
    <w:rsid w:val="00103CB9"/>
    <w:rsid w:val="001119F8"/>
    <w:rsid w:val="001123E3"/>
    <w:rsid w:val="00112A5E"/>
    <w:rsid w:val="00112C35"/>
    <w:rsid w:val="001139B5"/>
    <w:rsid w:val="00113CC8"/>
    <w:rsid w:val="00114119"/>
    <w:rsid w:val="00120865"/>
    <w:rsid w:val="001208EB"/>
    <w:rsid w:val="00121736"/>
    <w:rsid w:val="0012716F"/>
    <w:rsid w:val="00130C03"/>
    <w:rsid w:val="001311F7"/>
    <w:rsid w:val="0013184F"/>
    <w:rsid w:val="00131F00"/>
    <w:rsid w:val="00136B86"/>
    <w:rsid w:val="0013709C"/>
    <w:rsid w:val="00141525"/>
    <w:rsid w:val="00145B0C"/>
    <w:rsid w:val="00146759"/>
    <w:rsid w:val="00146CE3"/>
    <w:rsid w:val="00147515"/>
    <w:rsid w:val="00147A74"/>
    <w:rsid w:val="001510AB"/>
    <w:rsid w:val="00154A72"/>
    <w:rsid w:val="00154A76"/>
    <w:rsid w:val="00154DF1"/>
    <w:rsid w:val="00154F70"/>
    <w:rsid w:val="00157806"/>
    <w:rsid w:val="00157CA2"/>
    <w:rsid w:val="00162E57"/>
    <w:rsid w:val="00163D32"/>
    <w:rsid w:val="001649D5"/>
    <w:rsid w:val="00164BC2"/>
    <w:rsid w:val="001739F1"/>
    <w:rsid w:val="00174C2C"/>
    <w:rsid w:val="00181AC8"/>
    <w:rsid w:val="0018386E"/>
    <w:rsid w:val="00184421"/>
    <w:rsid w:val="00185CEF"/>
    <w:rsid w:val="0019077F"/>
    <w:rsid w:val="001913DD"/>
    <w:rsid w:val="001921A4"/>
    <w:rsid w:val="00194A0E"/>
    <w:rsid w:val="00194E96"/>
    <w:rsid w:val="001969F1"/>
    <w:rsid w:val="00196E5A"/>
    <w:rsid w:val="00197503"/>
    <w:rsid w:val="001A0ACB"/>
    <w:rsid w:val="001A1B32"/>
    <w:rsid w:val="001A3781"/>
    <w:rsid w:val="001A4A88"/>
    <w:rsid w:val="001A5289"/>
    <w:rsid w:val="001B04AE"/>
    <w:rsid w:val="001B107D"/>
    <w:rsid w:val="001B2B30"/>
    <w:rsid w:val="001B50F9"/>
    <w:rsid w:val="001B5699"/>
    <w:rsid w:val="001B7A8B"/>
    <w:rsid w:val="001C07DA"/>
    <w:rsid w:val="001C15AC"/>
    <w:rsid w:val="001C1FFF"/>
    <w:rsid w:val="001C204B"/>
    <w:rsid w:val="001C5193"/>
    <w:rsid w:val="001C7669"/>
    <w:rsid w:val="001C7FBE"/>
    <w:rsid w:val="001D1A72"/>
    <w:rsid w:val="001D2C6E"/>
    <w:rsid w:val="001D3544"/>
    <w:rsid w:val="001D39AA"/>
    <w:rsid w:val="001D39EC"/>
    <w:rsid w:val="001D4161"/>
    <w:rsid w:val="001D418D"/>
    <w:rsid w:val="001D4A41"/>
    <w:rsid w:val="001D51CD"/>
    <w:rsid w:val="001D661F"/>
    <w:rsid w:val="001D6863"/>
    <w:rsid w:val="001D79FB"/>
    <w:rsid w:val="001D7B65"/>
    <w:rsid w:val="001E4D9C"/>
    <w:rsid w:val="001E64E1"/>
    <w:rsid w:val="001E6A98"/>
    <w:rsid w:val="001E6E5A"/>
    <w:rsid w:val="001F2A9E"/>
    <w:rsid w:val="001F381F"/>
    <w:rsid w:val="001F4D2C"/>
    <w:rsid w:val="001F5812"/>
    <w:rsid w:val="00201E7E"/>
    <w:rsid w:val="00203E3B"/>
    <w:rsid w:val="00204AB9"/>
    <w:rsid w:val="00204B23"/>
    <w:rsid w:val="00206631"/>
    <w:rsid w:val="00206915"/>
    <w:rsid w:val="002076B1"/>
    <w:rsid w:val="002127E9"/>
    <w:rsid w:val="00214E0B"/>
    <w:rsid w:val="00215C5A"/>
    <w:rsid w:val="00215E4D"/>
    <w:rsid w:val="002164AA"/>
    <w:rsid w:val="00217FA0"/>
    <w:rsid w:val="00225954"/>
    <w:rsid w:val="0022714B"/>
    <w:rsid w:val="002272CB"/>
    <w:rsid w:val="00231607"/>
    <w:rsid w:val="002344A9"/>
    <w:rsid w:val="00241F69"/>
    <w:rsid w:val="00247945"/>
    <w:rsid w:val="00251E01"/>
    <w:rsid w:val="00254C89"/>
    <w:rsid w:val="00254E2D"/>
    <w:rsid w:val="002554DC"/>
    <w:rsid w:val="002561D5"/>
    <w:rsid w:val="00256D04"/>
    <w:rsid w:val="0026025C"/>
    <w:rsid w:val="002639C1"/>
    <w:rsid w:val="00264822"/>
    <w:rsid w:val="0026713B"/>
    <w:rsid w:val="00271689"/>
    <w:rsid w:val="00271C83"/>
    <w:rsid w:val="0027245E"/>
    <w:rsid w:val="002733A4"/>
    <w:rsid w:val="00275D8C"/>
    <w:rsid w:val="00276713"/>
    <w:rsid w:val="0027674D"/>
    <w:rsid w:val="0028195D"/>
    <w:rsid w:val="00281A08"/>
    <w:rsid w:val="00283304"/>
    <w:rsid w:val="0028360E"/>
    <w:rsid w:val="002864DC"/>
    <w:rsid w:val="002869EF"/>
    <w:rsid w:val="0029042C"/>
    <w:rsid w:val="00292A7F"/>
    <w:rsid w:val="00293694"/>
    <w:rsid w:val="00296419"/>
    <w:rsid w:val="00296959"/>
    <w:rsid w:val="00297266"/>
    <w:rsid w:val="002A00E4"/>
    <w:rsid w:val="002A21F5"/>
    <w:rsid w:val="002A2808"/>
    <w:rsid w:val="002A38BF"/>
    <w:rsid w:val="002A4F27"/>
    <w:rsid w:val="002A6552"/>
    <w:rsid w:val="002B0E82"/>
    <w:rsid w:val="002B5042"/>
    <w:rsid w:val="002B5949"/>
    <w:rsid w:val="002B71CD"/>
    <w:rsid w:val="002B7378"/>
    <w:rsid w:val="002B74DE"/>
    <w:rsid w:val="002B76AB"/>
    <w:rsid w:val="002B7C37"/>
    <w:rsid w:val="002C0D0B"/>
    <w:rsid w:val="002C1507"/>
    <w:rsid w:val="002C1A01"/>
    <w:rsid w:val="002C2A78"/>
    <w:rsid w:val="002C2D22"/>
    <w:rsid w:val="002C3CA5"/>
    <w:rsid w:val="002C3EA9"/>
    <w:rsid w:val="002C71CA"/>
    <w:rsid w:val="002D09AA"/>
    <w:rsid w:val="002D262A"/>
    <w:rsid w:val="002D59E1"/>
    <w:rsid w:val="002D6763"/>
    <w:rsid w:val="002D7F3F"/>
    <w:rsid w:val="002E00F9"/>
    <w:rsid w:val="002E06F1"/>
    <w:rsid w:val="002E3E35"/>
    <w:rsid w:val="002E517B"/>
    <w:rsid w:val="002E5C36"/>
    <w:rsid w:val="002E6EFE"/>
    <w:rsid w:val="002F2236"/>
    <w:rsid w:val="002F3A83"/>
    <w:rsid w:val="002F6E35"/>
    <w:rsid w:val="002F766C"/>
    <w:rsid w:val="002F7EDB"/>
    <w:rsid w:val="00301D8F"/>
    <w:rsid w:val="0030242C"/>
    <w:rsid w:val="00302890"/>
    <w:rsid w:val="00306F1E"/>
    <w:rsid w:val="00310CBE"/>
    <w:rsid w:val="00310D7F"/>
    <w:rsid w:val="003119C2"/>
    <w:rsid w:val="003131BA"/>
    <w:rsid w:val="00314E86"/>
    <w:rsid w:val="00314EEE"/>
    <w:rsid w:val="00315DEC"/>
    <w:rsid w:val="0031740A"/>
    <w:rsid w:val="00317FDB"/>
    <w:rsid w:val="00322B24"/>
    <w:rsid w:val="003250D8"/>
    <w:rsid w:val="00325CDC"/>
    <w:rsid w:val="003300D8"/>
    <w:rsid w:val="003308C3"/>
    <w:rsid w:val="00331ADC"/>
    <w:rsid w:val="00335FA5"/>
    <w:rsid w:val="00340FD7"/>
    <w:rsid w:val="00341682"/>
    <w:rsid w:val="003426BF"/>
    <w:rsid w:val="00343588"/>
    <w:rsid w:val="00345148"/>
    <w:rsid w:val="00345556"/>
    <w:rsid w:val="00346E5F"/>
    <w:rsid w:val="0034712A"/>
    <w:rsid w:val="00347733"/>
    <w:rsid w:val="00350B9E"/>
    <w:rsid w:val="0035526C"/>
    <w:rsid w:val="00355CFC"/>
    <w:rsid w:val="00357B5C"/>
    <w:rsid w:val="00361549"/>
    <w:rsid w:val="00363410"/>
    <w:rsid w:val="00363A19"/>
    <w:rsid w:val="00364800"/>
    <w:rsid w:val="003656C4"/>
    <w:rsid w:val="00366F93"/>
    <w:rsid w:val="00370490"/>
    <w:rsid w:val="00370BC5"/>
    <w:rsid w:val="00370D5B"/>
    <w:rsid w:val="003736BF"/>
    <w:rsid w:val="00373CA5"/>
    <w:rsid w:val="00373E33"/>
    <w:rsid w:val="003748E2"/>
    <w:rsid w:val="003763FE"/>
    <w:rsid w:val="0037746D"/>
    <w:rsid w:val="00380CD9"/>
    <w:rsid w:val="003816CD"/>
    <w:rsid w:val="00382512"/>
    <w:rsid w:val="003829AE"/>
    <w:rsid w:val="00383F9A"/>
    <w:rsid w:val="003846FB"/>
    <w:rsid w:val="00384A00"/>
    <w:rsid w:val="00384E5E"/>
    <w:rsid w:val="00391EF4"/>
    <w:rsid w:val="003921CA"/>
    <w:rsid w:val="00394544"/>
    <w:rsid w:val="00394DAA"/>
    <w:rsid w:val="003969F2"/>
    <w:rsid w:val="00396FD7"/>
    <w:rsid w:val="003972B3"/>
    <w:rsid w:val="003A16DA"/>
    <w:rsid w:val="003A501E"/>
    <w:rsid w:val="003A63C1"/>
    <w:rsid w:val="003A6D85"/>
    <w:rsid w:val="003B0078"/>
    <w:rsid w:val="003B13E2"/>
    <w:rsid w:val="003B2D30"/>
    <w:rsid w:val="003B452E"/>
    <w:rsid w:val="003C0D3C"/>
    <w:rsid w:val="003C3464"/>
    <w:rsid w:val="003C3D79"/>
    <w:rsid w:val="003C519F"/>
    <w:rsid w:val="003C5417"/>
    <w:rsid w:val="003C5718"/>
    <w:rsid w:val="003C5B52"/>
    <w:rsid w:val="003C6975"/>
    <w:rsid w:val="003C7062"/>
    <w:rsid w:val="003D14C8"/>
    <w:rsid w:val="003D18D5"/>
    <w:rsid w:val="003D2453"/>
    <w:rsid w:val="003D3DCF"/>
    <w:rsid w:val="003E1520"/>
    <w:rsid w:val="003E16DD"/>
    <w:rsid w:val="003E26E2"/>
    <w:rsid w:val="003E2A2D"/>
    <w:rsid w:val="003E3505"/>
    <w:rsid w:val="003E393C"/>
    <w:rsid w:val="003E418E"/>
    <w:rsid w:val="003E446C"/>
    <w:rsid w:val="003E48E5"/>
    <w:rsid w:val="003E67C3"/>
    <w:rsid w:val="003E7979"/>
    <w:rsid w:val="003F0051"/>
    <w:rsid w:val="003F4ADD"/>
    <w:rsid w:val="003F5F1F"/>
    <w:rsid w:val="003F7027"/>
    <w:rsid w:val="003F7D6D"/>
    <w:rsid w:val="004011CB"/>
    <w:rsid w:val="004014D4"/>
    <w:rsid w:val="004015FA"/>
    <w:rsid w:val="004027C8"/>
    <w:rsid w:val="00406760"/>
    <w:rsid w:val="00410924"/>
    <w:rsid w:val="004171C8"/>
    <w:rsid w:val="0041776D"/>
    <w:rsid w:val="00421009"/>
    <w:rsid w:val="0042273A"/>
    <w:rsid w:val="004239DF"/>
    <w:rsid w:val="00424AD6"/>
    <w:rsid w:val="004255CB"/>
    <w:rsid w:val="004255E9"/>
    <w:rsid w:val="00427FD7"/>
    <w:rsid w:val="00430A83"/>
    <w:rsid w:val="00431084"/>
    <w:rsid w:val="00431436"/>
    <w:rsid w:val="00434170"/>
    <w:rsid w:val="00435539"/>
    <w:rsid w:val="00436B58"/>
    <w:rsid w:val="00436BEA"/>
    <w:rsid w:val="00437868"/>
    <w:rsid w:val="004406E3"/>
    <w:rsid w:val="00441BDF"/>
    <w:rsid w:val="00443205"/>
    <w:rsid w:val="0044326A"/>
    <w:rsid w:val="0044335E"/>
    <w:rsid w:val="00446799"/>
    <w:rsid w:val="00451877"/>
    <w:rsid w:val="004533DB"/>
    <w:rsid w:val="00455161"/>
    <w:rsid w:val="00455D47"/>
    <w:rsid w:val="00455E84"/>
    <w:rsid w:val="004565DB"/>
    <w:rsid w:val="0045704B"/>
    <w:rsid w:val="00457E3C"/>
    <w:rsid w:val="00460328"/>
    <w:rsid w:val="00461ED0"/>
    <w:rsid w:val="004620FF"/>
    <w:rsid w:val="00462212"/>
    <w:rsid w:val="00463844"/>
    <w:rsid w:val="004646F7"/>
    <w:rsid w:val="00464B7F"/>
    <w:rsid w:val="004655C1"/>
    <w:rsid w:val="00465789"/>
    <w:rsid w:val="004662C5"/>
    <w:rsid w:val="004724CD"/>
    <w:rsid w:val="004751FA"/>
    <w:rsid w:val="00477AE8"/>
    <w:rsid w:val="00480779"/>
    <w:rsid w:val="004842DA"/>
    <w:rsid w:val="004867C2"/>
    <w:rsid w:val="004903EA"/>
    <w:rsid w:val="00490701"/>
    <w:rsid w:val="0049195D"/>
    <w:rsid w:val="00491AB9"/>
    <w:rsid w:val="004924CE"/>
    <w:rsid w:val="004927CE"/>
    <w:rsid w:val="004934BE"/>
    <w:rsid w:val="00494521"/>
    <w:rsid w:val="004951EF"/>
    <w:rsid w:val="00495DE3"/>
    <w:rsid w:val="004A0BB6"/>
    <w:rsid w:val="004A4935"/>
    <w:rsid w:val="004A58D9"/>
    <w:rsid w:val="004A7088"/>
    <w:rsid w:val="004B08B5"/>
    <w:rsid w:val="004B0AF8"/>
    <w:rsid w:val="004B2A91"/>
    <w:rsid w:val="004B32D9"/>
    <w:rsid w:val="004B47D3"/>
    <w:rsid w:val="004B62AC"/>
    <w:rsid w:val="004B7885"/>
    <w:rsid w:val="004C15ED"/>
    <w:rsid w:val="004C2FC2"/>
    <w:rsid w:val="004C3E1F"/>
    <w:rsid w:val="004C498B"/>
    <w:rsid w:val="004C67B1"/>
    <w:rsid w:val="004C77DA"/>
    <w:rsid w:val="004C7C23"/>
    <w:rsid w:val="004D1EAA"/>
    <w:rsid w:val="004D2C35"/>
    <w:rsid w:val="004D2F5F"/>
    <w:rsid w:val="004D5426"/>
    <w:rsid w:val="004D6ADF"/>
    <w:rsid w:val="004D6B97"/>
    <w:rsid w:val="004D77C8"/>
    <w:rsid w:val="004E049B"/>
    <w:rsid w:val="004E18F3"/>
    <w:rsid w:val="004E30C8"/>
    <w:rsid w:val="004E3E45"/>
    <w:rsid w:val="004E4F5A"/>
    <w:rsid w:val="004E69F7"/>
    <w:rsid w:val="004E7362"/>
    <w:rsid w:val="004E74D1"/>
    <w:rsid w:val="004F2BAC"/>
    <w:rsid w:val="004F36C4"/>
    <w:rsid w:val="0050038C"/>
    <w:rsid w:val="0050057A"/>
    <w:rsid w:val="00506F79"/>
    <w:rsid w:val="00507DE3"/>
    <w:rsid w:val="00510805"/>
    <w:rsid w:val="0051088F"/>
    <w:rsid w:val="00511459"/>
    <w:rsid w:val="005151BF"/>
    <w:rsid w:val="005157D2"/>
    <w:rsid w:val="0051675F"/>
    <w:rsid w:val="00521B0A"/>
    <w:rsid w:val="00522774"/>
    <w:rsid w:val="0052283A"/>
    <w:rsid w:val="005239B7"/>
    <w:rsid w:val="005257EC"/>
    <w:rsid w:val="00525D58"/>
    <w:rsid w:val="0052646D"/>
    <w:rsid w:val="00526576"/>
    <w:rsid w:val="00526D08"/>
    <w:rsid w:val="00535221"/>
    <w:rsid w:val="005363DE"/>
    <w:rsid w:val="0053653D"/>
    <w:rsid w:val="0053658B"/>
    <w:rsid w:val="00540352"/>
    <w:rsid w:val="005403E8"/>
    <w:rsid w:val="00540498"/>
    <w:rsid w:val="00542B6E"/>
    <w:rsid w:val="00551D48"/>
    <w:rsid w:val="00552F6B"/>
    <w:rsid w:val="005532C5"/>
    <w:rsid w:val="005547CA"/>
    <w:rsid w:val="00554A35"/>
    <w:rsid w:val="005558DB"/>
    <w:rsid w:val="00555F68"/>
    <w:rsid w:val="005560D4"/>
    <w:rsid w:val="00556A3B"/>
    <w:rsid w:val="005576F8"/>
    <w:rsid w:val="00557933"/>
    <w:rsid w:val="00560D9D"/>
    <w:rsid w:val="00560EF2"/>
    <w:rsid w:val="00561B24"/>
    <w:rsid w:val="00564493"/>
    <w:rsid w:val="00570AE3"/>
    <w:rsid w:val="005720EB"/>
    <w:rsid w:val="0057276D"/>
    <w:rsid w:val="005738B4"/>
    <w:rsid w:val="00576DC8"/>
    <w:rsid w:val="00580A6C"/>
    <w:rsid w:val="00585499"/>
    <w:rsid w:val="005857D0"/>
    <w:rsid w:val="00585F60"/>
    <w:rsid w:val="005903AC"/>
    <w:rsid w:val="00590DA7"/>
    <w:rsid w:val="005975FE"/>
    <w:rsid w:val="005A0889"/>
    <w:rsid w:val="005A0DFB"/>
    <w:rsid w:val="005A151B"/>
    <w:rsid w:val="005A1CB3"/>
    <w:rsid w:val="005A7F69"/>
    <w:rsid w:val="005B3BFB"/>
    <w:rsid w:val="005B7C31"/>
    <w:rsid w:val="005C2754"/>
    <w:rsid w:val="005C2E96"/>
    <w:rsid w:val="005C40D5"/>
    <w:rsid w:val="005C40E0"/>
    <w:rsid w:val="005C6230"/>
    <w:rsid w:val="005C69C4"/>
    <w:rsid w:val="005C6C63"/>
    <w:rsid w:val="005D1DEB"/>
    <w:rsid w:val="005D429C"/>
    <w:rsid w:val="005D5D21"/>
    <w:rsid w:val="005D648F"/>
    <w:rsid w:val="005D7D17"/>
    <w:rsid w:val="005D7EB1"/>
    <w:rsid w:val="005E2B24"/>
    <w:rsid w:val="005E454D"/>
    <w:rsid w:val="005E4C58"/>
    <w:rsid w:val="005E5DED"/>
    <w:rsid w:val="005E63F3"/>
    <w:rsid w:val="005E64DA"/>
    <w:rsid w:val="005F23A8"/>
    <w:rsid w:val="005F28ED"/>
    <w:rsid w:val="005F6F8C"/>
    <w:rsid w:val="005F7ADD"/>
    <w:rsid w:val="005F7FEA"/>
    <w:rsid w:val="00600864"/>
    <w:rsid w:val="00600FCA"/>
    <w:rsid w:val="00606A08"/>
    <w:rsid w:val="006075CC"/>
    <w:rsid w:val="0060763C"/>
    <w:rsid w:val="00607ED3"/>
    <w:rsid w:val="006108E3"/>
    <w:rsid w:val="00612888"/>
    <w:rsid w:val="00616DE6"/>
    <w:rsid w:val="00620F4D"/>
    <w:rsid w:val="00621A1A"/>
    <w:rsid w:val="00622372"/>
    <w:rsid w:val="006228BF"/>
    <w:rsid w:val="00623E13"/>
    <w:rsid w:val="0062545D"/>
    <w:rsid w:val="00626965"/>
    <w:rsid w:val="0062700B"/>
    <w:rsid w:val="00630899"/>
    <w:rsid w:val="00631E19"/>
    <w:rsid w:val="00633630"/>
    <w:rsid w:val="00633911"/>
    <w:rsid w:val="00633E77"/>
    <w:rsid w:val="00634CC2"/>
    <w:rsid w:val="006359FB"/>
    <w:rsid w:val="0063644E"/>
    <w:rsid w:val="00636D6D"/>
    <w:rsid w:val="006371A1"/>
    <w:rsid w:val="006404FF"/>
    <w:rsid w:val="00640501"/>
    <w:rsid w:val="006411EF"/>
    <w:rsid w:val="00642AE1"/>
    <w:rsid w:val="0064387A"/>
    <w:rsid w:val="00644E22"/>
    <w:rsid w:val="00651421"/>
    <w:rsid w:val="00652C13"/>
    <w:rsid w:val="00657788"/>
    <w:rsid w:val="0066062F"/>
    <w:rsid w:val="00660F6B"/>
    <w:rsid w:val="006624E0"/>
    <w:rsid w:val="0066273C"/>
    <w:rsid w:val="00662A62"/>
    <w:rsid w:val="006634BE"/>
    <w:rsid w:val="0066360E"/>
    <w:rsid w:val="0066388A"/>
    <w:rsid w:val="006702C9"/>
    <w:rsid w:val="00670627"/>
    <w:rsid w:val="0067106B"/>
    <w:rsid w:val="00671084"/>
    <w:rsid w:val="00671099"/>
    <w:rsid w:val="00671516"/>
    <w:rsid w:val="0067358F"/>
    <w:rsid w:val="0067395C"/>
    <w:rsid w:val="00673B97"/>
    <w:rsid w:val="00674079"/>
    <w:rsid w:val="00675F1D"/>
    <w:rsid w:val="00676A56"/>
    <w:rsid w:val="00680774"/>
    <w:rsid w:val="00681385"/>
    <w:rsid w:val="006816A1"/>
    <w:rsid w:val="0068215C"/>
    <w:rsid w:val="0068230E"/>
    <w:rsid w:val="00683436"/>
    <w:rsid w:val="0068396C"/>
    <w:rsid w:val="00683E27"/>
    <w:rsid w:val="00686DA0"/>
    <w:rsid w:val="0069449F"/>
    <w:rsid w:val="0069501B"/>
    <w:rsid w:val="006963B8"/>
    <w:rsid w:val="006970F8"/>
    <w:rsid w:val="006978DB"/>
    <w:rsid w:val="0069799C"/>
    <w:rsid w:val="00697E17"/>
    <w:rsid w:val="00697E5B"/>
    <w:rsid w:val="006A0B2F"/>
    <w:rsid w:val="006A405A"/>
    <w:rsid w:val="006A465C"/>
    <w:rsid w:val="006A4FFC"/>
    <w:rsid w:val="006A6358"/>
    <w:rsid w:val="006A755E"/>
    <w:rsid w:val="006A77D0"/>
    <w:rsid w:val="006B1180"/>
    <w:rsid w:val="006B1413"/>
    <w:rsid w:val="006B2425"/>
    <w:rsid w:val="006B3B73"/>
    <w:rsid w:val="006B4E3F"/>
    <w:rsid w:val="006B536F"/>
    <w:rsid w:val="006B6D4A"/>
    <w:rsid w:val="006C08BE"/>
    <w:rsid w:val="006C2620"/>
    <w:rsid w:val="006C3304"/>
    <w:rsid w:val="006C42F1"/>
    <w:rsid w:val="006C66FF"/>
    <w:rsid w:val="006C68FC"/>
    <w:rsid w:val="006C7956"/>
    <w:rsid w:val="006D03BB"/>
    <w:rsid w:val="006D21FF"/>
    <w:rsid w:val="006D3853"/>
    <w:rsid w:val="006D59E2"/>
    <w:rsid w:val="006E3BD4"/>
    <w:rsid w:val="006E4164"/>
    <w:rsid w:val="006E47AB"/>
    <w:rsid w:val="006E7690"/>
    <w:rsid w:val="006F252C"/>
    <w:rsid w:val="006F265F"/>
    <w:rsid w:val="006F36C2"/>
    <w:rsid w:val="006F4AFC"/>
    <w:rsid w:val="006F4D3D"/>
    <w:rsid w:val="006F6064"/>
    <w:rsid w:val="006F730C"/>
    <w:rsid w:val="006F73F3"/>
    <w:rsid w:val="006F79C0"/>
    <w:rsid w:val="00700C52"/>
    <w:rsid w:val="00702EB1"/>
    <w:rsid w:val="00702F11"/>
    <w:rsid w:val="00703479"/>
    <w:rsid w:val="00704083"/>
    <w:rsid w:val="007043FD"/>
    <w:rsid w:val="00707736"/>
    <w:rsid w:val="007108CB"/>
    <w:rsid w:val="0071101B"/>
    <w:rsid w:val="00711B96"/>
    <w:rsid w:val="00720D3F"/>
    <w:rsid w:val="007222A0"/>
    <w:rsid w:val="0072320A"/>
    <w:rsid w:val="00723F76"/>
    <w:rsid w:val="00724686"/>
    <w:rsid w:val="007300A7"/>
    <w:rsid w:val="00731CE2"/>
    <w:rsid w:val="00733DC9"/>
    <w:rsid w:val="00735E4F"/>
    <w:rsid w:val="00741C2F"/>
    <w:rsid w:val="00742983"/>
    <w:rsid w:val="00745BE2"/>
    <w:rsid w:val="00746636"/>
    <w:rsid w:val="007502AE"/>
    <w:rsid w:val="00751FC5"/>
    <w:rsid w:val="00753C18"/>
    <w:rsid w:val="0075488B"/>
    <w:rsid w:val="00754C4A"/>
    <w:rsid w:val="00754FC5"/>
    <w:rsid w:val="007550D7"/>
    <w:rsid w:val="007551E8"/>
    <w:rsid w:val="00756044"/>
    <w:rsid w:val="0075670F"/>
    <w:rsid w:val="007614D4"/>
    <w:rsid w:val="00761AFD"/>
    <w:rsid w:val="00761C9D"/>
    <w:rsid w:val="00761DA6"/>
    <w:rsid w:val="0076773E"/>
    <w:rsid w:val="007700B1"/>
    <w:rsid w:val="0077070A"/>
    <w:rsid w:val="007768F5"/>
    <w:rsid w:val="00780475"/>
    <w:rsid w:val="00780B38"/>
    <w:rsid w:val="00781F52"/>
    <w:rsid w:val="007825D9"/>
    <w:rsid w:val="007845CF"/>
    <w:rsid w:val="007877BD"/>
    <w:rsid w:val="00787CE7"/>
    <w:rsid w:val="007963EB"/>
    <w:rsid w:val="00796FCA"/>
    <w:rsid w:val="007A1493"/>
    <w:rsid w:val="007A1543"/>
    <w:rsid w:val="007A225C"/>
    <w:rsid w:val="007A2D95"/>
    <w:rsid w:val="007A2E36"/>
    <w:rsid w:val="007A2E39"/>
    <w:rsid w:val="007A3644"/>
    <w:rsid w:val="007A3A7A"/>
    <w:rsid w:val="007A410B"/>
    <w:rsid w:val="007A4FD7"/>
    <w:rsid w:val="007A508A"/>
    <w:rsid w:val="007A678D"/>
    <w:rsid w:val="007A6F7B"/>
    <w:rsid w:val="007B1192"/>
    <w:rsid w:val="007B1305"/>
    <w:rsid w:val="007B1396"/>
    <w:rsid w:val="007B1E87"/>
    <w:rsid w:val="007B23A9"/>
    <w:rsid w:val="007B2526"/>
    <w:rsid w:val="007B53BC"/>
    <w:rsid w:val="007B71F8"/>
    <w:rsid w:val="007C5533"/>
    <w:rsid w:val="007C6B92"/>
    <w:rsid w:val="007C7652"/>
    <w:rsid w:val="007D0CF2"/>
    <w:rsid w:val="007D1DEF"/>
    <w:rsid w:val="007D2AD5"/>
    <w:rsid w:val="007D5F63"/>
    <w:rsid w:val="007D6AE7"/>
    <w:rsid w:val="007D6CFB"/>
    <w:rsid w:val="007E0C84"/>
    <w:rsid w:val="007E574B"/>
    <w:rsid w:val="007E5750"/>
    <w:rsid w:val="007E6923"/>
    <w:rsid w:val="007E73B0"/>
    <w:rsid w:val="007F3293"/>
    <w:rsid w:val="007F55EE"/>
    <w:rsid w:val="007F68AF"/>
    <w:rsid w:val="0080006C"/>
    <w:rsid w:val="0080264C"/>
    <w:rsid w:val="00804B88"/>
    <w:rsid w:val="00804EA3"/>
    <w:rsid w:val="008059AC"/>
    <w:rsid w:val="008101F2"/>
    <w:rsid w:val="00810831"/>
    <w:rsid w:val="00811638"/>
    <w:rsid w:val="00814AE7"/>
    <w:rsid w:val="00815382"/>
    <w:rsid w:val="00816C39"/>
    <w:rsid w:val="00821341"/>
    <w:rsid w:val="008231C9"/>
    <w:rsid w:val="0082726D"/>
    <w:rsid w:val="00830296"/>
    <w:rsid w:val="008321D0"/>
    <w:rsid w:val="00833990"/>
    <w:rsid w:val="00833B51"/>
    <w:rsid w:val="00835C9B"/>
    <w:rsid w:val="008403EE"/>
    <w:rsid w:val="008405D8"/>
    <w:rsid w:val="008409CC"/>
    <w:rsid w:val="00840F80"/>
    <w:rsid w:val="00841251"/>
    <w:rsid w:val="00841793"/>
    <w:rsid w:val="00842948"/>
    <w:rsid w:val="008432AD"/>
    <w:rsid w:val="00846C35"/>
    <w:rsid w:val="00852D7A"/>
    <w:rsid w:val="008540D9"/>
    <w:rsid w:val="00854CC7"/>
    <w:rsid w:val="00854FD1"/>
    <w:rsid w:val="00856EA9"/>
    <w:rsid w:val="0086290A"/>
    <w:rsid w:val="008631B3"/>
    <w:rsid w:val="00865AD4"/>
    <w:rsid w:val="008722C8"/>
    <w:rsid w:val="0087296B"/>
    <w:rsid w:val="00872A9C"/>
    <w:rsid w:val="00872FBA"/>
    <w:rsid w:val="00874F1B"/>
    <w:rsid w:val="0087664C"/>
    <w:rsid w:val="00876E71"/>
    <w:rsid w:val="00877B02"/>
    <w:rsid w:val="00880768"/>
    <w:rsid w:val="008807DE"/>
    <w:rsid w:val="008813AB"/>
    <w:rsid w:val="00882E5C"/>
    <w:rsid w:val="00883754"/>
    <w:rsid w:val="00884DE0"/>
    <w:rsid w:val="00884E30"/>
    <w:rsid w:val="00887A8A"/>
    <w:rsid w:val="00890469"/>
    <w:rsid w:val="00892367"/>
    <w:rsid w:val="00893CB6"/>
    <w:rsid w:val="00894DAB"/>
    <w:rsid w:val="00895893"/>
    <w:rsid w:val="0089611E"/>
    <w:rsid w:val="00896846"/>
    <w:rsid w:val="0089792A"/>
    <w:rsid w:val="008A0902"/>
    <w:rsid w:val="008A1353"/>
    <w:rsid w:val="008A241C"/>
    <w:rsid w:val="008A705A"/>
    <w:rsid w:val="008B07B5"/>
    <w:rsid w:val="008B2BAC"/>
    <w:rsid w:val="008B4482"/>
    <w:rsid w:val="008B4E7B"/>
    <w:rsid w:val="008B5ADA"/>
    <w:rsid w:val="008B5B5C"/>
    <w:rsid w:val="008C0044"/>
    <w:rsid w:val="008C07EF"/>
    <w:rsid w:val="008C0EDA"/>
    <w:rsid w:val="008C16FA"/>
    <w:rsid w:val="008C39E1"/>
    <w:rsid w:val="008C42DA"/>
    <w:rsid w:val="008C792F"/>
    <w:rsid w:val="008D02E4"/>
    <w:rsid w:val="008D114C"/>
    <w:rsid w:val="008D19C5"/>
    <w:rsid w:val="008D208C"/>
    <w:rsid w:val="008D680C"/>
    <w:rsid w:val="008D6CF6"/>
    <w:rsid w:val="008E0151"/>
    <w:rsid w:val="008E323E"/>
    <w:rsid w:val="008E38D2"/>
    <w:rsid w:val="008E6805"/>
    <w:rsid w:val="008E725C"/>
    <w:rsid w:val="008F1109"/>
    <w:rsid w:val="008F267D"/>
    <w:rsid w:val="008F2984"/>
    <w:rsid w:val="008F6E33"/>
    <w:rsid w:val="00901944"/>
    <w:rsid w:val="00901CA4"/>
    <w:rsid w:val="009030E2"/>
    <w:rsid w:val="0090553F"/>
    <w:rsid w:val="009059B9"/>
    <w:rsid w:val="00905AA5"/>
    <w:rsid w:val="00907B88"/>
    <w:rsid w:val="009101F6"/>
    <w:rsid w:val="00910B00"/>
    <w:rsid w:val="00912253"/>
    <w:rsid w:val="0091313F"/>
    <w:rsid w:val="009147A0"/>
    <w:rsid w:val="00915671"/>
    <w:rsid w:val="009157C5"/>
    <w:rsid w:val="0091711A"/>
    <w:rsid w:val="0091775A"/>
    <w:rsid w:val="00917F77"/>
    <w:rsid w:val="009202C4"/>
    <w:rsid w:val="00920CF8"/>
    <w:rsid w:val="0092292E"/>
    <w:rsid w:val="009250ED"/>
    <w:rsid w:val="009254BB"/>
    <w:rsid w:val="009259B1"/>
    <w:rsid w:val="009259C2"/>
    <w:rsid w:val="009279DF"/>
    <w:rsid w:val="00931483"/>
    <w:rsid w:val="0093204A"/>
    <w:rsid w:val="00932E4E"/>
    <w:rsid w:val="00933C23"/>
    <w:rsid w:val="00934165"/>
    <w:rsid w:val="00935598"/>
    <w:rsid w:val="00936603"/>
    <w:rsid w:val="00940D01"/>
    <w:rsid w:val="00942588"/>
    <w:rsid w:val="00944C5E"/>
    <w:rsid w:val="0094692A"/>
    <w:rsid w:val="00951757"/>
    <w:rsid w:val="00953BAB"/>
    <w:rsid w:val="009555B9"/>
    <w:rsid w:val="00955858"/>
    <w:rsid w:val="0095701F"/>
    <w:rsid w:val="009617B9"/>
    <w:rsid w:val="00962492"/>
    <w:rsid w:val="009625E7"/>
    <w:rsid w:val="00964824"/>
    <w:rsid w:val="00964B48"/>
    <w:rsid w:val="009668A6"/>
    <w:rsid w:val="00973D1D"/>
    <w:rsid w:val="00973F3E"/>
    <w:rsid w:val="009766F4"/>
    <w:rsid w:val="00976BF5"/>
    <w:rsid w:val="00981FE2"/>
    <w:rsid w:val="00982052"/>
    <w:rsid w:val="00982410"/>
    <w:rsid w:val="00985241"/>
    <w:rsid w:val="009853A3"/>
    <w:rsid w:val="00991748"/>
    <w:rsid w:val="00991D5B"/>
    <w:rsid w:val="00993292"/>
    <w:rsid w:val="00994440"/>
    <w:rsid w:val="009946DB"/>
    <w:rsid w:val="00995427"/>
    <w:rsid w:val="00995460"/>
    <w:rsid w:val="00995D54"/>
    <w:rsid w:val="00996953"/>
    <w:rsid w:val="00997FA0"/>
    <w:rsid w:val="009A2C44"/>
    <w:rsid w:val="009A3510"/>
    <w:rsid w:val="009A5344"/>
    <w:rsid w:val="009A5E05"/>
    <w:rsid w:val="009B11C3"/>
    <w:rsid w:val="009B200E"/>
    <w:rsid w:val="009B69E2"/>
    <w:rsid w:val="009B76DA"/>
    <w:rsid w:val="009C27BA"/>
    <w:rsid w:val="009C40AE"/>
    <w:rsid w:val="009C484F"/>
    <w:rsid w:val="009C5420"/>
    <w:rsid w:val="009D58E7"/>
    <w:rsid w:val="009E2852"/>
    <w:rsid w:val="009E34A0"/>
    <w:rsid w:val="009E4E52"/>
    <w:rsid w:val="009E69BF"/>
    <w:rsid w:val="009E6C29"/>
    <w:rsid w:val="009E6D7D"/>
    <w:rsid w:val="009E715C"/>
    <w:rsid w:val="009E7286"/>
    <w:rsid w:val="009E756D"/>
    <w:rsid w:val="009E7C89"/>
    <w:rsid w:val="009F20EF"/>
    <w:rsid w:val="009F33C2"/>
    <w:rsid w:val="009F4AEF"/>
    <w:rsid w:val="009F6D72"/>
    <w:rsid w:val="00A01047"/>
    <w:rsid w:val="00A023D6"/>
    <w:rsid w:val="00A0284A"/>
    <w:rsid w:val="00A02D7B"/>
    <w:rsid w:val="00A02D8E"/>
    <w:rsid w:val="00A064A6"/>
    <w:rsid w:val="00A168DA"/>
    <w:rsid w:val="00A219A4"/>
    <w:rsid w:val="00A21D47"/>
    <w:rsid w:val="00A23410"/>
    <w:rsid w:val="00A25844"/>
    <w:rsid w:val="00A25A91"/>
    <w:rsid w:val="00A26E0C"/>
    <w:rsid w:val="00A270F8"/>
    <w:rsid w:val="00A277E2"/>
    <w:rsid w:val="00A30547"/>
    <w:rsid w:val="00A311C2"/>
    <w:rsid w:val="00A33045"/>
    <w:rsid w:val="00A33A8D"/>
    <w:rsid w:val="00A343A5"/>
    <w:rsid w:val="00A35EF0"/>
    <w:rsid w:val="00A36C16"/>
    <w:rsid w:val="00A3715B"/>
    <w:rsid w:val="00A40FBE"/>
    <w:rsid w:val="00A469D3"/>
    <w:rsid w:val="00A54EA0"/>
    <w:rsid w:val="00A56344"/>
    <w:rsid w:val="00A60379"/>
    <w:rsid w:val="00A606CF"/>
    <w:rsid w:val="00A621B8"/>
    <w:rsid w:val="00A64203"/>
    <w:rsid w:val="00A66431"/>
    <w:rsid w:val="00A66515"/>
    <w:rsid w:val="00A66A4E"/>
    <w:rsid w:val="00A67EC5"/>
    <w:rsid w:val="00A70DA9"/>
    <w:rsid w:val="00A74AFC"/>
    <w:rsid w:val="00A80E07"/>
    <w:rsid w:val="00A81E86"/>
    <w:rsid w:val="00A8684E"/>
    <w:rsid w:val="00A87666"/>
    <w:rsid w:val="00A900BC"/>
    <w:rsid w:val="00A92089"/>
    <w:rsid w:val="00A941F2"/>
    <w:rsid w:val="00A958DC"/>
    <w:rsid w:val="00A96CD2"/>
    <w:rsid w:val="00A971FA"/>
    <w:rsid w:val="00A97AD4"/>
    <w:rsid w:val="00AA1231"/>
    <w:rsid w:val="00AA1E97"/>
    <w:rsid w:val="00AA45FC"/>
    <w:rsid w:val="00AA5329"/>
    <w:rsid w:val="00AA6076"/>
    <w:rsid w:val="00AA6D35"/>
    <w:rsid w:val="00AA76A4"/>
    <w:rsid w:val="00AA795E"/>
    <w:rsid w:val="00AB3CAD"/>
    <w:rsid w:val="00AB4909"/>
    <w:rsid w:val="00AB496C"/>
    <w:rsid w:val="00AB50F7"/>
    <w:rsid w:val="00AB7AB9"/>
    <w:rsid w:val="00AB7DAD"/>
    <w:rsid w:val="00AC44B8"/>
    <w:rsid w:val="00AC59D0"/>
    <w:rsid w:val="00AC603E"/>
    <w:rsid w:val="00AC6D0C"/>
    <w:rsid w:val="00AD1931"/>
    <w:rsid w:val="00AD2206"/>
    <w:rsid w:val="00AD24F3"/>
    <w:rsid w:val="00AD4E2E"/>
    <w:rsid w:val="00AD6B98"/>
    <w:rsid w:val="00AD6D98"/>
    <w:rsid w:val="00AD7F3D"/>
    <w:rsid w:val="00AE1EF4"/>
    <w:rsid w:val="00AE3DBB"/>
    <w:rsid w:val="00AE65A9"/>
    <w:rsid w:val="00AE6A49"/>
    <w:rsid w:val="00AF0545"/>
    <w:rsid w:val="00AF4247"/>
    <w:rsid w:val="00B000BE"/>
    <w:rsid w:val="00B01117"/>
    <w:rsid w:val="00B01CB5"/>
    <w:rsid w:val="00B023D9"/>
    <w:rsid w:val="00B02C9E"/>
    <w:rsid w:val="00B043FB"/>
    <w:rsid w:val="00B04DDB"/>
    <w:rsid w:val="00B11994"/>
    <w:rsid w:val="00B11C13"/>
    <w:rsid w:val="00B11F80"/>
    <w:rsid w:val="00B12062"/>
    <w:rsid w:val="00B14CA2"/>
    <w:rsid w:val="00B15EC9"/>
    <w:rsid w:val="00B16F26"/>
    <w:rsid w:val="00B17153"/>
    <w:rsid w:val="00B176FD"/>
    <w:rsid w:val="00B21973"/>
    <w:rsid w:val="00B23871"/>
    <w:rsid w:val="00B23E2B"/>
    <w:rsid w:val="00B240FB"/>
    <w:rsid w:val="00B24E93"/>
    <w:rsid w:val="00B273D9"/>
    <w:rsid w:val="00B327AD"/>
    <w:rsid w:val="00B331F4"/>
    <w:rsid w:val="00B33BD4"/>
    <w:rsid w:val="00B349E5"/>
    <w:rsid w:val="00B40F81"/>
    <w:rsid w:val="00B4241D"/>
    <w:rsid w:val="00B42423"/>
    <w:rsid w:val="00B4329A"/>
    <w:rsid w:val="00B44F8C"/>
    <w:rsid w:val="00B45B86"/>
    <w:rsid w:val="00B518EB"/>
    <w:rsid w:val="00B5361C"/>
    <w:rsid w:val="00B5377E"/>
    <w:rsid w:val="00B57DCF"/>
    <w:rsid w:val="00B6037C"/>
    <w:rsid w:val="00B6075E"/>
    <w:rsid w:val="00B64C41"/>
    <w:rsid w:val="00B71019"/>
    <w:rsid w:val="00B72C2C"/>
    <w:rsid w:val="00B73D4C"/>
    <w:rsid w:val="00B77B99"/>
    <w:rsid w:val="00B81DAA"/>
    <w:rsid w:val="00B82FEB"/>
    <w:rsid w:val="00B83206"/>
    <w:rsid w:val="00B83B64"/>
    <w:rsid w:val="00B84AFC"/>
    <w:rsid w:val="00B86797"/>
    <w:rsid w:val="00B86E7E"/>
    <w:rsid w:val="00B87F01"/>
    <w:rsid w:val="00B9069A"/>
    <w:rsid w:val="00B909C2"/>
    <w:rsid w:val="00B90E1D"/>
    <w:rsid w:val="00B9252F"/>
    <w:rsid w:val="00B92F1F"/>
    <w:rsid w:val="00B934FF"/>
    <w:rsid w:val="00B949A7"/>
    <w:rsid w:val="00B973C9"/>
    <w:rsid w:val="00BA0343"/>
    <w:rsid w:val="00BA27C6"/>
    <w:rsid w:val="00BA36B1"/>
    <w:rsid w:val="00BA38A5"/>
    <w:rsid w:val="00BA4BF6"/>
    <w:rsid w:val="00BA4C37"/>
    <w:rsid w:val="00BA6C52"/>
    <w:rsid w:val="00BA79D9"/>
    <w:rsid w:val="00BB000E"/>
    <w:rsid w:val="00BB0F81"/>
    <w:rsid w:val="00BB1373"/>
    <w:rsid w:val="00BB14A0"/>
    <w:rsid w:val="00BB1BEF"/>
    <w:rsid w:val="00BB4F8E"/>
    <w:rsid w:val="00BB5573"/>
    <w:rsid w:val="00BB5649"/>
    <w:rsid w:val="00BC1045"/>
    <w:rsid w:val="00BC16F4"/>
    <w:rsid w:val="00BC2562"/>
    <w:rsid w:val="00BC3468"/>
    <w:rsid w:val="00BD306C"/>
    <w:rsid w:val="00BE18A5"/>
    <w:rsid w:val="00BE33C8"/>
    <w:rsid w:val="00BE4FC6"/>
    <w:rsid w:val="00BE5431"/>
    <w:rsid w:val="00BE5E36"/>
    <w:rsid w:val="00BE6894"/>
    <w:rsid w:val="00BE77D6"/>
    <w:rsid w:val="00BF1CE7"/>
    <w:rsid w:val="00BF39D4"/>
    <w:rsid w:val="00BF3F82"/>
    <w:rsid w:val="00BF4DC7"/>
    <w:rsid w:val="00BF5576"/>
    <w:rsid w:val="00BF6EBB"/>
    <w:rsid w:val="00BF7326"/>
    <w:rsid w:val="00BF7919"/>
    <w:rsid w:val="00C02A6A"/>
    <w:rsid w:val="00C03960"/>
    <w:rsid w:val="00C11855"/>
    <w:rsid w:val="00C11A8C"/>
    <w:rsid w:val="00C11AC9"/>
    <w:rsid w:val="00C1230F"/>
    <w:rsid w:val="00C138B9"/>
    <w:rsid w:val="00C14871"/>
    <w:rsid w:val="00C16FE1"/>
    <w:rsid w:val="00C17312"/>
    <w:rsid w:val="00C247F2"/>
    <w:rsid w:val="00C24DFE"/>
    <w:rsid w:val="00C26F51"/>
    <w:rsid w:val="00C2798C"/>
    <w:rsid w:val="00C3121C"/>
    <w:rsid w:val="00C34C9E"/>
    <w:rsid w:val="00C360FF"/>
    <w:rsid w:val="00C36AC1"/>
    <w:rsid w:val="00C41050"/>
    <w:rsid w:val="00C4142C"/>
    <w:rsid w:val="00C41969"/>
    <w:rsid w:val="00C42B56"/>
    <w:rsid w:val="00C44D41"/>
    <w:rsid w:val="00C45148"/>
    <w:rsid w:val="00C45A45"/>
    <w:rsid w:val="00C45D90"/>
    <w:rsid w:val="00C471E0"/>
    <w:rsid w:val="00C47A9D"/>
    <w:rsid w:val="00C47FF2"/>
    <w:rsid w:val="00C51094"/>
    <w:rsid w:val="00C536C6"/>
    <w:rsid w:val="00C556B1"/>
    <w:rsid w:val="00C5662D"/>
    <w:rsid w:val="00C56BD2"/>
    <w:rsid w:val="00C57B4A"/>
    <w:rsid w:val="00C6046B"/>
    <w:rsid w:val="00C60FB3"/>
    <w:rsid w:val="00C62485"/>
    <w:rsid w:val="00C6431C"/>
    <w:rsid w:val="00C6450B"/>
    <w:rsid w:val="00C7488A"/>
    <w:rsid w:val="00C749D7"/>
    <w:rsid w:val="00C74A20"/>
    <w:rsid w:val="00C761FF"/>
    <w:rsid w:val="00C81C15"/>
    <w:rsid w:val="00C81CE4"/>
    <w:rsid w:val="00C83353"/>
    <w:rsid w:val="00C833B6"/>
    <w:rsid w:val="00C8400C"/>
    <w:rsid w:val="00C84F38"/>
    <w:rsid w:val="00C863CF"/>
    <w:rsid w:val="00C86CCB"/>
    <w:rsid w:val="00C87563"/>
    <w:rsid w:val="00C9097E"/>
    <w:rsid w:val="00C90F5F"/>
    <w:rsid w:val="00C90FA2"/>
    <w:rsid w:val="00C94B60"/>
    <w:rsid w:val="00C95148"/>
    <w:rsid w:val="00C95E5E"/>
    <w:rsid w:val="00C971DE"/>
    <w:rsid w:val="00CA1D8C"/>
    <w:rsid w:val="00CA1FFC"/>
    <w:rsid w:val="00CA3503"/>
    <w:rsid w:val="00CA6471"/>
    <w:rsid w:val="00CA73BC"/>
    <w:rsid w:val="00CA7733"/>
    <w:rsid w:val="00CA7A1E"/>
    <w:rsid w:val="00CA7A56"/>
    <w:rsid w:val="00CA7F45"/>
    <w:rsid w:val="00CB27B8"/>
    <w:rsid w:val="00CB3552"/>
    <w:rsid w:val="00CB4AFD"/>
    <w:rsid w:val="00CB5665"/>
    <w:rsid w:val="00CB77C1"/>
    <w:rsid w:val="00CB7CB3"/>
    <w:rsid w:val="00CC15A2"/>
    <w:rsid w:val="00CC2B56"/>
    <w:rsid w:val="00CD0D49"/>
    <w:rsid w:val="00CD148B"/>
    <w:rsid w:val="00CD32A3"/>
    <w:rsid w:val="00CD3C9F"/>
    <w:rsid w:val="00CD55F9"/>
    <w:rsid w:val="00CE2E9E"/>
    <w:rsid w:val="00CE347E"/>
    <w:rsid w:val="00CE55BF"/>
    <w:rsid w:val="00CE614C"/>
    <w:rsid w:val="00CE66AF"/>
    <w:rsid w:val="00CE66EF"/>
    <w:rsid w:val="00CF01D1"/>
    <w:rsid w:val="00CF1BB3"/>
    <w:rsid w:val="00CF2D49"/>
    <w:rsid w:val="00CF6E72"/>
    <w:rsid w:val="00CF773F"/>
    <w:rsid w:val="00D03D09"/>
    <w:rsid w:val="00D04356"/>
    <w:rsid w:val="00D04B5A"/>
    <w:rsid w:val="00D05BD4"/>
    <w:rsid w:val="00D05F0F"/>
    <w:rsid w:val="00D100CC"/>
    <w:rsid w:val="00D10E92"/>
    <w:rsid w:val="00D11F2E"/>
    <w:rsid w:val="00D13A18"/>
    <w:rsid w:val="00D154AE"/>
    <w:rsid w:val="00D17BAD"/>
    <w:rsid w:val="00D206F1"/>
    <w:rsid w:val="00D23243"/>
    <w:rsid w:val="00D24A64"/>
    <w:rsid w:val="00D25DAD"/>
    <w:rsid w:val="00D26668"/>
    <w:rsid w:val="00D3011C"/>
    <w:rsid w:val="00D3206B"/>
    <w:rsid w:val="00D32D01"/>
    <w:rsid w:val="00D36A2A"/>
    <w:rsid w:val="00D426AD"/>
    <w:rsid w:val="00D43963"/>
    <w:rsid w:val="00D44594"/>
    <w:rsid w:val="00D45030"/>
    <w:rsid w:val="00D46CC5"/>
    <w:rsid w:val="00D529DE"/>
    <w:rsid w:val="00D541E7"/>
    <w:rsid w:val="00D55E19"/>
    <w:rsid w:val="00D57F75"/>
    <w:rsid w:val="00D60252"/>
    <w:rsid w:val="00D60E9C"/>
    <w:rsid w:val="00D60F07"/>
    <w:rsid w:val="00D626D6"/>
    <w:rsid w:val="00D643B0"/>
    <w:rsid w:val="00D65B8C"/>
    <w:rsid w:val="00D668A2"/>
    <w:rsid w:val="00D7123B"/>
    <w:rsid w:val="00D71B98"/>
    <w:rsid w:val="00D74D27"/>
    <w:rsid w:val="00D75A28"/>
    <w:rsid w:val="00D82614"/>
    <w:rsid w:val="00D847D2"/>
    <w:rsid w:val="00D84FE6"/>
    <w:rsid w:val="00D854D7"/>
    <w:rsid w:val="00D8659F"/>
    <w:rsid w:val="00D9395D"/>
    <w:rsid w:val="00D9439C"/>
    <w:rsid w:val="00D94B46"/>
    <w:rsid w:val="00D9730B"/>
    <w:rsid w:val="00D9793C"/>
    <w:rsid w:val="00D97EA2"/>
    <w:rsid w:val="00DA0CC2"/>
    <w:rsid w:val="00DA2788"/>
    <w:rsid w:val="00DA292C"/>
    <w:rsid w:val="00DA3556"/>
    <w:rsid w:val="00DA4E74"/>
    <w:rsid w:val="00DA6426"/>
    <w:rsid w:val="00DB0875"/>
    <w:rsid w:val="00DB0CFD"/>
    <w:rsid w:val="00DB2324"/>
    <w:rsid w:val="00DB77F5"/>
    <w:rsid w:val="00DC02C5"/>
    <w:rsid w:val="00DC0325"/>
    <w:rsid w:val="00DC0518"/>
    <w:rsid w:val="00DC1F96"/>
    <w:rsid w:val="00DC2044"/>
    <w:rsid w:val="00DC3B21"/>
    <w:rsid w:val="00DC4071"/>
    <w:rsid w:val="00DC48B7"/>
    <w:rsid w:val="00DC57DB"/>
    <w:rsid w:val="00DC672A"/>
    <w:rsid w:val="00DD08F1"/>
    <w:rsid w:val="00DD0B71"/>
    <w:rsid w:val="00DD229D"/>
    <w:rsid w:val="00DD2ADB"/>
    <w:rsid w:val="00DD4C85"/>
    <w:rsid w:val="00DE0862"/>
    <w:rsid w:val="00DE0F60"/>
    <w:rsid w:val="00DE14D3"/>
    <w:rsid w:val="00DE222B"/>
    <w:rsid w:val="00DE3371"/>
    <w:rsid w:val="00DE6436"/>
    <w:rsid w:val="00DF0AA0"/>
    <w:rsid w:val="00DF3111"/>
    <w:rsid w:val="00DF36A4"/>
    <w:rsid w:val="00DF4330"/>
    <w:rsid w:val="00DF4F75"/>
    <w:rsid w:val="00DF69D6"/>
    <w:rsid w:val="00DF7006"/>
    <w:rsid w:val="00DF781D"/>
    <w:rsid w:val="00E000DA"/>
    <w:rsid w:val="00E00533"/>
    <w:rsid w:val="00E02496"/>
    <w:rsid w:val="00E03DB4"/>
    <w:rsid w:val="00E06463"/>
    <w:rsid w:val="00E0682D"/>
    <w:rsid w:val="00E0754E"/>
    <w:rsid w:val="00E141D5"/>
    <w:rsid w:val="00E15AD4"/>
    <w:rsid w:val="00E160FB"/>
    <w:rsid w:val="00E16443"/>
    <w:rsid w:val="00E202FA"/>
    <w:rsid w:val="00E21358"/>
    <w:rsid w:val="00E218CA"/>
    <w:rsid w:val="00E2458E"/>
    <w:rsid w:val="00E253D5"/>
    <w:rsid w:val="00E25645"/>
    <w:rsid w:val="00E33C8E"/>
    <w:rsid w:val="00E34057"/>
    <w:rsid w:val="00E35B9D"/>
    <w:rsid w:val="00E4054A"/>
    <w:rsid w:val="00E4096D"/>
    <w:rsid w:val="00E41FF2"/>
    <w:rsid w:val="00E42570"/>
    <w:rsid w:val="00E43AD3"/>
    <w:rsid w:val="00E440DB"/>
    <w:rsid w:val="00E4482D"/>
    <w:rsid w:val="00E50C9B"/>
    <w:rsid w:val="00E55240"/>
    <w:rsid w:val="00E565D6"/>
    <w:rsid w:val="00E57389"/>
    <w:rsid w:val="00E57452"/>
    <w:rsid w:val="00E575C0"/>
    <w:rsid w:val="00E57A14"/>
    <w:rsid w:val="00E60B04"/>
    <w:rsid w:val="00E6337E"/>
    <w:rsid w:val="00E640C3"/>
    <w:rsid w:val="00E64671"/>
    <w:rsid w:val="00E655FB"/>
    <w:rsid w:val="00E65FE9"/>
    <w:rsid w:val="00E67706"/>
    <w:rsid w:val="00E67AF9"/>
    <w:rsid w:val="00E67D0F"/>
    <w:rsid w:val="00E71D95"/>
    <w:rsid w:val="00E71EDC"/>
    <w:rsid w:val="00E77EEF"/>
    <w:rsid w:val="00E81AB7"/>
    <w:rsid w:val="00E81DAA"/>
    <w:rsid w:val="00E84D58"/>
    <w:rsid w:val="00E85F06"/>
    <w:rsid w:val="00E86C7F"/>
    <w:rsid w:val="00E877DB"/>
    <w:rsid w:val="00E91E36"/>
    <w:rsid w:val="00EA0233"/>
    <w:rsid w:val="00EA2183"/>
    <w:rsid w:val="00EA2F43"/>
    <w:rsid w:val="00EA3BF5"/>
    <w:rsid w:val="00EA73C2"/>
    <w:rsid w:val="00EA7E10"/>
    <w:rsid w:val="00EB175C"/>
    <w:rsid w:val="00EB413D"/>
    <w:rsid w:val="00EB7B14"/>
    <w:rsid w:val="00EC4A25"/>
    <w:rsid w:val="00ED220B"/>
    <w:rsid w:val="00ED4C5D"/>
    <w:rsid w:val="00ED6EA6"/>
    <w:rsid w:val="00EE11F8"/>
    <w:rsid w:val="00EE1DE6"/>
    <w:rsid w:val="00EE3C1D"/>
    <w:rsid w:val="00EE51D5"/>
    <w:rsid w:val="00EE7491"/>
    <w:rsid w:val="00EE7EB5"/>
    <w:rsid w:val="00EF03FC"/>
    <w:rsid w:val="00EF04F0"/>
    <w:rsid w:val="00EF0881"/>
    <w:rsid w:val="00EF14AC"/>
    <w:rsid w:val="00EF2082"/>
    <w:rsid w:val="00EF5774"/>
    <w:rsid w:val="00EF78F9"/>
    <w:rsid w:val="00F0021B"/>
    <w:rsid w:val="00F011BE"/>
    <w:rsid w:val="00F02A59"/>
    <w:rsid w:val="00F03D0F"/>
    <w:rsid w:val="00F04524"/>
    <w:rsid w:val="00F0490D"/>
    <w:rsid w:val="00F07599"/>
    <w:rsid w:val="00F1029B"/>
    <w:rsid w:val="00F106A1"/>
    <w:rsid w:val="00F12333"/>
    <w:rsid w:val="00F14FDC"/>
    <w:rsid w:val="00F2092F"/>
    <w:rsid w:val="00F2169C"/>
    <w:rsid w:val="00F220AC"/>
    <w:rsid w:val="00F2315C"/>
    <w:rsid w:val="00F25817"/>
    <w:rsid w:val="00F27751"/>
    <w:rsid w:val="00F27CB7"/>
    <w:rsid w:val="00F318F6"/>
    <w:rsid w:val="00F326A0"/>
    <w:rsid w:val="00F34CB9"/>
    <w:rsid w:val="00F43593"/>
    <w:rsid w:val="00F44272"/>
    <w:rsid w:val="00F46A1F"/>
    <w:rsid w:val="00F50095"/>
    <w:rsid w:val="00F509FA"/>
    <w:rsid w:val="00F553C3"/>
    <w:rsid w:val="00F567E2"/>
    <w:rsid w:val="00F6063A"/>
    <w:rsid w:val="00F60738"/>
    <w:rsid w:val="00F61242"/>
    <w:rsid w:val="00F624DE"/>
    <w:rsid w:val="00F6274E"/>
    <w:rsid w:val="00F62FFE"/>
    <w:rsid w:val="00F63A2B"/>
    <w:rsid w:val="00F66D2A"/>
    <w:rsid w:val="00F67D54"/>
    <w:rsid w:val="00F70118"/>
    <w:rsid w:val="00F74E9C"/>
    <w:rsid w:val="00F770B2"/>
    <w:rsid w:val="00F815F4"/>
    <w:rsid w:val="00F81C42"/>
    <w:rsid w:val="00F82E40"/>
    <w:rsid w:val="00F843DF"/>
    <w:rsid w:val="00F85145"/>
    <w:rsid w:val="00F85583"/>
    <w:rsid w:val="00F9066D"/>
    <w:rsid w:val="00F90920"/>
    <w:rsid w:val="00F92064"/>
    <w:rsid w:val="00F9218C"/>
    <w:rsid w:val="00F93A13"/>
    <w:rsid w:val="00F9527E"/>
    <w:rsid w:val="00FA0014"/>
    <w:rsid w:val="00FA03B3"/>
    <w:rsid w:val="00FB0524"/>
    <w:rsid w:val="00FB5CFE"/>
    <w:rsid w:val="00FB5DB0"/>
    <w:rsid w:val="00FB6548"/>
    <w:rsid w:val="00FB789F"/>
    <w:rsid w:val="00FC104A"/>
    <w:rsid w:val="00FC3216"/>
    <w:rsid w:val="00FC4AB1"/>
    <w:rsid w:val="00FC50A5"/>
    <w:rsid w:val="00FC6324"/>
    <w:rsid w:val="00FC6CEB"/>
    <w:rsid w:val="00FC7F31"/>
    <w:rsid w:val="00FD258C"/>
    <w:rsid w:val="00FD327B"/>
    <w:rsid w:val="00FD3C53"/>
    <w:rsid w:val="00FE1900"/>
    <w:rsid w:val="00FE3270"/>
    <w:rsid w:val="00FE5257"/>
    <w:rsid w:val="00FE7DA9"/>
    <w:rsid w:val="00FF4446"/>
    <w:rsid w:val="00FF4620"/>
    <w:rsid w:val="00FF536E"/>
    <w:rsid w:val="00FF59B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1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0930F2"/>
    <w:pPr>
      <w:keepNext/>
      <w:tabs>
        <w:tab w:val="left" w:pos="432"/>
      </w:tabs>
      <w:spacing w:after="120" w:line="240" w:lineRule="auto"/>
      <w:ind w:left="432" w:hanging="432"/>
      <w:outlineLvl w:val="2"/>
    </w:pPr>
    <w:rPr>
      <w:rFonts w:ascii="Arial Black" w:hAnsi="Arial Black"/>
      <w:b/>
      <w:sz w:val="22"/>
      <w:szCs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6"/>
      </w:numPr>
      <w:spacing w:after="320"/>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930F2"/>
    <w:rPr>
      <w:rFonts w:ascii="Arial Black" w:eastAsia="Times New Roman" w:hAnsi="Arial Black" w:cs="Times New Roman"/>
      <w:b/>
      <w:sz w:val="22"/>
      <w:szCs w:val="22"/>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B5949"/>
    <w:pPr>
      <w:tabs>
        <w:tab w:val="right" w:leader="dot" w:pos="9360"/>
      </w:tabs>
      <w:spacing w:after="180" w:line="240" w:lineRule="exact"/>
      <w:ind w:right="720"/>
    </w:pPr>
    <w:rPr>
      <w:rFonts w:ascii="Arial" w:eastAsia="Times New Roman" w:hAnsi="Arial" w:cs="Times New Roman"/>
      <w:caps/>
      <w:sz w:val="20"/>
      <w:szCs w:val="20"/>
    </w:rPr>
  </w:style>
  <w:style w:type="paragraph" w:styleId="TOC2">
    <w:name w:val="toc 2"/>
    <w:next w:val="Normal"/>
    <w:autoRedefine/>
    <w:uiPriority w:val="39"/>
    <w:qFormat/>
    <w:rsid w:val="004B08B5"/>
    <w:pPr>
      <w:tabs>
        <w:tab w:val="left" w:pos="1080"/>
        <w:tab w:val="right" w:leader="dot" w:pos="9360"/>
      </w:tabs>
      <w:spacing w:after="180" w:line="240" w:lineRule="exact"/>
      <w:ind w:left="504" w:right="720" w:hanging="504"/>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768F5"/>
    <w:rPr>
      <w:sz w:val="16"/>
      <w:szCs w:val="16"/>
    </w:rPr>
  </w:style>
  <w:style w:type="paragraph" w:styleId="CommentText">
    <w:name w:val="annotation text"/>
    <w:basedOn w:val="Normal"/>
    <w:link w:val="CommentTextChar"/>
    <w:uiPriority w:val="99"/>
    <w:unhideWhenUsed/>
    <w:rsid w:val="007768F5"/>
    <w:pPr>
      <w:spacing w:line="240" w:lineRule="auto"/>
    </w:pPr>
    <w:rPr>
      <w:sz w:val="20"/>
    </w:rPr>
  </w:style>
  <w:style w:type="character" w:customStyle="1" w:styleId="CommentTextChar">
    <w:name w:val="Comment Text Char"/>
    <w:basedOn w:val="DefaultParagraphFont"/>
    <w:link w:val="CommentText"/>
    <w:uiPriority w:val="99"/>
    <w:rsid w:val="007768F5"/>
    <w:rPr>
      <w:rFonts w:eastAsia="Times New Roman" w:cs="Times New Roman"/>
      <w:sz w:val="20"/>
      <w:szCs w:val="20"/>
    </w:rPr>
  </w:style>
  <w:style w:type="table" w:styleId="TableGrid">
    <w:name w:val="Table Grid"/>
    <w:basedOn w:val="TableNormal"/>
    <w:uiPriority w:val="39"/>
    <w:locked/>
    <w:rsid w:val="00AC6D0C"/>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C6D0C"/>
    <w:rPr>
      <w:color w:val="0000FF" w:themeColor="hyperlink"/>
      <w:u w:val="single"/>
    </w:rPr>
  </w:style>
  <w:style w:type="paragraph" w:styleId="ListParagraph">
    <w:name w:val="List Paragraph"/>
    <w:basedOn w:val="Normal"/>
    <w:uiPriority w:val="34"/>
    <w:qFormat/>
    <w:rsid w:val="00600864"/>
    <w:pPr>
      <w:spacing w:after="200" w:line="276" w:lineRule="auto"/>
      <w:ind w:left="720" w:firstLine="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0864"/>
    <w:rPr>
      <w:b/>
      <w:bCs/>
    </w:rPr>
  </w:style>
  <w:style w:type="character" w:customStyle="1" w:styleId="CommentSubjectChar">
    <w:name w:val="Comment Subject Char"/>
    <w:basedOn w:val="CommentTextChar"/>
    <w:link w:val="CommentSubject"/>
    <w:uiPriority w:val="99"/>
    <w:semiHidden/>
    <w:rsid w:val="00600864"/>
    <w:rPr>
      <w:rFonts w:eastAsia="Times New Roman" w:cs="Times New Roman"/>
      <w:b/>
      <w:bCs/>
      <w:sz w:val="20"/>
      <w:szCs w:val="20"/>
    </w:rPr>
  </w:style>
  <w:style w:type="paragraph" w:styleId="Revision">
    <w:name w:val="Revision"/>
    <w:hidden/>
    <w:uiPriority w:val="99"/>
    <w:semiHidden/>
    <w:rsid w:val="00DD08F1"/>
    <w:pPr>
      <w:spacing w:after="0"/>
    </w:pPr>
    <w:rPr>
      <w:rFonts w:eastAsia="Times New Roman" w:cs="Times New Roman"/>
      <w:szCs w:val="20"/>
    </w:rPr>
  </w:style>
  <w:style w:type="paragraph" w:customStyle="1" w:styleId="backcovercities">
    <w:name w:val="back cover cities"/>
    <w:basedOn w:val="Normal"/>
    <w:qFormat/>
    <w:rsid w:val="004E18F3"/>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E18F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E18F3"/>
    <w:pPr>
      <w:spacing w:line="280" w:lineRule="exact"/>
    </w:pPr>
    <w:rPr>
      <w:sz w:val="24"/>
    </w:rPr>
  </w:style>
  <w:style w:type="paragraph" w:customStyle="1" w:styleId="BulletBlack">
    <w:name w:val="Bullet_Black"/>
    <w:basedOn w:val="Normal"/>
    <w:qFormat/>
    <w:rsid w:val="004E18F3"/>
    <w:pPr>
      <w:numPr>
        <w:numId w:val="37"/>
      </w:numPr>
      <w:tabs>
        <w:tab w:val="left" w:pos="360"/>
      </w:tabs>
      <w:spacing w:after="120" w:line="240" w:lineRule="auto"/>
      <w:ind w:right="216"/>
    </w:pPr>
    <w:rPr>
      <w:szCs w:val="24"/>
    </w:rPr>
  </w:style>
  <w:style w:type="paragraph" w:customStyle="1" w:styleId="coverallcaps">
    <w:name w:val="cover all caps"/>
    <w:basedOn w:val="Normal"/>
    <w:qFormat/>
    <w:rsid w:val="004E18F3"/>
    <w:pPr>
      <w:spacing w:line="560" w:lineRule="exact"/>
      <w:ind w:firstLine="0"/>
    </w:pPr>
    <w:rPr>
      <w:rFonts w:ascii="Arial" w:hAnsi="Arial"/>
      <w:caps/>
      <w:spacing w:val="28"/>
      <w:sz w:val="17"/>
      <w:szCs w:val="26"/>
    </w:rPr>
  </w:style>
  <w:style w:type="paragraph" w:customStyle="1" w:styleId="coverdate">
    <w:name w:val="cover date"/>
    <w:qFormat/>
    <w:rsid w:val="004E18F3"/>
    <w:pPr>
      <w:spacing w:after="0" w:line="440" w:lineRule="exact"/>
    </w:pPr>
    <w:rPr>
      <w:rFonts w:ascii="Arial" w:eastAsia="Times New Roman" w:hAnsi="Arial" w:cs="Times New Roman"/>
      <w:sz w:val="34"/>
      <w:szCs w:val="26"/>
    </w:rPr>
  </w:style>
  <w:style w:type="paragraph" w:customStyle="1" w:styleId="covertext">
    <w:name w:val="cover text"/>
    <w:qFormat/>
    <w:rsid w:val="004E18F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E18F3"/>
    <w:pPr>
      <w:pBdr>
        <w:bottom w:val="single" w:sz="2" w:space="1" w:color="auto"/>
      </w:pBdr>
      <w:spacing w:line="240" w:lineRule="auto"/>
    </w:pPr>
  </w:style>
  <w:style w:type="paragraph" w:customStyle="1" w:styleId="disclosure">
    <w:name w:val="disclosure"/>
    <w:basedOn w:val="Footer"/>
    <w:qFormat/>
    <w:rsid w:val="004E18F3"/>
    <w:pPr>
      <w:pBdr>
        <w:bottom w:val="none" w:sz="0" w:space="0" w:color="auto"/>
      </w:pBdr>
      <w:tabs>
        <w:tab w:val="clear" w:pos="4320"/>
        <w:tab w:val="center" w:pos="4770"/>
      </w:tabs>
      <w:spacing w:before="120"/>
      <w:jc w:val="center"/>
    </w:pPr>
    <w:rPr>
      <w:sz w:val="17"/>
      <w:szCs w:val="24"/>
    </w:rPr>
  </w:style>
  <w:style w:type="paragraph" w:customStyle="1" w:styleId="covertextnoline">
    <w:name w:val="cover text (no line)"/>
    <w:basedOn w:val="Normal"/>
    <w:qFormat/>
    <w:rsid w:val="004E18F3"/>
    <w:pPr>
      <w:spacing w:line="240" w:lineRule="auto"/>
      <w:ind w:firstLine="0"/>
    </w:pPr>
    <w:rPr>
      <w:rFonts w:ascii="Arial Black" w:hAnsi="Arial Black"/>
      <w:noProof/>
      <w:sz w:val="16"/>
      <w:szCs w:val="19"/>
    </w:rPr>
  </w:style>
  <w:style w:type="table" w:customStyle="1" w:styleId="TableGrid1">
    <w:name w:val="Table Grid1"/>
    <w:basedOn w:val="TableNormal"/>
    <w:next w:val="TableGrid"/>
    <w:uiPriority w:val="59"/>
    <w:rsid w:val="00F74E9C"/>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F27CB7"/>
    <w:rPr>
      <w:rFonts w:eastAsia="Times New Roman" w:cs="Times New Roman"/>
      <w:szCs w:val="20"/>
    </w:rPr>
  </w:style>
  <w:style w:type="paragraph" w:customStyle="1" w:styleId="Default">
    <w:name w:val="Default"/>
    <w:rsid w:val="008D6CF6"/>
    <w:pPr>
      <w:autoSpaceDE w:val="0"/>
      <w:autoSpaceDN w:val="0"/>
      <w:adjustRightInd w:val="0"/>
      <w:spacing w:after="0"/>
    </w:pPr>
    <w:rPr>
      <w:rFonts w:ascii="Garamond" w:eastAsia="Times New Roman" w:hAnsi="Garamond" w:cs="Garamond"/>
      <w:color w:val="000000"/>
    </w:rPr>
  </w:style>
  <w:style w:type="table" w:customStyle="1" w:styleId="GridTable5Dark1">
    <w:name w:val="Grid Table 5 Dark1"/>
    <w:basedOn w:val="TableNormal"/>
    <w:uiPriority w:val="50"/>
    <w:rsid w:val="002648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31">
    <w:name w:val="List Table 31"/>
    <w:basedOn w:val="TableNormal"/>
    <w:uiPriority w:val="48"/>
    <w:rsid w:val="002648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2648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4NumberNoTOC">
    <w:name w:val="H4_Number_No TOC"/>
    <w:basedOn w:val="Normal"/>
    <w:next w:val="NormalSS"/>
    <w:link w:val="H4NumberNoTOCChar"/>
    <w:qFormat/>
    <w:rsid w:val="000930F2"/>
    <w:pPr>
      <w:keepNext/>
      <w:tabs>
        <w:tab w:val="left" w:pos="432"/>
      </w:tabs>
      <w:spacing w:after="120" w:line="240" w:lineRule="auto"/>
      <w:ind w:left="432" w:hanging="432"/>
    </w:pPr>
    <w:rPr>
      <w:b/>
    </w:rPr>
  </w:style>
  <w:style w:type="character" w:customStyle="1" w:styleId="H4NumberNoTOCChar">
    <w:name w:val="H4_Number_No TOC Char"/>
    <w:basedOn w:val="DefaultParagraphFont"/>
    <w:link w:val="H4NumberNoTOC"/>
    <w:rsid w:val="000930F2"/>
    <w:rPr>
      <w:rFonts w:eastAsia="Times New Roman" w:cs="Times New Roman"/>
      <w:b/>
      <w:szCs w:val="20"/>
    </w:rPr>
  </w:style>
  <w:style w:type="paragraph" w:customStyle="1" w:styleId="H3Alpha">
    <w:name w:val="H3_Alpha"/>
    <w:basedOn w:val="Heading2"/>
    <w:next w:val="NormalSS"/>
    <w:link w:val="H3AlphaChar"/>
    <w:qFormat/>
    <w:rsid w:val="000930F2"/>
    <w:pPr>
      <w:ind w:left="0" w:firstLine="0"/>
      <w:outlineLvl w:val="2"/>
    </w:pPr>
  </w:style>
  <w:style w:type="character" w:customStyle="1" w:styleId="H3AlphaChar">
    <w:name w:val="H3_Alpha Char"/>
    <w:basedOn w:val="DefaultParagraphFont"/>
    <w:link w:val="H3Alpha"/>
    <w:rsid w:val="000930F2"/>
    <w:rPr>
      <w:rFonts w:ascii="Arial Black" w:eastAsia="Times New Roman" w:hAnsi="Arial Black" w:cs="Times New Roman"/>
      <w:sz w:val="22"/>
      <w:szCs w:val="20"/>
    </w:rPr>
  </w:style>
  <w:style w:type="paragraph" w:styleId="NormalWeb">
    <w:name w:val="Normal (Web)"/>
    <w:basedOn w:val="Normal"/>
    <w:uiPriority w:val="99"/>
    <w:semiHidden/>
    <w:unhideWhenUsed/>
    <w:rsid w:val="00446799"/>
    <w:pPr>
      <w:spacing w:before="100" w:beforeAutospacing="1" w:after="100" w:afterAutospacing="1" w:line="240" w:lineRule="auto"/>
      <w:ind w:firstLine="0"/>
    </w:pPr>
    <w:rPr>
      <w:szCs w:val="24"/>
    </w:rPr>
  </w:style>
  <w:style w:type="paragraph" w:customStyle="1" w:styleId="H2Chapter">
    <w:name w:val="H2_Chapter"/>
    <w:basedOn w:val="Heading1"/>
    <w:next w:val="NormalSS"/>
    <w:link w:val="H2ChapterChar"/>
    <w:qFormat/>
    <w:rsid w:val="009668A6"/>
    <w:pPr>
      <w:outlineLvl w:val="1"/>
    </w:pPr>
  </w:style>
  <w:style w:type="character" w:customStyle="1" w:styleId="H2ChapterChar">
    <w:name w:val="H2_Chapter Char"/>
    <w:basedOn w:val="DefaultParagraphFont"/>
    <w:link w:val="H2Chapter"/>
    <w:rsid w:val="009668A6"/>
    <w:rPr>
      <w:rFonts w:ascii="Arial Black" w:eastAsia="Times New Roman" w:hAnsi="Arial Black" w:cs="Times New Roman"/>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0930F2"/>
    <w:pPr>
      <w:keepNext/>
      <w:tabs>
        <w:tab w:val="left" w:pos="432"/>
      </w:tabs>
      <w:spacing w:after="120" w:line="240" w:lineRule="auto"/>
      <w:ind w:left="432" w:hanging="432"/>
      <w:outlineLvl w:val="2"/>
    </w:pPr>
    <w:rPr>
      <w:rFonts w:ascii="Arial Black" w:hAnsi="Arial Black"/>
      <w:b/>
      <w:sz w:val="22"/>
      <w:szCs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6"/>
      </w:numPr>
      <w:spacing w:after="320"/>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930F2"/>
    <w:rPr>
      <w:rFonts w:ascii="Arial Black" w:eastAsia="Times New Roman" w:hAnsi="Arial Black" w:cs="Times New Roman"/>
      <w:b/>
      <w:sz w:val="22"/>
      <w:szCs w:val="22"/>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B5949"/>
    <w:pPr>
      <w:tabs>
        <w:tab w:val="right" w:leader="dot" w:pos="9360"/>
      </w:tabs>
      <w:spacing w:after="180" w:line="240" w:lineRule="exact"/>
      <w:ind w:right="720"/>
    </w:pPr>
    <w:rPr>
      <w:rFonts w:ascii="Arial" w:eastAsia="Times New Roman" w:hAnsi="Arial" w:cs="Times New Roman"/>
      <w:caps/>
      <w:sz w:val="20"/>
      <w:szCs w:val="20"/>
    </w:rPr>
  </w:style>
  <w:style w:type="paragraph" w:styleId="TOC2">
    <w:name w:val="toc 2"/>
    <w:next w:val="Normal"/>
    <w:autoRedefine/>
    <w:uiPriority w:val="39"/>
    <w:qFormat/>
    <w:rsid w:val="004B08B5"/>
    <w:pPr>
      <w:tabs>
        <w:tab w:val="left" w:pos="1080"/>
        <w:tab w:val="right" w:leader="dot" w:pos="9360"/>
      </w:tabs>
      <w:spacing w:after="180" w:line="240" w:lineRule="exact"/>
      <w:ind w:left="504" w:right="720" w:hanging="504"/>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768F5"/>
    <w:rPr>
      <w:sz w:val="16"/>
      <w:szCs w:val="16"/>
    </w:rPr>
  </w:style>
  <w:style w:type="paragraph" w:styleId="CommentText">
    <w:name w:val="annotation text"/>
    <w:basedOn w:val="Normal"/>
    <w:link w:val="CommentTextChar"/>
    <w:uiPriority w:val="99"/>
    <w:unhideWhenUsed/>
    <w:rsid w:val="007768F5"/>
    <w:pPr>
      <w:spacing w:line="240" w:lineRule="auto"/>
    </w:pPr>
    <w:rPr>
      <w:sz w:val="20"/>
    </w:rPr>
  </w:style>
  <w:style w:type="character" w:customStyle="1" w:styleId="CommentTextChar">
    <w:name w:val="Comment Text Char"/>
    <w:basedOn w:val="DefaultParagraphFont"/>
    <w:link w:val="CommentText"/>
    <w:uiPriority w:val="99"/>
    <w:rsid w:val="007768F5"/>
    <w:rPr>
      <w:rFonts w:eastAsia="Times New Roman" w:cs="Times New Roman"/>
      <w:sz w:val="20"/>
      <w:szCs w:val="20"/>
    </w:rPr>
  </w:style>
  <w:style w:type="table" w:styleId="TableGrid">
    <w:name w:val="Table Grid"/>
    <w:basedOn w:val="TableNormal"/>
    <w:uiPriority w:val="39"/>
    <w:locked/>
    <w:rsid w:val="00AC6D0C"/>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C6D0C"/>
    <w:rPr>
      <w:color w:val="0000FF" w:themeColor="hyperlink"/>
      <w:u w:val="single"/>
    </w:rPr>
  </w:style>
  <w:style w:type="paragraph" w:styleId="ListParagraph">
    <w:name w:val="List Paragraph"/>
    <w:basedOn w:val="Normal"/>
    <w:uiPriority w:val="34"/>
    <w:qFormat/>
    <w:rsid w:val="00600864"/>
    <w:pPr>
      <w:spacing w:after="200" w:line="276" w:lineRule="auto"/>
      <w:ind w:left="720" w:firstLine="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0864"/>
    <w:rPr>
      <w:b/>
      <w:bCs/>
    </w:rPr>
  </w:style>
  <w:style w:type="character" w:customStyle="1" w:styleId="CommentSubjectChar">
    <w:name w:val="Comment Subject Char"/>
    <w:basedOn w:val="CommentTextChar"/>
    <w:link w:val="CommentSubject"/>
    <w:uiPriority w:val="99"/>
    <w:semiHidden/>
    <w:rsid w:val="00600864"/>
    <w:rPr>
      <w:rFonts w:eastAsia="Times New Roman" w:cs="Times New Roman"/>
      <w:b/>
      <w:bCs/>
      <w:sz w:val="20"/>
      <w:szCs w:val="20"/>
    </w:rPr>
  </w:style>
  <w:style w:type="paragraph" w:styleId="Revision">
    <w:name w:val="Revision"/>
    <w:hidden/>
    <w:uiPriority w:val="99"/>
    <w:semiHidden/>
    <w:rsid w:val="00DD08F1"/>
    <w:pPr>
      <w:spacing w:after="0"/>
    </w:pPr>
    <w:rPr>
      <w:rFonts w:eastAsia="Times New Roman" w:cs="Times New Roman"/>
      <w:szCs w:val="20"/>
    </w:rPr>
  </w:style>
  <w:style w:type="paragraph" w:customStyle="1" w:styleId="backcovercities">
    <w:name w:val="back cover cities"/>
    <w:basedOn w:val="Normal"/>
    <w:qFormat/>
    <w:rsid w:val="004E18F3"/>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E18F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E18F3"/>
    <w:pPr>
      <w:spacing w:line="280" w:lineRule="exact"/>
    </w:pPr>
    <w:rPr>
      <w:sz w:val="24"/>
    </w:rPr>
  </w:style>
  <w:style w:type="paragraph" w:customStyle="1" w:styleId="BulletBlack">
    <w:name w:val="Bullet_Black"/>
    <w:basedOn w:val="Normal"/>
    <w:qFormat/>
    <w:rsid w:val="004E18F3"/>
    <w:pPr>
      <w:numPr>
        <w:numId w:val="37"/>
      </w:numPr>
      <w:tabs>
        <w:tab w:val="left" w:pos="360"/>
      </w:tabs>
      <w:spacing w:after="120" w:line="240" w:lineRule="auto"/>
      <w:ind w:right="216"/>
    </w:pPr>
    <w:rPr>
      <w:szCs w:val="24"/>
    </w:rPr>
  </w:style>
  <w:style w:type="paragraph" w:customStyle="1" w:styleId="coverallcaps">
    <w:name w:val="cover all caps"/>
    <w:basedOn w:val="Normal"/>
    <w:qFormat/>
    <w:rsid w:val="004E18F3"/>
    <w:pPr>
      <w:spacing w:line="560" w:lineRule="exact"/>
      <w:ind w:firstLine="0"/>
    </w:pPr>
    <w:rPr>
      <w:rFonts w:ascii="Arial" w:hAnsi="Arial"/>
      <w:caps/>
      <w:spacing w:val="28"/>
      <w:sz w:val="17"/>
      <w:szCs w:val="26"/>
    </w:rPr>
  </w:style>
  <w:style w:type="paragraph" w:customStyle="1" w:styleId="coverdate">
    <w:name w:val="cover date"/>
    <w:qFormat/>
    <w:rsid w:val="004E18F3"/>
    <w:pPr>
      <w:spacing w:after="0" w:line="440" w:lineRule="exact"/>
    </w:pPr>
    <w:rPr>
      <w:rFonts w:ascii="Arial" w:eastAsia="Times New Roman" w:hAnsi="Arial" w:cs="Times New Roman"/>
      <w:sz w:val="34"/>
      <w:szCs w:val="26"/>
    </w:rPr>
  </w:style>
  <w:style w:type="paragraph" w:customStyle="1" w:styleId="covertext">
    <w:name w:val="cover text"/>
    <w:qFormat/>
    <w:rsid w:val="004E18F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E18F3"/>
    <w:pPr>
      <w:pBdr>
        <w:bottom w:val="single" w:sz="2" w:space="1" w:color="auto"/>
      </w:pBdr>
      <w:spacing w:line="240" w:lineRule="auto"/>
    </w:pPr>
  </w:style>
  <w:style w:type="paragraph" w:customStyle="1" w:styleId="disclosure">
    <w:name w:val="disclosure"/>
    <w:basedOn w:val="Footer"/>
    <w:qFormat/>
    <w:rsid w:val="004E18F3"/>
    <w:pPr>
      <w:pBdr>
        <w:bottom w:val="none" w:sz="0" w:space="0" w:color="auto"/>
      </w:pBdr>
      <w:tabs>
        <w:tab w:val="clear" w:pos="4320"/>
        <w:tab w:val="center" w:pos="4770"/>
      </w:tabs>
      <w:spacing w:before="120"/>
      <w:jc w:val="center"/>
    </w:pPr>
    <w:rPr>
      <w:sz w:val="17"/>
      <w:szCs w:val="24"/>
    </w:rPr>
  </w:style>
  <w:style w:type="paragraph" w:customStyle="1" w:styleId="covertextnoline">
    <w:name w:val="cover text (no line)"/>
    <w:basedOn w:val="Normal"/>
    <w:qFormat/>
    <w:rsid w:val="004E18F3"/>
    <w:pPr>
      <w:spacing w:line="240" w:lineRule="auto"/>
      <w:ind w:firstLine="0"/>
    </w:pPr>
    <w:rPr>
      <w:rFonts w:ascii="Arial Black" w:hAnsi="Arial Black"/>
      <w:noProof/>
      <w:sz w:val="16"/>
      <w:szCs w:val="19"/>
    </w:rPr>
  </w:style>
  <w:style w:type="table" w:customStyle="1" w:styleId="TableGrid1">
    <w:name w:val="Table Grid1"/>
    <w:basedOn w:val="TableNormal"/>
    <w:next w:val="TableGrid"/>
    <w:uiPriority w:val="59"/>
    <w:rsid w:val="00F74E9C"/>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F27CB7"/>
    <w:rPr>
      <w:rFonts w:eastAsia="Times New Roman" w:cs="Times New Roman"/>
      <w:szCs w:val="20"/>
    </w:rPr>
  </w:style>
  <w:style w:type="paragraph" w:customStyle="1" w:styleId="Default">
    <w:name w:val="Default"/>
    <w:rsid w:val="008D6CF6"/>
    <w:pPr>
      <w:autoSpaceDE w:val="0"/>
      <w:autoSpaceDN w:val="0"/>
      <w:adjustRightInd w:val="0"/>
      <w:spacing w:after="0"/>
    </w:pPr>
    <w:rPr>
      <w:rFonts w:ascii="Garamond" w:eastAsia="Times New Roman" w:hAnsi="Garamond" w:cs="Garamond"/>
      <w:color w:val="000000"/>
    </w:rPr>
  </w:style>
  <w:style w:type="table" w:customStyle="1" w:styleId="GridTable5Dark1">
    <w:name w:val="Grid Table 5 Dark1"/>
    <w:basedOn w:val="TableNormal"/>
    <w:uiPriority w:val="50"/>
    <w:rsid w:val="002648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31">
    <w:name w:val="List Table 31"/>
    <w:basedOn w:val="TableNormal"/>
    <w:uiPriority w:val="48"/>
    <w:rsid w:val="002648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2648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4NumberNoTOC">
    <w:name w:val="H4_Number_No TOC"/>
    <w:basedOn w:val="Normal"/>
    <w:next w:val="NormalSS"/>
    <w:link w:val="H4NumberNoTOCChar"/>
    <w:qFormat/>
    <w:rsid w:val="000930F2"/>
    <w:pPr>
      <w:keepNext/>
      <w:tabs>
        <w:tab w:val="left" w:pos="432"/>
      </w:tabs>
      <w:spacing w:after="120" w:line="240" w:lineRule="auto"/>
      <w:ind w:left="432" w:hanging="432"/>
    </w:pPr>
    <w:rPr>
      <w:b/>
    </w:rPr>
  </w:style>
  <w:style w:type="character" w:customStyle="1" w:styleId="H4NumberNoTOCChar">
    <w:name w:val="H4_Number_No TOC Char"/>
    <w:basedOn w:val="DefaultParagraphFont"/>
    <w:link w:val="H4NumberNoTOC"/>
    <w:rsid w:val="000930F2"/>
    <w:rPr>
      <w:rFonts w:eastAsia="Times New Roman" w:cs="Times New Roman"/>
      <w:b/>
      <w:szCs w:val="20"/>
    </w:rPr>
  </w:style>
  <w:style w:type="paragraph" w:customStyle="1" w:styleId="H3Alpha">
    <w:name w:val="H3_Alpha"/>
    <w:basedOn w:val="Heading2"/>
    <w:next w:val="NormalSS"/>
    <w:link w:val="H3AlphaChar"/>
    <w:qFormat/>
    <w:rsid w:val="000930F2"/>
    <w:pPr>
      <w:ind w:left="0" w:firstLine="0"/>
      <w:outlineLvl w:val="2"/>
    </w:pPr>
  </w:style>
  <w:style w:type="character" w:customStyle="1" w:styleId="H3AlphaChar">
    <w:name w:val="H3_Alpha Char"/>
    <w:basedOn w:val="DefaultParagraphFont"/>
    <w:link w:val="H3Alpha"/>
    <w:rsid w:val="000930F2"/>
    <w:rPr>
      <w:rFonts w:ascii="Arial Black" w:eastAsia="Times New Roman" w:hAnsi="Arial Black" w:cs="Times New Roman"/>
      <w:sz w:val="22"/>
      <w:szCs w:val="20"/>
    </w:rPr>
  </w:style>
  <w:style w:type="paragraph" w:styleId="NormalWeb">
    <w:name w:val="Normal (Web)"/>
    <w:basedOn w:val="Normal"/>
    <w:uiPriority w:val="99"/>
    <w:semiHidden/>
    <w:unhideWhenUsed/>
    <w:rsid w:val="00446799"/>
    <w:pPr>
      <w:spacing w:before="100" w:beforeAutospacing="1" w:after="100" w:afterAutospacing="1" w:line="240" w:lineRule="auto"/>
      <w:ind w:firstLine="0"/>
    </w:pPr>
    <w:rPr>
      <w:szCs w:val="24"/>
    </w:rPr>
  </w:style>
  <w:style w:type="paragraph" w:customStyle="1" w:styleId="H2Chapter">
    <w:name w:val="H2_Chapter"/>
    <w:basedOn w:val="Heading1"/>
    <w:next w:val="NormalSS"/>
    <w:link w:val="H2ChapterChar"/>
    <w:qFormat/>
    <w:rsid w:val="009668A6"/>
    <w:pPr>
      <w:outlineLvl w:val="1"/>
    </w:pPr>
  </w:style>
  <w:style w:type="character" w:customStyle="1" w:styleId="H2ChapterChar">
    <w:name w:val="H2_Chapter Char"/>
    <w:basedOn w:val="DefaultParagraphFont"/>
    <w:link w:val="H2Chapter"/>
    <w:rsid w:val="009668A6"/>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B016A-6145-4861-A12C-7B1285547578}">
  <ds:schemaRefs>
    <ds:schemaRef ds:uri="http://schemas.openxmlformats.org/officeDocument/2006/bibliography"/>
  </ds:schemaRefs>
</ds:datastoreItem>
</file>

<file path=customXml/itemProps2.xml><?xml version="1.0" encoding="utf-8"?>
<ds:datastoreItem xmlns:ds="http://schemas.openxmlformats.org/officeDocument/2006/customXml" ds:itemID="{0FBD1B6C-F733-44CC-B1A0-1D549870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40346 052 OMB Part B (07.15.14)</vt:lpstr>
    </vt:vector>
  </TitlesOfParts>
  <Company>Mathematica, Inc</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40346 052 OMB Part B (07.15.14)</dc:title>
  <dc:creator>TIMOTHY BRUURSEMA</dc:creator>
  <cp:keywords>PREK_SPEC_ED</cp:keywords>
  <cp:lastModifiedBy>SYSTEM</cp:lastModifiedBy>
  <cp:revision>2</cp:revision>
  <cp:lastPrinted>2018-11-28T18:46:00Z</cp:lastPrinted>
  <dcterms:created xsi:type="dcterms:W3CDTF">2019-04-03T11:20:00Z</dcterms:created>
  <dcterms:modified xsi:type="dcterms:W3CDTF">2019-04-03T11:20:00Z</dcterms:modified>
</cp:coreProperties>
</file>